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w:t>
      </w:r>
      <w:r w:rsidR="00605695">
        <w:rPr>
          <w:sz w:val="26"/>
          <w:szCs w:val="26"/>
        </w:rPr>
        <w:t>2</w:t>
      </w:r>
      <w:r w:rsidR="00DC6DD0" w:rsidRPr="00554B03">
        <w:rPr>
          <w:sz w:val="26"/>
          <w:szCs w:val="26"/>
        </w:rPr>
        <w:t xml:space="preserve"> </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605695">
        <w:t>include</w:t>
      </w:r>
      <w:r w:rsidRPr="00554B03">
        <w:t xml:space="preserve"> in its proposal whether it accepts the below, standard contract terms and conditions. Any exceptions must be included, if at all, with the proposal submission.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C76EBD">
        <w:t>State of California</w:t>
      </w:r>
      <w:r w:rsidRPr="00554B03">
        <w:t>.</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w:t>
      </w:r>
      <w:r w:rsidRPr="00554B03">
        <w:rPr>
          <w:szCs w:val="24"/>
        </w:rPr>
        <w:lastRenderedPageBreak/>
        <w:t xml:space="preserve">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E236BE">
      <w:pPr>
        <w:pStyle w:val="ExhibitB2"/>
        <w:keepNext w:val="0"/>
        <w:widowControl w:val="0"/>
        <w:numPr>
          <w:ilvl w:val="1"/>
          <w:numId w:val="5"/>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w:t>
      </w:r>
      <w:proofErr w:type="spellStart"/>
      <w:r w:rsidRPr="00554B03">
        <w:t>i</w:t>
      </w:r>
      <w:proofErr w:type="spellEnd"/>
      <w:r w:rsidRPr="00554B03">
        <w:t xml:space="preserve">) a change in the Work; (ii) a change in Contract Amount; (iii) a change in time allotted for performance; and/or </w:t>
      </w:r>
      <w:proofErr w:type="gramStart"/>
      <w:r w:rsidRPr="00554B03">
        <w:t>(iv) an</w:t>
      </w:r>
      <w:proofErr w:type="gramEnd"/>
      <w:r w:rsidRPr="00554B03">
        <w:t xml:space="preserve">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’s business or the business of its constituents.  Confidential Information does not include:  (</w:t>
      </w:r>
      <w:proofErr w:type="spellStart"/>
      <w:r w:rsidRPr="00554B03">
        <w:t>i</w:t>
      </w:r>
      <w:proofErr w:type="spellEnd"/>
      <w:r w:rsidRPr="00554B03">
        <w:t xml:space="preserve">)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w:t>
      </w:r>
      <w:r w:rsidRPr="00554B03">
        <w:lastRenderedPageBreak/>
        <w:t>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w:t>
      </w:r>
      <w:r w:rsidR="001529BE">
        <w:t>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xml:space="preserve">, </w:t>
      </w:r>
      <w:proofErr w:type="gramStart"/>
      <w:r w:rsidR="00E714F2">
        <w:t>Division</w:t>
      </w:r>
      <w:proofErr w:type="gramEnd"/>
      <w:r w:rsidR="00B01F4D">
        <w:t xml:space="preserve"> T</w:t>
      </w:r>
      <w:r w:rsidR="00A71878">
        <w:t>wo</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w:t>
      </w:r>
      <w:r w:rsidRPr="00554B03">
        <w:lastRenderedPageBreak/>
        <w:t xml:space="preserve">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E236BE">
      <w:pPr>
        <w:pStyle w:val="ExhibitA1"/>
        <w:numPr>
          <w:ilvl w:val="0"/>
          <w:numId w:val="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E236BE">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E236BE">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720" w:right="0"/>
        <w:outlineLvl w:val="9"/>
      </w:pPr>
      <w:r w:rsidRPr="00554B03">
        <w:t xml:space="preserve">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w:t>
      </w:r>
    </w:p>
    <w:p w:rsidR="002006A3" w:rsidRPr="00554B03" w:rsidRDefault="00B01F4D" w:rsidP="00E236BE">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lastRenderedPageBreak/>
        <w:t>COURT</w:t>
      </w:r>
      <w:r w:rsidR="002006A3" w:rsidRPr="00554B03">
        <w:rPr>
          <w:rFonts w:ascii="Times New Roman Bold" w:hAnsi="Times New Roman Bold"/>
          <w:b/>
          <w:caps/>
          <w:szCs w:val="20"/>
          <w:u w:val="none"/>
        </w:rPr>
        <w:t>’s Quality Assurance Plan</w:t>
      </w:r>
      <w:bookmarkEnd w:id="1"/>
    </w:p>
    <w:p w:rsidR="002006A3" w:rsidRPr="00554B03" w:rsidRDefault="002006A3" w:rsidP="00E236BE">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D127FF">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and Contractor shall be solely responsible for the quality, completeness, and accuracy of its own work product.</w:t>
      </w:r>
    </w:p>
    <w:p w:rsidR="002006A3" w:rsidRPr="00554B03" w:rsidRDefault="002006A3" w:rsidP="00E236BE">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E236BE">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E236BE">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E236BE">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p>
    <w:p w:rsidR="002006A3" w:rsidRPr="00554B03" w:rsidRDefault="002006A3" w:rsidP="00E236BE">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E236BE">
      <w:pPr>
        <w:pStyle w:val="ExhibitA3"/>
        <w:keepNext w:val="0"/>
        <w:numPr>
          <w:ilvl w:val="2"/>
          <w:numId w:val="9"/>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E236BE">
      <w:pPr>
        <w:pStyle w:val="ExhibitA3"/>
        <w:keepNext w:val="0"/>
        <w:numPr>
          <w:ilvl w:val="2"/>
          <w:numId w:val="9"/>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E236BE">
      <w:pPr>
        <w:pStyle w:val="ExhibitA3"/>
        <w:keepNext w:val="0"/>
        <w:numPr>
          <w:ilvl w:val="2"/>
          <w:numId w:val="9"/>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E236BE">
      <w:pPr>
        <w:pStyle w:val="ExhibitA4"/>
        <w:numPr>
          <w:ilvl w:val="3"/>
          <w:numId w:val="9"/>
        </w:numPr>
        <w:tabs>
          <w:tab w:val="clear" w:pos="2376"/>
          <w:tab w:val="num" w:pos="2448"/>
        </w:tabs>
        <w:ind w:left="2448" w:hanging="576"/>
        <w:jc w:val="both"/>
      </w:pPr>
      <w:r w:rsidRPr="00554B03">
        <w:lastRenderedPageBreak/>
        <w:t xml:space="preserve">Arising from, related to or in connection with, in whole or in part, the negligent acts or omissions, or intentional misconduct, of Contractor, its agents, employees, or Subcontractors; </w:t>
      </w:r>
    </w:p>
    <w:p w:rsidR="002006A3" w:rsidRPr="00554B03" w:rsidRDefault="002006A3" w:rsidP="00E236BE">
      <w:pPr>
        <w:pStyle w:val="ExhibitA4"/>
        <w:numPr>
          <w:ilvl w:val="3"/>
          <w:numId w:val="9"/>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E236BE">
      <w:pPr>
        <w:pStyle w:val="ExhibitA4"/>
        <w:numPr>
          <w:ilvl w:val="3"/>
          <w:numId w:val="9"/>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E236BE">
      <w:pPr>
        <w:pStyle w:val="ExhibitA4"/>
        <w:numPr>
          <w:ilvl w:val="3"/>
          <w:numId w:val="9"/>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E236BE">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E236BE">
      <w:pPr>
        <w:pStyle w:val="ExhibitA3"/>
        <w:keepNext w:val="0"/>
        <w:numPr>
          <w:ilvl w:val="2"/>
          <w:numId w:val="11"/>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E236BE">
      <w:pPr>
        <w:pStyle w:val="ExhibitA3"/>
        <w:keepNext w:val="0"/>
        <w:numPr>
          <w:ilvl w:val="2"/>
          <w:numId w:val="11"/>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E236BE">
      <w:pPr>
        <w:pStyle w:val="ExhibitA3"/>
        <w:keepNext w:val="0"/>
        <w:numPr>
          <w:ilvl w:val="2"/>
          <w:numId w:val="11"/>
        </w:numPr>
        <w:tabs>
          <w:tab w:val="clear" w:pos="2592"/>
          <w:tab w:val="clear" w:pos="4176"/>
          <w:tab w:val="clear" w:pos="10710"/>
        </w:tabs>
        <w:spacing w:before="120" w:after="120"/>
        <w:ind w:right="0"/>
        <w:outlineLvl w:val="9"/>
      </w:pPr>
      <w:r w:rsidRPr="00554B03">
        <w:t>Automobile Liability Insurance—</w:t>
      </w:r>
      <w:proofErr w:type="gramStart"/>
      <w:r w:rsidRPr="00554B03">
        <w:t>If</w:t>
      </w:r>
      <w:proofErr w:type="gramEnd"/>
      <w:r w:rsidRPr="00554B03">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w:t>
      </w:r>
      <w:proofErr w:type="spellStart"/>
      <w:r w:rsidRPr="00554B03">
        <w:t>insureds</w:t>
      </w:r>
      <w:proofErr w:type="spellEnd"/>
      <w:r w:rsidRPr="00554B03">
        <w:t xml:space="preserve"> with respect to liabilities arising out of the performance of Services under this Agreement:  The </w:t>
      </w:r>
      <w:r w:rsidR="00B01F4D">
        <w:t>Court</w:t>
      </w:r>
      <w:r w:rsidRPr="00554B03">
        <w:t xml:space="preserve">, its judges, its subordinate judicial officers, its </w:t>
      </w:r>
      <w:r w:rsidR="00C76EBD">
        <w:t>court</w:t>
      </w:r>
      <w:r w:rsidR="00C76EBD" w:rsidRPr="00554B03">
        <w:t xml:space="preserve"> </w:t>
      </w:r>
      <w:r w:rsidRPr="00554B03">
        <w:t xml:space="preserve">executive officers, its </w:t>
      </w:r>
      <w:r w:rsidR="00C76EBD">
        <w:t>court</w:t>
      </w:r>
      <w:r w:rsidR="00C76EBD" w:rsidRPr="00554B03">
        <w:t xml:space="preserve"> </w:t>
      </w:r>
      <w:r w:rsidRPr="00554B03">
        <w:t>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policy is primary and non-contributory with any insurance or self-insurance programs carried or administered by the </w:t>
      </w:r>
      <w:r w:rsidR="00476ADE">
        <w:t>Court</w:t>
      </w:r>
      <w:r w:rsidRPr="00554B03">
        <w:t>.</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E236BE">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w:t>
      </w:r>
      <w:r w:rsidR="002C6405">
        <w:t>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E236BE">
      <w:pPr>
        <w:pStyle w:val="ExhibitA3"/>
        <w:keepNext w:val="0"/>
        <w:numPr>
          <w:ilvl w:val="2"/>
          <w:numId w:val="11"/>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E236BE">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E236BE">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E236BE">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lastRenderedPageBreak/>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E236BE">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E236BE">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E236BE">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E236BE">
      <w:pPr>
        <w:pStyle w:val="ExhibitA3"/>
        <w:keepNext w:val="0"/>
        <w:numPr>
          <w:ilvl w:val="2"/>
          <w:numId w:val="13"/>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E236BE">
      <w:pPr>
        <w:pStyle w:val="ExhibitA3"/>
        <w:keepNext w:val="0"/>
        <w:numPr>
          <w:ilvl w:val="2"/>
          <w:numId w:val="13"/>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E236BE">
      <w:pPr>
        <w:pStyle w:val="ExhibitA1"/>
        <w:numPr>
          <w:ilvl w:val="0"/>
          <w:numId w:val="2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E236BE">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E236BE">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E236BE">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w:t>
      </w:r>
      <w:r w:rsidRPr="00554B03">
        <w:rPr>
          <w:rStyle w:val="StyleExhibitA2UnderlineChar"/>
          <w:u w:val="none"/>
        </w:rPr>
        <w:lastRenderedPageBreak/>
        <w:t xml:space="preserve">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E236BE">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E236BE">
      <w:pPr>
        <w:pStyle w:val="ExhibitA3"/>
        <w:keepNext w:val="0"/>
        <w:numPr>
          <w:ilvl w:val="2"/>
          <w:numId w:val="17"/>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E236BE">
      <w:pPr>
        <w:pStyle w:val="ExhibitA3"/>
        <w:keepNext w:val="0"/>
        <w:numPr>
          <w:ilvl w:val="2"/>
          <w:numId w:val="17"/>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E236BE">
      <w:pPr>
        <w:pStyle w:val="ExhibitA3"/>
        <w:keepNext w:val="0"/>
        <w:numPr>
          <w:ilvl w:val="2"/>
          <w:numId w:val="17"/>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E236BE">
      <w:pPr>
        <w:pStyle w:val="ExhibitA2"/>
        <w:keepNext w:val="0"/>
        <w:numPr>
          <w:ilvl w:val="1"/>
          <w:numId w:val="18"/>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E236BE">
      <w:pPr>
        <w:pStyle w:val="ExhibitA2"/>
        <w:keepNext w:val="0"/>
        <w:numPr>
          <w:ilvl w:val="1"/>
          <w:numId w:val="19"/>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E236BE">
      <w:pPr>
        <w:pStyle w:val="ExhibitA2"/>
        <w:keepNext w:val="0"/>
        <w:numPr>
          <w:ilvl w:val="2"/>
          <w:numId w:val="19"/>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 xml:space="preserve">Payment </w:t>
      </w:r>
      <w:proofErr w:type="gramStart"/>
      <w:r w:rsidRPr="00554B03">
        <w:rPr>
          <w:rStyle w:val="StyleExhibitA2UnderlineChar"/>
        </w:rPr>
        <w:t>Upon</w:t>
      </w:r>
      <w:proofErr w:type="gramEnd"/>
      <w:r w:rsidRPr="00554B03">
        <w:rPr>
          <w:rStyle w:val="StyleExhibitA2UnderlineChar"/>
        </w:rPr>
        <w:t xml:space="preserve">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E236BE">
      <w:pPr>
        <w:pStyle w:val="ExhibitA2"/>
        <w:keepNext w:val="0"/>
        <w:numPr>
          <w:ilvl w:val="2"/>
          <w:numId w:val="19"/>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E236BE">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lastRenderedPageBreak/>
        <w:t xml:space="preserve">All payments previously made by the </w:t>
      </w:r>
      <w:r w:rsidR="00476ADE">
        <w:t>Court</w:t>
      </w:r>
      <w:r w:rsidRPr="00554B03">
        <w:t xml:space="preserve"> for Services covered by Contractor’s final invoice.</w:t>
      </w:r>
    </w:p>
    <w:p w:rsidR="00432FB6" w:rsidRPr="00554B03" w:rsidRDefault="00432FB6" w:rsidP="00E236BE">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E236BE">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A1466F" w:rsidRPr="00E236BE" w:rsidRDefault="00A1466F"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E236BE">
        <w:rPr>
          <w:rFonts w:ascii="Times New Roman Bold" w:hAnsi="Times New Roman Bold"/>
          <w:b/>
          <w:caps/>
          <w:szCs w:val="20"/>
          <w:u w:val="none"/>
        </w:rPr>
        <w:t>Agreement Term</w:t>
      </w:r>
    </w:p>
    <w:p w:rsidR="00A1466F" w:rsidRPr="00405619" w:rsidRDefault="00A1466F" w:rsidP="00A1466F">
      <w:pPr>
        <w:widowControl w:val="0"/>
        <w:rPr>
          <w:color w:val="000000" w:themeColor="text1"/>
        </w:rPr>
      </w:pPr>
    </w:p>
    <w:p w:rsidR="00A1466F" w:rsidRPr="00405619" w:rsidRDefault="00A1466F" w:rsidP="00E236BE">
      <w:pPr>
        <w:pStyle w:val="ExhibitB2"/>
        <w:keepNext w:val="0"/>
        <w:widowControl w:val="0"/>
        <w:numPr>
          <w:ilvl w:val="1"/>
          <w:numId w:val="23"/>
        </w:numPr>
        <w:tabs>
          <w:tab w:val="clear" w:pos="2016"/>
          <w:tab w:val="clear" w:pos="2592"/>
          <w:tab w:val="clear" w:pos="4176"/>
          <w:tab w:val="clear" w:pos="10710"/>
        </w:tabs>
        <w:rPr>
          <w:color w:val="000000" w:themeColor="text1"/>
        </w:rPr>
      </w:pPr>
      <w:r w:rsidRPr="00405619">
        <w:rPr>
          <w:color w:val="000000" w:themeColor="text1"/>
        </w:rPr>
        <w:t xml:space="preserve">The Agreement shall commence and expire in accordance with the dates set forth on the executed </w:t>
      </w:r>
      <w:r>
        <w:rPr>
          <w:color w:val="000000" w:themeColor="text1"/>
        </w:rPr>
        <w:t>Court</w:t>
      </w:r>
      <w:r w:rsidRPr="00405619">
        <w:rPr>
          <w:color w:val="000000" w:themeColor="text1"/>
        </w:rPr>
        <w:t xml:space="preserve"> Standard Agreement Coversheet.  This Agreement is of no force and effect until signed by both parties and all approvals are secured.  Any commencement of performance prior to Agreement approval shall be done so</w:t>
      </w:r>
      <w:r>
        <w:rPr>
          <w:color w:val="000000" w:themeColor="text1"/>
        </w:rPr>
        <w:t xml:space="preserve"> at the Contractor's own risk. </w:t>
      </w:r>
      <w:r w:rsidRPr="00405619">
        <w:rPr>
          <w:color w:val="000000" w:themeColor="text1"/>
        </w:rPr>
        <w:t xml:space="preserve"> </w:t>
      </w:r>
    </w:p>
    <w:p w:rsidR="00A1466F" w:rsidRPr="00405619" w:rsidRDefault="00A1466F" w:rsidP="00A1466F">
      <w:pPr>
        <w:rPr>
          <w:color w:val="000000" w:themeColor="text1"/>
        </w:rPr>
      </w:pPr>
    </w:p>
    <w:p w:rsidR="00A1466F" w:rsidRPr="00405619" w:rsidRDefault="00A1466F" w:rsidP="00E236BE">
      <w:pPr>
        <w:pStyle w:val="ExhibitB2"/>
        <w:keepNext w:val="0"/>
        <w:numPr>
          <w:ilvl w:val="1"/>
          <w:numId w:val="23"/>
        </w:numPr>
        <w:tabs>
          <w:tab w:val="clear" w:pos="2016"/>
          <w:tab w:val="clear" w:pos="2592"/>
          <w:tab w:val="clear" w:pos="4176"/>
          <w:tab w:val="clear" w:pos="10710"/>
        </w:tabs>
        <w:rPr>
          <w:color w:val="000000" w:themeColor="text1"/>
        </w:rPr>
      </w:pPr>
      <w:r w:rsidRPr="00405619">
        <w:rPr>
          <w:color w:val="000000" w:themeColor="text1"/>
        </w:rPr>
        <w:t xml:space="preserve">The parties agree that the </w:t>
      </w:r>
      <w:r>
        <w:rPr>
          <w:color w:val="000000" w:themeColor="text1"/>
        </w:rPr>
        <w:t>Court</w:t>
      </w:r>
      <w:r w:rsidRPr="00405619">
        <w:rPr>
          <w:color w:val="000000" w:themeColor="text1"/>
        </w:rPr>
        <w:t xml:space="preserve"> may elect to extend the initial term of this Agreement for up to two (2) optional consecutive one-year terms at the rates and the terms and conditions set forth</w:t>
      </w:r>
      <w:r>
        <w:rPr>
          <w:color w:val="000000" w:themeColor="text1"/>
        </w:rPr>
        <w:t xml:space="preserve"> here</w:t>
      </w:r>
      <w:r w:rsidRPr="00405619">
        <w:rPr>
          <w:color w:val="000000" w:themeColor="text1"/>
        </w:rPr>
        <w:t xml:space="preserve">in.  </w:t>
      </w:r>
    </w:p>
    <w:p w:rsidR="00A1466F" w:rsidRPr="00405619" w:rsidRDefault="00A1466F" w:rsidP="00A1466F">
      <w:pPr>
        <w:rPr>
          <w:color w:val="000000" w:themeColor="text1"/>
        </w:rPr>
      </w:pPr>
    </w:p>
    <w:p w:rsidR="00A1466F" w:rsidRPr="00405619" w:rsidRDefault="00A1466F" w:rsidP="00E236BE">
      <w:pPr>
        <w:pStyle w:val="ExhibitB2"/>
        <w:keepNext w:val="0"/>
        <w:numPr>
          <w:ilvl w:val="1"/>
          <w:numId w:val="23"/>
        </w:numPr>
        <w:rPr>
          <w:color w:val="000000" w:themeColor="text1"/>
        </w:rPr>
      </w:pPr>
      <w:r w:rsidRPr="00405619">
        <w:rPr>
          <w:color w:val="000000" w:themeColor="text1"/>
        </w:rPr>
        <w:t xml:space="preserve">The possible terms of this </w:t>
      </w:r>
      <w:r w:rsidR="0000610E">
        <w:rPr>
          <w:color w:val="000000" w:themeColor="text1"/>
        </w:rPr>
        <w:t>A</w:t>
      </w:r>
      <w:r w:rsidRPr="00405619">
        <w:rPr>
          <w:color w:val="000000" w:themeColor="text1"/>
        </w:rPr>
        <w:t xml:space="preserve">greement are defined as follows: </w:t>
      </w:r>
    </w:p>
    <w:p w:rsidR="00A1466F" w:rsidRPr="00405619" w:rsidRDefault="00A1466F" w:rsidP="00A1466F">
      <w:pPr>
        <w:rPr>
          <w:color w:val="000000" w:themeColor="text1"/>
        </w:rPr>
      </w:pPr>
    </w:p>
    <w:p w:rsidR="00A1466F" w:rsidRPr="00405619" w:rsidRDefault="006A02F1" w:rsidP="00E236BE">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March</w:t>
      </w:r>
      <w:r w:rsidR="00A1466F" w:rsidRPr="00405619">
        <w:rPr>
          <w:color w:val="000000" w:themeColor="text1"/>
        </w:rPr>
        <w:t xml:space="preserve"> 1, 201</w:t>
      </w:r>
      <w:r w:rsidR="0000610E">
        <w:rPr>
          <w:color w:val="000000" w:themeColor="text1"/>
        </w:rPr>
        <w:t>4</w:t>
      </w:r>
      <w:r w:rsidR="00A1466F" w:rsidRPr="00405619">
        <w:rPr>
          <w:b/>
          <w:color w:val="000000" w:themeColor="text1"/>
        </w:rPr>
        <w:t xml:space="preserve"> </w:t>
      </w:r>
      <w:r w:rsidR="00A1466F" w:rsidRPr="00405619">
        <w:rPr>
          <w:color w:val="000000" w:themeColor="text1"/>
        </w:rPr>
        <w:t xml:space="preserve">through </w:t>
      </w:r>
      <w:r>
        <w:rPr>
          <w:color w:val="000000" w:themeColor="text1"/>
        </w:rPr>
        <w:t>February 28</w:t>
      </w:r>
      <w:r w:rsidR="0000610E">
        <w:rPr>
          <w:color w:val="000000" w:themeColor="text1"/>
        </w:rPr>
        <w:t>, 2015</w:t>
      </w:r>
      <w:r w:rsidR="00A1466F" w:rsidRPr="00405619">
        <w:rPr>
          <w:color w:val="000000" w:themeColor="text1"/>
        </w:rPr>
        <w:t xml:space="preserve"> shall also be identified as the “</w:t>
      </w:r>
      <w:r w:rsidR="00A1466F" w:rsidRPr="00405619">
        <w:rPr>
          <w:b/>
          <w:color w:val="000000" w:themeColor="text1"/>
        </w:rPr>
        <w:t>Initial Term</w:t>
      </w:r>
      <w:r w:rsidR="00A1466F" w:rsidRPr="00405619">
        <w:rPr>
          <w:color w:val="000000" w:themeColor="text1"/>
        </w:rPr>
        <w:t>.”</w:t>
      </w:r>
    </w:p>
    <w:p w:rsidR="00A1466F" w:rsidRPr="00405619" w:rsidRDefault="006A02F1" w:rsidP="00E236BE">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March</w:t>
      </w:r>
      <w:r w:rsidR="0000610E">
        <w:rPr>
          <w:color w:val="000000" w:themeColor="text1"/>
        </w:rPr>
        <w:t xml:space="preserve"> 1, </w:t>
      </w:r>
      <w:r w:rsidR="00A1466F" w:rsidRPr="00405619">
        <w:rPr>
          <w:color w:val="000000" w:themeColor="text1"/>
        </w:rPr>
        <w:t>201</w:t>
      </w:r>
      <w:r w:rsidR="0000610E">
        <w:rPr>
          <w:color w:val="000000" w:themeColor="text1"/>
        </w:rPr>
        <w:t>5</w:t>
      </w:r>
      <w:r w:rsidR="00A1466F" w:rsidRPr="00405619">
        <w:rPr>
          <w:color w:val="000000" w:themeColor="text1"/>
        </w:rPr>
        <w:t xml:space="preserve"> through </w:t>
      </w:r>
      <w:r>
        <w:rPr>
          <w:color w:val="000000" w:themeColor="text1"/>
        </w:rPr>
        <w:t>February 29</w:t>
      </w:r>
      <w:r w:rsidR="0000610E">
        <w:rPr>
          <w:color w:val="000000" w:themeColor="text1"/>
        </w:rPr>
        <w:t>,</w:t>
      </w:r>
      <w:r w:rsidR="00A1466F" w:rsidRPr="00405619">
        <w:rPr>
          <w:color w:val="000000" w:themeColor="text1"/>
        </w:rPr>
        <w:t xml:space="preserve"> 201</w:t>
      </w:r>
      <w:r w:rsidR="0000610E">
        <w:rPr>
          <w:color w:val="000000" w:themeColor="text1"/>
        </w:rPr>
        <w:t>6</w:t>
      </w:r>
      <w:r w:rsidR="00A1466F" w:rsidRPr="00405619">
        <w:rPr>
          <w:color w:val="000000" w:themeColor="text1"/>
        </w:rPr>
        <w:t xml:space="preserve"> shall also be identified as the “</w:t>
      </w:r>
      <w:r w:rsidR="00A1466F" w:rsidRPr="00405619">
        <w:rPr>
          <w:b/>
          <w:color w:val="000000" w:themeColor="text1"/>
        </w:rPr>
        <w:t>First Option Term</w:t>
      </w:r>
      <w:r w:rsidR="00A1466F" w:rsidRPr="00405619">
        <w:rPr>
          <w:color w:val="000000" w:themeColor="text1"/>
        </w:rPr>
        <w:t>.”</w:t>
      </w:r>
    </w:p>
    <w:p w:rsidR="00A1466F" w:rsidRPr="00405619" w:rsidRDefault="006A02F1" w:rsidP="00E236BE">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March</w:t>
      </w:r>
      <w:r w:rsidR="0000610E">
        <w:rPr>
          <w:color w:val="000000" w:themeColor="text1"/>
        </w:rPr>
        <w:t xml:space="preserve"> 1</w:t>
      </w:r>
      <w:r w:rsidR="00A1466F" w:rsidRPr="00405619">
        <w:rPr>
          <w:color w:val="000000" w:themeColor="text1"/>
        </w:rPr>
        <w:t>, 201</w:t>
      </w:r>
      <w:r w:rsidR="0000610E">
        <w:rPr>
          <w:color w:val="000000" w:themeColor="text1"/>
        </w:rPr>
        <w:t>6</w:t>
      </w:r>
      <w:r w:rsidR="00A1466F" w:rsidRPr="00405619">
        <w:rPr>
          <w:color w:val="000000" w:themeColor="text1"/>
        </w:rPr>
        <w:t xml:space="preserve"> through </w:t>
      </w:r>
      <w:r>
        <w:rPr>
          <w:color w:val="000000" w:themeColor="text1"/>
        </w:rPr>
        <w:t>February 28</w:t>
      </w:r>
      <w:r w:rsidR="00A1466F" w:rsidRPr="00405619">
        <w:rPr>
          <w:color w:val="000000" w:themeColor="text1"/>
        </w:rPr>
        <w:t>, 201</w:t>
      </w:r>
      <w:r w:rsidR="0000610E">
        <w:rPr>
          <w:color w:val="000000" w:themeColor="text1"/>
        </w:rPr>
        <w:t>7</w:t>
      </w:r>
      <w:r w:rsidR="00A1466F" w:rsidRPr="00405619">
        <w:rPr>
          <w:color w:val="000000" w:themeColor="text1"/>
        </w:rPr>
        <w:t xml:space="preserve"> shall also be identified as the “</w:t>
      </w:r>
      <w:r w:rsidR="00A1466F" w:rsidRPr="00405619">
        <w:rPr>
          <w:b/>
          <w:color w:val="000000" w:themeColor="text1"/>
        </w:rPr>
        <w:t>Second Option Term</w:t>
      </w:r>
      <w:r w:rsidR="00A1466F" w:rsidRPr="00405619">
        <w:rPr>
          <w:color w:val="000000" w:themeColor="text1"/>
        </w:rPr>
        <w:t>.”</w:t>
      </w:r>
    </w:p>
    <w:p w:rsidR="003F57FE" w:rsidRPr="00554B03" w:rsidRDefault="003F57FE" w:rsidP="00E236BE">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 xml:space="preserve">Proprietary or Confidential Information of the </w:t>
      </w:r>
      <w:r w:rsidR="00B01F4D">
        <w:rPr>
          <w:rFonts w:ascii="Times New Roman Bold" w:hAnsi="Times New Roman Bold"/>
          <w:b/>
          <w:caps/>
          <w:szCs w:val="20"/>
          <w:u w:val="none"/>
        </w:rPr>
        <w:t>Court</w:t>
      </w:r>
    </w:p>
    <w:p w:rsidR="003F57FE" w:rsidRPr="00554B03" w:rsidRDefault="003F57FE" w:rsidP="00E236BE">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E236BE">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E236BE">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E236BE">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C76EBD">
        <w:t>State of California</w:t>
      </w:r>
      <w:r w:rsidRPr="00554B03">
        <w:t xml:space="preserve">,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E236BE">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E236BE">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lastRenderedPageBreak/>
        <w:t>Certifications, Representations and Warranties</w:t>
      </w:r>
      <w:bookmarkEnd w:id="6"/>
    </w:p>
    <w:p w:rsidR="003F57FE" w:rsidRPr="00554B03" w:rsidRDefault="003F57FE" w:rsidP="00E236BE">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C76EBD">
        <w:t>State of California</w:t>
      </w:r>
      <w:r w:rsidRPr="00554B03">
        <w:t xml:space="preserve"> that the following representations and warranties are true and correct as of the Effective Date of this Agreement:</w:t>
      </w:r>
    </w:p>
    <w:p w:rsidR="003F57FE" w:rsidRPr="00554B03" w:rsidRDefault="003F57FE" w:rsidP="00E236BE">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w:t>
      </w:r>
      <w:proofErr w:type="gramStart"/>
      <w:r w:rsidRPr="00554B03">
        <w:t>section 12990 et seq.,</w:t>
      </w:r>
      <w:proofErr w:type="gramEnd"/>
      <w:r w:rsidRPr="00554B03">
        <w:t xml:space="preserve">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094538">
        <w:t>States</w:t>
      </w:r>
      <w:r w:rsidR="00094538" w:rsidRPr="00554B03">
        <w:t xml:space="preserve"> </w:t>
      </w:r>
      <w:r w:rsidRPr="00554B03">
        <w:t>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9490E">
        <w:t>state</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w:t>
      </w:r>
      <w:proofErr w:type="gramStart"/>
      <w:r w:rsidRPr="00554B03">
        <w:rPr>
          <w:bCs/>
        </w:rPr>
        <w:t>87100 et seq.;</w:t>
      </w:r>
      <w:proofErr w:type="gramEnd"/>
      <w:r w:rsidRPr="00554B03">
        <w:rPr>
          <w:bCs/>
        </w:rPr>
        <w:t xml:space="preserve"> or California Rules of </w:t>
      </w:r>
      <w:r w:rsidR="00B01F4D">
        <w:rPr>
          <w:bCs/>
        </w:rPr>
        <w:t>Court</w:t>
      </w:r>
      <w:r w:rsidRPr="00554B03">
        <w:rPr>
          <w:bCs/>
        </w:rPr>
        <w:t xml:space="preserve">, rule 10.103 or </w:t>
      </w:r>
      <w:r w:rsidRPr="00554B03">
        <w:rPr>
          <w:bCs/>
        </w:rPr>
        <w:lastRenderedPageBreak/>
        <w:t xml:space="preserve">10.104, which restrict employees and former employees from contracting with Judicial Branch Entities. </w:t>
      </w:r>
      <w:r w:rsidRPr="00554B03">
        <w:t xml:space="preserve"> </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w:t>
      </w:r>
      <w:proofErr w:type="spellStart"/>
      <w:r w:rsidRPr="00554B03">
        <w:t>unappealable</w:t>
      </w:r>
      <w:proofErr w:type="spellEnd"/>
      <w:r w:rsidRPr="00554B03">
        <w:t xml:space="preserve"> finding of contempt of </w:t>
      </w:r>
      <w:r w:rsidR="00B9490E">
        <w:t>c</w:t>
      </w:r>
      <w:r w:rsidR="00B01F4D">
        <w:t>ourt</w:t>
      </w:r>
      <w:r w:rsidRPr="00554B03">
        <w:t xml:space="preserve"> by a federal </w:t>
      </w:r>
      <w:r w:rsidR="00B9490E">
        <w:t>c</w:t>
      </w:r>
      <w:r w:rsidR="00B01F4D">
        <w:t>ourt</w:t>
      </w:r>
      <w:r w:rsidRPr="00554B03">
        <w:t xml:space="preserve"> has been issued against Contractor within the immediately preceding two-year period because of Contractor's failure to comply with an order of a federal </w:t>
      </w:r>
      <w:r w:rsidR="00B9490E">
        <w:t>c</w:t>
      </w:r>
      <w:r w:rsidR="00B01F4D">
        <w:t>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 xml:space="preserve">Covenant </w:t>
      </w:r>
      <w:proofErr w:type="gramStart"/>
      <w:r w:rsidRPr="00554B03">
        <w:rPr>
          <w:rStyle w:val="StyleExhibitA2UnderlineChar"/>
        </w:rPr>
        <w:t>Against</w:t>
      </w:r>
      <w:proofErr w:type="gramEnd"/>
      <w:r w:rsidRPr="00554B03">
        <w:rPr>
          <w:rStyle w:val="StyleExhibitA2UnderlineChar"/>
        </w:rPr>
        <w:t xml:space="preserve">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C76EBD">
        <w:t>State of California</w:t>
      </w:r>
      <w:r w:rsidRPr="00554B03">
        <w:t xml:space="preserve">. </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094538">
        <w:rPr>
          <w:bCs/>
        </w:rPr>
        <w:t>States</w:t>
      </w:r>
      <w:r w:rsidR="00094538" w:rsidRPr="00554B03">
        <w:rPr>
          <w:bCs/>
        </w:rPr>
        <w:t xml:space="preserve"> </w:t>
      </w:r>
      <w:r w:rsidRPr="00554B03">
        <w:rPr>
          <w:bCs/>
        </w:rPr>
        <w:t>and possess valid proof of work eligibility.</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C76EBD">
        <w:t>Court</w:t>
      </w:r>
      <w:r w:rsidRPr="00554B03">
        <w:t xml:space="preserve">.  (Expatriate corporations are certain foreign incorporated entities that are publicly traded in the United </w:t>
      </w:r>
      <w:r w:rsidR="00094538">
        <w:t>States</w:t>
      </w:r>
      <w:r w:rsidRPr="00554B03">
        <w:t>.  For additional information, see Public Contract Code</w:t>
      </w:r>
      <w:r w:rsidR="000C6FF5" w:rsidRPr="00554B03">
        <w:t>,</w:t>
      </w:r>
      <w:r w:rsidRPr="00554B03">
        <w:t xml:space="preserve"> section 10286.1.)</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E236BE">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w:t>
      </w:r>
      <w:r w:rsidRPr="00554B03">
        <w:lastRenderedPageBreak/>
        <w:t>the same sex, or discriminates between same-sex and different-sex domestic partners of employees or between same-sex and different-sex spouses of employees.</w:t>
      </w:r>
    </w:p>
    <w:p w:rsidR="003F57FE" w:rsidRPr="00554B03" w:rsidRDefault="003F57FE" w:rsidP="00E236BE">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9490E">
        <w:t>state</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E236BE">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E236BE">
      <w:pPr>
        <w:pStyle w:val="ExhibitB1"/>
        <w:keepNext w:val="0"/>
        <w:widowControl w:val="0"/>
        <w:numPr>
          <w:ilvl w:val="1"/>
          <w:numId w:val="22"/>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promptly notify the </w:t>
      </w:r>
      <w:r w:rsidR="00E714F2">
        <w:rPr>
          <w:u w:val="none"/>
        </w:rPr>
        <w:t>Court</w:t>
      </w:r>
      <w:r w:rsidRPr="00554B03">
        <w:rPr>
          <w:u w:val="none"/>
        </w:rPr>
        <w:t xml:space="preserve"> if any representation and warranty becomes untrue.</w:t>
      </w:r>
    </w:p>
    <w:p w:rsidR="009207F7" w:rsidRPr="00554B03" w:rsidRDefault="009207F7" w:rsidP="00E236BE">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E236BE">
      <w:pPr>
        <w:pStyle w:val="ExhibitA1"/>
        <w:numPr>
          <w:ilvl w:val="0"/>
          <w:numId w:val="28"/>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E236BE">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E236BE">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E236BE">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E236BE">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E236BE">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w:t>
      </w:r>
      <w:r w:rsidRPr="00554B03">
        <w:lastRenderedPageBreak/>
        <w:t xml:space="preserve">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E236BE">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E236BE">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9490E">
        <w:t>state</w:t>
      </w:r>
      <w:r w:rsidRPr="00554B03">
        <w:t xml:space="preserve">, and local laws, rules, regulations, rules of </w:t>
      </w:r>
      <w:r w:rsidR="00B9490E">
        <w:t>c</w:t>
      </w:r>
      <w:r w:rsidR="00B01F4D">
        <w:t>ourt</w:t>
      </w:r>
      <w:r w:rsidRPr="00554B03">
        <w:t xml:space="preserve"> and ordinances in any manner affecting the performance of this Agreement, as they may be amended from time to time. </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9490E">
        <w:t>c</w:t>
      </w:r>
      <w:r w:rsidR="00B01F4D">
        <w:t>ourt</w:t>
      </w:r>
      <w:r w:rsidRPr="00554B03">
        <w:t xml:space="preserve">s of the </w:t>
      </w:r>
      <w:r w:rsidR="00C76EBD">
        <w:t>State of California</w:t>
      </w:r>
      <w:r w:rsidRPr="00554B03">
        <w:t xml:space="preserve">,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094538">
        <w:t>States</w:t>
      </w:r>
      <w:r w:rsidR="00094538" w:rsidRPr="00554B03">
        <w:t xml:space="preserve"> </w:t>
      </w:r>
      <w:r w:rsidRPr="00554B03">
        <w:t xml:space="preserve">mail, if mailed by certified or registered </w:t>
      </w:r>
      <w:r w:rsidRPr="00554B03">
        <w:lastRenderedPageBreak/>
        <w:t>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Pr>
          <w:rStyle w:val="StyleExhibitA2UnderlineChar"/>
          <w:u w:val="none"/>
        </w:rPr>
        <w:t>Paula Garcia, Assistant Clerk/Administrator</w:t>
      </w:r>
    </w:p>
    <w:p w:rsidR="006A02F1"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Pr>
          <w:rStyle w:val="StyleExhibitA2UnderlineChar"/>
          <w:u w:val="none"/>
        </w:rPr>
        <w:t>3389 12th Street</w:t>
      </w:r>
    </w:p>
    <w:p w:rsidR="006A02F1"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spacing w:after="200"/>
        <w:ind w:left="2160" w:right="0"/>
        <w:outlineLvl w:val="9"/>
        <w:rPr>
          <w:rStyle w:val="StyleExhibitA2UnderlineChar"/>
          <w:u w:val="none"/>
        </w:rPr>
      </w:pPr>
      <w:r>
        <w:rPr>
          <w:rStyle w:val="StyleExhibitA2UnderlineChar"/>
          <w:u w:val="none"/>
        </w:rPr>
        <w:t>Riverside, CA 92501</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[Contractor name]</w:t>
      </w: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[Attn:]</w:t>
      </w: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E236BE">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E236BE">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E236BE">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Such assignment shall be made and become effective at the time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tenders final payment to the Contractor. (GC 4552)</w:t>
      </w:r>
    </w:p>
    <w:p w:rsidR="009207F7" w:rsidRPr="00554B03" w:rsidRDefault="009207F7" w:rsidP="00E236BE">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w:t>
      </w:r>
      <w:r w:rsidR="00905691">
        <w:rPr>
          <w:rStyle w:val="StyleExhibitA2UnderlineChar"/>
          <w:u w:val="none"/>
        </w:rPr>
        <w:t>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E236BE">
      <w:pPr>
        <w:pStyle w:val="ExhibitA2"/>
        <w:keepNext w:val="0"/>
        <w:widowControl w:val="0"/>
        <w:numPr>
          <w:ilvl w:val="1"/>
          <w:numId w:val="27"/>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lastRenderedPageBreak/>
        <w:t>C</w:t>
      </w:r>
      <w:r w:rsidR="00905691">
        <w:rPr>
          <w:rStyle w:val="StyleExhibitA2UnderlineChar"/>
          <w:u w:val="none"/>
        </w:rPr>
        <w:t>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E236BE" w:rsidRDefault="009207F7" w:rsidP="00E236BE">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sectPr w:rsidR="00720D4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2D" w:rsidRDefault="00FF2B2D" w:rsidP="00DC6DD0">
      <w:r>
        <w:separator/>
      </w:r>
    </w:p>
  </w:endnote>
  <w:endnote w:type="continuationSeparator" w:id="0">
    <w:p w:rsidR="00FF2B2D" w:rsidRDefault="00FF2B2D"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83073F">
              <w:rPr>
                <w:b/>
                <w:sz w:val="24"/>
              </w:rPr>
              <w:fldChar w:fldCharType="begin"/>
            </w:r>
            <w:r>
              <w:rPr>
                <w:b/>
              </w:rPr>
              <w:instrText xml:space="preserve"> PAGE </w:instrText>
            </w:r>
            <w:r w:rsidR="0083073F">
              <w:rPr>
                <w:b/>
                <w:sz w:val="24"/>
              </w:rPr>
              <w:fldChar w:fldCharType="separate"/>
            </w:r>
            <w:r w:rsidR="0073032F">
              <w:rPr>
                <w:b/>
                <w:noProof/>
              </w:rPr>
              <w:t>1</w:t>
            </w:r>
            <w:r w:rsidR="0083073F">
              <w:rPr>
                <w:b/>
                <w:sz w:val="24"/>
              </w:rPr>
              <w:fldChar w:fldCharType="end"/>
            </w:r>
            <w:r>
              <w:t xml:space="preserve"> of </w:t>
            </w:r>
            <w:r w:rsidR="0083073F">
              <w:rPr>
                <w:b/>
                <w:sz w:val="24"/>
              </w:rPr>
              <w:fldChar w:fldCharType="begin"/>
            </w:r>
            <w:r>
              <w:rPr>
                <w:b/>
              </w:rPr>
              <w:instrText xml:space="preserve"> NUMPAGES  </w:instrText>
            </w:r>
            <w:r w:rsidR="0083073F">
              <w:rPr>
                <w:b/>
                <w:sz w:val="24"/>
              </w:rPr>
              <w:fldChar w:fldCharType="separate"/>
            </w:r>
            <w:r w:rsidR="0073032F">
              <w:rPr>
                <w:b/>
                <w:noProof/>
              </w:rPr>
              <w:t>17</w:t>
            </w:r>
            <w:r w:rsidR="0083073F">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2D" w:rsidRDefault="00FF2B2D" w:rsidP="00DC6DD0">
      <w:r>
        <w:separator/>
      </w:r>
    </w:p>
  </w:footnote>
  <w:footnote w:type="continuationSeparator" w:id="0">
    <w:p w:rsidR="00FF2B2D" w:rsidRDefault="00FF2B2D"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95" w:rsidRPr="00EA1135" w:rsidRDefault="00605695" w:rsidP="00605695">
    <w:pPr>
      <w:pStyle w:val="Header"/>
    </w:pPr>
    <w:r w:rsidRPr="00EA1135">
      <w:t xml:space="preserve">RFP Title:  </w:t>
    </w:r>
    <w:r w:rsidR="006A02F1">
      <w:t>Fire Pump and Fire Sprinkler Maintenance</w:t>
    </w:r>
  </w:p>
  <w:p w:rsidR="00605695" w:rsidRPr="00EA1135" w:rsidRDefault="00605695" w:rsidP="00605695">
    <w:pPr>
      <w:pStyle w:val="Header"/>
    </w:pPr>
    <w:r w:rsidRPr="00EA1135">
      <w:t>RFP Number: 4/2 RFP 1</w:t>
    </w:r>
    <w:r>
      <w:t>3</w:t>
    </w:r>
    <w:r w:rsidRPr="00EA1135">
      <w:t>/1</w:t>
    </w:r>
    <w:r>
      <w:t>4</w:t>
    </w:r>
    <w:r w:rsidRPr="00EA1135">
      <w:t>-0</w:t>
    </w:r>
    <w:r w:rsidR="006A02F1">
      <w:t>5</w:t>
    </w:r>
  </w:p>
  <w:p w:rsidR="00E714F2" w:rsidRPr="00310A4E" w:rsidRDefault="00E714F2" w:rsidP="00310A4E">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9">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1">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2">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8">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8">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9">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0"/>
  </w:num>
  <w:num w:numId="2">
    <w:abstractNumId w:val="16"/>
  </w:num>
  <w:num w:numId="3">
    <w:abstractNumId w:val="3"/>
  </w:num>
  <w:num w:numId="4">
    <w:abstractNumId w:val="15"/>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4"/>
  </w:num>
  <w:num w:numId="9">
    <w:abstractNumId w:val="18"/>
  </w:num>
  <w:num w:numId="10">
    <w:abstractNumId w:val="19"/>
  </w:num>
  <w:num w:numId="11">
    <w:abstractNumId w:val="13"/>
  </w:num>
  <w:num w:numId="12">
    <w:abstractNumId w:val="29"/>
  </w:num>
  <w:num w:numId="13">
    <w:abstractNumId w:val="22"/>
  </w:num>
  <w:num w:numId="14">
    <w:abstractNumId w:val="14"/>
  </w:num>
  <w:num w:numId="15">
    <w:abstractNumId w:val="21"/>
  </w:num>
  <w:num w:numId="16">
    <w:abstractNumId w:val="23"/>
  </w:num>
  <w:num w:numId="17">
    <w:abstractNumId w:val="12"/>
  </w:num>
  <w:num w:numId="18">
    <w:abstractNumId w:val="9"/>
  </w:num>
  <w:num w:numId="19">
    <w:abstractNumId w:val="6"/>
  </w:num>
  <w:num w:numId="20">
    <w:abstractNumId w:val="11"/>
  </w:num>
  <w:num w:numId="21">
    <w:abstractNumId w:val="26"/>
  </w:num>
  <w:num w:numId="22">
    <w:abstractNumId w:val="8"/>
  </w:num>
  <w:num w:numId="23">
    <w:abstractNumId w:val="10"/>
  </w:num>
  <w:num w:numId="24">
    <w:abstractNumId w:val="2"/>
  </w:num>
  <w:num w:numId="25">
    <w:abstractNumId w:val="1"/>
  </w:num>
  <w:num w:numId="26">
    <w:abstractNumId w:val="27"/>
  </w:num>
  <w:num w:numId="27">
    <w:abstractNumId w:val="5"/>
  </w:num>
  <w:num w:numId="28">
    <w:abstractNumId w:val="0"/>
  </w:num>
  <w:num w:numId="29">
    <w:abstractNumId w:val="28"/>
  </w:num>
  <w:num w:numId="30">
    <w:abstractNumId w:val="7"/>
  </w:num>
  <w:num w:numId="31">
    <w:abstractNumId w:val="25"/>
  </w:num>
  <w:num w:numId="32">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ocumentProtection w:edit="readOnly" w:enforcement="1" w:cryptProviderType="rsaFull" w:cryptAlgorithmClass="hash" w:cryptAlgorithmType="typeAny" w:cryptAlgorithmSid="4" w:cryptSpinCount="100000" w:hash="sjlxM6hbSZjpoULWW/Pi942I0Q4=" w:salt="ihrAhxe6Pq/ZM7RRHwaUcA=="/>
  <w:defaultTabStop w:val="720"/>
  <w:drawingGridHorizontalSpacing w:val="120"/>
  <w:displayHorizontalDrawingGridEvery w:val="2"/>
  <w:displayVerticalDrawingGridEvery w:val="2"/>
  <w:characterSpacingControl w:val="doNotCompress"/>
  <w:hdrShapeDefaults>
    <o:shapedefaults v:ext="edit" spidmax="86018"/>
  </w:hdrShapeDefaults>
  <w:footnotePr>
    <w:footnote w:id="-1"/>
    <w:footnote w:id="0"/>
  </w:footnotePr>
  <w:endnotePr>
    <w:endnote w:id="-1"/>
    <w:endnote w:id="0"/>
  </w:endnotePr>
  <w:compat/>
  <w:rsids>
    <w:rsidRoot w:val="00DC6DD0"/>
    <w:rsid w:val="0000610E"/>
    <w:rsid w:val="00062F60"/>
    <w:rsid w:val="00067534"/>
    <w:rsid w:val="000676D1"/>
    <w:rsid w:val="00090CF5"/>
    <w:rsid w:val="00094538"/>
    <w:rsid w:val="000A4AE4"/>
    <w:rsid w:val="000A6839"/>
    <w:rsid w:val="000A7E13"/>
    <w:rsid w:val="000C6FF5"/>
    <w:rsid w:val="000C7C51"/>
    <w:rsid w:val="000E046B"/>
    <w:rsid w:val="001028D5"/>
    <w:rsid w:val="00106331"/>
    <w:rsid w:val="001227FD"/>
    <w:rsid w:val="00145FD8"/>
    <w:rsid w:val="001529BE"/>
    <w:rsid w:val="00164AAB"/>
    <w:rsid w:val="00166984"/>
    <w:rsid w:val="00171F1E"/>
    <w:rsid w:val="001F4686"/>
    <w:rsid w:val="001F4DE9"/>
    <w:rsid w:val="002006A3"/>
    <w:rsid w:val="00200D81"/>
    <w:rsid w:val="002C6405"/>
    <w:rsid w:val="002E564D"/>
    <w:rsid w:val="002F4363"/>
    <w:rsid w:val="002F56C5"/>
    <w:rsid w:val="00304F11"/>
    <w:rsid w:val="00310470"/>
    <w:rsid w:val="00310A4E"/>
    <w:rsid w:val="00320EE0"/>
    <w:rsid w:val="00325933"/>
    <w:rsid w:val="00326002"/>
    <w:rsid w:val="00335364"/>
    <w:rsid w:val="00336153"/>
    <w:rsid w:val="00337A35"/>
    <w:rsid w:val="0034134D"/>
    <w:rsid w:val="0035437E"/>
    <w:rsid w:val="00367666"/>
    <w:rsid w:val="003B5E82"/>
    <w:rsid w:val="003C4DC8"/>
    <w:rsid w:val="003F57FE"/>
    <w:rsid w:val="00432FB6"/>
    <w:rsid w:val="0043387D"/>
    <w:rsid w:val="00450024"/>
    <w:rsid w:val="00460377"/>
    <w:rsid w:val="00476ADE"/>
    <w:rsid w:val="004A0F82"/>
    <w:rsid w:val="004A60FB"/>
    <w:rsid w:val="004B244B"/>
    <w:rsid w:val="005023CB"/>
    <w:rsid w:val="00530649"/>
    <w:rsid w:val="00532FF4"/>
    <w:rsid w:val="0054162B"/>
    <w:rsid w:val="00545797"/>
    <w:rsid w:val="00546E86"/>
    <w:rsid w:val="00554B03"/>
    <w:rsid w:val="005A141D"/>
    <w:rsid w:val="005A163A"/>
    <w:rsid w:val="005B0CD1"/>
    <w:rsid w:val="005D0891"/>
    <w:rsid w:val="005D7105"/>
    <w:rsid w:val="005F6CF9"/>
    <w:rsid w:val="005F7D1E"/>
    <w:rsid w:val="006000B8"/>
    <w:rsid w:val="00605695"/>
    <w:rsid w:val="006168ED"/>
    <w:rsid w:val="006423B1"/>
    <w:rsid w:val="00646621"/>
    <w:rsid w:val="0067363E"/>
    <w:rsid w:val="006A02F1"/>
    <w:rsid w:val="006A5A98"/>
    <w:rsid w:val="006B7972"/>
    <w:rsid w:val="006C1278"/>
    <w:rsid w:val="00700A26"/>
    <w:rsid w:val="00720D4E"/>
    <w:rsid w:val="007238AD"/>
    <w:rsid w:val="0073032F"/>
    <w:rsid w:val="007711F0"/>
    <w:rsid w:val="007B3C78"/>
    <w:rsid w:val="007E3F96"/>
    <w:rsid w:val="00807154"/>
    <w:rsid w:val="00807B93"/>
    <w:rsid w:val="00816F84"/>
    <w:rsid w:val="0083073F"/>
    <w:rsid w:val="00832954"/>
    <w:rsid w:val="008342A4"/>
    <w:rsid w:val="00887FAD"/>
    <w:rsid w:val="00896884"/>
    <w:rsid w:val="008A0495"/>
    <w:rsid w:val="008A3B3E"/>
    <w:rsid w:val="008E462C"/>
    <w:rsid w:val="008F1613"/>
    <w:rsid w:val="008F1D86"/>
    <w:rsid w:val="008F629F"/>
    <w:rsid w:val="00905691"/>
    <w:rsid w:val="009207F7"/>
    <w:rsid w:val="00926AD7"/>
    <w:rsid w:val="009348C1"/>
    <w:rsid w:val="00963FCA"/>
    <w:rsid w:val="00975A9B"/>
    <w:rsid w:val="009C1055"/>
    <w:rsid w:val="009E1296"/>
    <w:rsid w:val="00A02D7E"/>
    <w:rsid w:val="00A1466F"/>
    <w:rsid w:val="00A25E68"/>
    <w:rsid w:val="00A71878"/>
    <w:rsid w:val="00A76A67"/>
    <w:rsid w:val="00A90733"/>
    <w:rsid w:val="00AC01F8"/>
    <w:rsid w:val="00AC4C56"/>
    <w:rsid w:val="00B01F4D"/>
    <w:rsid w:val="00B349EF"/>
    <w:rsid w:val="00B35226"/>
    <w:rsid w:val="00B80E6B"/>
    <w:rsid w:val="00B86620"/>
    <w:rsid w:val="00B9490E"/>
    <w:rsid w:val="00BD1985"/>
    <w:rsid w:val="00BF0ACD"/>
    <w:rsid w:val="00C13F31"/>
    <w:rsid w:val="00C14702"/>
    <w:rsid w:val="00C76EBD"/>
    <w:rsid w:val="00CA30CA"/>
    <w:rsid w:val="00CA376A"/>
    <w:rsid w:val="00CF6928"/>
    <w:rsid w:val="00D0215B"/>
    <w:rsid w:val="00D127FF"/>
    <w:rsid w:val="00D21BED"/>
    <w:rsid w:val="00DC5988"/>
    <w:rsid w:val="00DC6DD0"/>
    <w:rsid w:val="00DF6714"/>
    <w:rsid w:val="00E04A31"/>
    <w:rsid w:val="00E236BE"/>
    <w:rsid w:val="00E26BF1"/>
    <w:rsid w:val="00E371BD"/>
    <w:rsid w:val="00E40F30"/>
    <w:rsid w:val="00E44862"/>
    <w:rsid w:val="00E714F2"/>
    <w:rsid w:val="00E8262A"/>
    <w:rsid w:val="00ED6A37"/>
    <w:rsid w:val="00EF72FA"/>
    <w:rsid w:val="00F03283"/>
    <w:rsid w:val="00F21A9D"/>
    <w:rsid w:val="00F60663"/>
    <w:rsid w:val="00F6126D"/>
    <w:rsid w:val="00F667DE"/>
    <w:rsid w:val="00F773F1"/>
    <w:rsid w:val="00F81883"/>
    <w:rsid w:val="00F832CF"/>
    <w:rsid w:val="00FF29E7"/>
    <w:rsid w:val="00FF2B2D"/>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0"/>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0"/>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7"/>
      </w:numPr>
    </w:pPr>
    <w:rPr>
      <w:caps/>
      <w:u w:val="single"/>
    </w:rPr>
  </w:style>
  <w:style w:type="paragraph" w:customStyle="1" w:styleId="RFPa0">
    <w:name w:val="RFP(a)"/>
    <w:basedOn w:val="Normal"/>
    <w:rsid w:val="002006A3"/>
    <w:pPr>
      <w:numPr>
        <w:ilvl w:val="3"/>
        <w:numId w:val="7"/>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0"/>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3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679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C36E-6E81-448F-8C87-49A3724A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6765</Words>
  <Characters>38566</Characters>
  <Application>Microsoft Office Word</Application>
  <DocSecurity>8</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9</cp:revision>
  <cp:lastPrinted>2014-01-22T18:20:00Z</cp:lastPrinted>
  <dcterms:created xsi:type="dcterms:W3CDTF">2014-01-22T00:09:00Z</dcterms:created>
  <dcterms:modified xsi:type="dcterms:W3CDTF">2014-01-22T18:21:00Z</dcterms:modified>
</cp:coreProperties>
</file>