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E714F2" w:rsidP="00E714F2">
      <w:pPr>
        <w:pStyle w:val="Heading10"/>
        <w:keepNext w:val="0"/>
        <w:ind w:right="288"/>
        <w:rPr>
          <w:sz w:val="26"/>
          <w:szCs w:val="26"/>
        </w:rPr>
      </w:pPr>
      <w:r>
        <w:rPr>
          <w:sz w:val="26"/>
          <w:szCs w:val="26"/>
        </w:rPr>
        <w:t>ATTACHMENT</w:t>
      </w:r>
      <w:r w:rsidR="00DC6DD0" w:rsidRPr="00554B03">
        <w:rPr>
          <w:sz w:val="26"/>
          <w:szCs w:val="26"/>
        </w:rPr>
        <w:t xml:space="preserve"> - contract terms</w:t>
      </w:r>
      <w:r w:rsidR="004A60FB" w:rsidRPr="00554B03">
        <w:rPr>
          <w:sz w:val="26"/>
          <w:szCs w:val="26"/>
        </w:rPr>
        <w:t xml:space="preserve"> AND CONDITIONS</w:t>
      </w:r>
    </w:p>
    <w:p w:rsidR="00DC6DD0" w:rsidRPr="00554B03" w:rsidRDefault="00B01F4D" w:rsidP="00E714F2">
      <w:pPr>
        <w:pStyle w:val="Heading10"/>
        <w:keepNext w:val="0"/>
        <w:ind w:right="288"/>
        <w:rPr>
          <w:caps w:val="0"/>
          <w:sz w:val="26"/>
          <w:szCs w:val="26"/>
        </w:rPr>
      </w:pPr>
      <w:r>
        <w:rPr>
          <w:sz w:val="26"/>
          <w:szCs w:val="26"/>
        </w:rPr>
        <w:t>COURT</w:t>
      </w:r>
      <w:r w:rsidR="00DC6DD0" w:rsidRPr="00554B03">
        <w:rPr>
          <w:sz w:val="26"/>
          <w:szCs w:val="26"/>
        </w:rPr>
        <w:t xml:space="preserve">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E714F2">
      <w:pPr>
        <w:pStyle w:val="Heading10"/>
        <w:keepNext w:val="0"/>
        <w:ind w:right="288"/>
        <w:rPr>
          <w:sz w:val="26"/>
          <w:szCs w:val="26"/>
        </w:rPr>
      </w:pPr>
      <w:r w:rsidRPr="00554B03">
        <w:rPr>
          <w:sz w:val="26"/>
          <w:szCs w:val="26"/>
        </w:rPr>
        <w:t>(Non-IT SERVICES)</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w:t>
      </w:r>
      <w:r w:rsidR="00B01F4D">
        <w:t>Court</w:t>
      </w:r>
      <w:r w:rsidRPr="00554B03">
        <w:t xml:space="preserv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 xml:space="preserve">The Contractor and the agents and employees of the Contractor, in the performance of this Agreement, shall act in an independent capacity and not as officers or employees or agents of the </w:t>
      </w:r>
      <w:r w:rsidR="00B01F4D">
        <w:t>Court</w:t>
      </w:r>
      <w:r w:rsidRPr="00554B03">
        <w:t xml:space="preserv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 xml:space="preserve">Pursuant to this provision, the </w:t>
      </w:r>
      <w:r w:rsidR="00B01F4D">
        <w:rPr>
          <w:szCs w:val="24"/>
        </w:rPr>
        <w:t>Court</w:t>
      </w:r>
      <w:r w:rsidRPr="00554B03">
        <w:rPr>
          <w:szCs w:val="24"/>
        </w:rPr>
        <w:t xml:space="preserv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w:t>
      </w:r>
      <w:r w:rsidR="00B01F4D">
        <w:rPr>
          <w:szCs w:val="24"/>
        </w:rPr>
        <w:t>Court</w:t>
      </w:r>
      <w:r w:rsidRPr="00554B03">
        <w:rPr>
          <w:szCs w:val="24"/>
        </w:rPr>
        <w:t xml:space="preserv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w:t>
      </w:r>
      <w:r w:rsidR="00B01F4D">
        <w:rPr>
          <w:szCs w:val="24"/>
        </w:rPr>
        <w:t>Court</w:t>
      </w:r>
      <w:r w:rsidRPr="00554B03">
        <w:rPr>
          <w:szCs w:val="24"/>
        </w:rPr>
        <w:t xml:space="preserv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In the event the </w:t>
      </w:r>
      <w:r w:rsidR="00B01F4D">
        <w:rPr>
          <w:szCs w:val="24"/>
        </w:rPr>
        <w:t>Court</w:t>
      </w:r>
      <w:r w:rsidRPr="00554B03">
        <w:rPr>
          <w:szCs w:val="24"/>
        </w:rPr>
        <w:t xml:space="preserve"> terminates this Agreement in whole or in part, due to the Contractor’s failure to perform, the </w:t>
      </w:r>
      <w:r w:rsidR="00B01F4D">
        <w:rPr>
          <w:szCs w:val="24"/>
        </w:rPr>
        <w:t>Court</w:t>
      </w:r>
      <w:r w:rsidRPr="00554B03">
        <w:rPr>
          <w:szCs w:val="24"/>
        </w:rPr>
        <w:t xml:space="preserve"> may procure, upon such terms and in such manner as it may deem appropriate, supplies or services similar to those so terminated, and the Contractor shall be liable to the </w:t>
      </w:r>
      <w:r w:rsidR="00B01F4D">
        <w:rPr>
          <w:szCs w:val="24"/>
        </w:rPr>
        <w:t>Court</w:t>
      </w:r>
      <w:r w:rsidRPr="00554B03">
        <w:rPr>
          <w:szCs w:val="24"/>
        </w:rPr>
        <w:t xml:space="preserv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 xml:space="preserve">Without the written consent of the </w:t>
      </w:r>
      <w:r w:rsidR="00B01F4D">
        <w:t>Court</w:t>
      </w:r>
      <w:r w:rsidRPr="00554B03">
        <w:t>,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w:t>
      </w:r>
      <w:r w:rsidR="00B01F4D">
        <w:t>Court</w:t>
      </w:r>
      <w:r w:rsidRPr="00554B03">
        <w:t xml:space="preserv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w:t>
      </w:r>
      <w:r w:rsidR="00B01F4D">
        <w:t>Court</w:t>
      </w:r>
      <w:r w:rsidRPr="00554B03">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xml:space="preserve">” constitute the entire integrated agreement between the </w:t>
      </w:r>
      <w:r w:rsidR="00B01F4D">
        <w:t>Court</w:t>
      </w:r>
      <w:r w:rsidRPr="00554B03">
        <w:t xml:space="preserve"> and the Contractor, as attached to and incorporated by a fully executed </w:t>
      </w:r>
      <w:r w:rsidR="00B01F4D">
        <w:t>Court</w:t>
      </w:r>
      <w:r w:rsidRPr="00554B03">
        <w:t xml:space="preserv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xml:space="preserve">” means the total amount encumbered under this Agreement for any payment by the </w:t>
      </w:r>
      <w:r w:rsidR="00B01F4D">
        <w:t>COURT</w:t>
      </w:r>
      <w:r w:rsidRPr="00554B03">
        <w:t xml:space="preserve">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xml:space="preserve">” means the individual, association, partnership, firm, company, consultant, corporation, affiliates, or combination thereof, including joint ventures, contracting with the </w:t>
      </w:r>
      <w:r w:rsidR="00B01F4D">
        <w:t>Court</w:t>
      </w:r>
      <w:r w:rsidRPr="00554B03">
        <w:t xml:space="preserv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00B01F4D">
        <w:rPr>
          <w:b/>
        </w:rPr>
        <w:t>Court</w:t>
      </w:r>
      <w:r w:rsidRPr="00554B03">
        <w:t xml:space="preserve">” means the </w:t>
      </w:r>
      <w:r w:rsidR="00B01F4D">
        <w:t>Court of Appeal, Fourth Appellate District</w:t>
      </w:r>
      <w:r w:rsidR="00E714F2">
        <w:t>, Division</w:t>
      </w:r>
      <w:r w:rsidR="00B01F4D">
        <w:t xml:space="preserve"> Three</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xml:space="preserve">” means a delay which impacts the timely performance of Work which neither the Contractor nor the </w:t>
      </w:r>
      <w:r w:rsidR="00B01F4D">
        <w:t>Court</w:t>
      </w:r>
      <w:r w:rsidRPr="00554B03">
        <w:t xml:space="preserv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B01F4D" w:rsidP="00DC6DD0">
      <w:pPr>
        <w:pStyle w:val="ExhibitB2"/>
        <w:keepNext w:val="0"/>
        <w:widowControl w:val="0"/>
        <w:tabs>
          <w:tab w:val="clear" w:pos="1368"/>
          <w:tab w:val="num" w:pos="738"/>
          <w:tab w:val="num" w:pos="1350"/>
          <w:tab w:val="num" w:pos="1458"/>
        </w:tabs>
        <w:ind w:left="1440" w:right="252" w:hanging="720"/>
        <w:jc w:val="both"/>
      </w:pPr>
      <w:r w:rsidRPr="00554B03">
        <w:t xml:space="preserve"> </w:t>
      </w:r>
      <w:r w:rsidR="00DC6DD0" w:rsidRPr="00554B03">
        <w:t>“</w:t>
      </w:r>
      <w:r w:rsidR="00DC6DD0" w:rsidRPr="00554B03">
        <w:rPr>
          <w:b/>
        </w:rPr>
        <w:t>Standard Agreement Coversheet</w:t>
      </w:r>
      <w:r w:rsidR="00DC6DD0" w:rsidRPr="00554B03">
        <w:t xml:space="preserve">” refers to the form used by the </w:t>
      </w:r>
      <w:r>
        <w:t>Court</w:t>
      </w:r>
      <w:r w:rsidR="00DC6DD0" w:rsidRPr="00554B03">
        <w:t xml:space="preserve"> to enter into agreements with other parties.  Several originally signed, fully executed versions of the Standard Agreement Coversheet, together with the integrated Contract Documents, shall each represent the Agreement as an individual “</w:t>
      </w:r>
      <w:r w:rsidR="00DC6DD0" w:rsidRPr="00554B03">
        <w:rPr>
          <w:bCs/>
        </w:rPr>
        <w:t>Contract Counterpart</w:t>
      </w:r>
      <w:r w:rsidR="00DC6DD0"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xml:space="preserve">” refers to the form used by the </w:t>
      </w:r>
      <w:r w:rsidR="00B01F4D">
        <w:t>Court</w:t>
      </w:r>
      <w:r w:rsidRPr="00554B03">
        <w:t xml:space="preserve">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lastRenderedPageBreak/>
        <w:t>“</w:t>
      </w:r>
      <w:r w:rsidR="00B01F4D">
        <w:rPr>
          <w:b/>
        </w:rPr>
        <w:t>Court</w:t>
      </w:r>
      <w:r w:rsidRPr="00554B03">
        <w:rPr>
          <w:b/>
        </w:rPr>
        <w:t>”</w:t>
      </w:r>
      <w:r w:rsidRPr="00554B03">
        <w:t xml:space="preserve"> as used in this Agreement refers to the </w:t>
      </w:r>
      <w:r w:rsidR="00B01F4D">
        <w:t>Court</w:t>
      </w:r>
      <w:r w:rsidRPr="00554B03">
        <w:t xml:space="preserve"> of California acting through the Judicial Council of California, Administ</w:t>
      </w:r>
      <w:r w:rsidR="00832954" w:rsidRPr="00554B03">
        <w:t>r</w:t>
      </w:r>
      <w:r w:rsidRPr="00554B03">
        <w:t>ative Office o</w:t>
      </w:r>
      <w:r w:rsidR="00832954" w:rsidRPr="00554B03">
        <w:t>f</w:t>
      </w:r>
      <w:r w:rsidRPr="00554B03">
        <w:t xml:space="preserve"> the </w:t>
      </w:r>
      <w:r w:rsidR="00B01F4D">
        <w:t>Court</w:t>
      </w:r>
      <w:r w:rsidRPr="00554B03">
        <w:t>s</w:t>
      </w:r>
      <w:r w:rsidR="00832954" w:rsidRPr="00554B03">
        <w:t xml:space="preserve"> (which may also be referred to as the </w:t>
      </w:r>
      <w:r w:rsidR="00B01F4D">
        <w:t>Court</w:t>
      </w:r>
      <w:r w:rsidR="00832954" w:rsidRPr="00554B03">
        <w:t>)</w:t>
      </w:r>
      <w:r w:rsidR="00E04A31" w:rsidRPr="00554B03">
        <w:t>.</w:t>
      </w:r>
    </w:p>
    <w:p w:rsidR="006000B8" w:rsidRPr="00554B03" w:rsidRDefault="006000B8" w:rsidP="006000B8">
      <w:pPr>
        <w:pStyle w:val="ListParagraph"/>
      </w:pPr>
    </w:p>
    <w:p w:rsidR="00DC6DD0"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w:t>
      </w:r>
      <w:r w:rsidR="00B01F4D">
        <w:t>Court</w:t>
      </w:r>
      <w:r w:rsidRPr="00554B03">
        <w:t xml:space="preserve"> refers to Subcontractor(s) in this document, for purposes of this Agreement and unless otherwise expressly </w:t>
      </w:r>
      <w:r w:rsidR="00B01F4D">
        <w:t>Court</w:t>
      </w:r>
      <w:r w:rsidRPr="00554B03">
        <w:t>, the term “Subcontractor” includes, at every level and/or tier, all subcontractors, sub-consultants, suppliers, and material</w:t>
      </w:r>
      <w:r w:rsidR="00B01F4D">
        <w:t xml:space="preserve"> </w:t>
      </w:r>
      <w:r w:rsidRPr="00554B03">
        <w:t>men.</w:t>
      </w:r>
    </w:p>
    <w:p w:rsidR="005143C4" w:rsidRDefault="005143C4" w:rsidP="005143C4">
      <w:pPr>
        <w:pStyle w:val="ListParagraph"/>
      </w:pPr>
    </w:p>
    <w:p w:rsidR="005143C4" w:rsidRPr="00A81123" w:rsidRDefault="005143C4" w:rsidP="00DC6DD0">
      <w:pPr>
        <w:pStyle w:val="ExhibitB2"/>
        <w:keepNext w:val="0"/>
        <w:tabs>
          <w:tab w:val="clear" w:pos="1368"/>
          <w:tab w:val="num" w:pos="738"/>
          <w:tab w:val="num" w:pos="1350"/>
          <w:tab w:val="num" w:pos="1458"/>
        </w:tabs>
        <w:ind w:left="1440" w:right="252" w:hanging="720"/>
        <w:jc w:val="both"/>
      </w:pPr>
      <w:r>
        <w:t>“</w:t>
      </w:r>
      <w:r>
        <w:rPr>
          <w:b/>
          <w:bCs/>
        </w:rPr>
        <w:t>Term</w:t>
      </w:r>
      <w:r>
        <w:t>” refers to the period defined by a beginning date and an end date, in accordance with the terms and conditions set forth in the Agreement, during which the Contactor is authorized to provide the Contract Work.  The possible Terms of the Agreement are described further in this Exhibit’</w:t>
      </w:r>
      <w:r w:rsidRPr="00A81123">
        <w:t xml:space="preserve">s paragraph </w:t>
      </w:r>
      <w:r w:rsidR="00A81123" w:rsidRPr="00A81123">
        <w:t>24</w:t>
      </w:r>
      <w:r w:rsidRPr="00A81123">
        <w:t>, Agreement Term(s) and Options to Renew.</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xml:space="preserve">” refers to any individual, association, partnership, firm, company, corporation, consultant, Subcontractor, or combination thereof, including joint ventures, other than the </w:t>
      </w:r>
      <w:r w:rsidR="00B01F4D">
        <w:t>Court</w:t>
      </w:r>
      <w:r w:rsidRPr="00554B03">
        <w:t xml:space="preserv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 xml:space="preserve">Determined items, set forth herein, shall be determined prior to award or by mutual agreement between the Contractor and the </w:t>
      </w:r>
      <w:r w:rsidR="00B01F4D">
        <w:t>Court</w:t>
      </w:r>
      <w:r w:rsidRPr="00554B03">
        <w:t xml:space="preserv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xml:space="preserve">” may be used interchangeably to refer to the service, labor, Materials, Data, and other items necessary for the execution, completion and fulfillment of the Agreement by the Contractor to the satisfaction of the </w:t>
      </w:r>
      <w:r w:rsidR="00B01F4D">
        <w:t>Court</w:t>
      </w:r>
      <w:r w:rsidRPr="00554B03">
        <w:t>.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w:t>
      </w:r>
      <w:r w:rsidR="00B01F4D">
        <w:t>Court</w:t>
      </w:r>
      <w:r w:rsidRPr="00554B03">
        <w:t xml:space="preserve"> or the </w:t>
      </w:r>
      <w:r w:rsidR="00B01F4D">
        <w:t>Court</w:t>
      </w:r>
      <w:r w:rsidRPr="00554B03">
        <w:t xml:space="preserve">, and is not covered by any employee benefit plans provided to </w:t>
      </w:r>
      <w:r w:rsidR="00B01F4D">
        <w:t>Court</w:t>
      </w:r>
      <w:r w:rsidRPr="00554B03">
        <w:t xml:space="preserve"> employees or </w:t>
      </w:r>
      <w:r w:rsidR="00B01F4D">
        <w:t>Court</w:t>
      </w:r>
      <w:r w:rsidRPr="00554B03">
        <w:t xml:space="preserve"> employees.  Contractor is liable for the acts and omissions of itself, its employees, its Subcontractors and its agents.  Nothing in this Agreement shall be construed as creating an employment or agency relationship between the </w:t>
      </w:r>
      <w:r w:rsidR="00B01F4D">
        <w:t>Court</w:t>
      </w:r>
      <w:r w:rsidRPr="00554B03">
        <w:t xml:space="preserve">, or the </w:t>
      </w:r>
      <w:r w:rsidR="00B01F4D">
        <w:t>Court</w:t>
      </w:r>
      <w:r w:rsidRPr="00554B03">
        <w:t xml:space="preserve">,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w:t>
      </w:r>
      <w:r w:rsidRPr="00554B03">
        <w:lastRenderedPageBreak/>
        <w:t>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w:t>
      </w:r>
      <w:r w:rsidR="00B01F4D">
        <w:t>Court</w:t>
      </w:r>
      <w:r w:rsidRPr="00554B03">
        <w: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w:t>
      </w:r>
      <w:r w:rsidR="00B01F4D">
        <w:t>Court</w:t>
      </w:r>
      <w:r w:rsidRPr="00554B03">
        <w:t xml:space="preserve">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Adhere to the </w:t>
      </w:r>
      <w:r w:rsidR="00B01F4D">
        <w:t>Court</w:t>
      </w:r>
      <w:r w:rsidRPr="00554B03">
        <w:t xml:space="preserve"> Bar Act and the California Rules of Professional Conduct relative to the provision of the Services.</w:t>
      </w:r>
    </w:p>
    <w:p w:rsidR="002006A3" w:rsidRPr="00554B03" w:rsidRDefault="00B01F4D"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Pr>
          <w:rFonts w:ascii="Times New Roman Bold" w:hAnsi="Times New Roman Bold"/>
          <w:b/>
          <w:caps/>
          <w:szCs w:val="20"/>
          <w:u w:val="none"/>
        </w:rPr>
        <w:t>COURT</w:t>
      </w:r>
      <w:r w:rsidR="002006A3" w:rsidRPr="00554B03">
        <w:rPr>
          <w:rFonts w:ascii="Times New Roman Bold" w:hAnsi="Times New Roman Bold"/>
          <w:b/>
          <w:caps/>
          <w:szCs w:val="20"/>
          <w:u w:val="none"/>
        </w:rPr>
        <w:t>’s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 xml:space="preserve">The </w:t>
      </w:r>
      <w:r w:rsidR="00B01F4D">
        <w:t>Court</w:t>
      </w:r>
      <w:r w:rsidRPr="00554B03">
        <w:t xml:space="preserve">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may perform annual peer, client and judicial officer evaluation of attorneys, including attorneys providing services on a subcontracting basis.  Contractor agrees to participate in the evaluation process by providing information requested by the </w:t>
      </w:r>
      <w:r w:rsidR="00B01F4D">
        <w:t>Court</w:t>
      </w:r>
      <w:r w:rsidRPr="00554B03">
        <w:t xml:space="preserve">, including completion and return of peer evaluation forms to the </w:t>
      </w:r>
      <w:r w:rsidR="00B01F4D">
        <w:t>Court</w:t>
      </w:r>
      <w:r w:rsidRPr="00554B03">
        <w:t xml:space="preserve"> or to the </w:t>
      </w:r>
      <w:r w:rsidR="00B01F4D">
        <w:t>Court</w:t>
      </w:r>
      <w:r w:rsidRPr="00554B03">
        <w:t>’s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w:t>
      </w:r>
      <w:r w:rsidR="00B01F4D">
        <w:t>Court</w:t>
      </w:r>
      <w:r w:rsidRPr="00554B03">
        <w:t xml:space="preserve"> determines are severe or continuing and that may place performance of the Agreement in jeopardy if not corrected will be reported to Contractor.  The report may include recommended improvements and corrective measures to be taken by Contractor.  If Contractor’s performance remains </w:t>
      </w:r>
      <w:r w:rsidRPr="00554B03">
        <w:lastRenderedPageBreak/>
        <w:t xml:space="preserve">unsatisfactory to the </w:t>
      </w:r>
      <w:r w:rsidR="00B01F4D">
        <w:t>Court</w:t>
      </w:r>
      <w:r w:rsidRPr="00554B03">
        <w:t xml:space="preserve">, the </w:t>
      </w:r>
      <w:r w:rsidR="00B01F4D">
        <w:t>Court</w:t>
      </w:r>
      <w:r w:rsidRPr="00554B03">
        <w:t xml:space="preserve"> may terminate this Agreement for cause or impose other penalties as specified in this Agreement.  Any evaluation of Contractor’s performance conducted by the </w:t>
      </w:r>
      <w:r w:rsidR="00B01F4D">
        <w:t>Court</w:t>
      </w:r>
      <w:r w:rsidRPr="00554B03">
        <w:t xml:space="preserve"> shall not be construed as an acceptance of Contractor’s work product or methods of performance.  Contractor shall be solely responsible for the work product it delivers under this Agreement; Contractor shall not rely on the </w:t>
      </w:r>
      <w:r w:rsidR="00B01F4D">
        <w:t>Court</w:t>
      </w:r>
      <w:r w:rsidRPr="00554B03">
        <w:t xml:space="preserve"> to perform any quality control review of Contractor’s work product, 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w:t>
      </w:r>
      <w:r w:rsidR="00B01F4D">
        <w:rPr>
          <w:u w:val="none"/>
        </w:rPr>
        <w:t>COURT</w:t>
      </w:r>
      <w:r w:rsidRPr="00554B03">
        <w:rPr>
          <w:u w:val="none"/>
        </w:rPr>
        <w:t xml:space="preserve">; (ii) adhere to litigation plans designated by the </w:t>
      </w:r>
      <w:r w:rsidR="00B01F4D">
        <w:rPr>
          <w:u w:val="none"/>
        </w:rPr>
        <w:t>COURT</w:t>
      </w:r>
      <w:r w:rsidRPr="00554B03">
        <w:rPr>
          <w:u w:val="none"/>
        </w:rPr>
        <w:t xml:space="preserve">; (iii) adhere to case phasing of activities designated by the </w:t>
      </w:r>
      <w:r w:rsidR="00B01F4D">
        <w:rPr>
          <w:u w:val="none"/>
        </w:rPr>
        <w:t>COURT</w:t>
      </w:r>
      <w:r w:rsidRPr="00554B03">
        <w:rPr>
          <w:u w:val="none"/>
        </w:rPr>
        <w:t xml:space="preserve">; and (iv) submit and adhere to legal budgets as designated by the </w:t>
      </w:r>
      <w:r w:rsidR="00B01F4D">
        <w:rPr>
          <w:u w:val="none"/>
        </w:rPr>
        <w:t>COURT</w:t>
      </w:r>
      <w:r w:rsidRPr="00554B03">
        <w:rPr>
          <w:u w:val="none"/>
        </w:rPr>
        <w:t xml:space="preserve">.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is prohibited from subcontracting this Agreement or any part of it, unless such subcontracting is first approved by the </w:t>
      </w:r>
      <w:r w:rsidR="00B01F4D">
        <w:t>Court</w:t>
      </w:r>
      <w:r w:rsidRPr="00554B03">
        <w:t xml:space="preserve">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If requested by the </w:t>
      </w:r>
      <w:r w:rsidR="00476ADE">
        <w:t>Court</w:t>
      </w:r>
      <w:r w:rsidRPr="00554B03">
        <w:t xml:space="preserve">,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w:t>
      </w:r>
      <w:r w:rsidR="00476ADE">
        <w:t>Court</w:t>
      </w:r>
      <w:r w:rsidRPr="00554B03">
        <w:t xml:space="preserve"> of all agreements with Subcontractors who will perform Services pursuant to this Agreement.  The </w:t>
      </w:r>
      <w:r w:rsidR="00476ADE">
        <w:t>Court</w:t>
      </w:r>
      <w:r w:rsidRPr="00554B03">
        <w:t>’s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w:t>
      </w:r>
      <w:r w:rsidR="00476ADE">
        <w:t>Court</w:t>
      </w:r>
      <w:r w:rsidRPr="00554B03">
        <w:t xml:space="preserve">),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w:t>
      </w:r>
      <w:r w:rsidR="00B01F4D">
        <w:t>Court</w:t>
      </w:r>
      <w:r w:rsidRPr="00554B03">
        <w:t xml:space="preserve">, its judges, subordinate judicial officers, </w:t>
      </w:r>
      <w:r w:rsidR="00B01F4D">
        <w:t>Court</w:t>
      </w:r>
      <w:r w:rsidRPr="00554B03">
        <w:t xml:space="preserve"> executive officers, </w:t>
      </w:r>
      <w:r w:rsidR="00B01F4D">
        <w:t>Court</w:t>
      </w:r>
      <w:r w:rsidRPr="00554B03">
        <w:t xml:space="preserve">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w:t>
      </w:r>
      <w:r w:rsidRPr="00554B03">
        <w:lastRenderedPageBreak/>
        <w:t xml:space="preserve">the violation of any applicable law, rule or regulation or the failure to report, 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w:t>
      </w:r>
      <w:r w:rsidR="00B01F4D">
        <w:t>COURT</w:t>
      </w:r>
      <w:r w:rsidRPr="00554B03">
        <w:t xml:space="preserve">, the </w:t>
      </w:r>
      <w:r w:rsidR="00B01F4D">
        <w:t>Court</w:t>
      </w:r>
      <w:r w:rsidRPr="00554B03">
        <w:t xml:space="preserve">, its judges, its subordinate judicial </w:t>
      </w:r>
      <w:r w:rsidRPr="00554B03">
        <w:lastRenderedPageBreak/>
        <w:t xml:space="preserve">officers, its </w:t>
      </w:r>
      <w:r w:rsidR="00B01F4D">
        <w:t>Court</w:t>
      </w:r>
      <w:r w:rsidRPr="00554B03">
        <w:t xml:space="preserve"> executive officers, its </w:t>
      </w:r>
      <w:r w:rsidR="00B01F4D">
        <w:t>Court</w:t>
      </w:r>
      <w:r w:rsidRPr="00554B03">
        <w:t xml:space="preserve">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policy is primary and non-contributory with any insurance or self-insurance programs carried or administered by the </w:t>
      </w:r>
      <w:r w:rsidR="00476ADE">
        <w:t>Court</w:t>
      </w:r>
      <w:r w:rsidRPr="00554B03">
        <w: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w:t>
      </w:r>
      <w:r w:rsidR="00476ADE">
        <w:t>Court</w:t>
      </w:r>
      <w:r w:rsidRPr="00554B03">
        <w:t xml:space="preserve">.  Acceptance of Contractor’s insurance by the </w:t>
      </w:r>
      <w:r w:rsidR="00476ADE">
        <w:t>Court</w:t>
      </w:r>
      <w:r w:rsidRPr="00554B03">
        <w:t xml:space="preserve">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w:t>
      </w:r>
      <w:r w:rsidR="00476ADE">
        <w:t>Court</w:t>
      </w:r>
      <w:r w:rsidRPr="00554B03">
        <w:t xml:space="preserve"> certificates of insurance and applicable endorsements, in form and with insurers satisfactory to the </w:t>
      </w:r>
      <w:r w:rsidR="00476ADE">
        <w:t>Court</w:t>
      </w:r>
      <w:r w:rsidRPr="00554B03">
        <w:t xml:space="preserve">, evidencing that all required insurance coverage is in effect.  The </w:t>
      </w:r>
      <w:r w:rsidR="00476ADE">
        <w:t>Court</w:t>
      </w:r>
      <w:r w:rsidRPr="00554B03">
        <w:t xml:space="preserve">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_______________________</w:t>
      </w:r>
      <w:r w:rsidRPr="00554B03">
        <w:t xml:space="preserve">.  Contractor shall promptly submit a written report, in such form as may be required by the </w:t>
      </w:r>
      <w:r w:rsidR="00B01F4D">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w:t>
      </w:r>
      <w:r w:rsidR="00B01F4D">
        <w:t>C</w:t>
      </w:r>
      <w:r w:rsidR="00476ADE">
        <w:t>ertification</w:t>
      </w:r>
      <w:r w:rsidRPr="00554B03">
        <w:t xml:space="preserve">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Contractor’s program of self-insurance shall not reduce or limit Contractor’s contractual obligation to indemnify and defend the </w:t>
      </w:r>
      <w:r w:rsidR="00476ADE">
        <w:lastRenderedPageBreak/>
        <w:t>Court</w:t>
      </w:r>
      <w:r w:rsidRPr="00554B03">
        <w:t xml:space="preserve">.  Acceptance of Contractor’s program of self-insurance by the </w:t>
      </w:r>
      <w:r w:rsidR="00476ADE">
        <w:t>Court</w:t>
      </w:r>
      <w:r w:rsidRPr="00554B03">
        <w:t xml:space="preserve">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w:t>
      </w:r>
      <w:r w:rsidR="00476ADE">
        <w:t>____________</w:t>
      </w:r>
      <w:r w:rsidRPr="00554B03">
        <w:t xml:space="preserve">.  Contractor shall promptly submit a written report, in such form as may be required by the </w:t>
      </w:r>
      <w:r w:rsidR="00476ADE">
        <w:t>Court</w:t>
      </w:r>
      <w:r w:rsidRPr="00554B03">
        <w:t xml:space="preserve">,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 xml:space="preserve">A description of the circumstances surrounding the accident, whether any of the </w:t>
      </w:r>
      <w:r w:rsidR="00476ADE">
        <w:t>Court</w:t>
      </w:r>
      <w:r w:rsidRPr="00554B03">
        <w:t xml:space="preserve">’s equipment, materials or staff were involved and the extent of damage to </w:t>
      </w:r>
      <w:r w:rsidR="00476ADE">
        <w:t>Court</w:t>
      </w:r>
      <w:r w:rsidRPr="00554B03">
        <w:t xml:space="preserve">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w:t>
      </w:r>
      <w:r w:rsidR="00476ADE">
        <w:rPr>
          <w:rStyle w:val="StyleExhibitA2UnderlineChar"/>
          <w:u w:val="none"/>
        </w:rPr>
        <w:t>Court</w:t>
      </w:r>
      <w:r w:rsidRPr="00554B03">
        <w:rPr>
          <w:rStyle w:val="StyleExhibitA2UnderlineChar"/>
          <w:u w:val="none"/>
        </w:rPr>
        <w:t xml:space="preserve"> shall have the right to exercise its contractual, legal and equitable remedies, which shall include, without limitation, the right to terminate this Agreement upon written notice or to seek specific performance of all or any part of this Agreement.  In addition, the </w:t>
      </w:r>
      <w:r w:rsidR="00476ADE">
        <w:rPr>
          <w:rStyle w:val="StyleExhibitA2UnderlineChar"/>
          <w:u w:val="none"/>
        </w:rPr>
        <w:t>Court</w:t>
      </w:r>
      <w:r w:rsidRPr="00554B03">
        <w:rPr>
          <w:rStyle w:val="StyleExhibitA2UnderlineChar"/>
          <w:u w:val="none"/>
        </w:rPr>
        <w:t xml:space="preserve"> shall have the right (but no obligation) to cure or cause to be cured on behalf of Contractor any Event of Default.  Contractor shall pay to the </w:t>
      </w:r>
      <w:r w:rsidR="00476ADE">
        <w:rPr>
          <w:rStyle w:val="StyleExhibitA2UnderlineChar"/>
          <w:u w:val="none"/>
        </w:rPr>
        <w:t>Court</w:t>
      </w:r>
      <w:r w:rsidRPr="00554B03">
        <w:rPr>
          <w:rStyle w:val="StyleExhibitA2UnderlineChar"/>
          <w:u w:val="none"/>
        </w:rPr>
        <w:t xml:space="preserve"> on demand all costs and expenses incurred by the </w:t>
      </w:r>
      <w:r w:rsidR="00476ADE">
        <w:rPr>
          <w:rStyle w:val="StyleExhibitA2UnderlineChar"/>
          <w:u w:val="none"/>
        </w:rPr>
        <w:t>Court</w:t>
      </w:r>
      <w:r w:rsidRPr="00554B03">
        <w:rPr>
          <w:rStyle w:val="StyleExhibitA2UnderlineChar"/>
          <w:u w:val="none"/>
        </w:rPr>
        <w:t xml:space="preserve"> in effecting such cure, with interest thereon from the date of incurrence at the maximum rate then permitted by law.  The </w:t>
      </w:r>
      <w:r w:rsidR="00476ADE">
        <w:rPr>
          <w:rStyle w:val="StyleExhibitA2UnderlineChar"/>
          <w:u w:val="none"/>
        </w:rPr>
        <w:t>Court</w:t>
      </w:r>
      <w:r w:rsidRPr="00554B03">
        <w:rPr>
          <w:rStyle w:val="StyleExhibitA2UnderlineChar"/>
          <w:u w:val="none"/>
        </w:rPr>
        <w:t xml:space="preserve"> shall have the right to offset from any amounts due to Contractor under this Agreement, </w:t>
      </w:r>
      <w:r w:rsidRPr="00554B03">
        <w:rPr>
          <w:rStyle w:val="StyleExhibitA2UnderlineChar"/>
          <w:u w:val="none"/>
        </w:rPr>
        <w:lastRenderedPageBreak/>
        <w:t xml:space="preserve">or any other agreement between the </w:t>
      </w:r>
      <w:r w:rsidR="00476ADE">
        <w:rPr>
          <w:rStyle w:val="StyleExhibitA2UnderlineChar"/>
          <w:u w:val="none"/>
        </w:rPr>
        <w:t>Court</w:t>
      </w:r>
      <w:r w:rsidRPr="00554B03">
        <w:rPr>
          <w:rStyle w:val="StyleExhibitA2UnderlineChar"/>
          <w:u w:val="none"/>
        </w:rPr>
        <w:t xml:space="preserve"> or any California trial or appellate </w:t>
      </w:r>
      <w:r w:rsidR="00B01F4D">
        <w:rPr>
          <w:rStyle w:val="StyleExhibitA2UnderlineChar"/>
          <w:u w:val="none"/>
        </w:rPr>
        <w:t>Court</w:t>
      </w:r>
      <w:r w:rsidRPr="00554B03">
        <w:rPr>
          <w:rStyle w:val="StyleExhibitA2UnderlineChar"/>
          <w:u w:val="none"/>
        </w:rPr>
        <w:t xml:space="preserve"> and Contractor, all damages, losses, costs, fees, penalties, interest or expenses incurred by the </w:t>
      </w:r>
      <w:r w:rsidR="00476ADE">
        <w:rPr>
          <w:rStyle w:val="StyleExhibitA2UnderlineChar"/>
          <w:u w:val="none"/>
        </w:rPr>
        <w:t>Court</w:t>
      </w:r>
      <w:r w:rsidRPr="00554B03">
        <w:rPr>
          <w:rStyle w:val="StyleExhibitA2UnderlineChar"/>
          <w:u w:val="none"/>
        </w:rPr>
        <w:t xml:space="preserve">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w:t>
      </w:r>
      <w:r w:rsidR="00476ADE">
        <w:t>Court</w:t>
      </w:r>
      <w:r w:rsidRPr="00554B03">
        <w:t xml:space="preserve"> may terminate this Agreement, in whole or in part, at any time for lack of appropriation of funds, or other withdrawal, reduction or limitation in any way of the </w:t>
      </w:r>
      <w:r w:rsidR="00476ADE">
        <w:t>Court</w:t>
      </w:r>
      <w:r w:rsidRPr="00554B03">
        <w:t xml:space="preserve">’s budget, funding or financial resources.  Such termination is in addition to the </w:t>
      </w:r>
      <w:r w:rsidR="00476ADE">
        <w:t>Court</w:t>
      </w:r>
      <w:r w:rsidRPr="00554B03">
        <w:t xml:space="preserve">’s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w:t>
      </w:r>
      <w:r w:rsidR="00476ADE">
        <w:t>Court</w:t>
      </w:r>
      <w:r w:rsidRPr="00554B03">
        <w:t xml:space="preserve">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Termination shall not prejudice any other right or remedy available to the </w:t>
      </w:r>
      <w:r w:rsidR="00476ADE">
        <w:t>Court</w:t>
      </w:r>
      <w:r w:rsidRPr="00554B03">
        <w: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 xml:space="preserve">The </w:t>
      </w:r>
      <w:r w:rsidR="00476ADE">
        <w:t>Court</w:t>
      </w:r>
      <w:r w:rsidRPr="00554B03">
        <w:t xml:space="preserve"> shall have the option, in its sole discretion, to terminate this Agreement, in whole or in part, at any time during the term hereof, for convenience and without cause.  The </w:t>
      </w:r>
      <w:r w:rsidR="00476ADE">
        <w:t>Court</w:t>
      </w:r>
      <w:r w:rsidRPr="00554B03">
        <w:t xml:space="preserve">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Immediately upon receipt of the notice, Contractor shall commence and perform, with diligence, all actions necessary on the part of Contractor to effect the termination of this Agreement on the date specified by the </w:t>
      </w:r>
      <w:r w:rsidR="00476ADE">
        <w:t>Court</w:t>
      </w:r>
      <w:r w:rsidRPr="00554B03">
        <w:t xml:space="preserve"> and to minimize the liability of Contractor and the </w:t>
      </w:r>
      <w:r w:rsidR="00476ADE">
        <w:t>Court</w:t>
      </w:r>
      <w:r w:rsidRPr="00554B03">
        <w:t xml:space="preserve"> to Third Parties as a result of termination.  All such actions shall be subject to the prior approval of the </w:t>
      </w:r>
      <w:r w:rsidR="00476ADE">
        <w:t>Court</w:t>
      </w:r>
      <w:r w:rsidRPr="00554B03">
        <w:t xml:space="preserve">, at the </w:t>
      </w:r>
      <w:r w:rsidR="00476ADE">
        <w:t>Court</w:t>
      </w:r>
      <w:r w:rsidRPr="00554B03">
        <w:t>’s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 xml:space="preserve">Contractor will give the </w:t>
      </w:r>
      <w:r w:rsidR="00476ADE">
        <w:t>Court</w:t>
      </w:r>
      <w:r w:rsidRPr="00554B03">
        <w:t xml:space="preserve"> as much written notice as possible before the termination </w:t>
      </w:r>
      <w:r w:rsidRPr="00554B03">
        <w:lastRenderedPageBreak/>
        <w:t xml:space="preserve">date, which notice will describe each affected matter and the basis for the Contractor’s inability to withdraw, and the Contractor and the </w:t>
      </w:r>
      <w:r w:rsidR="00476ADE">
        <w:t>Court</w:t>
      </w:r>
      <w:r w:rsidRPr="00554B03">
        <w:t xml:space="preserve"> will then confer in good faith.  If a </w:t>
      </w:r>
      <w:r w:rsidR="00B01F4D">
        <w:t>Court</w:t>
      </w:r>
      <w:r w:rsidRPr="00554B03">
        <w:t xml:space="preserve"> orders that Contractor maintain certain representations or, using its reasonable judgment, the </w:t>
      </w:r>
      <w:r w:rsidR="00B01F4D">
        <w:t>COURT</w:t>
      </w:r>
      <w:r w:rsidRPr="00554B03">
        <w:t xml:space="preserve"> determines that Contractor’s assertions warrant its continued representation as its withdrawal is not permitted for the reasons in the immediately 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w:t>
      </w:r>
      <w:r w:rsidR="00B01F4D">
        <w:t>COURT</w:t>
      </w:r>
      <w:r w:rsidRPr="00554B03">
        <w:t xml:space="preserve"> will reimburse the Contractor for any direct, reasonable, actual </w:t>
      </w:r>
      <w:r w:rsidR="00E714F2" w:rsidRPr="00554B03">
        <w:t>expenditure</w:t>
      </w:r>
      <w:r w:rsidRPr="00554B03">
        <w:t xml:space="preserve"> for long distance telephone and, if contained in a </w:t>
      </w:r>
      <w:r w:rsidR="00B01F4D">
        <w:t>Court</w:t>
      </w:r>
      <w:r w:rsidRPr="00554B03">
        <w:t xml:space="preserve">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xml:space="preserve">.  The </w:t>
      </w:r>
      <w:r w:rsidR="00476ADE">
        <w:t>Court</w:t>
      </w:r>
      <w:r w:rsidRPr="00554B03">
        <w:t xml:space="preserve">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xml:space="preserve">.  The </w:t>
      </w:r>
      <w:r w:rsidR="00476ADE">
        <w:t>Court</w:t>
      </w:r>
      <w:r w:rsidRPr="00554B03">
        <w:t xml:space="preserve">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All payments previously made by the </w:t>
      </w:r>
      <w:r w:rsidR="00476ADE">
        <w:t>Court</w:t>
      </w:r>
      <w:r w:rsidRPr="00554B03">
        <w:t xml:space="preserve">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The amount of any claim that the </w:t>
      </w:r>
      <w:r w:rsidR="00476ADE">
        <w:t>Court</w:t>
      </w:r>
      <w:r w:rsidRPr="00554B03">
        <w:t xml:space="preserve">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Where Contractor is terminated for cause, in the event the </w:t>
      </w:r>
      <w:r w:rsidR="00476ADE">
        <w:t>Court</w:t>
      </w:r>
      <w:r w:rsidRPr="00554B03">
        <w:t xml:space="preserve"> determines it must provide services to remedy the results of Contractor’s inadequately performed Services, the </w:t>
      </w:r>
      <w:r w:rsidR="00476ADE">
        <w:t>Court</w:t>
      </w:r>
      <w:r w:rsidRPr="00554B03">
        <w:t xml:space="preserve"> may deduct, from any amounts owed Contractor hereunder, the </w:t>
      </w:r>
      <w:r w:rsidR="00476ADE">
        <w:t>Court</w:t>
      </w:r>
      <w:r w:rsidRPr="00554B03">
        <w:t>’s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w:t>
      </w:r>
      <w:r w:rsidRPr="00554B03">
        <w:lastRenderedPageBreak/>
        <w:t xml:space="preserve">materials in the client file at his or her discretion.  All reports, records, files, documents, memoranda, schedules, recordings, information and other materials or data that the Contractor is required to create by the </w:t>
      </w:r>
      <w:r w:rsidR="00476ADE">
        <w:t>Court</w:t>
      </w:r>
      <w:r w:rsidRPr="00554B03">
        <w:t xml:space="preserve"> or provide to the </w:t>
      </w:r>
      <w:r w:rsidR="00476ADE">
        <w:t>Court</w:t>
      </w:r>
      <w:r w:rsidRPr="00554B03">
        <w:t xml:space="preserve"> pursuant to this Agreement (collectively, “</w:t>
      </w:r>
      <w:r w:rsidRPr="00554B03">
        <w:rPr>
          <w:b/>
        </w:rPr>
        <w:t>Data</w:t>
      </w:r>
      <w:r w:rsidRPr="00554B03">
        <w:t xml:space="preserve">”) are the sole property of the </w:t>
      </w:r>
      <w:r w:rsidR="00476ADE">
        <w:t>Court</w:t>
      </w:r>
      <w:r w:rsidRPr="00554B03">
        <w:t xml:space="preserve"> without the payment of additional compensation to Contractor.  Contractor shall provide the </w:t>
      </w:r>
      <w:r w:rsidR="00476ADE">
        <w:t>Court</w:t>
      </w:r>
      <w:r w:rsidRPr="00554B03">
        <w:t xml:space="preserve"> with all Data within thirty (30) days of the </w:t>
      </w:r>
      <w:r w:rsidR="00476ADE">
        <w:t>Court</w:t>
      </w:r>
      <w:r w:rsidRPr="00554B03">
        <w:t xml:space="preserve">’s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w:t>
      </w:r>
      <w:r w:rsidR="00B01F4D">
        <w:t>Court</w:t>
      </w:r>
      <w:r w:rsidRPr="00554B03">
        <w: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w:t>
      </w:r>
      <w:r w:rsidR="00476ADE">
        <w:rPr>
          <w:u w:val="none"/>
        </w:rPr>
        <w:t>Court</w:t>
      </w:r>
      <w:r w:rsidR="00432FB6" w:rsidRPr="00554B03">
        <w:rPr>
          <w:u w:val="none"/>
        </w:rPr>
        <w:t xml:space="preserve">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Proprietary or Confidential Information of the </w:t>
      </w:r>
      <w:r w:rsidR="00B01F4D">
        <w:rPr>
          <w:rFonts w:ascii="Times New Roman Bold" w:hAnsi="Times New Roman Bold"/>
          <w:b/>
          <w:caps/>
          <w:szCs w:val="20"/>
          <w:u w:val="none"/>
        </w:rPr>
        <w:t>Court</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w:t>
      </w:r>
      <w:r w:rsidR="00476ADE">
        <w:t>Court</w:t>
      </w:r>
      <w:r w:rsidRPr="00554B03">
        <w:t xml:space="preserve">, their personnel or constituents and that the disclosure of such information to Third Parties may be damaging to the </w:t>
      </w:r>
      <w:r w:rsidR="00476ADE">
        <w:t>Court.</w:t>
      </w:r>
      <w:r w:rsidRPr="00554B03">
        <w:t xml:space="preserve">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Notwithstanding the foregoing, Contractor may disclose the Confidential Information to the extent necessary to comply with any law, rule, regulation or ruling applicable to it or as appropriate to respond to any summons or subpoena applicable to it; provided, however, that </w:t>
      </w:r>
      <w:r w:rsidRPr="00554B03">
        <w:lastRenderedPageBreak/>
        <w:t xml:space="preserve">Contractor has given reasonable prior notice of its intention to disclose in order to give the </w:t>
      </w:r>
      <w:r w:rsidR="00476ADE">
        <w:t>court</w:t>
      </w:r>
      <w:r w:rsidRPr="00554B03">
        <w:t xml:space="preserve">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 xml:space="preserve">Contractor shall permit authorized representatives of the </w:t>
      </w:r>
      <w:r w:rsidR="00476ADE">
        <w:t>Court</w:t>
      </w:r>
      <w:r w:rsidRPr="00554B03">
        <w:t xml:space="preserve"> and/or its designee at any reasonable time to inspect, copy, or audit any and all records and documentation related to the performance of the Agreement, including records related to billings and other financial records.  Without limiting the foregoing, the </w:t>
      </w:r>
      <w:r w:rsidR="00476ADE">
        <w:t>Court</w:t>
      </w:r>
      <w:r w:rsidRPr="00554B03">
        <w:t xml:space="preserve">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w:t>
      </w:r>
      <w:r w:rsidR="00476ADE">
        <w:t>Court</w:t>
      </w:r>
      <w:r w:rsidRPr="00554B03">
        <w:t xml:space="preserve">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w:t>
      </w:r>
      <w:r w:rsidR="00B01F4D">
        <w:t>Court</w:t>
      </w:r>
      <w:r w:rsidRPr="00554B03">
        <w:t xml:space="preserve"> of California, or any other government agency or entity having an interest in the subject of this Agreement, shall have the same rights conferred upon the </w:t>
      </w:r>
      <w:r w:rsidR="00476ADE">
        <w:t>Court</w:t>
      </w:r>
      <w:r w:rsidRPr="00554B03">
        <w:t xml:space="preserve">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A81123" w:rsidRPr="00A81123" w:rsidRDefault="00A81123"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A81123">
        <w:rPr>
          <w:b/>
          <w:u w:val="none"/>
        </w:rPr>
        <w:t>AGREEMENT TERM(S) AND OPTIONS TO RENEW</w:t>
      </w:r>
    </w:p>
    <w:p w:rsidR="00A81123" w:rsidRPr="00920298" w:rsidRDefault="00A81123" w:rsidP="00A81123">
      <w:pPr>
        <w:pStyle w:val="ExhibitB2"/>
        <w:keepNext w:val="0"/>
        <w:numPr>
          <w:ilvl w:val="1"/>
          <w:numId w:val="27"/>
        </w:numPr>
      </w:pPr>
      <w:r w:rsidRPr="00920298">
        <w:t xml:space="preserve">The Work of the Agreement shall commence </w:t>
      </w:r>
      <w:r w:rsidRPr="00FA794A">
        <w:rPr>
          <w:b/>
          <w:color w:val="0000FF"/>
        </w:rPr>
        <w:t xml:space="preserve">January </w:t>
      </w:r>
      <w:r w:rsidRPr="00A81123">
        <w:rPr>
          <w:b/>
          <w:color w:val="0000FF"/>
          <w:highlight w:val="yellow"/>
        </w:rPr>
        <w:t>#,</w:t>
      </w:r>
      <w:r w:rsidRPr="00FA794A">
        <w:rPr>
          <w:b/>
          <w:color w:val="0000FF"/>
        </w:rPr>
        <w:t xml:space="preserve"> 201</w:t>
      </w:r>
      <w:r>
        <w:rPr>
          <w:b/>
          <w:color w:val="0000FF"/>
        </w:rPr>
        <w:t>4</w:t>
      </w:r>
      <w:r w:rsidRPr="00920298">
        <w:t xml:space="preserve"> and the Agreement shall </w:t>
      </w:r>
      <w:r w:rsidRPr="00A81123">
        <w:t xml:space="preserve">expire </w:t>
      </w:r>
      <w:r w:rsidRPr="00A81123">
        <w:rPr>
          <w:b/>
        </w:rPr>
        <w:t>December 31, 2014</w:t>
      </w:r>
      <w:r w:rsidRPr="00A81123">
        <w:rPr>
          <w:rFonts w:ascii="Arial" w:hAnsi="Arial" w:cs="Arial"/>
          <w:sz w:val="28"/>
        </w:rPr>
        <w:t xml:space="preserve"> </w:t>
      </w:r>
      <w:r w:rsidRPr="00A81123">
        <w:t>(“</w:t>
      </w:r>
      <w:r w:rsidRPr="00A81123">
        <w:rPr>
          <w:b/>
        </w:rPr>
        <w:t>Initial Term</w:t>
      </w:r>
      <w:r w:rsidRPr="00A81123">
        <w:t>”), unless otherwise set forth in writing, in</w:t>
      </w:r>
      <w:r w:rsidRPr="00920298">
        <w:t xml:space="preserve"> accordance with the terms and conditions of the Agreement.</w:t>
      </w:r>
    </w:p>
    <w:p w:rsidR="00A81123" w:rsidRPr="00920298" w:rsidRDefault="00A81123" w:rsidP="00A81123"/>
    <w:p w:rsidR="00A81123" w:rsidRPr="00920298" w:rsidRDefault="00A81123" w:rsidP="00A81123">
      <w:pPr>
        <w:pStyle w:val="ExhibitB2"/>
        <w:keepNext w:val="0"/>
        <w:numPr>
          <w:ilvl w:val="1"/>
          <w:numId w:val="27"/>
        </w:numPr>
      </w:pPr>
      <w:r w:rsidRPr="00920298">
        <w:t xml:space="preserve">The parties agree that the </w:t>
      </w:r>
      <w:r>
        <w:t>Court</w:t>
      </w:r>
      <w:r w:rsidRPr="00920298">
        <w:t xml:space="preserve"> may elect</w:t>
      </w:r>
      <w:r>
        <w:t>, at its sole discretion,</w:t>
      </w:r>
      <w:r w:rsidRPr="00920298">
        <w:t xml:space="preserve"> to extend the Agreement up to two (2) consecutive optional one-year Terms, identified as follows, if authorized in writing in accordance with the terms and conditions of the Agreement:</w:t>
      </w:r>
    </w:p>
    <w:p w:rsidR="00A81123" w:rsidRPr="00920298" w:rsidRDefault="00A81123" w:rsidP="00A81123">
      <w:pPr>
        <w:tabs>
          <w:tab w:val="left" w:pos="720"/>
          <w:tab w:val="num" w:pos="1080"/>
          <w:tab w:val="left" w:pos="1296"/>
          <w:tab w:val="left" w:pos="2016"/>
          <w:tab w:val="left" w:pos="2592"/>
          <w:tab w:val="left" w:pos="4176"/>
          <w:tab w:val="left" w:pos="10710"/>
        </w:tabs>
        <w:ind w:left="2016" w:right="180"/>
        <w:outlineLvl w:val="4"/>
        <w:rPr>
          <w:b/>
        </w:rPr>
      </w:pPr>
    </w:p>
    <w:p w:rsidR="00A81123" w:rsidRPr="00A81123" w:rsidRDefault="00A81123" w:rsidP="00A81123">
      <w:pPr>
        <w:numPr>
          <w:ilvl w:val="2"/>
          <w:numId w:val="0"/>
        </w:numPr>
        <w:tabs>
          <w:tab w:val="left" w:pos="1296"/>
          <w:tab w:val="num" w:pos="2016"/>
          <w:tab w:val="left" w:pos="2592"/>
          <w:tab w:val="left" w:pos="4176"/>
          <w:tab w:val="left" w:pos="10710"/>
        </w:tabs>
        <w:ind w:left="2016" w:right="180" w:hanging="648"/>
        <w:outlineLvl w:val="0"/>
      </w:pPr>
      <w:r w:rsidRPr="00A81123">
        <w:rPr>
          <w:b/>
        </w:rPr>
        <w:t>January 1, 2015</w:t>
      </w:r>
      <w:r w:rsidRPr="00A81123">
        <w:t xml:space="preserve"> – </w:t>
      </w:r>
      <w:r w:rsidRPr="00A81123">
        <w:rPr>
          <w:b/>
        </w:rPr>
        <w:t>December 31, 2015</w:t>
      </w:r>
      <w:r w:rsidRPr="00A81123">
        <w:t xml:space="preserve"> (“</w:t>
      </w:r>
      <w:r w:rsidRPr="00A81123">
        <w:rPr>
          <w:b/>
        </w:rPr>
        <w:t>First Option Term</w:t>
      </w:r>
      <w:r w:rsidRPr="00A81123">
        <w:t>”).</w:t>
      </w:r>
    </w:p>
    <w:p w:rsidR="00A81123" w:rsidRPr="00A81123" w:rsidRDefault="00A81123" w:rsidP="00A81123">
      <w:pPr>
        <w:numPr>
          <w:ilvl w:val="2"/>
          <w:numId w:val="0"/>
        </w:numPr>
        <w:tabs>
          <w:tab w:val="left" w:pos="1296"/>
          <w:tab w:val="num" w:pos="2016"/>
          <w:tab w:val="left" w:pos="2592"/>
          <w:tab w:val="left" w:pos="4176"/>
          <w:tab w:val="left" w:pos="10710"/>
        </w:tabs>
        <w:spacing w:before="120"/>
        <w:ind w:left="2016" w:right="187" w:hanging="648"/>
        <w:outlineLvl w:val="0"/>
      </w:pPr>
      <w:r w:rsidRPr="00A81123">
        <w:rPr>
          <w:b/>
        </w:rPr>
        <w:t>January 1, 2016</w:t>
      </w:r>
      <w:r w:rsidRPr="00A81123">
        <w:t xml:space="preserve"> – </w:t>
      </w:r>
      <w:r w:rsidRPr="00A81123">
        <w:rPr>
          <w:b/>
        </w:rPr>
        <w:t>December 31, 2016</w:t>
      </w:r>
      <w:r w:rsidRPr="00A81123">
        <w:t xml:space="preserve"> (“</w:t>
      </w:r>
      <w:r w:rsidRPr="00A81123">
        <w:rPr>
          <w:b/>
        </w:rPr>
        <w:t>Second Option Term</w:t>
      </w:r>
      <w:r w:rsidRPr="00A81123">
        <w:t>”).</w:t>
      </w:r>
    </w:p>
    <w:p w:rsidR="00A81123" w:rsidRPr="00920298" w:rsidRDefault="00A81123" w:rsidP="00A81123"/>
    <w:p w:rsidR="00A81123" w:rsidRPr="00920298" w:rsidRDefault="00A81123" w:rsidP="00A81123">
      <w:pPr>
        <w:pStyle w:val="ExhibitB2"/>
        <w:keepNext w:val="0"/>
        <w:numPr>
          <w:ilvl w:val="1"/>
          <w:numId w:val="27"/>
        </w:numPr>
      </w:pPr>
      <w:r w:rsidRPr="00920298">
        <w:t xml:space="preserve">In the event any option Term is exercised under this Agreement, the rates and fees applicable for each option Term shall be set forth in any subsequent Amendments to </w:t>
      </w:r>
      <w:r w:rsidRPr="00920298">
        <w:lastRenderedPageBreak/>
        <w:t xml:space="preserve">extend this Agreement.  The rates and fees as incorporated in Exhibit </w:t>
      </w:r>
      <w:r>
        <w:t>C</w:t>
      </w:r>
      <w:r w:rsidRPr="00920298">
        <w:t xml:space="preserve">, </w:t>
      </w:r>
      <w:r>
        <w:t>Payment</w:t>
      </w:r>
      <w:r w:rsidRPr="00920298">
        <w:t xml:space="preserve">, may be renegotiated by the parties for each subsequent consecutive Term, </w:t>
      </w:r>
      <w:r w:rsidRPr="00A81123">
        <w:rPr>
          <w:color w:val="0000FF"/>
        </w:rPr>
        <w:t>as long as the negotiated unit prices or fees do not increase more than three percent (3%) over the rates and fees established for the Work of the previous Term</w:t>
      </w:r>
      <w:r w:rsidRPr="00920298">
        <w:t>.</w:t>
      </w:r>
    </w:p>
    <w:p w:rsidR="00A81123" w:rsidRPr="00920298" w:rsidRDefault="00A81123" w:rsidP="00A81123"/>
    <w:p w:rsidR="00A81123" w:rsidRPr="00920298" w:rsidRDefault="00A81123" w:rsidP="00A81123">
      <w:pPr>
        <w:pStyle w:val="ExhibitB2"/>
        <w:keepNext w:val="0"/>
        <w:numPr>
          <w:ilvl w:val="1"/>
          <w:numId w:val="27"/>
        </w:numPr>
        <w:rPr>
          <w:u w:val="single"/>
        </w:rPr>
      </w:pPr>
      <w:r w:rsidRPr="00920298">
        <w:t xml:space="preserve">In the event the </w:t>
      </w:r>
      <w:r>
        <w:t>Court</w:t>
      </w:r>
      <w:r w:rsidRPr="00920298">
        <w:t xml:space="preserve"> elects to exercise an option to extend the Agreement, as set forth in this provision, the parties will modify the Agreement via bilateral execution of the </w:t>
      </w:r>
      <w:r>
        <w:t>a</w:t>
      </w:r>
      <w:r w:rsidRPr="00920298">
        <w:t xml:space="preserve"> Standard </w:t>
      </w:r>
      <w:r>
        <w:t>Amendment</w:t>
      </w:r>
      <w:r w:rsidRPr="00920298">
        <w:t xml:space="preserve"> form.</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 xml:space="preserve">By executing this Agreement, Contractor certifies under penalty of perjury under the laws of the </w:t>
      </w:r>
      <w:r w:rsidR="00B01F4D">
        <w:t>Court</w:t>
      </w:r>
      <w:r w:rsidRPr="00554B03">
        <w:t xml:space="preserv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section 12990 et seq.,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xml:space="preserve">.  Contractor shall provide the Services specified in this Agreement in a manner that complies with the Americans with Disabilities Act, 42 United </w:t>
      </w:r>
      <w:r w:rsidR="00B01F4D">
        <w:t>Court</w:t>
      </w:r>
      <w:r w:rsidRPr="00554B03">
        <w:t>s Code</w:t>
      </w:r>
      <w:r w:rsidR="000C6FF5" w:rsidRPr="00554B03">
        <w:t>,</w:t>
      </w:r>
      <w:r w:rsidRPr="00554B03">
        <w:t xml:space="preserve"> section 012101 </w:t>
      </w:r>
      <w:r w:rsidRPr="00554B03">
        <w:rPr>
          <w:i/>
        </w:rPr>
        <w:t>et seq</w:t>
      </w:r>
      <w:r w:rsidRPr="00554B03">
        <w:t xml:space="preserve">. and applicable regulations and guidelines in accordance therewith (the “ADA”), and any and all other applicable federal, </w:t>
      </w:r>
      <w:r w:rsidR="00B01F4D">
        <w:t>Court</w:t>
      </w:r>
      <w:r w:rsidRPr="00554B03">
        <w:t xml:space="preserv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lastRenderedPageBreak/>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87100 et seq.; or California Rules of </w:t>
      </w:r>
      <w:r w:rsidR="00B01F4D">
        <w:rPr>
          <w:bCs/>
        </w:rPr>
        <w:t>Court</w:t>
      </w:r>
      <w:r w:rsidRPr="00554B03">
        <w:rPr>
          <w:bCs/>
        </w:rPr>
        <w:t xml:space="preserve">,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w:t>
      </w:r>
      <w:r w:rsidR="00B01F4D">
        <w:t>Court</w:t>
      </w:r>
      <w:r w:rsidRPr="00554B03">
        <w:t xml:space="preserve"> by a federal </w:t>
      </w:r>
      <w:r w:rsidR="00B01F4D">
        <w:t>Court</w:t>
      </w:r>
      <w:r w:rsidRPr="00554B03">
        <w:t xml:space="preserve"> has been issued against Contractor within the immediately preceding two-year period because of Contractor's failure to comply with an order of a federal </w:t>
      </w:r>
      <w:r w:rsidR="00B01F4D">
        <w:t>Court</w:t>
      </w:r>
      <w:r w:rsidRPr="00554B03">
        <w:t xml:space="preserve"> requiring Contractor to comply with an order of the National 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w:t>
      </w:r>
      <w:r w:rsidR="00E714F2">
        <w:t>Court</w:t>
      </w:r>
      <w:r w:rsidRPr="00554B03">
        <w:t xml:space="preserve">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w:t>
      </w:r>
      <w:r w:rsidR="00B01F4D">
        <w:t>Court</w:t>
      </w:r>
      <w:r w:rsidRPr="00554B03">
        <w:t xml:space="preserv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xml:space="preserve">.  All personnel assigned to perform this Agreement are able to work legally in the United </w:t>
      </w:r>
      <w:r w:rsidR="00B01F4D">
        <w:rPr>
          <w:bCs/>
        </w:rPr>
        <w:t>Court</w:t>
      </w:r>
      <w:r w:rsidRPr="00554B03">
        <w:rPr>
          <w:bCs/>
        </w:rPr>
        <w:t>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w:t>
      </w:r>
      <w:r w:rsidR="00B01F4D">
        <w:t>COURT</w:t>
      </w:r>
      <w:r w:rsidRPr="00554B03">
        <w:t xml:space="preserve">.  (Expatriate corporations are certain foreign incorporated entities that are publicly traded in the United </w:t>
      </w:r>
      <w:r w:rsidR="00B01F4D">
        <w:t>Court</w:t>
      </w:r>
      <w:r w:rsidRPr="00554B03">
        <w:t>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w:t>
      </w:r>
      <w:r w:rsidR="00B01F4D">
        <w:t>Court</w:t>
      </w:r>
      <w:r w:rsidRPr="00554B03">
        <w:t xml:space="preserve"> Air Resources Board or an air pollution control </w:t>
      </w:r>
      <w:r w:rsidRPr="00554B03">
        <w:lastRenderedPageBreak/>
        <w:t xml:space="preserve">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Contractor recognizes the importance of child and family support obligations and shall fully comply with all applicable </w:t>
      </w:r>
      <w:r w:rsidR="00B01F4D">
        <w:t>Court</w:t>
      </w:r>
      <w:r w:rsidRPr="00554B03">
        <w:t xml:space="preserv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 xml:space="preserve">During the term of this Agreement, Contractor shall not take an action, or omit to perform any act, that results in a representation and warranty becoming untrue. Contractor shall promptly notify the </w:t>
      </w:r>
      <w:r w:rsidR="00E714F2">
        <w:rPr>
          <w:u w:val="none"/>
        </w:rPr>
        <w:t>Court</w:t>
      </w:r>
      <w:r w:rsidRPr="00554B03">
        <w:rPr>
          <w:u w:val="none"/>
        </w:rPr>
        <w:t xml:space="preserve">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assist, promote, or deter union organizing by employees performing work under </w:t>
      </w:r>
      <w:r w:rsidR="00E714F2">
        <w:t>Court;</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use the </w:t>
      </w:r>
      <w:r w:rsidR="00E714F2">
        <w:t>Court</w:t>
      </w:r>
      <w:r w:rsidRPr="00554B03">
        <w:t>’s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Not, for any business conducted under this Agreement, use any property of the </w:t>
      </w:r>
      <w:r w:rsidR="00E714F2">
        <w:t>Court</w:t>
      </w:r>
      <w:r w:rsidRPr="00554B03">
        <w:t xml:space="preserve"> to hold meetings with employees or supervisors, if the purpose of such meetings is to assist, promote, or deter union organizing, unless the </w:t>
      </w:r>
      <w:r w:rsidR="00E714F2">
        <w:t>Court</w:t>
      </w:r>
      <w:r w:rsidRPr="00554B03">
        <w:t xml:space="preserve">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 xml:space="preserve">If Contractor incurs costs, or makes expenditures to assist, promote, or deter union organizing, maintain records sufficient to show that no reimbursement from the </w:t>
      </w:r>
      <w:r w:rsidR="00E714F2">
        <w:t>Court</w:t>
      </w:r>
      <w:r w:rsidRPr="00554B03">
        <w: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xml:space="preserve">. Contractor shall make no written or oral </w:t>
      </w:r>
      <w:r w:rsidR="00E714F2">
        <w:t>commitment</w:t>
      </w:r>
      <w:r w:rsidRPr="00554B03">
        <w:t xml:space="preserve">, which represents or implies any endorsement by the </w:t>
      </w:r>
      <w:r w:rsidR="00B01F4D">
        <w:t>Court</w:t>
      </w:r>
      <w:r w:rsidRPr="00554B03">
        <w:t xml:space="preserve"> of Contractor, its employees or subcontractors or the quality of the Contractor’s, its employees’ or subcontractor’s services without the </w:t>
      </w:r>
      <w:r w:rsidR="00E714F2">
        <w:t>Court</w:t>
      </w:r>
      <w:r w:rsidRPr="00554B03">
        <w:t xml:space="preserve">’s prior written consent, the granting of which shall be in the </w:t>
      </w:r>
      <w:r w:rsidR="00E714F2">
        <w:t>Court</w:t>
      </w:r>
      <w:r w:rsidRPr="00554B03">
        <w:t>’s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w:t>
      </w:r>
      <w:r w:rsidR="00E714F2">
        <w:t>Court</w:t>
      </w:r>
      <w:r w:rsidRPr="00554B03">
        <w:t xml:space="preserve">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w:t>
      </w:r>
      <w:r w:rsidR="00B01F4D">
        <w:t>Court</w:t>
      </w:r>
      <w:r w:rsidRPr="00554B03">
        <w:t xml:space="preserve">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w:t>
      </w:r>
      <w:r w:rsidR="00B01F4D">
        <w:t>Court</w:t>
      </w:r>
      <w:r w:rsidRPr="00554B03">
        <w:t xml:space="preserve">, and local laws, rules, regulations, rules of </w:t>
      </w:r>
      <w:r w:rsidR="00B01F4D">
        <w:t>Court</w:t>
      </w:r>
      <w:r w:rsidRPr="00554B03">
        <w:t xml:space="preserve">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xml:space="preserve">.  This Agreement shall be governed by and interpreted in accordance with California law, without regard to any conflict of law provisions that would direct the application of the laws of any other jurisdiction.  Contractor irrevocably consents to personal jurisdiction in the </w:t>
      </w:r>
      <w:r w:rsidR="00B01F4D">
        <w:t>Court</w:t>
      </w:r>
      <w:r w:rsidRPr="00554B03">
        <w:t xml:space="preserve">s of the </w:t>
      </w:r>
      <w:r w:rsidR="00B01F4D">
        <w:t>Court</w:t>
      </w:r>
      <w:r w:rsidRPr="00554B03">
        <w:t xml:space="preserve"> of California, and any legal action filed by Contractor in connection with the Agreement must be filed in San </w:t>
      </w:r>
      <w:r w:rsidR="00E714F2">
        <w:t>Diego</w:t>
      </w:r>
      <w:r w:rsidRPr="00554B03">
        <w:t xml:space="preserve">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lastRenderedPageBreak/>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xml:space="preserve">.  All notices, requests, demands, and other communications hereunder must be in writing and will be deemed to have been duly given when hand delivered or five (5) days after being deposited in the United </w:t>
      </w:r>
      <w:r w:rsidR="00B01F4D">
        <w:t>Court</w:t>
      </w:r>
      <w:r w:rsidRPr="00554B03">
        <w:t>s mail, if mailed by certified or registered mail, return receipt requested, postage prepaid, to the following contact information or at such other address as delivered by like notice:</w:t>
      </w:r>
    </w:p>
    <w:p w:rsidR="00B01F4D"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 xml:space="preserve">To the </w:t>
      </w:r>
      <w:r w:rsidR="00B01F4D">
        <w:rPr>
          <w:rStyle w:val="StyleExhibitA2UnderlineChar"/>
          <w:b/>
          <w:u w:val="none"/>
        </w:rPr>
        <w:t>Court</w:t>
      </w:r>
      <w:r w:rsidRPr="00554B03">
        <w:rPr>
          <w:rStyle w:val="StyleExhibitA2UnderlineChar"/>
          <w:u w:val="none"/>
        </w:rPr>
        <w:t>:</w:t>
      </w:r>
    </w:p>
    <w:p w:rsidR="009207F7" w:rsidRPr="00554B03" w:rsidRDefault="00B01F4D"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Pr>
          <w:rStyle w:val="StyleExhibitA2UnderlineChar"/>
          <w:u w:val="none"/>
        </w:rPr>
        <w:tab/>
        <w:t xml:space="preserve">         ______________</w:t>
      </w:r>
      <w:r w:rsidR="009207F7" w:rsidRPr="00554B03">
        <w:rPr>
          <w:rStyle w:val="StyleExhibitA2UnderlineChar"/>
          <w:u w:val="none"/>
        </w:rPr>
        <w:tab/>
      </w:r>
    </w:p>
    <w:p w:rsidR="009207F7" w:rsidRPr="00554B03" w:rsidRDefault="00B01F4D"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Pr>
          <w:rStyle w:val="StyleExhibitA2UnderlineChar"/>
          <w:u w:val="none"/>
        </w:rPr>
        <w:t>______________</w:t>
      </w:r>
    </w:p>
    <w:p w:rsidR="009207F7"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Pr>
          <w:rStyle w:val="StyleExhibitA2UnderlineChar"/>
          <w:u w:val="none"/>
        </w:rPr>
        <w:t>______________</w:t>
      </w:r>
    </w:p>
    <w:p w:rsidR="00B01F4D" w:rsidRPr="00554B03" w:rsidRDefault="00B01F4D"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 xml:space="preserve">Contractor shall assign to the </w:t>
      </w:r>
      <w:r w:rsidR="00B01F4D">
        <w:rPr>
          <w:rStyle w:val="StyleExhibitA2UnderlineChar"/>
          <w:u w:val="none"/>
        </w:rPr>
        <w:t>COURT</w:t>
      </w:r>
      <w:r w:rsidRPr="00554B03">
        <w:rPr>
          <w:rStyle w:val="StyleExhibitA2UnderlineChar"/>
          <w:u w:val="none"/>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01F4D">
        <w:rPr>
          <w:rStyle w:val="StyleExhibitA2UnderlineChar"/>
          <w:u w:val="none"/>
        </w:rPr>
        <w:t>COURT</w:t>
      </w:r>
      <w:r w:rsidRPr="00554B03">
        <w:rPr>
          <w:rStyle w:val="StyleExhibitA2UnderlineChar"/>
          <w:u w:val="none"/>
        </w:rPr>
        <w:t xml:space="preserve">. Such assignment shall be made and become effective at the time the </w:t>
      </w:r>
      <w:r w:rsidR="00B01F4D">
        <w:rPr>
          <w:rStyle w:val="StyleExhibitA2UnderlineChar"/>
          <w:u w:val="none"/>
        </w:rPr>
        <w:t>COURT</w:t>
      </w:r>
      <w:r w:rsidRPr="00554B03">
        <w:rPr>
          <w:rStyle w:val="StyleExhibitA2UnderlineChar"/>
          <w:u w:val="none"/>
        </w:rPr>
        <w:t xml:space="preserve">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lastRenderedPageBreak/>
        <w:t xml:space="preserve">If the </w:t>
      </w:r>
      <w:r w:rsidR="00E714F2">
        <w:rPr>
          <w:rStyle w:val="StyleExhibitA2UnderlineChar"/>
          <w:u w:val="none"/>
        </w:rPr>
        <w:t>Court</w:t>
      </w:r>
      <w:r w:rsidRPr="00554B03">
        <w:rPr>
          <w:rStyle w:val="StyleExhibitA2UnderlineChar"/>
          <w:u w:val="none"/>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B01F4D">
        <w:rPr>
          <w:rStyle w:val="StyleExhibitA2UnderlineChar"/>
          <w:u w:val="none"/>
        </w:rPr>
        <w:t>COURT</w:t>
      </w:r>
      <w:r w:rsidRPr="00554B03">
        <w:rPr>
          <w:rStyle w:val="StyleExhibitA2UnderlineChar"/>
          <w:u w:val="none"/>
        </w:rPr>
        <w:t xml:space="preserve"> any portion of the recovery, including treble damages, attributable to overcharges that were paid by the Contractor but were not paid by the </w:t>
      </w:r>
      <w:r w:rsidR="00E714F2">
        <w:rPr>
          <w:rStyle w:val="StyleExhibitA2UnderlineChar"/>
          <w:u w:val="none"/>
        </w:rPr>
        <w:t>Court</w:t>
      </w:r>
      <w:r w:rsidRPr="00554B03">
        <w:rPr>
          <w:rStyle w:val="StyleExhibitA2UnderlineChar"/>
          <w:u w:val="none"/>
        </w:rPr>
        <w:t xml:space="preserve">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w:t>
      </w:r>
      <w:r w:rsidR="00E714F2">
        <w:rPr>
          <w:rStyle w:val="StyleExhibitA2UnderlineChar"/>
          <w:u w:val="none"/>
        </w:rPr>
        <w:t>Court</w:t>
      </w:r>
      <w:r w:rsidRPr="00554B03">
        <w:rPr>
          <w:rStyle w:val="StyleExhibitA2UnderlineChar"/>
          <w:u w:val="none"/>
        </w:rPr>
        <w:t xml:space="preserve"> shall, within one year from such demand, reassign the cause of action assigned under this part if the Contractor has been or may have been injured by the violation of law for which the cause of action arose and (a) the </w:t>
      </w:r>
      <w:r w:rsidR="00B01F4D">
        <w:rPr>
          <w:rStyle w:val="StyleExhibitA2UnderlineChar"/>
          <w:u w:val="none"/>
        </w:rPr>
        <w:t>COURT</w:t>
      </w:r>
      <w:r w:rsidRPr="00554B03">
        <w:rPr>
          <w:rStyle w:val="StyleExhibitA2UnderlineChar"/>
          <w:u w:val="none"/>
        </w:rPr>
        <w:t xml:space="preserve"> has not been injured thereby, or (b) the </w:t>
      </w:r>
      <w:r w:rsidR="00E714F2">
        <w:rPr>
          <w:rStyle w:val="StyleExhibitA2UnderlineChar"/>
          <w:u w:val="none"/>
        </w:rPr>
        <w:t>Court</w:t>
      </w:r>
      <w:r w:rsidRPr="00554B03">
        <w:rPr>
          <w:rStyle w:val="StyleExhibitA2UnderlineChar"/>
          <w:u w:val="none"/>
        </w:rPr>
        <w:t xml:space="preserve"> declines to file a </w:t>
      </w:r>
      <w:r w:rsidR="00B01F4D">
        <w:rPr>
          <w:rStyle w:val="StyleExhibitA2UnderlineChar"/>
          <w:u w:val="none"/>
        </w:rPr>
        <w:t>Court</w:t>
      </w:r>
      <w:r w:rsidRPr="00554B03">
        <w:rPr>
          <w:rStyle w:val="StyleExhibitA2UnderlineChar"/>
          <w:u w:val="none"/>
        </w:rPr>
        <w:t xml:space="preserve">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B01F4D">
        <w:rPr>
          <w:b/>
          <w:i/>
        </w:rPr>
        <w:t>ATTACHMENT 2</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headerReference w:type="default" r:id="rId8"/>
      <w:footerReference w:type="default" r:id="rId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60" w:rsidRDefault="00A81860" w:rsidP="00DC6DD0">
      <w:r>
        <w:separator/>
      </w:r>
    </w:p>
  </w:endnote>
  <w:endnote w:type="continuationSeparator" w:id="0">
    <w:p w:rsidR="00A81860" w:rsidRDefault="00A81860"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5143C4" w:rsidRDefault="005143C4" w:rsidP="00720D4E">
            <w:pPr>
              <w:pStyle w:val="Footer"/>
              <w:jc w:val="right"/>
            </w:pPr>
            <w:r>
              <w:t xml:space="preserve">Page </w:t>
            </w:r>
            <w:r w:rsidR="004071FC">
              <w:rPr>
                <w:b/>
                <w:sz w:val="24"/>
              </w:rPr>
              <w:fldChar w:fldCharType="begin"/>
            </w:r>
            <w:r>
              <w:rPr>
                <w:b/>
              </w:rPr>
              <w:instrText xml:space="preserve"> PAGE </w:instrText>
            </w:r>
            <w:r w:rsidR="004071FC">
              <w:rPr>
                <w:b/>
                <w:sz w:val="24"/>
              </w:rPr>
              <w:fldChar w:fldCharType="separate"/>
            </w:r>
            <w:r w:rsidR="005F3B15">
              <w:rPr>
                <w:b/>
                <w:noProof/>
              </w:rPr>
              <w:t>1</w:t>
            </w:r>
            <w:r w:rsidR="004071FC">
              <w:rPr>
                <w:b/>
                <w:sz w:val="24"/>
              </w:rPr>
              <w:fldChar w:fldCharType="end"/>
            </w:r>
            <w:r>
              <w:t xml:space="preserve"> of </w:t>
            </w:r>
            <w:r w:rsidR="004071FC">
              <w:rPr>
                <w:b/>
                <w:sz w:val="24"/>
              </w:rPr>
              <w:fldChar w:fldCharType="begin"/>
            </w:r>
            <w:r>
              <w:rPr>
                <w:b/>
              </w:rPr>
              <w:instrText xml:space="preserve"> NUMPAGES  </w:instrText>
            </w:r>
            <w:r w:rsidR="004071FC">
              <w:rPr>
                <w:b/>
                <w:sz w:val="24"/>
              </w:rPr>
              <w:fldChar w:fldCharType="separate"/>
            </w:r>
            <w:r w:rsidR="005F3B15">
              <w:rPr>
                <w:b/>
                <w:noProof/>
              </w:rPr>
              <w:t>19</w:t>
            </w:r>
            <w:r w:rsidR="004071FC">
              <w:rPr>
                <w:b/>
                <w:sz w:val="24"/>
              </w:rPr>
              <w:fldChar w:fldCharType="end"/>
            </w:r>
          </w:p>
        </w:sdtContent>
      </w:sdt>
    </w:sdtContent>
  </w:sdt>
  <w:p w:rsidR="005143C4" w:rsidRDefault="00514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60" w:rsidRDefault="00A81860" w:rsidP="00DC6DD0">
      <w:r>
        <w:separator/>
      </w:r>
    </w:p>
  </w:footnote>
  <w:footnote w:type="continuationSeparator" w:id="0">
    <w:p w:rsidR="00A81860" w:rsidRDefault="00A81860" w:rsidP="00DC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C4" w:rsidRDefault="005143C4" w:rsidP="005F3B15">
    <w:pPr>
      <w:pStyle w:val="Header"/>
      <w:ind w:left="-180" w:right="-216"/>
    </w:pPr>
    <w:r>
      <w:t xml:space="preserve">RFP Title:  </w:t>
    </w:r>
    <w:r w:rsidR="005F3B15">
      <w:t xml:space="preserve">Building Services Agreement: </w:t>
    </w:r>
    <w:r w:rsidR="005F3B15" w:rsidRPr="00580E03">
      <w:t xml:space="preserve">HVAC Replacement of </w:t>
    </w:r>
    <w:r w:rsidR="005F3B15">
      <w:t xml:space="preserve">up to </w:t>
    </w:r>
    <w:r w:rsidR="005F3B15" w:rsidRPr="004C595F">
      <w:t>75</w:t>
    </w:r>
    <w:r w:rsidR="005F3B15" w:rsidRPr="00580E03">
      <w:t xml:space="preserve"> Hot Water Valves on VAV Boxes</w:t>
    </w:r>
  </w:p>
  <w:p w:rsidR="005143C4" w:rsidRDefault="005143C4" w:rsidP="005F3B15">
    <w:pPr>
      <w:pStyle w:val="Header"/>
      <w:ind w:left="-180"/>
    </w:pPr>
    <w:r>
      <w:t>RFP #4/2 RFP 1</w:t>
    </w:r>
    <w:r w:rsidR="005F3B15">
      <w:t>3/14-01</w:t>
    </w:r>
    <w:r>
      <w:t>G</w:t>
    </w:r>
    <w:r w:rsidR="00A81123">
      <w:t>W</w:t>
    </w:r>
  </w:p>
  <w:p w:rsidR="005143C4" w:rsidRPr="00310A4E" w:rsidRDefault="005143C4" w:rsidP="00310A4E">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drawingGridHorizontalSpacing w:val="120"/>
  <w:displayHorizontalDrawingGridEvery w:val="2"/>
  <w:displayVerticalDrawingGridEvery w:val="2"/>
  <w:characterSpacingControl w:val="doNotCompress"/>
  <w:hdrShapeDefaults>
    <o:shapedefaults v:ext="edit" spidmax="56322"/>
  </w:hdrShapeDefaults>
  <w:footnotePr>
    <w:footnote w:id="-1"/>
    <w:footnote w:id="0"/>
  </w:footnotePr>
  <w:endnotePr>
    <w:endnote w:id="-1"/>
    <w:endnote w:id="0"/>
  </w:endnotePr>
  <w:compat/>
  <w:rsids>
    <w:rsidRoot w:val="00DC6DD0"/>
    <w:rsid w:val="00062F60"/>
    <w:rsid w:val="000676D1"/>
    <w:rsid w:val="00090CF5"/>
    <w:rsid w:val="000A4AE4"/>
    <w:rsid w:val="000A7E13"/>
    <w:rsid w:val="000C6FF5"/>
    <w:rsid w:val="000C7C51"/>
    <w:rsid w:val="000E046B"/>
    <w:rsid w:val="001028D5"/>
    <w:rsid w:val="00106331"/>
    <w:rsid w:val="00145FD8"/>
    <w:rsid w:val="00164AAB"/>
    <w:rsid w:val="00166984"/>
    <w:rsid w:val="00171F1E"/>
    <w:rsid w:val="001F4DE9"/>
    <w:rsid w:val="002006A3"/>
    <w:rsid w:val="00200D81"/>
    <w:rsid w:val="002E564D"/>
    <w:rsid w:val="002F4363"/>
    <w:rsid w:val="00304F11"/>
    <w:rsid w:val="00310A4E"/>
    <w:rsid w:val="00320EE0"/>
    <w:rsid w:val="00325933"/>
    <w:rsid w:val="00335364"/>
    <w:rsid w:val="00336153"/>
    <w:rsid w:val="00337A35"/>
    <w:rsid w:val="0034134D"/>
    <w:rsid w:val="0035437E"/>
    <w:rsid w:val="00367666"/>
    <w:rsid w:val="003C4DC8"/>
    <w:rsid w:val="003F57FE"/>
    <w:rsid w:val="004071FC"/>
    <w:rsid w:val="00432FB6"/>
    <w:rsid w:val="0043387D"/>
    <w:rsid w:val="00476ADE"/>
    <w:rsid w:val="004A0F82"/>
    <w:rsid w:val="004A60FB"/>
    <w:rsid w:val="004B244B"/>
    <w:rsid w:val="005023CB"/>
    <w:rsid w:val="005143C4"/>
    <w:rsid w:val="00530649"/>
    <w:rsid w:val="00532FF4"/>
    <w:rsid w:val="0054162B"/>
    <w:rsid w:val="00545797"/>
    <w:rsid w:val="00546E86"/>
    <w:rsid w:val="00554B03"/>
    <w:rsid w:val="005D0891"/>
    <w:rsid w:val="005D7105"/>
    <w:rsid w:val="005F3B15"/>
    <w:rsid w:val="005F6CF9"/>
    <w:rsid w:val="005F7D1E"/>
    <w:rsid w:val="006000B8"/>
    <w:rsid w:val="006168ED"/>
    <w:rsid w:val="006423B1"/>
    <w:rsid w:val="0067363E"/>
    <w:rsid w:val="006A5A98"/>
    <w:rsid w:val="006B7972"/>
    <w:rsid w:val="006C1278"/>
    <w:rsid w:val="00700A26"/>
    <w:rsid w:val="00720D4E"/>
    <w:rsid w:val="007711F0"/>
    <w:rsid w:val="007B3C78"/>
    <w:rsid w:val="007E3F96"/>
    <w:rsid w:val="00807154"/>
    <w:rsid w:val="00807B93"/>
    <w:rsid w:val="00816F84"/>
    <w:rsid w:val="00832954"/>
    <w:rsid w:val="008342A4"/>
    <w:rsid w:val="00887FAD"/>
    <w:rsid w:val="008A3B3E"/>
    <w:rsid w:val="008F1613"/>
    <w:rsid w:val="008F1D86"/>
    <w:rsid w:val="009207F7"/>
    <w:rsid w:val="00926AD7"/>
    <w:rsid w:val="009348C1"/>
    <w:rsid w:val="00975A9B"/>
    <w:rsid w:val="009E1296"/>
    <w:rsid w:val="009E5E80"/>
    <w:rsid w:val="00A25E68"/>
    <w:rsid w:val="00A76A67"/>
    <w:rsid w:val="00A81123"/>
    <w:rsid w:val="00A81860"/>
    <w:rsid w:val="00AC01F8"/>
    <w:rsid w:val="00AC4C56"/>
    <w:rsid w:val="00B01F4D"/>
    <w:rsid w:val="00B349EF"/>
    <w:rsid w:val="00B35226"/>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714F2"/>
    <w:rsid w:val="00E8262A"/>
    <w:rsid w:val="00EF72FA"/>
    <w:rsid w:val="00F03283"/>
    <w:rsid w:val="00F21A9D"/>
    <w:rsid w:val="00F60663"/>
    <w:rsid w:val="00F6126D"/>
    <w:rsid w:val="00F667DE"/>
    <w:rsid w:val="00F773F1"/>
    <w:rsid w:val="00F81883"/>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uiPriority w:val="99"/>
    <w:rsid w:val="00DC6DD0"/>
    <w:pPr>
      <w:tabs>
        <w:tab w:val="center" w:pos="4320"/>
        <w:tab w:val="right" w:pos="8640"/>
      </w:tabs>
    </w:pPr>
  </w:style>
  <w:style w:type="character" w:customStyle="1" w:styleId="HeaderChar">
    <w:name w:val="Header Char"/>
    <w:basedOn w:val="DefaultParagraphFont"/>
    <w:link w:val="Header"/>
    <w:uiPriority w:val="99"/>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divs>
    <w:div w:id="679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B928-DA13-4C8F-AF62-F18FBCA7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7623</Words>
  <Characters>44978</Characters>
  <Application>Microsoft Office Word</Application>
  <DocSecurity>0</DocSecurity>
  <Lines>2367</Lines>
  <Paragraphs>1031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Grant Walker</cp:lastModifiedBy>
  <cp:revision>2</cp:revision>
  <cp:lastPrinted>2012-07-24T22:36:00Z</cp:lastPrinted>
  <dcterms:created xsi:type="dcterms:W3CDTF">2013-12-06T21:40:00Z</dcterms:created>
  <dcterms:modified xsi:type="dcterms:W3CDTF">2013-12-06T21:40:00Z</dcterms:modified>
</cp:coreProperties>
</file>