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2E5AD5">
      <w:pPr>
        <w:pStyle w:val="Heading10"/>
        <w:keepNext w:val="0"/>
        <w:widowControl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0E1960">
      <w:pPr>
        <w:pStyle w:val="Heading10"/>
        <w:keepNext w:val="0"/>
        <w:widowControl w:val="0"/>
        <w:ind w:right="144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0E1960">
      <w:pPr>
        <w:pStyle w:val="Heading10"/>
        <w:keepNext w:val="0"/>
        <w:widowControl w:val="0"/>
        <w:ind w:right="144"/>
        <w:jc w:val="both"/>
        <w:rPr>
          <w:color w:val="000000" w:themeColor="text1"/>
          <w:sz w:val="26"/>
          <w:szCs w:val="26"/>
        </w:rPr>
      </w:pPr>
    </w:p>
    <w:p w:rsidR="00307672" w:rsidRPr="0046465F" w:rsidRDefault="00307672" w:rsidP="00EF0C8D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  <w:tab w:val="left" w:pos="10080"/>
        </w:tabs>
        <w:spacing w:before="240"/>
        <w:ind w:right="144"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6C4008">
        <w:rPr>
          <w:color w:val="000000" w:themeColor="text1"/>
        </w:rPr>
        <w:t xml:space="preserve"> </w:t>
      </w:r>
      <w:r w:rsidR="006C4008" w:rsidRPr="006C4008">
        <w:rPr>
          <w:b/>
          <w:color w:val="000000" w:themeColor="text1"/>
        </w:rPr>
        <w:t>Paula Garcia</w:t>
      </w:r>
      <w:r w:rsidR="006C4008">
        <w:rPr>
          <w:color w:val="000000" w:themeColor="text1"/>
        </w:rPr>
        <w:t xml:space="preserve"> </w:t>
      </w:r>
      <w:r w:rsidR="00A534A8">
        <w:rPr>
          <w:color w:val="000000" w:themeColor="text1"/>
        </w:rPr>
        <w:t xml:space="preserve">at </w:t>
      </w:r>
      <w:hyperlink r:id="rId7" w:history="1">
        <w:r w:rsidR="00A024FE" w:rsidRPr="00E92350">
          <w:rPr>
            <w:rStyle w:val="Hyperlink"/>
          </w:rPr>
          <w:t>Paula.Garcia@jud.ca.gov</w:t>
        </w:r>
      </w:hyperlink>
      <w:r w:rsidR="00C518A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>(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 xml:space="preserve">Proposers must include </w:t>
      </w:r>
      <w:r w:rsidR="0003084F"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EF0C8D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566A1B">
        <w:rPr>
          <w:color w:val="000000" w:themeColor="text1"/>
        </w:rPr>
        <w:t>Court</w:t>
      </w:r>
      <w:r w:rsidR="00566A1B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EF0C8D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WITHDRAWAL AND RESUBMISSION/MODIFICATION OF PROPOSALS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566A1B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7F4CFD">
      <w:pPr>
        <w:pStyle w:val="ExhibitC2"/>
        <w:widowControl w:val="0"/>
        <w:spacing w:before="120" w:after="240"/>
        <w:ind w:right="144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46760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46760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546760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546760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7F4CFD">
      <w:pPr>
        <w:pStyle w:val="ExhibitC2"/>
        <w:widowControl w:val="0"/>
        <w:spacing w:before="120" w:after="240"/>
        <w:ind w:right="144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546760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546760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54676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54676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7F4CFD">
      <w:pPr>
        <w:pStyle w:val="ExhibitC2"/>
        <w:widowControl w:val="0"/>
        <w:spacing w:before="120" w:after="240"/>
        <w:ind w:right="144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46760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546760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546760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546760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7F4CFD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lastRenderedPageBreak/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7F4CFD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546760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7F4CFD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546760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546760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546760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546760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7F4CFD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546760" w:rsidRPr="00546760">
        <w:rPr>
          <w:b/>
          <w:color w:val="000000" w:themeColor="text1"/>
        </w:rPr>
        <w:t>COURT D</w:t>
      </w:r>
      <w:r w:rsidRPr="00471CA0">
        <w:rPr>
          <w:b/>
          <w:color w:val="000000" w:themeColor="text1"/>
        </w:rPr>
        <w:t>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6C4008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6C4008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546760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6C4008">
      <w:pPr>
        <w:pStyle w:val="ExhibitC2"/>
        <w:widowControl w:val="0"/>
        <w:numPr>
          <w:ilvl w:val="0"/>
          <w:numId w:val="0"/>
        </w:numPr>
        <w:spacing w:before="120" w:after="24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1440" w:right="144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546760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 xml:space="preserve">end </w:t>
      </w:r>
      <w:r w:rsidR="00307672" w:rsidRPr="0046465F">
        <w:rPr>
          <w:color w:val="000000" w:themeColor="text1"/>
        </w:rPr>
        <w:lastRenderedPageBreak/>
        <w:t>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546760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E1960">
      <w:pPr>
        <w:pStyle w:val="ExhibitC2"/>
        <w:widowControl w:val="0"/>
        <w:numPr>
          <w:ilvl w:val="0"/>
          <w:numId w:val="0"/>
        </w:numPr>
        <w:spacing w:before="120" w:after="120"/>
        <w:ind w:left="720" w:right="144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4B3E04">
        <w:rPr>
          <w:color w:val="000000" w:themeColor="text1"/>
        </w:rPr>
        <w:t>Paula Garcia</w:t>
      </w:r>
      <w:r w:rsidRPr="0046465F">
        <w:rPr>
          <w:color w:val="000000" w:themeColor="text1"/>
        </w:rPr>
        <w:t>.</w:t>
      </w:r>
    </w:p>
    <w:p w:rsidR="00307672" w:rsidRPr="0046465F" w:rsidRDefault="00307672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0E1960">
      <w:pPr>
        <w:pStyle w:val="Heading10"/>
        <w:keepNext w:val="0"/>
        <w:widowControl w:val="0"/>
        <w:ind w:left="1440" w:right="144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>the</w:t>
      </w:r>
      <w:r w:rsidR="00546760">
        <w:rPr>
          <w:b w:val="0"/>
          <w:caps w:val="0"/>
          <w:color w:val="000000" w:themeColor="text1"/>
        </w:rPr>
        <w:t xml:space="preserve"> 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54676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54676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54676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0E1960">
      <w:pPr>
        <w:pStyle w:val="Heading10"/>
        <w:keepNext w:val="0"/>
        <w:widowControl w:val="0"/>
        <w:ind w:left="1440" w:right="144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0E1960">
      <w:pPr>
        <w:pStyle w:val="Heading10"/>
        <w:keepNext w:val="0"/>
        <w:widowControl w:val="0"/>
        <w:ind w:left="1440" w:right="144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BE347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BE347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0E1960">
      <w:pPr>
        <w:pStyle w:val="Heading10"/>
        <w:keepNext w:val="0"/>
        <w:widowControl w:val="0"/>
        <w:ind w:left="1440" w:right="144" w:hanging="720"/>
        <w:jc w:val="both"/>
        <w:rPr>
          <w:b w:val="0"/>
          <w:caps w:val="0"/>
          <w:color w:val="000000" w:themeColor="text1"/>
        </w:rPr>
      </w:pPr>
    </w:p>
    <w:p w:rsidR="0088206E" w:rsidRDefault="00307672" w:rsidP="000E1960">
      <w:pPr>
        <w:pStyle w:val="Heading10"/>
        <w:keepNext w:val="0"/>
        <w:widowControl w:val="0"/>
        <w:ind w:left="1440" w:right="144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E347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BE347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BE3470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0E196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right="144"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024FE" w:rsidRDefault="00CD614D" w:rsidP="000E1960">
      <w:pPr>
        <w:pStyle w:val="Heading10"/>
        <w:keepNext w:val="0"/>
        <w:widowControl w:val="0"/>
        <w:ind w:left="720" w:right="144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BE3470">
        <w:rPr>
          <w:b w:val="0"/>
          <w:caps w:val="0"/>
          <w:color w:val="000000" w:themeColor="text1"/>
        </w:rPr>
        <w:t>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</w:t>
      </w:r>
      <w:r w:rsidR="004B3E04">
        <w:rPr>
          <w:b w:val="0"/>
          <w:caps w:val="0"/>
          <w:color w:val="000000" w:themeColor="text1"/>
        </w:rPr>
        <w:t xml:space="preserve"> </w:t>
      </w:r>
      <w:r w:rsidR="006C4008">
        <w:rPr>
          <w:b w:val="0"/>
          <w:caps w:val="0"/>
          <w:color w:val="000000" w:themeColor="text1"/>
        </w:rPr>
        <w:t xml:space="preserve">      </w:t>
      </w:r>
      <w:r w:rsidR="004B3E04" w:rsidRPr="006C4008">
        <w:rPr>
          <w:caps w:val="0"/>
          <w:color w:val="000000" w:themeColor="text1"/>
        </w:rPr>
        <w:t>Paula Garcia</w:t>
      </w:r>
      <w:r w:rsidR="00613E5D">
        <w:rPr>
          <w:b w:val="0"/>
          <w:caps w:val="0"/>
          <w:color w:val="000000" w:themeColor="text1"/>
        </w:rPr>
        <w:t xml:space="preserve"> at </w:t>
      </w:r>
      <w:hyperlink r:id="rId8" w:history="1">
        <w:proofErr w:type="spellStart"/>
        <w:r w:rsidR="00A024FE" w:rsidRPr="00E92350">
          <w:rPr>
            <w:rStyle w:val="Hyperlink"/>
            <w:b w:val="0"/>
            <w:caps w:val="0"/>
          </w:rPr>
          <w:t>Paula.Garcia@jud.ca.gov</w:t>
        </w:r>
        <w:proofErr w:type="spellEnd"/>
      </w:hyperlink>
      <w:r w:rsidR="00A024FE">
        <w:rPr>
          <w:b w:val="0"/>
          <w:caps w:val="0"/>
          <w:color w:val="000000" w:themeColor="text1"/>
        </w:rPr>
        <w:t>.</w:t>
      </w:r>
    </w:p>
    <w:p w:rsidR="00CD614D" w:rsidRDefault="008A2A08" w:rsidP="000E1960">
      <w:pPr>
        <w:pStyle w:val="Heading10"/>
        <w:keepNext w:val="0"/>
        <w:widowControl w:val="0"/>
        <w:ind w:left="720" w:right="144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.</w:t>
      </w:r>
    </w:p>
    <w:p w:rsidR="00941FAE" w:rsidRPr="00941FAE" w:rsidRDefault="00F71129" w:rsidP="005F6664">
      <w:pPr>
        <w:pStyle w:val="Heading10"/>
        <w:keepNext w:val="0"/>
        <w:widowControl w:val="0"/>
        <w:tabs>
          <w:tab w:val="clear" w:pos="10710"/>
        </w:tabs>
        <w:ind w:left="720" w:right="144" w:firstLine="0"/>
        <w:jc w:val="left"/>
        <w:rPr>
          <w:i/>
          <w:caps w:val="0"/>
          <w:color w:val="000000" w:themeColor="text1"/>
        </w:rPr>
      </w:pPr>
      <w:sdt>
        <w:sdtPr>
          <w:id w:val="18165802"/>
          <w:docPartObj>
            <w:docPartGallery w:val="Page Numbers (Bottom of Page)"/>
            <w:docPartUnique/>
          </w:docPartObj>
        </w:sdtPr>
        <w:sdtContent>
          <w:r w:rsidR="005F6664" w:rsidRPr="00660FD6">
            <w:rPr>
              <w:b w:val="0"/>
              <w:caps w:val="0"/>
              <w:sz w:val="18"/>
              <w:szCs w:val="18"/>
            </w:rPr>
            <w:t>(</w:t>
          </w:r>
          <w:proofErr w:type="gramStart"/>
          <w:r w:rsidR="005F6664" w:rsidRPr="00660FD6">
            <w:rPr>
              <w:b w:val="0"/>
              <w:caps w:val="0"/>
              <w:sz w:val="18"/>
              <w:szCs w:val="18"/>
            </w:rPr>
            <w:t>rev</w:t>
          </w:r>
          <w:proofErr w:type="gramEnd"/>
          <w:r w:rsidR="005F6664" w:rsidRPr="00660FD6">
            <w:rPr>
              <w:b w:val="0"/>
              <w:caps w:val="0"/>
              <w:sz w:val="18"/>
              <w:szCs w:val="18"/>
            </w:rPr>
            <w:t xml:space="preserve"> 1-1-14)</w:t>
          </w:r>
          <w:r w:rsidR="005F6664">
            <w:rPr>
              <w:b w:val="0"/>
              <w:caps w:val="0"/>
              <w:sz w:val="18"/>
              <w:szCs w:val="18"/>
            </w:rPr>
            <w:tab/>
          </w:r>
          <w:r w:rsidR="005F6664">
            <w:rPr>
              <w:b w:val="0"/>
              <w:caps w:val="0"/>
              <w:sz w:val="18"/>
              <w:szCs w:val="18"/>
            </w:rPr>
            <w:tab/>
          </w:r>
          <w:r w:rsidR="005F6664">
            <w:rPr>
              <w:b w:val="0"/>
              <w:caps w:val="0"/>
              <w:sz w:val="18"/>
              <w:szCs w:val="18"/>
            </w:rPr>
            <w:tab/>
          </w:r>
        </w:sdtContent>
      </w:sdt>
      <w:r w:rsidR="00941FAE">
        <w:rPr>
          <w:i/>
          <w:caps w:val="0"/>
          <w:color w:val="000000" w:themeColor="text1"/>
        </w:rPr>
        <w:t>END OF ATTACHMENT</w:t>
      </w:r>
    </w:p>
    <w:sectPr w:rsidR="00941FAE" w:rsidRPr="00941FAE" w:rsidSect="002E5AD5">
      <w:headerReference w:type="default" r:id="rId9"/>
      <w:footerReference w:type="default" r:id="rId10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A9" w:rsidRDefault="00D927A9" w:rsidP="00FE3A85">
      <w:r>
        <w:separator/>
      </w:r>
    </w:p>
  </w:endnote>
  <w:endnote w:type="continuationSeparator" w:id="0">
    <w:p w:rsidR="00D927A9" w:rsidRDefault="00D927A9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A9" w:rsidRDefault="00D927A9" w:rsidP="000F0B73">
    <w:pPr>
      <w:pStyle w:val="Footer"/>
      <w:tabs>
        <w:tab w:val="clear" w:pos="4680"/>
        <w:tab w:val="clear" w:pos="9360"/>
        <w:tab w:val="right" w:pos="10080"/>
      </w:tabs>
      <w:ind w:right="144"/>
      <w:jc w:val="right"/>
    </w:pPr>
    <w:r>
      <w:tab/>
    </w:r>
    <w:sdt>
      <w:sdtPr>
        <w:id w:val="860082579"/>
        <w:docPartObj>
          <w:docPartGallery w:val="Page Numbers (Top of Page)"/>
          <w:docPartUnique/>
        </w:docPartObj>
      </w:sdtPr>
      <w:sdtContent>
        <w:r w:rsidRPr="00216DB7">
          <w:t xml:space="preserve">Page </w:t>
        </w:r>
        <w:r w:rsidRPr="00FE5F8C">
          <w:rPr>
            <w:bCs/>
          </w:rPr>
          <w:fldChar w:fldCharType="begin"/>
        </w:r>
        <w:r w:rsidRPr="00FE5F8C">
          <w:rPr>
            <w:bCs/>
          </w:rPr>
          <w:instrText xml:space="preserve"> PAGE </w:instrText>
        </w:r>
        <w:r w:rsidRPr="00FE5F8C">
          <w:rPr>
            <w:bCs/>
          </w:rPr>
          <w:fldChar w:fldCharType="separate"/>
        </w:r>
        <w:r w:rsidR="005F0FBA">
          <w:rPr>
            <w:bCs/>
            <w:noProof/>
          </w:rPr>
          <w:t>1</w:t>
        </w:r>
        <w:r w:rsidRPr="00FE5F8C">
          <w:rPr>
            <w:bCs/>
          </w:rPr>
          <w:fldChar w:fldCharType="end"/>
        </w:r>
        <w:r w:rsidRPr="00216DB7">
          <w:t xml:space="preserve"> of </w:t>
        </w:r>
        <w:r>
          <w:rPr>
            <w:bCs/>
          </w:rPr>
          <w:fldChar w:fldCharType="begin"/>
        </w:r>
        <w:r>
          <w:rPr>
            <w:bCs/>
          </w:rPr>
          <w:instrText xml:space="preserve"> SECTIONPAGES  \# "0" \* Arabic </w:instrText>
        </w:r>
        <w:r>
          <w:rPr>
            <w:bCs/>
          </w:rPr>
          <w:fldChar w:fldCharType="separate"/>
        </w:r>
        <w:r w:rsidR="005F0FBA">
          <w:rPr>
            <w:bCs/>
            <w:noProof/>
          </w:rPr>
          <w:t>4</w:t>
        </w:r>
        <w:r>
          <w:rPr>
            <w:bCs/>
          </w:rPr>
          <w:fldChar w:fldCharType="end"/>
        </w:r>
      </w:sdtContent>
    </w:sdt>
  </w:p>
  <w:p w:rsidR="00D927A9" w:rsidRDefault="00D927A9" w:rsidP="00F80682">
    <w:pPr>
      <w:pStyle w:val="Footer"/>
      <w:tabs>
        <w:tab w:val="clear" w:pos="4680"/>
        <w:tab w:val="clear" w:pos="9360"/>
        <w:tab w:val="right" w:pos="10080"/>
      </w:tabs>
      <w:ind w:right="144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A9" w:rsidRDefault="00D927A9" w:rsidP="00FE3A85">
      <w:r>
        <w:separator/>
      </w:r>
    </w:p>
  </w:footnote>
  <w:footnote w:type="continuationSeparator" w:id="0">
    <w:p w:rsidR="00D927A9" w:rsidRDefault="00D927A9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A9" w:rsidRDefault="00D927A9" w:rsidP="00C53F0D">
    <w:pPr>
      <w:pStyle w:val="Header"/>
    </w:pPr>
    <w:r>
      <w:t>RFP Title:  Landscaping Services</w:t>
    </w:r>
  </w:p>
  <w:p w:rsidR="00D927A9" w:rsidRDefault="00D927A9" w:rsidP="00C53F0D">
    <w:pPr>
      <w:pStyle w:val="Header"/>
    </w:pPr>
    <w:r>
      <w:t>RFP No:    4/2 RFP 13/14-07-LM</w:t>
    </w:r>
  </w:p>
  <w:p w:rsidR="00D927A9" w:rsidRPr="00467E10" w:rsidRDefault="00D927A9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3084F"/>
    <w:rsid w:val="00062867"/>
    <w:rsid w:val="000643FC"/>
    <w:rsid w:val="00065EC2"/>
    <w:rsid w:val="00080391"/>
    <w:rsid w:val="00082956"/>
    <w:rsid w:val="000851DD"/>
    <w:rsid w:val="000E1960"/>
    <w:rsid w:val="000E334F"/>
    <w:rsid w:val="000F0B73"/>
    <w:rsid w:val="000F0BA1"/>
    <w:rsid w:val="00110583"/>
    <w:rsid w:val="00113EFB"/>
    <w:rsid w:val="00114BDD"/>
    <w:rsid w:val="00137A48"/>
    <w:rsid w:val="00142052"/>
    <w:rsid w:val="00166D99"/>
    <w:rsid w:val="00186BEE"/>
    <w:rsid w:val="001A3E9D"/>
    <w:rsid w:val="001B30D0"/>
    <w:rsid w:val="001C1C43"/>
    <w:rsid w:val="001C6E7F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2E5AD5"/>
    <w:rsid w:val="00307672"/>
    <w:rsid w:val="00310851"/>
    <w:rsid w:val="0034217D"/>
    <w:rsid w:val="003631CE"/>
    <w:rsid w:val="003A05BD"/>
    <w:rsid w:val="003A29FC"/>
    <w:rsid w:val="003A4098"/>
    <w:rsid w:val="00410195"/>
    <w:rsid w:val="00467E10"/>
    <w:rsid w:val="00471CA0"/>
    <w:rsid w:val="00472189"/>
    <w:rsid w:val="0048337C"/>
    <w:rsid w:val="004A3467"/>
    <w:rsid w:val="004B3E04"/>
    <w:rsid w:val="004C4568"/>
    <w:rsid w:val="004D26FC"/>
    <w:rsid w:val="004D7CA0"/>
    <w:rsid w:val="004E0170"/>
    <w:rsid w:val="00502034"/>
    <w:rsid w:val="005117E8"/>
    <w:rsid w:val="005257FA"/>
    <w:rsid w:val="00546760"/>
    <w:rsid w:val="00566A1B"/>
    <w:rsid w:val="005A0893"/>
    <w:rsid w:val="005A75FE"/>
    <w:rsid w:val="005B4CC2"/>
    <w:rsid w:val="005F0FBA"/>
    <w:rsid w:val="005F46B8"/>
    <w:rsid w:val="005F5B7A"/>
    <w:rsid w:val="005F6664"/>
    <w:rsid w:val="00610157"/>
    <w:rsid w:val="00612D33"/>
    <w:rsid w:val="00613E5D"/>
    <w:rsid w:val="00633DA3"/>
    <w:rsid w:val="0065558F"/>
    <w:rsid w:val="00660FD6"/>
    <w:rsid w:val="00693F86"/>
    <w:rsid w:val="006C2FCF"/>
    <w:rsid w:val="006C4008"/>
    <w:rsid w:val="006D02D3"/>
    <w:rsid w:val="006D73EA"/>
    <w:rsid w:val="0071240B"/>
    <w:rsid w:val="007166BF"/>
    <w:rsid w:val="007F4CFD"/>
    <w:rsid w:val="007F6FB5"/>
    <w:rsid w:val="008011C2"/>
    <w:rsid w:val="00801D07"/>
    <w:rsid w:val="008036AF"/>
    <w:rsid w:val="00806692"/>
    <w:rsid w:val="00813D3C"/>
    <w:rsid w:val="00814455"/>
    <w:rsid w:val="00825C56"/>
    <w:rsid w:val="008472CB"/>
    <w:rsid w:val="00875A22"/>
    <w:rsid w:val="0088206E"/>
    <w:rsid w:val="008A2A08"/>
    <w:rsid w:val="008A7439"/>
    <w:rsid w:val="008D5BD5"/>
    <w:rsid w:val="008F5EE9"/>
    <w:rsid w:val="00911F84"/>
    <w:rsid w:val="0092286C"/>
    <w:rsid w:val="00932690"/>
    <w:rsid w:val="00941FAE"/>
    <w:rsid w:val="0096434C"/>
    <w:rsid w:val="00964F6F"/>
    <w:rsid w:val="00991694"/>
    <w:rsid w:val="009931F5"/>
    <w:rsid w:val="009D1BBC"/>
    <w:rsid w:val="009D21D7"/>
    <w:rsid w:val="009E086E"/>
    <w:rsid w:val="009E0B6B"/>
    <w:rsid w:val="009F2280"/>
    <w:rsid w:val="00A024FE"/>
    <w:rsid w:val="00A1373D"/>
    <w:rsid w:val="00A23449"/>
    <w:rsid w:val="00A24954"/>
    <w:rsid w:val="00A534A8"/>
    <w:rsid w:val="00A60318"/>
    <w:rsid w:val="00A830A3"/>
    <w:rsid w:val="00A94588"/>
    <w:rsid w:val="00AA1F23"/>
    <w:rsid w:val="00AB12FC"/>
    <w:rsid w:val="00AB5D79"/>
    <w:rsid w:val="00AC6D76"/>
    <w:rsid w:val="00B5411A"/>
    <w:rsid w:val="00B71E3E"/>
    <w:rsid w:val="00BA46D4"/>
    <w:rsid w:val="00BD3DD2"/>
    <w:rsid w:val="00BE3470"/>
    <w:rsid w:val="00BF2464"/>
    <w:rsid w:val="00C13807"/>
    <w:rsid w:val="00C32AF4"/>
    <w:rsid w:val="00C34B56"/>
    <w:rsid w:val="00C518AF"/>
    <w:rsid w:val="00C53F0D"/>
    <w:rsid w:val="00C541CC"/>
    <w:rsid w:val="00C556E8"/>
    <w:rsid w:val="00C56F44"/>
    <w:rsid w:val="00C70747"/>
    <w:rsid w:val="00C86969"/>
    <w:rsid w:val="00C94B9A"/>
    <w:rsid w:val="00CB4253"/>
    <w:rsid w:val="00CC3379"/>
    <w:rsid w:val="00CD614D"/>
    <w:rsid w:val="00CF7BC9"/>
    <w:rsid w:val="00D11693"/>
    <w:rsid w:val="00D23561"/>
    <w:rsid w:val="00D33AE9"/>
    <w:rsid w:val="00D85E1E"/>
    <w:rsid w:val="00D927A9"/>
    <w:rsid w:val="00D945DA"/>
    <w:rsid w:val="00DA3495"/>
    <w:rsid w:val="00DA41A7"/>
    <w:rsid w:val="00DB287C"/>
    <w:rsid w:val="00DB76FD"/>
    <w:rsid w:val="00DC590A"/>
    <w:rsid w:val="00DD1F41"/>
    <w:rsid w:val="00E14DD7"/>
    <w:rsid w:val="00E42720"/>
    <w:rsid w:val="00E5025A"/>
    <w:rsid w:val="00E83B51"/>
    <w:rsid w:val="00EC757F"/>
    <w:rsid w:val="00EE33CB"/>
    <w:rsid w:val="00EE4E4C"/>
    <w:rsid w:val="00EF0C8D"/>
    <w:rsid w:val="00F01285"/>
    <w:rsid w:val="00F071CE"/>
    <w:rsid w:val="00F105C9"/>
    <w:rsid w:val="00F300CB"/>
    <w:rsid w:val="00F429AD"/>
    <w:rsid w:val="00F459F7"/>
    <w:rsid w:val="00F65844"/>
    <w:rsid w:val="00F662AA"/>
    <w:rsid w:val="00F71129"/>
    <w:rsid w:val="00F80682"/>
    <w:rsid w:val="00FA3EFE"/>
    <w:rsid w:val="00FC6079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Garcia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.Garcia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1</cp:revision>
  <cp:lastPrinted>2014-01-21T19:14:00Z</cp:lastPrinted>
  <dcterms:created xsi:type="dcterms:W3CDTF">2014-01-22T17:47:00Z</dcterms:created>
  <dcterms:modified xsi:type="dcterms:W3CDTF">2014-01-22T21:53:00Z</dcterms:modified>
</cp:coreProperties>
</file>