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51" w:rsidRPr="00D466C1" w:rsidRDefault="006B1451">
      <w:pPr>
        <w:pStyle w:val="Title"/>
        <w:rPr>
          <w:rFonts w:ascii="Arial" w:hAnsi="Arial" w:cs="Arial"/>
          <w:sz w:val="21"/>
          <w:szCs w:val="21"/>
        </w:rPr>
      </w:pPr>
      <w:r w:rsidRPr="00D466C1">
        <w:rPr>
          <w:rFonts w:ascii="Arial" w:hAnsi="Arial" w:cs="Arial"/>
          <w:sz w:val="21"/>
          <w:szCs w:val="21"/>
        </w:rPr>
        <w:t>TRAVEL RATE</w:t>
      </w:r>
      <w:r w:rsidR="0036763E">
        <w:rPr>
          <w:rFonts w:ascii="Arial" w:hAnsi="Arial" w:cs="Arial"/>
          <w:sz w:val="21"/>
          <w:szCs w:val="21"/>
        </w:rPr>
        <w:t>S and</w:t>
      </w:r>
      <w:r w:rsidRPr="00D466C1">
        <w:rPr>
          <w:rFonts w:ascii="Arial" w:hAnsi="Arial" w:cs="Arial"/>
          <w:sz w:val="21"/>
          <w:szCs w:val="21"/>
        </w:rPr>
        <w:t xml:space="preserve"> GUIDELINES</w:t>
      </w:r>
    </w:p>
    <w:p w:rsidR="006B1451" w:rsidRPr="00D466C1" w:rsidRDefault="006B1451">
      <w:pPr>
        <w:rPr>
          <w:rFonts w:ascii="Arial" w:hAnsi="Arial" w:cs="Arial"/>
          <w:sz w:val="21"/>
          <w:szCs w:val="21"/>
        </w:rPr>
      </w:pPr>
    </w:p>
    <w:p w:rsidR="006B1451" w:rsidRPr="00D466C1" w:rsidRDefault="006B1451" w:rsidP="0050310F">
      <w:pPr>
        <w:spacing w:line="240" w:lineRule="auto"/>
        <w:rPr>
          <w:rFonts w:ascii="Arial" w:hAnsi="Arial" w:cs="Arial"/>
          <w:sz w:val="21"/>
          <w:szCs w:val="21"/>
        </w:rPr>
      </w:pPr>
      <w:r w:rsidRPr="00D466C1">
        <w:rPr>
          <w:rFonts w:ascii="Arial" w:hAnsi="Arial" w:cs="Arial"/>
          <w:sz w:val="21"/>
          <w:szCs w:val="21"/>
        </w:rPr>
        <w:t xml:space="preserve">The </w:t>
      </w:r>
      <w:r w:rsidR="0036763E">
        <w:rPr>
          <w:rFonts w:ascii="Arial" w:hAnsi="Arial" w:cs="Arial"/>
          <w:sz w:val="21"/>
          <w:szCs w:val="21"/>
        </w:rPr>
        <w:t xml:space="preserve">Judicial Council has approved maximum </w:t>
      </w:r>
      <w:r w:rsidRPr="00D466C1">
        <w:rPr>
          <w:rFonts w:ascii="Arial" w:hAnsi="Arial" w:cs="Arial"/>
          <w:sz w:val="21"/>
          <w:szCs w:val="21"/>
        </w:rPr>
        <w:t>limits on reimburs</w:t>
      </w:r>
      <w:r w:rsidR="0036763E">
        <w:rPr>
          <w:rFonts w:ascii="Arial" w:hAnsi="Arial" w:cs="Arial"/>
          <w:sz w:val="21"/>
          <w:szCs w:val="21"/>
        </w:rPr>
        <w:t>able travel-related expenses</w:t>
      </w:r>
      <w:r w:rsidRPr="00D466C1">
        <w:rPr>
          <w:rFonts w:ascii="Arial" w:hAnsi="Arial" w:cs="Arial"/>
          <w:sz w:val="21"/>
          <w:szCs w:val="21"/>
        </w:rPr>
        <w:t>. To be eligible for lodging and/or meal reimbursement, expenses must be incurred in excess of 25 miles from headquarters.</w:t>
      </w:r>
    </w:p>
    <w:p w:rsidR="006B1451" w:rsidRPr="00D466C1" w:rsidRDefault="006B1451" w:rsidP="0050310F">
      <w:pPr>
        <w:spacing w:line="240" w:lineRule="auto"/>
        <w:rPr>
          <w:rFonts w:ascii="Arial" w:hAnsi="Arial" w:cs="Arial"/>
          <w:sz w:val="21"/>
          <w:szCs w:val="21"/>
        </w:rPr>
      </w:pPr>
    </w:p>
    <w:p w:rsidR="006B1451" w:rsidRPr="00D466C1" w:rsidRDefault="006B1451" w:rsidP="00B754ED">
      <w:pPr>
        <w:autoSpaceDE w:val="0"/>
        <w:autoSpaceDN w:val="0"/>
        <w:adjustRightInd w:val="0"/>
        <w:spacing w:line="240" w:lineRule="auto"/>
        <w:rPr>
          <w:rFonts w:ascii="Arial" w:hAnsi="Arial" w:cs="Arial"/>
          <w:color w:val="000000"/>
          <w:sz w:val="21"/>
          <w:szCs w:val="21"/>
        </w:rPr>
      </w:pPr>
      <w:r w:rsidRPr="00D466C1">
        <w:rPr>
          <w:rFonts w:ascii="Arial" w:hAnsi="Arial" w:cs="Arial"/>
          <w:b/>
          <w:bCs/>
          <w:sz w:val="21"/>
          <w:szCs w:val="21"/>
        </w:rPr>
        <w:t>Lodging</w:t>
      </w:r>
      <w:r w:rsidRPr="00D466C1">
        <w:rPr>
          <w:rFonts w:ascii="Arial" w:hAnsi="Arial" w:cs="Arial"/>
          <w:sz w:val="21"/>
          <w:szCs w:val="21"/>
        </w:rPr>
        <w:t xml:space="preserve"> – Receipts are required and each day of lodging claimed must be listed separately on the reimbursement claim form. Maximum rates are listed below. Exceptions may be considered on a case-by-case basis, and for centrally booked conferences or meetings.</w:t>
      </w:r>
      <w:r w:rsidR="00AF3E2D" w:rsidRPr="00D466C1">
        <w:rPr>
          <w:rFonts w:ascii="Arial" w:hAnsi="Arial" w:cs="Arial"/>
          <w:sz w:val="21"/>
          <w:szCs w:val="21"/>
        </w:rPr>
        <w:t xml:space="preserve"> </w:t>
      </w:r>
      <w:r w:rsidR="00B754ED" w:rsidRPr="00D466C1">
        <w:rPr>
          <w:rFonts w:ascii="Arial" w:hAnsi="Arial" w:cs="Arial"/>
          <w:color w:val="000000"/>
          <w:sz w:val="21"/>
          <w:szCs w:val="21"/>
        </w:rPr>
        <w:t xml:space="preserve">Receipts for hotel lodging charges must be on a pre-printed bill head with a zero balance shown. The hotel express check-out or </w:t>
      </w:r>
      <w:r w:rsidR="00C408E2" w:rsidRPr="00D466C1">
        <w:rPr>
          <w:rFonts w:ascii="Arial" w:hAnsi="Arial" w:cs="Arial"/>
          <w:color w:val="000000"/>
          <w:sz w:val="21"/>
          <w:szCs w:val="21"/>
        </w:rPr>
        <w:t>receipt from a third-party provider for lodging booked via the internet does</w:t>
      </w:r>
      <w:r w:rsidR="00B754ED" w:rsidRPr="00D466C1">
        <w:rPr>
          <w:rFonts w:ascii="Arial" w:hAnsi="Arial" w:cs="Arial"/>
          <w:color w:val="000000"/>
          <w:sz w:val="21"/>
          <w:szCs w:val="21"/>
        </w:rPr>
        <w:t xml:space="preserve"> not</w:t>
      </w:r>
      <w:r w:rsidR="00C408E2" w:rsidRPr="00D466C1">
        <w:rPr>
          <w:rFonts w:ascii="Arial" w:hAnsi="Arial" w:cs="Arial"/>
          <w:color w:val="000000"/>
          <w:sz w:val="21"/>
          <w:szCs w:val="21"/>
        </w:rPr>
        <w:t xml:space="preserve"> represent</w:t>
      </w:r>
      <w:r w:rsidR="00B754ED" w:rsidRPr="00D466C1">
        <w:rPr>
          <w:rFonts w:ascii="Arial" w:hAnsi="Arial" w:cs="Arial"/>
          <w:color w:val="000000"/>
          <w:sz w:val="21"/>
          <w:szCs w:val="21"/>
        </w:rPr>
        <w:t xml:space="preserve"> valid receipts. In some instances, a hotel may decline to issue a receipt on their pre-printed bill head for lodging booked via the internet.</w:t>
      </w:r>
    </w:p>
    <w:p w:rsidR="00B754ED" w:rsidRPr="00D466C1" w:rsidRDefault="00B754ED" w:rsidP="00B754ED">
      <w:pPr>
        <w:autoSpaceDE w:val="0"/>
        <w:autoSpaceDN w:val="0"/>
        <w:adjustRightInd w:val="0"/>
        <w:spacing w:line="240" w:lineRule="auto"/>
        <w:rPr>
          <w:rFonts w:ascii="Arial" w:hAnsi="Arial" w:cs="Arial"/>
          <w:color w:val="000000"/>
          <w:sz w:val="21"/>
          <w:szCs w:val="21"/>
        </w:rPr>
      </w:pPr>
    </w:p>
    <w:p w:rsidR="00D466C1" w:rsidRDefault="006B1451" w:rsidP="00D466C1">
      <w:pPr>
        <w:pStyle w:val="Default"/>
        <w:rPr>
          <w:rFonts w:ascii="Arial" w:hAnsi="Arial" w:cs="Arial"/>
          <w:color w:val="auto"/>
          <w:sz w:val="21"/>
          <w:szCs w:val="21"/>
        </w:rPr>
      </w:pPr>
      <w:r w:rsidRPr="00D466C1">
        <w:rPr>
          <w:rFonts w:ascii="Arial" w:hAnsi="Arial" w:cs="Arial"/>
          <w:b/>
          <w:i/>
          <w:sz w:val="21"/>
          <w:szCs w:val="21"/>
        </w:rPr>
        <w:t>In-state</w:t>
      </w:r>
      <w:r w:rsidR="00D466C1">
        <w:rPr>
          <w:rFonts w:ascii="Arial" w:hAnsi="Arial" w:cs="Arial"/>
          <w:sz w:val="21"/>
          <w:szCs w:val="21"/>
        </w:rPr>
        <w:t xml:space="preserve">: </w:t>
      </w:r>
      <w:r w:rsidR="00D466C1" w:rsidRPr="00D466C1">
        <w:rPr>
          <w:rFonts w:ascii="Arial" w:hAnsi="Arial" w:cs="Arial"/>
          <w:color w:val="auto"/>
          <w:sz w:val="21"/>
          <w:szCs w:val="21"/>
        </w:rPr>
        <w:t>Actual lodging</w:t>
      </w:r>
      <w:r w:rsidR="00D466C1">
        <w:rPr>
          <w:rFonts w:ascii="Arial" w:hAnsi="Arial" w:cs="Arial"/>
          <w:color w:val="auto"/>
          <w:sz w:val="21"/>
          <w:szCs w:val="21"/>
        </w:rPr>
        <w:t xml:space="preserve"> </w:t>
      </w:r>
      <w:r w:rsidR="00D466C1" w:rsidRPr="00D466C1">
        <w:rPr>
          <w:rFonts w:ascii="Arial" w:hAnsi="Arial" w:cs="Arial"/>
          <w:color w:val="auto"/>
          <w:sz w:val="21"/>
          <w:szCs w:val="21"/>
        </w:rPr>
        <w:t>cost per night, not to exceed the following rates supported by a zero balance receipt, plus applicable tax (if not waived by the lodging establishment):</w:t>
      </w:r>
    </w:p>
    <w:p w:rsidR="00D466C1" w:rsidRPr="00D466C1" w:rsidRDefault="00D466C1" w:rsidP="00D466C1">
      <w:pPr>
        <w:pStyle w:val="Default"/>
        <w:rPr>
          <w:rFonts w:ascii="Arial" w:hAnsi="Arial" w:cs="Arial"/>
          <w:color w:val="auto"/>
          <w:sz w:val="21"/>
          <w:szCs w:val="21"/>
        </w:rPr>
      </w:pPr>
    </w:p>
    <w:p w:rsidR="00D466C1" w:rsidRDefault="00D466C1" w:rsidP="00D466C1">
      <w:pPr>
        <w:pStyle w:val="Default"/>
        <w:ind w:left="1440"/>
        <w:rPr>
          <w:rFonts w:ascii="Arial" w:hAnsi="Arial" w:cs="Arial"/>
          <w:color w:val="auto"/>
          <w:sz w:val="21"/>
          <w:szCs w:val="21"/>
        </w:rPr>
      </w:pPr>
      <w:r w:rsidRPr="00D466C1">
        <w:rPr>
          <w:rFonts w:ascii="Arial" w:hAnsi="Arial" w:cs="Arial"/>
          <w:color w:val="auto"/>
          <w:sz w:val="21"/>
          <w:szCs w:val="21"/>
        </w:rPr>
        <w:t xml:space="preserve">San Francisco County </w:t>
      </w:r>
      <w:r>
        <w:rPr>
          <w:rFonts w:ascii="Arial" w:hAnsi="Arial" w:cs="Arial"/>
          <w:color w:val="auto"/>
          <w:sz w:val="21"/>
          <w:szCs w:val="21"/>
        </w:rPr>
        <w:tab/>
      </w:r>
      <w:r>
        <w:rPr>
          <w:rFonts w:ascii="Arial" w:hAnsi="Arial" w:cs="Arial"/>
          <w:color w:val="auto"/>
          <w:sz w:val="21"/>
          <w:szCs w:val="21"/>
        </w:rPr>
        <w:tab/>
      </w:r>
      <w:r>
        <w:rPr>
          <w:rFonts w:ascii="Arial" w:hAnsi="Arial" w:cs="Arial"/>
          <w:color w:val="auto"/>
          <w:sz w:val="21"/>
          <w:szCs w:val="21"/>
        </w:rPr>
        <w:tab/>
      </w:r>
      <w:r>
        <w:rPr>
          <w:rFonts w:ascii="Arial" w:hAnsi="Arial" w:cs="Arial"/>
          <w:color w:val="auto"/>
          <w:sz w:val="21"/>
          <w:szCs w:val="21"/>
        </w:rPr>
        <w:tab/>
      </w:r>
      <w:r w:rsidRPr="00D466C1">
        <w:rPr>
          <w:rFonts w:ascii="Arial" w:hAnsi="Arial" w:cs="Arial"/>
          <w:color w:val="auto"/>
          <w:sz w:val="21"/>
          <w:szCs w:val="21"/>
        </w:rPr>
        <w:t xml:space="preserve">$150 </w:t>
      </w:r>
    </w:p>
    <w:p w:rsidR="00D466C1" w:rsidRPr="00D466C1" w:rsidRDefault="00D466C1" w:rsidP="00D466C1">
      <w:pPr>
        <w:pStyle w:val="Default"/>
        <w:ind w:left="1440"/>
        <w:rPr>
          <w:rFonts w:ascii="Arial" w:hAnsi="Arial" w:cs="Arial"/>
          <w:color w:val="auto"/>
          <w:sz w:val="21"/>
          <w:szCs w:val="21"/>
        </w:rPr>
      </w:pPr>
      <w:r>
        <w:rPr>
          <w:rFonts w:ascii="Arial" w:hAnsi="Arial" w:cs="Arial"/>
          <w:color w:val="auto"/>
          <w:sz w:val="21"/>
          <w:szCs w:val="21"/>
        </w:rPr>
        <w:t xml:space="preserve">Alameda, San Mateo, Santa Clara Counties </w:t>
      </w:r>
      <w:r>
        <w:rPr>
          <w:rFonts w:ascii="Arial" w:hAnsi="Arial" w:cs="Arial"/>
          <w:color w:val="auto"/>
          <w:sz w:val="21"/>
          <w:szCs w:val="21"/>
        </w:rPr>
        <w:tab/>
        <w:t>$140</w:t>
      </w:r>
    </w:p>
    <w:p w:rsidR="00D466C1" w:rsidRPr="00D466C1" w:rsidRDefault="00D466C1" w:rsidP="00D466C1">
      <w:pPr>
        <w:pStyle w:val="Default"/>
        <w:ind w:left="1440"/>
        <w:rPr>
          <w:rFonts w:ascii="Arial" w:hAnsi="Arial" w:cs="Arial"/>
          <w:color w:val="auto"/>
          <w:sz w:val="21"/>
          <w:szCs w:val="21"/>
        </w:rPr>
      </w:pPr>
      <w:r w:rsidRPr="00D466C1">
        <w:rPr>
          <w:rFonts w:ascii="Arial" w:hAnsi="Arial" w:cs="Arial"/>
          <w:color w:val="auto"/>
          <w:sz w:val="21"/>
          <w:szCs w:val="21"/>
        </w:rPr>
        <w:t xml:space="preserve">Monterey and San Diego Counties </w:t>
      </w:r>
      <w:r>
        <w:rPr>
          <w:rFonts w:ascii="Arial" w:hAnsi="Arial" w:cs="Arial"/>
          <w:color w:val="auto"/>
          <w:sz w:val="21"/>
          <w:szCs w:val="21"/>
        </w:rPr>
        <w:tab/>
      </w:r>
      <w:r>
        <w:rPr>
          <w:rFonts w:ascii="Arial" w:hAnsi="Arial" w:cs="Arial"/>
          <w:color w:val="auto"/>
          <w:sz w:val="21"/>
          <w:szCs w:val="21"/>
        </w:rPr>
        <w:tab/>
      </w:r>
      <w:r w:rsidRPr="00D466C1">
        <w:rPr>
          <w:rFonts w:ascii="Arial" w:hAnsi="Arial" w:cs="Arial"/>
          <w:color w:val="auto"/>
          <w:sz w:val="21"/>
          <w:szCs w:val="21"/>
        </w:rPr>
        <w:t xml:space="preserve">$125 </w:t>
      </w:r>
    </w:p>
    <w:p w:rsidR="00D466C1" w:rsidRPr="00D466C1" w:rsidRDefault="00D466C1" w:rsidP="00D466C1">
      <w:pPr>
        <w:pStyle w:val="Default"/>
        <w:ind w:left="1440"/>
        <w:rPr>
          <w:rFonts w:ascii="Arial" w:hAnsi="Arial" w:cs="Arial"/>
          <w:color w:val="auto"/>
          <w:sz w:val="21"/>
          <w:szCs w:val="21"/>
        </w:rPr>
      </w:pPr>
      <w:r w:rsidRPr="00D466C1">
        <w:rPr>
          <w:rFonts w:ascii="Arial" w:hAnsi="Arial" w:cs="Arial"/>
          <w:color w:val="auto"/>
          <w:sz w:val="21"/>
          <w:szCs w:val="21"/>
        </w:rPr>
        <w:t xml:space="preserve">Los Angeles, Orange, and Ventura Counties </w:t>
      </w:r>
      <w:r>
        <w:rPr>
          <w:rFonts w:ascii="Arial" w:hAnsi="Arial" w:cs="Arial"/>
          <w:color w:val="auto"/>
          <w:sz w:val="21"/>
          <w:szCs w:val="21"/>
        </w:rPr>
        <w:tab/>
      </w:r>
      <w:r w:rsidRPr="00D466C1">
        <w:rPr>
          <w:rFonts w:ascii="Arial" w:hAnsi="Arial" w:cs="Arial"/>
          <w:color w:val="auto"/>
          <w:sz w:val="21"/>
          <w:szCs w:val="21"/>
        </w:rPr>
        <w:t xml:space="preserve">$120 </w:t>
      </w:r>
    </w:p>
    <w:p w:rsidR="00D466C1" w:rsidRPr="00D466C1" w:rsidRDefault="00D466C1" w:rsidP="00D466C1">
      <w:pPr>
        <w:pStyle w:val="Default"/>
        <w:ind w:left="1440"/>
        <w:rPr>
          <w:rFonts w:ascii="Arial" w:hAnsi="Arial" w:cs="Arial"/>
          <w:sz w:val="23"/>
          <w:szCs w:val="23"/>
        </w:rPr>
      </w:pPr>
    </w:p>
    <w:p w:rsidR="006B1451" w:rsidRDefault="00D466C1" w:rsidP="00D466C1">
      <w:pPr>
        <w:pStyle w:val="Default"/>
        <w:rPr>
          <w:rFonts w:ascii="Arial" w:hAnsi="Arial" w:cs="Arial"/>
          <w:color w:val="auto"/>
          <w:sz w:val="21"/>
          <w:szCs w:val="21"/>
        </w:rPr>
      </w:pPr>
      <w:r w:rsidRPr="00D466C1">
        <w:rPr>
          <w:rFonts w:ascii="Arial" w:hAnsi="Arial" w:cs="Arial"/>
          <w:color w:val="auto"/>
          <w:sz w:val="21"/>
          <w:szCs w:val="21"/>
        </w:rPr>
        <w:t xml:space="preserve">All other counties will remain at the previously established maximum reimbursement rates </w:t>
      </w:r>
      <w:r>
        <w:rPr>
          <w:rFonts w:ascii="Arial" w:hAnsi="Arial" w:cs="Arial"/>
          <w:color w:val="auto"/>
          <w:sz w:val="21"/>
          <w:szCs w:val="21"/>
        </w:rPr>
        <w:t xml:space="preserve">of $110. </w:t>
      </w:r>
    </w:p>
    <w:p w:rsidR="00D466C1" w:rsidRPr="00D466C1" w:rsidRDefault="00D466C1" w:rsidP="00D466C1">
      <w:pPr>
        <w:pStyle w:val="Default"/>
        <w:rPr>
          <w:rFonts w:ascii="Arial" w:hAnsi="Arial" w:cs="Arial"/>
          <w:color w:val="auto"/>
          <w:sz w:val="21"/>
          <w:szCs w:val="21"/>
        </w:rPr>
      </w:pPr>
    </w:p>
    <w:p w:rsidR="006B1451" w:rsidRPr="00D466C1" w:rsidRDefault="006B1451">
      <w:pPr>
        <w:tabs>
          <w:tab w:val="left" w:pos="360"/>
        </w:tabs>
        <w:rPr>
          <w:rFonts w:ascii="Arial" w:hAnsi="Arial" w:cs="Arial"/>
          <w:sz w:val="21"/>
          <w:szCs w:val="21"/>
        </w:rPr>
      </w:pPr>
      <w:r w:rsidRPr="00D466C1">
        <w:rPr>
          <w:rFonts w:ascii="Arial" w:hAnsi="Arial" w:cs="Arial"/>
          <w:b/>
          <w:i/>
          <w:color w:val="000000"/>
          <w:sz w:val="21"/>
          <w:szCs w:val="21"/>
        </w:rPr>
        <w:t>Out-of-state</w:t>
      </w:r>
      <w:r w:rsidR="00D466C1">
        <w:rPr>
          <w:rFonts w:ascii="Arial" w:hAnsi="Arial" w:cs="Arial"/>
          <w:sz w:val="21"/>
          <w:szCs w:val="21"/>
        </w:rPr>
        <w:t xml:space="preserve">: </w:t>
      </w:r>
      <w:r w:rsidRPr="00D466C1">
        <w:rPr>
          <w:rFonts w:ascii="Arial" w:hAnsi="Arial" w:cs="Arial"/>
          <w:sz w:val="21"/>
          <w:szCs w:val="21"/>
        </w:rPr>
        <w:t>Actual costs are reimbursable with appropriate prior approval.</w:t>
      </w:r>
    </w:p>
    <w:p w:rsidR="006B1451" w:rsidRPr="00D466C1" w:rsidRDefault="006B1451">
      <w:pPr>
        <w:rPr>
          <w:rFonts w:ascii="Arial" w:hAnsi="Arial" w:cs="Arial"/>
          <w:sz w:val="21"/>
          <w:szCs w:val="21"/>
        </w:rPr>
      </w:pPr>
    </w:p>
    <w:p w:rsidR="006B1451" w:rsidRPr="00D466C1" w:rsidRDefault="006B1451">
      <w:pPr>
        <w:rPr>
          <w:rFonts w:ascii="Arial" w:hAnsi="Arial" w:cs="Arial"/>
          <w:sz w:val="21"/>
          <w:szCs w:val="21"/>
        </w:rPr>
      </w:pPr>
      <w:r w:rsidRPr="00D466C1">
        <w:rPr>
          <w:rFonts w:ascii="Arial" w:hAnsi="Arial" w:cs="Arial"/>
          <w:b/>
          <w:bCs/>
          <w:sz w:val="21"/>
          <w:szCs w:val="21"/>
        </w:rPr>
        <w:t>Meals</w:t>
      </w:r>
      <w:r w:rsidRPr="00D466C1">
        <w:rPr>
          <w:rFonts w:ascii="Arial" w:hAnsi="Arial" w:cs="Arial"/>
          <w:sz w:val="21"/>
          <w:szCs w:val="21"/>
        </w:rPr>
        <w:t xml:space="preserve"> – Actual costs are reimbursable up to the limits stated below for continuous travel of more than 24 hours.</w:t>
      </w:r>
    </w:p>
    <w:p w:rsidR="00D466C1" w:rsidRDefault="00D466C1">
      <w:pPr>
        <w:tabs>
          <w:tab w:val="left" w:pos="360"/>
        </w:tabs>
        <w:rPr>
          <w:rFonts w:ascii="Arial" w:hAnsi="Arial" w:cs="Arial"/>
          <w:sz w:val="21"/>
          <w:szCs w:val="21"/>
        </w:rPr>
      </w:pPr>
    </w:p>
    <w:p w:rsidR="006B1451" w:rsidRPr="00D466C1" w:rsidRDefault="00D466C1">
      <w:pPr>
        <w:tabs>
          <w:tab w:val="left" w:pos="36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Breakfast:</w:t>
      </w:r>
      <w:r w:rsidR="006B1451" w:rsidRPr="00D466C1">
        <w:rPr>
          <w:rFonts w:ascii="Arial" w:hAnsi="Arial" w:cs="Arial"/>
          <w:sz w:val="21"/>
          <w:szCs w:val="21"/>
        </w:rPr>
        <w:t xml:space="preserve"> </w:t>
      </w:r>
      <w:r>
        <w:rPr>
          <w:rFonts w:ascii="Arial" w:hAnsi="Arial" w:cs="Arial"/>
          <w:sz w:val="21"/>
          <w:szCs w:val="21"/>
        </w:rPr>
        <w:tab/>
      </w:r>
      <w:r w:rsidR="006B1451" w:rsidRPr="00D466C1">
        <w:rPr>
          <w:rFonts w:ascii="Arial" w:hAnsi="Arial" w:cs="Arial"/>
          <w:sz w:val="21"/>
          <w:szCs w:val="21"/>
        </w:rPr>
        <w:t>Up to $</w:t>
      </w:r>
      <w:r>
        <w:rPr>
          <w:rFonts w:ascii="Arial" w:hAnsi="Arial" w:cs="Arial"/>
          <w:sz w:val="21"/>
          <w:szCs w:val="21"/>
        </w:rPr>
        <w:t>8</w:t>
      </w:r>
    </w:p>
    <w:p w:rsidR="006B1451" w:rsidRPr="00D466C1" w:rsidRDefault="00D466C1">
      <w:pPr>
        <w:tabs>
          <w:tab w:val="left" w:pos="36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Lunch:</w:t>
      </w:r>
      <w:r w:rsidR="00127472" w:rsidRPr="00D466C1">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00127472" w:rsidRPr="00D466C1">
        <w:rPr>
          <w:rFonts w:ascii="Arial" w:hAnsi="Arial" w:cs="Arial"/>
          <w:sz w:val="21"/>
          <w:szCs w:val="21"/>
        </w:rPr>
        <w:t>Up to $1</w:t>
      </w:r>
      <w:r>
        <w:rPr>
          <w:rFonts w:ascii="Arial" w:hAnsi="Arial" w:cs="Arial"/>
          <w:sz w:val="21"/>
          <w:szCs w:val="21"/>
        </w:rPr>
        <w:t>2</w:t>
      </w:r>
    </w:p>
    <w:p w:rsidR="006B1451" w:rsidRPr="00D466C1" w:rsidRDefault="00D466C1">
      <w:pPr>
        <w:tabs>
          <w:tab w:val="left" w:pos="36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Dinner: </w:t>
      </w:r>
      <w:r>
        <w:rPr>
          <w:rFonts w:ascii="Arial" w:hAnsi="Arial" w:cs="Arial"/>
          <w:sz w:val="21"/>
          <w:szCs w:val="21"/>
        </w:rPr>
        <w:tab/>
        <w:t>Up to $20</w:t>
      </w:r>
    </w:p>
    <w:p w:rsidR="006B1451" w:rsidRPr="00D466C1" w:rsidRDefault="006B1451">
      <w:pPr>
        <w:rPr>
          <w:rFonts w:ascii="Arial" w:hAnsi="Arial" w:cs="Arial"/>
          <w:sz w:val="21"/>
          <w:szCs w:val="21"/>
        </w:rPr>
      </w:pPr>
    </w:p>
    <w:p w:rsidR="006B1451" w:rsidRPr="00D466C1" w:rsidRDefault="006B1451">
      <w:pPr>
        <w:rPr>
          <w:rFonts w:ascii="Arial" w:hAnsi="Arial" w:cs="Arial"/>
          <w:sz w:val="21"/>
          <w:szCs w:val="21"/>
        </w:rPr>
      </w:pPr>
      <w:r w:rsidRPr="00D466C1">
        <w:rPr>
          <w:rFonts w:ascii="Arial" w:hAnsi="Arial" w:cs="Arial"/>
          <w:sz w:val="21"/>
          <w:szCs w:val="21"/>
        </w:rPr>
        <w:t>Meal reimbursement for one-day trips is taxable and reportable income unless travel included an overnight stay.  For continuous travel of less than 24 hours, actual expenses up to the above limits may are reimbursable if:</w:t>
      </w:r>
    </w:p>
    <w:p w:rsidR="006B1451" w:rsidRPr="00D466C1" w:rsidRDefault="006B1451">
      <w:pPr>
        <w:rPr>
          <w:rFonts w:ascii="Arial" w:hAnsi="Arial" w:cs="Arial"/>
          <w:sz w:val="21"/>
          <w:szCs w:val="21"/>
        </w:rPr>
      </w:pPr>
    </w:p>
    <w:p w:rsidR="00D466C1" w:rsidRDefault="006B1451" w:rsidP="00D466C1">
      <w:pPr>
        <w:pStyle w:val="ListParagraph"/>
        <w:numPr>
          <w:ilvl w:val="0"/>
          <w:numId w:val="2"/>
        </w:numPr>
        <w:tabs>
          <w:tab w:val="left" w:pos="360"/>
        </w:tabs>
        <w:rPr>
          <w:rFonts w:ascii="Arial" w:hAnsi="Arial" w:cs="Arial"/>
          <w:sz w:val="21"/>
          <w:szCs w:val="21"/>
        </w:rPr>
      </w:pPr>
      <w:r w:rsidRPr="00D466C1">
        <w:rPr>
          <w:rFonts w:ascii="Arial" w:hAnsi="Arial" w:cs="Arial"/>
          <w:sz w:val="21"/>
          <w:szCs w:val="21"/>
        </w:rPr>
        <w:t>Travel begins one hour before normal work hours – Breakfast may be claimed.</w:t>
      </w:r>
    </w:p>
    <w:p w:rsidR="00D466C1" w:rsidRDefault="006B1451" w:rsidP="00D466C1">
      <w:pPr>
        <w:pStyle w:val="ListParagraph"/>
        <w:numPr>
          <w:ilvl w:val="0"/>
          <w:numId w:val="2"/>
        </w:numPr>
        <w:tabs>
          <w:tab w:val="left" w:pos="360"/>
        </w:tabs>
        <w:rPr>
          <w:rFonts w:ascii="Arial" w:hAnsi="Arial" w:cs="Arial"/>
          <w:sz w:val="21"/>
          <w:szCs w:val="21"/>
        </w:rPr>
      </w:pPr>
      <w:r w:rsidRPr="00D466C1">
        <w:rPr>
          <w:rFonts w:ascii="Arial" w:hAnsi="Arial" w:cs="Arial"/>
          <w:sz w:val="21"/>
          <w:szCs w:val="21"/>
        </w:rPr>
        <w:t>Travel ends one hour after normal work hours – Dinner may be claimed.</w:t>
      </w:r>
    </w:p>
    <w:p w:rsidR="006B1451" w:rsidRPr="00D466C1" w:rsidRDefault="00D466C1" w:rsidP="00D466C1">
      <w:pPr>
        <w:pStyle w:val="ListParagraph"/>
        <w:numPr>
          <w:ilvl w:val="0"/>
          <w:numId w:val="2"/>
        </w:numPr>
        <w:tabs>
          <w:tab w:val="left" w:pos="360"/>
        </w:tabs>
        <w:rPr>
          <w:rFonts w:ascii="Arial" w:hAnsi="Arial" w:cs="Arial"/>
          <w:sz w:val="21"/>
          <w:szCs w:val="21"/>
        </w:rPr>
      </w:pPr>
      <w:r>
        <w:rPr>
          <w:rFonts w:ascii="Arial" w:hAnsi="Arial" w:cs="Arial"/>
          <w:sz w:val="21"/>
          <w:szCs w:val="21"/>
        </w:rPr>
        <w:t>L</w:t>
      </w:r>
      <w:r w:rsidR="006B1451" w:rsidRPr="00D466C1">
        <w:rPr>
          <w:rFonts w:ascii="Arial" w:hAnsi="Arial" w:cs="Arial"/>
          <w:sz w:val="21"/>
          <w:szCs w:val="21"/>
        </w:rPr>
        <w:t>unch may not be claimed on trips of less than 24 hours.</w:t>
      </w:r>
    </w:p>
    <w:p w:rsidR="006B1451" w:rsidRPr="00D466C1" w:rsidRDefault="006B1451">
      <w:pPr>
        <w:rPr>
          <w:rFonts w:ascii="Arial" w:hAnsi="Arial" w:cs="Arial"/>
          <w:sz w:val="21"/>
          <w:szCs w:val="21"/>
        </w:rPr>
      </w:pPr>
    </w:p>
    <w:p w:rsidR="006B1451" w:rsidRDefault="006B1451">
      <w:pPr>
        <w:rPr>
          <w:rFonts w:ascii="Arial" w:hAnsi="Arial" w:cs="Arial"/>
          <w:sz w:val="21"/>
          <w:szCs w:val="21"/>
        </w:rPr>
      </w:pPr>
      <w:r w:rsidRPr="00D466C1">
        <w:rPr>
          <w:rFonts w:ascii="Arial" w:hAnsi="Arial" w:cs="Arial"/>
          <w:b/>
          <w:bCs/>
          <w:sz w:val="21"/>
          <w:szCs w:val="21"/>
        </w:rPr>
        <w:t>Incidental Expenses</w:t>
      </w:r>
      <w:r w:rsidRPr="00D466C1">
        <w:rPr>
          <w:rFonts w:ascii="Arial" w:hAnsi="Arial" w:cs="Arial"/>
          <w:sz w:val="21"/>
          <w:szCs w:val="21"/>
        </w:rPr>
        <w:t xml:space="preserve"> – Up to $6 per day.  Incidentals are not reimbursable for one-day trips; they may only be claimed after 24 hours.</w:t>
      </w:r>
    </w:p>
    <w:p w:rsidR="00D466C1" w:rsidRDefault="00D466C1">
      <w:pPr>
        <w:rPr>
          <w:rFonts w:ascii="Arial" w:hAnsi="Arial" w:cs="Arial"/>
          <w:sz w:val="21"/>
          <w:szCs w:val="21"/>
        </w:rPr>
      </w:pPr>
    </w:p>
    <w:p w:rsidR="00D466C1" w:rsidRPr="00D466C1" w:rsidRDefault="00D466C1">
      <w:pPr>
        <w:rPr>
          <w:rFonts w:ascii="Arial" w:hAnsi="Arial" w:cs="Arial"/>
          <w:sz w:val="21"/>
          <w:szCs w:val="21"/>
        </w:rPr>
      </w:pPr>
      <w:r w:rsidRPr="00D466C1">
        <w:rPr>
          <w:rFonts w:ascii="Arial" w:hAnsi="Arial" w:cs="Arial"/>
          <w:sz w:val="21"/>
          <w:szCs w:val="21"/>
        </w:rPr>
        <w:t>Although not required to be submitted with a travel expense claim, judicial officers and staff must be prepared to furnish receipts substantiating amounts claimed in the event of an audit.</w:t>
      </w:r>
    </w:p>
    <w:p w:rsidR="00702CD0" w:rsidRDefault="00702CD0">
      <w:pPr>
        <w:spacing w:line="240" w:lineRule="auto"/>
        <w:rPr>
          <w:rFonts w:ascii="Arial" w:hAnsi="Arial" w:cs="Arial"/>
          <w:sz w:val="21"/>
          <w:szCs w:val="21"/>
        </w:rPr>
      </w:pPr>
      <w:r>
        <w:rPr>
          <w:rFonts w:ascii="Arial" w:hAnsi="Arial" w:cs="Arial"/>
          <w:sz w:val="21"/>
          <w:szCs w:val="21"/>
        </w:rPr>
        <w:br w:type="page"/>
      </w:r>
    </w:p>
    <w:p w:rsidR="006B1451" w:rsidRPr="00D466C1" w:rsidRDefault="006B1451">
      <w:pPr>
        <w:rPr>
          <w:rFonts w:ascii="Arial" w:hAnsi="Arial" w:cs="Arial"/>
          <w:sz w:val="21"/>
          <w:szCs w:val="21"/>
        </w:rPr>
      </w:pPr>
      <w:r w:rsidRPr="00D466C1">
        <w:rPr>
          <w:rFonts w:ascii="Arial" w:hAnsi="Arial" w:cs="Arial"/>
          <w:b/>
          <w:bCs/>
          <w:sz w:val="21"/>
          <w:szCs w:val="21"/>
        </w:rPr>
        <w:lastRenderedPageBreak/>
        <w:t>Transportation</w:t>
      </w:r>
      <w:r w:rsidR="0036763E">
        <w:rPr>
          <w:rFonts w:ascii="Arial" w:hAnsi="Arial" w:cs="Arial"/>
          <w:sz w:val="21"/>
          <w:szCs w:val="21"/>
        </w:rPr>
        <w:t>:</w:t>
      </w:r>
      <w:r w:rsidRPr="00D466C1">
        <w:rPr>
          <w:rFonts w:ascii="Arial" w:hAnsi="Arial" w:cs="Arial"/>
          <w:sz w:val="21"/>
          <w:szCs w:val="21"/>
        </w:rPr>
        <w:t xml:space="preserve"> The actual cost of tickets for air, rail, bus, rental car, or other forms of public transportation is reimbursable.  The lowest cost ticket available must be purchased.  Receipts are required for rental cars and air travel.  For ticketless travel, the traveler’s itinerary may be submitted in lieu of a receipt.</w:t>
      </w:r>
    </w:p>
    <w:p w:rsidR="006B1451" w:rsidRPr="00D466C1" w:rsidRDefault="006B1451">
      <w:pPr>
        <w:rPr>
          <w:rFonts w:ascii="Arial" w:hAnsi="Arial" w:cs="Arial"/>
          <w:sz w:val="21"/>
          <w:szCs w:val="21"/>
        </w:rPr>
      </w:pPr>
    </w:p>
    <w:p w:rsidR="006B1451" w:rsidRPr="00D466C1" w:rsidRDefault="006B1451">
      <w:pPr>
        <w:pStyle w:val="BodyTextIndent"/>
        <w:rPr>
          <w:rFonts w:ascii="Arial" w:hAnsi="Arial" w:cs="Arial"/>
          <w:sz w:val="21"/>
          <w:szCs w:val="21"/>
        </w:rPr>
      </w:pPr>
      <w:r w:rsidRPr="00D466C1">
        <w:rPr>
          <w:rFonts w:ascii="Arial" w:hAnsi="Arial" w:cs="Arial"/>
          <w:sz w:val="21"/>
          <w:szCs w:val="21"/>
        </w:rPr>
        <w:t>1.</w:t>
      </w:r>
      <w:r w:rsidRPr="00D466C1">
        <w:rPr>
          <w:rFonts w:ascii="Arial" w:hAnsi="Arial" w:cs="Arial"/>
          <w:sz w:val="21"/>
          <w:szCs w:val="21"/>
        </w:rPr>
        <w:tab/>
        <w:t>The actual costs of cab fare, public parking, and tolls are reimbursable. Receipts are required for all expenses of $3.50 or more.</w:t>
      </w:r>
    </w:p>
    <w:p w:rsidR="006B1451" w:rsidRPr="00D466C1" w:rsidRDefault="0036763E">
      <w:pPr>
        <w:tabs>
          <w:tab w:val="left" w:pos="360"/>
        </w:tabs>
        <w:rPr>
          <w:rFonts w:ascii="Arial" w:hAnsi="Arial" w:cs="Arial"/>
          <w:sz w:val="21"/>
          <w:szCs w:val="21"/>
        </w:rPr>
      </w:pPr>
      <w:r>
        <w:rPr>
          <w:rFonts w:ascii="Arial" w:hAnsi="Arial" w:cs="Arial"/>
          <w:sz w:val="21"/>
          <w:szCs w:val="21"/>
        </w:rPr>
        <w:t>2.</w:t>
      </w:r>
      <w:r>
        <w:rPr>
          <w:rFonts w:ascii="Arial" w:hAnsi="Arial" w:cs="Arial"/>
          <w:sz w:val="21"/>
          <w:szCs w:val="21"/>
        </w:rPr>
        <w:tab/>
      </w:r>
      <w:r w:rsidR="006B1451" w:rsidRPr="00D466C1">
        <w:rPr>
          <w:rFonts w:ascii="Arial" w:hAnsi="Arial" w:cs="Arial"/>
          <w:sz w:val="21"/>
          <w:szCs w:val="21"/>
        </w:rPr>
        <w:t xml:space="preserve">Personal vehicle mileage is reimbursable at </w:t>
      </w:r>
      <w:r w:rsidR="00DE6FC3" w:rsidRPr="00D466C1">
        <w:rPr>
          <w:rFonts w:ascii="Arial" w:hAnsi="Arial" w:cs="Arial"/>
          <w:sz w:val="21"/>
          <w:szCs w:val="21"/>
        </w:rPr>
        <w:t>the current federal mileage reimbursement rate</w:t>
      </w:r>
      <w:r w:rsidR="003D6A5F" w:rsidRPr="00D466C1">
        <w:rPr>
          <w:rFonts w:ascii="Arial" w:hAnsi="Arial" w:cs="Arial"/>
          <w:sz w:val="21"/>
          <w:szCs w:val="21"/>
        </w:rPr>
        <w:t>.</w:t>
      </w:r>
    </w:p>
    <w:p w:rsidR="00BB27C0" w:rsidRPr="00D466C1" w:rsidRDefault="00127472" w:rsidP="00BB27C0">
      <w:pPr>
        <w:tabs>
          <w:tab w:val="left" w:pos="360"/>
        </w:tabs>
        <w:ind w:left="360" w:hanging="360"/>
        <w:rPr>
          <w:rFonts w:ascii="Arial" w:hAnsi="Arial" w:cs="Arial"/>
          <w:color w:val="000000"/>
          <w:sz w:val="21"/>
          <w:szCs w:val="21"/>
        </w:rPr>
      </w:pPr>
      <w:r w:rsidRPr="00D466C1">
        <w:rPr>
          <w:rFonts w:ascii="Arial" w:hAnsi="Arial" w:cs="Arial"/>
          <w:sz w:val="21"/>
          <w:szCs w:val="21"/>
        </w:rPr>
        <w:t>3</w:t>
      </w:r>
      <w:r w:rsidR="00BB27C0" w:rsidRPr="00D466C1">
        <w:rPr>
          <w:rFonts w:ascii="Arial" w:hAnsi="Arial" w:cs="Arial"/>
          <w:sz w:val="21"/>
          <w:szCs w:val="21"/>
        </w:rPr>
        <w:t>.</w:t>
      </w:r>
      <w:r w:rsidR="00BB27C0" w:rsidRPr="00D466C1">
        <w:rPr>
          <w:rFonts w:ascii="Arial" w:hAnsi="Arial" w:cs="Arial"/>
          <w:sz w:val="21"/>
          <w:szCs w:val="21"/>
        </w:rPr>
        <w:tab/>
      </w:r>
      <w:r w:rsidR="00BB27C0" w:rsidRPr="00D466C1">
        <w:rPr>
          <w:rFonts w:ascii="Arial" w:hAnsi="Arial" w:cs="Arial"/>
          <w:bCs/>
          <w:color w:val="000000"/>
          <w:sz w:val="21"/>
          <w:szCs w:val="21"/>
        </w:rPr>
        <w:t xml:space="preserve">Employees who earn travel premiums (Frequent Flier Miles/Points) while traveling on official </w:t>
      </w:r>
      <w:r w:rsidR="007656D3" w:rsidRPr="00D466C1">
        <w:rPr>
          <w:rFonts w:ascii="Arial" w:hAnsi="Arial" w:cs="Arial"/>
          <w:bCs/>
          <w:color w:val="000000"/>
          <w:sz w:val="21"/>
          <w:szCs w:val="21"/>
        </w:rPr>
        <w:t>s</w:t>
      </w:r>
      <w:r w:rsidR="00BB27C0" w:rsidRPr="00D466C1">
        <w:rPr>
          <w:rFonts w:ascii="Arial" w:hAnsi="Arial" w:cs="Arial"/>
          <w:bCs/>
          <w:color w:val="000000"/>
          <w:sz w:val="21"/>
          <w:szCs w:val="21"/>
        </w:rPr>
        <w:t>tate business may use these travel premiums f</w:t>
      </w:r>
      <w:r w:rsidR="007656D3" w:rsidRPr="00D466C1">
        <w:rPr>
          <w:rFonts w:ascii="Arial" w:hAnsi="Arial" w:cs="Arial"/>
          <w:bCs/>
          <w:color w:val="000000"/>
          <w:sz w:val="21"/>
          <w:szCs w:val="21"/>
        </w:rPr>
        <w:t>or their personal use.</w:t>
      </w:r>
    </w:p>
    <w:p w:rsidR="00BB27C0" w:rsidRPr="00D466C1" w:rsidRDefault="00BB27C0">
      <w:pPr>
        <w:pStyle w:val="BodyTextIndent"/>
        <w:tabs>
          <w:tab w:val="left" w:pos="360"/>
        </w:tabs>
        <w:rPr>
          <w:rFonts w:ascii="Arial" w:hAnsi="Arial" w:cs="Arial"/>
          <w:sz w:val="21"/>
          <w:szCs w:val="21"/>
        </w:rPr>
      </w:pPr>
    </w:p>
    <w:p w:rsidR="006B1451" w:rsidRPr="00D466C1" w:rsidRDefault="006B1451">
      <w:pPr>
        <w:rPr>
          <w:rFonts w:ascii="Arial" w:hAnsi="Arial" w:cs="Arial"/>
          <w:sz w:val="21"/>
          <w:szCs w:val="21"/>
        </w:rPr>
      </w:pPr>
      <w:r w:rsidRPr="00D466C1">
        <w:rPr>
          <w:rFonts w:ascii="Arial" w:hAnsi="Arial" w:cs="Arial"/>
          <w:b/>
          <w:bCs/>
          <w:sz w:val="21"/>
          <w:szCs w:val="21"/>
        </w:rPr>
        <w:t>Other Business Expenses</w:t>
      </w:r>
      <w:r w:rsidRPr="00D466C1">
        <w:rPr>
          <w:rFonts w:ascii="Arial" w:hAnsi="Arial" w:cs="Arial"/>
          <w:sz w:val="21"/>
          <w:szCs w:val="21"/>
        </w:rPr>
        <w:t xml:space="preserve"> – Actual cost is reimbursable.  Receipts are required for all other business expenses, regardless of the amount claimed.</w:t>
      </w:r>
    </w:p>
    <w:p w:rsidR="006B1451" w:rsidRPr="00D466C1" w:rsidRDefault="006B1451">
      <w:pPr>
        <w:rPr>
          <w:rFonts w:ascii="Arial" w:hAnsi="Arial" w:cs="Arial"/>
          <w:sz w:val="21"/>
          <w:szCs w:val="21"/>
        </w:rPr>
      </w:pPr>
    </w:p>
    <w:p w:rsidR="006B1451" w:rsidRPr="00D466C1" w:rsidRDefault="006B1451">
      <w:pPr>
        <w:rPr>
          <w:rFonts w:ascii="Arial" w:hAnsi="Arial" w:cs="Arial"/>
          <w:sz w:val="21"/>
          <w:szCs w:val="21"/>
        </w:rPr>
      </w:pPr>
      <w:r w:rsidRPr="00D466C1">
        <w:rPr>
          <w:rFonts w:ascii="Arial" w:hAnsi="Arial" w:cs="Arial"/>
          <w:sz w:val="21"/>
          <w:szCs w:val="21"/>
        </w:rPr>
        <w:t>In the event receipts cannot be obtained or have been lost, a statement to that effect and the reason provided shall be noted in the expense account.  In the absence of a satisfactory explanation, the amount involved shall not be allowed.  Further, a statement explaining that a receipt has been lost shall not be accepted for lodging, airfare, rental car, or business expenses.</w:t>
      </w:r>
    </w:p>
    <w:p w:rsidR="006B1451" w:rsidRPr="00D466C1" w:rsidRDefault="006B1451">
      <w:pPr>
        <w:rPr>
          <w:rFonts w:ascii="Arial" w:hAnsi="Arial" w:cs="Arial"/>
          <w:sz w:val="21"/>
          <w:szCs w:val="21"/>
        </w:rPr>
      </w:pPr>
    </w:p>
    <w:p w:rsidR="006B1451" w:rsidRPr="00D466C1" w:rsidRDefault="006B1451">
      <w:pPr>
        <w:rPr>
          <w:rFonts w:ascii="Arial" w:hAnsi="Arial" w:cs="Arial"/>
          <w:sz w:val="21"/>
          <w:szCs w:val="21"/>
        </w:rPr>
      </w:pPr>
      <w:r w:rsidRPr="00D466C1">
        <w:rPr>
          <w:rFonts w:ascii="Arial" w:hAnsi="Arial" w:cs="Arial"/>
          <w:sz w:val="21"/>
          <w:szCs w:val="21"/>
        </w:rPr>
        <w:t>Receipts for telephone or telegraph charges related to court business of $2.50 or less are not required.  However, claims for phone calls must include the place and party called.</w:t>
      </w:r>
    </w:p>
    <w:sectPr w:rsidR="006B1451" w:rsidRPr="00D466C1" w:rsidSect="00127472">
      <w:headerReference w:type="default" r:id="rId7"/>
      <w:footerReference w:type="default" r:id="rId8"/>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F1" w:rsidRDefault="00EA72F1" w:rsidP="00EA72F1">
      <w:pPr>
        <w:spacing w:line="240" w:lineRule="auto"/>
      </w:pPr>
      <w:r>
        <w:separator/>
      </w:r>
    </w:p>
  </w:endnote>
  <w:endnote w:type="continuationSeparator" w:id="0">
    <w:p w:rsidR="00EA72F1" w:rsidRDefault="00EA72F1" w:rsidP="00EA72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0568"/>
      <w:docPartObj>
        <w:docPartGallery w:val="Page Numbers (Bottom of Page)"/>
        <w:docPartUnique/>
      </w:docPartObj>
    </w:sdtPr>
    <w:sdtContent>
      <w:sdt>
        <w:sdtPr>
          <w:id w:val="565050523"/>
          <w:docPartObj>
            <w:docPartGallery w:val="Page Numbers (Top of Page)"/>
            <w:docPartUnique/>
          </w:docPartObj>
        </w:sdtPr>
        <w:sdtContent>
          <w:p w:rsidR="00055FF8" w:rsidRDefault="00055FF8">
            <w:pPr>
              <w:pStyle w:val="Footer"/>
              <w:jc w:val="right"/>
            </w:pPr>
            <w:r>
              <w:t xml:space="preserve">Page </w:t>
            </w:r>
            <w:r>
              <w:rPr>
                <w:b/>
              </w:rPr>
              <w:fldChar w:fldCharType="begin"/>
            </w:r>
            <w:r>
              <w:rPr>
                <w:b/>
              </w:rPr>
              <w:instrText xml:space="preserve"> PAGE </w:instrText>
            </w:r>
            <w:r>
              <w:rPr>
                <w:b/>
              </w:rPr>
              <w:fldChar w:fldCharType="separate"/>
            </w:r>
            <w:r w:rsidR="00702CD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02CD0">
              <w:rPr>
                <w:b/>
                <w:noProof/>
              </w:rPr>
              <w:t>2</w:t>
            </w:r>
            <w:r>
              <w:rPr>
                <w:b/>
              </w:rPr>
              <w:fldChar w:fldCharType="end"/>
            </w:r>
          </w:p>
        </w:sdtContent>
      </w:sdt>
    </w:sdtContent>
  </w:sdt>
  <w:p w:rsidR="00055FF8" w:rsidRDefault="00055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F1" w:rsidRDefault="00EA72F1" w:rsidP="00EA72F1">
      <w:pPr>
        <w:spacing w:line="240" w:lineRule="auto"/>
      </w:pPr>
      <w:r>
        <w:separator/>
      </w:r>
    </w:p>
  </w:footnote>
  <w:footnote w:type="continuationSeparator" w:id="0">
    <w:p w:rsidR="00EA72F1" w:rsidRDefault="00EA72F1" w:rsidP="00EA72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F1" w:rsidRDefault="00EA72F1" w:rsidP="00EA72F1">
    <w:pPr>
      <w:pStyle w:val="CommentText"/>
      <w:tabs>
        <w:tab w:val="left" w:pos="1242"/>
      </w:tabs>
      <w:ind w:right="252"/>
      <w:jc w:val="both"/>
      <w:rPr>
        <w:color w:val="000000"/>
        <w:sz w:val="22"/>
        <w:szCs w:val="22"/>
      </w:rPr>
    </w:pPr>
    <w:r>
      <w:t>RFP</w:t>
    </w:r>
    <w:r w:rsidRPr="0045523B">
      <w:t xml:space="preserve"> Title:  </w:t>
    </w:r>
    <w:r>
      <w:rPr>
        <w:color w:val="000000"/>
        <w:sz w:val="22"/>
        <w:szCs w:val="22"/>
      </w:rPr>
      <w:t>Advanced Training for Mediators, Third Appellate District Mediation Program</w:t>
    </w:r>
  </w:p>
  <w:p w:rsidR="00EA72F1" w:rsidRPr="009000D1" w:rsidRDefault="00EA72F1" w:rsidP="00EA72F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3DCA RFP 14/15-01</w:t>
    </w:r>
  </w:p>
  <w:p w:rsidR="00EA72F1" w:rsidRDefault="00EA72F1">
    <w:pPr>
      <w:pStyle w:val="Header"/>
    </w:pPr>
    <w:r>
      <w:t>Attachment 7</w:t>
    </w:r>
  </w:p>
  <w:p w:rsidR="00EA72F1" w:rsidRDefault="00EA72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95BB3"/>
    <w:multiLevelType w:val="hybridMultilevel"/>
    <w:tmpl w:val="A0B0EB16"/>
    <w:lvl w:ilvl="0" w:tplc="797863B6">
      <w:start w:val="1"/>
      <w:numFmt w:val="decimal"/>
      <w:lvlText w:val="%1."/>
      <w:lvlJc w:val="left"/>
      <w:pPr>
        <w:ind w:left="1080" w:hanging="720"/>
      </w:pPr>
      <w:rPr>
        <w:rFonts w:ascii="Arial Narrow" w:hAnsi="Arial Narro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45B4E"/>
    <w:multiLevelType w:val="hybridMultilevel"/>
    <w:tmpl w:val="2C46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559CE"/>
    <w:rsid w:val="000559CE"/>
    <w:rsid w:val="00055FF8"/>
    <w:rsid w:val="00127472"/>
    <w:rsid w:val="001B011D"/>
    <w:rsid w:val="002563AB"/>
    <w:rsid w:val="00357AF1"/>
    <w:rsid w:val="0036763E"/>
    <w:rsid w:val="003D6A5F"/>
    <w:rsid w:val="00482CCA"/>
    <w:rsid w:val="00495728"/>
    <w:rsid w:val="0050310F"/>
    <w:rsid w:val="00556416"/>
    <w:rsid w:val="006B1451"/>
    <w:rsid w:val="00702CD0"/>
    <w:rsid w:val="007656D3"/>
    <w:rsid w:val="0078513A"/>
    <w:rsid w:val="007B23EB"/>
    <w:rsid w:val="00AF3E2D"/>
    <w:rsid w:val="00B424EC"/>
    <w:rsid w:val="00B754ED"/>
    <w:rsid w:val="00BB27C0"/>
    <w:rsid w:val="00C408E2"/>
    <w:rsid w:val="00D466C1"/>
    <w:rsid w:val="00DE6FC3"/>
    <w:rsid w:val="00E26A71"/>
    <w:rsid w:val="00E57CC4"/>
    <w:rsid w:val="00E87C2F"/>
    <w:rsid w:val="00EA7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A71"/>
    <w:pPr>
      <w:spacing w:line="300" w:lineRule="exac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6A71"/>
    <w:pPr>
      <w:autoSpaceDE w:val="0"/>
      <w:autoSpaceDN w:val="0"/>
      <w:adjustRightInd w:val="0"/>
      <w:spacing w:line="240" w:lineRule="auto"/>
    </w:pPr>
    <w:rPr>
      <w:rFonts w:ascii="Arial" w:hAnsi="Arial" w:cs="Arial"/>
      <w:sz w:val="28"/>
      <w:szCs w:val="28"/>
    </w:rPr>
  </w:style>
  <w:style w:type="paragraph" w:styleId="BodyTextIndent">
    <w:name w:val="Body Text Indent"/>
    <w:basedOn w:val="Normal"/>
    <w:rsid w:val="00E26A71"/>
    <w:pPr>
      <w:ind w:left="360" w:hanging="360"/>
    </w:pPr>
  </w:style>
  <w:style w:type="paragraph" w:styleId="Title">
    <w:name w:val="Title"/>
    <w:basedOn w:val="Normal"/>
    <w:qFormat/>
    <w:rsid w:val="00E26A71"/>
    <w:pPr>
      <w:jc w:val="center"/>
    </w:pPr>
    <w:rPr>
      <w:b/>
      <w:bCs/>
    </w:rPr>
  </w:style>
  <w:style w:type="paragraph" w:styleId="BalloonText">
    <w:name w:val="Balloon Text"/>
    <w:basedOn w:val="Normal"/>
    <w:semiHidden/>
    <w:rsid w:val="00556416"/>
    <w:rPr>
      <w:rFonts w:ascii="Tahoma" w:hAnsi="Tahoma" w:cs="Tahoma"/>
      <w:sz w:val="16"/>
      <w:szCs w:val="16"/>
    </w:rPr>
  </w:style>
  <w:style w:type="paragraph" w:customStyle="1" w:styleId="Default">
    <w:name w:val="Default"/>
    <w:rsid w:val="00D466C1"/>
    <w:pPr>
      <w:autoSpaceDE w:val="0"/>
      <w:autoSpaceDN w:val="0"/>
      <w:adjustRightInd w:val="0"/>
    </w:pPr>
    <w:rPr>
      <w:color w:val="000000"/>
      <w:sz w:val="24"/>
      <w:szCs w:val="24"/>
    </w:rPr>
  </w:style>
  <w:style w:type="paragraph" w:styleId="ListParagraph">
    <w:name w:val="List Paragraph"/>
    <w:basedOn w:val="Normal"/>
    <w:uiPriority w:val="34"/>
    <w:qFormat/>
    <w:rsid w:val="00D466C1"/>
    <w:pPr>
      <w:ind w:left="720"/>
      <w:contextualSpacing/>
    </w:pPr>
  </w:style>
  <w:style w:type="paragraph" w:styleId="Header">
    <w:name w:val="header"/>
    <w:basedOn w:val="Normal"/>
    <w:link w:val="HeaderChar"/>
    <w:uiPriority w:val="99"/>
    <w:rsid w:val="00EA72F1"/>
    <w:pPr>
      <w:tabs>
        <w:tab w:val="center" w:pos="4680"/>
        <w:tab w:val="right" w:pos="9360"/>
      </w:tabs>
      <w:spacing w:line="240" w:lineRule="auto"/>
    </w:pPr>
  </w:style>
  <w:style w:type="character" w:customStyle="1" w:styleId="HeaderChar">
    <w:name w:val="Header Char"/>
    <w:basedOn w:val="DefaultParagraphFont"/>
    <w:link w:val="Header"/>
    <w:uiPriority w:val="99"/>
    <w:rsid w:val="00EA72F1"/>
    <w:rPr>
      <w:sz w:val="24"/>
      <w:szCs w:val="24"/>
    </w:rPr>
  </w:style>
  <w:style w:type="paragraph" w:styleId="Footer">
    <w:name w:val="footer"/>
    <w:basedOn w:val="Normal"/>
    <w:link w:val="FooterChar"/>
    <w:uiPriority w:val="99"/>
    <w:rsid w:val="00EA72F1"/>
    <w:pPr>
      <w:tabs>
        <w:tab w:val="center" w:pos="4680"/>
        <w:tab w:val="right" w:pos="9360"/>
      </w:tabs>
      <w:spacing w:line="240" w:lineRule="auto"/>
    </w:pPr>
  </w:style>
  <w:style w:type="character" w:customStyle="1" w:styleId="FooterChar">
    <w:name w:val="Footer Char"/>
    <w:basedOn w:val="DefaultParagraphFont"/>
    <w:link w:val="Footer"/>
    <w:uiPriority w:val="99"/>
    <w:rsid w:val="00EA72F1"/>
    <w:rPr>
      <w:sz w:val="24"/>
      <w:szCs w:val="24"/>
    </w:rPr>
  </w:style>
  <w:style w:type="paragraph" w:styleId="CommentText">
    <w:name w:val="annotation text"/>
    <w:basedOn w:val="Normal"/>
    <w:link w:val="CommentTextChar"/>
    <w:uiPriority w:val="99"/>
    <w:rsid w:val="00EA72F1"/>
    <w:pPr>
      <w:spacing w:line="240" w:lineRule="auto"/>
    </w:pPr>
    <w:rPr>
      <w:sz w:val="20"/>
      <w:szCs w:val="20"/>
    </w:rPr>
  </w:style>
  <w:style w:type="character" w:customStyle="1" w:styleId="CommentTextChar">
    <w:name w:val="Comment Text Char"/>
    <w:basedOn w:val="DefaultParagraphFont"/>
    <w:link w:val="CommentText"/>
    <w:uiPriority w:val="99"/>
    <w:rsid w:val="00EA72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AOC Travel Rate Guidelines</vt:lpstr>
    </vt:vector>
  </TitlesOfParts>
  <Company>Administrative Office of the Courts</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AOC Travel Rate Guidelines</dc:title>
  <dc:creator>Olivia Ballejos</dc:creator>
  <cp:lastModifiedBy>CBruggman</cp:lastModifiedBy>
  <cp:revision>5</cp:revision>
  <cp:lastPrinted>2006-08-07T21:54:00Z</cp:lastPrinted>
  <dcterms:created xsi:type="dcterms:W3CDTF">2014-09-22T16:45:00Z</dcterms:created>
  <dcterms:modified xsi:type="dcterms:W3CDTF">2014-09-23T19:25:00Z</dcterms:modified>
</cp:coreProperties>
</file>