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EF605" w14:textId="62A47929" w:rsidR="00DE6DDB" w:rsidRPr="00DA60A7" w:rsidRDefault="00DE6DDB" w:rsidP="00DE6DDB">
      <w:pPr>
        <w:ind w:left="1440" w:hanging="1440"/>
        <w:rPr>
          <w:rFonts w:ascii="Times New Roman" w:hAnsi="Times New Roman" w:cs="Times New Roman"/>
          <w:sz w:val="24"/>
          <w:szCs w:val="24"/>
        </w:rPr>
      </w:pPr>
      <w:r w:rsidRPr="00DA60A7">
        <w:rPr>
          <w:rFonts w:ascii="Times New Roman" w:hAnsi="Times New Roman" w:cs="Times New Roman"/>
          <w:b/>
          <w:sz w:val="24"/>
          <w:szCs w:val="24"/>
        </w:rPr>
        <w:t>Title:</w:t>
      </w:r>
      <w:r w:rsidRPr="00DA60A7">
        <w:rPr>
          <w:rFonts w:ascii="Times New Roman" w:hAnsi="Times New Roman" w:cs="Times New Roman"/>
          <w:b/>
          <w:sz w:val="24"/>
          <w:szCs w:val="24"/>
        </w:rPr>
        <w:tab/>
      </w:r>
      <w:sdt>
        <w:sdtPr>
          <w:rPr>
            <w:rFonts w:ascii="Times New Roman" w:hAnsi="Times New Roman" w:cs="Times New Roman"/>
            <w:sz w:val="24"/>
            <w:szCs w:val="24"/>
          </w:rPr>
          <w:id w:val="-55784104"/>
          <w:placeholder>
            <w:docPart w:val="AB0FDA265F8D4374B0CE1B392F948025"/>
          </w:placeholder>
        </w:sdtPr>
        <w:sdtContent>
          <w:sdt>
            <w:sdtPr>
              <w:rPr>
                <w:rFonts w:ascii="Times New Roman" w:hAnsi="Times New Roman" w:cs="Times New Roman"/>
                <w:sz w:val="24"/>
                <w:szCs w:val="24"/>
              </w:rPr>
              <w:id w:val="1082881007"/>
              <w:placeholder>
                <w:docPart w:val="A80501E27BE44AAD9E5C912BBD48EEDE"/>
              </w:placeholder>
            </w:sdtPr>
            <w:sdtContent>
              <w:r w:rsidRPr="0018129E">
                <w:rPr>
                  <w:rFonts w:ascii="Times New Roman" w:hAnsi="Times New Roman" w:cs="Times New Roman"/>
                  <w:sz w:val="24"/>
                  <w:szCs w:val="24"/>
                </w:rPr>
                <w:t>Superior Court of</w:t>
              </w:r>
              <w:r>
                <w:rPr>
                  <w:rFonts w:ascii="Times New Roman" w:hAnsi="Times New Roman" w:cs="Times New Roman"/>
                  <w:sz w:val="24"/>
                  <w:szCs w:val="24"/>
                </w:rPr>
                <w:t xml:space="preserve"> </w:t>
              </w:r>
              <w:r>
                <w:rPr>
                  <w:rFonts w:ascii="Times New Roman" w:hAnsi="Times New Roman" w:cs="Times New Roman"/>
                  <w:sz w:val="24"/>
                  <w:szCs w:val="24"/>
                </w:rPr>
                <w:t>Alameda</w:t>
              </w:r>
              <w:r>
                <w:rPr>
                  <w:rFonts w:ascii="Times New Roman" w:hAnsi="Times New Roman" w:cs="Times New Roman"/>
                  <w:sz w:val="24"/>
                  <w:szCs w:val="24"/>
                </w:rPr>
                <w:t xml:space="preserve"> </w:t>
              </w:r>
              <w:r w:rsidRPr="0018129E">
                <w:rPr>
                  <w:rFonts w:ascii="Times New Roman" w:hAnsi="Times New Roman" w:cs="Times New Roman"/>
                  <w:sz w:val="24"/>
                  <w:szCs w:val="24"/>
                </w:rPr>
                <w:t>Adjustment Request</w:t>
              </w:r>
            </w:sdtContent>
          </w:sdt>
          <w:r>
            <w:rPr>
              <w:rFonts w:ascii="Times New Roman" w:hAnsi="Times New Roman" w:cs="Times New Roman"/>
              <w:sz w:val="24"/>
              <w:szCs w:val="24"/>
            </w:rPr>
            <w:t xml:space="preserve"> Proposal</w:t>
          </w:r>
        </w:sdtContent>
      </w:sdt>
    </w:p>
    <w:p w14:paraId="20BFBC7F" w14:textId="6BE6EE4C" w:rsidR="00DE6DDB" w:rsidRDefault="00DE6DDB" w:rsidP="00DE6DDB">
      <w:pPr>
        <w:tabs>
          <w:tab w:val="left" w:pos="720"/>
          <w:tab w:val="left" w:pos="1440"/>
          <w:tab w:val="left" w:pos="2160"/>
          <w:tab w:val="left" w:pos="2880"/>
          <w:tab w:val="left" w:pos="5613"/>
        </w:tabs>
        <w:rPr>
          <w:rFonts w:ascii="Times New Roman" w:hAnsi="Times New Roman" w:cs="Times New Roman"/>
          <w:b/>
          <w:sz w:val="24"/>
          <w:szCs w:val="24"/>
        </w:rPr>
      </w:pPr>
      <w:r w:rsidRPr="00DA60A7">
        <w:rPr>
          <w:rFonts w:ascii="Times New Roman" w:hAnsi="Times New Roman" w:cs="Times New Roman"/>
          <w:b/>
          <w:sz w:val="24"/>
          <w:szCs w:val="24"/>
        </w:rPr>
        <w:t>Date:</w:t>
      </w:r>
      <w:r w:rsidRPr="00DA60A7">
        <w:rPr>
          <w:rFonts w:ascii="Times New Roman" w:hAnsi="Times New Roman" w:cs="Times New Roman"/>
          <w:b/>
          <w:sz w:val="24"/>
          <w:szCs w:val="24"/>
        </w:rPr>
        <w:tab/>
      </w:r>
      <w:r w:rsidRPr="00DA60A7">
        <w:rPr>
          <w:rFonts w:ascii="Times New Roman" w:hAnsi="Times New Roman" w:cs="Times New Roman"/>
          <w:b/>
          <w:sz w:val="24"/>
          <w:szCs w:val="24"/>
        </w:rPr>
        <w:tab/>
      </w:r>
      <w:sdt>
        <w:sdtPr>
          <w:rPr>
            <w:rFonts w:ascii="Times New Roman" w:hAnsi="Times New Roman" w:cs="Times New Roman"/>
            <w:sz w:val="24"/>
            <w:szCs w:val="24"/>
          </w:rPr>
          <w:id w:val="-1905976508"/>
          <w:placeholder>
            <w:docPart w:val="E7A849C6B6DF4070B026EA6C05000D73"/>
          </w:placeholder>
          <w:date w:fullDate="2025-08-05T00:00:00Z">
            <w:dateFormat w:val="M/d/yyyy"/>
            <w:lid w:val="en-US"/>
            <w:storeMappedDataAs w:val="dateTime"/>
            <w:calendar w:val="gregorian"/>
          </w:date>
        </w:sdtPr>
        <w:sdtContent>
          <w:r>
            <w:rPr>
              <w:rFonts w:ascii="Times New Roman" w:hAnsi="Times New Roman" w:cs="Times New Roman"/>
              <w:sz w:val="24"/>
              <w:szCs w:val="24"/>
            </w:rPr>
            <w:t>8/5/2025</w:t>
          </w:r>
        </w:sdtContent>
      </w:sdt>
      <w:r w:rsidRPr="00DA60A7">
        <w:rPr>
          <w:rFonts w:ascii="Times New Roman" w:hAnsi="Times New Roman" w:cs="Times New Roman"/>
          <w:b/>
          <w:sz w:val="24"/>
          <w:szCs w:val="24"/>
        </w:rPr>
        <w:tab/>
      </w:r>
      <w:r>
        <w:rPr>
          <w:rFonts w:ascii="Times New Roman" w:hAnsi="Times New Roman" w:cs="Times New Roman"/>
          <w:b/>
          <w:sz w:val="24"/>
          <w:szCs w:val="24"/>
        </w:rPr>
        <w:tab/>
      </w:r>
      <w:r w:rsidRPr="00DA60A7">
        <w:rPr>
          <w:rFonts w:ascii="Times New Roman" w:hAnsi="Times New Roman" w:cs="Times New Roman"/>
          <w:b/>
          <w:sz w:val="24"/>
          <w:szCs w:val="24"/>
        </w:rPr>
        <w:tab/>
      </w:r>
      <w:r>
        <w:rPr>
          <w:rFonts w:ascii="Times New Roman" w:hAnsi="Times New Roman" w:cs="Times New Roman"/>
          <w:b/>
          <w:sz w:val="24"/>
          <w:szCs w:val="24"/>
        </w:rPr>
        <w:tab/>
      </w:r>
    </w:p>
    <w:p w14:paraId="6B0D1B87" w14:textId="77777777" w:rsidR="00DE6DDB" w:rsidRDefault="00DE6DDB" w:rsidP="00DE6DDB">
      <w:pPr>
        <w:spacing w:before="240"/>
        <w:rPr>
          <w:rFonts w:ascii="Times New Roman" w:hAnsi="Times New Roman" w:cs="Times New Roman"/>
          <w:b/>
          <w:sz w:val="24"/>
          <w:szCs w:val="24"/>
        </w:rPr>
      </w:pPr>
    </w:p>
    <w:p w14:paraId="76AF1073" w14:textId="5AC8F934" w:rsidR="00DE6DDB" w:rsidRPr="00A530CB" w:rsidRDefault="00DE6DDB" w:rsidP="00DE6DDB">
      <w:pPr>
        <w:spacing w:before="240"/>
        <w:rPr>
          <w:rFonts w:ascii="Times New Roman" w:hAnsi="Times New Roman" w:cs="Times New Roman"/>
          <w:b/>
          <w:sz w:val="24"/>
          <w:szCs w:val="24"/>
        </w:rPr>
      </w:pPr>
      <w:r w:rsidRPr="00A530CB">
        <w:rPr>
          <w:rFonts w:ascii="Times New Roman" w:hAnsi="Times New Roman" w:cs="Times New Roman"/>
          <w:b/>
          <w:sz w:val="24"/>
          <w:szCs w:val="24"/>
        </w:rPr>
        <w:t xml:space="preserve">Summary of </w:t>
      </w:r>
      <w:r>
        <w:rPr>
          <w:rFonts w:ascii="Times New Roman" w:hAnsi="Times New Roman" w:cs="Times New Roman"/>
          <w:b/>
          <w:sz w:val="24"/>
          <w:szCs w:val="24"/>
        </w:rPr>
        <w:t xml:space="preserve">DAAC </w:t>
      </w:r>
      <w:r w:rsidRPr="00A530CB">
        <w:rPr>
          <w:rFonts w:ascii="Times New Roman" w:hAnsi="Times New Roman" w:cs="Times New Roman"/>
          <w:b/>
          <w:sz w:val="24"/>
          <w:szCs w:val="24"/>
        </w:rPr>
        <w:t>Discussion</w:t>
      </w:r>
      <w:r>
        <w:rPr>
          <w:rFonts w:ascii="Times New Roman" w:hAnsi="Times New Roman" w:cs="Times New Roman"/>
          <w:b/>
          <w:sz w:val="24"/>
          <w:szCs w:val="24"/>
        </w:rPr>
        <w:t>, Analysis,</w:t>
      </w:r>
      <w:r w:rsidRPr="00A530CB">
        <w:rPr>
          <w:rFonts w:ascii="Times New Roman" w:hAnsi="Times New Roman" w:cs="Times New Roman"/>
          <w:b/>
          <w:sz w:val="24"/>
          <w:szCs w:val="24"/>
        </w:rPr>
        <w:t xml:space="preserve"> and Next Steps</w:t>
      </w:r>
    </w:p>
    <w:p w14:paraId="2D03158E" w14:textId="77777777" w:rsidR="00375D6D" w:rsidRPr="00937C15" w:rsidRDefault="00375D6D" w:rsidP="00212441">
      <w:pPr>
        <w:spacing w:before="240"/>
        <w:rPr>
          <w:rFonts w:ascii="Times New Roman" w:hAnsi="Times New Roman" w:cs="Times New Roman"/>
          <w:b/>
          <w:sz w:val="24"/>
          <w:szCs w:val="24"/>
          <w:u w:val="single"/>
        </w:rPr>
      </w:pPr>
      <w:r w:rsidRPr="00937C15">
        <w:rPr>
          <w:rFonts w:ascii="Times New Roman" w:hAnsi="Times New Roman" w:cs="Times New Roman"/>
          <w:b/>
          <w:sz w:val="24"/>
          <w:szCs w:val="24"/>
          <w:u w:val="single"/>
        </w:rPr>
        <w:t>Introduction</w:t>
      </w:r>
    </w:p>
    <w:p w14:paraId="6A5EACB2" w14:textId="55D9800E" w:rsidR="001269A8" w:rsidRPr="00937C15" w:rsidRDefault="001269A8" w:rsidP="00937C15">
      <w:pPr>
        <w:pStyle w:val="Default"/>
        <w:rPr>
          <w:bCs/>
          <w:color w:val="auto"/>
        </w:rPr>
      </w:pPr>
      <w:r w:rsidRPr="00937C15">
        <w:rPr>
          <w:bCs/>
          <w:color w:val="auto"/>
        </w:rPr>
        <w:t>On January 1</w:t>
      </w:r>
      <w:r w:rsidR="00E12B5A">
        <w:rPr>
          <w:bCs/>
          <w:color w:val="auto"/>
        </w:rPr>
        <w:t>5</w:t>
      </w:r>
      <w:r w:rsidRPr="00937C15">
        <w:rPr>
          <w:bCs/>
          <w:color w:val="auto"/>
        </w:rPr>
        <w:t xml:space="preserve">, </w:t>
      </w:r>
      <w:r w:rsidR="00DE6DDB" w:rsidRPr="00937C15">
        <w:rPr>
          <w:bCs/>
          <w:color w:val="auto"/>
        </w:rPr>
        <w:t>202</w:t>
      </w:r>
      <w:r w:rsidR="00DE6DDB">
        <w:rPr>
          <w:bCs/>
          <w:color w:val="auto"/>
        </w:rPr>
        <w:t>5,</w:t>
      </w:r>
      <w:r w:rsidRPr="00937C15">
        <w:rPr>
          <w:bCs/>
          <w:color w:val="auto"/>
        </w:rPr>
        <w:t xml:space="preserve"> an Adjustment Request Proposal (ARP) was submitted by the Superior Court of </w:t>
      </w:r>
      <w:r w:rsidR="00CA20E3">
        <w:rPr>
          <w:bCs/>
          <w:color w:val="auto"/>
        </w:rPr>
        <w:t>Alameda</w:t>
      </w:r>
      <w:r w:rsidRPr="00937C15">
        <w:rPr>
          <w:bCs/>
          <w:color w:val="auto"/>
        </w:rPr>
        <w:t>.</w:t>
      </w:r>
      <w:r w:rsidR="00CA20E3">
        <w:rPr>
          <w:bCs/>
          <w:color w:val="auto"/>
        </w:rPr>
        <w:t xml:space="preserve"> </w:t>
      </w:r>
      <w:r w:rsidRPr="00937C15">
        <w:rPr>
          <w:bCs/>
          <w:color w:val="auto"/>
        </w:rPr>
        <w:t>This ARP</w:t>
      </w:r>
      <w:r w:rsidR="004E7D41">
        <w:rPr>
          <w:bCs/>
          <w:color w:val="auto"/>
        </w:rPr>
        <w:t xml:space="preserve"> proposes a </w:t>
      </w:r>
      <w:r w:rsidR="00CA20E3">
        <w:rPr>
          <w:bCs/>
          <w:color w:val="auto"/>
        </w:rPr>
        <w:t>minimum staff-to-judge ratio be factored into</w:t>
      </w:r>
      <w:r w:rsidR="005C1421">
        <w:rPr>
          <w:bCs/>
          <w:color w:val="auto"/>
        </w:rPr>
        <w:t xml:space="preserve"> RAS as a supplemental need and included in the Workload Formula calculations. Specifically, this proposal recommends</w:t>
      </w:r>
      <w:r w:rsidR="00490159">
        <w:rPr>
          <w:bCs/>
          <w:color w:val="auto"/>
        </w:rPr>
        <w:t xml:space="preserve"> factoring in the minimum staff needed to support authorized judgeships when measuring each court’s staffing-based financial need. </w:t>
      </w:r>
      <w:r w:rsidR="0093010B">
        <w:rPr>
          <w:bCs/>
          <w:color w:val="auto"/>
        </w:rPr>
        <w:t xml:space="preserve">The </w:t>
      </w:r>
      <w:r w:rsidR="004E7D41">
        <w:rPr>
          <w:bCs/>
          <w:color w:val="auto"/>
        </w:rPr>
        <w:t>Data Analytics</w:t>
      </w:r>
      <w:r w:rsidR="00A77A28">
        <w:rPr>
          <w:bCs/>
          <w:color w:val="auto"/>
        </w:rPr>
        <w:t xml:space="preserve"> Advisory Committee</w:t>
      </w:r>
      <w:r w:rsidR="004B63D6">
        <w:rPr>
          <w:bCs/>
          <w:color w:val="auto"/>
        </w:rPr>
        <w:t xml:space="preserve"> (DAAC)</w:t>
      </w:r>
      <w:r w:rsidR="00A77A28">
        <w:rPr>
          <w:bCs/>
          <w:color w:val="auto"/>
        </w:rPr>
        <w:t xml:space="preserve"> </w:t>
      </w:r>
      <w:r w:rsidR="008F5B56">
        <w:rPr>
          <w:bCs/>
          <w:color w:val="auto"/>
        </w:rPr>
        <w:t>p</w:t>
      </w:r>
      <w:r w:rsidR="0093010B">
        <w:rPr>
          <w:bCs/>
          <w:color w:val="auto"/>
        </w:rPr>
        <w:t xml:space="preserve">lans to review the </w:t>
      </w:r>
      <w:r w:rsidR="008F5B56">
        <w:rPr>
          <w:bCs/>
          <w:color w:val="auto"/>
        </w:rPr>
        <w:t>f</w:t>
      </w:r>
      <w:r w:rsidR="0093010B">
        <w:rPr>
          <w:bCs/>
          <w:color w:val="auto"/>
        </w:rPr>
        <w:t xml:space="preserve">actors related to this </w:t>
      </w:r>
      <w:r w:rsidR="008F5B56">
        <w:rPr>
          <w:bCs/>
          <w:color w:val="auto"/>
        </w:rPr>
        <w:t>p</w:t>
      </w:r>
      <w:r w:rsidR="0093010B">
        <w:rPr>
          <w:bCs/>
          <w:color w:val="auto"/>
        </w:rPr>
        <w:t xml:space="preserve">roposal in more </w:t>
      </w:r>
      <w:r w:rsidR="004C2E07">
        <w:rPr>
          <w:bCs/>
          <w:color w:val="auto"/>
        </w:rPr>
        <w:t>detail and</w:t>
      </w:r>
      <w:r w:rsidR="0093010B">
        <w:rPr>
          <w:bCs/>
          <w:color w:val="auto"/>
        </w:rPr>
        <w:t xml:space="preserve"> will tie this issue in with </w:t>
      </w:r>
      <w:r w:rsidR="004C2E07">
        <w:rPr>
          <w:bCs/>
          <w:color w:val="auto"/>
        </w:rPr>
        <w:t xml:space="preserve">a </w:t>
      </w:r>
      <w:r w:rsidR="0093010B">
        <w:rPr>
          <w:bCs/>
          <w:color w:val="auto"/>
        </w:rPr>
        <w:t>greater discussion</w:t>
      </w:r>
      <w:r w:rsidR="004C2E07">
        <w:rPr>
          <w:bCs/>
          <w:color w:val="auto"/>
        </w:rPr>
        <w:t xml:space="preserve"> </w:t>
      </w:r>
      <w:r w:rsidR="0093010B">
        <w:rPr>
          <w:bCs/>
          <w:color w:val="auto"/>
        </w:rPr>
        <w:t>regarding workload.</w:t>
      </w:r>
    </w:p>
    <w:p w14:paraId="4D1406C6" w14:textId="77777777" w:rsidR="001269A8" w:rsidRDefault="001269A8" w:rsidP="001269A8">
      <w:pPr>
        <w:pStyle w:val="Default"/>
        <w:rPr>
          <w:b/>
          <w:u w:val="single"/>
        </w:rPr>
      </w:pPr>
    </w:p>
    <w:p w14:paraId="102677EC" w14:textId="7E55A04C" w:rsidR="000260F4" w:rsidRDefault="00577ABB" w:rsidP="000260F4">
      <w:pPr>
        <w:pStyle w:val="Default"/>
        <w:spacing w:after="160"/>
        <w:rPr>
          <w:b/>
          <w:color w:val="auto"/>
          <w:u w:val="single"/>
        </w:rPr>
      </w:pPr>
      <w:r>
        <w:rPr>
          <w:b/>
          <w:color w:val="auto"/>
          <w:u w:val="single"/>
        </w:rPr>
        <w:t>Background</w:t>
      </w:r>
    </w:p>
    <w:p w14:paraId="4DCE83D5" w14:textId="77777777" w:rsidR="000A3E4E" w:rsidRPr="00790685" w:rsidRDefault="000A3E4E" w:rsidP="000A3E4E">
      <w:pPr>
        <w:pStyle w:val="Default"/>
        <w:rPr>
          <w:bCs/>
        </w:rPr>
      </w:pPr>
      <w:r w:rsidRPr="00790685">
        <w:rPr>
          <w:bCs/>
          <w:color w:val="auto"/>
        </w:rPr>
        <w:t xml:space="preserve">The Trial Court Budget Advisory Committee’s </w:t>
      </w:r>
      <w:r w:rsidRPr="00790685">
        <w:rPr>
          <w:bCs/>
        </w:rPr>
        <w:t>Workload Formula Adjustment Request Process is used by the trial courts to suggest modifications to the Workload Formula used for trial court funding</w:t>
      </w:r>
      <w:r w:rsidRPr="00790685">
        <w:rPr>
          <w:rStyle w:val="FootnoteReference"/>
          <w:bCs/>
        </w:rPr>
        <w:footnoteReference w:id="1"/>
      </w:r>
      <w:r w:rsidRPr="00790685">
        <w:rPr>
          <w:bCs/>
        </w:rPr>
        <w:t xml:space="preserve"> Per Judicial Council policy the Trial Court Budget Advisory Committee (TCBAC) chair, in consultation with the Judicial Council Budget Services director, reviews each request received from the courts and refers them to the appropriate advisory committee for review and recommendation.</w:t>
      </w:r>
    </w:p>
    <w:p w14:paraId="06A45361" w14:textId="77777777" w:rsidR="000A3E4E" w:rsidRPr="00790685" w:rsidRDefault="000A3E4E" w:rsidP="000A3E4E">
      <w:pPr>
        <w:pStyle w:val="Default"/>
        <w:rPr>
          <w:bCs/>
        </w:rPr>
      </w:pPr>
    </w:p>
    <w:p w14:paraId="2AD3183A" w14:textId="77777777" w:rsidR="00067F5B" w:rsidRDefault="000A3E4E" w:rsidP="000A3E4E">
      <w:pPr>
        <w:pStyle w:val="Default"/>
        <w:rPr>
          <w:bCs/>
          <w:color w:val="FF0000"/>
        </w:rPr>
      </w:pPr>
      <w:r w:rsidRPr="00790685">
        <w:rPr>
          <w:bCs/>
        </w:rPr>
        <w:t>In February 2025, TCBAC referred the subject ARP to DAAC, determining that the issue was related to court workload that is measured in the RAS model.</w:t>
      </w:r>
      <w:r>
        <w:rPr>
          <w:bCs/>
          <w:color w:val="FF0000"/>
        </w:rPr>
        <w:t xml:space="preserve"> </w:t>
      </w:r>
    </w:p>
    <w:p w14:paraId="04FD55EF" w14:textId="77777777" w:rsidR="00067F5B" w:rsidRDefault="00067F5B" w:rsidP="000A3E4E">
      <w:pPr>
        <w:pStyle w:val="Default"/>
        <w:rPr>
          <w:bCs/>
          <w:color w:val="FF0000"/>
        </w:rPr>
      </w:pPr>
    </w:p>
    <w:p w14:paraId="691F7146" w14:textId="7F554321" w:rsidR="000A3E4E" w:rsidRPr="00B4413F" w:rsidRDefault="000A3E4E" w:rsidP="000A3E4E">
      <w:pPr>
        <w:pStyle w:val="Default"/>
        <w:rPr>
          <w:bCs/>
          <w:color w:val="FF0000"/>
        </w:rPr>
      </w:pPr>
      <w:r w:rsidRPr="001D63CC">
        <w:rPr>
          <w:bCs/>
          <w:color w:val="auto"/>
        </w:rPr>
        <w:t xml:space="preserve">Judicial Council staff </w:t>
      </w:r>
      <w:r>
        <w:rPr>
          <w:bCs/>
          <w:color w:val="auto"/>
        </w:rPr>
        <w:t>introduced</w:t>
      </w:r>
      <w:r w:rsidRPr="001D63CC">
        <w:rPr>
          <w:bCs/>
          <w:color w:val="auto"/>
        </w:rPr>
        <w:t xml:space="preserve"> the ARP to</w:t>
      </w:r>
      <w:r>
        <w:rPr>
          <w:bCs/>
          <w:color w:val="auto"/>
        </w:rPr>
        <w:t xml:space="preserve"> D</w:t>
      </w:r>
      <w:r w:rsidRPr="001D63CC">
        <w:rPr>
          <w:bCs/>
          <w:color w:val="auto"/>
        </w:rPr>
        <w:t xml:space="preserve">AAC at its </w:t>
      </w:r>
      <w:r>
        <w:rPr>
          <w:bCs/>
          <w:color w:val="auto"/>
        </w:rPr>
        <w:t>May</w:t>
      </w:r>
      <w:r w:rsidRPr="001D63CC">
        <w:rPr>
          <w:bCs/>
          <w:color w:val="auto"/>
        </w:rPr>
        <w:t xml:space="preserve"> </w:t>
      </w:r>
      <w:r>
        <w:rPr>
          <w:bCs/>
          <w:color w:val="auto"/>
        </w:rPr>
        <w:t>13</w:t>
      </w:r>
      <w:r w:rsidRPr="001D63CC">
        <w:rPr>
          <w:bCs/>
          <w:color w:val="auto"/>
        </w:rPr>
        <w:t xml:space="preserve">, </w:t>
      </w:r>
      <w:r w:rsidR="00DE6DDB" w:rsidRPr="001D63CC">
        <w:rPr>
          <w:bCs/>
          <w:color w:val="auto"/>
        </w:rPr>
        <w:t>202</w:t>
      </w:r>
      <w:r w:rsidR="00DE6DDB">
        <w:rPr>
          <w:bCs/>
          <w:color w:val="auto"/>
        </w:rPr>
        <w:t>5,</w:t>
      </w:r>
      <w:r w:rsidRPr="001D63CC">
        <w:rPr>
          <w:bCs/>
          <w:color w:val="auto"/>
        </w:rPr>
        <w:t xml:space="preserve"> meeting,</w:t>
      </w:r>
      <w:r>
        <w:rPr>
          <w:bCs/>
          <w:color w:val="auto"/>
        </w:rPr>
        <w:t xml:space="preserve"> where</w:t>
      </w:r>
      <w:r w:rsidRPr="001D63CC">
        <w:rPr>
          <w:bCs/>
          <w:color w:val="auto"/>
        </w:rPr>
        <w:t xml:space="preserve"> the committee discussed the request</w:t>
      </w:r>
      <w:r>
        <w:rPr>
          <w:bCs/>
          <w:color w:val="auto"/>
        </w:rPr>
        <w:t>.</w:t>
      </w:r>
    </w:p>
    <w:p w14:paraId="31BB8F58" w14:textId="3B441DCE" w:rsidR="00C35517" w:rsidRDefault="00C35517" w:rsidP="001269A8">
      <w:pPr>
        <w:pStyle w:val="Default"/>
        <w:rPr>
          <w:bCs/>
          <w:color w:val="auto"/>
        </w:rPr>
      </w:pPr>
    </w:p>
    <w:p w14:paraId="4B99E219" w14:textId="77777777" w:rsidR="00C35517" w:rsidRPr="00DE6DDB" w:rsidRDefault="00C35517" w:rsidP="00DE6DDB">
      <w:pPr>
        <w:pStyle w:val="Default"/>
        <w:spacing w:after="160"/>
        <w:rPr>
          <w:b/>
          <w:color w:val="auto"/>
          <w:u w:val="single"/>
        </w:rPr>
      </w:pPr>
      <w:r w:rsidRPr="00DE6DDB">
        <w:rPr>
          <w:b/>
          <w:color w:val="auto"/>
          <w:u w:val="single"/>
        </w:rPr>
        <w:t>Analysis</w:t>
      </w:r>
    </w:p>
    <w:p w14:paraId="2FCC5F22" w14:textId="77777777" w:rsidR="000A3E4E" w:rsidRDefault="000A3E4E" w:rsidP="000A3E4E">
      <w:pPr>
        <w:pStyle w:val="Default"/>
        <w:rPr>
          <w:bCs/>
          <w:color w:val="auto"/>
        </w:rPr>
      </w:pPr>
      <w:r>
        <w:rPr>
          <w:bCs/>
          <w:color w:val="auto"/>
        </w:rPr>
        <w:t>The RAS model uses a weighted caseload methodology to assess staff resource need in the trial courts. The estimated need for each court is updated annually to include the most recent three-year average filings data, and this data from RAS then feeds into the Workload Formula. As such, neither RAS nor the Workload Formula currently accounts for a court’s number of authorized and funded judgeships when determining a court’s staffing-based resource need.</w:t>
      </w:r>
    </w:p>
    <w:p w14:paraId="4E6A684E" w14:textId="77777777" w:rsidR="000A3E4E" w:rsidRDefault="000A3E4E" w:rsidP="000A3E4E">
      <w:pPr>
        <w:pStyle w:val="Default"/>
        <w:rPr>
          <w:bCs/>
          <w:color w:val="auto"/>
        </w:rPr>
      </w:pPr>
    </w:p>
    <w:p w14:paraId="633057B8" w14:textId="77777777" w:rsidR="000A3E4E" w:rsidRDefault="000A3E4E" w:rsidP="000A3E4E">
      <w:pPr>
        <w:pStyle w:val="Default"/>
        <w:rPr>
          <w:bCs/>
          <w:color w:val="auto"/>
        </w:rPr>
      </w:pPr>
      <w:r>
        <w:rPr>
          <w:bCs/>
          <w:color w:val="auto"/>
        </w:rPr>
        <w:t xml:space="preserve">As illustrated in the ARP, Alameda expresses that the current iteration of the Workload Formula may lead some courts to be funded at a level where each judge does not have a sufficient level of </w:t>
      </w:r>
      <w:r>
        <w:rPr>
          <w:bCs/>
          <w:color w:val="auto"/>
        </w:rPr>
        <w:lastRenderedPageBreak/>
        <w:t>support staff to perform the work expected of them. To address the court’s concern, this ARP suggests that the Workload Formula factor in each court’s number of authorized and funded judgeships to help ensure that every court is funded to allow for a minimum ratio of support staff to judges.</w:t>
      </w:r>
    </w:p>
    <w:p w14:paraId="43360D76" w14:textId="77777777" w:rsidR="000A3E4E" w:rsidRPr="00790685" w:rsidRDefault="000A3E4E" w:rsidP="00C35517">
      <w:pPr>
        <w:pStyle w:val="Default"/>
        <w:rPr>
          <w:b/>
          <w:color w:val="auto"/>
        </w:rPr>
      </w:pPr>
    </w:p>
    <w:p w14:paraId="6983BF0F" w14:textId="77777777" w:rsidR="00C35517" w:rsidRDefault="00C35517" w:rsidP="00C35517">
      <w:pPr>
        <w:pStyle w:val="Default"/>
        <w:rPr>
          <w:bCs/>
          <w:color w:val="auto"/>
        </w:rPr>
      </w:pPr>
      <w:r>
        <w:rPr>
          <w:bCs/>
          <w:color w:val="auto"/>
        </w:rPr>
        <w:t>In evaluating ARP requests that come to the Data Analytics Advisory Committee, the following considerations are taken:</w:t>
      </w:r>
    </w:p>
    <w:p w14:paraId="7E458474" w14:textId="77777777" w:rsidR="00C35517" w:rsidRDefault="00C35517" w:rsidP="00C35517">
      <w:pPr>
        <w:pStyle w:val="Default"/>
        <w:numPr>
          <w:ilvl w:val="0"/>
          <w:numId w:val="2"/>
        </w:numPr>
        <w:rPr>
          <w:bCs/>
          <w:color w:val="auto"/>
        </w:rPr>
      </w:pPr>
      <w:r>
        <w:rPr>
          <w:bCs/>
          <w:color w:val="auto"/>
        </w:rPr>
        <w:t>Impact of the proposal on filings data, including changes in filings and availability of filings data in reportable format by all 58 courts.</w:t>
      </w:r>
    </w:p>
    <w:p w14:paraId="4BF74675" w14:textId="77777777" w:rsidR="00C35517" w:rsidRDefault="00C35517" w:rsidP="00C35517">
      <w:pPr>
        <w:pStyle w:val="Default"/>
        <w:numPr>
          <w:ilvl w:val="0"/>
          <w:numId w:val="2"/>
        </w:numPr>
        <w:rPr>
          <w:bCs/>
          <w:color w:val="auto"/>
        </w:rPr>
      </w:pPr>
      <w:r>
        <w:rPr>
          <w:bCs/>
          <w:color w:val="auto"/>
        </w:rPr>
        <w:t xml:space="preserve">Changes to court workload, such as new processes or number of hearings, that may affect the RAS model caseweights. </w:t>
      </w:r>
    </w:p>
    <w:p w14:paraId="6856DB21" w14:textId="77777777" w:rsidR="00C35517" w:rsidRDefault="00C35517" w:rsidP="00C35517">
      <w:pPr>
        <w:pStyle w:val="Default"/>
        <w:numPr>
          <w:ilvl w:val="0"/>
          <w:numId w:val="2"/>
        </w:numPr>
        <w:rPr>
          <w:bCs/>
          <w:color w:val="auto"/>
        </w:rPr>
      </w:pPr>
      <w:r w:rsidRPr="00AE582E">
        <w:rPr>
          <w:bCs/>
          <w:color w:val="auto"/>
        </w:rPr>
        <w:t>New laws or other issues that change the available time of court staff</w:t>
      </w:r>
      <w:r>
        <w:rPr>
          <w:bCs/>
          <w:color w:val="auto"/>
        </w:rPr>
        <w:t>, which is measured in the staff year value</w:t>
      </w:r>
      <w:r w:rsidRPr="00AE582E">
        <w:rPr>
          <w:bCs/>
          <w:color w:val="auto"/>
        </w:rPr>
        <w:t xml:space="preserve">. </w:t>
      </w:r>
    </w:p>
    <w:p w14:paraId="67217F04" w14:textId="77777777" w:rsidR="00C35517" w:rsidRDefault="00C35517" w:rsidP="00C35517">
      <w:pPr>
        <w:pStyle w:val="Default"/>
        <w:numPr>
          <w:ilvl w:val="0"/>
          <w:numId w:val="2"/>
        </w:numPr>
        <w:rPr>
          <w:bCs/>
          <w:color w:val="auto"/>
        </w:rPr>
      </w:pPr>
      <w:r>
        <w:rPr>
          <w:bCs/>
          <w:color w:val="auto"/>
        </w:rPr>
        <w:t>Other changes to the components of the calculation of staff FTE need as measured in RAS (i.e. court clusters, manager-supervisor ratio, program 90 ratio).</w:t>
      </w:r>
    </w:p>
    <w:p w14:paraId="2AE31AC9" w14:textId="77777777" w:rsidR="00C35517" w:rsidRDefault="00C35517" w:rsidP="001269A8">
      <w:pPr>
        <w:pStyle w:val="Default"/>
        <w:rPr>
          <w:bCs/>
          <w:color w:val="auto"/>
        </w:rPr>
      </w:pPr>
    </w:p>
    <w:p w14:paraId="5D2FBE82" w14:textId="5CB89588" w:rsidR="00C35517" w:rsidRDefault="00C35517" w:rsidP="001269A8">
      <w:pPr>
        <w:pStyle w:val="Default"/>
        <w:rPr>
          <w:bCs/>
          <w:color w:val="auto"/>
        </w:rPr>
      </w:pPr>
      <w:r>
        <w:rPr>
          <w:bCs/>
          <w:color w:val="auto"/>
        </w:rPr>
        <w:t xml:space="preserve">The subject ARP </w:t>
      </w:r>
      <w:r w:rsidR="00896958">
        <w:rPr>
          <w:bCs/>
          <w:color w:val="auto"/>
        </w:rPr>
        <w:t xml:space="preserve">does not necessarily fall into the above criteria—although could be considered under “other changes”—and </w:t>
      </w:r>
      <w:r>
        <w:rPr>
          <w:bCs/>
          <w:color w:val="auto"/>
        </w:rPr>
        <w:t>would impact how the model is currently d</w:t>
      </w:r>
      <w:r w:rsidR="00896958">
        <w:rPr>
          <w:bCs/>
          <w:color w:val="auto"/>
        </w:rPr>
        <w:t>esigned</w:t>
      </w:r>
      <w:r>
        <w:rPr>
          <w:bCs/>
          <w:color w:val="auto"/>
        </w:rPr>
        <w:t>.</w:t>
      </w:r>
      <w:r w:rsidR="00896958">
        <w:rPr>
          <w:bCs/>
          <w:color w:val="auto"/>
        </w:rPr>
        <w:t xml:space="preserve"> Currently the model does not consider a staff to judge ratio. </w:t>
      </w:r>
      <w:r>
        <w:rPr>
          <w:bCs/>
          <w:color w:val="auto"/>
        </w:rPr>
        <w:t xml:space="preserve"> </w:t>
      </w:r>
    </w:p>
    <w:p w14:paraId="7DC3F4E8" w14:textId="77777777" w:rsidR="002249E3" w:rsidRDefault="002249E3" w:rsidP="002249E3">
      <w:pPr>
        <w:pStyle w:val="Default"/>
        <w:rPr>
          <w:bCs/>
          <w:color w:val="auto"/>
        </w:rPr>
      </w:pPr>
    </w:p>
    <w:p w14:paraId="02C1AECC" w14:textId="0F27F907" w:rsidR="00005004" w:rsidRPr="002249E3" w:rsidRDefault="002249E3" w:rsidP="002249E3">
      <w:pPr>
        <w:pStyle w:val="Default"/>
        <w:spacing w:after="160"/>
        <w:rPr>
          <w:color w:val="auto"/>
        </w:rPr>
      </w:pPr>
      <w:r>
        <w:rPr>
          <w:b/>
          <w:color w:val="auto"/>
          <w:u w:val="single"/>
        </w:rPr>
        <w:t>Next Steps</w:t>
      </w:r>
    </w:p>
    <w:p w14:paraId="1AA7893A" w14:textId="3E561229" w:rsidR="002249E3" w:rsidRDefault="001269A8" w:rsidP="001269A8">
      <w:pPr>
        <w:pStyle w:val="Default"/>
        <w:rPr>
          <w:bCs/>
          <w:color w:val="auto"/>
        </w:rPr>
      </w:pPr>
      <w:r w:rsidRPr="001D63CC">
        <w:rPr>
          <w:bCs/>
          <w:color w:val="auto"/>
        </w:rPr>
        <w:t>Judicial Council staff presented the ARP to</w:t>
      </w:r>
      <w:r w:rsidR="004B63D6">
        <w:rPr>
          <w:bCs/>
          <w:color w:val="auto"/>
        </w:rPr>
        <w:t xml:space="preserve"> </w:t>
      </w:r>
      <w:r w:rsidR="001677ED">
        <w:rPr>
          <w:bCs/>
          <w:color w:val="auto"/>
        </w:rPr>
        <w:t>D</w:t>
      </w:r>
      <w:r w:rsidRPr="001D63CC">
        <w:rPr>
          <w:bCs/>
          <w:color w:val="auto"/>
        </w:rPr>
        <w:t xml:space="preserve">AAC at its </w:t>
      </w:r>
      <w:r w:rsidR="001677ED">
        <w:rPr>
          <w:bCs/>
          <w:color w:val="auto"/>
        </w:rPr>
        <w:t>May</w:t>
      </w:r>
      <w:r w:rsidRPr="001D63CC">
        <w:rPr>
          <w:bCs/>
          <w:color w:val="auto"/>
        </w:rPr>
        <w:t xml:space="preserve"> </w:t>
      </w:r>
      <w:r w:rsidR="001677ED">
        <w:rPr>
          <w:bCs/>
          <w:color w:val="auto"/>
        </w:rPr>
        <w:t>13</w:t>
      </w:r>
      <w:r w:rsidRPr="001D63CC">
        <w:rPr>
          <w:bCs/>
          <w:color w:val="auto"/>
        </w:rPr>
        <w:t xml:space="preserve">, </w:t>
      </w:r>
      <w:r w:rsidR="00DE6DDB" w:rsidRPr="001D63CC">
        <w:rPr>
          <w:bCs/>
          <w:color w:val="auto"/>
        </w:rPr>
        <w:t>202</w:t>
      </w:r>
      <w:r w:rsidR="00DE6DDB">
        <w:rPr>
          <w:bCs/>
          <w:color w:val="auto"/>
        </w:rPr>
        <w:t>5,</w:t>
      </w:r>
      <w:r w:rsidRPr="001D63CC">
        <w:rPr>
          <w:bCs/>
          <w:color w:val="auto"/>
        </w:rPr>
        <w:t xml:space="preserve"> meeting,</w:t>
      </w:r>
      <w:r w:rsidR="00ED247A">
        <w:rPr>
          <w:bCs/>
          <w:color w:val="auto"/>
        </w:rPr>
        <w:t xml:space="preserve"> </w:t>
      </w:r>
      <w:r w:rsidR="00872154">
        <w:rPr>
          <w:bCs/>
          <w:color w:val="auto"/>
        </w:rPr>
        <w:t>where</w:t>
      </w:r>
      <w:r w:rsidRPr="001D63CC">
        <w:rPr>
          <w:bCs/>
          <w:color w:val="auto"/>
        </w:rPr>
        <w:t xml:space="preserve"> the committee discussed the request</w:t>
      </w:r>
      <w:r w:rsidR="00872154">
        <w:rPr>
          <w:bCs/>
          <w:color w:val="auto"/>
        </w:rPr>
        <w:t>.</w:t>
      </w:r>
      <w:r w:rsidR="00DA6549">
        <w:rPr>
          <w:bCs/>
          <w:color w:val="auto"/>
        </w:rPr>
        <w:t xml:space="preserve"> The committee </w:t>
      </w:r>
      <w:r w:rsidR="002249E3">
        <w:rPr>
          <w:bCs/>
          <w:color w:val="auto"/>
        </w:rPr>
        <w:t xml:space="preserve">agreed to </w:t>
      </w:r>
      <w:r w:rsidR="00FC0F79">
        <w:rPr>
          <w:bCs/>
          <w:color w:val="auto"/>
        </w:rPr>
        <w:t>further review</w:t>
      </w:r>
      <w:r w:rsidR="002249E3">
        <w:rPr>
          <w:bCs/>
          <w:color w:val="auto"/>
        </w:rPr>
        <w:t xml:space="preserve"> the factors relat</w:t>
      </w:r>
      <w:r w:rsidR="00645014">
        <w:rPr>
          <w:bCs/>
          <w:color w:val="auto"/>
        </w:rPr>
        <w:t>ing</w:t>
      </w:r>
      <w:r w:rsidR="002249E3">
        <w:rPr>
          <w:bCs/>
          <w:color w:val="auto"/>
        </w:rPr>
        <w:t xml:space="preserve"> to a minimum staff-to-judge ratio.</w:t>
      </w:r>
      <w:r w:rsidR="008B7E12">
        <w:rPr>
          <w:bCs/>
          <w:color w:val="auto"/>
        </w:rPr>
        <w:t xml:space="preserve"> Furthermore, the committee plans to </w:t>
      </w:r>
      <w:r w:rsidR="00EB3D19">
        <w:rPr>
          <w:bCs/>
          <w:color w:val="auto"/>
        </w:rPr>
        <w:t>tie this issue in</w:t>
      </w:r>
      <w:r w:rsidR="00F43431">
        <w:rPr>
          <w:bCs/>
          <w:color w:val="auto"/>
        </w:rPr>
        <w:t xml:space="preserve"> when discussing workload and other RAS related materials.</w:t>
      </w:r>
    </w:p>
    <w:p w14:paraId="1FB5BFD6" w14:textId="77777777" w:rsidR="00F43431" w:rsidRDefault="00F43431" w:rsidP="002249E3">
      <w:pPr>
        <w:pStyle w:val="Default"/>
        <w:rPr>
          <w:bCs/>
          <w:color w:val="auto"/>
        </w:rPr>
      </w:pPr>
    </w:p>
    <w:p w14:paraId="1BD77D98" w14:textId="77777777" w:rsidR="00EB3D19" w:rsidRDefault="00EB3D19" w:rsidP="002249E3">
      <w:pPr>
        <w:pStyle w:val="Default"/>
        <w:rPr>
          <w:bCs/>
          <w:color w:val="auto"/>
        </w:rPr>
      </w:pPr>
    </w:p>
    <w:p w14:paraId="77221A3F" w14:textId="77777777" w:rsidR="002249E3" w:rsidRPr="00B80B82" w:rsidRDefault="002249E3" w:rsidP="002249E3">
      <w:pPr>
        <w:pStyle w:val="Default"/>
        <w:spacing w:after="160"/>
        <w:rPr>
          <w:color w:val="auto"/>
        </w:rPr>
      </w:pPr>
      <w:r w:rsidRPr="00B80B82">
        <w:rPr>
          <w:b/>
          <w:color w:val="auto"/>
          <w:u w:val="single"/>
        </w:rPr>
        <w:t>Attachments</w:t>
      </w:r>
    </w:p>
    <w:p w14:paraId="7255D021" w14:textId="0BF7BBFE" w:rsidR="002249E3" w:rsidRDefault="002249E3" w:rsidP="002249E3">
      <w:pPr>
        <w:pStyle w:val="Default"/>
        <w:rPr>
          <w:color w:val="auto"/>
        </w:rPr>
      </w:pPr>
      <w:r w:rsidRPr="00B80B82">
        <w:rPr>
          <w:color w:val="auto"/>
        </w:rPr>
        <w:t xml:space="preserve">Attachment A: </w:t>
      </w:r>
      <w:r w:rsidR="0064184F">
        <w:rPr>
          <w:color w:val="auto"/>
        </w:rPr>
        <w:t>Alameda Superior Court AR</w:t>
      </w:r>
      <w:r w:rsidR="008F5B56">
        <w:rPr>
          <w:color w:val="auto"/>
        </w:rPr>
        <w:t>P</w:t>
      </w:r>
      <w:r w:rsidR="0064184F">
        <w:rPr>
          <w:color w:val="auto"/>
        </w:rPr>
        <w:t xml:space="preserve"> Jan. 15 2025</w:t>
      </w:r>
      <w:r>
        <w:rPr>
          <w:color w:val="auto"/>
        </w:rPr>
        <w:t>.pdf</w:t>
      </w:r>
    </w:p>
    <w:p w14:paraId="61A02B1C" w14:textId="77777777" w:rsidR="002249E3" w:rsidRPr="0023032C" w:rsidRDefault="002249E3" w:rsidP="00483201">
      <w:pPr>
        <w:pStyle w:val="Default"/>
        <w:rPr>
          <w:bCs/>
          <w:color w:val="auto"/>
        </w:rPr>
      </w:pPr>
    </w:p>
    <w:sectPr w:rsidR="002249E3" w:rsidRPr="0023032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8FECF" w14:textId="77777777" w:rsidR="00483201" w:rsidRDefault="00483201" w:rsidP="00483201">
      <w:pPr>
        <w:spacing w:after="0" w:line="240" w:lineRule="auto"/>
      </w:pPr>
      <w:r>
        <w:separator/>
      </w:r>
    </w:p>
  </w:endnote>
  <w:endnote w:type="continuationSeparator" w:id="0">
    <w:p w14:paraId="696DD71C" w14:textId="77777777" w:rsidR="00483201" w:rsidRDefault="00483201" w:rsidP="0048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EC80" w14:textId="77777777" w:rsidR="00483201" w:rsidRDefault="00483201" w:rsidP="00483201">
      <w:pPr>
        <w:spacing w:after="0" w:line="240" w:lineRule="auto"/>
      </w:pPr>
      <w:r>
        <w:separator/>
      </w:r>
    </w:p>
  </w:footnote>
  <w:footnote w:type="continuationSeparator" w:id="0">
    <w:p w14:paraId="20DDD75B" w14:textId="77777777" w:rsidR="00483201" w:rsidRDefault="00483201" w:rsidP="00483201">
      <w:pPr>
        <w:spacing w:after="0" w:line="240" w:lineRule="auto"/>
      </w:pPr>
      <w:r>
        <w:continuationSeparator/>
      </w:r>
    </w:p>
  </w:footnote>
  <w:footnote w:id="1">
    <w:p w14:paraId="76497DBE" w14:textId="77777777" w:rsidR="000A3E4E" w:rsidRDefault="000A3E4E" w:rsidP="000A3E4E">
      <w:pPr>
        <w:pStyle w:val="FootnoteText"/>
      </w:pPr>
      <w:r>
        <w:rPr>
          <w:rStyle w:val="FootnoteReference"/>
        </w:rPr>
        <w:footnoteRef/>
      </w:r>
      <w:r>
        <w:t xml:space="preserve"> </w:t>
      </w:r>
      <w:hyperlink r:id="rId1" w:history="1">
        <w:r w:rsidRPr="00790834">
          <w:rPr>
            <w:rStyle w:val="Hyperlink"/>
          </w:rPr>
          <w:t>https://jcc.legistar.com/View.ashx?M=F&amp;ID=7188751&amp;GUID=A90AB7DB-FA13-43B5-8817-947ABF3AB919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udy Old Style" w:hAnsi="Goudy Old Style"/>
        <w:sz w:val="28"/>
        <w:szCs w:val="28"/>
      </w:rPr>
      <w:id w:val="1452896563"/>
      <w:docPartObj>
        <w:docPartGallery w:val="Watermarks"/>
        <w:docPartUnique/>
      </w:docPartObj>
    </w:sdtPr>
    <w:sdtEndPr/>
    <w:sdtContent>
      <w:p w14:paraId="40A06885" w14:textId="363107BC" w:rsidR="00B01EB3" w:rsidRDefault="00067F5B" w:rsidP="00375D6D">
        <w:pPr>
          <w:pStyle w:val="Header"/>
          <w:spacing w:after="0"/>
          <w:jc w:val="center"/>
          <w:rPr>
            <w:rFonts w:ascii="Goudy Old Style" w:hAnsi="Goudy Old Style"/>
            <w:sz w:val="28"/>
            <w:szCs w:val="28"/>
          </w:rPr>
        </w:pPr>
        <w:r>
          <w:rPr>
            <w:rFonts w:ascii="Goudy Old Style" w:hAnsi="Goudy Old Style"/>
            <w:noProof/>
            <w:sz w:val="28"/>
            <w:szCs w:val="28"/>
          </w:rPr>
          <w:pict w14:anchorId="10F40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686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71C8E98A" w14:textId="77777777" w:rsidR="00483201" w:rsidRDefault="00483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612E920A"/>
    <w:lvl w:ilvl="0">
      <w:start w:val="1"/>
      <w:numFmt w:val="lowerLetter"/>
      <w:lvlText w:val="%1)"/>
      <w:lvlJc w:val="left"/>
      <w:pPr>
        <w:ind w:left="399" w:hanging="360"/>
      </w:pPr>
      <w:rPr>
        <w:rFonts w:ascii="Times New Roman" w:hAnsi="Times New Roman" w:cs="Times New Roman"/>
        <w:b w:val="0"/>
        <w:bCs w:val="0"/>
        <w:spacing w:val="-20"/>
        <w:w w:val="100"/>
        <w:sz w:val="24"/>
        <w:szCs w:val="24"/>
      </w:rPr>
    </w:lvl>
    <w:lvl w:ilvl="1">
      <w:numFmt w:val="bullet"/>
      <w:lvlText w:val="•"/>
      <w:lvlJc w:val="left"/>
      <w:pPr>
        <w:ind w:left="1315" w:hanging="360"/>
      </w:pPr>
    </w:lvl>
    <w:lvl w:ilvl="2">
      <w:numFmt w:val="bullet"/>
      <w:lvlText w:val="•"/>
      <w:lvlJc w:val="left"/>
      <w:pPr>
        <w:ind w:left="2227" w:hanging="360"/>
      </w:pPr>
    </w:lvl>
    <w:lvl w:ilvl="3">
      <w:numFmt w:val="bullet"/>
      <w:lvlText w:val="•"/>
      <w:lvlJc w:val="left"/>
      <w:pPr>
        <w:ind w:left="3139" w:hanging="360"/>
      </w:pPr>
    </w:lvl>
    <w:lvl w:ilvl="4">
      <w:numFmt w:val="bullet"/>
      <w:lvlText w:val="•"/>
      <w:lvlJc w:val="left"/>
      <w:pPr>
        <w:ind w:left="4051" w:hanging="360"/>
      </w:pPr>
    </w:lvl>
    <w:lvl w:ilvl="5">
      <w:numFmt w:val="bullet"/>
      <w:lvlText w:val="•"/>
      <w:lvlJc w:val="left"/>
      <w:pPr>
        <w:ind w:left="4963" w:hanging="360"/>
      </w:pPr>
    </w:lvl>
    <w:lvl w:ilvl="6">
      <w:numFmt w:val="bullet"/>
      <w:lvlText w:val="•"/>
      <w:lvlJc w:val="left"/>
      <w:pPr>
        <w:ind w:left="5875" w:hanging="360"/>
      </w:pPr>
    </w:lvl>
    <w:lvl w:ilvl="7">
      <w:numFmt w:val="bullet"/>
      <w:lvlText w:val="•"/>
      <w:lvlJc w:val="left"/>
      <w:pPr>
        <w:ind w:left="6787" w:hanging="360"/>
      </w:pPr>
    </w:lvl>
    <w:lvl w:ilvl="8">
      <w:numFmt w:val="bullet"/>
      <w:lvlText w:val="•"/>
      <w:lvlJc w:val="left"/>
      <w:pPr>
        <w:ind w:left="7699" w:hanging="360"/>
      </w:pPr>
    </w:lvl>
  </w:abstractNum>
  <w:abstractNum w:abstractNumId="1" w15:restartNumberingAfterBreak="0">
    <w:nsid w:val="2AFB08DD"/>
    <w:multiLevelType w:val="hybridMultilevel"/>
    <w:tmpl w:val="89F8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968863">
    <w:abstractNumId w:val="0"/>
  </w:num>
  <w:num w:numId="2" w16cid:durableId="206171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6"/>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01"/>
    <w:rsid w:val="000005B5"/>
    <w:rsid w:val="00005004"/>
    <w:rsid w:val="00012299"/>
    <w:rsid w:val="000260F4"/>
    <w:rsid w:val="00026FCA"/>
    <w:rsid w:val="00037D7D"/>
    <w:rsid w:val="00067F5B"/>
    <w:rsid w:val="000A0099"/>
    <w:rsid w:val="000A3E4E"/>
    <w:rsid w:val="000C3A45"/>
    <w:rsid w:val="000E6AF7"/>
    <w:rsid w:val="00101A5A"/>
    <w:rsid w:val="001269A8"/>
    <w:rsid w:val="001459DA"/>
    <w:rsid w:val="001609CA"/>
    <w:rsid w:val="001677ED"/>
    <w:rsid w:val="00170D33"/>
    <w:rsid w:val="001E4FE9"/>
    <w:rsid w:val="001F102B"/>
    <w:rsid w:val="00212441"/>
    <w:rsid w:val="00215A9B"/>
    <w:rsid w:val="002219D0"/>
    <w:rsid w:val="002249E3"/>
    <w:rsid w:val="0023032C"/>
    <w:rsid w:val="002449F2"/>
    <w:rsid w:val="00261E97"/>
    <w:rsid w:val="00263E52"/>
    <w:rsid w:val="002801DA"/>
    <w:rsid w:val="00287A60"/>
    <w:rsid w:val="002D2B46"/>
    <w:rsid w:val="002F3055"/>
    <w:rsid w:val="003161AE"/>
    <w:rsid w:val="00375D6D"/>
    <w:rsid w:val="00385F3B"/>
    <w:rsid w:val="00400942"/>
    <w:rsid w:val="00411DDF"/>
    <w:rsid w:val="00414E82"/>
    <w:rsid w:val="00472FA6"/>
    <w:rsid w:val="00483201"/>
    <w:rsid w:val="00490159"/>
    <w:rsid w:val="004B63D6"/>
    <w:rsid w:val="004C2E07"/>
    <w:rsid w:val="004D7F15"/>
    <w:rsid w:val="004E7D41"/>
    <w:rsid w:val="00572E87"/>
    <w:rsid w:val="00575277"/>
    <w:rsid w:val="00577ABB"/>
    <w:rsid w:val="005A1053"/>
    <w:rsid w:val="005C1421"/>
    <w:rsid w:val="006166D2"/>
    <w:rsid w:val="0064184F"/>
    <w:rsid w:val="00645014"/>
    <w:rsid w:val="0066422A"/>
    <w:rsid w:val="006C140C"/>
    <w:rsid w:val="006E1B7E"/>
    <w:rsid w:val="006E479F"/>
    <w:rsid w:val="006E58B6"/>
    <w:rsid w:val="00700316"/>
    <w:rsid w:val="007269A6"/>
    <w:rsid w:val="007561FE"/>
    <w:rsid w:val="0076034C"/>
    <w:rsid w:val="00777C90"/>
    <w:rsid w:val="007F78CF"/>
    <w:rsid w:val="00816DD9"/>
    <w:rsid w:val="00872154"/>
    <w:rsid w:val="00896958"/>
    <w:rsid w:val="008A06DF"/>
    <w:rsid w:val="008B7E12"/>
    <w:rsid w:val="008C7C65"/>
    <w:rsid w:val="008F257B"/>
    <w:rsid w:val="008F5B56"/>
    <w:rsid w:val="0093010B"/>
    <w:rsid w:val="00937C15"/>
    <w:rsid w:val="00944224"/>
    <w:rsid w:val="00952A3D"/>
    <w:rsid w:val="00967441"/>
    <w:rsid w:val="009712C2"/>
    <w:rsid w:val="009A1792"/>
    <w:rsid w:val="009A5690"/>
    <w:rsid w:val="009C09E6"/>
    <w:rsid w:val="009F090F"/>
    <w:rsid w:val="00A71858"/>
    <w:rsid w:val="00A7493C"/>
    <w:rsid w:val="00A77A28"/>
    <w:rsid w:val="00B01EB3"/>
    <w:rsid w:val="00B34CF6"/>
    <w:rsid w:val="00B53493"/>
    <w:rsid w:val="00C35517"/>
    <w:rsid w:val="00CA20E3"/>
    <w:rsid w:val="00CE7C64"/>
    <w:rsid w:val="00CF78C5"/>
    <w:rsid w:val="00D02E4F"/>
    <w:rsid w:val="00D55EB4"/>
    <w:rsid w:val="00DA6549"/>
    <w:rsid w:val="00DC5A36"/>
    <w:rsid w:val="00DE6DDB"/>
    <w:rsid w:val="00E12B5A"/>
    <w:rsid w:val="00EB2379"/>
    <w:rsid w:val="00EB3D19"/>
    <w:rsid w:val="00ED247A"/>
    <w:rsid w:val="00EE2299"/>
    <w:rsid w:val="00EF26DB"/>
    <w:rsid w:val="00F2532E"/>
    <w:rsid w:val="00F43431"/>
    <w:rsid w:val="00F62341"/>
    <w:rsid w:val="00F66714"/>
    <w:rsid w:val="00F83732"/>
    <w:rsid w:val="00FC0F79"/>
    <w:rsid w:val="00FC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25714DA8"/>
  <w15:chartTrackingRefBased/>
  <w15:docId w15:val="{F7E010CE-A10F-41D8-A927-597E855B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6D"/>
    <w:pPr>
      <w:spacing w:after="160" w:line="259" w:lineRule="auto"/>
    </w:pPr>
    <w:rPr>
      <w:rFonts w:cstheme="minorBidi"/>
      <w:sz w:val="22"/>
      <w:szCs w:val="22"/>
    </w:rPr>
  </w:style>
  <w:style w:type="paragraph" w:styleId="Heading1">
    <w:name w:val="heading 1"/>
    <w:basedOn w:val="Normal"/>
    <w:next w:val="Normal"/>
    <w:link w:val="Heading1Char"/>
    <w:uiPriority w:val="9"/>
    <w:qFormat/>
    <w:rsid w:val="004D7F1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4D7F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4D7F15"/>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4D7F15"/>
    <w:pPr>
      <w:spacing w:before="240" w:after="60"/>
      <w:outlineLvl w:val="5"/>
    </w:pPr>
    <w:rPr>
      <w:b/>
      <w:bCs/>
    </w:rPr>
  </w:style>
  <w:style w:type="paragraph" w:styleId="Heading7">
    <w:name w:val="heading 7"/>
    <w:basedOn w:val="Normal"/>
    <w:next w:val="Normal"/>
    <w:link w:val="Heading7Char"/>
    <w:uiPriority w:val="9"/>
    <w:semiHidden/>
    <w:unhideWhenUsed/>
    <w:qFormat/>
    <w:rsid w:val="004D7F15"/>
    <w:pPr>
      <w:spacing w:before="240" w:after="60"/>
      <w:outlineLvl w:val="6"/>
    </w:pPr>
  </w:style>
  <w:style w:type="paragraph" w:styleId="Heading8">
    <w:name w:val="heading 8"/>
    <w:basedOn w:val="Normal"/>
    <w:next w:val="Normal"/>
    <w:link w:val="Heading8Char"/>
    <w:uiPriority w:val="9"/>
    <w:semiHidden/>
    <w:unhideWhenUsed/>
    <w:qFormat/>
    <w:rsid w:val="004D7F15"/>
    <w:pPr>
      <w:spacing w:before="240" w:after="60"/>
      <w:outlineLvl w:val="7"/>
    </w:pPr>
    <w:rPr>
      <w:i/>
      <w:iCs/>
    </w:rPr>
  </w:style>
  <w:style w:type="paragraph" w:styleId="Heading9">
    <w:name w:val="heading 9"/>
    <w:basedOn w:val="Normal"/>
    <w:next w:val="Normal"/>
    <w:link w:val="Heading9Char"/>
    <w:uiPriority w:val="9"/>
    <w:semiHidden/>
    <w:unhideWhenUsed/>
    <w:qFormat/>
    <w:rsid w:val="004D7F1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F1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D7F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4D7F1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D7F15"/>
    <w:rPr>
      <w:b/>
      <w:bCs/>
    </w:rPr>
  </w:style>
  <w:style w:type="character" w:customStyle="1" w:styleId="Heading7Char">
    <w:name w:val="Heading 7 Char"/>
    <w:basedOn w:val="DefaultParagraphFont"/>
    <w:link w:val="Heading7"/>
    <w:uiPriority w:val="9"/>
    <w:semiHidden/>
    <w:rsid w:val="004D7F15"/>
  </w:style>
  <w:style w:type="character" w:customStyle="1" w:styleId="Heading8Char">
    <w:name w:val="Heading 8 Char"/>
    <w:basedOn w:val="DefaultParagraphFont"/>
    <w:link w:val="Heading8"/>
    <w:uiPriority w:val="9"/>
    <w:semiHidden/>
    <w:rsid w:val="004D7F15"/>
    <w:rPr>
      <w:i/>
      <w:iCs/>
    </w:rPr>
  </w:style>
  <w:style w:type="character" w:customStyle="1" w:styleId="Heading9Char">
    <w:name w:val="Heading 9 Char"/>
    <w:basedOn w:val="DefaultParagraphFont"/>
    <w:link w:val="Heading9"/>
    <w:uiPriority w:val="9"/>
    <w:semiHidden/>
    <w:rsid w:val="004D7F15"/>
    <w:rPr>
      <w:rFonts w:asciiTheme="majorHAnsi" w:eastAsiaTheme="majorEastAsia" w:hAnsiTheme="majorHAnsi"/>
    </w:rPr>
  </w:style>
  <w:style w:type="paragraph" w:styleId="Title">
    <w:name w:val="Title"/>
    <w:basedOn w:val="Normal"/>
    <w:next w:val="Normal"/>
    <w:link w:val="TitleChar"/>
    <w:uiPriority w:val="10"/>
    <w:qFormat/>
    <w:rsid w:val="004D7F1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D7F1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D7F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D7F15"/>
    <w:rPr>
      <w:rFonts w:asciiTheme="majorHAnsi" w:eastAsiaTheme="majorEastAsia" w:hAnsiTheme="majorHAnsi"/>
    </w:rPr>
  </w:style>
  <w:style w:type="paragraph" w:styleId="TOCHeading">
    <w:name w:val="TOC Heading"/>
    <w:basedOn w:val="Heading1"/>
    <w:next w:val="Normal"/>
    <w:uiPriority w:val="39"/>
    <w:semiHidden/>
    <w:unhideWhenUsed/>
    <w:qFormat/>
    <w:rsid w:val="004D7F15"/>
    <w:pPr>
      <w:outlineLvl w:val="9"/>
    </w:pPr>
  </w:style>
  <w:style w:type="paragraph" w:customStyle="1" w:styleId="Default">
    <w:name w:val="Default"/>
    <w:rsid w:val="00483201"/>
    <w:pPr>
      <w:autoSpaceDE w:val="0"/>
      <w:autoSpaceDN w:val="0"/>
      <w:adjustRightInd w:val="0"/>
      <w:spacing w:line="240" w:lineRule="auto"/>
    </w:pPr>
    <w:rPr>
      <w:rFonts w:ascii="Times New Roman" w:hAnsi="Times New Roman"/>
      <w:color w:val="000000"/>
    </w:rPr>
  </w:style>
  <w:style w:type="paragraph" w:styleId="Header">
    <w:name w:val="header"/>
    <w:basedOn w:val="Normal"/>
    <w:link w:val="HeaderChar"/>
    <w:uiPriority w:val="99"/>
    <w:unhideWhenUsed/>
    <w:rsid w:val="00483201"/>
    <w:pPr>
      <w:tabs>
        <w:tab w:val="center" w:pos="4680"/>
        <w:tab w:val="right" w:pos="9360"/>
      </w:tabs>
      <w:spacing w:line="240" w:lineRule="auto"/>
    </w:pPr>
  </w:style>
  <w:style w:type="character" w:customStyle="1" w:styleId="HeaderChar">
    <w:name w:val="Header Char"/>
    <w:basedOn w:val="DefaultParagraphFont"/>
    <w:link w:val="Header"/>
    <w:uiPriority w:val="99"/>
    <w:rsid w:val="00483201"/>
    <w:rPr>
      <w:rFonts w:cstheme="minorBidi"/>
      <w:sz w:val="22"/>
      <w:szCs w:val="22"/>
    </w:rPr>
  </w:style>
  <w:style w:type="paragraph" w:styleId="Footer">
    <w:name w:val="footer"/>
    <w:basedOn w:val="Normal"/>
    <w:link w:val="FooterChar"/>
    <w:uiPriority w:val="99"/>
    <w:unhideWhenUsed/>
    <w:rsid w:val="00483201"/>
    <w:pPr>
      <w:tabs>
        <w:tab w:val="center" w:pos="4680"/>
        <w:tab w:val="right" w:pos="9360"/>
      </w:tabs>
      <w:spacing w:line="240" w:lineRule="auto"/>
    </w:pPr>
  </w:style>
  <w:style w:type="character" w:customStyle="1" w:styleId="FooterChar">
    <w:name w:val="Footer Char"/>
    <w:basedOn w:val="DefaultParagraphFont"/>
    <w:link w:val="Footer"/>
    <w:uiPriority w:val="99"/>
    <w:rsid w:val="00483201"/>
  </w:style>
  <w:style w:type="character" w:styleId="Hyperlink">
    <w:name w:val="Hyperlink"/>
    <w:basedOn w:val="DefaultParagraphFont"/>
    <w:uiPriority w:val="99"/>
    <w:unhideWhenUsed/>
    <w:rsid w:val="00375D6D"/>
    <w:rPr>
      <w:color w:val="0000FF" w:themeColor="hyperlink"/>
      <w:u w:val="single"/>
    </w:rPr>
  </w:style>
  <w:style w:type="paragraph" w:styleId="ListParagraph">
    <w:name w:val="List Paragraph"/>
    <w:basedOn w:val="Normal"/>
    <w:uiPriority w:val="1"/>
    <w:qFormat/>
    <w:rsid w:val="00375D6D"/>
    <w:pPr>
      <w:spacing w:after="0" w:line="300" w:lineRule="atLeast"/>
      <w:ind w:left="720"/>
      <w:contextualSpacing/>
    </w:pPr>
    <w:rPr>
      <w:rFonts w:cs="Times New Roman"/>
      <w:sz w:val="24"/>
      <w:szCs w:val="24"/>
      <w:lang w:bidi="en-US"/>
    </w:rPr>
  </w:style>
  <w:style w:type="paragraph" w:styleId="BodyText">
    <w:name w:val="Body Text"/>
    <w:basedOn w:val="Normal"/>
    <w:link w:val="BodyTextChar"/>
    <w:uiPriority w:val="99"/>
    <w:qFormat/>
    <w:rsid w:val="00375D6D"/>
    <w:pPr>
      <w:tabs>
        <w:tab w:val="left" w:pos="360"/>
      </w:tabs>
      <w:spacing w:after="0" w:line="300" w:lineRule="atLeast"/>
    </w:pPr>
    <w:rPr>
      <w:rFonts w:ascii="Times New Roman" w:eastAsia="Times" w:hAnsi="Times New Roman" w:cs="Times New Roman"/>
      <w:b/>
      <w:i/>
      <w:color w:val="0070C0"/>
      <w:sz w:val="24"/>
      <w:szCs w:val="20"/>
    </w:rPr>
  </w:style>
  <w:style w:type="character" w:customStyle="1" w:styleId="BodyTextChar">
    <w:name w:val="Body Text Char"/>
    <w:basedOn w:val="DefaultParagraphFont"/>
    <w:link w:val="BodyText"/>
    <w:uiPriority w:val="99"/>
    <w:rsid w:val="00375D6D"/>
    <w:rPr>
      <w:rFonts w:ascii="Times New Roman" w:eastAsia="Times" w:hAnsi="Times New Roman"/>
      <w:b/>
      <w:i/>
      <w:color w:val="0070C0"/>
      <w:szCs w:val="20"/>
    </w:rPr>
  </w:style>
  <w:style w:type="character" w:styleId="PlaceholderText">
    <w:name w:val="Placeholder Text"/>
    <w:basedOn w:val="DefaultParagraphFont"/>
    <w:uiPriority w:val="99"/>
    <w:semiHidden/>
    <w:rsid w:val="009A5690"/>
    <w:rPr>
      <w:color w:val="808080"/>
    </w:rPr>
  </w:style>
  <w:style w:type="paragraph" w:styleId="BalloonText">
    <w:name w:val="Balloon Text"/>
    <w:basedOn w:val="Normal"/>
    <w:link w:val="BalloonTextChar"/>
    <w:uiPriority w:val="99"/>
    <w:semiHidden/>
    <w:unhideWhenUsed/>
    <w:rsid w:val="00971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C2"/>
    <w:rPr>
      <w:rFonts w:ascii="Segoe UI" w:hAnsi="Segoe UI" w:cs="Segoe UI"/>
      <w:sz w:val="18"/>
      <w:szCs w:val="18"/>
    </w:rPr>
  </w:style>
  <w:style w:type="character" w:styleId="UnresolvedMention">
    <w:name w:val="Unresolved Mention"/>
    <w:basedOn w:val="DefaultParagraphFont"/>
    <w:uiPriority w:val="99"/>
    <w:semiHidden/>
    <w:unhideWhenUsed/>
    <w:rsid w:val="00261E97"/>
    <w:rPr>
      <w:color w:val="605E5C"/>
      <w:shd w:val="clear" w:color="auto" w:fill="E1DFDD"/>
    </w:rPr>
  </w:style>
  <w:style w:type="paragraph" w:styleId="Revision">
    <w:name w:val="Revision"/>
    <w:hidden/>
    <w:uiPriority w:val="99"/>
    <w:semiHidden/>
    <w:rsid w:val="00F62341"/>
    <w:pPr>
      <w:spacing w:line="240" w:lineRule="auto"/>
    </w:pPr>
    <w:rPr>
      <w:rFonts w:cstheme="minorBidi"/>
      <w:sz w:val="22"/>
      <w:szCs w:val="22"/>
    </w:rPr>
  </w:style>
  <w:style w:type="paragraph" w:styleId="FootnoteText">
    <w:name w:val="footnote text"/>
    <w:basedOn w:val="Normal"/>
    <w:link w:val="FootnoteTextChar"/>
    <w:uiPriority w:val="99"/>
    <w:semiHidden/>
    <w:unhideWhenUsed/>
    <w:rsid w:val="000A3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E4E"/>
    <w:rPr>
      <w:rFonts w:cstheme="minorBidi"/>
      <w:sz w:val="20"/>
      <w:szCs w:val="20"/>
    </w:rPr>
  </w:style>
  <w:style w:type="character" w:styleId="FootnoteReference">
    <w:name w:val="footnote reference"/>
    <w:basedOn w:val="DefaultParagraphFont"/>
    <w:uiPriority w:val="99"/>
    <w:semiHidden/>
    <w:unhideWhenUsed/>
    <w:rsid w:val="000A3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cc.legistar.com/View.ashx?M=F&amp;ID=7188751&amp;GUID=A90AB7DB-FA13-43B5-8817-947ABF3AB9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B0FDA265F8D4374B0CE1B392F948025"/>
        <w:category>
          <w:name w:val="General"/>
          <w:gallery w:val="placeholder"/>
        </w:category>
        <w:types>
          <w:type w:val="bbPlcHdr"/>
        </w:types>
        <w:behaviors>
          <w:behavior w:val="content"/>
        </w:behaviors>
        <w:guid w:val="{A4D5C5E3-B6C9-4DE6-9CCF-58529076BA51}"/>
      </w:docPartPr>
      <w:docPartBody>
        <w:p w:rsidR="005E23F1" w:rsidRDefault="005E23F1" w:rsidP="005E23F1">
          <w:pPr>
            <w:pStyle w:val="AB0FDA265F8D4374B0CE1B392F948025"/>
          </w:pPr>
          <w:r w:rsidRPr="00DA60A7">
            <w:rPr>
              <w:rStyle w:val="PlaceholderText"/>
              <w:rFonts w:ascii="Times New Roman" w:hAnsi="Times New Roman" w:cs="Times New Roman"/>
            </w:rPr>
            <w:t>Enter Title</w:t>
          </w:r>
        </w:p>
      </w:docPartBody>
    </w:docPart>
    <w:docPart>
      <w:docPartPr>
        <w:name w:val="A80501E27BE44AAD9E5C912BBD48EEDE"/>
        <w:category>
          <w:name w:val="General"/>
          <w:gallery w:val="placeholder"/>
        </w:category>
        <w:types>
          <w:type w:val="bbPlcHdr"/>
        </w:types>
        <w:behaviors>
          <w:behavior w:val="content"/>
        </w:behaviors>
        <w:guid w:val="{47DEFC2D-013C-453C-861E-4AF4DDB3D1CE}"/>
      </w:docPartPr>
      <w:docPartBody>
        <w:p w:rsidR="005E23F1" w:rsidRDefault="005E23F1" w:rsidP="005E23F1">
          <w:pPr>
            <w:pStyle w:val="A80501E27BE44AAD9E5C912BBD48EEDE"/>
          </w:pPr>
          <w:r w:rsidRPr="00DA60A7">
            <w:rPr>
              <w:rStyle w:val="PlaceholderText"/>
              <w:rFonts w:ascii="Times New Roman" w:hAnsi="Times New Roman" w:cs="Times New Roman"/>
            </w:rPr>
            <w:t>Enter Title</w:t>
          </w:r>
        </w:p>
      </w:docPartBody>
    </w:docPart>
    <w:docPart>
      <w:docPartPr>
        <w:name w:val="E7A849C6B6DF4070B026EA6C05000D73"/>
        <w:category>
          <w:name w:val="General"/>
          <w:gallery w:val="placeholder"/>
        </w:category>
        <w:types>
          <w:type w:val="bbPlcHdr"/>
        </w:types>
        <w:behaviors>
          <w:behavior w:val="content"/>
        </w:behaviors>
        <w:guid w:val="{E2227C7C-7E01-43C3-BB48-6209C288E4E0}"/>
      </w:docPartPr>
      <w:docPartBody>
        <w:p w:rsidR="005E23F1" w:rsidRDefault="005E23F1" w:rsidP="005E23F1">
          <w:pPr>
            <w:pStyle w:val="E7A849C6B6DF4070B026EA6C05000D73"/>
          </w:pPr>
          <w:r w:rsidRPr="00DA60A7">
            <w:rPr>
              <w:rStyle w:val="PlaceholderText"/>
              <w:rFonts w:ascii="Times New Roman" w:hAnsi="Times New Roman" w:cs="Times New Roman"/>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7D"/>
    <w:rsid w:val="00037D7D"/>
    <w:rsid w:val="000C3A45"/>
    <w:rsid w:val="00215A9B"/>
    <w:rsid w:val="00385F3B"/>
    <w:rsid w:val="00575277"/>
    <w:rsid w:val="005E23F1"/>
    <w:rsid w:val="008F257B"/>
    <w:rsid w:val="00952A3D"/>
    <w:rsid w:val="009C09E6"/>
    <w:rsid w:val="00B53493"/>
    <w:rsid w:val="00C36CA1"/>
    <w:rsid w:val="00C4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3F1"/>
    <w:rPr>
      <w:color w:val="808080"/>
    </w:rPr>
  </w:style>
  <w:style w:type="paragraph" w:customStyle="1" w:styleId="73DAA6C83E80435E887DE4752B5410E4">
    <w:name w:val="73DAA6C83E80435E887DE4752B5410E4"/>
    <w:rsid w:val="00C4797D"/>
  </w:style>
  <w:style w:type="paragraph" w:customStyle="1" w:styleId="DABAA3B6AEDC4180A40AC5DF56548315">
    <w:name w:val="DABAA3B6AEDC4180A40AC5DF56548315"/>
    <w:rsid w:val="00C4797D"/>
  </w:style>
  <w:style w:type="paragraph" w:customStyle="1" w:styleId="DFEBAC2D115F4ABAA1C8653D3D237CDF">
    <w:name w:val="DFEBAC2D115F4ABAA1C8653D3D237CDF"/>
    <w:rsid w:val="00C4797D"/>
  </w:style>
  <w:style w:type="paragraph" w:customStyle="1" w:styleId="B4FFB801D7714626B9B38FB6ED384E29">
    <w:name w:val="B4FFB801D7714626B9B38FB6ED384E29"/>
    <w:rsid w:val="00C4797D"/>
  </w:style>
  <w:style w:type="paragraph" w:customStyle="1" w:styleId="25F9C808B48042BF96EE0F51895AF419">
    <w:name w:val="25F9C808B48042BF96EE0F51895AF419"/>
    <w:rsid w:val="005E23F1"/>
    <w:pPr>
      <w:spacing w:line="278" w:lineRule="auto"/>
    </w:pPr>
    <w:rPr>
      <w:kern w:val="2"/>
      <w:sz w:val="24"/>
      <w:szCs w:val="24"/>
      <w14:ligatures w14:val="standardContextual"/>
    </w:rPr>
  </w:style>
  <w:style w:type="paragraph" w:customStyle="1" w:styleId="AB0FDA265F8D4374B0CE1B392F948025">
    <w:name w:val="AB0FDA265F8D4374B0CE1B392F948025"/>
    <w:rsid w:val="005E23F1"/>
    <w:pPr>
      <w:spacing w:line="278" w:lineRule="auto"/>
    </w:pPr>
    <w:rPr>
      <w:kern w:val="2"/>
      <w:sz w:val="24"/>
      <w:szCs w:val="24"/>
      <w14:ligatures w14:val="standardContextual"/>
    </w:rPr>
  </w:style>
  <w:style w:type="paragraph" w:customStyle="1" w:styleId="A80501E27BE44AAD9E5C912BBD48EEDE">
    <w:name w:val="A80501E27BE44AAD9E5C912BBD48EEDE"/>
    <w:rsid w:val="005E23F1"/>
    <w:pPr>
      <w:spacing w:line="278" w:lineRule="auto"/>
    </w:pPr>
    <w:rPr>
      <w:kern w:val="2"/>
      <w:sz w:val="24"/>
      <w:szCs w:val="24"/>
      <w14:ligatures w14:val="standardContextual"/>
    </w:rPr>
  </w:style>
  <w:style w:type="paragraph" w:customStyle="1" w:styleId="E7A849C6B6DF4070B026EA6C05000D73">
    <w:name w:val="E7A849C6B6DF4070B026EA6C05000D73"/>
    <w:rsid w:val="005E23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A4F1-54BD-4E73-BA2F-06AA7417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Nicholas</dc:creator>
  <cp:keywords/>
  <dc:description/>
  <cp:lastModifiedBy>Greenaway, Kristin</cp:lastModifiedBy>
  <cp:revision>3</cp:revision>
  <dcterms:created xsi:type="dcterms:W3CDTF">2025-07-30T18:01:00Z</dcterms:created>
  <dcterms:modified xsi:type="dcterms:W3CDTF">2025-07-30T18:01:00Z</dcterms:modified>
</cp:coreProperties>
</file>