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F2E6" w14:textId="77777777" w:rsidR="001B11BD" w:rsidRDefault="001B11BD" w:rsidP="001B11BD">
      <w:pPr>
        <w:widowControl w:val="0"/>
        <w:ind w:left="-720" w:hanging="4"/>
        <w:rPr>
          <w:b/>
          <w:szCs w:val="24"/>
        </w:rPr>
      </w:pPr>
    </w:p>
    <w:p w14:paraId="1EF64E13" w14:textId="6EE333A3" w:rsidR="00D159B7" w:rsidRDefault="00D159B7" w:rsidP="001B11B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MASTER AGREEMENT USER INSTRUCTIONS</w:t>
      </w:r>
    </w:p>
    <w:p w14:paraId="5FF61E4E" w14:textId="582E2764" w:rsidR="00D159B7" w:rsidRDefault="00D159B7" w:rsidP="001B11B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</w:t>
      </w:r>
    </w:p>
    <w:p w14:paraId="39724F9D" w14:textId="1574F15A" w:rsidR="00C75C6E" w:rsidRDefault="007D48D2" w:rsidP="001B11BD">
      <w:pPr>
        <w:spacing w:after="120"/>
        <w:jc w:val="center"/>
        <w:rPr>
          <w:b/>
          <w:szCs w:val="24"/>
        </w:rPr>
      </w:pPr>
      <w:r>
        <w:rPr>
          <w:b/>
          <w:sz w:val="22"/>
          <w:szCs w:val="22"/>
        </w:rPr>
        <w:t>ONSITE CATERING S</w:t>
      </w:r>
      <w:r w:rsidR="001F6996">
        <w:rPr>
          <w:b/>
          <w:sz w:val="22"/>
          <w:szCs w:val="22"/>
        </w:rPr>
        <w:t>AN FRANCISCO</w:t>
      </w:r>
    </w:p>
    <w:p w14:paraId="359B5E06" w14:textId="77777777" w:rsidR="00454B98" w:rsidRDefault="001B11BD" w:rsidP="00864995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(LEVERAGED PROCUREMENT)</w:t>
      </w:r>
    </w:p>
    <w:p w14:paraId="7DE054B1" w14:textId="36579889" w:rsidR="00C75C6E" w:rsidRPr="00864995" w:rsidRDefault="0088305E" w:rsidP="00864995">
      <w:pPr>
        <w:spacing w:after="120"/>
        <w:jc w:val="center"/>
        <w:rPr>
          <w:b/>
          <w:szCs w:val="24"/>
        </w:rPr>
      </w:pPr>
      <w:r w:rsidRPr="00243932">
        <w:rPr>
          <w:b/>
          <w:szCs w:val="24"/>
        </w:rPr>
        <w:t>LPA-</w:t>
      </w:r>
      <w:r w:rsidR="00C75C6E" w:rsidRPr="00243932">
        <w:rPr>
          <w:b/>
          <w:szCs w:val="24"/>
        </w:rPr>
        <w:t>MA</w:t>
      </w:r>
      <w:r w:rsidR="0021650B" w:rsidRPr="00243932">
        <w:rPr>
          <w:b/>
          <w:szCs w:val="24"/>
        </w:rPr>
        <w:t>-</w:t>
      </w:r>
      <w:r w:rsidR="00326475" w:rsidRPr="00243932">
        <w:rPr>
          <w:b/>
          <w:szCs w:val="24"/>
        </w:rPr>
        <w:t>S</w:t>
      </w:r>
      <w:r w:rsidR="00253226">
        <w:rPr>
          <w:b/>
          <w:szCs w:val="24"/>
        </w:rPr>
        <w:t>F</w:t>
      </w:r>
      <w:r w:rsidR="0021650B" w:rsidRPr="00243932">
        <w:rPr>
          <w:b/>
          <w:szCs w:val="24"/>
        </w:rPr>
        <w:t>202</w:t>
      </w:r>
      <w:r w:rsidR="00253226">
        <w:rPr>
          <w:b/>
          <w:szCs w:val="24"/>
        </w:rPr>
        <w:t>5</w:t>
      </w:r>
      <w:r w:rsidR="0021650B" w:rsidRPr="00243932">
        <w:rPr>
          <w:b/>
          <w:szCs w:val="24"/>
        </w:rPr>
        <w:t>-0</w:t>
      </w:r>
      <w:r w:rsidR="00D465DF">
        <w:rPr>
          <w:b/>
          <w:szCs w:val="24"/>
        </w:rPr>
        <w:t>1</w:t>
      </w:r>
    </w:p>
    <w:p w14:paraId="66A6F2A0" w14:textId="2B1530D2" w:rsidR="00D07C07" w:rsidRDefault="00D07C07" w:rsidP="00120F5B">
      <w:pPr>
        <w:pStyle w:val="ListParagraph"/>
        <w:ind w:left="0"/>
        <w:rPr>
          <w:szCs w:val="24"/>
        </w:rPr>
      </w:pPr>
      <w:r>
        <w:t>These</w:t>
      </w:r>
      <w:r w:rsidR="005159FF">
        <w:t xml:space="preserve"> </w:t>
      </w:r>
      <w:r>
        <w:t>User Instructions are provided</w:t>
      </w:r>
      <w:r w:rsidR="005E77CB">
        <w:t xml:space="preserve"> by the Judicial Council of California (Judicial Council) to California Judicial Branch Entities </w:t>
      </w:r>
      <w:r>
        <w:t xml:space="preserve">for the </w:t>
      </w:r>
      <w:r w:rsidR="007D48D2">
        <w:t>Onsite Catering Sa</w:t>
      </w:r>
      <w:r w:rsidR="001F6996">
        <w:t>n Francisco</w:t>
      </w:r>
      <w:r w:rsidR="007D48D2">
        <w:t xml:space="preserve"> </w:t>
      </w:r>
      <w:r>
        <w:t>Services</w:t>
      </w:r>
      <w:r w:rsidR="005159FF">
        <w:t xml:space="preserve"> </w:t>
      </w:r>
      <w:r>
        <w:t>with</w:t>
      </w:r>
      <w:r w:rsidRPr="00163281">
        <w:t xml:space="preserve"> </w:t>
      </w:r>
      <w:r w:rsidR="001F3D63" w:rsidRPr="001F3D63">
        <w:rPr>
          <w:b/>
          <w:bCs/>
        </w:rPr>
        <w:t>Peninsula Catering and Events</w:t>
      </w:r>
      <w:r w:rsidR="00554D1D">
        <w:rPr>
          <w:b/>
          <w:bCs/>
        </w:rPr>
        <w:t>, Inc.</w:t>
      </w:r>
      <w:r w:rsidR="00326475" w:rsidRPr="00326475">
        <w:t xml:space="preserve"> </w:t>
      </w:r>
      <w:r>
        <w:t>(the “</w:t>
      </w:r>
      <w:r w:rsidRPr="00C24BB9">
        <w:t>Contractor”)</w:t>
      </w:r>
      <w:r w:rsidR="005159FF" w:rsidRPr="00C24BB9">
        <w:t>,</w:t>
      </w:r>
      <w:r w:rsidR="005159FF">
        <w:t xml:space="preserve"> </w:t>
      </w:r>
      <w:r w:rsidR="005159FF" w:rsidRPr="00C75C6E">
        <w:rPr>
          <w:szCs w:val="24"/>
        </w:rPr>
        <w:t>pursuant to Master Agreement</w:t>
      </w:r>
      <w:r w:rsidR="00D80023">
        <w:rPr>
          <w:szCs w:val="24"/>
        </w:rPr>
        <w:t xml:space="preserve"> No. </w:t>
      </w:r>
      <w:r w:rsidR="00D80023" w:rsidRPr="00243932">
        <w:rPr>
          <w:b/>
          <w:bCs/>
        </w:rPr>
        <w:t>MA-S</w:t>
      </w:r>
      <w:r w:rsidR="00296408">
        <w:rPr>
          <w:b/>
          <w:bCs/>
        </w:rPr>
        <w:t>F</w:t>
      </w:r>
      <w:r w:rsidR="00D80023" w:rsidRPr="00243932">
        <w:rPr>
          <w:b/>
          <w:bCs/>
        </w:rPr>
        <w:t>202</w:t>
      </w:r>
      <w:r w:rsidR="00296408">
        <w:rPr>
          <w:b/>
          <w:bCs/>
        </w:rPr>
        <w:t>5</w:t>
      </w:r>
      <w:r w:rsidR="00D80023" w:rsidRPr="00243932">
        <w:rPr>
          <w:b/>
          <w:bCs/>
        </w:rPr>
        <w:t>-0</w:t>
      </w:r>
      <w:r w:rsidR="00D465DF">
        <w:rPr>
          <w:b/>
          <w:bCs/>
        </w:rPr>
        <w:t>1</w:t>
      </w:r>
      <w:r w:rsidR="005159FF" w:rsidRPr="00C75C6E">
        <w:rPr>
          <w:szCs w:val="24"/>
        </w:rPr>
        <w:t xml:space="preserve"> awarded by the Judicial Council under </w:t>
      </w:r>
      <w:r w:rsidR="005159FF" w:rsidRPr="00C24BB9">
        <w:rPr>
          <w:b/>
          <w:bCs/>
          <w:szCs w:val="24"/>
        </w:rPr>
        <w:t xml:space="preserve">RFP# </w:t>
      </w:r>
      <w:r w:rsidR="00163281">
        <w:rPr>
          <w:b/>
          <w:bCs/>
          <w:szCs w:val="24"/>
        </w:rPr>
        <w:t>LSS</w:t>
      </w:r>
      <w:r w:rsidR="005159FF" w:rsidRPr="00C24BB9">
        <w:rPr>
          <w:b/>
          <w:bCs/>
          <w:szCs w:val="24"/>
        </w:rPr>
        <w:t>-202</w:t>
      </w:r>
      <w:r w:rsidR="00163281">
        <w:rPr>
          <w:b/>
          <w:bCs/>
          <w:szCs w:val="24"/>
        </w:rPr>
        <w:t>5</w:t>
      </w:r>
      <w:r w:rsidR="005159FF" w:rsidRPr="00C24BB9">
        <w:rPr>
          <w:b/>
          <w:bCs/>
          <w:szCs w:val="24"/>
        </w:rPr>
        <w:t>-0</w:t>
      </w:r>
      <w:r w:rsidR="00296408">
        <w:rPr>
          <w:b/>
          <w:bCs/>
          <w:szCs w:val="24"/>
        </w:rPr>
        <w:t>9</w:t>
      </w:r>
      <w:r w:rsidR="005159FF" w:rsidRPr="00C24BB9">
        <w:rPr>
          <w:b/>
          <w:bCs/>
          <w:szCs w:val="24"/>
        </w:rPr>
        <w:t>-</w:t>
      </w:r>
      <w:r w:rsidR="00163281">
        <w:rPr>
          <w:b/>
          <w:bCs/>
          <w:szCs w:val="24"/>
        </w:rPr>
        <w:t>DM</w:t>
      </w:r>
      <w:r w:rsidR="005159FF" w:rsidRPr="00C75C6E">
        <w:rPr>
          <w:szCs w:val="24"/>
        </w:rPr>
        <w:t>.</w:t>
      </w:r>
      <w:r w:rsidR="005159FF">
        <w:rPr>
          <w:szCs w:val="24"/>
        </w:rPr>
        <w:t xml:space="preserve"> </w:t>
      </w:r>
      <w:r>
        <w:t xml:space="preserve">Any Judicial Branch Entity that wishes to use the master agreement will be required to enter into an agreement with the Contractor by executing a </w:t>
      </w:r>
      <w:r w:rsidRPr="00C24BB9">
        <w:rPr>
          <w:b/>
          <w:bCs/>
        </w:rPr>
        <w:t>Participating Addendum</w:t>
      </w:r>
      <w:r w:rsidR="00AC3557">
        <w:rPr>
          <w:b/>
          <w:bCs/>
        </w:rPr>
        <w:t xml:space="preserve"> (Appendix E)</w:t>
      </w:r>
      <w:r>
        <w:t xml:space="preserve"> with the Contractor.</w:t>
      </w:r>
    </w:p>
    <w:p w14:paraId="6205779D" w14:textId="77777777" w:rsidR="00C75C6E" w:rsidRDefault="00C75C6E" w:rsidP="00120F5B">
      <w:pPr>
        <w:pStyle w:val="ListParagraph"/>
        <w:ind w:left="0"/>
        <w:rPr>
          <w:szCs w:val="24"/>
        </w:rPr>
      </w:pPr>
    </w:p>
    <w:p w14:paraId="2472CAE6" w14:textId="7F36526F" w:rsidR="00864995" w:rsidRDefault="00C2530F" w:rsidP="00120F5B">
      <w:pPr>
        <w:pStyle w:val="ListParagraph"/>
        <w:ind w:left="0"/>
        <w:rPr>
          <w:szCs w:val="24"/>
        </w:rPr>
      </w:pPr>
      <w:r>
        <w:rPr>
          <w:szCs w:val="24"/>
        </w:rPr>
        <w:t xml:space="preserve">Please carefully review these User Instructions. </w:t>
      </w:r>
    </w:p>
    <w:p w14:paraId="62DE8E4D" w14:textId="77777777" w:rsidR="00864995" w:rsidRDefault="00864995" w:rsidP="00120F5B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7D2C60" w14:paraId="0733B6C5" w14:textId="77777777" w:rsidTr="00AA3A3D">
        <w:tc>
          <w:tcPr>
            <w:tcW w:w="9340" w:type="dxa"/>
          </w:tcPr>
          <w:p w14:paraId="0F061B62" w14:textId="066D47A6" w:rsidR="007D2C60" w:rsidRPr="005159FF" w:rsidRDefault="005159FF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5159FF">
              <w:rPr>
                <w:b/>
                <w:bCs/>
                <w:szCs w:val="24"/>
              </w:rPr>
              <w:t>Judicial Council Staff C</w:t>
            </w:r>
            <w:r w:rsidR="007D2C60" w:rsidRPr="005159FF">
              <w:rPr>
                <w:b/>
                <w:bCs/>
                <w:szCs w:val="24"/>
              </w:rPr>
              <w:t>ontact</w:t>
            </w:r>
            <w:r w:rsidRPr="005159FF">
              <w:rPr>
                <w:b/>
                <w:bCs/>
                <w:szCs w:val="24"/>
              </w:rPr>
              <w:t xml:space="preserve"> </w:t>
            </w:r>
            <w:r w:rsidR="007D2C60" w:rsidRPr="005159FF">
              <w:rPr>
                <w:b/>
                <w:bCs/>
                <w:szCs w:val="24"/>
              </w:rPr>
              <w:t>information:</w:t>
            </w:r>
          </w:p>
          <w:p w14:paraId="7855384B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6F366D2C" w14:textId="41081BF4" w:rsidR="005159FF" w:rsidRPr="001A4581" w:rsidRDefault="005159FF" w:rsidP="00AA3A3D">
            <w:pPr>
              <w:pStyle w:val="ListParagraph"/>
              <w:ind w:left="0"/>
              <w:rPr>
                <w:szCs w:val="24"/>
              </w:rPr>
            </w:pPr>
            <w:r w:rsidRPr="005159FF">
              <w:rPr>
                <w:szCs w:val="24"/>
              </w:rPr>
              <w:t>J</w:t>
            </w:r>
            <w:r w:rsidR="008F3397">
              <w:rPr>
                <w:szCs w:val="24"/>
              </w:rPr>
              <w:t>udicial Council</w:t>
            </w:r>
            <w:r w:rsidRPr="005159FF">
              <w:rPr>
                <w:szCs w:val="24"/>
              </w:rPr>
              <w:t xml:space="preserve"> offices interested in using the master agreement should send an email to </w:t>
            </w:r>
            <w:r w:rsidR="00163281">
              <w:rPr>
                <w:b/>
                <w:bCs/>
                <w:szCs w:val="24"/>
              </w:rPr>
              <w:t>David Glass</w:t>
            </w:r>
            <w:r w:rsidRPr="005159FF">
              <w:rPr>
                <w:szCs w:val="24"/>
              </w:rPr>
              <w:t xml:space="preserve"> at</w:t>
            </w:r>
            <w:r>
              <w:rPr>
                <w:b/>
                <w:bCs/>
                <w:szCs w:val="24"/>
              </w:rPr>
              <w:t xml:space="preserve"> </w:t>
            </w:r>
            <w:hyperlink r:id="rId7" w:history="1">
              <w:r w:rsidR="006D3A24" w:rsidRPr="000A63D2">
                <w:rPr>
                  <w:rStyle w:val="Hyperlink"/>
                  <w:b/>
                  <w:bCs/>
                  <w:szCs w:val="24"/>
                </w:rPr>
                <w:t>David.Glass@jud.ca.gov</w:t>
              </w:r>
            </w:hyperlink>
          </w:p>
          <w:p w14:paraId="3871F794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667D9FF0" w14:textId="77777777" w:rsidTr="00AA3A3D">
        <w:tc>
          <w:tcPr>
            <w:tcW w:w="9340" w:type="dxa"/>
          </w:tcPr>
          <w:p w14:paraId="78F9C458" w14:textId="77777777" w:rsidR="00EA537F" w:rsidRDefault="007D2C60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5159FF">
              <w:rPr>
                <w:b/>
                <w:bCs/>
                <w:szCs w:val="24"/>
              </w:rPr>
              <w:t xml:space="preserve">Name of the Contractor and </w:t>
            </w:r>
            <w:r w:rsidRPr="00EA537F">
              <w:rPr>
                <w:b/>
                <w:bCs/>
                <w:szCs w:val="24"/>
              </w:rPr>
              <w:t>contact person information:</w:t>
            </w:r>
            <w:r w:rsidRPr="005159FF">
              <w:rPr>
                <w:b/>
                <w:bCs/>
                <w:szCs w:val="24"/>
              </w:rPr>
              <w:t xml:space="preserve"> </w:t>
            </w:r>
          </w:p>
          <w:p w14:paraId="4A04946C" w14:textId="77777777" w:rsidR="00EA537F" w:rsidRDefault="00EA537F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</w:p>
          <w:p w14:paraId="0921A7FF" w14:textId="033F8171" w:rsidR="00326475" w:rsidRDefault="00163281" w:rsidP="00326475">
            <w:pPr>
              <w:pStyle w:val="ListParagrap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  <w:lang w:val="en-CA"/>
              </w:rPr>
              <w:t xml:space="preserve"> </w:t>
            </w:r>
            <w:r w:rsidR="001C5562" w:rsidRPr="001C5562">
              <w:rPr>
                <w:rFonts w:eastAsiaTheme="minorHAnsi"/>
                <w:b/>
                <w:bCs/>
                <w:lang w:val="en-CA"/>
              </w:rPr>
              <w:t>Peninsula Catering and Events</w:t>
            </w:r>
            <w:r w:rsidR="00554D1D">
              <w:rPr>
                <w:rFonts w:eastAsiaTheme="minorHAnsi"/>
                <w:b/>
                <w:bCs/>
                <w:lang w:val="en-CA"/>
              </w:rPr>
              <w:t>, Inc.</w:t>
            </w:r>
          </w:p>
          <w:p w14:paraId="5E523E3F" w14:textId="77777777" w:rsidR="001C5562" w:rsidRPr="001C5562" w:rsidRDefault="00326475" w:rsidP="001C5562">
            <w:pPr>
              <w:pStyle w:val="ListParagraph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 Contact Person: </w:t>
            </w:r>
            <w:r w:rsidR="001C5562" w:rsidRPr="001C5562">
              <w:rPr>
                <w:rFonts w:eastAsiaTheme="minorHAnsi"/>
                <w:b/>
                <w:bCs/>
              </w:rPr>
              <w:t>Eddie Perez, Account Executive</w:t>
            </w:r>
          </w:p>
          <w:p w14:paraId="35421EDB" w14:textId="2A9EB08A" w:rsidR="00326475" w:rsidRDefault="001C5562" w:rsidP="00326475">
            <w:pPr>
              <w:pStyle w:val="ListParagraph"/>
              <w:rPr>
                <w:rFonts w:cstheme="minorHAnsi"/>
                <w:u w:val="single"/>
                <w:lang w:bidi="en-US"/>
              </w:rPr>
            </w:pPr>
            <w:r>
              <w:rPr>
                <w:rFonts w:eastAsiaTheme="minorHAnsi"/>
                <w:b/>
                <w:bCs/>
              </w:rPr>
              <w:t xml:space="preserve"> </w:t>
            </w:r>
            <w:r w:rsidR="00326475">
              <w:rPr>
                <w:rFonts w:cstheme="minorHAnsi"/>
                <w:u w:val="single"/>
                <w:lang w:bidi="en-US"/>
              </w:rPr>
              <w:t xml:space="preserve">Email: </w:t>
            </w:r>
            <w:r w:rsidRPr="001C5562">
              <w:rPr>
                <w:rFonts w:cstheme="minorHAnsi"/>
                <w:u w:val="single"/>
                <w:lang w:bidi="en-US"/>
              </w:rPr>
              <w:t>ar@peninsulacatering.net</w:t>
            </w:r>
          </w:p>
          <w:p w14:paraId="1C5914DB" w14:textId="06D0DF07" w:rsidR="00326475" w:rsidRPr="00326475" w:rsidRDefault="00326475" w:rsidP="00326475">
            <w:pPr>
              <w:pStyle w:val="ListParagraph"/>
              <w:rPr>
                <w:rFonts w:eastAsiaTheme="minorHAnsi"/>
                <w:b/>
                <w:bCs/>
              </w:rPr>
            </w:pPr>
            <w:r>
              <w:rPr>
                <w:rFonts w:cstheme="minorHAnsi"/>
                <w:u w:val="single"/>
              </w:rPr>
              <w:t xml:space="preserve"> </w:t>
            </w:r>
          </w:p>
          <w:p w14:paraId="3EE83427" w14:textId="6B36915D" w:rsidR="00EA537F" w:rsidRDefault="00EA537F" w:rsidP="00163281">
            <w:pPr>
              <w:pStyle w:val="ListParagraph"/>
              <w:ind w:left="0"/>
              <w:rPr>
                <w:rFonts w:eastAsiaTheme="minorHAnsi"/>
                <w:b/>
                <w:bCs/>
                <w:lang w:val="en-CA"/>
              </w:rPr>
            </w:pPr>
          </w:p>
          <w:p w14:paraId="5D546CD9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0AE0A098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055AFBB9" w14:textId="77777777" w:rsidTr="00D80023">
        <w:trPr>
          <w:trHeight w:val="881"/>
        </w:trPr>
        <w:tc>
          <w:tcPr>
            <w:tcW w:w="9340" w:type="dxa"/>
          </w:tcPr>
          <w:p w14:paraId="210686C4" w14:textId="77777777" w:rsidR="005159FF" w:rsidRDefault="007D2C60" w:rsidP="00AA3A3D">
            <w:pPr>
              <w:pStyle w:val="ListParagraph"/>
              <w:ind w:left="0"/>
              <w:rPr>
                <w:szCs w:val="24"/>
              </w:rPr>
            </w:pPr>
            <w:r w:rsidRPr="005159FF">
              <w:rPr>
                <w:b/>
                <w:bCs/>
                <w:szCs w:val="24"/>
              </w:rPr>
              <w:t>Services:</w:t>
            </w:r>
            <w:r>
              <w:rPr>
                <w:szCs w:val="24"/>
              </w:rPr>
              <w:t xml:space="preserve">  </w:t>
            </w:r>
          </w:p>
          <w:p w14:paraId="2A0AFFEA" w14:textId="552781B5" w:rsidR="005159FF" w:rsidRDefault="00163281" w:rsidP="00AA3A3D">
            <w:pPr>
              <w:pStyle w:val="ListParagraph"/>
              <w:ind w:left="0"/>
              <w:rPr>
                <w:rFonts w:cstheme="minorHAnsi"/>
                <w:iCs/>
                <w:szCs w:val="24"/>
              </w:rPr>
            </w:pPr>
            <w:r>
              <w:rPr>
                <w:rFonts w:cstheme="minorHAnsi"/>
                <w:iCs/>
                <w:szCs w:val="24"/>
              </w:rPr>
              <w:t xml:space="preserve">Onsite Catering Services in </w:t>
            </w:r>
            <w:r w:rsidR="00296408">
              <w:rPr>
                <w:rFonts w:cstheme="minorHAnsi"/>
                <w:iCs/>
                <w:szCs w:val="24"/>
              </w:rPr>
              <w:t>San Francisco</w:t>
            </w:r>
          </w:p>
          <w:p w14:paraId="37103F59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3ACE76F0" w14:textId="77777777" w:rsidTr="00AA3A3D">
        <w:tc>
          <w:tcPr>
            <w:tcW w:w="9340" w:type="dxa"/>
          </w:tcPr>
          <w:p w14:paraId="0E779923" w14:textId="5E0DB17E" w:rsidR="007D2C60" w:rsidRPr="007529D7" w:rsidRDefault="007D2C60" w:rsidP="00AA3A3D">
            <w:pPr>
              <w:pStyle w:val="ListParagraph"/>
              <w:ind w:left="0"/>
              <w:rPr>
                <w:b/>
                <w:bCs/>
                <w:szCs w:val="24"/>
              </w:rPr>
            </w:pPr>
            <w:r w:rsidRPr="007529D7">
              <w:rPr>
                <w:b/>
                <w:bCs/>
                <w:szCs w:val="24"/>
              </w:rPr>
              <w:t xml:space="preserve">Only the following </w:t>
            </w:r>
            <w:r w:rsidR="00D03FF1" w:rsidRPr="007529D7">
              <w:rPr>
                <w:b/>
                <w:bCs/>
                <w:szCs w:val="24"/>
              </w:rPr>
              <w:t>Judicial Branch E</w:t>
            </w:r>
            <w:r w:rsidRPr="007529D7">
              <w:rPr>
                <w:b/>
                <w:bCs/>
                <w:szCs w:val="24"/>
              </w:rPr>
              <w:t xml:space="preserve">ntities are eligible to procure under the Master Agreement: </w:t>
            </w:r>
          </w:p>
          <w:p w14:paraId="0B8A69CC" w14:textId="1DBE7469" w:rsidR="00FD56FD" w:rsidRDefault="00163281" w:rsidP="00FD56FD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Judicial Council of California</w:t>
            </w:r>
          </w:p>
          <w:p w14:paraId="4118F49F" w14:textId="2E849EB6" w:rsidR="00E500D9" w:rsidRDefault="00E500D9" w:rsidP="00E500D9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E500D9">
              <w:rPr>
                <w:szCs w:val="24"/>
              </w:rPr>
              <w:t>Supreme Court of California</w:t>
            </w:r>
          </w:p>
          <w:p w14:paraId="7C7902C8" w14:textId="5AB2115B" w:rsidR="00E500D9" w:rsidRDefault="00E500D9" w:rsidP="00E500D9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E500D9">
              <w:rPr>
                <w:szCs w:val="24"/>
              </w:rPr>
              <w:t xml:space="preserve">he First District Court of Appeal </w:t>
            </w:r>
          </w:p>
          <w:p w14:paraId="1AC88A23" w14:textId="7C50B9C7" w:rsidR="00D80023" w:rsidRDefault="00E500D9" w:rsidP="00E500D9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E500D9">
              <w:rPr>
                <w:szCs w:val="24"/>
              </w:rPr>
              <w:t xml:space="preserve">he Commission on Judicial Performance </w:t>
            </w:r>
          </w:p>
          <w:p w14:paraId="43EFF31D" w14:textId="77777777" w:rsidR="00166E8E" w:rsidRDefault="00166E8E" w:rsidP="006D3A24">
            <w:pPr>
              <w:pStyle w:val="ListParagraph"/>
              <w:ind w:left="2160"/>
              <w:rPr>
                <w:szCs w:val="24"/>
              </w:rPr>
            </w:pPr>
          </w:p>
          <w:p w14:paraId="6CE4EBFE" w14:textId="37E2B815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The term of the Master Agreement is from </w:t>
            </w:r>
            <w:r w:rsidR="00296408" w:rsidRPr="00296408">
              <w:rPr>
                <w:b/>
                <w:bCs/>
                <w:szCs w:val="24"/>
              </w:rPr>
              <w:t>October</w:t>
            </w:r>
            <w:r w:rsidR="00FD56FD" w:rsidRPr="00296408">
              <w:rPr>
                <w:b/>
                <w:bCs/>
                <w:szCs w:val="24"/>
              </w:rPr>
              <w:t xml:space="preserve"> </w:t>
            </w:r>
            <w:r w:rsidR="00FD56FD" w:rsidRPr="005316C2">
              <w:rPr>
                <w:b/>
                <w:bCs/>
                <w:szCs w:val="24"/>
              </w:rPr>
              <w:t>1</w:t>
            </w:r>
            <w:r w:rsidRPr="005316C2">
              <w:rPr>
                <w:b/>
                <w:bCs/>
                <w:szCs w:val="24"/>
              </w:rPr>
              <w:t xml:space="preserve">, </w:t>
            </w:r>
            <w:r w:rsidR="00FD56FD" w:rsidRPr="005316C2">
              <w:rPr>
                <w:b/>
                <w:bCs/>
                <w:szCs w:val="24"/>
              </w:rPr>
              <w:t>2025</w:t>
            </w:r>
            <w:r w:rsidRPr="005316C2">
              <w:rPr>
                <w:b/>
                <w:bCs/>
                <w:szCs w:val="24"/>
              </w:rPr>
              <w:t xml:space="preserve"> through </w:t>
            </w:r>
            <w:r w:rsidR="00FD0C89">
              <w:rPr>
                <w:b/>
                <w:bCs/>
                <w:szCs w:val="24"/>
              </w:rPr>
              <w:t>September</w:t>
            </w:r>
            <w:r w:rsidR="00FD56FD" w:rsidRPr="005316C2">
              <w:rPr>
                <w:b/>
                <w:bCs/>
                <w:szCs w:val="24"/>
              </w:rPr>
              <w:t xml:space="preserve"> 30</w:t>
            </w:r>
            <w:r w:rsidRPr="005316C2">
              <w:rPr>
                <w:b/>
                <w:bCs/>
                <w:szCs w:val="24"/>
              </w:rPr>
              <w:t>, 20</w:t>
            </w:r>
            <w:r w:rsidR="00FD56FD" w:rsidRPr="005316C2">
              <w:rPr>
                <w:b/>
                <w:bCs/>
                <w:szCs w:val="24"/>
              </w:rPr>
              <w:t>2</w:t>
            </w:r>
            <w:r w:rsidR="007529D7">
              <w:rPr>
                <w:b/>
                <w:bCs/>
                <w:szCs w:val="24"/>
              </w:rPr>
              <w:t>7</w:t>
            </w:r>
            <w:r w:rsidRPr="005316C2">
              <w:rPr>
                <w:b/>
                <w:bCs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253E5720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7E2982A3" w14:textId="77777777" w:rsidR="00D03FF1" w:rsidRDefault="00D03FF1" w:rsidP="00087FCA">
            <w:pPr>
              <w:pStyle w:val="ListParagraph"/>
              <w:ind w:left="0"/>
              <w:rPr>
                <w:b/>
                <w:bCs/>
                <w:szCs w:val="24"/>
              </w:rPr>
            </w:pPr>
          </w:p>
          <w:p w14:paraId="63A1372C" w14:textId="2E5EA645" w:rsidR="00D03FF1" w:rsidRDefault="00D03FF1" w:rsidP="00087FCA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1DB5BADE" w14:textId="77777777" w:rsidR="001666EB" w:rsidRDefault="001666EB" w:rsidP="00120F5B">
      <w:pPr>
        <w:pStyle w:val="ListParagraph"/>
        <w:ind w:left="0"/>
        <w:rPr>
          <w:szCs w:val="24"/>
        </w:rPr>
      </w:pPr>
    </w:p>
    <w:p w14:paraId="0C82C1E4" w14:textId="77777777" w:rsidR="00D80023" w:rsidRDefault="00D80023" w:rsidP="00D80023">
      <w:pPr>
        <w:pStyle w:val="ListParagraph"/>
        <w:spacing w:after="120"/>
        <w:ind w:left="360"/>
        <w:contextualSpacing w:val="0"/>
        <w:rPr>
          <w:szCs w:val="24"/>
        </w:rPr>
      </w:pPr>
    </w:p>
    <w:p w14:paraId="5FCE9CC8" w14:textId="7ED6AB9E" w:rsidR="00864995" w:rsidRDefault="00C2530F" w:rsidP="00390328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szCs w:val="24"/>
        </w:rPr>
      </w:pPr>
      <w:r>
        <w:rPr>
          <w:szCs w:val="24"/>
        </w:rPr>
        <w:t xml:space="preserve">Any </w:t>
      </w:r>
      <w:r w:rsidR="007529D7">
        <w:rPr>
          <w:szCs w:val="24"/>
        </w:rPr>
        <w:t>eligible Judicial Branch E</w:t>
      </w:r>
      <w:r>
        <w:rPr>
          <w:szCs w:val="24"/>
        </w:rPr>
        <w:t>ntit</w:t>
      </w:r>
      <w:r w:rsidR="007529D7">
        <w:rPr>
          <w:szCs w:val="24"/>
        </w:rPr>
        <w:t>ies</w:t>
      </w:r>
      <w:r>
        <w:rPr>
          <w:szCs w:val="24"/>
        </w:rPr>
        <w:t xml:space="preserve"> that orders services under this Master Agreement</w:t>
      </w:r>
      <w:r w:rsidR="00864995">
        <w:rPr>
          <w:szCs w:val="24"/>
        </w:rPr>
        <w:t>:</w:t>
      </w:r>
    </w:p>
    <w:p w14:paraId="14617F19" w14:textId="77777777" w:rsidR="007D2C60" w:rsidRPr="00390328" w:rsidRDefault="007D2C6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should first carefully review the Master Agreement and </w:t>
      </w:r>
      <w:r w:rsidR="00D52E9A">
        <w:rPr>
          <w:szCs w:val="24"/>
        </w:rPr>
        <w:t>determine</w:t>
      </w:r>
      <w:r>
        <w:rPr>
          <w:szCs w:val="24"/>
        </w:rPr>
        <w:t xml:space="preserve"> whether procuring under the Master Agreement is consistent with the entity’s requirements;</w:t>
      </w:r>
    </w:p>
    <w:p w14:paraId="7B559EC5" w14:textId="77777777" w:rsidR="00D52E9A" w:rsidRDefault="00C2530F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must </w:t>
      </w:r>
      <w:r w:rsidR="003015A7">
        <w:rPr>
          <w:szCs w:val="24"/>
        </w:rPr>
        <w:t xml:space="preserve">first enter into a Participating Addendum </w:t>
      </w:r>
      <w:r>
        <w:rPr>
          <w:szCs w:val="24"/>
        </w:rPr>
        <w:t>(</w:t>
      </w:r>
      <w:r w:rsidR="00864995" w:rsidRPr="00D03FF1">
        <w:rPr>
          <w:b/>
          <w:bCs/>
          <w:szCs w:val="24"/>
        </w:rPr>
        <w:t>Appendix E</w:t>
      </w:r>
      <w:r w:rsidR="00864995">
        <w:rPr>
          <w:szCs w:val="24"/>
        </w:rPr>
        <w:t xml:space="preserve"> to the Master Agreement)</w:t>
      </w:r>
      <w:r w:rsidR="003015A7">
        <w:rPr>
          <w:szCs w:val="24"/>
        </w:rPr>
        <w:t xml:space="preserve"> with the Contractor</w:t>
      </w:r>
      <w:r w:rsidR="00D52E9A">
        <w:rPr>
          <w:szCs w:val="24"/>
        </w:rPr>
        <w:t>;</w:t>
      </w:r>
    </w:p>
    <w:p w14:paraId="1EB8F0B7" w14:textId="2C1CDB39" w:rsidR="00AF5010" w:rsidRPr="00390328" w:rsidRDefault="00AF501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 w:rsidRPr="00D52E9A">
        <w:rPr>
          <w:szCs w:val="24"/>
        </w:rPr>
        <w:t>i</w:t>
      </w:r>
      <w:r w:rsidRPr="00D52E9A">
        <w:rPr>
          <w:rFonts w:asciiTheme="minorHAnsi" w:hAnsiTheme="minorHAnsi" w:cstheme="minorHAnsi"/>
          <w:szCs w:val="24"/>
        </w:rPr>
        <w:t>s solely responsible for the acceptance of and payment for services</w:t>
      </w:r>
      <w:r>
        <w:rPr>
          <w:rFonts w:asciiTheme="minorHAnsi" w:hAnsiTheme="minorHAnsi" w:cstheme="minorHAnsi"/>
          <w:szCs w:val="24"/>
        </w:rPr>
        <w:t>; and</w:t>
      </w:r>
    </w:p>
    <w:p w14:paraId="37F76DC7" w14:textId="77777777" w:rsidR="00D52E9A" w:rsidRPr="00AF5010" w:rsidRDefault="003D1B26" w:rsidP="00AF5010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>is subject to the terms and conditions of the Master Agreement</w:t>
      </w:r>
      <w:r w:rsidR="00864995">
        <w:rPr>
          <w:szCs w:val="24"/>
        </w:rPr>
        <w:t>;</w:t>
      </w:r>
      <w:r w:rsidR="00D52E9A">
        <w:rPr>
          <w:szCs w:val="24"/>
        </w:rPr>
        <w:t xml:space="preserve"> and is solely responsible for its obligations and any breach of its obligations</w:t>
      </w:r>
      <w:r w:rsidR="00A330C1">
        <w:rPr>
          <w:szCs w:val="24"/>
        </w:rPr>
        <w:t>.</w:t>
      </w:r>
    </w:p>
    <w:p w14:paraId="2A3B4835" w14:textId="77777777" w:rsidR="0037460C" w:rsidRPr="0037460C" w:rsidRDefault="0037460C" w:rsidP="0037460C">
      <w:pPr>
        <w:pStyle w:val="ListParagraph"/>
        <w:rPr>
          <w:szCs w:val="24"/>
        </w:rPr>
      </w:pPr>
    </w:p>
    <w:p w14:paraId="0C9E188A" w14:textId="77777777" w:rsidR="007529D7" w:rsidRPr="007529D7" w:rsidRDefault="007529D7" w:rsidP="0037460C">
      <w:pPr>
        <w:pStyle w:val="ListParagraph"/>
        <w:numPr>
          <w:ilvl w:val="0"/>
          <w:numId w:val="6"/>
        </w:numPr>
        <w:ind w:left="360"/>
        <w:rPr>
          <w:b/>
          <w:bCs/>
          <w:szCs w:val="24"/>
        </w:rPr>
      </w:pPr>
      <w:r w:rsidRPr="007529D7">
        <w:rPr>
          <w:b/>
          <w:bCs/>
          <w:szCs w:val="24"/>
        </w:rPr>
        <w:t>Participating Addendum</w:t>
      </w:r>
    </w:p>
    <w:p w14:paraId="3F4DD5B9" w14:textId="79214697" w:rsidR="00A13655" w:rsidRPr="0037460C" w:rsidRDefault="00A13655" w:rsidP="007529D7">
      <w:pPr>
        <w:pStyle w:val="ListParagraph"/>
        <w:ind w:left="360"/>
        <w:rPr>
          <w:szCs w:val="24"/>
        </w:rPr>
      </w:pPr>
      <w:r w:rsidRPr="0037460C">
        <w:rPr>
          <w:szCs w:val="24"/>
        </w:rPr>
        <w:t xml:space="preserve">Each </w:t>
      </w:r>
      <w:r w:rsidR="003015A7">
        <w:rPr>
          <w:szCs w:val="24"/>
        </w:rPr>
        <w:t>Participating Addendum</w:t>
      </w:r>
      <w:r w:rsidR="003015A7" w:rsidRPr="0037460C">
        <w:rPr>
          <w:szCs w:val="24"/>
        </w:rPr>
        <w:t xml:space="preserve"> </w:t>
      </w:r>
      <w:r w:rsidRPr="0037460C">
        <w:rPr>
          <w:szCs w:val="24"/>
        </w:rPr>
        <w:t xml:space="preserve">is a separate, independent contract between the Contractor and the </w:t>
      </w:r>
      <w:r w:rsidR="003015A7">
        <w:rPr>
          <w:szCs w:val="24"/>
        </w:rPr>
        <w:t>entity entering into the Participating Addendum</w:t>
      </w:r>
      <w:r w:rsidRPr="0037460C">
        <w:rPr>
          <w:szCs w:val="24"/>
        </w:rPr>
        <w:t xml:space="preserve">, subject to the following: </w:t>
      </w:r>
    </w:p>
    <w:p w14:paraId="280CE417" w14:textId="77777777" w:rsidR="00A13655" w:rsidRDefault="00DE54FD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Each </w:t>
      </w:r>
      <w:r w:rsidR="003015A7">
        <w:rPr>
          <w:szCs w:val="24"/>
        </w:rPr>
        <w:t xml:space="preserve">Participating Addendum </w:t>
      </w:r>
      <w:r>
        <w:rPr>
          <w:szCs w:val="24"/>
        </w:rPr>
        <w:t xml:space="preserve">is governed by the Master Agreement, and </w:t>
      </w:r>
      <w:r w:rsidR="00A13655" w:rsidRPr="00A13655">
        <w:rPr>
          <w:szCs w:val="24"/>
        </w:rPr>
        <w:t xml:space="preserve">the terms </w:t>
      </w:r>
      <w:r w:rsidR="00A13655">
        <w:rPr>
          <w:szCs w:val="24"/>
        </w:rPr>
        <w:t xml:space="preserve">of the Master </w:t>
      </w:r>
      <w:r w:rsidR="00A13655" w:rsidRPr="00A13655">
        <w:rPr>
          <w:szCs w:val="24"/>
        </w:rPr>
        <w:t xml:space="preserve">Agreement are incorporated into each </w:t>
      </w:r>
      <w:r w:rsidR="003015A7">
        <w:rPr>
          <w:szCs w:val="24"/>
        </w:rPr>
        <w:t>Participating Addendum</w:t>
      </w:r>
      <w:r w:rsidR="00A13655" w:rsidRPr="00A13655">
        <w:rPr>
          <w:szCs w:val="24"/>
        </w:rPr>
        <w:t xml:space="preserve">; </w:t>
      </w:r>
    </w:p>
    <w:p w14:paraId="1196FD95" w14:textId="3B138AB3" w:rsidR="00A13655" w:rsidRDefault="00CF4C86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>A</w:t>
      </w:r>
      <w:r w:rsidR="00A13655">
        <w:rPr>
          <w:szCs w:val="24"/>
        </w:rPr>
        <w:t xml:space="preserve">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="00A13655" w:rsidRPr="00A13655">
        <w:rPr>
          <w:szCs w:val="24"/>
        </w:rPr>
        <w:t xml:space="preserve">may not alter or conflict with the terms of </w:t>
      </w:r>
      <w:r w:rsidR="00A13655">
        <w:rPr>
          <w:szCs w:val="24"/>
        </w:rPr>
        <w:t xml:space="preserve">the Master </w:t>
      </w:r>
      <w:r w:rsidR="00A13655" w:rsidRPr="00A13655">
        <w:rPr>
          <w:szCs w:val="24"/>
        </w:rPr>
        <w:t xml:space="preserve">Agreement, or exceed the scope of the </w:t>
      </w:r>
      <w:r w:rsidR="00087FCA">
        <w:rPr>
          <w:szCs w:val="24"/>
        </w:rPr>
        <w:t xml:space="preserve">services </w:t>
      </w:r>
      <w:r w:rsidR="00A13655" w:rsidRPr="00A13655">
        <w:rPr>
          <w:szCs w:val="24"/>
        </w:rPr>
        <w:t xml:space="preserve">provided for in </w:t>
      </w:r>
      <w:r w:rsidR="00A13655">
        <w:rPr>
          <w:szCs w:val="24"/>
        </w:rPr>
        <w:t xml:space="preserve">the Master </w:t>
      </w:r>
      <w:r w:rsidR="00A13655" w:rsidRPr="00A13655">
        <w:rPr>
          <w:szCs w:val="24"/>
        </w:rPr>
        <w:t xml:space="preserve">Agreement; and </w:t>
      </w:r>
    </w:p>
    <w:p w14:paraId="688AEB95" w14:textId="2116E64D" w:rsidR="00A13655" w:rsidRDefault="00CF4C86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>T</w:t>
      </w:r>
      <w:r w:rsidR="00A13655" w:rsidRPr="00A13655">
        <w:rPr>
          <w:szCs w:val="24"/>
        </w:rPr>
        <w:t xml:space="preserve">he term of </w:t>
      </w:r>
      <w:r w:rsidR="00A13655">
        <w:rPr>
          <w:szCs w:val="24"/>
        </w:rPr>
        <w:t xml:space="preserve">a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="00A13655" w:rsidRPr="00A13655">
        <w:rPr>
          <w:szCs w:val="24"/>
        </w:rPr>
        <w:t xml:space="preserve">may not extend beyond the expiration date of the Agreement. </w:t>
      </w:r>
    </w:p>
    <w:p w14:paraId="347CA4A5" w14:textId="57CA87B8" w:rsidR="00A336FE" w:rsidRDefault="00BD09B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 w:rsidRPr="00BD09BC">
        <w:rPr>
          <w:b/>
          <w:iCs/>
          <w:szCs w:val="24"/>
        </w:rPr>
        <w:t xml:space="preserve">Create Work </w:t>
      </w:r>
      <w:r w:rsidR="003919DF">
        <w:rPr>
          <w:b/>
          <w:iCs/>
          <w:szCs w:val="24"/>
        </w:rPr>
        <w:t xml:space="preserve">Order </w:t>
      </w:r>
      <w:r w:rsidRPr="00BD09BC">
        <w:rPr>
          <w:b/>
          <w:iCs/>
          <w:szCs w:val="24"/>
        </w:rPr>
        <w:t>Request</w:t>
      </w:r>
      <w:r w:rsidR="001B11BD" w:rsidRPr="00BD09BC">
        <w:rPr>
          <w:b/>
          <w:iCs/>
          <w:szCs w:val="24"/>
        </w:rPr>
        <w:t xml:space="preserve"> </w:t>
      </w:r>
    </w:p>
    <w:p w14:paraId="3DA32015" w14:textId="1F689587" w:rsidR="00BD09BC" w:rsidRPr="00BD09BC" w:rsidRDefault="003919DF" w:rsidP="00BD09BC">
      <w:pPr>
        <w:pStyle w:val="BodyText"/>
        <w:spacing w:before="120" w:after="120"/>
        <w:ind w:left="360"/>
        <w:rPr>
          <w:bCs/>
          <w:iCs/>
          <w:szCs w:val="24"/>
        </w:rPr>
      </w:pPr>
      <w:r>
        <w:rPr>
          <w:bCs/>
          <w:iCs/>
          <w:szCs w:val="24"/>
        </w:rPr>
        <w:t>After the Participating Addendum (</w:t>
      </w:r>
      <w:r w:rsidRPr="00243932">
        <w:rPr>
          <w:bCs/>
          <w:iCs/>
          <w:szCs w:val="24"/>
        </w:rPr>
        <w:t>Appendix E</w:t>
      </w:r>
      <w:r>
        <w:rPr>
          <w:bCs/>
          <w:iCs/>
          <w:szCs w:val="24"/>
        </w:rPr>
        <w:t xml:space="preserve"> of the Master Agreement) has been signed by the Participating Entities and the Contractor, the Participating Entities should use a J</w:t>
      </w:r>
      <w:r w:rsidR="008F3397">
        <w:rPr>
          <w:bCs/>
          <w:iCs/>
          <w:szCs w:val="24"/>
        </w:rPr>
        <w:t>udicial Council</w:t>
      </w:r>
      <w:r>
        <w:rPr>
          <w:bCs/>
          <w:iCs/>
          <w:szCs w:val="24"/>
        </w:rPr>
        <w:t xml:space="preserve"> </w:t>
      </w:r>
      <w:r w:rsidRPr="00243932">
        <w:rPr>
          <w:bCs/>
          <w:iCs/>
          <w:szCs w:val="24"/>
        </w:rPr>
        <w:t>Catering Menu Order Form</w:t>
      </w:r>
      <w:r w:rsidR="00326475">
        <w:rPr>
          <w:bCs/>
          <w:iCs/>
          <w:szCs w:val="24"/>
        </w:rPr>
        <w:t xml:space="preserve"> (</w:t>
      </w:r>
      <w:r w:rsidR="00326475" w:rsidRPr="00326475">
        <w:rPr>
          <w:b/>
          <w:iCs/>
          <w:szCs w:val="24"/>
        </w:rPr>
        <w:t>Attachment 2</w:t>
      </w:r>
      <w:r w:rsidR="00326475">
        <w:rPr>
          <w:bCs/>
          <w:iCs/>
          <w:szCs w:val="24"/>
        </w:rPr>
        <w:t>)</w:t>
      </w:r>
      <w:r>
        <w:rPr>
          <w:bCs/>
          <w:iCs/>
          <w:szCs w:val="24"/>
        </w:rPr>
        <w:t xml:space="preserve"> which can be customized by each Participating JBE based on their service needs and send via email to the Contractor contact person.</w:t>
      </w:r>
      <w:r w:rsidR="007D48D2">
        <w:rPr>
          <w:bCs/>
          <w:iCs/>
          <w:szCs w:val="24"/>
        </w:rPr>
        <w:t xml:space="preserve">  Each Participating Entities is responsible for submission of their own Catering Menu Order Form to place order.  The Authorized JBE’s personnel will work with the Contractor on each order.</w:t>
      </w:r>
    </w:p>
    <w:p w14:paraId="5DC52DC1" w14:textId="0C7B1A87" w:rsidR="00BD09BC" w:rsidRPr="00BD09BC" w:rsidRDefault="00BD09BC" w:rsidP="00BD09B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  <w:r w:rsidRPr="00BD09BC">
        <w:rPr>
          <w:bCs/>
          <w:iCs/>
          <w:szCs w:val="24"/>
        </w:rPr>
        <w:t xml:space="preserve">See Master Agreement Appendix A, </w:t>
      </w:r>
      <w:r w:rsidRPr="00243932">
        <w:rPr>
          <w:bCs/>
          <w:iCs/>
          <w:szCs w:val="24"/>
        </w:rPr>
        <w:t>Section 2 for</w:t>
      </w:r>
      <w:r w:rsidR="003919DF" w:rsidRPr="00243932">
        <w:rPr>
          <w:bCs/>
          <w:iCs/>
          <w:szCs w:val="24"/>
        </w:rPr>
        <w:t xml:space="preserve"> Scope of Work and </w:t>
      </w:r>
      <w:r w:rsidRPr="00243932">
        <w:rPr>
          <w:bCs/>
          <w:iCs/>
          <w:szCs w:val="24"/>
        </w:rPr>
        <w:t>Ordering Process.</w:t>
      </w:r>
    </w:p>
    <w:p w14:paraId="1EE4649E" w14:textId="33D1E124" w:rsidR="00BD09BC" w:rsidRDefault="005977C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Miscellaneous Information</w:t>
      </w:r>
    </w:p>
    <w:p w14:paraId="16791424" w14:textId="77777777" w:rsidR="005977CC" w:rsidRPr="005977CC" w:rsidRDefault="005977CC" w:rsidP="005977CC">
      <w:pPr>
        <w:pStyle w:val="BodyText"/>
        <w:spacing w:before="120" w:after="120"/>
        <w:ind w:left="360"/>
        <w:rPr>
          <w:bCs/>
          <w:iCs/>
          <w:szCs w:val="24"/>
        </w:rPr>
      </w:pPr>
      <w:r w:rsidRPr="005977CC">
        <w:rPr>
          <w:bCs/>
          <w:iCs/>
          <w:szCs w:val="24"/>
        </w:rPr>
        <w:t>(i) A copy of the master agreement is available at:</w:t>
      </w:r>
    </w:p>
    <w:p w14:paraId="3E0664B9" w14:textId="7E560EE6" w:rsidR="005977CC" w:rsidRPr="005977CC" w:rsidRDefault="005977CC" w:rsidP="005977CC">
      <w:pPr>
        <w:pStyle w:val="BodyText"/>
        <w:spacing w:before="120" w:after="120"/>
        <w:ind w:left="360"/>
        <w:rPr>
          <w:bCs/>
          <w:iCs/>
          <w:szCs w:val="24"/>
        </w:rPr>
      </w:pPr>
      <w:hyperlink r:id="rId8" w:history="1">
        <w:r w:rsidRPr="002D3877">
          <w:rPr>
            <w:rStyle w:val="Hyperlink"/>
            <w:bCs/>
            <w:iCs/>
            <w:szCs w:val="24"/>
          </w:rPr>
          <w:t>http://www.courts.ca.gov/procurementservices.htm</w:t>
        </w:r>
      </w:hyperlink>
    </w:p>
    <w:p w14:paraId="28C5AE37" w14:textId="595A9CE0" w:rsidR="005977CC" w:rsidRPr="005977CC" w:rsidRDefault="005977CC" w:rsidP="005977C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  <w:r w:rsidRPr="005977CC">
        <w:rPr>
          <w:bCs/>
          <w:iCs/>
          <w:szCs w:val="24"/>
        </w:rPr>
        <w:t xml:space="preserve">(ii) The JBEs will be notified when the master agreement </w:t>
      </w:r>
      <w:r>
        <w:rPr>
          <w:bCs/>
          <w:iCs/>
          <w:szCs w:val="24"/>
        </w:rPr>
        <w:t>is</w:t>
      </w:r>
      <w:r w:rsidRPr="005977CC">
        <w:rPr>
          <w:bCs/>
          <w:iCs/>
          <w:szCs w:val="24"/>
        </w:rPr>
        <w:t xml:space="preserve"> modified or amended. All amendments will be posted on the procurement website with the master agreement.</w:t>
      </w:r>
    </w:p>
    <w:p w14:paraId="49379D88" w14:textId="11C453DD" w:rsidR="005977CC" w:rsidRDefault="005977C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Contract Terms and Conditions</w:t>
      </w:r>
    </w:p>
    <w:p w14:paraId="3A33578B" w14:textId="185401DC" w:rsidR="00D03FF1" w:rsidRPr="003919DF" w:rsidRDefault="00D03FF1" w:rsidP="003919DF">
      <w:pPr>
        <w:pStyle w:val="BodyText"/>
        <w:spacing w:before="120" w:after="120"/>
        <w:ind w:left="360"/>
        <w:rPr>
          <w:b/>
          <w:bCs/>
        </w:rPr>
      </w:pPr>
      <w:r>
        <w:t xml:space="preserve">The Judicial Branch Entities should review the entire contract and contact </w:t>
      </w:r>
      <w:r w:rsidR="003919DF">
        <w:t>David Glass</w:t>
      </w:r>
      <w:r>
        <w:t xml:space="preserve"> if there are any questions</w:t>
      </w:r>
      <w:r w:rsidR="003919DF">
        <w:t xml:space="preserve">.  David can be reached at 415-865-7848 or </w:t>
      </w:r>
      <w:hyperlink r:id="rId9" w:history="1">
        <w:r w:rsidR="003919DF" w:rsidRPr="003919DF">
          <w:rPr>
            <w:rStyle w:val="Hyperlink"/>
            <w:b/>
            <w:bCs/>
          </w:rPr>
          <w:t>David.Glass@jud.ca.gov</w:t>
        </w:r>
      </w:hyperlink>
    </w:p>
    <w:p w14:paraId="1C270BA8" w14:textId="77777777" w:rsidR="00AC0460" w:rsidRDefault="00AC0460" w:rsidP="00AC0460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</w:p>
    <w:p w14:paraId="57F8B909" w14:textId="77777777" w:rsidR="00D80023" w:rsidRDefault="00D80023" w:rsidP="00D80023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</w:p>
    <w:p w14:paraId="1A18B8D1" w14:textId="1D015A7A" w:rsidR="005977CC" w:rsidRDefault="005977CC" w:rsidP="00D03FF1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Compensation Provisions</w:t>
      </w:r>
    </w:p>
    <w:p w14:paraId="5AF00A53" w14:textId="66428347" w:rsidR="005977CC" w:rsidRDefault="005977CC" w:rsidP="005977C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  <w:r w:rsidRPr="005977CC">
        <w:rPr>
          <w:bCs/>
          <w:iCs/>
          <w:szCs w:val="24"/>
        </w:rPr>
        <w:t>See Master Agreement Appendix B – Payment Provisions</w:t>
      </w:r>
    </w:p>
    <w:p w14:paraId="663680DB" w14:textId="77777777" w:rsidR="009447FB" w:rsidRPr="005977CC" w:rsidRDefault="009447FB" w:rsidP="005977CC">
      <w:pPr>
        <w:pStyle w:val="BodyText"/>
        <w:spacing w:before="120" w:after="120" w:line="240" w:lineRule="auto"/>
        <w:ind w:left="360"/>
        <w:rPr>
          <w:bCs/>
          <w:iCs/>
          <w:szCs w:val="24"/>
        </w:rPr>
      </w:pPr>
    </w:p>
    <w:p w14:paraId="7AD1FBEB" w14:textId="3485F849" w:rsidR="005977CC" w:rsidRDefault="005977CC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b/>
          <w:iCs/>
          <w:szCs w:val="24"/>
        </w:rPr>
      </w:pPr>
      <w:r>
        <w:rPr>
          <w:b/>
          <w:iCs/>
          <w:szCs w:val="24"/>
        </w:rPr>
        <w:t>Description of Services</w:t>
      </w:r>
    </w:p>
    <w:p w14:paraId="7440C628" w14:textId="6994BAE5" w:rsidR="005977CC" w:rsidRPr="00D03FF1" w:rsidRDefault="005977CC" w:rsidP="00D03FF1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  <w:r w:rsidRPr="00D03FF1">
        <w:rPr>
          <w:bCs/>
          <w:iCs/>
          <w:szCs w:val="24"/>
        </w:rPr>
        <w:t>See Master Agreement</w:t>
      </w:r>
      <w:r w:rsidR="00D03FF1">
        <w:rPr>
          <w:bCs/>
          <w:iCs/>
          <w:szCs w:val="24"/>
        </w:rPr>
        <w:t xml:space="preserve"> </w:t>
      </w:r>
      <w:r w:rsidRPr="00130F95">
        <w:rPr>
          <w:bCs/>
          <w:iCs/>
          <w:szCs w:val="24"/>
        </w:rPr>
        <w:t>Appendix A</w:t>
      </w:r>
      <w:r w:rsidR="00ED5083">
        <w:rPr>
          <w:bCs/>
          <w:iCs/>
          <w:szCs w:val="24"/>
        </w:rPr>
        <w:t>,</w:t>
      </w:r>
      <w:r w:rsidRPr="00130F95">
        <w:rPr>
          <w:bCs/>
          <w:iCs/>
          <w:szCs w:val="24"/>
        </w:rPr>
        <w:t xml:space="preserve"> </w:t>
      </w:r>
      <w:r w:rsidR="00610027">
        <w:rPr>
          <w:bCs/>
          <w:iCs/>
          <w:szCs w:val="24"/>
        </w:rPr>
        <w:t xml:space="preserve">Section 2 </w:t>
      </w:r>
      <w:r w:rsidRPr="00130F95">
        <w:rPr>
          <w:bCs/>
          <w:iCs/>
          <w:szCs w:val="24"/>
        </w:rPr>
        <w:t>– Services</w:t>
      </w:r>
    </w:p>
    <w:p w14:paraId="1E60FBC6" w14:textId="52AEFB7F" w:rsidR="00130F95" w:rsidRDefault="00130F95" w:rsidP="005977CC">
      <w:pPr>
        <w:pStyle w:val="BodyText"/>
        <w:spacing w:before="120" w:after="120" w:line="240" w:lineRule="auto"/>
        <w:ind w:left="360"/>
        <w:rPr>
          <w:b/>
          <w:iCs/>
          <w:szCs w:val="24"/>
        </w:rPr>
      </w:pPr>
    </w:p>
    <w:sectPr w:rsidR="00130F95" w:rsidSect="007A73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87AC" w14:textId="77777777" w:rsidR="00EE28BE" w:rsidRDefault="00EE28BE" w:rsidP="00E95B5C">
      <w:r>
        <w:separator/>
      </w:r>
    </w:p>
  </w:endnote>
  <w:endnote w:type="continuationSeparator" w:id="0">
    <w:p w14:paraId="7426BB00" w14:textId="77777777" w:rsidR="00EE28BE" w:rsidRDefault="00EE28BE" w:rsidP="00E9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C9" w14:textId="77777777" w:rsidR="00554D1D" w:rsidRDefault="00554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69310"/>
      <w:docPartObj>
        <w:docPartGallery w:val="Page Numbers (Bottom of Page)"/>
        <w:docPartUnique/>
      </w:docPartObj>
    </w:sdtPr>
    <w:sdtContent>
      <w:p w14:paraId="7D5C2A25" w14:textId="77777777" w:rsidR="00AA3A3D" w:rsidRDefault="00C839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B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C9DA75" w14:textId="77777777" w:rsidR="00AA3A3D" w:rsidRDefault="00AA3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25B9" w14:textId="77777777" w:rsidR="00554D1D" w:rsidRDefault="00554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0D40" w14:textId="77777777" w:rsidR="00EE28BE" w:rsidRDefault="00EE28BE" w:rsidP="00E95B5C">
      <w:r>
        <w:separator/>
      </w:r>
    </w:p>
  </w:footnote>
  <w:footnote w:type="continuationSeparator" w:id="0">
    <w:p w14:paraId="73D12DDB" w14:textId="77777777" w:rsidR="00EE28BE" w:rsidRDefault="00EE28BE" w:rsidP="00E9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D693" w14:textId="77777777" w:rsidR="00554D1D" w:rsidRDefault="00554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A7FC" w14:textId="59EBF34B" w:rsidR="0057404C" w:rsidRPr="0057404C" w:rsidRDefault="0057404C" w:rsidP="0057404C">
    <w:pPr>
      <w:tabs>
        <w:tab w:val="center" w:pos="4680"/>
        <w:tab w:val="right" w:pos="9360"/>
      </w:tabs>
      <w:rPr>
        <w:sz w:val="20"/>
      </w:rPr>
    </w:pPr>
    <w:r w:rsidRPr="0057404C">
      <w:rPr>
        <w:sz w:val="20"/>
      </w:rPr>
      <w:t>Master Agreement No. MA-S</w:t>
    </w:r>
    <w:r w:rsidR="00253226">
      <w:rPr>
        <w:sz w:val="20"/>
      </w:rPr>
      <w:t>F</w:t>
    </w:r>
    <w:r w:rsidRPr="0057404C">
      <w:rPr>
        <w:sz w:val="20"/>
      </w:rPr>
      <w:t>202</w:t>
    </w:r>
    <w:r w:rsidR="00253226">
      <w:rPr>
        <w:sz w:val="20"/>
      </w:rPr>
      <w:t>5</w:t>
    </w:r>
    <w:r w:rsidRPr="0057404C">
      <w:rPr>
        <w:sz w:val="20"/>
      </w:rPr>
      <w:t>-0</w:t>
    </w:r>
    <w:r w:rsidR="00D465DF">
      <w:rPr>
        <w:sz w:val="20"/>
      </w:rPr>
      <w:t>1</w:t>
    </w:r>
    <w:r w:rsidRPr="0057404C">
      <w:rPr>
        <w:sz w:val="20"/>
      </w:rPr>
      <w:t xml:space="preserve"> with </w:t>
    </w:r>
    <w:r w:rsidR="001F3D63" w:rsidRPr="001F3D63">
      <w:rPr>
        <w:sz w:val="20"/>
      </w:rPr>
      <w:t>Peninsula Catering and Events</w:t>
    </w:r>
  </w:p>
  <w:p w14:paraId="110163D5" w14:textId="77777777" w:rsidR="0057404C" w:rsidRDefault="0057404C">
    <w:pPr>
      <w:pStyle w:val="Header"/>
      <w:rPr>
        <w:sz w:val="20"/>
      </w:rPr>
    </w:pPr>
  </w:p>
  <w:p w14:paraId="25F802A7" w14:textId="0305CFCB" w:rsidR="002D1B6A" w:rsidRPr="002D1B6A" w:rsidRDefault="002D1B6A">
    <w:pPr>
      <w:pStyle w:val="Header"/>
      <w:rPr>
        <w:sz w:val="20"/>
      </w:rPr>
    </w:pPr>
    <w:r w:rsidRPr="002D1B6A">
      <w:rPr>
        <w:sz w:val="20"/>
      </w:rPr>
      <w:t>(</w:t>
    </w:r>
    <w:r w:rsidRPr="002D1B6A">
      <w:rPr>
        <w:i/>
        <w:sz w:val="20"/>
      </w:rPr>
      <w:t>Rev. 5-4-15</w:t>
    </w:r>
    <w:r w:rsidRPr="002D1B6A">
      <w:rPr>
        <w:sz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7D44" w14:textId="77777777" w:rsidR="00554D1D" w:rsidRDefault="00554D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5CA0"/>
    <w:multiLevelType w:val="hybridMultilevel"/>
    <w:tmpl w:val="50D8BCD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EF6B8F"/>
    <w:multiLevelType w:val="hybridMultilevel"/>
    <w:tmpl w:val="C6C06BE0"/>
    <w:lvl w:ilvl="0" w:tplc="03729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7C67"/>
    <w:multiLevelType w:val="hybridMultilevel"/>
    <w:tmpl w:val="D53AA068"/>
    <w:lvl w:ilvl="0" w:tplc="BF86F0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171ED"/>
    <w:multiLevelType w:val="hybridMultilevel"/>
    <w:tmpl w:val="B4C8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81993"/>
    <w:multiLevelType w:val="hybridMultilevel"/>
    <w:tmpl w:val="B24A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A6625"/>
    <w:multiLevelType w:val="hybridMultilevel"/>
    <w:tmpl w:val="4D308AD4"/>
    <w:lvl w:ilvl="0" w:tplc="B16E5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D2039B"/>
    <w:multiLevelType w:val="multilevel"/>
    <w:tmpl w:val="66845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theme="maj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 Bold" w:hAnsi="Times New Roman Bold" w:cstheme="minorHAnsi" w:hint="default"/>
        <w:b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368"/>
        </w:tabs>
        <w:ind w:left="1368" w:hanging="432"/>
      </w:pPr>
      <w:rPr>
        <w:rFonts w:ascii="Times New Roman Bold" w:hAnsi="Times New Roman Bold" w:cs="Times New Roman" w:hint="default"/>
        <w:b/>
        <w:i w:val="0"/>
        <w:sz w:val="20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69551F6D"/>
    <w:multiLevelType w:val="hybridMultilevel"/>
    <w:tmpl w:val="1C80CE00"/>
    <w:lvl w:ilvl="0" w:tplc="2F065C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618935">
    <w:abstractNumId w:val="3"/>
  </w:num>
  <w:num w:numId="2" w16cid:durableId="678123611">
    <w:abstractNumId w:val="4"/>
  </w:num>
  <w:num w:numId="3" w16cid:durableId="2099977612">
    <w:abstractNumId w:val="5"/>
  </w:num>
  <w:num w:numId="4" w16cid:durableId="1895850916">
    <w:abstractNumId w:val="2"/>
  </w:num>
  <w:num w:numId="5" w16cid:durableId="1350329321">
    <w:abstractNumId w:val="7"/>
  </w:num>
  <w:num w:numId="6" w16cid:durableId="449007281">
    <w:abstractNumId w:val="1"/>
  </w:num>
  <w:num w:numId="7" w16cid:durableId="342823966">
    <w:abstractNumId w:val="0"/>
  </w:num>
  <w:num w:numId="8" w16cid:durableId="108595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0"/>
    <w:rsid w:val="0001485B"/>
    <w:rsid w:val="00026A09"/>
    <w:rsid w:val="00043E0F"/>
    <w:rsid w:val="0004788A"/>
    <w:rsid w:val="000511A3"/>
    <w:rsid w:val="000518DB"/>
    <w:rsid w:val="0005470D"/>
    <w:rsid w:val="0006488A"/>
    <w:rsid w:val="00070064"/>
    <w:rsid w:val="00081BD0"/>
    <w:rsid w:val="00087FCA"/>
    <w:rsid w:val="000B709E"/>
    <w:rsid w:val="000C4A5B"/>
    <w:rsid w:val="000E2C3A"/>
    <w:rsid w:val="000F10D6"/>
    <w:rsid w:val="000F2EC3"/>
    <w:rsid w:val="00120F5B"/>
    <w:rsid w:val="00130F95"/>
    <w:rsid w:val="00145897"/>
    <w:rsid w:val="001506D4"/>
    <w:rsid w:val="00163281"/>
    <w:rsid w:val="001666EB"/>
    <w:rsid w:val="00166E8E"/>
    <w:rsid w:val="001848FE"/>
    <w:rsid w:val="00190445"/>
    <w:rsid w:val="001941DA"/>
    <w:rsid w:val="001A4581"/>
    <w:rsid w:val="001B11BD"/>
    <w:rsid w:val="001C5562"/>
    <w:rsid w:val="001D0711"/>
    <w:rsid w:val="001F0C44"/>
    <w:rsid w:val="001F3D63"/>
    <w:rsid w:val="001F6996"/>
    <w:rsid w:val="0021650B"/>
    <w:rsid w:val="00243932"/>
    <w:rsid w:val="00253226"/>
    <w:rsid w:val="00276681"/>
    <w:rsid w:val="00286976"/>
    <w:rsid w:val="00296408"/>
    <w:rsid w:val="002B2552"/>
    <w:rsid w:val="002D1B6A"/>
    <w:rsid w:val="002D3877"/>
    <w:rsid w:val="002D76C6"/>
    <w:rsid w:val="002E33B6"/>
    <w:rsid w:val="002F0B78"/>
    <w:rsid w:val="003015A7"/>
    <w:rsid w:val="00310A9F"/>
    <w:rsid w:val="003209BE"/>
    <w:rsid w:val="00326475"/>
    <w:rsid w:val="003414BA"/>
    <w:rsid w:val="003647BC"/>
    <w:rsid w:val="00366105"/>
    <w:rsid w:val="003741B3"/>
    <w:rsid w:val="0037460C"/>
    <w:rsid w:val="00377878"/>
    <w:rsid w:val="00390328"/>
    <w:rsid w:val="003919DF"/>
    <w:rsid w:val="003D1B26"/>
    <w:rsid w:val="003F2B66"/>
    <w:rsid w:val="00400224"/>
    <w:rsid w:val="004162A2"/>
    <w:rsid w:val="00433FED"/>
    <w:rsid w:val="00454B98"/>
    <w:rsid w:val="00455DAD"/>
    <w:rsid w:val="004757F7"/>
    <w:rsid w:val="00482864"/>
    <w:rsid w:val="00487BC2"/>
    <w:rsid w:val="004A23A1"/>
    <w:rsid w:val="004C2D4E"/>
    <w:rsid w:val="004D6520"/>
    <w:rsid w:val="004F22BE"/>
    <w:rsid w:val="004F4E6C"/>
    <w:rsid w:val="005159FF"/>
    <w:rsid w:val="00522739"/>
    <w:rsid w:val="005316C2"/>
    <w:rsid w:val="005361A4"/>
    <w:rsid w:val="005361B5"/>
    <w:rsid w:val="00554D1D"/>
    <w:rsid w:val="0057404C"/>
    <w:rsid w:val="00592280"/>
    <w:rsid w:val="005977CC"/>
    <w:rsid w:val="005A029C"/>
    <w:rsid w:val="005A6AC4"/>
    <w:rsid w:val="005C34F0"/>
    <w:rsid w:val="005C7498"/>
    <w:rsid w:val="005D071F"/>
    <w:rsid w:val="005E08F1"/>
    <w:rsid w:val="005E77CB"/>
    <w:rsid w:val="00610027"/>
    <w:rsid w:val="006275D0"/>
    <w:rsid w:val="006415BE"/>
    <w:rsid w:val="0064513D"/>
    <w:rsid w:val="00664077"/>
    <w:rsid w:val="00674B99"/>
    <w:rsid w:val="00676F8B"/>
    <w:rsid w:val="006B4C8F"/>
    <w:rsid w:val="006D3A24"/>
    <w:rsid w:val="006F1BC3"/>
    <w:rsid w:val="0070374A"/>
    <w:rsid w:val="00742762"/>
    <w:rsid w:val="007529D7"/>
    <w:rsid w:val="007747D8"/>
    <w:rsid w:val="007A1D6F"/>
    <w:rsid w:val="007A2595"/>
    <w:rsid w:val="007A7387"/>
    <w:rsid w:val="007B2CA3"/>
    <w:rsid w:val="007B679E"/>
    <w:rsid w:val="007C3684"/>
    <w:rsid w:val="007D0099"/>
    <w:rsid w:val="007D09E2"/>
    <w:rsid w:val="007D2C60"/>
    <w:rsid w:val="007D48D2"/>
    <w:rsid w:val="007F3394"/>
    <w:rsid w:val="00852A57"/>
    <w:rsid w:val="008607D5"/>
    <w:rsid w:val="008614EA"/>
    <w:rsid w:val="00864995"/>
    <w:rsid w:val="00871255"/>
    <w:rsid w:val="00871370"/>
    <w:rsid w:val="008751E4"/>
    <w:rsid w:val="0088305E"/>
    <w:rsid w:val="008B0325"/>
    <w:rsid w:val="008B0E3E"/>
    <w:rsid w:val="008B10BC"/>
    <w:rsid w:val="008C0D68"/>
    <w:rsid w:val="008C1A3B"/>
    <w:rsid w:val="008D6A3B"/>
    <w:rsid w:val="008E00D7"/>
    <w:rsid w:val="008F28C2"/>
    <w:rsid w:val="008F3397"/>
    <w:rsid w:val="008F4C7D"/>
    <w:rsid w:val="008F6D49"/>
    <w:rsid w:val="009132F2"/>
    <w:rsid w:val="00916E4B"/>
    <w:rsid w:val="00922A96"/>
    <w:rsid w:val="00923C8E"/>
    <w:rsid w:val="0093058F"/>
    <w:rsid w:val="00934DDD"/>
    <w:rsid w:val="009400AD"/>
    <w:rsid w:val="009447FB"/>
    <w:rsid w:val="00964768"/>
    <w:rsid w:val="00982443"/>
    <w:rsid w:val="00986AA8"/>
    <w:rsid w:val="00995DF0"/>
    <w:rsid w:val="009B1654"/>
    <w:rsid w:val="009E0022"/>
    <w:rsid w:val="009E54BA"/>
    <w:rsid w:val="009F0D36"/>
    <w:rsid w:val="009F3ECA"/>
    <w:rsid w:val="00A03B94"/>
    <w:rsid w:val="00A12717"/>
    <w:rsid w:val="00A13655"/>
    <w:rsid w:val="00A1737E"/>
    <w:rsid w:val="00A30FF3"/>
    <w:rsid w:val="00A330C1"/>
    <w:rsid w:val="00A336FE"/>
    <w:rsid w:val="00A660D1"/>
    <w:rsid w:val="00A74275"/>
    <w:rsid w:val="00A75A15"/>
    <w:rsid w:val="00AA100C"/>
    <w:rsid w:val="00AA3A3D"/>
    <w:rsid w:val="00AB5F58"/>
    <w:rsid w:val="00AC0460"/>
    <w:rsid w:val="00AC3557"/>
    <w:rsid w:val="00AC58A3"/>
    <w:rsid w:val="00AC7AAC"/>
    <w:rsid w:val="00AF5010"/>
    <w:rsid w:val="00AF678F"/>
    <w:rsid w:val="00B05FB6"/>
    <w:rsid w:val="00B10876"/>
    <w:rsid w:val="00B14DF1"/>
    <w:rsid w:val="00B1666A"/>
    <w:rsid w:val="00B26EB8"/>
    <w:rsid w:val="00B529F7"/>
    <w:rsid w:val="00B7135F"/>
    <w:rsid w:val="00B83F0F"/>
    <w:rsid w:val="00BD09BC"/>
    <w:rsid w:val="00BD6EC5"/>
    <w:rsid w:val="00BE4B86"/>
    <w:rsid w:val="00C24BB9"/>
    <w:rsid w:val="00C2530F"/>
    <w:rsid w:val="00C35D1B"/>
    <w:rsid w:val="00C56E12"/>
    <w:rsid w:val="00C74901"/>
    <w:rsid w:val="00C75C6E"/>
    <w:rsid w:val="00C8394D"/>
    <w:rsid w:val="00CA1BFE"/>
    <w:rsid w:val="00CB0B05"/>
    <w:rsid w:val="00CB79DD"/>
    <w:rsid w:val="00CD5A83"/>
    <w:rsid w:val="00CF4C86"/>
    <w:rsid w:val="00D03FF1"/>
    <w:rsid w:val="00D07C07"/>
    <w:rsid w:val="00D141D2"/>
    <w:rsid w:val="00D159B7"/>
    <w:rsid w:val="00D321F2"/>
    <w:rsid w:val="00D40088"/>
    <w:rsid w:val="00D465DF"/>
    <w:rsid w:val="00D52E9A"/>
    <w:rsid w:val="00D6011A"/>
    <w:rsid w:val="00D80023"/>
    <w:rsid w:val="00D96B35"/>
    <w:rsid w:val="00DA61A2"/>
    <w:rsid w:val="00DD4AA0"/>
    <w:rsid w:val="00DE54FD"/>
    <w:rsid w:val="00DF041A"/>
    <w:rsid w:val="00E06758"/>
    <w:rsid w:val="00E15134"/>
    <w:rsid w:val="00E3174F"/>
    <w:rsid w:val="00E500D9"/>
    <w:rsid w:val="00E5700E"/>
    <w:rsid w:val="00E607DF"/>
    <w:rsid w:val="00E65B92"/>
    <w:rsid w:val="00E92037"/>
    <w:rsid w:val="00E95B5C"/>
    <w:rsid w:val="00EA537F"/>
    <w:rsid w:val="00ED5083"/>
    <w:rsid w:val="00EE17FE"/>
    <w:rsid w:val="00EE28BE"/>
    <w:rsid w:val="00EE3D83"/>
    <w:rsid w:val="00F175E2"/>
    <w:rsid w:val="00F27A8D"/>
    <w:rsid w:val="00F33F45"/>
    <w:rsid w:val="00F34383"/>
    <w:rsid w:val="00F51614"/>
    <w:rsid w:val="00F67D60"/>
    <w:rsid w:val="00F8613C"/>
    <w:rsid w:val="00F86BAC"/>
    <w:rsid w:val="00F90F57"/>
    <w:rsid w:val="00FA6051"/>
    <w:rsid w:val="00FB7C9A"/>
    <w:rsid w:val="00FD0C89"/>
    <w:rsid w:val="00FD56FD"/>
    <w:rsid w:val="00FF5A8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B2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p Normal"/>
    <w:qFormat/>
    <w:rsid w:val="00871370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2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42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42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7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7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2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42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7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742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42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7427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75"/>
    <w:pPr>
      <w:outlineLvl w:val="9"/>
    </w:pPr>
  </w:style>
  <w:style w:type="paragraph" w:styleId="ListParagraph">
    <w:name w:val="List Paragraph"/>
    <w:basedOn w:val="Normal"/>
    <w:uiPriority w:val="34"/>
    <w:rsid w:val="008D6A3B"/>
    <w:pPr>
      <w:ind w:left="720"/>
      <w:contextualSpacing/>
    </w:pPr>
  </w:style>
  <w:style w:type="paragraph" w:styleId="BodyText">
    <w:name w:val="Body Text"/>
    <w:basedOn w:val="Normal"/>
    <w:link w:val="BodyTextChar"/>
    <w:rsid w:val="008D6A3B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8D6A3B"/>
    <w:rPr>
      <w:rFonts w:ascii="Times New Roman" w:eastAsia="Times" w:hAnsi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54"/>
    <w:rPr>
      <w:rFonts w:ascii="Tahoma" w:eastAsia="Times" w:hAnsi="Tahoma" w:cs="Tahoma"/>
      <w:sz w:val="16"/>
      <w:szCs w:val="16"/>
      <w:lang w:bidi="ar-SA"/>
    </w:rPr>
  </w:style>
  <w:style w:type="paragraph" w:customStyle="1" w:styleId="Default">
    <w:name w:val="Default"/>
    <w:rsid w:val="007C3684"/>
    <w:pPr>
      <w:autoSpaceDE w:val="0"/>
      <w:autoSpaceDN w:val="0"/>
      <w:adjustRightInd w:val="0"/>
      <w:spacing w:line="240" w:lineRule="auto"/>
    </w:pPr>
    <w:rPr>
      <w:rFonts w:ascii="Symbol" w:hAnsi="Symbol" w:cs="Symbol"/>
      <w:color w:val="000000"/>
      <w:lang w:bidi="ar-SA"/>
    </w:rPr>
  </w:style>
  <w:style w:type="table" w:styleId="TableGrid">
    <w:name w:val="Table Grid"/>
    <w:basedOn w:val="TableNormal"/>
    <w:uiPriority w:val="59"/>
    <w:rsid w:val="00120F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1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1BD"/>
    <w:rPr>
      <w:rFonts w:ascii="Times New Roman" w:eastAsia="Times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1BD"/>
    <w:rPr>
      <w:rFonts w:ascii="Times New Roman" w:eastAsia="Times" w:hAnsi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B5C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B5C"/>
    <w:rPr>
      <w:rFonts w:ascii="Times New Roman" w:eastAsia="Times" w:hAnsi="Times New Roman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515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9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38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procurementservices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vid.Glass@jud.ca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vid.Glass@jud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2025-01-11T01:43:00Z</dcterms:created>
  <dcterms:modified xsi:type="dcterms:W3CDTF">2025-09-30T16:26:00Z</dcterms:modified>
</cp:coreProperties>
</file>