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ind w:left="7015" w:firstLine="0"/>
        <w:rPr>
          <w:rFonts w:ascii="Times New Roman" w:hAnsi="Times New Roman"/>
          <w:outline w:val="0"/>
          <w:color w:val="000000"/>
          <w:sz w:val="20"/>
          <w:szCs w:val="20"/>
          <w:u w:color="000000"/>
          <w14:textFill>
            <w14:solidFill>
              <w14:srgbClr w14:val="000000"/>
            </w14:solidFill>
          </w14:textFill>
        </w:rPr>
      </w:pPr>
    </w:p>
    <w:p>
      <w:pPr>
        <w:pStyle w:val="Body"/>
        <w:ind w:left="7015" w:firstLine="0"/>
        <w:rPr>
          <w:rFonts w:ascii="Times New Roman" w:hAnsi="Times New Roman"/>
          <w:outline w:val="0"/>
          <w:color w:val="000000"/>
          <w:sz w:val="20"/>
          <w:szCs w:val="20"/>
          <w:u w:color="000000"/>
          <w14:textFill>
            <w14:solidFill>
              <w14:srgbClr w14:val="000000"/>
            </w14:solidFill>
          </w14:textFill>
        </w:rPr>
      </w:pPr>
    </w:p>
    <w:p>
      <w:pPr>
        <w:pStyle w:val="Body"/>
        <w:ind w:left="7015" w:firstLine="0"/>
        <w:rPr>
          <w:rFonts w:ascii="Times New Roman" w:hAnsi="Times New Roman"/>
          <w:outline w:val="0"/>
          <w:color w:val="000000"/>
          <w:sz w:val="20"/>
          <w:szCs w:val="20"/>
          <w:u w:color="000000"/>
          <w14:textFill>
            <w14:solidFill>
              <w14:srgbClr w14:val="000000"/>
            </w14:solidFill>
          </w14:textFill>
        </w:rPr>
      </w:pPr>
    </w:p>
    <w:p>
      <w:pPr>
        <w:pStyle w:val="Body"/>
        <w:ind w:left="7015" w:firstLine="0"/>
        <w:rPr>
          <w:rFonts w:ascii="Times New Roman" w:hAnsi="Times New Roman"/>
          <w:outline w:val="0"/>
          <w:color w:val="000000"/>
          <w:sz w:val="20"/>
          <w:szCs w:val="20"/>
          <w:u w:color="000000"/>
          <w14:textFill>
            <w14:solidFill>
              <w14:srgbClr w14:val="000000"/>
            </w14:solidFill>
          </w14:textFill>
        </w:rPr>
      </w:pPr>
      <w:r>
        <w:rPr>
          <w:rFonts w:ascii="Times New Roman" w:hAnsi="Times New Roman"/>
          <w:outline w:val="0"/>
          <w:color w:val="000000"/>
          <w:sz w:val="20"/>
          <w:szCs w:val="20"/>
          <w:u w:color="000000"/>
          <w14:textFill>
            <w14:solidFill>
              <w14:srgbClr w14:val="000000"/>
            </w14:solidFill>
          </w14:textFill>
        </w:rPr>
        <w:drawing xmlns:a="http://schemas.openxmlformats.org/drawingml/2006/main">
          <wp:inline distT="0" distB="0" distL="0" distR="0">
            <wp:extent cx="2422803" cy="380047"/>
            <wp:effectExtent l="0" t="0" r="0" b="0"/>
            <wp:docPr id="1073741825" name="officeArt object" descr="image1.png"/>
            <wp:cNvGraphicFramePr/>
            <a:graphic xmlns:a="http://schemas.openxmlformats.org/drawingml/2006/main">
              <a:graphicData uri="http://schemas.openxmlformats.org/drawingml/2006/picture">
                <pic:pic xmlns:pic="http://schemas.openxmlformats.org/drawingml/2006/picture">
                  <pic:nvPicPr>
                    <pic:cNvPr id="1073741825" name="image1.png" descr="image1.png"/>
                    <pic:cNvPicPr>
                      <a:picLocks noChangeAspect="1"/>
                    </pic:cNvPicPr>
                  </pic:nvPicPr>
                  <pic:blipFill>
                    <a:blip r:embed="rId4">
                      <a:extLst/>
                    </a:blip>
                    <a:stretch>
                      <a:fillRect/>
                    </a:stretch>
                  </pic:blipFill>
                  <pic:spPr>
                    <a:xfrm>
                      <a:off x="0" y="0"/>
                      <a:ext cx="2422803" cy="380047"/>
                    </a:xfrm>
                    <a:prstGeom prst="rect">
                      <a:avLst/>
                    </a:prstGeom>
                    <a:ln w="12700" cap="flat">
                      <a:noFill/>
                      <a:miter lim="400000"/>
                    </a:ln>
                    <a:effectLst/>
                  </pic:spPr>
                </pic:pic>
              </a:graphicData>
            </a:graphic>
          </wp:inline>
        </w:drawing>
      </w:r>
    </w:p>
    <w:p>
      <w:pPr>
        <w:pStyle w:val="Body"/>
        <w:spacing w:before="147"/>
        <w:ind w:left="7015" w:firstLine="0"/>
        <w:rPr>
          <w:b w:val="1"/>
          <w:bCs w:val="1"/>
          <w:sz w:val="20"/>
          <w:szCs w:val="20"/>
        </w:rPr>
      </w:pPr>
      <w:bookmarkStart w:name="bookmarkid.gjdgxs" w:id="0"/>
      <w:bookmarkEnd w:id="0"/>
      <w:r>
        <w:rPr>
          <w:b w:val="1"/>
          <w:bCs w:val="1"/>
          <w:sz w:val="20"/>
          <w:szCs w:val="20"/>
          <w:rtl w:val="0"/>
        </w:rPr>
        <w:t>N</w:t>
      </w:r>
      <w:r>
        <w:rPr>
          <w:b w:val="1"/>
          <w:bCs w:val="1"/>
          <w:sz w:val="20"/>
          <w:szCs w:val="20"/>
          <w:rtl w:val="0"/>
          <w:lang w:val="en-US"/>
        </w:rPr>
        <w:t>EOED, Governmentjobs.com, PowerDMS, Miller Mendel, PowerDetails</w:t>
      </w:r>
    </w:p>
    <w:p>
      <w:pPr>
        <w:pStyle w:val="Body"/>
        <w:spacing w:before="147"/>
        <w:ind w:left="6295" w:firstLine="720"/>
        <w:rPr>
          <w:b w:val="1"/>
          <w:bCs w:val="1"/>
        </w:rPr>
      </w:pPr>
    </w:p>
    <w:p>
      <w:pPr>
        <w:pStyle w:val="Body"/>
        <w:spacing w:before="1"/>
        <w:rPr>
          <w:b w:val="1"/>
          <w:bCs w:val="1"/>
          <w:outline w:val="0"/>
          <w:color w:val="000000"/>
          <w:u w:color="000000"/>
          <w14:textFill>
            <w14:solidFill>
              <w14:srgbClr w14:val="000000"/>
            </w14:solidFill>
          </w14:textFill>
        </w:rPr>
      </w:pPr>
    </w:p>
    <w:p>
      <w:pPr>
        <w:pStyle w:val="Body"/>
      </w:pPr>
    </w:p>
    <w:p>
      <w:pPr>
        <w:pStyle w:val="Body"/>
        <w:rPr>
          <w:b w:val="1"/>
          <w:bCs w:val="1"/>
        </w:rPr>
      </w:pPr>
      <w:r>
        <w:rPr>
          <w:b w:val="1"/>
          <w:bCs w:val="1"/>
          <w:rtl w:val="0"/>
          <w:lang w:val="en-US"/>
        </w:rPr>
        <w:t>Notification Letter</w:t>
      </w:r>
    </w:p>
    <w:p>
      <w:pPr>
        <w:pStyle w:val="Body"/>
        <w:rPr>
          <w:b w:val="1"/>
          <w:bCs w:val="1"/>
        </w:rPr>
      </w:pPr>
      <w:r>
        <w:rPr>
          <w:b w:val="1"/>
          <w:bCs w:val="1"/>
          <w:rtl w:val="0"/>
        </w:rPr>
        <w:t xml:space="preserve">      </w:t>
      </w:r>
    </w:p>
    <w:p>
      <w:pPr>
        <w:pStyle w:val="Body"/>
      </w:pPr>
      <w:r>
        <w:rPr>
          <w:b w:val="1"/>
          <w:bCs w:val="1"/>
          <w:rtl w:val="0"/>
          <w:lang w:val="en-US"/>
        </w:rPr>
        <w:t>Subject:</w:t>
      </w:r>
      <w:r>
        <w:rPr>
          <w:rtl w:val="0"/>
          <w:lang w:val="en-US"/>
        </w:rPr>
        <w:t xml:space="preserve"> Implementation of California Sales Tax under Senate Bill 122</w:t>
      </w:r>
    </w:p>
    <w:p>
      <w:pPr>
        <w:pStyle w:val="Body"/>
      </w:pPr>
    </w:p>
    <w:p>
      <w:pPr>
        <w:pStyle w:val="Body"/>
      </w:pPr>
      <w:r>
        <w:rPr>
          <w:rtl w:val="0"/>
          <w:lang w:val="en-US"/>
        </w:rPr>
        <w:t xml:space="preserve">Dear Valued Customer, </w:t>
      </w:r>
    </w:p>
    <w:p>
      <w:pPr>
        <w:pStyle w:val="Body"/>
      </w:pPr>
    </w:p>
    <w:p>
      <w:pPr>
        <w:pStyle w:val="Body"/>
      </w:pPr>
      <w:r>
        <w:rPr>
          <w:rtl w:val="0"/>
          <w:lang w:val="en-US"/>
        </w:rPr>
        <w:t>We are writing to provide you with an important regulatory update regarding your Software-as-a-Service (SaaS) subscription.</w:t>
      </w:r>
    </w:p>
    <w:p>
      <w:pPr>
        <w:pStyle w:val="Body"/>
      </w:pPr>
    </w:p>
    <w:p>
      <w:pPr>
        <w:pStyle w:val="Body"/>
      </w:pPr>
      <w:r>
        <w:rPr>
          <w:rtl w:val="0"/>
          <w:lang w:val="en-US"/>
        </w:rPr>
        <w:t xml:space="preserve">The State of California recently enacted Senate Bill 122 (SB 122). This legislation eliminates the historical sales tax exemption for digital products and remote software services. Consequently, effective </w:t>
      </w:r>
      <w:r>
        <w:rPr>
          <w:b w:val="1"/>
          <w:bCs w:val="1"/>
          <w:rtl w:val="0"/>
          <w:lang w:val="en-US"/>
        </w:rPr>
        <w:t>January 1, 2027</w:t>
      </w:r>
      <w:r>
        <w:rPr>
          <w:rtl w:val="0"/>
          <w:lang w:val="en-US"/>
        </w:rPr>
        <w:t>, all SaaS subscriptions delivered to users within California will be subject to state and local sales tax.</w:t>
      </w:r>
    </w:p>
    <w:p>
      <w:pPr>
        <w:pStyle w:val="Body"/>
        <w:rPr>
          <w:b w:val="1"/>
          <w:bCs w:val="1"/>
        </w:rPr>
      </w:pPr>
    </w:p>
    <w:p>
      <w:pPr>
        <w:pStyle w:val="Body"/>
        <w:rPr>
          <w:b w:val="1"/>
          <w:bCs w:val="1"/>
        </w:rPr>
      </w:pPr>
      <w:r>
        <w:rPr>
          <w:b w:val="1"/>
          <w:bCs w:val="1"/>
          <w:rtl w:val="0"/>
          <w:lang w:val="en-US"/>
        </w:rPr>
        <w:t>Summary of Account Impacts</w:t>
      </w:r>
    </w:p>
    <w:p>
      <w:pPr>
        <w:pStyle w:val="Body"/>
        <w:rPr>
          <w:b w:val="1"/>
          <w:bCs w:val="1"/>
        </w:rPr>
      </w:pPr>
    </w:p>
    <w:p>
      <w:pPr>
        <w:pStyle w:val="Body"/>
        <w:numPr>
          <w:ilvl w:val="0"/>
          <w:numId w:val="2"/>
        </w:numPr>
        <w:rPr>
          <w:lang w:val="en-US"/>
        </w:rPr>
      </w:pPr>
      <w:r>
        <w:rPr>
          <w:b w:val="1"/>
          <w:bCs w:val="1"/>
          <w:rtl w:val="0"/>
          <w:lang w:val="en-US"/>
        </w:rPr>
        <w:t>Tax Application:</w:t>
      </w:r>
      <w:r>
        <w:rPr>
          <w:rtl w:val="0"/>
          <w:lang w:val="en-US"/>
        </w:rPr>
        <w:t xml:space="preserve"> Beginning with your first billing cycle on or after January 1, 2027, your invoices will include a separate line item for applicable sales tax.</w:t>
      </w:r>
    </w:p>
    <w:p>
      <w:pPr>
        <w:pStyle w:val="Body"/>
        <w:ind w:left="720" w:firstLine="0"/>
      </w:pPr>
    </w:p>
    <w:p>
      <w:pPr>
        <w:pStyle w:val="Body"/>
        <w:numPr>
          <w:ilvl w:val="0"/>
          <w:numId w:val="2"/>
        </w:numPr>
        <w:rPr>
          <w:lang w:val="en-US"/>
        </w:rPr>
      </w:pPr>
      <w:r>
        <w:rPr>
          <w:b w:val="1"/>
          <w:bCs w:val="1"/>
          <w:rtl w:val="0"/>
          <w:lang w:val="en-US"/>
        </w:rPr>
        <w:t>Rate Determination:</w:t>
      </w:r>
      <w:r>
        <w:rPr>
          <w:rtl w:val="0"/>
          <w:lang w:val="en-US"/>
        </w:rPr>
        <w:t xml:space="preserve"> The exact tax rate is determined by your registered billing or delivery address in California. This includes the standard 7.25% state base rate plus any applicable local district taxes.</w:t>
      </w:r>
    </w:p>
    <w:p>
      <w:pPr>
        <w:pStyle w:val="Body"/>
      </w:pPr>
    </w:p>
    <w:p>
      <w:pPr>
        <w:pStyle w:val="Body"/>
        <w:numPr>
          <w:ilvl w:val="0"/>
          <w:numId w:val="2"/>
        </w:numPr>
        <w:rPr>
          <w:lang w:val="de-DE"/>
        </w:rPr>
      </w:pPr>
      <w:r>
        <w:rPr>
          <w:b w:val="1"/>
          <w:bCs w:val="1"/>
          <w:rtl w:val="0"/>
          <w:lang w:val="de-DE"/>
        </w:rPr>
        <w:t>System Integration:</w:t>
      </w:r>
      <w:r>
        <w:rPr>
          <w:rtl w:val="0"/>
          <w:lang w:val="en-US"/>
        </w:rPr>
        <w:t xml:space="preserve"> Our billing infrastructure is currently being updated to automate these calculations and ensure full compliance with California Department of Tax and Fee Administration (CDTFA) guidelines.</w:t>
      </w:r>
    </w:p>
    <w:p>
      <w:pPr>
        <w:pStyle w:val="Body"/>
      </w:pPr>
    </w:p>
    <w:p>
      <w:pPr>
        <w:pStyle w:val="Body"/>
      </w:pPr>
      <w:r>
        <w:rPr>
          <w:rtl w:val="0"/>
          <w:lang w:val="en-US"/>
        </w:rPr>
        <w:t>If your organization qualifies for a sales tax exemption under California law, please submit a copy of your valid tax exemption certificate to our billing department at billing@neogov.net prior to prevent automated tax collection.</w:t>
      </w:r>
    </w:p>
    <w:p>
      <w:pPr>
        <w:pStyle w:val="Body"/>
      </w:pPr>
    </w:p>
    <w:p>
      <w:pPr>
        <w:pStyle w:val="Body"/>
      </w:pPr>
      <w:r>
        <w:rPr>
          <w:rtl w:val="0"/>
          <w:lang w:val="en-US"/>
        </w:rPr>
        <w:t xml:space="preserve">We appreciate your continued partnership and understanding as we align our operations with these new legal requirements. Should you require further clarification regarding these billing adjustments, please reach out to myself or your account manager. </w:t>
      </w:r>
    </w:p>
    <w:p>
      <w:pPr>
        <w:pStyle w:val="Body"/>
      </w:pPr>
    </w:p>
    <w:p>
      <w:pPr>
        <w:pStyle w:val="Body"/>
      </w:pPr>
      <w:r>
        <w:rPr>
          <w:rtl w:val="0"/>
          <w:lang w:val="en-US"/>
        </w:rPr>
        <w:t>Sincerely,</w:t>
      </w:r>
    </w:p>
    <w:p>
      <w:pPr>
        <w:pStyle w:val="Body"/>
        <w:rPr>
          <w:outline w:val="0"/>
          <w:color w:val="000000"/>
          <w:sz w:val="20"/>
          <w:szCs w:val="20"/>
          <w:u w:color="000000"/>
          <w14:textFill>
            <w14:solidFill>
              <w14:srgbClr w14:val="000000"/>
            </w14:solidFill>
          </w14:textFill>
        </w:rPr>
      </w:pPr>
    </w:p>
    <w:p>
      <w:pPr>
        <w:pStyle w:val="Body"/>
        <w:spacing w:before="2"/>
        <w:rPr>
          <w:outline w:val="0"/>
          <w:color w:val="000000"/>
          <w:u w:color="000000"/>
          <w14:textFill>
            <w14:solidFill>
              <w14:srgbClr w14:val="000000"/>
            </w14:solidFill>
          </w14:textFill>
        </w:rPr>
      </w:pPr>
    </w:p>
    <w:p>
      <w:pPr>
        <w:pStyle w:val="Body"/>
      </w:pPr>
      <w:r>
        <w:rPr>
          <w:rtl w:val="0"/>
          <w:lang w:val="de-DE"/>
        </w:rPr>
        <w:t>Brandon Buckner</w:t>
      </w:r>
    </w:p>
    <w:p>
      <w:pPr>
        <w:pStyle w:val="Body"/>
      </w:pPr>
      <w:r>
        <w:rPr>
          <w:rtl w:val="0"/>
          <w:lang w:val="en-US"/>
        </w:rPr>
        <w:t>Tax Director</w:t>
      </w:r>
    </w:p>
    <w:p>
      <w:pPr>
        <w:pStyle w:val="Body"/>
      </w:pPr>
      <w:r>
        <w:rPr>
          <w:rtl w:val="0"/>
        </w:rPr>
        <w:t>NEOGOV</w:t>
      </w:r>
    </w:p>
    <w:p>
      <w:pPr>
        <w:pStyle w:val="Body"/>
      </w:pPr>
      <w:r>
        <w:rPr>
          <w:rtl w:val="0"/>
        </w:rPr>
        <w:t>M:  801-230-2897</w:t>
      </w:r>
    </w:p>
    <w:p>
      <w:pPr>
        <w:pStyle w:val="Body"/>
      </w:pPr>
      <w:r>
        <w:rPr>
          <w:rtl w:val="0"/>
        </w:rPr>
        <w:t>bbuckner@neogov.net</w:t>
      </w:r>
      <w:r/>
    </w:p>
    <w:sectPr>
      <w:headerReference w:type="default" r:id="rId5"/>
      <w:footerReference w:type="default" r:id="rId6"/>
      <w:pgSz w:w="12240" w:h="15840" w:orient="portrait"/>
      <w:pgMar w:top="440" w:right="440" w:bottom="280" w:left="860"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Arial Narrow">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start w:val="1"/>
      <w:numFmt w:val="bullet"/>
      <w:suff w:val="tab"/>
      <w:lvlText w:val="o"/>
      <w:lvlJc w:val="left"/>
      <w:pPr>
        <w:tabs>
          <w:tab w:val="left" w:pos="720"/>
        </w:tabs>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start w:val="1"/>
      <w:numFmt w:val="bullet"/>
      <w:suff w:val="tab"/>
      <w:lvlText w:val="▪"/>
      <w:lvlJc w:val="left"/>
      <w:pPr>
        <w:tabs>
          <w:tab w:val="left" w:pos="720"/>
        </w:tabs>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start w:val="1"/>
      <w:numFmt w:val="bullet"/>
      <w:suff w:val="tab"/>
      <w:lvlText w:val="▪"/>
      <w:lvlJc w:val="left"/>
      <w:pPr>
        <w:tabs>
          <w:tab w:val="left" w:pos="720"/>
        </w:tabs>
        <w:ind w:left="28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start w:val="1"/>
      <w:numFmt w:val="bullet"/>
      <w:suff w:val="tab"/>
      <w:lvlText w:val="▪"/>
      <w:lvlJc w:val="left"/>
      <w:pPr>
        <w:tabs>
          <w:tab w:val="left" w:pos="720"/>
        </w:tabs>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start w:val="1"/>
      <w:numFmt w:val="bullet"/>
      <w:suff w:val="tab"/>
      <w:lvlText w:val="▪"/>
      <w:lvlJc w:val="left"/>
      <w:pPr>
        <w:tabs>
          <w:tab w:val="left" w:pos="720"/>
        </w:tabs>
        <w:ind w:left="43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start w:val="1"/>
      <w:numFmt w:val="bullet"/>
      <w:suff w:val="tab"/>
      <w:lvlText w:val="▪"/>
      <w:lvlJc w:val="left"/>
      <w:pPr>
        <w:tabs>
          <w:tab w:val="left" w:pos="720"/>
        </w:tabs>
        <w:ind w:left="50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start w:val="1"/>
      <w:numFmt w:val="bullet"/>
      <w:suff w:val="tab"/>
      <w:lvlText w:val="▪"/>
      <w:lvlJc w:val="left"/>
      <w:pPr>
        <w:tabs>
          <w:tab w:val="left" w:pos="720"/>
        </w:tabs>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start w:val="1"/>
      <w:numFmt w:val="bullet"/>
      <w:suff w:val="tab"/>
      <w:lvlText w:val="▪"/>
      <w:lvlJc w:val="left"/>
      <w:pPr>
        <w:tabs>
          <w:tab w:val="left" w:pos="720"/>
        </w:tabs>
        <w:ind w:left="64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Body">
    <w:name w:val="Body"/>
    <w:next w:val="Body"/>
    <w:pPr>
      <w:keepNext w:val="0"/>
      <w:keepLines w:val="0"/>
      <w:pageBreakBefore w:val="0"/>
      <w:widowControl w:val="0"/>
      <w:shd w:val="clear" w:color="auto" w:fill="auto"/>
      <w:suppressAutoHyphens w:val="0"/>
      <w:bidi w:val="0"/>
      <w:spacing w:before="0" w:after="0" w:line="240" w:lineRule="auto"/>
      <w:ind w:left="0" w:right="0" w:firstLine="0"/>
      <w:jc w:val="left"/>
      <w:outlineLvl w:val="9"/>
    </w:pPr>
    <w:rPr>
      <w:rFonts w:ascii="Arial Narrow" w:cs="Arial Unicode MS" w:hAnsi="Arial Narrow"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14:textOutline>
        <w14:noFill/>
      </w14:textOutline>
      <w14:textFill>
        <w14:solidFill>
          <w14:srgbClr w14:val="000000"/>
        </w14:solidFill>
      </w14:textFill>
    </w:rPr>
  </w:style>
  <w:style w:type="numbering" w:styleId="Imported Style 1">
    <w:name w:val="Imported Style 1"/>
    <w:pPr>
      <w:numPr>
        <w:numId w:val="1"/>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numbering" Target="numbering.xml"/><Relationship Id="rId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