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76"/>
        <w:gridCol w:w="3859"/>
        <w:gridCol w:w="4315"/>
        <w:gridCol w:w="10"/>
      </w:tblGrid>
      <w:tr w:rsidR="00ED09F7" w14:paraId="5C2091EC" w14:textId="77777777" w:rsidTr="005A21CB">
        <w:trPr>
          <w:gridAfter w:val="1"/>
          <w:wAfter w:w="10" w:type="dxa"/>
          <w:trHeight w:hRule="exact" w:val="1440"/>
        </w:trPr>
        <w:tc>
          <w:tcPr>
            <w:tcW w:w="5035" w:type="dxa"/>
            <w:gridSpan w:val="2"/>
          </w:tcPr>
          <w:p w14:paraId="3A97EF3B" w14:textId="77777777" w:rsidR="00ED09F7" w:rsidRDefault="00EA2269" w:rsidP="005A21CB">
            <w:r>
              <w:rPr>
                <w:noProof/>
              </w:rPr>
              <w:drawing>
                <wp:inline distT="0" distB="0" distL="0" distR="0" wp14:anchorId="4C617037" wp14:editId="511AD84E">
                  <wp:extent cx="3197225" cy="770255"/>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7225" cy="770255"/>
                          </a:xfrm>
                          <a:prstGeom prst="rect">
                            <a:avLst/>
                          </a:prstGeom>
                        </pic:spPr>
                      </pic:pic>
                    </a:graphicData>
                  </a:graphic>
                </wp:inline>
              </w:drawing>
            </w:r>
          </w:p>
        </w:tc>
        <w:tc>
          <w:tcPr>
            <w:tcW w:w="4315" w:type="dxa"/>
          </w:tcPr>
          <w:p w14:paraId="71C17416" w14:textId="77777777" w:rsidR="00ED09F7" w:rsidRPr="004927DF" w:rsidRDefault="00AD1D83" w:rsidP="005A21CB">
            <w:pPr>
              <w:jc w:val="right"/>
              <w:rPr>
                <w:rFonts w:ascii="Bierstadt" w:hAnsi="Bierstadt"/>
                <w:sz w:val="20"/>
                <w:szCs w:val="20"/>
              </w:rPr>
            </w:pPr>
            <w:hyperlink r:id="rId9" w:history="1">
              <w:r w:rsidR="00EA2269">
                <w:rPr>
                  <w:rStyle w:val="Hyperlink"/>
                  <w:rFonts w:ascii="Bierstadt" w:hAnsi="Bierstadt"/>
                  <w:sz w:val="20"/>
                  <w:szCs w:val="20"/>
                </w:rPr>
                <w:t>www.courts.ca.gov/legislationcomm.htm</w:t>
              </w:r>
            </w:hyperlink>
          </w:p>
          <w:p w14:paraId="258F5F0A" w14:textId="77777777" w:rsidR="00ED09F7" w:rsidRPr="004927DF" w:rsidRDefault="00AD1D83" w:rsidP="005A21CB">
            <w:pPr>
              <w:jc w:val="right"/>
              <w:rPr>
                <w:rFonts w:ascii="Bierstadt" w:hAnsi="Bierstadt"/>
                <w:sz w:val="20"/>
                <w:szCs w:val="20"/>
              </w:rPr>
            </w:pPr>
            <w:hyperlink r:id="rId10" w:history="1">
              <w:r w:rsidR="00EA2269">
                <w:rPr>
                  <w:rStyle w:val="Hyperlink"/>
                  <w:rFonts w:ascii="Bierstadt" w:hAnsi="Bierstadt"/>
                  <w:sz w:val="20"/>
                  <w:szCs w:val="20"/>
                </w:rPr>
                <w:t>LegislationCommittee@jud.ca.gov</w:t>
              </w:r>
            </w:hyperlink>
          </w:p>
          <w:p w14:paraId="083DBD9B" w14:textId="77777777" w:rsidR="00ED09F7" w:rsidRDefault="00ED09F7" w:rsidP="005A21CB"/>
          <w:p w14:paraId="439F94E9" w14:textId="77777777" w:rsidR="00ED09F7" w:rsidRDefault="00ED09F7" w:rsidP="005A21CB"/>
        </w:tc>
      </w:tr>
      <w:tr w:rsidR="00BA5566" w14:paraId="374F6075" w14:textId="77777777" w:rsidTr="00ED09F7">
        <w:tblPrEx>
          <w:tblCellMar>
            <w:left w:w="108" w:type="dxa"/>
            <w:right w:w="108" w:type="dxa"/>
          </w:tblCellMar>
        </w:tblPrEx>
        <w:tc>
          <w:tcPr>
            <w:tcW w:w="9360" w:type="dxa"/>
            <w:gridSpan w:val="4"/>
          </w:tcPr>
          <w:p w14:paraId="688AFE6C" w14:textId="77777777" w:rsidR="00BA5566" w:rsidRPr="00ED09F7" w:rsidRDefault="00EA2269" w:rsidP="003F1130">
            <w:pPr>
              <w:spacing w:before="240" w:after="120" w:line="300" w:lineRule="atLeast"/>
              <w:jc w:val="center"/>
              <w:outlineLvl w:val="0"/>
              <w:rPr>
                <w:rFonts w:ascii="Bierstadt Display" w:hAnsi="Bierstadt Display" w:cs="Estrangelo Edessa"/>
                <w:b/>
                <w:smallCaps/>
                <w:spacing w:val="60"/>
                <w:sz w:val="34"/>
                <w:szCs w:val="34"/>
              </w:rPr>
            </w:pPr>
            <w:r>
              <w:rPr>
                <w:rFonts w:ascii="Bierstadt Display" w:hAnsi="Bierstadt Display" w:cs="Estrangelo Edessa"/>
                <w:b/>
                <w:smallCaps/>
                <w:spacing w:val="60"/>
                <w:sz w:val="28"/>
                <w:szCs w:val="28"/>
              </w:rPr>
              <w:t>Legislation Committee</w:t>
            </w:r>
          </w:p>
        </w:tc>
      </w:tr>
      <w:tr w:rsidR="00BA5566" w14:paraId="1E77A06E" w14:textId="77777777" w:rsidTr="00ED09F7">
        <w:tblPrEx>
          <w:tblCellMar>
            <w:left w:w="108" w:type="dxa"/>
            <w:right w:w="108" w:type="dxa"/>
          </w:tblCellMar>
        </w:tblPrEx>
        <w:tc>
          <w:tcPr>
            <w:tcW w:w="9360" w:type="dxa"/>
            <w:gridSpan w:val="4"/>
            <w:shd w:val="clear" w:color="auto" w:fill="000000" w:themeFill="text1"/>
          </w:tcPr>
          <w:p w14:paraId="7B343F91" w14:textId="77777777" w:rsidR="00BA5566" w:rsidRPr="00ED09F7" w:rsidRDefault="00DF69A2" w:rsidP="00DF69A2">
            <w:pPr>
              <w:spacing w:line="276" w:lineRule="auto"/>
              <w:jc w:val="center"/>
              <w:rPr>
                <w:rFonts w:ascii="Bierstadt Display" w:hAnsi="Bierstadt Display"/>
                <w:color w:val="FFFFFF" w:themeColor="background1"/>
                <w:sz w:val="28"/>
                <w:szCs w:val="28"/>
              </w:rPr>
            </w:pPr>
            <w:r w:rsidRPr="00ED09F7">
              <w:rPr>
                <w:rFonts w:ascii="Bierstadt Display" w:hAnsi="Bierstadt Display" w:cs="Estrangelo Edessa"/>
                <w:b/>
                <w:smallCaps/>
                <w:color w:val="FFFFFF" w:themeColor="background1"/>
                <w:spacing w:val="60"/>
                <w:sz w:val="28"/>
                <w:szCs w:val="28"/>
              </w:rPr>
              <w:t xml:space="preserve">Notice and Agenda of </w:t>
            </w:r>
            <w:r w:rsidR="00C6110F" w:rsidRPr="00ED09F7">
              <w:rPr>
                <w:rFonts w:ascii="Bierstadt Display" w:hAnsi="Bierstadt Display" w:cs="Estrangelo Edessa"/>
                <w:b/>
                <w:smallCaps/>
                <w:color w:val="FFFFFF" w:themeColor="background1"/>
                <w:spacing w:val="60"/>
                <w:sz w:val="28"/>
                <w:szCs w:val="28"/>
              </w:rPr>
              <w:t xml:space="preserve">Closed Meeting </w:t>
            </w:r>
          </w:p>
        </w:tc>
      </w:tr>
      <w:tr w:rsidR="0024304E" w14:paraId="668A8FAF" w14:textId="77777777" w:rsidTr="00ED09F7">
        <w:tblPrEx>
          <w:tblCellMar>
            <w:left w:w="108" w:type="dxa"/>
            <w:right w:w="108" w:type="dxa"/>
          </w:tblCellMar>
        </w:tblPrEx>
        <w:tc>
          <w:tcPr>
            <w:tcW w:w="9360" w:type="dxa"/>
            <w:gridSpan w:val="4"/>
            <w:tcBorders>
              <w:bottom w:val="single" w:sz="4" w:space="0" w:color="auto"/>
            </w:tcBorders>
            <w:shd w:val="clear" w:color="auto" w:fill="auto"/>
          </w:tcPr>
          <w:p w14:paraId="6E524E16" w14:textId="77777777" w:rsidR="0024304E" w:rsidRPr="0024304E" w:rsidRDefault="0024304E">
            <w:pPr>
              <w:spacing w:before="120" w:after="240"/>
              <w:jc w:val="center"/>
              <w:rPr>
                <w:rFonts w:ascii="Calibri" w:hAnsi="Calibri" w:cs="Estrangelo Edessa"/>
                <w:b/>
                <w:smallCaps/>
                <w:spacing w:val="60"/>
                <w:sz w:val="20"/>
              </w:rPr>
            </w:pPr>
            <w:r>
              <w:rPr>
                <w:rFonts w:ascii="Arial" w:hAnsi="Arial" w:cs="Arial"/>
                <w:sz w:val="20"/>
              </w:rPr>
              <w:t xml:space="preserve">Closed </w:t>
            </w:r>
            <w:r w:rsidRPr="00C161E6">
              <w:rPr>
                <w:rFonts w:ascii="Arial" w:hAnsi="Arial" w:cs="Arial"/>
                <w:sz w:val="20"/>
              </w:rPr>
              <w:t>to the Public</w:t>
            </w:r>
            <w:r>
              <w:rPr>
                <w:rFonts w:ascii="Arial" w:hAnsi="Arial" w:cs="Arial"/>
                <w:sz w:val="20"/>
              </w:rPr>
              <w:t xml:space="preserve"> (Cal. </w:t>
            </w:r>
            <w:r w:rsidRPr="00C161E6">
              <w:rPr>
                <w:rFonts w:ascii="Arial" w:hAnsi="Arial" w:cs="Arial"/>
                <w:sz w:val="20"/>
              </w:rPr>
              <w:t xml:space="preserve">Rules of Court, </w:t>
            </w:r>
            <w:r w:rsidR="0091673F">
              <w:rPr>
                <w:rFonts w:ascii="Arial" w:hAnsi="Arial" w:cs="Arial"/>
                <w:sz w:val="20"/>
              </w:rPr>
              <w:t>r</w:t>
            </w:r>
            <w:r w:rsidRPr="00C161E6">
              <w:rPr>
                <w:rFonts w:ascii="Arial" w:hAnsi="Arial" w:cs="Arial"/>
                <w:sz w:val="20"/>
              </w:rPr>
              <w:t>ule 10.75</w:t>
            </w:r>
            <w:r w:rsidR="00D60753">
              <w:rPr>
                <w:rFonts w:ascii="Arial" w:hAnsi="Arial" w:cs="Arial"/>
                <w:sz w:val="20"/>
              </w:rPr>
              <w:t xml:space="preserve">(c) or </w:t>
            </w:r>
            <w:r w:rsidRPr="00C161E6">
              <w:rPr>
                <w:rFonts w:ascii="Arial" w:hAnsi="Arial" w:cs="Arial"/>
                <w:sz w:val="20"/>
              </w:rPr>
              <w:t>(d)</w:t>
            </w:r>
            <w:r w:rsidR="00740732">
              <w:rPr>
                <w:rFonts w:ascii="Arial" w:hAnsi="Arial" w:cs="Arial"/>
                <w:sz w:val="20"/>
              </w:rPr>
              <w:t xml:space="preserve"> and (e)(1)</w:t>
            </w:r>
            <w:r w:rsidRPr="00C161E6">
              <w:rPr>
                <w:rFonts w:ascii="Arial" w:hAnsi="Arial" w:cs="Arial"/>
                <w:sz w:val="20"/>
              </w:rPr>
              <w:t>)</w:t>
            </w:r>
          </w:p>
        </w:tc>
      </w:tr>
      <w:tr w:rsidR="0024304E" w14:paraId="7E2E14A4" w14:textId="77777777" w:rsidTr="00ED09F7">
        <w:tblPrEx>
          <w:tblCellMar>
            <w:left w:w="108" w:type="dxa"/>
            <w:right w:w="108" w:type="dxa"/>
          </w:tblCellMar>
        </w:tblPrEx>
        <w:tc>
          <w:tcPr>
            <w:tcW w:w="1176" w:type="dxa"/>
            <w:tcBorders>
              <w:top w:val="single" w:sz="4" w:space="0" w:color="auto"/>
            </w:tcBorders>
          </w:tcPr>
          <w:p w14:paraId="6CB729C7" w14:textId="77777777" w:rsidR="0024304E" w:rsidRPr="00231AAA" w:rsidRDefault="0024304E" w:rsidP="003F1130">
            <w:pPr>
              <w:spacing w:before="120" w:line="300" w:lineRule="atLeast"/>
              <w:rPr>
                <w:rFonts w:ascii="Arial" w:hAnsi="Arial" w:cs="Arial"/>
                <w:b/>
                <w:sz w:val="20"/>
                <w:szCs w:val="20"/>
              </w:rPr>
            </w:pPr>
            <w:r w:rsidRPr="00231AAA">
              <w:rPr>
                <w:rFonts w:ascii="Arial" w:hAnsi="Arial" w:cs="Arial"/>
                <w:b/>
                <w:sz w:val="20"/>
                <w:szCs w:val="20"/>
              </w:rPr>
              <w:t>Date:</w:t>
            </w:r>
          </w:p>
        </w:tc>
        <w:tc>
          <w:tcPr>
            <w:tcW w:w="8184" w:type="dxa"/>
            <w:gridSpan w:val="3"/>
            <w:tcBorders>
              <w:top w:val="single" w:sz="4" w:space="0" w:color="auto"/>
            </w:tcBorders>
            <w:vAlign w:val="bottom"/>
          </w:tcPr>
          <w:p w14:paraId="49CAA523" w14:textId="77777777" w:rsidR="0024304E" w:rsidRPr="0024304E" w:rsidRDefault="00EA2269" w:rsidP="00F42509">
            <w:pPr>
              <w:spacing w:line="300" w:lineRule="atLeast"/>
              <w:rPr>
                <w:rFonts w:ascii="Arial" w:hAnsi="Arial" w:cs="Arial"/>
                <w:sz w:val="20"/>
                <w:szCs w:val="20"/>
              </w:rPr>
            </w:pPr>
            <w:r>
              <w:rPr>
                <w:rFonts w:ascii="Arial" w:hAnsi="Arial" w:cs="Arial"/>
                <w:sz w:val="20"/>
                <w:szCs w:val="20"/>
              </w:rPr>
              <w:t>Thursday, April 6, 2023</w:t>
            </w:r>
          </w:p>
        </w:tc>
      </w:tr>
      <w:tr w:rsidR="0024304E" w14:paraId="34B87920" w14:textId="77777777" w:rsidTr="00ED09F7">
        <w:tblPrEx>
          <w:tblCellMar>
            <w:left w:w="108" w:type="dxa"/>
            <w:right w:w="108" w:type="dxa"/>
          </w:tblCellMar>
        </w:tblPrEx>
        <w:tc>
          <w:tcPr>
            <w:tcW w:w="1176" w:type="dxa"/>
            <w:tcBorders>
              <w:bottom w:val="single" w:sz="4" w:space="0" w:color="auto"/>
            </w:tcBorders>
          </w:tcPr>
          <w:p w14:paraId="48DACB1E" w14:textId="77777777" w:rsidR="0024304E" w:rsidRPr="00231AAA" w:rsidRDefault="0024304E" w:rsidP="005E6EF4">
            <w:pPr>
              <w:spacing w:after="120" w:line="300" w:lineRule="atLeast"/>
              <w:rPr>
                <w:rFonts w:ascii="Arial" w:hAnsi="Arial" w:cs="Arial"/>
                <w:b/>
                <w:sz w:val="20"/>
                <w:szCs w:val="20"/>
              </w:rPr>
            </w:pPr>
            <w:r w:rsidRPr="00231AAA">
              <w:rPr>
                <w:rFonts w:ascii="Arial" w:hAnsi="Arial" w:cs="Arial"/>
                <w:b/>
                <w:sz w:val="20"/>
                <w:szCs w:val="20"/>
              </w:rPr>
              <w:t>Time:</w:t>
            </w:r>
          </w:p>
        </w:tc>
        <w:tc>
          <w:tcPr>
            <w:tcW w:w="8184" w:type="dxa"/>
            <w:gridSpan w:val="3"/>
            <w:tcBorders>
              <w:bottom w:val="single" w:sz="4" w:space="0" w:color="auto"/>
            </w:tcBorders>
          </w:tcPr>
          <w:p w14:paraId="0CAF1B56" w14:textId="77777777" w:rsidR="0024304E" w:rsidRPr="0024304E" w:rsidRDefault="00EA2269" w:rsidP="005E6EF4">
            <w:pPr>
              <w:spacing w:after="120" w:line="300" w:lineRule="atLeast"/>
              <w:rPr>
                <w:rFonts w:ascii="Arial" w:hAnsi="Arial" w:cs="Arial"/>
                <w:sz w:val="20"/>
                <w:szCs w:val="20"/>
              </w:rPr>
            </w:pPr>
            <w:r>
              <w:rPr>
                <w:rFonts w:ascii="Arial" w:hAnsi="Arial" w:cs="Arial"/>
                <w:sz w:val="20"/>
                <w:szCs w:val="20"/>
              </w:rPr>
              <w:t>4:30 p.m.</w:t>
            </w:r>
          </w:p>
        </w:tc>
      </w:tr>
    </w:tbl>
    <w:p w14:paraId="240B9406" w14:textId="77777777" w:rsidR="00741059" w:rsidRPr="00D46AE7" w:rsidRDefault="00A64230" w:rsidP="00D46AE7">
      <w:pPr>
        <w:tabs>
          <w:tab w:val="left" w:pos="2178"/>
        </w:tabs>
        <w:spacing w:before="120" w:after="240" w:line="280" w:lineRule="atLeast"/>
      </w:pPr>
      <w:r w:rsidRPr="00D46AE7">
        <w:rPr>
          <w:rFonts w:ascii="Arial" w:eastAsia="Times New Roman" w:hAnsi="Arial" w:cs="Arial"/>
          <w:iCs/>
          <w:sz w:val="20"/>
          <w:szCs w:val="20"/>
          <w:lang w:bidi="ar-SA"/>
        </w:rPr>
        <w:t>Meeting materials will not be posted on the</w:t>
      </w:r>
      <w:r w:rsidR="0091673F" w:rsidRPr="00D46AE7">
        <w:rPr>
          <w:rFonts w:ascii="Arial" w:eastAsia="Times New Roman" w:hAnsi="Arial" w:cs="Arial"/>
          <w:iCs/>
          <w:sz w:val="20"/>
          <w:szCs w:val="20"/>
          <w:lang w:bidi="ar-SA"/>
        </w:rPr>
        <w:t xml:space="preserve"> advisory body web</w:t>
      </w:r>
      <w:r w:rsidR="007D3E07" w:rsidRPr="00D46AE7">
        <w:rPr>
          <w:rFonts w:ascii="Arial" w:eastAsia="Times New Roman" w:hAnsi="Arial" w:cs="Arial"/>
          <w:iCs/>
          <w:sz w:val="20"/>
          <w:szCs w:val="20"/>
          <w:lang w:bidi="ar-SA"/>
        </w:rPr>
        <w:t xml:space="preserve"> </w:t>
      </w:r>
      <w:r w:rsidR="0091673F" w:rsidRPr="00D46AE7">
        <w:rPr>
          <w:rFonts w:ascii="Arial" w:eastAsia="Times New Roman" w:hAnsi="Arial" w:cs="Arial"/>
          <w:iCs/>
          <w:sz w:val="20"/>
          <w:szCs w:val="20"/>
          <w:lang w:bidi="ar-SA"/>
        </w:rPr>
        <w:t>page on the</w:t>
      </w:r>
      <w:r w:rsidRPr="00D46AE7">
        <w:rPr>
          <w:rFonts w:ascii="Arial" w:eastAsia="Times New Roman" w:hAnsi="Arial" w:cs="Arial"/>
          <w:iCs/>
          <w:sz w:val="20"/>
          <w:szCs w:val="20"/>
          <w:lang w:bidi="ar-SA"/>
        </w:rPr>
        <w:t xml:space="preserve"> California Courts website. Materials are only posted for open meetings</w:t>
      </w:r>
      <w:r w:rsidR="007D3E07" w:rsidRPr="00D46AE7">
        <w:rPr>
          <w:rFonts w:ascii="Arial" w:eastAsia="Times New Roman" w:hAnsi="Arial" w:cs="Arial"/>
          <w:iCs/>
          <w:sz w:val="20"/>
          <w:szCs w:val="20"/>
          <w:lang w:bidi="ar-SA"/>
        </w:rPr>
        <w:t>.</w:t>
      </w:r>
      <w:r w:rsidRPr="00D46AE7">
        <w:rPr>
          <w:rFonts w:ascii="Arial" w:eastAsia="Times New Roman" w:hAnsi="Arial" w:cs="Arial"/>
          <w:iCs/>
          <w:sz w:val="20"/>
          <w:szCs w:val="20"/>
          <w:lang w:bidi="ar-SA"/>
        </w:rPr>
        <w:t xml:space="preserve"> (Cal. Rules of Court, </w:t>
      </w:r>
      <w:r w:rsidR="0091673F" w:rsidRPr="00D46AE7">
        <w:rPr>
          <w:rFonts w:ascii="Arial" w:eastAsia="Times New Roman" w:hAnsi="Arial" w:cs="Arial"/>
          <w:iCs/>
          <w:sz w:val="20"/>
          <w:szCs w:val="20"/>
          <w:lang w:bidi="ar-SA"/>
        </w:rPr>
        <w:t>r</w:t>
      </w:r>
      <w:r w:rsidRPr="00D46AE7">
        <w:rPr>
          <w:rFonts w:ascii="Arial" w:eastAsia="Times New Roman" w:hAnsi="Arial" w:cs="Arial"/>
          <w:iCs/>
          <w:sz w:val="20"/>
          <w:szCs w:val="20"/>
          <w:lang w:bidi="ar-SA"/>
        </w:rPr>
        <w:t>ule 10.75(h)</w:t>
      </w:r>
      <w:r w:rsidR="007D3E07" w:rsidRPr="00D46AE7">
        <w:rPr>
          <w:rFonts w:ascii="Arial" w:eastAsia="Times New Roman" w:hAnsi="Arial" w:cs="Arial"/>
          <w:iCs/>
          <w:sz w:val="20"/>
          <w:szCs w:val="20"/>
          <w:lang w:bidi="ar-SA"/>
        </w:rPr>
        <w:t>.</w:t>
      </w:r>
      <w:r w:rsidRPr="00D46AE7">
        <w:rPr>
          <w:rFonts w:ascii="Arial" w:eastAsia="Times New Roman" w:hAnsi="Arial" w:cs="Arial"/>
          <w:iCs/>
          <w:sz w:val="20"/>
          <w:szCs w:val="20"/>
          <w:lang w:bidi="ar-SA"/>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4304E" w14:paraId="3A1C1CB6" w14:textId="77777777" w:rsidTr="00741059">
        <w:tc>
          <w:tcPr>
            <w:tcW w:w="9576" w:type="dxa"/>
          </w:tcPr>
          <w:p w14:paraId="6B3A6406" w14:textId="77777777" w:rsidR="0024304E" w:rsidRPr="00385FE5" w:rsidRDefault="0024304E" w:rsidP="00750A85">
            <w:pPr>
              <w:pStyle w:val="ListParagraph"/>
              <w:keepNext/>
              <w:numPr>
                <w:ilvl w:val="0"/>
                <w:numId w:val="4"/>
              </w:numPr>
              <w:spacing w:before="40" w:after="40"/>
              <w:ind w:left="428" w:hanging="428"/>
              <w:rPr>
                <w:rFonts w:ascii="Arial" w:hAnsi="Arial" w:cs="Arial"/>
                <w:b/>
                <w:spacing w:val="60"/>
                <w:sz w:val="20"/>
                <w:szCs w:val="20"/>
              </w:rPr>
            </w:pPr>
            <w:r w:rsidRPr="00385FE5">
              <w:rPr>
                <w:rFonts w:ascii="Arial" w:hAnsi="Arial" w:cs="Arial"/>
                <w:b/>
                <w:smallCaps/>
                <w:spacing w:val="60"/>
                <w:sz w:val="20"/>
                <w:szCs w:val="20"/>
              </w:rPr>
              <w:t>Closed Session (Cal. Rules of Court, Rule 10.75(</w:t>
            </w:r>
            <w:r w:rsidR="00741059" w:rsidRPr="00742380">
              <w:rPr>
                <w:rFonts w:ascii="Arial" w:hAnsi="Arial" w:cs="Arial"/>
                <w:b/>
                <w:smallCaps/>
                <w:spacing w:val="60"/>
                <w:sz w:val="20"/>
                <w:szCs w:val="20"/>
              </w:rPr>
              <w:t>d</w:t>
            </w:r>
            <w:r w:rsidR="00741059" w:rsidRPr="00385FE5">
              <w:rPr>
                <w:rFonts w:ascii="Arial" w:hAnsi="Arial" w:cs="Arial"/>
                <w:b/>
                <w:smallCaps/>
                <w:spacing w:val="60"/>
                <w:sz w:val="20"/>
                <w:szCs w:val="20"/>
              </w:rPr>
              <w:t>))</w:t>
            </w:r>
          </w:p>
        </w:tc>
      </w:tr>
    </w:tbl>
    <w:p w14:paraId="6386468F" w14:textId="77777777" w:rsidR="008A377D" w:rsidRPr="00363752" w:rsidRDefault="008A377D" w:rsidP="00860E56">
      <w:pPr>
        <w:pStyle w:val="BodyText1"/>
        <w:tabs>
          <w:tab w:val="left" w:pos="720"/>
          <w:tab w:val="left" w:pos="2070"/>
        </w:tabs>
        <w:spacing w:before="200" w:after="0"/>
        <w:ind w:left="720"/>
        <w:rPr>
          <w:rFonts w:ascii="Arial" w:hAnsi="Arial" w:cs="Arial"/>
          <w:b/>
          <w:sz w:val="20"/>
        </w:rPr>
      </w:pPr>
      <w:r w:rsidRPr="00363752">
        <w:rPr>
          <w:rFonts w:ascii="Arial" w:hAnsi="Arial" w:cs="Arial"/>
          <w:b/>
          <w:sz w:val="20"/>
        </w:rPr>
        <w:t>Call to Order and Roll Call</w:t>
      </w:r>
    </w:p>
    <w:p w14:paraId="314DD0FD" w14:textId="77777777" w:rsidR="008A377D" w:rsidRPr="00363752" w:rsidRDefault="008A377D" w:rsidP="00860E56">
      <w:pPr>
        <w:pStyle w:val="BodyText1"/>
        <w:tabs>
          <w:tab w:val="left" w:pos="720"/>
          <w:tab w:val="left" w:pos="2070"/>
        </w:tabs>
        <w:spacing w:before="200" w:after="0"/>
        <w:ind w:left="720"/>
        <w:rPr>
          <w:rFonts w:ascii="Arial" w:hAnsi="Arial" w:cs="Arial"/>
          <w:b/>
          <w:sz w:val="20"/>
        </w:rPr>
      </w:pPr>
      <w:r w:rsidRPr="00363752">
        <w:rPr>
          <w:rFonts w:ascii="Arial" w:hAnsi="Arial" w:cs="Arial"/>
          <w:b/>
          <w:sz w:val="20"/>
        </w:rPr>
        <w:t>Approval of Minutes</w:t>
      </w:r>
    </w:p>
    <w:p w14:paraId="70F5337F" w14:textId="0DB0A415" w:rsidR="00BB1BF3" w:rsidRPr="00BB1BF3" w:rsidRDefault="00AD1D83" w:rsidP="00AD1D83">
      <w:pPr>
        <w:spacing w:after="60" w:line="300" w:lineRule="atLeast"/>
        <w:ind w:left="720"/>
        <w:rPr>
          <w:rFonts w:ascii="Arial" w:hAnsi="Arial" w:cs="Arial"/>
          <w:b/>
          <w:sz w:val="22"/>
        </w:rPr>
      </w:pPr>
      <w:r>
        <w:rPr>
          <w:szCs w:val="26"/>
        </w:rPr>
        <w:t>N/</w:t>
      </w:r>
      <w:r w:rsidR="004836A2">
        <w:rPr>
          <w:szCs w:val="26"/>
        </w:rPr>
        <w:t>A</w:t>
      </w:r>
    </w:p>
    <w:p w14:paraId="7EA46A70" w14:textId="77777777" w:rsidR="002B5E39" w:rsidRDefault="002B5E39" w:rsidP="002B5E39">
      <w:pPr>
        <w:ind w:left="720"/>
        <w:rPr>
          <w:rFonts w:ascii="Arial" w:eastAsia="Times New Roman" w:hAnsi="Arial" w:cs="Arial"/>
          <w:b/>
          <w:bCs/>
          <w:iCs/>
          <w:sz w:val="20"/>
          <w:szCs w:val="20"/>
          <w:lang w:bidi="ar-SA"/>
        </w:rPr>
      </w:pPr>
    </w:p>
    <w:p w14:paraId="75F79A81" w14:textId="19702767" w:rsidR="002B5E39" w:rsidRPr="002B5E39" w:rsidRDefault="005D22D8" w:rsidP="002B5E39">
      <w:pPr>
        <w:ind w:left="720"/>
        <w:rPr>
          <w:rFonts w:ascii="Arial" w:eastAsia="Times New Roman" w:hAnsi="Arial" w:cs="Arial"/>
          <w:b/>
          <w:bCs/>
          <w:iCs/>
          <w:sz w:val="20"/>
          <w:szCs w:val="20"/>
          <w:lang w:bidi="ar-SA"/>
        </w:rPr>
      </w:pPr>
      <w:r w:rsidRPr="002B5E39">
        <w:rPr>
          <w:rFonts w:ascii="Arial" w:eastAsia="Times New Roman" w:hAnsi="Arial" w:cs="Arial"/>
          <w:b/>
          <w:bCs/>
          <w:iCs/>
          <w:sz w:val="20"/>
          <w:szCs w:val="20"/>
          <w:lang w:bidi="ar-SA"/>
        </w:rPr>
        <w:t>Item 1</w:t>
      </w:r>
      <w:r w:rsidR="008A377D" w:rsidRPr="002B5E39">
        <w:rPr>
          <w:rFonts w:ascii="Arial" w:eastAsia="Times New Roman" w:hAnsi="Arial" w:cs="Arial"/>
          <w:b/>
          <w:bCs/>
          <w:iCs/>
          <w:sz w:val="20"/>
          <w:szCs w:val="20"/>
          <w:lang w:bidi="ar-SA"/>
        </w:rPr>
        <w:tab/>
      </w:r>
      <w:r w:rsidR="002B5E39" w:rsidRPr="002B5E39">
        <w:rPr>
          <w:rFonts w:ascii="Arial" w:eastAsia="Times New Roman" w:hAnsi="Arial" w:cs="Arial"/>
          <w:b/>
          <w:bCs/>
          <w:iCs/>
          <w:sz w:val="20"/>
          <w:szCs w:val="20"/>
          <w:lang w:bidi="ar-SA"/>
        </w:rPr>
        <w:t>(Action Required)</w:t>
      </w:r>
    </w:p>
    <w:p w14:paraId="36EF44BE" w14:textId="77777777" w:rsidR="002B5E39" w:rsidRPr="002B5E39" w:rsidRDefault="002B5E39" w:rsidP="00C203BC">
      <w:pPr>
        <w:ind w:left="720" w:right="-180"/>
        <w:rPr>
          <w:rFonts w:ascii="Arial" w:eastAsia="Times New Roman" w:hAnsi="Arial" w:cs="Arial"/>
          <w:b/>
          <w:bCs/>
          <w:iCs/>
          <w:sz w:val="20"/>
          <w:szCs w:val="20"/>
          <w:lang w:bidi="ar-SA"/>
        </w:rPr>
      </w:pPr>
      <w:r w:rsidRPr="002B5E39">
        <w:rPr>
          <w:rFonts w:ascii="Arial" w:eastAsia="Times New Roman" w:hAnsi="Arial" w:cs="Arial"/>
          <w:b/>
          <w:bCs/>
          <w:iCs/>
          <w:sz w:val="20"/>
          <w:szCs w:val="20"/>
          <w:lang w:bidi="ar-SA"/>
        </w:rPr>
        <w:t>Pursuant to California Rules of Court, rule 10.75 (d)(3). Negotiations concerning legislation.</w:t>
      </w:r>
    </w:p>
    <w:p w14:paraId="65CD2F4F" w14:textId="77777777" w:rsidR="002B5E39" w:rsidRPr="002B5E39" w:rsidRDefault="002B5E39" w:rsidP="002B5E39">
      <w:pPr>
        <w:pStyle w:val="BodyText1"/>
        <w:spacing w:before="200"/>
        <w:ind w:left="720"/>
        <w:rPr>
          <w:rFonts w:ascii="Arial" w:hAnsi="Arial" w:cs="Arial"/>
          <w:b/>
          <w:bCs/>
          <w:iCs/>
          <w:sz w:val="20"/>
        </w:rPr>
      </w:pPr>
      <w:r w:rsidRPr="002B5E39">
        <w:rPr>
          <w:rFonts w:ascii="Arial" w:hAnsi="Arial" w:cs="Arial"/>
          <w:b/>
          <w:bCs/>
          <w:iCs/>
          <w:sz w:val="20"/>
        </w:rPr>
        <w:t>Action on Pending Legislation</w:t>
      </w:r>
    </w:p>
    <w:p w14:paraId="0B9CDEAA" w14:textId="1CB787D4" w:rsidR="002B5E39" w:rsidRDefault="002B5E39" w:rsidP="002B5E39">
      <w:pPr>
        <w:pStyle w:val="BodyText1"/>
        <w:spacing w:before="200"/>
        <w:ind w:left="720"/>
        <w:rPr>
          <w:rFonts w:ascii="Arial" w:hAnsi="Arial" w:cs="Arial"/>
          <w:b/>
          <w:bCs/>
          <w:iCs/>
          <w:sz w:val="20"/>
          <w:u w:val="single"/>
        </w:rPr>
      </w:pPr>
      <w:r w:rsidRPr="002B5E39">
        <w:rPr>
          <w:rFonts w:ascii="Arial" w:hAnsi="Arial" w:cs="Arial"/>
          <w:b/>
          <w:bCs/>
          <w:iCs/>
          <w:sz w:val="20"/>
          <w:u w:val="single"/>
        </w:rPr>
        <w:t>Consent:</w:t>
      </w:r>
    </w:p>
    <w:p w14:paraId="47E294BA" w14:textId="2C245536" w:rsidR="002B5E39" w:rsidRPr="00C203BC" w:rsidRDefault="002B5E39" w:rsidP="002B5E39">
      <w:pPr>
        <w:pStyle w:val="BodyText1"/>
        <w:spacing w:before="200"/>
        <w:ind w:left="720"/>
        <w:rPr>
          <w:rFonts w:ascii="Arial" w:hAnsi="Arial" w:cs="Arial"/>
          <w:iCs/>
          <w:sz w:val="20"/>
        </w:rPr>
      </w:pPr>
      <w:r w:rsidRPr="00C203BC">
        <w:rPr>
          <w:rFonts w:ascii="Arial" w:hAnsi="Arial" w:cs="Arial"/>
          <w:iCs/>
          <w:sz w:val="20"/>
        </w:rPr>
        <w:t>N/A</w:t>
      </w:r>
    </w:p>
    <w:p w14:paraId="35CEB2A5" w14:textId="77777777" w:rsidR="002B5E39" w:rsidRPr="002B5E39" w:rsidRDefault="002B5E39" w:rsidP="002B5E39">
      <w:pPr>
        <w:pStyle w:val="BodyText1"/>
        <w:spacing w:before="200"/>
        <w:ind w:left="720"/>
        <w:rPr>
          <w:rFonts w:ascii="Arial" w:hAnsi="Arial" w:cs="Arial"/>
          <w:b/>
          <w:bCs/>
          <w:iCs/>
          <w:sz w:val="20"/>
          <w:u w:val="single"/>
        </w:rPr>
      </w:pPr>
      <w:r w:rsidRPr="002B5E39">
        <w:rPr>
          <w:rFonts w:ascii="Arial" w:hAnsi="Arial" w:cs="Arial"/>
          <w:b/>
          <w:bCs/>
          <w:iCs/>
          <w:sz w:val="20"/>
          <w:u w:val="single"/>
        </w:rPr>
        <w:t>Discussion:</w:t>
      </w:r>
    </w:p>
    <w:p w14:paraId="55A846B2" w14:textId="7EB14212" w:rsidR="002B5E39" w:rsidRPr="005334B7" w:rsidRDefault="00AD1D83" w:rsidP="005334B7">
      <w:pPr>
        <w:pStyle w:val="BodyText1"/>
        <w:numPr>
          <w:ilvl w:val="0"/>
          <w:numId w:val="7"/>
        </w:numPr>
        <w:spacing w:before="200"/>
        <w:rPr>
          <w:rFonts w:ascii="Arial" w:hAnsi="Arial" w:cs="Arial"/>
          <w:iCs/>
          <w:sz w:val="20"/>
        </w:rPr>
      </w:pPr>
      <w:hyperlink r:id="rId11" w:history="1">
        <w:r w:rsidR="002B5E39" w:rsidRPr="002B5E39">
          <w:rPr>
            <w:rStyle w:val="Hyperlink"/>
            <w:rFonts w:ascii="Arial" w:hAnsi="Arial" w:cs="Arial"/>
            <w:iCs/>
            <w:sz w:val="20"/>
          </w:rPr>
          <w:t>AB 560</w:t>
        </w:r>
      </w:hyperlink>
      <w:r w:rsidR="002B5E39" w:rsidRPr="002B5E39">
        <w:rPr>
          <w:rFonts w:ascii="Arial" w:hAnsi="Arial" w:cs="Arial"/>
          <w:iCs/>
          <w:sz w:val="20"/>
        </w:rPr>
        <w:t xml:space="preserve"> </w:t>
      </w:r>
      <w:r w:rsidR="00C203BC" w:rsidRPr="00C203BC">
        <w:rPr>
          <w:rFonts w:ascii="Arial" w:hAnsi="Arial" w:cs="Arial"/>
          <w:iCs/>
          <w:sz w:val="20"/>
        </w:rPr>
        <w:t>(Bennett)</w:t>
      </w:r>
      <w:r w:rsidR="00C203BC">
        <w:rPr>
          <w:rFonts w:ascii="Arial" w:hAnsi="Arial" w:cs="Arial"/>
          <w:iCs/>
          <w:sz w:val="20"/>
        </w:rPr>
        <w:t>, as introduced –</w:t>
      </w:r>
      <w:r w:rsidR="00C203BC" w:rsidRPr="00C203BC">
        <w:rPr>
          <w:rFonts w:ascii="Arial" w:hAnsi="Arial" w:cs="Arial"/>
          <w:iCs/>
          <w:sz w:val="20"/>
        </w:rPr>
        <w:t xml:space="preserve"> Sustainable Groundwater Management Act: groundwater </w:t>
      </w:r>
      <w:r w:rsidR="00C203BC" w:rsidRPr="005334B7">
        <w:rPr>
          <w:rFonts w:ascii="Arial" w:hAnsi="Arial" w:cs="Arial"/>
          <w:iCs/>
          <w:sz w:val="20"/>
        </w:rPr>
        <w:t>adjudication.</w:t>
      </w:r>
      <w:r w:rsidR="002B5E39" w:rsidRPr="005334B7">
        <w:rPr>
          <w:rFonts w:ascii="Arial" w:hAnsi="Arial" w:cs="Arial"/>
          <w:iCs/>
          <w:sz w:val="20"/>
        </w:rPr>
        <w:t xml:space="preserve"> (Aviva Simon)</w:t>
      </w:r>
    </w:p>
    <w:p w14:paraId="108220C9" w14:textId="38E46D78" w:rsidR="0047283D" w:rsidRDefault="00AD1D83" w:rsidP="005334B7">
      <w:pPr>
        <w:pStyle w:val="BodyText1"/>
        <w:numPr>
          <w:ilvl w:val="0"/>
          <w:numId w:val="7"/>
        </w:numPr>
        <w:spacing w:before="200" w:after="0"/>
        <w:rPr>
          <w:rFonts w:ascii="Arial" w:hAnsi="Arial" w:cs="Arial"/>
          <w:iCs/>
          <w:sz w:val="20"/>
        </w:rPr>
      </w:pPr>
      <w:hyperlink r:id="rId12" w:history="1">
        <w:r w:rsidR="00C203BC" w:rsidRPr="00C203BC">
          <w:rPr>
            <w:rStyle w:val="Hyperlink"/>
            <w:rFonts w:ascii="Arial" w:hAnsi="Arial" w:cs="Arial"/>
            <w:iCs/>
            <w:sz w:val="20"/>
          </w:rPr>
          <w:t>AB 779</w:t>
        </w:r>
      </w:hyperlink>
      <w:r w:rsidR="002B5E39" w:rsidRPr="002B5E39">
        <w:rPr>
          <w:rFonts w:ascii="Arial" w:hAnsi="Arial" w:cs="Arial"/>
          <w:iCs/>
          <w:sz w:val="20"/>
        </w:rPr>
        <w:t xml:space="preserve"> (</w:t>
      </w:r>
      <w:r w:rsidR="00C203BC">
        <w:rPr>
          <w:rFonts w:ascii="Arial" w:hAnsi="Arial" w:cs="Arial"/>
          <w:iCs/>
          <w:sz w:val="20"/>
        </w:rPr>
        <w:t>Wilson</w:t>
      </w:r>
      <w:r w:rsidR="002B5E39" w:rsidRPr="002B5E39">
        <w:rPr>
          <w:rFonts w:ascii="Arial" w:hAnsi="Arial" w:cs="Arial"/>
          <w:iCs/>
          <w:sz w:val="20"/>
        </w:rPr>
        <w:t xml:space="preserve">), as </w:t>
      </w:r>
      <w:r w:rsidR="00C203BC">
        <w:rPr>
          <w:rFonts w:ascii="Arial" w:hAnsi="Arial" w:cs="Arial"/>
          <w:iCs/>
          <w:sz w:val="20"/>
        </w:rPr>
        <w:t xml:space="preserve">introduced – </w:t>
      </w:r>
      <w:r w:rsidR="00C203BC" w:rsidRPr="00C203BC">
        <w:rPr>
          <w:rFonts w:ascii="Arial" w:hAnsi="Arial" w:cs="Arial"/>
          <w:iCs/>
          <w:sz w:val="20"/>
        </w:rPr>
        <w:t>Groundwater: adjudication.</w:t>
      </w:r>
      <w:r w:rsidR="002B5E39" w:rsidRPr="002B5E39">
        <w:rPr>
          <w:rFonts w:ascii="Arial" w:hAnsi="Arial" w:cs="Arial"/>
          <w:iCs/>
          <w:sz w:val="20"/>
        </w:rPr>
        <w:t xml:space="preserve"> (</w:t>
      </w:r>
      <w:r w:rsidR="00C203BC">
        <w:rPr>
          <w:rFonts w:ascii="Arial" w:hAnsi="Arial" w:cs="Arial"/>
          <w:iCs/>
          <w:sz w:val="20"/>
        </w:rPr>
        <w:t>Aviva Simon</w:t>
      </w:r>
      <w:r w:rsidR="002B5E39" w:rsidRPr="002B5E39">
        <w:rPr>
          <w:rFonts w:ascii="Arial" w:hAnsi="Arial" w:cs="Arial"/>
          <w:iCs/>
          <w:sz w:val="20"/>
        </w:rPr>
        <w:t>)</w:t>
      </w:r>
    </w:p>
    <w:p w14:paraId="4890F167" w14:textId="6C9E61E0" w:rsidR="00C203BC" w:rsidRDefault="00AD1D83" w:rsidP="005334B7">
      <w:pPr>
        <w:pStyle w:val="BodyText1"/>
        <w:numPr>
          <w:ilvl w:val="0"/>
          <w:numId w:val="7"/>
        </w:numPr>
        <w:spacing w:before="200" w:after="0"/>
        <w:rPr>
          <w:rFonts w:ascii="Arial" w:hAnsi="Arial" w:cs="Arial"/>
          <w:iCs/>
          <w:sz w:val="20"/>
        </w:rPr>
      </w:pPr>
      <w:hyperlink r:id="rId13" w:history="1">
        <w:r w:rsidR="00C203BC" w:rsidRPr="00C203BC">
          <w:rPr>
            <w:rStyle w:val="Hyperlink"/>
            <w:rFonts w:ascii="Arial" w:hAnsi="Arial" w:cs="Arial"/>
            <w:iCs/>
            <w:sz w:val="20"/>
          </w:rPr>
          <w:t>AB 875</w:t>
        </w:r>
      </w:hyperlink>
      <w:r w:rsidR="00C203BC">
        <w:rPr>
          <w:rFonts w:ascii="Arial" w:hAnsi="Arial" w:cs="Arial"/>
          <w:iCs/>
          <w:sz w:val="20"/>
        </w:rPr>
        <w:t xml:space="preserve"> </w:t>
      </w:r>
      <w:r w:rsidR="00C203BC" w:rsidRPr="00C203BC">
        <w:rPr>
          <w:rFonts w:ascii="Arial" w:hAnsi="Arial" w:cs="Arial"/>
          <w:iCs/>
          <w:sz w:val="20"/>
        </w:rPr>
        <w:t>(Gabriel)</w:t>
      </w:r>
      <w:r w:rsidR="00C203BC">
        <w:rPr>
          <w:rFonts w:ascii="Arial" w:hAnsi="Arial" w:cs="Arial"/>
          <w:iCs/>
          <w:sz w:val="20"/>
        </w:rPr>
        <w:t>, as introduced –</w:t>
      </w:r>
      <w:r w:rsidR="00C203BC" w:rsidRPr="00C203BC">
        <w:rPr>
          <w:rFonts w:ascii="Arial" w:hAnsi="Arial" w:cs="Arial"/>
          <w:iCs/>
          <w:sz w:val="20"/>
        </w:rPr>
        <w:t xml:space="preserve"> Courts: data reporting.</w:t>
      </w:r>
      <w:r w:rsidR="00C203BC">
        <w:rPr>
          <w:rFonts w:ascii="Arial" w:hAnsi="Arial" w:cs="Arial"/>
          <w:iCs/>
          <w:sz w:val="20"/>
        </w:rPr>
        <w:t xml:space="preserve"> (</w:t>
      </w:r>
      <w:r>
        <w:rPr>
          <w:rFonts w:ascii="Arial" w:hAnsi="Arial" w:cs="Arial"/>
          <w:iCs/>
          <w:sz w:val="20"/>
        </w:rPr>
        <w:t xml:space="preserve">Morgan </w:t>
      </w:r>
      <w:proofErr w:type="spellStart"/>
      <w:r>
        <w:rPr>
          <w:rFonts w:ascii="Arial" w:hAnsi="Arial" w:cs="Arial"/>
          <w:iCs/>
          <w:sz w:val="20"/>
        </w:rPr>
        <w:t>Lardizabal</w:t>
      </w:r>
      <w:proofErr w:type="spellEnd"/>
      <w:r w:rsidR="00C203BC">
        <w:rPr>
          <w:rFonts w:ascii="Arial" w:hAnsi="Arial" w:cs="Arial"/>
          <w:iCs/>
          <w:sz w:val="20"/>
        </w:rPr>
        <w:t>)</w:t>
      </w:r>
    </w:p>
    <w:p w14:paraId="73107177" w14:textId="77777777" w:rsidR="002B5E39" w:rsidRDefault="002B5E39" w:rsidP="002B5E39">
      <w:pPr>
        <w:pStyle w:val="BodyText1"/>
        <w:spacing w:before="200" w:after="0"/>
        <w:ind w:left="720"/>
        <w:rPr>
          <w:bCs/>
          <w:iCs/>
        </w:rPr>
      </w:pPr>
    </w:p>
    <w:p w14:paraId="088DE472" w14:textId="67DE781B" w:rsidR="00750A85" w:rsidRDefault="00750A85" w:rsidP="00BC2427">
      <w:pPr>
        <w:pStyle w:val="Default"/>
        <w:rPr>
          <w:i/>
          <w:iCs/>
          <w:sz w:val="23"/>
          <w:szCs w:val="23"/>
        </w:rPr>
      </w:pPr>
      <w:r>
        <w:rPr>
          <w:i/>
          <w:iCs/>
          <w:sz w:val="23"/>
          <w:szCs w:val="23"/>
        </w:rPr>
        <w:t>A Legislation Committee member who wishes to request that any item be moved from the Consent Agenda to the Discussion Agenda is asked to please notify the Governmental Affairs advocate on that item at least 48 hours before the meeting at 916-323-3121.</w:t>
      </w:r>
    </w:p>
    <w:p w14:paraId="5CB28118" w14:textId="77777777" w:rsidR="00750A85" w:rsidRDefault="00750A85" w:rsidP="00750A85">
      <w:pPr>
        <w:pStyle w:val="Default"/>
        <w:rPr>
          <w:bCs/>
          <w:iCs/>
        </w:rPr>
      </w:pPr>
    </w:p>
    <w:p w14:paraId="6B3073D7" w14:textId="77777777" w:rsidR="008A377D" w:rsidRPr="00385FE5" w:rsidRDefault="008A377D" w:rsidP="00750A85">
      <w:pPr>
        <w:pStyle w:val="ListParagraph"/>
        <w:keepNext/>
        <w:numPr>
          <w:ilvl w:val="0"/>
          <w:numId w:val="4"/>
        </w:numPr>
        <w:pBdr>
          <w:top w:val="single" w:sz="4" w:space="1" w:color="auto"/>
          <w:bottom w:val="single" w:sz="4" w:space="1" w:color="auto"/>
        </w:pBdr>
        <w:spacing w:before="40" w:after="40"/>
        <w:ind w:left="540" w:hanging="540"/>
        <w:rPr>
          <w:rFonts w:ascii="Arial" w:hAnsi="Arial" w:cs="Arial"/>
          <w:b/>
          <w:smallCaps/>
          <w:spacing w:val="60"/>
          <w:sz w:val="20"/>
          <w:szCs w:val="20"/>
        </w:rPr>
      </w:pPr>
      <w:r w:rsidRPr="00385FE5">
        <w:rPr>
          <w:rFonts w:ascii="Arial" w:hAnsi="Arial" w:cs="Arial"/>
          <w:b/>
          <w:smallCaps/>
          <w:spacing w:val="60"/>
          <w:sz w:val="20"/>
          <w:szCs w:val="20"/>
        </w:rPr>
        <w:t>Adjournment</w:t>
      </w:r>
    </w:p>
    <w:p w14:paraId="3CD9017B" w14:textId="77777777" w:rsidR="00B87CC7" w:rsidRDefault="008A377D" w:rsidP="00E4207A">
      <w:pPr>
        <w:pStyle w:val="BodyText1"/>
        <w:spacing w:before="200"/>
        <w:ind w:left="720"/>
        <w:rPr>
          <w:rFonts w:ascii="Arial" w:hAnsi="Arial" w:cs="Arial"/>
          <w:b/>
          <w:bCs/>
          <w:iCs/>
          <w:sz w:val="20"/>
        </w:rPr>
      </w:pPr>
      <w:r w:rsidRPr="00363752">
        <w:rPr>
          <w:rFonts w:ascii="Arial" w:hAnsi="Arial" w:cs="Arial"/>
          <w:b/>
          <w:bCs/>
          <w:iCs/>
          <w:sz w:val="20"/>
        </w:rPr>
        <w:t>Adjourn</w:t>
      </w:r>
      <w:r>
        <w:rPr>
          <w:rFonts w:ascii="Arial" w:hAnsi="Arial" w:cs="Arial"/>
          <w:b/>
          <w:bCs/>
          <w:iCs/>
          <w:sz w:val="20"/>
        </w:rPr>
        <w:t xml:space="preserve"> Closed Session</w:t>
      </w:r>
    </w:p>
    <w:sectPr w:rsidR="00B87CC7" w:rsidSect="004B1DEF">
      <w:headerReference w:type="default" r:id="rId14"/>
      <w:footerReference w:type="default" r:id="rId15"/>
      <w:pgSz w:w="12240" w:h="15840"/>
      <w:pgMar w:top="864"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A9D5" w14:textId="77777777" w:rsidR="00EA2269" w:rsidRDefault="00EA2269" w:rsidP="008321F4">
      <w:pPr>
        <w:spacing w:line="240" w:lineRule="auto"/>
      </w:pPr>
      <w:r>
        <w:separator/>
      </w:r>
    </w:p>
  </w:endnote>
  <w:endnote w:type="continuationSeparator" w:id="0">
    <w:p w14:paraId="5144FACA" w14:textId="77777777" w:rsidR="00EA2269" w:rsidRDefault="00EA2269" w:rsidP="00832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erstadt">
    <w:charset w:val="00"/>
    <w:family w:val="swiss"/>
    <w:pitch w:val="variable"/>
    <w:sig w:usb0="80000003" w:usb1="00000001" w:usb2="00000000" w:usb3="00000000" w:csb0="00000001" w:csb1="00000000"/>
  </w:font>
  <w:font w:name="Bierstadt Display">
    <w:charset w:val="00"/>
    <w:family w:val="swiss"/>
    <w:pitch w:val="variable"/>
    <w:sig w:usb0="80000003" w:usb1="00000001" w:usb2="00000000" w:usb3="00000000" w:csb0="00000001"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313"/>
      <w:docPartObj>
        <w:docPartGallery w:val="Page Numbers (Bottom of Page)"/>
        <w:docPartUnique/>
      </w:docPartObj>
    </w:sdtPr>
    <w:sdtEndPr>
      <w:rPr>
        <w:color w:val="7F7F7F" w:themeColor="background1" w:themeShade="7F"/>
        <w:spacing w:val="60"/>
        <w:sz w:val="20"/>
      </w:rPr>
    </w:sdtEndPr>
    <w:sdtContent>
      <w:p w14:paraId="7DBD12E7" w14:textId="77777777" w:rsidR="008321F4" w:rsidRPr="008321F4" w:rsidRDefault="00861997" w:rsidP="00B87CC7">
        <w:pPr>
          <w:pStyle w:val="Footer"/>
          <w:pBdr>
            <w:top w:val="single" w:sz="4" w:space="1" w:color="D9D9D9" w:themeColor="background1" w:themeShade="D9"/>
          </w:pBdr>
          <w:tabs>
            <w:tab w:val="clear" w:pos="4680"/>
          </w:tabs>
          <w:rPr>
            <w:color w:val="7F7F7F" w:themeColor="background1" w:themeShade="7F"/>
            <w:spacing w:val="60"/>
            <w:sz w:val="20"/>
          </w:rPr>
        </w:pPr>
        <w:r w:rsidRPr="00997EF5">
          <w:rPr>
            <w:sz w:val="20"/>
          </w:rPr>
          <w:fldChar w:fldCharType="begin"/>
        </w:r>
        <w:r w:rsidR="008321F4" w:rsidRPr="00997EF5">
          <w:rPr>
            <w:sz w:val="20"/>
          </w:rPr>
          <w:instrText xml:space="preserve"> PAGE   \* MERGEFORMAT </w:instrText>
        </w:r>
        <w:r w:rsidRPr="00997EF5">
          <w:rPr>
            <w:sz w:val="20"/>
          </w:rPr>
          <w:fldChar w:fldCharType="separate"/>
        </w:r>
        <w:r w:rsidR="00B87CC7" w:rsidRPr="00B87CC7">
          <w:rPr>
            <w:b/>
            <w:noProof/>
            <w:sz w:val="20"/>
          </w:rPr>
          <w:t>2</w:t>
        </w:r>
        <w:r w:rsidRPr="00997EF5">
          <w:rPr>
            <w:sz w:val="20"/>
          </w:rPr>
          <w:fldChar w:fldCharType="end"/>
        </w:r>
        <w:r w:rsidR="008321F4" w:rsidRPr="00997EF5">
          <w:rPr>
            <w:b/>
            <w:sz w:val="20"/>
          </w:rPr>
          <w:t xml:space="preserve"> | </w:t>
        </w:r>
        <w:r w:rsidR="008321F4" w:rsidRPr="00997EF5">
          <w:rPr>
            <w:color w:val="7F7F7F" w:themeColor="background1" w:themeShade="7F"/>
            <w:spacing w:val="60"/>
            <w:sz w:val="20"/>
          </w:rPr>
          <w:t>Page</w:t>
        </w:r>
        <w:r w:rsidR="008321F4" w:rsidRPr="00997EF5">
          <w:rPr>
            <w:color w:val="7F7F7F" w:themeColor="background1" w:themeShade="7F"/>
            <w:spacing w:val="60"/>
            <w:sz w:val="20"/>
          </w:rPr>
          <w:tab/>
        </w:r>
        <w:bookmarkStart w:id="1" w:name="bmAdvisoryBody3"/>
        <w:r w:rsidR="00EA2269">
          <w:rPr>
            <w:color w:val="7F7F7F" w:themeColor="background1" w:themeShade="7F"/>
            <w:spacing w:val="60"/>
            <w:sz w:val="20"/>
          </w:rPr>
          <w:t>Legislation Committee</w:t>
        </w:r>
      </w:p>
    </w:sdtContent>
  </w:sdt>
  <w:bookmarkEnd w:id="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F883" w14:textId="77777777" w:rsidR="00EA2269" w:rsidRDefault="00EA2269" w:rsidP="008321F4">
      <w:pPr>
        <w:spacing w:line="240" w:lineRule="auto"/>
      </w:pPr>
      <w:r>
        <w:separator/>
      </w:r>
    </w:p>
  </w:footnote>
  <w:footnote w:type="continuationSeparator" w:id="0">
    <w:p w14:paraId="377A1F50" w14:textId="77777777" w:rsidR="00EA2269" w:rsidRDefault="00EA2269" w:rsidP="008321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343"/>
      <w:docPartObj>
        <w:docPartGallery w:val="Page Numbers (Top of Page)"/>
        <w:docPartUnique/>
      </w:docPartObj>
    </w:sdtPr>
    <w:sdtEndPr>
      <w:rPr>
        <w:color w:val="7F7F7F" w:themeColor="background1" w:themeShade="7F"/>
        <w:spacing w:val="60"/>
      </w:rPr>
    </w:sdtEndPr>
    <w:sdtContent>
      <w:p w14:paraId="2386B8B3" w14:textId="77777777" w:rsidR="0047283D" w:rsidRDefault="008321F4" w:rsidP="008321F4">
        <w:pPr>
          <w:pStyle w:val="Header"/>
          <w:pBdr>
            <w:bottom w:val="single" w:sz="4" w:space="1" w:color="D9D9D9" w:themeColor="background1" w:themeShade="D9"/>
          </w:pBdr>
          <w:jc w:val="center"/>
          <w:rPr>
            <w:rFonts w:ascii="Times New Roman" w:hAnsi="Times New Roman"/>
            <w:color w:val="7F7F7F" w:themeColor="background1" w:themeShade="7F"/>
            <w:spacing w:val="60"/>
            <w:sz w:val="20"/>
            <w:szCs w:val="20"/>
          </w:rPr>
        </w:pPr>
        <w:r w:rsidRPr="008321F4">
          <w:rPr>
            <w:rFonts w:ascii="Times New Roman" w:hAnsi="Times New Roman"/>
            <w:color w:val="7F7F7F" w:themeColor="background1" w:themeShade="7F"/>
            <w:spacing w:val="60"/>
            <w:sz w:val="20"/>
            <w:szCs w:val="20"/>
          </w:rPr>
          <w:t xml:space="preserve">Meeting </w:t>
        </w:r>
        <w:r w:rsidR="00740732">
          <w:rPr>
            <w:rFonts w:ascii="Times New Roman" w:hAnsi="Times New Roman"/>
            <w:color w:val="7F7F7F" w:themeColor="background1" w:themeShade="7F"/>
            <w:spacing w:val="60"/>
            <w:sz w:val="20"/>
            <w:szCs w:val="20"/>
          </w:rPr>
          <w:t xml:space="preserve">Notice and </w:t>
        </w:r>
        <w:r w:rsidRPr="008321F4">
          <w:rPr>
            <w:rFonts w:ascii="Times New Roman" w:hAnsi="Times New Roman"/>
            <w:color w:val="7F7F7F" w:themeColor="background1" w:themeShade="7F"/>
            <w:spacing w:val="60"/>
            <w:sz w:val="20"/>
            <w:szCs w:val="20"/>
          </w:rPr>
          <w:t>Agenda</w:t>
        </w:r>
      </w:p>
      <w:p w14:paraId="02686387" w14:textId="77777777" w:rsidR="008321F4" w:rsidRDefault="00EA2269" w:rsidP="008321F4">
        <w:pPr>
          <w:pStyle w:val="Header"/>
          <w:pBdr>
            <w:bottom w:val="single" w:sz="4" w:space="1" w:color="D9D9D9" w:themeColor="background1" w:themeShade="D9"/>
          </w:pBdr>
          <w:jc w:val="center"/>
          <w:rPr>
            <w:b/>
          </w:rPr>
        </w:pPr>
        <w:bookmarkStart w:id="0" w:name="bmMeetingDate2"/>
        <w:r>
          <w:rPr>
            <w:rFonts w:ascii="Times New Roman" w:hAnsi="Times New Roman"/>
            <w:color w:val="7F7F7F" w:themeColor="background1" w:themeShade="7F"/>
            <w:spacing w:val="60"/>
            <w:sz w:val="20"/>
            <w:szCs w:val="20"/>
          </w:rPr>
          <w:t>Thursday, April 6, 2023</w:t>
        </w:r>
      </w:p>
    </w:sdtContent>
  </w:sdt>
  <w:bookmarkEnd w:id="0" w:displacedByCustomXml="prev"/>
  <w:p w14:paraId="79BEE3DE" w14:textId="77777777" w:rsidR="008321F4" w:rsidRDefault="008321F4">
    <w:pPr>
      <w:pStyle w:val="Header"/>
    </w:pPr>
  </w:p>
  <w:p w14:paraId="2B38B3D6" w14:textId="77777777" w:rsidR="00531DDA" w:rsidRDefault="0053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FC"/>
    <w:multiLevelType w:val="hybridMultilevel"/>
    <w:tmpl w:val="38A219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248A7"/>
    <w:multiLevelType w:val="hybridMultilevel"/>
    <w:tmpl w:val="9A1A6B98"/>
    <w:lvl w:ilvl="0" w:tplc="3BFA3CDC">
      <w:start w:val="1"/>
      <w:numFmt w:val="upperRoman"/>
      <w:lvlText w:val="%1."/>
      <w:lvlJc w:val="right"/>
      <w:pPr>
        <w:ind w:left="720" w:hanging="360"/>
      </w:pPr>
      <w:rPr>
        <w:rFonts w:ascii="Calibri" w:hAnsi="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80CC9"/>
    <w:multiLevelType w:val="hybridMultilevel"/>
    <w:tmpl w:val="43A20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060A35"/>
    <w:multiLevelType w:val="hybridMultilevel"/>
    <w:tmpl w:val="966A02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3D2EA6"/>
    <w:multiLevelType w:val="hybridMultilevel"/>
    <w:tmpl w:val="675A5948"/>
    <w:lvl w:ilvl="0" w:tplc="B3C4D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9C5A60"/>
    <w:multiLevelType w:val="hybridMultilevel"/>
    <w:tmpl w:val="DC3217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75599F"/>
    <w:multiLevelType w:val="hybridMultilevel"/>
    <w:tmpl w:val="F9A60F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494981"/>
    <w:multiLevelType w:val="hybridMultilevel"/>
    <w:tmpl w:val="7268A2EA"/>
    <w:lvl w:ilvl="0" w:tplc="69C2B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65561"/>
    <w:multiLevelType w:val="multilevel"/>
    <w:tmpl w:val="0066A7AE"/>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0"/>
  </w:num>
  <w:num w:numId="4">
    <w:abstractNumId w:val="7"/>
  </w:num>
  <w:num w:numId="5">
    <w:abstractNumId w:val="2"/>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69"/>
    <w:rsid w:val="0000396E"/>
    <w:rsid w:val="000273C3"/>
    <w:rsid w:val="000328AC"/>
    <w:rsid w:val="000611DD"/>
    <w:rsid w:val="000669C6"/>
    <w:rsid w:val="00081FBC"/>
    <w:rsid w:val="000A6AEF"/>
    <w:rsid w:val="000D7076"/>
    <w:rsid w:val="000E52C1"/>
    <w:rsid w:val="000F7288"/>
    <w:rsid w:val="00115E97"/>
    <w:rsid w:val="001431DC"/>
    <w:rsid w:val="00195717"/>
    <w:rsid w:val="001E390A"/>
    <w:rsid w:val="00206670"/>
    <w:rsid w:val="00231AAA"/>
    <w:rsid w:val="002371B3"/>
    <w:rsid w:val="0024304E"/>
    <w:rsid w:val="002653F4"/>
    <w:rsid w:val="00283A6F"/>
    <w:rsid w:val="002A14CA"/>
    <w:rsid w:val="002B195D"/>
    <w:rsid w:val="002B5E39"/>
    <w:rsid w:val="00385FE5"/>
    <w:rsid w:val="003A0C78"/>
    <w:rsid w:val="003B76FD"/>
    <w:rsid w:val="003D1461"/>
    <w:rsid w:val="003F1130"/>
    <w:rsid w:val="0042675B"/>
    <w:rsid w:val="0045066A"/>
    <w:rsid w:val="004615D9"/>
    <w:rsid w:val="0047283D"/>
    <w:rsid w:val="004836A2"/>
    <w:rsid w:val="004B1DEF"/>
    <w:rsid w:val="004E0172"/>
    <w:rsid w:val="004E5312"/>
    <w:rsid w:val="00531DDA"/>
    <w:rsid w:val="005334B7"/>
    <w:rsid w:val="00540644"/>
    <w:rsid w:val="00541CE2"/>
    <w:rsid w:val="00581455"/>
    <w:rsid w:val="005A77B0"/>
    <w:rsid w:val="005B55E0"/>
    <w:rsid w:val="005B6B6A"/>
    <w:rsid w:val="005D22D8"/>
    <w:rsid w:val="005E6EA2"/>
    <w:rsid w:val="005E6EF4"/>
    <w:rsid w:val="00614CDE"/>
    <w:rsid w:val="00666E24"/>
    <w:rsid w:val="00685882"/>
    <w:rsid w:val="006B43AF"/>
    <w:rsid w:val="006E5AA0"/>
    <w:rsid w:val="006E7C3E"/>
    <w:rsid w:val="00710E81"/>
    <w:rsid w:val="00712399"/>
    <w:rsid w:val="00716423"/>
    <w:rsid w:val="0072799B"/>
    <w:rsid w:val="007375EC"/>
    <w:rsid w:val="00740732"/>
    <w:rsid w:val="00741059"/>
    <w:rsid w:val="00742380"/>
    <w:rsid w:val="00750A85"/>
    <w:rsid w:val="007A305F"/>
    <w:rsid w:val="007C4DBB"/>
    <w:rsid w:val="007D3E07"/>
    <w:rsid w:val="007D5B8C"/>
    <w:rsid w:val="007F3465"/>
    <w:rsid w:val="007F694C"/>
    <w:rsid w:val="0080159C"/>
    <w:rsid w:val="00824EF0"/>
    <w:rsid w:val="008321F4"/>
    <w:rsid w:val="00842868"/>
    <w:rsid w:val="00843A83"/>
    <w:rsid w:val="00860E56"/>
    <w:rsid w:val="00861997"/>
    <w:rsid w:val="00861C63"/>
    <w:rsid w:val="00863987"/>
    <w:rsid w:val="00886984"/>
    <w:rsid w:val="008A377D"/>
    <w:rsid w:val="008C090C"/>
    <w:rsid w:val="008D7F85"/>
    <w:rsid w:val="0091673F"/>
    <w:rsid w:val="00937605"/>
    <w:rsid w:val="00967CC4"/>
    <w:rsid w:val="009706C3"/>
    <w:rsid w:val="00975B9A"/>
    <w:rsid w:val="009A7B64"/>
    <w:rsid w:val="009F009D"/>
    <w:rsid w:val="00A178E0"/>
    <w:rsid w:val="00A2619A"/>
    <w:rsid w:val="00A36B34"/>
    <w:rsid w:val="00A64230"/>
    <w:rsid w:val="00A72750"/>
    <w:rsid w:val="00A771A9"/>
    <w:rsid w:val="00A77D28"/>
    <w:rsid w:val="00AD1D83"/>
    <w:rsid w:val="00B538AA"/>
    <w:rsid w:val="00B87CC7"/>
    <w:rsid w:val="00BA3FBC"/>
    <w:rsid w:val="00BA5566"/>
    <w:rsid w:val="00BB1BF3"/>
    <w:rsid w:val="00BB3C8F"/>
    <w:rsid w:val="00BB6296"/>
    <w:rsid w:val="00BC2427"/>
    <w:rsid w:val="00C15510"/>
    <w:rsid w:val="00C203BC"/>
    <w:rsid w:val="00C6110F"/>
    <w:rsid w:val="00C662EC"/>
    <w:rsid w:val="00C96696"/>
    <w:rsid w:val="00D156FF"/>
    <w:rsid w:val="00D46AE7"/>
    <w:rsid w:val="00D60753"/>
    <w:rsid w:val="00DD0774"/>
    <w:rsid w:val="00DF69A2"/>
    <w:rsid w:val="00E010A2"/>
    <w:rsid w:val="00E3400C"/>
    <w:rsid w:val="00E4207A"/>
    <w:rsid w:val="00E5404B"/>
    <w:rsid w:val="00E6214B"/>
    <w:rsid w:val="00EA2269"/>
    <w:rsid w:val="00EB34C0"/>
    <w:rsid w:val="00ED09F7"/>
    <w:rsid w:val="00F159DE"/>
    <w:rsid w:val="00F3324D"/>
    <w:rsid w:val="00F42509"/>
    <w:rsid w:val="00F517F0"/>
    <w:rsid w:val="00F74602"/>
    <w:rsid w:val="00F86497"/>
    <w:rsid w:val="00FE2079"/>
    <w:rsid w:val="00FE3153"/>
    <w:rsid w:val="00FE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E3191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AF"/>
  </w:style>
  <w:style w:type="paragraph" w:styleId="Heading1">
    <w:name w:val="heading 1"/>
    <w:basedOn w:val="Normal"/>
    <w:next w:val="Normal"/>
    <w:link w:val="Heading1Char"/>
    <w:uiPriority w:val="9"/>
    <w:qFormat/>
    <w:rsid w:val="006B43A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B43A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B43A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43AF"/>
    <w:pPr>
      <w:spacing w:before="240" w:after="60"/>
      <w:outlineLvl w:val="5"/>
    </w:pPr>
    <w:rPr>
      <w:b/>
      <w:bCs/>
    </w:rPr>
  </w:style>
  <w:style w:type="paragraph" w:styleId="Heading7">
    <w:name w:val="heading 7"/>
    <w:basedOn w:val="Normal"/>
    <w:next w:val="Normal"/>
    <w:link w:val="Heading7Char"/>
    <w:uiPriority w:val="9"/>
    <w:semiHidden/>
    <w:unhideWhenUsed/>
    <w:qFormat/>
    <w:rsid w:val="006B43AF"/>
    <w:pPr>
      <w:spacing w:before="240" w:after="60"/>
      <w:outlineLvl w:val="6"/>
    </w:pPr>
  </w:style>
  <w:style w:type="paragraph" w:styleId="Heading8">
    <w:name w:val="heading 8"/>
    <w:basedOn w:val="Normal"/>
    <w:next w:val="Normal"/>
    <w:link w:val="Heading8Char"/>
    <w:uiPriority w:val="9"/>
    <w:semiHidden/>
    <w:unhideWhenUsed/>
    <w:qFormat/>
    <w:rsid w:val="006B43AF"/>
    <w:pPr>
      <w:spacing w:before="240" w:after="60"/>
      <w:outlineLvl w:val="7"/>
    </w:pPr>
    <w:rPr>
      <w:i/>
      <w:iCs/>
    </w:rPr>
  </w:style>
  <w:style w:type="paragraph" w:styleId="Heading9">
    <w:name w:val="heading 9"/>
    <w:basedOn w:val="Normal"/>
    <w:next w:val="Normal"/>
    <w:link w:val="Heading9Char"/>
    <w:uiPriority w:val="9"/>
    <w:semiHidden/>
    <w:unhideWhenUsed/>
    <w:qFormat/>
    <w:rsid w:val="006B43A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A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43A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43A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43AF"/>
    <w:rPr>
      <w:b/>
      <w:bCs/>
    </w:rPr>
  </w:style>
  <w:style w:type="character" w:customStyle="1" w:styleId="Heading7Char">
    <w:name w:val="Heading 7 Char"/>
    <w:basedOn w:val="DefaultParagraphFont"/>
    <w:link w:val="Heading7"/>
    <w:uiPriority w:val="9"/>
    <w:semiHidden/>
    <w:rsid w:val="006B43AF"/>
    <w:rPr>
      <w:sz w:val="24"/>
      <w:szCs w:val="24"/>
    </w:rPr>
  </w:style>
  <w:style w:type="character" w:customStyle="1" w:styleId="Heading8Char">
    <w:name w:val="Heading 8 Char"/>
    <w:basedOn w:val="DefaultParagraphFont"/>
    <w:link w:val="Heading8"/>
    <w:uiPriority w:val="9"/>
    <w:semiHidden/>
    <w:rsid w:val="006B43AF"/>
    <w:rPr>
      <w:i/>
      <w:iCs/>
      <w:sz w:val="24"/>
      <w:szCs w:val="24"/>
    </w:rPr>
  </w:style>
  <w:style w:type="character" w:customStyle="1" w:styleId="Heading9Char">
    <w:name w:val="Heading 9 Char"/>
    <w:basedOn w:val="DefaultParagraphFont"/>
    <w:link w:val="Heading9"/>
    <w:uiPriority w:val="9"/>
    <w:semiHidden/>
    <w:rsid w:val="006B43AF"/>
    <w:rPr>
      <w:rFonts w:asciiTheme="majorHAnsi" w:eastAsiaTheme="majorEastAsia" w:hAnsiTheme="majorHAnsi"/>
    </w:rPr>
  </w:style>
  <w:style w:type="paragraph" w:styleId="Title">
    <w:name w:val="Title"/>
    <w:basedOn w:val="Normal"/>
    <w:next w:val="Normal"/>
    <w:link w:val="TitleChar"/>
    <w:uiPriority w:val="10"/>
    <w:qFormat/>
    <w:rsid w:val="006B43A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43A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43A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43A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43AF"/>
    <w:pPr>
      <w:outlineLvl w:val="9"/>
    </w:pPr>
  </w:style>
  <w:style w:type="paragraph" w:styleId="BalloonText">
    <w:name w:val="Balloon Text"/>
    <w:basedOn w:val="Normal"/>
    <w:link w:val="BalloonTextChar"/>
    <w:uiPriority w:val="99"/>
    <w:semiHidden/>
    <w:unhideWhenUsed/>
    <w:rsid w:val="00BA55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66"/>
    <w:rPr>
      <w:rFonts w:ascii="Tahoma" w:hAnsi="Tahoma" w:cs="Tahoma"/>
      <w:sz w:val="16"/>
      <w:szCs w:val="16"/>
    </w:rPr>
  </w:style>
  <w:style w:type="paragraph" w:customStyle="1" w:styleId="Heading10">
    <w:name w:val="Heading1"/>
    <w:basedOn w:val="Normal"/>
    <w:next w:val="BodyText1"/>
    <w:uiPriority w:val="99"/>
    <w:rsid w:val="00BA5566"/>
    <w:pPr>
      <w:widowControl w:val="0"/>
      <w:suppressAutoHyphens/>
      <w:spacing w:line="240" w:lineRule="auto"/>
      <w:jc w:val="center"/>
    </w:pPr>
    <w:rPr>
      <w:rFonts w:ascii="Times New Roman" w:eastAsia="Times New Roman" w:hAnsi="Times New Roman"/>
      <w:b/>
      <w:i/>
      <w:sz w:val="30"/>
      <w:szCs w:val="20"/>
      <w:lang w:bidi="ar-SA"/>
    </w:rPr>
  </w:style>
  <w:style w:type="paragraph" w:customStyle="1" w:styleId="BodyText1">
    <w:name w:val="Body Text 1"/>
    <w:basedOn w:val="Normal"/>
    <w:link w:val="BodyText1Char"/>
    <w:qFormat/>
    <w:rsid w:val="00BA5566"/>
    <w:pPr>
      <w:spacing w:after="120" w:line="300" w:lineRule="atLeast"/>
    </w:pPr>
    <w:rPr>
      <w:rFonts w:ascii="Times New Roman" w:eastAsia="Times New Roman" w:hAnsi="Times New Roman"/>
      <w:sz w:val="26"/>
      <w:szCs w:val="20"/>
      <w:lang w:bidi="ar-SA"/>
    </w:rPr>
  </w:style>
  <w:style w:type="character" w:customStyle="1" w:styleId="BodyText1Char">
    <w:name w:val="Body Text 1 Char"/>
    <w:basedOn w:val="DefaultParagraphFont"/>
    <w:link w:val="BodyText1"/>
    <w:rsid w:val="00BA5566"/>
    <w:rPr>
      <w:rFonts w:ascii="Times New Roman" w:eastAsia="Times New Roman" w:hAnsi="Times New Roman"/>
      <w:sz w:val="26"/>
      <w:szCs w:val="20"/>
      <w:lang w:bidi="ar-SA"/>
    </w:rPr>
  </w:style>
  <w:style w:type="character" w:styleId="Hyperlink">
    <w:name w:val="Hyperlink"/>
    <w:basedOn w:val="DefaultParagraphFont"/>
    <w:rsid w:val="00BA5566"/>
    <w:rPr>
      <w:color w:val="0000FF" w:themeColor="hyperlink"/>
      <w:u w:val="single"/>
    </w:rPr>
  </w:style>
  <w:style w:type="paragraph" w:styleId="DocumentMap">
    <w:name w:val="Document Map"/>
    <w:basedOn w:val="Normal"/>
    <w:link w:val="DocumentMapChar"/>
    <w:uiPriority w:val="99"/>
    <w:semiHidden/>
    <w:unhideWhenUsed/>
    <w:rsid w:val="00BA5566"/>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5566"/>
    <w:rPr>
      <w:rFonts w:ascii="Tahoma" w:hAnsi="Tahoma" w:cs="Tahoma"/>
      <w:sz w:val="16"/>
      <w:szCs w:val="16"/>
    </w:rPr>
  </w:style>
  <w:style w:type="table" w:styleId="TableGrid">
    <w:name w:val="Table Grid"/>
    <w:basedOn w:val="TableNormal"/>
    <w:uiPriority w:val="59"/>
    <w:rsid w:val="00BA55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04E"/>
    <w:pPr>
      <w:spacing w:line="240" w:lineRule="auto"/>
      <w:ind w:left="720"/>
    </w:pPr>
    <w:rPr>
      <w:rFonts w:ascii="Times New Roman" w:hAnsi="Times New Roman"/>
      <w:lang w:bidi="ar-SA"/>
    </w:rPr>
  </w:style>
  <w:style w:type="character" w:styleId="FollowedHyperlink">
    <w:name w:val="FollowedHyperlink"/>
    <w:basedOn w:val="DefaultParagraphFont"/>
    <w:uiPriority w:val="99"/>
    <w:semiHidden/>
    <w:unhideWhenUsed/>
    <w:rsid w:val="00842868"/>
    <w:rPr>
      <w:color w:val="800080" w:themeColor="followedHyperlink"/>
      <w:u w:val="single"/>
    </w:rPr>
  </w:style>
  <w:style w:type="paragraph" w:styleId="Header">
    <w:name w:val="header"/>
    <w:basedOn w:val="Normal"/>
    <w:link w:val="HeaderChar"/>
    <w:uiPriority w:val="99"/>
    <w:unhideWhenUsed/>
    <w:rsid w:val="008321F4"/>
    <w:pPr>
      <w:tabs>
        <w:tab w:val="center" w:pos="4680"/>
        <w:tab w:val="right" w:pos="9360"/>
      </w:tabs>
      <w:spacing w:line="240" w:lineRule="auto"/>
    </w:pPr>
  </w:style>
  <w:style w:type="character" w:customStyle="1" w:styleId="HeaderChar">
    <w:name w:val="Header Char"/>
    <w:basedOn w:val="DefaultParagraphFont"/>
    <w:link w:val="Header"/>
    <w:uiPriority w:val="99"/>
    <w:rsid w:val="008321F4"/>
  </w:style>
  <w:style w:type="paragraph" w:styleId="Footer">
    <w:name w:val="footer"/>
    <w:basedOn w:val="Normal"/>
    <w:link w:val="FooterChar"/>
    <w:uiPriority w:val="99"/>
    <w:unhideWhenUsed/>
    <w:rsid w:val="008321F4"/>
    <w:pPr>
      <w:tabs>
        <w:tab w:val="center" w:pos="4680"/>
        <w:tab w:val="right" w:pos="9360"/>
      </w:tabs>
      <w:spacing w:line="240" w:lineRule="auto"/>
    </w:pPr>
  </w:style>
  <w:style w:type="character" w:customStyle="1" w:styleId="FooterChar">
    <w:name w:val="Footer Char"/>
    <w:basedOn w:val="DefaultParagraphFont"/>
    <w:link w:val="Footer"/>
    <w:uiPriority w:val="99"/>
    <w:rsid w:val="008321F4"/>
  </w:style>
  <w:style w:type="character" w:styleId="UnresolvedMention">
    <w:name w:val="Unresolved Mention"/>
    <w:basedOn w:val="DefaultParagraphFont"/>
    <w:uiPriority w:val="99"/>
    <w:semiHidden/>
    <w:unhideWhenUsed/>
    <w:rsid w:val="00EA2269"/>
    <w:rPr>
      <w:color w:val="605E5C"/>
      <w:shd w:val="clear" w:color="auto" w:fill="E1DFDD"/>
    </w:rPr>
  </w:style>
  <w:style w:type="paragraph" w:customStyle="1" w:styleId="Default">
    <w:name w:val="Default"/>
    <w:rsid w:val="00750A85"/>
    <w:pPr>
      <w:autoSpaceDE w:val="0"/>
      <w:autoSpaceDN w:val="0"/>
      <w:adjustRightInd w:val="0"/>
      <w:spacing w:line="240" w:lineRule="auto"/>
    </w:pPr>
    <w:rPr>
      <w:rFonts w:ascii="Times New Roman" w:hAnsi="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38795">
      <w:bodyDiv w:val="1"/>
      <w:marLeft w:val="0"/>
      <w:marRight w:val="0"/>
      <w:marTop w:val="0"/>
      <w:marBottom w:val="0"/>
      <w:divBdr>
        <w:top w:val="none" w:sz="0" w:space="0" w:color="auto"/>
        <w:left w:val="none" w:sz="0" w:space="0" w:color="auto"/>
        <w:bottom w:val="none" w:sz="0" w:space="0" w:color="auto"/>
        <w:right w:val="none" w:sz="0" w:space="0" w:color="auto"/>
      </w:divBdr>
    </w:div>
    <w:div w:id="18866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nfo.legislature.ca.gov/faces/billNavClient.xhtml?bill_id=202320240AB8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nfo.legislature.ca.gov/faces/billNavClient.xhtml?bill_id=202320240AB7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320240AB5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gislationCommittee@jud.ca.gov" TargetMode="External"/><Relationship Id="rId4" Type="http://schemas.openxmlformats.org/officeDocument/2006/relationships/settings" Target="settings.xml"/><Relationship Id="rId9" Type="http://schemas.openxmlformats.org/officeDocument/2006/relationships/hyperlink" Target="http://www.courts.ca.gov/legislationcomm.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ac-P-CombinedClosed.dotx"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586AE-53B7-4EDA-BB67-7B0A86DF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ac-P-CombinedClosed</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2023-03-24T23:40:00Z</dcterms:created>
  <dcterms:modified xsi:type="dcterms:W3CDTF">2023-03-30T17:50:00Z</dcterms:modified>
</cp:coreProperties>
</file>