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commentRangeStart w:id="0"/>
            <w:r w:rsidR="001046A6">
              <w:rPr>
                <w:b/>
                <w:sz w:val="20"/>
                <w:highlight w:val="yellow"/>
              </w:rPr>
              <w:t>Agreement</w:t>
            </w:r>
            <w:r w:rsidRPr="00287443">
              <w:rPr>
                <w:b/>
                <w:sz w:val="20"/>
                <w:highlight w:val="yellow"/>
              </w:rPr>
              <w:t xml:space="preserve"> number</w:t>
            </w:r>
            <w:commentRangeEnd w:id="0"/>
            <w:r w:rsidR="0097034E">
              <w:rPr>
                <w:rStyle w:val="CommentReference"/>
              </w:rPr>
              <w:commentReference w:id="0"/>
            </w:r>
            <w:r w:rsidRPr="00287443">
              <w:rPr>
                <w:b/>
                <w:sz w:val="20"/>
                <w:highlight w:val="yellow"/>
              </w:rPr>
              <w:t>]</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w:t>
      </w:r>
      <w:commentRangeStart w:id="1"/>
      <w:r w:rsidRPr="00287443">
        <w:rPr>
          <w:sz w:val="20"/>
        </w:rPr>
        <w:t xml:space="preserve">options </w:t>
      </w:r>
      <w:commentRangeEnd w:id="1"/>
      <w:r w:rsidR="00BA5A19">
        <w:rPr>
          <w:rStyle w:val="CommentReference"/>
        </w:rPr>
        <w:commentReference w:id="1"/>
      </w:r>
      <w:r w:rsidRPr="00287443">
        <w:rPr>
          <w:sz w:val="20"/>
        </w:rPr>
        <w:t xml:space="preserve">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w:t>
      </w:r>
      <w:commentRangeStart w:id="2"/>
      <w:r w:rsidRPr="00287443">
        <w:rPr>
          <w:sz w:val="20"/>
        </w:rPr>
        <w:t>Contract Amount</w:t>
      </w:r>
      <w:commentRangeEnd w:id="2"/>
      <w:r w:rsidR="008C1E27">
        <w:rPr>
          <w:rStyle w:val="CommentReference"/>
        </w:rPr>
        <w:commentReference w:id="2"/>
      </w:r>
      <w:r w:rsidRPr="00287443">
        <w:rPr>
          <w:sz w:val="20"/>
        </w:rPr>
        <w:t>”).</w:t>
      </w:r>
      <w:r w:rsidR="008C1E27">
        <w:rPr>
          <w:sz w:val="20"/>
        </w:rPr>
        <w:t xml:space="preserve">  </w:t>
      </w:r>
      <w:commentRangeStart w:id="3"/>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commentRangeEnd w:id="3"/>
      <w:r w:rsidR="008C1E27">
        <w:rPr>
          <w:rStyle w:val="CommentReference"/>
        </w:rPr>
        <w:commentReference w:id="3"/>
      </w:r>
    </w:p>
    <w:p w14:paraId="4930F375"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02144CCB" w14:textId="77777777" w:rsidR="003B3C0B" w:rsidRDefault="003B3C0B" w:rsidP="003B3C0B">
      <w:pPr>
        <w:ind w:left="-450" w:hanging="270"/>
        <w:rPr>
          <w:sz w:val="20"/>
        </w:rPr>
      </w:pPr>
    </w:p>
    <w:p w14:paraId="5FD2BC0B" w14:textId="77777777" w:rsidR="003B3C0B" w:rsidRDefault="0064259C" w:rsidP="003B3C0B">
      <w:pPr>
        <w:ind w:left="-450" w:hanging="270"/>
        <w:rPr>
          <w:sz w:val="20"/>
        </w:rPr>
      </w:pPr>
      <w:commentRangeStart w:id="4"/>
      <w:commentRangeEnd w:id="4"/>
      <w:r>
        <w:rPr>
          <w:rStyle w:val="CommentReference"/>
        </w:rPr>
        <w:commentReference w:id="4"/>
      </w: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commentRangeStart w:id="5"/>
      <w:r w:rsidRPr="00EC158B">
        <w:rPr>
          <w:rFonts w:asciiTheme="minorHAnsi" w:hAnsiTheme="minorHAnsi" w:cstheme="minorHAnsi"/>
          <w:color w:val="000000" w:themeColor="text1"/>
          <w:sz w:val="20"/>
          <w:szCs w:val="20"/>
        </w:rPr>
        <w:t>APPENDIX A</w:t>
      </w:r>
      <w:commentRangeEnd w:id="5"/>
      <w:r w:rsidR="00085746">
        <w:rPr>
          <w:rStyle w:val="CommentReference"/>
          <w:rFonts w:ascii="Times New Roman" w:eastAsia="Times" w:hAnsi="Times New Roman" w:cs="Times New Roman"/>
          <w:b w:val="0"/>
          <w:bCs w:val="0"/>
          <w:kern w:val="0"/>
        </w:rPr>
        <w:commentReference w:id="5"/>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commentRangeStart w:id="6"/>
      <w:r>
        <w:rPr>
          <w:rFonts w:asciiTheme="minorHAnsi" w:hAnsiTheme="minorHAnsi" w:cstheme="minorHAnsi"/>
          <w:i/>
          <w:sz w:val="20"/>
        </w:rPr>
        <w:t xml:space="preserve">  </w:t>
      </w:r>
      <w:commentRangeEnd w:id="6"/>
      <w:r>
        <w:rPr>
          <w:rStyle w:val="CommentReference"/>
        </w:rPr>
        <w:commentReference w:id="6"/>
      </w:r>
    </w:p>
    <w:p w14:paraId="13847E16"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CE5D9C6" w14:textId="77777777"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p>
    <w:p w14:paraId="08A0BDE6" w14:textId="3F50044D" w:rsidR="0012785C" w:rsidRPr="00C572FA" w:rsidRDefault="0012785C" w:rsidP="00C572FA">
      <w:pPr>
        <w:pStyle w:val="ListParagraph"/>
        <w:numPr>
          <w:ilvl w:val="1"/>
          <w:numId w:val="18"/>
        </w:numPr>
        <w:tabs>
          <w:tab w:val="left" w:pos="900"/>
        </w:tabs>
        <w:spacing w:before="120" w:after="120"/>
        <w:rPr>
          <w:rFonts w:asciiTheme="minorHAnsi" w:hAnsiTheme="minorHAnsi" w:cstheme="minorHAnsi"/>
          <w:b/>
          <w:bCs/>
          <w:sz w:val="20"/>
        </w:rPr>
      </w:pPr>
      <w:r w:rsidRPr="00C572FA">
        <w:rPr>
          <w:rFonts w:asciiTheme="minorHAnsi" w:hAnsiTheme="minorHAnsi" w:cstheme="minorHAnsi"/>
          <w:b/>
          <w:bCs/>
          <w:sz w:val="20"/>
        </w:rPr>
        <w:t>Description of Goods.</w:t>
      </w:r>
      <w:r w:rsidRPr="00C572FA">
        <w:rPr>
          <w:rFonts w:asciiTheme="minorHAnsi" w:hAnsiTheme="minorHAnsi" w:cstheme="minorHAnsi"/>
          <w:bCs/>
          <w:sz w:val="20"/>
        </w:rPr>
        <w:t xml:space="preserve"> The </w:t>
      </w:r>
      <w:r w:rsidR="00323CD0" w:rsidRPr="00C572FA">
        <w:rPr>
          <w:rFonts w:asciiTheme="minorHAnsi" w:hAnsiTheme="minorHAnsi" w:cstheme="minorHAnsi"/>
          <w:bCs/>
          <w:sz w:val="20"/>
        </w:rPr>
        <w:t>JBE</w:t>
      </w:r>
      <w:r w:rsidRPr="00C572FA">
        <w:rPr>
          <w:rFonts w:asciiTheme="minorHAnsi" w:hAnsiTheme="minorHAnsi" w:cstheme="minorHAnsi"/>
          <w:bCs/>
          <w:sz w:val="20"/>
        </w:rPr>
        <w:t xml:space="preserve"> shall purchase from Contractor, and Contractor shall sell to the </w:t>
      </w:r>
      <w:r w:rsidR="00323CD0" w:rsidRPr="00C572FA">
        <w:rPr>
          <w:rFonts w:asciiTheme="minorHAnsi" w:hAnsiTheme="minorHAnsi" w:cstheme="minorHAnsi"/>
          <w:bCs/>
          <w:sz w:val="20"/>
        </w:rPr>
        <w:t>JBE</w:t>
      </w:r>
      <w:r w:rsidRPr="00C572FA">
        <w:rPr>
          <w:rFonts w:asciiTheme="minorHAnsi" w:hAnsiTheme="minorHAnsi" w:cstheme="minorHAnsi"/>
          <w:bCs/>
          <w:sz w:val="20"/>
        </w:rPr>
        <w:t xml:space="preserve"> the following products, goods, materials, and supplies (“Goods”) free and clear of all liens, claims, and encumbrances:</w:t>
      </w:r>
    </w:p>
    <w:p w14:paraId="19A1CAAB"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commentRangeStart w:id="7"/>
      <w:r>
        <w:rPr>
          <w:rFonts w:asciiTheme="minorHAnsi" w:hAnsiTheme="minorHAnsi" w:cstheme="minorHAnsi"/>
          <w:i/>
          <w:sz w:val="20"/>
        </w:rPr>
        <w:t xml:space="preserve">  </w:t>
      </w:r>
      <w:commentRangeEnd w:id="7"/>
      <w:r>
        <w:rPr>
          <w:rStyle w:val="CommentReference"/>
        </w:rPr>
        <w:commentReference w:id="7"/>
      </w:r>
    </w:p>
    <w:p w14:paraId="6EE8B8BE" w14:textId="77777777" w:rsidR="0012785C" w:rsidRPr="00C54EE7" w:rsidRDefault="0012785C" w:rsidP="0012785C">
      <w:pPr>
        <w:pStyle w:val="ListParagraph"/>
        <w:numPr>
          <w:ilvl w:val="0"/>
          <w:numId w:val="21"/>
        </w:numPr>
        <w:spacing w:before="120" w:after="120"/>
        <w:ind w:left="1260"/>
        <w:rPr>
          <w:rFonts w:asciiTheme="minorHAnsi" w:hAnsiTheme="minorHAnsi" w:cstheme="minorHAnsi"/>
          <w:i/>
          <w:sz w:val="20"/>
        </w:rPr>
      </w:pPr>
    </w:p>
    <w:p w14:paraId="71043AD2" w14:textId="77777777" w:rsidR="0012785C" w:rsidRPr="00E46145" w:rsidRDefault="0012785C" w:rsidP="00C572FA">
      <w:pPr>
        <w:pStyle w:val="ListParagraph"/>
        <w:numPr>
          <w:ilvl w:val="1"/>
          <w:numId w:val="18"/>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 xml:space="preserve">Contractor will deliver the </w:t>
      </w:r>
      <w:commentRangeStart w:id="8"/>
      <w:r>
        <w:rPr>
          <w:rFonts w:asciiTheme="minorHAnsi" w:hAnsiTheme="minorHAnsi" w:cstheme="minorHAnsi"/>
          <w:bCs/>
          <w:sz w:val="20"/>
        </w:rPr>
        <w:t>Goods “Free on Board</w:t>
      </w:r>
      <w:r w:rsidRPr="002B170E">
        <w:rPr>
          <w:rFonts w:asciiTheme="minorHAnsi" w:hAnsiTheme="minorHAnsi" w:cstheme="minorHAnsi"/>
          <w:bCs/>
          <w:sz w:val="20"/>
        </w:rPr>
        <w:t xml:space="preserve"> Destination Freight Prepaid</w:t>
      </w:r>
      <w:commentRangeEnd w:id="8"/>
      <w:r>
        <w:rPr>
          <w:rFonts w:asciiTheme="minorHAnsi" w:hAnsiTheme="minorHAnsi" w:cstheme="minorHAnsi"/>
          <w:bCs/>
          <w:sz w:val="20"/>
        </w:rPr>
        <w:t>”</w:t>
      </w:r>
      <w:r>
        <w:rPr>
          <w:rStyle w:val="CommentReference"/>
        </w:rPr>
        <w:commentReference w:id="8"/>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at</w:t>
      </w:r>
      <w:r w:rsidR="00B334BD">
        <w:rPr>
          <w:rFonts w:asciiTheme="minorHAnsi" w:hAnsiTheme="minorHAnsi" w:cstheme="minorHAnsi"/>
          <w:bCs/>
          <w:sz w:val="20"/>
        </w:rPr>
        <w:t xml:space="preserve"> </w:t>
      </w:r>
      <w:r w:rsidR="00B334BD" w:rsidRPr="00B334BD">
        <w:rPr>
          <w:rFonts w:asciiTheme="minorHAnsi" w:hAnsiTheme="minorHAnsi" w:cstheme="minorHAnsi"/>
          <w:b/>
          <w:bCs/>
          <w:sz w:val="20"/>
          <w:highlight w:val="yellow"/>
        </w:rPr>
        <w:t>[</w:t>
      </w:r>
      <w:commentRangeStart w:id="9"/>
      <w:r w:rsidR="00B334BD" w:rsidRPr="00B334BD">
        <w:rPr>
          <w:rFonts w:asciiTheme="minorHAnsi" w:hAnsiTheme="minorHAnsi" w:cstheme="minorHAnsi"/>
          <w:b/>
          <w:bCs/>
          <w:sz w:val="20"/>
          <w:highlight w:val="yellow"/>
        </w:rPr>
        <w:t>address</w:t>
      </w:r>
      <w:commentRangeEnd w:id="9"/>
      <w:r w:rsidR="00B334BD">
        <w:rPr>
          <w:rStyle w:val="CommentReference"/>
        </w:rPr>
        <w:commentReference w:id="9"/>
      </w:r>
      <w:r w:rsidR="00B334BD" w:rsidRPr="00B334BD">
        <w:rPr>
          <w:rFonts w:asciiTheme="minorHAnsi" w:hAnsiTheme="minorHAnsi" w:cstheme="minorHAnsi"/>
          <w:b/>
          <w:bCs/>
          <w:sz w:val="20"/>
          <w:highlight w:val="yellow"/>
        </w:rPr>
        <w:t>]</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4A517669" w14:textId="77777777" w:rsidR="0012785C" w:rsidRPr="003145FD" w:rsidRDefault="0012785C" w:rsidP="00C572FA">
      <w:pPr>
        <w:pStyle w:val="ListParagraph"/>
        <w:numPr>
          <w:ilvl w:val="1"/>
          <w:numId w:val="18"/>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3238782E"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commentRangeStart w:id="10"/>
      <w:r>
        <w:rPr>
          <w:rFonts w:asciiTheme="minorHAnsi" w:hAnsiTheme="minorHAnsi" w:cstheme="minorHAnsi"/>
          <w:i/>
          <w:sz w:val="20"/>
        </w:rPr>
        <w:t xml:space="preserve">  </w:t>
      </w:r>
      <w:commentRangeEnd w:id="10"/>
      <w:r>
        <w:rPr>
          <w:rStyle w:val="CommentReference"/>
        </w:rPr>
        <w:commentReference w:id="10"/>
      </w:r>
    </w:p>
    <w:p w14:paraId="3B6754FA" w14:textId="77777777" w:rsidR="0012785C" w:rsidRPr="003145FD" w:rsidRDefault="0012785C" w:rsidP="0012785C">
      <w:pPr>
        <w:pStyle w:val="ListParagraph"/>
        <w:numPr>
          <w:ilvl w:val="0"/>
          <w:numId w:val="21"/>
        </w:numPr>
        <w:spacing w:before="120" w:after="120"/>
        <w:ind w:left="1260"/>
        <w:rPr>
          <w:rFonts w:asciiTheme="minorHAnsi" w:hAnsiTheme="minorHAnsi" w:cstheme="minorHAnsi"/>
          <w:i/>
          <w:sz w:val="20"/>
        </w:rPr>
      </w:pPr>
    </w:p>
    <w:p w14:paraId="0633D39D" w14:textId="77777777" w:rsidR="0012785C" w:rsidRPr="00EC158B" w:rsidRDefault="001D61F6" w:rsidP="00C572FA">
      <w:pPr>
        <w:pStyle w:val="ListParagraph"/>
        <w:numPr>
          <w:ilvl w:val="1"/>
          <w:numId w:val="18"/>
        </w:numPr>
        <w:tabs>
          <w:tab w:val="left" w:pos="900"/>
        </w:tabs>
        <w:spacing w:before="120" w:after="120"/>
        <w:rPr>
          <w:rFonts w:asciiTheme="minorHAnsi" w:hAnsiTheme="minorHAnsi" w:cstheme="minorHAnsi"/>
          <w:b/>
          <w:bCs/>
          <w:sz w:val="20"/>
        </w:rPr>
      </w:pPr>
      <w:commentRangeStart w:id="11"/>
      <w:r>
        <w:rPr>
          <w:rFonts w:asciiTheme="minorHAnsi" w:hAnsiTheme="minorHAnsi" w:cstheme="minorHAnsi"/>
          <w:b/>
          <w:bCs/>
          <w:sz w:val="20"/>
        </w:rPr>
        <w:t>Goods W</w:t>
      </w:r>
      <w:r w:rsidR="0012785C" w:rsidRPr="00EC158B">
        <w:rPr>
          <w:rFonts w:asciiTheme="minorHAnsi" w:hAnsiTheme="minorHAnsi" w:cstheme="minorHAnsi"/>
          <w:b/>
          <w:bCs/>
          <w:sz w:val="20"/>
        </w:rPr>
        <w:t>arranties</w:t>
      </w:r>
      <w:commentRangeEnd w:id="11"/>
      <w:r w:rsidR="0012785C">
        <w:rPr>
          <w:rStyle w:val="CommentReference"/>
        </w:rPr>
        <w:commentReference w:id="11"/>
      </w:r>
      <w:r w:rsidR="0012785C" w:rsidRPr="00EC158B">
        <w:rPr>
          <w:rFonts w:asciiTheme="minorHAnsi" w:hAnsiTheme="minorHAnsi" w:cstheme="minorHAnsi"/>
          <w:b/>
          <w:bCs/>
          <w:sz w:val="20"/>
        </w:rPr>
        <w:t>.</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commentRangeStart w:id="12"/>
      <w:r>
        <w:rPr>
          <w:rFonts w:asciiTheme="minorHAnsi" w:hAnsiTheme="minorHAnsi" w:cstheme="minorHAnsi"/>
          <w:i/>
          <w:sz w:val="20"/>
        </w:rPr>
        <w:t xml:space="preserve">  </w:t>
      </w:r>
      <w:commentRangeEnd w:id="12"/>
      <w:r>
        <w:rPr>
          <w:rStyle w:val="CommentReference"/>
        </w:rPr>
        <w:commentReference w:id="12"/>
      </w:r>
    </w:p>
    <w:p w14:paraId="70092480"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0597A88"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commentRangeStart w:id="13"/>
      <w:r>
        <w:rPr>
          <w:rFonts w:asciiTheme="minorHAnsi" w:hAnsiTheme="minorHAnsi" w:cstheme="minorHAnsi"/>
          <w:i/>
          <w:sz w:val="20"/>
        </w:rPr>
        <w:t xml:space="preserve">  </w:t>
      </w:r>
      <w:commentRangeEnd w:id="13"/>
      <w:r>
        <w:rPr>
          <w:rStyle w:val="CommentReference"/>
        </w:rPr>
        <w:commentReference w:id="13"/>
      </w:r>
    </w:p>
    <w:p w14:paraId="13BE9B1C"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commentRangeStart w:id="14"/>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commentRangeEnd w:id="14"/>
      <w:r w:rsidR="00083BB8">
        <w:rPr>
          <w:rStyle w:val="CommentReference"/>
        </w:rPr>
        <w:commentReference w:id="14"/>
      </w:r>
      <w:r w:rsidR="000033AA">
        <w:rPr>
          <w:rFonts w:asciiTheme="minorHAnsi" w:hAnsiTheme="minorHAnsi" w:cstheme="minorHAnsi"/>
          <w:bCs/>
          <w:sz w:val="20"/>
          <w:lang w:bidi="en-US"/>
        </w:rPr>
        <w:t xml:space="preserve">Contractor will not be paid for any rejected Services or Deliverables.  </w:t>
      </w:r>
    </w:p>
    <w:p w14:paraId="529C7C1C"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commentRangeStart w:id="15"/>
      <w:r>
        <w:rPr>
          <w:rFonts w:asciiTheme="minorHAnsi" w:hAnsiTheme="minorHAnsi" w:cstheme="minorHAnsi"/>
          <w:i/>
          <w:sz w:val="20"/>
        </w:rPr>
        <w:t xml:space="preserve">  </w:t>
      </w:r>
      <w:commentRangeEnd w:id="15"/>
      <w:r>
        <w:rPr>
          <w:rStyle w:val="CommentReference"/>
        </w:rPr>
        <w:commentReference w:id="15"/>
      </w:r>
    </w:p>
    <w:p w14:paraId="58522B57"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commentRangeStart w:id="16"/>
      <w:r>
        <w:rPr>
          <w:rFonts w:asciiTheme="minorHAnsi" w:hAnsiTheme="minorHAnsi" w:cstheme="minorHAnsi"/>
          <w:i/>
          <w:sz w:val="20"/>
        </w:rPr>
        <w:lastRenderedPageBreak/>
        <w:t xml:space="preserve">  </w:t>
      </w:r>
      <w:commentRangeEnd w:id="16"/>
      <w:r>
        <w:rPr>
          <w:rStyle w:val="CommentReference"/>
        </w:rPr>
        <w:commentReference w:id="16"/>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7D6B0923" w14:textId="77777777" w:rsidR="00B15A09" w:rsidRPr="00B15A09" w:rsidRDefault="00B15A09" w:rsidP="00B15A09">
      <w:pPr>
        <w:spacing w:before="120" w:after="120"/>
        <w:ind w:left="936"/>
        <w:rPr>
          <w:rFonts w:asciiTheme="minorHAnsi" w:hAnsiTheme="minorHAnsi" w:cstheme="minorHAnsi"/>
          <w:sz w:val="20"/>
        </w:rPr>
      </w:pP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lastRenderedPageBreak/>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7" w:name="_Ref52292790"/>
      <w:bookmarkStart w:id="18" w:name="_Ref55633268"/>
      <w:bookmarkStart w:id="19" w:name="_Ref55895797"/>
      <w:bookmarkStart w:id="20"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7"/>
      <w:bookmarkEnd w:id="18"/>
      <w:bookmarkEnd w:id="19"/>
      <w:bookmarkEnd w:id="20"/>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commentRangeStart w:id="21"/>
      <w:r w:rsidRPr="004D2739">
        <w:rPr>
          <w:color w:val="000000" w:themeColor="text1"/>
        </w:rPr>
        <w:t>Acceptance AND Signoff Form</w:t>
      </w:r>
      <w:commentRangeEnd w:id="21"/>
      <w:r w:rsidR="00C01E7A">
        <w:rPr>
          <w:rStyle w:val="CommentReference"/>
          <w:rFonts w:eastAsia="Times" w:cs="Times New Roman"/>
          <w:b w:val="0"/>
          <w:bCs w:val="0"/>
          <w:caps w:val="0"/>
        </w:rPr>
        <w:commentReference w:id="21"/>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w:t>
      </w:r>
      <w:commentRangeStart w:id="22"/>
      <w:r>
        <w:rPr>
          <w:rFonts w:asciiTheme="minorHAnsi" w:hAnsiTheme="minorHAnsi" w:cstheme="minorHAnsi"/>
          <w:bCs/>
          <w:sz w:val="20"/>
        </w:rPr>
        <w:t xml:space="preserve">following amounts </w:t>
      </w:r>
      <w:commentRangeEnd w:id="22"/>
      <w:r w:rsidR="001A627D">
        <w:rPr>
          <w:rStyle w:val="CommentReference"/>
        </w:rPr>
        <w:commentReference w:id="22"/>
      </w:r>
      <w:r>
        <w:rPr>
          <w:rFonts w:asciiTheme="minorHAnsi" w:hAnsiTheme="minorHAnsi" w:cstheme="minorHAnsi"/>
          <w:bCs/>
          <w:sz w:val="20"/>
        </w:rPr>
        <w:t xml:space="preserve">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commentRangeStart w:id="23"/>
      <w:r>
        <w:rPr>
          <w:rFonts w:asciiTheme="minorHAnsi" w:hAnsiTheme="minorHAnsi" w:cstheme="minorHAnsi"/>
          <w:bCs/>
          <w:i/>
          <w:sz w:val="20"/>
          <w:lang w:bidi="en-US"/>
        </w:rPr>
        <w:t xml:space="preserve">  </w:t>
      </w:r>
      <w:commentRangeEnd w:id="23"/>
      <w:r>
        <w:rPr>
          <w:rStyle w:val="CommentReference"/>
        </w:rPr>
        <w:commentReference w:id="23"/>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commentRangeStart w:id="24"/>
      <w:r w:rsidR="005C5EAE">
        <w:rPr>
          <w:rFonts w:asciiTheme="minorHAnsi" w:hAnsiTheme="minorHAnsi" w:cstheme="minorHAnsi"/>
          <w:bCs/>
          <w:sz w:val="20"/>
        </w:rPr>
        <w:t xml:space="preserve">following amounts </w:t>
      </w:r>
      <w:commentRangeEnd w:id="24"/>
      <w:r w:rsidR="001A627D">
        <w:rPr>
          <w:rStyle w:val="CommentReference"/>
        </w:rPr>
        <w:commentReference w:id="24"/>
      </w:r>
      <w:r w:rsidR="005C5EAE">
        <w:rPr>
          <w:rFonts w:asciiTheme="minorHAnsi" w:hAnsiTheme="minorHAnsi" w:cstheme="minorHAnsi"/>
          <w:bCs/>
          <w:sz w:val="20"/>
        </w:rPr>
        <w:t>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commentRangeStart w:id="25"/>
      <w:r>
        <w:rPr>
          <w:rFonts w:asciiTheme="minorHAnsi" w:hAnsiTheme="minorHAnsi" w:cstheme="minorHAnsi"/>
          <w:bCs/>
          <w:i/>
          <w:sz w:val="20"/>
          <w:lang w:bidi="en-US"/>
        </w:rPr>
        <w:t xml:space="preserve">  </w:t>
      </w:r>
      <w:commentRangeEnd w:id="25"/>
      <w:r>
        <w:rPr>
          <w:rStyle w:val="CommentReference"/>
        </w:rPr>
        <w:commentReference w:id="25"/>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w:t>
      </w:r>
      <w:commentRangeStart w:id="26"/>
      <w:r w:rsidR="00702D06" w:rsidRPr="00702D06">
        <w:rPr>
          <w:rFonts w:asciiTheme="minorHAnsi" w:hAnsiTheme="minorHAnsi" w:cstheme="minorHAnsi"/>
          <w:bCs/>
          <w:sz w:val="20"/>
        </w:rPr>
        <w:t xml:space="preserve">fifteen percent (15%) </w:t>
      </w:r>
      <w:commentRangeEnd w:id="26"/>
      <w:r w:rsidR="0031481D">
        <w:rPr>
          <w:rStyle w:val="CommentReference"/>
        </w:rPr>
        <w:commentReference w:id="26"/>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w:t>
      </w:r>
      <w:commentRangeStart w:id="27"/>
      <w:r w:rsidRPr="00041323">
        <w:rPr>
          <w:sz w:val="20"/>
        </w:rPr>
        <w:t>Services</w:t>
      </w:r>
      <w:commentRangeEnd w:id="27"/>
      <w:r w:rsidR="0090796F">
        <w:rPr>
          <w:rStyle w:val="CommentReference"/>
        </w:rPr>
        <w:commentReference w:id="27"/>
      </w:r>
      <w:r w:rsidRPr="00041323">
        <w:rPr>
          <w:sz w:val="20"/>
        </w:rPr>
        <w:t>.</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commentRangeStart w:id="28"/>
      <w:r>
        <w:rPr>
          <w:rFonts w:asciiTheme="minorHAnsi" w:hAnsiTheme="minorHAnsi" w:cstheme="minorHAnsi"/>
          <w:bCs/>
          <w:i/>
          <w:sz w:val="20"/>
          <w:lang w:bidi="en-US"/>
        </w:rPr>
        <w:t xml:space="preserve">  </w:t>
      </w:r>
      <w:commentRangeEnd w:id="28"/>
      <w:r>
        <w:rPr>
          <w:rStyle w:val="CommentReference"/>
        </w:rPr>
        <w:commentReference w:id="28"/>
      </w:r>
    </w:p>
    <w:p w14:paraId="1E485904"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588B9E08" w14:textId="77777777" w:rsidR="00C36343" w:rsidRPr="00EC158B" w:rsidRDefault="006C6263" w:rsidP="00C572FA">
      <w:pPr>
        <w:pStyle w:val="ListParagraph"/>
        <w:numPr>
          <w:ilvl w:val="1"/>
          <w:numId w:val="18"/>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commentRangeStart w:id="29"/>
      <w:r w:rsidR="00323CD0">
        <w:rPr>
          <w:rFonts w:asciiTheme="minorHAnsi" w:hAnsiTheme="minorHAnsi" w:cstheme="minorHAnsi"/>
          <w:bCs/>
          <w:sz w:val="20"/>
        </w:rPr>
        <w:t>JBE</w:t>
      </w:r>
      <w:r w:rsidR="00FD42B0">
        <w:rPr>
          <w:rFonts w:asciiTheme="minorHAnsi" w:hAnsiTheme="minorHAnsi" w:cstheme="minorHAnsi"/>
          <w:bCs/>
          <w:sz w:val="20"/>
        </w:rPr>
        <w:t xml:space="preserve">’s </w:t>
      </w:r>
      <w:commentRangeEnd w:id="29"/>
      <w:r w:rsidR="00FD42B0">
        <w:rPr>
          <w:rStyle w:val="CommentReference"/>
        </w:rPr>
        <w:commentReference w:id="29"/>
      </w:r>
      <w:r w:rsidR="00FD42B0">
        <w:rPr>
          <w:rFonts w:asciiTheme="minorHAnsi" w:hAnsiTheme="minorHAnsi" w:cstheme="minorHAnsi"/>
          <w:bCs/>
          <w:sz w:val="20"/>
        </w:rPr>
        <w:t xml:space="preserve">travel expense policy.  </w:t>
      </w:r>
    </w:p>
    <w:p w14:paraId="7F3A7FDB" w14:textId="77777777" w:rsidR="00C36343" w:rsidRPr="00563734" w:rsidRDefault="006C6263" w:rsidP="00C572FA">
      <w:pPr>
        <w:pStyle w:val="ListParagraph"/>
        <w:numPr>
          <w:ilvl w:val="1"/>
          <w:numId w:val="18"/>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w:t>
      </w:r>
      <w:commentRangeStart w:id="30"/>
      <w:r w:rsidR="00C34EDA">
        <w:rPr>
          <w:b/>
          <w:sz w:val="20"/>
          <w:highlight w:val="yellow"/>
        </w:rPr>
        <w:t>Dollar amount</w:t>
      </w:r>
      <w:commentRangeEnd w:id="30"/>
      <w:r w:rsidR="003B08BC">
        <w:rPr>
          <w:rStyle w:val="CommentReference"/>
        </w:rPr>
        <w:commentReference w:id="30"/>
      </w:r>
      <w:r w:rsidR="00C34EDA" w:rsidRPr="00287443">
        <w:rPr>
          <w:b/>
          <w:sz w:val="20"/>
          <w:highlight w:val="yellow"/>
        </w:rPr>
        <w:t>]</w:t>
      </w:r>
      <w:r w:rsidR="00C34EDA">
        <w:rPr>
          <w:rFonts w:asciiTheme="minorHAnsi" w:hAnsiTheme="minorHAnsi" w:cstheme="minorHAnsi"/>
          <w:bCs/>
          <w:sz w:val="20"/>
        </w:rPr>
        <w:t xml:space="preserve"> for </w:t>
      </w:r>
      <w:commentRangeStart w:id="31"/>
      <w:r w:rsidR="00C34EDA">
        <w:rPr>
          <w:rFonts w:asciiTheme="minorHAnsi" w:hAnsiTheme="minorHAnsi" w:cstheme="minorHAnsi"/>
          <w:bCs/>
          <w:sz w:val="20"/>
        </w:rPr>
        <w:t>the Option Term</w:t>
      </w:r>
      <w:commentRangeEnd w:id="31"/>
      <w:r w:rsidR="00A21332">
        <w:rPr>
          <w:rStyle w:val="CommentReference"/>
        </w:rPr>
        <w:commentReference w:id="31"/>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0247E46E" w14:textId="77777777" w:rsidR="00C36343" w:rsidRPr="00EC158B" w:rsidRDefault="00C36343" w:rsidP="00C572FA">
      <w:pPr>
        <w:pStyle w:val="ListParagraph"/>
        <w:numPr>
          <w:ilvl w:val="1"/>
          <w:numId w:val="18"/>
        </w:numPr>
        <w:spacing w:before="120" w:after="120"/>
        <w:ind w:left="900" w:hanging="540"/>
        <w:rPr>
          <w:rFonts w:asciiTheme="minorHAnsi" w:hAnsiTheme="minorHAnsi" w:cstheme="minorHAnsi"/>
          <w:b/>
          <w:bCs/>
          <w:sz w:val="20"/>
        </w:rPr>
      </w:pPr>
      <w:commentRangeStart w:id="32"/>
      <w:r w:rsidRPr="00563734">
        <w:rPr>
          <w:rFonts w:asciiTheme="minorHAnsi" w:hAnsiTheme="minorHAnsi" w:cstheme="minorHAnsi"/>
          <w:b/>
          <w:bCs/>
          <w:sz w:val="20"/>
        </w:rPr>
        <w:t>Required Certification</w:t>
      </w:r>
      <w:commentRangeEnd w:id="32"/>
      <w:r w:rsidR="003158EB">
        <w:rPr>
          <w:rStyle w:val="CommentReference"/>
        </w:rPr>
        <w:commentReference w:id="32"/>
      </w:r>
      <w:r w:rsidRPr="00563734">
        <w:rPr>
          <w:rFonts w:asciiTheme="minorHAnsi" w:hAnsiTheme="minorHAnsi" w:cstheme="minorHAnsi"/>
          <w:b/>
          <w:bCs/>
          <w:sz w:val="20"/>
        </w:rPr>
        <w:t>.</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commentRangeStart w:id="33"/>
      <w:r w:rsidRPr="00A52EB4">
        <w:rPr>
          <w:rFonts w:asciiTheme="minorHAnsi" w:hAnsiTheme="minorHAnsi" w:cstheme="minorHAnsi"/>
          <w:b/>
          <w:bCs/>
          <w:sz w:val="20"/>
        </w:rPr>
        <w:t>Background Checks</w:t>
      </w:r>
      <w:commentRangeEnd w:id="33"/>
      <w:r w:rsidR="00321D04">
        <w:rPr>
          <w:rStyle w:val="CommentReference"/>
        </w:rPr>
        <w:commentReference w:id="33"/>
      </w:r>
      <w:r w:rsidRPr="00A52EB4">
        <w:rPr>
          <w:rFonts w:asciiTheme="minorHAnsi" w:hAnsiTheme="minorHAnsi" w:cstheme="minorHAnsi"/>
          <w:b/>
          <w:bCs/>
          <w:sz w:val="20"/>
        </w:rPr>
        <w:t xml:space="preserve">.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3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3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77777777" w:rsidR="001768BA" w:rsidRPr="00FF29E6" w:rsidRDefault="001768BA" w:rsidP="001768BA">
      <w:pPr>
        <w:numPr>
          <w:ilvl w:val="0"/>
          <w:numId w:val="10"/>
        </w:numPr>
        <w:spacing w:before="120" w:after="120"/>
        <w:rPr>
          <w:b/>
          <w:sz w:val="20"/>
        </w:rPr>
      </w:pPr>
      <w:r w:rsidRPr="00FF29E6">
        <w:rPr>
          <w:b/>
          <w:sz w:val="20"/>
        </w:rPr>
        <w:t xml:space="preserve">Insurance. </w:t>
      </w:r>
      <w:r w:rsidRPr="00FF29E6">
        <w:rPr>
          <w:b/>
          <w:i/>
          <w:sz w:val="20"/>
          <w:highlight w:val="yellow"/>
        </w:rPr>
        <w:t>[SPECIAL INSTRUCTIONS: These provisions may need to be modified or tailored, as necessary, for high dollar amount, high risk or complex projects.]</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commentRangeStart w:id="35"/>
      <w:r>
        <w:rPr>
          <w:sz w:val="20"/>
        </w:rPr>
        <w:t xml:space="preserve">and </w:t>
      </w:r>
      <w:r w:rsidRPr="00FF29E6">
        <w:rPr>
          <w:sz w:val="20"/>
        </w:rPr>
        <w:t>the JBE</w:t>
      </w:r>
      <w:commentRangeEnd w:id="35"/>
      <w:r>
        <w:rPr>
          <w:rStyle w:val="CommentReference"/>
        </w:rPr>
        <w:commentReference w:id="35"/>
      </w:r>
      <w:r w:rsidRPr="00FF29E6">
        <w:rPr>
          <w:sz w:val="20"/>
        </w:rPr>
        <w:t>,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lastRenderedPageBreak/>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commentRangeStart w:id="36"/>
      <w:r w:rsidRPr="00FF29E6">
        <w:rPr>
          <w:sz w:val="20"/>
          <w:u w:val="single"/>
        </w:rPr>
        <w:t>Commercial General Liability</w:t>
      </w:r>
      <w:commentRangeEnd w:id="36"/>
      <w:r w:rsidRPr="00FF29E6">
        <w:rPr>
          <w:sz w:val="16"/>
          <w:szCs w:val="16"/>
        </w:rPr>
        <w:commentReference w:id="36"/>
      </w:r>
    </w:p>
    <w:p w14:paraId="489D94D1" w14:textId="1A7432CF" w:rsidR="001768BA" w:rsidRPr="00FF29E6" w:rsidRDefault="001768BA" w:rsidP="001768BA">
      <w:pPr>
        <w:rPr>
          <w:sz w:val="20"/>
        </w:rPr>
      </w:pPr>
      <w:r w:rsidRPr="00FF29E6">
        <w:rPr>
          <w:sz w:val="20"/>
        </w:rPr>
        <w:t xml:space="preserve">Commercial General Liability Insurance shall be written on an occurrence form with limits of not less than </w:t>
      </w:r>
      <w:r w:rsidRPr="00FF29E6">
        <w:rPr>
          <w:sz w:val="20"/>
          <w:highlight w:val="yellow"/>
        </w:rPr>
        <w:t>one million dollars ($1,000,000)</w:t>
      </w:r>
      <w:r w:rsidRPr="00FF29E6">
        <w:rPr>
          <w:sz w:val="20"/>
        </w:rPr>
        <w:t xml:space="preserve"> per occurrence for bodily injury and property damage and </w:t>
      </w:r>
      <w:r w:rsidRPr="00FF29E6">
        <w:rPr>
          <w:sz w:val="20"/>
          <w:highlight w:val="yellow"/>
        </w:rPr>
        <w:t>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commentRangeStart w:id="37"/>
      <w:r w:rsidRPr="00FF29E6">
        <w:rPr>
          <w:sz w:val="20"/>
          <w:u w:val="single"/>
        </w:rPr>
        <w:t>Professional Liability Insurance</w:t>
      </w:r>
      <w:commentRangeEnd w:id="37"/>
      <w:r w:rsidRPr="00FF29E6">
        <w:rPr>
          <w:sz w:val="16"/>
          <w:szCs w:val="16"/>
        </w:rPr>
        <w:commentReference w:id="37"/>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required </w:t>
      </w:r>
      <w:r w:rsidRPr="00FF29E6">
        <w:rPr>
          <w:sz w:val="20"/>
        </w:rPr>
        <w:t xml:space="preserve"> under the terms of this Agreement. The policy shall provide limits of not less than </w:t>
      </w:r>
      <w:r w:rsidRPr="00FF29E6">
        <w:rPr>
          <w:sz w:val="20"/>
          <w:highlight w:val="yellow"/>
        </w:rPr>
        <w:t>one million dollars ($1,000,000)</w:t>
      </w:r>
      <w:r w:rsidRPr="00FF29E6">
        <w:rPr>
          <w:sz w:val="20"/>
        </w:rPr>
        <w:t xml:space="preserve"> per claim or per occurrence and </w:t>
      </w:r>
      <w:r w:rsidRPr="00FF29E6">
        <w:rPr>
          <w:sz w:val="20"/>
          <w:highlight w:val="yellow"/>
        </w:rPr>
        <w:t>two million dollars ($2,000,000)</w:t>
      </w:r>
      <w:r w:rsidRPr="00FF29E6">
        <w:rPr>
          <w:sz w:val="20"/>
        </w:rPr>
        <w:t xml:space="preserve"> annual aggregate. If the policy is written on a “claims made” form, Contractor shall continue such coverage, either through policy renewals or the purchase of an extended discovery period, if such extended coverage is available, for not less than </w:t>
      </w:r>
      <w:commentRangeStart w:id="38"/>
      <w:r w:rsidRPr="00FF29E6">
        <w:rPr>
          <w:sz w:val="20"/>
        </w:rPr>
        <w:t xml:space="preserve">three (3) years </w:t>
      </w:r>
      <w:commentRangeEnd w:id="38"/>
      <w:r w:rsidRPr="00FF29E6">
        <w:rPr>
          <w:sz w:val="20"/>
          <w:szCs w:val="16"/>
        </w:rPr>
        <w:commentReference w:id="38"/>
      </w:r>
      <w:r w:rsidRPr="00FF29E6">
        <w:rPr>
          <w:sz w:val="20"/>
        </w:rPr>
        <w:t xml:space="preserve">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1768BA">
      <w:pPr>
        <w:rPr>
          <w:sz w:val="20"/>
        </w:rPr>
      </w:pPr>
    </w:p>
    <w:p w14:paraId="6ED9DB8A" w14:textId="77777777" w:rsidR="001768BA" w:rsidRPr="00FF29E6" w:rsidRDefault="001768BA" w:rsidP="001768BA">
      <w:pPr>
        <w:numPr>
          <w:ilvl w:val="3"/>
          <w:numId w:val="31"/>
        </w:numPr>
        <w:spacing w:line="259" w:lineRule="auto"/>
        <w:contextualSpacing/>
        <w:rPr>
          <w:sz w:val="20"/>
        </w:rPr>
      </w:pPr>
      <w:commentRangeStart w:id="39"/>
      <w:r w:rsidRPr="00FF29E6">
        <w:rPr>
          <w:sz w:val="20"/>
          <w:u w:val="single"/>
        </w:rPr>
        <w:t>Cyber Liability Insurance</w:t>
      </w:r>
      <w:commentRangeEnd w:id="39"/>
      <w:r w:rsidRPr="00FF29E6">
        <w:rPr>
          <w:sz w:val="16"/>
          <w:szCs w:val="16"/>
        </w:rPr>
        <w:commentReference w:id="39"/>
      </w:r>
    </w:p>
    <w:p w14:paraId="36C82B21" w14:textId="77777777" w:rsidR="001768BA" w:rsidRPr="00FF29E6" w:rsidRDefault="001768BA" w:rsidP="001768BA">
      <w:pPr>
        <w:rPr>
          <w:i/>
          <w:iCs/>
          <w:sz w:val="20"/>
        </w:rPr>
      </w:pPr>
      <w:r w:rsidRPr="00FF29E6">
        <w:rPr>
          <w:sz w:val="20"/>
        </w:rPr>
        <w:t xml:space="preserve">Cyber Liability Insurance, with limits not less than </w:t>
      </w:r>
      <w:r w:rsidRPr="00FF29E6">
        <w:rPr>
          <w:sz w:val="20"/>
          <w:highlight w:val="yellow"/>
        </w:rPr>
        <w:t>two million dollars ($2,000,000)</w:t>
      </w:r>
      <w:r w:rsidRPr="00FF29E6">
        <w:rPr>
          <w:sz w:val="20"/>
        </w:rPr>
        <w:t xml:space="preserve"> per occurrence or claim, </w:t>
      </w:r>
      <w:r w:rsidRPr="00FF29E6">
        <w:rPr>
          <w:sz w:val="20"/>
          <w:highlight w:val="yellow"/>
        </w:rPr>
        <w:t>two million dollars ($2,000,000)</w:t>
      </w:r>
      <w:r w:rsidRPr="00FF29E6">
        <w:rPr>
          <w:sz w:val="20"/>
        </w:rPr>
        <w:t xml:space="preserve"> aggregate. Coverage shall be sufficiently broad to respond to the duties and obligations as are undertaken by Contractor in this Agreement and shall include, but not be limited to, claims involving security </w:t>
      </w:r>
      <w:r w:rsidRPr="00FF29E6">
        <w:rPr>
          <w:sz w:val="16"/>
          <w:szCs w:val="16"/>
        </w:rPr>
        <w:annotationRef/>
      </w:r>
      <w:r w:rsidRPr="00FF29E6">
        <w:rPr>
          <w:i/>
          <w:iCs/>
          <w:sz w:val="20"/>
        </w:rPr>
        <w:t xml:space="preserve"> </w:t>
      </w:r>
    </w:p>
    <w:p w14:paraId="382B5D57" w14:textId="77777777" w:rsidR="001768BA" w:rsidRPr="00FF29E6" w:rsidRDefault="001768BA" w:rsidP="001768BA">
      <w:pPr>
        <w:rPr>
          <w:sz w:val="20"/>
        </w:rPr>
      </w:pPr>
      <w:r w:rsidRPr="00FF29E6">
        <w:rPr>
          <w:sz w:val="20"/>
        </w:rPr>
        <w:t xml:space="preserve">breach, system failure, data recovery, business interruption, cyber extortion, social engineering, infringement of intellectual property, including but not limited to infringement of copyright, trademark, trade dress, invasion of </w:t>
      </w:r>
      <w:r w:rsidRPr="00FF29E6">
        <w:rPr>
          <w:sz w:val="20"/>
        </w:rPr>
        <w:lastRenderedPageBreak/>
        <w:t>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72A8AFF7" w14:textId="77777777" w:rsidR="001768BA" w:rsidRPr="00FF29E6" w:rsidRDefault="001768BA" w:rsidP="001768BA">
      <w:pPr>
        <w:rPr>
          <w:sz w:val="20"/>
        </w:rPr>
      </w:pPr>
    </w:p>
    <w:p w14:paraId="4C737D02" w14:textId="77777777" w:rsidR="001768BA" w:rsidRPr="00FF29E6" w:rsidRDefault="001768BA" w:rsidP="008B08B2">
      <w:pPr>
        <w:numPr>
          <w:ilvl w:val="3"/>
          <w:numId w:val="31"/>
        </w:numPr>
        <w:spacing w:line="259" w:lineRule="auto"/>
        <w:contextualSpacing/>
        <w:rPr>
          <w:sz w:val="20"/>
        </w:rPr>
      </w:pPr>
      <w:r w:rsidRPr="00FF29E6">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29E6">
        <w:rPr>
          <w:sz w:val="20"/>
        </w:rPr>
        <w:t xml:space="preserve">Technology professional liability errors and omissions insurance appropriate to the Contractor profession and work hereunder, with limits not less than </w:t>
      </w:r>
      <w:r w:rsidRPr="00FF29E6">
        <w:rPr>
          <w:sz w:val="20"/>
          <w:highlight w:val="yellow"/>
        </w:rPr>
        <w:t>two million dollars ($2,000,000)</w:t>
      </w:r>
      <w:r w:rsidRPr="00FF29E6">
        <w:rPr>
          <w:sz w:val="20"/>
        </w:rPr>
        <w:t xml:space="preserve"> per occurrence, and </w:t>
      </w:r>
      <w:r w:rsidRPr="00FF29E6">
        <w:rPr>
          <w:sz w:val="20"/>
          <w:highlight w:val="yellow"/>
        </w:rPr>
        <w:t>two million dollars ($2,000,000)</w:t>
      </w:r>
      <w:r w:rsidRPr="00FF29E6">
        <w:rPr>
          <w:sz w:val="20"/>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include,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57B5EB6C" w14:textId="77777777" w:rsidR="001768BA" w:rsidRPr="00FF29E6" w:rsidRDefault="001768BA" w:rsidP="001768BA">
      <w:pPr>
        <w:ind w:left="3510"/>
        <w:rPr>
          <w:sz w:val="20"/>
        </w:rPr>
      </w:pPr>
    </w:p>
    <w:p w14:paraId="79157DE0" w14:textId="77777777" w:rsidR="001768BA" w:rsidRPr="00FF29E6" w:rsidRDefault="001768BA" w:rsidP="001768BA">
      <w:pPr>
        <w:numPr>
          <w:ilvl w:val="3"/>
          <w:numId w:val="31"/>
        </w:numPr>
        <w:spacing w:line="259" w:lineRule="auto"/>
        <w:contextualSpacing/>
        <w:rPr>
          <w:sz w:val="20"/>
        </w:rPr>
      </w:pPr>
      <w:commentRangeStart w:id="40"/>
      <w:r w:rsidRPr="00FF29E6">
        <w:rPr>
          <w:sz w:val="20"/>
          <w:u w:val="single"/>
        </w:rPr>
        <w:t>Builders Risk/Installation</w:t>
      </w:r>
      <w:commentRangeEnd w:id="40"/>
      <w:r w:rsidRPr="00FF29E6">
        <w:rPr>
          <w:sz w:val="16"/>
          <w:szCs w:val="16"/>
        </w:rPr>
        <w:commentReference w:id="40"/>
      </w:r>
    </w:p>
    <w:p w14:paraId="488AECF1" w14:textId="77777777" w:rsidR="001768BA" w:rsidRPr="00FF29E6" w:rsidRDefault="001768BA" w:rsidP="001768BA">
      <w:pPr>
        <w:rPr>
          <w:sz w:val="20"/>
        </w:rPr>
      </w:pPr>
      <w:r w:rsidRPr="00FF29E6">
        <w:rPr>
          <w:sz w:val="20"/>
        </w:rPr>
        <w:t>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w:t>
      </w:r>
    </w:p>
    <w:p w14:paraId="14B0A90D" w14:textId="77777777" w:rsidR="001768BA" w:rsidRPr="00FF29E6" w:rsidRDefault="001768BA" w:rsidP="001768BA">
      <w:pPr>
        <w:rPr>
          <w:sz w:val="20"/>
        </w:rPr>
      </w:pPr>
    </w:p>
    <w:p w14:paraId="585226D9" w14:textId="77777777" w:rsidR="001768BA" w:rsidRPr="00FF29E6" w:rsidRDefault="001768BA" w:rsidP="001768BA">
      <w:pPr>
        <w:numPr>
          <w:ilvl w:val="3"/>
          <w:numId w:val="31"/>
        </w:numPr>
        <w:spacing w:line="259" w:lineRule="auto"/>
        <w:contextualSpacing/>
        <w:rPr>
          <w:sz w:val="20"/>
        </w:rPr>
      </w:pPr>
      <w:commentRangeStart w:id="41"/>
      <w:r w:rsidRPr="00FF29E6">
        <w:rPr>
          <w:sz w:val="20"/>
          <w:u w:val="single"/>
        </w:rPr>
        <w:t xml:space="preserve">Contractor’s Equipment Insurance </w:t>
      </w:r>
    </w:p>
    <w:p w14:paraId="62A9257A" w14:textId="77777777" w:rsidR="001768BA" w:rsidRPr="00FF29E6" w:rsidRDefault="001768BA" w:rsidP="001768BA">
      <w:pPr>
        <w:rPr>
          <w:sz w:val="20"/>
        </w:rPr>
      </w:pPr>
      <w:r w:rsidRPr="00FF29E6">
        <w:rPr>
          <w:sz w:val="20"/>
        </w:rPr>
        <w:t>Contractor shall maintain equipment insurance covering its business property, equipment, and tools used in the performance at the project site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commentRangeEnd w:id="41"/>
      <w:r w:rsidRPr="00FF29E6">
        <w:rPr>
          <w:sz w:val="16"/>
          <w:szCs w:val="16"/>
        </w:rPr>
        <w:commentReference w:id="41"/>
      </w:r>
    </w:p>
    <w:p w14:paraId="0E0FA093" w14:textId="77777777" w:rsidR="001768BA" w:rsidRPr="00FF29E6" w:rsidRDefault="001768BA" w:rsidP="001768BA">
      <w:pPr>
        <w:rPr>
          <w:sz w:val="20"/>
        </w:rPr>
      </w:pPr>
    </w:p>
    <w:p w14:paraId="088FE66C" w14:textId="77777777" w:rsidR="001768BA" w:rsidRPr="00FF29E6" w:rsidRDefault="001768BA" w:rsidP="001768BA">
      <w:pPr>
        <w:numPr>
          <w:ilvl w:val="3"/>
          <w:numId w:val="31"/>
        </w:numPr>
        <w:spacing w:line="259" w:lineRule="auto"/>
        <w:contextualSpacing/>
        <w:rPr>
          <w:sz w:val="20"/>
        </w:rPr>
      </w:pPr>
      <w:r w:rsidRPr="00FF29E6">
        <w:rPr>
          <w:sz w:val="20"/>
          <w:u w:val="single"/>
        </w:rPr>
        <w:t>Commercial Crime Insurance</w:t>
      </w:r>
    </w:p>
    <w:p w14:paraId="1387677F" w14:textId="77777777" w:rsidR="001768BA" w:rsidRPr="00FF29E6" w:rsidRDefault="001768BA" w:rsidP="001768BA">
      <w:pPr>
        <w:tabs>
          <w:tab w:val="left" w:pos="360"/>
        </w:tabs>
        <w:rPr>
          <w:sz w:val="20"/>
        </w:rPr>
      </w:pPr>
      <w:r w:rsidRPr="00FF29E6">
        <w:rPr>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w:t>
      </w:r>
      <w:r w:rsidRPr="00C572FA">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commentRangeStart w:id="42"/>
      <w:r w:rsidR="00081C7A">
        <w:rPr>
          <w:rFonts w:asciiTheme="minorHAnsi" w:hAnsiTheme="minorHAnsi" w:cstheme="minorHAnsi"/>
          <w:bCs/>
          <w:sz w:val="20"/>
        </w:rPr>
        <w:t>a single one-year term</w:t>
      </w:r>
      <w:commentRangeEnd w:id="42"/>
      <w:r w:rsidR="008D2FFB">
        <w:rPr>
          <w:rStyle w:val="CommentReference"/>
        </w:rPr>
        <w:commentReference w:id="42"/>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commentRangeStart w:id="43"/>
      <w:r w:rsidRPr="007F3498">
        <w:rPr>
          <w:rFonts w:asciiTheme="minorHAnsi" w:hAnsiTheme="minorHAnsi" w:cstheme="minorHAnsi"/>
          <w:b/>
          <w:bCs/>
          <w:sz w:val="20"/>
        </w:rPr>
        <w:t>Tax Delinquency</w:t>
      </w:r>
      <w:commentRangeEnd w:id="43"/>
      <w:r w:rsidR="003B4F33">
        <w:rPr>
          <w:rStyle w:val="CommentReference"/>
        </w:rPr>
        <w:commentReference w:id="43"/>
      </w:r>
      <w:r w:rsidRPr="007F3498">
        <w:rPr>
          <w:rFonts w:asciiTheme="minorHAnsi" w:hAnsiTheme="minorHAnsi" w:cstheme="minorHAnsi"/>
          <w:b/>
          <w:bCs/>
          <w:sz w:val="20"/>
        </w:rPr>
        <w:t xml:space="preserve">.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commentRangeStart w:id="44"/>
      <w:r w:rsidRPr="00E7307B">
        <w:rPr>
          <w:rFonts w:asciiTheme="minorHAnsi" w:hAnsiTheme="minorHAnsi" w:cstheme="minorHAnsi"/>
          <w:i/>
          <w:color w:val="FF0000"/>
          <w:sz w:val="20"/>
        </w:rPr>
        <w:t xml:space="preserve">applicable only </w:t>
      </w:r>
      <w:commentRangeEnd w:id="44"/>
      <w:r w:rsidR="00A203FE">
        <w:rPr>
          <w:rStyle w:val="CommentReference"/>
          <w:rFonts w:ascii="Times New Roman" w:hAnsi="Times New Roman" w:cs="Times New Roman"/>
          <w:b w:val="0"/>
        </w:rPr>
        <w:commentReference w:id="44"/>
      </w:r>
      <w:r w:rsidRPr="00E7307B">
        <w:rPr>
          <w:rFonts w:asciiTheme="minorHAnsi" w:hAnsiTheme="minorHAnsi" w:cstheme="minorHAnsi"/>
          <w:i/>
          <w:color w:val="FF0000"/>
          <w:sz w:val="20"/>
        </w:rPr>
        <w:t xml:space="preserve">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9"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lastRenderedPageBreak/>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lastRenderedPageBreak/>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commentRangeStart w:id="45"/>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commentRangeEnd w:id="45"/>
      <w:r w:rsidR="00E94566">
        <w:rPr>
          <w:rStyle w:val="CommentReference"/>
        </w:rPr>
        <w:commentReference w:id="45"/>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0"/>
          <w:footerReference w:type="first" r:id="rId21"/>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52B13E8" w14:textId="77777777" w:rsidR="003B4F33" w:rsidRDefault="003B4F33">
      <w:pPr>
        <w:pStyle w:val="CommentText"/>
      </w:pPr>
      <w:r>
        <w:rPr>
          <w:rStyle w:val="CommentReference"/>
        </w:rPr>
        <w:annotationRef/>
      </w:r>
      <w:r>
        <w:t xml:space="preserve">If the </w:t>
      </w:r>
      <w:r w:rsidR="006E3615">
        <w:t>JBE</w:t>
      </w:r>
      <w:r>
        <w:t xml:space="preserve"> does not use Agreement numbers, this box may be deleted.</w:t>
      </w:r>
    </w:p>
  </w:comment>
  <w:comment w:id="1" w:author="Author" w:initials="A">
    <w:p w14:paraId="60A76918" w14:textId="77777777" w:rsidR="003B4F33" w:rsidRDefault="003B4F33">
      <w:pPr>
        <w:pStyle w:val="CommentText"/>
      </w:pPr>
      <w:r>
        <w:rPr>
          <w:rStyle w:val="CommentReference"/>
        </w:rPr>
        <w:annotationRef/>
      </w:r>
      <w:r>
        <w:t>For information regarding Option Terms see Appendix C, section 5.</w:t>
      </w:r>
    </w:p>
  </w:comment>
  <w:comment w:id="2" w:author="Author" w:initials="A">
    <w:p w14:paraId="1177B84E" w14:textId="77777777" w:rsidR="003B4F33" w:rsidRDefault="003B4F33">
      <w:pPr>
        <w:pStyle w:val="CommentText"/>
      </w:pPr>
      <w:r>
        <w:rPr>
          <w:rStyle w:val="CommentReference"/>
        </w:rPr>
        <w:annotationRef/>
      </w:r>
      <w:r>
        <w:t>The “Contract Amount” is the total amount payable under the Agreement during the Initial Term and all Option Terms.  This amount includes all compensation and expenses.</w:t>
      </w:r>
    </w:p>
    <w:p w14:paraId="38E6421B" w14:textId="77777777" w:rsidR="003B4F33" w:rsidRDefault="003B4F33">
      <w:pPr>
        <w:pStyle w:val="CommentText"/>
      </w:pPr>
    </w:p>
    <w:p w14:paraId="7482E15E" w14:textId="77777777" w:rsidR="003B4F33" w:rsidRDefault="003B4F33">
      <w:pPr>
        <w:pStyle w:val="CommentText"/>
      </w:pPr>
      <w:r>
        <w:t>The Contract Amount includes all Option Terms because this dollar amount is necessary to determine the applicability of certain Public Contract Code requirements.  See Appendix C, section 9.</w:t>
      </w:r>
    </w:p>
  </w:comment>
  <w:comment w:id="3" w:author="Author" w:initials="A">
    <w:p w14:paraId="5C0CD200" w14:textId="77777777" w:rsidR="003B4F33" w:rsidRDefault="003B4F33">
      <w:pPr>
        <w:pStyle w:val="CommentText"/>
      </w:pPr>
      <w:r>
        <w:rPr>
          <w:rStyle w:val="CommentReference"/>
        </w:rPr>
        <w:annotationRef/>
      </w:r>
      <w:r>
        <w:t xml:space="preserve"> This sentence may be deleted if there is no Option Term. </w:t>
      </w:r>
    </w:p>
    <w:p w14:paraId="72E137C4" w14:textId="77777777" w:rsidR="003B4F33" w:rsidRDefault="003B4F33">
      <w:pPr>
        <w:pStyle w:val="CommentText"/>
      </w:pPr>
    </w:p>
    <w:p w14:paraId="45255E60" w14:textId="77777777" w:rsidR="003B4F33" w:rsidRDefault="003B4F33">
      <w:pPr>
        <w:pStyle w:val="CommentText"/>
      </w:pPr>
      <w:r>
        <w:t xml:space="preserve">When added, the amounts in this sentence should equal the “Contract Amount.”  </w:t>
      </w:r>
    </w:p>
    <w:p w14:paraId="45A27299" w14:textId="77777777" w:rsidR="003B4F33" w:rsidRDefault="003B4F33">
      <w:pPr>
        <w:pStyle w:val="CommentText"/>
      </w:pPr>
    </w:p>
    <w:p w14:paraId="04133CBD" w14:textId="77777777" w:rsidR="003B4F33" w:rsidRDefault="003B4F33">
      <w:pPr>
        <w:pStyle w:val="CommentText"/>
      </w:pPr>
      <w:r>
        <w:t>If there are multiple Option Terms, the following language may be used:</w:t>
      </w:r>
    </w:p>
    <w:p w14:paraId="710DDA60" w14:textId="77777777" w:rsidR="003B4F33" w:rsidRDefault="003B4F33">
      <w:pPr>
        <w:pStyle w:val="CommentText"/>
      </w:pPr>
    </w:p>
    <w:p w14:paraId="3B7F8C29" w14:textId="77777777" w:rsidR="003B4F33" w:rsidRDefault="003B4F33">
      <w:pPr>
        <w:pStyle w:val="CommentText"/>
      </w:pPr>
      <w:r w:rsidRPr="008C1E27">
        <w:t xml:space="preserve">The maximum amount the </w:t>
      </w:r>
      <w:r w:rsidR="006E3615">
        <w:t>JBE</w:t>
      </w:r>
      <w:r w:rsidRPr="008C1E27">
        <w:t xml:space="preserve"> may pay Contractor </w:t>
      </w:r>
      <w:r>
        <w:t xml:space="preserve">is (i) </w:t>
      </w:r>
      <w:r w:rsidRPr="00287443">
        <w:t>$</w:t>
      </w:r>
      <w:r>
        <w:rPr>
          <w:b/>
          <w:highlight w:val="yellow"/>
        </w:rPr>
        <w:t>[Dollar amount</w:t>
      </w:r>
      <w:r w:rsidRPr="00287443">
        <w:rPr>
          <w:b/>
          <w:highlight w:val="yellow"/>
        </w:rPr>
        <w:t>]</w:t>
      </w:r>
      <w:r>
        <w:rPr>
          <w:b/>
        </w:rPr>
        <w:t xml:space="preserve"> </w:t>
      </w:r>
      <w:r w:rsidRPr="008C1E27">
        <w:t xml:space="preserve">during the </w:t>
      </w:r>
      <w:r>
        <w:t>Initial Term</w:t>
      </w:r>
      <w:r w:rsidRPr="008E0BF4">
        <w:t>,</w:t>
      </w:r>
      <w:r>
        <w:t xml:space="preserve"> (ii) </w:t>
      </w:r>
      <w:r w:rsidRPr="00287443">
        <w:t>$</w:t>
      </w:r>
      <w:r>
        <w:rPr>
          <w:b/>
          <w:highlight w:val="yellow"/>
        </w:rPr>
        <w:t>[Dollar amount</w:t>
      </w:r>
      <w:r w:rsidRPr="00287443">
        <w:rPr>
          <w:b/>
          <w:highlight w:val="yellow"/>
        </w:rPr>
        <w:t>]</w:t>
      </w:r>
      <w:r>
        <w:rPr>
          <w:b/>
        </w:rPr>
        <w:t xml:space="preserve"> </w:t>
      </w:r>
      <w:r>
        <w:t xml:space="preserve">during the first Option Term, and (iii) </w:t>
      </w:r>
      <w:r w:rsidRPr="00287443">
        <w:t>$</w:t>
      </w:r>
      <w:r>
        <w:rPr>
          <w:b/>
          <w:highlight w:val="yellow"/>
        </w:rPr>
        <w:t>[Dollar amount</w:t>
      </w:r>
      <w:r w:rsidRPr="00287443">
        <w:rPr>
          <w:b/>
          <w:highlight w:val="yellow"/>
        </w:rPr>
        <w:t>]</w:t>
      </w:r>
      <w:r>
        <w:rPr>
          <w:b/>
        </w:rPr>
        <w:t xml:space="preserve"> </w:t>
      </w:r>
      <w:r>
        <w:t>during the second Option Term.</w:t>
      </w:r>
      <w:r w:rsidRPr="008C1E27">
        <w:t xml:space="preserve"> </w:t>
      </w:r>
      <w:r w:rsidRPr="00A43C44">
        <w:rPr>
          <w:b/>
          <w:i/>
        </w:rPr>
        <w:t>[etc]</w:t>
      </w:r>
    </w:p>
  </w:comment>
  <w:comment w:id="4" w:author="Author" w:initials="A">
    <w:p w14:paraId="7EE1EE69" w14:textId="77777777" w:rsidR="006229AF" w:rsidRDefault="0064259C">
      <w:pPr>
        <w:pStyle w:val="CommentText"/>
      </w:pPr>
      <w:r>
        <w:rPr>
          <w:rStyle w:val="CommentReference"/>
        </w:rPr>
        <w:annotationRef/>
      </w:r>
    </w:p>
    <w:p w14:paraId="0434D327" w14:textId="77777777" w:rsidR="006229AF" w:rsidRDefault="006229AF" w:rsidP="00065D7B">
      <w:pPr>
        <w:pStyle w:val="CommentText"/>
      </w:pPr>
      <w:r>
        <w:rPr>
          <w:b/>
          <w:bCs/>
          <w:u w:val="single"/>
        </w:rPr>
        <w:t>Please note</w:t>
      </w:r>
      <w:r>
        <w:rPr>
          <w:b/>
          <w:bCs/>
        </w:rPr>
        <w:t xml:space="preserve">: this sample agreement does not contain provisions relating to prevailing wage requirements. In general, prevailing wage requirements apply to public works projects, which include alteration, demolition, installation, or repair work done under contract and paid in whole or in part out of public funds (including preconstruction and post-construction activities related to a public works project). For additional information on prevailing wage requirements and determining when prevailing wage requirements are applicable, please see the </w:t>
      </w:r>
      <w:r>
        <w:rPr>
          <w:b/>
          <w:bCs/>
          <w:i/>
          <w:iCs/>
        </w:rPr>
        <w:t>Prevailing Wage Requirements</w:t>
      </w:r>
      <w:r>
        <w:rPr>
          <w:b/>
          <w:bCs/>
        </w:rPr>
        <w:t xml:space="preserve"> document (which includes sample prevailing wage provisions for contracts) in the </w:t>
      </w:r>
      <w:hyperlink r:id="rId1" w:anchor="acc19165" w:history="1">
        <w:r w:rsidRPr="00065D7B">
          <w:rPr>
            <w:rStyle w:val="Hyperlink"/>
            <w:b/>
            <w:bCs/>
            <w:i/>
            <w:iCs/>
          </w:rPr>
          <w:t xml:space="preserve">Supplemental Information/Other Resources </w:t>
        </w:r>
      </w:hyperlink>
      <w:hyperlink r:id="rId2" w:anchor="acc19165" w:history="1">
        <w:r w:rsidRPr="00065D7B">
          <w:rPr>
            <w:rStyle w:val="Hyperlink"/>
            <w:b/>
            <w:bCs/>
          </w:rPr>
          <w:t>section</w:t>
        </w:r>
      </w:hyperlink>
      <w:r>
        <w:rPr>
          <w:b/>
          <w:bCs/>
          <w:color w:val="000000"/>
        </w:rPr>
        <w:t xml:space="preserve"> </w:t>
      </w:r>
      <w:r>
        <w:rPr>
          <w:b/>
          <w:bCs/>
        </w:rPr>
        <w:t>of the JBCM/JBCL site. If you need additional assistance, please consult with Judicial Council Branch Accounting and Procurement, or Judicial Council Legal Services.</w:t>
      </w:r>
    </w:p>
  </w:comment>
  <w:comment w:id="5" w:author="Author" w:initials="A">
    <w:p w14:paraId="2730E154" w14:textId="35C5FB14" w:rsidR="003B4F33" w:rsidRDefault="003B4F33">
      <w:pPr>
        <w:pStyle w:val="CommentText"/>
      </w:pPr>
      <w:r>
        <w:rPr>
          <w:rStyle w:val="CommentReference"/>
        </w:rPr>
        <w:annotationRef/>
      </w:r>
      <w:r>
        <w:rPr>
          <w:rStyle w:val="CommentReference"/>
        </w:rPr>
        <w:t>The description of Goods, Services, and Deliverables should be</w:t>
      </w:r>
      <w:r>
        <w:rPr>
          <w:rFonts w:asciiTheme="minorHAnsi" w:hAnsiTheme="minorHAnsi" w:cstheme="minorHAnsi"/>
        </w:rPr>
        <w:t xml:space="preserve"> based on the </w:t>
      </w:r>
      <w:r w:rsidRPr="00085746">
        <w:rPr>
          <w:rFonts w:asciiTheme="minorHAnsi" w:hAnsiTheme="minorHAnsi" w:cstheme="minorHAnsi"/>
        </w:rPr>
        <w:t>solicitation document</w:t>
      </w:r>
      <w:r>
        <w:rPr>
          <w:rFonts w:asciiTheme="minorHAnsi" w:hAnsiTheme="minorHAnsi" w:cstheme="minorHAnsi"/>
        </w:rPr>
        <w:t>, Contractor’s</w:t>
      </w:r>
      <w:r w:rsidRPr="00085746">
        <w:rPr>
          <w:rFonts w:asciiTheme="minorHAnsi" w:hAnsiTheme="minorHAnsi" w:cstheme="minorHAnsi"/>
        </w:rPr>
        <w:t xml:space="preserve"> </w:t>
      </w:r>
      <w:r>
        <w:rPr>
          <w:rFonts w:asciiTheme="minorHAnsi" w:hAnsiTheme="minorHAnsi" w:cstheme="minorHAnsi"/>
        </w:rPr>
        <w:t xml:space="preserve">bid or proposal, and any negotiations between the </w:t>
      </w:r>
      <w:r w:rsidR="006E3615">
        <w:rPr>
          <w:rFonts w:asciiTheme="minorHAnsi" w:hAnsiTheme="minorHAnsi" w:cstheme="minorHAnsi"/>
        </w:rPr>
        <w:t xml:space="preserve">JBE </w:t>
      </w:r>
      <w:r>
        <w:rPr>
          <w:rFonts w:asciiTheme="minorHAnsi" w:hAnsiTheme="minorHAnsi" w:cstheme="minorHAnsi"/>
        </w:rPr>
        <w:t>and Contractor, as applicable.</w:t>
      </w:r>
    </w:p>
  </w:comment>
  <w:comment w:id="6" w:author="Author" w:initials="A">
    <w:p w14:paraId="19412497" w14:textId="77777777" w:rsidR="003B4F33" w:rsidRDefault="003B4F33">
      <w:pPr>
        <w:pStyle w:val="CommentText"/>
      </w:pPr>
      <w:r>
        <w:rPr>
          <w:rStyle w:val="CommentReference"/>
        </w:rPr>
        <w:annotationRef/>
      </w:r>
      <w:r w:rsidRPr="00085746">
        <w:t xml:space="preserve">If desired, describe any significant background information relevant to </w:t>
      </w:r>
      <w:r>
        <w:t>this Agreement and the</w:t>
      </w:r>
      <w:r w:rsidRPr="00085746">
        <w:t xml:space="preserve"> purpose</w:t>
      </w:r>
      <w:r>
        <w:t xml:space="preserve"> of this Agreement</w:t>
      </w:r>
      <w:r w:rsidRPr="00085746">
        <w:t>, such as would belong in a “recitals” section of a contract.</w:t>
      </w:r>
      <w:r>
        <w:t xml:space="preserve">  Otherwise, this section may be deleted.</w:t>
      </w:r>
    </w:p>
  </w:comment>
  <w:comment w:id="7" w:author="Author" w:initials="A">
    <w:p w14:paraId="73257CDC" w14:textId="77777777" w:rsidR="003B4F33" w:rsidRDefault="003B4F33" w:rsidP="0012785C">
      <w:pPr>
        <w:pStyle w:val="CommentText"/>
      </w:pPr>
      <w:r>
        <w:rPr>
          <w:rStyle w:val="CommentReference"/>
        </w:rPr>
        <w:annotationRef/>
      </w:r>
      <w:r>
        <w:t>Describe in detail the Goods that</w:t>
      </w:r>
      <w:r w:rsidRPr="00085746">
        <w:t xml:space="preserve"> Contractor will </w:t>
      </w:r>
      <w:r>
        <w:t>provide</w:t>
      </w:r>
      <w:r w:rsidRPr="00085746">
        <w:t xml:space="preserve">. </w:t>
      </w:r>
      <w:r>
        <w:t xml:space="preserve"> It may be appropriate to address here (i) model or inventory numbers, (ii) quantities, (iii) other specifications, (iv) optional items, and (v) delivery schedule.  </w:t>
      </w:r>
    </w:p>
    <w:p w14:paraId="0033F31F" w14:textId="77777777" w:rsidR="003B4F33" w:rsidRDefault="003B4F33" w:rsidP="0012785C">
      <w:pPr>
        <w:pStyle w:val="CommentText"/>
      </w:pPr>
    </w:p>
    <w:p w14:paraId="64028EA7" w14:textId="77777777" w:rsidR="003B4F33" w:rsidRDefault="003B4F33" w:rsidP="0012785C">
      <w:pPr>
        <w:pStyle w:val="CommentText"/>
      </w:pPr>
      <w:r>
        <w:t>If there are no Goods under this Agreement, insert "N/A" or "Not applicable" here.</w:t>
      </w:r>
    </w:p>
  </w:comment>
  <w:comment w:id="8" w:author="Author" w:initials="A">
    <w:p w14:paraId="512784D2" w14:textId="77777777" w:rsidR="003B4F33" w:rsidRDefault="003B4F33" w:rsidP="0012785C">
      <w:pPr>
        <w:pStyle w:val="CommentText"/>
      </w:pPr>
      <w:r>
        <w:rPr>
          <w:rStyle w:val="CommentReference"/>
        </w:rPr>
        <w:annotationRef/>
      </w:r>
      <w:r>
        <w:t xml:space="preserve">This is the recommended shipping term.  Contractor </w:t>
      </w:r>
      <w:r w:rsidRPr="0095116E">
        <w:t>is responsible for freight charges and costs</w:t>
      </w:r>
      <w:r>
        <w:t>,</w:t>
      </w:r>
      <w:r w:rsidRPr="0095116E">
        <w:t xml:space="preserve"> and </w:t>
      </w:r>
      <w:r>
        <w:t>bears the risk of loss w</w:t>
      </w:r>
      <w:r w:rsidRPr="0095116E">
        <w:t xml:space="preserve">hile </w:t>
      </w:r>
      <w:r>
        <w:t xml:space="preserve">the Goods are </w:t>
      </w:r>
      <w:r w:rsidRPr="0095116E">
        <w:t>in transit</w:t>
      </w:r>
      <w:r>
        <w:t xml:space="preserve">.  The </w:t>
      </w:r>
      <w:r w:rsidR="006E3615">
        <w:t>JBE</w:t>
      </w:r>
      <w:r>
        <w:t xml:space="preserve"> may use other shipping terms as desired.  </w:t>
      </w:r>
    </w:p>
  </w:comment>
  <w:comment w:id="9" w:author="Author" w:initials="A">
    <w:p w14:paraId="741F4095" w14:textId="77777777" w:rsidR="003B4F33" w:rsidRDefault="003B4F33">
      <w:pPr>
        <w:pStyle w:val="CommentText"/>
      </w:pPr>
      <w:r>
        <w:rPr>
          <w:rStyle w:val="CommentReference"/>
        </w:rPr>
        <w:annotationRef/>
      </w:r>
      <w:r>
        <w:t>Insert the address to which the Goods will be shipped.</w:t>
      </w:r>
    </w:p>
  </w:comment>
  <w:comment w:id="10" w:author="Author" w:initials="A">
    <w:p w14:paraId="6DFD7B3A" w14:textId="77777777" w:rsidR="003B4F33" w:rsidRDefault="003B4F33" w:rsidP="0012785C">
      <w:pPr>
        <w:pStyle w:val="CommentText"/>
      </w:pPr>
      <w:r>
        <w:rPr>
          <w:rStyle w:val="CommentReference"/>
        </w:rPr>
        <w:annotationRef/>
      </w:r>
      <w:r w:rsidRPr="00FE190F">
        <w:t xml:space="preserve">Describe in detail what inspection will be </w:t>
      </w:r>
      <w:r>
        <w:t>performed</w:t>
      </w:r>
      <w:r w:rsidRPr="00FE190F">
        <w:t xml:space="preserve"> by the </w:t>
      </w:r>
      <w:r w:rsidR="006E3615">
        <w:t>JBE</w:t>
      </w:r>
      <w:r w:rsidRPr="00FE190F">
        <w:t xml:space="preserve"> and include any relevant acceptance criteria.</w:t>
      </w:r>
    </w:p>
  </w:comment>
  <w:comment w:id="11" w:author="Author" w:initials="A">
    <w:p w14:paraId="306D5DE0" w14:textId="77777777" w:rsidR="003B4F33" w:rsidRDefault="003B4F33" w:rsidP="0012785C">
      <w:pPr>
        <w:pStyle w:val="CommentText"/>
      </w:pPr>
      <w:r>
        <w:rPr>
          <w:rStyle w:val="CommentReference"/>
        </w:rPr>
        <w:annotationRef/>
      </w:r>
      <w:r>
        <w:t xml:space="preserve">The </w:t>
      </w:r>
      <w:r w:rsidR="006E3615">
        <w:t>JBE</w:t>
      </w:r>
      <w:r>
        <w:t xml:space="preserve"> should replace or supplement this general warranty with a warranty specific to the deal, if applicable.</w:t>
      </w:r>
    </w:p>
  </w:comment>
  <w:comment w:id="12" w:author="Author" w:initials="A">
    <w:p w14:paraId="6EB73350" w14:textId="77777777" w:rsidR="003B4F33" w:rsidRDefault="003B4F33">
      <w:pPr>
        <w:pStyle w:val="CommentText"/>
      </w:pPr>
      <w:r>
        <w:rPr>
          <w:rStyle w:val="CommentReference"/>
        </w:rPr>
        <w:annotationRef/>
      </w:r>
      <w:r>
        <w:t>Describe in detail the Services that</w:t>
      </w:r>
      <w:r w:rsidRPr="00085746">
        <w:t xml:space="preserve"> Contractor will perform</w:t>
      </w:r>
      <w:r>
        <w:t>, including start and end dates (if applicable)</w:t>
      </w:r>
      <w:r w:rsidRPr="00085746">
        <w:t xml:space="preserve">. </w:t>
      </w:r>
      <w:r>
        <w:t xml:space="preserve"> If there are no Services under this Agreement, insert "N/A" or "Not applicable" here.</w:t>
      </w:r>
    </w:p>
  </w:comment>
  <w:comment w:id="13" w:author="Author" w:initials="A">
    <w:p w14:paraId="05387535" w14:textId="77777777" w:rsidR="003B4F33" w:rsidRPr="009636E9" w:rsidRDefault="003B4F33" w:rsidP="003145FD">
      <w:pPr>
        <w:pStyle w:val="CommentText"/>
      </w:pPr>
      <w:r>
        <w:rPr>
          <w:rStyle w:val="CommentReference"/>
        </w:rPr>
        <w:annotationRef/>
      </w:r>
      <w:r w:rsidRPr="00C4177B">
        <w:t xml:space="preserve">If the </w:t>
      </w:r>
      <w:r w:rsidR="006E3615">
        <w:t>JBE</w:t>
      </w:r>
      <w:r w:rsidRPr="00C4177B">
        <w:t xml:space="preserve"> requires Contractor to create and deliver something, </w:t>
      </w:r>
      <w:r>
        <w:t xml:space="preserve">describe </w:t>
      </w:r>
      <w:r w:rsidRPr="00C4177B">
        <w:t xml:space="preserve">the item that must be delivered </w:t>
      </w:r>
      <w:r>
        <w:t>here</w:t>
      </w:r>
      <w:r w:rsidRPr="00C4177B">
        <w:t xml:space="preserve">.  </w:t>
      </w:r>
      <w:r>
        <w:t>Deliverables include</w:t>
      </w:r>
      <w:r w:rsidRPr="00C4177B">
        <w:t xml:space="preserve"> things like reports or PowerPoint presentations.  </w:t>
      </w:r>
      <w:r>
        <w:rPr>
          <w:rFonts w:asciiTheme="minorHAnsi" w:hAnsiTheme="minorHAnsi" w:cstheme="minorHAnsi"/>
          <w:i/>
        </w:rPr>
        <w:t xml:space="preserve"> </w:t>
      </w:r>
    </w:p>
    <w:p w14:paraId="61F53084" w14:textId="77777777" w:rsidR="003B4F33" w:rsidRDefault="003B4F33" w:rsidP="003145FD">
      <w:pPr>
        <w:pStyle w:val="CommentText"/>
      </w:pPr>
    </w:p>
    <w:p w14:paraId="165335FC" w14:textId="77777777" w:rsidR="003B4F33" w:rsidRDefault="003B4F33" w:rsidP="003145FD">
      <w:pPr>
        <w:pStyle w:val="CommentText"/>
      </w:pPr>
      <w:r w:rsidRPr="00C4177B">
        <w:t xml:space="preserve">If Contractor will not create or deliver anything, </w:t>
      </w:r>
      <w:r>
        <w:t>insert "N/A" or "Not applicable" here</w:t>
      </w:r>
      <w:r w:rsidRPr="00C4177B">
        <w:t xml:space="preserve">.  For example, if Contractor will provide cleaning services, there is no </w:t>
      </w:r>
      <w:r>
        <w:t>“deliverable</w:t>
      </w:r>
      <w:r w:rsidRPr="00C4177B">
        <w:t>.</w:t>
      </w:r>
      <w:r>
        <w:t>”</w:t>
      </w:r>
    </w:p>
  </w:comment>
  <w:comment w:id="14" w:author="Author" w:initials="A">
    <w:p w14:paraId="114ACBF5" w14:textId="77777777" w:rsidR="003B4F33" w:rsidRDefault="003B4F33">
      <w:pPr>
        <w:pStyle w:val="CommentText"/>
      </w:pPr>
      <w:r>
        <w:rPr>
          <w:rStyle w:val="CommentReference"/>
        </w:rPr>
        <w:annotationRef/>
      </w:r>
      <w:r>
        <w:t xml:space="preserve">If the </w:t>
      </w:r>
      <w:r w:rsidR="006E3615">
        <w:t xml:space="preserve">JBE </w:t>
      </w:r>
      <w:r>
        <w:t>does not want to use an Acceptance and Signoff Form, it may delete this sentence.</w:t>
      </w:r>
    </w:p>
  </w:comment>
  <w:comment w:id="15" w:author="Author" w:initials="A">
    <w:p w14:paraId="7D7F2D73" w14:textId="77777777" w:rsidR="003B4F33" w:rsidRDefault="003B4F33" w:rsidP="003145FD">
      <w:pPr>
        <w:pStyle w:val="CommentText"/>
      </w:pPr>
      <w:r>
        <w:rPr>
          <w:rStyle w:val="CommentReference"/>
        </w:rPr>
        <w:annotationRef/>
      </w:r>
      <w:r>
        <w:t xml:space="preserve">Specify acceptance criteria for each Service and each Deliverable, as applicable. </w:t>
      </w:r>
    </w:p>
    <w:p w14:paraId="12FF7E81" w14:textId="77777777" w:rsidR="003B4F33" w:rsidRDefault="003B4F33" w:rsidP="003145FD">
      <w:pPr>
        <w:pStyle w:val="CommentText"/>
      </w:pPr>
    </w:p>
    <w:p w14:paraId="6EA4D9BA" w14:textId="77777777" w:rsidR="003B4F33" w:rsidRDefault="003B4F33" w:rsidP="003145FD">
      <w:pPr>
        <w:pStyle w:val="CommentText"/>
      </w:pPr>
      <w:r w:rsidRPr="000033AA">
        <w:t xml:space="preserve">When </w:t>
      </w:r>
      <w:r>
        <w:t>creating the acceptance c</w:t>
      </w:r>
      <w:r w:rsidRPr="000033AA">
        <w:t>riteria</w:t>
      </w:r>
      <w:r>
        <w:t xml:space="preserve">, </w:t>
      </w:r>
      <w:r w:rsidRPr="000033AA">
        <w:t xml:space="preserve">list all of the important attributes the </w:t>
      </w:r>
      <w:r w:rsidR="006E3615">
        <w:t>JBE</w:t>
      </w:r>
      <w:r w:rsidRPr="000033AA">
        <w:t xml:space="preserve"> wants the Services or </w:t>
      </w:r>
      <w:r>
        <w:t xml:space="preserve">Deliverable to </w:t>
      </w:r>
      <w:r w:rsidRPr="000033AA">
        <w:t xml:space="preserve">have.  This tells Contractor what the </w:t>
      </w:r>
      <w:r w:rsidR="006E3615">
        <w:t xml:space="preserve">JBE </w:t>
      </w:r>
      <w:r w:rsidRPr="000033AA">
        <w:t xml:space="preserve">considers to be most important about the Services or the </w:t>
      </w:r>
      <w:r>
        <w:t>Deliverables.</w:t>
      </w:r>
      <w:r w:rsidRPr="000033AA">
        <w:t xml:space="preserve">  It also gives Contractor notice that the </w:t>
      </w:r>
      <w:r w:rsidR="006E3615">
        <w:t>JBE</w:t>
      </w:r>
      <w:r w:rsidRPr="000033AA">
        <w:t xml:space="preserve"> will reject the Services or </w:t>
      </w:r>
      <w:r>
        <w:t>Deliverables</w:t>
      </w:r>
      <w:r w:rsidRPr="000033AA">
        <w:t xml:space="preserve"> if they do not meet these criteria.</w:t>
      </w:r>
    </w:p>
    <w:p w14:paraId="45419D9F" w14:textId="77777777" w:rsidR="003B4F33" w:rsidRDefault="003B4F33" w:rsidP="003145FD">
      <w:pPr>
        <w:pStyle w:val="CommentText"/>
      </w:pPr>
    </w:p>
    <w:p w14:paraId="0148A9B8" w14:textId="77777777" w:rsidR="003B4F33" w:rsidRDefault="00665E2F" w:rsidP="003145FD">
      <w:pPr>
        <w:pStyle w:val="CommentText"/>
      </w:pPr>
      <w:r>
        <w:t>In the absence of more specifically-tailored acceptance criteria, t</w:t>
      </w:r>
      <w:r w:rsidR="003B4F33">
        <w:t xml:space="preserve">he </w:t>
      </w:r>
      <w:r w:rsidR="00AD550D">
        <w:t>JBE</w:t>
      </w:r>
      <w:r w:rsidR="003B4F33">
        <w:t xml:space="preserve"> may consider using criteria such as the following:</w:t>
      </w:r>
    </w:p>
    <w:p w14:paraId="5BA399DC" w14:textId="77777777" w:rsidR="003B4F33" w:rsidRDefault="003B4F33" w:rsidP="003145FD">
      <w:pPr>
        <w:pStyle w:val="CommentText"/>
      </w:pPr>
    </w:p>
    <w:p w14:paraId="2E527899" w14:textId="77777777" w:rsidR="00D437C9" w:rsidRDefault="003B4F33" w:rsidP="003145FD">
      <w:pPr>
        <w:pStyle w:val="CommentText"/>
      </w:pPr>
      <w:r w:rsidRPr="00C55998">
        <w:rPr>
          <w:b/>
        </w:rPr>
        <w:t>Timeliness:</w:t>
      </w:r>
      <w:r w:rsidRPr="00C55998">
        <w:t xml:space="preserve">  The </w:t>
      </w:r>
      <w:r>
        <w:t>Services were completed and the Deliverables were delivered on time.</w:t>
      </w:r>
      <w:r w:rsidRPr="00C55998">
        <w:t xml:space="preserve"> </w:t>
      </w:r>
    </w:p>
    <w:p w14:paraId="2CE94533" w14:textId="77777777" w:rsidR="003B4F33" w:rsidRDefault="003B4F33" w:rsidP="003145FD">
      <w:pPr>
        <w:pStyle w:val="CommentText"/>
      </w:pPr>
      <w:r w:rsidRPr="00C55998">
        <w:rPr>
          <w:b/>
        </w:rPr>
        <w:t>Completeness:</w:t>
      </w:r>
      <w:r w:rsidRPr="00C55998">
        <w:t xml:space="preserve">  The </w:t>
      </w:r>
      <w:r>
        <w:t xml:space="preserve">Services and Deliverables </w:t>
      </w:r>
      <w:r w:rsidRPr="00C55998">
        <w:t>contained the materials and fea</w:t>
      </w:r>
      <w:r>
        <w:t>tures required in the Agreement.</w:t>
      </w:r>
      <w:r w:rsidRPr="00C55998">
        <w:t xml:space="preserve"> </w:t>
      </w:r>
    </w:p>
    <w:p w14:paraId="0C10712C" w14:textId="77777777" w:rsidR="003B4F33" w:rsidRDefault="003B4F33" w:rsidP="003145FD">
      <w:pPr>
        <w:pStyle w:val="CommentText"/>
      </w:pPr>
      <w:r w:rsidRPr="00C55998">
        <w:rPr>
          <w:b/>
        </w:rPr>
        <w:t xml:space="preserve">Technical accuracy: </w:t>
      </w:r>
      <w:r>
        <w:t xml:space="preserve"> The Services and Deliverables are</w:t>
      </w:r>
      <w:r w:rsidRPr="00C55998">
        <w:t xml:space="preserve"> accurate as measured again</w:t>
      </w:r>
      <w:r>
        <w:t>st commonly accepted standards (for example</w:t>
      </w:r>
      <w:r w:rsidRPr="00C55998">
        <w:t>, a statistical formula, an industry standard, or</w:t>
      </w:r>
      <w:r>
        <w:t xml:space="preserve"> de facto marketplace standard).</w:t>
      </w:r>
    </w:p>
  </w:comment>
  <w:comment w:id="16" w:author="Author" w:initials="A">
    <w:p w14:paraId="6DD26EF0" w14:textId="77777777" w:rsidR="003B4F33" w:rsidRDefault="003B4F33">
      <w:pPr>
        <w:pStyle w:val="CommentText"/>
      </w:pPr>
      <w:r>
        <w:rPr>
          <w:rStyle w:val="CommentReference"/>
        </w:rPr>
        <w:annotationRef/>
      </w:r>
      <w:r>
        <w:t>Specify deadlines for each Service and each Deliverable, as applicable.  The timeline may take the form of a table or chart.</w:t>
      </w:r>
    </w:p>
  </w:comment>
  <w:comment w:id="21" w:author="Author" w:initials="A">
    <w:p w14:paraId="3CF6D1BE" w14:textId="77777777" w:rsidR="003B4F33" w:rsidRDefault="003B4F33">
      <w:pPr>
        <w:pStyle w:val="CommentText"/>
      </w:pPr>
      <w:r>
        <w:rPr>
          <w:rStyle w:val="CommentReference"/>
        </w:rPr>
        <w:annotationRef/>
      </w:r>
      <w:r>
        <w:t xml:space="preserve">This form is a sample.  If the </w:t>
      </w:r>
      <w:r w:rsidR="006E3615">
        <w:t>JBE</w:t>
      </w:r>
      <w:r>
        <w:t xml:space="preserve"> wishes to use an acceptance and signoff form, it should ensure that the categories listed on the form match the applicable acceptance criteria.</w:t>
      </w:r>
    </w:p>
  </w:comment>
  <w:comment w:id="22" w:author="Author" w:initials="A">
    <w:p w14:paraId="63D936DF" w14:textId="77777777" w:rsidR="003B4F33" w:rsidRDefault="003B4F33">
      <w:pPr>
        <w:pStyle w:val="CommentText"/>
      </w:pPr>
      <w:r>
        <w:rPr>
          <w:rStyle w:val="CommentReference"/>
        </w:rPr>
        <w:annotationRef/>
      </w:r>
      <w:r>
        <w:t>If prices will be different during the Option Term(s), these different prices should be included in this section.</w:t>
      </w:r>
    </w:p>
  </w:comment>
  <w:comment w:id="23" w:author="Author" w:initials="A">
    <w:p w14:paraId="1F1AE27A" w14:textId="77777777" w:rsidR="003B4F33" w:rsidRDefault="003B4F33">
      <w:pPr>
        <w:pStyle w:val="CommentText"/>
      </w:pPr>
      <w:r>
        <w:rPr>
          <w:rStyle w:val="CommentReference"/>
        </w:rPr>
        <w:annotationRef/>
      </w:r>
      <w:r>
        <w:t xml:space="preserve">The </w:t>
      </w:r>
      <w:r w:rsidR="006E3615">
        <w:t>JBE</w:t>
      </w:r>
      <w:r>
        <w:t xml:space="preserve"> should include a detailed price list for the various Goods that it will purchase under the Agreement.</w:t>
      </w:r>
    </w:p>
  </w:comment>
  <w:comment w:id="24" w:author="Author" w:initials="A">
    <w:p w14:paraId="656F3783" w14:textId="77777777" w:rsidR="003B4F33" w:rsidRDefault="003B4F33">
      <w:pPr>
        <w:pStyle w:val="CommentText"/>
      </w:pPr>
      <w:r>
        <w:rPr>
          <w:rStyle w:val="CommentReference"/>
        </w:rPr>
        <w:annotationRef/>
      </w:r>
      <w:r>
        <w:t>If prices will be different during the Option Term(s), these different prices should be included in this section.</w:t>
      </w:r>
    </w:p>
  </w:comment>
  <w:comment w:id="25" w:author="Author" w:initials="A">
    <w:p w14:paraId="76B18A95" w14:textId="77777777" w:rsidR="003B4F33" w:rsidRDefault="003B4F33" w:rsidP="00E165F5">
      <w:pPr>
        <w:pStyle w:val="CommentText"/>
      </w:pPr>
      <w:r>
        <w:rPr>
          <w:rStyle w:val="CommentReference"/>
        </w:rPr>
        <w:annotationRef/>
      </w:r>
      <w:r>
        <w:t xml:space="preserve">Compensation for Services may take several forms.  The most common are (i) a fixed price for all Services or Deliverables, or (ii) an hourly rate. </w:t>
      </w:r>
    </w:p>
    <w:p w14:paraId="141E68D9" w14:textId="77777777" w:rsidR="003B4F33" w:rsidRDefault="003B4F33" w:rsidP="00E165F5">
      <w:pPr>
        <w:pStyle w:val="CommentText"/>
      </w:pPr>
    </w:p>
    <w:p w14:paraId="6DA903E7" w14:textId="77777777" w:rsidR="003B4F33" w:rsidRDefault="003B4F33" w:rsidP="00E165F5">
      <w:pPr>
        <w:pStyle w:val="CommentText"/>
      </w:pPr>
      <w:r>
        <w:t>If an hourly rate is used, it may be appropriate to include (i) different hourly rates for various levels of Contractor employees, (ii) a “not to exceed” amount, and (iii) a requirement that each invoice contain a detailed description of the Services performed and the amount of time spent.</w:t>
      </w:r>
    </w:p>
    <w:p w14:paraId="0807A22B" w14:textId="77777777" w:rsidR="003B4F33" w:rsidRDefault="003B4F33" w:rsidP="00E165F5">
      <w:pPr>
        <w:pStyle w:val="CommentText"/>
      </w:pPr>
    </w:p>
    <w:p w14:paraId="27E4F8CE" w14:textId="77777777" w:rsidR="003B4F33" w:rsidRDefault="003B4F33" w:rsidP="00E165F5">
      <w:pPr>
        <w:pStyle w:val="CommentText"/>
      </w:pPr>
      <w:r>
        <w:t xml:space="preserve">Payments for Services may be tied to the delivery of applicable Deliverables.  If this approach is used, it may be useful to insert a table showing (i) each Deliverable, (ii) the amount to be paid upon acceptance of the Deliverable, and (iii) any amount to be “held back” from that payment.  It is recommended that the </w:t>
      </w:r>
      <w:r w:rsidR="006E3615">
        <w:t xml:space="preserve">JBE </w:t>
      </w:r>
      <w:r>
        <w:t>“hold back” at least 10% of each such payment pe</w:t>
      </w:r>
      <w:r w:rsidRPr="001D685E">
        <w:t>nding satisfactory completion of the transaction</w:t>
      </w:r>
      <w:r>
        <w:t xml:space="preserve"> or the acceptance of the final Deliverable.  </w:t>
      </w:r>
    </w:p>
  </w:comment>
  <w:comment w:id="26" w:author="Author" w:initials="A">
    <w:p w14:paraId="1629BE9F" w14:textId="77777777" w:rsidR="003B4F33" w:rsidRDefault="003B4F33">
      <w:pPr>
        <w:pStyle w:val="CommentText"/>
      </w:pPr>
      <w:r>
        <w:rPr>
          <w:rStyle w:val="CommentReference"/>
        </w:rPr>
        <w:annotationRef/>
      </w:r>
      <w:r>
        <w:t xml:space="preserve">Depending on the situation/services, the </w:t>
      </w:r>
      <w:r w:rsidR="006E3615">
        <w:t xml:space="preserve">JBE </w:t>
      </w:r>
      <w:r>
        <w:t xml:space="preserve"> may want to withhold a different amount.  As mentioned in the comment above, it is recommended that the </w:t>
      </w:r>
      <w:r w:rsidR="006E3615">
        <w:t xml:space="preserve">JBE </w:t>
      </w:r>
      <w:r>
        <w:t>“hold back” at least 10% of each payment.</w:t>
      </w:r>
    </w:p>
  </w:comment>
  <w:comment w:id="27" w:author="Author" w:initials="A">
    <w:p w14:paraId="5A828DB0" w14:textId="77777777" w:rsidR="003B4F33" w:rsidRDefault="003B4F33">
      <w:pPr>
        <w:pStyle w:val="CommentText"/>
      </w:pPr>
      <w:r>
        <w:rPr>
          <w:rStyle w:val="CommentReference"/>
        </w:rPr>
        <w:annotationRef/>
      </w:r>
      <w:r>
        <w:t xml:space="preserve">See JBCM Chapter 9, section 9.1.B for exceptions to this general rule. </w:t>
      </w:r>
    </w:p>
  </w:comment>
  <w:comment w:id="28" w:author="Author" w:initials="A">
    <w:p w14:paraId="5D826E0E" w14:textId="77777777" w:rsidR="003B4F33" w:rsidRDefault="003B4F33">
      <w:pPr>
        <w:pStyle w:val="CommentText"/>
      </w:pPr>
      <w:r>
        <w:rPr>
          <w:rStyle w:val="CommentReference"/>
        </w:rPr>
        <w:annotationRef/>
      </w:r>
      <w:r>
        <w:t>List the reimbursable expenses.  If none, insert "N/A" or "Not applicable" here.</w:t>
      </w:r>
    </w:p>
  </w:comment>
  <w:comment w:id="29" w:author="Author" w:initials="A">
    <w:p w14:paraId="6FC4F61C" w14:textId="77777777" w:rsidR="003B4F33" w:rsidRDefault="003B4F33">
      <w:pPr>
        <w:pStyle w:val="CommentText"/>
      </w:pPr>
      <w:r>
        <w:rPr>
          <w:rStyle w:val="CommentReference"/>
        </w:rPr>
        <w:annotationRef/>
      </w:r>
      <w:r>
        <w:t xml:space="preserve">If travel expenses will be reimbursed, the </w:t>
      </w:r>
      <w:r w:rsidR="006E3615">
        <w:t>JBE</w:t>
      </w:r>
      <w:r>
        <w:t xml:space="preserve"> should consider attaching its travel expense policy to the Agreement. </w:t>
      </w:r>
    </w:p>
    <w:p w14:paraId="72228701" w14:textId="77777777" w:rsidR="003B4F33" w:rsidRDefault="003B4F33">
      <w:pPr>
        <w:pStyle w:val="CommentText"/>
      </w:pPr>
    </w:p>
    <w:p w14:paraId="31A234DD" w14:textId="77777777" w:rsidR="003B4F33" w:rsidRDefault="003B4F33">
      <w:pPr>
        <w:pStyle w:val="CommentText"/>
      </w:pPr>
      <w:r>
        <w:t xml:space="preserve">If the </w:t>
      </w:r>
      <w:r w:rsidR="006E3615">
        <w:t xml:space="preserve">JBE </w:t>
      </w:r>
      <w:r>
        <w:t xml:space="preserve">does not have a travel expense policy, this reference may be changed to the </w:t>
      </w:r>
      <w:r w:rsidR="00CF6AC2">
        <w:t>Judicial Council</w:t>
      </w:r>
      <w:r>
        <w:t xml:space="preserve">’s travel expenses policy, or the </w:t>
      </w:r>
      <w:r w:rsidR="009B5E10">
        <w:t>JBE</w:t>
      </w:r>
      <w:r>
        <w:t xml:space="preserve"> may insert maximum amounts here.</w:t>
      </w:r>
    </w:p>
  </w:comment>
  <w:comment w:id="30" w:author="Author" w:initials="A">
    <w:p w14:paraId="36D2D3BC" w14:textId="77777777" w:rsidR="003B4F33" w:rsidRDefault="003B4F33">
      <w:pPr>
        <w:pStyle w:val="CommentText"/>
      </w:pPr>
      <w:r>
        <w:rPr>
          <w:rStyle w:val="CommentReference"/>
        </w:rPr>
        <w:annotationRef/>
      </w:r>
      <w:r>
        <w:t>If there is no Option Term, insert "N/A" or "Not applicable" here.</w:t>
      </w:r>
    </w:p>
  </w:comment>
  <w:comment w:id="31" w:author="Author" w:initials="A">
    <w:p w14:paraId="511197C8" w14:textId="77777777" w:rsidR="003B4F33" w:rsidRDefault="003B4F33">
      <w:pPr>
        <w:pStyle w:val="CommentText"/>
      </w:pPr>
      <w:r>
        <w:rPr>
          <w:rStyle w:val="CommentReference"/>
        </w:rPr>
        <w:annotationRef/>
      </w:r>
      <w:r>
        <w:t xml:space="preserve">If there are multiple Option Terms, the following language may be used: </w:t>
      </w:r>
    </w:p>
    <w:p w14:paraId="2AF8AE3F" w14:textId="77777777" w:rsidR="003B4F33" w:rsidRDefault="003B4F33">
      <w:pPr>
        <w:pStyle w:val="CommentText"/>
      </w:pPr>
    </w:p>
    <w:p w14:paraId="21417184" w14:textId="77777777" w:rsidR="003B4F33" w:rsidRDefault="003B4F33">
      <w:pPr>
        <w:pStyle w:val="CommentText"/>
      </w:pPr>
      <w:r w:rsidRPr="00EC158B">
        <w:rPr>
          <w:rFonts w:asciiTheme="minorHAnsi" w:hAnsiTheme="minorHAnsi" w:cstheme="minorHAnsi"/>
          <w:bCs/>
        </w:rPr>
        <w:t xml:space="preserve">Contractor shall not invoice the </w:t>
      </w:r>
      <w:r w:rsidR="008F1B64">
        <w:rPr>
          <w:rFonts w:asciiTheme="minorHAnsi" w:hAnsiTheme="minorHAnsi" w:cstheme="minorHAnsi"/>
          <w:bCs/>
        </w:rPr>
        <w:t>JBE</w:t>
      </w:r>
      <w:r w:rsidRPr="00EC158B">
        <w:rPr>
          <w:rFonts w:asciiTheme="minorHAnsi" w:hAnsiTheme="minorHAnsi" w:cstheme="minorHAnsi"/>
          <w:bCs/>
        </w:rPr>
        <w:t xml:space="preserve">, and the </w:t>
      </w:r>
      <w:r w:rsidR="006E3615">
        <w:rPr>
          <w:rFonts w:asciiTheme="minorHAnsi" w:hAnsiTheme="minorHAnsi" w:cstheme="minorHAnsi"/>
          <w:bCs/>
        </w:rPr>
        <w:t>JBE</w:t>
      </w:r>
      <w:r w:rsidRPr="00EC158B">
        <w:rPr>
          <w:rFonts w:asciiTheme="minorHAnsi" w:hAnsiTheme="minorHAnsi" w:cstheme="minorHAnsi"/>
          <w:bCs/>
        </w:rPr>
        <w:t xml:space="preserve"> </w:t>
      </w:r>
      <w:r>
        <w:rPr>
          <w:rFonts w:asciiTheme="minorHAnsi" w:hAnsiTheme="minorHAnsi" w:cstheme="minorHAnsi"/>
          <w:bCs/>
        </w:rPr>
        <w:t>has no obligation to</w:t>
      </w:r>
      <w:r w:rsidRPr="00EC158B">
        <w:rPr>
          <w:rFonts w:asciiTheme="minorHAnsi" w:hAnsiTheme="minorHAnsi" w:cstheme="minorHAnsi"/>
          <w:bCs/>
        </w:rPr>
        <w:t xml:space="preserve"> reimburse Contractor, for expenses of any type that exceed in the aggregate the amount of</w:t>
      </w:r>
      <w:r>
        <w:rPr>
          <w:rFonts w:asciiTheme="minorHAnsi" w:hAnsiTheme="minorHAnsi" w:cstheme="minorHAnsi"/>
          <w:bCs/>
        </w:rPr>
        <w:t xml:space="preserve">: </w:t>
      </w:r>
      <w:r w:rsidRPr="00EC158B">
        <w:rPr>
          <w:rFonts w:asciiTheme="minorHAnsi" w:hAnsiTheme="minorHAnsi" w:cstheme="minorHAnsi"/>
          <w:bCs/>
        </w:rPr>
        <w:t>$</w:t>
      </w:r>
      <w:r>
        <w:rPr>
          <w:b/>
          <w:highlight w:val="yellow"/>
        </w:rPr>
        <w:t>[Dollar amount</w:t>
      </w:r>
      <w:r w:rsidRPr="00287443">
        <w:rPr>
          <w:b/>
          <w:highlight w:val="yellow"/>
        </w:rPr>
        <w:t>]</w:t>
      </w:r>
      <w:r>
        <w:rPr>
          <w:rFonts w:asciiTheme="minorHAnsi" w:hAnsiTheme="minorHAnsi" w:cstheme="minorHAnsi"/>
          <w:bCs/>
        </w:rPr>
        <w:t xml:space="preserve"> for the Initial Term, $</w:t>
      </w:r>
      <w:r>
        <w:rPr>
          <w:b/>
          <w:highlight w:val="yellow"/>
        </w:rPr>
        <w:t>[Dollar amount</w:t>
      </w:r>
      <w:r w:rsidRPr="00287443">
        <w:rPr>
          <w:b/>
          <w:highlight w:val="yellow"/>
        </w:rPr>
        <w:t>]</w:t>
      </w:r>
      <w:r>
        <w:rPr>
          <w:rFonts w:asciiTheme="minorHAnsi" w:hAnsiTheme="minorHAnsi" w:cstheme="minorHAnsi"/>
          <w:bCs/>
        </w:rPr>
        <w:t xml:space="preserve"> for the first Option Term</w:t>
      </w:r>
      <w:r>
        <w:rPr>
          <w:rStyle w:val="CommentReference"/>
        </w:rPr>
        <w:annotationRef/>
      </w:r>
      <w:r>
        <w:rPr>
          <w:rFonts w:asciiTheme="minorHAnsi" w:hAnsiTheme="minorHAnsi" w:cstheme="minorHAnsi"/>
          <w:bCs/>
        </w:rPr>
        <w:t>, and $</w:t>
      </w:r>
      <w:r>
        <w:rPr>
          <w:b/>
          <w:highlight w:val="yellow"/>
        </w:rPr>
        <w:t>[Dollar amount</w:t>
      </w:r>
      <w:r w:rsidRPr="00287443">
        <w:rPr>
          <w:b/>
          <w:highlight w:val="yellow"/>
        </w:rPr>
        <w:t>]</w:t>
      </w:r>
      <w:r>
        <w:rPr>
          <w:rFonts w:asciiTheme="minorHAnsi" w:hAnsiTheme="minorHAnsi" w:cstheme="minorHAnsi"/>
          <w:bCs/>
        </w:rPr>
        <w:t xml:space="preserve"> for the second Option Term</w:t>
      </w:r>
      <w:r>
        <w:rPr>
          <w:rStyle w:val="CommentReference"/>
        </w:rPr>
        <w:annotationRef/>
      </w:r>
      <w:r>
        <w:rPr>
          <w:rFonts w:asciiTheme="minorHAnsi" w:hAnsiTheme="minorHAnsi" w:cstheme="minorHAnsi"/>
          <w:bCs/>
        </w:rPr>
        <w:t xml:space="preserve">. </w:t>
      </w:r>
      <w:r w:rsidRPr="00B334BD">
        <w:rPr>
          <w:rFonts w:asciiTheme="minorHAnsi" w:hAnsiTheme="minorHAnsi" w:cstheme="minorHAnsi"/>
          <w:b/>
          <w:bCs/>
          <w:i/>
        </w:rPr>
        <w:t>[etc]</w:t>
      </w:r>
    </w:p>
  </w:comment>
  <w:comment w:id="32" w:author="Author" w:initials="A">
    <w:p w14:paraId="66ACAB7E" w14:textId="77777777" w:rsidR="003B4F33" w:rsidRDefault="003B4F33">
      <w:pPr>
        <w:pStyle w:val="CommentText"/>
      </w:pPr>
      <w:r>
        <w:rPr>
          <w:rStyle w:val="CommentReference"/>
        </w:rPr>
        <w:annotationRef/>
      </w:r>
      <w:r>
        <w:t xml:space="preserve">This section may be deleted if the </w:t>
      </w:r>
      <w:r w:rsidR="006E3615">
        <w:t>JBE</w:t>
      </w:r>
      <w:r>
        <w:t xml:space="preserve"> will not reimburse any Contractor expense.</w:t>
      </w:r>
    </w:p>
  </w:comment>
  <w:comment w:id="33" w:author="Author" w:initials="A">
    <w:p w14:paraId="093BF91D" w14:textId="77777777" w:rsidR="003B4F33" w:rsidRDefault="003B4F33">
      <w:pPr>
        <w:pStyle w:val="CommentText"/>
      </w:pPr>
      <w:r>
        <w:rPr>
          <w:rStyle w:val="CommentReference"/>
        </w:rPr>
        <w:annotationRef/>
      </w:r>
      <w:r>
        <w:t xml:space="preserve">This section may be deleted if the </w:t>
      </w:r>
      <w:r w:rsidR="006E3615">
        <w:t xml:space="preserve">JBE </w:t>
      </w:r>
      <w:r>
        <w:t>does not require background checks.</w:t>
      </w:r>
    </w:p>
  </w:comment>
  <w:comment w:id="35" w:author="Author" w:initials="A">
    <w:p w14:paraId="7116D000" w14:textId="77777777" w:rsidR="001768BA" w:rsidRDefault="001768BA" w:rsidP="001768BA">
      <w:pPr>
        <w:pStyle w:val="CommentText"/>
      </w:pPr>
      <w:r>
        <w:rPr>
          <w:rStyle w:val="CommentReference"/>
        </w:rPr>
        <w:annotationRef/>
      </w:r>
      <w:r>
        <w:t>If applicable, modify this language to specify the relevant judicial branch entity.</w:t>
      </w:r>
    </w:p>
  </w:comment>
  <w:comment w:id="36" w:author="Author" w:initials="A">
    <w:p w14:paraId="13369706" w14:textId="77777777" w:rsidR="001768BA" w:rsidRPr="008800EA" w:rsidRDefault="001768BA" w:rsidP="001768BA">
      <w:pPr>
        <w:pStyle w:val="CommentText"/>
        <w:rPr>
          <w:highlight w:val="yellow"/>
        </w:rPr>
      </w:pPr>
      <w:r>
        <w:rPr>
          <w:rStyle w:val="CommentReference"/>
        </w:rPr>
        <w:annotationRef/>
      </w:r>
      <w:r w:rsidRPr="008800EA">
        <w:rPr>
          <w:b/>
          <w:bCs/>
          <w:highlight w:val="yellow"/>
        </w:rPr>
        <w:t>Note:</w:t>
      </w:r>
      <w:r w:rsidRPr="008800EA">
        <w:rPr>
          <w:highlight w:val="yellow"/>
        </w:rPr>
        <w:t xml:space="preserve"> Higher Commercial General Liability insurance limits may be required depending on the risk of injury and damage. </w:t>
      </w:r>
    </w:p>
    <w:p w14:paraId="304C80F2" w14:textId="77777777" w:rsidR="001768BA" w:rsidRPr="008800EA" w:rsidRDefault="001768BA" w:rsidP="001768BA">
      <w:pPr>
        <w:pStyle w:val="CommentText"/>
        <w:rPr>
          <w:highlight w:val="yellow"/>
        </w:rPr>
      </w:pPr>
    </w:p>
    <w:p w14:paraId="01FB8D7F" w14:textId="77777777" w:rsidR="001768BA" w:rsidRPr="008800EA" w:rsidRDefault="001768BA" w:rsidP="001768BA">
      <w:pPr>
        <w:pStyle w:val="CommentText"/>
        <w:rPr>
          <w:b/>
          <w:bCs/>
          <w:highlight w:val="yellow"/>
        </w:rPr>
      </w:pPr>
      <w:r w:rsidRPr="008800EA">
        <w:rPr>
          <w:b/>
          <w:bCs/>
          <w:highlight w:val="yellow"/>
        </w:rPr>
        <w:t>General guidelines for minimum limits</w:t>
      </w:r>
    </w:p>
    <w:p w14:paraId="2A7002DA" w14:textId="77777777" w:rsidR="001768BA" w:rsidRPr="008800EA" w:rsidRDefault="001768BA" w:rsidP="001768BA">
      <w:pPr>
        <w:pStyle w:val="CommentText"/>
        <w:rPr>
          <w:i/>
          <w:iCs/>
          <w:highlight w:val="yellow"/>
          <w:u w:val="single"/>
        </w:rPr>
      </w:pPr>
      <w:r w:rsidRPr="008800EA">
        <w:rPr>
          <w:i/>
          <w:iCs/>
          <w:highlight w:val="yellow"/>
          <w:u w:val="single"/>
        </w:rPr>
        <w:t xml:space="preserve">If contract value is less than $1 million: </w:t>
      </w:r>
    </w:p>
    <w:p w14:paraId="262A2424" w14:textId="77777777" w:rsidR="001768BA" w:rsidRPr="008800EA" w:rsidRDefault="001768BA" w:rsidP="001768BA">
      <w:pPr>
        <w:pStyle w:val="CommentText"/>
        <w:rPr>
          <w:highlight w:val="yellow"/>
        </w:rPr>
      </w:pPr>
      <w:r w:rsidRPr="008800EA">
        <w:rPr>
          <w:highlight w:val="yellow"/>
        </w:rPr>
        <w:t>$1 million per occurrence and $2 million annual aggregate.</w:t>
      </w:r>
    </w:p>
    <w:p w14:paraId="39B93360" w14:textId="77777777" w:rsidR="001768BA" w:rsidRPr="008800EA" w:rsidRDefault="001768BA" w:rsidP="001768BA">
      <w:pPr>
        <w:pStyle w:val="CommentText"/>
        <w:rPr>
          <w:highlight w:val="yellow"/>
        </w:rPr>
      </w:pPr>
    </w:p>
    <w:p w14:paraId="10F4A97E" w14:textId="77777777" w:rsidR="001768BA" w:rsidRPr="008800EA" w:rsidRDefault="001768BA" w:rsidP="001768BA">
      <w:pPr>
        <w:pStyle w:val="CommentText"/>
        <w:rPr>
          <w:i/>
          <w:iCs/>
          <w:highlight w:val="yellow"/>
          <w:u w:val="single"/>
        </w:rPr>
      </w:pPr>
      <w:r w:rsidRPr="008800EA">
        <w:rPr>
          <w:i/>
          <w:iCs/>
          <w:highlight w:val="yellow"/>
          <w:u w:val="single"/>
        </w:rPr>
        <w:t xml:space="preserve">If contract value is between $1 million - $5 million: </w:t>
      </w:r>
    </w:p>
    <w:p w14:paraId="1517026B" w14:textId="77777777" w:rsidR="001768BA" w:rsidRPr="008800EA" w:rsidRDefault="001768BA" w:rsidP="001768BA">
      <w:pPr>
        <w:pStyle w:val="CommentText"/>
        <w:rPr>
          <w:highlight w:val="yellow"/>
        </w:rPr>
      </w:pPr>
      <w:r w:rsidRPr="008800EA">
        <w:rPr>
          <w:highlight w:val="yellow"/>
        </w:rPr>
        <w:t>$2 million per occurrence and $4 million annual aggregate</w:t>
      </w:r>
    </w:p>
    <w:p w14:paraId="2EC48CD4" w14:textId="77777777" w:rsidR="001768BA" w:rsidRPr="008800EA" w:rsidRDefault="001768BA" w:rsidP="001768BA">
      <w:pPr>
        <w:pStyle w:val="CommentText"/>
        <w:rPr>
          <w:highlight w:val="yellow"/>
        </w:rPr>
      </w:pPr>
    </w:p>
    <w:p w14:paraId="455B5F35" w14:textId="77777777" w:rsidR="001768BA" w:rsidRPr="008800EA" w:rsidRDefault="001768BA" w:rsidP="001768BA">
      <w:pPr>
        <w:pStyle w:val="CommentText"/>
        <w:rPr>
          <w:i/>
          <w:iCs/>
          <w:highlight w:val="yellow"/>
          <w:u w:val="single"/>
        </w:rPr>
      </w:pPr>
      <w:r w:rsidRPr="008800EA">
        <w:rPr>
          <w:i/>
          <w:iCs/>
          <w:highlight w:val="yellow"/>
          <w:u w:val="single"/>
        </w:rPr>
        <w:t>If contract value is over $5 million:</w:t>
      </w:r>
    </w:p>
    <w:p w14:paraId="5D6044F3" w14:textId="77777777" w:rsidR="001768BA" w:rsidRPr="008800EA" w:rsidRDefault="001768BA" w:rsidP="001768BA">
      <w:pPr>
        <w:pStyle w:val="CommentText"/>
        <w:rPr>
          <w:highlight w:val="yellow"/>
        </w:rPr>
      </w:pPr>
      <w:r w:rsidRPr="008800EA">
        <w:rPr>
          <w:highlight w:val="yellow"/>
        </w:rPr>
        <w:t>$5 million per occurrence and $5 million annual aggregate</w:t>
      </w:r>
    </w:p>
    <w:p w14:paraId="5142102B" w14:textId="77777777" w:rsidR="001768BA" w:rsidRPr="008800EA" w:rsidRDefault="001768BA" w:rsidP="001768BA">
      <w:pPr>
        <w:pStyle w:val="CommentText"/>
        <w:rPr>
          <w:highlight w:val="yellow"/>
        </w:rPr>
      </w:pPr>
    </w:p>
    <w:p w14:paraId="6E731F0E" w14:textId="77777777" w:rsidR="001768BA" w:rsidRDefault="001768BA" w:rsidP="001768BA">
      <w:pPr>
        <w:pStyle w:val="CommentText"/>
      </w:pPr>
      <w:r w:rsidRPr="008800EA">
        <w:rPr>
          <w:highlight w:val="yellow"/>
        </w:rPr>
        <w:t>If you need assistance determining insurance limits, please contact Judicial Council Risk Management team.</w:t>
      </w:r>
      <w:r>
        <w:t xml:space="preserve"> </w:t>
      </w:r>
    </w:p>
  </w:comment>
  <w:comment w:id="37" w:author="Author" w:initials="A">
    <w:p w14:paraId="517B4955" w14:textId="77777777" w:rsidR="001768BA" w:rsidRPr="008800EA" w:rsidRDefault="001768BA" w:rsidP="001768BA">
      <w:pPr>
        <w:pStyle w:val="CommentText"/>
        <w:rPr>
          <w:highlight w:val="yellow"/>
        </w:rPr>
      </w:pPr>
      <w:r>
        <w:rPr>
          <w:rStyle w:val="CommentReference"/>
        </w:rPr>
        <w:annotationRef/>
      </w:r>
      <w:r w:rsidRPr="008800EA">
        <w:rPr>
          <w:highlight w:val="yellow"/>
        </w:rPr>
        <w:t>Note: Higher</w:t>
      </w:r>
      <w:r>
        <w:rPr>
          <w:highlight w:val="yellow"/>
        </w:rPr>
        <w:t xml:space="preserve"> Professional Liability</w:t>
      </w:r>
      <w:r w:rsidRPr="008800EA">
        <w:rPr>
          <w:highlight w:val="yellow"/>
        </w:rPr>
        <w:t xml:space="preserve"> insurance limits may be required depending on the type of project. </w:t>
      </w:r>
    </w:p>
    <w:p w14:paraId="01B9156E" w14:textId="77777777" w:rsidR="001768BA" w:rsidRPr="008800EA" w:rsidRDefault="001768BA" w:rsidP="001768BA">
      <w:pPr>
        <w:pStyle w:val="CommentText"/>
        <w:rPr>
          <w:highlight w:val="yellow"/>
        </w:rPr>
      </w:pPr>
    </w:p>
    <w:p w14:paraId="3477BE61" w14:textId="77777777" w:rsidR="001768BA" w:rsidRPr="008800EA" w:rsidRDefault="001768BA" w:rsidP="001768BA">
      <w:pPr>
        <w:pStyle w:val="CommentText"/>
        <w:rPr>
          <w:b/>
          <w:bCs/>
          <w:highlight w:val="yellow"/>
        </w:rPr>
      </w:pPr>
      <w:r w:rsidRPr="008800EA">
        <w:rPr>
          <w:b/>
          <w:bCs/>
          <w:highlight w:val="yellow"/>
        </w:rPr>
        <w:t>General guidelines for minimum limits</w:t>
      </w:r>
    </w:p>
    <w:p w14:paraId="70CF6987" w14:textId="77777777" w:rsidR="001768BA" w:rsidRPr="008800EA" w:rsidRDefault="001768BA" w:rsidP="001768BA">
      <w:pPr>
        <w:pStyle w:val="CommentText"/>
        <w:rPr>
          <w:i/>
          <w:iCs/>
          <w:highlight w:val="yellow"/>
          <w:u w:val="single"/>
        </w:rPr>
      </w:pPr>
      <w:r w:rsidRPr="008800EA">
        <w:rPr>
          <w:i/>
          <w:iCs/>
          <w:highlight w:val="yellow"/>
          <w:u w:val="single"/>
        </w:rPr>
        <w:t xml:space="preserve">If contract value is less than $1 million: </w:t>
      </w:r>
    </w:p>
    <w:p w14:paraId="60104C2A" w14:textId="77777777" w:rsidR="001768BA" w:rsidRPr="008800EA" w:rsidRDefault="001768BA" w:rsidP="001768BA">
      <w:pPr>
        <w:pStyle w:val="CommentText"/>
        <w:rPr>
          <w:highlight w:val="yellow"/>
        </w:rPr>
      </w:pPr>
      <w:r w:rsidRPr="008800EA">
        <w:rPr>
          <w:highlight w:val="yellow"/>
        </w:rPr>
        <w:t>$1 million per occurrence and $2 million annual aggregate.</w:t>
      </w:r>
    </w:p>
    <w:p w14:paraId="6C46C54A" w14:textId="77777777" w:rsidR="001768BA" w:rsidRPr="008800EA" w:rsidRDefault="001768BA" w:rsidP="001768BA">
      <w:pPr>
        <w:pStyle w:val="CommentText"/>
        <w:rPr>
          <w:highlight w:val="yellow"/>
        </w:rPr>
      </w:pPr>
    </w:p>
    <w:p w14:paraId="720BA682" w14:textId="77777777" w:rsidR="001768BA" w:rsidRPr="008800EA" w:rsidRDefault="001768BA" w:rsidP="001768BA">
      <w:pPr>
        <w:pStyle w:val="CommentText"/>
        <w:rPr>
          <w:i/>
          <w:iCs/>
          <w:highlight w:val="yellow"/>
          <w:u w:val="single"/>
        </w:rPr>
      </w:pPr>
      <w:r w:rsidRPr="008800EA">
        <w:rPr>
          <w:i/>
          <w:iCs/>
          <w:highlight w:val="yellow"/>
          <w:u w:val="single"/>
        </w:rPr>
        <w:t xml:space="preserve">If contract value is over $1 million: </w:t>
      </w:r>
    </w:p>
    <w:p w14:paraId="43FFC888" w14:textId="77777777" w:rsidR="001768BA" w:rsidRDefault="001768BA" w:rsidP="001768BA">
      <w:pPr>
        <w:pStyle w:val="CommentText"/>
      </w:pPr>
      <w:r w:rsidRPr="008800EA">
        <w:rPr>
          <w:highlight w:val="yellow"/>
        </w:rPr>
        <w:t>$2 million per occurrence and $4 million annual aggregate</w:t>
      </w:r>
    </w:p>
    <w:p w14:paraId="46BCD442" w14:textId="77777777" w:rsidR="001768BA" w:rsidRDefault="001768BA" w:rsidP="001768BA">
      <w:pPr>
        <w:pStyle w:val="CommentText"/>
      </w:pPr>
    </w:p>
  </w:comment>
  <w:comment w:id="38" w:author="Author" w:initials="A">
    <w:p w14:paraId="5527D36C" w14:textId="77777777" w:rsidR="001768BA" w:rsidRDefault="001768BA" w:rsidP="001768BA">
      <w:pPr>
        <w:pStyle w:val="CommentText"/>
      </w:pPr>
      <w:r w:rsidRPr="007B6A35">
        <w:rPr>
          <w:rStyle w:val="CommentReference"/>
          <w:highlight w:val="yellow"/>
        </w:rPr>
        <w:annotationRef/>
      </w:r>
      <w:r w:rsidRPr="00B517A5">
        <w:rPr>
          <w:b/>
          <w:bCs/>
          <w:highlight w:val="yellow"/>
        </w:rPr>
        <w:t>INSTRUCTIONS FOR USE</w:t>
      </w:r>
      <w:r w:rsidRPr="007B6A35">
        <w:rPr>
          <w:b/>
          <w:bCs/>
          <w:highlight w:val="yellow"/>
        </w:rPr>
        <w:t>:</w:t>
      </w:r>
      <w:r>
        <w:rPr>
          <w:highlight w:val="yellow"/>
        </w:rPr>
        <w:t xml:space="preserve"> </w:t>
      </w:r>
      <w:r w:rsidRPr="007B6A35">
        <w:rPr>
          <w:highlight w:val="yellow"/>
        </w:rPr>
        <w:t>Staff may want to elect a longer term for capital or other large dollar value projects, up to 5 years.</w:t>
      </w:r>
      <w:r>
        <w:t xml:space="preserve"> </w:t>
      </w:r>
    </w:p>
  </w:comment>
  <w:comment w:id="39" w:author="Author" w:initials="A">
    <w:p w14:paraId="73E6C234" w14:textId="77777777" w:rsidR="001768BA" w:rsidRPr="008800EA" w:rsidRDefault="001768BA" w:rsidP="001768BA">
      <w:pPr>
        <w:pStyle w:val="CommentText"/>
        <w:rPr>
          <w:highlight w:val="yellow"/>
        </w:rPr>
      </w:pPr>
      <w:r w:rsidRPr="008800EA">
        <w:rPr>
          <w:rStyle w:val="CommentReference"/>
          <w:highlight w:val="yellow"/>
        </w:rPr>
        <w:annotationRef/>
      </w:r>
      <w:r w:rsidRPr="008800EA">
        <w:rPr>
          <w:highlight w:val="yellow"/>
        </w:rPr>
        <w:t xml:space="preserve">Note: Higher insurance limits may be required for Cyber Liability and Technology Professional E&amp;O depending on the type of project. </w:t>
      </w:r>
    </w:p>
    <w:p w14:paraId="76B53B46" w14:textId="77777777" w:rsidR="001768BA" w:rsidRPr="008800EA" w:rsidRDefault="001768BA" w:rsidP="001768BA">
      <w:pPr>
        <w:pStyle w:val="CommentText"/>
        <w:rPr>
          <w:highlight w:val="yellow"/>
        </w:rPr>
      </w:pPr>
    </w:p>
    <w:p w14:paraId="21AFEC56" w14:textId="77777777" w:rsidR="001768BA" w:rsidRPr="008800EA" w:rsidRDefault="001768BA" w:rsidP="001768BA">
      <w:pPr>
        <w:pStyle w:val="CommentText"/>
        <w:rPr>
          <w:highlight w:val="yellow"/>
        </w:rPr>
      </w:pPr>
      <w:r w:rsidRPr="008800EA">
        <w:rPr>
          <w:highlight w:val="yellow"/>
        </w:rPr>
        <w:t xml:space="preserve">If the project is of a critical nature that an error or mistake caused by Contractor may cause irreparable harm to JBE, the insurance limits may be more appropriate at </w:t>
      </w:r>
      <w:r w:rsidRPr="008800EA">
        <w:rPr>
          <w:i/>
          <w:iCs/>
          <w:highlight w:val="yellow"/>
          <w:u w:val="single"/>
        </w:rPr>
        <w:t xml:space="preserve">$5 million per occurrence and $5 million annual aggregate </w:t>
      </w:r>
      <w:r w:rsidRPr="008800EA">
        <w:rPr>
          <w:highlight w:val="yellow"/>
        </w:rPr>
        <w:t>for both Cyber Liability and Technology Professional Liability Errors and Omissions.</w:t>
      </w:r>
    </w:p>
    <w:p w14:paraId="750A551D" w14:textId="77777777" w:rsidR="001768BA" w:rsidRPr="008800EA" w:rsidRDefault="001768BA" w:rsidP="001768BA">
      <w:pPr>
        <w:pStyle w:val="CommentText"/>
        <w:rPr>
          <w:highlight w:val="yellow"/>
        </w:rPr>
      </w:pPr>
    </w:p>
    <w:p w14:paraId="28702A61" w14:textId="77777777" w:rsidR="001768BA" w:rsidRDefault="001768BA" w:rsidP="001768BA">
      <w:pPr>
        <w:pStyle w:val="CommentText"/>
      </w:pPr>
      <w:r w:rsidRPr="008800EA">
        <w:rPr>
          <w:highlight w:val="yellow"/>
        </w:rPr>
        <w:t>If you need assistance determining insurance limits, please contact Judicial Council Risk Management team.</w:t>
      </w:r>
    </w:p>
  </w:comment>
  <w:comment w:id="40" w:author="Author" w:initials="A">
    <w:p w14:paraId="721693FE" w14:textId="77777777" w:rsidR="001768BA" w:rsidRDefault="001768BA" w:rsidP="001768BA">
      <w:pPr>
        <w:pStyle w:val="CommentText"/>
      </w:pPr>
      <w:r>
        <w:rPr>
          <w:rStyle w:val="CommentReference"/>
        </w:rPr>
        <w:annotationRef/>
      </w:r>
      <w:r w:rsidRPr="008800EA">
        <w:rPr>
          <w:highlight w:val="yellow"/>
        </w:rPr>
        <w:t xml:space="preserve">Note: This insurance should be included if the vendor will be performing any type of installation or transporting of IT </w:t>
      </w:r>
      <w:r>
        <w:rPr>
          <w:highlight w:val="yellow"/>
        </w:rPr>
        <w:t xml:space="preserve">or non-IT </w:t>
      </w:r>
      <w:r w:rsidRPr="008800EA">
        <w:rPr>
          <w:highlight w:val="yellow"/>
        </w:rPr>
        <w:t>goods.</w:t>
      </w:r>
      <w:r>
        <w:t xml:space="preserve"> </w:t>
      </w:r>
    </w:p>
  </w:comment>
  <w:comment w:id="41" w:author="Author" w:initials="A">
    <w:p w14:paraId="67385F6C" w14:textId="77777777" w:rsidR="001768BA" w:rsidRDefault="001768BA" w:rsidP="001768BA">
      <w:pPr>
        <w:pStyle w:val="CommentText"/>
      </w:pPr>
      <w:r>
        <w:rPr>
          <w:rStyle w:val="CommentReference"/>
        </w:rPr>
        <w:annotationRef/>
      </w:r>
      <w:r w:rsidRPr="00611B29">
        <w:rPr>
          <w:highlight w:val="yellow"/>
        </w:rPr>
        <w:t>Note: This provision is only necessary for projects in which the use of heavy or expensive equipment is anticipated. Delete if inapplicable.</w:t>
      </w:r>
    </w:p>
  </w:comment>
  <w:comment w:id="42" w:author="Author" w:initials="A">
    <w:p w14:paraId="22FD5B0F" w14:textId="77777777" w:rsidR="003B4F33" w:rsidRDefault="003B4F33">
      <w:pPr>
        <w:pStyle w:val="CommentText"/>
      </w:pPr>
      <w:r>
        <w:rPr>
          <w:rStyle w:val="CommentReference"/>
        </w:rPr>
        <w:annotationRef/>
      </w:r>
      <w:r>
        <w:t xml:space="preserve">The clause as drafted allows for a single Option Term of one year. If the </w:t>
      </w:r>
      <w:r w:rsidR="006E3615">
        <w:t xml:space="preserve">JBE </w:t>
      </w:r>
      <w:r>
        <w:t xml:space="preserve">wishes to have multiple Option Terms, it may use the following language:  </w:t>
      </w:r>
    </w:p>
    <w:p w14:paraId="6C9B0345" w14:textId="77777777" w:rsidR="003B4F33" w:rsidRDefault="003B4F33">
      <w:pPr>
        <w:pStyle w:val="CommentText"/>
      </w:pPr>
    </w:p>
    <w:p w14:paraId="11D97072" w14:textId="77777777" w:rsidR="003B4F33" w:rsidRPr="00863D67" w:rsidRDefault="003B4F33">
      <w:pPr>
        <w:pStyle w:val="CommentText"/>
        <w:rPr>
          <w:rFonts w:asciiTheme="minorHAnsi" w:hAnsiTheme="minorHAnsi" w:cstheme="minorHAnsi"/>
          <w:bCs/>
        </w:rPr>
      </w:pPr>
      <w:r w:rsidRPr="00863D67">
        <w:rPr>
          <w:rFonts w:asciiTheme="minorHAnsi" w:hAnsiTheme="minorHAnsi" w:cstheme="minorHAnsi"/>
          <w:b/>
          <w:bCs/>
        </w:rPr>
        <w:t>Option Term</w:t>
      </w:r>
      <w:r>
        <w:rPr>
          <w:rFonts w:asciiTheme="minorHAnsi" w:hAnsiTheme="minorHAnsi" w:cstheme="minorHAnsi"/>
          <w:b/>
          <w:bCs/>
        </w:rPr>
        <w:t>s</w:t>
      </w:r>
      <w:r w:rsidRPr="00863D67">
        <w:rPr>
          <w:rFonts w:asciiTheme="minorHAnsi" w:hAnsiTheme="minorHAnsi" w:cstheme="minorHAnsi"/>
          <w:b/>
          <w:bCs/>
        </w:rPr>
        <w:t xml:space="preserve">.  </w:t>
      </w:r>
      <w:r w:rsidRPr="00863D67">
        <w:rPr>
          <w:rFonts w:asciiTheme="minorHAnsi" w:hAnsiTheme="minorHAnsi" w:cstheme="minorHAnsi"/>
          <w:bCs/>
        </w:rPr>
        <w:t xml:space="preserve">The </w:t>
      </w:r>
      <w:r w:rsidR="006E3615">
        <w:rPr>
          <w:rFonts w:asciiTheme="minorHAnsi" w:hAnsiTheme="minorHAnsi" w:cstheme="minorHAnsi"/>
          <w:bCs/>
        </w:rPr>
        <w:t xml:space="preserve">JBE </w:t>
      </w:r>
      <w:r w:rsidRPr="00863D67">
        <w:rPr>
          <w:rFonts w:asciiTheme="minorHAnsi" w:hAnsiTheme="minorHAnsi" w:cstheme="minorHAnsi"/>
          <w:bCs/>
        </w:rPr>
        <w:t xml:space="preserve">may, at its sole option, extend </w:t>
      </w:r>
      <w:r w:rsidRPr="00081C7A">
        <w:rPr>
          <w:rFonts w:asciiTheme="minorHAnsi" w:hAnsiTheme="minorHAnsi" w:cstheme="minorHAnsi"/>
          <w:bCs/>
        </w:rPr>
        <w:t xml:space="preserve">this Agreement for up to </w:t>
      </w:r>
      <w:r w:rsidRPr="003B4F33">
        <w:rPr>
          <w:rFonts w:asciiTheme="minorHAnsi" w:hAnsiTheme="minorHAnsi" w:cstheme="minorHAnsi"/>
          <w:b/>
          <w:bCs/>
          <w:highlight w:val="yellow"/>
        </w:rPr>
        <w:t>[insert number]</w:t>
      </w:r>
      <w:r w:rsidRPr="003B4F33">
        <w:rPr>
          <w:rFonts w:asciiTheme="minorHAnsi" w:hAnsiTheme="minorHAnsi" w:cstheme="minorHAnsi"/>
          <w:bCs/>
        </w:rPr>
        <w:t xml:space="preserve"> </w:t>
      </w:r>
      <w:r w:rsidRPr="00081C7A">
        <w:rPr>
          <w:rFonts w:asciiTheme="minorHAnsi" w:hAnsiTheme="minorHAnsi" w:cstheme="minorHAnsi"/>
          <w:bCs/>
        </w:rPr>
        <w:t>consecutive one-year terms</w:t>
      </w:r>
      <w:r>
        <w:rPr>
          <w:rFonts w:asciiTheme="minorHAnsi" w:hAnsiTheme="minorHAnsi" w:cstheme="minorHAnsi"/>
          <w:bCs/>
        </w:rPr>
        <w:t>, at the e</w:t>
      </w:r>
      <w:r w:rsidRPr="00863D67">
        <w:rPr>
          <w:rFonts w:asciiTheme="minorHAnsi" w:hAnsiTheme="minorHAnsi" w:cstheme="minorHAnsi"/>
          <w:bCs/>
        </w:rPr>
        <w:t>nd of which Option Term</w:t>
      </w:r>
      <w:r>
        <w:rPr>
          <w:rFonts w:asciiTheme="minorHAnsi" w:hAnsiTheme="minorHAnsi" w:cstheme="minorHAnsi"/>
          <w:bCs/>
        </w:rPr>
        <w:t>s</w:t>
      </w:r>
      <w:r w:rsidRPr="00863D67">
        <w:rPr>
          <w:rFonts w:asciiTheme="minorHAnsi" w:hAnsiTheme="minorHAnsi" w:cstheme="minorHAnsi"/>
          <w:bCs/>
        </w:rPr>
        <w:t xml:space="preserve"> this Agreement shall e</w:t>
      </w:r>
      <w:r>
        <w:rPr>
          <w:rFonts w:asciiTheme="minorHAnsi" w:hAnsiTheme="minorHAnsi" w:cstheme="minorHAnsi"/>
          <w:bCs/>
        </w:rPr>
        <w:t>xpire. In order to exercise an</w:t>
      </w:r>
      <w:r w:rsidRPr="00863D67">
        <w:rPr>
          <w:rFonts w:asciiTheme="minorHAnsi" w:hAnsiTheme="minorHAnsi" w:cstheme="minorHAnsi"/>
          <w:bCs/>
        </w:rPr>
        <w:t xml:space="preserve"> Option Term, the </w:t>
      </w:r>
      <w:r w:rsidR="006E3615">
        <w:rPr>
          <w:rFonts w:asciiTheme="minorHAnsi" w:hAnsiTheme="minorHAnsi" w:cstheme="minorHAnsi"/>
          <w:bCs/>
        </w:rPr>
        <w:t>JBE</w:t>
      </w:r>
      <w:r w:rsidRPr="00863D67">
        <w:rPr>
          <w:rFonts w:asciiTheme="minorHAnsi" w:hAnsiTheme="minorHAnsi" w:cstheme="minorHAnsi"/>
          <w:bCs/>
        </w:rPr>
        <w:t xml:space="preserve"> must send </w:t>
      </w:r>
      <w:r>
        <w:rPr>
          <w:rFonts w:asciiTheme="minorHAnsi" w:hAnsiTheme="minorHAnsi" w:cstheme="minorHAnsi"/>
          <w:bCs/>
        </w:rPr>
        <w:t>N</w:t>
      </w:r>
      <w:r w:rsidRPr="00863D67">
        <w:rPr>
          <w:rFonts w:asciiTheme="minorHAnsi" w:hAnsiTheme="minorHAnsi" w:cstheme="minorHAnsi"/>
          <w:bCs/>
        </w:rPr>
        <w:t>otice to Contractor at least thirty (30) days prior to the end of the Initial Term</w:t>
      </w:r>
      <w:r>
        <w:rPr>
          <w:rFonts w:asciiTheme="minorHAnsi" w:hAnsiTheme="minorHAnsi" w:cstheme="minorHAnsi"/>
          <w:bCs/>
        </w:rPr>
        <w:t xml:space="preserve"> (or the then-current Option T</w:t>
      </w:r>
      <w:r w:rsidRPr="00081C7A">
        <w:rPr>
          <w:rFonts w:asciiTheme="minorHAnsi" w:hAnsiTheme="minorHAnsi" w:cstheme="minorHAnsi"/>
          <w:bCs/>
        </w:rPr>
        <w:t>erm)</w:t>
      </w:r>
      <w:r w:rsidRPr="00863D67">
        <w:rPr>
          <w:rFonts w:asciiTheme="minorHAnsi" w:hAnsiTheme="minorHAnsi" w:cstheme="minorHAnsi"/>
          <w:bCs/>
        </w:rPr>
        <w:t xml:space="preserve">. </w:t>
      </w:r>
    </w:p>
  </w:comment>
  <w:comment w:id="43" w:author="Author" w:initials="A">
    <w:p w14:paraId="5DBB7AFC" w14:textId="77777777" w:rsidR="003B4F33" w:rsidRDefault="003B4F33">
      <w:pPr>
        <w:pStyle w:val="CommentText"/>
      </w:pPr>
      <w:r>
        <w:rPr>
          <w:rStyle w:val="CommentReference"/>
        </w:rPr>
        <w:annotationRef/>
      </w:r>
      <w:r>
        <w:t>This section may be omitted if (i) there are no Option Terms, or (ii) the Agreement is only for IT goods and services.</w:t>
      </w:r>
    </w:p>
  </w:comment>
  <w:comment w:id="44" w:author="Author" w:initials="A">
    <w:p w14:paraId="7C6A10E0" w14:textId="77777777" w:rsidR="003B4F33" w:rsidRDefault="003B4F33">
      <w:pPr>
        <w:pStyle w:val="CommentText"/>
      </w:pPr>
      <w:r>
        <w:rPr>
          <w:rStyle w:val="CommentReference"/>
        </w:rPr>
        <w:annotationRef/>
      </w:r>
      <w:r>
        <w:t xml:space="preserve">The </w:t>
      </w:r>
      <w:r w:rsidR="006E3615">
        <w:t>JBE</w:t>
      </w:r>
      <w:r>
        <w:t xml:space="preserve"> may leave all of these provisions in the Agreement, or it may delete those provisions which are inapplicable to a specific transaction.</w:t>
      </w:r>
    </w:p>
  </w:comment>
  <w:comment w:id="45" w:author="Author" w:initials="A">
    <w:p w14:paraId="0C1660D5" w14:textId="77777777" w:rsidR="003B4F33" w:rsidRDefault="003B4F33">
      <w:pPr>
        <w:pStyle w:val="CommentText"/>
      </w:pPr>
      <w:r>
        <w:rPr>
          <w:rStyle w:val="CommentReference"/>
        </w:rPr>
        <w:annotationRef/>
      </w:r>
      <w:r>
        <w:t xml:space="preserve">The </w:t>
      </w:r>
      <w:r w:rsidR="006E3615">
        <w:t>JBE</w:t>
      </w:r>
      <w:r>
        <w:t xml:space="preserve"> may wish to specify a detailed dispute resolution process.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B13E8" w15:done="0"/>
  <w15:commentEx w15:paraId="60A76918" w15:done="0"/>
  <w15:commentEx w15:paraId="7482E15E" w15:done="0"/>
  <w15:commentEx w15:paraId="3B7F8C29" w15:done="0"/>
  <w15:commentEx w15:paraId="0434D327" w15:done="0"/>
  <w15:commentEx w15:paraId="2730E154" w15:done="0"/>
  <w15:commentEx w15:paraId="19412497" w15:done="0"/>
  <w15:commentEx w15:paraId="64028EA7" w15:done="0"/>
  <w15:commentEx w15:paraId="512784D2" w15:done="0"/>
  <w15:commentEx w15:paraId="741F4095" w15:done="0"/>
  <w15:commentEx w15:paraId="6DFD7B3A" w15:done="0"/>
  <w15:commentEx w15:paraId="306D5DE0" w15:done="0"/>
  <w15:commentEx w15:paraId="6EB73350" w15:done="0"/>
  <w15:commentEx w15:paraId="165335FC" w15:done="0"/>
  <w15:commentEx w15:paraId="114ACBF5" w15:done="0"/>
  <w15:commentEx w15:paraId="0C10712C" w15:done="0"/>
  <w15:commentEx w15:paraId="6DD26EF0" w15:done="0"/>
  <w15:commentEx w15:paraId="3CF6D1BE" w15:done="0"/>
  <w15:commentEx w15:paraId="63D936DF" w15:done="0"/>
  <w15:commentEx w15:paraId="1F1AE27A" w15:done="0"/>
  <w15:commentEx w15:paraId="656F3783" w15:done="0"/>
  <w15:commentEx w15:paraId="27E4F8CE" w15:done="0"/>
  <w15:commentEx w15:paraId="1629BE9F" w15:done="0"/>
  <w15:commentEx w15:paraId="5A828DB0" w15:done="0"/>
  <w15:commentEx w15:paraId="5D826E0E" w15:done="0"/>
  <w15:commentEx w15:paraId="31A234DD" w15:done="0"/>
  <w15:commentEx w15:paraId="36D2D3BC" w15:done="0"/>
  <w15:commentEx w15:paraId="21417184" w15:done="0"/>
  <w15:commentEx w15:paraId="66ACAB7E" w15:done="0"/>
  <w15:commentEx w15:paraId="093BF91D" w15:done="0"/>
  <w15:commentEx w15:paraId="7116D000" w15:done="0"/>
  <w15:commentEx w15:paraId="6E731F0E" w15:done="0"/>
  <w15:commentEx w15:paraId="46BCD442" w15:done="0"/>
  <w15:commentEx w15:paraId="5527D36C" w15:done="0"/>
  <w15:commentEx w15:paraId="28702A61" w15:done="0"/>
  <w15:commentEx w15:paraId="721693FE" w15:done="0"/>
  <w15:commentEx w15:paraId="67385F6C" w15:done="0"/>
  <w15:commentEx w15:paraId="11D97072" w15:done="0"/>
  <w15:commentEx w15:paraId="5DBB7AFC" w15:done="0"/>
  <w15:commentEx w15:paraId="7C6A10E0" w15:done="0"/>
  <w15:commentEx w15:paraId="0C1660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B13E8" w16cid:durableId="217E8699"/>
  <w16cid:commentId w16cid:paraId="60A76918" w16cid:durableId="217E869A"/>
  <w16cid:commentId w16cid:paraId="7482E15E" w16cid:durableId="217E869B"/>
  <w16cid:commentId w16cid:paraId="3B7F8C29" w16cid:durableId="217E869C"/>
  <w16cid:commentId w16cid:paraId="0434D327" w16cid:durableId="28EF919A"/>
  <w16cid:commentId w16cid:paraId="2730E154" w16cid:durableId="217E869D"/>
  <w16cid:commentId w16cid:paraId="19412497" w16cid:durableId="217E869E"/>
  <w16cid:commentId w16cid:paraId="64028EA7" w16cid:durableId="217E869F"/>
  <w16cid:commentId w16cid:paraId="512784D2" w16cid:durableId="217E86A0"/>
  <w16cid:commentId w16cid:paraId="741F4095" w16cid:durableId="217E86A1"/>
  <w16cid:commentId w16cid:paraId="6DFD7B3A" w16cid:durableId="217E86A2"/>
  <w16cid:commentId w16cid:paraId="306D5DE0" w16cid:durableId="217E86A3"/>
  <w16cid:commentId w16cid:paraId="6EB73350" w16cid:durableId="217E86A4"/>
  <w16cid:commentId w16cid:paraId="165335FC" w16cid:durableId="217E86A5"/>
  <w16cid:commentId w16cid:paraId="114ACBF5" w16cid:durableId="217E86A6"/>
  <w16cid:commentId w16cid:paraId="0C10712C" w16cid:durableId="217E86A7"/>
  <w16cid:commentId w16cid:paraId="6DD26EF0" w16cid:durableId="217E86A8"/>
  <w16cid:commentId w16cid:paraId="3CF6D1BE" w16cid:durableId="217E86A9"/>
  <w16cid:commentId w16cid:paraId="63D936DF" w16cid:durableId="217E86AA"/>
  <w16cid:commentId w16cid:paraId="1F1AE27A" w16cid:durableId="217E86AB"/>
  <w16cid:commentId w16cid:paraId="656F3783" w16cid:durableId="217E86AC"/>
  <w16cid:commentId w16cid:paraId="27E4F8CE" w16cid:durableId="217E86AD"/>
  <w16cid:commentId w16cid:paraId="1629BE9F" w16cid:durableId="217E86AE"/>
  <w16cid:commentId w16cid:paraId="5A828DB0" w16cid:durableId="217E86AF"/>
  <w16cid:commentId w16cid:paraId="5D826E0E" w16cid:durableId="217E86B0"/>
  <w16cid:commentId w16cid:paraId="31A234DD" w16cid:durableId="217E86B1"/>
  <w16cid:commentId w16cid:paraId="36D2D3BC" w16cid:durableId="217E86B2"/>
  <w16cid:commentId w16cid:paraId="21417184" w16cid:durableId="217E86B3"/>
  <w16cid:commentId w16cid:paraId="66ACAB7E" w16cid:durableId="217E86B4"/>
  <w16cid:commentId w16cid:paraId="093BF91D" w16cid:durableId="217E86B5"/>
  <w16cid:commentId w16cid:paraId="7116D000" w16cid:durableId="285A51C0"/>
  <w16cid:commentId w16cid:paraId="6E731F0E" w16cid:durableId="285661C0"/>
  <w16cid:commentId w16cid:paraId="46BCD442" w16cid:durableId="285661BF"/>
  <w16cid:commentId w16cid:paraId="5527D36C" w16cid:durableId="285661BE"/>
  <w16cid:commentId w16cid:paraId="28702A61" w16cid:durableId="285661BD"/>
  <w16cid:commentId w16cid:paraId="721693FE" w16cid:durableId="285661BC"/>
  <w16cid:commentId w16cid:paraId="67385F6C" w16cid:durableId="285661BB"/>
  <w16cid:commentId w16cid:paraId="11D97072" w16cid:durableId="217E86B9"/>
  <w16cid:commentId w16cid:paraId="5DBB7AFC" w16cid:durableId="217E86BA"/>
  <w16cid:commentId w16cid:paraId="7C6A10E0" w16cid:durableId="217E86BB"/>
  <w16cid:commentId w16cid:paraId="0C1660D5" w16cid:durableId="217E86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C39E" w14:textId="77777777" w:rsidR="00133CE8" w:rsidRDefault="00133CE8" w:rsidP="00437785">
      <w:r>
        <w:separator/>
      </w:r>
    </w:p>
  </w:endnote>
  <w:endnote w:type="continuationSeparator" w:id="0">
    <w:p w14:paraId="37625E1B" w14:textId="77777777" w:rsidR="00133CE8" w:rsidRDefault="00133CE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88F3" w14:textId="77777777" w:rsidR="00133CE8" w:rsidRDefault="00133CE8" w:rsidP="00437785">
      <w:r>
        <w:separator/>
      </w:r>
    </w:p>
  </w:footnote>
  <w:footnote w:type="continuationSeparator" w:id="0">
    <w:p w14:paraId="786F4E10" w14:textId="77777777" w:rsidR="00133CE8" w:rsidRDefault="00133CE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74283074">
    <w:abstractNumId w:val="8"/>
  </w:num>
  <w:num w:numId="2" w16cid:durableId="2094740623">
    <w:abstractNumId w:val="6"/>
  </w:num>
  <w:num w:numId="3" w16cid:durableId="1418016961">
    <w:abstractNumId w:val="26"/>
  </w:num>
  <w:num w:numId="4" w16cid:durableId="914584524">
    <w:abstractNumId w:val="11"/>
  </w:num>
  <w:num w:numId="5" w16cid:durableId="1408770929">
    <w:abstractNumId w:val="7"/>
  </w:num>
  <w:num w:numId="6" w16cid:durableId="98643117">
    <w:abstractNumId w:val="5"/>
  </w:num>
  <w:num w:numId="7" w16cid:durableId="1602958670">
    <w:abstractNumId w:val="17"/>
  </w:num>
  <w:num w:numId="8" w16cid:durableId="2134713356">
    <w:abstractNumId w:val="18"/>
  </w:num>
  <w:num w:numId="9" w16cid:durableId="1982347161">
    <w:abstractNumId w:val="4"/>
  </w:num>
  <w:num w:numId="10" w16cid:durableId="1576403217">
    <w:abstractNumId w:val="21"/>
  </w:num>
  <w:num w:numId="11" w16cid:durableId="563760532">
    <w:abstractNumId w:val="3"/>
  </w:num>
  <w:num w:numId="12" w16cid:durableId="313946787">
    <w:abstractNumId w:val="24"/>
  </w:num>
  <w:num w:numId="13" w16cid:durableId="1938053588">
    <w:abstractNumId w:val="29"/>
  </w:num>
  <w:num w:numId="14" w16cid:durableId="1605961208">
    <w:abstractNumId w:val="28"/>
  </w:num>
  <w:num w:numId="15" w16cid:durableId="1414357880">
    <w:abstractNumId w:val="2"/>
  </w:num>
  <w:num w:numId="16" w16cid:durableId="1352603823">
    <w:abstractNumId w:val="1"/>
  </w:num>
  <w:num w:numId="17" w16cid:durableId="108352871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2"/>
  </w:num>
  <w:num w:numId="19" w16cid:durableId="969819148">
    <w:abstractNumId w:val="14"/>
  </w:num>
  <w:num w:numId="20" w16cid:durableId="1928075811">
    <w:abstractNumId w:val="25"/>
  </w:num>
  <w:num w:numId="21" w16cid:durableId="300503234">
    <w:abstractNumId w:val="13"/>
  </w:num>
  <w:num w:numId="22" w16cid:durableId="472600652">
    <w:abstractNumId w:val="9"/>
  </w:num>
  <w:num w:numId="23" w16cid:durableId="266623786">
    <w:abstractNumId w:val="16"/>
  </w:num>
  <w:num w:numId="24" w16cid:durableId="171923030">
    <w:abstractNumId w:val="10"/>
  </w:num>
  <w:num w:numId="25" w16cid:durableId="335693263">
    <w:abstractNumId w:val="30"/>
  </w:num>
  <w:num w:numId="26" w16cid:durableId="1341277684">
    <w:abstractNumId w:val="20"/>
  </w:num>
  <w:num w:numId="27" w16cid:durableId="381057003">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2"/>
  </w:num>
  <w:num w:numId="29" w16cid:durableId="1743285898">
    <w:abstractNumId w:val="31"/>
  </w:num>
  <w:num w:numId="30" w16cid:durableId="990982133">
    <w:abstractNumId w:val="0"/>
  </w:num>
  <w:num w:numId="31" w16cid:durableId="2114129718">
    <w:abstractNumId w:val="15"/>
  </w:num>
  <w:num w:numId="32" w16cid:durableId="1160383784">
    <w:abstractNumId w:val="27"/>
  </w:num>
  <w:num w:numId="33" w16cid:durableId="1983727873">
    <w:abstractNumId w:val="12"/>
  </w:num>
  <w:num w:numId="34" w16cid:durableId="5281842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ourts.ca.gov/18759.htm" TargetMode="External"/><Relationship Id="rId1" Type="http://schemas.openxmlformats.org/officeDocument/2006/relationships/hyperlink" Target="https://www.courts.ca.gov/18759.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ourts.ca.gov/documents/JBCM-Post-Contract-Certification-Form.docx"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10786</Words>
  <Characters>61484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2023-12-20T22:22:00Z</dcterms:created>
  <dcterms:modified xsi:type="dcterms:W3CDTF">2023-12-20T22:24:00Z</dcterms:modified>
</cp:coreProperties>
</file>