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48" w:rsidRDefault="00496648" w:rsidP="00496648">
      <w:pPr>
        <w:jc w:val="center"/>
        <w:rPr>
          <w:b/>
          <w:smallCaps/>
          <w:sz w:val="28"/>
          <w:szCs w:val="28"/>
        </w:rPr>
      </w:pPr>
      <w:r w:rsidRPr="008B57A8">
        <w:rPr>
          <w:b/>
          <w:smallCaps/>
          <w:sz w:val="28"/>
          <w:szCs w:val="28"/>
        </w:rPr>
        <w:t xml:space="preserve">Sample </w:t>
      </w:r>
      <w:r w:rsidR="00F7162D">
        <w:rPr>
          <w:b/>
          <w:smallCaps/>
          <w:sz w:val="28"/>
          <w:szCs w:val="28"/>
        </w:rPr>
        <w:t>Contractor Certification Clauses</w:t>
      </w:r>
    </w:p>
    <w:p w:rsidR="00A6524A" w:rsidRDefault="00F7162D" w:rsidP="00A640D6">
      <w:pPr>
        <w:jc w:val="center"/>
        <w:rPr>
          <w:smallCaps/>
        </w:rPr>
      </w:pPr>
      <w:r w:rsidRPr="001B46E4">
        <w:rPr>
          <w:rFonts w:cstheme="minorHAnsi"/>
          <w:b/>
          <w:smallCaps/>
          <w:sz w:val="28"/>
          <w:szCs w:val="28"/>
        </w:rPr>
        <w:t xml:space="preserve">Keyed to JBCM Chapter 8, Appendix </w:t>
      </w:r>
      <w:r>
        <w:rPr>
          <w:rFonts w:cstheme="minorHAnsi"/>
          <w:b/>
          <w:smallCaps/>
          <w:sz w:val="28"/>
          <w:szCs w:val="28"/>
        </w:rPr>
        <w:t>A</w:t>
      </w:r>
    </w:p>
    <w:p w:rsidR="00A6524A" w:rsidRPr="00A6524A" w:rsidRDefault="00A6524A" w:rsidP="00A6524A">
      <w:pPr>
        <w:rPr>
          <w:b/>
          <w:smallCaps/>
          <w:sz w:val="20"/>
          <w:szCs w:val="20"/>
        </w:rPr>
      </w:pPr>
      <w:r w:rsidRPr="00A6524A">
        <w:rPr>
          <w:rFonts w:cstheme="minorHAnsi"/>
          <w:sz w:val="20"/>
          <w:szCs w:val="20"/>
        </w:rPr>
        <w:t>Contractor certifies that the following representations and warranties are true.  Contractor shall cause its representations and warranties to remain true during the term of the Agreement.  Contractor shall promptly notify the JBE if any representation and warranty becomes untrue.  Contractor represents and warrants as follows:</w:t>
      </w:r>
    </w:p>
    <w:p w:rsidR="00A6524A" w:rsidRPr="00A6524A" w:rsidRDefault="00A6524A" w:rsidP="00A6524A">
      <w:pPr>
        <w:rPr>
          <w:b/>
          <w:smallCaps/>
          <w:sz w:val="20"/>
          <w:szCs w:val="20"/>
        </w:rPr>
      </w:pPr>
    </w:p>
    <w:tbl>
      <w:tblPr>
        <w:tblStyle w:val="TableGrid"/>
        <w:tblW w:w="13158" w:type="dxa"/>
        <w:tblLayout w:type="fixed"/>
        <w:tblLook w:val="0620" w:firstRow="1" w:lastRow="0" w:firstColumn="0" w:lastColumn="0" w:noHBand="1" w:noVBand="1"/>
      </w:tblPr>
      <w:tblGrid>
        <w:gridCol w:w="468"/>
        <w:gridCol w:w="2070"/>
        <w:gridCol w:w="10620"/>
      </w:tblGrid>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1</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 xml:space="preserve">Authority </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Contractor has authority to enter into and perform its obligations under this Agreement, and Contractor’s signatory has authority to bind Contractor to this Agreement.</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2</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Qualification in California</w:t>
            </w:r>
          </w:p>
        </w:tc>
        <w:tc>
          <w:tcPr>
            <w:tcW w:w="10620" w:type="dxa"/>
          </w:tcPr>
          <w:p w:rsidR="00D43349" w:rsidRPr="004C5252" w:rsidRDefault="00A6524A" w:rsidP="00131576">
            <w:pPr>
              <w:spacing w:line="276" w:lineRule="auto"/>
              <w:rPr>
                <w:rFonts w:asciiTheme="minorHAnsi" w:hAnsiTheme="minorHAnsi" w:cstheme="minorHAnsi"/>
                <w:bCs/>
              </w:rPr>
            </w:pPr>
            <w:r w:rsidRPr="00A6524A">
              <w:rPr>
                <w:rFonts w:cstheme="minorHAnsi"/>
                <w:bCs/>
                <w:sz w:val="24"/>
                <w:szCs w:val="24"/>
              </w:rPr>
              <w:t xml:space="preserve">Contractor is, and will remain for the term of this Agreement, qualified to do business and in good standing in California.     </w:t>
            </w:r>
          </w:p>
        </w:tc>
      </w:tr>
      <w:tr w:rsidR="002E0231" w:rsidRPr="004C5252" w:rsidDel="00C419DD" w:rsidTr="00CC5867">
        <w:trPr>
          <w:cantSplit/>
          <w:trHeight w:val="20"/>
        </w:trPr>
        <w:tc>
          <w:tcPr>
            <w:tcW w:w="468"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3</w:t>
            </w:r>
          </w:p>
        </w:tc>
        <w:tc>
          <w:tcPr>
            <w:tcW w:w="207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No gratuities</w:t>
            </w:r>
          </w:p>
        </w:tc>
        <w:tc>
          <w:tcPr>
            <w:tcW w:w="10620" w:type="dxa"/>
          </w:tcPr>
          <w:p w:rsidR="002E0231" w:rsidRPr="004C5252" w:rsidDel="00C419DD" w:rsidRDefault="00A6524A" w:rsidP="00131576">
            <w:pPr>
              <w:spacing w:line="276" w:lineRule="auto"/>
              <w:contextualSpacing/>
              <w:rPr>
                <w:rFonts w:asciiTheme="minorHAnsi" w:hAnsiTheme="minorHAnsi" w:cstheme="minorHAnsi"/>
              </w:rPr>
            </w:pPr>
            <w:r w:rsidRPr="00A6524A">
              <w:rPr>
                <w:rFonts w:cstheme="minorHAnsi"/>
                <w:sz w:val="24"/>
                <w:szCs w:val="24"/>
              </w:rPr>
              <w:t>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p>
        </w:tc>
      </w:tr>
      <w:tr w:rsidR="002E0231" w:rsidRPr="004C5252" w:rsidDel="00C419DD"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4</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No conflict of interest</w:t>
            </w:r>
          </w:p>
        </w:tc>
        <w:tc>
          <w:tcPr>
            <w:tcW w:w="10620" w:type="dxa"/>
          </w:tcPr>
          <w:p w:rsidR="002E0231" w:rsidRPr="004C5252" w:rsidDel="00C419DD" w:rsidRDefault="00A6524A" w:rsidP="00131576">
            <w:pPr>
              <w:spacing w:line="276" w:lineRule="auto"/>
              <w:contextualSpacing/>
              <w:rPr>
                <w:rFonts w:asciiTheme="minorHAnsi" w:hAnsiTheme="minorHAnsi" w:cstheme="minorHAnsi"/>
              </w:rPr>
            </w:pPr>
            <w:r w:rsidRPr="00A6524A">
              <w:rPr>
                <w:rFonts w:cstheme="minorHAnsi"/>
                <w:sz w:val="24"/>
                <w:szCs w:val="24"/>
              </w:rPr>
              <w:t>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5</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No interference with other contracts</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To the best of Contractor’s knowledge, this Agreement does not create a material conflict of interest or default under any of Contractor’s other contracts.</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6</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No litigation</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No suit, action, arbitration, or legal, administrative, or other proceeding or governmental investigation is pending or threatened that may adversely affect Contractor’s ability to perform its obligations under this Agreement.</w:t>
            </w:r>
          </w:p>
        </w:tc>
      </w:tr>
      <w:tr w:rsidR="002E0231" w:rsidRPr="004C5252" w:rsidDel="00C419DD"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7</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Compliance with laws</w:t>
            </w:r>
          </w:p>
        </w:tc>
        <w:tc>
          <w:tcPr>
            <w:tcW w:w="10620" w:type="dxa"/>
          </w:tcPr>
          <w:p w:rsidR="002E0231" w:rsidRPr="004C5252" w:rsidDel="00C419DD" w:rsidRDefault="00A6524A" w:rsidP="00131576">
            <w:pPr>
              <w:spacing w:line="276" w:lineRule="auto"/>
              <w:contextualSpacing/>
              <w:rPr>
                <w:rFonts w:asciiTheme="minorHAnsi" w:hAnsiTheme="minorHAnsi" w:cstheme="minorHAnsi"/>
              </w:rPr>
            </w:pPr>
            <w:r w:rsidRPr="00A6524A">
              <w:rPr>
                <w:rFonts w:cstheme="minorHAnsi"/>
                <w:sz w:val="24"/>
                <w:szCs w:val="24"/>
              </w:rPr>
              <w:t>Contractor complies in all material respects with all laws, rules, and regulations applicable to Contractor’s business and services.</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8</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Drug-free workplace</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Contractor provides a drug-free workplace as required by California Government Code sections 8355 through 8357.</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lastRenderedPageBreak/>
              <w:t>9</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No harassment</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Contractor does not engage in unlawful harassment, including sexual harassment, with respect to any persons with whom Contractor may interact in the performance of this Agreement, and Contractor takes all reasonable steps to prevent harassment from occurring.</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10</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Nondiscrimination</w:t>
            </w:r>
          </w:p>
        </w:tc>
        <w:tc>
          <w:tcPr>
            <w:tcW w:w="10620" w:type="dxa"/>
          </w:tcPr>
          <w:p w:rsidR="002E0231" w:rsidRPr="004C5252" w:rsidRDefault="00A6524A" w:rsidP="00F275E8">
            <w:pPr>
              <w:spacing w:line="276" w:lineRule="auto"/>
              <w:contextualSpacing/>
              <w:rPr>
                <w:rFonts w:asciiTheme="minorHAnsi" w:hAnsiTheme="minorHAnsi" w:cstheme="minorHAnsi"/>
              </w:rPr>
            </w:pPr>
            <w:r w:rsidRPr="00A6524A">
              <w:rPr>
                <w:rFonts w:cstheme="minorHAnsi"/>
                <w:sz w:val="24"/>
                <w:szCs w:val="24"/>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will notify in writing each labor organization with which Contractor has a collective bargaining or other agreement of Contractor’s obligations of nondiscrimination.</w:t>
            </w:r>
          </w:p>
        </w:tc>
      </w:tr>
      <w:tr w:rsidR="002E0231" w:rsidRPr="004C5252" w:rsidTr="00CC5867">
        <w:trPr>
          <w:cantSplit/>
          <w:trHeight w:val="20"/>
        </w:trPr>
        <w:tc>
          <w:tcPr>
            <w:tcW w:w="468" w:type="dxa"/>
            <w:tcBorders>
              <w:bottom w:val="single" w:sz="4" w:space="0" w:color="000000"/>
            </w:tcBorders>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11</w:t>
            </w:r>
          </w:p>
        </w:tc>
        <w:tc>
          <w:tcPr>
            <w:tcW w:w="2070" w:type="dxa"/>
            <w:tcBorders>
              <w:bottom w:val="single" w:sz="4" w:space="0" w:color="000000"/>
            </w:tcBorders>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Domestic partners, spouses, gender</w:t>
            </w:r>
            <w:r w:rsidR="00B16B60">
              <w:rPr>
                <w:rFonts w:cstheme="minorHAnsi"/>
                <w:sz w:val="24"/>
                <w:szCs w:val="24"/>
              </w:rPr>
              <w:t>, and gender identity</w:t>
            </w:r>
          </w:p>
        </w:tc>
        <w:tc>
          <w:tcPr>
            <w:tcW w:w="10620" w:type="dxa"/>
            <w:tcBorders>
              <w:bottom w:val="single" w:sz="4" w:space="0" w:color="000000"/>
            </w:tcBorders>
          </w:tcPr>
          <w:p w:rsidR="00F9330D" w:rsidRPr="004C5252" w:rsidRDefault="00A6524A" w:rsidP="008E5111">
            <w:pPr>
              <w:spacing w:line="276" w:lineRule="auto"/>
              <w:contextualSpacing/>
              <w:rPr>
                <w:rFonts w:asciiTheme="minorHAnsi" w:hAnsiTheme="minorHAnsi" w:cstheme="minorHAnsi"/>
              </w:rPr>
            </w:pPr>
            <w:r w:rsidRPr="00A6524A">
              <w:rPr>
                <w:rFonts w:cstheme="minorHAnsi"/>
                <w:sz w:val="24"/>
                <w:szCs w:val="24"/>
              </w:rPr>
              <w:t>Contractor is in compliance with, and throughout the term of this Agreement will remain in compliance with</w:t>
            </w:r>
            <w:r w:rsidR="00B16B60">
              <w:rPr>
                <w:rFonts w:cstheme="minorHAnsi"/>
                <w:sz w:val="24"/>
                <w:szCs w:val="24"/>
              </w:rPr>
              <w:t>: (i)</w:t>
            </w:r>
            <w:r w:rsidRPr="00A6524A">
              <w:rPr>
                <w:rFonts w:cstheme="minorHAnsi"/>
                <w:sz w:val="24"/>
                <w:szCs w:val="24"/>
              </w:rPr>
              <w:t xml:space="preserve"> Public Contract Code section 10295.3</w:t>
            </w:r>
            <w:r w:rsidR="00B16B60">
              <w:rPr>
                <w:rFonts w:cstheme="minorHAnsi"/>
                <w:sz w:val="24"/>
                <w:szCs w:val="24"/>
              </w:rPr>
              <w:t>,</w:t>
            </w:r>
            <w:r w:rsidRPr="00A6524A">
              <w:rPr>
                <w:rFonts w:cstheme="minorHAnsi"/>
                <w:sz w:val="24"/>
                <w:szCs w:val="24"/>
              </w:rPr>
              <w:t xml:space="preserve"> which places limitations on contracts with contractors who discriminate in the provision of benefits </w:t>
            </w:r>
            <w:r w:rsidR="008E5111">
              <w:rPr>
                <w:rFonts w:cstheme="minorHAnsi"/>
                <w:sz w:val="24"/>
                <w:szCs w:val="24"/>
              </w:rPr>
              <w:t>on the basis of</w:t>
            </w:r>
            <w:r w:rsidR="008E5111" w:rsidRPr="00A6524A">
              <w:rPr>
                <w:rFonts w:cstheme="minorHAnsi"/>
                <w:sz w:val="24"/>
                <w:szCs w:val="24"/>
              </w:rPr>
              <w:t xml:space="preserve"> </w:t>
            </w:r>
            <w:r w:rsidRPr="00A6524A">
              <w:rPr>
                <w:rFonts w:cstheme="minorHAnsi"/>
                <w:sz w:val="24"/>
                <w:szCs w:val="24"/>
              </w:rPr>
              <w:t>marital or domestic partner status</w:t>
            </w:r>
            <w:r w:rsidR="00B16B60">
              <w:rPr>
                <w:rFonts w:cstheme="minorHAnsi"/>
                <w:sz w:val="24"/>
                <w:szCs w:val="24"/>
              </w:rPr>
              <w:t>; and (ii) Public Contract Code section 10295.35, which places limitations on contracts with contractors that discriminate in the provision of benefits on the basis of an employee’s or dependent’s actual or perceived gender identity.</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12</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National Labor Relations Board</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13</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Expatriate Corporations</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Contractor is not an expatriate corporation or subsidiary of an expatriate corporation within the meaning of Public Contract Code section 10286.1, and is eligible to contract with the JBE.</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lastRenderedPageBreak/>
              <w:t>14</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Sweatshop Labor</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15</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Child Support Compliance Act</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 Contractor provides the names of all new employees to the New Hire Registry maintained by the California Employment Development Department.</w:t>
            </w:r>
          </w:p>
        </w:tc>
      </w:tr>
      <w:tr w:rsidR="002E0231" w:rsidRPr="004C5252" w:rsidTr="00CC5867">
        <w:trPr>
          <w:cantSplit/>
          <w:trHeight w:val="20"/>
        </w:trPr>
        <w:tc>
          <w:tcPr>
            <w:tcW w:w="468"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16</w:t>
            </w:r>
          </w:p>
        </w:tc>
        <w:tc>
          <w:tcPr>
            <w:tcW w:w="2070" w:type="dxa"/>
          </w:tcPr>
          <w:p w:rsidR="002E0231" w:rsidRPr="004C5252" w:rsidRDefault="00A6524A" w:rsidP="00131576">
            <w:pPr>
              <w:spacing w:line="276" w:lineRule="auto"/>
              <w:rPr>
                <w:rFonts w:asciiTheme="minorHAnsi" w:hAnsiTheme="minorHAnsi" w:cstheme="minorHAnsi"/>
              </w:rPr>
            </w:pPr>
            <w:r w:rsidRPr="00A6524A">
              <w:rPr>
                <w:rFonts w:cstheme="minorHAnsi"/>
                <w:sz w:val="24"/>
                <w:szCs w:val="24"/>
              </w:rPr>
              <w:t>Iran Contracting Act</w:t>
            </w:r>
          </w:p>
        </w:tc>
        <w:tc>
          <w:tcPr>
            <w:tcW w:w="10620" w:type="dxa"/>
          </w:tcPr>
          <w:p w:rsidR="002E0231" w:rsidRPr="004C5252" w:rsidRDefault="00A6524A" w:rsidP="00131576">
            <w:pPr>
              <w:spacing w:line="276" w:lineRule="auto"/>
              <w:contextualSpacing/>
              <w:rPr>
                <w:rFonts w:asciiTheme="minorHAnsi" w:hAnsiTheme="minorHAnsi" w:cstheme="minorHAnsi"/>
              </w:rPr>
            </w:pPr>
            <w:r w:rsidRPr="00A6524A">
              <w:rPr>
                <w:rFonts w:cstheme="minorHAnsi"/>
                <w:sz w:val="24"/>
                <w:szCs w:val="24"/>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tc>
      </w:tr>
      <w:tr w:rsidR="009C04C2" w:rsidRPr="004C5252" w:rsidTr="00CC5867">
        <w:trPr>
          <w:cantSplit/>
          <w:trHeight w:val="20"/>
        </w:trPr>
        <w:tc>
          <w:tcPr>
            <w:tcW w:w="468" w:type="dxa"/>
          </w:tcPr>
          <w:p w:rsidR="009C04C2" w:rsidRPr="00AD0211" w:rsidRDefault="009C04C2" w:rsidP="00131576">
            <w:pPr>
              <w:rPr>
                <w:rFonts w:cstheme="minorHAnsi"/>
                <w:sz w:val="24"/>
                <w:szCs w:val="24"/>
              </w:rPr>
            </w:pPr>
            <w:r w:rsidRPr="009C04C2">
              <w:rPr>
                <w:rFonts w:cstheme="minorHAnsi"/>
              </w:rPr>
              <w:lastRenderedPageBreak/>
              <w:t>17</w:t>
            </w:r>
          </w:p>
        </w:tc>
        <w:tc>
          <w:tcPr>
            <w:tcW w:w="2070" w:type="dxa"/>
          </w:tcPr>
          <w:p w:rsidR="009C04C2" w:rsidRPr="00AD0211" w:rsidRDefault="009C04C2" w:rsidP="00131576">
            <w:pPr>
              <w:rPr>
                <w:rFonts w:cstheme="minorHAnsi"/>
                <w:sz w:val="24"/>
                <w:szCs w:val="24"/>
              </w:rPr>
            </w:pPr>
            <w:r w:rsidRPr="009C04C2">
              <w:rPr>
                <w:rFonts w:cstheme="minorHAnsi"/>
              </w:rPr>
              <w:t>Unruh Civil Rights Act / California Fair Employment and Housing Act</w:t>
            </w:r>
          </w:p>
        </w:tc>
        <w:tc>
          <w:tcPr>
            <w:tcW w:w="10620" w:type="dxa"/>
          </w:tcPr>
          <w:p w:rsidR="009C04C2" w:rsidRPr="00FB5015" w:rsidRDefault="009C04C2" w:rsidP="009C04C2">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rsidR="009C04C2" w:rsidRPr="009069CB" w:rsidRDefault="009C04C2" w:rsidP="009C04C2">
            <w:pPr>
              <w:spacing w:after="120" w:line="300" w:lineRule="atLeast"/>
              <w:rPr>
                <w:rFonts w:cs="Arial"/>
              </w:rPr>
            </w:pPr>
            <w:r w:rsidRPr="009069CB">
              <w:rPr>
                <w:rFonts w:cs="Arial"/>
              </w:rPr>
              <w:t xml:space="preserve">Pursuant to Public Contract Code (PCC) section 2010, the following certifications must be provided when (i) submitting a bid or proposal to the </w:t>
            </w:r>
            <w:r w:rsidRPr="009069CB">
              <w:rPr>
                <w:rFonts w:cs="Arial"/>
                <w:b/>
              </w:rPr>
              <w:t>[</w:t>
            </w:r>
            <w:r w:rsidRPr="009069CB">
              <w:rPr>
                <w:rFonts w:cs="Arial"/>
                <w:b/>
                <w:i/>
              </w:rPr>
              <w:t>add name of JBE</w:t>
            </w:r>
            <w:r w:rsidRPr="009069CB">
              <w:rPr>
                <w:rFonts w:cs="Arial"/>
                <w:b/>
              </w:rPr>
              <w:t>]</w:t>
            </w:r>
            <w:r w:rsidRPr="009069CB">
              <w:rPr>
                <w:rFonts w:cs="Arial"/>
              </w:rPr>
              <w:t xml:space="preserve"> for a solicitation of goods or services of $100,000 or more, or (ii) entering into or renewing a contract with the </w:t>
            </w:r>
            <w:r w:rsidRPr="009069CB">
              <w:rPr>
                <w:rFonts w:cs="Arial"/>
                <w:b/>
              </w:rPr>
              <w:t>[</w:t>
            </w:r>
            <w:r w:rsidRPr="009069CB">
              <w:rPr>
                <w:rFonts w:cs="Arial"/>
                <w:b/>
                <w:i/>
              </w:rPr>
              <w:t>add name of JBE</w:t>
            </w:r>
            <w:r w:rsidRPr="009069CB">
              <w:rPr>
                <w:rFonts w:cs="Arial"/>
                <w:b/>
              </w:rPr>
              <w:t>]</w:t>
            </w:r>
            <w:r w:rsidRPr="009069CB">
              <w:rPr>
                <w:rFonts w:cs="Arial"/>
              </w:rPr>
              <w:t xml:space="preserve"> for the purchase of goods or services of $100,000 or more.</w:t>
            </w:r>
          </w:p>
          <w:p w:rsidR="009C04C2" w:rsidRPr="009069CB" w:rsidRDefault="009C04C2" w:rsidP="009C04C2">
            <w:pPr>
              <w:widowControl w:val="0"/>
              <w:spacing w:after="120" w:line="300" w:lineRule="atLeast"/>
              <w:rPr>
                <w:rFonts w:cs="Arial"/>
                <w:b/>
                <w:bCs/>
                <w:u w:val="single"/>
              </w:rPr>
            </w:pPr>
            <w:r w:rsidRPr="009069CB">
              <w:rPr>
                <w:rFonts w:cs="Arial"/>
                <w:b/>
                <w:bCs/>
                <w:u w:val="single"/>
              </w:rPr>
              <w:t>CERTIFICATIONS:</w:t>
            </w:r>
          </w:p>
          <w:p w:rsidR="009C04C2" w:rsidRPr="009069CB" w:rsidRDefault="009C04C2" w:rsidP="009C04C2">
            <w:pPr>
              <w:tabs>
                <w:tab w:val="left" w:pos="720"/>
              </w:tabs>
              <w:spacing w:after="120" w:line="300" w:lineRule="atLeast"/>
              <w:ind w:left="1440" w:hanging="1440"/>
              <w:rPr>
                <w:rFonts w:cs="Arial"/>
              </w:rPr>
            </w:pPr>
            <w:r w:rsidRPr="009069CB">
              <w:rPr>
                <w:rFonts w:cs="Arial"/>
              </w:rPr>
              <w:t xml:space="preserve">1. </w:t>
            </w:r>
            <w:r w:rsidRPr="009069CB">
              <w:rPr>
                <w:rFonts w:cs="Arial"/>
              </w:rPr>
              <w:tab/>
            </w:r>
            <w:r w:rsidR="00AD0211" w:rsidRPr="009069CB">
              <w:rPr>
                <w:rFonts w:cs="Arial"/>
              </w:rPr>
              <w:t xml:space="preserve">Contractor is </w:t>
            </w:r>
            <w:r w:rsidRPr="009069CB">
              <w:rPr>
                <w:rFonts w:cs="Arial"/>
              </w:rPr>
              <w:t>in compliance with the Unruh Civil Rights Act (Section 51 of the Civil Code);</w:t>
            </w:r>
          </w:p>
          <w:p w:rsidR="009C04C2" w:rsidRPr="009069CB" w:rsidRDefault="009C04C2" w:rsidP="009C04C2">
            <w:pPr>
              <w:tabs>
                <w:tab w:val="left" w:pos="720"/>
              </w:tabs>
              <w:spacing w:after="120" w:line="300" w:lineRule="atLeast"/>
              <w:ind w:left="720" w:hanging="720"/>
              <w:rPr>
                <w:rFonts w:cs="Arial"/>
                <w:b/>
              </w:rPr>
            </w:pPr>
            <w:r w:rsidRPr="009069CB">
              <w:rPr>
                <w:rFonts w:cs="Arial"/>
              </w:rPr>
              <w:t xml:space="preserve">2. </w:t>
            </w:r>
            <w:r w:rsidRPr="009069CB">
              <w:rPr>
                <w:rFonts w:cs="Arial"/>
              </w:rPr>
              <w:tab/>
            </w:r>
            <w:r w:rsidR="00AD0211" w:rsidRPr="009069CB">
              <w:rPr>
                <w:rFonts w:cs="Arial"/>
              </w:rPr>
              <w:t xml:space="preserve">Contractor is </w:t>
            </w:r>
            <w:r w:rsidRPr="009069CB">
              <w:rPr>
                <w:rFonts w:cs="Arial"/>
              </w:rPr>
              <w:t>in compliance with the California Fair Employment and Housing Act (Chapter 7 (commencing with Section 12960) of Part 2.8 of Division 3 of the Title 2 of the Government Code);</w:t>
            </w:r>
          </w:p>
          <w:p w:rsidR="009C04C2" w:rsidRPr="009069CB" w:rsidRDefault="009C04C2" w:rsidP="009C04C2">
            <w:pPr>
              <w:tabs>
                <w:tab w:val="left" w:pos="720"/>
              </w:tabs>
              <w:spacing w:after="120" w:line="300" w:lineRule="atLeast"/>
              <w:ind w:left="720" w:hanging="720"/>
              <w:rPr>
                <w:rFonts w:cs="Arial"/>
              </w:rPr>
            </w:pPr>
            <w:r w:rsidRPr="009069CB">
              <w:rPr>
                <w:rFonts w:cs="Arial"/>
              </w:rPr>
              <w:t>3.</w:t>
            </w:r>
            <w:r w:rsidRPr="009069CB">
              <w:rPr>
                <w:rFonts w:cs="Arial"/>
              </w:rPr>
              <w:tab/>
            </w:r>
            <w:r w:rsidR="00AD0211" w:rsidRPr="009069CB">
              <w:rPr>
                <w:rFonts w:cs="Arial"/>
              </w:rPr>
              <w:t xml:space="preserve">Contractor does </w:t>
            </w:r>
            <w:r w:rsidRPr="009069CB">
              <w:rPr>
                <w:rFonts w:cs="Arial"/>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182157">
              <w:rPr>
                <w:rFonts w:cs="Arial"/>
              </w:rPr>
              <w:t xml:space="preserve">Title 2 of the Government Code); </w:t>
            </w:r>
            <w:r w:rsidR="00182157" w:rsidRPr="009069CB">
              <w:rPr>
                <w:rFonts w:cs="Arial"/>
                <w:b/>
              </w:rPr>
              <w:t>and</w:t>
            </w:r>
            <w:bookmarkStart w:id="0" w:name="_GoBack"/>
            <w:bookmarkEnd w:id="0"/>
          </w:p>
          <w:p w:rsidR="009069CB" w:rsidRPr="009069CB" w:rsidRDefault="009069CB" w:rsidP="009069CB">
            <w:pPr>
              <w:tabs>
                <w:tab w:val="left" w:pos="720"/>
              </w:tabs>
              <w:autoSpaceDE w:val="0"/>
              <w:autoSpaceDN w:val="0"/>
              <w:spacing w:after="120" w:line="300" w:lineRule="atLeast"/>
              <w:ind w:left="720" w:hanging="720"/>
              <w:rPr>
                <w:rFonts w:asciiTheme="minorHAnsi" w:eastAsia="Times" w:hAnsiTheme="minorHAnsi" w:cstheme="minorHAnsi"/>
              </w:rPr>
            </w:pPr>
            <w:r w:rsidRPr="009069CB">
              <w:rPr>
                <w:rFonts w:asciiTheme="minorHAnsi" w:hAnsiTheme="minorHAnsi" w:cstheme="minorHAnsi"/>
              </w:rPr>
              <w:t>4.</w:t>
            </w:r>
            <w:r w:rsidRPr="009069CB">
              <w:rPr>
                <w:rFonts w:asciiTheme="minorHAnsi" w:hAnsiTheme="minorHAnsi" w:cstheme="minorHAnsi"/>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9C04C2" w:rsidRPr="009069CB" w:rsidRDefault="009C04C2" w:rsidP="009C04C2">
            <w:pPr>
              <w:widowControl w:val="0"/>
              <w:spacing w:line="300" w:lineRule="atLeast"/>
              <w:rPr>
                <w:rFonts w:cs="Arial"/>
              </w:rPr>
            </w:pPr>
            <w:r w:rsidRPr="009069CB">
              <w:rPr>
                <w:rFonts w:cs="Arial"/>
              </w:rPr>
              <w:t xml:space="preserve">The certifications made in this document are made under penalty of perjury under the laws of the State of California. I, the official named below, certify that I am duly authorized to legally bind the </w:t>
            </w:r>
            <w:r w:rsidR="00AD0211" w:rsidRPr="009069CB">
              <w:rPr>
                <w:rFonts w:cs="Arial"/>
              </w:rPr>
              <w:t xml:space="preserve">Contractor </w:t>
            </w:r>
            <w:r w:rsidRPr="009069CB">
              <w:rPr>
                <w:rFonts w:cs="Arial"/>
              </w:rPr>
              <w:t xml:space="preserve">to the certifications made in this document. </w:t>
            </w:r>
          </w:p>
          <w:tbl>
            <w:tblPr>
              <w:tblW w:w="0" w:type="auto"/>
              <w:tblInd w:w="75" w:type="dxa"/>
              <w:tblLayout w:type="fixed"/>
              <w:tblCellMar>
                <w:left w:w="0" w:type="dxa"/>
                <w:right w:w="0" w:type="dxa"/>
              </w:tblCellMar>
              <w:tblLook w:val="0000" w:firstRow="0" w:lastRow="0" w:firstColumn="0" w:lastColumn="0" w:noHBand="0" w:noVBand="0"/>
            </w:tblPr>
            <w:tblGrid>
              <w:gridCol w:w="3772"/>
              <w:gridCol w:w="2629"/>
              <w:gridCol w:w="2314"/>
            </w:tblGrid>
            <w:tr w:rsidR="009C04C2" w:rsidRPr="00FB5015"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C04C2" w:rsidRPr="00FB5015" w:rsidRDefault="00AD0211" w:rsidP="009C04C2">
                  <w:pPr>
                    <w:keepNext/>
                    <w:spacing w:line="480" w:lineRule="auto"/>
                    <w:rPr>
                      <w:rFonts w:cs="Arial"/>
                      <w:sz w:val="22"/>
                      <w:szCs w:val="22"/>
                    </w:rPr>
                  </w:pPr>
                  <w:r>
                    <w:rPr>
                      <w:rFonts w:cs="Arial"/>
                      <w:i/>
                      <w:iCs/>
                      <w:sz w:val="22"/>
                      <w:szCs w:val="22"/>
                    </w:rPr>
                    <w:t>Contractor</w:t>
                  </w:r>
                  <w:r w:rsidR="009C04C2" w:rsidRPr="00FB5015">
                    <w:rPr>
                      <w:rFonts w:cs="Arial"/>
                      <w:i/>
                      <w:iCs/>
                      <w:sz w:val="22"/>
                      <w:szCs w:val="22"/>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C04C2" w:rsidRPr="00FB5015" w:rsidRDefault="009C04C2" w:rsidP="009C04C2">
                  <w:pPr>
                    <w:keepNext/>
                    <w:spacing w:line="480" w:lineRule="auto"/>
                    <w:rPr>
                      <w:rFonts w:cs="Arial"/>
                      <w:sz w:val="22"/>
                      <w:szCs w:val="22"/>
                    </w:rPr>
                  </w:pPr>
                  <w:r w:rsidRPr="00FB5015">
                    <w:rPr>
                      <w:rFonts w:cs="Arial"/>
                      <w:i/>
                      <w:iCs/>
                      <w:sz w:val="22"/>
                      <w:szCs w:val="22"/>
                    </w:rPr>
                    <w:t>Federal ID Number </w:t>
                  </w:r>
                </w:p>
              </w:tc>
            </w:tr>
            <w:tr w:rsidR="009C04C2" w:rsidRPr="00FB5015"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C04C2" w:rsidRPr="00FB5015" w:rsidRDefault="009C04C2" w:rsidP="009C04C2">
                  <w:pPr>
                    <w:keepNext/>
                    <w:spacing w:line="480" w:lineRule="auto"/>
                    <w:rPr>
                      <w:rFonts w:cs="Arial"/>
                      <w:sz w:val="22"/>
                      <w:szCs w:val="22"/>
                    </w:rPr>
                  </w:pPr>
                  <w:r w:rsidRPr="00FB5015">
                    <w:rPr>
                      <w:rFonts w:cs="Arial"/>
                      <w:i/>
                      <w:iCs/>
                      <w:sz w:val="22"/>
                      <w:szCs w:val="22"/>
                    </w:rPr>
                    <w:t>By (Authorized Signature)</w:t>
                  </w:r>
                </w:p>
              </w:tc>
            </w:tr>
            <w:tr w:rsidR="009C04C2" w:rsidRPr="00FB5015"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C04C2" w:rsidRPr="00FB5015" w:rsidRDefault="009C04C2" w:rsidP="009C04C2">
                  <w:pPr>
                    <w:keepNext/>
                    <w:spacing w:line="480" w:lineRule="auto"/>
                    <w:rPr>
                      <w:rFonts w:cs="Arial"/>
                      <w:sz w:val="22"/>
                      <w:szCs w:val="22"/>
                    </w:rPr>
                  </w:pPr>
                  <w:r w:rsidRPr="00FB5015">
                    <w:rPr>
                      <w:rFonts w:cs="Arial"/>
                      <w:i/>
                      <w:iCs/>
                      <w:sz w:val="22"/>
                      <w:szCs w:val="22"/>
                    </w:rPr>
                    <w:t>Printed Name and Title of Person Signing </w:t>
                  </w:r>
                </w:p>
              </w:tc>
            </w:tr>
            <w:tr w:rsidR="009C04C2" w:rsidRPr="00FB5015"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C04C2" w:rsidRPr="00FB5015" w:rsidRDefault="009C04C2" w:rsidP="009C04C2">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C04C2" w:rsidRPr="00FB5015" w:rsidRDefault="009C04C2" w:rsidP="009C04C2">
                  <w:pPr>
                    <w:keepNext/>
                    <w:rPr>
                      <w:rFonts w:cs="Arial"/>
                      <w:i/>
                      <w:iCs/>
                      <w:sz w:val="22"/>
                      <w:szCs w:val="22"/>
                    </w:rPr>
                  </w:pPr>
                  <w:r w:rsidRPr="00FB5015">
                    <w:rPr>
                      <w:rFonts w:cs="Arial"/>
                      <w:i/>
                      <w:iCs/>
                      <w:sz w:val="22"/>
                      <w:szCs w:val="22"/>
                    </w:rPr>
                    <w:t>Executed in the County of _________ in the State of ____________</w:t>
                  </w:r>
                </w:p>
                <w:p w:rsidR="009C04C2" w:rsidRPr="00FB5015" w:rsidRDefault="009C04C2" w:rsidP="009C04C2">
                  <w:pPr>
                    <w:keepNext/>
                    <w:rPr>
                      <w:rFonts w:cs="Arial"/>
                      <w:sz w:val="22"/>
                      <w:szCs w:val="22"/>
                    </w:rPr>
                  </w:pPr>
                </w:p>
              </w:tc>
            </w:tr>
          </w:tbl>
          <w:p w:rsidR="009C04C2" w:rsidRPr="00A6524A" w:rsidRDefault="009C04C2" w:rsidP="00131576">
            <w:pPr>
              <w:contextualSpacing/>
              <w:rPr>
                <w:rFonts w:cstheme="minorHAnsi"/>
              </w:rPr>
            </w:pPr>
          </w:p>
        </w:tc>
      </w:tr>
    </w:tbl>
    <w:p w:rsidR="002E0231" w:rsidRPr="004C5252" w:rsidRDefault="002E0231">
      <w:pPr>
        <w:rPr>
          <w:rFonts w:cstheme="minorHAnsi"/>
          <w:bCs/>
          <w:sz w:val="20"/>
          <w:szCs w:val="20"/>
        </w:rPr>
      </w:pPr>
    </w:p>
    <w:sectPr w:rsidR="002E0231" w:rsidRPr="004C5252" w:rsidSect="002E0231">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9AE" w:rsidRDefault="005739AE" w:rsidP="00496648">
      <w:pPr>
        <w:spacing w:line="240" w:lineRule="auto"/>
      </w:pPr>
      <w:r>
        <w:separator/>
      </w:r>
    </w:p>
  </w:endnote>
  <w:endnote w:type="continuationSeparator" w:id="0">
    <w:p w:rsidR="005739AE" w:rsidRDefault="005739AE" w:rsidP="00496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31" w:rsidRDefault="002E1E31" w:rsidP="002E1E31">
    <w:pPr>
      <w:pStyle w:val="Footer"/>
      <w:jc w:val="right"/>
    </w:pPr>
    <w:r w:rsidRPr="002E1E31">
      <w:rPr>
        <w:sz w:val="20"/>
        <w:szCs w:val="20"/>
      </w:rPr>
      <w:t xml:space="preserve">rev </w:t>
    </w:r>
    <w:r w:rsidR="009069CB">
      <w:rPr>
        <w:sz w:val="20"/>
        <w:szCs w:val="20"/>
      </w:rPr>
      <w:t>July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rPr>
        <w:id w:val="34345352"/>
        <w:docPartObj>
          <w:docPartGallery w:val="Page Numbers (Bottom of Page)"/>
          <w:docPartUnique/>
        </w:docPartObj>
      </w:sdtPr>
      <w:sdtEndPr/>
      <w:sdtContent>
        <w:r w:rsidR="00C81BA9" w:rsidRPr="00273AB8">
          <w:rPr>
            <w:sz w:val="20"/>
          </w:rPr>
          <w:fldChar w:fldCharType="begin"/>
        </w:r>
        <w:r w:rsidR="005768E0" w:rsidRPr="00273AB8">
          <w:rPr>
            <w:sz w:val="20"/>
          </w:rPr>
          <w:instrText xml:space="preserve"> PAGE   \* MERGEFORMAT </w:instrText>
        </w:r>
        <w:r w:rsidR="00C81BA9" w:rsidRPr="00273AB8">
          <w:rPr>
            <w:sz w:val="20"/>
          </w:rPr>
          <w:fldChar w:fldCharType="separate"/>
        </w:r>
        <w:r w:rsidR="00182157">
          <w:rPr>
            <w:noProof/>
            <w:sz w:val="20"/>
          </w:rPr>
          <w:t>4</w:t>
        </w:r>
        <w:r w:rsidR="00C81BA9" w:rsidRPr="00273AB8">
          <w:rPr>
            <w:sz w:val="20"/>
          </w:rPr>
          <w:fldChar w:fldCharType="end"/>
        </w:r>
      </w:sdtContent>
    </w:sdt>
  </w:p>
  <w:p w:rsidR="00496648" w:rsidRPr="002E1E31" w:rsidRDefault="00496648">
    <w:pPr>
      <w:pStyle w:val="Footer"/>
      <w:rPr>
        <w:sz w:val="20"/>
        <w:szCs w:val="20"/>
      </w:rPr>
    </w:pPr>
  </w:p>
  <w:p w:rsidR="00110D31" w:rsidRDefault="00110D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9AE" w:rsidRDefault="005739AE" w:rsidP="00496648">
      <w:pPr>
        <w:spacing w:line="240" w:lineRule="auto"/>
      </w:pPr>
      <w:r>
        <w:separator/>
      </w:r>
    </w:p>
  </w:footnote>
  <w:footnote w:type="continuationSeparator" w:id="0">
    <w:p w:rsidR="005739AE" w:rsidRDefault="005739AE" w:rsidP="004966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F7"/>
    <w:rsid w:val="00035A66"/>
    <w:rsid w:val="0007654C"/>
    <w:rsid w:val="00090A17"/>
    <w:rsid w:val="000B2970"/>
    <w:rsid w:val="00110D31"/>
    <w:rsid w:val="00127591"/>
    <w:rsid w:val="00131576"/>
    <w:rsid w:val="0013333D"/>
    <w:rsid w:val="001569D9"/>
    <w:rsid w:val="00182157"/>
    <w:rsid w:val="00191F80"/>
    <w:rsid w:val="001E0DF7"/>
    <w:rsid w:val="001F6E9F"/>
    <w:rsid w:val="00226298"/>
    <w:rsid w:val="00230FD7"/>
    <w:rsid w:val="00232F88"/>
    <w:rsid w:val="00234A08"/>
    <w:rsid w:val="00237AB8"/>
    <w:rsid w:val="00273AB8"/>
    <w:rsid w:val="00277E25"/>
    <w:rsid w:val="00286726"/>
    <w:rsid w:val="002A0D0E"/>
    <w:rsid w:val="002A135A"/>
    <w:rsid w:val="002A3CAB"/>
    <w:rsid w:val="002B3D18"/>
    <w:rsid w:val="002E0231"/>
    <w:rsid w:val="002E1E31"/>
    <w:rsid w:val="003225C1"/>
    <w:rsid w:val="00332C0A"/>
    <w:rsid w:val="003870BB"/>
    <w:rsid w:val="00451F47"/>
    <w:rsid w:val="00484E43"/>
    <w:rsid w:val="00496648"/>
    <w:rsid w:val="00497383"/>
    <w:rsid w:val="004A3BAC"/>
    <w:rsid w:val="004C5252"/>
    <w:rsid w:val="004C5E50"/>
    <w:rsid w:val="005023DD"/>
    <w:rsid w:val="00523C71"/>
    <w:rsid w:val="005560AD"/>
    <w:rsid w:val="005739AE"/>
    <w:rsid w:val="005768E0"/>
    <w:rsid w:val="005C0D0C"/>
    <w:rsid w:val="00620055"/>
    <w:rsid w:val="00637CA2"/>
    <w:rsid w:val="00650E60"/>
    <w:rsid w:val="0069395D"/>
    <w:rsid w:val="006E75FA"/>
    <w:rsid w:val="00703822"/>
    <w:rsid w:val="00740BE4"/>
    <w:rsid w:val="00744310"/>
    <w:rsid w:val="0075099B"/>
    <w:rsid w:val="00765A19"/>
    <w:rsid w:val="007673E5"/>
    <w:rsid w:val="00783C05"/>
    <w:rsid w:val="00822417"/>
    <w:rsid w:val="0082308E"/>
    <w:rsid w:val="00846240"/>
    <w:rsid w:val="00885BDA"/>
    <w:rsid w:val="008B57A8"/>
    <w:rsid w:val="008C3C6C"/>
    <w:rsid w:val="008E5111"/>
    <w:rsid w:val="009069CB"/>
    <w:rsid w:val="009822E3"/>
    <w:rsid w:val="00997E08"/>
    <w:rsid w:val="009A6086"/>
    <w:rsid w:val="009C04C2"/>
    <w:rsid w:val="00A14F40"/>
    <w:rsid w:val="00A21778"/>
    <w:rsid w:val="00A415D2"/>
    <w:rsid w:val="00A456F0"/>
    <w:rsid w:val="00A606F4"/>
    <w:rsid w:val="00A640D6"/>
    <w:rsid w:val="00A6524A"/>
    <w:rsid w:val="00AB01D9"/>
    <w:rsid w:val="00AD0211"/>
    <w:rsid w:val="00B16B60"/>
    <w:rsid w:val="00B43485"/>
    <w:rsid w:val="00B45497"/>
    <w:rsid w:val="00BC2130"/>
    <w:rsid w:val="00BC5D9F"/>
    <w:rsid w:val="00BF5DD9"/>
    <w:rsid w:val="00C0583A"/>
    <w:rsid w:val="00C75D6D"/>
    <w:rsid w:val="00C81BA9"/>
    <w:rsid w:val="00CC5867"/>
    <w:rsid w:val="00D43349"/>
    <w:rsid w:val="00D55A82"/>
    <w:rsid w:val="00D93CA1"/>
    <w:rsid w:val="00DF2FC8"/>
    <w:rsid w:val="00E1595A"/>
    <w:rsid w:val="00E27D81"/>
    <w:rsid w:val="00E3424E"/>
    <w:rsid w:val="00E43458"/>
    <w:rsid w:val="00E61012"/>
    <w:rsid w:val="00E6160E"/>
    <w:rsid w:val="00E96172"/>
    <w:rsid w:val="00EB1D35"/>
    <w:rsid w:val="00EB58AE"/>
    <w:rsid w:val="00EE5A29"/>
    <w:rsid w:val="00F275E8"/>
    <w:rsid w:val="00F4349B"/>
    <w:rsid w:val="00F51CDE"/>
    <w:rsid w:val="00F7162D"/>
    <w:rsid w:val="00F83005"/>
    <w:rsid w:val="00F85C7F"/>
    <w:rsid w:val="00F9330D"/>
    <w:rsid w:val="00FA20B6"/>
    <w:rsid w:val="00FC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33BC62-D6B6-4C5C-9414-6AE3A00B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8AE"/>
  </w:style>
  <w:style w:type="paragraph" w:styleId="Heading1">
    <w:name w:val="heading 1"/>
    <w:basedOn w:val="Normal"/>
    <w:next w:val="Normal"/>
    <w:link w:val="Heading1Char"/>
    <w:uiPriority w:val="9"/>
    <w:qFormat/>
    <w:rsid w:val="00EB58A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EB58A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EB58A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EB58AE"/>
    <w:pPr>
      <w:spacing w:before="240" w:after="60"/>
      <w:outlineLvl w:val="5"/>
    </w:pPr>
    <w:rPr>
      <w:b/>
      <w:bCs/>
    </w:rPr>
  </w:style>
  <w:style w:type="paragraph" w:styleId="Heading7">
    <w:name w:val="heading 7"/>
    <w:basedOn w:val="Normal"/>
    <w:next w:val="Normal"/>
    <w:link w:val="Heading7Char"/>
    <w:uiPriority w:val="9"/>
    <w:semiHidden/>
    <w:unhideWhenUsed/>
    <w:qFormat/>
    <w:rsid w:val="00EB58AE"/>
    <w:pPr>
      <w:spacing w:before="240" w:after="60"/>
      <w:outlineLvl w:val="6"/>
    </w:pPr>
  </w:style>
  <w:style w:type="paragraph" w:styleId="Heading8">
    <w:name w:val="heading 8"/>
    <w:basedOn w:val="Normal"/>
    <w:next w:val="Normal"/>
    <w:link w:val="Heading8Char"/>
    <w:uiPriority w:val="9"/>
    <w:semiHidden/>
    <w:unhideWhenUsed/>
    <w:qFormat/>
    <w:rsid w:val="00EB58AE"/>
    <w:pPr>
      <w:spacing w:before="240" w:after="60"/>
      <w:outlineLvl w:val="7"/>
    </w:pPr>
    <w:rPr>
      <w:i/>
      <w:iCs/>
    </w:rPr>
  </w:style>
  <w:style w:type="paragraph" w:styleId="Heading9">
    <w:name w:val="heading 9"/>
    <w:basedOn w:val="Normal"/>
    <w:next w:val="Normal"/>
    <w:link w:val="Heading9Char"/>
    <w:uiPriority w:val="9"/>
    <w:semiHidden/>
    <w:unhideWhenUsed/>
    <w:qFormat/>
    <w:rsid w:val="00EB58A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A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B58A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B58A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EB58AE"/>
    <w:rPr>
      <w:b/>
      <w:bCs/>
    </w:rPr>
  </w:style>
  <w:style w:type="character" w:customStyle="1" w:styleId="Heading7Char">
    <w:name w:val="Heading 7 Char"/>
    <w:basedOn w:val="DefaultParagraphFont"/>
    <w:link w:val="Heading7"/>
    <w:uiPriority w:val="9"/>
    <w:semiHidden/>
    <w:rsid w:val="00EB58AE"/>
    <w:rPr>
      <w:sz w:val="24"/>
      <w:szCs w:val="24"/>
    </w:rPr>
  </w:style>
  <w:style w:type="character" w:customStyle="1" w:styleId="Heading8Char">
    <w:name w:val="Heading 8 Char"/>
    <w:basedOn w:val="DefaultParagraphFont"/>
    <w:link w:val="Heading8"/>
    <w:uiPriority w:val="9"/>
    <w:semiHidden/>
    <w:rsid w:val="00EB58AE"/>
    <w:rPr>
      <w:i/>
      <w:iCs/>
      <w:sz w:val="24"/>
      <w:szCs w:val="24"/>
    </w:rPr>
  </w:style>
  <w:style w:type="character" w:customStyle="1" w:styleId="Heading9Char">
    <w:name w:val="Heading 9 Char"/>
    <w:basedOn w:val="DefaultParagraphFont"/>
    <w:link w:val="Heading9"/>
    <w:uiPriority w:val="9"/>
    <w:semiHidden/>
    <w:rsid w:val="00EB58AE"/>
    <w:rPr>
      <w:rFonts w:asciiTheme="majorHAnsi" w:eastAsiaTheme="majorEastAsia" w:hAnsiTheme="majorHAnsi"/>
    </w:rPr>
  </w:style>
  <w:style w:type="paragraph" w:styleId="Title">
    <w:name w:val="Title"/>
    <w:basedOn w:val="Normal"/>
    <w:next w:val="Normal"/>
    <w:link w:val="TitleChar"/>
    <w:uiPriority w:val="10"/>
    <w:qFormat/>
    <w:rsid w:val="00EB58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B58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B58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B58A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EB58AE"/>
    <w:pPr>
      <w:outlineLvl w:val="9"/>
    </w:pPr>
  </w:style>
  <w:style w:type="table" w:styleId="TableGrid">
    <w:name w:val="Table Grid"/>
    <w:basedOn w:val="TableNormal"/>
    <w:uiPriority w:val="59"/>
    <w:rsid w:val="002E0231"/>
    <w:pPr>
      <w:spacing w:line="240" w:lineRule="auto"/>
    </w:pPr>
    <w:rPr>
      <w:rFonts w:ascii="Times New Roman" w:eastAsia="Times New Roman" w:hAnsi="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E0231"/>
    <w:pPr>
      <w:ind w:left="720"/>
      <w:contextualSpacing/>
    </w:pPr>
    <w:rPr>
      <w:rFonts w:ascii="Arial" w:eastAsia="Times New Roman" w:hAnsi="Arial"/>
      <w:lang w:bidi="ar-SA"/>
    </w:rPr>
  </w:style>
  <w:style w:type="paragraph" w:customStyle="1" w:styleId="Default">
    <w:name w:val="Default"/>
    <w:rsid w:val="002E0231"/>
    <w:pPr>
      <w:autoSpaceDE w:val="0"/>
      <w:autoSpaceDN w:val="0"/>
      <w:adjustRightInd w:val="0"/>
      <w:spacing w:line="240" w:lineRule="auto"/>
    </w:pPr>
    <w:rPr>
      <w:rFonts w:ascii="Times New Roman" w:hAnsi="Times New Roman"/>
      <w:color w:val="000000"/>
      <w:lang w:bidi="ar-SA"/>
    </w:rPr>
  </w:style>
  <w:style w:type="paragraph" w:styleId="Header">
    <w:name w:val="header"/>
    <w:basedOn w:val="Normal"/>
    <w:link w:val="HeaderChar"/>
    <w:uiPriority w:val="99"/>
    <w:unhideWhenUsed/>
    <w:rsid w:val="00496648"/>
    <w:pPr>
      <w:tabs>
        <w:tab w:val="center" w:pos="4680"/>
        <w:tab w:val="right" w:pos="9360"/>
      </w:tabs>
      <w:spacing w:line="240" w:lineRule="auto"/>
    </w:pPr>
  </w:style>
  <w:style w:type="character" w:customStyle="1" w:styleId="HeaderChar">
    <w:name w:val="Header Char"/>
    <w:basedOn w:val="DefaultParagraphFont"/>
    <w:link w:val="Header"/>
    <w:uiPriority w:val="99"/>
    <w:rsid w:val="00496648"/>
  </w:style>
  <w:style w:type="paragraph" w:styleId="Footer">
    <w:name w:val="footer"/>
    <w:basedOn w:val="Normal"/>
    <w:link w:val="FooterChar"/>
    <w:uiPriority w:val="99"/>
    <w:unhideWhenUsed/>
    <w:rsid w:val="00496648"/>
    <w:pPr>
      <w:tabs>
        <w:tab w:val="center" w:pos="4680"/>
        <w:tab w:val="right" w:pos="9360"/>
      </w:tabs>
      <w:spacing w:line="240" w:lineRule="auto"/>
    </w:pPr>
  </w:style>
  <w:style w:type="character" w:customStyle="1" w:styleId="FooterChar">
    <w:name w:val="Footer Char"/>
    <w:basedOn w:val="DefaultParagraphFont"/>
    <w:link w:val="Footer"/>
    <w:uiPriority w:val="99"/>
    <w:rsid w:val="00496648"/>
  </w:style>
  <w:style w:type="paragraph" w:styleId="BalloonText">
    <w:name w:val="Balloon Text"/>
    <w:basedOn w:val="Normal"/>
    <w:link w:val="BalloonTextChar"/>
    <w:uiPriority w:val="99"/>
    <w:semiHidden/>
    <w:unhideWhenUsed/>
    <w:rsid w:val="008C3C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Cumbelich, Patricia</cp:lastModifiedBy>
  <cp:revision>3</cp:revision>
  <cp:lastPrinted>2012-06-28T01:05:00Z</cp:lastPrinted>
  <dcterms:created xsi:type="dcterms:W3CDTF">2017-07-17T22:55:00Z</dcterms:created>
  <dcterms:modified xsi:type="dcterms:W3CDTF">2017-07-18T18:48:00Z</dcterms:modified>
</cp:coreProperties>
</file>