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0"/>
        </w:rPr>
        <w:id w:val="97588278"/>
        <w:docPartObj>
          <w:docPartGallery w:val="Cover Pages"/>
          <w:docPartUnique/>
        </w:docPartObj>
      </w:sdtPr>
      <w:sdtEndPr>
        <w:rPr>
          <w:color w:val="000000" w:themeColor="text1"/>
          <w:sz w:val="22"/>
          <w:szCs w:val="22"/>
        </w:rPr>
      </w:sdtEndPr>
      <w:sdtContent>
        <w:p w14:paraId="7B46F4D8" w14:textId="77777777" w:rsidR="00292237" w:rsidRPr="004A153D" w:rsidRDefault="008758B9" w:rsidP="008758B9">
          <w:pPr>
            <w:jc w:val="center"/>
            <w:rPr>
              <w:rFonts w:asciiTheme="minorHAnsi" w:hAnsiTheme="minorHAnsi" w:cstheme="minorHAnsi"/>
              <w:b/>
              <w:szCs w:val="24"/>
            </w:rPr>
          </w:pPr>
          <w:r w:rsidRPr="004A153D">
            <w:rPr>
              <w:rFonts w:asciiTheme="minorHAnsi" w:hAnsiTheme="minorHAnsi" w:cstheme="minorHAnsi"/>
              <w:b/>
              <w:szCs w:val="24"/>
            </w:rPr>
            <w:t>INSTRUCTIONS</w:t>
          </w:r>
        </w:p>
        <w:p w14:paraId="6C2BED8A" w14:textId="77777777" w:rsidR="00292237" w:rsidRPr="004A153D" w:rsidRDefault="00292237" w:rsidP="008758B9">
          <w:pPr>
            <w:jc w:val="center"/>
            <w:rPr>
              <w:rFonts w:asciiTheme="minorHAnsi" w:hAnsiTheme="minorHAnsi" w:cstheme="minorHAnsi"/>
              <w:b/>
              <w:szCs w:val="24"/>
            </w:rPr>
          </w:pPr>
          <w:r w:rsidRPr="004A153D">
            <w:rPr>
              <w:rFonts w:asciiTheme="minorHAnsi" w:hAnsiTheme="minorHAnsi" w:cstheme="minorHAnsi"/>
              <w:b/>
              <w:szCs w:val="24"/>
            </w:rPr>
            <w:t>FOR</w:t>
          </w:r>
        </w:p>
        <w:p w14:paraId="6C44B6B3" w14:textId="77777777" w:rsidR="00053587" w:rsidRDefault="00053587" w:rsidP="008758B9">
          <w:pPr>
            <w:jc w:val="center"/>
            <w:rPr>
              <w:rFonts w:asciiTheme="minorHAnsi" w:hAnsiTheme="minorHAnsi" w:cstheme="minorHAnsi"/>
              <w:b/>
              <w:szCs w:val="24"/>
            </w:rPr>
          </w:pPr>
          <w:r>
            <w:rPr>
              <w:rFonts w:asciiTheme="minorHAnsi" w:hAnsiTheme="minorHAnsi" w:cstheme="minorHAnsi"/>
              <w:b/>
              <w:szCs w:val="24"/>
            </w:rPr>
            <w:t>JBCL</w:t>
          </w:r>
          <w:r w:rsidR="00D62477" w:rsidRPr="004A153D">
            <w:rPr>
              <w:rFonts w:asciiTheme="minorHAnsi" w:hAnsiTheme="minorHAnsi" w:cstheme="minorHAnsi"/>
              <w:b/>
              <w:szCs w:val="24"/>
            </w:rPr>
            <w:t xml:space="preserve"> </w:t>
          </w:r>
          <w:r w:rsidR="00925F22" w:rsidRPr="004A153D">
            <w:rPr>
              <w:rFonts w:asciiTheme="minorHAnsi" w:hAnsiTheme="minorHAnsi" w:cstheme="minorHAnsi"/>
              <w:b/>
              <w:szCs w:val="24"/>
            </w:rPr>
            <w:t>APPENDIX</w:t>
          </w:r>
        </w:p>
        <w:p w14:paraId="2321DCB4" w14:textId="77777777" w:rsidR="008758B9" w:rsidRPr="004A153D" w:rsidRDefault="00053587" w:rsidP="008758B9">
          <w:pPr>
            <w:jc w:val="center"/>
            <w:rPr>
              <w:rFonts w:asciiTheme="minorHAnsi" w:hAnsiTheme="minorHAnsi" w:cstheme="minorHAnsi"/>
              <w:i/>
              <w:szCs w:val="24"/>
            </w:rPr>
          </w:pPr>
          <w:r>
            <w:rPr>
              <w:rFonts w:asciiTheme="minorHAnsi" w:hAnsiTheme="minorHAnsi" w:cstheme="minorHAnsi"/>
              <w:b/>
              <w:szCs w:val="24"/>
            </w:rPr>
            <w:t>(formerly known as the SB 78 Appendix)</w:t>
          </w:r>
          <w:r w:rsidR="00B2731C" w:rsidRPr="004A153D">
            <w:rPr>
              <w:rFonts w:asciiTheme="minorHAnsi" w:hAnsiTheme="minorHAnsi" w:cstheme="minorHAnsi"/>
              <w:b/>
              <w:szCs w:val="24"/>
            </w:rPr>
            <w:t xml:space="preserve"> </w:t>
          </w:r>
        </w:p>
        <w:p w14:paraId="651C999D" w14:textId="77777777" w:rsidR="008758B9" w:rsidRPr="00107549" w:rsidRDefault="008758B9" w:rsidP="008758B9">
          <w:pPr>
            <w:rPr>
              <w:rFonts w:asciiTheme="minorHAnsi" w:hAnsiTheme="minorHAnsi" w:cstheme="minorHAnsi"/>
              <w:i/>
              <w:sz w:val="20"/>
            </w:rPr>
          </w:pPr>
        </w:p>
        <w:p w14:paraId="153E0D08" w14:textId="77777777" w:rsidR="008758B9" w:rsidRPr="004A153D" w:rsidRDefault="008758B9" w:rsidP="008758B9">
          <w:pPr>
            <w:rPr>
              <w:rFonts w:asciiTheme="minorHAnsi" w:hAnsiTheme="minorHAnsi" w:cstheme="minorHAnsi"/>
              <w:sz w:val="20"/>
            </w:rPr>
          </w:pPr>
          <w:r w:rsidRPr="004A153D">
            <w:rPr>
              <w:rFonts w:asciiTheme="minorHAnsi" w:hAnsiTheme="minorHAnsi" w:cstheme="minorHAnsi"/>
              <w:b/>
              <w:sz w:val="20"/>
              <w:highlight w:val="yellow"/>
            </w:rPr>
            <w:t>Please read these instructions before completing a</w:t>
          </w:r>
          <w:r w:rsidR="00925F22" w:rsidRPr="004A153D">
            <w:rPr>
              <w:rFonts w:asciiTheme="minorHAnsi" w:hAnsiTheme="minorHAnsi" w:cstheme="minorHAnsi"/>
              <w:b/>
              <w:sz w:val="20"/>
              <w:highlight w:val="yellow"/>
            </w:rPr>
            <w:t>n</w:t>
          </w:r>
          <w:r w:rsidR="006E2AEB" w:rsidRPr="004A153D">
            <w:rPr>
              <w:rFonts w:asciiTheme="minorHAnsi" w:hAnsiTheme="minorHAnsi" w:cstheme="minorHAnsi"/>
              <w:b/>
              <w:sz w:val="20"/>
              <w:highlight w:val="yellow"/>
            </w:rPr>
            <w:t xml:space="preserve"> </w:t>
          </w:r>
          <w:r w:rsidR="00925F22" w:rsidRPr="004A153D">
            <w:rPr>
              <w:rFonts w:asciiTheme="minorHAnsi" w:hAnsiTheme="minorHAnsi" w:cstheme="minorHAnsi"/>
              <w:b/>
              <w:sz w:val="20"/>
              <w:highlight w:val="yellow"/>
            </w:rPr>
            <w:t>agreement</w:t>
          </w:r>
          <w:r w:rsidRPr="004A153D">
            <w:rPr>
              <w:rFonts w:asciiTheme="minorHAnsi" w:hAnsiTheme="minorHAnsi" w:cstheme="minorHAnsi"/>
              <w:b/>
              <w:sz w:val="20"/>
              <w:highlight w:val="yellow"/>
            </w:rPr>
            <w:t xml:space="preserve"> </w:t>
          </w:r>
          <w:r w:rsidR="00CE1C7C" w:rsidRPr="004A153D">
            <w:rPr>
              <w:rFonts w:asciiTheme="minorHAnsi" w:hAnsiTheme="minorHAnsi" w:cstheme="minorHAnsi"/>
              <w:b/>
              <w:sz w:val="20"/>
              <w:highlight w:val="yellow"/>
            </w:rPr>
            <w:t xml:space="preserve">incorporating </w:t>
          </w:r>
          <w:r w:rsidR="008A140F" w:rsidRPr="004A153D">
            <w:rPr>
              <w:rFonts w:asciiTheme="minorHAnsi" w:hAnsiTheme="minorHAnsi" w:cstheme="minorHAnsi"/>
              <w:b/>
              <w:sz w:val="20"/>
              <w:highlight w:val="yellow"/>
            </w:rPr>
            <w:t>the attached appendix</w:t>
          </w:r>
          <w:r w:rsidR="00CE1C7C" w:rsidRPr="004A153D">
            <w:rPr>
              <w:rFonts w:asciiTheme="minorHAnsi" w:hAnsiTheme="minorHAnsi" w:cstheme="minorHAnsi"/>
              <w:b/>
              <w:sz w:val="20"/>
              <w:highlight w:val="yellow"/>
            </w:rPr>
            <w:t>.</w:t>
          </w:r>
          <w:r w:rsidR="001A67AA" w:rsidRPr="004A153D">
            <w:rPr>
              <w:rFonts w:asciiTheme="minorHAnsi" w:hAnsiTheme="minorHAnsi" w:cstheme="minorHAnsi"/>
              <w:sz w:val="20"/>
            </w:rPr>
            <w:t xml:space="preserve"> Instructions in this appendix are for internal use only. Before distributing an actual appendix to a party outside the branch, </w:t>
          </w:r>
          <w:r w:rsidR="001A67AA" w:rsidRPr="004A153D">
            <w:rPr>
              <w:rFonts w:asciiTheme="minorHAnsi" w:hAnsiTheme="minorHAnsi" w:cstheme="minorHAnsi"/>
              <w:b/>
              <w:color w:val="FF0000"/>
              <w:sz w:val="20"/>
              <w:highlight w:val="yellow"/>
            </w:rPr>
            <w:t>delete all instructions</w:t>
          </w:r>
          <w:r w:rsidR="001A67AA" w:rsidRPr="004A153D">
            <w:rPr>
              <w:rFonts w:asciiTheme="minorHAnsi" w:hAnsiTheme="minorHAnsi" w:cstheme="minorHAnsi"/>
              <w:sz w:val="20"/>
            </w:rPr>
            <w:t xml:space="preserve">. </w:t>
          </w:r>
        </w:p>
        <w:p w14:paraId="08869C17" w14:textId="77777777" w:rsidR="008758B9" w:rsidRDefault="008758B9" w:rsidP="008758B9">
          <w:pPr>
            <w:rPr>
              <w:rFonts w:asciiTheme="minorHAnsi" w:hAnsiTheme="minorHAnsi" w:cstheme="minorHAnsi"/>
              <w:i/>
              <w:sz w:val="20"/>
            </w:rPr>
          </w:pPr>
        </w:p>
        <w:p w14:paraId="2F1EC9F7" w14:textId="77777777" w:rsidR="00B41F3F" w:rsidRDefault="00B41F3F" w:rsidP="00B41F3F">
          <w:pPr>
            <w:pStyle w:val="ListParagraph"/>
            <w:ind w:left="0"/>
            <w:rPr>
              <w:rFonts w:asciiTheme="minorHAnsi" w:hAnsiTheme="minorHAnsi" w:cstheme="minorHAnsi"/>
              <w:sz w:val="20"/>
            </w:rPr>
          </w:pPr>
          <w:r w:rsidRPr="00B34C57">
            <w:rPr>
              <w:rFonts w:asciiTheme="minorHAnsi" w:hAnsiTheme="minorHAnsi" w:cstheme="minorHAnsi"/>
              <w:b/>
              <w:sz w:val="20"/>
              <w:highlight w:val="yellow"/>
            </w:rPr>
            <w:t>Please note</w:t>
          </w:r>
          <w:r w:rsidRPr="00B34C57">
            <w:rPr>
              <w:rFonts w:asciiTheme="minorHAnsi" w:hAnsiTheme="minorHAnsi" w:cstheme="minorHAnsi"/>
              <w:sz w:val="20"/>
              <w:highlight w:val="yellow"/>
            </w:rPr>
            <w:t xml:space="preserve"> </w:t>
          </w:r>
          <w:r w:rsidRPr="00B34C57">
            <w:rPr>
              <w:rFonts w:asciiTheme="minorHAnsi" w:hAnsiTheme="minorHAnsi" w:cstheme="minorHAnsi"/>
              <w:b/>
              <w:sz w:val="20"/>
              <w:highlight w:val="yellow"/>
            </w:rPr>
            <w:t xml:space="preserve">that </w:t>
          </w:r>
          <w:r w:rsidRPr="00B34C57">
            <w:rPr>
              <w:rFonts w:asciiTheme="minorHAnsi" w:hAnsiTheme="minorHAnsi" w:cstheme="minorHAnsi"/>
              <w:b/>
              <w:i/>
              <w:sz w:val="20"/>
              <w:highlight w:val="yellow"/>
            </w:rPr>
            <w:t>in addition to</w:t>
          </w:r>
          <w:r w:rsidRPr="00B34C57">
            <w:rPr>
              <w:rFonts w:asciiTheme="minorHAnsi" w:hAnsiTheme="minorHAnsi" w:cstheme="minorHAnsi"/>
              <w:b/>
              <w:sz w:val="20"/>
              <w:highlight w:val="yellow"/>
            </w:rPr>
            <w:t xml:space="preserve"> the JBCL Appendix provisions</w:t>
          </w:r>
          <w:r>
            <w:rPr>
              <w:rFonts w:asciiTheme="minorHAnsi" w:hAnsiTheme="minorHAnsi" w:cstheme="minorHAnsi"/>
              <w:sz w:val="20"/>
            </w:rPr>
            <w:t>: u</w:t>
          </w:r>
          <w:r w:rsidRPr="00FD6AE9">
            <w:rPr>
              <w:rFonts w:asciiTheme="minorHAnsi" w:hAnsiTheme="minorHAnsi" w:cstheme="minorHAnsi"/>
              <w:sz w:val="20"/>
            </w:rPr>
            <w:t xml:space="preserve">nder PCC 2010, a person proposing to enter into or renew a contract $100,000 or more with a </w:t>
          </w:r>
          <w:r w:rsidR="00006B84">
            <w:rPr>
              <w:rFonts w:asciiTheme="minorHAnsi" w:hAnsiTheme="minorHAnsi" w:cstheme="minorHAnsi"/>
              <w:sz w:val="20"/>
            </w:rPr>
            <w:t>judicial branch entity</w:t>
          </w:r>
          <w:r w:rsidRPr="00FD6AE9">
            <w:rPr>
              <w:rFonts w:asciiTheme="minorHAnsi" w:hAnsiTheme="minorHAnsi" w:cstheme="minorHAnsi"/>
              <w:sz w:val="20"/>
            </w:rPr>
            <w:t xml:space="preserve"> must provide a certification</w:t>
          </w:r>
          <w:r>
            <w:rPr>
              <w:rFonts w:asciiTheme="minorHAnsi" w:hAnsiTheme="minorHAnsi" w:cstheme="minorHAnsi"/>
              <w:sz w:val="20"/>
            </w:rPr>
            <w:t xml:space="preserve"> under penalty of perjury</w:t>
          </w:r>
          <w:r w:rsidRPr="00FD6AE9">
            <w:rPr>
              <w:rFonts w:asciiTheme="minorHAnsi" w:hAnsiTheme="minorHAnsi" w:cstheme="minorHAnsi"/>
              <w:sz w:val="20"/>
            </w:rPr>
            <w:t xml:space="preserve"> regarding compliance with the Unruh Civil Rights Act and the California Fair Housing and Employment Act. </w:t>
          </w:r>
          <w:r w:rsidRPr="00FB5015">
            <w:rPr>
              <w:rFonts w:asciiTheme="minorHAnsi" w:hAnsiTheme="minorHAnsi" w:cstheme="minorHAnsi"/>
              <w:b/>
              <w:sz w:val="20"/>
            </w:rPr>
            <w:t>For your reference, a recommended sample certification form is provided below after the JBCL Appendix.</w:t>
          </w:r>
        </w:p>
        <w:p w14:paraId="4B36D7A1" w14:textId="77777777" w:rsidR="00B41F3F" w:rsidRPr="00107549" w:rsidRDefault="00B41F3F" w:rsidP="008758B9">
          <w:pPr>
            <w:rPr>
              <w:rFonts w:asciiTheme="minorHAnsi" w:hAnsiTheme="minorHAnsi" w:cstheme="minorHAnsi"/>
              <w:i/>
              <w:sz w:val="20"/>
            </w:rPr>
          </w:pPr>
        </w:p>
        <w:p w14:paraId="11FB1F98" w14:textId="77777777" w:rsidR="00426F45" w:rsidRDefault="008758B9" w:rsidP="00290081">
          <w:pPr>
            <w:rPr>
              <w:rFonts w:asciiTheme="minorHAnsi" w:hAnsiTheme="minorHAnsi" w:cstheme="minorHAnsi"/>
              <w:sz w:val="20"/>
            </w:rPr>
          </w:pPr>
          <w:r w:rsidRPr="00107549">
            <w:rPr>
              <w:rFonts w:asciiTheme="minorHAnsi" w:hAnsiTheme="minorHAnsi" w:cstheme="minorHAnsi"/>
              <w:sz w:val="20"/>
            </w:rPr>
            <w:t>Th</w:t>
          </w:r>
          <w:r w:rsidR="00234621" w:rsidRPr="00107549">
            <w:rPr>
              <w:rFonts w:asciiTheme="minorHAnsi" w:hAnsiTheme="minorHAnsi" w:cstheme="minorHAnsi"/>
              <w:sz w:val="20"/>
            </w:rPr>
            <w:t xml:space="preserve">e attached </w:t>
          </w:r>
          <w:r w:rsidR="00775CC4">
            <w:rPr>
              <w:rFonts w:asciiTheme="minorHAnsi" w:hAnsiTheme="minorHAnsi" w:cstheme="minorHAnsi"/>
              <w:sz w:val="20"/>
            </w:rPr>
            <w:t xml:space="preserve">JBCL </w:t>
          </w:r>
          <w:r w:rsidR="00925F22" w:rsidRPr="00107549">
            <w:rPr>
              <w:rFonts w:asciiTheme="minorHAnsi" w:hAnsiTheme="minorHAnsi" w:cstheme="minorHAnsi"/>
              <w:sz w:val="20"/>
            </w:rPr>
            <w:t>appendix</w:t>
          </w:r>
          <w:r w:rsidR="009E657B" w:rsidRPr="00107549">
            <w:rPr>
              <w:rFonts w:asciiTheme="minorHAnsi" w:hAnsiTheme="minorHAnsi" w:cstheme="minorHAnsi"/>
              <w:sz w:val="20"/>
            </w:rPr>
            <w:t xml:space="preserve"> </w:t>
          </w:r>
          <w:r w:rsidR="00B160CD" w:rsidRPr="00107549">
            <w:rPr>
              <w:rFonts w:asciiTheme="minorHAnsi" w:hAnsiTheme="minorHAnsi" w:cstheme="minorHAnsi"/>
              <w:sz w:val="20"/>
            </w:rPr>
            <w:t xml:space="preserve">is </w:t>
          </w:r>
          <w:r w:rsidRPr="00107549">
            <w:rPr>
              <w:rFonts w:asciiTheme="minorHAnsi" w:hAnsiTheme="minorHAnsi" w:cstheme="minorHAnsi"/>
              <w:sz w:val="20"/>
            </w:rPr>
            <w:t xml:space="preserve">for use by any </w:t>
          </w:r>
          <w:r w:rsidR="00034B5A" w:rsidRPr="00107549">
            <w:rPr>
              <w:rFonts w:asciiTheme="minorHAnsi" w:hAnsiTheme="minorHAnsi" w:cstheme="minorHAnsi"/>
              <w:sz w:val="20"/>
            </w:rPr>
            <w:t xml:space="preserve">appellate or trial court, the </w:t>
          </w:r>
          <w:r w:rsidR="003E126A">
            <w:rPr>
              <w:rFonts w:asciiTheme="minorHAnsi" w:hAnsiTheme="minorHAnsi" w:cstheme="minorHAnsi"/>
              <w:sz w:val="20"/>
            </w:rPr>
            <w:t>Judicial Council of California</w:t>
          </w:r>
          <w:r w:rsidR="00034B5A" w:rsidRPr="00107549">
            <w:rPr>
              <w:rFonts w:asciiTheme="minorHAnsi" w:hAnsiTheme="minorHAnsi" w:cstheme="minorHAnsi"/>
              <w:sz w:val="20"/>
            </w:rPr>
            <w:t xml:space="preserve">, </w:t>
          </w:r>
          <w:r w:rsidR="003F51A6">
            <w:rPr>
              <w:rFonts w:asciiTheme="minorHAnsi" w:hAnsiTheme="minorHAnsi" w:cstheme="minorHAnsi"/>
              <w:sz w:val="20"/>
            </w:rPr>
            <w:t>or</w:t>
          </w:r>
          <w:r w:rsidR="003F51A6" w:rsidRPr="00107549">
            <w:rPr>
              <w:rFonts w:asciiTheme="minorHAnsi" w:hAnsiTheme="minorHAnsi" w:cstheme="minorHAnsi"/>
              <w:sz w:val="20"/>
            </w:rPr>
            <w:t xml:space="preserve"> </w:t>
          </w:r>
          <w:r w:rsidR="00034B5A" w:rsidRPr="00107549">
            <w:rPr>
              <w:rFonts w:asciiTheme="minorHAnsi" w:hAnsiTheme="minorHAnsi" w:cstheme="minorHAnsi"/>
              <w:sz w:val="20"/>
            </w:rPr>
            <w:t xml:space="preserve">the </w:t>
          </w:r>
          <w:r w:rsidRPr="00107549">
            <w:rPr>
              <w:rFonts w:asciiTheme="minorHAnsi" w:hAnsiTheme="minorHAnsi" w:cstheme="minorHAnsi"/>
              <w:sz w:val="20"/>
            </w:rPr>
            <w:t xml:space="preserve">Habeas Corpus Resource Center </w:t>
          </w:r>
          <w:r w:rsidR="008345AD" w:rsidRPr="00107549">
            <w:rPr>
              <w:rFonts w:asciiTheme="minorHAnsi" w:hAnsiTheme="minorHAnsi" w:cstheme="minorHAnsi"/>
              <w:sz w:val="20"/>
            </w:rPr>
            <w:t xml:space="preserve">(each, a JBE) </w:t>
          </w:r>
          <w:r w:rsidRPr="00107549">
            <w:rPr>
              <w:rFonts w:asciiTheme="minorHAnsi" w:hAnsiTheme="minorHAnsi" w:cstheme="minorHAnsi"/>
              <w:sz w:val="20"/>
            </w:rPr>
            <w:t xml:space="preserve">for the </w:t>
          </w:r>
          <w:r w:rsidR="009E657B" w:rsidRPr="00107549">
            <w:rPr>
              <w:rFonts w:asciiTheme="minorHAnsi" w:hAnsiTheme="minorHAnsi" w:cstheme="minorHAnsi"/>
              <w:sz w:val="20"/>
            </w:rPr>
            <w:t xml:space="preserve">purpose of adding to </w:t>
          </w:r>
          <w:r w:rsidR="00234621" w:rsidRPr="00107549">
            <w:rPr>
              <w:rFonts w:asciiTheme="minorHAnsi" w:hAnsiTheme="minorHAnsi" w:cstheme="minorHAnsi"/>
              <w:sz w:val="20"/>
            </w:rPr>
            <w:t xml:space="preserve">their </w:t>
          </w:r>
          <w:r w:rsidR="009E657B" w:rsidRPr="00107549">
            <w:rPr>
              <w:rFonts w:asciiTheme="minorHAnsi" w:hAnsiTheme="minorHAnsi" w:cstheme="minorHAnsi"/>
              <w:sz w:val="20"/>
            </w:rPr>
            <w:t xml:space="preserve">existing </w:t>
          </w:r>
          <w:r w:rsidR="00234621" w:rsidRPr="00107549">
            <w:rPr>
              <w:rFonts w:asciiTheme="minorHAnsi" w:hAnsiTheme="minorHAnsi" w:cstheme="minorHAnsi"/>
              <w:sz w:val="20"/>
            </w:rPr>
            <w:t>agreements</w:t>
          </w:r>
          <w:r w:rsidR="00CE1C7C" w:rsidRPr="00107549">
            <w:rPr>
              <w:rFonts w:asciiTheme="minorHAnsi" w:hAnsiTheme="minorHAnsi" w:cstheme="minorHAnsi"/>
              <w:sz w:val="20"/>
            </w:rPr>
            <w:t xml:space="preserve"> </w:t>
          </w:r>
          <w:r w:rsidR="008A140F">
            <w:rPr>
              <w:rFonts w:asciiTheme="minorHAnsi" w:hAnsiTheme="minorHAnsi" w:cstheme="minorHAnsi"/>
              <w:sz w:val="20"/>
            </w:rPr>
            <w:t xml:space="preserve">those </w:t>
          </w:r>
          <w:r w:rsidR="00453F4F">
            <w:rPr>
              <w:rFonts w:asciiTheme="minorHAnsi" w:hAnsiTheme="minorHAnsi" w:cstheme="minorHAnsi"/>
              <w:sz w:val="20"/>
            </w:rPr>
            <w:t>provisions</w:t>
          </w:r>
          <w:r w:rsidR="00107549">
            <w:rPr>
              <w:rFonts w:asciiTheme="minorHAnsi" w:hAnsiTheme="minorHAnsi" w:cstheme="minorHAnsi"/>
              <w:sz w:val="20"/>
            </w:rPr>
            <w:t xml:space="preserve"> required by the </w:t>
          </w:r>
          <w:r w:rsidR="009E657B" w:rsidRPr="00107549">
            <w:rPr>
              <w:rFonts w:asciiTheme="minorHAnsi" w:hAnsiTheme="minorHAnsi" w:cstheme="minorHAnsi"/>
              <w:sz w:val="20"/>
            </w:rPr>
            <w:t xml:space="preserve">Judicial </w:t>
          </w:r>
          <w:r w:rsidR="00034B5A" w:rsidRPr="00107549">
            <w:rPr>
              <w:rFonts w:asciiTheme="minorHAnsi" w:hAnsiTheme="minorHAnsi" w:cstheme="minorHAnsi"/>
              <w:sz w:val="20"/>
            </w:rPr>
            <w:t>Branch Contract Law</w:t>
          </w:r>
          <w:r w:rsidR="00875875" w:rsidRPr="00107549">
            <w:rPr>
              <w:rFonts w:asciiTheme="minorHAnsi" w:hAnsiTheme="minorHAnsi" w:cstheme="minorHAnsi"/>
              <w:sz w:val="20"/>
            </w:rPr>
            <w:t xml:space="preserve"> and </w:t>
          </w:r>
          <w:r w:rsidR="00107549">
            <w:rPr>
              <w:rFonts w:asciiTheme="minorHAnsi" w:hAnsiTheme="minorHAnsi" w:cstheme="minorHAnsi"/>
              <w:sz w:val="20"/>
            </w:rPr>
            <w:t>t</w:t>
          </w:r>
          <w:r w:rsidR="00875875" w:rsidRPr="00107549">
            <w:rPr>
              <w:rFonts w:asciiTheme="minorHAnsi" w:hAnsiTheme="minorHAnsi" w:cstheme="minorHAnsi"/>
              <w:sz w:val="20"/>
            </w:rPr>
            <w:t xml:space="preserve">he </w:t>
          </w:r>
          <w:r w:rsidR="00875875" w:rsidRPr="00107549">
            <w:rPr>
              <w:rFonts w:asciiTheme="minorHAnsi" w:hAnsiTheme="minorHAnsi" w:cstheme="minorHAnsi"/>
              <w:i/>
              <w:sz w:val="20"/>
            </w:rPr>
            <w:t xml:space="preserve">Judicial Branch Contracting Manual </w:t>
          </w:r>
          <w:r w:rsidR="00875875" w:rsidRPr="00107549">
            <w:rPr>
              <w:rFonts w:asciiTheme="minorHAnsi" w:hAnsiTheme="minorHAnsi" w:cstheme="minorHAnsi"/>
              <w:sz w:val="20"/>
            </w:rPr>
            <w:t>(JBCM)</w:t>
          </w:r>
          <w:r w:rsidR="009E657B" w:rsidRPr="00107549">
            <w:rPr>
              <w:rFonts w:asciiTheme="minorHAnsi" w:hAnsiTheme="minorHAnsi" w:cstheme="minorHAnsi"/>
              <w:sz w:val="20"/>
            </w:rPr>
            <w:t xml:space="preserve">. </w:t>
          </w:r>
          <w:r w:rsidR="00925F22" w:rsidRPr="00107549">
            <w:rPr>
              <w:rFonts w:asciiTheme="minorHAnsi" w:hAnsiTheme="minorHAnsi" w:cstheme="minorHAnsi"/>
              <w:sz w:val="20"/>
            </w:rPr>
            <w:t>T</w:t>
          </w:r>
          <w:r w:rsidR="000D754E" w:rsidRPr="00107549">
            <w:rPr>
              <w:rFonts w:asciiTheme="minorHAnsi" w:hAnsiTheme="minorHAnsi" w:cstheme="minorHAnsi"/>
              <w:sz w:val="20"/>
            </w:rPr>
            <w:t>he</w:t>
          </w:r>
          <w:r w:rsidR="00426F45" w:rsidRPr="00107549">
            <w:rPr>
              <w:rFonts w:asciiTheme="minorHAnsi" w:hAnsiTheme="minorHAnsi" w:cstheme="minorHAnsi"/>
              <w:sz w:val="20"/>
            </w:rPr>
            <w:t xml:space="preserve"> </w:t>
          </w:r>
          <w:r w:rsidR="00925F22" w:rsidRPr="00107549">
            <w:rPr>
              <w:rFonts w:asciiTheme="minorHAnsi" w:hAnsiTheme="minorHAnsi" w:cstheme="minorHAnsi"/>
              <w:sz w:val="20"/>
            </w:rPr>
            <w:t>appen</w:t>
          </w:r>
          <w:r w:rsidR="008B2AD9">
            <w:rPr>
              <w:rFonts w:asciiTheme="minorHAnsi" w:hAnsiTheme="minorHAnsi" w:cstheme="minorHAnsi"/>
              <w:sz w:val="20"/>
            </w:rPr>
            <w:t xml:space="preserve">dix is appropriate to incorporate into </w:t>
          </w:r>
          <w:r w:rsidR="0035223F">
            <w:rPr>
              <w:rFonts w:asciiTheme="minorHAnsi" w:hAnsiTheme="minorHAnsi" w:cstheme="minorHAnsi"/>
              <w:sz w:val="20"/>
            </w:rPr>
            <w:t>an agreement</w:t>
          </w:r>
          <w:r w:rsidR="00925F22" w:rsidRPr="00107549">
            <w:rPr>
              <w:rFonts w:asciiTheme="minorHAnsi" w:hAnsiTheme="minorHAnsi" w:cstheme="minorHAnsi"/>
              <w:sz w:val="20"/>
            </w:rPr>
            <w:t xml:space="preserve"> </w:t>
          </w:r>
          <w:r w:rsidR="005870AF">
            <w:rPr>
              <w:rFonts w:asciiTheme="minorHAnsi" w:hAnsiTheme="minorHAnsi" w:cstheme="minorHAnsi"/>
              <w:sz w:val="20"/>
            </w:rPr>
            <w:t xml:space="preserve">(including </w:t>
          </w:r>
          <w:r w:rsidR="0035223F">
            <w:rPr>
              <w:rFonts w:asciiTheme="minorHAnsi" w:hAnsiTheme="minorHAnsi" w:cstheme="minorHAnsi"/>
              <w:sz w:val="20"/>
            </w:rPr>
            <w:t>a purchase order</w:t>
          </w:r>
          <w:r w:rsidR="005870AF">
            <w:rPr>
              <w:rFonts w:asciiTheme="minorHAnsi" w:hAnsiTheme="minorHAnsi" w:cstheme="minorHAnsi"/>
              <w:sz w:val="20"/>
            </w:rPr>
            <w:t>)</w:t>
          </w:r>
          <w:r w:rsidR="00290081">
            <w:rPr>
              <w:rFonts w:asciiTheme="minorHAnsi" w:hAnsiTheme="minorHAnsi" w:cstheme="minorHAnsi"/>
              <w:sz w:val="20"/>
            </w:rPr>
            <w:t xml:space="preserve"> </w:t>
          </w:r>
          <w:r w:rsidR="006E2AEB" w:rsidRPr="00107549">
            <w:rPr>
              <w:rFonts w:asciiTheme="minorHAnsi" w:hAnsiTheme="minorHAnsi" w:cstheme="minorHAnsi"/>
              <w:sz w:val="20"/>
            </w:rPr>
            <w:t xml:space="preserve">with </w:t>
          </w:r>
          <w:r w:rsidR="0035223F">
            <w:rPr>
              <w:rFonts w:asciiTheme="minorHAnsi" w:hAnsiTheme="minorHAnsi" w:cstheme="minorHAnsi"/>
              <w:sz w:val="20"/>
            </w:rPr>
            <w:t>a private entity</w:t>
          </w:r>
          <w:r w:rsidR="006E2AEB" w:rsidRPr="00107549">
            <w:rPr>
              <w:rFonts w:asciiTheme="minorHAnsi" w:hAnsiTheme="minorHAnsi" w:cstheme="minorHAnsi"/>
              <w:sz w:val="20"/>
            </w:rPr>
            <w:t xml:space="preserve"> </w:t>
          </w:r>
          <w:r w:rsidR="00925F22" w:rsidRPr="00107549">
            <w:rPr>
              <w:rFonts w:asciiTheme="minorHAnsi" w:hAnsiTheme="minorHAnsi" w:cstheme="minorHAnsi"/>
              <w:sz w:val="20"/>
            </w:rPr>
            <w:t xml:space="preserve">for </w:t>
          </w:r>
          <w:r w:rsidR="00426F45" w:rsidRPr="00107549">
            <w:rPr>
              <w:rFonts w:asciiTheme="minorHAnsi" w:hAnsiTheme="minorHAnsi" w:cstheme="minorHAnsi"/>
              <w:sz w:val="20"/>
            </w:rPr>
            <w:t xml:space="preserve">the acquisition of goods and services of any </w:t>
          </w:r>
          <w:proofErr w:type="gramStart"/>
          <w:r w:rsidR="00426F45" w:rsidRPr="00107549">
            <w:rPr>
              <w:rFonts w:asciiTheme="minorHAnsi" w:hAnsiTheme="minorHAnsi" w:cstheme="minorHAnsi"/>
              <w:sz w:val="20"/>
            </w:rPr>
            <w:t xml:space="preserve">value, </w:t>
          </w:r>
          <w:r w:rsidR="00290081">
            <w:rPr>
              <w:rFonts w:asciiTheme="minorHAnsi" w:hAnsiTheme="minorHAnsi" w:cstheme="minorHAnsi"/>
              <w:sz w:val="20"/>
            </w:rPr>
            <w:t>if</w:t>
          </w:r>
          <w:proofErr w:type="gramEnd"/>
          <w:r w:rsidR="00290081">
            <w:rPr>
              <w:rFonts w:asciiTheme="minorHAnsi" w:hAnsiTheme="minorHAnsi" w:cstheme="minorHAnsi"/>
              <w:sz w:val="20"/>
            </w:rPr>
            <w:t xml:space="preserve"> </w:t>
          </w:r>
          <w:r w:rsidR="0035223F">
            <w:rPr>
              <w:rFonts w:asciiTheme="minorHAnsi" w:hAnsiTheme="minorHAnsi" w:cstheme="minorHAnsi"/>
              <w:sz w:val="20"/>
            </w:rPr>
            <w:t>the agreement</w:t>
          </w:r>
          <w:r w:rsidR="00290081" w:rsidRPr="00290081">
            <w:rPr>
              <w:rFonts w:asciiTheme="minorHAnsi" w:hAnsiTheme="minorHAnsi" w:cstheme="minorHAnsi"/>
              <w:sz w:val="20"/>
            </w:rPr>
            <w:t xml:space="preserve"> do</w:t>
          </w:r>
          <w:r w:rsidR="0035223F">
            <w:rPr>
              <w:rFonts w:asciiTheme="minorHAnsi" w:hAnsiTheme="minorHAnsi" w:cstheme="minorHAnsi"/>
              <w:sz w:val="20"/>
            </w:rPr>
            <w:t>es</w:t>
          </w:r>
          <w:r w:rsidR="00290081" w:rsidRPr="00290081">
            <w:rPr>
              <w:rFonts w:asciiTheme="minorHAnsi" w:hAnsiTheme="minorHAnsi" w:cstheme="minorHAnsi"/>
              <w:sz w:val="20"/>
            </w:rPr>
            <w:t xml:space="preserve"> not already comply with the JBCL and JBCM</w:t>
          </w:r>
          <w:r w:rsidR="00290081">
            <w:rPr>
              <w:rFonts w:asciiTheme="minorHAnsi" w:hAnsiTheme="minorHAnsi" w:cstheme="minorHAnsi"/>
              <w:sz w:val="20"/>
            </w:rPr>
            <w:t xml:space="preserve">.  The appendix is not appropriate for use </w:t>
          </w:r>
          <w:r w:rsidR="00426F45" w:rsidRPr="00107549">
            <w:rPr>
              <w:rFonts w:asciiTheme="minorHAnsi" w:hAnsiTheme="minorHAnsi" w:cstheme="minorHAnsi"/>
              <w:sz w:val="20"/>
            </w:rPr>
            <w:t>in connection with public works projects</w:t>
          </w:r>
          <w:r w:rsidR="00290081">
            <w:rPr>
              <w:rFonts w:asciiTheme="minorHAnsi" w:hAnsiTheme="minorHAnsi" w:cstheme="minorHAnsi"/>
              <w:sz w:val="20"/>
            </w:rPr>
            <w:t>; n</w:t>
          </w:r>
          <w:r w:rsidR="00107549">
            <w:rPr>
              <w:rFonts w:asciiTheme="minorHAnsi" w:hAnsiTheme="minorHAnsi" w:cstheme="minorHAnsi"/>
              <w:sz w:val="20"/>
            </w:rPr>
            <w:t xml:space="preserve">ote </w:t>
          </w:r>
          <w:r w:rsidR="00290081">
            <w:rPr>
              <w:rFonts w:asciiTheme="minorHAnsi" w:hAnsiTheme="minorHAnsi" w:cstheme="minorHAnsi"/>
              <w:sz w:val="20"/>
            </w:rPr>
            <w:t xml:space="preserve">however </w:t>
          </w:r>
          <w:r w:rsidR="00107549">
            <w:rPr>
              <w:rFonts w:asciiTheme="minorHAnsi" w:hAnsiTheme="minorHAnsi" w:cstheme="minorHAnsi"/>
              <w:sz w:val="20"/>
            </w:rPr>
            <w:t xml:space="preserve">that </w:t>
          </w:r>
          <w:r w:rsidR="00107549" w:rsidRPr="00107549">
            <w:rPr>
              <w:rFonts w:asciiTheme="minorHAnsi" w:hAnsiTheme="minorHAnsi" w:cstheme="minorHAnsi"/>
              <w:sz w:val="20"/>
            </w:rPr>
            <w:t>janitorial and building maintenance agreements are not public works contracts.</w:t>
          </w:r>
        </w:p>
        <w:p w14:paraId="69F7D778" w14:textId="77777777" w:rsidR="00A16772" w:rsidRDefault="00A16772" w:rsidP="00426F45">
          <w:pPr>
            <w:rPr>
              <w:rFonts w:asciiTheme="minorHAnsi" w:hAnsiTheme="minorHAnsi" w:cstheme="minorHAnsi"/>
              <w:sz w:val="20"/>
            </w:rPr>
          </w:pPr>
        </w:p>
        <w:p w14:paraId="6411FAD9" w14:textId="77777777" w:rsidR="00A16772" w:rsidRPr="00107549" w:rsidRDefault="00DA0158" w:rsidP="00426F45">
          <w:pPr>
            <w:rPr>
              <w:rFonts w:asciiTheme="minorHAnsi" w:hAnsiTheme="minorHAnsi" w:cstheme="minorHAnsi"/>
              <w:sz w:val="20"/>
            </w:rPr>
          </w:pPr>
          <w:r>
            <w:rPr>
              <w:rFonts w:asciiTheme="minorHAnsi" w:hAnsiTheme="minorHAnsi" w:cstheme="minorHAnsi"/>
              <w:sz w:val="20"/>
            </w:rPr>
            <w:t>A JBE may incorporate this appendix into its agreements using two different methods.</w:t>
          </w:r>
        </w:p>
        <w:p w14:paraId="20D13206" w14:textId="77777777" w:rsidR="001A67AA" w:rsidRPr="00107549" w:rsidRDefault="001A67AA" w:rsidP="008758B9">
          <w:pPr>
            <w:rPr>
              <w:rFonts w:asciiTheme="minorHAnsi" w:hAnsiTheme="minorHAnsi" w:cstheme="minorHAnsi"/>
              <w:sz w:val="20"/>
            </w:rPr>
          </w:pPr>
        </w:p>
        <w:p w14:paraId="1478C5D5" w14:textId="77777777" w:rsidR="00B160CD" w:rsidRPr="00107549" w:rsidRDefault="00DA0158" w:rsidP="008758B9">
          <w:pPr>
            <w:rPr>
              <w:rFonts w:asciiTheme="minorHAnsi" w:hAnsiTheme="minorHAnsi" w:cstheme="minorHAnsi"/>
              <w:sz w:val="20"/>
            </w:rPr>
          </w:pPr>
          <w:r>
            <w:rPr>
              <w:rFonts w:asciiTheme="minorHAnsi" w:hAnsiTheme="minorHAnsi" w:cstheme="minorHAnsi"/>
              <w:sz w:val="20"/>
            </w:rPr>
            <w:t xml:space="preserve">First, </w:t>
          </w:r>
          <w:r w:rsidR="001A67AA" w:rsidRPr="00107549">
            <w:rPr>
              <w:rFonts w:asciiTheme="minorHAnsi" w:hAnsiTheme="minorHAnsi" w:cstheme="minorHAnsi"/>
              <w:sz w:val="20"/>
            </w:rPr>
            <w:t xml:space="preserve">a JBE </w:t>
          </w:r>
          <w:r>
            <w:rPr>
              <w:rFonts w:asciiTheme="minorHAnsi" w:hAnsiTheme="minorHAnsi" w:cstheme="minorHAnsi"/>
              <w:sz w:val="20"/>
            </w:rPr>
            <w:t xml:space="preserve">may </w:t>
          </w:r>
          <w:r w:rsidR="00A611DE">
            <w:rPr>
              <w:rFonts w:asciiTheme="minorHAnsi" w:hAnsiTheme="minorHAnsi" w:cstheme="minorHAnsi"/>
              <w:sz w:val="20"/>
            </w:rPr>
            <w:t>incorporate</w:t>
          </w:r>
          <w:r w:rsidR="003C028A">
            <w:rPr>
              <w:rFonts w:asciiTheme="minorHAnsi" w:hAnsiTheme="minorHAnsi" w:cstheme="minorHAnsi"/>
              <w:sz w:val="20"/>
            </w:rPr>
            <w:t xml:space="preserve"> by reference</w:t>
          </w:r>
          <w:r w:rsidR="00A611DE">
            <w:rPr>
              <w:rFonts w:asciiTheme="minorHAnsi" w:hAnsiTheme="minorHAnsi" w:cstheme="minorHAnsi"/>
              <w:sz w:val="20"/>
            </w:rPr>
            <w:t xml:space="preserve"> </w:t>
          </w:r>
          <w:r w:rsidR="003C028A">
            <w:rPr>
              <w:rFonts w:asciiTheme="minorHAnsi" w:hAnsiTheme="minorHAnsi" w:cstheme="minorHAnsi"/>
              <w:sz w:val="20"/>
            </w:rPr>
            <w:t xml:space="preserve">into the applicable agreements </w:t>
          </w:r>
          <w:r w:rsidR="00A611DE">
            <w:rPr>
              <w:rFonts w:asciiTheme="minorHAnsi" w:hAnsiTheme="minorHAnsi" w:cstheme="minorHAnsi"/>
              <w:sz w:val="20"/>
            </w:rPr>
            <w:t xml:space="preserve">the </w:t>
          </w:r>
          <w:r w:rsidR="003C028A">
            <w:rPr>
              <w:rFonts w:asciiTheme="minorHAnsi" w:hAnsiTheme="minorHAnsi" w:cstheme="minorHAnsi"/>
              <w:sz w:val="20"/>
            </w:rPr>
            <w:t>copy</w:t>
          </w:r>
          <w:r w:rsidR="00A611DE">
            <w:rPr>
              <w:rFonts w:asciiTheme="minorHAnsi" w:hAnsiTheme="minorHAnsi" w:cstheme="minorHAnsi"/>
              <w:sz w:val="20"/>
            </w:rPr>
            <w:t xml:space="preserve"> of this appendix posted on the </w:t>
          </w:r>
          <w:r w:rsidR="000873A8">
            <w:rPr>
              <w:rFonts w:asciiTheme="minorHAnsi" w:hAnsiTheme="minorHAnsi" w:cstheme="minorHAnsi"/>
              <w:sz w:val="20"/>
            </w:rPr>
            <w:t>California Courts</w:t>
          </w:r>
          <w:r w:rsidR="00A611DE">
            <w:rPr>
              <w:rFonts w:asciiTheme="minorHAnsi" w:hAnsiTheme="minorHAnsi" w:cstheme="minorHAnsi"/>
              <w:sz w:val="20"/>
            </w:rPr>
            <w:t xml:space="preserve"> website</w:t>
          </w:r>
          <w:r w:rsidR="00D4423E">
            <w:rPr>
              <w:rFonts w:asciiTheme="minorHAnsi" w:hAnsiTheme="minorHAnsi" w:cstheme="minorHAnsi"/>
              <w:sz w:val="20"/>
            </w:rPr>
            <w:t xml:space="preserve">. </w:t>
          </w:r>
          <w:r>
            <w:rPr>
              <w:rFonts w:asciiTheme="minorHAnsi" w:hAnsiTheme="minorHAnsi" w:cstheme="minorHAnsi"/>
              <w:sz w:val="20"/>
            </w:rPr>
            <w:t xml:space="preserve">If a JBE uses this method, it should insert the </w:t>
          </w:r>
          <w:r w:rsidR="00EA6417" w:rsidRPr="00107549">
            <w:rPr>
              <w:rFonts w:asciiTheme="minorHAnsi" w:hAnsiTheme="minorHAnsi" w:cstheme="minorHAnsi"/>
              <w:sz w:val="20"/>
            </w:rPr>
            <w:t xml:space="preserve">following </w:t>
          </w:r>
          <w:r>
            <w:rPr>
              <w:rFonts w:asciiTheme="minorHAnsi" w:hAnsiTheme="minorHAnsi" w:cstheme="minorHAnsi"/>
              <w:sz w:val="20"/>
            </w:rPr>
            <w:t xml:space="preserve">(or similar) </w:t>
          </w:r>
          <w:r w:rsidR="00CE1C7C" w:rsidRPr="00107549">
            <w:rPr>
              <w:rFonts w:asciiTheme="minorHAnsi" w:hAnsiTheme="minorHAnsi" w:cstheme="minorHAnsi"/>
              <w:sz w:val="20"/>
            </w:rPr>
            <w:t xml:space="preserve">language into the </w:t>
          </w:r>
          <w:r>
            <w:rPr>
              <w:rFonts w:asciiTheme="minorHAnsi" w:hAnsiTheme="minorHAnsi" w:cstheme="minorHAnsi"/>
              <w:sz w:val="20"/>
            </w:rPr>
            <w:t>applicable</w:t>
          </w:r>
          <w:r w:rsidR="00CE1C7C" w:rsidRPr="00107549">
            <w:rPr>
              <w:rFonts w:asciiTheme="minorHAnsi" w:hAnsiTheme="minorHAnsi" w:cstheme="minorHAnsi"/>
              <w:sz w:val="20"/>
            </w:rPr>
            <w:t xml:space="preserve"> </w:t>
          </w:r>
          <w:r w:rsidR="00925F22" w:rsidRPr="00107549">
            <w:rPr>
              <w:rFonts w:asciiTheme="minorHAnsi" w:hAnsiTheme="minorHAnsi" w:cstheme="minorHAnsi"/>
              <w:sz w:val="20"/>
            </w:rPr>
            <w:t>agreement</w:t>
          </w:r>
          <w:r>
            <w:rPr>
              <w:rFonts w:asciiTheme="minorHAnsi" w:hAnsiTheme="minorHAnsi" w:cstheme="minorHAnsi"/>
              <w:sz w:val="20"/>
            </w:rPr>
            <w:t>s</w:t>
          </w:r>
          <w:r w:rsidR="00EA6417" w:rsidRPr="00107549">
            <w:rPr>
              <w:rFonts w:asciiTheme="minorHAnsi" w:hAnsiTheme="minorHAnsi" w:cstheme="minorHAnsi"/>
              <w:sz w:val="20"/>
            </w:rPr>
            <w:t>:</w:t>
          </w:r>
        </w:p>
        <w:p w14:paraId="784A31F3" w14:textId="77777777" w:rsidR="00B160CD" w:rsidRPr="00107549" w:rsidRDefault="00B160CD" w:rsidP="008758B9">
          <w:pPr>
            <w:rPr>
              <w:rFonts w:asciiTheme="minorHAnsi" w:hAnsiTheme="minorHAnsi" w:cstheme="minorHAnsi"/>
              <w:sz w:val="20"/>
            </w:rPr>
          </w:pPr>
        </w:p>
        <w:p w14:paraId="516B329C" w14:textId="7865B670" w:rsidR="009E657B" w:rsidRPr="00453F4F" w:rsidRDefault="00EA6417" w:rsidP="00B160CD">
          <w:pPr>
            <w:pStyle w:val="Quote"/>
            <w:ind w:left="720" w:right="720"/>
            <w:rPr>
              <w:rFonts w:asciiTheme="minorHAnsi" w:hAnsiTheme="minorHAnsi" w:cstheme="minorHAnsi"/>
              <w:sz w:val="20"/>
            </w:rPr>
          </w:pPr>
          <w:r w:rsidRPr="00453F4F">
            <w:rPr>
              <w:rFonts w:asciiTheme="minorHAnsi" w:hAnsiTheme="minorHAnsi" w:cstheme="minorHAnsi"/>
              <w:sz w:val="20"/>
            </w:rPr>
            <w:t>Th</w:t>
          </w:r>
          <w:r w:rsidR="009075B0" w:rsidRPr="00453F4F">
            <w:rPr>
              <w:rFonts w:asciiTheme="minorHAnsi" w:hAnsiTheme="minorHAnsi" w:cstheme="minorHAnsi"/>
              <w:sz w:val="20"/>
            </w:rPr>
            <w:t>i</w:t>
          </w:r>
          <w:r w:rsidR="00CE1C7C" w:rsidRPr="00453F4F">
            <w:rPr>
              <w:rFonts w:asciiTheme="minorHAnsi" w:hAnsiTheme="minorHAnsi" w:cstheme="minorHAnsi"/>
              <w:sz w:val="20"/>
            </w:rPr>
            <w:t>s</w:t>
          </w:r>
          <w:r w:rsidR="00453F4F">
            <w:rPr>
              <w:rFonts w:asciiTheme="minorHAnsi" w:hAnsiTheme="minorHAnsi" w:cstheme="minorHAnsi"/>
              <w:sz w:val="20"/>
            </w:rPr>
            <w:t xml:space="preserve"> A</w:t>
          </w:r>
          <w:r w:rsidR="009075B0" w:rsidRPr="00453F4F">
            <w:rPr>
              <w:rFonts w:asciiTheme="minorHAnsi" w:hAnsiTheme="minorHAnsi" w:cstheme="minorHAnsi"/>
              <w:sz w:val="20"/>
            </w:rPr>
            <w:t>greement</w:t>
          </w:r>
          <w:r w:rsidR="00CE1C7C" w:rsidRPr="00453F4F">
            <w:rPr>
              <w:rFonts w:asciiTheme="minorHAnsi" w:hAnsiTheme="minorHAnsi" w:cstheme="minorHAnsi"/>
              <w:sz w:val="20"/>
            </w:rPr>
            <w:t xml:space="preserve"> </w:t>
          </w:r>
          <w:r w:rsidRPr="00453F4F">
            <w:rPr>
              <w:rFonts w:asciiTheme="minorHAnsi" w:hAnsiTheme="minorHAnsi" w:cstheme="minorHAnsi"/>
              <w:sz w:val="20"/>
            </w:rPr>
            <w:t>incorporat</w:t>
          </w:r>
          <w:r w:rsidR="00CE1C7C" w:rsidRPr="00453F4F">
            <w:rPr>
              <w:rFonts w:asciiTheme="minorHAnsi" w:hAnsiTheme="minorHAnsi" w:cstheme="minorHAnsi"/>
              <w:sz w:val="20"/>
            </w:rPr>
            <w:t>e</w:t>
          </w:r>
          <w:r w:rsidR="00EB036D" w:rsidRPr="00453F4F">
            <w:rPr>
              <w:rFonts w:asciiTheme="minorHAnsi" w:hAnsiTheme="minorHAnsi" w:cstheme="minorHAnsi"/>
              <w:sz w:val="20"/>
            </w:rPr>
            <w:t>s</w:t>
          </w:r>
          <w:r w:rsidRPr="00453F4F">
            <w:rPr>
              <w:rFonts w:asciiTheme="minorHAnsi" w:hAnsiTheme="minorHAnsi" w:cstheme="minorHAnsi"/>
              <w:sz w:val="20"/>
            </w:rPr>
            <w:t xml:space="preserve"> the terms and condition</w:t>
          </w:r>
          <w:r w:rsidR="00270191" w:rsidRPr="00453F4F">
            <w:rPr>
              <w:rFonts w:asciiTheme="minorHAnsi" w:hAnsiTheme="minorHAnsi" w:cstheme="minorHAnsi"/>
              <w:sz w:val="20"/>
            </w:rPr>
            <w:t>s</w:t>
          </w:r>
          <w:r w:rsidRPr="00453F4F">
            <w:rPr>
              <w:rFonts w:asciiTheme="minorHAnsi" w:hAnsiTheme="minorHAnsi" w:cstheme="minorHAnsi"/>
              <w:sz w:val="20"/>
            </w:rPr>
            <w:t xml:space="preserve"> </w:t>
          </w:r>
          <w:r w:rsidR="008345AD" w:rsidRPr="00453F4F">
            <w:rPr>
              <w:rFonts w:asciiTheme="minorHAnsi" w:hAnsiTheme="minorHAnsi" w:cstheme="minorHAnsi"/>
              <w:sz w:val="20"/>
            </w:rPr>
            <w:t>set forth in</w:t>
          </w:r>
          <w:r w:rsidRPr="00453F4F">
            <w:rPr>
              <w:rFonts w:asciiTheme="minorHAnsi" w:hAnsiTheme="minorHAnsi" w:cstheme="minorHAnsi"/>
              <w:sz w:val="20"/>
            </w:rPr>
            <w:t xml:space="preserve"> the </w:t>
          </w:r>
          <w:r w:rsidR="009075B0" w:rsidRPr="00453F4F">
            <w:rPr>
              <w:rFonts w:asciiTheme="minorHAnsi" w:hAnsiTheme="minorHAnsi" w:cstheme="minorHAnsi"/>
              <w:sz w:val="20"/>
            </w:rPr>
            <w:t>appendix</w:t>
          </w:r>
          <w:r w:rsidR="00331A76" w:rsidRPr="00453F4F">
            <w:rPr>
              <w:rFonts w:asciiTheme="minorHAnsi" w:hAnsiTheme="minorHAnsi" w:cstheme="minorHAnsi"/>
              <w:sz w:val="20"/>
            </w:rPr>
            <w:t xml:space="preserve"> </w:t>
          </w:r>
          <w:r w:rsidRPr="00453F4F">
            <w:rPr>
              <w:rFonts w:asciiTheme="minorHAnsi" w:hAnsiTheme="minorHAnsi" w:cstheme="minorHAnsi"/>
              <w:sz w:val="20"/>
            </w:rPr>
            <w:t xml:space="preserve">entitled </w:t>
          </w:r>
          <w:r w:rsidR="006703CF" w:rsidRPr="00453F4F">
            <w:rPr>
              <w:rFonts w:asciiTheme="minorHAnsi" w:hAnsiTheme="minorHAnsi" w:cstheme="minorHAnsi"/>
              <w:sz w:val="20"/>
            </w:rPr>
            <w:t>“</w:t>
          </w:r>
          <w:r w:rsidR="00053587">
            <w:rPr>
              <w:rFonts w:asciiTheme="minorHAnsi" w:hAnsiTheme="minorHAnsi" w:cstheme="minorHAnsi"/>
              <w:sz w:val="20"/>
            </w:rPr>
            <w:t>JBCL</w:t>
          </w:r>
          <w:r w:rsidR="006703CF" w:rsidRPr="00453F4F">
            <w:rPr>
              <w:rFonts w:asciiTheme="minorHAnsi" w:hAnsiTheme="minorHAnsi" w:cstheme="minorHAnsi"/>
              <w:sz w:val="20"/>
            </w:rPr>
            <w:t xml:space="preserve"> </w:t>
          </w:r>
          <w:r w:rsidR="009075B0" w:rsidRPr="00453F4F">
            <w:rPr>
              <w:rFonts w:asciiTheme="minorHAnsi" w:hAnsiTheme="minorHAnsi" w:cstheme="minorHAnsi"/>
              <w:sz w:val="20"/>
            </w:rPr>
            <w:t>Appendix</w:t>
          </w:r>
          <w:r w:rsidR="003C0DF2" w:rsidRPr="00453F4F">
            <w:rPr>
              <w:rFonts w:asciiTheme="minorHAnsi" w:hAnsiTheme="minorHAnsi" w:cstheme="minorHAnsi"/>
              <w:sz w:val="20"/>
            </w:rPr>
            <w:t>,</w:t>
          </w:r>
          <w:r w:rsidR="006703CF" w:rsidRPr="00453F4F">
            <w:rPr>
              <w:rFonts w:asciiTheme="minorHAnsi" w:hAnsiTheme="minorHAnsi" w:cstheme="minorHAnsi"/>
              <w:sz w:val="20"/>
            </w:rPr>
            <w:t>”</w:t>
          </w:r>
          <w:r w:rsidRPr="00453F4F">
            <w:rPr>
              <w:rFonts w:asciiTheme="minorHAnsi" w:hAnsiTheme="minorHAnsi" w:cstheme="minorHAnsi"/>
              <w:sz w:val="20"/>
            </w:rPr>
            <w:t xml:space="preserve"> </w:t>
          </w:r>
          <w:r w:rsidR="009F0A68">
            <w:rPr>
              <w:rFonts w:asciiTheme="minorHAnsi" w:hAnsiTheme="minorHAnsi" w:cstheme="minorHAnsi"/>
              <w:sz w:val="20"/>
            </w:rPr>
            <w:t xml:space="preserve">posted at </w:t>
          </w:r>
          <w:hyperlink r:id="rId7" w:history="1">
            <w:r w:rsidR="002D7D33" w:rsidRPr="002D7D33">
              <w:rPr>
                <w:rStyle w:val="Hyperlink"/>
                <w:rFonts w:asciiTheme="minorHAnsi" w:hAnsiTheme="minorHAnsi" w:cstheme="minorHAnsi"/>
                <w:sz w:val="20"/>
              </w:rPr>
              <w:t>http://www2.courtinfo.ca.gov/termsandconditions8.pdf</w:t>
            </w:r>
          </w:hyperlink>
          <w:r w:rsidR="008E4FA9" w:rsidRPr="00453F4F">
            <w:rPr>
              <w:rFonts w:asciiTheme="minorHAnsi" w:hAnsiTheme="minorHAnsi" w:cstheme="minorHAnsi"/>
              <w:sz w:val="20"/>
            </w:rPr>
            <w:t>.</w:t>
          </w:r>
          <w:r w:rsidR="009F0A68">
            <w:rPr>
              <w:rFonts w:asciiTheme="minorHAnsi" w:hAnsiTheme="minorHAnsi" w:cstheme="minorHAnsi"/>
              <w:sz w:val="20"/>
            </w:rPr>
            <w:t xml:space="preserve"> </w:t>
          </w:r>
          <w:r w:rsidR="008E4FA9" w:rsidRPr="00453F4F">
            <w:rPr>
              <w:rFonts w:asciiTheme="minorHAnsi" w:hAnsiTheme="minorHAnsi" w:cstheme="minorHAnsi"/>
              <w:sz w:val="20"/>
            </w:rPr>
            <w:t xml:space="preserve"> </w:t>
          </w:r>
          <w:r w:rsidR="00270191" w:rsidRPr="00453F4F">
            <w:rPr>
              <w:rFonts w:asciiTheme="minorHAnsi" w:hAnsiTheme="minorHAnsi" w:cstheme="minorHAnsi"/>
              <w:sz w:val="20"/>
            </w:rPr>
            <w:t xml:space="preserve">If there is any conflict between a provision in </w:t>
          </w:r>
          <w:r w:rsidR="00DE33D9" w:rsidRPr="00453F4F">
            <w:rPr>
              <w:rFonts w:asciiTheme="minorHAnsi" w:hAnsiTheme="minorHAnsi" w:cstheme="minorHAnsi"/>
              <w:sz w:val="20"/>
            </w:rPr>
            <w:t xml:space="preserve">the </w:t>
          </w:r>
          <w:r w:rsidR="003C0DF2" w:rsidRPr="00453F4F">
            <w:rPr>
              <w:rFonts w:asciiTheme="minorHAnsi" w:hAnsiTheme="minorHAnsi" w:cstheme="minorHAnsi"/>
              <w:sz w:val="20"/>
            </w:rPr>
            <w:t xml:space="preserve">appendix </w:t>
          </w:r>
          <w:r w:rsidR="00276D29" w:rsidRPr="00453F4F">
            <w:rPr>
              <w:rFonts w:asciiTheme="minorHAnsi" w:hAnsiTheme="minorHAnsi" w:cstheme="minorHAnsi"/>
              <w:sz w:val="20"/>
            </w:rPr>
            <w:t>a</w:t>
          </w:r>
          <w:r w:rsidR="00270191" w:rsidRPr="00453F4F">
            <w:rPr>
              <w:rFonts w:asciiTheme="minorHAnsi" w:hAnsiTheme="minorHAnsi" w:cstheme="minorHAnsi"/>
              <w:sz w:val="20"/>
            </w:rPr>
            <w:t>nd an</w:t>
          </w:r>
          <w:r w:rsidRPr="00453F4F">
            <w:rPr>
              <w:rFonts w:asciiTheme="minorHAnsi" w:hAnsiTheme="minorHAnsi" w:cstheme="minorHAnsi"/>
              <w:sz w:val="20"/>
            </w:rPr>
            <w:t xml:space="preserve">y </w:t>
          </w:r>
          <w:r w:rsidR="003C1F03" w:rsidRPr="00453F4F">
            <w:rPr>
              <w:rFonts w:asciiTheme="minorHAnsi" w:hAnsiTheme="minorHAnsi" w:cstheme="minorHAnsi"/>
              <w:sz w:val="20"/>
            </w:rPr>
            <w:t xml:space="preserve">other </w:t>
          </w:r>
          <w:r w:rsidR="00270191" w:rsidRPr="00453F4F">
            <w:rPr>
              <w:rFonts w:asciiTheme="minorHAnsi" w:hAnsiTheme="minorHAnsi" w:cstheme="minorHAnsi"/>
              <w:sz w:val="20"/>
            </w:rPr>
            <w:t>provision</w:t>
          </w:r>
          <w:r w:rsidR="008E4FA9" w:rsidRPr="00453F4F">
            <w:rPr>
              <w:rFonts w:asciiTheme="minorHAnsi" w:hAnsiTheme="minorHAnsi" w:cstheme="minorHAnsi"/>
              <w:sz w:val="20"/>
            </w:rPr>
            <w:t xml:space="preserve"> of </w:t>
          </w:r>
          <w:r w:rsidR="003C1F03" w:rsidRPr="00453F4F">
            <w:rPr>
              <w:rFonts w:asciiTheme="minorHAnsi" w:hAnsiTheme="minorHAnsi" w:cstheme="minorHAnsi"/>
              <w:sz w:val="20"/>
            </w:rPr>
            <w:t>this Agreement</w:t>
          </w:r>
          <w:r w:rsidR="00270191" w:rsidRPr="00453F4F">
            <w:rPr>
              <w:rFonts w:asciiTheme="minorHAnsi" w:hAnsiTheme="minorHAnsi" w:cstheme="minorHAnsi"/>
              <w:sz w:val="20"/>
            </w:rPr>
            <w:t xml:space="preserve">, the provision </w:t>
          </w:r>
          <w:r w:rsidR="00276D29" w:rsidRPr="00453F4F">
            <w:rPr>
              <w:rFonts w:asciiTheme="minorHAnsi" w:hAnsiTheme="minorHAnsi" w:cstheme="minorHAnsi"/>
              <w:sz w:val="20"/>
            </w:rPr>
            <w:t>contained in th</w:t>
          </w:r>
          <w:r w:rsidR="00DE33D9" w:rsidRPr="00453F4F">
            <w:rPr>
              <w:rFonts w:asciiTheme="minorHAnsi" w:hAnsiTheme="minorHAnsi" w:cstheme="minorHAnsi"/>
              <w:sz w:val="20"/>
            </w:rPr>
            <w:t>e</w:t>
          </w:r>
          <w:r w:rsidR="00276D29" w:rsidRPr="00453F4F">
            <w:rPr>
              <w:rFonts w:asciiTheme="minorHAnsi" w:hAnsiTheme="minorHAnsi" w:cstheme="minorHAnsi"/>
              <w:sz w:val="20"/>
            </w:rPr>
            <w:t xml:space="preserve"> </w:t>
          </w:r>
          <w:r w:rsidR="003C0DF2" w:rsidRPr="00453F4F">
            <w:rPr>
              <w:rFonts w:asciiTheme="minorHAnsi" w:hAnsiTheme="minorHAnsi" w:cstheme="minorHAnsi"/>
              <w:sz w:val="20"/>
            </w:rPr>
            <w:t>a</w:t>
          </w:r>
          <w:r w:rsidR="00D62477" w:rsidRPr="00453F4F">
            <w:rPr>
              <w:rFonts w:asciiTheme="minorHAnsi" w:hAnsiTheme="minorHAnsi" w:cstheme="minorHAnsi"/>
              <w:sz w:val="20"/>
            </w:rPr>
            <w:t>ppendix</w:t>
          </w:r>
          <w:r w:rsidR="00276D29" w:rsidRPr="00453F4F">
            <w:rPr>
              <w:rFonts w:asciiTheme="minorHAnsi" w:hAnsiTheme="minorHAnsi" w:cstheme="minorHAnsi"/>
              <w:sz w:val="20"/>
            </w:rPr>
            <w:t xml:space="preserve"> </w:t>
          </w:r>
          <w:r w:rsidR="00270191" w:rsidRPr="00453F4F">
            <w:rPr>
              <w:rFonts w:asciiTheme="minorHAnsi" w:hAnsiTheme="minorHAnsi" w:cstheme="minorHAnsi"/>
              <w:sz w:val="20"/>
            </w:rPr>
            <w:t>prevail</w:t>
          </w:r>
          <w:r w:rsidR="008E4FA9" w:rsidRPr="00453F4F">
            <w:rPr>
              <w:rFonts w:asciiTheme="minorHAnsi" w:hAnsiTheme="minorHAnsi" w:cstheme="minorHAnsi"/>
              <w:sz w:val="20"/>
            </w:rPr>
            <w:t>s</w:t>
          </w:r>
          <w:r w:rsidR="00270191" w:rsidRPr="00453F4F">
            <w:rPr>
              <w:rFonts w:asciiTheme="minorHAnsi" w:hAnsiTheme="minorHAnsi" w:cstheme="minorHAnsi"/>
              <w:sz w:val="20"/>
            </w:rPr>
            <w:t xml:space="preserve">. </w:t>
          </w:r>
        </w:p>
        <w:p w14:paraId="188163EA" w14:textId="77777777" w:rsidR="009E657B" w:rsidRPr="00107549" w:rsidRDefault="009E657B" w:rsidP="008758B9">
          <w:pPr>
            <w:rPr>
              <w:rFonts w:asciiTheme="minorHAnsi" w:hAnsiTheme="minorHAnsi" w:cstheme="minorHAnsi"/>
              <w:sz w:val="20"/>
            </w:rPr>
          </w:pPr>
        </w:p>
        <w:p w14:paraId="36E2C84C" w14:textId="77777777" w:rsidR="0005300E" w:rsidRPr="00107549" w:rsidRDefault="00DA0158" w:rsidP="008758B9">
          <w:pPr>
            <w:rPr>
              <w:rFonts w:asciiTheme="minorHAnsi" w:hAnsiTheme="minorHAnsi" w:cstheme="minorHAnsi"/>
              <w:sz w:val="20"/>
            </w:rPr>
          </w:pPr>
          <w:r>
            <w:rPr>
              <w:rFonts w:asciiTheme="minorHAnsi" w:hAnsiTheme="minorHAnsi" w:cstheme="minorHAnsi"/>
              <w:sz w:val="20"/>
            </w:rPr>
            <w:t>Second, a JBE may attach this appendix t</w:t>
          </w:r>
          <w:r w:rsidR="00426F45" w:rsidRPr="00107549">
            <w:rPr>
              <w:rFonts w:asciiTheme="minorHAnsi" w:hAnsiTheme="minorHAnsi" w:cstheme="minorHAnsi"/>
              <w:sz w:val="20"/>
            </w:rPr>
            <w:t xml:space="preserve">o </w:t>
          </w:r>
          <w:r>
            <w:rPr>
              <w:rFonts w:asciiTheme="minorHAnsi" w:hAnsiTheme="minorHAnsi" w:cstheme="minorHAnsi"/>
              <w:sz w:val="20"/>
            </w:rPr>
            <w:t xml:space="preserve">the applicable </w:t>
          </w:r>
          <w:r w:rsidR="00EC12A2" w:rsidRPr="00107549">
            <w:rPr>
              <w:rFonts w:asciiTheme="minorHAnsi" w:hAnsiTheme="minorHAnsi" w:cstheme="minorHAnsi"/>
              <w:sz w:val="20"/>
            </w:rPr>
            <w:t>agreement</w:t>
          </w:r>
          <w:r>
            <w:rPr>
              <w:rFonts w:asciiTheme="minorHAnsi" w:hAnsiTheme="minorHAnsi" w:cstheme="minorHAnsi"/>
              <w:sz w:val="20"/>
            </w:rPr>
            <w:t>s</w:t>
          </w:r>
          <w:r w:rsidR="00D4423E">
            <w:rPr>
              <w:rFonts w:asciiTheme="minorHAnsi" w:hAnsiTheme="minorHAnsi" w:cstheme="minorHAnsi"/>
              <w:sz w:val="20"/>
            </w:rPr>
            <w:t xml:space="preserve">. </w:t>
          </w:r>
          <w:r>
            <w:rPr>
              <w:rFonts w:asciiTheme="minorHAnsi" w:hAnsiTheme="minorHAnsi" w:cstheme="minorHAnsi"/>
              <w:sz w:val="20"/>
            </w:rPr>
            <w:t xml:space="preserve">If a JBE uses this method, it should insert the </w:t>
          </w:r>
          <w:r w:rsidRPr="00107549">
            <w:rPr>
              <w:rFonts w:asciiTheme="minorHAnsi" w:hAnsiTheme="minorHAnsi" w:cstheme="minorHAnsi"/>
              <w:sz w:val="20"/>
            </w:rPr>
            <w:t xml:space="preserve">following </w:t>
          </w:r>
          <w:r>
            <w:rPr>
              <w:rFonts w:asciiTheme="minorHAnsi" w:hAnsiTheme="minorHAnsi" w:cstheme="minorHAnsi"/>
              <w:sz w:val="20"/>
            </w:rPr>
            <w:t xml:space="preserve">(or similar) </w:t>
          </w:r>
          <w:r w:rsidRPr="00107549">
            <w:rPr>
              <w:rFonts w:asciiTheme="minorHAnsi" w:hAnsiTheme="minorHAnsi" w:cstheme="minorHAnsi"/>
              <w:sz w:val="20"/>
            </w:rPr>
            <w:t xml:space="preserve">language into the </w:t>
          </w:r>
          <w:r>
            <w:rPr>
              <w:rFonts w:asciiTheme="minorHAnsi" w:hAnsiTheme="minorHAnsi" w:cstheme="minorHAnsi"/>
              <w:sz w:val="20"/>
            </w:rPr>
            <w:t>applicable</w:t>
          </w:r>
          <w:r w:rsidRPr="00107549">
            <w:rPr>
              <w:rFonts w:asciiTheme="minorHAnsi" w:hAnsiTheme="minorHAnsi" w:cstheme="minorHAnsi"/>
              <w:sz w:val="20"/>
            </w:rPr>
            <w:t xml:space="preserve"> agreement</w:t>
          </w:r>
          <w:r>
            <w:rPr>
              <w:rFonts w:asciiTheme="minorHAnsi" w:hAnsiTheme="minorHAnsi" w:cstheme="minorHAnsi"/>
              <w:sz w:val="20"/>
            </w:rPr>
            <w:t>s</w:t>
          </w:r>
          <w:r w:rsidRPr="00107549">
            <w:rPr>
              <w:rFonts w:asciiTheme="minorHAnsi" w:hAnsiTheme="minorHAnsi" w:cstheme="minorHAnsi"/>
              <w:sz w:val="20"/>
            </w:rPr>
            <w:t>:</w:t>
          </w:r>
        </w:p>
        <w:p w14:paraId="352ADF9B" w14:textId="77777777" w:rsidR="0005300E" w:rsidRPr="00107549" w:rsidRDefault="0005300E" w:rsidP="008758B9">
          <w:pPr>
            <w:rPr>
              <w:rFonts w:asciiTheme="minorHAnsi" w:hAnsiTheme="minorHAnsi" w:cstheme="minorHAnsi"/>
              <w:sz w:val="20"/>
            </w:rPr>
          </w:pPr>
        </w:p>
        <w:p w14:paraId="48D10889" w14:textId="77777777" w:rsidR="00925F22" w:rsidRPr="00453F4F" w:rsidRDefault="0005300E">
          <w:pPr>
            <w:pStyle w:val="Quote"/>
            <w:ind w:left="720" w:right="720"/>
            <w:rPr>
              <w:rFonts w:asciiTheme="minorHAnsi" w:hAnsiTheme="minorHAnsi" w:cstheme="minorHAnsi"/>
              <w:sz w:val="20"/>
            </w:rPr>
          </w:pPr>
          <w:r w:rsidRPr="00453F4F">
            <w:rPr>
              <w:rFonts w:asciiTheme="minorHAnsi" w:hAnsiTheme="minorHAnsi" w:cstheme="minorHAnsi"/>
              <w:sz w:val="20"/>
            </w:rPr>
            <w:t>Th</w:t>
          </w:r>
          <w:r w:rsidR="009075B0" w:rsidRPr="00453F4F">
            <w:rPr>
              <w:rFonts w:asciiTheme="minorHAnsi" w:hAnsiTheme="minorHAnsi" w:cstheme="minorHAnsi"/>
              <w:sz w:val="20"/>
            </w:rPr>
            <w:t>i</w:t>
          </w:r>
          <w:r w:rsidRPr="00453F4F">
            <w:rPr>
              <w:rFonts w:asciiTheme="minorHAnsi" w:hAnsiTheme="minorHAnsi" w:cstheme="minorHAnsi"/>
              <w:sz w:val="20"/>
            </w:rPr>
            <w:t xml:space="preserve">s </w:t>
          </w:r>
          <w:r w:rsidR="009075B0" w:rsidRPr="00453F4F">
            <w:rPr>
              <w:rFonts w:asciiTheme="minorHAnsi" w:hAnsiTheme="minorHAnsi" w:cstheme="minorHAnsi"/>
              <w:sz w:val="20"/>
            </w:rPr>
            <w:t>Agreement</w:t>
          </w:r>
          <w:r w:rsidRPr="00453F4F">
            <w:rPr>
              <w:rFonts w:asciiTheme="minorHAnsi" w:hAnsiTheme="minorHAnsi" w:cstheme="minorHAnsi"/>
              <w:sz w:val="20"/>
            </w:rPr>
            <w:t xml:space="preserve"> incorporate</w:t>
          </w:r>
          <w:r w:rsidR="009075B0" w:rsidRPr="00453F4F">
            <w:rPr>
              <w:rFonts w:asciiTheme="minorHAnsi" w:hAnsiTheme="minorHAnsi" w:cstheme="minorHAnsi"/>
              <w:sz w:val="20"/>
            </w:rPr>
            <w:t>s</w:t>
          </w:r>
          <w:r w:rsidRPr="00453F4F">
            <w:rPr>
              <w:rFonts w:asciiTheme="minorHAnsi" w:hAnsiTheme="minorHAnsi" w:cstheme="minorHAnsi"/>
              <w:sz w:val="20"/>
            </w:rPr>
            <w:t xml:space="preserve"> the terms and conditions set forth in the </w:t>
          </w:r>
          <w:r w:rsidR="009075B0" w:rsidRPr="00453F4F">
            <w:rPr>
              <w:rFonts w:asciiTheme="minorHAnsi" w:hAnsiTheme="minorHAnsi" w:cstheme="minorHAnsi"/>
              <w:sz w:val="20"/>
            </w:rPr>
            <w:t xml:space="preserve">appendix </w:t>
          </w:r>
          <w:r w:rsidRPr="00453F4F">
            <w:rPr>
              <w:rFonts w:asciiTheme="minorHAnsi" w:hAnsiTheme="minorHAnsi" w:cstheme="minorHAnsi"/>
              <w:sz w:val="20"/>
            </w:rPr>
            <w:t xml:space="preserve">entitled </w:t>
          </w:r>
          <w:r w:rsidR="006703CF" w:rsidRPr="00453F4F">
            <w:rPr>
              <w:rFonts w:asciiTheme="minorHAnsi" w:hAnsiTheme="minorHAnsi" w:cstheme="minorHAnsi"/>
              <w:sz w:val="20"/>
            </w:rPr>
            <w:t>“</w:t>
          </w:r>
          <w:r w:rsidR="00053587">
            <w:rPr>
              <w:rFonts w:asciiTheme="minorHAnsi" w:hAnsiTheme="minorHAnsi" w:cstheme="minorHAnsi"/>
              <w:sz w:val="20"/>
            </w:rPr>
            <w:t>JBCL</w:t>
          </w:r>
          <w:r w:rsidR="006703CF" w:rsidRPr="00453F4F">
            <w:rPr>
              <w:rFonts w:asciiTheme="minorHAnsi" w:hAnsiTheme="minorHAnsi" w:cstheme="minorHAnsi"/>
              <w:sz w:val="20"/>
            </w:rPr>
            <w:t xml:space="preserve"> </w:t>
          </w:r>
          <w:r w:rsidR="009075B0" w:rsidRPr="00453F4F">
            <w:rPr>
              <w:rFonts w:asciiTheme="minorHAnsi" w:hAnsiTheme="minorHAnsi" w:cstheme="minorHAnsi"/>
              <w:sz w:val="20"/>
            </w:rPr>
            <w:t>Appendix</w:t>
          </w:r>
          <w:r w:rsidR="006703CF" w:rsidRPr="00453F4F">
            <w:rPr>
              <w:rFonts w:asciiTheme="minorHAnsi" w:hAnsiTheme="minorHAnsi" w:cstheme="minorHAnsi"/>
              <w:sz w:val="20"/>
            </w:rPr>
            <w:t>”</w:t>
          </w:r>
          <w:r w:rsidR="00426F45" w:rsidRPr="00453F4F">
            <w:rPr>
              <w:rFonts w:asciiTheme="minorHAnsi" w:hAnsiTheme="minorHAnsi" w:cstheme="minorHAnsi"/>
              <w:sz w:val="20"/>
            </w:rPr>
            <w:t xml:space="preserve"> </w:t>
          </w:r>
          <w:r w:rsidRPr="00453F4F">
            <w:rPr>
              <w:rFonts w:asciiTheme="minorHAnsi" w:hAnsiTheme="minorHAnsi" w:cstheme="minorHAnsi"/>
              <w:sz w:val="20"/>
            </w:rPr>
            <w:t>attached to th</w:t>
          </w:r>
          <w:r w:rsidR="00097E55" w:rsidRPr="00453F4F">
            <w:rPr>
              <w:rFonts w:asciiTheme="minorHAnsi" w:hAnsiTheme="minorHAnsi" w:cstheme="minorHAnsi"/>
              <w:sz w:val="20"/>
            </w:rPr>
            <w:t>is Agreement</w:t>
          </w:r>
          <w:r w:rsidRPr="00453F4F">
            <w:rPr>
              <w:rFonts w:asciiTheme="minorHAnsi" w:hAnsiTheme="minorHAnsi" w:cstheme="minorHAnsi"/>
              <w:sz w:val="20"/>
            </w:rPr>
            <w:t xml:space="preserve">. If there is any conflict between a provision in the </w:t>
          </w:r>
          <w:r w:rsidR="003C0DF2" w:rsidRPr="00453F4F">
            <w:rPr>
              <w:rFonts w:asciiTheme="minorHAnsi" w:hAnsiTheme="minorHAnsi" w:cstheme="minorHAnsi"/>
              <w:sz w:val="20"/>
            </w:rPr>
            <w:t>ap</w:t>
          </w:r>
          <w:r w:rsidR="00D62477" w:rsidRPr="00453F4F">
            <w:rPr>
              <w:rFonts w:asciiTheme="minorHAnsi" w:hAnsiTheme="minorHAnsi" w:cstheme="minorHAnsi"/>
              <w:sz w:val="20"/>
            </w:rPr>
            <w:t>pendix</w:t>
          </w:r>
          <w:r w:rsidRPr="00453F4F">
            <w:rPr>
              <w:rFonts w:asciiTheme="minorHAnsi" w:hAnsiTheme="minorHAnsi" w:cstheme="minorHAnsi"/>
              <w:sz w:val="20"/>
            </w:rPr>
            <w:t xml:space="preserve"> and any other provision of this Agreement, the provision contained in the </w:t>
          </w:r>
          <w:r w:rsidR="003C0DF2" w:rsidRPr="00453F4F">
            <w:rPr>
              <w:rFonts w:asciiTheme="minorHAnsi" w:hAnsiTheme="minorHAnsi" w:cstheme="minorHAnsi"/>
              <w:sz w:val="20"/>
            </w:rPr>
            <w:t>a</w:t>
          </w:r>
          <w:r w:rsidR="00D62477" w:rsidRPr="00453F4F">
            <w:rPr>
              <w:rFonts w:asciiTheme="minorHAnsi" w:hAnsiTheme="minorHAnsi" w:cstheme="minorHAnsi"/>
              <w:sz w:val="20"/>
            </w:rPr>
            <w:t>ppendix</w:t>
          </w:r>
          <w:r w:rsidRPr="00453F4F">
            <w:rPr>
              <w:rFonts w:asciiTheme="minorHAnsi" w:hAnsiTheme="minorHAnsi" w:cstheme="minorHAnsi"/>
              <w:sz w:val="20"/>
            </w:rPr>
            <w:t xml:space="preserve"> prevails. </w:t>
          </w:r>
        </w:p>
        <w:p w14:paraId="164157B3" w14:textId="77777777" w:rsidR="0005300E" w:rsidRPr="00107549" w:rsidRDefault="0005300E" w:rsidP="008758B9">
          <w:pPr>
            <w:rPr>
              <w:rFonts w:asciiTheme="minorHAnsi" w:hAnsiTheme="minorHAnsi" w:cstheme="minorHAnsi"/>
              <w:sz w:val="20"/>
            </w:rPr>
          </w:pPr>
        </w:p>
        <w:p w14:paraId="63CE1F07" w14:textId="77777777" w:rsidR="006C13ED" w:rsidRDefault="00BB6CF5">
          <w:pPr>
            <w:pStyle w:val="ListParagraph"/>
            <w:ind w:left="0"/>
            <w:rPr>
              <w:rFonts w:asciiTheme="minorHAnsi" w:hAnsiTheme="minorHAnsi" w:cstheme="minorHAnsi"/>
              <w:sz w:val="20"/>
            </w:rPr>
          </w:pPr>
          <w:r w:rsidRPr="00107549">
            <w:rPr>
              <w:rFonts w:asciiTheme="minorHAnsi" w:hAnsiTheme="minorHAnsi" w:cstheme="minorHAnsi"/>
              <w:sz w:val="20"/>
            </w:rPr>
            <w:t>T</w:t>
          </w:r>
          <w:r w:rsidR="0065760D" w:rsidRPr="00107549">
            <w:rPr>
              <w:rFonts w:asciiTheme="minorHAnsi" w:hAnsiTheme="minorHAnsi" w:cstheme="minorHAnsi"/>
              <w:sz w:val="20"/>
            </w:rPr>
            <w:t>he attache</w:t>
          </w:r>
          <w:r w:rsidR="00107549">
            <w:rPr>
              <w:rFonts w:asciiTheme="minorHAnsi" w:hAnsiTheme="minorHAnsi" w:cstheme="minorHAnsi"/>
              <w:sz w:val="20"/>
            </w:rPr>
            <w:t xml:space="preserve">d appendix includes </w:t>
          </w:r>
          <w:r w:rsidR="00453F4F">
            <w:rPr>
              <w:rFonts w:asciiTheme="minorHAnsi" w:hAnsiTheme="minorHAnsi" w:cstheme="minorHAnsi"/>
              <w:sz w:val="20"/>
            </w:rPr>
            <w:t>provisions</w:t>
          </w:r>
          <w:r w:rsidR="0065760D" w:rsidRPr="00107549">
            <w:rPr>
              <w:rFonts w:asciiTheme="minorHAnsi" w:hAnsiTheme="minorHAnsi" w:cstheme="minorHAnsi"/>
              <w:sz w:val="20"/>
            </w:rPr>
            <w:t xml:space="preserve"> that are </w:t>
          </w:r>
          <w:r w:rsidR="003C1A27" w:rsidRPr="00107549">
            <w:rPr>
              <w:rFonts w:asciiTheme="minorHAnsi" w:hAnsiTheme="minorHAnsi" w:cstheme="minorHAnsi"/>
              <w:sz w:val="20"/>
            </w:rPr>
            <w:t xml:space="preserve">marked as </w:t>
          </w:r>
          <w:r w:rsidR="00107549">
            <w:rPr>
              <w:rFonts w:asciiTheme="minorHAnsi" w:hAnsiTheme="minorHAnsi" w:cstheme="minorHAnsi"/>
              <w:sz w:val="20"/>
            </w:rPr>
            <w:t>“</w:t>
          </w:r>
          <w:r w:rsidR="003C1A27" w:rsidRPr="00107549">
            <w:rPr>
              <w:rFonts w:asciiTheme="minorHAnsi" w:hAnsiTheme="minorHAnsi" w:cstheme="minorHAnsi"/>
              <w:sz w:val="20"/>
            </w:rPr>
            <w:t>mandatory</w:t>
          </w:r>
          <w:r w:rsidR="00107549">
            <w:rPr>
              <w:rFonts w:asciiTheme="minorHAnsi" w:hAnsiTheme="minorHAnsi" w:cstheme="minorHAnsi"/>
              <w:sz w:val="20"/>
            </w:rPr>
            <w:t>”</w:t>
          </w:r>
          <w:r w:rsidR="003C1A27" w:rsidRPr="00107549">
            <w:rPr>
              <w:rFonts w:asciiTheme="minorHAnsi" w:hAnsiTheme="minorHAnsi" w:cstheme="minorHAnsi"/>
              <w:sz w:val="20"/>
            </w:rPr>
            <w:t xml:space="preserve"> in the </w:t>
          </w:r>
          <w:r w:rsidR="0065760D" w:rsidRPr="00107549">
            <w:rPr>
              <w:rFonts w:asciiTheme="minorHAnsi" w:hAnsiTheme="minorHAnsi" w:cstheme="minorHAnsi"/>
              <w:sz w:val="20"/>
            </w:rPr>
            <w:t>JBCM</w:t>
          </w:r>
          <w:r w:rsidRPr="00107549">
            <w:rPr>
              <w:rFonts w:asciiTheme="minorHAnsi" w:hAnsiTheme="minorHAnsi" w:cstheme="minorHAnsi"/>
              <w:sz w:val="20"/>
            </w:rPr>
            <w:t xml:space="preserve">. </w:t>
          </w:r>
          <w:r w:rsidR="006C13ED">
            <w:rPr>
              <w:rFonts w:asciiTheme="minorHAnsi" w:hAnsiTheme="minorHAnsi" w:cstheme="minorHAnsi"/>
              <w:sz w:val="20"/>
            </w:rPr>
            <w:t>The</w:t>
          </w:r>
          <w:r w:rsidR="008D66FA">
            <w:rPr>
              <w:rFonts w:asciiTheme="minorHAnsi" w:hAnsiTheme="minorHAnsi" w:cstheme="minorHAnsi"/>
              <w:sz w:val="20"/>
            </w:rPr>
            <w:t xml:space="preserve"> provisions</w:t>
          </w:r>
          <w:r w:rsidR="006C13ED">
            <w:rPr>
              <w:rFonts w:asciiTheme="minorHAnsi" w:hAnsiTheme="minorHAnsi" w:cstheme="minorHAnsi"/>
              <w:sz w:val="20"/>
            </w:rPr>
            <w:t xml:space="preserve"> in section </w:t>
          </w:r>
          <w:r w:rsidR="009E0681">
            <w:rPr>
              <w:rFonts w:asciiTheme="minorHAnsi" w:hAnsiTheme="minorHAnsi" w:cstheme="minorHAnsi"/>
              <w:sz w:val="20"/>
            </w:rPr>
            <w:t>2</w:t>
          </w:r>
          <w:r w:rsidR="006C13ED">
            <w:rPr>
              <w:rFonts w:asciiTheme="minorHAnsi" w:hAnsiTheme="minorHAnsi" w:cstheme="minorHAnsi"/>
              <w:sz w:val="20"/>
            </w:rPr>
            <w:t xml:space="preserve"> of the appendix </w:t>
          </w:r>
          <w:r w:rsidR="008D66FA">
            <w:rPr>
              <w:rFonts w:asciiTheme="minorHAnsi" w:hAnsiTheme="minorHAnsi" w:cstheme="minorHAnsi"/>
              <w:sz w:val="20"/>
            </w:rPr>
            <w:t xml:space="preserve">are mandatory only in certain </w:t>
          </w:r>
          <w:r w:rsidR="00A55824">
            <w:rPr>
              <w:rFonts w:asciiTheme="minorHAnsi" w:hAnsiTheme="minorHAnsi" w:cstheme="minorHAnsi"/>
              <w:sz w:val="20"/>
            </w:rPr>
            <w:t>agreements</w:t>
          </w:r>
          <w:r w:rsidR="006C13ED">
            <w:rPr>
              <w:rFonts w:asciiTheme="minorHAnsi" w:hAnsiTheme="minorHAnsi" w:cstheme="minorHAnsi"/>
              <w:sz w:val="20"/>
            </w:rPr>
            <w:t>, as further described in each subsection</w:t>
          </w:r>
          <w:r w:rsidR="00D4423E">
            <w:rPr>
              <w:rFonts w:asciiTheme="minorHAnsi" w:hAnsiTheme="minorHAnsi" w:cstheme="minorHAnsi"/>
              <w:sz w:val="20"/>
            </w:rPr>
            <w:t xml:space="preserve">. </w:t>
          </w:r>
          <w:r w:rsidR="00A55824">
            <w:rPr>
              <w:rFonts w:asciiTheme="minorHAnsi" w:hAnsiTheme="minorHAnsi" w:cstheme="minorHAnsi"/>
              <w:sz w:val="20"/>
            </w:rPr>
            <w:t>If the J</w:t>
          </w:r>
          <w:r w:rsidR="008D66FA">
            <w:rPr>
              <w:rFonts w:asciiTheme="minorHAnsi" w:hAnsiTheme="minorHAnsi" w:cstheme="minorHAnsi"/>
              <w:sz w:val="20"/>
            </w:rPr>
            <w:t xml:space="preserve">BE </w:t>
          </w:r>
          <w:r w:rsidR="00A55824">
            <w:rPr>
              <w:rFonts w:asciiTheme="minorHAnsi" w:hAnsiTheme="minorHAnsi" w:cstheme="minorHAnsi"/>
              <w:sz w:val="20"/>
            </w:rPr>
            <w:t xml:space="preserve">attaches a copy of the appendix to an agreement, the JBE </w:t>
          </w:r>
          <w:r w:rsidR="008D66FA">
            <w:rPr>
              <w:rFonts w:asciiTheme="minorHAnsi" w:hAnsiTheme="minorHAnsi" w:cstheme="minorHAnsi"/>
              <w:sz w:val="20"/>
            </w:rPr>
            <w:t xml:space="preserve">may delete any provision </w:t>
          </w:r>
          <w:r w:rsidR="00A55824">
            <w:rPr>
              <w:rFonts w:asciiTheme="minorHAnsi" w:hAnsiTheme="minorHAnsi" w:cstheme="minorHAnsi"/>
              <w:sz w:val="20"/>
            </w:rPr>
            <w:t>that is inapplicable to that</w:t>
          </w:r>
          <w:r w:rsidR="008D66FA">
            <w:rPr>
              <w:rFonts w:asciiTheme="minorHAnsi" w:hAnsiTheme="minorHAnsi" w:cstheme="minorHAnsi"/>
              <w:sz w:val="20"/>
            </w:rPr>
            <w:t xml:space="preserve"> specific </w:t>
          </w:r>
          <w:r w:rsidR="00A55824">
            <w:rPr>
              <w:rFonts w:asciiTheme="minorHAnsi" w:hAnsiTheme="minorHAnsi" w:cstheme="minorHAnsi"/>
              <w:sz w:val="20"/>
            </w:rPr>
            <w:t>agreement</w:t>
          </w:r>
          <w:r w:rsidR="00D4423E">
            <w:rPr>
              <w:rFonts w:asciiTheme="minorHAnsi" w:hAnsiTheme="minorHAnsi" w:cstheme="minorHAnsi"/>
              <w:sz w:val="20"/>
            </w:rPr>
            <w:t xml:space="preserve">. </w:t>
          </w:r>
        </w:p>
        <w:p w14:paraId="758947CD" w14:textId="77777777" w:rsidR="00BF48BD" w:rsidRDefault="00BF48BD">
          <w:pPr>
            <w:pStyle w:val="ListParagraph"/>
            <w:ind w:left="0"/>
            <w:rPr>
              <w:rFonts w:asciiTheme="minorHAnsi" w:hAnsiTheme="minorHAnsi" w:cstheme="minorHAnsi"/>
              <w:sz w:val="20"/>
            </w:rPr>
          </w:pPr>
        </w:p>
        <w:p w14:paraId="2E9471C5" w14:textId="77777777" w:rsidR="003B637C" w:rsidRPr="008B2AD9" w:rsidRDefault="003B637C" w:rsidP="003B637C">
          <w:pPr>
            <w:pStyle w:val="ListParagraph"/>
            <w:ind w:left="0"/>
            <w:rPr>
              <w:rFonts w:asciiTheme="minorHAnsi" w:hAnsiTheme="minorHAnsi" w:cstheme="minorHAnsi"/>
              <w:sz w:val="20"/>
            </w:rPr>
          </w:pPr>
          <w:r>
            <w:rPr>
              <w:rFonts w:asciiTheme="minorHAnsi" w:hAnsiTheme="minorHAnsi" w:cstheme="minorHAnsi"/>
              <w:sz w:val="20"/>
            </w:rPr>
            <w:t xml:space="preserve">The JBE may add to this appendix any provisions that are required by its Local Contracting Manual. The JBE may also add any provisions that are marked as “recommended” in the JBCM.  </w:t>
          </w:r>
        </w:p>
        <w:p w14:paraId="0FDD546F" w14:textId="77777777" w:rsidR="006C13ED" w:rsidRDefault="006C13ED" w:rsidP="008758B9">
          <w:pPr>
            <w:rPr>
              <w:rFonts w:asciiTheme="minorHAnsi" w:hAnsiTheme="minorHAnsi" w:cstheme="minorHAnsi"/>
            </w:rPr>
          </w:pPr>
        </w:p>
        <w:p w14:paraId="38FCCCD7" w14:textId="77777777" w:rsidR="006C13ED" w:rsidRDefault="006C13ED" w:rsidP="008758B9">
          <w:pPr>
            <w:rPr>
              <w:rFonts w:asciiTheme="minorHAnsi" w:hAnsiTheme="minorHAnsi" w:cstheme="minorHAnsi"/>
            </w:rPr>
          </w:pPr>
        </w:p>
        <w:p w14:paraId="554B1584" w14:textId="77777777" w:rsidR="006C13ED" w:rsidRDefault="006C13ED" w:rsidP="008758B9">
          <w:pPr>
            <w:rPr>
              <w:rFonts w:asciiTheme="minorHAnsi" w:hAnsiTheme="minorHAnsi" w:cstheme="minorHAnsi"/>
            </w:rPr>
          </w:pPr>
        </w:p>
        <w:p w14:paraId="3C8558BF" w14:textId="77777777" w:rsidR="006C13ED" w:rsidRPr="00A91A8E" w:rsidRDefault="006C13ED" w:rsidP="008758B9">
          <w:pPr>
            <w:rPr>
              <w:rFonts w:asciiTheme="minorHAnsi" w:hAnsiTheme="minorHAnsi" w:cstheme="minorHAnsi"/>
            </w:rPr>
          </w:pPr>
        </w:p>
        <w:p w14:paraId="62AA7186" w14:textId="77777777" w:rsidR="006C13ED" w:rsidRPr="00FB5015" w:rsidRDefault="006C13ED" w:rsidP="00FB5015">
          <w:pPr>
            <w:pBdr>
              <w:bottom w:val="single" w:sz="6" w:space="1" w:color="auto"/>
            </w:pBdr>
            <w:jc w:val="center"/>
            <w:rPr>
              <w:rFonts w:asciiTheme="minorHAnsi" w:hAnsiTheme="minorHAnsi" w:cstheme="minorHAnsi"/>
              <w:i/>
              <w:sz w:val="20"/>
            </w:rPr>
            <w:sectPr w:rsidR="006C13ED" w:rsidRPr="00FB5015" w:rsidSect="00686493">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pPr>
          <w:r w:rsidRPr="006C13ED">
            <w:rPr>
              <w:rFonts w:asciiTheme="minorHAnsi" w:hAnsiTheme="minorHAnsi" w:cstheme="minorHAnsi"/>
              <w:i/>
              <w:sz w:val="20"/>
            </w:rPr>
            <w:t>end of instructions</w:t>
          </w:r>
        </w:p>
        <w:p w14:paraId="3FD20F3A" w14:textId="77777777" w:rsidR="008758B9" w:rsidRPr="00A91A8E" w:rsidRDefault="002A4DA2">
          <w:pPr>
            <w:rPr>
              <w:rFonts w:asciiTheme="minorHAnsi" w:eastAsiaTheme="majorEastAsia" w:hAnsiTheme="minorHAnsi" w:cstheme="minorHAnsi"/>
              <w:b/>
              <w:bCs/>
              <w:color w:val="000000" w:themeColor="text1"/>
              <w:kern w:val="28"/>
              <w:sz w:val="22"/>
              <w:szCs w:val="22"/>
            </w:rPr>
          </w:pPr>
        </w:p>
      </w:sdtContent>
    </w:sdt>
    <w:p w14:paraId="789EECF9" w14:textId="77777777" w:rsidR="00B160CD" w:rsidRPr="00A91A8E" w:rsidRDefault="00053587" w:rsidP="00FB5015">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14:paraId="03F6028C" w14:textId="77777777"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xml:space="preserve">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14:paraId="0FCC7287" w14:textId="77777777" w:rsidR="00F768C6" w:rsidRPr="00A91A8E" w:rsidRDefault="00F768C6" w:rsidP="00270997">
      <w:pPr>
        <w:pStyle w:val="ListParagraph"/>
        <w:spacing w:line="300" w:lineRule="atLeast"/>
        <w:ind w:left="360"/>
        <w:rPr>
          <w:rFonts w:asciiTheme="minorHAnsi" w:hAnsiTheme="minorHAnsi" w:cstheme="minorHAnsi"/>
          <w:b/>
          <w:sz w:val="20"/>
        </w:rPr>
      </w:pPr>
    </w:p>
    <w:p w14:paraId="31526B54" w14:textId="77777777"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14:paraId="41EC3787" w14:textId="77777777" w:rsidR="00B543FB" w:rsidRPr="00A91A8E" w:rsidRDefault="00B543FB" w:rsidP="00B543FB">
      <w:pPr>
        <w:pStyle w:val="ListParagraph"/>
        <w:ind w:left="900"/>
        <w:rPr>
          <w:rFonts w:asciiTheme="minorHAnsi" w:hAnsiTheme="minorHAnsi" w:cstheme="minorHAnsi"/>
          <w:b/>
          <w:bCs/>
          <w:i/>
          <w:sz w:val="20"/>
        </w:rPr>
      </w:pPr>
    </w:p>
    <w:p w14:paraId="1E1B10DC" w14:textId="77777777"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14:paraId="0F628118" w14:textId="77777777" w:rsidR="00613669" w:rsidRDefault="00613669" w:rsidP="00A50F9F">
      <w:pPr>
        <w:pStyle w:val="ListParagraph"/>
        <w:tabs>
          <w:tab w:val="num" w:pos="720"/>
        </w:tabs>
        <w:rPr>
          <w:rFonts w:asciiTheme="minorHAnsi" w:hAnsiTheme="minorHAnsi" w:cstheme="minorHAnsi"/>
          <w:bCs/>
          <w:sz w:val="20"/>
        </w:rPr>
      </w:pPr>
    </w:p>
    <w:p w14:paraId="50FF3FE6" w14:textId="77777777"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6B432DA6" w14:textId="77777777" w:rsidR="00F546DB" w:rsidRPr="00A91A8E" w:rsidRDefault="00F546DB" w:rsidP="00A50F9F">
      <w:pPr>
        <w:pStyle w:val="ListParagraph"/>
        <w:tabs>
          <w:tab w:val="num" w:pos="720"/>
        </w:tabs>
        <w:rPr>
          <w:rFonts w:asciiTheme="minorHAnsi" w:hAnsiTheme="minorHAnsi" w:cstheme="minorHAnsi"/>
          <w:bCs/>
          <w:sz w:val="20"/>
        </w:rPr>
      </w:pPr>
    </w:p>
    <w:p w14:paraId="0B3B2402" w14:textId="77777777"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14:paraId="76E10703" w14:textId="77777777" w:rsidR="008A4032" w:rsidRPr="008A4032" w:rsidRDefault="008A4032" w:rsidP="00A50F9F">
      <w:pPr>
        <w:pStyle w:val="ListParagraph"/>
        <w:tabs>
          <w:tab w:val="num" w:pos="0"/>
          <w:tab w:val="left" w:pos="360"/>
        </w:tabs>
        <w:ind w:left="0"/>
        <w:rPr>
          <w:rFonts w:asciiTheme="minorHAnsi" w:hAnsiTheme="minorHAnsi" w:cstheme="minorHAnsi"/>
          <w:bCs/>
          <w:sz w:val="20"/>
        </w:rPr>
      </w:pPr>
    </w:p>
    <w:p w14:paraId="31D6F753" w14:textId="77777777"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14:paraId="1EDB0119" w14:textId="77777777" w:rsidR="00D733D8" w:rsidRPr="00D733D8" w:rsidRDefault="00D733D8" w:rsidP="00D733D8">
      <w:pPr>
        <w:pStyle w:val="ListParagraph"/>
        <w:tabs>
          <w:tab w:val="left" w:pos="360"/>
        </w:tabs>
        <w:ind w:left="450"/>
        <w:rPr>
          <w:rFonts w:asciiTheme="minorHAnsi" w:hAnsiTheme="minorHAnsi" w:cstheme="minorHAnsi"/>
          <w:sz w:val="20"/>
        </w:rPr>
      </w:pPr>
    </w:p>
    <w:p w14:paraId="52C5DCAB" w14:textId="77777777"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14:paraId="0BAF7BFE" w14:textId="77777777" w:rsidR="00D733D8" w:rsidRPr="008833E9" w:rsidRDefault="00D733D8" w:rsidP="00A50F9F">
      <w:pPr>
        <w:pStyle w:val="ListParagraph"/>
        <w:tabs>
          <w:tab w:val="left" w:pos="360"/>
        </w:tabs>
        <w:rPr>
          <w:rFonts w:asciiTheme="minorHAnsi" w:hAnsiTheme="minorHAnsi" w:cstheme="minorHAnsi"/>
          <w:b/>
          <w:sz w:val="20"/>
        </w:rPr>
      </w:pPr>
    </w:p>
    <w:p w14:paraId="66347A04" w14:textId="77777777"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14:paraId="0639D4E2" w14:textId="77777777" w:rsidR="00277087" w:rsidRDefault="00277087" w:rsidP="00277087">
      <w:pPr>
        <w:pStyle w:val="ListParagraph"/>
        <w:rPr>
          <w:rFonts w:asciiTheme="minorHAnsi" w:hAnsiTheme="minorHAnsi" w:cstheme="minorHAnsi"/>
          <w:bCs/>
          <w:sz w:val="20"/>
        </w:rPr>
      </w:pPr>
    </w:p>
    <w:p w14:paraId="73A88504" w14:textId="77777777" w:rsidR="009F0B4C" w:rsidRPr="009F0B4C"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p>
    <w:p w14:paraId="2303DD05" w14:textId="77777777" w:rsidR="009F0B4C" w:rsidRDefault="009F0B4C" w:rsidP="009F0B4C">
      <w:pPr>
        <w:pStyle w:val="ListParagraph"/>
        <w:rPr>
          <w:rFonts w:asciiTheme="minorHAnsi" w:hAnsiTheme="minorHAnsi" w:cstheme="minorHAnsi"/>
          <w:b/>
          <w:bCs/>
          <w:sz w:val="20"/>
          <w:lang w:bidi="en-US"/>
        </w:rPr>
      </w:pPr>
    </w:p>
    <w:p w14:paraId="6642D850" w14:textId="77777777" w:rsidR="00940A0A" w:rsidRPr="00F06442" w:rsidRDefault="00033D7F" w:rsidP="00940A0A">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sidR="003D61D9">
        <w:rPr>
          <w:rFonts w:asciiTheme="minorHAnsi" w:hAnsiTheme="minorHAnsi" w:cstheme="minorHAnsi"/>
          <w:bCs/>
          <w:sz w:val="20"/>
        </w:rPr>
        <w:t>:</w:t>
      </w:r>
      <w:r w:rsidRPr="00A91A8E">
        <w:rPr>
          <w:rFonts w:asciiTheme="minorHAnsi" w:hAnsiTheme="minorHAnsi" w:cstheme="minorHAnsi"/>
          <w:bCs/>
          <w:sz w:val="20"/>
        </w:rPr>
        <w:t xml:space="preserve"> </w:t>
      </w:r>
      <w:r w:rsidR="003D61D9">
        <w:rPr>
          <w:rFonts w:asciiTheme="minorHAnsi" w:hAnsiTheme="minorHAnsi" w:cstheme="minorHAnsi"/>
          <w:bCs/>
          <w:sz w:val="20"/>
        </w:rPr>
        <w:t xml:space="preserve">(i) </w:t>
      </w:r>
      <w:r>
        <w:rPr>
          <w:rFonts w:asciiTheme="minorHAnsi" w:hAnsiTheme="minorHAnsi" w:cstheme="minorHAnsi"/>
          <w:bCs/>
          <w:sz w:val="20"/>
        </w:rPr>
        <w:t>PCC</w:t>
      </w:r>
      <w:r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 xml:space="preserve">which places limitations on contracts with contractors who discriminate in the provision of benefits </w:t>
      </w:r>
      <w:r w:rsidR="00012CBB">
        <w:rPr>
          <w:rFonts w:asciiTheme="minorHAnsi" w:hAnsiTheme="minorHAnsi" w:cstheme="minorHAnsi"/>
          <w:bCs/>
          <w:sz w:val="20"/>
        </w:rPr>
        <w:t>on the basis of</w:t>
      </w:r>
      <w:r w:rsidR="00012CBB" w:rsidRPr="009756FA">
        <w:rPr>
          <w:rFonts w:asciiTheme="minorHAnsi" w:hAnsiTheme="minorHAnsi" w:cstheme="minorHAnsi"/>
          <w:bCs/>
          <w:sz w:val="20"/>
        </w:rPr>
        <w:t xml:space="preserve"> </w:t>
      </w:r>
      <w:r w:rsidR="00F04D41" w:rsidRPr="009756FA">
        <w:rPr>
          <w:rFonts w:asciiTheme="minorHAnsi" w:hAnsiTheme="minorHAnsi" w:cstheme="minorHAnsi"/>
          <w:bCs/>
          <w:sz w:val="20"/>
        </w:rPr>
        <w:t>marital or domestic partner status</w:t>
      </w:r>
      <w:r w:rsidR="003D61D9">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r w:rsidR="00F04D41">
        <w:rPr>
          <w:rFonts w:asciiTheme="minorHAnsi" w:hAnsiTheme="minorHAnsi" w:cstheme="minorHAnsi"/>
          <w:bCs/>
          <w:sz w:val="20"/>
        </w:rPr>
        <w:t xml:space="preserve">. </w:t>
      </w:r>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r w:rsidR="00735240">
        <w:rPr>
          <w:rFonts w:asciiTheme="minorHAnsi" w:hAnsiTheme="minorHAnsi" w:cstheme="minorHAnsi"/>
          <w:bCs/>
          <w:sz w:val="20"/>
        </w:rPr>
        <w:t xml:space="preserve"> </w:t>
      </w:r>
      <w:r w:rsidR="00735240" w:rsidRPr="00735240">
        <w:rPr>
          <w:rFonts w:asciiTheme="minorHAnsi" w:hAnsiTheme="minorHAnsi" w:cstheme="minorHAnsi"/>
          <w:b/>
          <w:bCs/>
          <w:sz w:val="20"/>
        </w:rPr>
        <w:t>Contractor certifies, under penalty of perjury</w:t>
      </w:r>
      <w:r w:rsidR="00735240">
        <w:rPr>
          <w:rFonts w:asciiTheme="minorHAnsi" w:hAnsiTheme="minorHAnsi" w:cstheme="minorHAnsi"/>
          <w:bCs/>
          <w:sz w:val="20"/>
        </w:rPr>
        <w:t xml:space="preserve">, that it: (i) is </w:t>
      </w:r>
      <w:r w:rsidR="00735240" w:rsidRPr="00735240">
        <w:rPr>
          <w:rFonts w:asciiTheme="minorHAnsi" w:hAnsiTheme="minorHAnsi" w:cstheme="minorHAnsi"/>
          <w:bCs/>
          <w:sz w:val="20"/>
        </w:rPr>
        <w:t xml:space="preserve">in compliance with the Unruh Civil Rights Act (Section 51 of the </w:t>
      </w:r>
      <w:r w:rsidR="00735240" w:rsidRPr="00735240">
        <w:rPr>
          <w:rFonts w:asciiTheme="minorHAnsi" w:hAnsiTheme="minorHAnsi" w:cstheme="minorHAnsi"/>
          <w:bCs/>
          <w:sz w:val="20"/>
        </w:rPr>
        <w:lastRenderedPageBreak/>
        <w:t>Civil Code);</w:t>
      </w:r>
      <w:r w:rsidR="00735240">
        <w:rPr>
          <w:rFonts w:asciiTheme="minorHAnsi" w:hAnsiTheme="minorHAnsi" w:cstheme="minorHAnsi"/>
          <w:bCs/>
          <w:sz w:val="20"/>
        </w:rPr>
        <w:t xml:space="preserve"> (ii) is </w:t>
      </w:r>
      <w:r w:rsidR="00735240" w:rsidRPr="00735240">
        <w:rPr>
          <w:rFonts w:asciiTheme="minorHAnsi" w:hAnsiTheme="minorHAnsi" w:cstheme="minorHAnsi"/>
          <w:bCs/>
          <w:sz w:val="20"/>
        </w:rPr>
        <w:t xml:space="preserve">in compliance with the California Fair Employment and Housing Act (Chapter 7 (commencing with Section 12960) of Part 2.8 of Division 3 of the Title 2 of the Government Code); </w:t>
      </w:r>
      <w:r w:rsidR="00735240">
        <w:rPr>
          <w:rFonts w:asciiTheme="minorHAnsi" w:hAnsiTheme="minorHAnsi" w:cstheme="minorHAnsi"/>
          <w:bCs/>
          <w:sz w:val="20"/>
        </w:rPr>
        <w:t xml:space="preserve">(iii) does </w:t>
      </w:r>
      <w:r w:rsidR="00735240" w:rsidRPr="00735240">
        <w:rPr>
          <w:rFonts w:asciiTheme="minorHAnsi" w:hAnsiTheme="minorHAnsi" w:cstheme="minorHAnsi"/>
          <w:bCs/>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40A0A">
        <w:rPr>
          <w:rFonts w:asciiTheme="minorHAnsi" w:hAnsiTheme="minorHAnsi" w:cstheme="minorHAnsi"/>
          <w:bCs/>
          <w:sz w:val="20"/>
        </w:rPr>
        <w:t xml:space="preserve">Title 2 of the Government Code), and (iv) </w:t>
      </w:r>
      <w:r w:rsidR="00DC01F5">
        <w:rPr>
          <w:rFonts w:asciiTheme="minorHAnsi" w:hAnsiTheme="minorHAnsi" w:cstheme="minorHAnsi"/>
          <w:sz w:val="20"/>
        </w:rPr>
        <w:t>a</w:t>
      </w:r>
      <w:r w:rsidR="00940A0A" w:rsidRPr="00A803FD">
        <w:rPr>
          <w:rFonts w:asciiTheme="minorHAnsi" w:hAnsiTheme="minorHAnsi" w:cstheme="minorHAnsi"/>
          <w:sz w:val="20"/>
        </w:rPr>
        <w:t>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2D716A8D" w14:textId="77777777" w:rsidR="00277087" w:rsidRPr="00735240" w:rsidRDefault="00277087" w:rsidP="00735240">
      <w:pPr>
        <w:pStyle w:val="ListParagraph"/>
        <w:rPr>
          <w:rFonts w:asciiTheme="minorHAnsi" w:hAnsiTheme="minorHAnsi" w:cstheme="minorHAnsi"/>
          <w:bCs/>
          <w:sz w:val="20"/>
        </w:rPr>
      </w:pPr>
    </w:p>
    <w:p w14:paraId="731175DE" w14:textId="77777777" w:rsidR="009F0B4C" w:rsidRPr="009F0B4C" w:rsidRDefault="009F0B4C" w:rsidP="009F0B4C">
      <w:pPr>
        <w:rPr>
          <w:rFonts w:asciiTheme="minorHAnsi" w:hAnsiTheme="minorHAnsi" w:cstheme="minorHAnsi"/>
          <w:bCs/>
          <w:sz w:val="20"/>
        </w:rPr>
      </w:pPr>
    </w:p>
    <w:p w14:paraId="7FE3ACE5" w14:textId="77777777"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14:paraId="5C6CD915" w14:textId="77777777" w:rsidR="002F32CE" w:rsidRDefault="002F32CE" w:rsidP="002F32CE">
      <w:pPr>
        <w:pStyle w:val="ListParagraph"/>
        <w:rPr>
          <w:rFonts w:asciiTheme="minorHAnsi" w:hAnsiTheme="minorHAnsi" w:cstheme="minorHAnsi"/>
          <w:bCs/>
          <w:sz w:val="20"/>
          <w:lang w:bidi="en-US"/>
        </w:rPr>
      </w:pPr>
    </w:p>
    <w:p w14:paraId="56D0D943" w14:textId="77777777"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14:paraId="252BC8FE" w14:textId="77777777" w:rsidR="00D733D8" w:rsidRPr="00D733D8" w:rsidRDefault="00D733D8" w:rsidP="00A50F9F">
      <w:pPr>
        <w:pStyle w:val="ListParagraph"/>
        <w:tabs>
          <w:tab w:val="left" w:pos="360"/>
        </w:tabs>
        <w:rPr>
          <w:rFonts w:asciiTheme="minorHAnsi" w:hAnsiTheme="minorHAnsi" w:cstheme="minorHAnsi"/>
          <w:sz w:val="20"/>
        </w:rPr>
      </w:pPr>
    </w:p>
    <w:p w14:paraId="1BCA7019" w14:textId="77777777"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14:paraId="403B2EEC" w14:textId="77777777" w:rsidR="00F52144" w:rsidRDefault="00F52144" w:rsidP="00A50F9F">
      <w:pPr>
        <w:pStyle w:val="ListParagraph"/>
        <w:tabs>
          <w:tab w:val="left" w:pos="360"/>
        </w:tabs>
        <w:rPr>
          <w:rFonts w:asciiTheme="minorHAnsi" w:hAnsiTheme="minorHAnsi" w:cstheme="minorHAnsi"/>
          <w:sz w:val="20"/>
        </w:rPr>
      </w:pPr>
    </w:p>
    <w:p w14:paraId="3983E448" w14:textId="77777777"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F52144" w:rsidRPr="001A77CD">
        <w:rPr>
          <w:rFonts w:asciiTheme="minorHAnsi" w:hAnsiTheme="minorHAnsi" w:cstheme="minorHAnsi"/>
          <w:sz w:val="20"/>
        </w:rPr>
        <w:t>post consumer</w:t>
      </w:r>
      <w:proofErr w:type="spellEnd"/>
      <w:r w:rsidR="00F52144" w:rsidRPr="001A77CD">
        <w:rPr>
          <w:rFonts w:asciiTheme="minorHAnsi" w:hAnsiTheme="minorHAnsi" w:cstheme="minorHAnsi"/>
          <w:sz w:val="20"/>
        </w:rPr>
        <w:t xml:space="preserve">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14:paraId="13D9821D" w14:textId="77777777" w:rsidR="002B5F46" w:rsidRDefault="002B5F46" w:rsidP="002B5F46">
      <w:pPr>
        <w:pStyle w:val="ListParagraph"/>
        <w:tabs>
          <w:tab w:val="left" w:pos="360"/>
        </w:tabs>
        <w:rPr>
          <w:rFonts w:asciiTheme="minorHAnsi" w:hAnsiTheme="minorHAnsi" w:cstheme="minorHAnsi"/>
          <w:sz w:val="20"/>
        </w:rPr>
      </w:pPr>
    </w:p>
    <w:p w14:paraId="1A6151DA" w14:textId="77777777"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14:paraId="228DDE55" w14:textId="77777777"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14:paraId="379716F4" w14:textId="61A2C6BE"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E14EB3">
        <w:rPr>
          <w:rFonts w:asciiTheme="minorHAnsi" w:hAnsiTheme="minorHAnsi" w:cstheme="minorHAnsi"/>
          <w:b/>
          <w:sz w:val="20"/>
        </w:rPr>
        <w:t>relating to</w:t>
      </w:r>
      <w:r>
        <w:rPr>
          <w:rFonts w:asciiTheme="minorHAnsi" w:hAnsiTheme="minorHAnsi" w:cstheme="minorHAnsi"/>
          <w:b/>
          <w:sz w:val="20"/>
        </w:rPr>
        <w:t xml:space="preserve"> </w:t>
      </w:r>
      <w:r w:rsidR="00C4144A" w:rsidRPr="00F73F32">
        <w:rPr>
          <w:rFonts w:asciiTheme="minorHAnsi" w:hAnsiTheme="minorHAnsi" w:cstheme="minorHAnsi"/>
          <w:b/>
          <w:sz w:val="20"/>
        </w:rPr>
        <w:t xml:space="preserve">DVBE </w:t>
      </w:r>
      <w:r w:rsidR="00565F72">
        <w:rPr>
          <w:rFonts w:asciiTheme="minorHAnsi" w:hAnsiTheme="minorHAnsi" w:cstheme="minorHAnsi"/>
          <w:b/>
          <w:sz w:val="20"/>
        </w:rPr>
        <w:t>Incentive</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815449" w:rsidRPr="00815449">
        <w:rPr>
          <w:rFonts w:asciiTheme="minorHAnsi" w:hAnsiTheme="minorHAnsi" w:cstheme="minorHAnsi"/>
          <w:bCs/>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w:t>
      </w:r>
      <w:r w:rsidR="002D7D33">
        <w:rPr>
          <w:rFonts w:asciiTheme="minorHAnsi" w:hAnsiTheme="minorHAnsi" w:cstheme="minorHAnsi"/>
          <w:bCs/>
          <w:sz w:val="20"/>
        </w:rPr>
        <w:t xml:space="preserve"> </w:t>
      </w:r>
      <w:r w:rsidR="002D7D33" w:rsidRPr="002D7D33">
        <w:rPr>
          <w:rFonts w:asciiTheme="minorHAnsi" w:hAnsiTheme="minorHAnsi" w:cstheme="minorHAnsi"/>
          <w:bCs/>
          <w:sz w:val="20"/>
        </w:rPr>
        <w:t>complete and return to the JBE a post-contract certification form (https://www.courts.ca.gov/documents/JBCM-Post-</w:t>
      </w:r>
      <w:r w:rsidR="002D7D33" w:rsidRPr="002D7D33">
        <w:rPr>
          <w:rFonts w:asciiTheme="minorHAnsi" w:hAnsiTheme="minorHAnsi" w:cstheme="minorHAnsi"/>
          <w:bCs/>
          <w:sz w:val="20"/>
        </w:rPr>
        <w:lastRenderedPageBreak/>
        <w:t>Contract-Certification-Form.docx), promptly upon completion of the awarded contract, and by no later than the date of submission of Contractor’s final invoice to the JBE. If the Contractor fails to do so, the JBE will withhold $10,000 from the final payment, or withhold the full payment if it is less than $10,000</w:t>
      </w:r>
      <w:r w:rsidR="002D7D33">
        <w:rPr>
          <w:rFonts w:asciiTheme="minorHAnsi" w:hAnsiTheme="minorHAnsi" w:cstheme="minorHAnsi"/>
          <w:bCs/>
          <w:sz w:val="20"/>
        </w:rPr>
        <w:t>,</w:t>
      </w:r>
      <w:r w:rsidR="002D7D33" w:rsidRPr="002D7D33">
        <w:t xml:space="preserve"> </w:t>
      </w:r>
      <w:r w:rsidR="002D7D33" w:rsidRPr="002D7D33">
        <w:rPr>
          <w:rFonts w:asciiTheme="minorHAnsi" w:hAnsiTheme="minorHAnsi" w:cstheme="minorHAnsi"/>
          <w:bCs/>
          <w:sz w:val="20"/>
        </w:rPr>
        <w:t>until the Contractor submits a complete and accurate post-contract certification form.</w:t>
      </w:r>
      <w:r w:rsidR="002D7D33">
        <w:rPr>
          <w:rFonts w:asciiTheme="minorHAnsi" w:hAnsiTheme="minorHAnsi" w:cstheme="minorHAnsi"/>
          <w:bCs/>
          <w:sz w:val="20"/>
        </w:rPr>
        <w:t xml:space="preserve"> </w:t>
      </w:r>
      <w:r w:rsidR="002D7D33" w:rsidRPr="002D7D33">
        <w:rPr>
          <w:rFonts w:asciiTheme="minorHAnsi" w:hAnsiTheme="minorHAnsi" w:cstheme="minorHAnsi"/>
          <w:bCs/>
          <w:sz w:val="20"/>
        </w:rPr>
        <w:t>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815449" w:rsidRPr="00815449">
        <w:rPr>
          <w:rFonts w:asciiTheme="minorHAnsi" w:hAnsiTheme="minorHAnsi" w:cstheme="minorHAnsi"/>
          <w:bCs/>
          <w:sz w:val="20"/>
        </w:rPr>
        <w:t xml:space="preserve">: (1) the total amount of money </w:t>
      </w:r>
      <w:r w:rsidR="002D7D33" w:rsidRPr="002D7D33">
        <w:rPr>
          <w:rFonts w:asciiTheme="minorHAnsi" w:hAnsiTheme="minorHAnsi" w:cstheme="minorHAnsi"/>
          <w:bCs/>
          <w:sz w:val="20"/>
        </w:rPr>
        <w:t>Contractor received under the Agreement</w:t>
      </w:r>
      <w:r w:rsidR="002D7D33">
        <w:rPr>
          <w:rFonts w:asciiTheme="minorHAnsi" w:hAnsiTheme="minorHAnsi" w:cstheme="minorHAnsi"/>
          <w:bCs/>
          <w:sz w:val="20"/>
        </w:rPr>
        <w:t xml:space="preserve">; </w:t>
      </w:r>
      <w:r w:rsidR="002D7D33">
        <w:rPr>
          <w:sz w:val="20"/>
        </w:rPr>
        <w:t xml:space="preserve">(2) the total amount of money and the </w:t>
      </w:r>
      <w:r w:rsidR="00B24907" w:rsidRPr="00EA2D37">
        <w:rPr>
          <w:sz w:val="20"/>
        </w:rPr>
        <w:t>percentage of work Contractor committed to provide to each DVBE subcontractor</w:t>
      </w:r>
      <w:r w:rsidR="00815449" w:rsidRPr="00815449">
        <w:rPr>
          <w:rFonts w:asciiTheme="minorHAnsi" w:hAnsiTheme="minorHAnsi" w:cstheme="minorHAnsi"/>
          <w:bCs/>
          <w:sz w:val="20"/>
        </w:rPr>
        <w:t>; (</w:t>
      </w:r>
      <w:r w:rsidR="002D7D33">
        <w:rPr>
          <w:rFonts w:asciiTheme="minorHAnsi" w:hAnsiTheme="minorHAnsi" w:cstheme="minorHAnsi"/>
          <w:bCs/>
          <w:sz w:val="20"/>
        </w:rPr>
        <w:t>3</w:t>
      </w:r>
      <w:r w:rsidR="00815449" w:rsidRPr="00815449">
        <w:rPr>
          <w:rFonts w:asciiTheme="minorHAnsi" w:hAnsiTheme="minorHAnsi" w:cstheme="minorHAnsi"/>
          <w:bCs/>
          <w:sz w:val="20"/>
        </w:rPr>
        <w:t>) the name and address of each DVBE subcontractor to which Contractor subcontracted work in connection with the Agreement; (</w:t>
      </w:r>
      <w:r w:rsidR="00056AAA">
        <w:rPr>
          <w:rFonts w:asciiTheme="minorHAnsi" w:hAnsiTheme="minorHAnsi" w:cstheme="minorHAnsi"/>
          <w:bCs/>
          <w:sz w:val="20"/>
        </w:rPr>
        <w:t>4</w:t>
      </w:r>
      <w:r w:rsidR="00815449" w:rsidRPr="00815449">
        <w:rPr>
          <w:rFonts w:asciiTheme="minorHAnsi" w:hAnsiTheme="minorHAnsi" w:cstheme="minorHAnsi"/>
          <w:bCs/>
          <w:sz w:val="20"/>
        </w:rPr>
        <w:t xml:space="preserve">) the amount </w:t>
      </w:r>
      <w:r w:rsidR="00056AAA">
        <w:rPr>
          <w:rFonts w:asciiTheme="minorHAnsi" w:hAnsiTheme="minorHAnsi" w:cstheme="minorHAnsi"/>
          <w:bCs/>
          <w:sz w:val="20"/>
        </w:rPr>
        <w:t xml:space="preserve">of money </w:t>
      </w:r>
      <w:r w:rsidR="00815449" w:rsidRPr="00815449">
        <w:rPr>
          <w:rFonts w:asciiTheme="minorHAnsi" w:hAnsiTheme="minorHAnsi" w:cstheme="minorHAnsi"/>
          <w:bCs/>
          <w:sz w:val="20"/>
        </w:rPr>
        <w:t xml:space="preserve">each DVBE subcontractor </w:t>
      </w:r>
      <w:r w:rsidR="00056AAA">
        <w:rPr>
          <w:rFonts w:asciiTheme="minorHAnsi" w:hAnsiTheme="minorHAnsi" w:cstheme="minorHAnsi"/>
          <w:bCs/>
          <w:sz w:val="20"/>
        </w:rPr>
        <w:t xml:space="preserve">actually </w:t>
      </w:r>
      <w:r w:rsidR="00815449" w:rsidRPr="00815449">
        <w:rPr>
          <w:rFonts w:asciiTheme="minorHAnsi" w:hAnsiTheme="minorHAnsi" w:cstheme="minorHAnsi"/>
          <w:bCs/>
          <w:sz w:val="20"/>
        </w:rPr>
        <w:t>received from Contractor in connection with the Agreement</w:t>
      </w:r>
      <w:r w:rsidR="00056AAA">
        <w:rPr>
          <w:rFonts w:asciiTheme="minorHAnsi" w:hAnsiTheme="minorHAnsi" w:cstheme="minorHAnsi"/>
          <w:bCs/>
          <w:sz w:val="20"/>
        </w:rPr>
        <w:t xml:space="preserve">, </w:t>
      </w:r>
      <w:r w:rsidR="00056AAA" w:rsidRPr="00056AAA">
        <w:rPr>
          <w:rFonts w:asciiTheme="minorHAnsi" w:hAnsiTheme="minorHAnsi" w:cstheme="minorHAnsi"/>
          <w:bCs/>
          <w:sz w:val="20"/>
        </w:rPr>
        <w:t>and the corresponding percentage this payment comprises of the total amount of money Contractor received under the Agreement</w:t>
      </w:r>
      <w:r w:rsidR="00815449" w:rsidRPr="00815449">
        <w:rPr>
          <w:rFonts w:asciiTheme="minorHAnsi" w:hAnsiTheme="minorHAnsi" w:cstheme="minorHAnsi"/>
          <w:bCs/>
          <w:sz w:val="20"/>
        </w:rPr>
        <w:t>; and (</w:t>
      </w:r>
      <w:r w:rsidR="00056AAA">
        <w:rPr>
          <w:rFonts w:asciiTheme="minorHAnsi" w:hAnsiTheme="minorHAnsi" w:cstheme="minorHAnsi"/>
          <w:bCs/>
          <w:sz w:val="20"/>
        </w:rPr>
        <w:t>5</w:t>
      </w:r>
      <w:r w:rsidR="00815449" w:rsidRPr="00815449">
        <w:rPr>
          <w:rFonts w:asciiTheme="minorHAnsi" w:hAnsiTheme="minorHAnsi" w:cstheme="minorHAnsi"/>
          <w:bCs/>
          <w:sz w:val="20"/>
        </w:rPr>
        <w:t xml:space="preserve">) that all payments under the Agreement have been made to the applicable DVBE </w:t>
      </w:r>
      <w:r w:rsidR="00815449" w:rsidRPr="006F675D">
        <w:rPr>
          <w:rFonts w:asciiTheme="minorHAnsi" w:hAnsiTheme="minorHAnsi" w:cstheme="minorHAnsi"/>
          <w:bCs/>
          <w:sz w:val="20"/>
        </w:rPr>
        <w:t>subcontractors</w:t>
      </w:r>
      <w:r w:rsidR="00815449" w:rsidRPr="00815449">
        <w:rPr>
          <w:rFonts w:asciiTheme="minorHAnsi" w:hAnsiTheme="minorHAnsi" w:cstheme="minorHAnsi"/>
          <w:bCs/>
          <w:sz w:val="20"/>
        </w:rPr>
        <w:t xml:space="preserve">.  </w:t>
      </w:r>
      <w:r w:rsidR="006F675D" w:rsidRPr="00EA2D37">
        <w:rPr>
          <w:sz w:val="20"/>
        </w:rPr>
        <w:t xml:space="preserve">Upon request by the JBE, </w:t>
      </w:r>
      <w:r w:rsidR="00EA2D37">
        <w:rPr>
          <w:sz w:val="20"/>
        </w:rPr>
        <w:t xml:space="preserve">Contractor </w:t>
      </w:r>
      <w:r w:rsidR="006F675D" w:rsidRPr="00EA2D37">
        <w:rPr>
          <w:sz w:val="20"/>
        </w:rPr>
        <w:t xml:space="preserve">shall provide proof of payment for the work.  </w:t>
      </w:r>
      <w:r w:rsidR="00815449" w:rsidRPr="006F675D">
        <w:rPr>
          <w:rFonts w:asciiTheme="minorHAnsi" w:hAnsiTheme="minorHAnsi" w:cstheme="minorHAnsi"/>
          <w:bCs/>
          <w:sz w:val="20"/>
        </w:rPr>
        <w:t>A person or entity that knowingly provides false information shall be subject to a civil penalty for each violation</w:t>
      </w:r>
      <w:r w:rsidR="00936CB6" w:rsidRPr="006F675D">
        <w:rPr>
          <w:rFonts w:asciiTheme="minorHAnsi" w:hAnsiTheme="minorHAnsi" w:cstheme="minorHAnsi"/>
          <w:bCs/>
          <w:sz w:val="20"/>
        </w:rPr>
        <w:t>.</w:t>
      </w:r>
      <w:r w:rsidR="006F675D" w:rsidRPr="008412C5">
        <w:rPr>
          <w:rFonts w:asciiTheme="minorHAnsi" w:hAnsiTheme="minorHAnsi" w:cstheme="minorHAnsi"/>
          <w:bCs/>
          <w:sz w:val="20"/>
        </w:rPr>
        <w:t xml:space="preserve"> </w:t>
      </w:r>
      <w:r w:rsidR="006F675D" w:rsidRPr="00EA2D37">
        <w:rPr>
          <w:rFonts w:cstheme="minorHAnsi"/>
          <w:sz w:val="20"/>
        </w:rPr>
        <w:t xml:space="preserve">Contractor will comply with all rules, regulations, ordinances and statutes that govern the DVBE Program, including, without limitation, </w:t>
      </w:r>
      <w:r w:rsidR="00EA2D37">
        <w:rPr>
          <w:rFonts w:cstheme="minorHAnsi"/>
          <w:sz w:val="20"/>
        </w:rPr>
        <w:t>Military and Veterans Code s</w:t>
      </w:r>
      <w:r w:rsidR="006F675D" w:rsidRPr="00EA2D37">
        <w:rPr>
          <w:rFonts w:cstheme="minorHAnsi"/>
          <w:sz w:val="20"/>
        </w:rPr>
        <w:t>ection 999.5.</w:t>
      </w:r>
    </w:p>
    <w:p w14:paraId="3A5871B2" w14:textId="77777777" w:rsidR="003F6145" w:rsidRPr="00A91A8E" w:rsidRDefault="003F6145" w:rsidP="00A50F9F">
      <w:pPr>
        <w:ind w:left="720"/>
        <w:rPr>
          <w:rFonts w:asciiTheme="minorHAnsi" w:hAnsiTheme="minorHAnsi" w:cstheme="minorHAnsi"/>
          <w:b/>
          <w:sz w:val="20"/>
        </w:rPr>
      </w:pPr>
    </w:p>
    <w:p w14:paraId="6E0E9872" w14:textId="77777777"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sidR="008B44CB">
        <w:rPr>
          <w:rFonts w:asciiTheme="minorHAnsi" w:hAnsiTheme="minorHAnsi" w:cstheme="minorHAnsi"/>
          <w:sz w:val="20"/>
        </w:rPr>
        <w:t xml:space="preserve"> </w:t>
      </w:r>
      <w:r w:rsidR="00E33425" w:rsidRPr="00A84B5B">
        <w:rPr>
          <w:rFonts w:asciiTheme="minorHAnsi" w:hAnsiTheme="minorHAnsi" w:cstheme="minorHAnsi"/>
          <w:sz w:val="20"/>
        </w:rPr>
        <w:t xml:space="preserve">by Contractor for sale to the JBE. Such assignment shall be made and become effective at the time the JBE </w:t>
      </w:r>
      <w:proofErr w:type="gramStart"/>
      <w:r w:rsidR="00E33425" w:rsidRPr="00A84B5B">
        <w:rPr>
          <w:rFonts w:asciiTheme="minorHAnsi" w:hAnsiTheme="minorHAnsi" w:cstheme="minorHAnsi"/>
          <w:sz w:val="20"/>
        </w:rPr>
        <w:t>tenders</w:t>
      </w:r>
      <w:proofErr w:type="gramEnd"/>
      <w:r w:rsidR="00E33425" w:rsidRPr="00A84B5B">
        <w:rPr>
          <w:rFonts w:asciiTheme="minorHAnsi" w:hAnsiTheme="minorHAnsi" w:cstheme="minorHAnsi"/>
          <w:sz w:val="20"/>
        </w:rPr>
        <w:t xml:space="preserve">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14:paraId="40FB4500" w14:textId="77777777" w:rsidR="004F6AA6" w:rsidRPr="00F76CD4" w:rsidRDefault="004F6AA6" w:rsidP="00A50F9F">
      <w:pPr>
        <w:pStyle w:val="ListParagraph"/>
        <w:tabs>
          <w:tab w:val="left" w:pos="360"/>
        </w:tabs>
        <w:rPr>
          <w:rFonts w:asciiTheme="minorHAnsi" w:hAnsiTheme="minorHAnsi" w:cstheme="minorHAnsi"/>
          <w:bCs/>
          <w:sz w:val="20"/>
          <w:u w:val="single"/>
          <w:lang w:bidi="en-US"/>
        </w:rPr>
      </w:pPr>
    </w:p>
    <w:p w14:paraId="0292E6F2" w14:textId="77777777"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w:t>
      </w:r>
      <w:r w:rsidR="005E7E52">
        <w:rPr>
          <w:rFonts w:asciiTheme="minorHAnsi" w:hAnsiTheme="minorHAnsi" w:cstheme="minorHAnsi"/>
          <w:sz w:val="20"/>
        </w:rPr>
        <w:t xml:space="preserve">, or an equivalent amount of financial contributions to qualified legal services projects and support centers, as defined in </w:t>
      </w:r>
      <w:r w:rsidR="00544A8C">
        <w:rPr>
          <w:rFonts w:asciiTheme="minorHAnsi" w:hAnsiTheme="minorHAnsi" w:cstheme="minorHAnsi"/>
          <w:sz w:val="20"/>
        </w:rPr>
        <w:t>s</w:t>
      </w:r>
      <w:r w:rsidR="005E7E52">
        <w:rPr>
          <w:rFonts w:asciiTheme="minorHAnsi" w:hAnsiTheme="minorHAnsi" w:cstheme="minorHAnsi"/>
          <w:sz w:val="20"/>
        </w:rPr>
        <w:t>ection 6213 of the Business and Professions Code,</w:t>
      </w:r>
      <w:r w:rsidR="009037CB" w:rsidRPr="000D5FA7">
        <w:rPr>
          <w:rFonts w:asciiTheme="minorHAnsi" w:hAnsiTheme="minorHAnsi" w:cstheme="minorHAnsi"/>
          <w:sz w:val="20"/>
        </w:rPr>
        <w:t xml:space="preserve">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14:paraId="58B29280" w14:textId="77777777" w:rsidR="00127AA3" w:rsidRPr="00A91A8E" w:rsidRDefault="00127AA3" w:rsidP="00434F1D">
      <w:pPr>
        <w:tabs>
          <w:tab w:val="left" w:pos="450"/>
        </w:tabs>
        <w:ind w:left="450" w:hanging="450"/>
        <w:rPr>
          <w:rFonts w:asciiTheme="minorHAnsi" w:hAnsiTheme="minorHAnsi" w:cstheme="minorHAnsi"/>
          <w:bCs/>
          <w:sz w:val="20"/>
          <w:lang w:bidi="en-US"/>
        </w:rPr>
      </w:pPr>
    </w:p>
    <w:p w14:paraId="55AB285F" w14:textId="77777777"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 xml:space="preserve">If Contractor incurs costs or makes </w:t>
      </w:r>
      <w:r w:rsidR="007F4FB4" w:rsidRPr="00567406">
        <w:rPr>
          <w:rFonts w:cstheme="minorHAnsi"/>
          <w:color w:val="000000"/>
          <w:sz w:val="20"/>
        </w:rPr>
        <w:lastRenderedPageBreak/>
        <w:t>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14:paraId="22389643" w14:textId="77777777" w:rsidR="00567406" w:rsidRPr="00567406" w:rsidRDefault="00567406" w:rsidP="00A50F9F">
      <w:pPr>
        <w:pStyle w:val="ListParagraph"/>
        <w:tabs>
          <w:tab w:val="left" w:pos="450"/>
        </w:tabs>
        <w:rPr>
          <w:rFonts w:asciiTheme="minorHAnsi" w:hAnsiTheme="minorHAnsi" w:cstheme="minorHAnsi"/>
          <w:bCs/>
          <w:sz w:val="20"/>
          <w:lang w:bidi="en-US"/>
        </w:rPr>
      </w:pPr>
    </w:p>
    <w:p w14:paraId="6FE94255" w14:textId="77777777"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2A2A758" w14:textId="77777777" w:rsidR="005B3525" w:rsidRDefault="005B3525" w:rsidP="005B3525">
      <w:pPr>
        <w:pStyle w:val="ListParagraph"/>
        <w:rPr>
          <w:rFonts w:asciiTheme="minorHAnsi" w:hAnsiTheme="minorHAnsi" w:cstheme="minorHAnsi"/>
          <w:bCs/>
          <w:sz w:val="20"/>
          <w:lang w:bidi="en-US"/>
        </w:rPr>
      </w:pPr>
    </w:p>
    <w:p w14:paraId="14FACD89" w14:textId="77777777"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this Agreement is terminated for nonavailability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14:paraId="74ABD031" w14:textId="77777777" w:rsidR="004350D9" w:rsidRDefault="004350D9" w:rsidP="004350D9">
      <w:pPr>
        <w:rPr>
          <w:rFonts w:asciiTheme="minorHAnsi" w:hAnsiTheme="minorHAnsi" w:cstheme="minorHAnsi"/>
          <w:bCs/>
          <w:sz w:val="20"/>
        </w:rPr>
      </w:pPr>
    </w:p>
    <w:p w14:paraId="7E5ED651" w14:textId="77777777" w:rsidR="00D704A6" w:rsidRDefault="006449AF" w:rsidP="002C43D7">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w:t>
      </w:r>
      <w:r w:rsidR="00F74B1A">
        <w:rPr>
          <w:rFonts w:asciiTheme="minorHAnsi" w:hAnsiTheme="minorHAnsi" w:cstheme="minorHAnsi"/>
          <w:b/>
          <w:bCs/>
          <w:sz w:val="20"/>
          <w:lang w:bidi="en-US"/>
        </w:rPr>
        <w:t>relating to</w:t>
      </w:r>
      <w:r>
        <w:rPr>
          <w:rFonts w:asciiTheme="minorHAnsi" w:hAnsiTheme="minorHAnsi" w:cstheme="minorHAnsi"/>
          <w:b/>
          <w:bCs/>
          <w:sz w:val="20"/>
          <w:lang w:bidi="en-US"/>
        </w:rPr>
        <w:t xml:space="preserve"> small business preference. </w:t>
      </w:r>
      <w:r w:rsidR="00477B33">
        <w:rPr>
          <w:rFonts w:asciiTheme="minorHAnsi" w:hAnsiTheme="minorHAnsi" w:cstheme="minorHAnsi"/>
          <w:b/>
          <w:bCs/>
          <w:sz w:val="20"/>
          <w:lang w:bidi="en-US"/>
        </w:rPr>
        <w:t xml:space="preserve"> </w:t>
      </w:r>
      <w:r w:rsidR="00477B33" w:rsidRPr="00477B33">
        <w:rPr>
          <w:rFonts w:asciiTheme="minorHAnsi" w:hAnsiTheme="minorHAnsi" w:cstheme="minorHAnsi"/>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0" w:name="I10422ED0027B11DF9264DE34B645BE82"/>
      <w:bookmarkStart w:id="1" w:name="I10403302027B11DF9264DE34B645BE82"/>
      <w:bookmarkStart w:id="2" w:name="SP;d86d0000be040"/>
      <w:bookmarkEnd w:id="0"/>
      <w:bookmarkEnd w:id="1"/>
      <w:bookmarkEnd w:id="2"/>
      <w:r w:rsidR="002C43D7">
        <w:rPr>
          <w:rFonts w:asciiTheme="minorHAnsi" w:hAnsiTheme="minorHAnsi" w:cstheme="minorHAnsi"/>
          <w:bCs/>
          <w:sz w:val="20"/>
        </w:rPr>
        <w:t>.</w:t>
      </w:r>
    </w:p>
    <w:p w14:paraId="1750DEA2" w14:textId="77777777" w:rsidR="00B34C57" w:rsidRDefault="00B34C57">
      <w:pPr>
        <w:rPr>
          <w:rFonts w:asciiTheme="minorHAnsi" w:hAnsiTheme="minorHAnsi" w:cstheme="minorHAnsi"/>
          <w:sz w:val="20"/>
          <w:lang w:bidi="en-US"/>
        </w:rPr>
        <w:sectPr w:rsidR="00B34C57" w:rsidSect="00FB5015">
          <w:footerReference w:type="default" r:id="rId11"/>
          <w:pgSz w:w="12240" w:h="15840"/>
          <w:pgMar w:top="1152" w:right="1296" w:bottom="1152" w:left="1296" w:header="720" w:footer="720" w:gutter="0"/>
          <w:cols w:space="720"/>
          <w:docGrid w:linePitch="360"/>
        </w:sectPr>
      </w:pPr>
    </w:p>
    <w:p w14:paraId="1479B469" w14:textId="77777777" w:rsidR="008D6AF2" w:rsidRDefault="008D6AF2" w:rsidP="006E0F83">
      <w:pPr>
        <w:rPr>
          <w:rFonts w:cs="Arial"/>
        </w:rPr>
      </w:pPr>
    </w:p>
    <w:p w14:paraId="1C0AE588" w14:textId="77777777" w:rsidR="008D6AF2" w:rsidRPr="00FB5015" w:rsidRDefault="008D6AF2" w:rsidP="008D6AF2">
      <w:pPr>
        <w:pStyle w:val="JBCMHeading2"/>
        <w:jc w:val="center"/>
        <w:rPr>
          <w:rStyle w:val="Heading4Char"/>
          <w:sz w:val="22"/>
          <w:szCs w:val="22"/>
        </w:rPr>
      </w:pPr>
      <w:r w:rsidRPr="00FB5015">
        <w:rPr>
          <w:rStyle w:val="Heading4Char"/>
          <w:sz w:val="22"/>
          <w:szCs w:val="22"/>
        </w:rPr>
        <w:t>ATTACHMENT [__]</w:t>
      </w:r>
    </w:p>
    <w:p w14:paraId="69144D86" w14:textId="77777777" w:rsidR="008D6AF2" w:rsidRPr="00FB5015" w:rsidRDefault="008D6AF2" w:rsidP="008D6AF2">
      <w:pPr>
        <w:rPr>
          <w:sz w:val="22"/>
          <w:szCs w:val="22"/>
        </w:rPr>
      </w:pPr>
    </w:p>
    <w:p w14:paraId="4AEEF395" w14:textId="77777777" w:rsidR="008D6AF2" w:rsidRPr="00FB5015" w:rsidRDefault="008D6AF2" w:rsidP="008D6AF2">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4C03762B" w14:textId="77777777" w:rsidR="008D6AF2" w:rsidRPr="00FB5015" w:rsidRDefault="008D6AF2" w:rsidP="008D6AF2">
      <w:pPr>
        <w:spacing w:line="300" w:lineRule="atLeast"/>
        <w:jc w:val="center"/>
        <w:rPr>
          <w:rFonts w:cs="Arial"/>
          <w:b/>
          <w:bCs/>
          <w:sz w:val="22"/>
          <w:szCs w:val="22"/>
          <w:u w:val="single"/>
        </w:rPr>
      </w:pPr>
    </w:p>
    <w:p w14:paraId="3BD91DB2" w14:textId="77777777" w:rsidR="008D6AF2" w:rsidRPr="00FB5015" w:rsidRDefault="008D6AF2" w:rsidP="008D6AF2">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(i) submitting a bid or proposal to the [</w:t>
      </w:r>
      <w:r w:rsidR="00E434D0" w:rsidRPr="00FB5015">
        <w:rPr>
          <w:rFonts w:cs="Arial"/>
          <w:i/>
          <w:sz w:val="22"/>
          <w:szCs w:val="22"/>
        </w:rPr>
        <w:t xml:space="preserve">add name of </w:t>
      </w:r>
      <w:r w:rsidRPr="00FB5015">
        <w:rPr>
          <w:rFonts w:cs="Arial"/>
          <w:i/>
          <w:sz w:val="22"/>
          <w:szCs w:val="22"/>
        </w:rPr>
        <w:t>JBE</w:t>
      </w:r>
      <w:r w:rsidRPr="00FB5015">
        <w:rPr>
          <w:rFonts w:cs="Arial"/>
          <w:sz w:val="22"/>
          <w:szCs w:val="22"/>
        </w:rPr>
        <w:t>] for a solicitation of goods or services of $100,000 or more, or (ii) entering into or renewing a contract with the [</w:t>
      </w:r>
      <w:r w:rsidR="00623473" w:rsidRPr="00FB5015">
        <w:rPr>
          <w:rFonts w:cs="Arial"/>
          <w:i/>
          <w:sz w:val="22"/>
          <w:szCs w:val="22"/>
        </w:rPr>
        <w:t xml:space="preserve">add name of </w:t>
      </w:r>
      <w:r w:rsidRPr="00FB5015">
        <w:rPr>
          <w:rFonts w:cs="Arial"/>
          <w:i/>
          <w:sz w:val="22"/>
          <w:szCs w:val="22"/>
        </w:rPr>
        <w:t>JBE</w:t>
      </w:r>
      <w:r w:rsidRPr="00FB5015">
        <w:rPr>
          <w:rFonts w:cs="Arial"/>
          <w:sz w:val="22"/>
          <w:szCs w:val="22"/>
        </w:rPr>
        <w:t>] for the purchase of goods or services of $100,000 or more.</w:t>
      </w:r>
    </w:p>
    <w:p w14:paraId="135519D9" w14:textId="77777777" w:rsidR="008D6AF2" w:rsidRPr="00FB5015" w:rsidRDefault="008D6AF2" w:rsidP="008D6AF2">
      <w:pPr>
        <w:widowControl w:val="0"/>
        <w:spacing w:after="120" w:line="300" w:lineRule="atLeast"/>
        <w:rPr>
          <w:rFonts w:cs="Arial"/>
          <w:b/>
          <w:bCs/>
          <w:sz w:val="22"/>
          <w:szCs w:val="22"/>
          <w:u w:val="single"/>
        </w:rPr>
      </w:pPr>
      <w:r w:rsidRPr="00FB5015">
        <w:rPr>
          <w:rFonts w:cs="Arial"/>
          <w:b/>
          <w:bCs/>
          <w:sz w:val="22"/>
          <w:szCs w:val="22"/>
          <w:u w:val="single"/>
        </w:rPr>
        <w:t>CERTIFICATIONS:</w:t>
      </w:r>
    </w:p>
    <w:p w14:paraId="42CD47B0" w14:textId="77777777" w:rsidR="008D6AF2" w:rsidRPr="00FB5015" w:rsidRDefault="008D6AF2" w:rsidP="008D6AF2">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roofErr w:type="gramStart"/>
      <w:r w:rsidRPr="00FB5015">
        <w:rPr>
          <w:rFonts w:cs="Arial"/>
          <w:sz w:val="22"/>
          <w:szCs w:val="22"/>
        </w:rPr>
        <w:t>);</w:t>
      </w:r>
      <w:proofErr w:type="gramEnd"/>
    </w:p>
    <w:p w14:paraId="58440B12" w14:textId="77777777" w:rsidR="008D6AF2" w:rsidRPr="00FB5015" w:rsidRDefault="008D6AF2" w:rsidP="008D6AF2">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roofErr w:type="gramStart"/>
      <w:r w:rsidRPr="00FB5015">
        <w:rPr>
          <w:rFonts w:cs="Arial"/>
          <w:sz w:val="22"/>
          <w:szCs w:val="22"/>
        </w:rPr>
        <w:t>);</w:t>
      </w:r>
      <w:proofErr w:type="gramEnd"/>
    </w:p>
    <w:p w14:paraId="45698D1A" w14:textId="77777777" w:rsidR="003D56F0" w:rsidRDefault="008D6AF2" w:rsidP="003D56F0">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3D56F0">
        <w:rPr>
          <w:rFonts w:cs="Arial"/>
          <w:sz w:val="22"/>
          <w:szCs w:val="22"/>
        </w:rPr>
        <w:t>Title 2 of the Government Code);</w:t>
      </w:r>
      <w:r w:rsidR="003D56F0" w:rsidRPr="00FB5015">
        <w:rPr>
          <w:rFonts w:cs="Arial"/>
          <w:sz w:val="22"/>
          <w:szCs w:val="22"/>
        </w:rPr>
        <w:t xml:space="preserve"> </w:t>
      </w:r>
      <w:r w:rsidR="003D56F0" w:rsidRPr="00FB5015">
        <w:rPr>
          <w:rFonts w:cs="Arial"/>
          <w:b/>
          <w:sz w:val="22"/>
          <w:szCs w:val="22"/>
        </w:rPr>
        <w:t>and</w:t>
      </w:r>
    </w:p>
    <w:p w14:paraId="7D56F6EF" w14:textId="77777777" w:rsidR="003D56F0" w:rsidRPr="003D56F0" w:rsidRDefault="003D56F0" w:rsidP="003D56F0">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47FB7">
        <w:rPr>
          <w:rFonts w:asciiTheme="minorHAnsi" w:hAnsiTheme="minorHAnsi" w:cstheme="minorHAnsi"/>
          <w:sz w:val="22"/>
          <w:szCs w:val="22"/>
        </w:rPr>
        <w:t>)</w:t>
      </w:r>
      <w:r w:rsidRPr="003D56F0">
        <w:rPr>
          <w:rFonts w:asciiTheme="minorHAnsi" w:hAnsiTheme="minorHAnsi" w:cstheme="minorHAnsi"/>
          <w:sz w:val="22"/>
          <w:szCs w:val="22"/>
        </w:rPr>
        <w:t>.</w:t>
      </w:r>
    </w:p>
    <w:p w14:paraId="0C4C1C86" w14:textId="77777777" w:rsidR="003D56F0" w:rsidRPr="003D56F0" w:rsidRDefault="003D56F0" w:rsidP="003D56F0">
      <w:pPr>
        <w:tabs>
          <w:tab w:val="left" w:pos="720"/>
        </w:tabs>
        <w:autoSpaceDE w:val="0"/>
        <w:autoSpaceDN w:val="0"/>
        <w:ind w:left="720" w:hanging="720"/>
        <w:rPr>
          <w:rFonts w:asciiTheme="minorHAnsi" w:hAnsiTheme="minorHAnsi" w:cstheme="minorHAnsi"/>
          <w:sz w:val="22"/>
          <w:szCs w:val="22"/>
        </w:rPr>
      </w:pPr>
    </w:p>
    <w:p w14:paraId="5EEEF128" w14:textId="77777777" w:rsidR="008D6AF2" w:rsidRPr="00FB5015" w:rsidRDefault="008D6AF2" w:rsidP="008D6AF2">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0FA67961" w14:textId="77777777" w:rsidR="008D6AF2" w:rsidRPr="00FB5015" w:rsidRDefault="008D6AF2" w:rsidP="008D6AF2">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D6AF2" w:rsidRPr="00FB5015" w14:paraId="15841499" w14:textId="77777777" w:rsidTr="00031E0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8B3CA8" w14:textId="77777777" w:rsidR="008D6AF2" w:rsidRPr="00FB5015" w:rsidRDefault="008D6AF2" w:rsidP="00031E0B">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2B845" w14:textId="77777777" w:rsidR="008D6AF2" w:rsidRPr="00FB5015" w:rsidRDefault="008D6AF2" w:rsidP="00031E0B">
            <w:pPr>
              <w:keepNext/>
              <w:spacing w:line="480" w:lineRule="auto"/>
              <w:rPr>
                <w:rFonts w:cs="Arial"/>
                <w:sz w:val="22"/>
                <w:szCs w:val="22"/>
              </w:rPr>
            </w:pPr>
            <w:r w:rsidRPr="00FB5015">
              <w:rPr>
                <w:rFonts w:cs="Arial"/>
                <w:i/>
                <w:iCs/>
                <w:sz w:val="22"/>
                <w:szCs w:val="22"/>
              </w:rPr>
              <w:t>Federal ID Number </w:t>
            </w:r>
          </w:p>
        </w:tc>
      </w:tr>
      <w:tr w:rsidR="008D6AF2" w:rsidRPr="00FB5015" w14:paraId="16D0E5EE" w14:textId="77777777" w:rsidTr="00031E0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16F565" w14:textId="77777777" w:rsidR="008D6AF2" w:rsidRPr="00FB5015" w:rsidRDefault="008D6AF2" w:rsidP="00031E0B">
            <w:pPr>
              <w:keepNext/>
              <w:spacing w:line="480" w:lineRule="auto"/>
              <w:rPr>
                <w:rFonts w:cs="Arial"/>
                <w:sz w:val="22"/>
                <w:szCs w:val="22"/>
              </w:rPr>
            </w:pPr>
            <w:r w:rsidRPr="00FB5015">
              <w:rPr>
                <w:rFonts w:cs="Arial"/>
                <w:i/>
                <w:iCs/>
                <w:sz w:val="22"/>
                <w:szCs w:val="22"/>
              </w:rPr>
              <w:t>By (Authorized Signature)</w:t>
            </w:r>
          </w:p>
        </w:tc>
      </w:tr>
      <w:tr w:rsidR="008D6AF2" w:rsidRPr="00FB5015" w14:paraId="2AECB919" w14:textId="77777777" w:rsidTr="00031E0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711A4D0" w14:textId="77777777" w:rsidR="008D6AF2" w:rsidRPr="00FB5015" w:rsidRDefault="008D6AF2" w:rsidP="00031E0B">
            <w:pPr>
              <w:keepNext/>
              <w:spacing w:line="480" w:lineRule="auto"/>
              <w:rPr>
                <w:rFonts w:cs="Arial"/>
                <w:sz w:val="22"/>
                <w:szCs w:val="22"/>
              </w:rPr>
            </w:pPr>
            <w:r w:rsidRPr="00FB5015">
              <w:rPr>
                <w:rFonts w:cs="Arial"/>
                <w:i/>
                <w:iCs/>
                <w:sz w:val="22"/>
                <w:szCs w:val="22"/>
              </w:rPr>
              <w:t>Printed Name and Title of Person Signing </w:t>
            </w:r>
          </w:p>
        </w:tc>
      </w:tr>
      <w:tr w:rsidR="008D6AF2" w:rsidRPr="00FB5015" w14:paraId="5959D9DF" w14:textId="77777777" w:rsidTr="00031E0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685BF62" w14:textId="77777777" w:rsidR="008D6AF2" w:rsidRPr="00FB5015" w:rsidRDefault="008D6AF2" w:rsidP="00031E0B">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40C017E" w14:textId="77777777" w:rsidR="008D6AF2" w:rsidRPr="00FB5015" w:rsidRDefault="008D6AF2" w:rsidP="00031E0B">
            <w:pPr>
              <w:keepNext/>
              <w:rPr>
                <w:rFonts w:cs="Arial"/>
                <w:i/>
                <w:iCs/>
                <w:sz w:val="22"/>
                <w:szCs w:val="22"/>
              </w:rPr>
            </w:pPr>
            <w:r w:rsidRPr="00FB5015">
              <w:rPr>
                <w:rFonts w:cs="Arial"/>
                <w:i/>
                <w:iCs/>
                <w:sz w:val="22"/>
                <w:szCs w:val="22"/>
              </w:rPr>
              <w:t>Executed in the County of _________ in the State of ____________</w:t>
            </w:r>
          </w:p>
          <w:p w14:paraId="3BA23862" w14:textId="77777777" w:rsidR="008D6AF2" w:rsidRPr="00FB5015" w:rsidRDefault="008D6AF2" w:rsidP="00031E0B">
            <w:pPr>
              <w:keepNext/>
              <w:rPr>
                <w:rFonts w:cs="Arial"/>
                <w:sz w:val="22"/>
                <w:szCs w:val="22"/>
              </w:rPr>
            </w:pPr>
          </w:p>
        </w:tc>
      </w:tr>
    </w:tbl>
    <w:p w14:paraId="67082AC8" w14:textId="77777777" w:rsidR="006E0F83" w:rsidRPr="00FB5015" w:rsidRDefault="006E0F83" w:rsidP="008D6AF2">
      <w:pPr>
        <w:rPr>
          <w:rFonts w:asciiTheme="minorHAnsi" w:hAnsiTheme="minorHAnsi" w:cstheme="minorHAnsi"/>
          <w:sz w:val="22"/>
          <w:szCs w:val="22"/>
          <w:lang w:bidi="en-US"/>
        </w:rPr>
      </w:pPr>
    </w:p>
    <w:p w14:paraId="3F5E34A4" w14:textId="77777777" w:rsidR="006E0F83" w:rsidRPr="00FB5015" w:rsidRDefault="006E0F83" w:rsidP="002C43D7">
      <w:pPr>
        <w:pStyle w:val="ListParagraph"/>
        <w:rPr>
          <w:rFonts w:asciiTheme="minorHAnsi" w:hAnsiTheme="minorHAnsi" w:cstheme="minorHAnsi"/>
          <w:b/>
          <w:bCs/>
          <w:sz w:val="22"/>
          <w:szCs w:val="22"/>
          <w:lang w:bidi="en-US"/>
        </w:rPr>
      </w:pPr>
    </w:p>
    <w:sectPr w:rsidR="006E0F83" w:rsidRPr="00FB5015" w:rsidSect="00FB5015">
      <w:headerReference w:type="defaul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69A5" w14:textId="77777777" w:rsidR="002A4DA2" w:rsidRDefault="002A4DA2" w:rsidP="00437785">
      <w:r>
        <w:separator/>
      </w:r>
    </w:p>
  </w:endnote>
  <w:endnote w:type="continuationSeparator" w:id="0">
    <w:p w14:paraId="225C58A6" w14:textId="77777777" w:rsidR="002A4DA2" w:rsidRDefault="002A4DA2" w:rsidP="00437785">
      <w:r>
        <w:continuationSeparator/>
      </w:r>
    </w:p>
  </w:endnote>
  <w:endnote w:type="continuationNotice" w:id="1">
    <w:p w14:paraId="5BB78258" w14:textId="77777777" w:rsidR="002A4DA2" w:rsidRDefault="002A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FE8F" w14:textId="77777777" w:rsidR="00815449" w:rsidRDefault="00DC78DC" w:rsidP="00686493">
    <w:pPr>
      <w:pStyle w:val="Footer"/>
      <w:framePr w:wrap="around" w:vAnchor="text" w:hAnchor="margin" w:xAlign="right" w:y="1"/>
      <w:rPr>
        <w:rStyle w:val="PageNumber"/>
      </w:rPr>
    </w:pPr>
    <w:r>
      <w:rPr>
        <w:rStyle w:val="PageNumber"/>
      </w:rPr>
      <w:fldChar w:fldCharType="begin"/>
    </w:r>
    <w:r w:rsidR="00815449">
      <w:rPr>
        <w:rStyle w:val="PageNumber"/>
      </w:rPr>
      <w:instrText xml:space="preserve">PAGE  </w:instrText>
    </w:r>
    <w:r>
      <w:rPr>
        <w:rStyle w:val="PageNumber"/>
      </w:rPr>
      <w:fldChar w:fldCharType="end"/>
    </w:r>
  </w:p>
  <w:p w14:paraId="46458FF6" w14:textId="77777777" w:rsidR="00815449" w:rsidRDefault="00815449"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014F" w14:textId="77777777" w:rsidR="00815449" w:rsidRDefault="00815449">
    <w:pPr>
      <w:pStyle w:val="Footer"/>
      <w:jc w:val="right"/>
    </w:pPr>
  </w:p>
  <w:p w14:paraId="4171E693" w14:textId="77777777" w:rsidR="00815449" w:rsidRDefault="00815449" w:rsidP="00DD01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F915" w14:textId="77777777" w:rsidR="00815449" w:rsidRPr="005540DF" w:rsidRDefault="00DC78DC" w:rsidP="00084000">
    <w:pPr>
      <w:pStyle w:val="Footer"/>
      <w:jc w:val="center"/>
      <w:rPr>
        <w:sz w:val="20"/>
      </w:rPr>
    </w:pPr>
    <w:r w:rsidRPr="005540DF">
      <w:rPr>
        <w:sz w:val="20"/>
      </w:rPr>
      <w:fldChar w:fldCharType="begin"/>
    </w:r>
    <w:r w:rsidR="00815449" w:rsidRPr="005540DF">
      <w:rPr>
        <w:sz w:val="20"/>
      </w:rPr>
      <w:instrText xml:space="preserve"> PAGE   \* MERGEFORMAT </w:instrText>
    </w:r>
    <w:r w:rsidRPr="005540DF">
      <w:rPr>
        <w:sz w:val="20"/>
      </w:rPr>
      <w:fldChar w:fldCharType="separate"/>
    </w:r>
    <w:r w:rsidR="005060C3">
      <w:rPr>
        <w:noProof/>
        <w:sz w:val="20"/>
      </w:rPr>
      <w:t>2</w:t>
    </w:r>
    <w:r w:rsidRPr="005540DF">
      <w:rPr>
        <w:sz w:val="20"/>
      </w:rPr>
      <w:fldChar w:fldCharType="end"/>
    </w:r>
  </w:p>
  <w:p w14:paraId="25B665DC" w14:textId="77777777" w:rsidR="00815449" w:rsidRDefault="0081544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B302" w14:textId="77777777" w:rsidR="002A4DA2" w:rsidRDefault="002A4DA2" w:rsidP="00437785">
      <w:r>
        <w:separator/>
      </w:r>
    </w:p>
  </w:footnote>
  <w:footnote w:type="continuationSeparator" w:id="0">
    <w:p w14:paraId="17D7B48F" w14:textId="77777777" w:rsidR="002A4DA2" w:rsidRDefault="002A4DA2" w:rsidP="00437785">
      <w:r>
        <w:continuationSeparator/>
      </w:r>
    </w:p>
  </w:footnote>
  <w:footnote w:type="continuationNotice" w:id="1">
    <w:p w14:paraId="4A7E85B8" w14:textId="77777777" w:rsidR="002A4DA2" w:rsidRDefault="002A4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8729" w14:textId="3CAF510C" w:rsidR="00815449" w:rsidRPr="00A91A8E" w:rsidRDefault="0081544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sidR="002D7D33">
      <w:rPr>
        <w:rFonts w:asciiTheme="minorHAnsi" w:eastAsia="Times New Roman" w:hAnsiTheme="minorHAnsi" w:cstheme="minorHAnsi"/>
        <w:i/>
        <w:sz w:val="16"/>
        <w:szCs w:val="16"/>
      </w:rPr>
      <w:t>Jan. 2022</w:t>
    </w:r>
    <w:r w:rsidRPr="00A91A8E">
      <w:rPr>
        <w:rFonts w:asciiTheme="minorHAnsi" w:eastAsia="Times New Roman" w:hAnsiTheme="minorHAnsi" w:cstheme="minorHAnsi"/>
        <w:i/>
        <w:sz w:val="16"/>
        <w:szCs w:val="16"/>
      </w:rPr>
      <w:t>)</w:t>
    </w:r>
  </w:p>
  <w:p w14:paraId="4E2504A3" w14:textId="77777777" w:rsidR="00815449" w:rsidRPr="00A45B4D" w:rsidRDefault="00815449">
    <w:pPr>
      <w:ind w:left="-86"/>
      <w:rPr>
        <w:rFonts w:ascii="Arial" w:eastAsia="Times New Roman" w:hAnsi="Arial"/>
        <w:i/>
        <w:sz w:val="16"/>
        <w:szCs w:val="16"/>
      </w:rPr>
    </w:pPr>
  </w:p>
  <w:p w14:paraId="7D2FCBC2" w14:textId="77777777" w:rsidR="008D6AF2" w:rsidRPr="000D2618" w:rsidRDefault="008D6AF2"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EE69" w14:textId="77777777" w:rsidR="00B34C57" w:rsidRPr="00A45B4D" w:rsidRDefault="00B34C57">
    <w:pPr>
      <w:ind w:left="-86"/>
      <w:rPr>
        <w:rFonts w:ascii="Arial" w:eastAsia="Times New Roman" w:hAnsi="Arial"/>
        <w:i/>
        <w:sz w:val="16"/>
        <w:szCs w:val="16"/>
      </w:rPr>
    </w:pPr>
  </w:p>
  <w:p w14:paraId="39822A68" w14:textId="77777777"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4E3"/>
    <w:rsid w:val="00000C73"/>
    <w:rsid w:val="00002246"/>
    <w:rsid w:val="00003FA0"/>
    <w:rsid w:val="00006B84"/>
    <w:rsid w:val="000129F9"/>
    <w:rsid w:val="00012CBB"/>
    <w:rsid w:val="00016E46"/>
    <w:rsid w:val="00017C38"/>
    <w:rsid w:val="00017FDB"/>
    <w:rsid w:val="00020A9F"/>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47FB7"/>
    <w:rsid w:val="0005101A"/>
    <w:rsid w:val="0005300E"/>
    <w:rsid w:val="00053587"/>
    <w:rsid w:val="00054D2F"/>
    <w:rsid w:val="0005543F"/>
    <w:rsid w:val="0005567F"/>
    <w:rsid w:val="0005644C"/>
    <w:rsid w:val="00056AAA"/>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2"/>
    <w:rsid w:val="002A4DA3"/>
    <w:rsid w:val="002A67CC"/>
    <w:rsid w:val="002A6AEF"/>
    <w:rsid w:val="002A76AD"/>
    <w:rsid w:val="002B0C90"/>
    <w:rsid w:val="002B0DC6"/>
    <w:rsid w:val="002B2258"/>
    <w:rsid w:val="002B3B04"/>
    <w:rsid w:val="002B5F46"/>
    <w:rsid w:val="002C0498"/>
    <w:rsid w:val="002C13DF"/>
    <w:rsid w:val="002C15A2"/>
    <w:rsid w:val="002C21AF"/>
    <w:rsid w:val="002C27DF"/>
    <w:rsid w:val="002C43D7"/>
    <w:rsid w:val="002C61B7"/>
    <w:rsid w:val="002C6BED"/>
    <w:rsid w:val="002C6CC6"/>
    <w:rsid w:val="002D5C8C"/>
    <w:rsid w:val="002D7629"/>
    <w:rsid w:val="002D7D33"/>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9A3"/>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58FA"/>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6F0"/>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5AF"/>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5FB1"/>
    <w:rsid w:val="004F6AA6"/>
    <w:rsid w:val="004F7039"/>
    <w:rsid w:val="00501393"/>
    <w:rsid w:val="00504C57"/>
    <w:rsid w:val="005060C3"/>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2812"/>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E55"/>
    <w:rsid w:val="006D79AF"/>
    <w:rsid w:val="006E0F83"/>
    <w:rsid w:val="006E1DBA"/>
    <w:rsid w:val="006E2AEB"/>
    <w:rsid w:val="006E75AB"/>
    <w:rsid w:val="006E7E45"/>
    <w:rsid w:val="006F2DEF"/>
    <w:rsid w:val="006F4F71"/>
    <w:rsid w:val="006F675D"/>
    <w:rsid w:val="0070299B"/>
    <w:rsid w:val="007047F9"/>
    <w:rsid w:val="00705019"/>
    <w:rsid w:val="00711025"/>
    <w:rsid w:val="00711094"/>
    <w:rsid w:val="00711F5E"/>
    <w:rsid w:val="00712D50"/>
    <w:rsid w:val="00713493"/>
    <w:rsid w:val="00716117"/>
    <w:rsid w:val="00716170"/>
    <w:rsid w:val="00717F35"/>
    <w:rsid w:val="00730B92"/>
    <w:rsid w:val="00731B54"/>
    <w:rsid w:val="00735240"/>
    <w:rsid w:val="007356A9"/>
    <w:rsid w:val="00740EFF"/>
    <w:rsid w:val="007429A6"/>
    <w:rsid w:val="00742C5C"/>
    <w:rsid w:val="00747C96"/>
    <w:rsid w:val="00751E04"/>
    <w:rsid w:val="00755BB9"/>
    <w:rsid w:val="0075777E"/>
    <w:rsid w:val="0076209B"/>
    <w:rsid w:val="00763E90"/>
    <w:rsid w:val="00764A09"/>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12C5"/>
    <w:rsid w:val="008459D6"/>
    <w:rsid w:val="008466AF"/>
    <w:rsid w:val="00846DC8"/>
    <w:rsid w:val="00847043"/>
    <w:rsid w:val="00847966"/>
    <w:rsid w:val="00851AB8"/>
    <w:rsid w:val="00853E93"/>
    <w:rsid w:val="0085581C"/>
    <w:rsid w:val="00855D01"/>
    <w:rsid w:val="00857696"/>
    <w:rsid w:val="008643CA"/>
    <w:rsid w:val="008667EF"/>
    <w:rsid w:val="00875875"/>
    <w:rsid w:val="008758B9"/>
    <w:rsid w:val="00875E33"/>
    <w:rsid w:val="00877076"/>
    <w:rsid w:val="008816F4"/>
    <w:rsid w:val="00882DA8"/>
    <w:rsid w:val="008833E9"/>
    <w:rsid w:val="00890118"/>
    <w:rsid w:val="008906EF"/>
    <w:rsid w:val="00890E21"/>
    <w:rsid w:val="0089646C"/>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105"/>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0A0A"/>
    <w:rsid w:val="00942B7D"/>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3E9F"/>
    <w:rsid w:val="00A4456D"/>
    <w:rsid w:val="00A45B4D"/>
    <w:rsid w:val="00A50F9F"/>
    <w:rsid w:val="00A5202E"/>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2AB6"/>
    <w:rsid w:val="00AF697D"/>
    <w:rsid w:val="00B00D81"/>
    <w:rsid w:val="00B028DE"/>
    <w:rsid w:val="00B11F53"/>
    <w:rsid w:val="00B13716"/>
    <w:rsid w:val="00B1586F"/>
    <w:rsid w:val="00B15E24"/>
    <w:rsid w:val="00B160CD"/>
    <w:rsid w:val="00B16BB5"/>
    <w:rsid w:val="00B170A3"/>
    <w:rsid w:val="00B174EC"/>
    <w:rsid w:val="00B1762D"/>
    <w:rsid w:val="00B23978"/>
    <w:rsid w:val="00B24907"/>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7970"/>
    <w:rsid w:val="00C92562"/>
    <w:rsid w:val="00C92AF0"/>
    <w:rsid w:val="00C941B3"/>
    <w:rsid w:val="00CA27A3"/>
    <w:rsid w:val="00CA4E0C"/>
    <w:rsid w:val="00CA5535"/>
    <w:rsid w:val="00CA6B09"/>
    <w:rsid w:val="00CA79F3"/>
    <w:rsid w:val="00CB1161"/>
    <w:rsid w:val="00CB3732"/>
    <w:rsid w:val="00CB4090"/>
    <w:rsid w:val="00CB644E"/>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AA4"/>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1F5"/>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3026"/>
    <w:rsid w:val="00E7430C"/>
    <w:rsid w:val="00E75163"/>
    <w:rsid w:val="00E757E1"/>
    <w:rsid w:val="00E75B35"/>
    <w:rsid w:val="00E77AC2"/>
    <w:rsid w:val="00E8056E"/>
    <w:rsid w:val="00E80955"/>
    <w:rsid w:val="00E8486D"/>
    <w:rsid w:val="00E865BF"/>
    <w:rsid w:val="00E92256"/>
    <w:rsid w:val="00E97379"/>
    <w:rsid w:val="00EA194C"/>
    <w:rsid w:val="00EA2073"/>
    <w:rsid w:val="00EA2D37"/>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088D"/>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8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 w:type="character" w:styleId="UnresolvedMention">
    <w:name w:val="Unresolved Mention"/>
    <w:basedOn w:val="DefaultParagraphFont"/>
    <w:uiPriority w:val="99"/>
    <w:semiHidden/>
    <w:unhideWhenUsed/>
    <w:rsid w:val="002D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courtinfo.ca.gov/termsandconditions8.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2022-01-12T23:54:00Z</dcterms:created>
  <dcterms:modified xsi:type="dcterms:W3CDTF">2022-01-21T21:51:00Z</dcterms:modified>
</cp:coreProperties>
</file>