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F6F2" w14:textId="64E27212" w:rsidR="00221717" w:rsidRDefault="00221717" w:rsidP="00CD4421">
      <w:pPr>
        <w:pStyle w:val="Title"/>
        <w:spacing w:before="0" w:after="0"/>
        <w:outlineLvl w:val="9"/>
        <w:rPr>
          <w:rFonts w:asciiTheme="minorHAnsi" w:hAnsiTheme="minorHAnsi" w:cstheme="minorHAnsi"/>
          <w:color w:val="000000" w:themeColor="text1"/>
          <w:sz w:val="22"/>
          <w:szCs w:val="24"/>
        </w:rPr>
      </w:pPr>
      <w:bookmarkStart w:id="0" w:name="_Hlk152575418"/>
      <w:r w:rsidRPr="00980836">
        <w:rPr>
          <w:rFonts w:asciiTheme="minorHAnsi" w:hAnsiTheme="minorHAnsi" w:cstheme="minorHAnsi"/>
          <w:color w:val="000000" w:themeColor="text1"/>
          <w:sz w:val="22"/>
          <w:szCs w:val="24"/>
        </w:rPr>
        <w:t xml:space="preserve">Judicial Council’s Travel </w:t>
      </w:r>
      <w:r>
        <w:rPr>
          <w:rFonts w:asciiTheme="minorHAnsi" w:hAnsiTheme="minorHAnsi" w:cstheme="minorHAnsi"/>
          <w:color w:val="000000" w:themeColor="text1"/>
          <w:sz w:val="22"/>
          <w:szCs w:val="24"/>
        </w:rPr>
        <w:t xml:space="preserve">and </w:t>
      </w:r>
      <w:r w:rsidRPr="00980836">
        <w:rPr>
          <w:rFonts w:asciiTheme="minorHAnsi" w:hAnsiTheme="minorHAnsi" w:cstheme="minorHAnsi"/>
          <w:color w:val="000000" w:themeColor="text1"/>
          <w:sz w:val="22"/>
          <w:szCs w:val="24"/>
        </w:rPr>
        <w:t>Expense Reimbursement Guidelines</w:t>
      </w:r>
    </w:p>
    <w:p w14:paraId="5E3F0942" w14:textId="5213C665" w:rsidR="002E1C57" w:rsidRDefault="002E1C57" w:rsidP="00CD4421">
      <w:pPr>
        <w:pStyle w:val="Title"/>
        <w:spacing w:before="0" w:after="0"/>
        <w:outlineLvl w:val="9"/>
        <w:rPr>
          <w:rFonts w:asciiTheme="minorHAnsi" w:hAnsiTheme="minorHAnsi" w:cstheme="minorHAnsi"/>
          <w:color w:val="000000" w:themeColor="text1"/>
          <w:sz w:val="22"/>
          <w:szCs w:val="24"/>
        </w:rPr>
      </w:pPr>
      <w:r w:rsidRPr="002E1C57">
        <w:rPr>
          <w:rFonts w:asciiTheme="minorHAnsi" w:hAnsiTheme="minorHAnsi" w:cstheme="minorHAnsi"/>
          <w:color w:val="000000" w:themeColor="text1"/>
          <w:sz w:val="22"/>
          <w:szCs w:val="24"/>
        </w:rPr>
        <w:t>(</w:t>
      </w:r>
      <w:r w:rsidR="00A466BB">
        <w:rPr>
          <w:rFonts w:asciiTheme="minorHAnsi" w:hAnsiTheme="minorHAnsi" w:cstheme="minorHAnsi"/>
          <w:color w:val="000000" w:themeColor="text1"/>
          <w:sz w:val="22"/>
          <w:szCs w:val="24"/>
        </w:rPr>
        <w:t>Contractors</w:t>
      </w:r>
      <w:r w:rsidRPr="002E1C57">
        <w:rPr>
          <w:rFonts w:asciiTheme="minorHAnsi" w:hAnsiTheme="minorHAnsi" w:cstheme="minorHAnsi"/>
          <w:color w:val="000000" w:themeColor="text1"/>
          <w:sz w:val="22"/>
          <w:szCs w:val="24"/>
        </w:rPr>
        <w:t>)</w:t>
      </w:r>
    </w:p>
    <w:p w14:paraId="74BACE53" w14:textId="0C923FD5" w:rsidR="006274EE" w:rsidRPr="00A42A91" w:rsidRDefault="00CD4421" w:rsidP="00A42A91">
      <w:pPr>
        <w:pStyle w:val="Title"/>
        <w:spacing w:before="0" w:after="0"/>
        <w:outlineLvl w:val="9"/>
        <w:rPr>
          <w:rFonts w:asciiTheme="minorHAnsi" w:hAnsiTheme="minorHAnsi" w:cstheme="minorHAnsi"/>
          <w:color w:val="000000" w:themeColor="text1"/>
          <w:sz w:val="22"/>
          <w:szCs w:val="24"/>
        </w:rPr>
      </w:pPr>
      <w:r w:rsidRPr="00CD4421">
        <w:rPr>
          <w:rFonts w:asciiTheme="minorHAnsi" w:hAnsiTheme="minorHAnsi" w:cstheme="minorHAnsi"/>
          <w:color w:val="000000" w:themeColor="text1"/>
          <w:sz w:val="22"/>
          <w:szCs w:val="24"/>
        </w:rPr>
        <w:t xml:space="preserve">Effective for travel on or after </w:t>
      </w:r>
      <w:r w:rsidR="005E4A49">
        <w:rPr>
          <w:rFonts w:asciiTheme="minorHAnsi" w:hAnsiTheme="minorHAnsi" w:cstheme="minorHAnsi"/>
          <w:color w:val="000000" w:themeColor="text1"/>
          <w:sz w:val="22"/>
          <w:szCs w:val="24"/>
        </w:rPr>
        <w:t>October</w:t>
      </w:r>
      <w:r w:rsidRPr="00CD4421">
        <w:rPr>
          <w:rFonts w:asciiTheme="minorHAnsi" w:hAnsiTheme="minorHAnsi" w:cstheme="minorHAnsi"/>
          <w:color w:val="000000" w:themeColor="text1"/>
          <w:sz w:val="22"/>
          <w:szCs w:val="24"/>
        </w:rPr>
        <w:t xml:space="preserve"> 1, </w:t>
      </w:r>
      <w:r w:rsidR="00A42A91">
        <w:rPr>
          <w:rFonts w:asciiTheme="minorHAnsi" w:hAnsiTheme="minorHAnsi" w:cstheme="minorHAnsi"/>
          <w:color w:val="000000" w:themeColor="text1"/>
          <w:sz w:val="22"/>
          <w:szCs w:val="24"/>
        </w:rPr>
        <w:t>2025</w:t>
      </w:r>
    </w:p>
    <w:p w14:paraId="5BAEF35F" w14:textId="77777777" w:rsidR="00CD4421" w:rsidRPr="00CD4421" w:rsidRDefault="00CD4421" w:rsidP="00CD4421"/>
    <w:bookmarkEnd w:id="0"/>
    <w:p w14:paraId="057B50F9" w14:textId="2972AD22" w:rsidR="00221717" w:rsidRPr="00980836" w:rsidRDefault="00EF0B2C" w:rsidP="00A466BB">
      <w:pPr>
        <w:numPr>
          <w:ilvl w:val="0"/>
          <w:numId w:val="10"/>
        </w:numPr>
        <w:spacing w:beforeLines="100" w:before="240" w:afterLines="100" w:after="240"/>
        <w:rPr>
          <w:rFonts w:asciiTheme="minorHAnsi" w:hAnsiTheme="minorHAnsi" w:cstheme="minorHAnsi"/>
          <w:b/>
          <w:sz w:val="22"/>
          <w:szCs w:val="24"/>
        </w:rPr>
      </w:pPr>
      <w:r w:rsidRPr="00EF0B2C">
        <w:rPr>
          <w:rFonts w:asciiTheme="minorHAnsi" w:hAnsiTheme="minorHAnsi" w:cstheme="minorHAnsi"/>
          <w:bCs/>
          <w:sz w:val="22"/>
          <w:szCs w:val="24"/>
        </w:rPr>
        <w:t xml:space="preserve">At Judicial Council’s sole discretion, and </w:t>
      </w:r>
      <w:r w:rsidRPr="00EF0B2C">
        <w:rPr>
          <w:rFonts w:asciiTheme="minorHAnsi" w:hAnsiTheme="minorHAnsi" w:cstheme="minorHAnsi"/>
          <w:b/>
          <w:sz w:val="22"/>
          <w:szCs w:val="24"/>
        </w:rPr>
        <w:t xml:space="preserve">only if expressly specified by the Judicial Council in a Service Work Order and so agreed to by </w:t>
      </w:r>
      <w:r w:rsidR="002C5CFD">
        <w:rPr>
          <w:rFonts w:asciiTheme="minorHAnsi" w:hAnsiTheme="minorHAnsi" w:cstheme="minorHAnsi"/>
          <w:b/>
          <w:sz w:val="22"/>
          <w:szCs w:val="24"/>
        </w:rPr>
        <w:t>Contractor</w:t>
      </w:r>
      <w:r w:rsidRPr="00EF0B2C">
        <w:rPr>
          <w:rFonts w:asciiTheme="minorHAnsi" w:hAnsiTheme="minorHAnsi" w:cstheme="minorHAnsi"/>
          <w:b/>
          <w:sz w:val="22"/>
          <w:szCs w:val="24"/>
        </w:rPr>
        <w:t xml:space="preserve"> prior to performance of the Work</w:t>
      </w:r>
      <w:r w:rsidRPr="00EF0B2C">
        <w:rPr>
          <w:rFonts w:asciiTheme="minorHAnsi" w:hAnsiTheme="minorHAnsi" w:cstheme="minorHAnsi"/>
          <w:bCs/>
          <w:sz w:val="22"/>
          <w:szCs w:val="24"/>
        </w:rPr>
        <w:t xml:space="preserve">, the Judicial Council shall reimburse </w:t>
      </w:r>
      <w:r w:rsidR="002C5CFD">
        <w:rPr>
          <w:rFonts w:asciiTheme="minorHAnsi" w:hAnsiTheme="minorHAnsi" w:cstheme="minorHAnsi"/>
          <w:bCs/>
          <w:sz w:val="22"/>
          <w:szCs w:val="24"/>
        </w:rPr>
        <w:t>Contractor</w:t>
      </w:r>
      <w:r w:rsidRPr="00EF0B2C">
        <w:rPr>
          <w:rFonts w:asciiTheme="minorHAnsi" w:hAnsiTheme="minorHAnsi" w:cstheme="minorHAnsi"/>
          <w:bCs/>
          <w:sz w:val="22"/>
          <w:szCs w:val="24"/>
        </w:rPr>
        <w:t xml:space="preserve"> for actual and reasonable transportation, </w:t>
      </w:r>
      <w:r w:rsidR="00AF0562">
        <w:rPr>
          <w:rFonts w:asciiTheme="minorHAnsi" w:hAnsiTheme="minorHAnsi" w:cstheme="minorHAnsi"/>
          <w:bCs/>
          <w:sz w:val="22"/>
          <w:szCs w:val="24"/>
        </w:rPr>
        <w:t>lodging,</w:t>
      </w:r>
      <w:r w:rsidR="00945894">
        <w:rPr>
          <w:rFonts w:asciiTheme="minorHAnsi" w:hAnsiTheme="minorHAnsi" w:cstheme="minorHAnsi"/>
          <w:bCs/>
          <w:sz w:val="22"/>
          <w:szCs w:val="24"/>
        </w:rPr>
        <w:t xml:space="preserve"> and </w:t>
      </w:r>
      <w:r w:rsidRPr="00EF0B2C">
        <w:rPr>
          <w:rFonts w:asciiTheme="minorHAnsi" w:hAnsiTheme="minorHAnsi" w:cstheme="minorHAnsi"/>
          <w:bCs/>
          <w:sz w:val="22"/>
          <w:szCs w:val="24"/>
        </w:rPr>
        <w:t xml:space="preserve">meal and </w:t>
      </w:r>
      <w:r w:rsidR="00AF0562">
        <w:rPr>
          <w:rFonts w:asciiTheme="minorHAnsi" w:hAnsiTheme="minorHAnsi" w:cstheme="minorHAnsi"/>
          <w:bCs/>
          <w:sz w:val="22"/>
          <w:szCs w:val="24"/>
        </w:rPr>
        <w:t xml:space="preserve">incidental </w:t>
      </w:r>
      <w:r w:rsidRPr="00EF0B2C">
        <w:rPr>
          <w:rFonts w:asciiTheme="minorHAnsi" w:hAnsiTheme="minorHAnsi" w:cstheme="minorHAnsi"/>
          <w:bCs/>
          <w:sz w:val="22"/>
          <w:szCs w:val="24"/>
        </w:rPr>
        <w:t xml:space="preserve">expenses </w:t>
      </w:r>
      <w:r w:rsidR="00AF0562">
        <w:rPr>
          <w:rFonts w:asciiTheme="minorHAnsi" w:hAnsiTheme="minorHAnsi" w:cstheme="minorHAnsi"/>
          <w:bCs/>
          <w:sz w:val="22"/>
          <w:szCs w:val="24"/>
        </w:rPr>
        <w:t xml:space="preserve">(M&amp;IE) </w:t>
      </w:r>
      <w:r w:rsidRPr="00EF0B2C">
        <w:rPr>
          <w:rFonts w:asciiTheme="minorHAnsi" w:hAnsiTheme="minorHAnsi" w:cstheme="minorHAnsi"/>
          <w:bCs/>
          <w:sz w:val="22"/>
          <w:szCs w:val="24"/>
        </w:rPr>
        <w:t xml:space="preserve">actually incurred by </w:t>
      </w:r>
      <w:r w:rsidR="002C5CFD">
        <w:rPr>
          <w:rFonts w:asciiTheme="minorHAnsi" w:hAnsiTheme="minorHAnsi" w:cstheme="minorHAnsi"/>
          <w:bCs/>
          <w:sz w:val="22"/>
          <w:szCs w:val="24"/>
        </w:rPr>
        <w:t>Contractor</w:t>
      </w:r>
      <w:r w:rsidRPr="00EF0B2C">
        <w:rPr>
          <w:rFonts w:asciiTheme="minorHAnsi" w:hAnsiTheme="minorHAnsi" w:cstheme="minorHAnsi"/>
          <w:bCs/>
          <w:sz w:val="22"/>
          <w:szCs w:val="24"/>
        </w:rPr>
        <w:t>’s and its Sub</w:t>
      </w:r>
      <w:r w:rsidR="002C5CFD">
        <w:rPr>
          <w:rFonts w:asciiTheme="minorHAnsi" w:hAnsiTheme="minorHAnsi" w:cstheme="minorHAnsi"/>
          <w:bCs/>
          <w:sz w:val="22"/>
          <w:szCs w:val="24"/>
        </w:rPr>
        <w:t>contractor</w:t>
      </w:r>
      <w:r w:rsidRPr="00EF0B2C">
        <w:rPr>
          <w:rFonts w:asciiTheme="minorHAnsi" w:hAnsiTheme="minorHAnsi" w:cstheme="minorHAnsi"/>
          <w:bCs/>
          <w:sz w:val="22"/>
          <w:szCs w:val="24"/>
        </w:rPr>
        <w:t>s’ employees when actually incurred in the course of their performance of the Work, but subject to the following:</w:t>
      </w:r>
    </w:p>
    <w:p w14:paraId="66DE16A1" w14:textId="34E29D1B" w:rsidR="00221717" w:rsidRPr="00980836" w:rsidRDefault="00221717" w:rsidP="00A466BB">
      <w:pPr>
        <w:numPr>
          <w:ilvl w:val="1"/>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transportation is authorized,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only at the actual cost incurred for tickets for air, rail, bus, rental car, or other forms of public transportation. The lowest cost ticket available must be purchased. Receipts are required for rental cars and air travel. For ticketless travel, the traveler’s itinerary may be submitted in lieu of a receipt. </w:t>
      </w:r>
    </w:p>
    <w:p w14:paraId="711704D6" w14:textId="74B1D8C4" w:rsidR="00221717" w:rsidRPr="00980836" w:rsidRDefault="00221717" w:rsidP="00A466BB">
      <w:pPr>
        <w:numPr>
          <w:ilvl w:val="2"/>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All air transportation is limited to coach fares and must be booked a minimum of fourteen (14) Business Days prior to travel unless the Project Manager agrees in writing to a shorter period.</w:t>
      </w:r>
    </w:p>
    <w:p w14:paraId="1B218A98" w14:textId="77777777" w:rsidR="00221717" w:rsidRPr="00980836" w:rsidRDefault="00221717" w:rsidP="00A466BB">
      <w:pPr>
        <w:numPr>
          <w:ilvl w:val="2"/>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The actual costs of cab fare, public parking, and tolls are reimbursable. Receipts are required for all expenses of $3.50 or more. </w:t>
      </w:r>
    </w:p>
    <w:p w14:paraId="70CE9EA4" w14:textId="65D5CDBD" w:rsidR="00221717" w:rsidRPr="00980836" w:rsidRDefault="00221717" w:rsidP="00A466BB">
      <w:pPr>
        <w:numPr>
          <w:ilvl w:val="2"/>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private vehicle ground transportation expense is authorized,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at the then published Federal mileage cents per mile, pursuant to </w:t>
      </w:r>
      <w:hyperlink r:id="rId8" w:history="1">
        <w:r w:rsidRPr="00980836">
          <w:rPr>
            <w:rStyle w:val="Hyperlink"/>
            <w:rFonts w:asciiTheme="minorHAnsi" w:hAnsiTheme="minorHAnsi" w:cstheme="minorHAnsi"/>
            <w:bCs/>
            <w:sz w:val="22"/>
            <w:szCs w:val="24"/>
          </w:rPr>
          <w:t>https://www.irs.gov/tax-professionals/standard-mileage-rates</w:t>
        </w:r>
      </w:hyperlink>
      <w:r w:rsidRPr="00980836">
        <w:rPr>
          <w:rFonts w:asciiTheme="minorHAnsi" w:hAnsiTheme="minorHAnsi" w:cstheme="minorHAnsi"/>
          <w:bCs/>
          <w:sz w:val="22"/>
          <w:szCs w:val="24"/>
        </w:rPr>
        <w:t>.</w:t>
      </w:r>
    </w:p>
    <w:p w14:paraId="41A8E6F9" w14:textId="5642B349" w:rsidR="00221717" w:rsidRPr="00980836" w:rsidRDefault="00221717" w:rsidP="00A466BB">
      <w:pPr>
        <w:numPr>
          <w:ilvl w:val="1"/>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If overnight lodging is authorized,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only at the actual cost incurred, up to the maximum daily amounts listed below. Receipts are required and each day of lodging claimed must be listed separately. </w:t>
      </w:r>
      <w:r w:rsidR="002E1C57">
        <w:rPr>
          <w:rFonts w:asciiTheme="minorHAnsi" w:hAnsiTheme="minorHAnsi" w:cstheme="minorHAnsi"/>
          <w:bCs/>
          <w:sz w:val="22"/>
          <w:szCs w:val="24"/>
        </w:rPr>
        <w:t xml:space="preserve"> </w:t>
      </w:r>
      <w:r w:rsidR="002E1C57" w:rsidRPr="002E1C57">
        <w:rPr>
          <w:rFonts w:asciiTheme="minorHAnsi" w:hAnsiTheme="minorHAnsi" w:cstheme="minorHAnsi"/>
          <w:bCs/>
          <w:sz w:val="22"/>
          <w:szCs w:val="24"/>
        </w:rPr>
        <w:t>Actual lodging cost per night, not to exceed the following rates supported by a zero-balance receipt, plus applicable tax (if not waived by the lodging establishment):</w:t>
      </w:r>
    </w:p>
    <w:p w14:paraId="07B1BFCB" w14:textId="739FD270" w:rsidR="00221717" w:rsidRPr="00980836" w:rsidRDefault="00221717" w:rsidP="00A466BB">
      <w:pPr>
        <w:numPr>
          <w:ilvl w:val="2"/>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In-State -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only for hotel room rental at the actual cost, but not to exceed</w:t>
      </w:r>
      <w:r w:rsidR="00422E4A">
        <w:rPr>
          <w:rFonts w:asciiTheme="minorHAnsi" w:hAnsiTheme="minorHAnsi" w:cstheme="minorHAnsi"/>
          <w:bCs/>
          <w:sz w:val="22"/>
          <w:szCs w:val="24"/>
        </w:rPr>
        <w:t xml:space="preserve"> the following</w:t>
      </w:r>
      <w:r w:rsidRPr="00980836">
        <w:rPr>
          <w:rFonts w:asciiTheme="minorHAnsi" w:hAnsiTheme="minorHAnsi" w:cstheme="minorHAnsi"/>
          <w:bCs/>
          <w:sz w:val="22"/>
          <w:szCs w:val="24"/>
        </w:rPr>
        <w:t>:</w:t>
      </w:r>
    </w:p>
    <w:tbl>
      <w:tblPr>
        <w:tblStyle w:val="TableGrid"/>
        <w:tblW w:w="9540" w:type="dxa"/>
        <w:tblLayout w:type="fixed"/>
        <w:tblLook w:val="04A0" w:firstRow="1" w:lastRow="0" w:firstColumn="1" w:lastColumn="0" w:noHBand="0" w:noVBand="1"/>
      </w:tblPr>
      <w:tblGrid>
        <w:gridCol w:w="2380"/>
        <w:gridCol w:w="596"/>
        <w:gridCol w:w="596"/>
        <w:gridCol w:w="596"/>
        <w:gridCol w:w="596"/>
        <w:gridCol w:w="597"/>
        <w:gridCol w:w="597"/>
        <w:gridCol w:w="597"/>
        <w:gridCol w:w="597"/>
        <w:gridCol w:w="597"/>
        <w:gridCol w:w="597"/>
        <w:gridCol w:w="597"/>
        <w:gridCol w:w="597"/>
        <w:tblGridChange w:id="1">
          <w:tblGrid>
            <w:gridCol w:w="2380"/>
            <w:gridCol w:w="596"/>
            <w:gridCol w:w="596"/>
            <w:gridCol w:w="596"/>
            <w:gridCol w:w="596"/>
            <w:gridCol w:w="597"/>
            <w:gridCol w:w="597"/>
            <w:gridCol w:w="597"/>
            <w:gridCol w:w="597"/>
            <w:gridCol w:w="597"/>
            <w:gridCol w:w="597"/>
            <w:gridCol w:w="597"/>
            <w:gridCol w:w="597"/>
          </w:tblGrid>
        </w:tblGridChange>
      </w:tblGrid>
      <w:tr w:rsidR="00E5026C" w:rsidRPr="00A20573" w14:paraId="1266DB13" w14:textId="4C703E42" w:rsidTr="005659B3">
        <w:trPr>
          <w:trHeight w:val="210"/>
          <w:tblHeader/>
        </w:trPr>
        <w:tc>
          <w:tcPr>
            <w:tcW w:w="2519" w:type="dxa"/>
            <w:vMerge w:val="restart"/>
            <w:tcBorders>
              <w:top w:val="single" w:sz="4" w:space="0" w:color="auto"/>
              <w:left w:val="nil"/>
              <w:right w:val="single" w:sz="4" w:space="0" w:color="FFFFFF" w:themeColor="background1"/>
            </w:tcBorders>
            <w:shd w:val="clear" w:color="auto" w:fill="000000" w:themeFill="text1"/>
            <w:noWrap/>
            <w:vAlign w:val="center"/>
          </w:tcPr>
          <w:p w14:paraId="59FA5641" w14:textId="316F375C" w:rsidR="00E5026C" w:rsidRPr="004166C6" w:rsidRDefault="00E5026C" w:rsidP="004166C6">
            <w:pPr>
              <w:jc w:val="center"/>
              <w:rPr>
                <w:rFonts w:eastAsia="Times New Roman"/>
                <w:b/>
                <w:bCs/>
                <w:color w:val="FFFFFF" w:themeColor="background1"/>
                <w:sz w:val="18"/>
                <w:szCs w:val="18"/>
              </w:rPr>
            </w:pPr>
            <w:r w:rsidRPr="00764ACE">
              <w:rPr>
                <w:rFonts w:eastAsia="Times New Roman"/>
                <w:b/>
                <w:bCs/>
                <w:color w:val="FFFFFF" w:themeColor="background1"/>
                <w:sz w:val="18"/>
                <w:szCs w:val="18"/>
              </w:rPr>
              <w:t>County</w:t>
            </w:r>
          </w:p>
        </w:tc>
        <w:tc>
          <w:tcPr>
            <w:tcW w:w="630" w:type="dxa"/>
            <w:gridSpan w:val="12"/>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noWrap/>
            <w:vAlign w:val="center"/>
          </w:tcPr>
          <w:p w14:paraId="7EA52491" w14:textId="1FED2FA5" w:rsidR="00E5026C" w:rsidRPr="00A20573" w:rsidRDefault="00E5026C" w:rsidP="00E5026C">
            <w:pPr>
              <w:jc w:val="center"/>
              <w:rPr>
                <w:rFonts w:eastAsia="Times New Roman"/>
                <w:b/>
                <w:bCs/>
                <w:color w:val="FFFFFF" w:themeColor="background1"/>
                <w:sz w:val="18"/>
                <w:szCs w:val="18"/>
              </w:rPr>
            </w:pPr>
            <w:r w:rsidRPr="00A20573">
              <w:rPr>
                <w:rFonts w:eastAsia="Times New Roman"/>
                <w:b/>
                <w:bCs/>
                <w:color w:val="FFFFFF" w:themeColor="background1"/>
                <w:sz w:val="18"/>
                <w:szCs w:val="18"/>
              </w:rPr>
              <w:t>Federal Fiscal Year 202</w:t>
            </w:r>
            <w:r>
              <w:rPr>
                <w:rFonts w:eastAsia="Times New Roman"/>
                <w:b/>
                <w:bCs/>
                <w:color w:val="FFFFFF" w:themeColor="background1"/>
                <w:sz w:val="18"/>
                <w:szCs w:val="18"/>
              </w:rPr>
              <w:t>6</w:t>
            </w:r>
            <w:r w:rsidRPr="00A20573">
              <w:rPr>
                <w:rStyle w:val="FootnoteReference"/>
                <w:rFonts w:asciiTheme="minorHAnsi" w:hAnsiTheme="minorHAnsi" w:cstheme="minorHAnsi"/>
                <w:b/>
                <w:bCs/>
                <w:color w:val="FFFFFF" w:themeColor="background1"/>
                <w:sz w:val="22"/>
                <w:szCs w:val="24"/>
              </w:rPr>
              <w:footnoteReference w:id="1"/>
            </w:r>
          </w:p>
        </w:tc>
      </w:tr>
      <w:tr w:rsidR="00E5026C" w:rsidRPr="004166C6" w14:paraId="5E41B86E" w14:textId="2078D52D" w:rsidTr="005659B3">
        <w:trPr>
          <w:trHeight w:val="210"/>
          <w:tblHeader/>
        </w:trPr>
        <w:tc>
          <w:tcPr>
            <w:tcW w:w="2519" w:type="dxa"/>
            <w:vMerge/>
            <w:tcBorders>
              <w:left w:val="nil"/>
              <w:bottom w:val="single" w:sz="4" w:space="0" w:color="auto"/>
              <w:right w:val="single" w:sz="4" w:space="0" w:color="FFFFFF" w:themeColor="background1"/>
            </w:tcBorders>
            <w:shd w:val="clear" w:color="auto" w:fill="000000" w:themeFill="text1"/>
            <w:noWrap/>
            <w:hideMark/>
          </w:tcPr>
          <w:p w14:paraId="004D7D97" w14:textId="6873960D" w:rsidR="00613FFD" w:rsidRPr="00764ACE" w:rsidRDefault="00613FFD" w:rsidP="00764ACE">
            <w:pPr>
              <w:jc w:val="center"/>
              <w:rPr>
                <w:rFonts w:eastAsia="Times New Roman"/>
                <w:b/>
                <w:bCs/>
                <w:color w:val="FFFFFF" w:themeColor="background1"/>
                <w:sz w:val="18"/>
                <w:szCs w:val="18"/>
              </w:rPr>
            </w:pP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hideMark/>
          </w:tcPr>
          <w:p w14:paraId="37D7B29E" w14:textId="360E6B5A"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2025 Oct</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hideMark/>
          </w:tcPr>
          <w:p w14:paraId="68EC2A0B" w14:textId="2591AB71"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Nov</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hideMark/>
          </w:tcPr>
          <w:p w14:paraId="4715DDA2" w14:textId="359A59EF"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Dec</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hideMark/>
          </w:tcPr>
          <w:p w14:paraId="2CE47070" w14:textId="5B7E8CB7"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2026 Jan</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tcPr>
          <w:p w14:paraId="52BA3155" w14:textId="1E571C03"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Feb</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tcPr>
          <w:p w14:paraId="4C037001" w14:textId="5AE28FFD"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Mar</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tcPr>
          <w:p w14:paraId="3AECC64F" w14:textId="4068D0DD"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Apr</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tcPr>
          <w:p w14:paraId="2880866A" w14:textId="012F1E30"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May</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noWrap/>
            <w:tcMar>
              <w:left w:w="29" w:type="dxa"/>
              <w:right w:w="29" w:type="dxa"/>
            </w:tcMar>
            <w:vAlign w:val="bottom"/>
            <w:hideMark/>
          </w:tcPr>
          <w:p w14:paraId="65B14F72" w14:textId="53C48EB8"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Jun</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Mar>
              <w:left w:w="29" w:type="dxa"/>
              <w:right w:w="29" w:type="dxa"/>
            </w:tcMar>
            <w:vAlign w:val="bottom"/>
          </w:tcPr>
          <w:p w14:paraId="5696D49F" w14:textId="2EED10D2"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Jul</w:t>
            </w:r>
          </w:p>
        </w:tc>
        <w:tc>
          <w:tcPr>
            <w:tcW w:w="630"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000000" w:themeFill="text1"/>
            <w:tcMar>
              <w:left w:w="29" w:type="dxa"/>
              <w:right w:w="29" w:type="dxa"/>
            </w:tcMar>
            <w:vAlign w:val="bottom"/>
          </w:tcPr>
          <w:p w14:paraId="7367B738" w14:textId="09E0ABF4"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Aug</w:t>
            </w:r>
          </w:p>
        </w:tc>
        <w:tc>
          <w:tcPr>
            <w:tcW w:w="630" w:type="dxa"/>
            <w:tcBorders>
              <w:top w:val="single" w:sz="4" w:space="0" w:color="FFFFFF" w:themeColor="background1"/>
              <w:left w:val="single" w:sz="4" w:space="0" w:color="FFFFFF" w:themeColor="background1"/>
              <w:bottom w:val="single" w:sz="4" w:space="0" w:color="auto"/>
              <w:right w:val="single" w:sz="4" w:space="0" w:color="auto"/>
            </w:tcBorders>
            <w:shd w:val="clear" w:color="auto" w:fill="000000" w:themeFill="text1"/>
            <w:tcMar>
              <w:left w:w="29" w:type="dxa"/>
              <w:right w:w="29" w:type="dxa"/>
            </w:tcMar>
            <w:vAlign w:val="bottom"/>
          </w:tcPr>
          <w:p w14:paraId="6CECC8EA" w14:textId="62E99B6D" w:rsidR="00613FFD" w:rsidRPr="00764ACE" w:rsidRDefault="00613FFD" w:rsidP="00E5026C">
            <w:pPr>
              <w:jc w:val="right"/>
              <w:rPr>
                <w:rFonts w:eastAsia="Times New Roman"/>
                <w:b/>
                <w:bCs/>
                <w:color w:val="FFFFFF" w:themeColor="background1"/>
                <w:sz w:val="18"/>
                <w:szCs w:val="18"/>
              </w:rPr>
            </w:pPr>
            <w:r>
              <w:rPr>
                <w:rFonts w:eastAsia="Times New Roman"/>
                <w:b/>
                <w:bCs/>
                <w:color w:val="FFFFFF" w:themeColor="background1"/>
                <w:sz w:val="18"/>
                <w:szCs w:val="18"/>
              </w:rPr>
              <w:t>Sep</w:t>
            </w:r>
          </w:p>
        </w:tc>
      </w:tr>
      <w:tr w:rsidR="005659B3" w:rsidRPr="00E5026C" w14:paraId="7B400FA7" w14:textId="52E4B6A9" w:rsidTr="005659B3">
        <w:trPr>
          <w:trHeight w:val="210"/>
        </w:trPr>
        <w:tc>
          <w:tcPr>
            <w:tcW w:w="2519" w:type="dxa"/>
            <w:tcBorders>
              <w:top w:val="single" w:sz="4" w:space="0" w:color="auto"/>
            </w:tcBorders>
            <w:noWrap/>
            <w:vAlign w:val="bottom"/>
            <w:hideMark/>
          </w:tcPr>
          <w:p w14:paraId="1A4D4302"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All counties except those listed below</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21105E8C" w14:textId="1151360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0C07EAE4" w14:textId="46BF064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26CAF1FD" w14:textId="7C8BD93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52B2437C" w14:textId="4BD6F60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1BD3DE51" w14:textId="7F8A722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2A047CFA" w14:textId="24380F0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093B5B77" w14:textId="0B82F42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45309323" w14:textId="5F67F7F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noWrap/>
            <w:tcMar>
              <w:left w:w="29" w:type="dxa"/>
              <w:right w:w="29" w:type="dxa"/>
            </w:tcMar>
            <w:vAlign w:val="bottom"/>
            <w:hideMark/>
          </w:tcPr>
          <w:p w14:paraId="73897450" w14:textId="4FD2039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tcMar>
              <w:left w:w="29" w:type="dxa"/>
              <w:right w:w="29" w:type="dxa"/>
            </w:tcMar>
            <w:vAlign w:val="bottom"/>
          </w:tcPr>
          <w:p w14:paraId="2B4062C3" w14:textId="75A73BC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tcMar>
              <w:left w:w="29" w:type="dxa"/>
              <w:right w:w="29" w:type="dxa"/>
            </w:tcMar>
            <w:vAlign w:val="bottom"/>
          </w:tcPr>
          <w:p w14:paraId="6019A5DC" w14:textId="43FDF8C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c>
          <w:tcPr>
            <w:tcW w:w="630" w:type="dxa"/>
            <w:tcBorders>
              <w:top w:val="single" w:sz="4" w:space="0" w:color="000000"/>
              <w:left w:val="nil"/>
              <w:bottom w:val="single" w:sz="4" w:space="0" w:color="000000"/>
              <w:right w:val="single" w:sz="4" w:space="0" w:color="000000"/>
            </w:tcBorders>
            <w:shd w:val="clear" w:color="auto" w:fill="auto"/>
            <w:tcMar>
              <w:left w:w="29" w:type="dxa"/>
              <w:right w:w="29" w:type="dxa"/>
            </w:tcMar>
            <w:vAlign w:val="bottom"/>
          </w:tcPr>
          <w:p w14:paraId="52FCCCA7" w14:textId="1A3DA73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$110</w:t>
            </w:r>
          </w:p>
        </w:tc>
      </w:tr>
      <w:tr w:rsidR="005659B3" w:rsidRPr="00E5026C" w14:paraId="28FA751F" w14:textId="4743F371" w:rsidTr="005659B3">
        <w:trPr>
          <w:trHeight w:val="210"/>
        </w:trPr>
        <w:tc>
          <w:tcPr>
            <w:tcW w:w="2519" w:type="dxa"/>
            <w:noWrap/>
            <w:vAlign w:val="bottom"/>
            <w:hideMark/>
          </w:tcPr>
          <w:p w14:paraId="63A57DC4"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Alameda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5ED6AB08" w14:textId="4F3BC88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C6C4225" w14:textId="7F6256F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0328965" w14:textId="39EE24D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DCD9638" w14:textId="63EB83D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308DAD4" w14:textId="5F17CCE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5BFD3DB" w14:textId="3C1C94F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B2F2E0E" w14:textId="17A41FC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C06C373" w14:textId="54AD982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A84F011" w14:textId="00FCA68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4DF088D" w14:textId="56D3C46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B57BC2C" w14:textId="4E475D5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FDAD19A" w14:textId="7738AC5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$145</w:t>
            </w:r>
          </w:p>
        </w:tc>
      </w:tr>
      <w:tr w:rsidR="005659B3" w:rsidRPr="00E5026C" w14:paraId="024B3B86" w14:textId="08A7F730" w:rsidTr="005659B3">
        <w:trPr>
          <w:trHeight w:val="210"/>
        </w:trPr>
        <w:tc>
          <w:tcPr>
            <w:tcW w:w="2519" w:type="dxa"/>
            <w:noWrap/>
            <w:vAlign w:val="bottom"/>
            <w:hideMark/>
          </w:tcPr>
          <w:p w14:paraId="2B6C01E7"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City of Santa Monica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6991B403" w14:textId="6D668A5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5B3C0AB" w14:textId="12F09BF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BF310FA" w14:textId="7C38626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6DF0AC8" w14:textId="0B69EC6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5AD6AD4" w14:textId="5540CED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8E82E7D" w14:textId="0252C67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E4C6BB1" w14:textId="51697B4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4CC4FEC" w14:textId="4411CA7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D22FCDB" w14:textId="093067D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EC291D4" w14:textId="7162A7B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9613DFD" w14:textId="72F9888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2941A28" w14:textId="030CBAB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$273</w:t>
            </w:r>
          </w:p>
        </w:tc>
      </w:tr>
      <w:tr w:rsidR="005659B3" w:rsidRPr="00E5026C" w14:paraId="10867F59" w14:textId="26BC4521" w:rsidTr="005659B3">
        <w:trPr>
          <w:trHeight w:val="210"/>
        </w:trPr>
        <w:tc>
          <w:tcPr>
            <w:tcW w:w="2519" w:type="dxa"/>
            <w:noWrap/>
            <w:vAlign w:val="bottom"/>
            <w:hideMark/>
          </w:tcPr>
          <w:p w14:paraId="1B372E9E"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Contra Costa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2F0419F3" w14:textId="456A5C3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B6452BF" w14:textId="5DA5840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2C75090" w14:textId="3268EEB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36A82BA" w14:textId="5E8E8B3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825C7F3" w14:textId="518141D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C749FD3" w14:textId="7267048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12446E2" w14:textId="0DF42ED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7C00EC9" w14:textId="546FD61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E04282F" w14:textId="40B7856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FB4B93D" w14:textId="042F813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333201D" w14:textId="114C561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0B63F944" w14:textId="4AB1414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$147</w:t>
            </w:r>
          </w:p>
        </w:tc>
      </w:tr>
      <w:tr w:rsidR="005659B3" w:rsidRPr="00E5026C" w14:paraId="29CCF34C" w14:textId="155E5B94" w:rsidTr="005659B3">
        <w:trPr>
          <w:trHeight w:val="210"/>
        </w:trPr>
        <w:tc>
          <w:tcPr>
            <w:tcW w:w="2519" w:type="dxa"/>
            <w:noWrap/>
            <w:vAlign w:val="bottom"/>
            <w:hideMark/>
          </w:tcPr>
          <w:p w14:paraId="12D03EDE"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El Dorado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5A0893B4" w14:textId="134837A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6173E0E" w14:textId="660AECC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4B45483" w14:textId="21E21CE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51AEC9F" w14:textId="00AA3CC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4F47118" w14:textId="3D2F0EF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0A37DAF" w14:textId="589E1CA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B1985DA" w14:textId="63B901C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D30EFE2" w14:textId="3D751C0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96F9C53" w14:textId="074A84D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FEC073E" w14:textId="05B3C6F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CDEC47D" w14:textId="2846BFA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0924EFFE" w14:textId="0236312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r>
      <w:tr w:rsidR="005659B3" w:rsidRPr="00E5026C" w14:paraId="1B84ABCC" w14:textId="69178B0F" w:rsidTr="005659B3">
        <w:trPr>
          <w:trHeight w:val="210"/>
        </w:trPr>
        <w:tc>
          <w:tcPr>
            <w:tcW w:w="2519" w:type="dxa"/>
            <w:noWrap/>
            <w:vAlign w:val="bottom"/>
            <w:hideMark/>
          </w:tcPr>
          <w:p w14:paraId="369E679A"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Fresno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75F9533D" w14:textId="4CF904C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8FB3242" w14:textId="278500C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7C40BC8" w14:textId="7B77F0F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704D099" w14:textId="68B9E97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EC3485D" w14:textId="0F5E600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4BBD5E7" w14:textId="6C5CD98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509C8A7" w14:textId="4817A83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36357F4" w14:textId="5760C70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53208B3" w14:textId="092F49C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73EA999" w14:textId="4241980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9FD22AE" w14:textId="6B57BFB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0F284DB9" w14:textId="10E1CC6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r>
      <w:tr w:rsidR="005659B3" w:rsidRPr="00E5026C" w14:paraId="1BF37DD7" w14:textId="183A63E3" w:rsidTr="005659B3">
        <w:trPr>
          <w:trHeight w:val="210"/>
        </w:trPr>
        <w:tc>
          <w:tcPr>
            <w:tcW w:w="2519" w:type="dxa"/>
            <w:noWrap/>
            <w:vAlign w:val="bottom"/>
            <w:hideMark/>
          </w:tcPr>
          <w:p w14:paraId="4BBF72D2"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Humboldt</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0AA4C798" w14:textId="577AD80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E89DBDF" w14:textId="4F69D9A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9C4E90E" w14:textId="6618A59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22D9F6B" w14:textId="462AD83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B49A3D6" w14:textId="54F2E9A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31F2C06" w14:textId="35C013D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DE8AF82" w14:textId="77F0FF9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2A1D316" w14:textId="6C96FDD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52BCA10" w14:textId="2D0CCAE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316BF5A" w14:textId="2310979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AB7A8E6" w14:textId="07F93A5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2D76B27" w14:textId="4A6053A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$125</w:t>
            </w:r>
          </w:p>
        </w:tc>
      </w:tr>
      <w:tr w:rsidR="005659B3" w:rsidRPr="00E5026C" w14:paraId="6EFEDB4B" w14:textId="3D368AB7" w:rsidTr="005659B3">
        <w:trPr>
          <w:trHeight w:val="210"/>
        </w:trPr>
        <w:tc>
          <w:tcPr>
            <w:tcW w:w="2519" w:type="dxa"/>
            <w:noWrap/>
            <w:vAlign w:val="bottom"/>
            <w:hideMark/>
          </w:tcPr>
          <w:p w14:paraId="672F5328"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Inyo / NAWS China Lake</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1D960C43" w14:textId="7391A55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0611AF1" w14:textId="157EFA4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85356A8" w14:textId="4D690AB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0305355" w14:textId="195CFC1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8F9B7BA" w14:textId="0BD13A0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F0A17DD" w14:textId="38CAEB4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1424318" w14:textId="3D5C68A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6149FF8" w14:textId="0600FB7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049EC66" w14:textId="4151A06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0745642" w14:textId="3157B40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A1E22A1" w14:textId="67A282F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1234FAF" w14:textId="5E40A7D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r>
      <w:tr w:rsidR="005659B3" w:rsidRPr="00E5026C" w14:paraId="1968D354" w14:textId="32B4B435" w:rsidTr="005659B3">
        <w:trPr>
          <w:trHeight w:val="210"/>
        </w:trPr>
        <w:tc>
          <w:tcPr>
            <w:tcW w:w="2519" w:type="dxa"/>
            <w:noWrap/>
            <w:vAlign w:val="bottom"/>
            <w:hideMark/>
          </w:tcPr>
          <w:p w14:paraId="422FCF12"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Kern</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3F27C513" w14:textId="0AC4567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3C03414" w14:textId="75746EA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F9ADCBA" w14:textId="62BA982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3128FFA" w14:textId="1186794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A2A63CD" w14:textId="64229ED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743A496" w14:textId="7EA7D38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90DE4A8" w14:textId="4F98EF9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509FCE3" w14:textId="77689E2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B3773F7" w14:textId="2D1E12A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972219B" w14:textId="25BCC3C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0A8014AC" w14:textId="57441FE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EA5CA65" w14:textId="5B81B7E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r>
      <w:tr w:rsidR="005659B3" w:rsidRPr="00E5026C" w14:paraId="4D618E5C" w14:textId="69528292" w:rsidTr="005659B3">
        <w:trPr>
          <w:trHeight w:val="630"/>
        </w:trPr>
        <w:tc>
          <w:tcPr>
            <w:tcW w:w="2519" w:type="dxa"/>
            <w:vAlign w:val="bottom"/>
            <w:hideMark/>
          </w:tcPr>
          <w:p w14:paraId="657FF616" w14:textId="43AC5B14" w:rsidR="005659B3" w:rsidRPr="00764ACE" w:rsidRDefault="005659B3" w:rsidP="005659B3">
            <w:pPr>
              <w:rPr>
                <w:rFonts w:eastAsia="Times New Roman"/>
                <w:color w:val="000000"/>
                <w:sz w:val="18"/>
                <w:szCs w:val="18"/>
              </w:rPr>
            </w:pPr>
            <w:r w:rsidRPr="00764ACE">
              <w:rPr>
                <w:rFonts w:eastAsia="Times New Roman"/>
                <w:color w:val="000000"/>
                <w:sz w:val="18"/>
                <w:szCs w:val="18"/>
              </w:rPr>
              <w:t>Los Angeles</w:t>
            </w:r>
            <w:r>
              <w:rPr>
                <w:rFonts w:eastAsia="Times New Roman"/>
                <w:color w:val="000000"/>
                <w:sz w:val="18"/>
                <w:szCs w:val="18"/>
              </w:rPr>
              <w:t xml:space="preserve"> </w:t>
            </w:r>
            <w:r w:rsidRPr="00764ACE">
              <w:rPr>
                <w:rFonts w:eastAsia="Times New Roman"/>
                <w:color w:val="000000"/>
                <w:sz w:val="18"/>
                <w:szCs w:val="18"/>
              </w:rPr>
              <w:t>/ Orange</w:t>
            </w:r>
            <w:r>
              <w:rPr>
                <w:rFonts w:eastAsia="Times New Roman"/>
                <w:color w:val="000000"/>
                <w:sz w:val="18"/>
                <w:szCs w:val="18"/>
              </w:rPr>
              <w:t xml:space="preserve"> </w:t>
            </w:r>
            <w:r w:rsidRPr="00764ACE">
              <w:rPr>
                <w:rFonts w:eastAsia="Times New Roman"/>
                <w:color w:val="000000"/>
                <w:sz w:val="18"/>
                <w:szCs w:val="18"/>
              </w:rPr>
              <w:t>/ Ventura</w:t>
            </w:r>
            <w:r>
              <w:rPr>
                <w:rFonts w:eastAsia="Times New Roman"/>
                <w:color w:val="000000"/>
                <w:sz w:val="18"/>
                <w:szCs w:val="18"/>
              </w:rPr>
              <w:t xml:space="preserve"> </w:t>
            </w:r>
            <w:r w:rsidRPr="00764ACE">
              <w:rPr>
                <w:rFonts w:eastAsia="Times New Roman"/>
                <w:color w:val="000000"/>
                <w:sz w:val="18"/>
                <w:szCs w:val="18"/>
              </w:rPr>
              <w:t>/ Edwards AFB (excluding the City of Santa Monica)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79108926" w14:textId="3013BDD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A6A6ADF" w14:textId="74F0ECA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F92AE6D" w14:textId="7D64BE3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93A5507" w14:textId="3060778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DDCC7AF" w14:textId="1BD060D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9E54BC1" w14:textId="722DCE3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C981A62" w14:textId="4017075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238F154" w14:textId="5B1998A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D8EE12E" w14:textId="149A684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D67FAE0" w14:textId="01FB72A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9102311" w14:textId="35B9167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B1E05CA" w14:textId="6045822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r>
      <w:tr w:rsidR="005659B3" w:rsidRPr="00E5026C" w14:paraId="77409D9B" w14:textId="09D0DC38" w:rsidTr="005659B3">
        <w:trPr>
          <w:trHeight w:val="210"/>
        </w:trPr>
        <w:tc>
          <w:tcPr>
            <w:tcW w:w="2519" w:type="dxa"/>
            <w:noWrap/>
            <w:vAlign w:val="bottom"/>
            <w:hideMark/>
          </w:tcPr>
          <w:p w14:paraId="329F3870"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Madera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2144F270" w14:textId="2453E4D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D156CAE" w14:textId="693F87A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9F73FAD" w14:textId="085D698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D52C26A" w14:textId="7C82A73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AF92BEE" w14:textId="00DE2FC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41737FB" w14:textId="073A438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9CB6F06" w14:textId="09659C8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C6F2707" w14:textId="3F9776D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F38F5F5" w14:textId="70F6E54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C9D0EE9" w14:textId="3BBAB21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051CDD3" w14:textId="715C772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D51CE92" w14:textId="618E16F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$135</w:t>
            </w:r>
          </w:p>
        </w:tc>
      </w:tr>
      <w:tr w:rsidR="005659B3" w:rsidRPr="00E5026C" w14:paraId="08881B04" w14:textId="466EBCB6" w:rsidTr="005659B3">
        <w:trPr>
          <w:trHeight w:val="210"/>
        </w:trPr>
        <w:tc>
          <w:tcPr>
            <w:tcW w:w="2519" w:type="dxa"/>
            <w:noWrap/>
            <w:vAlign w:val="bottom"/>
            <w:hideMark/>
          </w:tcPr>
          <w:p w14:paraId="04EB28D7"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lastRenderedPageBreak/>
              <w:t>Marin</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4C8A7860" w14:textId="50D9600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738E485" w14:textId="6FD5D84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CA3C6DD" w14:textId="113E9DB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210F291" w14:textId="1040DC4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F3655D5" w14:textId="0DABF37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28785D9" w14:textId="04862DC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426BBE3" w14:textId="7D30FD6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D02B613" w14:textId="7EEA3F4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C0FE318" w14:textId="1D682A1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14A6DC2" w14:textId="18F1DC9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F616493" w14:textId="11063BC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65C1E9E" w14:textId="22AE8FC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$175</w:t>
            </w:r>
          </w:p>
        </w:tc>
      </w:tr>
      <w:tr w:rsidR="005659B3" w:rsidRPr="00E5026C" w14:paraId="44B8406C" w14:textId="670F4440" w:rsidTr="005659B3">
        <w:trPr>
          <w:trHeight w:val="210"/>
        </w:trPr>
        <w:tc>
          <w:tcPr>
            <w:tcW w:w="2519" w:type="dxa"/>
            <w:noWrap/>
            <w:vAlign w:val="bottom"/>
            <w:hideMark/>
          </w:tcPr>
          <w:p w14:paraId="68810F57"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Mariposa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3A3660DC" w14:textId="0C90C12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32EB31C" w14:textId="1AFE8E1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19A152F" w14:textId="03EA1A7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F2B8803" w14:textId="6929EE8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40DB00F" w14:textId="430500B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C28088A" w14:textId="178B938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6DC6EDA" w14:textId="24F6BC5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1955712" w14:textId="4392C07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93A1804" w14:textId="6D6FE5D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FBA3593" w14:textId="312B3C1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5A61894" w14:textId="01C5A39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009A6E1" w14:textId="42863EF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$181</w:t>
            </w:r>
          </w:p>
        </w:tc>
      </w:tr>
      <w:tr w:rsidR="005659B3" w:rsidRPr="00E5026C" w14:paraId="57B6E71B" w14:textId="4D53D9A8" w:rsidTr="005659B3">
        <w:trPr>
          <w:trHeight w:val="210"/>
        </w:trPr>
        <w:tc>
          <w:tcPr>
            <w:tcW w:w="2519" w:type="dxa"/>
            <w:noWrap/>
            <w:vAlign w:val="bottom"/>
            <w:hideMark/>
          </w:tcPr>
          <w:p w14:paraId="6B8C4985"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Mendocino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7FED6ECB" w14:textId="76338B5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2C06F23" w14:textId="5D0FA25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B746243" w14:textId="40BA594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AEA884A" w14:textId="450CF30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27B8AED" w14:textId="4CB84F2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88D6C4F" w14:textId="5637B48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480CDBE" w14:textId="3147F05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C61D0F5" w14:textId="1385C81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F9A2629" w14:textId="43EB07F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4D1ECA8" w14:textId="2BC125E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470AEB7" w14:textId="4052599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1EB797A" w14:textId="794E150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$129</w:t>
            </w:r>
          </w:p>
        </w:tc>
      </w:tr>
      <w:tr w:rsidR="005659B3" w:rsidRPr="00E5026C" w14:paraId="3AE46A43" w14:textId="119FEC61" w:rsidTr="005659B3">
        <w:trPr>
          <w:trHeight w:val="210"/>
        </w:trPr>
        <w:tc>
          <w:tcPr>
            <w:tcW w:w="2519" w:type="dxa"/>
            <w:noWrap/>
            <w:vAlign w:val="bottom"/>
            <w:hideMark/>
          </w:tcPr>
          <w:p w14:paraId="1ECCEC86"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Mono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369A91DE" w14:textId="04B4F4D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2DACC89" w14:textId="1C5F6D0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EE58A45" w14:textId="2A3EE4E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6F6657D" w14:textId="617E493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5A03FF4" w14:textId="509F2EF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FC261CA" w14:textId="6416274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F2E3674" w14:textId="22796CE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AEC0990" w14:textId="337059C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C3791E2" w14:textId="2720D8B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F3BFB69" w14:textId="3DB24E1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B28D17E" w14:textId="43C6234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7F9D39F" w14:textId="02775AA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r>
      <w:tr w:rsidR="005659B3" w:rsidRPr="00E5026C" w14:paraId="26B18AB6" w14:textId="7638568C" w:rsidTr="005659B3">
        <w:trPr>
          <w:trHeight w:val="210"/>
        </w:trPr>
        <w:tc>
          <w:tcPr>
            <w:tcW w:w="2519" w:type="dxa"/>
            <w:noWrap/>
            <w:vAlign w:val="bottom"/>
            <w:hideMark/>
          </w:tcPr>
          <w:p w14:paraId="67CD5A0A"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Monterey</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4C041955" w14:textId="6D228AD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44CBAB4" w14:textId="780708E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EA369A7" w14:textId="6CE5B90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E18F279" w14:textId="0EB8B9F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E1AFEC0" w14:textId="313B60C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CABC9B8" w14:textId="6EB4866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56653A3" w14:textId="6110791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1A36C1B" w14:textId="04AE7E1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577241E" w14:textId="636E71E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A5D2641" w14:textId="2872E2D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2916CF3" w14:textId="7891ED2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00D57E1" w14:textId="540B68C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$191</w:t>
            </w:r>
          </w:p>
        </w:tc>
      </w:tr>
      <w:tr w:rsidR="005659B3" w:rsidRPr="00E5026C" w14:paraId="6C617EE5" w14:textId="4AF13605" w:rsidTr="005659B3">
        <w:trPr>
          <w:trHeight w:val="210"/>
        </w:trPr>
        <w:tc>
          <w:tcPr>
            <w:tcW w:w="2519" w:type="dxa"/>
            <w:noWrap/>
            <w:vAlign w:val="bottom"/>
            <w:hideMark/>
          </w:tcPr>
          <w:p w14:paraId="04232C9B"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Napa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5472EA88" w14:textId="16E7035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79C5466" w14:textId="555F036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35EA399" w14:textId="77336AE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0B6F68F" w14:textId="51834B0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61D747D" w14:textId="7C2FEB7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30A9D27" w14:textId="68CBA0C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93BB9EB" w14:textId="12E17DF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3583145" w14:textId="0DCF5F3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966EB66" w14:textId="20D3A96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2B22B38" w14:textId="1B4116F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830CF2C" w14:textId="63774DD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3889DED" w14:textId="3689FEB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$246</w:t>
            </w:r>
          </w:p>
        </w:tc>
      </w:tr>
      <w:tr w:rsidR="005659B3" w:rsidRPr="00E5026C" w14:paraId="3AC81282" w14:textId="5B1F9039" w:rsidTr="005659B3">
        <w:trPr>
          <w:trHeight w:val="210"/>
        </w:trPr>
        <w:tc>
          <w:tcPr>
            <w:tcW w:w="2519" w:type="dxa"/>
            <w:noWrap/>
            <w:vAlign w:val="bottom"/>
            <w:hideMark/>
          </w:tcPr>
          <w:p w14:paraId="734E0509"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Nevada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13240F33" w14:textId="2FB1BF1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967E4C7" w14:textId="698598C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1C08A8C" w14:textId="1AC2E67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28FF80C" w14:textId="1E0DDFF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82BC05F" w14:textId="356ADB8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17FD873" w14:textId="79CEB21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09F88BF" w14:textId="706F55E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34DE079" w14:textId="520D6FD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DA9810A" w14:textId="4074D6A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4ECAFC0" w14:textId="0FAEBFD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71F38CE" w14:textId="614C932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3D331CB" w14:textId="4687768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r>
      <w:tr w:rsidR="005659B3" w:rsidRPr="00E5026C" w14:paraId="4DBFA58D" w14:textId="482A155B" w:rsidTr="005659B3">
        <w:trPr>
          <w:trHeight w:val="210"/>
        </w:trPr>
        <w:tc>
          <w:tcPr>
            <w:tcW w:w="2519" w:type="dxa"/>
            <w:noWrap/>
            <w:vAlign w:val="bottom"/>
            <w:hideMark/>
          </w:tcPr>
          <w:p w14:paraId="287ACFB5"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Placer</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0A7F1B5D" w14:textId="0E46B9E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94972A3" w14:textId="61E305F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1BFA55E" w14:textId="742E6F6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037CBEF" w14:textId="3475B2F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7975FED" w14:textId="226080A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547C13E" w14:textId="6B338FD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CCD3F91" w14:textId="3421B51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90C6190" w14:textId="0C2C538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B079A84" w14:textId="1B8D094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1823162" w14:textId="7AA8D6A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AAD309A" w14:textId="364BEBF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12E6008" w14:textId="0AC638F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r>
      <w:tr w:rsidR="005659B3" w:rsidRPr="00E5026C" w14:paraId="192EF8D5" w14:textId="1B26F5D0" w:rsidTr="005659B3">
        <w:trPr>
          <w:trHeight w:val="210"/>
        </w:trPr>
        <w:tc>
          <w:tcPr>
            <w:tcW w:w="2519" w:type="dxa"/>
            <w:noWrap/>
            <w:vAlign w:val="bottom"/>
            <w:hideMark/>
          </w:tcPr>
          <w:p w14:paraId="4C3EE5C4"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Riverside</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24017E5A" w14:textId="0CAAD61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858F69E" w14:textId="10E3372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7FA06E2" w14:textId="77C67E2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DE6CCC5" w14:textId="14E2422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A4A4BAD" w14:textId="470FF36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F4608D6" w14:textId="49F8D90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CCDBD2D" w14:textId="6AABE1D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$186</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BDF5377" w14:textId="5F04340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19200A1" w14:textId="3F4C9D2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0B0FD69" w14:textId="0E47744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0F67E9B" w14:textId="6809A7F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B63FBDD" w14:textId="5D7FB05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$141</w:t>
            </w:r>
          </w:p>
        </w:tc>
      </w:tr>
      <w:tr w:rsidR="005659B3" w:rsidRPr="00E5026C" w14:paraId="7BED7A83" w14:textId="75C23B47" w:rsidTr="005659B3">
        <w:trPr>
          <w:trHeight w:val="210"/>
        </w:trPr>
        <w:tc>
          <w:tcPr>
            <w:tcW w:w="2519" w:type="dxa"/>
            <w:noWrap/>
            <w:vAlign w:val="bottom"/>
            <w:hideMark/>
          </w:tcPr>
          <w:p w14:paraId="3A0CBCC6"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Sacramento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15B2D704" w14:textId="7934B16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8EF7B30" w14:textId="7585F7D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655A5E5" w14:textId="2F82851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ECA2AA3" w14:textId="3D39B3C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CD2B75C" w14:textId="69B2B80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AD11FE9" w14:textId="0849C89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3C1FF2B" w14:textId="11A22F7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466E013" w14:textId="1603A87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9AF0F5E" w14:textId="2561EA7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7690582" w14:textId="72C1E07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30529A9" w14:textId="10BFA33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081C25A5" w14:textId="5ACCDB3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$150</w:t>
            </w:r>
          </w:p>
        </w:tc>
      </w:tr>
      <w:tr w:rsidR="005659B3" w:rsidRPr="00E5026C" w14:paraId="50C0B063" w14:textId="3ADCD7F9" w:rsidTr="005659B3">
        <w:trPr>
          <w:trHeight w:val="210"/>
        </w:trPr>
        <w:tc>
          <w:tcPr>
            <w:tcW w:w="2519" w:type="dxa"/>
            <w:noWrap/>
            <w:vAlign w:val="bottom"/>
            <w:hideMark/>
          </w:tcPr>
          <w:p w14:paraId="6081ECF9"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 Bernardino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736CF02F" w14:textId="386BC06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5473236" w14:textId="18C0F09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75E1444" w14:textId="3CDB453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F3C3597" w14:textId="42FA75A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3E0C73D" w14:textId="1D80E72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148196B" w14:textId="7531A32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60408CC" w14:textId="0C4E02E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3D2354F" w14:textId="27D19CF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253B7D8" w14:textId="2F7EF1F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5564BAA" w14:textId="4970A51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AA19B4B" w14:textId="73BCD2D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4CF3A41" w14:textId="0FD6E33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$124</w:t>
            </w:r>
          </w:p>
        </w:tc>
      </w:tr>
      <w:tr w:rsidR="005659B3" w:rsidRPr="00E5026C" w14:paraId="71E7D798" w14:textId="5CFA9751" w:rsidTr="005659B3">
        <w:trPr>
          <w:trHeight w:val="210"/>
        </w:trPr>
        <w:tc>
          <w:tcPr>
            <w:tcW w:w="2519" w:type="dxa"/>
            <w:noWrap/>
            <w:vAlign w:val="bottom"/>
            <w:hideMark/>
          </w:tcPr>
          <w:p w14:paraId="0B3B946B"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 Diego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07B9872B" w14:textId="34165D5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3833C3B" w14:textId="590791B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CAAABCE" w14:textId="126D314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A8DC7CB" w14:textId="0207716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C3674EF" w14:textId="7296D17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030EBE2" w14:textId="1EED9F0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FD62F10" w14:textId="1CFB1C0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6D88394" w14:textId="686EE06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B3CADE4" w14:textId="00A3C18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$237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48BF81D" w14:textId="0D79355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$237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8BA2369" w14:textId="45A5559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7ED59CB" w14:textId="1516E03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$199</w:t>
            </w:r>
          </w:p>
        </w:tc>
      </w:tr>
      <w:tr w:rsidR="005659B3" w:rsidRPr="00E5026C" w14:paraId="34659703" w14:textId="679ABB1A" w:rsidTr="005659B3">
        <w:trPr>
          <w:trHeight w:val="210"/>
        </w:trPr>
        <w:tc>
          <w:tcPr>
            <w:tcW w:w="2519" w:type="dxa"/>
            <w:noWrap/>
            <w:vAlign w:val="bottom"/>
            <w:hideMark/>
          </w:tcPr>
          <w:p w14:paraId="6646E544"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 Francisco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48D65611" w14:textId="254470C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1B0A763" w14:textId="4DA6304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112594E" w14:textId="7B96A71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7F8E518" w14:textId="5D94DB3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279A8CE" w14:textId="32ABDB3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04DAD93" w14:textId="060603A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F087F7F" w14:textId="2FC717B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4101397" w14:textId="03E6104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7CC51A9" w14:textId="2C0BB8E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608C61D" w14:textId="12FE8ED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09A50F12" w14:textId="0FAB767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$259</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C3FD26C" w14:textId="159BB6B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$272</w:t>
            </w:r>
          </w:p>
        </w:tc>
      </w:tr>
      <w:tr w:rsidR="005659B3" w:rsidRPr="00E5026C" w14:paraId="4F796961" w14:textId="57784B81" w:rsidTr="005659B3">
        <w:trPr>
          <w:trHeight w:val="210"/>
        </w:trPr>
        <w:tc>
          <w:tcPr>
            <w:tcW w:w="2519" w:type="dxa"/>
            <w:noWrap/>
            <w:vAlign w:val="bottom"/>
            <w:hideMark/>
          </w:tcPr>
          <w:p w14:paraId="385F2708"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 Joaquin</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356928B0" w14:textId="58C2585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E4AA60E" w14:textId="32C36E8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0D130D1" w14:textId="0E72F22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44A9193" w14:textId="6ABF965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BBF9177" w14:textId="52F80E0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F3C4CA3" w14:textId="113E1A4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754CADA" w14:textId="1681D39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AF6EB88" w14:textId="0D9EB5C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DB68E2F" w14:textId="1CB1359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CF57EA3" w14:textId="47CEC00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10806D6" w14:textId="20FF46C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BFB0E7F" w14:textId="6AF0DC9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$132</w:t>
            </w:r>
          </w:p>
        </w:tc>
      </w:tr>
      <w:tr w:rsidR="005659B3" w:rsidRPr="00E5026C" w14:paraId="545676AC" w14:textId="0967CDF2" w:rsidTr="005659B3">
        <w:trPr>
          <w:trHeight w:val="210"/>
        </w:trPr>
        <w:tc>
          <w:tcPr>
            <w:tcW w:w="2519" w:type="dxa"/>
            <w:noWrap/>
            <w:vAlign w:val="bottom"/>
            <w:hideMark/>
          </w:tcPr>
          <w:p w14:paraId="7FCC92F0"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 Luis Obispo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662E062F" w14:textId="5560C91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EB022CD" w14:textId="7D0ED01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633D144" w14:textId="3C51FBA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CEFD96B" w14:textId="3030859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874D527" w14:textId="5081F41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5223FF7" w14:textId="247D97A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DFCB7E0" w14:textId="012ED8B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32701B6" w14:textId="7D3C235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A798E56" w14:textId="0725ACE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E546C0B" w14:textId="0997963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7C1C580" w14:textId="55E70C2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FC2A1BC" w14:textId="15D7B35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$163</w:t>
            </w:r>
          </w:p>
        </w:tc>
      </w:tr>
      <w:tr w:rsidR="005659B3" w:rsidRPr="00E5026C" w14:paraId="7DE7C9BB" w14:textId="08C361CC" w:rsidTr="005659B3">
        <w:trPr>
          <w:trHeight w:val="210"/>
        </w:trPr>
        <w:tc>
          <w:tcPr>
            <w:tcW w:w="2519" w:type="dxa"/>
            <w:noWrap/>
            <w:vAlign w:val="bottom"/>
            <w:hideMark/>
          </w:tcPr>
          <w:p w14:paraId="141380E0"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 Mateo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4B43C36D" w14:textId="4B672AE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1AD1354" w14:textId="4FE5CBF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7CB321D" w14:textId="3DCE99B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94E7001" w14:textId="39EC23A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12BD5AA" w14:textId="331F8DA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9B0CBFA" w14:textId="5C8A72B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E8DFAE8" w14:textId="4660E7D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7DF5BE4" w14:textId="0EAC31B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ED509D9" w14:textId="7EFC6CA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A8B80F0" w14:textId="56D932B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4DE4902" w14:textId="5DB31A9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EA3B90E" w14:textId="7B5A74A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$183</w:t>
            </w:r>
          </w:p>
        </w:tc>
      </w:tr>
      <w:tr w:rsidR="005659B3" w:rsidRPr="00E5026C" w14:paraId="5C7F1178" w14:textId="29FF1412" w:rsidTr="005659B3">
        <w:trPr>
          <w:trHeight w:val="210"/>
        </w:trPr>
        <w:tc>
          <w:tcPr>
            <w:tcW w:w="2519" w:type="dxa"/>
            <w:noWrap/>
            <w:vAlign w:val="bottom"/>
            <w:hideMark/>
          </w:tcPr>
          <w:p w14:paraId="40330D89"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Santa Barbara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019B0B54" w14:textId="34E0684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40E3EBA" w14:textId="200E501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1893BAB" w14:textId="6022DDA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8C2C2C9" w14:textId="349DB64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2B768EE" w14:textId="216638C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14154BA" w14:textId="699DF21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25C590F" w14:textId="6B5DC34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BD16718" w14:textId="07199A5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B6CEAF8" w14:textId="7C41E45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9B1C30B" w14:textId="63A5516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$262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39441ED" w14:textId="02C400E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$262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19B22580" w14:textId="0C31F24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$205</w:t>
            </w:r>
          </w:p>
        </w:tc>
      </w:tr>
      <w:tr w:rsidR="005659B3" w:rsidRPr="00E5026C" w14:paraId="7F0A40DE" w14:textId="6255517A" w:rsidTr="005659B3">
        <w:trPr>
          <w:trHeight w:val="210"/>
        </w:trPr>
        <w:tc>
          <w:tcPr>
            <w:tcW w:w="2519" w:type="dxa"/>
            <w:noWrap/>
            <w:vAlign w:val="bottom"/>
            <w:hideMark/>
          </w:tcPr>
          <w:p w14:paraId="11CE1F95"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Santa Clara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2B9E5BB1" w14:textId="06E1284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530507E" w14:textId="06D2393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98CDEA5" w14:textId="49EA4A5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C4636F0" w14:textId="3C322D5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CB6443D" w14:textId="6C023E9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764DB0F" w14:textId="2D290F5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334B4E0" w14:textId="1B3E2B4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80BDAE7" w14:textId="3B0F6F9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9D9AE8E" w14:textId="5A38555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E239513" w14:textId="30F9DE8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61AFF5A" w14:textId="6EC75BB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44C2E681" w14:textId="63BF0B7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$192</w:t>
            </w:r>
          </w:p>
        </w:tc>
      </w:tr>
      <w:tr w:rsidR="005659B3" w:rsidRPr="00E5026C" w14:paraId="78AC988F" w14:textId="0411AF4B" w:rsidTr="005659B3">
        <w:trPr>
          <w:trHeight w:val="210"/>
        </w:trPr>
        <w:tc>
          <w:tcPr>
            <w:tcW w:w="2519" w:type="dxa"/>
            <w:noWrap/>
            <w:vAlign w:val="bottom"/>
            <w:hideMark/>
          </w:tcPr>
          <w:p w14:paraId="47678932"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Santa Cruz</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6A072970" w14:textId="3E2F870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FCDAB91" w14:textId="405C2B3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03BB983" w14:textId="2AF32A6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E489648" w14:textId="4DAFC06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1BA0AC6" w14:textId="6A755F0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93BFBC5" w14:textId="33CC469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D36762E" w14:textId="3EBC288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D60CF47" w14:textId="536AB20E"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5FCA757" w14:textId="3F3DB115"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$176</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57E8E36" w14:textId="19CB97A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$176</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3228FC6" w14:textId="27F9A2BD"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$176</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FF276D1" w14:textId="22039C0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$139</w:t>
            </w:r>
          </w:p>
        </w:tc>
      </w:tr>
      <w:tr w:rsidR="005659B3" w:rsidRPr="00E5026C" w14:paraId="408A296B" w14:textId="43C5329A" w:rsidTr="005659B3">
        <w:trPr>
          <w:trHeight w:val="210"/>
        </w:trPr>
        <w:tc>
          <w:tcPr>
            <w:tcW w:w="2519" w:type="dxa"/>
            <w:noWrap/>
            <w:vAlign w:val="bottom"/>
            <w:hideMark/>
          </w:tcPr>
          <w:p w14:paraId="10658BC8"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Sonoma</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22B02571" w14:textId="3CBF3EF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A9912DA" w14:textId="0FE0008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3D7514E1" w14:textId="1F81BAC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FAED3DA" w14:textId="4EE7157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102436B" w14:textId="122E964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EE0FE97" w14:textId="2046D4F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893D2D4" w14:textId="5863E42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A0BEA81" w14:textId="0B34E51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6302863" w14:textId="0745884A"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F330F64" w14:textId="2BDCF85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4E25A2D" w14:textId="6C2C184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AAA4B16" w14:textId="4601F5D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$157</w:t>
            </w:r>
          </w:p>
        </w:tc>
      </w:tr>
      <w:tr w:rsidR="005659B3" w:rsidRPr="00E5026C" w14:paraId="3C9228FE" w14:textId="520F638F" w:rsidTr="005659B3">
        <w:trPr>
          <w:trHeight w:val="210"/>
        </w:trPr>
        <w:tc>
          <w:tcPr>
            <w:tcW w:w="2519" w:type="dxa"/>
            <w:tcBorders>
              <w:bottom w:val="single" w:sz="4" w:space="0" w:color="auto"/>
            </w:tcBorders>
            <w:noWrap/>
            <w:vAlign w:val="bottom"/>
            <w:hideMark/>
          </w:tcPr>
          <w:p w14:paraId="0F63C457"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Tulare</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0170089D" w14:textId="118A25B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2071BB1" w14:textId="7BD4FAF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5BE3909" w14:textId="34AC1B9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D9EC425" w14:textId="49AB2521"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1ED789EC" w14:textId="45BC427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DD2EB57" w14:textId="624DF8F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F9B42D2" w14:textId="6455D92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725F4070" w14:textId="4C778AF3"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B37F3D6" w14:textId="211A5C74"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36B3340" w14:textId="75B53A16"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3299F0F9" w14:textId="5617307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56BE4850" w14:textId="39F6BCCB"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$131</w:t>
            </w:r>
          </w:p>
        </w:tc>
      </w:tr>
      <w:tr w:rsidR="005659B3" w:rsidRPr="00E5026C" w14:paraId="1205395B" w14:textId="5CE90651" w:rsidTr="005659B3">
        <w:trPr>
          <w:trHeight w:val="210"/>
        </w:trPr>
        <w:tc>
          <w:tcPr>
            <w:tcW w:w="2519" w:type="dxa"/>
            <w:tcBorders>
              <w:bottom w:val="single" w:sz="4" w:space="0" w:color="auto"/>
            </w:tcBorders>
            <w:noWrap/>
            <w:vAlign w:val="bottom"/>
            <w:hideMark/>
          </w:tcPr>
          <w:p w14:paraId="4E3B605B" w14:textId="77777777" w:rsidR="005659B3" w:rsidRPr="00764ACE" w:rsidRDefault="005659B3" w:rsidP="005659B3">
            <w:pPr>
              <w:rPr>
                <w:rFonts w:eastAsia="Times New Roman"/>
                <w:color w:val="000000"/>
                <w:sz w:val="18"/>
                <w:szCs w:val="18"/>
              </w:rPr>
            </w:pPr>
            <w:r w:rsidRPr="00764ACE">
              <w:rPr>
                <w:rFonts w:eastAsia="Times New Roman"/>
                <w:color w:val="000000"/>
                <w:sz w:val="18"/>
                <w:szCs w:val="18"/>
              </w:rPr>
              <w:t>Yolo</w:t>
            </w:r>
          </w:p>
        </w:tc>
        <w:tc>
          <w:tcPr>
            <w:tcW w:w="630" w:type="dxa"/>
            <w:tcBorders>
              <w:top w:val="nil"/>
              <w:left w:val="single" w:sz="4" w:space="0" w:color="000000"/>
              <w:bottom w:val="single" w:sz="4" w:space="0" w:color="000000"/>
              <w:right w:val="single" w:sz="4" w:space="0" w:color="000000"/>
            </w:tcBorders>
            <w:shd w:val="clear" w:color="auto" w:fill="auto"/>
            <w:noWrap/>
            <w:tcMar>
              <w:left w:w="29" w:type="dxa"/>
              <w:right w:w="29" w:type="dxa"/>
            </w:tcMar>
            <w:vAlign w:val="bottom"/>
            <w:hideMark/>
          </w:tcPr>
          <w:p w14:paraId="56EC52DB" w14:textId="0B598F42"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4333868E" w14:textId="05D9848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2ABDDE1D" w14:textId="04BE400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0FEC0EC" w14:textId="11AB389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83BF506" w14:textId="70A6CFD8"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0F33D879" w14:textId="4A808D4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53046602" w14:textId="40B7ACC9"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ACA4293" w14:textId="616C815F"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noWrap/>
            <w:tcMar>
              <w:left w:w="29" w:type="dxa"/>
              <w:right w:w="29" w:type="dxa"/>
            </w:tcMar>
            <w:vAlign w:val="bottom"/>
            <w:hideMark/>
          </w:tcPr>
          <w:p w14:paraId="6C68F829" w14:textId="1AABF800"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72A448C9" w14:textId="102E741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23892E6C" w14:textId="7FA8C85C"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c>
          <w:tcPr>
            <w:tcW w:w="630" w:type="dxa"/>
            <w:tcBorders>
              <w:top w:val="nil"/>
              <w:left w:val="nil"/>
              <w:bottom w:val="single" w:sz="4" w:space="0" w:color="000000"/>
              <w:right w:val="single" w:sz="4" w:space="0" w:color="000000"/>
            </w:tcBorders>
            <w:shd w:val="clear" w:color="auto" w:fill="auto"/>
            <w:tcMar>
              <w:left w:w="29" w:type="dxa"/>
              <w:right w:w="29" w:type="dxa"/>
            </w:tcMar>
            <w:vAlign w:val="bottom"/>
          </w:tcPr>
          <w:p w14:paraId="60C6B22F" w14:textId="7C0582E7" w:rsidR="005659B3" w:rsidRPr="00764ACE" w:rsidRDefault="005659B3" w:rsidP="005659B3">
            <w:pPr>
              <w:jc w:val="right"/>
              <w:rPr>
                <w:rFonts w:eastAsia="Times New Roman"/>
                <w:color w:val="000000"/>
                <w:sz w:val="18"/>
                <w:szCs w:val="18"/>
              </w:rPr>
            </w:pPr>
            <w:r w:rsidRPr="005659B3">
              <w:rPr>
                <w:rFonts w:eastAsia="Times New Roman"/>
                <w:color w:val="000000"/>
                <w:sz w:val="18"/>
                <w:szCs w:val="18"/>
              </w:rPr>
              <w:t>$142</w:t>
            </w:r>
          </w:p>
        </w:tc>
      </w:tr>
    </w:tbl>
    <w:p w14:paraId="3582D71D" w14:textId="5788D31B" w:rsidR="00221717" w:rsidRPr="005D1B06" w:rsidRDefault="00221717" w:rsidP="002C5CFD">
      <w:pPr>
        <w:numPr>
          <w:ilvl w:val="2"/>
          <w:numId w:val="10"/>
        </w:numPr>
        <w:spacing w:beforeLines="100" w:before="240" w:afterLines="100" w:after="240"/>
        <w:rPr>
          <w:rFonts w:asciiTheme="minorHAnsi" w:hAnsiTheme="minorHAnsi" w:cstheme="minorHAnsi"/>
          <w:bCs/>
          <w:sz w:val="22"/>
          <w:szCs w:val="24"/>
        </w:rPr>
      </w:pPr>
      <w:r w:rsidRPr="005D1B06">
        <w:rPr>
          <w:rFonts w:asciiTheme="minorHAnsi" w:hAnsiTheme="minorHAnsi" w:cstheme="minorHAnsi"/>
          <w:bCs/>
          <w:sz w:val="22"/>
          <w:szCs w:val="24"/>
        </w:rPr>
        <w:t xml:space="preserve">Out-of-State – The </w:t>
      </w:r>
      <w:r w:rsidR="005D1B06" w:rsidRPr="005D1B06">
        <w:rPr>
          <w:rFonts w:asciiTheme="minorHAnsi" w:hAnsiTheme="minorHAnsi" w:cstheme="minorHAnsi"/>
          <w:bCs/>
          <w:sz w:val="22"/>
          <w:szCs w:val="24"/>
        </w:rPr>
        <w:t>Judicial Council</w:t>
      </w:r>
      <w:r w:rsidRPr="005D1B06">
        <w:rPr>
          <w:rFonts w:asciiTheme="minorHAnsi" w:hAnsiTheme="minorHAnsi" w:cstheme="minorHAnsi"/>
          <w:bCs/>
          <w:sz w:val="22"/>
          <w:szCs w:val="24"/>
        </w:rPr>
        <w:t xml:space="preserve"> will reimburse </w:t>
      </w:r>
      <w:r w:rsidR="00A466BB">
        <w:rPr>
          <w:rFonts w:asciiTheme="minorHAnsi" w:hAnsiTheme="minorHAnsi" w:cstheme="minorHAnsi"/>
          <w:bCs/>
          <w:sz w:val="22"/>
          <w:szCs w:val="24"/>
        </w:rPr>
        <w:t>Contractor</w:t>
      </w:r>
      <w:r w:rsidRPr="005D1B06">
        <w:rPr>
          <w:rFonts w:asciiTheme="minorHAnsi" w:hAnsiTheme="minorHAnsi" w:cstheme="minorHAnsi"/>
          <w:bCs/>
          <w:sz w:val="22"/>
          <w:szCs w:val="24"/>
        </w:rPr>
        <w:t xml:space="preserve"> only for hotel room rental at the actual cost</w:t>
      </w:r>
      <w:r w:rsidR="005D1B06" w:rsidRPr="005D1B06">
        <w:t xml:space="preserve"> </w:t>
      </w:r>
      <w:r w:rsidR="005D1B06" w:rsidRPr="005D1B06">
        <w:rPr>
          <w:rFonts w:asciiTheme="minorHAnsi" w:hAnsiTheme="minorHAnsi" w:cstheme="minorHAnsi"/>
          <w:bCs/>
          <w:sz w:val="22"/>
          <w:szCs w:val="24"/>
        </w:rPr>
        <w:t>up to the federal lodging rate</w:t>
      </w:r>
      <w:r w:rsidRPr="005D1B06">
        <w:rPr>
          <w:rFonts w:asciiTheme="minorHAnsi" w:hAnsiTheme="minorHAnsi" w:cstheme="minorHAnsi"/>
          <w:bCs/>
          <w:sz w:val="22"/>
          <w:szCs w:val="24"/>
        </w:rPr>
        <w:t>, plus occupancy tax and/or energy surcharge</w:t>
      </w:r>
      <w:r w:rsidR="005D1B06">
        <w:rPr>
          <w:rFonts w:asciiTheme="minorHAnsi" w:hAnsiTheme="minorHAnsi" w:cstheme="minorHAnsi"/>
          <w:bCs/>
          <w:sz w:val="22"/>
          <w:szCs w:val="24"/>
        </w:rPr>
        <w:t xml:space="preserve">. </w:t>
      </w:r>
      <w:r w:rsidR="005D1B06" w:rsidRPr="005D1B06">
        <w:rPr>
          <w:rFonts w:asciiTheme="minorHAnsi" w:hAnsiTheme="minorHAnsi" w:cstheme="minorHAnsi"/>
          <w:bCs/>
          <w:sz w:val="22"/>
          <w:szCs w:val="24"/>
        </w:rPr>
        <w:t>The U.S. Department of State Standardized Regulations (federal) lodging</w:t>
      </w:r>
      <w:r w:rsidR="005D1B06">
        <w:rPr>
          <w:rFonts w:asciiTheme="minorHAnsi" w:hAnsiTheme="minorHAnsi" w:cstheme="minorHAnsi"/>
          <w:bCs/>
          <w:sz w:val="22"/>
          <w:szCs w:val="24"/>
        </w:rPr>
        <w:t xml:space="preserve"> </w:t>
      </w:r>
      <w:r w:rsidR="005D1B06" w:rsidRPr="005D1B06">
        <w:rPr>
          <w:rFonts w:asciiTheme="minorHAnsi" w:hAnsiTheme="minorHAnsi" w:cstheme="minorHAnsi"/>
          <w:bCs/>
          <w:sz w:val="22"/>
          <w:szCs w:val="24"/>
        </w:rPr>
        <w:t xml:space="preserve">rates are accessible on the internet at </w:t>
      </w:r>
      <w:hyperlink r:id="rId9" w:history="1">
        <w:r w:rsidR="005D1B06" w:rsidRPr="005D1B06">
          <w:rPr>
            <w:rStyle w:val="Hyperlink"/>
            <w:rFonts w:asciiTheme="minorHAnsi" w:hAnsiTheme="minorHAnsi" w:cstheme="minorHAnsi"/>
            <w:bCs/>
            <w:sz w:val="22"/>
            <w:szCs w:val="24"/>
          </w:rPr>
          <w:t>http://www.gsa.gov/portal/category/100000</w:t>
        </w:r>
      </w:hyperlink>
      <w:r w:rsidR="005D1B06" w:rsidRPr="005D1B06">
        <w:rPr>
          <w:rFonts w:asciiTheme="minorHAnsi" w:hAnsiTheme="minorHAnsi" w:cstheme="minorHAnsi"/>
          <w:bCs/>
          <w:sz w:val="22"/>
          <w:szCs w:val="24"/>
        </w:rPr>
        <w:t>. (Click on “Per Diem Rates” under the TRAVEL pull</w:t>
      </w:r>
      <w:r w:rsidR="005D1B06">
        <w:rPr>
          <w:rFonts w:asciiTheme="minorHAnsi" w:hAnsiTheme="minorHAnsi" w:cstheme="minorHAnsi"/>
          <w:bCs/>
          <w:sz w:val="22"/>
          <w:szCs w:val="24"/>
        </w:rPr>
        <w:t>-</w:t>
      </w:r>
      <w:r w:rsidR="005D1B06" w:rsidRPr="005D1B06">
        <w:rPr>
          <w:rFonts w:asciiTheme="minorHAnsi" w:hAnsiTheme="minorHAnsi" w:cstheme="minorHAnsi"/>
          <w:bCs/>
          <w:sz w:val="22"/>
          <w:szCs w:val="24"/>
        </w:rPr>
        <w:t>down menu</w:t>
      </w:r>
      <w:r w:rsidRPr="005D1B06">
        <w:rPr>
          <w:rFonts w:asciiTheme="minorHAnsi" w:hAnsiTheme="minorHAnsi" w:cstheme="minorHAnsi"/>
          <w:bCs/>
          <w:sz w:val="22"/>
          <w:szCs w:val="24"/>
        </w:rPr>
        <w:t xml:space="preserve">; </w:t>
      </w:r>
    </w:p>
    <w:p w14:paraId="4598600A" w14:textId="090F7EBA" w:rsidR="00F80FD3" w:rsidRPr="00F80FD3" w:rsidRDefault="00221717" w:rsidP="00F80FD3">
      <w:pPr>
        <w:numPr>
          <w:ilvl w:val="2"/>
          <w:numId w:val="10"/>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Meal and Incidental</w:t>
      </w:r>
      <w:r w:rsidR="002A6676">
        <w:rPr>
          <w:rFonts w:asciiTheme="minorHAnsi" w:hAnsiTheme="minorHAnsi" w:cstheme="minorHAnsi"/>
          <w:bCs/>
          <w:sz w:val="22"/>
          <w:szCs w:val="24"/>
        </w:rPr>
        <w:t xml:space="preserve"> Expense</w:t>
      </w:r>
      <w:r w:rsidRPr="00980836">
        <w:rPr>
          <w:rFonts w:asciiTheme="minorHAnsi" w:hAnsiTheme="minorHAnsi" w:cstheme="minorHAnsi"/>
          <w:bCs/>
          <w:sz w:val="22"/>
          <w:szCs w:val="24"/>
        </w:rPr>
        <w:t>s</w:t>
      </w:r>
      <w:r w:rsidR="002A6676">
        <w:rPr>
          <w:rFonts w:asciiTheme="minorHAnsi" w:hAnsiTheme="minorHAnsi" w:cstheme="minorHAnsi"/>
          <w:bCs/>
          <w:sz w:val="22"/>
          <w:szCs w:val="24"/>
        </w:rPr>
        <w:t xml:space="preserve"> (M&amp;IE)</w:t>
      </w:r>
      <w:r w:rsidRPr="00980836">
        <w:rPr>
          <w:rFonts w:asciiTheme="minorHAnsi" w:hAnsiTheme="minorHAnsi" w:cstheme="minorHAnsi"/>
          <w:bCs/>
          <w:sz w:val="22"/>
          <w:szCs w:val="24"/>
        </w:rPr>
        <w:t xml:space="preserve"> –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will reimburse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w:t>
      </w:r>
      <w:r w:rsidR="00F80FD3" w:rsidRPr="00F80FD3">
        <w:rPr>
          <w:rFonts w:asciiTheme="minorHAnsi" w:hAnsiTheme="minorHAnsi" w:cstheme="minorHAnsi"/>
          <w:bCs/>
          <w:sz w:val="22"/>
          <w:szCs w:val="24"/>
        </w:rPr>
        <w:t xml:space="preserve">a single amount per calendar day for actual M&amp;IE incurred, less any provided meals. The standard maximum allowance for a single calendar day of travel, when that day is neither the first nor last day of travel, will be $68. For the first and last day of travel during a multi-day trip, the maximum allowance will be up to 75 percent of the standard rate, or $51. Likewise, for a single day trip lasting more than 12 but less than 24 hours, the maximum allowance will be up to 75 percent of the standard rate, or $51. When meals are provided, the traveler must deduct the applicable meal cost from the daily allowance, based on the individual rates listed on the “Applicable M&amp;IE Rates” chart appearing on page </w:t>
      </w:r>
      <w:r w:rsidR="007F0D50">
        <w:rPr>
          <w:rFonts w:asciiTheme="minorHAnsi" w:hAnsiTheme="minorHAnsi" w:cstheme="minorHAnsi"/>
          <w:bCs/>
          <w:sz w:val="22"/>
          <w:szCs w:val="24"/>
        </w:rPr>
        <w:t>3</w:t>
      </w:r>
      <w:r w:rsidR="00F80FD3" w:rsidRPr="00F80FD3">
        <w:rPr>
          <w:rFonts w:asciiTheme="minorHAnsi" w:hAnsiTheme="minorHAnsi" w:cstheme="minorHAnsi"/>
          <w:bCs/>
          <w:sz w:val="22"/>
          <w:szCs w:val="24"/>
        </w:rPr>
        <w:t xml:space="preserve"> of this </w:t>
      </w:r>
      <w:r w:rsidR="000A36F2">
        <w:rPr>
          <w:rFonts w:asciiTheme="minorHAnsi" w:hAnsiTheme="minorHAnsi" w:cstheme="minorHAnsi"/>
          <w:bCs/>
          <w:sz w:val="22"/>
          <w:szCs w:val="24"/>
        </w:rPr>
        <w:t>document</w:t>
      </w:r>
      <w:r w:rsidR="00F80FD3" w:rsidRPr="00F80FD3">
        <w:rPr>
          <w:rFonts w:asciiTheme="minorHAnsi" w:hAnsiTheme="minorHAnsi" w:cstheme="minorHAnsi"/>
          <w:bCs/>
          <w:sz w:val="22"/>
          <w:szCs w:val="24"/>
        </w:rPr>
        <w:t>. Travelers are not eligible for M&amp;IE reimbursement for travel of less than 12 hours.</w:t>
      </w:r>
    </w:p>
    <w:p w14:paraId="0D248C26" w14:textId="1B8AE4B0" w:rsidR="00221717" w:rsidRDefault="00F80FD3" w:rsidP="00A466BB">
      <w:pPr>
        <w:spacing w:beforeLines="100" w:before="240" w:afterLines="100" w:after="240"/>
        <w:ind w:left="1368"/>
        <w:rPr>
          <w:rFonts w:asciiTheme="minorHAnsi" w:hAnsiTheme="minorHAnsi" w:cstheme="minorHAnsi"/>
          <w:bCs/>
          <w:sz w:val="22"/>
          <w:szCs w:val="24"/>
        </w:rPr>
      </w:pPr>
      <w:r w:rsidRPr="00F80FD3">
        <w:rPr>
          <w:rFonts w:asciiTheme="minorHAnsi" w:hAnsiTheme="minorHAnsi" w:cstheme="minorHAnsi"/>
          <w:bCs/>
          <w:sz w:val="22"/>
          <w:szCs w:val="24"/>
        </w:rPr>
        <w:t>M&amp;IE reimbursement rates will be based on travel time frames as follows:</w:t>
      </w:r>
    </w:p>
    <w:tbl>
      <w:tblPr>
        <w:tblStyle w:val="TableGrid"/>
        <w:tblW w:w="8165" w:type="dxa"/>
        <w:tblInd w:w="1325" w:type="dxa"/>
        <w:tblBorders>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1730"/>
        <w:gridCol w:w="2340"/>
        <w:gridCol w:w="4095"/>
      </w:tblGrid>
      <w:tr w:rsidR="00490677" w:rsidRPr="003748DD" w14:paraId="54113247" w14:textId="77777777" w:rsidTr="005659B3">
        <w:tc>
          <w:tcPr>
            <w:tcW w:w="8165" w:type="dxa"/>
            <w:gridSpan w:val="3"/>
            <w:tcBorders>
              <w:top w:val="single" w:sz="4" w:space="0" w:color="auto"/>
              <w:bottom w:val="single" w:sz="4" w:space="0" w:color="auto"/>
            </w:tcBorders>
            <w:shd w:val="clear" w:color="auto" w:fill="000000" w:themeFill="text1"/>
            <w:tcMar>
              <w:top w:w="0" w:type="dxa"/>
              <w:left w:w="58" w:type="dxa"/>
              <w:bottom w:w="0" w:type="dxa"/>
              <w:right w:w="58" w:type="dxa"/>
            </w:tcMar>
          </w:tcPr>
          <w:p w14:paraId="0FD406AF" w14:textId="0C6FA09C" w:rsidR="00490677" w:rsidRPr="003748DD" w:rsidRDefault="00490677" w:rsidP="003748DD">
            <w:pPr>
              <w:jc w:val="center"/>
              <w:rPr>
                <w:rFonts w:asciiTheme="minorHAnsi" w:hAnsiTheme="minorHAnsi" w:cstheme="minorHAnsi"/>
                <w:b/>
                <w:color w:val="FFFFFF" w:themeColor="background1"/>
                <w:sz w:val="22"/>
                <w:szCs w:val="24"/>
              </w:rPr>
            </w:pPr>
            <w:r>
              <w:rPr>
                <w:rFonts w:asciiTheme="minorHAnsi" w:hAnsiTheme="minorHAnsi" w:cstheme="minorHAnsi"/>
                <w:b/>
                <w:color w:val="FFFFFF" w:themeColor="background1"/>
                <w:sz w:val="22"/>
                <w:szCs w:val="24"/>
              </w:rPr>
              <w:t>M&amp;IE Time Frames</w:t>
            </w:r>
          </w:p>
        </w:tc>
      </w:tr>
      <w:tr w:rsidR="00C82E0A" w:rsidRPr="003748DD" w14:paraId="404C82F3" w14:textId="77777777" w:rsidTr="005659B3">
        <w:tc>
          <w:tcPr>
            <w:tcW w:w="4070" w:type="dxa"/>
            <w:gridSpan w:val="2"/>
            <w:tcBorders>
              <w:top w:val="single" w:sz="4" w:space="0" w:color="auto"/>
              <w:bottom w:val="single" w:sz="4" w:space="0" w:color="auto"/>
              <w:right w:val="single" w:sz="4" w:space="0" w:color="auto"/>
            </w:tcBorders>
            <w:shd w:val="clear" w:color="auto" w:fill="D9D9D9" w:themeFill="background1" w:themeFillShade="D9"/>
          </w:tcPr>
          <w:p w14:paraId="1852572B" w14:textId="328D71A8" w:rsidR="00C82E0A" w:rsidRPr="003255A2" w:rsidRDefault="00C82E0A" w:rsidP="003748DD">
            <w:pPr>
              <w:rPr>
                <w:rFonts w:asciiTheme="minorHAnsi" w:hAnsiTheme="minorHAnsi" w:cstheme="minorHAnsi"/>
                <w:b/>
                <w:i/>
                <w:iCs/>
                <w:sz w:val="18"/>
                <w:szCs w:val="18"/>
              </w:rPr>
            </w:pPr>
            <w:r w:rsidRPr="003255A2">
              <w:rPr>
                <w:rFonts w:asciiTheme="minorHAnsi" w:hAnsiTheme="minorHAnsi" w:cstheme="minorHAnsi"/>
                <w:b/>
                <w:sz w:val="18"/>
                <w:szCs w:val="18"/>
              </w:rPr>
              <w:t>When travel status is</w:t>
            </w:r>
          </w:p>
        </w:tc>
        <w:tc>
          <w:tcPr>
            <w:tcW w:w="4095" w:type="dxa"/>
            <w:tcBorders>
              <w:top w:val="single" w:sz="4" w:space="0" w:color="auto"/>
              <w:left w:val="single" w:sz="4" w:space="0" w:color="auto"/>
              <w:bottom w:val="single" w:sz="4" w:space="0" w:color="auto"/>
            </w:tcBorders>
            <w:shd w:val="clear" w:color="auto" w:fill="D9D9D9" w:themeFill="background1" w:themeFillShade="D9"/>
          </w:tcPr>
          <w:p w14:paraId="47EF3EE4" w14:textId="22C09AFF" w:rsidR="00C82E0A" w:rsidRPr="003255A2" w:rsidRDefault="00C82E0A" w:rsidP="003748DD">
            <w:pPr>
              <w:rPr>
                <w:rFonts w:asciiTheme="minorHAnsi" w:hAnsiTheme="minorHAnsi" w:cstheme="minorHAnsi"/>
                <w:b/>
                <w:i/>
                <w:iCs/>
                <w:sz w:val="18"/>
                <w:szCs w:val="18"/>
              </w:rPr>
            </w:pPr>
            <w:r w:rsidRPr="003255A2">
              <w:rPr>
                <w:rFonts w:asciiTheme="minorHAnsi" w:hAnsiTheme="minorHAnsi" w:cstheme="minorHAnsi"/>
                <w:b/>
                <w:sz w:val="18"/>
                <w:szCs w:val="18"/>
              </w:rPr>
              <w:t>Maximum reimbursement for actual expenses is</w:t>
            </w:r>
          </w:p>
        </w:tc>
      </w:tr>
      <w:tr w:rsidR="00C82E0A" w14:paraId="5F3E440E" w14:textId="77777777" w:rsidTr="00647614">
        <w:tc>
          <w:tcPr>
            <w:tcW w:w="4070" w:type="dxa"/>
            <w:gridSpan w:val="2"/>
            <w:tcBorders>
              <w:top w:val="single" w:sz="4" w:space="0" w:color="auto"/>
              <w:bottom w:val="single" w:sz="4" w:space="0" w:color="auto"/>
              <w:right w:val="single" w:sz="4" w:space="0" w:color="auto"/>
            </w:tcBorders>
            <w:vAlign w:val="center"/>
          </w:tcPr>
          <w:p w14:paraId="5E4B163D" w14:textId="1346F772" w:rsidR="00C82E0A" w:rsidRPr="003255A2" w:rsidRDefault="00C82E0A" w:rsidP="003748DD">
            <w:pPr>
              <w:rPr>
                <w:rFonts w:asciiTheme="minorHAnsi" w:hAnsiTheme="minorHAnsi" w:cstheme="minorHAnsi"/>
                <w:bCs/>
                <w:sz w:val="18"/>
                <w:szCs w:val="18"/>
              </w:rPr>
            </w:pPr>
            <w:r>
              <w:rPr>
                <w:rFonts w:asciiTheme="minorHAnsi" w:hAnsiTheme="minorHAnsi" w:cstheme="minorHAnsi"/>
                <w:bCs/>
                <w:sz w:val="18"/>
                <w:szCs w:val="18"/>
              </w:rPr>
              <w:t>More than 12 but less than 24 hours</w:t>
            </w:r>
          </w:p>
        </w:tc>
        <w:tc>
          <w:tcPr>
            <w:tcW w:w="4095" w:type="dxa"/>
            <w:tcBorders>
              <w:top w:val="single" w:sz="4" w:space="0" w:color="auto"/>
              <w:left w:val="single" w:sz="4" w:space="0" w:color="auto"/>
              <w:bottom w:val="single" w:sz="4" w:space="0" w:color="auto"/>
            </w:tcBorders>
            <w:vAlign w:val="center"/>
          </w:tcPr>
          <w:p w14:paraId="428E1166" w14:textId="68DE601C" w:rsidR="00C82E0A" w:rsidRPr="003255A2" w:rsidRDefault="00C82E0A" w:rsidP="003748DD">
            <w:pPr>
              <w:rPr>
                <w:rFonts w:asciiTheme="minorHAnsi" w:hAnsiTheme="minorHAnsi" w:cstheme="minorHAnsi"/>
                <w:bCs/>
                <w:sz w:val="18"/>
                <w:szCs w:val="18"/>
              </w:rPr>
            </w:pPr>
            <w:r>
              <w:rPr>
                <w:rFonts w:asciiTheme="minorHAnsi" w:hAnsiTheme="minorHAnsi" w:cstheme="minorHAnsi"/>
                <w:bCs/>
                <w:sz w:val="18"/>
                <w:szCs w:val="18"/>
              </w:rPr>
              <w:t>Actual expense up to 75% of the applicable M&amp;IE standard rate per day (up to $51)</w:t>
            </w:r>
          </w:p>
        </w:tc>
      </w:tr>
      <w:tr w:rsidR="00960898" w14:paraId="6D75331C" w14:textId="77777777" w:rsidTr="00647614">
        <w:tc>
          <w:tcPr>
            <w:tcW w:w="1730" w:type="dxa"/>
            <w:vMerge w:val="restart"/>
            <w:tcBorders>
              <w:top w:val="single" w:sz="4" w:space="0" w:color="auto"/>
              <w:bottom w:val="nil"/>
              <w:right w:val="single" w:sz="4" w:space="0" w:color="auto"/>
            </w:tcBorders>
          </w:tcPr>
          <w:p w14:paraId="72C5AA4B" w14:textId="42E87E96" w:rsidR="00960898" w:rsidRPr="003255A2" w:rsidRDefault="00960898" w:rsidP="00F379B5">
            <w:pPr>
              <w:rPr>
                <w:rFonts w:asciiTheme="minorHAnsi" w:hAnsiTheme="minorHAnsi" w:cstheme="minorHAnsi"/>
                <w:bCs/>
                <w:sz w:val="18"/>
                <w:szCs w:val="18"/>
              </w:rPr>
            </w:pPr>
            <w:r>
              <w:rPr>
                <w:rFonts w:asciiTheme="minorHAnsi" w:hAnsiTheme="minorHAnsi" w:cstheme="minorHAnsi"/>
                <w:bCs/>
                <w:sz w:val="18"/>
                <w:szCs w:val="18"/>
              </w:rPr>
              <w:t>24 hours or more, on</w:t>
            </w:r>
          </w:p>
        </w:tc>
        <w:tc>
          <w:tcPr>
            <w:tcW w:w="2340" w:type="dxa"/>
            <w:tcBorders>
              <w:top w:val="single" w:sz="4" w:space="0" w:color="auto"/>
              <w:left w:val="single" w:sz="4" w:space="0" w:color="auto"/>
              <w:bottom w:val="nil"/>
              <w:right w:val="single" w:sz="4" w:space="0" w:color="auto"/>
            </w:tcBorders>
          </w:tcPr>
          <w:p w14:paraId="5B1EBB36" w14:textId="3D7CC78E" w:rsidR="00960898" w:rsidRPr="003255A2" w:rsidRDefault="00960898" w:rsidP="003748DD">
            <w:pPr>
              <w:rPr>
                <w:rFonts w:asciiTheme="minorHAnsi" w:hAnsiTheme="minorHAnsi" w:cstheme="minorHAnsi"/>
                <w:bCs/>
                <w:sz w:val="18"/>
                <w:szCs w:val="18"/>
              </w:rPr>
            </w:pPr>
            <w:r>
              <w:rPr>
                <w:rFonts w:asciiTheme="minorHAnsi" w:hAnsiTheme="minorHAnsi" w:cstheme="minorHAnsi"/>
                <w:bCs/>
                <w:sz w:val="18"/>
                <w:szCs w:val="18"/>
              </w:rPr>
              <w:t>First day of travel</w:t>
            </w:r>
          </w:p>
        </w:tc>
        <w:tc>
          <w:tcPr>
            <w:tcW w:w="4095" w:type="dxa"/>
            <w:tcBorders>
              <w:top w:val="single" w:sz="4" w:space="0" w:color="auto"/>
              <w:left w:val="single" w:sz="4" w:space="0" w:color="auto"/>
              <w:bottom w:val="nil"/>
            </w:tcBorders>
            <w:vAlign w:val="center"/>
          </w:tcPr>
          <w:p w14:paraId="2422FDF4" w14:textId="4EEB204B" w:rsidR="00960898" w:rsidRPr="003255A2" w:rsidRDefault="00960898" w:rsidP="003748DD">
            <w:pPr>
              <w:rPr>
                <w:rFonts w:asciiTheme="minorHAnsi" w:hAnsiTheme="minorHAnsi" w:cstheme="minorHAnsi"/>
                <w:bCs/>
                <w:sz w:val="18"/>
                <w:szCs w:val="18"/>
              </w:rPr>
            </w:pPr>
            <w:r>
              <w:rPr>
                <w:rFonts w:asciiTheme="minorHAnsi" w:hAnsiTheme="minorHAnsi" w:cstheme="minorHAnsi"/>
                <w:bCs/>
                <w:sz w:val="18"/>
                <w:szCs w:val="18"/>
              </w:rPr>
              <w:t>Actual expense up to 75% of the applicable M&amp;IE standard rate per day (up to $51)</w:t>
            </w:r>
          </w:p>
        </w:tc>
      </w:tr>
      <w:tr w:rsidR="00960898" w14:paraId="394C3A4D" w14:textId="77777777" w:rsidTr="00647614">
        <w:tc>
          <w:tcPr>
            <w:tcW w:w="1730" w:type="dxa"/>
            <w:vMerge/>
            <w:tcBorders>
              <w:top w:val="nil"/>
              <w:bottom w:val="nil"/>
              <w:right w:val="single" w:sz="4" w:space="0" w:color="auto"/>
            </w:tcBorders>
            <w:vAlign w:val="center"/>
          </w:tcPr>
          <w:p w14:paraId="77F1B22A" w14:textId="53C90D66" w:rsidR="00960898" w:rsidRPr="003255A2" w:rsidRDefault="00960898" w:rsidP="003748DD">
            <w:pPr>
              <w:rPr>
                <w:rFonts w:asciiTheme="minorHAnsi" w:hAnsiTheme="minorHAnsi" w:cstheme="minorHAnsi"/>
                <w:bCs/>
                <w:sz w:val="18"/>
                <w:szCs w:val="18"/>
              </w:rPr>
            </w:pPr>
          </w:p>
        </w:tc>
        <w:tc>
          <w:tcPr>
            <w:tcW w:w="2340" w:type="dxa"/>
            <w:tcBorders>
              <w:top w:val="nil"/>
              <w:left w:val="single" w:sz="4" w:space="0" w:color="auto"/>
              <w:bottom w:val="nil"/>
              <w:right w:val="single" w:sz="4" w:space="0" w:color="auto"/>
            </w:tcBorders>
          </w:tcPr>
          <w:p w14:paraId="1C26D95F" w14:textId="60A80898" w:rsidR="00960898" w:rsidRPr="003255A2" w:rsidRDefault="00960898" w:rsidP="003748DD">
            <w:pPr>
              <w:rPr>
                <w:rFonts w:asciiTheme="minorHAnsi" w:hAnsiTheme="minorHAnsi" w:cstheme="minorHAnsi"/>
                <w:bCs/>
                <w:sz w:val="18"/>
                <w:szCs w:val="18"/>
              </w:rPr>
            </w:pPr>
            <w:r>
              <w:rPr>
                <w:rFonts w:asciiTheme="minorHAnsi" w:hAnsiTheme="minorHAnsi" w:cstheme="minorHAnsi"/>
                <w:bCs/>
                <w:sz w:val="18"/>
                <w:szCs w:val="18"/>
              </w:rPr>
              <w:t>Full days of travel in between</w:t>
            </w:r>
          </w:p>
        </w:tc>
        <w:tc>
          <w:tcPr>
            <w:tcW w:w="4095" w:type="dxa"/>
            <w:tcBorders>
              <w:top w:val="nil"/>
              <w:left w:val="single" w:sz="4" w:space="0" w:color="auto"/>
              <w:bottom w:val="nil"/>
            </w:tcBorders>
            <w:vAlign w:val="center"/>
          </w:tcPr>
          <w:p w14:paraId="0E4CF47E" w14:textId="0CC2EDF7" w:rsidR="00960898" w:rsidRPr="003255A2" w:rsidRDefault="00960898" w:rsidP="003748DD">
            <w:pPr>
              <w:rPr>
                <w:rFonts w:asciiTheme="minorHAnsi" w:hAnsiTheme="minorHAnsi" w:cstheme="minorHAnsi"/>
                <w:bCs/>
                <w:sz w:val="18"/>
                <w:szCs w:val="18"/>
              </w:rPr>
            </w:pPr>
            <w:r>
              <w:rPr>
                <w:rFonts w:asciiTheme="minorHAnsi" w:hAnsiTheme="minorHAnsi" w:cstheme="minorHAnsi"/>
                <w:bCs/>
                <w:sz w:val="18"/>
                <w:szCs w:val="18"/>
              </w:rPr>
              <w:t>Actual expense up to 100% of the applicable M&amp;IE standard rate per day (up to $68)</w:t>
            </w:r>
          </w:p>
        </w:tc>
      </w:tr>
      <w:tr w:rsidR="00960898" w14:paraId="03B45FDA" w14:textId="77777777" w:rsidTr="00647614">
        <w:tc>
          <w:tcPr>
            <w:tcW w:w="1730" w:type="dxa"/>
            <w:vMerge/>
            <w:tcBorders>
              <w:top w:val="nil"/>
              <w:bottom w:val="single" w:sz="4" w:space="0" w:color="auto"/>
              <w:right w:val="single" w:sz="4" w:space="0" w:color="auto"/>
            </w:tcBorders>
            <w:vAlign w:val="center"/>
          </w:tcPr>
          <w:p w14:paraId="263F38E2" w14:textId="77777777" w:rsidR="00960898" w:rsidRPr="003255A2" w:rsidRDefault="00960898" w:rsidP="003748DD">
            <w:pPr>
              <w:rPr>
                <w:rFonts w:asciiTheme="minorHAnsi" w:hAnsiTheme="minorHAnsi" w:cstheme="minorHAnsi"/>
                <w:bCs/>
                <w:sz w:val="18"/>
                <w:szCs w:val="18"/>
              </w:rPr>
            </w:pPr>
          </w:p>
        </w:tc>
        <w:tc>
          <w:tcPr>
            <w:tcW w:w="2340" w:type="dxa"/>
            <w:tcBorders>
              <w:top w:val="nil"/>
              <w:left w:val="single" w:sz="4" w:space="0" w:color="auto"/>
              <w:bottom w:val="single" w:sz="4" w:space="0" w:color="auto"/>
              <w:right w:val="single" w:sz="4" w:space="0" w:color="auto"/>
            </w:tcBorders>
          </w:tcPr>
          <w:p w14:paraId="62760EBD" w14:textId="583259C6" w:rsidR="00960898" w:rsidRDefault="00960898" w:rsidP="003748DD">
            <w:pPr>
              <w:rPr>
                <w:rFonts w:asciiTheme="minorHAnsi" w:hAnsiTheme="minorHAnsi" w:cstheme="minorHAnsi"/>
                <w:bCs/>
                <w:sz w:val="18"/>
                <w:szCs w:val="18"/>
              </w:rPr>
            </w:pPr>
            <w:r>
              <w:rPr>
                <w:rFonts w:asciiTheme="minorHAnsi" w:hAnsiTheme="minorHAnsi" w:cstheme="minorHAnsi"/>
                <w:bCs/>
                <w:sz w:val="18"/>
                <w:szCs w:val="18"/>
              </w:rPr>
              <w:t>Last day of travel</w:t>
            </w:r>
          </w:p>
        </w:tc>
        <w:tc>
          <w:tcPr>
            <w:tcW w:w="4095" w:type="dxa"/>
            <w:tcBorders>
              <w:top w:val="nil"/>
              <w:left w:val="single" w:sz="4" w:space="0" w:color="auto"/>
              <w:bottom w:val="single" w:sz="4" w:space="0" w:color="auto"/>
            </w:tcBorders>
            <w:vAlign w:val="center"/>
          </w:tcPr>
          <w:p w14:paraId="6620644A" w14:textId="74FB4679" w:rsidR="00960898" w:rsidRDefault="00960898" w:rsidP="003748DD">
            <w:pPr>
              <w:rPr>
                <w:rFonts w:asciiTheme="minorHAnsi" w:hAnsiTheme="minorHAnsi" w:cstheme="minorHAnsi"/>
                <w:bCs/>
                <w:sz w:val="18"/>
                <w:szCs w:val="18"/>
              </w:rPr>
            </w:pPr>
            <w:r>
              <w:rPr>
                <w:rFonts w:asciiTheme="minorHAnsi" w:hAnsiTheme="minorHAnsi" w:cstheme="minorHAnsi"/>
                <w:bCs/>
                <w:sz w:val="18"/>
                <w:szCs w:val="18"/>
              </w:rPr>
              <w:t>Actual expense up to 75% of the applicable M&amp;IE standard rate per day (up to $51)</w:t>
            </w:r>
          </w:p>
        </w:tc>
      </w:tr>
      <w:tr w:rsidR="00C82E0A" w14:paraId="18D744A9" w14:textId="77777777" w:rsidTr="00647614">
        <w:tc>
          <w:tcPr>
            <w:tcW w:w="4070" w:type="dxa"/>
            <w:gridSpan w:val="2"/>
            <w:tcBorders>
              <w:top w:val="single" w:sz="4" w:space="0" w:color="auto"/>
              <w:bottom w:val="single" w:sz="4" w:space="0" w:color="auto"/>
              <w:right w:val="single" w:sz="4" w:space="0" w:color="auto"/>
            </w:tcBorders>
            <w:vAlign w:val="center"/>
          </w:tcPr>
          <w:p w14:paraId="03CB390B" w14:textId="3BFDF8B5" w:rsidR="00C82E0A" w:rsidRDefault="00C82E0A" w:rsidP="003748DD">
            <w:pPr>
              <w:rPr>
                <w:rFonts w:asciiTheme="minorHAnsi" w:hAnsiTheme="minorHAnsi" w:cstheme="minorHAnsi"/>
                <w:bCs/>
                <w:sz w:val="18"/>
                <w:szCs w:val="18"/>
              </w:rPr>
            </w:pPr>
            <w:r>
              <w:rPr>
                <w:rFonts w:asciiTheme="minorHAnsi" w:hAnsiTheme="minorHAnsi" w:cstheme="minorHAnsi"/>
                <w:bCs/>
                <w:sz w:val="18"/>
                <w:szCs w:val="18"/>
              </w:rPr>
              <w:t>Less than 12 hours</w:t>
            </w:r>
          </w:p>
        </w:tc>
        <w:tc>
          <w:tcPr>
            <w:tcW w:w="4095" w:type="dxa"/>
            <w:tcBorders>
              <w:top w:val="single" w:sz="4" w:space="0" w:color="auto"/>
              <w:left w:val="single" w:sz="4" w:space="0" w:color="auto"/>
              <w:bottom w:val="single" w:sz="4" w:space="0" w:color="auto"/>
            </w:tcBorders>
            <w:vAlign w:val="center"/>
          </w:tcPr>
          <w:p w14:paraId="2657FED0" w14:textId="4648FD84" w:rsidR="00C82E0A" w:rsidRDefault="00C82E0A" w:rsidP="003748DD">
            <w:pPr>
              <w:rPr>
                <w:rFonts w:asciiTheme="minorHAnsi" w:hAnsiTheme="minorHAnsi" w:cstheme="minorHAnsi"/>
                <w:bCs/>
                <w:sz w:val="18"/>
                <w:szCs w:val="18"/>
              </w:rPr>
            </w:pPr>
            <w:r>
              <w:rPr>
                <w:rFonts w:asciiTheme="minorHAnsi" w:hAnsiTheme="minorHAnsi" w:cstheme="minorHAnsi"/>
                <w:bCs/>
                <w:sz w:val="18"/>
                <w:szCs w:val="18"/>
              </w:rPr>
              <w:t>Not eligible for M&amp;IE reimbursement</w:t>
            </w:r>
          </w:p>
        </w:tc>
      </w:tr>
    </w:tbl>
    <w:p w14:paraId="1E88BF83" w14:textId="63A37F0F" w:rsidR="002860AE" w:rsidRDefault="00647614" w:rsidP="004625FE">
      <w:pPr>
        <w:keepLines/>
        <w:spacing w:beforeLines="100" w:before="240" w:afterLines="100" w:after="240"/>
        <w:ind w:left="1368"/>
        <w:rPr>
          <w:rFonts w:asciiTheme="minorHAnsi" w:hAnsiTheme="minorHAnsi" w:cstheme="minorHAnsi"/>
          <w:bCs/>
          <w:sz w:val="22"/>
          <w:szCs w:val="24"/>
        </w:rPr>
      </w:pPr>
      <w:r w:rsidRPr="002860AE">
        <w:rPr>
          <w:rFonts w:asciiTheme="minorHAnsi" w:hAnsiTheme="minorHAnsi" w:cstheme="minorHAnsi"/>
          <w:bCs/>
          <w:sz w:val="22"/>
          <w:szCs w:val="24"/>
        </w:rPr>
        <w:lastRenderedPageBreak/>
        <w:t>The applicable M&amp;IE chart below provides the daily M&amp;IE total as well as the individual meal rates to be used for deduction from the M&amp;IE total, if any meals were furnished to the traveler. If a traveler is provided a meal on the first or last day of travel, they should deduct the applicable meal rate listed below from the $51 maximum reimbursement rate.</w:t>
      </w:r>
    </w:p>
    <w:tbl>
      <w:tblPr>
        <w:tblStyle w:val="TableGrid"/>
        <w:tblW w:w="8165" w:type="dxa"/>
        <w:tblInd w:w="1325" w:type="dxa"/>
        <w:tblCellMar>
          <w:top w:w="58" w:type="dxa"/>
          <w:bottom w:w="58" w:type="dxa"/>
        </w:tblCellMar>
        <w:tblLook w:val="04A0" w:firstRow="1" w:lastRow="0" w:firstColumn="1" w:lastColumn="0" w:noHBand="0" w:noVBand="1"/>
      </w:tblPr>
      <w:tblGrid>
        <w:gridCol w:w="1280"/>
        <w:gridCol w:w="1080"/>
        <w:gridCol w:w="810"/>
        <w:gridCol w:w="900"/>
        <w:gridCol w:w="1800"/>
        <w:gridCol w:w="2295"/>
      </w:tblGrid>
      <w:tr w:rsidR="00197569" w:rsidRPr="003748DD" w14:paraId="00569EB2" w14:textId="77777777" w:rsidTr="00A12C2C">
        <w:tc>
          <w:tcPr>
            <w:tcW w:w="8165" w:type="dxa"/>
            <w:gridSpan w:val="6"/>
            <w:shd w:val="clear" w:color="auto" w:fill="000000" w:themeFill="text1"/>
            <w:tcMar>
              <w:top w:w="0" w:type="dxa"/>
              <w:left w:w="115" w:type="dxa"/>
              <w:bottom w:w="0" w:type="dxa"/>
              <w:right w:w="115" w:type="dxa"/>
            </w:tcMar>
          </w:tcPr>
          <w:p w14:paraId="52AADFC0" w14:textId="2C5640A3" w:rsidR="00197569" w:rsidRPr="003748DD" w:rsidRDefault="00647614" w:rsidP="00CB0CBB">
            <w:pPr>
              <w:jc w:val="center"/>
              <w:rPr>
                <w:rFonts w:asciiTheme="minorHAnsi" w:hAnsiTheme="minorHAnsi" w:cstheme="minorHAnsi"/>
                <w:b/>
                <w:color w:val="FFFFFF" w:themeColor="background1"/>
                <w:sz w:val="22"/>
                <w:szCs w:val="24"/>
              </w:rPr>
            </w:pPr>
            <w:r>
              <w:rPr>
                <w:rFonts w:asciiTheme="minorHAnsi" w:hAnsiTheme="minorHAnsi" w:cstheme="minorHAnsi"/>
                <w:b/>
                <w:color w:val="FFFFFF" w:themeColor="background1"/>
                <w:sz w:val="22"/>
                <w:szCs w:val="24"/>
              </w:rPr>
              <w:t xml:space="preserve">Applicable </w:t>
            </w:r>
            <w:r w:rsidR="00197569">
              <w:rPr>
                <w:rFonts w:asciiTheme="minorHAnsi" w:hAnsiTheme="minorHAnsi" w:cstheme="minorHAnsi"/>
                <w:b/>
                <w:color w:val="FFFFFF" w:themeColor="background1"/>
                <w:sz w:val="22"/>
                <w:szCs w:val="24"/>
              </w:rPr>
              <w:t xml:space="preserve">M&amp;IE </w:t>
            </w:r>
            <w:r>
              <w:rPr>
                <w:rFonts w:asciiTheme="minorHAnsi" w:hAnsiTheme="minorHAnsi" w:cstheme="minorHAnsi"/>
                <w:b/>
                <w:color w:val="FFFFFF" w:themeColor="background1"/>
                <w:sz w:val="22"/>
                <w:szCs w:val="24"/>
              </w:rPr>
              <w:t>Rates</w:t>
            </w:r>
          </w:p>
        </w:tc>
      </w:tr>
      <w:tr w:rsidR="000626A8" w:rsidRPr="003255A2" w14:paraId="32553D15" w14:textId="77777777" w:rsidTr="00A12C2C">
        <w:tc>
          <w:tcPr>
            <w:tcW w:w="1280" w:type="dxa"/>
            <w:shd w:val="clear" w:color="auto" w:fill="D9D9D9" w:themeFill="background1" w:themeFillShade="D9"/>
            <w:tcMar>
              <w:top w:w="0" w:type="dxa"/>
              <w:left w:w="115" w:type="dxa"/>
              <w:bottom w:w="0" w:type="dxa"/>
              <w:right w:w="115" w:type="dxa"/>
            </w:tcMar>
          </w:tcPr>
          <w:p w14:paraId="28F1EDC9" w14:textId="3D7D0189" w:rsidR="00647614" w:rsidRPr="000626A8" w:rsidRDefault="00647614" w:rsidP="00CB0CBB">
            <w:pPr>
              <w:rPr>
                <w:rFonts w:asciiTheme="minorHAnsi" w:hAnsiTheme="minorHAnsi" w:cstheme="minorHAnsi"/>
                <w:b/>
                <w:sz w:val="18"/>
                <w:szCs w:val="18"/>
              </w:rPr>
            </w:pPr>
            <w:r w:rsidRPr="000626A8">
              <w:rPr>
                <w:rFonts w:asciiTheme="minorHAnsi" w:hAnsiTheme="minorHAnsi" w:cstheme="minorHAnsi"/>
                <w:b/>
                <w:sz w:val="18"/>
                <w:szCs w:val="18"/>
              </w:rPr>
              <w:t>M&amp;IE Total</w:t>
            </w:r>
          </w:p>
        </w:tc>
        <w:tc>
          <w:tcPr>
            <w:tcW w:w="1080" w:type="dxa"/>
            <w:shd w:val="clear" w:color="auto" w:fill="D9D9D9" w:themeFill="background1" w:themeFillShade="D9"/>
          </w:tcPr>
          <w:p w14:paraId="1612D341" w14:textId="3724B70D" w:rsidR="00647614" w:rsidRPr="000626A8" w:rsidRDefault="000626A8" w:rsidP="00CB0CBB">
            <w:pPr>
              <w:rPr>
                <w:rFonts w:asciiTheme="minorHAnsi" w:hAnsiTheme="minorHAnsi" w:cstheme="minorHAnsi"/>
                <w:b/>
                <w:sz w:val="18"/>
                <w:szCs w:val="18"/>
              </w:rPr>
            </w:pPr>
            <w:r>
              <w:rPr>
                <w:rFonts w:asciiTheme="minorHAnsi" w:hAnsiTheme="minorHAnsi" w:cstheme="minorHAnsi"/>
                <w:b/>
                <w:sz w:val="18"/>
                <w:szCs w:val="18"/>
              </w:rPr>
              <w:t>Breakfast</w:t>
            </w:r>
          </w:p>
        </w:tc>
        <w:tc>
          <w:tcPr>
            <w:tcW w:w="810" w:type="dxa"/>
            <w:shd w:val="clear" w:color="auto" w:fill="D9D9D9" w:themeFill="background1" w:themeFillShade="D9"/>
            <w:tcMar>
              <w:top w:w="0" w:type="dxa"/>
              <w:left w:w="115" w:type="dxa"/>
              <w:bottom w:w="0" w:type="dxa"/>
              <w:right w:w="115" w:type="dxa"/>
            </w:tcMar>
          </w:tcPr>
          <w:p w14:paraId="013B8336" w14:textId="68CAB965" w:rsidR="00647614" w:rsidRPr="000626A8" w:rsidRDefault="000626A8" w:rsidP="00CB0CBB">
            <w:pPr>
              <w:rPr>
                <w:rFonts w:asciiTheme="minorHAnsi" w:hAnsiTheme="minorHAnsi" w:cstheme="minorHAnsi"/>
                <w:b/>
                <w:sz w:val="18"/>
                <w:szCs w:val="18"/>
              </w:rPr>
            </w:pPr>
            <w:r>
              <w:rPr>
                <w:rFonts w:asciiTheme="minorHAnsi" w:hAnsiTheme="minorHAnsi" w:cstheme="minorHAnsi"/>
                <w:b/>
                <w:sz w:val="18"/>
                <w:szCs w:val="18"/>
              </w:rPr>
              <w:t>Lunch</w:t>
            </w:r>
          </w:p>
        </w:tc>
        <w:tc>
          <w:tcPr>
            <w:tcW w:w="900" w:type="dxa"/>
            <w:shd w:val="clear" w:color="auto" w:fill="D9D9D9" w:themeFill="background1" w:themeFillShade="D9"/>
          </w:tcPr>
          <w:p w14:paraId="6B3F2E1E" w14:textId="152FEE8E" w:rsidR="00647614" w:rsidRPr="000626A8" w:rsidRDefault="000626A8" w:rsidP="00CB0CBB">
            <w:pPr>
              <w:rPr>
                <w:rFonts w:asciiTheme="minorHAnsi" w:hAnsiTheme="minorHAnsi" w:cstheme="minorHAnsi"/>
                <w:b/>
                <w:sz w:val="18"/>
                <w:szCs w:val="18"/>
              </w:rPr>
            </w:pPr>
            <w:r>
              <w:rPr>
                <w:rFonts w:asciiTheme="minorHAnsi" w:hAnsiTheme="minorHAnsi" w:cstheme="minorHAnsi"/>
                <w:b/>
                <w:sz w:val="18"/>
                <w:szCs w:val="18"/>
              </w:rPr>
              <w:t>Dinner</w:t>
            </w:r>
          </w:p>
        </w:tc>
        <w:tc>
          <w:tcPr>
            <w:tcW w:w="1800" w:type="dxa"/>
            <w:shd w:val="clear" w:color="auto" w:fill="D9D9D9" w:themeFill="background1" w:themeFillShade="D9"/>
            <w:tcMar>
              <w:top w:w="0" w:type="dxa"/>
              <w:left w:w="115" w:type="dxa"/>
              <w:bottom w:w="0" w:type="dxa"/>
              <w:right w:w="115" w:type="dxa"/>
            </w:tcMar>
          </w:tcPr>
          <w:p w14:paraId="02E41980" w14:textId="36624501" w:rsidR="00647614" w:rsidRPr="000626A8" w:rsidRDefault="000626A8" w:rsidP="00CB0CBB">
            <w:pPr>
              <w:rPr>
                <w:rFonts w:asciiTheme="minorHAnsi" w:hAnsiTheme="minorHAnsi" w:cstheme="minorHAnsi"/>
                <w:b/>
                <w:sz w:val="18"/>
                <w:szCs w:val="18"/>
              </w:rPr>
            </w:pPr>
            <w:r>
              <w:rPr>
                <w:rFonts w:asciiTheme="minorHAnsi" w:hAnsiTheme="minorHAnsi" w:cstheme="minorHAnsi"/>
                <w:b/>
                <w:sz w:val="18"/>
                <w:szCs w:val="18"/>
              </w:rPr>
              <w:t>Incidental Expenses</w:t>
            </w:r>
          </w:p>
        </w:tc>
        <w:tc>
          <w:tcPr>
            <w:tcW w:w="2295" w:type="dxa"/>
            <w:shd w:val="clear" w:color="auto" w:fill="D9D9D9" w:themeFill="background1" w:themeFillShade="D9"/>
          </w:tcPr>
          <w:p w14:paraId="71D9245F" w14:textId="144D4E1E" w:rsidR="00647614" w:rsidRPr="000626A8" w:rsidRDefault="000626A8" w:rsidP="00CB0CBB">
            <w:pPr>
              <w:rPr>
                <w:rFonts w:asciiTheme="minorHAnsi" w:hAnsiTheme="minorHAnsi" w:cstheme="minorHAnsi"/>
                <w:b/>
                <w:sz w:val="18"/>
                <w:szCs w:val="18"/>
              </w:rPr>
            </w:pPr>
            <w:r>
              <w:rPr>
                <w:rFonts w:asciiTheme="minorHAnsi" w:hAnsiTheme="minorHAnsi" w:cstheme="minorHAnsi"/>
                <w:b/>
                <w:sz w:val="18"/>
                <w:szCs w:val="18"/>
              </w:rPr>
              <w:t>First &amp; Last Day of Travel</w:t>
            </w:r>
          </w:p>
        </w:tc>
      </w:tr>
      <w:tr w:rsidR="000626A8" w:rsidRPr="003255A2" w14:paraId="6084BAA0" w14:textId="77777777" w:rsidTr="00A12C2C">
        <w:tc>
          <w:tcPr>
            <w:tcW w:w="1280" w:type="dxa"/>
            <w:vAlign w:val="center"/>
          </w:tcPr>
          <w:p w14:paraId="02BB6D6E" w14:textId="2157DCF6" w:rsidR="00647614" w:rsidRPr="003255A2" w:rsidRDefault="000626A8" w:rsidP="00CB0CBB">
            <w:pPr>
              <w:rPr>
                <w:rFonts w:asciiTheme="minorHAnsi" w:hAnsiTheme="minorHAnsi" w:cstheme="minorHAnsi"/>
                <w:bCs/>
                <w:sz w:val="18"/>
                <w:szCs w:val="18"/>
              </w:rPr>
            </w:pPr>
            <w:r>
              <w:rPr>
                <w:rFonts w:asciiTheme="minorHAnsi" w:hAnsiTheme="minorHAnsi" w:cstheme="minorHAnsi"/>
                <w:bCs/>
                <w:sz w:val="18"/>
                <w:szCs w:val="18"/>
              </w:rPr>
              <w:t>Up to $68</w:t>
            </w:r>
          </w:p>
        </w:tc>
        <w:tc>
          <w:tcPr>
            <w:tcW w:w="1080" w:type="dxa"/>
            <w:vAlign w:val="center"/>
          </w:tcPr>
          <w:p w14:paraId="0B15301D" w14:textId="64D3DAAE" w:rsidR="00647614" w:rsidRPr="003255A2" w:rsidRDefault="000626A8" w:rsidP="00CB0CBB">
            <w:pPr>
              <w:rPr>
                <w:rFonts w:asciiTheme="minorHAnsi" w:hAnsiTheme="minorHAnsi" w:cstheme="minorHAnsi"/>
                <w:bCs/>
                <w:sz w:val="18"/>
                <w:szCs w:val="18"/>
              </w:rPr>
            </w:pPr>
            <w:r>
              <w:rPr>
                <w:rFonts w:asciiTheme="minorHAnsi" w:hAnsiTheme="minorHAnsi" w:cstheme="minorHAnsi"/>
                <w:bCs/>
                <w:sz w:val="18"/>
                <w:szCs w:val="18"/>
              </w:rPr>
              <w:t>$16</w:t>
            </w:r>
          </w:p>
        </w:tc>
        <w:tc>
          <w:tcPr>
            <w:tcW w:w="810" w:type="dxa"/>
          </w:tcPr>
          <w:p w14:paraId="252C9D13" w14:textId="70FDAD53" w:rsidR="00647614" w:rsidRPr="003255A2" w:rsidRDefault="000626A8" w:rsidP="00CB0CBB">
            <w:pPr>
              <w:rPr>
                <w:rFonts w:asciiTheme="minorHAnsi" w:hAnsiTheme="minorHAnsi" w:cstheme="minorHAnsi"/>
                <w:bCs/>
                <w:sz w:val="18"/>
                <w:szCs w:val="18"/>
              </w:rPr>
            </w:pPr>
            <w:r>
              <w:rPr>
                <w:rFonts w:asciiTheme="minorHAnsi" w:hAnsiTheme="minorHAnsi" w:cstheme="minorHAnsi"/>
                <w:bCs/>
                <w:sz w:val="18"/>
                <w:szCs w:val="18"/>
              </w:rPr>
              <w:t>$19</w:t>
            </w:r>
          </w:p>
        </w:tc>
        <w:tc>
          <w:tcPr>
            <w:tcW w:w="900" w:type="dxa"/>
          </w:tcPr>
          <w:p w14:paraId="46E38813" w14:textId="2157E4C9" w:rsidR="00647614" w:rsidRPr="003255A2" w:rsidRDefault="000626A8" w:rsidP="00CB0CBB">
            <w:pPr>
              <w:rPr>
                <w:rFonts w:asciiTheme="minorHAnsi" w:hAnsiTheme="minorHAnsi" w:cstheme="minorHAnsi"/>
                <w:bCs/>
                <w:sz w:val="18"/>
                <w:szCs w:val="18"/>
              </w:rPr>
            </w:pPr>
            <w:r>
              <w:rPr>
                <w:rFonts w:asciiTheme="minorHAnsi" w:hAnsiTheme="minorHAnsi" w:cstheme="minorHAnsi"/>
                <w:bCs/>
                <w:sz w:val="18"/>
                <w:szCs w:val="18"/>
              </w:rPr>
              <w:t>$28</w:t>
            </w:r>
          </w:p>
        </w:tc>
        <w:tc>
          <w:tcPr>
            <w:tcW w:w="1800" w:type="dxa"/>
            <w:vAlign w:val="center"/>
          </w:tcPr>
          <w:p w14:paraId="227649F3" w14:textId="6308B210" w:rsidR="00647614" w:rsidRPr="003255A2" w:rsidRDefault="000626A8" w:rsidP="00CB0CBB">
            <w:pPr>
              <w:rPr>
                <w:rFonts w:asciiTheme="minorHAnsi" w:hAnsiTheme="minorHAnsi" w:cstheme="minorHAnsi"/>
                <w:bCs/>
                <w:sz w:val="18"/>
                <w:szCs w:val="18"/>
              </w:rPr>
            </w:pPr>
            <w:r>
              <w:rPr>
                <w:rFonts w:asciiTheme="minorHAnsi" w:hAnsiTheme="minorHAnsi" w:cstheme="minorHAnsi"/>
                <w:bCs/>
                <w:sz w:val="18"/>
                <w:szCs w:val="18"/>
              </w:rPr>
              <w:t>$5</w:t>
            </w:r>
          </w:p>
        </w:tc>
        <w:tc>
          <w:tcPr>
            <w:tcW w:w="2295" w:type="dxa"/>
            <w:vAlign w:val="center"/>
          </w:tcPr>
          <w:p w14:paraId="21E81BF1" w14:textId="0E2DDB28" w:rsidR="00647614" w:rsidRPr="003255A2" w:rsidRDefault="000626A8" w:rsidP="00CB0CBB">
            <w:pPr>
              <w:rPr>
                <w:rFonts w:asciiTheme="minorHAnsi" w:hAnsiTheme="minorHAnsi" w:cstheme="minorHAnsi"/>
                <w:bCs/>
                <w:sz w:val="18"/>
                <w:szCs w:val="18"/>
              </w:rPr>
            </w:pPr>
            <w:r>
              <w:rPr>
                <w:rFonts w:asciiTheme="minorHAnsi" w:hAnsiTheme="minorHAnsi" w:cstheme="minorHAnsi"/>
                <w:bCs/>
                <w:sz w:val="18"/>
                <w:szCs w:val="18"/>
              </w:rPr>
              <w:t>Up to $51</w:t>
            </w:r>
          </w:p>
        </w:tc>
      </w:tr>
    </w:tbl>
    <w:p w14:paraId="13D6F034" w14:textId="4DA3C350" w:rsidR="00221717" w:rsidRPr="00980836" w:rsidRDefault="00221717" w:rsidP="00A466BB">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Reimbursement for Travel and Living Expenses is subject to the provisions of and must be charged in accordance with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’s Guidelines for Travel and Living Expenses.</w:t>
      </w:r>
    </w:p>
    <w:p w14:paraId="37C9C765" w14:textId="2157531F" w:rsidR="00221717" w:rsidRPr="00980836" w:rsidRDefault="00221717" w:rsidP="00A466BB">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is not obligated to pay for, and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shall not invoice for any hours of non-production Work expended by the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or its Subcontractors’ employees that are spent traveling to or from the location where the Service(s) are performed.</w:t>
      </w:r>
    </w:p>
    <w:p w14:paraId="52F332A0" w14:textId="1879AF05" w:rsidR="00221717" w:rsidRPr="00980836" w:rsidRDefault="00221717" w:rsidP="00A466BB">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Travel and Living Expenses shall be billed to the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at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’s actual cost, including any discounts or rebates accorded to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or its Subcontractors, and are not subject to any markup, fee, or other charge.</w:t>
      </w:r>
    </w:p>
    <w:p w14:paraId="56EA0229" w14:textId="293BCC5F" w:rsidR="00221717" w:rsidRPr="00980836" w:rsidRDefault="00221717" w:rsidP="00A466BB">
      <w:pPr>
        <w:numPr>
          <w:ilvl w:val="2"/>
          <w:numId w:val="11"/>
        </w:numPr>
        <w:spacing w:beforeLines="100" w:before="240" w:afterLines="100" w:after="240"/>
        <w:rPr>
          <w:rFonts w:asciiTheme="minorHAnsi" w:hAnsiTheme="minorHAnsi" w:cstheme="minorHAnsi"/>
          <w:bCs/>
          <w:sz w:val="22"/>
          <w:szCs w:val="24"/>
        </w:rPr>
      </w:pPr>
      <w:r w:rsidRPr="00980836">
        <w:rPr>
          <w:rFonts w:asciiTheme="minorHAnsi" w:hAnsiTheme="minorHAnsi" w:cstheme="minorHAnsi"/>
          <w:bCs/>
          <w:sz w:val="22"/>
          <w:szCs w:val="24"/>
        </w:rPr>
        <w:t xml:space="preserve">Notwithstanding the preceding,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shall be required to ensure its workers are paid, and </w:t>
      </w:r>
      <w:r w:rsidR="005D1B06">
        <w:rPr>
          <w:rFonts w:asciiTheme="minorHAnsi" w:hAnsiTheme="minorHAnsi" w:cstheme="minorHAnsi"/>
          <w:bCs/>
          <w:sz w:val="22"/>
          <w:szCs w:val="24"/>
        </w:rPr>
        <w:t>Judicial Council</w:t>
      </w:r>
      <w:r w:rsidRPr="00980836">
        <w:rPr>
          <w:rFonts w:asciiTheme="minorHAnsi" w:hAnsiTheme="minorHAnsi" w:cstheme="minorHAnsi"/>
          <w:bCs/>
          <w:sz w:val="22"/>
          <w:szCs w:val="24"/>
        </w:rPr>
        <w:t xml:space="preserve"> shall reimburse </w:t>
      </w:r>
      <w:r w:rsidR="00A466BB">
        <w:rPr>
          <w:rFonts w:asciiTheme="minorHAnsi" w:hAnsiTheme="minorHAnsi" w:cstheme="minorHAnsi"/>
          <w:bCs/>
          <w:sz w:val="22"/>
          <w:szCs w:val="24"/>
        </w:rPr>
        <w:t>Contractor</w:t>
      </w:r>
      <w:r w:rsidRPr="00980836">
        <w:rPr>
          <w:rFonts w:asciiTheme="minorHAnsi" w:hAnsiTheme="minorHAnsi" w:cstheme="minorHAnsi"/>
          <w:bCs/>
          <w:sz w:val="22"/>
          <w:szCs w:val="24"/>
        </w:rPr>
        <w:t xml:space="preserve"> to the extent applicable for, all travel and/or subsistence payments pursuant to Labor Code sections 1773.1 and 1773.9 or as otherwise required by the Prevailing Wage </w:t>
      </w:r>
      <w:r>
        <w:rPr>
          <w:rFonts w:asciiTheme="minorHAnsi" w:hAnsiTheme="minorHAnsi" w:cstheme="minorHAnsi"/>
          <w:bCs/>
          <w:sz w:val="22"/>
          <w:szCs w:val="24"/>
        </w:rPr>
        <w:t>l</w:t>
      </w:r>
      <w:r w:rsidRPr="00980836">
        <w:rPr>
          <w:rFonts w:asciiTheme="minorHAnsi" w:hAnsiTheme="minorHAnsi" w:cstheme="minorHAnsi"/>
          <w:bCs/>
          <w:sz w:val="22"/>
          <w:szCs w:val="24"/>
        </w:rPr>
        <w:t>aws.</w:t>
      </w:r>
    </w:p>
    <w:p w14:paraId="05ABD344" w14:textId="29967D01" w:rsidR="00BA146F" w:rsidRDefault="00221717" w:rsidP="00A466BB">
      <w:pPr>
        <w:spacing w:beforeLines="100" w:before="240" w:afterLines="100" w:after="240"/>
        <w:jc w:val="center"/>
      </w:pPr>
      <w:r w:rsidRPr="001400AA">
        <w:rPr>
          <w:rFonts w:asciiTheme="minorHAnsi" w:hAnsiTheme="minorHAnsi" w:cstheme="minorHAnsi"/>
          <w:b/>
          <w:sz w:val="22"/>
          <w:szCs w:val="24"/>
        </w:rPr>
        <w:t xml:space="preserve">END </w:t>
      </w:r>
      <w:r w:rsidR="007A0C90">
        <w:rPr>
          <w:rFonts w:asciiTheme="minorHAnsi" w:hAnsiTheme="minorHAnsi" w:cstheme="minorHAnsi"/>
          <w:b/>
          <w:sz w:val="22"/>
          <w:szCs w:val="24"/>
        </w:rPr>
        <w:t>OF GUIDELINES</w:t>
      </w:r>
    </w:p>
    <w:sectPr w:rsidR="00BA146F" w:rsidSect="00975246">
      <w:headerReference w:type="even" r:id="rId10"/>
      <w:headerReference w:type="default" r:id="rId11"/>
      <w:footerReference w:type="even" r:id="rId12"/>
      <w:footerReference w:type="default" r:id="rId13"/>
      <w:headerReference w:type="first" r:id="rId14"/>
      <w:footerReference w:type="first" r:id="rId15"/>
      <w:pgSz w:w="12240" w:h="15840" w:code="1"/>
      <w:pgMar w:top="1152" w:right="1440" w:bottom="72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A1368" w14:textId="77777777" w:rsidR="002E1C57" w:rsidRDefault="002E1C57" w:rsidP="002E1C57">
      <w:r>
        <w:separator/>
      </w:r>
    </w:p>
  </w:endnote>
  <w:endnote w:type="continuationSeparator" w:id="0">
    <w:p w14:paraId="51674BA3" w14:textId="77777777" w:rsidR="002E1C57" w:rsidRDefault="002E1C57" w:rsidP="002E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6006" w14:textId="77777777" w:rsidR="002E1C57" w:rsidRDefault="002E1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995105260"/>
      <w:docPartObj>
        <w:docPartGallery w:val="Page Numbers (Bottom of Page)"/>
        <w:docPartUnique/>
      </w:docPartObj>
    </w:sdtPr>
    <w:sdtEndPr/>
    <w:sdtContent>
      <w:sdt>
        <w:sdtPr>
          <w:rPr>
            <w:sz w:val="18"/>
          </w:rPr>
          <w:id w:val="1728636285"/>
          <w:docPartObj>
            <w:docPartGallery w:val="Page Numbers (Top of Page)"/>
            <w:docPartUnique/>
          </w:docPartObj>
        </w:sdtPr>
        <w:sdtEndPr/>
        <w:sdtContent>
          <w:p w14:paraId="654B7887" w14:textId="5D0D037D" w:rsidR="002E1C57" w:rsidRPr="00E4450A" w:rsidRDefault="00E4450A" w:rsidP="00E4450A">
            <w:pPr>
              <w:pStyle w:val="Footer"/>
              <w:jc w:val="center"/>
              <w:rPr>
                <w:sz w:val="18"/>
              </w:rPr>
            </w:pPr>
            <w:r w:rsidRPr="00E4450A">
              <w:rPr>
                <w:sz w:val="18"/>
              </w:rPr>
              <w:t xml:space="preserve">Page </w:t>
            </w:r>
            <w:r w:rsidRPr="00E4450A">
              <w:rPr>
                <w:sz w:val="18"/>
                <w:szCs w:val="24"/>
              </w:rPr>
              <w:fldChar w:fldCharType="begin"/>
            </w:r>
            <w:r w:rsidRPr="00E4450A">
              <w:rPr>
                <w:sz w:val="18"/>
              </w:rPr>
              <w:instrText xml:space="preserve"> PAGE </w:instrText>
            </w:r>
            <w:r w:rsidRPr="00E4450A">
              <w:rPr>
                <w:sz w:val="18"/>
                <w:szCs w:val="24"/>
              </w:rPr>
              <w:fldChar w:fldCharType="separate"/>
            </w:r>
            <w:r w:rsidRPr="00E4450A">
              <w:rPr>
                <w:noProof/>
                <w:sz w:val="18"/>
              </w:rPr>
              <w:t>2</w:t>
            </w:r>
            <w:r w:rsidRPr="00E4450A">
              <w:rPr>
                <w:sz w:val="18"/>
                <w:szCs w:val="24"/>
              </w:rPr>
              <w:fldChar w:fldCharType="end"/>
            </w:r>
            <w:r w:rsidRPr="00E4450A">
              <w:rPr>
                <w:sz w:val="18"/>
              </w:rPr>
              <w:t xml:space="preserve"> of </w:t>
            </w:r>
            <w:r w:rsidRPr="00E4450A">
              <w:rPr>
                <w:sz w:val="18"/>
                <w:szCs w:val="24"/>
              </w:rPr>
              <w:fldChar w:fldCharType="begin"/>
            </w:r>
            <w:r w:rsidRPr="00E4450A">
              <w:rPr>
                <w:sz w:val="18"/>
              </w:rPr>
              <w:instrText xml:space="preserve"> NUMPAGES  </w:instrText>
            </w:r>
            <w:r w:rsidRPr="00E4450A">
              <w:rPr>
                <w:sz w:val="18"/>
                <w:szCs w:val="24"/>
              </w:rPr>
              <w:fldChar w:fldCharType="separate"/>
            </w:r>
            <w:r w:rsidRPr="00E4450A">
              <w:rPr>
                <w:noProof/>
                <w:sz w:val="18"/>
              </w:rPr>
              <w:t>2</w:t>
            </w:r>
            <w:r w:rsidRPr="00E4450A">
              <w:rPr>
                <w:sz w:val="18"/>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440983259"/>
      <w:docPartObj>
        <w:docPartGallery w:val="Page Numbers (Bottom of Page)"/>
        <w:docPartUnique/>
      </w:docPartObj>
    </w:sdtPr>
    <w:sdtEndPr/>
    <w:sdtContent>
      <w:sdt>
        <w:sdtPr>
          <w:rPr>
            <w:sz w:val="18"/>
          </w:rPr>
          <w:id w:val="2082169577"/>
          <w:docPartObj>
            <w:docPartGallery w:val="Page Numbers (Top of Page)"/>
            <w:docPartUnique/>
          </w:docPartObj>
        </w:sdtPr>
        <w:sdtEndPr/>
        <w:sdtContent>
          <w:p w14:paraId="445B3694" w14:textId="4779987E" w:rsidR="002E1C57" w:rsidRPr="00291FFE" w:rsidRDefault="00291FFE" w:rsidP="00291FFE">
            <w:pPr>
              <w:pStyle w:val="Footer"/>
              <w:jc w:val="center"/>
              <w:rPr>
                <w:sz w:val="18"/>
              </w:rPr>
            </w:pPr>
            <w:r w:rsidRPr="00E4450A">
              <w:rPr>
                <w:sz w:val="18"/>
              </w:rPr>
              <w:t xml:space="preserve">Page </w:t>
            </w:r>
            <w:r w:rsidRPr="00E4450A">
              <w:rPr>
                <w:sz w:val="18"/>
                <w:szCs w:val="24"/>
              </w:rPr>
              <w:fldChar w:fldCharType="begin"/>
            </w:r>
            <w:r w:rsidRPr="00E4450A">
              <w:rPr>
                <w:sz w:val="18"/>
              </w:rPr>
              <w:instrText xml:space="preserve"> PAGE </w:instrText>
            </w:r>
            <w:r w:rsidRPr="00E4450A">
              <w:rPr>
                <w:sz w:val="18"/>
                <w:szCs w:val="24"/>
              </w:rPr>
              <w:fldChar w:fldCharType="separate"/>
            </w:r>
            <w:r>
              <w:rPr>
                <w:sz w:val="18"/>
                <w:szCs w:val="24"/>
              </w:rPr>
              <w:t>2</w:t>
            </w:r>
            <w:r w:rsidRPr="00E4450A">
              <w:rPr>
                <w:sz w:val="18"/>
                <w:szCs w:val="24"/>
              </w:rPr>
              <w:fldChar w:fldCharType="end"/>
            </w:r>
            <w:r w:rsidRPr="00E4450A">
              <w:rPr>
                <w:sz w:val="18"/>
              </w:rPr>
              <w:t xml:space="preserve"> of </w:t>
            </w:r>
            <w:r w:rsidRPr="00E4450A">
              <w:rPr>
                <w:sz w:val="18"/>
                <w:szCs w:val="24"/>
              </w:rPr>
              <w:fldChar w:fldCharType="begin"/>
            </w:r>
            <w:r w:rsidRPr="00E4450A">
              <w:rPr>
                <w:sz w:val="18"/>
              </w:rPr>
              <w:instrText xml:space="preserve"> NUMPAGES  </w:instrText>
            </w:r>
            <w:r w:rsidRPr="00E4450A">
              <w:rPr>
                <w:sz w:val="18"/>
                <w:szCs w:val="24"/>
              </w:rPr>
              <w:fldChar w:fldCharType="separate"/>
            </w:r>
            <w:r>
              <w:rPr>
                <w:sz w:val="18"/>
                <w:szCs w:val="24"/>
              </w:rPr>
              <w:t>3</w:t>
            </w:r>
            <w:r w:rsidRPr="00E4450A">
              <w:rPr>
                <w:sz w:val="18"/>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77DC0" w14:textId="77777777" w:rsidR="002E1C57" w:rsidRDefault="002E1C57" w:rsidP="002E1C57">
      <w:r>
        <w:separator/>
      </w:r>
    </w:p>
  </w:footnote>
  <w:footnote w:type="continuationSeparator" w:id="0">
    <w:p w14:paraId="68B5DCED" w14:textId="77777777" w:rsidR="002E1C57" w:rsidRDefault="002E1C57" w:rsidP="002E1C57">
      <w:r>
        <w:continuationSeparator/>
      </w:r>
    </w:p>
  </w:footnote>
  <w:footnote w:id="1">
    <w:p w14:paraId="02279072" w14:textId="77777777" w:rsidR="00E5026C" w:rsidRDefault="00E5026C" w:rsidP="00F66451">
      <w:pPr>
        <w:pStyle w:val="FootnoteText"/>
      </w:pPr>
      <w:r>
        <w:rPr>
          <w:rStyle w:val="FootnoteReference"/>
        </w:rPr>
        <w:footnoteRef/>
      </w:r>
      <w:r>
        <w:t xml:space="preserve"> </w:t>
      </w:r>
      <w:r w:rsidRPr="00E80679">
        <w:t xml:space="preserve">Actual </w:t>
      </w:r>
      <w:proofErr w:type="gramStart"/>
      <w:r w:rsidRPr="00E80679">
        <w:t>cost plus</w:t>
      </w:r>
      <w:proofErr w:type="gramEnd"/>
      <w:r w:rsidRPr="00E80679">
        <w:t xml:space="preserve"> occupancy tax and/or energy surcharge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183E" w14:textId="77777777" w:rsidR="002E1C57" w:rsidRDefault="002E1C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21B0" w14:textId="644604D3" w:rsidR="002E1C57" w:rsidRPr="00291FFE" w:rsidRDefault="00975246" w:rsidP="00291FFE">
    <w:pPr>
      <w:pStyle w:val="Title"/>
      <w:spacing w:before="0" w:after="0"/>
      <w:jc w:val="left"/>
      <w:outlineLvl w:val="9"/>
      <w:rPr>
        <w:b w:val="0"/>
        <w:bCs w:val="0"/>
      </w:rPr>
    </w:pPr>
    <w:r w:rsidRPr="00291FFE">
      <w:rPr>
        <w:rFonts w:asciiTheme="minorHAnsi" w:hAnsiTheme="minorHAnsi" w:cstheme="minorHAnsi"/>
        <w:b w:val="0"/>
        <w:bCs w:val="0"/>
        <w:color w:val="000000" w:themeColor="text1"/>
        <w:sz w:val="18"/>
        <w:szCs w:val="24"/>
      </w:rPr>
      <w:t>Judicial Council’s Travel and Expense Reimbursement Guidelines (Contractors)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BAD5" w14:textId="77777777" w:rsidR="002E1C57" w:rsidRDefault="002E1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837BA"/>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17EF624D"/>
    <w:multiLevelType w:val="multilevel"/>
    <w:tmpl w:val="F1B8E24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1EAD0C82"/>
    <w:multiLevelType w:val="hybridMultilevel"/>
    <w:tmpl w:val="2F4CC25A"/>
    <w:lvl w:ilvl="0" w:tplc="77B4A5F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F2393B"/>
    <w:multiLevelType w:val="multilevel"/>
    <w:tmpl w:val="AF946CFA"/>
    <w:lvl w:ilvl="0">
      <w:start w:val="1"/>
      <w:numFmt w:val="decimal"/>
      <w:lvlText w:val="%1."/>
      <w:lvlJc w:val="left"/>
      <w:pPr>
        <w:tabs>
          <w:tab w:val="num" w:pos="720"/>
        </w:tabs>
        <w:ind w:left="720" w:hanging="720"/>
      </w:pPr>
      <w:rPr>
        <w:rFonts w:ascii="Times New Roman Bold" w:hAnsi="Times New Roman Bold" w:cstheme="majorHAnsi" w:hint="default"/>
        <w:b/>
        <w:i w:val="0"/>
        <w:caps w:val="0"/>
        <w:strike w:val="0"/>
        <w:dstrike w:val="0"/>
        <w:vanish w:val="0"/>
        <w:sz w:val="24"/>
        <w:szCs w:val="22"/>
        <w:vertAlign w:val="baseline"/>
      </w:rPr>
    </w:lvl>
    <w:lvl w:ilvl="1">
      <w:start w:val="1"/>
      <w:numFmt w:val="decimal"/>
      <w:lvlText w:val="%1.%2"/>
      <w:lvlJc w:val="left"/>
      <w:pPr>
        <w:tabs>
          <w:tab w:val="num" w:pos="1440"/>
        </w:tabs>
        <w:ind w:left="1440" w:firstLine="0"/>
      </w:pPr>
      <w:rPr>
        <w:rFonts w:ascii="Times New Roman Bold" w:hAnsi="Times New Roman Bold" w:cstheme="minorHAnsi" w:hint="default"/>
        <w:b/>
        <w:i w:val="0"/>
        <w:sz w:val="20"/>
      </w:rPr>
    </w:lvl>
    <w:lvl w:ilvl="2">
      <w:start w:val="1"/>
      <w:numFmt w:val="upperLetter"/>
      <w:lvlText w:val="%3."/>
      <w:lvlJc w:val="left"/>
      <w:pPr>
        <w:tabs>
          <w:tab w:val="num" w:pos="2160"/>
        </w:tabs>
        <w:ind w:left="2160" w:firstLine="0"/>
      </w:pPr>
      <w:rPr>
        <w:rFonts w:ascii="Times New Roman Bold" w:hAnsi="Times New Roman Bold" w:hint="default"/>
        <w:b/>
        <w:i w:val="0"/>
        <w:sz w:val="20"/>
        <w:szCs w:val="24"/>
      </w:rPr>
    </w:lvl>
    <w:lvl w:ilvl="3">
      <w:start w:val="1"/>
      <w:numFmt w:val="decimal"/>
      <w:lvlText w:val="(%4)"/>
      <w:lvlJc w:val="left"/>
      <w:pPr>
        <w:tabs>
          <w:tab w:val="num" w:pos="2880"/>
        </w:tabs>
        <w:ind w:left="2880" w:firstLine="0"/>
      </w:pPr>
      <w:rPr>
        <w:rFonts w:hint="default"/>
        <w:b/>
        <w:i w:val="0"/>
      </w:rPr>
    </w:lvl>
    <w:lvl w:ilvl="4">
      <w:start w:val="1"/>
      <w:numFmt w:val="lowerLetter"/>
      <w:lvlText w:val="(%5)"/>
      <w:lvlJc w:val="left"/>
      <w:pPr>
        <w:tabs>
          <w:tab w:val="num" w:pos="3600"/>
        </w:tabs>
        <w:ind w:left="3600" w:firstLine="0"/>
      </w:pPr>
      <w:rPr>
        <w:rFonts w:hint="default"/>
        <w:b/>
        <w:i w:val="0"/>
      </w:rPr>
    </w:lvl>
    <w:lvl w:ilvl="5">
      <w:start w:val="1"/>
      <w:numFmt w:val="lowerRoman"/>
      <w:lvlText w:val="(%6)"/>
      <w:lvlJc w:val="left"/>
      <w:pPr>
        <w:tabs>
          <w:tab w:val="num" w:pos="4320"/>
        </w:tabs>
        <w:ind w:left="4320" w:firstLine="0"/>
      </w:pPr>
      <w:rPr>
        <w:rFonts w:hint="default"/>
        <w:b/>
        <w:i w:val="0"/>
      </w:rPr>
    </w:lvl>
    <w:lvl w:ilvl="6">
      <w:start w:val="1"/>
      <w:numFmt w:val="bullet"/>
      <w:lvlText w:val=""/>
      <w:lvlJc w:val="left"/>
      <w:pPr>
        <w:tabs>
          <w:tab w:val="num" w:pos="5040"/>
        </w:tabs>
        <w:ind w:left="5040" w:firstLine="0"/>
      </w:pPr>
      <w:rPr>
        <w:rFonts w:ascii="Wingdings" w:hAnsi="Wingding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4" w15:restartNumberingAfterBreak="0">
    <w:nsid w:val="51D64906"/>
    <w:multiLevelType w:val="multilevel"/>
    <w:tmpl w:val="DFC416F2"/>
    <w:lvl w:ilvl="0">
      <w:start w:val="1"/>
      <w:numFmt w:val="decimal"/>
      <w:lvlText w:val="%1."/>
      <w:lvlJc w:val="left"/>
      <w:pPr>
        <w:ind w:left="720" w:hanging="72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ascii="Times New Roman" w:hAnsi="Times New Roman" w:cs="Times New Roman" w:hint="default"/>
        <w:b w:val="0"/>
        <w:bCs w:val="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CE45D13"/>
    <w:multiLevelType w:val="multilevel"/>
    <w:tmpl w:val="647EB106"/>
    <w:lvl w:ilvl="0">
      <w:start w:val="1"/>
      <w:numFmt w:val="decimal"/>
      <w:pStyle w:val="RFP1"/>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6" w15:restartNumberingAfterBreak="0">
    <w:nsid w:val="61DF057C"/>
    <w:multiLevelType w:val="multilevel"/>
    <w:tmpl w:val="7218892E"/>
    <w:lvl w:ilvl="0">
      <w:start w:val="1"/>
      <w:numFmt w:val="decimal"/>
      <w:lvlText w:val="%1.0"/>
      <w:lvlJc w:val="left"/>
      <w:pPr>
        <w:ind w:left="360" w:hanging="360"/>
      </w:pPr>
      <w:rPr>
        <w:rFonts w:ascii="Calibri" w:hAnsi="Calibri" w:hint="default"/>
        <w:b/>
        <w:i w:val="0"/>
        <w:color w:val="365F91" w:themeColor="accent1" w:themeShade="BF"/>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87001E"/>
    <w:multiLevelType w:val="multilevel"/>
    <w:tmpl w:val="763A1556"/>
    <w:lvl w:ilvl="0">
      <w:start w:val="1"/>
      <w:numFmt w:val="decimal"/>
      <w:pStyle w:val="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637146A"/>
    <w:multiLevelType w:val="multilevel"/>
    <w:tmpl w:val="98AA35B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1">
    <w:nsid w:val="6A587590"/>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6D5C3C06"/>
    <w:multiLevelType w:val="multilevel"/>
    <w:tmpl w:val="04767E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DDD746C"/>
    <w:multiLevelType w:val="multilevel"/>
    <w:tmpl w:val="3FDEB1B0"/>
    <w:lvl w:ilvl="0">
      <w:start w:val="1"/>
      <w:numFmt w:val="decimal"/>
      <w:pStyle w:val="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1">
    <w:nsid w:val="78164074"/>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num w:numId="1" w16cid:durableId="730469890">
    <w:abstractNumId w:val="1"/>
  </w:num>
  <w:num w:numId="2" w16cid:durableId="1399284661">
    <w:abstractNumId w:val="10"/>
  </w:num>
  <w:num w:numId="3" w16cid:durableId="667756508">
    <w:abstractNumId w:val="5"/>
  </w:num>
  <w:num w:numId="4" w16cid:durableId="739790177">
    <w:abstractNumId w:val="2"/>
  </w:num>
  <w:num w:numId="5" w16cid:durableId="1248340756">
    <w:abstractNumId w:val="8"/>
  </w:num>
  <w:num w:numId="6" w16cid:durableId="1576476699">
    <w:abstractNumId w:val="6"/>
  </w:num>
  <w:num w:numId="7" w16cid:durableId="1542400718">
    <w:abstractNumId w:val="11"/>
  </w:num>
  <w:num w:numId="8" w16cid:durableId="441926582">
    <w:abstractNumId w:val="3"/>
  </w:num>
  <w:num w:numId="9" w16cid:durableId="70546050">
    <w:abstractNumId w:val="7"/>
  </w:num>
  <w:num w:numId="10" w16cid:durableId="44261278">
    <w:abstractNumId w:val="12"/>
  </w:num>
  <w:num w:numId="11" w16cid:durableId="84109822">
    <w:abstractNumId w:val="0"/>
  </w:num>
  <w:num w:numId="12" w16cid:durableId="36592173">
    <w:abstractNumId w:val="4"/>
  </w:num>
  <w:num w:numId="13" w16cid:durableId="19571773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17"/>
    <w:rsid w:val="0001100F"/>
    <w:rsid w:val="00031242"/>
    <w:rsid w:val="00041F98"/>
    <w:rsid w:val="000626A8"/>
    <w:rsid w:val="000641FA"/>
    <w:rsid w:val="000A36F2"/>
    <w:rsid w:val="000E0BD3"/>
    <w:rsid w:val="000F2F64"/>
    <w:rsid w:val="00126842"/>
    <w:rsid w:val="00197569"/>
    <w:rsid w:val="002020A2"/>
    <w:rsid w:val="00221717"/>
    <w:rsid w:val="00233552"/>
    <w:rsid w:val="002860AE"/>
    <w:rsid w:val="00291FFE"/>
    <w:rsid w:val="00293776"/>
    <w:rsid w:val="002A6676"/>
    <w:rsid w:val="002C3047"/>
    <w:rsid w:val="002C5CFD"/>
    <w:rsid w:val="002E1C57"/>
    <w:rsid w:val="00316B65"/>
    <w:rsid w:val="003255A2"/>
    <w:rsid w:val="003748DD"/>
    <w:rsid w:val="004166C6"/>
    <w:rsid w:val="00422E4A"/>
    <w:rsid w:val="004625FE"/>
    <w:rsid w:val="00472771"/>
    <w:rsid w:val="00490677"/>
    <w:rsid w:val="004C2345"/>
    <w:rsid w:val="00506848"/>
    <w:rsid w:val="00517ECB"/>
    <w:rsid w:val="00554D25"/>
    <w:rsid w:val="0055602C"/>
    <w:rsid w:val="005615AB"/>
    <w:rsid w:val="005659B3"/>
    <w:rsid w:val="005D1B06"/>
    <w:rsid w:val="005D45B7"/>
    <w:rsid w:val="005E4A49"/>
    <w:rsid w:val="00613FFD"/>
    <w:rsid w:val="006274EE"/>
    <w:rsid w:val="00634766"/>
    <w:rsid w:val="00647614"/>
    <w:rsid w:val="006C01CC"/>
    <w:rsid w:val="00715215"/>
    <w:rsid w:val="00716208"/>
    <w:rsid w:val="00764ACE"/>
    <w:rsid w:val="007A0C90"/>
    <w:rsid w:val="007F0D50"/>
    <w:rsid w:val="00815BFF"/>
    <w:rsid w:val="00945894"/>
    <w:rsid w:val="00960898"/>
    <w:rsid w:val="00975246"/>
    <w:rsid w:val="00981F8F"/>
    <w:rsid w:val="00A12C2C"/>
    <w:rsid w:val="00A20573"/>
    <w:rsid w:val="00A42A91"/>
    <w:rsid w:val="00A466BB"/>
    <w:rsid w:val="00AF0562"/>
    <w:rsid w:val="00B06BA2"/>
    <w:rsid w:val="00B13EF0"/>
    <w:rsid w:val="00BA146F"/>
    <w:rsid w:val="00BD224E"/>
    <w:rsid w:val="00C82E0A"/>
    <w:rsid w:val="00CD4421"/>
    <w:rsid w:val="00CE4F5D"/>
    <w:rsid w:val="00DA5058"/>
    <w:rsid w:val="00E05675"/>
    <w:rsid w:val="00E400D8"/>
    <w:rsid w:val="00E4450A"/>
    <w:rsid w:val="00E5026C"/>
    <w:rsid w:val="00E80679"/>
    <w:rsid w:val="00EF0B2C"/>
    <w:rsid w:val="00F379B5"/>
    <w:rsid w:val="00F66451"/>
    <w:rsid w:val="00F80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8AA54B"/>
  <w15:chartTrackingRefBased/>
  <w15:docId w15:val="{5F6C9F6F-DAFD-4C90-804F-08E213EF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ar-SA"/>
      </w:rPr>
    </w:rPrDefault>
    <w:pPrDefault>
      <w:pPr>
        <w:spacing w:afterLines="100" w:after="100"/>
        <w:ind w:left="108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221717"/>
    <w:pPr>
      <w:spacing w:afterLines="0" w:after="0"/>
      <w:ind w:left="0" w:firstLine="0"/>
      <w:jc w:val="left"/>
    </w:pPr>
    <w:rPr>
      <w:rFonts w:ascii="Times New Roman" w:eastAsia="Times" w:hAnsi="Times New Roman"/>
      <w:szCs w:val="20"/>
    </w:rPr>
  </w:style>
  <w:style w:type="paragraph" w:styleId="Heading1">
    <w:name w:val="heading 1"/>
    <w:basedOn w:val="Normal"/>
    <w:next w:val="Normal"/>
    <w:link w:val="Heading1Char"/>
    <w:autoRedefine/>
    <w:uiPriority w:val="9"/>
    <w:qFormat/>
    <w:rsid w:val="00506848"/>
    <w:pPr>
      <w:keepNext/>
      <w:numPr>
        <w:numId w:val="5"/>
      </w:numPr>
      <w:spacing w:before="240" w:after="160"/>
      <w:ind w:left="360" w:hanging="360"/>
      <w:outlineLvl w:val="0"/>
    </w:pPr>
    <w:rPr>
      <w:rFonts w:eastAsiaTheme="majorEastAsia"/>
      <w:b/>
      <w:bCs/>
      <w:kern w:val="32"/>
      <w:szCs w:val="32"/>
    </w:rPr>
  </w:style>
  <w:style w:type="paragraph" w:styleId="Heading2">
    <w:name w:val="heading 2"/>
    <w:basedOn w:val="Normal"/>
    <w:next w:val="Normal"/>
    <w:link w:val="Heading2Char"/>
    <w:uiPriority w:val="9"/>
    <w:qFormat/>
    <w:rsid w:val="00B13EF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B13EF0"/>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B13EF0"/>
    <w:pPr>
      <w:spacing w:before="240" w:after="60"/>
      <w:outlineLvl w:val="5"/>
    </w:pPr>
    <w:rPr>
      <w:b/>
      <w:bCs/>
    </w:rPr>
  </w:style>
  <w:style w:type="paragraph" w:styleId="Heading7">
    <w:name w:val="heading 7"/>
    <w:basedOn w:val="Normal"/>
    <w:next w:val="Normal"/>
    <w:link w:val="Heading7Char"/>
    <w:uiPriority w:val="9"/>
    <w:semiHidden/>
    <w:unhideWhenUsed/>
    <w:qFormat/>
    <w:rsid w:val="00B13EF0"/>
    <w:pPr>
      <w:spacing w:before="240" w:after="60"/>
      <w:outlineLvl w:val="6"/>
    </w:pPr>
  </w:style>
  <w:style w:type="paragraph" w:styleId="Heading8">
    <w:name w:val="heading 8"/>
    <w:basedOn w:val="Normal"/>
    <w:next w:val="Normal"/>
    <w:link w:val="Heading8Char"/>
    <w:uiPriority w:val="9"/>
    <w:semiHidden/>
    <w:unhideWhenUsed/>
    <w:qFormat/>
    <w:rsid w:val="00B13EF0"/>
    <w:pPr>
      <w:spacing w:before="240" w:after="60"/>
      <w:outlineLvl w:val="7"/>
    </w:pPr>
    <w:rPr>
      <w:i/>
      <w:iCs/>
    </w:rPr>
  </w:style>
  <w:style w:type="paragraph" w:styleId="Heading9">
    <w:name w:val="heading 9"/>
    <w:basedOn w:val="Normal"/>
    <w:next w:val="Normal"/>
    <w:link w:val="Heading9Char"/>
    <w:uiPriority w:val="9"/>
    <w:semiHidden/>
    <w:unhideWhenUsed/>
    <w:qFormat/>
    <w:rsid w:val="00B13EF0"/>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848"/>
    <w:rPr>
      <w:rFonts w:eastAsiaTheme="majorEastAsia"/>
      <w:b/>
      <w:bCs/>
      <w:kern w:val="32"/>
      <w:szCs w:val="32"/>
    </w:rPr>
  </w:style>
  <w:style w:type="character" w:customStyle="1" w:styleId="Heading2Char">
    <w:name w:val="Heading 2 Char"/>
    <w:basedOn w:val="DefaultParagraphFont"/>
    <w:link w:val="Heading2"/>
    <w:uiPriority w:val="9"/>
    <w:rsid w:val="00B13EF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B13EF0"/>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B13EF0"/>
    <w:rPr>
      <w:b/>
      <w:bCs/>
    </w:rPr>
  </w:style>
  <w:style w:type="character" w:customStyle="1" w:styleId="Heading7Char">
    <w:name w:val="Heading 7 Char"/>
    <w:basedOn w:val="DefaultParagraphFont"/>
    <w:link w:val="Heading7"/>
    <w:uiPriority w:val="9"/>
    <w:semiHidden/>
    <w:rsid w:val="00B13EF0"/>
  </w:style>
  <w:style w:type="character" w:customStyle="1" w:styleId="Heading8Char">
    <w:name w:val="Heading 8 Char"/>
    <w:basedOn w:val="DefaultParagraphFont"/>
    <w:link w:val="Heading8"/>
    <w:uiPriority w:val="9"/>
    <w:semiHidden/>
    <w:rsid w:val="00B13EF0"/>
    <w:rPr>
      <w:i/>
      <w:iCs/>
    </w:rPr>
  </w:style>
  <w:style w:type="character" w:customStyle="1" w:styleId="Heading9Char">
    <w:name w:val="Heading 9 Char"/>
    <w:basedOn w:val="DefaultParagraphFont"/>
    <w:link w:val="Heading9"/>
    <w:uiPriority w:val="9"/>
    <w:semiHidden/>
    <w:rsid w:val="00B13EF0"/>
    <w:rPr>
      <w:rFonts w:asciiTheme="majorHAnsi" w:eastAsiaTheme="majorEastAsia" w:hAnsiTheme="majorHAnsi"/>
    </w:rPr>
  </w:style>
  <w:style w:type="paragraph" w:styleId="Title">
    <w:name w:val="Title"/>
    <w:aliases w:val="Heading 31"/>
    <w:basedOn w:val="Normal"/>
    <w:next w:val="Normal"/>
    <w:link w:val="TitleChar"/>
    <w:uiPriority w:val="10"/>
    <w:qFormat/>
    <w:rsid w:val="00B13EF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aliases w:val="Heading 31 Char"/>
    <w:basedOn w:val="DefaultParagraphFont"/>
    <w:link w:val="Title"/>
    <w:uiPriority w:val="10"/>
    <w:rsid w:val="00B13EF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3EF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13EF0"/>
    <w:rPr>
      <w:rFonts w:asciiTheme="majorHAnsi" w:eastAsiaTheme="majorEastAsia" w:hAnsiTheme="majorHAnsi"/>
    </w:rPr>
  </w:style>
  <w:style w:type="paragraph" w:styleId="TOCHeading">
    <w:name w:val="TOC Heading"/>
    <w:basedOn w:val="Heading1"/>
    <w:next w:val="Normal"/>
    <w:uiPriority w:val="39"/>
    <w:semiHidden/>
    <w:unhideWhenUsed/>
    <w:qFormat/>
    <w:rsid w:val="00B13EF0"/>
    <w:pPr>
      <w:outlineLvl w:val="9"/>
    </w:pPr>
  </w:style>
  <w:style w:type="paragraph" w:customStyle="1" w:styleId="RFP1">
    <w:name w:val="RFP1"/>
    <w:basedOn w:val="Normal"/>
    <w:autoRedefine/>
    <w:qFormat/>
    <w:rsid w:val="00506848"/>
    <w:pPr>
      <w:keepNext/>
      <w:numPr>
        <w:numId w:val="3"/>
      </w:numPr>
      <w:spacing w:before="240" w:after="240"/>
    </w:pPr>
    <w:rPr>
      <w:rFonts w:eastAsia="Times New Roman"/>
      <w:b/>
      <w:caps/>
      <w:u w:val="single"/>
    </w:rPr>
  </w:style>
  <w:style w:type="paragraph" w:customStyle="1" w:styleId="Exhibit">
    <w:name w:val="Exhibit"/>
    <w:basedOn w:val="TOC1"/>
    <w:link w:val="ExhibitChar"/>
    <w:qFormat/>
    <w:rsid w:val="0001100F"/>
    <w:pPr>
      <w:spacing w:before="120"/>
    </w:pPr>
    <w:rPr>
      <w:rFonts w:cstheme="minorHAnsi"/>
      <w:b/>
      <w:color w:val="000000" w:themeColor="text1"/>
    </w:rPr>
  </w:style>
  <w:style w:type="character" w:customStyle="1" w:styleId="ExhibitChar">
    <w:name w:val="Exhibit Char"/>
    <w:basedOn w:val="DefaultParagraphFont"/>
    <w:link w:val="Exhibit"/>
    <w:rsid w:val="0001100F"/>
    <w:rPr>
      <w:rFonts w:eastAsia="Times" w:cstheme="minorHAnsi"/>
      <w:b/>
      <w:color w:val="000000" w:themeColor="text1"/>
    </w:rPr>
  </w:style>
  <w:style w:type="paragraph" w:styleId="TOC1">
    <w:name w:val="toc 1"/>
    <w:basedOn w:val="Normal"/>
    <w:next w:val="Normal"/>
    <w:link w:val="TOC1Char"/>
    <w:autoRedefine/>
    <w:uiPriority w:val="39"/>
    <w:unhideWhenUsed/>
    <w:qFormat/>
    <w:rsid w:val="0001100F"/>
  </w:style>
  <w:style w:type="character" w:customStyle="1" w:styleId="TOC1Char">
    <w:name w:val="TOC 1 Char"/>
    <w:basedOn w:val="DefaultParagraphFont"/>
    <w:link w:val="TOC1"/>
    <w:uiPriority w:val="39"/>
    <w:rsid w:val="0001100F"/>
    <w:rPr>
      <w:rFonts w:eastAsia="Times"/>
    </w:rPr>
  </w:style>
  <w:style w:type="paragraph" w:customStyle="1" w:styleId="Style1">
    <w:name w:val="Style1"/>
    <w:basedOn w:val="Heading3"/>
    <w:next w:val="Normal"/>
    <w:link w:val="Style1Char"/>
    <w:autoRedefine/>
    <w:qFormat/>
    <w:rsid w:val="00BD224E"/>
    <w:pPr>
      <w:keepLines/>
      <w:numPr>
        <w:numId w:val="7"/>
      </w:numPr>
      <w:spacing w:beforeLines="100" w:after="240"/>
    </w:pPr>
    <w:rPr>
      <w:rFonts w:cstheme="majorBidi"/>
      <w:color w:val="365F91" w:themeColor="accent1" w:themeShade="BF"/>
      <w:sz w:val="24"/>
      <w:szCs w:val="24"/>
    </w:rPr>
  </w:style>
  <w:style w:type="character" w:customStyle="1" w:styleId="Style1Char">
    <w:name w:val="Style1 Char"/>
    <w:basedOn w:val="Heading3Char"/>
    <w:link w:val="Style1"/>
    <w:rsid w:val="00BD224E"/>
    <w:rPr>
      <w:rFonts w:asciiTheme="majorHAnsi" w:eastAsiaTheme="majorEastAsia" w:hAnsiTheme="majorHAnsi" w:cstheme="majorBidi"/>
      <w:b/>
      <w:bCs/>
      <w:color w:val="365F91" w:themeColor="accent1" w:themeShade="BF"/>
      <w:sz w:val="26"/>
      <w:szCs w:val="26"/>
    </w:rPr>
  </w:style>
  <w:style w:type="paragraph" w:customStyle="1" w:styleId="Headings">
    <w:name w:val="Headings"/>
    <w:basedOn w:val="Normal"/>
    <w:link w:val="HeadingsChar"/>
    <w:autoRedefine/>
    <w:qFormat/>
    <w:rsid w:val="00041F98"/>
    <w:pPr>
      <w:numPr>
        <w:numId w:val="9"/>
      </w:numPr>
    </w:pPr>
    <w:rPr>
      <w:rFonts w:ascii="Times New Roman Bold" w:hAnsi="Times New Roman Bold"/>
    </w:rPr>
  </w:style>
  <w:style w:type="character" w:customStyle="1" w:styleId="HeadingsChar">
    <w:name w:val="Headings Char"/>
    <w:basedOn w:val="DefaultParagraphFont"/>
    <w:link w:val="Headings"/>
    <w:rsid w:val="00041F98"/>
    <w:rPr>
      <w:rFonts w:ascii="Times New Roman Bold" w:eastAsia="Times" w:hAnsi="Times New Roman Bold"/>
    </w:rPr>
  </w:style>
  <w:style w:type="character" w:styleId="Hyperlink">
    <w:name w:val="Hyperlink"/>
    <w:basedOn w:val="DefaultParagraphFont"/>
    <w:uiPriority w:val="99"/>
    <w:unhideWhenUsed/>
    <w:rsid w:val="00221717"/>
    <w:rPr>
      <w:color w:val="0000FF" w:themeColor="hyperlink"/>
      <w:u w:val="single"/>
    </w:rPr>
  </w:style>
  <w:style w:type="character" w:styleId="UnresolvedMention">
    <w:name w:val="Unresolved Mention"/>
    <w:basedOn w:val="DefaultParagraphFont"/>
    <w:uiPriority w:val="99"/>
    <w:semiHidden/>
    <w:unhideWhenUsed/>
    <w:rsid w:val="005D1B06"/>
    <w:rPr>
      <w:color w:val="605E5C"/>
      <w:shd w:val="clear" w:color="auto" w:fill="E1DFDD"/>
    </w:rPr>
  </w:style>
  <w:style w:type="paragraph" w:styleId="Revision">
    <w:name w:val="Revision"/>
    <w:hidden/>
    <w:uiPriority w:val="99"/>
    <w:semiHidden/>
    <w:rsid w:val="005D1B06"/>
    <w:pPr>
      <w:spacing w:afterLines="0" w:after="0"/>
      <w:ind w:left="0" w:firstLine="0"/>
      <w:jc w:val="left"/>
    </w:pPr>
    <w:rPr>
      <w:rFonts w:ascii="Times New Roman" w:eastAsia="Times" w:hAnsi="Times New Roman"/>
      <w:szCs w:val="20"/>
    </w:rPr>
  </w:style>
  <w:style w:type="character" w:styleId="CommentReference">
    <w:name w:val="annotation reference"/>
    <w:basedOn w:val="DefaultParagraphFont"/>
    <w:uiPriority w:val="99"/>
    <w:semiHidden/>
    <w:unhideWhenUsed/>
    <w:rsid w:val="00316B65"/>
    <w:rPr>
      <w:sz w:val="16"/>
      <w:szCs w:val="16"/>
    </w:rPr>
  </w:style>
  <w:style w:type="paragraph" w:styleId="CommentText">
    <w:name w:val="annotation text"/>
    <w:basedOn w:val="Normal"/>
    <w:link w:val="CommentTextChar"/>
    <w:uiPriority w:val="99"/>
    <w:semiHidden/>
    <w:unhideWhenUsed/>
    <w:rsid w:val="00316B65"/>
    <w:rPr>
      <w:sz w:val="20"/>
    </w:rPr>
  </w:style>
  <w:style w:type="character" w:customStyle="1" w:styleId="CommentTextChar">
    <w:name w:val="Comment Text Char"/>
    <w:basedOn w:val="DefaultParagraphFont"/>
    <w:link w:val="CommentText"/>
    <w:uiPriority w:val="99"/>
    <w:semiHidden/>
    <w:rsid w:val="00316B65"/>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316B65"/>
    <w:rPr>
      <w:b/>
      <w:bCs/>
    </w:rPr>
  </w:style>
  <w:style w:type="character" w:customStyle="1" w:styleId="CommentSubjectChar">
    <w:name w:val="Comment Subject Char"/>
    <w:basedOn w:val="CommentTextChar"/>
    <w:link w:val="CommentSubject"/>
    <w:uiPriority w:val="99"/>
    <w:semiHidden/>
    <w:rsid w:val="00316B65"/>
    <w:rPr>
      <w:rFonts w:ascii="Times New Roman" w:eastAsia="Times" w:hAnsi="Times New Roman"/>
      <w:b/>
      <w:bCs/>
      <w:sz w:val="20"/>
      <w:szCs w:val="20"/>
    </w:rPr>
  </w:style>
  <w:style w:type="paragraph" w:styleId="Header">
    <w:name w:val="header"/>
    <w:basedOn w:val="Normal"/>
    <w:link w:val="HeaderChar"/>
    <w:uiPriority w:val="99"/>
    <w:unhideWhenUsed/>
    <w:rsid w:val="002E1C57"/>
    <w:pPr>
      <w:tabs>
        <w:tab w:val="center" w:pos="4680"/>
        <w:tab w:val="right" w:pos="9360"/>
      </w:tabs>
    </w:pPr>
  </w:style>
  <w:style w:type="character" w:customStyle="1" w:styleId="HeaderChar">
    <w:name w:val="Header Char"/>
    <w:basedOn w:val="DefaultParagraphFont"/>
    <w:link w:val="Header"/>
    <w:uiPriority w:val="99"/>
    <w:rsid w:val="002E1C57"/>
    <w:rPr>
      <w:rFonts w:ascii="Times New Roman" w:eastAsia="Times" w:hAnsi="Times New Roman"/>
      <w:szCs w:val="20"/>
    </w:rPr>
  </w:style>
  <w:style w:type="paragraph" w:styleId="Footer">
    <w:name w:val="footer"/>
    <w:basedOn w:val="Normal"/>
    <w:link w:val="FooterChar"/>
    <w:uiPriority w:val="99"/>
    <w:unhideWhenUsed/>
    <w:rsid w:val="002E1C57"/>
    <w:pPr>
      <w:tabs>
        <w:tab w:val="center" w:pos="4680"/>
        <w:tab w:val="right" w:pos="9360"/>
      </w:tabs>
    </w:pPr>
  </w:style>
  <w:style w:type="character" w:customStyle="1" w:styleId="FooterChar">
    <w:name w:val="Footer Char"/>
    <w:basedOn w:val="DefaultParagraphFont"/>
    <w:link w:val="Footer"/>
    <w:uiPriority w:val="99"/>
    <w:rsid w:val="002E1C57"/>
    <w:rPr>
      <w:rFonts w:ascii="Times New Roman" w:eastAsia="Times" w:hAnsi="Times New Roman"/>
      <w:szCs w:val="20"/>
    </w:rPr>
  </w:style>
  <w:style w:type="paragraph" w:styleId="ListParagraph">
    <w:name w:val="List Paragraph"/>
    <w:basedOn w:val="Normal"/>
    <w:uiPriority w:val="34"/>
    <w:rsid w:val="002E1C57"/>
    <w:pPr>
      <w:ind w:left="720"/>
      <w:contextualSpacing/>
    </w:pPr>
  </w:style>
  <w:style w:type="paragraph" w:customStyle="1" w:styleId="Default">
    <w:name w:val="Default"/>
    <w:rsid w:val="00CD4421"/>
    <w:pPr>
      <w:autoSpaceDE w:val="0"/>
      <w:autoSpaceDN w:val="0"/>
      <w:adjustRightInd w:val="0"/>
      <w:spacing w:afterLines="0" w:after="0"/>
      <w:ind w:left="0" w:firstLine="0"/>
      <w:jc w:val="left"/>
    </w:pPr>
    <w:rPr>
      <w:rFonts w:ascii="Times New Roman" w:hAnsi="Times New Roman"/>
      <w:color w:val="000000"/>
    </w:rPr>
  </w:style>
  <w:style w:type="table" w:styleId="TableGrid">
    <w:name w:val="Table Grid"/>
    <w:basedOn w:val="TableNormal"/>
    <w:uiPriority w:val="39"/>
    <w:rsid w:val="003748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166C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E80679"/>
    <w:rPr>
      <w:sz w:val="20"/>
    </w:rPr>
  </w:style>
  <w:style w:type="character" w:customStyle="1" w:styleId="FootnoteTextChar">
    <w:name w:val="Footnote Text Char"/>
    <w:basedOn w:val="DefaultParagraphFont"/>
    <w:link w:val="FootnoteText"/>
    <w:uiPriority w:val="99"/>
    <w:semiHidden/>
    <w:rsid w:val="00E80679"/>
    <w:rPr>
      <w:rFonts w:ascii="Times New Roman" w:eastAsia="Times" w:hAnsi="Times New Roman"/>
      <w:sz w:val="20"/>
      <w:szCs w:val="20"/>
    </w:rPr>
  </w:style>
  <w:style w:type="character" w:styleId="FootnoteReference">
    <w:name w:val="footnote reference"/>
    <w:basedOn w:val="DefaultParagraphFont"/>
    <w:uiPriority w:val="99"/>
    <w:semiHidden/>
    <w:unhideWhenUsed/>
    <w:rsid w:val="00E80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47162">
      <w:bodyDiv w:val="1"/>
      <w:marLeft w:val="0"/>
      <w:marRight w:val="0"/>
      <w:marTop w:val="0"/>
      <w:marBottom w:val="0"/>
      <w:divBdr>
        <w:top w:val="none" w:sz="0" w:space="0" w:color="auto"/>
        <w:left w:val="none" w:sz="0" w:space="0" w:color="auto"/>
        <w:bottom w:val="none" w:sz="0" w:space="0" w:color="auto"/>
        <w:right w:val="none" w:sz="0" w:space="0" w:color="auto"/>
      </w:divBdr>
    </w:div>
    <w:div w:id="1533688714">
      <w:bodyDiv w:val="1"/>
      <w:marLeft w:val="0"/>
      <w:marRight w:val="0"/>
      <w:marTop w:val="0"/>
      <w:marBottom w:val="0"/>
      <w:divBdr>
        <w:top w:val="none" w:sz="0" w:space="0" w:color="auto"/>
        <w:left w:val="none" w:sz="0" w:space="0" w:color="auto"/>
        <w:bottom w:val="none" w:sz="0" w:space="0" w:color="auto"/>
        <w:right w:val="none" w:sz="0" w:space="0" w:color="auto"/>
      </w:divBdr>
    </w:div>
    <w:div w:id="174961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tax-professionals/standard-mileage-rat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sa.gov/portal/category/100000" TargetMode="External"/><Relationship Id="rId14" Type="http://schemas.openxmlformats.org/officeDocument/2006/relationships/header" Target="head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E1066-0ECB-448E-960E-3EC8EBF21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Alice</dc:creator>
  <cp:keywords/>
  <dc:description/>
  <cp:lastModifiedBy>Lee, Alice</cp:lastModifiedBy>
  <cp:revision>3</cp:revision>
  <dcterms:created xsi:type="dcterms:W3CDTF">2025-09-03T20:52:00Z</dcterms:created>
  <dcterms:modified xsi:type="dcterms:W3CDTF">2025-09-03T21:26:00Z</dcterms:modified>
</cp:coreProperties>
</file>