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8ABF2" w14:textId="08608DA2" w:rsidR="00EE78D9" w:rsidRPr="002A25A8" w:rsidRDefault="000549C0" w:rsidP="00EE78D9">
      <w:pPr>
        <w:jc w:val="center"/>
        <w:rPr>
          <w:rFonts w:ascii="Arial" w:hAnsi="Arial" w:cs="Arial"/>
          <w:b/>
          <w:bCs/>
          <w:sz w:val="28"/>
          <w:szCs w:val="28"/>
          <w:u w:val="single"/>
        </w:rPr>
      </w:pPr>
      <w:r>
        <w:rPr>
          <w:rFonts w:ascii="Arial" w:hAnsi="Arial" w:cs="Arial"/>
          <w:b/>
          <w:bCs/>
          <w:sz w:val="28"/>
          <w:szCs w:val="28"/>
          <w:u w:val="single"/>
        </w:rPr>
        <w:t>Dr</w:t>
      </w:r>
      <w:r w:rsidR="00245CF4">
        <w:rPr>
          <w:rFonts w:ascii="Arial" w:hAnsi="Arial" w:cs="Arial"/>
          <w:b/>
          <w:bCs/>
          <w:sz w:val="28"/>
          <w:szCs w:val="28"/>
          <w:u w:val="single"/>
        </w:rPr>
        <w:t>Data Analytics Advisory Committee</w:t>
      </w:r>
    </w:p>
    <w:p w14:paraId="1AD91AF7" w14:textId="347CB035" w:rsidR="008A00AA" w:rsidRPr="008A00AA" w:rsidRDefault="00583394" w:rsidP="00EE78D9">
      <w:pPr>
        <w:jc w:val="center"/>
        <w:rPr>
          <w:rFonts w:ascii="Arial" w:hAnsi="Arial" w:cs="Arial"/>
          <w:b/>
          <w:bCs/>
          <w:sz w:val="28"/>
          <w:szCs w:val="28"/>
        </w:rPr>
      </w:pPr>
      <w:r>
        <w:rPr>
          <w:rFonts w:ascii="Arial" w:hAnsi="Arial" w:cs="Arial"/>
          <w:b/>
          <w:bCs/>
          <w:sz w:val="28"/>
          <w:szCs w:val="28"/>
        </w:rPr>
        <w:t>Annual Agenda</w:t>
      </w:r>
      <w:r w:rsidR="003E33A2">
        <w:rPr>
          <w:rStyle w:val="FootnoteReference"/>
          <w:rFonts w:ascii="Arial" w:hAnsi="Arial" w:cs="Arial"/>
          <w:b/>
          <w:bCs/>
          <w:sz w:val="28"/>
          <w:szCs w:val="28"/>
        </w:rPr>
        <w:footnoteReference w:id="1"/>
      </w:r>
      <w:r>
        <w:rPr>
          <w:rFonts w:ascii="Arial" w:hAnsi="Arial" w:cs="Arial"/>
          <w:b/>
          <w:bCs/>
          <w:sz w:val="28"/>
          <w:szCs w:val="28"/>
        </w:rPr>
        <w:t>—</w:t>
      </w:r>
      <w:r w:rsidR="00245CF4">
        <w:rPr>
          <w:rFonts w:ascii="Arial" w:hAnsi="Arial" w:cs="Arial"/>
          <w:b/>
          <w:bCs/>
          <w:sz w:val="28"/>
          <w:szCs w:val="28"/>
        </w:rPr>
        <w:t>2023</w:t>
      </w:r>
    </w:p>
    <w:p w14:paraId="15EC241D" w14:textId="3E1CB4C0" w:rsidR="008A00AA" w:rsidRDefault="008A00AA" w:rsidP="00EE78D9">
      <w:pPr>
        <w:jc w:val="center"/>
        <w:rPr>
          <w:rFonts w:ascii="Arial" w:hAnsi="Arial" w:cs="Arial"/>
          <w:b/>
          <w:bCs/>
          <w:sz w:val="28"/>
          <w:szCs w:val="28"/>
        </w:rPr>
      </w:pPr>
      <w:r w:rsidRPr="008A00AA">
        <w:rPr>
          <w:rFonts w:ascii="Arial" w:hAnsi="Arial" w:cs="Arial"/>
          <w:b/>
          <w:bCs/>
          <w:sz w:val="28"/>
          <w:szCs w:val="28"/>
        </w:rPr>
        <w:t xml:space="preserve">Approved by </w:t>
      </w:r>
      <w:r w:rsidR="00744502">
        <w:rPr>
          <w:rFonts w:ascii="Arial" w:hAnsi="Arial" w:cs="Arial"/>
          <w:b/>
          <w:bCs/>
          <w:sz w:val="28"/>
          <w:szCs w:val="28"/>
        </w:rPr>
        <w:t>Executive and Planning Committee</w:t>
      </w:r>
      <w:r w:rsidRPr="008A00AA">
        <w:rPr>
          <w:rFonts w:ascii="Arial" w:hAnsi="Arial" w:cs="Arial"/>
          <w:b/>
          <w:bCs/>
          <w:sz w:val="28"/>
          <w:szCs w:val="28"/>
        </w:rPr>
        <w:t xml:space="preserve">: </w:t>
      </w:r>
      <w:r w:rsidR="00222220" w:rsidRPr="00222220">
        <w:rPr>
          <w:rFonts w:ascii="Arial" w:hAnsi="Arial" w:cs="Arial"/>
          <w:b/>
          <w:bCs/>
          <w:sz w:val="28"/>
          <w:szCs w:val="28"/>
          <w:u w:val="single"/>
        </w:rPr>
        <w:t>[Date]</w:t>
      </w:r>
    </w:p>
    <w:p w14:paraId="1F3230B9" w14:textId="77777777" w:rsidR="008537EA" w:rsidRDefault="008537EA" w:rsidP="00EE78D9">
      <w:pPr>
        <w:jc w:val="center"/>
        <w:rPr>
          <w:rFonts w:ascii="Arial" w:hAnsi="Arial" w:cs="Arial"/>
          <w:b/>
          <w:bCs/>
          <w:sz w:val="20"/>
          <w:szCs w:val="20"/>
        </w:rPr>
      </w:pPr>
    </w:p>
    <w:p w14:paraId="6383E7EC" w14:textId="77777777" w:rsidR="00C46ADB" w:rsidRPr="00BD56B3" w:rsidRDefault="00C46ADB" w:rsidP="00BD56B3">
      <w:pPr>
        <w:pStyle w:val="ListParagraph"/>
        <w:numPr>
          <w:ilvl w:val="0"/>
          <w:numId w:val="10"/>
        </w:numPr>
        <w:ind w:left="360" w:hanging="480"/>
        <w:rPr>
          <w:rFonts w:ascii="Arial" w:hAnsi="Arial" w:cs="Arial"/>
          <w:b/>
          <w:bCs/>
          <w:sz w:val="28"/>
          <w:szCs w:val="28"/>
        </w:rPr>
      </w:pPr>
      <w:r w:rsidRPr="00BD56B3">
        <w:rPr>
          <w:rFonts w:ascii="Arial" w:hAnsi="Arial" w:cs="Arial"/>
          <w:b/>
          <w:bCs/>
          <w:sz w:val="28"/>
          <w:szCs w:val="28"/>
        </w:rPr>
        <w:t>COMMITTEE INFORMATION</w:t>
      </w:r>
    </w:p>
    <w:p w14:paraId="566523D9" w14:textId="77777777" w:rsidR="00C46ADB" w:rsidRPr="00C22BD4" w:rsidRDefault="00C46ADB" w:rsidP="00EE78D9">
      <w:pPr>
        <w:jc w:val="center"/>
        <w:rPr>
          <w:rFonts w:ascii="Arial" w:hAnsi="Arial" w:cs="Arial"/>
          <w:bCs/>
          <w:sz w:val="20"/>
          <w:szCs w:val="20"/>
        </w:rPr>
      </w:pPr>
    </w:p>
    <w:tbl>
      <w:tblPr>
        <w:tblW w:w="14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4" w:type="dxa"/>
          <w:left w:w="115" w:type="dxa"/>
          <w:bottom w:w="144" w:type="dxa"/>
          <w:right w:w="115" w:type="dxa"/>
        </w:tblCellMar>
        <w:tblLook w:val="0000" w:firstRow="0" w:lastRow="0" w:firstColumn="0" w:lastColumn="0" w:noHBand="0" w:noVBand="0"/>
      </w:tblPr>
      <w:tblGrid>
        <w:gridCol w:w="1525"/>
        <w:gridCol w:w="12605"/>
      </w:tblGrid>
      <w:tr w:rsidR="008A00AA" w14:paraId="246413EC" w14:textId="77777777" w:rsidTr="00DD5445">
        <w:trPr>
          <w:cantSplit/>
          <w:trHeight w:val="288"/>
          <w:jc w:val="center"/>
        </w:trPr>
        <w:tc>
          <w:tcPr>
            <w:tcW w:w="1525" w:type="dxa"/>
            <w:tcMar>
              <w:top w:w="101" w:type="dxa"/>
              <w:bottom w:w="101" w:type="dxa"/>
            </w:tcMar>
            <w:vAlign w:val="center"/>
          </w:tcPr>
          <w:p w14:paraId="011D10E1" w14:textId="77777777" w:rsidR="008A00AA" w:rsidRDefault="008A00AA" w:rsidP="00DD5445">
            <w:pPr>
              <w:spacing w:before="60"/>
              <w:jc w:val="both"/>
            </w:pPr>
            <w:r w:rsidRPr="008A00AA">
              <w:rPr>
                <w:rFonts w:ascii="Arial" w:hAnsi="Arial" w:cs="Arial"/>
                <w:b/>
              </w:rPr>
              <w:t>Chair</w:t>
            </w:r>
            <w:r w:rsidRPr="00DF0F43">
              <w:rPr>
                <w:b/>
              </w:rPr>
              <w:t>:</w:t>
            </w:r>
          </w:p>
        </w:tc>
        <w:tc>
          <w:tcPr>
            <w:tcW w:w="12605" w:type="dxa"/>
            <w:tcMar>
              <w:top w:w="101" w:type="dxa"/>
              <w:bottom w:w="101" w:type="dxa"/>
            </w:tcMar>
            <w:vAlign w:val="center"/>
          </w:tcPr>
          <w:p w14:paraId="531D416F" w14:textId="0AF7BCA1" w:rsidR="008A00AA" w:rsidRPr="006D65CA" w:rsidRDefault="0036004C" w:rsidP="00DD5445">
            <w:pPr>
              <w:spacing w:before="60"/>
              <w:jc w:val="both"/>
            </w:pPr>
            <w:r>
              <w:t xml:space="preserve">Hon. </w:t>
            </w:r>
            <w:r>
              <w:rPr>
                <w:rFonts w:eastAsia="Calibri"/>
              </w:rPr>
              <w:t>Joyce D. Hinrichs</w:t>
            </w:r>
            <w:r w:rsidRPr="00F80F75">
              <w:rPr>
                <w:rFonts w:eastAsia="Calibri"/>
              </w:rPr>
              <w:t>, Judge, Superior</w:t>
            </w:r>
            <w:r w:rsidRPr="00F80F75">
              <w:rPr>
                <w:rFonts w:eastAsia="Calibri"/>
                <w:spacing w:val="-1"/>
              </w:rPr>
              <w:t xml:space="preserve"> </w:t>
            </w:r>
            <w:r w:rsidRPr="00F80F75">
              <w:rPr>
                <w:rFonts w:eastAsia="Calibri"/>
              </w:rPr>
              <w:t>Court of</w:t>
            </w:r>
            <w:r w:rsidRPr="00F80F75">
              <w:rPr>
                <w:rFonts w:eastAsia="Calibri"/>
                <w:spacing w:val="-1"/>
              </w:rPr>
              <w:t xml:space="preserve"> </w:t>
            </w:r>
            <w:r>
              <w:rPr>
                <w:rFonts w:eastAsia="Calibri"/>
              </w:rPr>
              <w:t>Humboldt County</w:t>
            </w:r>
          </w:p>
        </w:tc>
      </w:tr>
      <w:tr w:rsidR="0036004C" w14:paraId="769FE47F" w14:textId="77777777" w:rsidTr="00DD5445">
        <w:trPr>
          <w:cantSplit/>
          <w:trHeight w:val="288"/>
          <w:jc w:val="center"/>
        </w:trPr>
        <w:tc>
          <w:tcPr>
            <w:tcW w:w="1525" w:type="dxa"/>
            <w:tcMar>
              <w:top w:w="101" w:type="dxa"/>
              <w:bottom w:w="101" w:type="dxa"/>
            </w:tcMar>
            <w:vAlign w:val="center"/>
          </w:tcPr>
          <w:p w14:paraId="2E5D0673" w14:textId="77777777" w:rsidR="0036004C" w:rsidRDefault="0036004C" w:rsidP="0036004C">
            <w:pPr>
              <w:spacing w:before="60"/>
              <w:jc w:val="both"/>
            </w:pPr>
            <w:r>
              <w:rPr>
                <w:rFonts w:ascii="Arial" w:hAnsi="Arial" w:cs="Arial"/>
                <w:b/>
              </w:rPr>
              <w:t xml:space="preserve">Lead </w:t>
            </w:r>
            <w:r w:rsidRPr="008A00AA">
              <w:rPr>
                <w:rFonts w:ascii="Arial" w:hAnsi="Arial" w:cs="Arial"/>
                <w:b/>
              </w:rPr>
              <w:t>Staff</w:t>
            </w:r>
            <w:r w:rsidRPr="00DF0F43">
              <w:rPr>
                <w:b/>
              </w:rPr>
              <w:t>:</w:t>
            </w:r>
          </w:p>
        </w:tc>
        <w:tc>
          <w:tcPr>
            <w:tcW w:w="12605" w:type="dxa"/>
            <w:tcMar>
              <w:top w:w="101" w:type="dxa"/>
              <w:bottom w:w="101" w:type="dxa"/>
            </w:tcMar>
            <w:vAlign w:val="center"/>
          </w:tcPr>
          <w:p w14:paraId="41CD28B8" w14:textId="331F5774" w:rsidR="0036004C" w:rsidRPr="006D65CA" w:rsidRDefault="0036004C" w:rsidP="0036004C">
            <w:pPr>
              <w:spacing w:before="60"/>
              <w:jc w:val="both"/>
            </w:pPr>
            <w:r>
              <w:t>Leah Rose-Goodwin, Manager, Business Management Services</w:t>
            </w:r>
            <w:r w:rsidR="00202D01">
              <w:t>; Kristin Greenaway, Supervising Research Analyst</w:t>
            </w:r>
            <w:r w:rsidR="00012CC9">
              <w:t>, Business Management Services</w:t>
            </w:r>
            <w:r w:rsidR="00202D01">
              <w:t>; Nicholas Armstrong, Senior Research Analyst</w:t>
            </w:r>
            <w:r w:rsidR="00012CC9">
              <w:t>, Business Management Services</w:t>
            </w:r>
          </w:p>
        </w:tc>
      </w:tr>
      <w:tr w:rsidR="0036004C" w14:paraId="707D64F4" w14:textId="77777777" w:rsidTr="005419F3">
        <w:trPr>
          <w:cantSplit/>
          <w:trHeight w:val="366"/>
          <w:jc w:val="center"/>
        </w:trPr>
        <w:tc>
          <w:tcPr>
            <w:tcW w:w="14130" w:type="dxa"/>
            <w:gridSpan w:val="2"/>
            <w:tcMar>
              <w:top w:w="101" w:type="dxa"/>
              <w:bottom w:w="0" w:type="dxa"/>
            </w:tcMar>
          </w:tcPr>
          <w:p w14:paraId="6F0DCB2E" w14:textId="776E179B" w:rsidR="0036004C" w:rsidRPr="0036004C" w:rsidRDefault="0036004C" w:rsidP="0036004C">
            <w:pPr>
              <w:spacing w:before="60"/>
              <w:rPr>
                <w:iCs/>
              </w:rPr>
            </w:pPr>
            <w:r w:rsidRPr="00774A3A">
              <w:rPr>
                <w:rFonts w:ascii="Arial" w:hAnsi="Arial" w:cs="Arial"/>
                <w:b/>
              </w:rPr>
              <w:t>Committee</w:t>
            </w:r>
            <w:r>
              <w:rPr>
                <w:rFonts w:ascii="Arial" w:hAnsi="Arial" w:cs="Arial"/>
                <w:b/>
              </w:rPr>
              <w:t>’s</w:t>
            </w:r>
            <w:r w:rsidRPr="00774A3A">
              <w:rPr>
                <w:rFonts w:ascii="Arial" w:hAnsi="Arial" w:cs="Arial"/>
                <w:b/>
              </w:rPr>
              <w:t xml:space="preserve"> Charge</w:t>
            </w:r>
            <w:r>
              <w:rPr>
                <w:rFonts w:ascii="Arial" w:hAnsi="Arial" w:cs="Arial"/>
                <w:b/>
              </w:rPr>
              <w:t>/Membership</w:t>
            </w:r>
            <w:r>
              <w:rPr>
                <w:b/>
              </w:rPr>
              <w:t>:</w:t>
            </w:r>
          </w:p>
          <w:p w14:paraId="1557BA21" w14:textId="3AD229BC" w:rsidR="0036004C" w:rsidRDefault="0036004C" w:rsidP="0036004C">
            <w:pPr>
              <w:spacing w:before="60"/>
              <w:rPr>
                <w:sz w:val="23"/>
                <w:szCs w:val="23"/>
              </w:rPr>
            </w:pPr>
            <w:r>
              <w:t xml:space="preserve">Rule </w:t>
            </w:r>
            <w:hyperlink r:id="rId8" w:history="1">
              <w:r w:rsidRPr="00294E7B">
                <w:rPr>
                  <w:rStyle w:val="Hyperlink"/>
                </w:rPr>
                <w:t>10.68</w:t>
              </w:r>
            </w:hyperlink>
            <w:r>
              <w:t xml:space="preserve"> of the California Rules of Court states the charge of the Data Analytics Advisory Committee, which is to </w:t>
            </w:r>
            <w:r>
              <w:rPr>
                <w:sz w:val="23"/>
                <w:szCs w:val="23"/>
              </w:rPr>
              <w:t>make recommendations to the Judicial Council regarding the collection, use, and sharing of judicial branch data and information to inform decision</w:t>
            </w:r>
            <w:r w:rsidR="00FF0C14">
              <w:rPr>
                <w:sz w:val="23"/>
                <w:szCs w:val="23"/>
              </w:rPr>
              <w:t>-</w:t>
            </w:r>
            <w:r>
              <w:rPr>
                <w:sz w:val="23"/>
                <w:szCs w:val="23"/>
              </w:rPr>
              <w:t xml:space="preserve">making, promote transparency, and improve the administration of justice while ensuring the security of nonpublic data and data sources. </w:t>
            </w:r>
          </w:p>
          <w:p w14:paraId="23D67BC3" w14:textId="77777777" w:rsidR="0036004C" w:rsidRPr="0036004C" w:rsidRDefault="0036004C" w:rsidP="0036004C">
            <w:pPr>
              <w:spacing w:before="60"/>
              <w:rPr>
                <w:sz w:val="23"/>
                <w:szCs w:val="23"/>
              </w:rPr>
            </w:pPr>
          </w:p>
          <w:p w14:paraId="572F8F37" w14:textId="0F67B412" w:rsidR="0036004C" w:rsidRDefault="0036004C" w:rsidP="0036004C">
            <w:pPr>
              <w:pStyle w:val="Default"/>
              <w:rPr>
                <w:sz w:val="23"/>
                <w:szCs w:val="23"/>
              </w:rPr>
            </w:pPr>
            <w:r>
              <w:rPr>
                <w:sz w:val="23"/>
                <w:szCs w:val="23"/>
              </w:rPr>
              <w:t xml:space="preserve">In addition to the duties described in rule </w:t>
            </w:r>
            <w:hyperlink r:id="rId9" w:history="1">
              <w:r w:rsidRPr="00294E7B">
                <w:rPr>
                  <w:rStyle w:val="Hyperlink"/>
                  <w:sz w:val="23"/>
                  <w:szCs w:val="23"/>
                </w:rPr>
                <w:t>10.68</w:t>
              </w:r>
            </w:hyperlink>
            <w:r>
              <w:rPr>
                <w:sz w:val="23"/>
                <w:szCs w:val="23"/>
              </w:rPr>
              <w:t xml:space="preserve">, the committee must: </w:t>
            </w:r>
          </w:p>
          <w:p w14:paraId="5696135C" w14:textId="77777777" w:rsidR="0036004C" w:rsidRDefault="0036004C" w:rsidP="0036004C">
            <w:pPr>
              <w:pStyle w:val="Default"/>
              <w:rPr>
                <w:sz w:val="23"/>
                <w:szCs w:val="23"/>
              </w:rPr>
            </w:pPr>
            <w:r>
              <w:rPr>
                <w:sz w:val="23"/>
                <w:szCs w:val="23"/>
              </w:rPr>
              <w:t xml:space="preserve">(1) Develop and recommend policies, or revisions to existing policies, concerning standards and measures to use in collecting, </w:t>
            </w:r>
            <w:proofErr w:type="gramStart"/>
            <w:r>
              <w:rPr>
                <w:sz w:val="23"/>
                <w:szCs w:val="23"/>
              </w:rPr>
              <w:t>analyzing</w:t>
            </w:r>
            <w:proofErr w:type="gramEnd"/>
            <w:r>
              <w:rPr>
                <w:sz w:val="23"/>
                <w:szCs w:val="23"/>
              </w:rPr>
              <w:t xml:space="preserve"> and sharing data and information that will advance the goals of increased access to justice, greater transparency and accountability, and enhanced delivery of services to the public. </w:t>
            </w:r>
          </w:p>
          <w:p w14:paraId="56719D37" w14:textId="77777777" w:rsidR="0036004C" w:rsidRDefault="0036004C" w:rsidP="0036004C">
            <w:pPr>
              <w:pStyle w:val="Default"/>
              <w:rPr>
                <w:sz w:val="23"/>
                <w:szCs w:val="23"/>
              </w:rPr>
            </w:pPr>
            <w:r>
              <w:rPr>
                <w:sz w:val="23"/>
                <w:szCs w:val="23"/>
              </w:rPr>
              <w:t xml:space="preserve">(2) Develop and recommend performance measures, studies, and methodologies to measure and report on court administration, practices, and procedures, including workload assessments; and </w:t>
            </w:r>
          </w:p>
          <w:p w14:paraId="5EA69E06" w14:textId="5FA93D4A" w:rsidR="0036004C" w:rsidRDefault="0036004C" w:rsidP="0036004C">
            <w:pPr>
              <w:spacing w:before="60"/>
            </w:pPr>
            <w:r>
              <w:rPr>
                <w:sz w:val="23"/>
                <w:szCs w:val="23"/>
              </w:rPr>
              <w:t>(3) Identify, analyze, and report on emerging issues related to branch data and information, including usage of data and information to support branch projects and initiatives.</w:t>
            </w:r>
          </w:p>
          <w:p w14:paraId="3654CF0A" w14:textId="77777777" w:rsidR="0036004C" w:rsidRDefault="0036004C" w:rsidP="0036004C">
            <w:pPr>
              <w:spacing w:before="60"/>
            </w:pPr>
          </w:p>
          <w:p w14:paraId="6E977697" w14:textId="6AFF4AF8" w:rsidR="0036004C" w:rsidRDefault="0036004C" w:rsidP="0036004C">
            <w:pPr>
              <w:spacing w:before="60"/>
            </w:pPr>
            <w:r>
              <w:t xml:space="preserve">Rule </w:t>
            </w:r>
            <w:hyperlink r:id="rId10" w:history="1">
              <w:r w:rsidRPr="009B07E1">
                <w:rPr>
                  <w:rStyle w:val="Hyperlink"/>
                </w:rPr>
                <w:t>10.68</w:t>
              </w:r>
            </w:hyperlink>
            <w:r>
              <w:t xml:space="preserve"> sets forth the membership position of the committee. The Data Analytics Advisory Committee currently has 11 members. The current committee </w:t>
            </w:r>
            <w:r w:rsidRPr="00FF0C14">
              <w:t>roster</w:t>
            </w:r>
            <w:r>
              <w:t xml:space="preserve"> is available on the committee’s web page.</w:t>
            </w:r>
          </w:p>
          <w:p w14:paraId="43AD7564" w14:textId="77777777" w:rsidR="0036004C" w:rsidRPr="005419F3" w:rsidRDefault="0036004C" w:rsidP="0036004C">
            <w:pPr>
              <w:spacing w:before="60" w:after="60"/>
            </w:pPr>
          </w:p>
        </w:tc>
      </w:tr>
      <w:tr w:rsidR="0036004C" w14:paraId="47BBF301" w14:textId="77777777" w:rsidTr="005419F3">
        <w:trPr>
          <w:trHeight w:val="1104"/>
          <w:jc w:val="center"/>
        </w:trPr>
        <w:tc>
          <w:tcPr>
            <w:tcW w:w="14130" w:type="dxa"/>
            <w:gridSpan w:val="2"/>
            <w:tcMar>
              <w:top w:w="101" w:type="dxa"/>
              <w:bottom w:w="0" w:type="dxa"/>
            </w:tcMar>
          </w:tcPr>
          <w:p w14:paraId="7463C663" w14:textId="77777777" w:rsidR="009B07E1" w:rsidRDefault="0036004C" w:rsidP="009B07E1">
            <w:pPr>
              <w:spacing w:before="60"/>
              <w:rPr>
                <w:i/>
                <w:sz w:val="20"/>
                <w:szCs w:val="20"/>
              </w:rPr>
            </w:pPr>
            <w:r>
              <w:rPr>
                <w:rFonts w:ascii="Arial" w:hAnsi="Arial" w:cs="Arial"/>
                <w:b/>
              </w:rPr>
              <w:lastRenderedPageBreak/>
              <w:t>Subcommittees/Working Groups</w:t>
            </w:r>
            <w:r w:rsidRPr="00A77973">
              <w:rPr>
                <w:rFonts w:ascii="Arial" w:hAnsi="Arial" w:cs="Arial"/>
                <w:b/>
                <w:i/>
                <w:vertAlign w:val="superscript"/>
              </w:rPr>
              <w:footnoteReference w:id="2"/>
            </w:r>
            <w:r w:rsidRPr="00A46A0C">
              <w:rPr>
                <w:b/>
              </w:rPr>
              <w:t xml:space="preserve">: </w:t>
            </w:r>
          </w:p>
          <w:p w14:paraId="07C2657C" w14:textId="0ED74AF8" w:rsidR="0036004C" w:rsidRPr="005419F3" w:rsidRDefault="0036004C" w:rsidP="009B07E1">
            <w:pPr>
              <w:spacing w:before="60"/>
            </w:pPr>
            <w:r>
              <w:t>None</w:t>
            </w:r>
          </w:p>
        </w:tc>
      </w:tr>
      <w:tr w:rsidR="0036004C" w14:paraId="55F3A133" w14:textId="77777777" w:rsidTr="005419F3">
        <w:trPr>
          <w:trHeight w:val="1104"/>
          <w:jc w:val="center"/>
        </w:trPr>
        <w:tc>
          <w:tcPr>
            <w:tcW w:w="14130" w:type="dxa"/>
            <w:gridSpan w:val="2"/>
            <w:tcMar>
              <w:top w:w="101" w:type="dxa"/>
              <w:bottom w:w="0" w:type="dxa"/>
            </w:tcMar>
          </w:tcPr>
          <w:p w14:paraId="61A09801" w14:textId="7B8FF773" w:rsidR="00026544" w:rsidRPr="00026544" w:rsidRDefault="0036004C" w:rsidP="00026544">
            <w:pPr>
              <w:spacing w:before="240"/>
              <w:rPr>
                <w:rFonts w:ascii="Arial" w:hAnsi="Arial" w:cs="Arial"/>
                <w:b/>
              </w:rPr>
            </w:pPr>
            <w:r>
              <w:rPr>
                <w:rFonts w:ascii="Arial" w:hAnsi="Arial" w:cs="Arial"/>
                <w:b/>
              </w:rPr>
              <w:t>Meetings Planned for [YEAR(S)]</w:t>
            </w:r>
            <w:r>
              <w:rPr>
                <w:rStyle w:val="FootnoteReference"/>
                <w:rFonts w:ascii="Arial" w:hAnsi="Arial" w:cs="Arial"/>
                <w:b/>
              </w:rPr>
              <w:footnoteReference w:id="3"/>
            </w:r>
            <w:r>
              <w:rPr>
                <w:rFonts w:ascii="Arial" w:hAnsi="Arial" w:cs="Arial"/>
                <w:b/>
              </w:rPr>
              <w:t xml:space="preserve"> (Advisory body and all subcommittees and working groups)</w:t>
            </w:r>
          </w:p>
          <w:p w14:paraId="49AB4FE1" w14:textId="77777777" w:rsidR="00026544" w:rsidRDefault="00026544" w:rsidP="0036004C">
            <w:pPr>
              <w:pStyle w:val="BodyText"/>
            </w:pPr>
            <w:r>
              <w:t>Dates TBD</w:t>
            </w:r>
          </w:p>
          <w:p w14:paraId="3EAF6899" w14:textId="41BB4DFA" w:rsidR="0036004C" w:rsidRDefault="009B07E1" w:rsidP="0036004C">
            <w:pPr>
              <w:pStyle w:val="BodyText"/>
            </w:pPr>
            <w:r>
              <w:t>January 2023: Teleconference</w:t>
            </w:r>
          </w:p>
          <w:p w14:paraId="01EF2A23" w14:textId="1EF24AF1" w:rsidR="009B07E1" w:rsidRDefault="009B07E1" w:rsidP="0036004C">
            <w:pPr>
              <w:pStyle w:val="BodyText"/>
            </w:pPr>
            <w:r>
              <w:t>April 2023: Teleconference</w:t>
            </w:r>
          </w:p>
          <w:p w14:paraId="5D5C0FD8" w14:textId="347D986B" w:rsidR="009B07E1" w:rsidRDefault="009B07E1" w:rsidP="0036004C">
            <w:pPr>
              <w:pStyle w:val="BodyText"/>
            </w:pPr>
            <w:r>
              <w:t>July 2023: Teleconference</w:t>
            </w:r>
          </w:p>
          <w:p w14:paraId="3586D25C" w14:textId="4C3B96C8" w:rsidR="009B07E1" w:rsidRDefault="009B07E1" w:rsidP="0036004C">
            <w:pPr>
              <w:pStyle w:val="BodyText"/>
            </w:pPr>
            <w:r>
              <w:t>October 2023: In-person</w:t>
            </w:r>
          </w:p>
          <w:p w14:paraId="6A4C8993" w14:textId="77777777" w:rsidR="0036004C" w:rsidRDefault="0036004C" w:rsidP="0036004C">
            <w:pPr>
              <w:pStyle w:val="BodyText"/>
            </w:pPr>
          </w:p>
          <w:p w14:paraId="1546BDFF" w14:textId="77777777" w:rsidR="0036004C" w:rsidRDefault="00AC3829" w:rsidP="0036004C">
            <w:pPr>
              <w:pStyle w:val="BodyText"/>
            </w:pPr>
            <w:sdt>
              <w:sdtPr>
                <w:rPr>
                  <w:color w:val="C00000"/>
                  <w:sz w:val="28"/>
                  <w:szCs w:val="28"/>
                </w:rPr>
                <w:id w:val="1081880335"/>
                <w14:checkbox>
                  <w14:checked w14:val="0"/>
                  <w14:checkedState w14:val="2612" w14:font="MS Gothic"/>
                  <w14:uncheckedState w14:val="2610" w14:font="MS Gothic"/>
                </w14:checkbox>
              </w:sdtPr>
              <w:sdtEndPr/>
              <w:sdtContent>
                <w:r w:rsidR="0036004C">
                  <w:rPr>
                    <w:rFonts w:ascii="MS Gothic" w:eastAsia="MS Gothic" w:hAnsi="MS Gothic" w:hint="eastAsia"/>
                    <w:color w:val="C00000"/>
                    <w:sz w:val="28"/>
                    <w:szCs w:val="28"/>
                  </w:rPr>
                  <w:t>☐</w:t>
                </w:r>
              </w:sdtContent>
            </w:sdt>
            <w:r w:rsidR="0036004C">
              <w:t xml:space="preserve"> Check here if exception to policy is granted by Executive Office or rule of court.</w:t>
            </w:r>
          </w:p>
        </w:tc>
      </w:tr>
    </w:tbl>
    <w:p w14:paraId="7E7BF8E4" w14:textId="77777777" w:rsidR="00F77D6C" w:rsidRPr="00BD56B3" w:rsidRDefault="00772340" w:rsidP="00B26FA2">
      <w:pPr>
        <w:pStyle w:val="ListParagraph"/>
        <w:numPr>
          <w:ilvl w:val="0"/>
          <w:numId w:val="10"/>
        </w:numPr>
        <w:ind w:left="360" w:hanging="480"/>
        <w:rPr>
          <w:rFonts w:ascii="Arial" w:hAnsi="Arial" w:cs="Arial"/>
          <w:b/>
          <w:bCs/>
          <w:sz w:val="28"/>
          <w:szCs w:val="28"/>
        </w:rPr>
      </w:pPr>
      <w:r>
        <w:rPr>
          <w:rFonts w:ascii="Arial" w:hAnsi="Arial" w:cs="Arial"/>
          <w:b/>
          <w:bCs/>
          <w:sz w:val="28"/>
          <w:szCs w:val="28"/>
        </w:rPr>
        <w:br w:type="page"/>
      </w:r>
      <w:r w:rsidR="00C46ADB" w:rsidRPr="00BD56B3">
        <w:rPr>
          <w:rFonts w:ascii="Arial" w:hAnsi="Arial" w:cs="Arial"/>
          <w:b/>
          <w:bCs/>
          <w:sz w:val="28"/>
          <w:szCs w:val="28"/>
        </w:rPr>
        <w:lastRenderedPageBreak/>
        <w:t>COMMITTEE PROJECTS</w:t>
      </w:r>
    </w:p>
    <w:p w14:paraId="75083B16" w14:textId="77777777" w:rsidR="00730990" w:rsidRPr="00730990" w:rsidRDefault="00730990" w:rsidP="00730990">
      <w:pPr>
        <w:ind w:left="-120"/>
        <w:rPr>
          <w:rFonts w:ascii="Arial" w:hAnsi="Arial" w:cs="Arial"/>
          <w:bCs/>
          <w:sz w:val="20"/>
          <w:szCs w:val="20"/>
        </w:rPr>
      </w:pPr>
    </w:p>
    <w:p w14:paraId="57CFA95C" w14:textId="77777777" w:rsidR="00C46ADB" w:rsidRPr="00C46ADB" w:rsidRDefault="00C46ADB" w:rsidP="00C46ADB">
      <w:pPr>
        <w:pStyle w:val="ListParagraph"/>
        <w:numPr>
          <w:ilvl w:val="0"/>
          <w:numId w:val="10"/>
        </w:numPr>
        <w:rPr>
          <w:rFonts w:ascii="Arial" w:hAnsi="Arial" w:cs="Arial"/>
          <w:b/>
          <w:bCs/>
          <w:sz w:val="28"/>
          <w:szCs w:val="28"/>
        </w:rPr>
        <w:sectPr w:rsidR="00C46ADB" w:rsidRPr="00C46ADB" w:rsidSect="00454F05">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432" w:right="1440" w:bottom="720" w:left="1440" w:header="720" w:footer="720" w:gutter="0"/>
          <w:cols w:space="720"/>
          <w:docGrid w:linePitch="360"/>
        </w:sectPr>
      </w:pPr>
    </w:p>
    <w:tbl>
      <w:tblPr>
        <w:tblW w:w="1413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45"/>
        <w:gridCol w:w="10874"/>
        <w:gridCol w:w="2811"/>
      </w:tblGrid>
      <w:tr w:rsidR="00CA5D0E" w:rsidRPr="00B52C4B" w14:paraId="5704CD35" w14:textId="77777777" w:rsidTr="00053AA8">
        <w:trPr>
          <w:trHeight w:val="449"/>
          <w:tblHeader/>
        </w:trPr>
        <w:tc>
          <w:tcPr>
            <w:tcW w:w="445" w:type="dxa"/>
            <w:shd w:val="clear" w:color="auto" w:fill="BFBFBF" w:themeFill="background1" w:themeFillShade="BF"/>
            <w:vAlign w:val="center"/>
          </w:tcPr>
          <w:p w14:paraId="54A11DB0" w14:textId="77777777" w:rsidR="00CA5D0E" w:rsidRPr="005E0236" w:rsidRDefault="00CA5D0E" w:rsidP="00CA5D0E">
            <w:pPr>
              <w:ind w:left="-174" w:right="-198"/>
              <w:jc w:val="center"/>
              <w:rPr>
                <w:rFonts w:ascii="Arial" w:hAnsi="Arial" w:cs="Arial"/>
                <w:b/>
                <w:bCs/>
                <w:sz w:val="26"/>
                <w:szCs w:val="26"/>
              </w:rPr>
            </w:pPr>
            <w:bookmarkStart w:id="0" w:name="_Hlk21013905"/>
            <w:r w:rsidRPr="005E0236">
              <w:rPr>
                <w:rFonts w:ascii="Arial" w:hAnsi="Arial" w:cs="Arial"/>
                <w:b/>
                <w:bCs/>
                <w:sz w:val="26"/>
                <w:szCs w:val="26"/>
              </w:rPr>
              <w:t>#</w:t>
            </w:r>
          </w:p>
        </w:tc>
        <w:tc>
          <w:tcPr>
            <w:tcW w:w="13685" w:type="dxa"/>
            <w:gridSpan w:val="2"/>
            <w:shd w:val="clear" w:color="auto" w:fill="BFBFBF" w:themeFill="background1" w:themeFillShade="BF"/>
            <w:vAlign w:val="center"/>
          </w:tcPr>
          <w:p w14:paraId="43FCDF06" w14:textId="77777777" w:rsidR="00CA5D0E" w:rsidRPr="00CA5D0E" w:rsidRDefault="00CA5D0E" w:rsidP="00D44747">
            <w:pPr>
              <w:rPr>
                <w:rFonts w:ascii="Arial" w:hAnsi="Arial" w:cs="Arial"/>
                <w:b/>
                <w:bCs/>
                <w:sz w:val="28"/>
                <w:szCs w:val="28"/>
              </w:rPr>
            </w:pPr>
            <w:r w:rsidRPr="005E0236">
              <w:rPr>
                <w:rFonts w:ascii="Arial" w:hAnsi="Arial" w:cs="Arial"/>
                <w:b/>
                <w:bCs/>
                <w:sz w:val="26"/>
                <w:szCs w:val="26"/>
              </w:rPr>
              <w:t>New or One-Time Projects</w:t>
            </w:r>
            <w:bookmarkStart w:id="1" w:name="_Ref21013950"/>
            <w:r w:rsidRPr="00FF6C9F">
              <w:rPr>
                <w:rStyle w:val="FootnoteReference"/>
                <w:rFonts w:ascii="Arial" w:hAnsi="Arial" w:cs="Arial"/>
                <w:b/>
                <w:sz w:val="26"/>
                <w:szCs w:val="26"/>
              </w:rPr>
              <w:footnoteReference w:id="4"/>
            </w:r>
            <w:bookmarkEnd w:id="1"/>
            <w:r w:rsidRPr="00CA5D0E">
              <w:rPr>
                <w:rFonts w:ascii="Arial" w:hAnsi="Arial" w:cs="Arial"/>
                <w:b/>
                <w:bCs/>
                <w:sz w:val="28"/>
                <w:szCs w:val="28"/>
              </w:rPr>
              <w:t xml:space="preserve"> </w:t>
            </w:r>
            <w:r w:rsidRPr="00730990">
              <w:rPr>
                <w:rFonts w:ascii="Arial" w:hAnsi="Arial" w:cs="Arial"/>
                <w:bCs/>
                <w:i/>
              </w:rPr>
              <w:t>[</w:t>
            </w:r>
            <w:r w:rsidR="00D44747" w:rsidRPr="00730990">
              <w:rPr>
                <w:rFonts w:ascii="Arial" w:hAnsi="Arial" w:cs="Arial"/>
                <w:i/>
              </w:rPr>
              <w:t>Group</w:t>
            </w:r>
            <w:r w:rsidRPr="00730990">
              <w:rPr>
                <w:rFonts w:ascii="Arial" w:hAnsi="Arial" w:cs="Arial"/>
                <w:i/>
              </w:rPr>
              <w:t xml:space="preserve"> projects </w:t>
            </w:r>
            <w:r w:rsidR="00D44747" w:rsidRPr="00730990">
              <w:rPr>
                <w:rFonts w:ascii="Arial" w:hAnsi="Arial" w:cs="Arial"/>
                <w:i/>
              </w:rPr>
              <w:t>by</w:t>
            </w:r>
            <w:r w:rsidRPr="00730990">
              <w:rPr>
                <w:rFonts w:ascii="Arial" w:hAnsi="Arial" w:cs="Arial"/>
                <w:i/>
              </w:rPr>
              <w:t xml:space="preserve"> </w:t>
            </w:r>
            <w:r w:rsidR="0024120C" w:rsidRPr="00730990">
              <w:rPr>
                <w:rFonts w:ascii="Arial" w:hAnsi="Arial" w:cs="Arial"/>
                <w:i/>
              </w:rPr>
              <w:t xml:space="preserve">priority </w:t>
            </w:r>
            <w:r w:rsidR="00D44747" w:rsidRPr="00730990">
              <w:rPr>
                <w:rFonts w:ascii="Arial" w:hAnsi="Arial" w:cs="Arial"/>
                <w:i/>
              </w:rPr>
              <w:t>number</w:t>
            </w:r>
            <w:r w:rsidRPr="00730990">
              <w:rPr>
                <w:rFonts w:ascii="Arial" w:hAnsi="Arial" w:cs="Arial"/>
                <w:i/>
              </w:rPr>
              <w:t>.]</w:t>
            </w:r>
          </w:p>
        </w:tc>
      </w:tr>
      <w:bookmarkEnd w:id="0"/>
      <w:tr w:rsidR="00A811DF" w:rsidRPr="008C3A55" w14:paraId="7643D2D5" w14:textId="77777777" w:rsidTr="00900FA8">
        <w:trPr>
          <w:trHeight w:val="288"/>
        </w:trPr>
        <w:tc>
          <w:tcPr>
            <w:tcW w:w="445" w:type="dxa"/>
            <w:vMerge w:val="restart"/>
            <w:tcMar>
              <w:top w:w="72" w:type="dxa"/>
              <w:left w:w="115" w:type="dxa"/>
              <w:bottom w:w="72" w:type="dxa"/>
              <w:right w:w="115" w:type="dxa"/>
            </w:tcMar>
          </w:tcPr>
          <w:p w14:paraId="6E4156E6" w14:textId="77777777" w:rsidR="00A811DF" w:rsidRPr="005419F3" w:rsidRDefault="00A811DF" w:rsidP="00730990">
            <w:pPr>
              <w:pStyle w:val="ListParagraph"/>
              <w:numPr>
                <w:ilvl w:val="0"/>
                <w:numId w:val="13"/>
              </w:numPr>
              <w:tabs>
                <w:tab w:val="left" w:pos="156"/>
              </w:tabs>
              <w:ind w:right="72"/>
              <w:jc w:val="both"/>
            </w:pPr>
          </w:p>
        </w:tc>
        <w:tc>
          <w:tcPr>
            <w:tcW w:w="10874" w:type="dxa"/>
            <w:vMerge w:val="restart"/>
          </w:tcPr>
          <w:p w14:paraId="5BAF9DEE" w14:textId="5AD54D03" w:rsidR="00A811DF" w:rsidRPr="008C3A55" w:rsidRDefault="00A811DF" w:rsidP="000953E0">
            <w:pPr>
              <w:ind w:right="72"/>
            </w:pPr>
            <w:r w:rsidRPr="008C3A55">
              <w:rPr>
                <w:b/>
                <w:i/>
              </w:rPr>
              <w:t>Project Title</w:t>
            </w:r>
            <w:r w:rsidR="00452C32">
              <w:rPr>
                <w:b/>
                <w:i/>
              </w:rPr>
              <w:t>:</w:t>
            </w:r>
            <w:r w:rsidRPr="008C3A55">
              <w:rPr>
                <w:b/>
                <w:i/>
              </w:rPr>
              <w:t xml:space="preserve"> </w:t>
            </w:r>
            <w:r w:rsidR="00C61511">
              <w:t xml:space="preserve">Workload Studies (Resource Assessment Study (RAS) and Judicial) </w:t>
            </w:r>
          </w:p>
        </w:tc>
        <w:tc>
          <w:tcPr>
            <w:tcW w:w="2811" w:type="dxa"/>
          </w:tcPr>
          <w:p w14:paraId="7B4A8E58" w14:textId="6545896B" w:rsidR="00BE4C69" w:rsidRPr="00BE4C69" w:rsidRDefault="00A811DF" w:rsidP="00A811DF">
            <w:pPr>
              <w:ind w:right="72"/>
              <w:rPr>
                <w:b/>
                <w:bCs/>
                <w:i/>
              </w:rPr>
            </w:pPr>
            <w:r w:rsidRPr="008C3A55">
              <w:rPr>
                <w:b/>
                <w:bCs/>
                <w:i/>
              </w:rPr>
              <w:t>Priority</w:t>
            </w:r>
            <w:bookmarkStart w:id="2" w:name="_Ref21002321"/>
            <w:r w:rsidRPr="008C3A55">
              <w:rPr>
                <w:i/>
                <w:vertAlign w:val="superscript"/>
              </w:rPr>
              <w:footnoteReference w:id="5"/>
            </w:r>
            <w:bookmarkEnd w:id="2"/>
            <w:r w:rsidR="00BE4C69">
              <w:rPr>
                <w:b/>
                <w:bCs/>
                <w:i/>
              </w:rPr>
              <w:t>I</w:t>
            </w:r>
          </w:p>
        </w:tc>
      </w:tr>
      <w:tr w:rsidR="00A811DF" w:rsidRPr="008C3A55" w14:paraId="3C5963DF" w14:textId="77777777" w:rsidTr="00900FA8">
        <w:trPr>
          <w:trHeight w:val="288"/>
        </w:trPr>
        <w:tc>
          <w:tcPr>
            <w:tcW w:w="445" w:type="dxa"/>
            <w:vMerge/>
            <w:tcMar>
              <w:top w:w="72" w:type="dxa"/>
              <w:left w:w="115" w:type="dxa"/>
              <w:bottom w:w="72" w:type="dxa"/>
              <w:right w:w="115" w:type="dxa"/>
            </w:tcMar>
          </w:tcPr>
          <w:p w14:paraId="22FC21CD" w14:textId="77777777" w:rsidR="00A811DF" w:rsidRPr="005419F3" w:rsidRDefault="00A811DF" w:rsidP="00730990">
            <w:pPr>
              <w:pStyle w:val="ListParagraph"/>
              <w:numPr>
                <w:ilvl w:val="0"/>
                <w:numId w:val="13"/>
              </w:numPr>
              <w:tabs>
                <w:tab w:val="left" w:pos="156"/>
              </w:tabs>
              <w:ind w:right="72"/>
              <w:jc w:val="both"/>
            </w:pPr>
          </w:p>
        </w:tc>
        <w:tc>
          <w:tcPr>
            <w:tcW w:w="10874" w:type="dxa"/>
            <w:vMerge/>
          </w:tcPr>
          <w:p w14:paraId="3DA98905" w14:textId="77777777" w:rsidR="00A811DF" w:rsidRPr="008C3A55" w:rsidRDefault="00A811DF" w:rsidP="009545D9">
            <w:pPr>
              <w:ind w:right="72"/>
              <w:rPr>
                <w:b/>
                <w:i/>
              </w:rPr>
            </w:pPr>
          </w:p>
        </w:tc>
        <w:tc>
          <w:tcPr>
            <w:tcW w:w="2811" w:type="dxa"/>
          </w:tcPr>
          <w:p w14:paraId="2BFA4C99" w14:textId="37B5B041" w:rsidR="00A811DF" w:rsidRPr="008C3A55" w:rsidRDefault="00A811DF" w:rsidP="009545D9">
            <w:pPr>
              <w:ind w:right="72"/>
              <w:rPr>
                <w:b/>
                <w:bCs/>
                <w:i/>
              </w:rPr>
            </w:pPr>
            <w:r w:rsidRPr="00026544">
              <w:rPr>
                <w:b/>
                <w:bCs/>
                <w:i/>
              </w:rPr>
              <w:t>Strategic Plan Goal</w:t>
            </w:r>
            <w:bookmarkStart w:id="3" w:name="_Ref21002353"/>
            <w:r>
              <w:rPr>
                <w:rStyle w:val="FootnoteReference"/>
                <w:b/>
                <w:bCs/>
                <w:i/>
              </w:rPr>
              <w:footnoteReference w:id="6"/>
            </w:r>
            <w:bookmarkEnd w:id="3"/>
            <w:r w:rsidR="00BE4C69">
              <w:rPr>
                <w:b/>
                <w:bCs/>
                <w:i/>
              </w:rPr>
              <w:t xml:space="preserve"> III</w:t>
            </w:r>
          </w:p>
        </w:tc>
      </w:tr>
      <w:tr w:rsidR="00A811DF" w:rsidRPr="008C3A55" w14:paraId="36B8D9A1" w14:textId="77777777" w:rsidTr="00053AA8">
        <w:trPr>
          <w:trHeight w:val="1151"/>
        </w:trPr>
        <w:tc>
          <w:tcPr>
            <w:tcW w:w="445" w:type="dxa"/>
            <w:vMerge/>
            <w:tcMar>
              <w:top w:w="72" w:type="dxa"/>
              <w:left w:w="115" w:type="dxa"/>
              <w:bottom w:w="72" w:type="dxa"/>
              <w:right w:w="115" w:type="dxa"/>
            </w:tcMar>
          </w:tcPr>
          <w:p w14:paraId="4C593721" w14:textId="77777777" w:rsidR="00A811DF" w:rsidRPr="008C3A55" w:rsidRDefault="00A811DF" w:rsidP="00730990">
            <w:pPr>
              <w:pStyle w:val="ListParagraph"/>
              <w:numPr>
                <w:ilvl w:val="0"/>
                <w:numId w:val="13"/>
              </w:numPr>
              <w:tabs>
                <w:tab w:val="left" w:pos="156"/>
              </w:tabs>
              <w:ind w:right="72"/>
              <w:jc w:val="both"/>
            </w:pPr>
          </w:p>
        </w:tc>
        <w:tc>
          <w:tcPr>
            <w:tcW w:w="13685" w:type="dxa"/>
            <w:gridSpan w:val="2"/>
            <w:shd w:val="clear" w:color="auto" w:fill="auto"/>
          </w:tcPr>
          <w:p w14:paraId="15A4D405" w14:textId="3ACA056E" w:rsidR="00A811DF" w:rsidRPr="009B07E1" w:rsidRDefault="00A811DF" w:rsidP="00012CC9">
            <w:pPr>
              <w:ind w:right="72"/>
              <w:rPr>
                <w:rFonts w:eastAsia="Calibri"/>
              </w:rPr>
            </w:pPr>
            <w:r w:rsidRPr="008C3A55">
              <w:rPr>
                <w:b/>
                <w:i/>
              </w:rPr>
              <w:t>Project Summary</w:t>
            </w:r>
            <w:bookmarkStart w:id="4" w:name="_Ref21002828"/>
            <w:r w:rsidRPr="008C3A55">
              <w:rPr>
                <w:b/>
                <w:i/>
                <w:vertAlign w:val="superscript"/>
              </w:rPr>
              <w:footnoteReference w:id="7"/>
            </w:r>
            <w:bookmarkEnd w:id="4"/>
            <w:r w:rsidRPr="008C3A55">
              <w:rPr>
                <w:b/>
                <w:i/>
              </w:rPr>
              <w:t xml:space="preserve">: </w:t>
            </w:r>
            <w:r w:rsidR="00917065" w:rsidRPr="0092019A">
              <w:rPr>
                <w:szCs w:val="22"/>
              </w:rPr>
              <w:t>In October 2013, the Workload Assessment Advisory Committee approved a motion stating that the workload studies</w:t>
            </w:r>
            <w:r w:rsidR="00917065" w:rsidRPr="0092019A">
              <w:rPr>
                <w:spacing w:val="-57"/>
                <w:szCs w:val="22"/>
              </w:rPr>
              <w:t xml:space="preserve"> </w:t>
            </w:r>
            <w:r w:rsidR="00917065" w:rsidRPr="0092019A">
              <w:rPr>
                <w:szCs w:val="22"/>
              </w:rPr>
              <w:t>(both staff and judicial) should be updated every five years, though not concurrently</w:t>
            </w:r>
            <w:r w:rsidR="009561F2">
              <w:rPr>
                <w:szCs w:val="22"/>
              </w:rPr>
              <w:t xml:space="preserve"> </w:t>
            </w:r>
            <w:r w:rsidR="009561F2">
              <w:rPr>
                <w:rFonts w:eastAsia="Calibri"/>
              </w:rPr>
              <w:t>so that they continue to accurately represent staff and judicial workload.</w:t>
            </w:r>
            <w:r w:rsidR="00012CC9">
              <w:rPr>
                <w:rFonts w:eastAsia="Calibri"/>
              </w:rPr>
              <w:t xml:space="preserve">   </w:t>
            </w:r>
            <w:r w:rsidR="00917065" w:rsidRPr="0092019A">
              <w:rPr>
                <w:szCs w:val="22"/>
              </w:rPr>
              <w:t xml:space="preserve">The </w:t>
            </w:r>
            <w:r w:rsidR="00917065">
              <w:rPr>
                <w:szCs w:val="22"/>
              </w:rPr>
              <w:t>R</w:t>
            </w:r>
            <w:r w:rsidR="00917065" w:rsidRPr="0092019A">
              <w:rPr>
                <w:szCs w:val="22"/>
              </w:rPr>
              <w:t xml:space="preserve">esource </w:t>
            </w:r>
            <w:r w:rsidR="00917065">
              <w:rPr>
                <w:szCs w:val="22"/>
              </w:rPr>
              <w:t>A</w:t>
            </w:r>
            <w:r w:rsidR="00917065" w:rsidRPr="0092019A">
              <w:rPr>
                <w:szCs w:val="22"/>
              </w:rPr>
              <w:t xml:space="preserve">ssessment </w:t>
            </w:r>
            <w:r w:rsidR="00917065">
              <w:rPr>
                <w:szCs w:val="22"/>
              </w:rPr>
              <w:t>S</w:t>
            </w:r>
            <w:r w:rsidR="00917065" w:rsidRPr="0092019A">
              <w:rPr>
                <w:szCs w:val="22"/>
              </w:rPr>
              <w:t>tudy (RAS) is used to</w:t>
            </w:r>
            <w:r w:rsidR="00917065" w:rsidRPr="0092019A">
              <w:rPr>
                <w:spacing w:val="1"/>
                <w:szCs w:val="22"/>
              </w:rPr>
              <w:t xml:space="preserve"> </w:t>
            </w:r>
            <w:r w:rsidR="00917065" w:rsidRPr="0092019A">
              <w:rPr>
                <w:szCs w:val="22"/>
              </w:rPr>
              <w:t xml:space="preserve">update the caseweights and other model parameters that are needed to estimate workload-based need for </w:t>
            </w:r>
            <w:r w:rsidR="00917065">
              <w:rPr>
                <w:szCs w:val="22"/>
              </w:rPr>
              <w:t>the</w:t>
            </w:r>
            <w:r w:rsidR="009561F2">
              <w:rPr>
                <w:szCs w:val="22"/>
              </w:rPr>
              <w:t xml:space="preserve"> staff in the</w:t>
            </w:r>
            <w:r w:rsidR="00917065">
              <w:rPr>
                <w:szCs w:val="22"/>
              </w:rPr>
              <w:t xml:space="preserve"> </w:t>
            </w:r>
            <w:r w:rsidR="00917065" w:rsidRPr="0092019A">
              <w:rPr>
                <w:szCs w:val="22"/>
              </w:rPr>
              <w:t>trial court</w:t>
            </w:r>
            <w:r w:rsidR="00917065">
              <w:rPr>
                <w:szCs w:val="22"/>
              </w:rPr>
              <w:t>s</w:t>
            </w:r>
            <w:r w:rsidR="00917065" w:rsidRPr="0092019A">
              <w:rPr>
                <w:szCs w:val="22"/>
              </w:rPr>
              <w:t>.</w:t>
            </w:r>
            <w:r w:rsidR="00917065">
              <w:rPr>
                <w:szCs w:val="22"/>
              </w:rPr>
              <w:t xml:space="preserve"> The RAS is used in conjunction with the Workload Formula (WF) to allocate funding to the trial courts</w:t>
            </w:r>
            <w:r w:rsidRPr="008C3A55">
              <w:rPr>
                <w:i/>
                <w:sz w:val="20"/>
                <w:szCs w:val="20"/>
              </w:rPr>
              <w:t xml:space="preserve">. </w:t>
            </w:r>
            <w:r w:rsidR="00012CC9">
              <w:rPr>
                <w:iCs/>
              </w:rPr>
              <w:t>T</w:t>
            </w:r>
            <w:r w:rsidR="00C61511" w:rsidRPr="009B07E1">
              <w:rPr>
                <w:iCs/>
              </w:rPr>
              <w:t xml:space="preserve">he </w:t>
            </w:r>
            <w:r w:rsidR="009561F2">
              <w:rPr>
                <w:iCs/>
              </w:rPr>
              <w:t>J</w:t>
            </w:r>
            <w:r w:rsidR="00C61511" w:rsidRPr="009B07E1">
              <w:rPr>
                <w:iCs/>
              </w:rPr>
              <w:t xml:space="preserve">udicial </w:t>
            </w:r>
            <w:r w:rsidR="009561F2">
              <w:rPr>
                <w:iCs/>
              </w:rPr>
              <w:t>W</w:t>
            </w:r>
            <w:r w:rsidR="00C61511" w:rsidRPr="009B07E1">
              <w:rPr>
                <w:iCs/>
              </w:rPr>
              <w:t xml:space="preserve">orkload </w:t>
            </w:r>
            <w:r w:rsidR="009561F2">
              <w:rPr>
                <w:iCs/>
              </w:rPr>
              <w:t>S</w:t>
            </w:r>
            <w:r w:rsidR="00C61511" w:rsidRPr="009B07E1">
              <w:rPr>
                <w:iCs/>
              </w:rPr>
              <w:t>tudy</w:t>
            </w:r>
            <w:r w:rsidR="00C61511">
              <w:rPr>
                <w:i/>
                <w:sz w:val="20"/>
                <w:szCs w:val="20"/>
              </w:rPr>
              <w:t xml:space="preserve"> </w:t>
            </w:r>
            <w:r w:rsidR="009B07E1">
              <w:rPr>
                <w:rFonts w:eastAsia="Calibri"/>
              </w:rPr>
              <w:t xml:space="preserve">is </w:t>
            </w:r>
            <w:r w:rsidR="009561F2">
              <w:rPr>
                <w:rFonts w:eastAsia="Calibri"/>
              </w:rPr>
              <w:t>used</w:t>
            </w:r>
            <w:r w:rsidR="009B07E1">
              <w:rPr>
                <w:rFonts w:eastAsia="Calibri"/>
              </w:rPr>
              <w:t xml:space="preserve"> </w:t>
            </w:r>
            <w:r w:rsidR="009561F2">
              <w:rPr>
                <w:rFonts w:eastAsia="Calibri"/>
              </w:rPr>
              <w:t xml:space="preserve">to update the caseweights and other model parameters that </w:t>
            </w:r>
            <w:r w:rsidR="009561F2" w:rsidRPr="0092019A">
              <w:rPr>
                <w:szCs w:val="22"/>
              </w:rPr>
              <w:t xml:space="preserve">that are needed to estimate </w:t>
            </w:r>
            <w:r w:rsidR="009561F2">
              <w:rPr>
                <w:szCs w:val="22"/>
              </w:rPr>
              <w:t xml:space="preserve">the </w:t>
            </w:r>
            <w:r w:rsidR="009B07E1">
              <w:rPr>
                <w:rFonts w:eastAsia="Calibri"/>
              </w:rPr>
              <w:t xml:space="preserve">number of judgeships needed in the trial courts. </w:t>
            </w:r>
          </w:p>
          <w:p w14:paraId="3ED1EDCE" w14:textId="169CD5F3" w:rsidR="00917065" w:rsidRDefault="00917065" w:rsidP="00992007">
            <w:pPr>
              <w:ind w:right="72"/>
              <w:rPr>
                <w:i/>
                <w:sz w:val="20"/>
                <w:szCs w:val="20"/>
              </w:rPr>
            </w:pPr>
          </w:p>
          <w:p w14:paraId="3C827A79" w14:textId="060F8A15" w:rsidR="00917065" w:rsidRDefault="00917065" w:rsidP="00917065">
            <w:pPr>
              <w:ind w:right="72"/>
              <w:rPr>
                <w:szCs w:val="22"/>
              </w:rPr>
            </w:pPr>
            <w:r w:rsidRPr="0092019A">
              <w:rPr>
                <w:szCs w:val="22"/>
              </w:rPr>
              <w:t xml:space="preserve">The committee’s work in the coming year will be to </w:t>
            </w:r>
            <w:r w:rsidR="00026544">
              <w:rPr>
                <w:szCs w:val="22"/>
              </w:rPr>
              <w:t>expand</w:t>
            </w:r>
            <w:r w:rsidR="009B07E1">
              <w:rPr>
                <w:szCs w:val="22"/>
              </w:rPr>
              <w:t xml:space="preserve"> i</w:t>
            </w:r>
            <w:r w:rsidR="00C61511">
              <w:rPr>
                <w:szCs w:val="22"/>
              </w:rPr>
              <w:t xml:space="preserve">ts own expertise of </w:t>
            </w:r>
            <w:r>
              <w:rPr>
                <w:szCs w:val="22"/>
              </w:rPr>
              <w:t xml:space="preserve">the </w:t>
            </w:r>
            <w:r w:rsidR="00C61511">
              <w:rPr>
                <w:szCs w:val="22"/>
              </w:rPr>
              <w:t>workload studies (RAS and Judicial)</w:t>
            </w:r>
            <w:r w:rsidR="00012CC9">
              <w:rPr>
                <w:szCs w:val="22"/>
              </w:rPr>
              <w:t>; to review the workload model parameters and model inputs</w:t>
            </w:r>
            <w:r w:rsidR="00A87BB2">
              <w:rPr>
                <w:szCs w:val="22"/>
              </w:rPr>
              <w:t xml:space="preserve"> and consider </w:t>
            </w:r>
            <w:r w:rsidR="00AF390A">
              <w:rPr>
                <w:szCs w:val="22"/>
              </w:rPr>
              <w:t xml:space="preserve">options for </w:t>
            </w:r>
            <w:r w:rsidR="00A87BB2">
              <w:rPr>
                <w:szCs w:val="22"/>
              </w:rPr>
              <w:t xml:space="preserve">how the branch </w:t>
            </w:r>
            <w:r w:rsidR="0008153E">
              <w:rPr>
                <w:szCs w:val="22"/>
              </w:rPr>
              <w:t>may measure workload</w:t>
            </w:r>
            <w:r w:rsidR="00AB3068">
              <w:rPr>
                <w:szCs w:val="22"/>
              </w:rPr>
              <w:t xml:space="preserve"> going forward</w:t>
            </w:r>
            <w:r w:rsidR="00AF390A">
              <w:rPr>
                <w:szCs w:val="22"/>
              </w:rPr>
              <w:t xml:space="preserve"> considering both short-term effects of the pandemic and how they may potentially affect long-term measurement models</w:t>
            </w:r>
            <w:r w:rsidR="00F243D9">
              <w:rPr>
                <w:szCs w:val="22"/>
              </w:rPr>
              <w:t>;</w:t>
            </w:r>
            <w:r w:rsidR="00C61511">
              <w:rPr>
                <w:szCs w:val="22"/>
              </w:rPr>
              <w:t xml:space="preserve"> </w:t>
            </w:r>
            <w:r>
              <w:rPr>
                <w:szCs w:val="22"/>
              </w:rPr>
              <w:t>and provide education</w:t>
            </w:r>
            <w:r w:rsidR="00026544">
              <w:rPr>
                <w:szCs w:val="22"/>
              </w:rPr>
              <w:t>al</w:t>
            </w:r>
            <w:r>
              <w:rPr>
                <w:szCs w:val="22"/>
              </w:rPr>
              <w:t xml:space="preserve"> sessions </w:t>
            </w:r>
            <w:r w:rsidR="00C61511">
              <w:rPr>
                <w:szCs w:val="22"/>
              </w:rPr>
              <w:t>about</w:t>
            </w:r>
            <w:r>
              <w:rPr>
                <w:szCs w:val="22"/>
              </w:rPr>
              <w:t xml:space="preserve"> the </w:t>
            </w:r>
            <w:r w:rsidR="009B07E1">
              <w:rPr>
                <w:szCs w:val="22"/>
              </w:rPr>
              <w:t>workload models</w:t>
            </w:r>
            <w:r>
              <w:rPr>
                <w:szCs w:val="22"/>
              </w:rPr>
              <w:t xml:space="preserve"> to the Court Executive Advisory Committee (CEAC) and </w:t>
            </w:r>
            <w:r w:rsidR="00C61511">
              <w:rPr>
                <w:szCs w:val="22"/>
              </w:rPr>
              <w:t xml:space="preserve">Trial Court </w:t>
            </w:r>
            <w:r>
              <w:rPr>
                <w:szCs w:val="22"/>
              </w:rPr>
              <w:t>Presiding Judges Advisory Committee (TCPJAC)</w:t>
            </w:r>
            <w:r w:rsidRPr="0092019A">
              <w:rPr>
                <w:szCs w:val="22"/>
              </w:rPr>
              <w:t xml:space="preserve">. </w:t>
            </w:r>
          </w:p>
          <w:p w14:paraId="19C88427" w14:textId="77777777" w:rsidR="00917065" w:rsidRPr="008C3A55" w:rsidRDefault="00917065" w:rsidP="00992007">
            <w:pPr>
              <w:ind w:right="72"/>
              <w:rPr>
                <w:b/>
                <w:i/>
                <w:sz w:val="20"/>
                <w:szCs w:val="20"/>
              </w:rPr>
            </w:pPr>
          </w:p>
          <w:p w14:paraId="6F666DEC" w14:textId="77777777" w:rsidR="00A811DF" w:rsidRPr="00E94D20" w:rsidRDefault="00A811DF" w:rsidP="00C22BD4">
            <w:pPr>
              <w:ind w:right="72"/>
            </w:pPr>
          </w:p>
          <w:p w14:paraId="4793FA15" w14:textId="1F2E908C" w:rsidR="00A811DF" w:rsidRPr="008C3A55" w:rsidRDefault="00A811DF" w:rsidP="000953E0">
            <w:pPr>
              <w:ind w:right="72"/>
              <w:rPr>
                <w:b/>
                <w:i/>
                <w:sz w:val="20"/>
                <w:szCs w:val="20"/>
              </w:rPr>
            </w:pPr>
            <w:r w:rsidRPr="008C3A55">
              <w:rPr>
                <w:b/>
                <w:i/>
              </w:rPr>
              <w:t xml:space="preserve">Status/Timeline: </w:t>
            </w:r>
            <w:r w:rsidR="00917065" w:rsidRPr="00FF0C14">
              <w:rPr>
                <w:i/>
              </w:rPr>
              <w:t>Ongoing</w:t>
            </w:r>
            <w:r w:rsidRPr="008C3A55">
              <w:rPr>
                <w:i/>
                <w:sz w:val="20"/>
                <w:szCs w:val="20"/>
              </w:rPr>
              <w:t>.</w:t>
            </w:r>
          </w:p>
          <w:p w14:paraId="12EDE181" w14:textId="77777777" w:rsidR="00A811DF" w:rsidRPr="00E94D20" w:rsidRDefault="00A811DF" w:rsidP="00992007">
            <w:pPr>
              <w:ind w:right="72"/>
            </w:pPr>
          </w:p>
          <w:p w14:paraId="3F0F2191" w14:textId="78044639" w:rsidR="00777815" w:rsidRDefault="00A811DF" w:rsidP="002B4F6A">
            <w:pPr>
              <w:ind w:left="342" w:right="72" w:hanging="360"/>
            </w:pPr>
            <w:r w:rsidRPr="008C3A55">
              <w:rPr>
                <w:b/>
                <w:i/>
              </w:rPr>
              <w:t>Fiscal Impact/Resources:</w:t>
            </w:r>
            <w:r w:rsidR="00777815">
              <w:rPr>
                <w:b/>
                <w:i/>
              </w:rPr>
              <w:t xml:space="preserve"> </w:t>
            </w:r>
            <w:r w:rsidR="00777815">
              <w:t>Completion</w:t>
            </w:r>
            <w:r w:rsidR="00777815">
              <w:rPr>
                <w:spacing w:val="-1"/>
              </w:rPr>
              <w:t xml:space="preserve"> </w:t>
            </w:r>
            <w:r w:rsidR="00777815">
              <w:t>of</w:t>
            </w:r>
            <w:r w:rsidR="00777815">
              <w:rPr>
                <w:spacing w:val="-3"/>
              </w:rPr>
              <w:t xml:space="preserve"> </w:t>
            </w:r>
            <w:r w:rsidR="00777815">
              <w:t>this</w:t>
            </w:r>
            <w:r w:rsidR="00777815">
              <w:rPr>
                <w:spacing w:val="-1"/>
              </w:rPr>
              <w:t xml:space="preserve"> </w:t>
            </w:r>
            <w:r w:rsidR="00777815">
              <w:t>project</w:t>
            </w:r>
            <w:r w:rsidR="00777815">
              <w:rPr>
                <w:spacing w:val="-1"/>
              </w:rPr>
              <w:t xml:space="preserve"> </w:t>
            </w:r>
            <w:r w:rsidR="00777815">
              <w:t>will</w:t>
            </w:r>
            <w:r w:rsidR="00777815">
              <w:rPr>
                <w:spacing w:val="-2"/>
              </w:rPr>
              <w:t xml:space="preserve"> </w:t>
            </w:r>
            <w:r w:rsidR="00777815">
              <w:t>be</w:t>
            </w:r>
            <w:r w:rsidR="00777815">
              <w:rPr>
                <w:spacing w:val="-2"/>
              </w:rPr>
              <w:t xml:space="preserve"> </w:t>
            </w:r>
            <w:r w:rsidR="00777815">
              <w:t>accomplished</w:t>
            </w:r>
            <w:r w:rsidR="00777815">
              <w:rPr>
                <w:spacing w:val="-1"/>
              </w:rPr>
              <w:t xml:space="preserve"> </w:t>
            </w:r>
            <w:r w:rsidR="00777815">
              <w:t>with</w:t>
            </w:r>
            <w:r w:rsidR="00777815">
              <w:rPr>
                <w:spacing w:val="-1"/>
              </w:rPr>
              <w:t xml:space="preserve"> </w:t>
            </w:r>
            <w:r w:rsidR="00777815">
              <w:t>1.0</w:t>
            </w:r>
            <w:r w:rsidR="00777815">
              <w:rPr>
                <w:spacing w:val="-2"/>
              </w:rPr>
              <w:t xml:space="preserve"> </w:t>
            </w:r>
            <w:r w:rsidR="00777815">
              <w:t>FTE</w:t>
            </w:r>
            <w:r w:rsidR="00777815">
              <w:rPr>
                <w:spacing w:val="-2"/>
              </w:rPr>
              <w:t xml:space="preserve"> </w:t>
            </w:r>
            <w:r w:rsidR="00777815">
              <w:t>Senior</w:t>
            </w:r>
            <w:r w:rsidR="00777815">
              <w:rPr>
                <w:spacing w:val="-2"/>
              </w:rPr>
              <w:t xml:space="preserve"> </w:t>
            </w:r>
            <w:r w:rsidR="00777815">
              <w:t>Analyst</w:t>
            </w:r>
            <w:r w:rsidR="00777815">
              <w:rPr>
                <w:spacing w:val="-2"/>
              </w:rPr>
              <w:t xml:space="preserve"> </w:t>
            </w:r>
            <w:r w:rsidR="00777815">
              <w:t>and</w:t>
            </w:r>
            <w:r w:rsidR="00777815">
              <w:rPr>
                <w:spacing w:val="-1"/>
              </w:rPr>
              <w:t xml:space="preserve"> </w:t>
            </w:r>
            <w:r w:rsidR="00777815">
              <w:t>.50</w:t>
            </w:r>
            <w:r w:rsidR="00777815">
              <w:rPr>
                <w:spacing w:val="-1"/>
              </w:rPr>
              <w:t xml:space="preserve"> </w:t>
            </w:r>
            <w:r w:rsidR="00777815">
              <w:t>of</w:t>
            </w:r>
            <w:r w:rsidR="00777815">
              <w:rPr>
                <w:spacing w:val="-3"/>
              </w:rPr>
              <w:t xml:space="preserve"> </w:t>
            </w:r>
            <w:r w:rsidR="00777815">
              <w:t>Supervising</w:t>
            </w:r>
            <w:r w:rsidR="00777815">
              <w:rPr>
                <w:spacing w:val="-1"/>
              </w:rPr>
              <w:t xml:space="preserve"> </w:t>
            </w:r>
            <w:proofErr w:type="gramStart"/>
            <w:r w:rsidR="00777815">
              <w:t xml:space="preserve">Analyst </w:t>
            </w:r>
            <w:r w:rsidR="00777815">
              <w:rPr>
                <w:spacing w:val="-57"/>
              </w:rPr>
              <w:t xml:space="preserve"> </w:t>
            </w:r>
            <w:r w:rsidR="00777815">
              <w:t>for</w:t>
            </w:r>
            <w:proofErr w:type="gramEnd"/>
            <w:r w:rsidR="00777815">
              <w:rPr>
                <w:spacing w:val="-2"/>
              </w:rPr>
              <w:t xml:space="preserve"> </w:t>
            </w:r>
            <w:r w:rsidR="00777815">
              <w:t>a</w:t>
            </w:r>
            <w:r w:rsidR="00777815">
              <w:rPr>
                <w:spacing w:val="-1"/>
              </w:rPr>
              <w:t xml:space="preserve"> </w:t>
            </w:r>
            <w:r w:rsidR="00777815">
              <w:t>period of</w:t>
            </w:r>
            <w:r w:rsidR="00777815">
              <w:rPr>
                <w:spacing w:val="-1"/>
              </w:rPr>
              <w:t xml:space="preserve"> </w:t>
            </w:r>
            <w:r w:rsidR="00777815">
              <w:t>1 year</w:t>
            </w:r>
            <w:r w:rsidR="00777815">
              <w:rPr>
                <w:spacing w:val="-1"/>
              </w:rPr>
              <w:t xml:space="preserve"> </w:t>
            </w:r>
            <w:r w:rsidR="00777815">
              <w:t>(existing resources).</w:t>
            </w:r>
          </w:p>
          <w:p w14:paraId="159820B3" w14:textId="6D307BA4" w:rsidR="00A811DF" w:rsidRDefault="00AC3829" w:rsidP="002B4F6A">
            <w:pPr>
              <w:ind w:left="342" w:right="72" w:hanging="360"/>
              <w:rPr>
                <w:i/>
                <w:sz w:val="22"/>
                <w:szCs w:val="22"/>
              </w:rPr>
            </w:pPr>
            <w:sdt>
              <w:sdtPr>
                <w:rPr>
                  <w:color w:val="C00000"/>
                  <w:sz w:val="28"/>
                  <w:szCs w:val="28"/>
                </w:rPr>
                <w:id w:val="2119946662"/>
                <w14:checkbox>
                  <w14:checked w14:val="0"/>
                  <w14:checkedState w14:val="2612" w14:font="MS Gothic"/>
                  <w14:uncheckedState w14:val="2610" w14:font="MS Gothic"/>
                </w14:checkbox>
              </w:sdtPr>
              <w:sdtEndPr/>
              <w:sdtContent>
                <w:r w:rsidR="00777815">
                  <w:rPr>
                    <w:rFonts w:ascii="MS Gothic" w:eastAsia="MS Gothic" w:hAnsi="MS Gothic" w:hint="eastAsia"/>
                    <w:color w:val="C00000"/>
                    <w:sz w:val="28"/>
                    <w:szCs w:val="28"/>
                  </w:rPr>
                  <w:t>☐</w:t>
                </w:r>
              </w:sdtContent>
            </w:sdt>
            <w:r w:rsidR="00182C25" w:rsidRPr="002B4F6A">
              <w:rPr>
                <w:b/>
                <w:i/>
                <w:color w:val="C00000"/>
                <w:sz w:val="28"/>
                <w:szCs w:val="28"/>
              </w:rPr>
              <w:t xml:space="preserve"> </w:t>
            </w:r>
            <w:r w:rsidR="002B4F6A" w:rsidRPr="002B4F6A">
              <w:rPr>
                <w:i/>
                <w:sz w:val="22"/>
                <w:szCs w:val="22"/>
              </w:rPr>
              <w:t>This project may result in an allocation or distribution of funds to the courts. We will coordinate with Budget Services to ensure their review of relevant materials.</w:t>
            </w:r>
          </w:p>
          <w:p w14:paraId="082B1E57" w14:textId="77777777" w:rsidR="0008239D" w:rsidRPr="00E94D20" w:rsidRDefault="0008239D" w:rsidP="00992007">
            <w:pPr>
              <w:ind w:right="72"/>
              <w:rPr>
                <w:i/>
              </w:rPr>
            </w:pPr>
          </w:p>
          <w:p w14:paraId="6666EF13" w14:textId="766735F8" w:rsidR="00A811DF" w:rsidRDefault="00A811DF" w:rsidP="00992007">
            <w:pPr>
              <w:ind w:right="72"/>
              <w:rPr>
                <w:i/>
                <w:sz w:val="20"/>
                <w:szCs w:val="20"/>
              </w:rPr>
            </w:pPr>
            <w:r w:rsidRPr="008C3A55">
              <w:rPr>
                <w:b/>
                <w:i/>
              </w:rPr>
              <w:t>Internal/External Stakeholders:</w:t>
            </w:r>
            <w:r w:rsidRPr="008C3A55">
              <w:rPr>
                <w:i/>
              </w:rPr>
              <w:t xml:space="preserve"> </w:t>
            </w:r>
            <w:r w:rsidR="00777815">
              <w:t>Trial</w:t>
            </w:r>
            <w:r w:rsidR="00777815">
              <w:rPr>
                <w:spacing w:val="-3"/>
              </w:rPr>
              <w:t xml:space="preserve"> </w:t>
            </w:r>
            <w:r w:rsidR="00777815">
              <w:t>Courts</w:t>
            </w:r>
            <w:r w:rsidRPr="008C3A55">
              <w:rPr>
                <w:i/>
                <w:sz w:val="20"/>
                <w:szCs w:val="20"/>
              </w:rPr>
              <w:t xml:space="preserve">. </w:t>
            </w:r>
          </w:p>
          <w:p w14:paraId="7793A67E" w14:textId="77777777" w:rsidR="00777815" w:rsidRPr="00777815" w:rsidRDefault="00777815" w:rsidP="00992007">
            <w:pPr>
              <w:ind w:right="72"/>
              <w:rPr>
                <w:i/>
                <w:sz w:val="20"/>
                <w:szCs w:val="20"/>
              </w:rPr>
            </w:pPr>
          </w:p>
          <w:p w14:paraId="15EE9E05" w14:textId="26FE2BA7" w:rsidR="00A811DF" w:rsidRPr="008C3A55" w:rsidRDefault="00A811DF" w:rsidP="00992007">
            <w:pPr>
              <w:ind w:right="72"/>
              <w:rPr>
                <w:i/>
                <w:sz w:val="20"/>
                <w:szCs w:val="20"/>
              </w:rPr>
            </w:pPr>
            <w:r w:rsidRPr="008C3A55">
              <w:rPr>
                <w:b/>
                <w:i/>
              </w:rPr>
              <w:t xml:space="preserve">AC Collaboration: </w:t>
            </w:r>
            <w:r w:rsidR="00F243D9">
              <w:rPr>
                <w:i/>
                <w:sz w:val="20"/>
                <w:szCs w:val="20"/>
              </w:rPr>
              <w:t>Criminal Law Advisory Committee; Civil and Small Claims Advisory Committee; Trial Court Budget Advisory Committee; Family Law/Juvenile Advisory Committee; Judicial Branch Budget Committee</w:t>
            </w:r>
          </w:p>
          <w:p w14:paraId="7E30F1CA" w14:textId="77777777" w:rsidR="00A811DF" w:rsidRPr="008C3A55" w:rsidRDefault="00A811DF" w:rsidP="00322900">
            <w:pPr>
              <w:spacing w:after="60"/>
              <w:rPr>
                <w:i/>
              </w:rPr>
            </w:pPr>
          </w:p>
        </w:tc>
      </w:tr>
      <w:tr w:rsidR="006644E2" w:rsidRPr="008C3A55" w14:paraId="6E7E3733" w14:textId="77777777" w:rsidTr="00F82B08">
        <w:trPr>
          <w:trHeight w:val="288"/>
        </w:trPr>
        <w:tc>
          <w:tcPr>
            <w:tcW w:w="445" w:type="dxa"/>
            <w:vMerge w:val="restart"/>
            <w:tcMar>
              <w:top w:w="72" w:type="dxa"/>
              <w:left w:w="115" w:type="dxa"/>
              <w:bottom w:w="72" w:type="dxa"/>
              <w:right w:w="115" w:type="dxa"/>
            </w:tcMar>
          </w:tcPr>
          <w:p w14:paraId="37B9208D" w14:textId="77777777" w:rsidR="006644E2" w:rsidRPr="005419F3" w:rsidRDefault="006644E2" w:rsidP="006644E2">
            <w:pPr>
              <w:pStyle w:val="ListParagraph"/>
              <w:numPr>
                <w:ilvl w:val="0"/>
                <w:numId w:val="13"/>
              </w:numPr>
              <w:tabs>
                <w:tab w:val="left" w:pos="156"/>
              </w:tabs>
              <w:ind w:right="72"/>
              <w:jc w:val="both"/>
            </w:pPr>
            <w:bookmarkStart w:id="5" w:name="_Hlk120792105"/>
          </w:p>
        </w:tc>
        <w:tc>
          <w:tcPr>
            <w:tcW w:w="10874" w:type="dxa"/>
            <w:vMerge w:val="restart"/>
          </w:tcPr>
          <w:p w14:paraId="54229A89" w14:textId="43F8416F" w:rsidR="006644E2" w:rsidRPr="008C3A55" w:rsidRDefault="006644E2" w:rsidP="00F82B08">
            <w:pPr>
              <w:ind w:right="72"/>
            </w:pPr>
            <w:r w:rsidRPr="008C3A55">
              <w:rPr>
                <w:b/>
                <w:i/>
              </w:rPr>
              <w:t>Project Title</w:t>
            </w:r>
            <w:r w:rsidR="00452C32">
              <w:rPr>
                <w:b/>
                <w:i/>
              </w:rPr>
              <w:t>:</w:t>
            </w:r>
            <w:r w:rsidRPr="008C3A55">
              <w:rPr>
                <w:b/>
                <w:i/>
              </w:rPr>
              <w:t xml:space="preserve"> </w:t>
            </w:r>
            <w:r>
              <w:t xml:space="preserve">Operational Metrics Review </w:t>
            </w:r>
          </w:p>
        </w:tc>
        <w:tc>
          <w:tcPr>
            <w:tcW w:w="2811" w:type="dxa"/>
          </w:tcPr>
          <w:p w14:paraId="4E8F6764" w14:textId="77777777" w:rsidR="006644E2" w:rsidRPr="00BE4C69" w:rsidRDefault="006644E2" w:rsidP="00F82B08">
            <w:pPr>
              <w:ind w:right="72"/>
              <w:rPr>
                <w:b/>
                <w:bCs/>
                <w:i/>
              </w:rPr>
            </w:pPr>
            <w:r w:rsidRPr="008C3A55">
              <w:rPr>
                <w:b/>
                <w:bCs/>
                <w:i/>
              </w:rPr>
              <w:t>Priority</w:t>
            </w:r>
            <w:r w:rsidRPr="008C3A55">
              <w:rPr>
                <w:i/>
                <w:vertAlign w:val="superscript"/>
              </w:rPr>
              <w:footnoteReference w:id="8"/>
            </w:r>
            <w:r>
              <w:rPr>
                <w:b/>
                <w:bCs/>
                <w:i/>
              </w:rPr>
              <w:t>I</w:t>
            </w:r>
          </w:p>
        </w:tc>
      </w:tr>
      <w:tr w:rsidR="006644E2" w:rsidRPr="008C3A55" w14:paraId="61393590" w14:textId="77777777" w:rsidTr="00F82B08">
        <w:trPr>
          <w:trHeight w:val="288"/>
        </w:trPr>
        <w:tc>
          <w:tcPr>
            <w:tcW w:w="445" w:type="dxa"/>
            <w:vMerge/>
            <w:tcMar>
              <w:top w:w="72" w:type="dxa"/>
              <w:left w:w="115" w:type="dxa"/>
              <w:bottom w:w="72" w:type="dxa"/>
              <w:right w:w="115" w:type="dxa"/>
            </w:tcMar>
          </w:tcPr>
          <w:p w14:paraId="7B18917D" w14:textId="77777777" w:rsidR="006644E2" w:rsidRPr="005419F3" w:rsidRDefault="006644E2" w:rsidP="006644E2">
            <w:pPr>
              <w:pStyle w:val="ListParagraph"/>
              <w:numPr>
                <w:ilvl w:val="0"/>
                <w:numId w:val="13"/>
              </w:numPr>
              <w:tabs>
                <w:tab w:val="left" w:pos="156"/>
              </w:tabs>
              <w:ind w:right="72"/>
              <w:jc w:val="both"/>
            </w:pPr>
          </w:p>
        </w:tc>
        <w:tc>
          <w:tcPr>
            <w:tcW w:w="10874" w:type="dxa"/>
            <w:vMerge/>
          </w:tcPr>
          <w:p w14:paraId="78927340" w14:textId="77777777" w:rsidR="006644E2" w:rsidRPr="008C3A55" w:rsidRDefault="006644E2" w:rsidP="00F82B08">
            <w:pPr>
              <w:ind w:right="72"/>
              <w:rPr>
                <w:b/>
                <w:i/>
              </w:rPr>
            </w:pPr>
          </w:p>
        </w:tc>
        <w:tc>
          <w:tcPr>
            <w:tcW w:w="2811" w:type="dxa"/>
          </w:tcPr>
          <w:p w14:paraId="255C4E6B" w14:textId="77777777" w:rsidR="006644E2" w:rsidRPr="008C3A55" w:rsidRDefault="006644E2" w:rsidP="00F82B08">
            <w:pPr>
              <w:ind w:right="72"/>
              <w:rPr>
                <w:b/>
                <w:bCs/>
                <w:i/>
              </w:rPr>
            </w:pPr>
            <w:r w:rsidRPr="00026544">
              <w:rPr>
                <w:b/>
                <w:bCs/>
                <w:i/>
              </w:rPr>
              <w:t>Strategic Plan Goal</w:t>
            </w:r>
            <w:r>
              <w:rPr>
                <w:rStyle w:val="FootnoteReference"/>
                <w:b/>
                <w:bCs/>
                <w:i/>
              </w:rPr>
              <w:footnoteReference w:id="9"/>
            </w:r>
            <w:r>
              <w:rPr>
                <w:b/>
                <w:bCs/>
                <w:i/>
              </w:rPr>
              <w:t xml:space="preserve"> III</w:t>
            </w:r>
          </w:p>
        </w:tc>
      </w:tr>
      <w:tr w:rsidR="006644E2" w:rsidRPr="008C3A55" w14:paraId="23E3D32F" w14:textId="77777777" w:rsidTr="00F82B08">
        <w:trPr>
          <w:trHeight w:val="1151"/>
        </w:trPr>
        <w:tc>
          <w:tcPr>
            <w:tcW w:w="445" w:type="dxa"/>
            <w:vMerge/>
            <w:tcMar>
              <w:top w:w="72" w:type="dxa"/>
              <w:left w:w="115" w:type="dxa"/>
              <w:bottom w:w="72" w:type="dxa"/>
              <w:right w:w="115" w:type="dxa"/>
            </w:tcMar>
          </w:tcPr>
          <w:p w14:paraId="6AC8B538" w14:textId="77777777" w:rsidR="006644E2" w:rsidRPr="008C3A55" w:rsidRDefault="006644E2" w:rsidP="006644E2">
            <w:pPr>
              <w:pStyle w:val="ListParagraph"/>
              <w:numPr>
                <w:ilvl w:val="0"/>
                <w:numId w:val="13"/>
              </w:numPr>
              <w:tabs>
                <w:tab w:val="left" w:pos="156"/>
              </w:tabs>
              <w:ind w:right="72"/>
              <w:jc w:val="both"/>
            </w:pPr>
          </w:p>
        </w:tc>
        <w:tc>
          <w:tcPr>
            <w:tcW w:w="13685" w:type="dxa"/>
            <w:gridSpan w:val="2"/>
            <w:shd w:val="clear" w:color="auto" w:fill="auto"/>
          </w:tcPr>
          <w:p w14:paraId="713C5FA7" w14:textId="7FDD7ED4" w:rsidR="006644E2" w:rsidRDefault="006644E2" w:rsidP="006644E2">
            <w:pPr>
              <w:ind w:right="72"/>
              <w:rPr>
                <w:szCs w:val="22"/>
              </w:rPr>
            </w:pPr>
            <w:r w:rsidRPr="008C3A55">
              <w:rPr>
                <w:b/>
                <w:i/>
              </w:rPr>
              <w:t>Project Summary</w:t>
            </w:r>
            <w:r w:rsidRPr="008C3A55">
              <w:rPr>
                <w:b/>
                <w:i/>
                <w:vertAlign w:val="superscript"/>
              </w:rPr>
              <w:footnoteReference w:id="10"/>
            </w:r>
            <w:r w:rsidRPr="008C3A55">
              <w:rPr>
                <w:b/>
                <w:i/>
              </w:rPr>
              <w:t>:</w:t>
            </w:r>
            <w:r>
              <w:rPr>
                <w:b/>
                <w:i/>
              </w:rPr>
              <w:t xml:space="preserve"> </w:t>
            </w:r>
            <w:r>
              <w:rPr>
                <w:bCs/>
                <w:iCs/>
              </w:rPr>
              <w:t xml:space="preserve">In connection with the required reporting per SB 154, the committee should review existing standards and measures of judicial administration and consider whether existing standards should be updated or modified or if new standards should be adopted. The committee will need to review past work on standards and measures and </w:t>
            </w:r>
            <w:r w:rsidR="000F44B3">
              <w:rPr>
                <w:bCs/>
                <w:iCs/>
              </w:rPr>
              <w:t>may want to</w:t>
            </w:r>
            <w:r>
              <w:rPr>
                <w:bCs/>
                <w:iCs/>
              </w:rPr>
              <w:t xml:space="preserve"> consult with the National Center for State Courts or other entities on these standards. </w:t>
            </w:r>
          </w:p>
          <w:p w14:paraId="342E8D51" w14:textId="77777777" w:rsidR="006644E2" w:rsidRPr="008C3A55" w:rsidRDefault="006644E2" w:rsidP="00F82B08">
            <w:pPr>
              <w:ind w:right="72"/>
              <w:rPr>
                <w:b/>
                <w:i/>
                <w:sz w:val="20"/>
                <w:szCs w:val="20"/>
              </w:rPr>
            </w:pPr>
          </w:p>
          <w:p w14:paraId="78F03BCE" w14:textId="77777777" w:rsidR="006644E2" w:rsidRPr="006644E2" w:rsidRDefault="006644E2" w:rsidP="00F82B08">
            <w:pPr>
              <w:ind w:right="72"/>
            </w:pPr>
          </w:p>
          <w:p w14:paraId="333356CE" w14:textId="0B980363" w:rsidR="006644E2" w:rsidRPr="00FF0C14" w:rsidRDefault="006644E2" w:rsidP="00F82B08">
            <w:pPr>
              <w:ind w:right="72"/>
              <w:rPr>
                <w:b/>
                <w:i/>
              </w:rPr>
            </w:pPr>
            <w:r w:rsidRPr="006644E2">
              <w:rPr>
                <w:b/>
                <w:i/>
              </w:rPr>
              <w:t xml:space="preserve">Status/Timeline: </w:t>
            </w:r>
            <w:r w:rsidRPr="006644E2">
              <w:rPr>
                <w:i/>
              </w:rPr>
              <w:t>Ongoing</w:t>
            </w:r>
            <w:r w:rsidRPr="00FF0C14">
              <w:rPr>
                <w:i/>
              </w:rPr>
              <w:t>; the committee</w:t>
            </w:r>
            <w:r>
              <w:rPr>
                <w:i/>
              </w:rPr>
              <w:t xml:space="preserve"> should summarize its work on this item in an informational report to the Judicial Council.</w:t>
            </w:r>
          </w:p>
          <w:p w14:paraId="5395F82C" w14:textId="77777777" w:rsidR="006644E2" w:rsidRPr="00E94D20" w:rsidRDefault="006644E2" w:rsidP="00F82B08">
            <w:pPr>
              <w:ind w:right="72"/>
            </w:pPr>
          </w:p>
          <w:p w14:paraId="3B5E99EF" w14:textId="77777777" w:rsidR="006644E2" w:rsidRDefault="006644E2" w:rsidP="00F82B08">
            <w:pPr>
              <w:ind w:left="342" w:right="72" w:hanging="360"/>
            </w:pPr>
            <w:r w:rsidRPr="008C3A55">
              <w:rPr>
                <w:b/>
                <w:i/>
              </w:rPr>
              <w:t>Fiscal Impact/Resources:</w:t>
            </w:r>
            <w:r>
              <w:rPr>
                <w:b/>
                <w:i/>
              </w:rPr>
              <w:t xml:space="preserve"> </w:t>
            </w:r>
            <w:r>
              <w:t>Completion</w:t>
            </w:r>
            <w:r>
              <w:rPr>
                <w:spacing w:val="-1"/>
              </w:rPr>
              <w:t xml:space="preserve"> </w:t>
            </w:r>
            <w:r>
              <w:t>of</w:t>
            </w:r>
            <w:r>
              <w:rPr>
                <w:spacing w:val="-3"/>
              </w:rPr>
              <w:t xml:space="preserve"> </w:t>
            </w:r>
            <w:r>
              <w:t>this</w:t>
            </w:r>
            <w:r>
              <w:rPr>
                <w:spacing w:val="-1"/>
              </w:rPr>
              <w:t xml:space="preserve"> </w:t>
            </w:r>
            <w:r>
              <w:t>project</w:t>
            </w:r>
            <w:r>
              <w:rPr>
                <w:spacing w:val="-1"/>
              </w:rPr>
              <w:t xml:space="preserve"> </w:t>
            </w:r>
            <w:r>
              <w:t>will</w:t>
            </w:r>
            <w:r>
              <w:rPr>
                <w:spacing w:val="-2"/>
              </w:rPr>
              <w:t xml:space="preserve"> </w:t>
            </w:r>
            <w:r>
              <w:t>be</w:t>
            </w:r>
            <w:r>
              <w:rPr>
                <w:spacing w:val="-2"/>
              </w:rPr>
              <w:t xml:space="preserve"> </w:t>
            </w:r>
            <w:r>
              <w:t>accomplished</w:t>
            </w:r>
            <w:r>
              <w:rPr>
                <w:spacing w:val="-1"/>
              </w:rPr>
              <w:t xml:space="preserve"> </w:t>
            </w:r>
            <w:r>
              <w:t>with</w:t>
            </w:r>
            <w:r>
              <w:rPr>
                <w:spacing w:val="-1"/>
              </w:rPr>
              <w:t xml:space="preserve"> </w:t>
            </w:r>
            <w:r>
              <w:t>1.0</w:t>
            </w:r>
            <w:r>
              <w:rPr>
                <w:spacing w:val="-2"/>
              </w:rPr>
              <w:t xml:space="preserve"> </w:t>
            </w:r>
            <w:r>
              <w:t>FTE</w:t>
            </w:r>
            <w:r>
              <w:rPr>
                <w:spacing w:val="-2"/>
              </w:rPr>
              <w:t xml:space="preserve"> </w:t>
            </w:r>
            <w:r>
              <w:t>Senior</w:t>
            </w:r>
            <w:r>
              <w:rPr>
                <w:spacing w:val="-2"/>
              </w:rPr>
              <w:t xml:space="preserve"> </w:t>
            </w:r>
            <w:r>
              <w:t>Analyst</w:t>
            </w:r>
            <w:r>
              <w:rPr>
                <w:spacing w:val="-2"/>
              </w:rPr>
              <w:t xml:space="preserve"> </w:t>
            </w:r>
            <w:r>
              <w:t>and</w:t>
            </w:r>
            <w:r>
              <w:rPr>
                <w:spacing w:val="-1"/>
              </w:rPr>
              <w:t xml:space="preserve"> </w:t>
            </w:r>
            <w:r>
              <w:t>.50</w:t>
            </w:r>
            <w:r>
              <w:rPr>
                <w:spacing w:val="-1"/>
              </w:rPr>
              <w:t xml:space="preserve"> </w:t>
            </w:r>
            <w:r>
              <w:t>of</w:t>
            </w:r>
            <w:r>
              <w:rPr>
                <w:spacing w:val="-3"/>
              </w:rPr>
              <w:t xml:space="preserve"> </w:t>
            </w:r>
            <w:r>
              <w:t>Supervising</w:t>
            </w:r>
            <w:r>
              <w:rPr>
                <w:spacing w:val="-1"/>
              </w:rPr>
              <w:t xml:space="preserve"> </w:t>
            </w:r>
            <w:proofErr w:type="gramStart"/>
            <w:r>
              <w:t xml:space="preserve">Analyst </w:t>
            </w:r>
            <w:r>
              <w:rPr>
                <w:spacing w:val="-57"/>
              </w:rPr>
              <w:t xml:space="preserve"> </w:t>
            </w:r>
            <w:r>
              <w:t>for</w:t>
            </w:r>
            <w:proofErr w:type="gramEnd"/>
            <w:r>
              <w:rPr>
                <w:spacing w:val="-2"/>
              </w:rPr>
              <w:t xml:space="preserve"> </w:t>
            </w:r>
            <w:r>
              <w:t>a</w:t>
            </w:r>
            <w:r>
              <w:rPr>
                <w:spacing w:val="-1"/>
              </w:rPr>
              <w:t xml:space="preserve"> </w:t>
            </w:r>
            <w:r>
              <w:t>period of</w:t>
            </w:r>
            <w:r>
              <w:rPr>
                <w:spacing w:val="-1"/>
              </w:rPr>
              <w:t xml:space="preserve"> </w:t>
            </w:r>
            <w:r>
              <w:t>1 year</w:t>
            </w:r>
            <w:r>
              <w:rPr>
                <w:spacing w:val="-1"/>
              </w:rPr>
              <w:t xml:space="preserve"> </w:t>
            </w:r>
            <w:r>
              <w:t>(existing resources).</w:t>
            </w:r>
          </w:p>
          <w:p w14:paraId="37443985" w14:textId="77777777" w:rsidR="006644E2" w:rsidRDefault="00AC3829" w:rsidP="00F82B08">
            <w:pPr>
              <w:ind w:left="342" w:right="72" w:hanging="360"/>
              <w:rPr>
                <w:i/>
                <w:sz w:val="22"/>
                <w:szCs w:val="22"/>
              </w:rPr>
            </w:pPr>
            <w:sdt>
              <w:sdtPr>
                <w:rPr>
                  <w:color w:val="C00000"/>
                  <w:sz w:val="28"/>
                  <w:szCs w:val="28"/>
                </w:rPr>
                <w:id w:val="1067534168"/>
                <w14:checkbox>
                  <w14:checked w14:val="0"/>
                  <w14:checkedState w14:val="2612" w14:font="MS Gothic"/>
                  <w14:uncheckedState w14:val="2610" w14:font="MS Gothic"/>
                </w14:checkbox>
              </w:sdtPr>
              <w:sdtEndPr/>
              <w:sdtContent>
                <w:r w:rsidR="006644E2">
                  <w:rPr>
                    <w:rFonts w:ascii="MS Gothic" w:eastAsia="MS Gothic" w:hAnsi="MS Gothic" w:hint="eastAsia"/>
                    <w:color w:val="C00000"/>
                    <w:sz w:val="28"/>
                    <w:szCs w:val="28"/>
                  </w:rPr>
                  <w:t>☐</w:t>
                </w:r>
              </w:sdtContent>
            </w:sdt>
            <w:r w:rsidR="006644E2" w:rsidRPr="002B4F6A">
              <w:rPr>
                <w:b/>
                <w:i/>
                <w:color w:val="C00000"/>
                <w:sz w:val="28"/>
                <w:szCs w:val="28"/>
              </w:rPr>
              <w:t xml:space="preserve"> </w:t>
            </w:r>
            <w:r w:rsidR="006644E2" w:rsidRPr="002B4F6A">
              <w:rPr>
                <w:i/>
                <w:sz w:val="22"/>
                <w:szCs w:val="22"/>
              </w:rPr>
              <w:t>This project may result in an allocation or distribution of funds to the courts. We will coordinate with Budget Services to ensure their review of relevant materials.</w:t>
            </w:r>
          </w:p>
          <w:p w14:paraId="4F5F7909" w14:textId="77777777" w:rsidR="006644E2" w:rsidRPr="00E94D20" w:rsidRDefault="006644E2" w:rsidP="00F82B08">
            <w:pPr>
              <w:ind w:right="72"/>
              <w:rPr>
                <w:i/>
              </w:rPr>
            </w:pPr>
          </w:p>
          <w:p w14:paraId="1CB32052" w14:textId="08FCCB86" w:rsidR="006644E2" w:rsidRDefault="006644E2" w:rsidP="00F82B08">
            <w:pPr>
              <w:ind w:right="72"/>
              <w:rPr>
                <w:i/>
                <w:sz w:val="20"/>
                <w:szCs w:val="20"/>
              </w:rPr>
            </w:pPr>
            <w:r w:rsidRPr="008C3A55">
              <w:rPr>
                <w:b/>
                <w:i/>
              </w:rPr>
              <w:t>Internal/External Stakeholders:</w:t>
            </w:r>
            <w:r w:rsidRPr="008C3A55">
              <w:rPr>
                <w:i/>
              </w:rPr>
              <w:t xml:space="preserve"> </w:t>
            </w:r>
            <w:r>
              <w:t>Trial</w:t>
            </w:r>
            <w:r>
              <w:rPr>
                <w:spacing w:val="-3"/>
              </w:rPr>
              <w:t xml:space="preserve"> </w:t>
            </w:r>
            <w:r>
              <w:t>Courts, Courts of Appeal/Supreme Court; Judicial Council, National Center for State Courts</w:t>
            </w:r>
            <w:r w:rsidRPr="008C3A55">
              <w:rPr>
                <w:i/>
                <w:sz w:val="20"/>
                <w:szCs w:val="20"/>
              </w:rPr>
              <w:t xml:space="preserve">. </w:t>
            </w:r>
          </w:p>
          <w:p w14:paraId="1EEB994C" w14:textId="77777777" w:rsidR="006644E2" w:rsidRPr="00777815" w:rsidRDefault="006644E2" w:rsidP="00F82B08">
            <w:pPr>
              <w:ind w:right="72"/>
              <w:rPr>
                <w:i/>
                <w:sz w:val="20"/>
                <w:szCs w:val="20"/>
              </w:rPr>
            </w:pPr>
          </w:p>
          <w:p w14:paraId="4F64B23B" w14:textId="2C1F5A14" w:rsidR="006644E2" w:rsidRPr="008C3A55" w:rsidRDefault="006644E2" w:rsidP="00F82B08">
            <w:pPr>
              <w:ind w:right="72"/>
              <w:rPr>
                <w:i/>
                <w:sz w:val="20"/>
                <w:szCs w:val="20"/>
              </w:rPr>
            </w:pPr>
            <w:r w:rsidRPr="008C3A55">
              <w:rPr>
                <w:b/>
                <w:i/>
              </w:rPr>
              <w:t xml:space="preserve">AC Collaboration: </w:t>
            </w:r>
            <w:r>
              <w:rPr>
                <w:i/>
                <w:sz w:val="20"/>
                <w:szCs w:val="20"/>
              </w:rPr>
              <w:t>Criminal Law Advisory Committee; Civil and Small Claims Advisory Committee; Trial Court Budget Advisory Committee; Family Law/Juvenile Advisory Committee; Judicial Branch Budget Committee.</w:t>
            </w:r>
          </w:p>
          <w:p w14:paraId="65164F0F" w14:textId="77777777" w:rsidR="006644E2" w:rsidRPr="008C3A55" w:rsidRDefault="006644E2" w:rsidP="00F82B08">
            <w:pPr>
              <w:spacing w:after="60"/>
              <w:rPr>
                <w:i/>
              </w:rPr>
            </w:pPr>
          </w:p>
        </w:tc>
      </w:tr>
      <w:tr w:rsidR="004B1F6C" w:rsidRPr="008C3A55" w14:paraId="06CFE81D" w14:textId="77777777" w:rsidTr="00F82B08">
        <w:trPr>
          <w:trHeight w:val="288"/>
        </w:trPr>
        <w:tc>
          <w:tcPr>
            <w:tcW w:w="445" w:type="dxa"/>
            <w:vMerge w:val="restart"/>
            <w:tcMar>
              <w:top w:w="72" w:type="dxa"/>
              <w:left w:w="115" w:type="dxa"/>
              <w:bottom w:w="72" w:type="dxa"/>
              <w:right w:w="115" w:type="dxa"/>
            </w:tcMar>
          </w:tcPr>
          <w:p w14:paraId="733E447A" w14:textId="77777777" w:rsidR="004B1F6C" w:rsidRPr="005419F3" w:rsidRDefault="004B1F6C" w:rsidP="004B1F6C">
            <w:pPr>
              <w:pStyle w:val="ListParagraph"/>
              <w:numPr>
                <w:ilvl w:val="0"/>
                <w:numId w:val="13"/>
              </w:numPr>
              <w:tabs>
                <w:tab w:val="left" w:pos="156"/>
              </w:tabs>
              <w:ind w:right="72"/>
              <w:jc w:val="both"/>
            </w:pPr>
          </w:p>
        </w:tc>
        <w:tc>
          <w:tcPr>
            <w:tcW w:w="10874" w:type="dxa"/>
            <w:vMerge w:val="restart"/>
          </w:tcPr>
          <w:p w14:paraId="36D5F9AD" w14:textId="7975594C" w:rsidR="004B1F6C" w:rsidRPr="008C3A55" w:rsidRDefault="004B1F6C" w:rsidP="00F82B08">
            <w:pPr>
              <w:ind w:right="72"/>
            </w:pPr>
            <w:r w:rsidRPr="008C3A55">
              <w:rPr>
                <w:b/>
                <w:i/>
              </w:rPr>
              <w:t>Project Title</w:t>
            </w:r>
            <w:r w:rsidR="00452C32">
              <w:rPr>
                <w:i/>
                <w:sz w:val="20"/>
                <w:szCs w:val="20"/>
              </w:rPr>
              <w:t>:</w:t>
            </w:r>
            <w:r>
              <w:rPr>
                <w:i/>
                <w:sz w:val="20"/>
                <w:szCs w:val="20"/>
              </w:rPr>
              <w:t xml:space="preserve"> </w:t>
            </w:r>
            <w:proofErr w:type="spellStart"/>
            <w:r>
              <w:rPr>
                <w:iCs/>
              </w:rPr>
              <w:t>Branchwide</w:t>
            </w:r>
            <w:proofErr w:type="spellEnd"/>
            <w:r>
              <w:rPr>
                <w:iCs/>
              </w:rPr>
              <w:t xml:space="preserve"> Data Analytics Governance and Policy Development</w:t>
            </w:r>
          </w:p>
        </w:tc>
        <w:tc>
          <w:tcPr>
            <w:tcW w:w="2811" w:type="dxa"/>
          </w:tcPr>
          <w:p w14:paraId="49D83757" w14:textId="77777777" w:rsidR="004B1F6C" w:rsidRPr="00BE4C69" w:rsidRDefault="004B1F6C" w:rsidP="00F82B08">
            <w:pPr>
              <w:ind w:right="72"/>
              <w:rPr>
                <w:b/>
                <w:bCs/>
                <w:i/>
              </w:rPr>
            </w:pPr>
            <w:r w:rsidRPr="008C3A55">
              <w:rPr>
                <w:b/>
                <w:bCs/>
                <w:i/>
              </w:rPr>
              <w:t>Priority</w:t>
            </w:r>
            <w:r w:rsidRPr="008C3A55">
              <w:rPr>
                <w:i/>
                <w:vertAlign w:val="superscript"/>
              </w:rPr>
              <w:footnoteReference w:id="11"/>
            </w:r>
            <w:r>
              <w:rPr>
                <w:b/>
                <w:bCs/>
                <w:i/>
              </w:rPr>
              <w:t>I</w:t>
            </w:r>
          </w:p>
        </w:tc>
      </w:tr>
      <w:tr w:rsidR="004B1F6C" w:rsidRPr="008C3A55" w14:paraId="60DB0E1C" w14:textId="77777777" w:rsidTr="00F82B08">
        <w:trPr>
          <w:trHeight w:val="288"/>
        </w:trPr>
        <w:tc>
          <w:tcPr>
            <w:tcW w:w="445" w:type="dxa"/>
            <w:vMerge/>
            <w:tcMar>
              <w:top w:w="72" w:type="dxa"/>
              <w:left w:w="115" w:type="dxa"/>
              <w:bottom w:w="72" w:type="dxa"/>
              <w:right w:w="115" w:type="dxa"/>
            </w:tcMar>
          </w:tcPr>
          <w:p w14:paraId="71085C66" w14:textId="77777777" w:rsidR="004B1F6C" w:rsidRPr="005419F3" w:rsidRDefault="004B1F6C" w:rsidP="004B1F6C">
            <w:pPr>
              <w:pStyle w:val="ListParagraph"/>
              <w:numPr>
                <w:ilvl w:val="0"/>
                <w:numId w:val="13"/>
              </w:numPr>
              <w:tabs>
                <w:tab w:val="left" w:pos="156"/>
              </w:tabs>
              <w:ind w:right="72"/>
              <w:jc w:val="both"/>
            </w:pPr>
          </w:p>
        </w:tc>
        <w:tc>
          <w:tcPr>
            <w:tcW w:w="10874" w:type="dxa"/>
            <w:vMerge/>
          </w:tcPr>
          <w:p w14:paraId="68CDBA46" w14:textId="77777777" w:rsidR="004B1F6C" w:rsidRPr="008C3A55" w:rsidRDefault="004B1F6C" w:rsidP="00F82B08">
            <w:pPr>
              <w:ind w:right="72"/>
              <w:rPr>
                <w:b/>
                <w:i/>
              </w:rPr>
            </w:pPr>
          </w:p>
        </w:tc>
        <w:tc>
          <w:tcPr>
            <w:tcW w:w="2811" w:type="dxa"/>
          </w:tcPr>
          <w:p w14:paraId="37700E22" w14:textId="77777777" w:rsidR="004B1F6C" w:rsidRPr="008C3A55" w:rsidRDefault="004B1F6C" w:rsidP="00F82B08">
            <w:pPr>
              <w:ind w:right="72"/>
              <w:rPr>
                <w:b/>
                <w:bCs/>
                <w:i/>
              </w:rPr>
            </w:pPr>
            <w:r w:rsidRPr="00026544">
              <w:rPr>
                <w:b/>
                <w:bCs/>
                <w:i/>
              </w:rPr>
              <w:t>Strategic Plan Goal</w:t>
            </w:r>
            <w:r>
              <w:rPr>
                <w:rStyle w:val="FootnoteReference"/>
                <w:b/>
                <w:bCs/>
                <w:i/>
              </w:rPr>
              <w:footnoteReference w:id="12"/>
            </w:r>
            <w:r>
              <w:rPr>
                <w:b/>
                <w:bCs/>
                <w:i/>
              </w:rPr>
              <w:t xml:space="preserve"> III</w:t>
            </w:r>
          </w:p>
        </w:tc>
      </w:tr>
      <w:tr w:rsidR="004B1F6C" w:rsidRPr="008C3A55" w14:paraId="2D96838F" w14:textId="77777777" w:rsidTr="00F82B08">
        <w:trPr>
          <w:trHeight w:val="1151"/>
        </w:trPr>
        <w:tc>
          <w:tcPr>
            <w:tcW w:w="445" w:type="dxa"/>
            <w:vMerge/>
            <w:tcMar>
              <w:top w:w="72" w:type="dxa"/>
              <w:left w:w="115" w:type="dxa"/>
              <w:bottom w:w="72" w:type="dxa"/>
              <w:right w:w="115" w:type="dxa"/>
            </w:tcMar>
          </w:tcPr>
          <w:p w14:paraId="4EB92741" w14:textId="77777777" w:rsidR="004B1F6C" w:rsidRPr="008C3A55" w:rsidRDefault="004B1F6C" w:rsidP="004B1F6C">
            <w:pPr>
              <w:pStyle w:val="ListParagraph"/>
              <w:numPr>
                <w:ilvl w:val="0"/>
                <w:numId w:val="13"/>
              </w:numPr>
              <w:tabs>
                <w:tab w:val="left" w:pos="156"/>
              </w:tabs>
              <w:ind w:right="72"/>
              <w:jc w:val="both"/>
            </w:pPr>
          </w:p>
        </w:tc>
        <w:tc>
          <w:tcPr>
            <w:tcW w:w="13685" w:type="dxa"/>
            <w:gridSpan w:val="2"/>
            <w:shd w:val="clear" w:color="auto" w:fill="auto"/>
          </w:tcPr>
          <w:p w14:paraId="0D1ADB09" w14:textId="5260ACC8" w:rsidR="004B1F6C" w:rsidRPr="00A97A30" w:rsidRDefault="004B1F6C" w:rsidP="004B1F6C">
            <w:pPr>
              <w:ind w:right="72"/>
              <w:rPr>
                <w:bCs/>
                <w:iCs/>
              </w:rPr>
            </w:pPr>
            <w:r w:rsidRPr="008C3A55">
              <w:rPr>
                <w:b/>
                <w:i/>
              </w:rPr>
              <w:t>Project Summary</w:t>
            </w:r>
            <w:r>
              <w:rPr>
                <w:b/>
                <w:i/>
              </w:rPr>
              <w:fldChar w:fldCharType="begin"/>
            </w:r>
            <w:r>
              <w:rPr>
                <w:b/>
                <w:i/>
              </w:rPr>
              <w:instrText xml:space="preserve"> NOTEREF _Ref21002828 \f \h </w:instrText>
            </w:r>
            <w:r>
              <w:rPr>
                <w:b/>
                <w:i/>
              </w:rPr>
            </w:r>
            <w:r>
              <w:rPr>
                <w:b/>
                <w:i/>
              </w:rPr>
              <w:fldChar w:fldCharType="separate"/>
            </w:r>
            <w:r w:rsidRPr="00FF1A2C">
              <w:rPr>
                <w:rStyle w:val="FootnoteReference"/>
              </w:rPr>
              <w:t>7</w:t>
            </w:r>
            <w:r>
              <w:rPr>
                <w:b/>
                <w:i/>
              </w:rPr>
              <w:fldChar w:fldCharType="end"/>
            </w:r>
            <w:r w:rsidRPr="008C3A55">
              <w:rPr>
                <w:b/>
                <w:i/>
              </w:rPr>
              <w:t xml:space="preserve">: </w:t>
            </w:r>
            <w:r w:rsidRPr="00A97A30">
              <w:rPr>
                <w:bCs/>
                <w:iCs/>
              </w:rPr>
              <w:t xml:space="preserve">As part of </w:t>
            </w:r>
            <w:proofErr w:type="spellStart"/>
            <w:r w:rsidRPr="00A97A30">
              <w:rPr>
                <w:bCs/>
                <w:iCs/>
              </w:rPr>
              <w:t>branchwide</w:t>
            </w:r>
            <w:proofErr w:type="spellEnd"/>
            <w:r w:rsidRPr="00A97A30">
              <w:rPr>
                <w:bCs/>
                <w:iCs/>
              </w:rPr>
              <w:t xml:space="preserve"> efforts to use technology to innovate and increase access to justice</w:t>
            </w:r>
            <w:r>
              <w:rPr>
                <w:bCs/>
                <w:iCs/>
              </w:rPr>
              <w:t xml:space="preserve"> and in recognition of the critical importance of data-driven decision-making</w:t>
            </w:r>
            <w:r w:rsidRPr="00A97A30">
              <w:rPr>
                <w:bCs/>
                <w:iCs/>
              </w:rPr>
              <w:t xml:space="preserve">, the </w:t>
            </w:r>
            <w:r>
              <w:rPr>
                <w:bCs/>
                <w:iCs/>
              </w:rPr>
              <w:t>committee</w:t>
            </w:r>
            <w:r w:rsidRPr="00A97A30">
              <w:rPr>
                <w:bCs/>
                <w:iCs/>
              </w:rPr>
              <w:t xml:space="preserve"> </w:t>
            </w:r>
            <w:r w:rsidR="000F44B3">
              <w:rPr>
                <w:bCs/>
                <w:iCs/>
              </w:rPr>
              <w:t xml:space="preserve">will </w:t>
            </w:r>
            <w:r w:rsidRPr="00A97A30">
              <w:rPr>
                <w:bCs/>
                <w:iCs/>
              </w:rPr>
              <w:t>work towards developing agreed upon data standards and principles that address (1) data quality, (2) how we access, use and share data, and (3) data security</w:t>
            </w:r>
            <w:r>
              <w:rPr>
                <w:bCs/>
                <w:iCs/>
              </w:rPr>
              <w:t>.</w:t>
            </w:r>
            <w:r w:rsidRPr="00A97A30">
              <w:rPr>
                <w:bCs/>
                <w:iCs/>
              </w:rPr>
              <w:t xml:space="preserve"> </w:t>
            </w:r>
            <w:r>
              <w:rPr>
                <w:bCs/>
                <w:iCs/>
              </w:rPr>
              <w:t>The committee will review the work completed by the Data Analytics Workstream to develop Data Governance policy concepts and will consider developing or finalizing one or more policy proposal</w:t>
            </w:r>
            <w:r w:rsidR="000F44B3">
              <w:rPr>
                <w:bCs/>
                <w:iCs/>
              </w:rPr>
              <w:t>s</w:t>
            </w:r>
            <w:r>
              <w:rPr>
                <w:bCs/>
                <w:iCs/>
              </w:rPr>
              <w:t xml:space="preserve"> for Judicial Council review and approval. The committee will also develop a workplan for additional policy development. Additionally, an important early step in this process is educating branch leadership on the concept of data analytics and the data analytics strategy for the branch.  To that end, JCC staff, with guidance and support of the committee, will </w:t>
            </w:r>
            <w:r w:rsidR="000F44B3">
              <w:rPr>
                <w:bCs/>
                <w:iCs/>
              </w:rPr>
              <w:t xml:space="preserve">propose an approach to </w:t>
            </w:r>
            <w:r>
              <w:rPr>
                <w:bCs/>
                <w:iCs/>
              </w:rPr>
              <w:t>develop and deliver data educational sessions on data analytics</w:t>
            </w:r>
            <w:r w:rsidR="000F44B3">
              <w:rPr>
                <w:bCs/>
                <w:iCs/>
              </w:rPr>
              <w:t xml:space="preserve"> policies and concepts</w:t>
            </w:r>
            <w:r>
              <w:rPr>
                <w:bCs/>
                <w:iCs/>
              </w:rPr>
              <w:t xml:space="preserve"> for court leadership.</w:t>
            </w:r>
          </w:p>
          <w:p w14:paraId="5A51A389" w14:textId="77777777" w:rsidR="004B1F6C" w:rsidRPr="008C3A55" w:rsidRDefault="004B1F6C" w:rsidP="004B1F6C">
            <w:pPr>
              <w:ind w:right="72"/>
            </w:pPr>
          </w:p>
          <w:p w14:paraId="08FBB29D" w14:textId="49E2E228" w:rsidR="004B1F6C" w:rsidRPr="005B4EB1" w:rsidRDefault="004B1F6C" w:rsidP="004B1F6C">
            <w:pPr>
              <w:ind w:right="72"/>
              <w:rPr>
                <w:b/>
                <w:iCs/>
              </w:rPr>
            </w:pPr>
            <w:r w:rsidRPr="008C3A55">
              <w:rPr>
                <w:b/>
                <w:i/>
              </w:rPr>
              <w:t xml:space="preserve">Status/Timeline: </w:t>
            </w:r>
            <w:r w:rsidRPr="005B4EB1">
              <w:rPr>
                <w:iCs/>
              </w:rPr>
              <w:t>Ongoin</w:t>
            </w:r>
            <w:r>
              <w:rPr>
                <w:iCs/>
              </w:rPr>
              <w:t xml:space="preserve">g; at the conclusion of this year, the committee will </w:t>
            </w:r>
            <w:r w:rsidR="0008153E">
              <w:rPr>
                <w:iCs/>
              </w:rPr>
              <w:t xml:space="preserve">prepare a roadmap for data analytics governance policy and make a </w:t>
            </w:r>
            <w:r>
              <w:rPr>
                <w:iCs/>
              </w:rPr>
              <w:t>report to the Judicial Council on its efforts in this area</w:t>
            </w:r>
          </w:p>
          <w:p w14:paraId="3AFFDD78" w14:textId="77777777" w:rsidR="004B1F6C" w:rsidRPr="008C3A55" w:rsidRDefault="004B1F6C" w:rsidP="004B1F6C">
            <w:pPr>
              <w:ind w:right="72"/>
            </w:pPr>
          </w:p>
          <w:p w14:paraId="04E0136C" w14:textId="77777777" w:rsidR="004B1F6C" w:rsidRDefault="004B1F6C" w:rsidP="004B1F6C">
            <w:pPr>
              <w:ind w:left="342" w:right="72" w:hanging="342"/>
            </w:pPr>
            <w:r w:rsidRPr="008C3A55">
              <w:rPr>
                <w:b/>
                <w:i/>
              </w:rPr>
              <w:t xml:space="preserve">Fiscal Impact/Resources: </w:t>
            </w:r>
            <w:r>
              <w:t>Completion</w:t>
            </w:r>
            <w:r>
              <w:rPr>
                <w:spacing w:val="-2"/>
              </w:rPr>
              <w:t xml:space="preserve"> </w:t>
            </w:r>
            <w:r>
              <w:t>of</w:t>
            </w:r>
            <w:r>
              <w:rPr>
                <w:spacing w:val="-2"/>
              </w:rPr>
              <w:t xml:space="preserve"> </w:t>
            </w:r>
            <w:r>
              <w:t>this</w:t>
            </w:r>
            <w:r>
              <w:rPr>
                <w:spacing w:val="-2"/>
              </w:rPr>
              <w:t xml:space="preserve"> </w:t>
            </w:r>
            <w:r>
              <w:t>project</w:t>
            </w:r>
            <w:r>
              <w:rPr>
                <w:spacing w:val="-1"/>
              </w:rPr>
              <w:t xml:space="preserve"> </w:t>
            </w:r>
            <w:r>
              <w:t>will</w:t>
            </w:r>
            <w:r>
              <w:rPr>
                <w:spacing w:val="-2"/>
              </w:rPr>
              <w:t xml:space="preserve"> </w:t>
            </w:r>
            <w:r>
              <w:t>be</w:t>
            </w:r>
            <w:r>
              <w:rPr>
                <w:spacing w:val="-2"/>
              </w:rPr>
              <w:t xml:space="preserve"> </w:t>
            </w:r>
            <w:r>
              <w:t>accomplished</w:t>
            </w:r>
            <w:r>
              <w:rPr>
                <w:spacing w:val="-3"/>
              </w:rPr>
              <w:t xml:space="preserve"> </w:t>
            </w:r>
            <w:r>
              <w:t>with</w:t>
            </w:r>
            <w:r>
              <w:rPr>
                <w:spacing w:val="-1"/>
              </w:rPr>
              <w:t xml:space="preserve"> </w:t>
            </w:r>
            <w:r w:rsidRPr="00FF0C14">
              <w:t>.25</w:t>
            </w:r>
            <w:r w:rsidRPr="00FF0C14">
              <w:rPr>
                <w:spacing w:val="-1"/>
              </w:rPr>
              <w:t xml:space="preserve"> </w:t>
            </w:r>
            <w:r w:rsidRPr="00FF0C14">
              <w:t>FTE</w:t>
            </w:r>
            <w:r w:rsidRPr="00FF0C14">
              <w:rPr>
                <w:spacing w:val="-3"/>
              </w:rPr>
              <w:t xml:space="preserve"> Manager, .25 Supervising Research Analyst, and .25 </w:t>
            </w:r>
            <w:r w:rsidRPr="00FF0C14">
              <w:t>Senior</w:t>
            </w:r>
            <w:r w:rsidRPr="00FF0C14">
              <w:rPr>
                <w:spacing w:val="-2"/>
              </w:rPr>
              <w:t xml:space="preserve"> </w:t>
            </w:r>
            <w:r w:rsidRPr="00FF0C14">
              <w:t>Analyst</w:t>
            </w:r>
            <w:r w:rsidRPr="0008153E">
              <w:rPr>
                <w:spacing w:val="-2"/>
              </w:rPr>
              <w:t xml:space="preserve"> </w:t>
            </w:r>
            <w:r w:rsidRPr="0008153E">
              <w:t>throughout the year.</w:t>
            </w:r>
          </w:p>
          <w:p w14:paraId="2355CD02" w14:textId="77777777" w:rsidR="004B1F6C" w:rsidRPr="00B11523" w:rsidRDefault="00AC3829" w:rsidP="004B1F6C">
            <w:pPr>
              <w:ind w:left="342" w:right="72" w:hanging="342"/>
              <w:rPr>
                <w:i/>
                <w:sz w:val="22"/>
                <w:szCs w:val="22"/>
              </w:rPr>
            </w:pPr>
            <w:sdt>
              <w:sdtPr>
                <w:rPr>
                  <w:color w:val="C00000"/>
                  <w:sz w:val="28"/>
                  <w:szCs w:val="28"/>
                </w:rPr>
                <w:id w:val="1243602632"/>
                <w14:checkbox>
                  <w14:checked w14:val="0"/>
                  <w14:checkedState w14:val="2612" w14:font="MS Gothic"/>
                  <w14:uncheckedState w14:val="2610" w14:font="MS Gothic"/>
                </w14:checkbox>
              </w:sdtPr>
              <w:sdtEndPr/>
              <w:sdtContent>
                <w:r w:rsidR="004B1F6C">
                  <w:rPr>
                    <w:rFonts w:ascii="MS Gothic" w:eastAsia="MS Gothic" w:hAnsi="MS Gothic" w:hint="eastAsia"/>
                    <w:color w:val="C00000"/>
                    <w:sz w:val="28"/>
                    <w:szCs w:val="28"/>
                  </w:rPr>
                  <w:t>☐</w:t>
                </w:r>
              </w:sdtContent>
            </w:sdt>
            <w:r w:rsidR="004B1F6C" w:rsidRPr="00B11523">
              <w:rPr>
                <w:b/>
                <w:color w:val="C00000"/>
                <w:sz w:val="22"/>
                <w:szCs w:val="22"/>
              </w:rPr>
              <w:t xml:space="preserve"> </w:t>
            </w:r>
            <w:r w:rsidR="004B1F6C" w:rsidRPr="002B4F6A">
              <w:rPr>
                <w:i/>
                <w:sz w:val="22"/>
                <w:szCs w:val="22"/>
              </w:rPr>
              <w:t>This project may result in an allocation or distribution of funds to the courts. We will coordinate with Budget Services to ensure their review of relevant materials.</w:t>
            </w:r>
            <w:r w:rsidR="004B1F6C" w:rsidRPr="00B11523">
              <w:rPr>
                <w:i/>
                <w:sz w:val="22"/>
                <w:szCs w:val="22"/>
              </w:rPr>
              <w:t xml:space="preserve"> </w:t>
            </w:r>
          </w:p>
          <w:p w14:paraId="2DA6971A" w14:textId="77777777" w:rsidR="004B1F6C" w:rsidRPr="00B11523" w:rsidRDefault="004B1F6C" w:rsidP="004B1F6C">
            <w:pPr>
              <w:ind w:right="72"/>
              <w:rPr>
                <w:i/>
              </w:rPr>
            </w:pPr>
          </w:p>
          <w:p w14:paraId="6AFF7DF6" w14:textId="77777777" w:rsidR="004B1F6C" w:rsidRPr="008C3A55" w:rsidRDefault="004B1F6C" w:rsidP="004B1F6C">
            <w:pPr>
              <w:ind w:right="72"/>
              <w:rPr>
                <w:i/>
                <w:sz w:val="20"/>
                <w:szCs w:val="20"/>
              </w:rPr>
            </w:pPr>
            <w:r w:rsidRPr="008C3A55">
              <w:rPr>
                <w:b/>
                <w:i/>
              </w:rPr>
              <w:t>Internal/External Stakeholders</w:t>
            </w:r>
            <w:r w:rsidRPr="00D56A72">
              <w:rPr>
                <w:b/>
                <w:iCs/>
              </w:rPr>
              <w:t>:</w:t>
            </w:r>
            <w:r w:rsidRPr="00D56A72">
              <w:rPr>
                <w:iCs/>
              </w:rPr>
              <w:t xml:space="preserve"> Information Technology, Legal, Education</w:t>
            </w:r>
            <w:r w:rsidRPr="008C3A55">
              <w:rPr>
                <w:i/>
                <w:sz w:val="20"/>
                <w:szCs w:val="20"/>
              </w:rPr>
              <w:t xml:space="preserve">. </w:t>
            </w:r>
          </w:p>
          <w:p w14:paraId="66902513" w14:textId="77777777" w:rsidR="004B1F6C" w:rsidRPr="008C3A55" w:rsidRDefault="004B1F6C" w:rsidP="004B1F6C">
            <w:pPr>
              <w:ind w:right="72"/>
            </w:pPr>
          </w:p>
          <w:p w14:paraId="42EB3A85" w14:textId="77777777" w:rsidR="004B1F6C" w:rsidRPr="00D56A72" w:rsidRDefault="004B1F6C" w:rsidP="004B1F6C">
            <w:pPr>
              <w:ind w:right="72"/>
              <w:rPr>
                <w:iCs/>
              </w:rPr>
            </w:pPr>
            <w:r w:rsidRPr="008C3A55">
              <w:rPr>
                <w:b/>
                <w:i/>
              </w:rPr>
              <w:t xml:space="preserve">AC Collaboration: </w:t>
            </w:r>
            <w:r w:rsidRPr="00D56A72">
              <w:rPr>
                <w:iCs/>
              </w:rPr>
              <w:t>TBD/As needed.</w:t>
            </w:r>
          </w:p>
          <w:p w14:paraId="4D3962F7" w14:textId="77777777" w:rsidR="004B1F6C" w:rsidRPr="008C3A55" w:rsidRDefault="004B1F6C" w:rsidP="00F82B08">
            <w:pPr>
              <w:spacing w:after="60"/>
              <w:rPr>
                <w:i/>
              </w:rPr>
            </w:pPr>
          </w:p>
        </w:tc>
      </w:tr>
      <w:bookmarkEnd w:id="5"/>
    </w:tbl>
    <w:p w14:paraId="0F3C506E" w14:textId="77777777" w:rsidR="00A9788A" w:rsidRDefault="00A9788A">
      <w:r>
        <w:br w:type="page"/>
      </w:r>
    </w:p>
    <w:tbl>
      <w:tblPr>
        <w:tblW w:w="1413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45"/>
        <w:gridCol w:w="10874"/>
        <w:gridCol w:w="2811"/>
      </w:tblGrid>
      <w:tr w:rsidR="00A9788A" w:rsidRPr="00A9788A" w14:paraId="723F9C95" w14:textId="77777777" w:rsidTr="00F82B08">
        <w:trPr>
          <w:trHeight w:val="288"/>
        </w:trPr>
        <w:tc>
          <w:tcPr>
            <w:tcW w:w="445" w:type="dxa"/>
            <w:vMerge w:val="restart"/>
            <w:tcMar>
              <w:top w:w="72" w:type="dxa"/>
              <w:left w:w="115" w:type="dxa"/>
              <w:bottom w:w="72" w:type="dxa"/>
              <w:right w:w="115" w:type="dxa"/>
            </w:tcMar>
          </w:tcPr>
          <w:p w14:paraId="0BEFC15D" w14:textId="4C2C878B" w:rsidR="00A9788A" w:rsidRPr="00A9788A" w:rsidRDefault="00A9788A" w:rsidP="00A9788A">
            <w:pPr>
              <w:numPr>
                <w:ilvl w:val="0"/>
                <w:numId w:val="13"/>
              </w:numPr>
              <w:tabs>
                <w:tab w:val="left" w:pos="156"/>
              </w:tabs>
              <w:ind w:right="72"/>
              <w:contextualSpacing/>
              <w:jc w:val="both"/>
            </w:pPr>
            <w:r w:rsidRPr="008C3A55">
              <w:rPr>
                <w:b/>
                <w:i/>
              </w:rPr>
              <w:lastRenderedPageBreak/>
              <w:t xml:space="preserve">Project Title </w:t>
            </w:r>
            <w:r w:rsidRPr="00BE4C69">
              <w:rPr>
                <w:bCs/>
                <w:iCs/>
              </w:rPr>
              <w:t xml:space="preserve">Trial Court Operational </w:t>
            </w:r>
            <w:proofErr w:type="spellStart"/>
            <w:r w:rsidRPr="00BE4C69">
              <w:rPr>
                <w:bCs/>
                <w:iCs/>
              </w:rPr>
              <w:t>Mer</w:t>
            </w:r>
            <w:r w:rsidRPr="00BE4C69">
              <w:rPr>
                <w:bCs/>
                <w:iCs/>
              </w:rPr>
              <w:lastRenderedPageBreak/>
              <w:t>ics</w:t>
            </w:r>
            <w:proofErr w:type="spellEnd"/>
            <w:r w:rsidRPr="00BE4C69">
              <w:rPr>
                <w:bCs/>
                <w:iCs/>
              </w:rPr>
              <w:t xml:space="preserve"> Report </w:t>
            </w:r>
            <w:r>
              <w:rPr>
                <w:bCs/>
                <w:iCs/>
              </w:rPr>
              <w:t>(</w:t>
            </w:r>
            <w:r w:rsidRPr="00BE4C69">
              <w:rPr>
                <w:bCs/>
                <w:iCs/>
              </w:rPr>
              <w:t>SB 154</w:t>
            </w:r>
            <w:r>
              <w:rPr>
                <w:bCs/>
                <w:iCs/>
              </w:rPr>
              <w:t>)</w:t>
            </w:r>
          </w:p>
        </w:tc>
        <w:tc>
          <w:tcPr>
            <w:tcW w:w="10874" w:type="dxa"/>
            <w:vMerge w:val="restart"/>
          </w:tcPr>
          <w:p w14:paraId="07D9B699" w14:textId="4EF652DA" w:rsidR="00A9788A" w:rsidRPr="00A9788A" w:rsidRDefault="00A9788A" w:rsidP="00A9788A">
            <w:pPr>
              <w:ind w:right="72"/>
            </w:pPr>
            <w:r w:rsidRPr="008C3A55">
              <w:rPr>
                <w:b/>
                <w:i/>
              </w:rPr>
              <w:lastRenderedPageBreak/>
              <w:t>Project Title</w:t>
            </w:r>
            <w:r w:rsidR="00452C32">
              <w:rPr>
                <w:b/>
                <w:i/>
              </w:rPr>
              <w:t>:</w:t>
            </w:r>
            <w:r w:rsidRPr="008C3A55">
              <w:rPr>
                <w:b/>
                <w:i/>
              </w:rPr>
              <w:t xml:space="preserve"> </w:t>
            </w:r>
            <w:r w:rsidRPr="00452C32">
              <w:rPr>
                <w:bCs/>
                <w:iCs/>
              </w:rPr>
              <w:t xml:space="preserve">Trial Court Operational Metrics </w:t>
            </w:r>
            <w:r w:rsidR="0008153E" w:rsidRPr="00452C32">
              <w:rPr>
                <w:bCs/>
                <w:iCs/>
              </w:rPr>
              <w:t>Annual</w:t>
            </w:r>
            <w:r w:rsidRPr="00452C32">
              <w:rPr>
                <w:bCs/>
                <w:iCs/>
              </w:rPr>
              <w:t xml:space="preserve"> Report (SB 154)</w:t>
            </w:r>
          </w:p>
        </w:tc>
        <w:tc>
          <w:tcPr>
            <w:tcW w:w="2811" w:type="dxa"/>
          </w:tcPr>
          <w:p w14:paraId="463ECCB2" w14:textId="7FCE2136" w:rsidR="00A9788A" w:rsidRPr="00A9788A" w:rsidRDefault="00A9788A" w:rsidP="00A9788A">
            <w:pPr>
              <w:ind w:right="72"/>
              <w:rPr>
                <w:b/>
                <w:bCs/>
                <w:i/>
              </w:rPr>
            </w:pPr>
            <w:r w:rsidRPr="008C3A55">
              <w:rPr>
                <w:b/>
                <w:i/>
              </w:rPr>
              <w:t xml:space="preserve">Project Title </w:t>
            </w:r>
            <w:r w:rsidRPr="00BE4C69">
              <w:rPr>
                <w:bCs/>
                <w:iCs/>
              </w:rPr>
              <w:t xml:space="preserve">Trial Court Operational Metrics Report </w:t>
            </w:r>
            <w:r>
              <w:rPr>
                <w:bCs/>
                <w:iCs/>
              </w:rPr>
              <w:t>(</w:t>
            </w:r>
            <w:r w:rsidRPr="00BE4C69">
              <w:rPr>
                <w:bCs/>
                <w:iCs/>
              </w:rPr>
              <w:t>SB 154</w:t>
            </w:r>
            <w:r>
              <w:rPr>
                <w:bCs/>
                <w:iCs/>
              </w:rPr>
              <w:t>)</w:t>
            </w:r>
          </w:p>
        </w:tc>
      </w:tr>
      <w:tr w:rsidR="00A9788A" w:rsidRPr="00A9788A" w14:paraId="0BEDD4C2" w14:textId="77777777" w:rsidTr="00F82B08">
        <w:trPr>
          <w:trHeight w:val="288"/>
        </w:trPr>
        <w:tc>
          <w:tcPr>
            <w:tcW w:w="445" w:type="dxa"/>
            <w:vMerge/>
            <w:tcMar>
              <w:top w:w="72" w:type="dxa"/>
              <w:left w:w="115" w:type="dxa"/>
              <w:bottom w:w="72" w:type="dxa"/>
              <w:right w:w="115" w:type="dxa"/>
            </w:tcMar>
          </w:tcPr>
          <w:p w14:paraId="0D66EAC1" w14:textId="77777777" w:rsidR="00A9788A" w:rsidRPr="00A9788A" w:rsidRDefault="00A9788A" w:rsidP="00A9788A">
            <w:pPr>
              <w:numPr>
                <w:ilvl w:val="0"/>
                <w:numId w:val="13"/>
              </w:numPr>
              <w:tabs>
                <w:tab w:val="left" w:pos="156"/>
              </w:tabs>
              <w:ind w:right="72"/>
              <w:contextualSpacing/>
              <w:jc w:val="both"/>
            </w:pPr>
          </w:p>
        </w:tc>
        <w:tc>
          <w:tcPr>
            <w:tcW w:w="10874" w:type="dxa"/>
            <w:vMerge/>
          </w:tcPr>
          <w:p w14:paraId="4048B3DF" w14:textId="77777777" w:rsidR="00A9788A" w:rsidRPr="00A9788A" w:rsidRDefault="00A9788A" w:rsidP="00A9788A">
            <w:pPr>
              <w:ind w:right="72"/>
              <w:rPr>
                <w:b/>
                <w:i/>
              </w:rPr>
            </w:pPr>
          </w:p>
        </w:tc>
        <w:tc>
          <w:tcPr>
            <w:tcW w:w="2811" w:type="dxa"/>
          </w:tcPr>
          <w:p w14:paraId="40294FF9" w14:textId="77777777" w:rsidR="00A9788A" w:rsidRPr="00A9788A" w:rsidRDefault="00A9788A" w:rsidP="00A9788A">
            <w:pPr>
              <w:ind w:right="72"/>
              <w:rPr>
                <w:b/>
                <w:bCs/>
                <w:i/>
              </w:rPr>
            </w:pPr>
            <w:r w:rsidRPr="00A9788A">
              <w:rPr>
                <w:b/>
                <w:bCs/>
                <w:i/>
              </w:rPr>
              <w:t>Strategic Plan Goal</w:t>
            </w:r>
            <w:r w:rsidRPr="00A9788A">
              <w:rPr>
                <w:b/>
                <w:bCs/>
                <w:i/>
                <w:vertAlign w:val="superscript"/>
              </w:rPr>
              <w:footnoteReference w:id="13"/>
            </w:r>
            <w:r w:rsidRPr="00A9788A">
              <w:rPr>
                <w:b/>
                <w:bCs/>
                <w:i/>
              </w:rPr>
              <w:t xml:space="preserve"> III</w:t>
            </w:r>
          </w:p>
        </w:tc>
      </w:tr>
      <w:tr w:rsidR="00A9788A" w:rsidRPr="00A9788A" w14:paraId="7D11F52B" w14:textId="77777777" w:rsidTr="00F82B08">
        <w:trPr>
          <w:trHeight w:val="1151"/>
        </w:trPr>
        <w:tc>
          <w:tcPr>
            <w:tcW w:w="445" w:type="dxa"/>
            <w:vMerge/>
            <w:tcMar>
              <w:top w:w="72" w:type="dxa"/>
              <w:left w:w="115" w:type="dxa"/>
              <w:bottom w:w="72" w:type="dxa"/>
              <w:right w:w="115" w:type="dxa"/>
            </w:tcMar>
          </w:tcPr>
          <w:p w14:paraId="3E07CD06" w14:textId="77777777" w:rsidR="00A9788A" w:rsidRPr="00A9788A" w:rsidRDefault="00A9788A" w:rsidP="00A9788A">
            <w:pPr>
              <w:numPr>
                <w:ilvl w:val="0"/>
                <w:numId w:val="13"/>
              </w:numPr>
              <w:tabs>
                <w:tab w:val="left" w:pos="156"/>
              </w:tabs>
              <w:ind w:right="72"/>
              <w:contextualSpacing/>
              <w:jc w:val="both"/>
            </w:pPr>
          </w:p>
        </w:tc>
        <w:tc>
          <w:tcPr>
            <w:tcW w:w="13685" w:type="dxa"/>
            <w:gridSpan w:val="2"/>
            <w:shd w:val="clear" w:color="auto" w:fill="auto"/>
          </w:tcPr>
          <w:p w14:paraId="6B8BB612" w14:textId="7475BE68" w:rsidR="00A9788A" w:rsidRPr="008C3A55" w:rsidRDefault="00A9788A" w:rsidP="00A9788A">
            <w:pPr>
              <w:ind w:right="72"/>
            </w:pPr>
            <w:r w:rsidRPr="008C3A55">
              <w:rPr>
                <w:b/>
                <w:i/>
              </w:rPr>
              <w:t>Project Summary</w:t>
            </w:r>
            <w:r>
              <w:rPr>
                <w:b/>
                <w:i/>
              </w:rPr>
              <w:fldChar w:fldCharType="begin"/>
            </w:r>
            <w:r>
              <w:rPr>
                <w:b/>
                <w:i/>
              </w:rPr>
              <w:instrText xml:space="preserve"> NOTEREF _Ref21002828 \f \h </w:instrText>
            </w:r>
            <w:r>
              <w:rPr>
                <w:b/>
                <w:i/>
              </w:rPr>
            </w:r>
            <w:r>
              <w:rPr>
                <w:b/>
                <w:i/>
              </w:rPr>
              <w:fldChar w:fldCharType="separate"/>
            </w:r>
            <w:r w:rsidRPr="00FF1A2C">
              <w:rPr>
                <w:rStyle w:val="FootnoteReference"/>
              </w:rPr>
              <w:t>7</w:t>
            </w:r>
            <w:r>
              <w:rPr>
                <w:b/>
                <w:i/>
              </w:rPr>
              <w:fldChar w:fldCharType="end"/>
            </w:r>
            <w:r w:rsidRPr="008C3A55">
              <w:rPr>
                <w:b/>
                <w:i/>
              </w:rPr>
              <w:t xml:space="preserve">: </w:t>
            </w:r>
            <w:r w:rsidRPr="00AA56DE">
              <w:t xml:space="preserve">As required by budget bill language, </w:t>
            </w:r>
            <w:r w:rsidR="005E498C">
              <w:t xml:space="preserve">the Judicial Council will publish </w:t>
            </w:r>
            <w:r w:rsidRPr="00AA56DE">
              <w:t>an annual report by February 1 of each year to the Legislature on the operations of each trial court with various operational and budgetary metrics, including but are not limited to, time to disposition and case clearance rates by case type, backlogs by case type, court hours of operations including public counter hours, staff vacancy rates by classification, fund balance detail from the prior fiscal year, the calculated funding level of each court and the percent of funding actually provided to each court, and the funding level of each trial court as measured by the Judicial Council—approved workload formula</w:t>
            </w:r>
            <w:r>
              <w:t xml:space="preserve">. The committee will review the metrics and measures that are included in the year one report and may propose additional metrics and measures for years two and ongoing. </w:t>
            </w:r>
          </w:p>
          <w:p w14:paraId="69D4CEA4" w14:textId="77777777" w:rsidR="00A9788A" w:rsidRPr="00E94D20" w:rsidRDefault="00A9788A" w:rsidP="00A9788A">
            <w:pPr>
              <w:ind w:right="72"/>
            </w:pPr>
          </w:p>
          <w:p w14:paraId="24085E65" w14:textId="4C303EB2" w:rsidR="00A9788A" w:rsidRPr="008C3A55" w:rsidRDefault="00A9788A" w:rsidP="00A9788A">
            <w:pPr>
              <w:ind w:right="72"/>
              <w:rPr>
                <w:b/>
                <w:i/>
                <w:sz w:val="20"/>
                <w:szCs w:val="20"/>
              </w:rPr>
            </w:pPr>
            <w:r w:rsidRPr="008C3A55">
              <w:rPr>
                <w:b/>
                <w:i/>
              </w:rPr>
              <w:t xml:space="preserve">Status/Timeline: </w:t>
            </w:r>
            <w:r>
              <w:t>The year one report will</w:t>
            </w:r>
            <w:r>
              <w:rPr>
                <w:spacing w:val="-1"/>
              </w:rPr>
              <w:t xml:space="preserve"> </w:t>
            </w:r>
            <w:r>
              <w:t>be</w:t>
            </w:r>
            <w:r>
              <w:rPr>
                <w:spacing w:val="-3"/>
              </w:rPr>
              <w:t xml:space="preserve"> </w:t>
            </w:r>
            <w:r>
              <w:t>completed</w:t>
            </w:r>
            <w:r>
              <w:rPr>
                <w:spacing w:val="-1"/>
              </w:rPr>
              <w:t xml:space="preserve"> </w:t>
            </w:r>
            <w:r>
              <w:t>February</w:t>
            </w:r>
            <w:r>
              <w:rPr>
                <w:spacing w:val="-2"/>
              </w:rPr>
              <w:t xml:space="preserve"> </w:t>
            </w:r>
            <w:r>
              <w:t>1,</w:t>
            </w:r>
            <w:r>
              <w:rPr>
                <w:spacing w:val="1"/>
              </w:rPr>
              <w:t xml:space="preserve"> </w:t>
            </w:r>
            <w:r>
              <w:t xml:space="preserve">2023. </w:t>
            </w:r>
          </w:p>
          <w:p w14:paraId="701A02FC" w14:textId="77777777" w:rsidR="00A9788A" w:rsidRPr="00E94D20" w:rsidRDefault="00A9788A" w:rsidP="00A9788A">
            <w:pPr>
              <w:ind w:right="72"/>
            </w:pPr>
          </w:p>
          <w:p w14:paraId="30F16387" w14:textId="77777777" w:rsidR="00A9788A" w:rsidRDefault="00A9788A" w:rsidP="00A9788A">
            <w:pPr>
              <w:ind w:left="342" w:right="72" w:hanging="342"/>
            </w:pPr>
            <w:r w:rsidRPr="008C3A55">
              <w:rPr>
                <w:b/>
                <w:i/>
              </w:rPr>
              <w:t xml:space="preserve">Fiscal Impact/Resources: </w:t>
            </w:r>
            <w:r>
              <w:t>Completion</w:t>
            </w:r>
            <w:r>
              <w:rPr>
                <w:spacing w:val="-2"/>
              </w:rPr>
              <w:t xml:space="preserve"> </w:t>
            </w:r>
            <w:r>
              <w:t>of</w:t>
            </w:r>
            <w:r>
              <w:rPr>
                <w:spacing w:val="-2"/>
              </w:rPr>
              <w:t xml:space="preserve"> </w:t>
            </w:r>
            <w:r>
              <w:t>this</w:t>
            </w:r>
            <w:r>
              <w:rPr>
                <w:spacing w:val="-2"/>
              </w:rPr>
              <w:t xml:space="preserve"> </w:t>
            </w:r>
            <w:r>
              <w:t>project</w:t>
            </w:r>
            <w:r>
              <w:rPr>
                <w:spacing w:val="-1"/>
              </w:rPr>
              <w:t xml:space="preserve"> </w:t>
            </w:r>
            <w:r>
              <w:t>will</w:t>
            </w:r>
            <w:r>
              <w:rPr>
                <w:spacing w:val="-2"/>
              </w:rPr>
              <w:t xml:space="preserve"> </w:t>
            </w:r>
            <w:r>
              <w:t>be</w:t>
            </w:r>
            <w:r>
              <w:rPr>
                <w:spacing w:val="-2"/>
              </w:rPr>
              <w:t xml:space="preserve"> </w:t>
            </w:r>
            <w:r w:rsidRPr="00A24C4F">
              <w:t>accomplished</w:t>
            </w:r>
            <w:r w:rsidRPr="00A24C4F">
              <w:rPr>
                <w:spacing w:val="-3"/>
              </w:rPr>
              <w:t xml:space="preserve"> </w:t>
            </w:r>
            <w:r w:rsidRPr="00A24C4F">
              <w:t>with</w:t>
            </w:r>
            <w:r w:rsidRPr="00A24C4F">
              <w:rPr>
                <w:spacing w:val="-1"/>
              </w:rPr>
              <w:t xml:space="preserve"> </w:t>
            </w:r>
            <w:r w:rsidRPr="00F82B08">
              <w:t>.25</w:t>
            </w:r>
            <w:r w:rsidRPr="00F82B08">
              <w:rPr>
                <w:spacing w:val="-1"/>
              </w:rPr>
              <w:t xml:space="preserve"> </w:t>
            </w:r>
            <w:r w:rsidRPr="00F82B08">
              <w:t>FTE</w:t>
            </w:r>
            <w:r w:rsidRPr="00F82B08">
              <w:rPr>
                <w:spacing w:val="-3"/>
              </w:rPr>
              <w:t xml:space="preserve"> Manager/.50 FTE </w:t>
            </w:r>
            <w:r w:rsidRPr="00F82B08">
              <w:t>Senior</w:t>
            </w:r>
            <w:r w:rsidRPr="00F82B08">
              <w:rPr>
                <w:spacing w:val="-2"/>
              </w:rPr>
              <w:t xml:space="preserve"> </w:t>
            </w:r>
            <w:r w:rsidRPr="00F82B08">
              <w:t>Analyst</w:t>
            </w:r>
            <w:r w:rsidRPr="00A24C4F">
              <w:rPr>
                <w:spacing w:val="-2"/>
              </w:rPr>
              <w:t xml:space="preserve"> </w:t>
            </w:r>
            <w:r w:rsidRPr="00A24C4F">
              <w:t>for</w:t>
            </w:r>
            <w:r w:rsidRPr="00A24C4F">
              <w:rPr>
                <w:spacing w:val="-2"/>
              </w:rPr>
              <w:t xml:space="preserve"> </w:t>
            </w:r>
            <w:r w:rsidRPr="00A24C4F">
              <w:t>a</w:t>
            </w:r>
            <w:r w:rsidRPr="00A24C4F">
              <w:rPr>
                <w:spacing w:val="-3"/>
              </w:rPr>
              <w:t xml:space="preserve"> </w:t>
            </w:r>
            <w:r w:rsidRPr="00A24C4F">
              <w:t>period</w:t>
            </w:r>
            <w:r w:rsidRPr="00A24C4F">
              <w:rPr>
                <w:spacing w:val="1"/>
              </w:rPr>
              <w:t xml:space="preserve"> </w:t>
            </w:r>
            <w:r w:rsidRPr="00A24C4F">
              <w:t>of</w:t>
            </w:r>
            <w:r w:rsidRPr="00A24C4F">
              <w:rPr>
                <w:spacing w:val="-3"/>
              </w:rPr>
              <w:t xml:space="preserve"> </w:t>
            </w:r>
            <w:r w:rsidRPr="00A24C4F">
              <w:t xml:space="preserve">six </w:t>
            </w:r>
            <w:r w:rsidRPr="00A24C4F">
              <w:rPr>
                <w:spacing w:val="-57"/>
              </w:rPr>
              <w:t xml:space="preserve">   </w:t>
            </w:r>
            <w:r w:rsidRPr="00A24C4F">
              <w:t>months.</w:t>
            </w:r>
          </w:p>
          <w:p w14:paraId="3783EDC3" w14:textId="77777777" w:rsidR="00A9788A" w:rsidRPr="00B11523" w:rsidRDefault="00AC3829" w:rsidP="00A9788A">
            <w:pPr>
              <w:ind w:left="342" w:right="72" w:hanging="342"/>
              <w:rPr>
                <w:i/>
                <w:sz w:val="22"/>
                <w:szCs w:val="22"/>
              </w:rPr>
            </w:pPr>
            <w:sdt>
              <w:sdtPr>
                <w:rPr>
                  <w:color w:val="C00000"/>
                  <w:sz w:val="28"/>
                  <w:szCs w:val="28"/>
                </w:rPr>
                <w:id w:val="1136293607"/>
                <w14:checkbox>
                  <w14:checked w14:val="0"/>
                  <w14:checkedState w14:val="2612" w14:font="MS Gothic"/>
                  <w14:uncheckedState w14:val="2610" w14:font="MS Gothic"/>
                </w14:checkbox>
              </w:sdtPr>
              <w:sdtEndPr/>
              <w:sdtContent>
                <w:r w:rsidR="00A9788A">
                  <w:rPr>
                    <w:rFonts w:ascii="MS Gothic" w:eastAsia="MS Gothic" w:hAnsi="MS Gothic" w:hint="eastAsia"/>
                    <w:color w:val="C00000"/>
                    <w:sz w:val="28"/>
                    <w:szCs w:val="28"/>
                  </w:rPr>
                  <w:t>☐</w:t>
                </w:r>
              </w:sdtContent>
            </w:sdt>
            <w:r w:rsidR="00A9788A" w:rsidRPr="000953E0">
              <w:rPr>
                <w:b/>
                <w:i/>
                <w:color w:val="C00000"/>
                <w:sz w:val="22"/>
                <w:szCs w:val="22"/>
              </w:rPr>
              <w:t xml:space="preserve"> </w:t>
            </w:r>
            <w:r w:rsidR="00A9788A" w:rsidRPr="002B4F6A">
              <w:rPr>
                <w:i/>
                <w:sz w:val="22"/>
                <w:szCs w:val="22"/>
              </w:rPr>
              <w:t>This project may result in an allocation or distribution of funds to the courts. We will coordinate with Budget Services to ensure their review of relevant materials.</w:t>
            </w:r>
          </w:p>
          <w:p w14:paraId="5B4522C3" w14:textId="77777777" w:rsidR="00A9788A" w:rsidRPr="00E94D20" w:rsidRDefault="00A9788A" w:rsidP="00A9788A">
            <w:pPr>
              <w:ind w:right="72"/>
              <w:rPr>
                <w:i/>
              </w:rPr>
            </w:pPr>
          </w:p>
          <w:p w14:paraId="06537347" w14:textId="77777777" w:rsidR="00A9788A" w:rsidRDefault="00A9788A" w:rsidP="00A9788A">
            <w:pPr>
              <w:ind w:right="72"/>
              <w:rPr>
                <w:iCs/>
              </w:rPr>
            </w:pPr>
            <w:r w:rsidRPr="008C3A55">
              <w:rPr>
                <w:b/>
                <w:i/>
              </w:rPr>
              <w:t>Internal/External Stakeholders:</w:t>
            </w:r>
            <w:r w:rsidRPr="008C3A55">
              <w:rPr>
                <w:i/>
              </w:rPr>
              <w:t xml:space="preserve"> </w:t>
            </w:r>
            <w:r>
              <w:rPr>
                <w:iCs/>
              </w:rPr>
              <w:t>Legislature</w:t>
            </w:r>
          </w:p>
          <w:p w14:paraId="4A7A1580" w14:textId="77777777" w:rsidR="00A9788A" w:rsidRPr="00E94D20" w:rsidRDefault="00A9788A" w:rsidP="00A9788A">
            <w:pPr>
              <w:ind w:right="72"/>
            </w:pPr>
          </w:p>
          <w:p w14:paraId="26393E26" w14:textId="61EFEB8E" w:rsidR="00801F78" w:rsidRPr="00801F78" w:rsidRDefault="00A9788A" w:rsidP="00801F78">
            <w:pPr>
              <w:rPr>
                <w:iCs/>
              </w:rPr>
            </w:pPr>
            <w:r w:rsidRPr="008C3A55">
              <w:t xml:space="preserve">AC Collaboration: </w:t>
            </w:r>
            <w:r w:rsidRPr="00777815">
              <w:rPr>
                <w:iCs/>
              </w:rPr>
              <w:t>TBD/As needed</w:t>
            </w:r>
          </w:p>
        </w:tc>
      </w:tr>
      <w:tr w:rsidR="00A9788A" w:rsidRPr="00A9788A" w14:paraId="061B3CF9" w14:textId="77777777" w:rsidTr="00F82B08">
        <w:trPr>
          <w:trHeight w:val="288"/>
        </w:trPr>
        <w:tc>
          <w:tcPr>
            <w:tcW w:w="445" w:type="dxa"/>
            <w:vMerge w:val="restart"/>
            <w:tcMar>
              <w:top w:w="72" w:type="dxa"/>
              <w:left w:w="115" w:type="dxa"/>
              <w:bottom w:w="72" w:type="dxa"/>
              <w:right w:w="115" w:type="dxa"/>
            </w:tcMar>
          </w:tcPr>
          <w:p w14:paraId="34F769C2" w14:textId="77777777" w:rsidR="00A9788A" w:rsidRPr="00A9788A" w:rsidRDefault="00A9788A" w:rsidP="00A9788A">
            <w:pPr>
              <w:numPr>
                <w:ilvl w:val="0"/>
                <w:numId w:val="13"/>
              </w:numPr>
              <w:tabs>
                <w:tab w:val="left" w:pos="156"/>
              </w:tabs>
              <w:ind w:right="72"/>
              <w:contextualSpacing/>
              <w:jc w:val="both"/>
            </w:pPr>
          </w:p>
        </w:tc>
        <w:tc>
          <w:tcPr>
            <w:tcW w:w="10874" w:type="dxa"/>
            <w:vMerge w:val="restart"/>
          </w:tcPr>
          <w:p w14:paraId="12A10A20" w14:textId="53678E3B" w:rsidR="00A9788A" w:rsidRPr="00452C32" w:rsidRDefault="00452C32" w:rsidP="00452C32">
            <w:pPr>
              <w:tabs>
                <w:tab w:val="left" w:pos="156"/>
                <w:tab w:val="num" w:pos="720"/>
              </w:tabs>
              <w:ind w:right="72"/>
              <w:rPr>
                <w:b/>
                <w:bCs/>
              </w:rPr>
            </w:pPr>
            <w:r w:rsidRPr="00452C32">
              <w:rPr>
                <w:b/>
                <w:bCs/>
                <w:i/>
                <w:iCs/>
              </w:rPr>
              <w:t>Project Title</w:t>
            </w:r>
            <w:r w:rsidRPr="00452C32">
              <w:rPr>
                <w:b/>
                <w:bCs/>
              </w:rPr>
              <w:t xml:space="preserve">: </w:t>
            </w:r>
            <w:proofErr w:type="spellStart"/>
            <w:r w:rsidR="00A9788A" w:rsidRPr="00452C32">
              <w:t>Branchwide</w:t>
            </w:r>
            <w:proofErr w:type="spellEnd"/>
            <w:r w:rsidR="00A9788A" w:rsidRPr="00452C32">
              <w:t xml:space="preserve"> Data Collection</w:t>
            </w:r>
          </w:p>
        </w:tc>
        <w:tc>
          <w:tcPr>
            <w:tcW w:w="2811" w:type="dxa"/>
          </w:tcPr>
          <w:p w14:paraId="470E2E83" w14:textId="3D17D1EC" w:rsidR="00A9788A" w:rsidRPr="00A9788A" w:rsidRDefault="00A9788A" w:rsidP="00A9788A">
            <w:pPr>
              <w:ind w:right="72"/>
              <w:rPr>
                <w:b/>
                <w:bCs/>
                <w:i/>
              </w:rPr>
            </w:pPr>
            <w:r w:rsidRPr="008C3A55">
              <w:rPr>
                <w:b/>
                <w:i/>
              </w:rPr>
              <w:t>Priority</w:t>
            </w:r>
            <w:r w:rsidRPr="000953E0">
              <w:rPr>
                <w:b/>
                <w:i/>
              </w:rPr>
              <w:fldChar w:fldCharType="begin"/>
            </w:r>
            <w:r w:rsidRPr="000953E0">
              <w:rPr>
                <w:b/>
                <w:i/>
              </w:rPr>
              <w:instrText xml:space="preserve"> NOTEREF _Ref21002321 \f \h  \* MERGEFORMAT </w:instrText>
            </w:r>
            <w:r w:rsidRPr="000953E0">
              <w:rPr>
                <w:b/>
                <w:i/>
              </w:rPr>
            </w:r>
            <w:r w:rsidRPr="000953E0">
              <w:rPr>
                <w:b/>
                <w:i/>
              </w:rPr>
              <w:fldChar w:fldCharType="separate"/>
            </w:r>
            <w:r w:rsidRPr="00FF1A2C">
              <w:rPr>
                <w:rStyle w:val="FootnoteReference"/>
                <w:i/>
              </w:rPr>
              <w:t>5</w:t>
            </w:r>
            <w:r w:rsidRPr="000953E0">
              <w:rPr>
                <w:b/>
                <w:i/>
              </w:rPr>
              <w:fldChar w:fldCharType="end"/>
            </w:r>
            <w:r>
              <w:rPr>
                <w:b/>
                <w:i/>
              </w:rPr>
              <w:t>I</w:t>
            </w:r>
          </w:p>
        </w:tc>
      </w:tr>
      <w:tr w:rsidR="00A9788A" w:rsidRPr="00A9788A" w14:paraId="3EEC7A54" w14:textId="77777777" w:rsidTr="00F82B08">
        <w:trPr>
          <w:trHeight w:val="288"/>
        </w:trPr>
        <w:tc>
          <w:tcPr>
            <w:tcW w:w="445" w:type="dxa"/>
            <w:vMerge/>
            <w:tcMar>
              <w:top w:w="72" w:type="dxa"/>
              <w:left w:w="115" w:type="dxa"/>
              <w:bottom w:w="72" w:type="dxa"/>
              <w:right w:w="115" w:type="dxa"/>
            </w:tcMar>
          </w:tcPr>
          <w:p w14:paraId="5DFEC6B7" w14:textId="77777777" w:rsidR="00A9788A" w:rsidRPr="00A9788A" w:rsidRDefault="00A9788A" w:rsidP="00A9788A">
            <w:pPr>
              <w:numPr>
                <w:ilvl w:val="0"/>
                <w:numId w:val="13"/>
              </w:numPr>
              <w:tabs>
                <w:tab w:val="left" w:pos="156"/>
              </w:tabs>
              <w:ind w:right="72"/>
              <w:contextualSpacing/>
              <w:jc w:val="both"/>
            </w:pPr>
          </w:p>
        </w:tc>
        <w:tc>
          <w:tcPr>
            <w:tcW w:w="10874" w:type="dxa"/>
            <w:vMerge/>
          </w:tcPr>
          <w:p w14:paraId="121A4568" w14:textId="77777777" w:rsidR="00A9788A" w:rsidRPr="00A9788A" w:rsidRDefault="00A9788A" w:rsidP="00A9788A">
            <w:pPr>
              <w:ind w:right="72"/>
              <w:rPr>
                <w:b/>
                <w:i/>
              </w:rPr>
            </w:pPr>
          </w:p>
        </w:tc>
        <w:tc>
          <w:tcPr>
            <w:tcW w:w="2811" w:type="dxa"/>
          </w:tcPr>
          <w:p w14:paraId="14E561FA" w14:textId="4F76123F" w:rsidR="00A9788A" w:rsidRPr="00A9788A" w:rsidRDefault="00A9788A" w:rsidP="00A9788A">
            <w:pPr>
              <w:ind w:right="72"/>
              <w:rPr>
                <w:b/>
                <w:bCs/>
                <w:i/>
              </w:rPr>
            </w:pPr>
            <w:r>
              <w:rPr>
                <w:b/>
                <w:bCs/>
                <w:i/>
              </w:rPr>
              <w:t>Strategic Plan Goal</w:t>
            </w:r>
            <w:r w:rsidRPr="000953E0">
              <w:rPr>
                <w:b/>
                <w:bCs/>
                <w:i/>
              </w:rPr>
              <w:fldChar w:fldCharType="begin"/>
            </w:r>
            <w:r w:rsidRPr="000953E0">
              <w:rPr>
                <w:b/>
                <w:bCs/>
                <w:i/>
              </w:rPr>
              <w:instrText xml:space="preserve"> NOTEREF _Ref21002353 \f \h  \* MERGEFORMAT </w:instrText>
            </w:r>
            <w:r w:rsidRPr="000953E0">
              <w:rPr>
                <w:b/>
                <w:bCs/>
                <w:i/>
              </w:rPr>
            </w:r>
            <w:r w:rsidRPr="000953E0">
              <w:rPr>
                <w:b/>
                <w:bCs/>
                <w:i/>
              </w:rPr>
              <w:fldChar w:fldCharType="separate"/>
            </w:r>
            <w:r w:rsidRPr="00FF1A2C">
              <w:rPr>
                <w:rStyle w:val="FootnoteReference"/>
                <w:i/>
              </w:rPr>
              <w:t>6</w:t>
            </w:r>
            <w:r w:rsidRPr="000953E0">
              <w:rPr>
                <w:b/>
                <w:bCs/>
                <w:i/>
              </w:rPr>
              <w:fldChar w:fldCharType="end"/>
            </w:r>
            <w:r>
              <w:rPr>
                <w:b/>
                <w:bCs/>
                <w:i/>
              </w:rPr>
              <w:t xml:space="preserve"> III</w:t>
            </w:r>
            <w:r w:rsidR="00C50143">
              <w:rPr>
                <w:b/>
                <w:bCs/>
                <w:i/>
              </w:rPr>
              <w:t>, IV</w:t>
            </w:r>
          </w:p>
        </w:tc>
      </w:tr>
      <w:tr w:rsidR="00A9788A" w:rsidRPr="00A9788A" w14:paraId="6FD74A32" w14:textId="77777777" w:rsidTr="00F82B08">
        <w:trPr>
          <w:trHeight w:val="1151"/>
        </w:trPr>
        <w:tc>
          <w:tcPr>
            <w:tcW w:w="445" w:type="dxa"/>
            <w:vMerge/>
            <w:tcMar>
              <w:top w:w="72" w:type="dxa"/>
              <w:left w:w="115" w:type="dxa"/>
              <w:bottom w:w="72" w:type="dxa"/>
              <w:right w:w="115" w:type="dxa"/>
            </w:tcMar>
          </w:tcPr>
          <w:p w14:paraId="111DBF70" w14:textId="77777777" w:rsidR="00A9788A" w:rsidRPr="00A9788A" w:rsidRDefault="00A9788A" w:rsidP="00A9788A">
            <w:pPr>
              <w:numPr>
                <w:ilvl w:val="0"/>
                <w:numId w:val="13"/>
              </w:numPr>
              <w:tabs>
                <w:tab w:val="left" w:pos="156"/>
              </w:tabs>
              <w:ind w:right="72"/>
              <w:contextualSpacing/>
              <w:jc w:val="both"/>
            </w:pPr>
          </w:p>
        </w:tc>
        <w:tc>
          <w:tcPr>
            <w:tcW w:w="13685" w:type="dxa"/>
            <w:gridSpan w:val="2"/>
            <w:shd w:val="clear" w:color="auto" w:fill="auto"/>
          </w:tcPr>
          <w:p w14:paraId="1C778E43" w14:textId="13ECAF4C" w:rsidR="00C50143" w:rsidRPr="008C3A55" w:rsidRDefault="00C50143" w:rsidP="00C50143">
            <w:pPr>
              <w:ind w:right="72"/>
            </w:pPr>
            <w:r w:rsidRPr="008C3A55">
              <w:rPr>
                <w:b/>
                <w:i/>
              </w:rPr>
              <w:t>Project Summary</w:t>
            </w:r>
            <w:r>
              <w:rPr>
                <w:b/>
                <w:i/>
              </w:rPr>
              <w:fldChar w:fldCharType="begin"/>
            </w:r>
            <w:r>
              <w:rPr>
                <w:b/>
                <w:i/>
              </w:rPr>
              <w:instrText xml:space="preserve"> NOTEREF _Ref21002828 \f \h </w:instrText>
            </w:r>
            <w:r>
              <w:rPr>
                <w:b/>
                <w:i/>
              </w:rPr>
            </w:r>
            <w:r>
              <w:rPr>
                <w:b/>
                <w:i/>
              </w:rPr>
              <w:fldChar w:fldCharType="separate"/>
            </w:r>
            <w:r w:rsidRPr="00FF1A2C">
              <w:rPr>
                <w:rStyle w:val="FootnoteReference"/>
              </w:rPr>
              <w:t>7</w:t>
            </w:r>
            <w:r>
              <w:rPr>
                <w:b/>
                <w:i/>
              </w:rPr>
              <w:fldChar w:fldCharType="end"/>
            </w:r>
            <w:r w:rsidRPr="008C3A55">
              <w:rPr>
                <w:b/>
                <w:i/>
              </w:rPr>
              <w:t xml:space="preserve">: </w:t>
            </w:r>
            <w:r>
              <w:t xml:space="preserve">The Judicial Council is required to survey the business of the courts. Branch data collection helps to inform court leaders of trends and to make business decisions based on data. The committee should review and make </w:t>
            </w:r>
            <w:r w:rsidR="005E498C">
              <w:t xml:space="preserve">policy </w:t>
            </w:r>
            <w:r>
              <w:t xml:space="preserve">recommendations on statewide data collection, including trial court data collection via the Judicial Branch Statistical Information System (JBSIS). </w:t>
            </w:r>
          </w:p>
          <w:p w14:paraId="319967E6" w14:textId="77777777" w:rsidR="00C50143" w:rsidRPr="00E94D20" w:rsidRDefault="00C50143" w:rsidP="00C50143">
            <w:pPr>
              <w:ind w:right="72"/>
            </w:pPr>
          </w:p>
          <w:p w14:paraId="6533A7F0" w14:textId="70B2B4C9" w:rsidR="00C50143" w:rsidRPr="008C3A55" w:rsidRDefault="00C50143" w:rsidP="00C50143">
            <w:pPr>
              <w:ind w:right="72"/>
              <w:rPr>
                <w:b/>
                <w:i/>
                <w:sz w:val="20"/>
                <w:szCs w:val="20"/>
              </w:rPr>
            </w:pPr>
            <w:r w:rsidRPr="008C3A55">
              <w:rPr>
                <w:b/>
                <w:i/>
              </w:rPr>
              <w:t xml:space="preserve">Status/Timeline: </w:t>
            </w:r>
            <w:r>
              <w:t xml:space="preserve">Ongoing; the committee should receive a presentation from the JBSIS Subcommittee of CEAC concerning the status of JBSIS data collection. </w:t>
            </w:r>
            <w:r w:rsidR="00C42FE1">
              <w:t>The committee should</w:t>
            </w:r>
            <w:r w:rsidR="0008153E">
              <w:t xml:space="preserve"> catalog other branch data collection efforts and</w:t>
            </w:r>
            <w:r w:rsidR="00C42FE1">
              <w:t xml:space="preserve"> </w:t>
            </w:r>
            <w:r w:rsidR="0008153E">
              <w:t>draft a data roadmap for the judicial branch.</w:t>
            </w:r>
          </w:p>
          <w:p w14:paraId="09BE83AC" w14:textId="77777777" w:rsidR="00C50143" w:rsidRPr="00E94D20" w:rsidRDefault="00C50143" w:rsidP="00C50143">
            <w:pPr>
              <w:ind w:right="72"/>
            </w:pPr>
          </w:p>
          <w:p w14:paraId="5C64F593" w14:textId="2793D9DD" w:rsidR="0008153E" w:rsidRDefault="00C50143" w:rsidP="0008153E">
            <w:pPr>
              <w:ind w:left="342" w:right="72" w:hanging="342"/>
            </w:pPr>
            <w:r w:rsidRPr="008C3A55">
              <w:rPr>
                <w:b/>
                <w:i/>
              </w:rPr>
              <w:t xml:space="preserve">Fiscal Impact/Resources: </w:t>
            </w:r>
            <w:r w:rsidR="0008153E">
              <w:t>Completion</w:t>
            </w:r>
            <w:r w:rsidR="0008153E">
              <w:rPr>
                <w:spacing w:val="-2"/>
              </w:rPr>
              <w:t xml:space="preserve"> </w:t>
            </w:r>
            <w:r w:rsidR="0008153E">
              <w:t>of</w:t>
            </w:r>
            <w:r w:rsidR="0008153E">
              <w:rPr>
                <w:spacing w:val="-2"/>
              </w:rPr>
              <w:t xml:space="preserve"> </w:t>
            </w:r>
            <w:r w:rsidR="0008153E">
              <w:t>this</w:t>
            </w:r>
            <w:r w:rsidR="0008153E">
              <w:rPr>
                <w:spacing w:val="-2"/>
              </w:rPr>
              <w:t xml:space="preserve"> </w:t>
            </w:r>
            <w:r w:rsidR="0008153E">
              <w:t>project</w:t>
            </w:r>
            <w:r w:rsidR="0008153E">
              <w:rPr>
                <w:spacing w:val="-1"/>
              </w:rPr>
              <w:t xml:space="preserve"> </w:t>
            </w:r>
            <w:r w:rsidR="0008153E">
              <w:t>will</w:t>
            </w:r>
            <w:r w:rsidR="0008153E">
              <w:rPr>
                <w:spacing w:val="-2"/>
              </w:rPr>
              <w:t xml:space="preserve"> </w:t>
            </w:r>
            <w:r w:rsidR="0008153E">
              <w:t>be</w:t>
            </w:r>
            <w:r w:rsidR="0008153E">
              <w:rPr>
                <w:spacing w:val="-2"/>
              </w:rPr>
              <w:t xml:space="preserve"> </w:t>
            </w:r>
            <w:r w:rsidR="0008153E" w:rsidRPr="00A24C4F">
              <w:t>accomplished</w:t>
            </w:r>
            <w:r w:rsidR="0008153E" w:rsidRPr="00A24C4F">
              <w:rPr>
                <w:spacing w:val="-3"/>
              </w:rPr>
              <w:t xml:space="preserve"> </w:t>
            </w:r>
            <w:r w:rsidR="0008153E" w:rsidRPr="00A24C4F">
              <w:t>with</w:t>
            </w:r>
            <w:r w:rsidR="0008153E" w:rsidRPr="00A24C4F">
              <w:rPr>
                <w:spacing w:val="-1"/>
              </w:rPr>
              <w:t xml:space="preserve"> </w:t>
            </w:r>
            <w:r w:rsidR="0008153E" w:rsidRPr="00F82B08">
              <w:t>.25</w:t>
            </w:r>
            <w:r w:rsidR="0008153E" w:rsidRPr="00F82B08">
              <w:rPr>
                <w:spacing w:val="-1"/>
              </w:rPr>
              <w:t xml:space="preserve"> </w:t>
            </w:r>
            <w:r w:rsidR="0008153E" w:rsidRPr="00F82B08">
              <w:t>FTE</w:t>
            </w:r>
            <w:r w:rsidR="0008153E" w:rsidRPr="00F82B08">
              <w:rPr>
                <w:spacing w:val="-3"/>
              </w:rPr>
              <w:t xml:space="preserve"> Manager/.50 FTE </w:t>
            </w:r>
            <w:r w:rsidR="0008153E" w:rsidRPr="00F82B08">
              <w:t>Senior</w:t>
            </w:r>
            <w:r w:rsidR="0008153E" w:rsidRPr="00F82B08">
              <w:rPr>
                <w:spacing w:val="-2"/>
              </w:rPr>
              <w:t xml:space="preserve"> </w:t>
            </w:r>
            <w:r w:rsidR="0008153E" w:rsidRPr="00F82B08">
              <w:t>Analyst</w:t>
            </w:r>
            <w:r w:rsidR="0008153E" w:rsidRPr="00A24C4F">
              <w:rPr>
                <w:spacing w:val="-2"/>
              </w:rPr>
              <w:t xml:space="preserve"> </w:t>
            </w:r>
            <w:r w:rsidR="0008153E" w:rsidRPr="00A24C4F">
              <w:t>for</w:t>
            </w:r>
            <w:r w:rsidR="0008153E" w:rsidRPr="00A24C4F">
              <w:rPr>
                <w:spacing w:val="-2"/>
              </w:rPr>
              <w:t xml:space="preserve"> </w:t>
            </w:r>
            <w:r w:rsidR="0008153E" w:rsidRPr="00A24C4F">
              <w:t>a</w:t>
            </w:r>
            <w:r w:rsidR="0008153E" w:rsidRPr="00A24C4F">
              <w:rPr>
                <w:spacing w:val="-3"/>
              </w:rPr>
              <w:t xml:space="preserve"> </w:t>
            </w:r>
            <w:r w:rsidR="0008153E" w:rsidRPr="00A24C4F">
              <w:t>period</w:t>
            </w:r>
            <w:r w:rsidR="0008153E" w:rsidRPr="00A24C4F">
              <w:rPr>
                <w:spacing w:val="1"/>
              </w:rPr>
              <w:t xml:space="preserve"> </w:t>
            </w:r>
            <w:r w:rsidR="0008153E" w:rsidRPr="00A24C4F">
              <w:t>of</w:t>
            </w:r>
            <w:r w:rsidR="0008153E" w:rsidRPr="00A24C4F">
              <w:rPr>
                <w:spacing w:val="-3"/>
              </w:rPr>
              <w:t xml:space="preserve"> </w:t>
            </w:r>
            <w:r w:rsidR="0008153E">
              <w:t>one year</w:t>
            </w:r>
            <w:r w:rsidR="0008153E" w:rsidRPr="00A24C4F">
              <w:t>.</w:t>
            </w:r>
          </w:p>
          <w:p w14:paraId="6CCE1D05" w14:textId="282DFA98" w:rsidR="00C50143" w:rsidRDefault="00C50143" w:rsidP="00C50143">
            <w:pPr>
              <w:ind w:left="342" w:right="72" w:hanging="342"/>
              <w:rPr>
                <w:b/>
                <w:i/>
              </w:rPr>
            </w:pPr>
          </w:p>
          <w:p w14:paraId="24AB5764" w14:textId="77777777" w:rsidR="00C50143" w:rsidRDefault="00C50143" w:rsidP="00C50143">
            <w:pPr>
              <w:ind w:left="342" w:right="72" w:hanging="342"/>
            </w:pPr>
          </w:p>
          <w:p w14:paraId="3A3C4A38" w14:textId="77777777" w:rsidR="00C50143" w:rsidRPr="00B11523" w:rsidRDefault="00AC3829" w:rsidP="00C50143">
            <w:pPr>
              <w:ind w:left="342" w:right="72" w:hanging="342"/>
              <w:rPr>
                <w:i/>
                <w:sz w:val="22"/>
                <w:szCs w:val="22"/>
              </w:rPr>
            </w:pPr>
            <w:sdt>
              <w:sdtPr>
                <w:rPr>
                  <w:color w:val="C00000"/>
                  <w:sz w:val="28"/>
                  <w:szCs w:val="28"/>
                </w:rPr>
                <w:id w:val="-1920464549"/>
                <w14:checkbox>
                  <w14:checked w14:val="0"/>
                  <w14:checkedState w14:val="2612" w14:font="MS Gothic"/>
                  <w14:uncheckedState w14:val="2610" w14:font="MS Gothic"/>
                </w14:checkbox>
              </w:sdtPr>
              <w:sdtEndPr/>
              <w:sdtContent>
                <w:r w:rsidR="00C50143">
                  <w:rPr>
                    <w:rFonts w:ascii="MS Gothic" w:eastAsia="MS Gothic" w:hAnsi="MS Gothic" w:hint="eastAsia"/>
                    <w:color w:val="C00000"/>
                    <w:sz w:val="28"/>
                    <w:szCs w:val="28"/>
                  </w:rPr>
                  <w:t>☐</w:t>
                </w:r>
              </w:sdtContent>
            </w:sdt>
            <w:r w:rsidR="00C50143" w:rsidRPr="000953E0">
              <w:rPr>
                <w:b/>
                <w:i/>
                <w:color w:val="C00000"/>
                <w:sz w:val="22"/>
                <w:szCs w:val="22"/>
              </w:rPr>
              <w:t xml:space="preserve"> </w:t>
            </w:r>
            <w:r w:rsidR="00C50143" w:rsidRPr="002B4F6A">
              <w:rPr>
                <w:i/>
                <w:sz w:val="22"/>
                <w:szCs w:val="22"/>
              </w:rPr>
              <w:t>This project may result in an allocation or distribution of funds to the courts. We will coordinate with Budget Services to ensure their review of relevant materials.</w:t>
            </w:r>
          </w:p>
          <w:p w14:paraId="35F8147F" w14:textId="77777777" w:rsidR="00C50143" w:rsidRPr="00E94D20" w:rsidRDefault="00C50143" w:rsidP="00C50143">
            <w:pPr>
              <w:ind w:right="72"/>
              <w:rPr>
                <w:i/>
              </w:rPr>
            </w:pPr>
          </w:p>
          <w:p w14:paraId="093710ED" w14:textId="67EA0C65" w:rsidR="00C50143" w:rsidRDefault="00C50143" w:rsidP="00C50143">
            <w:pPr>
              <w:ind w:right="72"/>
              <w:rPr>
                <w:iCs/>
              </w:rPr>
            </w:pPr>
            <w:r w:rsidRPr="008C3A55">
              <w:rPr>
                <w:b/>
                <w:i/>
              </w:rPr>
              <w:t>Internal/External Stakeholders:</w:t>
            </w:r>
            <w:r w:rsidRPr="008C3A55">
              <w:rPr>
                <w:i/>
              </w:rPr>
              <w:t xml:space="preserve"> </w:t>
            </w:r>
            <w:r>
              <w:rPr>
                <w:iCs/>
              </w:rPr>
              <w:t>Trial and appellate courts</w:t>
            </w:r>
          </w:p>
          <w:p w14:paraId="2090FDD6" w14:textId="77777777" w:rsidR="00C50143" w:rsidRPr="00E94D20" w:rsidRDefault="00C50143" w:rsidP="00C50143">
            <w:pPr>
              <w:ind w:right="72"/>
            </w:pPr>
          </w:p>
          <w:p w14:paraId="1193D822" w14:textId="436A7087" w:rsidR="00A9788A" w:rsidRPr="00A9788A" w:rsidRDefault="00C50143" w:rsidP="00C50143">
            <w:pPr>
              <w:spacing w:after="60"/>
              <w:rPr>
                <w:i/>
              </w:rPr>
            </w:pPr>
            <w:r w:rsidRPr="008C3A55">
              <w:rPr>
                <w:b/>
                <w:i/>
              </w:rPr>
              <w:lastRenderedPageBreak/>
              <w:t xml:space="preserve">AC Collaboration: </w:t>
            </w:r>
            <w:r>
              <w:rPr>
                <w:iCs/>
              </w:rPr>
              <w:t>JBSIS Subcommittee of CEAC</w:t>
            </w:r>
            <w:r w:rsidR="0008153E">
              <w:rPr>
                <w:iCs/>
              </w:rPr>
              <w:t>; others TBD</w:t>
            </w:r>
          </w:p>
        </w:tc>
      </w:tr>
      <w:tr w:rsidR="00C50143" w:rsidRPr="00A9788A" w14:paraId="1FA9D3EE" w14:textId="77777777" w:rsidTr="00F82B08">
        <w:trPr>
          <w:trHeight w:val="288"/>
        </w:trPr>
        <w:tc>
          <w:tcPr>
            <w:tcW w:w="445" w:type="dxa"/>
            <w:vMerge w:val="restart"/>
            <w:tcMar>
              <w:top w:w="72" w:type="dxa"/>
              <w:left w:w="115" w:type="dxa"/>
              <w:bottom w:w="72" w:type="dxa"/>
              <w:right w:w="115" w:type="dxa"/>
            </w:tcMar>
          </w:tcPr>
          <w:p w14:paraId="6EA0CB87" w14:textId="77777777" w:rsidR="00C50143" w:rsidRPr="00A9788A" w:rsidRDefault="00C50143" w:rsidP="00C50143">
            <w:pPr>
              <w:numPr>
                <w:ilvl w:val="0"/>
                <w:numId w:val="13"/>
              </w:numPr>
              <w:tabs>
                <w:tab w:val="left" w:pos="156"/>
              </w:tabs>
              <w:ind w:right="72"/>
              <w:contextualSpacing/>
              <w:jc w:val="both"/>
            </w:pPr>
          </w:p>
        </w:tc>
        <w:tc>
          <w:tcPr>
            <w:tcW w:w="10874" w:type="dxa"/>
            <w:vMerge w:val="restart"/>
          </w:tcPr>
          <w:p w14:paraId="29ACFC7F" w14:textId="6D52E39E" w:rsidR="00C50143" w:rsidRPr="00452C32" w:rsidRDefault="00452C32" w:rsidP="00F82B08">
            <w:pPr>
              <w:ind w:right="72"/>
              <w:rPr>
                <w:b/>
                <w:bCs/>
              </w:rPr>
            </w:pPr>
            <w:r w:rsidRPr="00452C32">
              <w:rPr>
                <w:b/>
                <w:bCs/>
                <w:i/>
                <w:iCs/>
              </w:rPr>
              <w:t>Project Title</w:t>
            </w:r>
            <w:r>
              <w:rPr>
                <w:b/>
                <w:bCs/>
              </w:rPr>
              <w:t xml:space="preserve">: </w:t>
            </w:r>
            <w:proofErr w:type="spellStart"/>
            <w:r w:rsidR="00C50143" w:rsidRPr="00452C32">
              <w:t>Branchwide</w:t>
            </w:r>
            <w:proofErr w:type="spellEnd"/>
            <w:r w:rsidR="00C50143" w:rsidRPr="00452C32">
              <w:t xml:space="preserve"> Data Analytics Education and Building a Data Analytics Community</w:t>
            </w:r>
          </w:p>
        </w:tc>
        <w:tc>
          <w:tcPr>
            <w:tcW w:w="2811" w:type="dxa"/>
          </w:tcPr>
          <w:p w14:paraId="6C5F50C0" w14:textId="77777777" w:rsidR="00C50143" w:rsidRPr="00A9788A" w:rsidRDefault="00C50143" w:rsidP="00F82B08">
            <w:pPr>
              <w:ind w:right="72"/>
              <w:rPr>
                <w:b/>
                <w:bCs/>
                <w:i/>
              </w:rPr>
            </w:pPr>
            <w:r w:rsidRPr="008C3A55">
              <w:rPr>
                <w:b/>
                <w:i/>
              </w:rPr>
              <w:t>Priority</w:t>
            </w:r>
            <w:r w:rsidRPr="000953E0">
              <w:rPr>
                <w:b/>
                <w:i/>
              </w:rPr>
              <w:fldChar w:fldCharType="begin"/>
            </w:r>
            <w:r w:rsidRPr="000953E0">
              <w:rPr>
                <w:b/>
                <w:i/>
              </w:rPr>
              <w:instrText xml:space="preserve"> NOTEREF _Ref21002321 \f \h  \* MERGEFORMAT </w:instrText>
            </w:r>
            <w:r w:rsidRPr="000953E0">
              <w:rPr>
                <w:b/>
                <w:i/>
              </w:rPr>
            </w:r>
            <w:r w:rsidRPr="000953E0">
              <w:rPr>
                <w:b/>
                <w:i/>
              </w:rPr>
              <w:fldChar w:fldCharType="separate"/>
            </w:r>
            <w:r w:rsidRPr="00FF1A2C">
              <w:rPr>
                <w:rStyle w:val="FootnoteReference"/>
                <w:i/>
              </w:rPr>
              <w:t>5</w:t>
            </w:r>
            <w:r w:rsidRPr="000953E0">
              <w:rPr>
                <w:b/>
                <w:i/>
              </w:rPr>
              <w:fldChar w:fldCharType="end"/>
            </w:r>
            <w:r>
              <w:rPr>
                <w:b/>
                <w:i/>
              </w:rPr>
              <w:t>I</w:t>
            </w:r>
          </w:p>
        </w:tc>
      </w:tr>
      <w:tr w:rsidR="00C50143" w:rsidRPr="00A9788A" w14:paraId="349A6FF0" w14:textId="77777777" w:rsidTr="00F82B08">
        <w:trPr>
          <w:trHeight w:val="288"/>
        </w:trPr>
        <w:tc>
          <w:tcPr>
            <w:tcW w:w="445" w:type="dxa"/>
            <w:vMerge/>
            <w:tcMar>
              <w:top w:w="72" w:type="dxa"/>
              <w:left w:w="115" w:type="dxa"/>
              <w:bottom w:w="72" w:type="dxa"/>
              <w:right w:w="115" w:type="dxa"/>
            </w:tcMar>
          </w:tcPr>
          <w:p w14:paraId="513426CE" w14:textId="77777777" w:rsidR="00C50143" w:rsidRPr="00A9788A" w:rsidRDefault="00C50143" w:rsidP="00C50143">
            <w:pPr>
              <w:numPr>
                <w:ilvl w:val="0"/>
                <w:numId w:val="13"/>
              </w:numPr>
              <w:tabs>
                <w:tab w:val="left" w:pos="156"/>
              </w:tabs>
              <w:ind w:right="72"/>
              <w:contextualSpacing/>
              <w:jc w:val="both"/>
            </w:pPr>
          </w:p>
        </w:tc>
        <w:tc>
          <w:tcPr>
            <w:tcW w:w="10874" w:type="dxa"/>
            <w:vMerge/>
          </w:tcPr>
          <w:p w14:paraId="58C18267" w14:textId="77777777" w:rsidR="00C50143" w:rsidRPr="00A9788A" w:rsidRDefault="00C50143" w:rsidP="00F82B08">
            <w:pPr>
              <w:ind w:right="72"/>
              <w:rPr>
                <w:b/>
                <w:i/>
              </w:rPr>
            </w:pPr>
          </w:p>
        </w:tc>
        <w:tc>
          <w:tcPr>
            <w:tcW w:w="2811" w:type="dxa"/>
          </w:tcPr>
          <w:p w14:paraId="12B493E5" w14:textId="14AF1858" w:rsidR="00C50143" w:rsidRPr="00A9788A" w:rsidRDefault="00C50143" w:rsidP="00F82B08">
            <w:pPr>
              <w:ind w:right="72"/>
              <w:rPr>
                <w:b/>
                <w:bCs/>
                <w:i/>
              </w:rPr>
            </w:pPr>
            <w:r>
              <w:rPr>
                <w:b/>
                <w:bCs/>
                <w:i/>
              </w:rPr>
              <w:t>Strategic Plan Goal</w:t>
            </w:r>
            <w:r w:rsidRPr="000953E0">
              <w:rPr>
                <w:b/>
                <w:bCs/>
                <w:i/>
              </w:rPr>
              <w:fldChar w:fldCharType="begin"/>
            </w:r>
            <w:r w:rsidRPr="000953E0">
              <w:rPr>
                <w:b/>
                <w:bCs/>
                <w:i/>
              </w:rPr>
              <w:instrText xml:space="preserve"> NOTEREF _Ref21002353 \f \h  \* MERGEFORMAT </w:instrText>
            </w:r>
            <w:r w:rsidRPr="000953E0">
              <w:rPr>
                <w:b/>
                <w:bCs/>
                <w:i/>
              </w:rPr>
            </w:r>
            <w:r w:rsidRPr="000953E0">
              <w:rPr>
                <w:b/>
                <w:bCs/>
                <w:i/>
              </w:rPr>
              <w:fldChar w:fldCharType="separate"/>
            </w:r>
            <w:r w:rsidRPr="00FF1A2C">
              <w:rPr>
                <w:rStyle w:val="FootnoteReference"/>
                <w:i/>
              </w:rPr>
              <w:t>6</w:t>
            </w:r>
            <w:r w:rsidRPr="000953E0">
              <w:rPr>
                <w:b/>
                <w:bCs/>
                <w:i/>
              </w:rPr>
              <w:fldChar w:fldCharType="end"/>
            </w:r>
            <w:r>
              <w:rPr>
                <w:b/>
                <w:bCs/>
                <w:i/>
              </w:rPr>
              <w:t xml:space="preserve">  V</w:t>
            </w:r>
          </w:p>
        </w:tc>
      </w:tr>
      <w:tr w:rsidR="00C50143" w:rsidRPr="00A9788A" w14:paraId="6ACF67DC" w14:textId="77777777" w:rsidTr="00F82B08">
        <w:trPr>
          <w:trHeight w:val="1151"/>
        </w:trPr>
        <w:tc>
          <w:tcPr>
            <w:tcW w:w="445" w:type="dxa"/>
            <w:vMerge/>
            <w:tcMar>
              <w:top w:w="72" w:type="dxa"/>
              <w:left w:w="115" w:type="dxa"/>
              <w:bottom w:w="72" w:type="dxa"/>
              <w:right w:w="115" w:type="dxa"/>
            </w:tcMar>
          </w:tcPr>
          <w:p w14:paraId="23C5296C" w14:textId="77777777" w:rsidR="00C50143" w:rsidRPr="00A9788A" w:rsidRDefault="00C50143" w:rsidP="00C50143">
            <w:pPr>
              <w:numPr>
                <w:ilvl w:val="0"/>
                <w:numId w:val="13"/>
              </w:numPr>
              <w:tabs>
                <w:tab w:val="left" w:pos="156"/>
              </w:tabs>
              <w:ind w:right="72"/>
              <w:contextualSpacing/>
              <w:jc w:val="both"/>
            </w:pPr>
          </w:p>
        </w:tc>
        <w:tc>
          <w:tcPr>
            <w:tcW w:w="13685" w:type="dxa"/>
            <w:gridSpan w:val="2"/>
            <w:shd w:val="clear" w:color="auto" w:fill="auto"/>
          </w:tcPr>
          <w:p w14:paraId="5DD2E8E7" w14:textId="2509DDD1" w:rsidR="00C50143" w:rsidRPr="008C3A55" w:rsidRDefault="00C50143" w:rsidP="00F82B08">
            <w:pPr>
              <w:ind w:right="72"/>
            </w:pPr>
            <w:r w:rsidRPr="008C3A55">
              <w:rPr>
                <w:b/>
                <w:i/>
              </w:rPr>
              <w:t>Project Summary</w:t>
            </w:r>
            <w:r>
              <w:rPr>
                <w:b/>
                <w:i/>
              </w:rPr>
              <w:fldChar w:fldCharType="begin"/>
            </w:r>
            <w:r>
              <w:rPr>
                <w:b/>
                <w:i/>
              </w:rPr>
              <w:instrText xml:space="preserve"> NOTEREF _Ref21002828 \f \h </w:instrText>
            </w:r>
            <w:r>
              <w:rPr>
                <w:b/>
                <w:i/>
              </w:rPr>
            </w:r>
            <w:r>
              <w:rPr>
                <w:b/>
                <w:i/>
              </w:rPr>
              <w:fldChar w:fldCharType="separate"/>
            </w:r>
            <w:r w:rsidRPr="00FF1A2C">
              <w:rPr>
                <w:rStyle w:val="FootnoteReference"/>
              </w:rPr>
              <w:t>7</w:t>
            </w:r>
            <w:r>
              <w:rPr>
                <w:b/>
                <w:i/>
              </w:rPr>
              <w:fldChar w:fldCharType="end"/>
            </w:r>
            <w:r w:rsidRPr="008C3A55">
              <w:rPr>
                <w:b/>
                <w:i/>
              </w:rPr>
              <w:t xml:space="preserve">: </w:t>
            </w:r>
            <w:r>
              <w:t xml:space="preserve">As part of its efforts to expand data analytics capacity, the committee should </w:t>
            </w:r>
            <w:r w:rsidR="005874C9">
              <w:t>identify</w:t>
            </w:r>
            <w:r>
              <w:t xml:space="preserve"> </w:t>
            </w:r>
            <w:proofErr w:type="spellStart"/>
            <w:r>
              <w:t>branchwide</w:t>
            </w:r>
            <w:proofErr w:type="spellEnd"/>
            <w:r>
              <w:t xml:space="preserve"> educational opportunities for judges</w:t>
            </w:r>
            <w:r w:rsidR="005E498C">
              <w:t>,</w:t>
            </w:r>
            <w:r>
              <w:t xml:space="preserve"> justices</w:t>
            </w:r>
            <w:r w:rsidR="005E498C">
              <w:t>, and court staff</w:t>
            </w:r>
            <w:r>
              <w:t xml:space="preserve"> to become more conversant in data collection and usage.</w:t>
            </w:r>
            <w:r w:rsidR="00C42FE1">
              <w:t xml:space="preserve"> </w:t>
            </w:r>
            <w:r w:rsidR="005874C9">
              <w:t>T</w:t>
            </w:r>
            <w:r w:rsidR="00C42FE1">
              <w:t xml:space="preserve">he committee should </w:t>
            </w:r>
            <w:r w:rsidR="005874C9">
              <w:t xml:space="preserve">identify and </w:t>
            </w:r>
            <w:r w:rsidR="00C42FE1">
              <w:t xml:space="preserve">support efforts to foster a </w:t>
            </w:r>
            <w:proofErr w:type="spellStart"/>
            <w:r w:rsidR="00C42FE1">
              <w:t>branchwide</w:t>
            </w:r>
            <w:proofErr w:type="spellEnd"/>
            <w:r w:rsidR="00C42FE1">
              <w:t xml:space="preserve"> data analytics community.</w:t>
            </w:r>
          </w:p>
          <w:p w14:paraId="7F3DC97E" w14:textId="77777777" w:rsidR="00C50143" w:rsidRPr="00E94D20" w:rsidRDefault="00C50143" w:rsidP="00F82B08">
            <w:pPr>
              <w:ind w:right="72"/>
            </w:pPr>
          </w:p>
          <w:p w14:paraId="2F621BFB" w14:textId="61B21918" w:rsidR="00C50143" w:rsidRDefault="00C50143" w:rsidP="00F82B08">
            <w:pPr>
              <w:ind w:right="72"/>
              <w:rPr>
                <w:b/>
                <w:i/>
              </w:rPr>
            </w:pPr>
            <w:r w:rsidRPr="008C3A55">
              <w:rPr>
                <w:b/>
                <w:i/>
              </w:rPr>
              <w:t xml:space="preserve">Status/Timeline: </w:t>
            </w:r>
            <w:r w:rsidR="00C42FE1" w:rsidRPr="00FF0C14">
              <w:rPr>
                <w:bCs/>
                <w:i/>
              </w:rPr>
              <w:t>Ongoing; the committee should</w:t>
            </w:r>
            <w:r w:rsidR="00C42FE1">
              <w:rPr>
                <w:bCs/>
                <w:i/>
              </w:rPr>
              <w:t xml:space="preserve"> work to develop a data analytics curriculum for court leaders and</w:t>
            </w:r>
            <w:r w:rsidR="00C42FE1" w:rsidRPr="00FF0C14">
              <w:rPr>
                <w:bCs/>
                <w:i/>
              </w:rPr>
              <w:t xml:space="preserve"> utilize statewide meetings of court leaders to present on topics of general interest and to determine areas of need.</w:t>
            </w:r>
            <w:r w:rsidR="00C42FE1">
              <w:rPr>
                <w:bCs/>
                <w:i/>
              </w:rPr>
              <w:t xml:space="preserve"> At the conclusion of this year, the committee will prepare a report summarizing activities in this area.</w:t>
            </w:r>
          </w:p>
          <w:p w14:paraId="252F61AC" w14:textId="77777777" w:rsidR="00C42FE1" w:rsidRPr="00E94D20" w:rsidRDefault="00C42FE1" w:rsidP="00F82B08">
            <w:pPr>
              <w:ind w:right="72"/>
            </w:pPr>
          </w:p>
          <w:p w14:paraId="61D844C0" w14:textId="3A57E616" w:rsidR="00C50143" w:rsidRDefault="00C50143" w:rsidP="00F82B08">
            <w:pPr>
              <w:ind w:left="342" w:right="72" w:hanging="342"/>
              <w:rPr>
                <w:b/>
                <w:i/>
              </w:rPr>
            </w:pPr>
            <w:r w:rsidRPr="008C3A55">
              <w:rPr>
                <w:b/>
                <w:i/>
              </w:rPr>
              <w:t xml:space="preserve">Fiscal Impact/Resources: </w:t>
            </w:r>
            <w:r w:rsidR="00C42FE1" w:rsidRPr="00FF0C14">
              <w:rPr>
                <w:bCs/>
                <w:iCs/>
              </w:rPr>
              <w:t>TBD; this project will draw on existing resources in the Office of Court Research, including 0.10 FTE manager and .50 FTE senior analysts</w:t>
            </w:r>
          </w:p>
          <w:p w14:paraId="40D25670" w14:textId="77777777" w:rsidR="00C50143" w:rsidRDefault="00C50143" w:rsidP="00F82B08">
            <w:pPr>
              <w:ind w:left="342" w:right="72" w:hanging="342"/>
            </w:pPr>
          </w:p>
          <w:p w14:paraId="604AD49C" w14:textId="77777777" w:rsidR="00C50143" w:rsidRPr="00B11523" w:rsidRDefault="00AC3829" w:rsidP="00F82B08">
            <w:pPr>
              <w:ind w:left="342" w:right="72" w:hanging="342"/>
              <w:rPr>
                <w:i/>
                <w:sz w:val="22"/>
                <w:szCs w:val="22"/>
              </w:rPr>
            </w:pPr>
            <w:sdt>
              <w:sdtPr>
                <w:rPr>
                  <w:color w:val="C00000"/>
                  <w:sz w:val="28"/>
                  <w:szCs w:val="28"/>
                </w:rPr>
                <w:id w:val="781924133"/>
                <w14:checkbox>
                  <w14:checked w14:val="0"/>
                  <w14:checkedState w14:val="2612" w14:font="MS Gothic"/>
                  <w14:uncheckedState w14:val="2610" w14:font="MS Gothic"/>
                </w14:checkbox>
              </w:sdtPr>
              <w:sdtEndPr/>
              <w:sdtContent>
                <w:r w:rsidR="00C50143">
                  <w:rPr>
                    <w:rFonts w:ascii="MS Gothic" w:eastAsia="MS Gothic" w:hAnsi="MS Gothic" w:hint="eastAsia"/>
                    <w:color w:val="C00000"/>
                    <w:sz w:val="28"/>
                    <w:szCs w:val="28"/>
                  </w:rPr>
                  <w:t>☐</w:t>
                </w:r>
              </w:sdtContent>
            </w:sdt>
            <w:r w:rsidR="00C50143" w:rsidRPr="000953E0">
              <w:rPr>
                <w:b/>
                <w:i/>
                <w:color w:val="C00000"/>
                <w:sz w:val="22"/>
                <w:szCs w:val="22"/>
              </w:rPr>
              <w:t xml:space="preserve"> </w:t>
            </w:r>
            <w:r w:rsidR="00C50143" w:rsidRPr="002B4F6A">
              <w:rPr>
                <w:i/>
                <w:sz w:val="22"/>
                <w:szCs w:val="22"/>
              </w:rPr>
              <w:t>This project may result in an allocation or distribution of funds to the courts. We will coordinate with Budget Services to ensure their review of relevant materials.</w:t>
            </w:r>
          </w:p>
          <w:p w14:paraId="31CB6147" w14:textId="77777777" w:rsidR="00C50143" w:rsidRPr="00E94D20" w:rsidRDefault="00C50143" w:rsidP="00F82B08">
            <w:pPr>
              <w:ind w:right="72"/>
              <w:rPr>
                <w:i/>
              </w:rPr>
            </w:pPr>
          </w:p>
          <w:p w14:paraId="625FBD41" w14:textId="77777777" w:rsidR="00C50143" w:rsidRDefault="00C50143" w:rsidP="00F82B08">
            <w:pPr>
              <w:ind w:right="72"/>
              <w:rPr>
                <w:iCs/>
              </w:rPr>
            </w:pPr>
            <w:r w:rsidRPr="008C3A55">
              <w:rPr>
                <w:b/>
                <w:i/>
              </w:rPr>
              <w:t>Internal/External Stakeholders:</w:t>
            </w:r>
            <w:r w:rsidRPr="008C3A55">
              <w:rPr>
                <w:i/>
              </w:rPr>
              <w:t xml:space="preserve"> </w:t>
            </w:r>
            <w:r>
              <w:rPr>
                <w:iCs/>
              </w:rPr>
              <w:t>Trial and appellate courts</w:t>
            </w:r>
          </w:p>
          <w:p w14:paraId="0DEC4600" w14:textId="77777777" w:rsidR="00C50143" w:rsidRPr="00E94D20" w:rsidRDefault="00C50143" w:rsidP="00F82B08">
            <w:pPr>
              <w:ind w:right="72"/>
            </w:pPr>
          </w:p>
          <w:p w14:paraId="3C462A3E" w14:textId="255A84D7" w:rsidR="00C50143" w:rsidRPr="00A9788A" w:rsidRDefault="00C50143" w:rsidP="00F82B08">
            <w:pPr>
              <w:spacing w:after="60"/>
              <w:rPr>
                <w:i/>
              </w:rPr>
            </w:pPr>
            <w:r w:rsidRPr="008C3A55">
              <w:rPr>
                <w:b/>
                <w:i/>
              </w:rPr>
              <w:t xml:space="preserve">AC Collaboration: </w:t>
            </w:r>
            <w:r>
              <w:rPr>
                <w:iCs/>
              </w:rPr>
              <w:t>CJER, CEAC, TCPJAC</w:t>
            </w:r>
          </w:p>
        </w:tc>
      </w:tr>
    </w:tbl>
    <w:p w14:paraId="16468276" w14:textId="77777777" w:rsidR="00F243D9" w:rsidRPr="006B7D96" w:rsidRDefault="00F243D9">
      <w:pPr>
        <w:rPr>
          <w:sz w:val="16"/>
          <w:szCs w:val="16"/>
        </w:rPr>
      </w:pPr>
    </w:p>
    <w:tbl>
      <w:tblPr>
        <w:tblW w:w="1413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45"/>
        <w:gridCol w:w="10874"/>
        <w:gridCol w:w="2811"/>
      </w:tblGrid>
      <w:tr w:rsidR="008A0ED2" w:rsidRPr="00CA5D0E" w14:paraId="16B5C4CB" w14:textId="77777777" w:rsidTr="00F243D9">
        <w:trPr>
          <w:trHeight w:val="278"/>
          <w:tblHeader/>
        </w:trPr>
        <w:tc>
          <w:tcPr>
            <w:tcW w:w="4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72" w:type="dxa"/>
              <w:left w:w="115" w:type="dxa"/>
              <w:bottom w:w="72" w:type="dxa"/>
              <w:right w:w="115" w:type="dxa"/>
            </w:tcMar>
          </w:tcPr>
          <w:p w14:paraId="460A02EF" w14:textId="706B23A7" w:rsidR="008A0ED2" w:rsidRPr="005E0236" w:rsidRDefault="008A0ED2" w:rsidP="008A0ED2">
            <w:pPr>
              <w:ind w:left="-174" w:right="-198"/>
              <w:jc w:val="center"/>
              <w:rPr>
                <w:rFonts w:ascii="Arial" w:hAnsi="Arial" w:cs="Arial"/>
                <w:b/>
                <w:bCs/>
                <w:sz w:val="26"/>
                <w:szCs w:val="26"/>
              </w:rPr>
            </w:pPr>
          </w:p>
        </w:tc>
        <w:tc>
          <w:tcPr>
            <w:tcW w:w="1368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1F741A" w14:textId="1585C5EF" w:rsidR="008A0ED2" w:rsidRPr="008A0ED2" w:rsidRDefault="008A0ED2" w:rsidP="0024120C">
            <w:pPr>
              <w:ind w:right="72"/>
              <w:rPr>
                <w:b/>
                <w:i/>
              </w:rPr>
            </w:pPr>
            <w:r w:rsidRPr="005E0236">
              <w:rPr>
                <w:rFonts w:ascii="Arial" w:hAnsi="Arial" w:cs="Arial"/>
                <w:b/>
                <w:bCs/>
                <w:sz w:val="26"/>
                <w:szCs w:val="26"/>
              </w:rPr>
              <w:t>Ongoing Projects</w:t>
            </w:r>
            <w:r w:rsidR="000F7D4D" w:rsidRPr="005E0236">
              <w:rPr>
                <w:rFonts w:ascii="Arial" w:hAnsi="Arial" w:cs="Arial"/>
                <w:b/>
                <w:bCs/>
                <w:sz w:val="26"/>
                <w:szCs w:val="26"/>
              </w:rPr>
              <w:t xml:space="preserve"> and Activities</w:t>
            </w:r>
            <w:r w:rsidR="00053AA8" w:rsidRPr="00053AA8">
              <w:rPr>
                <w:rFonts w:ascii="Arial" w:hAnsi="Arial" w:cs="Arial"/>
                <w:b/>
                <w:bCs/>
                <w:sz w:val="26"/>
                <w:szCs w:val="26"/>
              </w:rPr>
              <w:fldChar w:fldCharType="begin"/>
            </w:r>
            <w:r w:rsidR="00053AA8" w:rsidRPr="00053AA8">
              <w:rPr>
                <w:rFonts w:ascii="Arial" w:hAnsi="Arial" w:cs="Arial"/>
                <w:b/>
                <w:bCs/>
                <w:sz w:val="26"/>
                <w:szCs w:val="26"/>
              </w:rPr>
              <w:instrText xml:space="preserve"> NOTEREF _Ref21013950 \f \h  \* MERGEFORMAT </w:instrText>
            </w:r>
            <w:r w:rsidR="00053AA8" w:rsidRPr="00053AA8">
              <w:rPr>
                <w:rFonts w:ascii="Arial" w:hAnsi="Arial" w:cs="Arial"/>
                <w:b/>
                <w:bCs/>
                <w:sz w:val="26"/>
                <w:szCs w:val="26"/>
              </w:rPr>
            </w:r>
            <w:r w:rsidR="00053AA8" w:rsidRPr="00053AA8">
              <w:rPr>
                <w:rFonts w:ascii="Arial" w:hAnsi="Arial" w:cs="Arial"/>
                <w:b/>
                <w:bCs/>
                <w:sz w:val="26"/>
                <w:szCs w:val="26"/>
              </w:rPr>
              <w:fldChar w:fldCharType="separate"/>
            </w:r>
            <w:r w:rsidR="00FF1A2C" w:rsidRPr="00FF1A2C">
              <w:rPr>
                <w:rStyle w:val="FootnoteReference"/>
                <w:b/>
              </w:rPr>
              <w:t>4</w:t>
            </w:r>
            <w:r w:rsidR="00053AA8" w:rsidRPr="00053AA8">
              <w:rPr>
                <w:rFonts w:ascii="Arial" w:hAnsi="Arial" w:cs="Arial"/>
                <w:b/>
                <w:bCs/>
                <w:sz w:val="26"/>
                <w:szCs w:val="26"/>
              </w:rPr>
              <w:fldChar w:fldCharType="end"/>
            </w:r>
            <w:r w:rsidRPr="008A0ED2">
              <w:rPr>
                <w:b/>
                <w:i/>
              </w:rPr>
              <w:t xml:space="preserve"> </w:t>
            </w:r>
            <w:r w:rsidRPr="00730990">
              <w:rPr>
                <w:rFonts w:ascii="Arial" w:hAnsi="Arial" w:cs="Arial"/>
                <w:bCs/>
                <w:i/>
              </w:rPr>
              <w:t>[</w:t>
            </w:r>
            <w:r w:rsidR="00D44747" w:rsidRPr="00730990">
              <w:rPr>
                <w:rFonts w:ascii="Arial" w:hAnsi="Arial" w:cs="Arial"/>
                <w:i/>
              </w:rPr>
              <w:t>Group projects by priority number</w:t>
            </w:r>
            <w:r w:rsidRPr="00730990">
              <w:rPr>
                <w:rFonts w:ascii="Arial" w:hAnsi="Arial" w:cs="Arial"/>
                <w:bCs/>
                <w:i/>
              </w:rPr>
              <w:t>.]</w:t>
            </w:r>
          </w:p>
        </w:tc>
      </w:tr>
      <w:tr w:rsidR="00F243D9" w:rsidRPr="008C3A55" w14:paraId="631E2A87" w14:textId="77777777" w:rsidTr="00252D6B">
        <w:trPr>
          <w:trHeight w:val="288"/>
        </w:trPr>
        <w:tc>
          <w:tcPr>
            <w:tcW w:w="445" w:type="dxa"/>
            <w:vMerge w:val="restart"/>
            <w:tcMar>
              <w:top w:w="72" w:type="dxa"/>
              <w:left w:w="115" w:type="dxa"/>
              <w:bottom w:w="72" w:type="dxa"/>
              <w:right w:w="115" w:type="dxa"/>
            </w:tcMar>
          </w:tcPr>
          <w:p w14:paraId="3312FEB0" w14:textId="0DB31155" w:rsidR="00F243D9" w:rsidRPr="008C3A55" w:rsidRDefault="00FF0C14" w:rsidP="00FF0C14">
            <w:pPr>
              <w:tabs>
                <w:tab w:val="left" w:pos="156"/>
              </w:tabs>
              <w:jc w:val="both"/>
            </w:pPr>
            <w:r>
              <w:t>1</w:t>
            </w:r>
            <w:r w:rsidR="00A9788A">
              <w:t>.</w:t>
            </w:r>
          </w:p>
        </w:tc>
        <w:tc>
          <w:tcPr>
            <w:tcW w:w="10874" w:type="dxa"/>
            <w:vMerge w:val="restart"/>
          </w:tcPr>
          <w:p w14:paraId="7AC182EC" w14:textId="25E0C2AB" w:rsidR="00F243D9" w:rsidRPr="008C3A55" w:rsidRDefault="00452C32" w:rsidP="00252D6B">
            <w:pPr>
              <w:ind w:right="72"/>
              <w:rPr>
                <w:b/>
                <w:i/>
              </w:rPr>
            </w:pPr>
            <w:r w:rsidRPr="00452C32">
              <w:rPr>
                <w:b/>
                <w:bCs/>
                <w:i/>
                <w:iCs/>
              </w:rPr>
              <w:t>Project Title</w:t>
            </w:r>
            <w:r>
              <w:rPr>
                <w:b/>
              </w:rPr>
              <w:t xml:space="preserve">: </w:t>
            </w:r>
            <w:r w:rsidR="00F243D9" w:rsidRPr="00452C32">
              <w:rPr>
                <w:bCs/>
              </w:rPr>
              <w:t>Report</w:t>
            </w:r>
            <w:r w:rsidR="00F243D9" w:rsidRPr="00452C32">
              <w:rPr>
                <w:bCs/>
                <w:spacing w:val="-3"/>
              </w:rPr>
              <w:t xml:space="preserve"> </w:t>
            </w:r>
            <w:r w:rsidR="00F243D9" w:rsidRPr="00452C32">
              <w:rPr>
                <w:bCs/>
              </w:rPr>
              <w:t>on</w:t>
            </w:r>
            <w:r w:rsidR="00F243D9" w:rsidRPr="00452C32">
              <w:rPr>
                <w:bCs/>
                <w:spacing w:val="1"/>
              </w:rPr>
              <w:t xml:space="preserve"> </w:t>
            </w:r>
            <w:r w:rsidR="00F243D9" w:rsidRPr="00452C32">
              <w:rPr>
                <w:bCs/>
              </w:rPr>
              <w:t>Standards</w:t>
            </w:r>
            <w:r w:rsidR="00F243D9" w:rsidRPr="00452C32">
              <w:rPr>
                <w:bCs/>
                <w:spacing w:val="-1"/>
              </w:rPr>
              <w:t xml:space="preserve"> </w:t>
            </w:r>
            <w:r w:rsidR="00F243D9" w:rsidRPr="00452C32">
              <w:rPr>
                <w:bCs/>
              </w:rPr>
              <w:t>and</w:t>
            </w:r>
            <w:r w:rsidR="00F243D9" w:rsidRPr="00452C32">
              <w:rPr>
                <w:bCs/>
                <w:spacing w:val="-2"/>
              </w:rPr>
              <w:t xml:space="preserve"> </w:t>
            </w:r>
            <w:r w:rsidR="00F243D9" w:rsidRPr="00452C32">
              <w:rPr>
                <w:bCs/>
              </w:rPr>
              <w:t>Measures</w:t>
            </w:r>
            <w:r w:rsidR="00F243D9" w:rsidRPr="00452C32">
              <w:rPr>
                <w:bCs/>
                <w:spacing w:val="-1"/>
              </w:rPr>
              <w:t xml:space="preserve"> </w:t>
            </w:r>
            <w:r w:rsidR="00F243D9" w:rsidRPr="00452C32">
              <w:rPr>
                <w:bCs/>
              </w:rPr>
              <w:t>(Gov.</w:t>
            </w:r>
            <w:r w:rsidR="00F243D9" w:rsidRPr="00452C32">
              <w:rPr>
                <w:bCs/>
                <w:spacing w:val="-2"/>
              </w:rPr>
              <w:t xml:space="preserve"> </w:t>
            </w:r>
            <w:r w:rsidR="00F243D9" w:rsidRPr="00452C32">
              <w:rPr>
                <w:bCs/>
              </w:rPr>
              <w:t>Code</w:t>
            </w:r>
            <w:r w:rsidR="00F243D9" w:rsidRPr="00452C32">
              <w:rPr>
                <w:bCs/>
                <w:spacing w:val="-2"/>
              </w:rPr>
              <w:t xml:space="preserve"> </w:t>
            </w:r>
            <w:r w:rsidR="00F243D9" w:rsidRPr="00452C32">
              <w:rPr>
                <w:bCs/>
              </w:rPr>
              <w:t>§</w:t>
            </w:r>
            <w:r w:rsidR="00F243D9" w:rsidRPr="00452C32">
              <w:rPr>
                <w:bCs/>
                <w:spacing w:val="-1"/>
              </w:rPr>
              <w:t xml:space="preserve"> </w:t>
            </w:r>
            <w:r w:rsidR="00F243D9" w:rsidRPr="00452C32">
              <w:rPr>
                <w:bCs/>
              </w:rPr>
              <w:t>77001.5)</w:t>
            </w:r>
          </w:p>
        </w:tc>
        <w:tc>
          <w:tcPr>
            <w:tcW w:w="2811" w:type="dxa"/>
          </w:tcPr>
          <w:p w14:paraId="6CC88188" w14:textId="77777777" w:rsidR="00F243D9" w:rsidRPr="008C3A55" w:rsidRDefault="00F243D9" w:rsidP="00252D6B">
            <w:pPr>
              <w:ind w:right="72"/>
              <w:rPr>
                <w:b/>
              </w:rPr>
            </w:pPr>
            <w:r w:rsidRPr="008C3A55">
              <w:rPr>
                <w:b/>
                <w:i/>
              </w:rPr>
              <w:t>Priority</w:t>
            </w:r>
            <w:r w:rsidRPr="000953E0">
              <w:rPr>
                <w:b/>
                <w:i/>
              </w:rPr>
              <w:fldChar w:fldCharType="begin"/>
            </w:r>
            <w:r w:rsidRPr="000953E0">
              <w:rPr>
                <w:b/>
                <w:i/>
              </w:rPr>
              <w:instrText xml:space="preserve"> NOTEREF _Ref21002321 \f \h  \* MERGEFORMAT </w:instrText>
            </w:r>
            <w:r w:rsidRPr="000953E0">
              <w:rPr>
                <w:b/>
                <w:i/>
              </w:rPr>
            </w:r>
            <w:r w:rsidRPr="000953E0">
              <w:rPr>
                <w:b/>
                <w:i/>
              </w:rPr>
              <w:fldChar w:fldCharType="separate"/>
            </w:r>
            <w:r w:rsidRPr="00FF1A2C">
              <w:rPr>
                <w:rStyle w:val="FootnoteReference"/>
                <w:i/>
              </w:rPr>
              <w:t>5</w:t>
            </w:r>
            <w:r w:rsidRPr="000953E0">
              <w:rPr>
                <w:b/>
                <w:i/>
              </w:rPr>
              <w:fldChar w:fldCharType="end"/>
            </w:r>
            <w:r>
              <w:rPr>
                <w:b/>
                <w:i/>
              </w:rPr>
              <w:t>I</w:t>
            </w:r>
          </w:p>
        </w:tc>
      </w:tr>
      <w:tr w:rsidR="00F243D9" w:rsidRPr="008C3A55" w14:paraId="0BA1095F" w14:textId="77777777" w:rsidTr="00252D6B">
        <w:trPr>
          <w:trHeight w:val="288"/>
        </w:trPr>
        <w:tc>
          <w:tcPr>
            <w:tcW w:w="445" w:type="dxa"/>
            <w:vMerge/>
            <w:tcMar>
              <w:top w:w="72" w:type="dxa"/>
              <w:left w:w="115" w:type="dxa"/>
              <w:bottom w:w="72" w:type="dxa"/>
              <w:right w:w="115" w:type="dxa"/>
            </w:tcMar>
          </w:tcPr>
          <w:p w14:paraId="17525B15" w14:textId="77777777" w:rsidR="00F243D9" w:rsidRPr="008C3A55" w:rsidRDefault="00F243D9" w:rsidP="00F243D9">
            <w:pPr>
              <w:pStyle w:val="ListParagraph"/>
              <w:numPr>
                <w:ilvl w:val="0"/>
                <w:numId w:val="13"/>
              </w:numPr>
              <w:tabs>
                <w:tab w:val="left" w:pos="156"/>
              </w:tabs>
              <w:ind w:right="72"/>
              <w:jc w:val="both"/>
            </w:pPr>
          </w:p>
        </w:tc>
        <w:tc>
          <w:tcPr>
            <w:tcW w:w="10874" w:type="dxa"/>
            <w:vMerge/>
          </w:tcPr>
          <w:p w14:paraId="4D7CE688" w14:textId="77777777" w:rsidR="00F243D9" w:rsidRPr="008C3A55" w:rsidRDefault="00F243D9" w:rsidP="00252D6B">
            <w:pPr>
              <w:ind w:right="72"/>
              <w:rPr>
                <w:b/>
                <w:i/>
              </w:rPr>
            </w:pPr>
          </w:p>
        </w:tc>
        <w:tc>
          <w:tcPr>
            <w:tcW w:w="2811" w:type="dxa"/>
          </w:tcPr>
          <w:p w14:paraId="4BA4C832" w14:textId="77777777" w:rsidR="00F243D9" w:rsidRPr="008C3A55" w:rsidRDefault="00F243D9" w:rsidP="00252D6B">
            <w:pPr>
              <w:ind w:right="72"/>
              <w:rPr>
                <w:b/>
                <w:i/>
              </w:rPr>
            </w:pPr>
            <w:r>
              <w:rPr>
                <w:b/>
                <w:bCs/>
                <w:i/>
              </w:rPr>
              <w:t>Strategic Plan Goal</w:t>
            </w:r>
            <w:r w:rsidRPr="000953E0">
              <w:rPr>
                <w:b/>
                <w:bCs/>
                <w:i/>
              </w:rPr>
              <w:fldChar w:fldCharType="begin"/>
            </w:r>
            <w:r w:rsidRPr="000953E0">
              <w:rPr>
                <w:b/>
                <w:bCs/>
                <w:i/>
              </w:rPr>
              <w:instrText xml:space="preserve"> NOTEREF _Ref21002353 \f \h  \* MERGEFORMAT </w:instrText>
            </w:r>
            <w:r w:rsidRPr="000953E0">
              <w:rPr>
                <w:b/>
                <w:bCs/>
                <w:i/>
              </w:rPr>
            </w:r>
            <w:r w:rsidRPr="000953E0">
              <w:rPr>
                <w:b/>
                <w:bCs/>
                <w:i/>
              </w:rPr>
              <w:fldChar w:fldCharType="separate"/>
            </w:r>
            <w:r w:rsidRPr="00FF1A2C">
              <w:rPr>
                <w:rStyle w:val="FootnoteReference"/>
                <w:i/>
              </w:rPr>
              <w:t>6</w:t>
            </w:r>
            <w:r w:rsidRPr="000953E0">
              <w:rPr>
                <w:b/>
                <w:bCs/>
                <w:i/>
              </w:rPr>
              <w:fldChar w:fldCharType="end"/>
            </w:r>
            <w:r>
              <w:rPr>
                <w:b/>
                <w:bCs/>
                <w:i/>
              </w:rPr>
              <w:t xml:space="preserve"> II</w:t>
            </w:r>
          </w:p>
        </w:tc>
      </w:tr>
      <w:tr w:rsidR="00F243D9" w:rsidRPr="00AE48F2" w14:paraId="683B11B4" w14:textId="77777777" w:rsidTr="00252D6B">
        <w:trPr>
          <w:trHeight w:val="1151"/>
        </w:trPr>
        <w:tc>
          <w:tcPr>
            <w:tcW w:w="445" w:type="dxa"/>
            <w:vMerge/>
            <w:tcMar>
              <w:top w:w="72" w:type="dxa"/>
              <w:left w:w="115" w:type="dxa"/>
              <w:bottom w:w="72" w:type="dxa"/>
              <w:right w:w="115" w:type="dxa"/>
            </w:tcMar>
          </w:tcPr>
          <w:p w14:paraId="3BF147DF" w14:textId="77777777" w:rsidR="00F243D9" w:rsidRPr="008C3A55" w:rsidRDefault="00F243D9" w:rsidP="00F243D9">
            <w:pPr>
              <w:pStyle w:val="ListParagraph"/>
              <w:numPr>
                <w:ilvl w:val="0"/>
                <w:numId w:val="13"/>
              </w:numPr>
              <w:ind w:right="72"/>
              <w:jc w:val="center"/>
            </w:pPr>
          </w:p>
        </w:tc>
        <w:tc>
          <w:tcPr>
            <w:tcW w:w="13685" w:type="dxa"/>
            <w:gridSpan w:val="2"/>
          </w:tcPr>
          <w:p w14:paraId="325EFEFE" w14:textId="06A3C649" w:rsidR="00F243D9" w:rsidRPr="008C3A55" w:rsidRDefault="00F243D9" w:rsidP="00252D6B">
            <w:pPr>
              <w:ind w:right="72"/>
            </w:pPr>
            <w:r w:rsidRPr="008C3A55">
              <w:rPr>
                <w:b/>
                <w:i/>
              </w:rPr>
              <w:t>Project Summary</w:t>
            </w:r>
            <w:r>
              <w:rPr>
                <w:b/>
                <w:i/>
              </w:rPr>
              <w:fldChar w:fldCharType="begin"/>
            </w:r>
            <w:r>
              <w:rPr>
                <w:b/>
                <w:i/>
              </w:rPr>
              <w:instrText xml:space="preserve"> NOTEREF _Ref21002828 \f \h </w:instrText>
            </w:r>
            <w:r>
              <w:rPr>
                <w:b/>
                <w:i/>
              </w:rPr>
            </w:r>
            <w:r>
              <w:rPr>
                <w:b/>
                <w:i/>
              </w:rPr>
              <w:fldChar w:fldCharType="separate"/>
            </w:r>
            <w:r w:rsidRPr="00FF1A2C">
              <w:rPr>
                <w:rStyle w:val="FootnoteReference"/>
              </w:rPr>
              <w:t>7</w:t>
            </w:r>
            <w:r>
              <w:rPr>
                <w:b/>
                <w:i/>
              </w:rPr>
              <w:fldChar w:fldCharType="end"/>
            </w:r>
            <w:r w:rsidRPr="008C3A55">
              <w:rPr>
                <w:b/>
                <w:i/>
              </w:rPr>
              <w:t xml:space="preserve">: </w:t>
            </w:r>
            <w:r>
              <w:t>Government Code section 77001.5 requires the Judicial Council to report to the Legislature annually on judicial</w:t>
            </w:r>
            <w:r>
              <w:rPr>
                <w:spacing w:val="1"/>
              </w:rPr>
              <w:t xml:space="preserve"> </w:t>
            </w:r>
            <w:r>
              <w:t>administration</w:t>
            </w:r>
            <w:r>
              <w:rPr>
                <w:spacing w:val="-2"/>
              </w:rPr>
              <w:t xml:space="preserve"> </w:t>
            </w:r>
            <w:r>
              <w:t>standards</w:t>
            </w:r>
            <w:r>
              <w:rPr>
                <w:spacing w:val="-1"/>
              </w:rPr>
              <w:t xml:space="preserve"> </w:t>
            </w:r>
            <w:r>
              <w:t>and</w:t>
            </w:r>
            <w:r>
              <w:rPr>
                <w:spacing w:val="-2"/>
              </w:rPr>
              <w:t xml:space="preserve"> </w:t>
            </w:r>
            <w:r>
              <w:t>measures</w:t>
            </w:r>
            <w:r w:rsidR="00452C32">
              <w:t xml:space="preserve">. </w:t>
            </w:r>
            <w:r w:rsidR="00A9788A">
              <w:t>This reporting requirement carries over from the Workload Assessment Advisory Committee.</w:t>
            </w:r>
          </w:p>
          <w:p w14:paraId="01692CF8" w14:textId="77777777" w:rsidR="00F243D9" w:rsidRPr="00E94D20" w:rsidRDefault="00F243D9" w:rsidP="00252D6B">
            <w:pPr>
              <w:ind w:right="72"/>
            </w:pPr>
          </w:p>
          <w:p w14:paraId="3AEEDFA4" w14:textId="77777777" w:rsidR="00F243D9" w:rsidRPr="008C3A55" w:rsidRDefault="00F243D9" w:rsidP="00252D6B">
            <w:pPr>
              <w:ind w:right="72"/>
              <w:rPr>
                <w:b/>
                <w:i/>
                <w:sz w:val="20"/>
                <w:szCs w:val="20"/>
              </w:rPr>
            </w:pPr>
            <w:r w:rsidRPr="008C3A55">
              <w:rPr>
                <w:b/>
                <w:i/>
              </w:rPr>
              <w:t xml:space="preserve">Status/Timeline: </w:t>
            </w:r>
            <w:r>
              <w:t>The report will</w:t>
            </w:r>
            <w:r>
              <w:rPr>
                <w:spacing w:val="-1"/>
              </w:rPr>
              <w:t xml:space="preserve"> </w:t>
            </w:r>
            <w:r>
              <w:t>be</w:t>
            </w:r>
            <w:r>
              <w:rPr>
                <w:spacing w:val="-3"/>
              </w:rPr>
              <w:t xml:space="preserve"> </w:t>
            </w:r>
            <w:r>
              <w:t>completed</w:t>
            </w:r>
            <w:r>
              <w:rPr>
                <w:spacing w:val="-1"/>
              </w:rPr>
              <w:t xml:space="preserve"> </w:t>
            </w:r>
            <w:r>
              <w:t>November</w:t>
            </w:r>
            <w:r>
              <w:rPr>
                <w:spacing w:val="-2"/>
              </w:rPr>
              <w:t xml:space="preserve"> </w:t>
            </w:r>
            <w:r>
              <w:t>1,</w:t>
            </w:r>
            <w:r>
              <w:rPr>
                <w:spacing w:val="1"/>
              </w:rPr>
              <w:t xml:space="preserve"> </w:t>
            </w:r>
            <w:r>
              <w:t>2023.</w:t>
            </w:r>
          </w:p>
          <w:p w14:paraId="79065D3C" w14:textId="77777777" w:rsidR="00F243D9" w:rsidRPr="00E94D20" w:rsidRDefault="00F243D9" w:rsidP="00252D6B">
            <w:pPr>
              <w:ind w:right="72"/>
            </w:pPr>
          </w:p>
          <w:p w14:paraId="0433B71E" w14:textId="77777777" w:rsidR="00F243D9" w:rsidRDefault="00F243D9" w:rsidP="00252D6B">
            <w:pPr>
              <w:ind w:left="342" w:right="72" w:hanging="342"/>
            </w:pPr>
            <w:r w:rsidRPr="008C3A55">
              <w:rPr>
                <w:b/>
                <w:i/>
              </w:rPr>
              <w:lastRenderedPageBreak/>
              <w:t xml:space="preserve">Fiscal Impact/Resources: </w:t>
            </w:r>
            <w:r>
              <w:t>Completion</w:t>
            </w:r>
            <w:r>
              <w:rPr>
                <w:spacing w:val="-2"/>
              </w:rPr>
              <w:t xml:space="preserve"> </w:t>
            </w:r>
            <w:r>
              <w:t>of</w:t>
            </w:r>
            <w:r>
              <w:rPr>
                <w:spacing w:val="-2"/>
              </w:rPr>
              <w:t xml:space="preserve"> </w:t>
            </w:r>
            <w:r>
              <w:t>this</w:t>
            </w:r>
            <w:r>
              <w:rPr>
                <w:spacing w:val="-2"/>
              </w:rPr>
              <w:t xml:space="preserve"> </w:t>
            </w:r>
            <w:r>
              <w:t>project</w:t>
            </w:r>
            <w:r>
              <w:rPr>
                <w:spacing w:val="-1"/>
              </w:rPr>
              <w:t xml:space="preserve"> </w:t>
            </w:r>
            <w:r>
              <w:t>will</w:t>
            </w:r>
            <w:r>
              <w:rPr>
                <w:spacing w:val="-2"/>
              </w:rPr>
              <w:t xml:space="preserve"> </w:t>
            </w:r>
            <w:r>
              <w:t>be</w:t>
            </w:r>
            <w:r>
              <w:rPr>
                <w:spacing w:val="-2"/>
              </w:rPr>
              <w:t xml:space="preserve"> </w:t>
            </w:r>
            <w:r>
              <w:t>accomplished</w:t>
            </w:r>
            <w:r>
              <w:rPr>
                <w:spacing w:val="-3"/>
              </w:rPr>
              <w:t xml:space="preserve"> </w:t>
            </w:r>
            <w:r>
              <w:t>with</w:t>
            </w:r>
            <w:r>
              <w:rPr>
                <w:spacing w:val="-1"/>
              </w:rPr>
              <w:t xml:space="preserve"> </w:t>
            </w:r>
            <w:r>
              <w:t>.25</w:t>
            </w:r>
            <w:r>
              <w:rPr>
                <w:spacing w:val="-1"/>
              </w:rPr>
              <w:t xml:space="preserve"> </w:t>
            </w:r>
            <w:r>
              <w:t>FTE</w:t>
            </w:r>
            <w:r>
              <w:rPr>
                <w:spacing w:val="-3"/>
              </w:rPr>
              <w:t xml:space="preserve"> </w:t>
            </w:r>
            <w:r>
              <w:t>Senior</w:t>
            </w:r>
            <w:r>
              <w:rPr>
                <w:spacing w:val="-2"/>
              </w:rPr>
              <w:t xml:space="preserve"> </w:t>
            </w:r>
            <w:r>
              <w:t>Analyst/Analyst</w:t>
            </w:r>
            <w:r>
              <w:rPr>
                <w:spacing w:val="-2"/>
              </w:rPr>
              <w:t xml:space="preserve"> </w:t>
            </w:r>
            <w:r>
              <w:t>for</w:t>
            </w:r>
            <w:r>
              <w:rPr>
                <w:spacing w:val="-2"/>
              </w:rPr>
              <w:t xml:space="preserve"> </w:t>
            </w:r>
            <w:r>
              <w:t>a</w:t>
            </w:r>
            <w:r>
              <w:rPr>
                <w:spacing w:val="-3"/>
              </w:rPr>
              <w:t xml:space="preserve"> </w:t>
            </w:r>
            <w:r>
              <w:t>period</w:t>
            </w:r>
            <w:r>
              <w:rPr>
                <w:spacing w:val="1"/>
              </w:rPr>
              <w:t xml:space="preserve"> </w:t>
            </w:r>
            <w:r>
              <w:t>of</w:t>
            </w:r>
            <w:r>
              <w:rPr>
                <w:spacing w:val="-3"/>
              </w:rPr>
              <w:t xml:space="preserve"> </w:t>
            </w:r>
            <w:r>
              <w:t>three</w:t>
            </w:r>
            <w:r>
              <w:rPr>
                <w:spacing w:val="-57"/>
              </w:rPr>
              <w:t xml:space="preserve"> </w:t>
            </w:r>
            <w:r>
              <w:t>months.</w:t>
            </w:r>
          </w:p>
          <w:p w14:paraId="4F04B82A" w14:textId="77777777" w:rsidR="00F243D9" w:rsidRPr="00B11523" w:rsidRDefault="00AC3829" w:rsidP="00252D6B">
            <w:pPr>
              <w:ind w:left="342" w:right="72" w:hanging="342"/>
              <w:rPr>
                <w:i/>
                <w:sz w:val="22"/>
                <w:szCs w:val="22"/>
              </w:rPr>
            </w:pPr>
            <w:sdt>
              <w:sdtPr>
                <w:rPr>
                  <w:color w:val="C00000"/>
                  <w:sz w:val="28"/>
                  <w:szCs w:val="28"/>
                </w:rPr>
                <w:id w:val="-1443842168"/>
                <w14:checkbox>
                  <w14:checked w14:val="0"/>
                  <w14:checkedState w14:val="2612" w14:font="MS Gothic"/>
                  <w14:uncheckedState w14:val="2610" w14:font="MS Gothic"/>
                </w14:checkbox>
              </w:sdtPr>
              <w:sdtEndPr/>
              <w:sdtContent>
                <w:r w:rsidR="00F243D9">
                  <w:rPr>
                    <w:rFonts w:ascii="MS Gothic" w:eastAsia="MS Gothic" w:hAnsi="MS Gothic" w:hint="eastAsia"/>
                    <w:color w:val="C00000"/>
                    <w:sz w:val="28"/>
                    <w:szCs w:val="28"/>
                  </w:rPr>
                  <w:t>☐</w:t>
                </w:r>
              </w:sdtContent>
            </w:sdt>
            <w:r w:rsidR="00F243D9" w:rsidRPr="000953E0">
              <w:rPr>
                <w:b/>
                <w:i/>
                <w:color w:val="C00000"/>
                <w:sz w:val="22"/>
                <w:szCs w:val="22"/>
              </w:rPr>
              <w:t xml:space="preserve"> </w:t>
            </w:r>
            <w:r w:rsidR="00F243D9" w:rsidRPr="002B4F6A">
              <w:rPr>
                <w:i/>
                <w:sz w:val="22"/>
                <w:szCs w:val="22"/>
              </w:rPr>
              <w:t>This project may result in an allocation or distribution of funds to the courts. We will coordinate with Budget Services to ensure their review of relevant materials.</w:t>
            </w:r>
          </w:p>
          <w:p w14:paraId="0319FAEE" w14:textId="77777777" w:rsidR="00F243D9" w:rsidRPr="00E94D20" w:rsidRDefault="00F243D9" w:rsidP="00252D6B">
            <w:pPr>
              <w:ind w:right="72"/>
              <w:rPr>
                <w:i/>
              </w:rPr>
            </w:pPr>
          </w:p>
          <w:p w14:paraId="16BC1D82" w14:textId="77777777" w:rsidR="00F243D9" w:rsidRDefault="00F243D9" w:rsidP="00252D6B">
            <w:pPr>
              <w:ind w:right="72"/>
              <w:rPr>
                <w:iCs/>
              </w:rPr>
            </w:pPr>
            <w:r w:rsidRPr="008C3A55">
              <w:rPr>
                <w:b/>
                <w:i/>
              </w:rPr>
              <w:t>Internal/External Stakeholders:</w:t>
            </w:r>
            <w:r w:rsidRPr="008C3A55">
              <w:rPr>
                <w:i/>
              </w:rPr>
              <w:t xml:space="preserve"> </w:t>
            </w:r>
            <w:r>
              <w:rPr>
                <w:iCs/>
              </w:rPr>
              <w:t>Legislature</w:t>
            </w:r>
          </w:p>
          <w:p w14:paraId="49C4BBAD" w14:textId="77777777" w:rsidR="00F243D9" w:rsidRPr="00E94D20" w:rsidRDefault="00F243D9" w:rsidP="00252D6B">
            <w:pPr>
              <w:ind w:right="72"/>
            </w:pPr>
          </w:p>
          <w:p w14:paraId="1B60B637" w14:textId="77777777" w:rsidR="00F243D9" w:rsidRPr="00AE48F2" w:rsidRDefault="00F243D9" w:rsidP="00252D6B">
            <w:pPr>
              <w:ind w:right="72"/>
              <w:rPr>
                <w:i/>
                <w:sz w:val="20"/>
                <w:szCs w:val="20"/>
              </w:rPr>
            </w:pPr>
            <w:r w:rsidRPr="008C3A55">
              <w:rPr>
                <w:b/>
                <w:i/>
              </w:rPr>
              <w:t xml:space="preserve">AC Collaboration: </w:t>
            </w:r>
            <w:r w:rsidRPr="00647B5C">
              <w:rPr>
                <w:iCs/>
              </w:rPr>
              <w:t>TBD/As needed</w:t>
            </w:r>
          </w:p>
        </w:tc>
      </w:tr>
    </w:tbl>
    <w:p w14:paraId="45C395E3" w14:textId="6CB53052" w:rsidR="00772340" w:rsidRPr="008C3A55" w:rsidRDefault="00F243D9">
      <w:r w:rsidRPr="008C3A55">
        <w:lastRenderedPageBreak/>
        <w:t xml:space="preserve"> </w:t>
      </w:r>
      <w:r w:rsidR="00772340" w:rsidRPr="008C3A55">
        <w:br w:type="page"/>
      </w:r>
    </w:p>
    <w:p w14:paraId="7B5A11BC" w14:textId="77777777" w:rsidR="00C46ADB" w:rsidRPr="008C3A55" w:rsidRDefault="003B0740" w:rsidP="00BD56B3">
      <w:pPr>
        <w:pStyle w:val="ListParagraph"/>
        <w:numPr>
          <w:ilvl w:val="0"/>
          <w:numId w:val="10"/>
        </w:numPr>
        <w:ind w:left="360" w:hanging="480"/>
        <w:rPr>
          <w:rFonts w:ascii="Arial" w:hAnsi="Arial" w:cs="Arial"/>
          <w:b/>
          <w:sz w:val="28"/>
          <w:szCs w:val="28"/>
        </w:rPr>
      </w:pPr>
      <w:r w:rsidRPr="008C3A55">
        <w:rPr>
          <w:rFonts w:ascii="Arial" w:hAnsi="Arial" w:cs="Arial"/>
          <w:b/>
          <w:sz w:val="28"/>
          <w:szCs w:val="28"/>
        </w:rPr>
        <w:lastRenderedPageBreak/>
        <w:t xml:space="preserve">LIST </w:t>
      </w:r>
      <w:r w:rsidR="00D4004F" w:rsidRPr="008C3A55">
        <w:rPr>
          <w:rFonts w:ascii="Arial" w:hAnsi="Arial" w:cs="Arial"/>
          <w:b/>
          <w:sz w:val="28"/>
          <w:szCs w:val="28"/>
        </w:rPr>
        <w:t>OF [</w:t>
      </w:r>
      <w:r w:rsidR="00CA5D0E" w:rsidRPr="008C3A55">
        <w:rPr>
          <w:rFonts w:ascii="Arial" w:hAnsi="Arial" w:cs="Arial"/>
          <w:b/>
          <w:sz w:val="28"/>
          <w:szCs w:val="28"/>
        </w:rPr>
        <w:t xml:space="preserve">PREVIOUS </w:t>
      </w:r>
      <w:r w:rsidR="00D4004F" w:rsidRPr="008C3A55">
        <w:rPr>
          <w:rFonts w:ascii="Arial" w:hAnsi="Arial" w:cs="Arial"/>
          <w:b/>
          <w:sz w:val="28"/>
          <w:szCs w:val="28"/>
        </w:rPr>
        <w:t>YEAR] PROJECT ACCOMPLISHMENTS</w:t>
      </w:r>
    </w:p>
    <w:p w14:paraId="49674532" w14:textId="77777777" w:rsidR="00C46ADB" w:rsidRPr="008C3A55" w:rsidRDefault="00C46ADB" w:rsidP="00F17B24">
      <w:pPr>
        <w:ind w:left="600"/>
        <w:rPr>
          <w:i/>
        </w:rPr>
      </w:pPr>
      <w:r w:rsidRPr="008C3A55">
        <w:rPr>
          <w:i/>
        </w:rPr>
        <w:t>[</w:t>
      </w:r>
      <w:r w:rsidR="00F148F2" w:rsidRPr="008C3A55">
        <w:rPr>
          <w:i/>
        </w:rPr>
        <w:t>Provide</w:t>
      </w:r>
      <w:r w:rsidR="005419F3" w:rsidRPr="008C3A55">
        <w:rPr>
          <w:i/>
        </w:rPr>
        <w:t xml:space="preserve"> highlights and achievements </w:t>
      </w:r>
      <w:r w:rsidR="00B21D63" w:rsidRPr="008C3A55">
        <w:rPr>
          <w:i/>
        </w:rPr>
        <w:t>of</w:t>
      </w:r>
      <w:r w:rsidR="00F148F2" w:rsidRPr="008C3A55">
        <w:rPr>
          <w:i/>
        </w:rPr>
        <w:t xml:space="preserve"> </w:t>
      </w:r>
      <w:r w:rsidR="00BB6815" w:rsidRPr="008C3A55">
        <w:rPr>
          <w:i/>
        </w:rPr>
        <w:t xml:space="preserve">completed </w:t>
      </w:r>
      <w:r w:rsidRPr="008C3A55">
        <w:rPr>
          <w:i/>
        </w:rPr>
        <w:t xml:space="preserve">projects that were included in the </w:t>
      </w:r>
      <w:r w:rsidR="005419F3" w:rsidRPr="008C3A55">
        <w:rPr>
          <w:i/>
        </w:rPr>
        <w:t>[Previous Year]</w:t>
      </w:r>
      <w:r w:rsidR="00CA5D0E" w:rsidRPr="008C3A55">
        <w:rPr>
          <w:i/>
        </w:rPr>
        <w:t xml:space="preserve"> </w:t>
      </w:r>
      <w:r w:rsidRPr="008C3A55">
        <w:rPr>
          <w:i/>
        </w:rPr>
        <w:t>Annual Agenda.]</w:t>
      </w:r>
    </w:p>
    <w:p w14:paraId="19D65839" w14:textId="77777777" w:rsidR="00C46ADB" w:rsidRPr="008C3A55" w:rsidRDefault="00C46ADB" w:rsidP="00C46ADB">
      <w:pPr>
        <w:rPr>
          <w:rFonts w:ascii="Arial" w:hAnsi="Arial" w:cs="Arial"/>
          <w:sz w:val="20"/>
          <w:szCs w:val="20"/>
        </w:rPr>
      </w:pPr>
    </w:p>
    <w:tbl>
      <w:tblPr>
        <w:tblStyle w:val="TableGrid"/>
        <w:tblW w:w="13855" w:type="dxa"/>
        <w:jc w:val="center"/>
        <w:tblLayout w:type="fixed"/>
        <w:tblLook w:val="04A0" w:firstRow="1" w:lastRow="0" w:firstColumn="1" w:lastColumn="0" w:noHBand="0" w:noVBand="1"/>
      </w:tblPr>
      <w:tblGrid>
        <w:gridCol w:w="445"/>
        <w:gridCol w:w="13410"/>
      </w:tblGrid>
      <w:tr w:rsidR="00CA5D0E" w:rsidRPr="008C3A55" w14:paraId="0E72E334" w14:textId="77777777" w:rsidTr="00731B83">
        <w:trPr>
          <w:trHeight w:val="422"/>
          <w:tblHeader/>
          <w:jc w:val="center"/>
        </w:trPr>
        <w:tc>
          <w:tcPr>
            <w:tcW w:w="445" w:type="dxa"/>
            <w:shd w:val="clear" w:color="auto" w:fill="BFBFBF" w:themeFill="background1" w:themeFillShade="BF"/>
          </w:tcPr>
          <w:p w14:paraId="4F033A01" w14:textId="77777777" w:rsidR="00CA5D0E" w:rsidRPr="008C3A55" w:rsidRDefault="00CA5D0E" w:rsidP="00681A30">
            <w:pPr>
              <w:jc w:val="center"/>
              <w:rPr>
                <w:rFonts w:ascii="Arial" w:hAnsi="Arial" w:cs="Arial"/>
                <w:b/>
                <w:bCs/>
                <w:sz w:val="28"/>
                <w:szCs w:val="28"/>
              </w:rPr>
            </w:pPr>
            <w:r w:rsidRPr="008C3A55">
              <w:rPr>
                <w:rFonts w:ascii="Arial" w:hAnsi="Arial" w:cs="Arial"/>
                <w:b/>
                <w:bCs/>
                <w:sz w:val="28"/>
                <w:szCs w:val="28"/>
              </w:rPr>
              <w:t>#</w:t>
            </w:r>
          </w:p>
        </w:tc>
        <w:tc>
          <w:tcPr>
            <w:tcW w:w="13410" w:type="dxa"/>
            <w:shd w:val="clear" w:color="auto" w:fill="BFBFBF" w:themeFill="background1" w:themeFillShade="BF"/>
            <w:vAlign w:val="center"/>
          </w:tcPr>
          <w:p w14:paraId="49D51426" w14:textId="77777777" w:rsidR="00CA5D0E" w:rsidRPr="008C3A55" w:rsidRDefault="00CA5D0E" w:rsidP="00CA5D0E">
            <w:pPr>
              <w:rPr>
                <w:rFonts w:ascii="Arial" w:hAnsi="Arial" w:cs="Arial"/>
                <w:bCs/>
                <w:i/>
                <w:sz w:val="28"/>
                <w:szCs w:val="28"/>
              </w:rPr>
            </w:pPr>
            <w:r w:rsidRPr="008C3A55">
              <w:rPr>
                <w:rFonts w:ascii="Arial" w:hAnsi="Arial" w:cs="Arial"/>
                <w:b/>
                <w:bCs/>
                <w:sz w:val="28"/>
                <w:szCs w:val="28"/>
              </w:rPr>
              <w:t xml:space="preserve">Project Highlights and Achievements </w:t>
            </w:r>
            <w:r w:rsidRPr="008C3A55">
              <w:rPr>
                <w:rFonts w:ascii="Arial" w:hAnsi="Arial" w:cs="Arial"/>
                <w:bCs/>
                <w:i/>
              </w:rPr>
              <w:t>[Provide brief, broad outcome(s) and completed date.]</w:t>
            </w:r>
          </w:p>
        </w:tc>
      </w:tr>
      <w:tr w:rsidR="00CA5D0E" w:rsidRPr="008C3A55" w14:paraId="0E70F6C0" w14:textId="77777777" w:rsidTr="00731B83">
        <w:trPr>
          <w:trHeight w:val="444"/>
          <w:jc w:val="center"/>
        </w:trPr>
        <w:tc>
          <w:tcPr>
            <w:tcW w:w="445" w:type="dxa"/>
          </w:tcPr>
          <w:p w14:paraId="6882FCDB" w14:textId="77777777" w:rsidR="00CA5D0E" w:rsidRPr="008C3A55" w:rsidRDefault="00CA5D0E" w:rsidP="00DB636A">
            <w:pPr>
              <w:pStyle w:val="ListParagraph"/>
              <w:numPr>
                <w:ilvl w:val="0"/>
                <w:numId w:val="16"/>
              </w:numPr>
              <w:ind w:right="72"/>
              <w:jc w:val="both"/>
              <w:rPr>
                <w:b/>
                <w:bCs/>
              </w:rPr>
            </w:pPr>
          </w:p>
        </w:tc>
        <w:tc>
          <w:tcPr>
            <w:tcW w:w="13410" w:type="dxa"/>
            <w:vAlign w:val="bottom"/>
          </w:tcPr>
          <w:p w14:paraId="042B5BE4" w14:textId="1D9923EE" w:rsidR="00CA5D0E" w:rsidRPr="008C3A55" w:rsidRDefault="00026544" w:rsidP="00731B83">
            <w:pPr>
              <w:spacing w:line="280" w:lineRule="atLeast"/>
              <w:rPr>
                <w:bCs/>
              </w:rPr>
            </w:pPr>
            <w:r>
              <w:rPr>
                <w:bCs/>
              </w:rPr>
              <w:t>N/A</w:t>
            </w:r>
          </w:p>
        </w:tc>
      </w:tr>
      <w:tr w:rsidR="00CA5D0E" w:rsidRPr="008C3A55" w14:paraId="36A047AC" w14:textId="77777777" w:rsidTr="00731B83">
        <w:trPr>
          <w:trHeight w:val="444"/>
          <w:jc w:val="center"/>
        </w:trPr>
        <w:tc>
          <w:tcPr>
            <w:tcW w:w="445" w:type="dxa"/>
          </w:tcPr>
          <w:p w14:paraId="1EB6CAB7" w14:textId="77777777" w:rsidR="00CA5D0E" w:rsidRPr="008C3A55" w:rsidRDefault="00CA5D0E" w:rsidP="00841465">
            <w:pPr>
              <w:pStyle w:val="ListParagraph"/>
              <w:numPr>
                <w:ilvl w:val="0"/>
                <w:numId w:val="16"/>
              </w:numPr>
              <w:ind w:right="72"/>
              <w:jc w:val="both"/>
              <w:rPr>
                <w:b/>
                <w:bCs/>
              </w:rPr>
            </w:pPr>
          </w:p>
        </w:tc>
        <w:tc>
          <w:tcPr>
            <w:tcW w:w="13410" w:type="dxa"/>
            <w:vAlign w:val="bottom"/>
          </w:tcPr>
          <w:p w14:paraId="658B9356" w14:textId="77777777" w:rsidR="00CA5D0E" w:rsidRPr="008C3A55" w:rsidRDefault="00CA5D0E" w:rsidP="00731B83">
            <w:pPr>
              <w:spacing w:line="280" w:lineRule="atLeast"/>
              <w:rPr>
                <w:bCs/>
              </w:rPr>
            </w:pPr>
          </w:p>
        </w:tc>
      </w:tr>
      <w:tr w:rsidR="00CA5D0E" w:rsidRPr="008C3A55" w14:paraId="5B662853" w14:textId="77777777" w:rsidTr="00731B83">
        <w:trPr>
          <w:trHeight w:val="444"/>
          <w:jc w:val="center"/>
        </w:trPr>
        <w:tc>
          <w:tcPr>
            <w:tcW w:w="445" w:type="dxa"/>
          </w:tcPr>
          <w:p w14:paraId="3DEA6DDF" w14:textId="77777777" w:rsidR="00CA5D0E" w:rsidRPr="008C3A55" w:rsidRDefault="00CA5D0E" w:rsidP="00731B83">
            <w:pPr>
              <w:pStyle w:val="ListParagraph"/>
              <w:numPr>
                <w:ilvl w:val="0"/>
                <w:numId w:val="16"/>
              </w:numPr>
              <w:ind w:right="72"/>
              <w:jc w:val="both"/>
              <w:rPr>
                <w:b/>
                <w:bCs/>
              </w:rPr>
            </w:pPr>
          </w:p>
        </w:tc>
        <w:tc>
          <w:tcPr>
            <w:tcW w:w="13410" w:type="dxa"/>
            <w:vAlign w:val="bottom"/>
          </w:tcPr>
          <w:p w14:paraId="6585DC6D" w14:textId="77777777" w:rsidR="00CA5D0E" w:rsidRPr="008C3A55" w:rsidRDefault="00CA5D0E" w:rsidP="00731B83">
            <w:pPr>
              <w:spacing w:line="280" w:lineRule="atLeast"/>
              <w:rPr>
                <w:bCs/>
              </w:rPr>
            </w:pPr>
          </w:p>
        </w:tc>
      </w:tr>
      <w:tr w:rsidR="00CA5D0E" w:rsidRPr="008C3A55" w14:paraId="793127BC" w14:textId="77777777" w:rsidTr="00731B83">
        <w:trPr>
          <w:trHeight w:val="444"/>
          <w:jc w:val="center"/>
        </w:trPr>
        <w:tc>
          <w:tcPr>
            <w:tcW w:w="445" w:type="dxa"/>
          </w:tcPr>
          <w:p w14:paraId="7925D31D" w14:textId="77777777" w:rsidR="00CA5D0E" w:rsidRPr="008C3A55" w:rsidRDefault="00CA5D0E" w:rsidP="00731B83">
            <w:pPr>
              <w:pStyle w:val="ListParagraph"/>
              <w:numPr>
                <w:ilvl w:val="0"/>
                <w:numId w:val="16"/>
              </w:numPr>
              <w:ind w:right="72"/>
              <w:jc w:val="both"/>
              <w:rPr>
                <w:b/>
                <w:bCs/>
              </w:rPr>
            </w:pPr>
          </w:p>
        </w:tc>
        <w:tc>
          <w:tcPr>
            <w:tcW w:w="13410" w:type="dxa"/>
            <w:vAlign w:val="bottom"/>
          </w:tcPr>
          <w:p w14:paraId="3B20ED02" w14:textId="77777777" w:rsidR="00CA5D0E" w:rsidRPr="008C3A55" w:rsidRDefault="00CA5D0E" w:rsidP="00731B83">
            <w:pPr>
              <w:spacing w:line="280" w:lineRule="atLeast"/>
              <w:rPr>
                <w:bCs/>
              </w:rPr>
            </w:pPr>
          </w:p>
        </w:tc>
      </w:tr>
      <w:tr w:rsidR="00CA5D0E" w14:paraId="45842107" w14:textId="77777777" w:rsidTr="00731B83">
        <w:trPr>
          <w:trHeight w:val="444"/>
          <w:jc w:val="center"/>
        </w:trPr>
        <w:tc>
          <w:tcPr>
            <w:tcW w:w="445" w:type="dxa"/>
          </w:tcPr>
          <w:p w14:paraId="6DCE5879" w14:textId="77777777" w:rsidR="00CA5D0E" w:rsidRPr="008C3A55" w:rsidRDefault="00CA5D0E" w:rsidP="00731B83">
            <w:pPr>
              <w:pStyle w:val="ListParagraph"/>
              <w:numPr>
                <w:ilvl w:val="0"/>
                <w:numId w:val="16"/>
              </w:numPr>
              <w:ind w:right="72"/>
              <w:jc w:val="both"/>
              <w:rPr>
                <w:b/>
                <w:bCs/>
              </w:rPr>
            </w:pPr>
          </w:p>
        </w:tc>
        <w:tc>
          <w:tcPr>
            <w:tcW w:w="13410" w:type="dxa"/>
            <w:vAlign w:val="bottom"/>
          </w:tcPr>
          <w:p w14:paraId="2024F97E" w14:textId="77777777" w:rsidR="00CA5D0E" w:rsidRPr="00347954" w:rsidRDefault="00CA5D0E" w:rsidP="00731B83">
            <w:pPr>
              <w:spacing w:line="280" w:lineRule="atLeast"/>
              <w:rPr>
                <w:bCs/>
              </w:rPr>
            </w:pPr>
          </w:p>
        </w:tc>
      </w:tr>
    </w:tbl>
    <w:p w14:paraId="78F3E39B" w14:textId="77777777" w:rsidR="00772340" w:rsidRPr="005768E2" w:rsidRDefault="00772340" w:rsidP="00DF0F43"/>
    <w:sectPr w:rsidR="00772340" w:rsidRPr="005768E2" w:rsidSect="006B7D96">
      <w:type w:val="continuous"/>
      <w:pgSz w:w="15840" w:h="12240" w:orient="landscape" w:code="1"/>
      <w:pgMar w:top="864" w:right="1440" w:bottom="576"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5E468" w14:textId="77777777" w:rsidR="00AC3829" w:rsidRDefault="00AC3829" w:rsidP="00AD2239">
      <w:r>
        <w:separator/>
      </w:r>
    </w:p>
  </w:endnote>
  <w:endnote w:type="continuationSeparator" w:id="0">
    <w:p w14:paraId="0F99FD6A" w14:textId="77777777" w:rsidR="00AC3829" w:rsidRDefault="00AC3829" w:rsidP="00AD2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DA619" w14:textId="77777777" w:rsidR="006C5265" w:rsidRDefault="006C52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388774223"/>
      <w:docPartObj>
        <w:docPartGallery w:val="Page Numbers (Bottom of Page)"/>
        <w:docPartUnique/>
      </w:docPartObj>
    </w:sdtPr>
    <w:sdtEndPr>
      <w:rPr>
        <w:sz w:val="22"/>
        <w:szCs w:val="22"/>
      </w:rPr>
    </w:sdtEndPr>
    <w:sdtContent>
      <w:p w14:paraId="47847AF7" w14:textId="77777777" w:rsidR="00FE27D8" w:rsidRPr="00DF0F43" w:rsidRDefault="00D4004F">
        <w:pPr>
          <w:pStyle w:val="Footer"/>
          <w:jc w:val="center"/>
          <w:rPr>
            <w:sz w:val="22"/>
            <w:szCs w:val="22"/>
          </w:rPr>
        </w:pPr>
        <w:r w:rsidRPr="00DF0F43">
          <w:rPr>
            <w:sz w:val="22"/>
            <w:szCs w:val="22"/>
          </w:rPr>
          <w:fldChar w:fldCharType="begin"/>
        </w:r>
        <w:r w:rsidRPr="00DF0F43">
          <w:rPr>
            <w:sz w:val="22"/>
            <w:szCs w:val="22"/>
          </w:rPr>
          <w:instrText xml:space="preserve"> PAGE   \* MERGEFORMAT </w:instrText>
        </w:r>
        <w:r w:rsidRPr="00DF0F43">
          <w:rPr>
            <w:sz w:val="22"/>
            <w:szCs w:val="22"/>
          </w:rPr>
          <w:fldChar w:fldCharType="separate"/>
        </w:r>
        <w:r w:rsidR="008C3A55">
          <w:rPr>
            <w:noProof/>
            <w:sz w:val="22"/>
            <w:szCs w:val="22"/>
          </w:rPr>
          <w:t>6</w:t>
        </w:r>
        <w:r w:rsidRPr="00DF0F43">
          <w:rPr>
            <w:noProof/>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A607" w14:textId="77777777" w:rsidR="006C5265" w:rsidRDefault="006C5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7788B" w14:textId="77777777" w:rsidR="00AC3829" w:rsidRDefault="00AC3829" w:rsidP="00AD2239">
      <w:r>
        <w:separator/>
      </w:r>
    </w:p>
  </w:footnote>
  <w:footnote w:type="continuationSeparator" w:id="0">
    <w:p w14:paraId="29807D19" w14:textId="77777777" w:rsidR="00AC3829" w:rsidRDefault="00AC3829" w:rsidP="00AD2239">
      <w:r>
        <w:continuationSeparator/>
      </w:r>
    </w:p>
  </w:footnote>
  <w:footnote w:id="1">
    <w:p w14:paraId="7C74039D" w14:textId="77777777" w:rsidR="003E33A2" w:rsidRPr="00B63040" w:rsidRDefault="003E33A2">
      <w:pPr>
        <w:pStyle w:val="FootnoteText"/>
      </w:pPr>
      <w:r>
        <w:rPr>
          <w:rStyle w:val="FootnoteReference"/>
        </w:rPr>
        <w:footnoteRef/>
      </w:r>
      <w:r>
        <w:t xml:space="preserve"> </w:t>
      </w:r>
      <w:r w:rsidR="008906BD" w:rsidRPr="00D04307">
        <w:t xml:space="preserve">The annual agenda </w:t>
      </w:r>
      <w:r w:rsidR="00347954" w:rsidRPr="00D04307">
        <w:t xml:space="preserve">outlines </w:t>
      </w:r>
      <w:r w:rsidR="00D04307" w:rsidRPr="00D04307">
        <w:t>the</w:t>
      </w:r>
      <w:r w:rsidR="00347954" w:rsidRPr="00D04307">
        <w:t xml:space="preserve"> </w:t>
      </w:r>
      <w:r w:rsidR="00F603C0" w:rsidRPr="00D04307">
        <w:t xml:space="preserve">work </w:t>
      </w:r>
      <w:r w:rsidR="00D04307" w:rsidRPr="00D04307">
        <w:t>a</w:t>
      </w:r>
      <w:r w:rsidR="00F603C0" w:rsidRPr="00D04307">
        <w:t xml:space="preserve"> committee </w:t>
      </w:r>
      <w:r w:rsidR="00D04307" w:rsidRPr="00D04307">
        <w:t>will</w:t>
      </w:r>
      <w:r w:rsidR="00F603C0" w:rsidRPr="00D04307">
        <w:t xml:space="preserve"> focus on in the coming year and identif</w:t>
      </w:r>
      <w:r w:rsidR="00D04307" w:rsidRPr="00D04307">
        <w:t>ies</w:t>
      </w:r>
      <w:r w:rsidR="00F603C0" w:rsidRPr="00D04307">
        <w:t xml:space="preserve"> areas of collaboration with other advisory bodies and the Judicial Council </w:t>
      </w:r>
      <w:r w:rsidR="00D04307" w:rsidRPr="00D04307">
        <w:t>staff resources</w:t>
      </w:r>
      <w:r w:rsidR="00F603C0" w:rsidRPr="00D04307">
        <w:t>.</w:t>
      </w:r>
    </w:p>
  </w:footnote>
  <w:footnote w:id="2">
    <w:p w14:paraId="09BB86B7" w14:textId="77777777" w:rsidR="0036004C" w:rsidRDefault="0036004C" w:rsidP="00A77973">
      <w:pPr>
        <w:pStyle w:val="FootnoteText"/>
      </w:pPr>
      <w:r>
        <w:rPr>
          <w:rStyle w:val="FootnoteReference"/>
        </w:rPr>
        <w:footnoteRef/>
      </w:r>
      <w:r>
        <w:t xml:space="preserve"> California Rules of Court, rule 10.30 (c) allows an advisory body to form subgroups</w:t>
      </w:r>
      <w:r w:rsidRPr="006E5B7B">
        <w:t xml:space="preserve">, composed entirely of </w:t>
      </w:r>
      <w:r>
        <w:t xml:space="preserve">current </w:t>
      </w:r>
      <w:r w:rsidRPr="006E5B7B">
        <w:t>members</w:t>
      </w:r>
      <w:r>
        <w:t xml:space="preserve"> of the advisory body</w:t>
      </w:r>
      <w:r w:rsidRPr="006E5B7B">
        <w:t>, to carry out the body's duties,</w:t>
      </w:r>
      <w:r>
        <w:t xml:space="preserve"> subject to available resources, w</w:t>
      </w:r>
      <w:r w:rsidRPr="006E5B7B">
        <w:t xml:space="preserve">ith the approval of </w:t>
      </w:r>
      <w:r>
        <w:t>its oversight committee.</w:t>
      </w:r>
    </w:p>
  </w:footnote>
  <w:footnote w:id="3">
    <w:p w14:paraId="7A2BC483" w14:textId="77777777" w:rsidR="0036004C" w:rsidRDefault="0036004C">
      <w:pPr>
        <w:pStyle w:val="FootnoteText"/>
      </w:pPr>
      <w:r>
        <w:rPr>
          <w:rStyle w:val="FootnoteReference"/>
        </w:rPr>
        <w:footnoteRef/>
      </w:r>
      <w:r>
        <w:t xml:space="preserve"> Refer to </w:t>
      </w:r>
      <w:hyperlink r:id="rId1" w:history="1">
        <w:r w:rsidRPr="001A19DF">
          <w:rPr>
            <w:rStyle w:val="Hyperlink"/>
            <w:i/>
          </w:rPr>
          <w:t>Operating Standards for Judicial Council Advisory Bodies</w:t>
        </w:r>
      </w:hyperlink>
      <w:r>
        <w:t xml:space="preserve"> for governance on in-person meetings.</w:t>
      </w:r>
    </w:p>
  </w:footnote>
  <w:footnote w:id="4">
    <w:p w14:paraId="7C1ED1F8" w14:textId="77777777" w:rsidR="00CA5D0E" w:rsidRDefault="00CA5D0E" w:rsidP="00D4079B">
      <w:pPr>
        <w:pStyle w:val="FootnoteText"/>
      </w:pPr>
      <w:r w:rsidRPr="009C003A">
        <w:rPr>
          <w:rStyle w:val="FootnoteReference"/>
        </w:rPr>
        <w:footnoteRef/>
      </w:r>
      <w:r w:rsidRPr="009C003A">
        <w:t xml:space="preserve"> </w:t>
      </w:r>
      <w:r>
        <w:t xml:space="preserve">All proposed projects for the year must be included on the Annual Agenda. </w:t>
      </w:r>
      <w:r w:rsidRPr="00CA1C8A">
        <w:t xml:space="preserve">If a project implements policy or is a program, identify it as </w:t>
      </w:r>
      <w:r w:rsidRPr="00CA1C8A">
        <w:rPr>
          <w:i/>
        </w:rPr>
        <w:t xml:space="preserve">implementation </w:t>
      </w:r>
      <w:r w:rsidRPr="00CA1C8A">
        <w:t xml:space="preserve">or </w:t>
      </w:r>
      <w:r w:rsidRPr="00CA1C8A">
        <w:rPr>
          <w:i/>
        </w:rPr>
        <w:t xml:space="preserve">a program </w:t>
      </w:r>
      <w:r w:rsidRPr="00CA1C8A">
        <w:t>in the project description and attach the Judicial Council authorization/assignment or prior approved Annual Agenda to this Annual Agenda.</w:t>
      </w:r>
      <w:r>
        <w:t xml:space="preserve"> </w:t>
      </w:r>
    </w:p>
  </w:footnote>
  <w:footnote w:id="5">
    <w:p w14:paraId="456A0503" w14:textId="77777777" w:rsidR="00A811DF" w:rsidRDefault="00A811DF" w:rsidP="00992007">
      <w:pPr>
        <w:pStyle w:val="FootnoteText"/>
      </w:pPr>
      <w:r>
        <w:rPr>
          <w:rStyle w:val="FootnoteReference"/>
        </w:rPr>
        <w:footnoteRef/>
      </w:r>
      <w:r>
        <w:t xml:space="preserve"> For non-rules and forms projects, select priority level 1 (must be done) or 2 (should be done).</w:t>
      </w:r>
      <w:r w:rsidRPr="00711A79">
        <w:t xml:space="preserve"> </w:t>
      </w:r>
      <w:r>
        <w:t xml:space="preserve">For rules and forms proposals, select one of the following priority levels: </w:t>
      </w:r>
      <w:r w:rsidRPr="009545D9">
        <w:t>1(a) Urgently needed to conform to the law;</w:t>
      </w:r>
      <w:r>
        <w:t xml:space="preserve"> </w:t>
      </w:r>
      <w:r w:rsidRPr="009545D9">
        <w:t>1(b) Urgently needed to respond to a recent change in the law;</w:t>
      </w:r>
      <w:r>
        <w:t xml:space="preserve"> </w:t>
      </w:r>
      <w:r w:rsidRPr="009545D9">
        <w:t>1(c) Adoption or amendment of rules or forms by a specified date required by statute or council decision;</w:t>
      </w:r>
      <w:r>
        <w:t xml:space="preserve"> </w:t>
      </w:r>
      <w:r w:rsidRPr="009545D9">
        <w:t>1(d) Provides significant cost savings and efficiencies, generates significant revenue, or avoids a significant loss of revenue;</w:t>
      </w:r>
      <w:r>
        <w:t xml:space="preserve"> </w:t>
      </w:r>
      <w:r w:rsidRPr="009545D9">
        <w:t xml:space="preserve">1(e) </w:t>
      </w:r>
      <w:r>
        <w:t>Urgently needed to remedy a problem that is causing significant cost or inconvenience to the courts or the public</w:t>
      </w:r>
      <w:r w:rsidRPr="009545D9">
        <w:t>;</w:t>
      </w:r>
      <w:r>
        <w:t xml:space="preserve"> </w:t>
      </w:r>
      <w:r w:rsidRPr="009545D9">
        <w:t>1(f) Otherwise urgent and necessary, such as a proposal that would mitigate exposure to immediate or severe financial or legal risk</w:t>
      </w:r>
      <w:r>
        <w:t xml:space="preserve">; </w:t>
      </w:r>
      <w:r w:rsidRPr="009545D9">
        <w:t>2(a) Useful, but not necessary, to implement statutory changes;</w:t>
      </w:r>
      <w:r>
        <w:t xml:space="preserve"> 2(b</w:t>
      </w:r>
      <w:r w:rsidRPr="009545D9">
        <w:t>) Helpful in otherwise advancing Judicial Council goals and objectives.</w:t>
      </w:r>
      <w:r>
        <w:t xml:space="preserve"> </w:t>
      </w:r>
    </w:p>
  </w:footnote>
  <w:footnote w:id="6">
    <w:p w14:paraId="0F4F2FEA" w14:textId="77777777" w:rsidR="00A811DF" w:rsidRDefault="00A811DF">
      <w:pPr>
        <w:pStyle w:val="FootnoteText"/>
      </w:pPr>
      <w:r>
        <w:rPr>
          <w:rStyle w:val="FootnoteReference"/>
        </w:rPr>
        <w:footnoteRef/>
      </w:r>
      <w:r>
        <w:t xml:space="preserve"> Indicate which goal number of </w:t>
      </w:r>
      <w:r w:rsidR="005218F7">
        <w:t>T</w:t>
      </w:r>
      <w:r>
        <w:t xml:space="preserve">he </w:t>
      </w:r>
      <w:r w:rsidR="00262470" w:rsidRPr="00262470">
        <w:t>Strategic Plan for California’s Judicial Bran</w:t>
      </w:r>
      <w:r w:rsidR="005218F7">
        <w:t>ch the project most closely aligns.</w:t>
      </w:r>
    </w:p>
  </w:footnote>
  <w:footnote w:id="7">
    <w:p w14:paraId="6BEDE618" w14:textId="77777777" w:rsidR="00A811DF" w:rsidRDefault="00A811DF" w:rsidP="00A77973">
      <w:pPr>
        <w:pStyle w:val="FootnoteText"/>
      </w:pPr>
      <w:r>
        <w:rPr>
          <w:rStyle w:val="FootnoteReference"/>
        </w:rPr>
        <w:footnoteRef/>
      </w:r>
      <w:r>
        <w:t xml:space="preserve"> </w:t>
      </w:r>
      <w:r w:rsidRPr="00336889">
        <w:t>A</w:t>
      </w:r>
      <w:r>
        <w:t xml:space="preserve"> key </w:t>
      </w:r>
      <w:r w:rsidRPr="00336889">
        <w:t>objective is a strategic aim, purpose, or “end of action” to be achieved</w:t>
      </w:r>
      <w:r>
        <w:t xml:space="preserve"> </w:t>
      </w:r>
      <w:r w:rsidRPr="00336889">
        <w:t>for the coming year.</w:t>
      </w:r>
    </w:p>
  </w:footnote>
  <w:footnote w:id="8">
    <w:p w14:paraId="3006A2EB" w14:textId="77777777" w:rsidR="006644E2" w:rsidRDefault="006644E2" w:rsidP="006644E2">
      <w:pPr>
        <w:pStyle w:val="FootnoteText"/>
      </w:pPr>
      <w:r>
        <w:rPr>
          <w:rStyle w:val="FootnoteReference"/>
        </w:rPr>
        <w:footnoteRef/>
      </w:r>
      <w:r>
        <w:t xml:space="preserve"> For non-rules and forms projects, select priority level 1 (must be done) or 2 (should be done).</w:t>
      </w:r>
      <w:r w:rsidRPr="00711A79">
        <w:t xml:space="preserve"> </w:t>
      </w:r>
      <w:r>
        <w:t xml:space="preserve">For rules and forms proposals, select one of the following priority levels: </w:t>
      </w:r>
      <w:r w:rsidRPr="009545D9">
        <w:t>1(a) Urgently needed to conform to the law;</w:t>
      </w:r>
      <w:r>
        <w:t xml:space="preserve"> </w:t>
      </w:r>
      <w:r w:rsidRPr="009545D9">
        <w:t>1(b) Urgently needed to respond to a recent change in the law;</w:t>
      </w:r>
      <w:r>
        <w:t xml:space="preserve"> </w:t>
      </w:r>
      <w:r w:rsidRPr="009545D9">
        <w:t>1(c) Adoption or amendment of rules or forms by a specified date required by statute or council decision;</w:t>
      </w:r>
      <w:r>
        <w:t xml:space="preserve"> </w:t>
      </w:r>
      <w:r w:rsidRPr="009545D9">
        <w:t>1(d) Provides significant cost savings and efficiencies, generates significant revenue, or avoids a significant loss of revenue;</w:t>
      </w:r>
      <w:r>
        <w:t xml:space="preserve"> </w:t>
      </w:r>
      <w:r w:rsidRPr="009545D9">
        <w:t xml:space="preserve">1(e) </w:t>
      </w:r>
      <w:r>
        <w:t>Urgently needed to remedy a problem that is causing significant cost or inconvenience to the courts or the public</w:t>
      </w:r>
      <w:r w:rsidRPr="009545D9">
        <w:t>;</w:t>
      </w:r>
      <w:r>
        <w:t xml:space="preserve"> </w:t>
      </w:r>
      <w:r w:rsidRPr="009545D9">
        <w:t>1(f) Otherwise urgent and necessary, such as a proposal that would mitigate exposure to immediate or severe financial or legal risk</w:t>
      </w:r>
      <w:r>
        <w:t xml:space="preserve">; </w:t>
      </w:r>
      <w:r w:rsidRPr="009545D9">
        <w:t>2(a) Useful, but not necessary, to implement statutory changes;</w:t>
      </w:r>
      <w:r>
        <w:t xml:space="preserve"> 2(b</w:t>
      </w:r>
      <w:r w:rsidRPr="009545D9">
        <w:t>) Helpful in otherwise advancing Judicial Council goals and objectives.</w:t>
      </w:r>
      <w:r>
        <w:t xml:space="preserve"> </w:t>
      </w:r>
    </w:p>
  </w:footnote>
  <w:footnote w:id="9">
    <w:p w14:paraId="09A4DBC7" w14:textId="77777777" w:rsidR="006644E2" w:rsidRDefault="006644E2" w:rsidP="006644E2">
      <w:pPr>
        <w:pStyle w:val="FootnoteText"/>
      </w:pPr>
      <w:r>
        <w:rPr>
          <w:rStyle w:val="FootnoteReference"/>
        </w:rPr>
        <w:footnoteRef/>
      </w:r>
      <w:r>
        <w:t xml:space="preserve"> Indicate which goal number of The </w:t>
      </w:r>
      <w:r w:rsidRPr="00262470">
        <w:t>Strategic Plan for California’s Judicial Bran</w:t>
      </w:r>
      <w:r>
        <w:t>ch the project most closely aligns.</w:t>
      </w:r>
    </w:p>
  </w:footnote>
  <w:footnote w:id="10">
    <w:p w14:paraId="149022EF" w14:textId="77777777" w:rsidR="006644E2" w:rsidRDefault="006644E2" w:rsidP="006644E2">
      <w:pPr>
        <w:pStyle w:val="FootnoteText"/>
      </w:pPr>
      <w:r>
        <w:rPr>
          <w:rStyle w:val="FootnoteReference"/>
        </w:rPr>
        <w:footnoteRef/>
      </w:r>
      <w:r>
        <w:t xml:space="preserve"> </w:t>
      </w:r>
      <w:r w:rsidRPr="00336889">
        <w:t>A</w:t>
      </w:r>
      <w:r>
        <w:t xml:space="preserve"> key </w:t>
      </w:r>
      <w:r w:rsidRPr="00336889">
        <w:t>objective is a strategic aim, purpose, or “end of action” to be achieved</w:t>
      </w:r>
      <w:r>
        <w:t xml:space="preserve"> </w:t>
      </w:r>
      <w:r w:rsidRPr="00336889">
        <w:t>for the coming year.</w:t>
      </w:r>
    </w:p>
  </w:footnote>
  <w:footnote w:id="11">
    <w:p w14:paraId="332F6704" w14:textId="77777777" w:rsidR="004B1F6C" w:rsidRDefault="004B1F6C" w:rsidP="004B1F6C">
      <w:pPr>
        <w:pStyle w:val="FootnoteText"/>
      </w:pPr>
      <w:r>
        <w:rPr>
          <w:rStyle w:val="FootnoteReference"/>
        </w:rPr>
        <w:footnoteRef/>
      </w:r>
      <w:r>
        <w:t xml:space="preserve"> For non-rules and forms projects, select priority level 1 (must be done) or 2 (should be done).</w:t>
      </w:r>
      <w:r w:rsidRPr="00711A79">
        <w:t xml:space="preserve"> </w:t>
      </w:r>
      <w:r>
        <w:t xml:space="preserve">For rules and forms proposals, select one of the following priority levels: </w:t>
      </w:r>
      <w:r w:rsidRPr="009545D9">
        <w:t>1(a) Urgently needed to conform to the law;</w:t>
      </w:r>
      <w:r>
        <w:t xml:space="preserve"> </w:t>
      </w:r>
      <w:r w:rsidRPr="009545D9">
        <w:t>1(b) Urgently needed to respond to a recent change in the law;</w:t>
      </w:r>
      <w:r>
        <w:t xml:space="preserve"> </w:t>
      </w:r>
      <w:r w:rsidRPr="009545D9">
        <w:t>1(c) Adoption or amendment of rules or forms by a specified date required by statute or council decision;</w:t>
      </w:r>
      <w:r>
        <w:t xml:space="preserve"> </w:t>
      </w:r>
      <w:r w:rsidRPr="009545D9">
        <w:t>1(d) Provides significant cost savings and efficiencies, generates significant revenue, or avoids a significant loss of revenue;</w:t>
      </w:r>
      <w:r>
        <w:t xml:space="preserve"> </w:t>
      </w:r>
      <w:r w:rsidRPr="009545D9">
        <w:t xml:space="preserve">1(e) </w:t>
      </w:r>
      <w:r>
        <w:t>Urgently needed to remedy a problem that is causing significant cost or inconvenience to the courts or the public</w:t>
      </w:r>
      <w:r w:rsidRPr="009545D9">
        <w:t>;</w:t>
      </w:r>
      <w:r>
        <w:t xml:space="preserve"> </w:t>
      </w:r>
      <w:r w:rsidRPr="009545D9">
        <w:t>1(f) Otherwise urgent and necessary, such as a proposal that would mitigate exposure to immediate or severe financial or legal risk</w:t>
      </w:r>
      <w:r>
        <w:t xml:space="preserve">; </w:t>
      </w:r>
      <w:r w:rsidRPr="009545D9">
        <w:t>2(a) Useful, but not necessary, to implement statutory changes;</w:t>
      </w:r>
      <w:r>
        <w:t xml:space="preserve"> 2(b</w:t>
      </w:r>
      <w:r w:rsidRPr="009545D9">
        <w:t>) Helpful in otherwise advancing Judicial Council goals and objectives.</w:t>
      </w:r>
      <w:r>
        <w:t xml:space="preserve"> </w:t>
      </w:r>
    </w:p>
  </w:footnote>
  <w:footnote w:id="12">
    <w:p w14:paraId="3C8FC1E6" w14:textId="77777777" w:rsidR="004B1F6C" w:rsidRDefault="004B1F6C" w:rsidP="004B1F6C">
      <w:pPr>
        <w:pStyle w:val="FootnoteText"/>
      </w:pPr>
      <w:r>
        <w:rPr>
          <w:rStyle w:val="FootnoteReference"/>
        </w:rPr>
        <w:footnoteRef/>
      </w:r>
      <w:r>
        <w:t xml:space="preserve"> Indicate which goal number of The </w:t>
      </w:r>
      <w:r w:rsidRPr="00262470">
        <w:t>Strategic Plan for California’s Judicial Bran</w:t>
      </w:r>
      <w:r>
        <w:t>ch the project most closely aligns.</w:t>
      </w:r>
    </w:p>
  </w:footnote>
  <w:footnote w:id="13">
    <w:p w14:paraId="6F797B1B" w14:textId="77777777" w:rsidR="00A9788A" w:rsidRDefault="00A9788A" w:rsidP="00A9788A">
      <w:pPr>
        <w:pStyle w:val="FootnoteText"/>
      </w:pPr>
      <w:r>
        <w:rPr>
          <w:rStyle w:val="FootnoteReference"/>
        </w:rPr>
        <w:footnoteRef/>
      </w:r>
      <w:r>
        <w:t xml:space="preserve"> Indicate which goal number of The </w:t>
      </w:r>
      <w:r w:rsidRPr="00262470">
        <w:t>Strategic Plan for California’s Judicial Bran</w:t>
      </w:r>
      <w:r>
        <w:t>ch the project most closely aligns.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F9DE0" w14:textId="77777777" w:rsidR="006C5265" w:rsidRDefault="006C52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840026"/>
      <w:docPartObj>
        <w:docPartGallery w:val="Watermarks"/>
        <w:docPartUnique/>
      </w:docPartObj>
    </w:sdtPr>
    <w:sdtEndPr/>
    <w:sdtContent>
      <w:p w14:paraId="370316AF" w14:textId="77777777" w:rsidR="007451E3" w:rsidRDefault="00AC3829">
        <w:pPr>
          <w:pStyle w:val="Header"/>
        </w:pPr>
        <w:r>
          <w:rPr>
            <w:noProof/>
          </w:rPr>
          <w:pict w14:anchorId="5B1CD7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5FDB1" w14:textId="77777777" w:rsidR="006C5265" w:rsidRDefault="006C52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4811"/>
    <w:multiLevelType w:val="hybridMultilevel"/>
    <w:tmpl w:val="95D69FF2"/>
    <w:lvl w:ilvl="0" w:tplc="04090013">
      <w:start w:val="1"/>
      <w:numFmt w:val="upperRoman"/>
      <w:lvlText w:val="%1."/>
      <w:lvlJc w:val="righ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49D59AC"/>
    <w:multiLevelType w:val="hybridMultilevel"/>
    <w:tmpl w:val="C6BEFF2E"/>
    <w:lvl w:ilvl="0" w:tplc="0409000F">
      <w:start w:val="1"/>
      <w:numFmt w:val="decimal"/>
      <w:lvlText w:val="%1."/>
      <w:lvlJc w:val="left"/>
      <w:pPr>
        <w:ind w:left="36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29EE59C1"/>
    <w:multiLevelType w:val="hybridMultilevel"/>
    <w:tmpl w:val="CBE0C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F3222D"/>
    <w:multiLevelType w:val="hybridMultilevel"/>
    <w:tmpl w:val="C6BEFF2E"/>
    <w:lvl w:ilvl="0" w:tplc="0409000F">
      <w:start w:val="1"/>
      <w:numFmt w:val="decimal"/>
      <w:lvlText w:val="%1."/>
      <w:lvlJc w:val="left"/>
      <w:pPr>
        <w:ind w:left="36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15:restartNumberingAfterBreak="0">
    <w:nsid w:val="45C72468"/>
    <w:multiLevelType w:val="hybridMultilevel"/>
    <w:tmpl w:val="B98CC068"/>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CC62CE"/>
    <w:multiLevelType w:val="hybridMultilevel"/>
    <w:tmpl w:val="24D6B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2A03D6"/>
    <w:multiLevelType w:val="hybridMultilevel"/>
    <w:tmpl w:val="FF32AC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72026B0"/>
    <w:multiLevelType w:val="hybridMultilevel"/>
    <w:tmpl w:val="B6CE91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74F37FB"/>
    <w:multiLevelType w:val="hybridMultilevel"/>
    <w:tmpl w:val="BAFCE918"/>
    <w:lvl w:ilvl="0" w:tplc="FFA28BE0">
      <w:start w:val="1"/>
      <w:numFmt w:val="decimal"/>
      <w:lvlText w:val="%1."/>
      <w:lvlJc w:val="left"/>
      <w:pPr>
        <w:ind w:left="360" w:hanging="360"/>
      </w:pPr>
      <w:rPr>
        <w:rFonts w:ascii="Times New Roman" w:hAnsi="Times New Roman" w:hint="default"/>
        <w:b w:val="0"/>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57941BEB"/>
    <w:multiLevelType w:val="hybridMultilevel"/>
    <w:tmpl w:val="7092078A"/>
    <w:lvl w:ilvl="0" w:tplc="3746EC6C">
      <w:start w:val="5"/>
      <w:numFmt w:val="upperRoman"/>
      <w:lvlText w:val="%1."/>
      <w:lvlJc w:val="righ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5719B1"/>
    <w:multiLevelType w:val="hybridMultilevel"/>
    <w:tmpl w:val="964A26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E495915"/>
    <w:multiLevelType w:val="hybridMultilevel"/>
    <w:tmpl w:val="83EC9860"/>
    <w:lvl w:ilvl="0" w:tplc="F0CA2CA4">
      <w:start w:val="1"/>
      <w:numFmt w:val="decimal"/>
      <w:lvlText w:val="%1."/>
      <w:lvlJc w:val="left"/>
      <w:pPr>
        <w:ind w:left="360" w:hanging="360"/>
      </w:pPr>
      <w:rPr>
        <w:rFonts w:ascii="Times New Roman" w:hAnsi="Times New Roman" w:cs="Times New Roman" w:hint="default"/>
        <w:b w:val="0"/>
        <w:i w:val="0"/>
        <w:sz w:val="24"/>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A0418D"/>
    <w:multiLevelType w:val="hybridMultilevel"/>
    <w:tmpl w:val="5AACD9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8A707D"/>
    <w:multiLevelType w:val="hybridMultilevel"/>
    <w:tmpl w:val="6B5AF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5C73138"/>
    <w:multiLevelType w:val="hybridMultilevel"/>
    <w:tmpl w:val="C9B4B8AA"/>
    <w:lvl w:ilvl="0" w:tplc="FFA28BE0">
      <w:start w:val="1"/>
      <w:numFmt w:val="decimal"/>
      <w:lvlText w:val="%1."/>
      <w:lvlJc w:val="left"/>
      <w:pPr>
        <w:ind w:left="360" w:hanging="360"/>
      </w:pPr>
      <w:rPr>
        <w:rFonts w:ascii="Times New Roman" w:hAnsi="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DB0187"/>
    <w:multiLevelType w:val="hybridMultilevel"/>
    <w:tmpl w:val="9C88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8A77C7"/>
    <w:multiLevelType w:val="hybridMultilevel"/>
    <w:tmpl w:val="D75435B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7"/>
  </w:num>
  <w:num w:numId="4">
    <w:abstractNumId w:val="10"/>
  </w:num>
  <w:num w:numId="5">
    <w:abstractNumId w:val="5"/>
  </w:num>
  <w:num w:numId="6">
    <w:abstractNumId w:val="13"/>
  </w:num>
  <w:num w:numId="7">
    <w:abstractNumId w:val="15"/>
  </w:num>
  <w:num w:numId="8">
    <w:abstractNumId w:val="2"/>
  </w:num>
  <w:num w:numId="9">
    <w:abstractNumId w:val="6"/>
  </w:num>
  <w:num w:numId="10">
    <w:abstractNumId w:val="0"/>
  </w:num>
  <w:num w:numId="11">
    <w:abstractNumId w:val="4"/>
  </w:num>
  <w:num w:numId="12">
    <w:abstractNumId w:val="9"/>
  </w:num>
  <w:num w:numId="13">
    <w:abstractNumId w:val="1"/>
  </w:num>
  <w:num w:numId="14">
    <w:abstractNumId w:val="8"/>
  </w:num>
  <w:num w:numId="15">
    <w:abstractNumId w:val="14"/>
  </w:num>
  <w:num w:numId="16">
    <w:abstractNumId w:val="11"/>
  </w:num>
  <w:num w:numId="17">
    <w:abstractNumId w:val="3"/>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D9"/>
    <w:rsid w:val="00012CC9"/>
    <w:rsid w:val="00013D0E"/>
    <w:rsid w:val="00017BA3"/>
    <w:rsid w:val="00024497"/>
    <w:rsid w:val="00026544"/>
    <w:rsid w:val="00026B10"/>
    <w:rsid w:val="000323E5"/>
    <w:rsid w:val="00034D80"/>
    <w:rsid w:val="0004256E"/>
    <w:rsid w:val="0005012D"/>
    <w:rsid w:val="00053AA8"/>
    <w:rsid w:val="000549C0"/>
    <w:rsid w:val="000549F7"/>
    <w:rsid w:val="000607E1"/>
    <w:rsid w:val="0008153E"/>
    <w:rsid w:val="00081E56"/>
    <w:rsid w:val="0008239D"/>
    <w:rsid w:val="000953E0"/>
    <w:rsid w:val="00096B2E"/>
    <w:rsid w:val="000971AE"/>
    <w:rsid w:val="00097E21"/>
    <w:rsid w:val="000A10CA"/>
    <w:rsid w:val="000A519E"/>
    <w:rsid w:val="000A5C13"/>
    <w:rsid w:val="000A7210"/>
    <w:rsid w:val="000B2631"/>
    <w:rsid w:val="000B4DB5"/>
    <w:rsid w:val="000B7063"/>
    <w:rsid w:val="000C0903"/>
    <w:rsid w:val="000C779A"/>
    <w:rsid w:val="000C7DCC"/>
    <w:rsid w:val="000D3E12"/>
    <w:rsid w:val="000E0C77"/>
    <w:rsid w:val="000E39A7"/>
    <w:rsid w:val="000E461E"/>
    <w:rsid w:val="000F44B3"/>
    <w:rsid w:val="000F7D4D"/>
    <w:rsid w:val="001130E0"/>
    <w:rsid w:val="001253AB"/>
    <w:rsid w:val="00125E88"/>
    <w:rsid w:val="00127FED"/>
    <w:rsid w:val="00132420"/>
    <w:rsid w:val="00132AF4"/>
    <w:rsid w:val="001459C0"/>
    <w:rsid w:val="00150702"/>
    <w:rsid w:val="00151E56"/>
    <w:rsid w:val="00154400"/>
    <w:rsid w:val="0016081D"/>
    <w:rsid w:val="00166E79"/>
    <w:rsid w:val="001829F7"/>
    <w:rsid w:val="00182C25"/>
    <w:rsid w:val="00184CCF"/>
    <w:rsid w:val="001876D8"/>
    <w:rsid w:val="00191194"/>
    <w:rsid w:val="0019580D"/>
    <w:rsid w:val="001A041C"/>
    <w:rsid w:val="001A19DF"/>
    <w:rsid w:val="001A3C84"/>
    <w:rsid w:val="001A3D79"/>
    <w:rsid w:val="001B6BA5"/>
    <w:rsid w:val="001C681D"/>
    <w:rsid w:val="001C6C15"/>
    <w:rsid w:val="001D39D0"/>
    <w:rsid w:val="001E6969"/>
    <w:rsid w:val="001E7EEB"/>
    <w:rsid w:val="001F0D11"/>
    <w:rsid w:val="001F2A92"/>
    <w:rsid w:val="001F5131"/>
    <w:rsid w:val="001F5F7F"/>
    <w:rsid w:val="00202D01"/>
    <w:rsid w:val="00204129"/>
    <w:rsid w:val="00215E1F"/>
    <w:rsid w:val="00222220"/>
    <w:rsid w:val="002265CF"/>
    <w:rsid w:val="00227089"/>
    <w:rsid w:val="002338E5"/>
    <w:rsid w:val="002376B3"/>
    <w:rsid w:val="0024120C"/>
    <w:rsid w:val="00243CB0"/>
    <w:rsid w:val="00245CF4"/>
    <w:rsid w:val="002465CA"/>
    <w:rsid w:val="00252AA2"/>
    <w:rsid w:val="00257170"/>
    <w:rsid w:val="00262470"/>
    <w:rsid w:val="00270F88"/>
    <w:rsid w:val="00282C51"/>
    <w:rsid w:val="00284912"/>
    <w:rsid w:val="00294E7B"/>
    <w:rsid w:val="00295ACD"/>
    <w:rsid w:val="002A25A8"/>
    <w:rsid w:val="002A5355"/>
    <w:rsid w:val="002B4F6A"/>
    <w:rsid w:val="002B6756"/>
    <w:rsid w:val="002C28A5"/>
    <w:rsid w:val="002C7D3B"/>
    <w:rsid w:val="002F102F"/>
    <w:rsid w:val="002F4EA0"/>
    <w:rsid w:val="00322900"/>
    <w:rsid w:val="00331D77"/>
    <w:rsid w:val="00336889"/>
    <w:rsid w:val="00341674"/>
    <w:rsid w:val="00346B13"/>
    <w:rsid w:val="00347954"/>
    <w:rsid w:val="00357C2D"/>
    <w:rsid w:val="0036004C"/>
    <w:rsid w:val="00360B5E"/>
    <w:rsid w:val="00362E15"/>
    <w:rsid w:val="00363017"/>
    <w:rsid w:val="003656F0"/>
    <w:rsid w:val="00371ED5"/>
    <w:rsid w:val="00383D29"/>
    <w:rsid w:val="0038402A"/>
    <w:rsid w:val="0038644C"/>
    <w:rsid w:val="00390924"/>
    <w:rsid w:val="00396476"/>
    <w:rsid w:val="003A1ACC"/>
    <w:rsid w:val="003B0740"/>
    <w:rsid w:val="003B34A9"/>
    <w:rsid w:val="003B418D"/>
    <w:rsid w:val="003B54C1"/>
    <w:rsid w:val="003D4B92"/>
    <w:rsid w:val="003E33A2"/>
    <w:rsid w:val="003E35D0"/>
    <w:rsid w:val="003F1709"/>
    <w:rsid w:val="003F642F"/>
    <w:rsid w:val="00400745"/>
    <w:rsid w:val="0040309C"/>
    <w:rsid w:val="00405972"/>
    <w:rsid w:val="004135A3"/>
    <w:rsid w:val="004221AD"/>
    <w:rsid w:val="004279C0"/>
    <w:rsid w:val="004323FF"/>
    <w:rsid w:val="00440943"/>
    <w:rsid w:val="0044227A"/>
    <w:rsid w:val="00442FE0"/>
    <w:rsid w:val="004430B2"/>
    <w:rsid w:val="0044703A"/>
    <w:rsid w:val="00451C4F"/>
    <w:rsid w:val="00452C32"/>
    <w:rsid w:val="00454F05"/>
    <w:rsid w:val="00460BC8"/>
    <w:rsid w:val="00476881"/>
    <w:rsid w:val="0048405A"/>
    <w:rsid w:val="004A5DC2"/>
    <w:rsid w:val="004A5F08"/>
    <w:rsid w:val="004B1F6C"/>
    <w:rsid w:val="004C0C29"/>
    <w:rsid w:val="004C2664"/>
    <w:rsid w:val="004C49D0"/>
    <w:rsid w:val="004C7ECE"/>
    <w:rsid w:val="004D0DC8"/>
    <w:rsid w:val="004D1614"/>
    <w:rsid w:val="004D3A72"/>
    <w:rsid w:val="004D418C"/>
    <w:rsid w:val="004E557A"/>
    <w:rsid w:val="004E5C78"/>
    <w:rsid w:val="004E6010"/>
    <w:rsid w:val="004E6DC4"/>
    <w:rsid w:val="004F4A05"/>
    <w:rsid w:val="004F4E68"/>
    <w:rsid w:val="00506430"/>
    <w:rsid w:val="0050714B"/>
    <w:rsid w:val="00513480"/>
    <w:rsid w:val="005218F7"/>
    <w:rsid w:val="005263EF"/>
    <w:rsid w:val="005419F3"/>
    <w:rsid w:val="00544C34"/>
    <w:rsid w:val="00553176"/>
    <w:rsid w:val="005609EF"/>
    <w:rsid w:val="00560CB1"/>
    <w:rsid w:val="00565C19"/>
    <w:rsid w:val="005768E2"/>
    <w:rsid w:val="00583394"/>
    <w:rsid w:val="005874C9"/>
    <w:rsid w:val="00591244"/>
    <w:rsid w:val="005B4EB1"/>
    <w:rsid w:val="005B6E04"/>
    <w:rsid w:val="005C3F3A"/>
    <w:rsid w:val="005C7092"/>
    <w:rsid w:val="005D291E"/>
    <w:rsid w:val="005D5D1D"/>
    <w:rsid w:val="005E0236"/>
    <w:rsid w:val="005E0C18"/>
    <w:rsid w:val="005E285F"/>
    <w:rsid w:val="005E498C"/>
    <w:rsid w:val="005F0D4C"/>
    <w:rsid w:val="005F3826"/>
    <w:rsid w:val="006249FE"/>
    <w:rsid w:val="00625A7E"/>
    <w:rsid w:val="00637E89"/>
    <w:rsid w:val="00652E55"/>
    <w:rsid w:val="00656F76"/>
    <w:rsid w:val="006644E2"/>
    <w:rsid w:val="00681A30"/>
    <w:rsid w:val="006959A1"/>
    <w:rsid w:val="006B7D96"/>
    <w:rsid w:val="006C146C"/>
    <w:rsid w:val="006C5265"/>
    <w:rsid w:val="006D65CA"/>
    <w:rsid w:val="006E03B8"/>
    <w:rsid w:val="006E0466"/>
    <w:rsid w:val="006E10AA"/>
    <w:rsid w:val="006E7A9A"/>
    <w:rsid w:val="006F0A24"/>
    <w:rsid w:val="006F762F"/>
    <w:rsid w:val="00706AF6"/>
    <w:rsid w:val="0070719B"/>
    <w:rsid w:val="00707805"/>
    <w:rsid w:val="00711280"/>
    <w:rsid w:val="00711A79"/>
    <w:rsid w:val="00730990"/>
    <w:rsid w:val="00731B83"/>
    <w:rsid w:val="00733A0B"/>
    <w:rsid w:val="00734E20"/>
    <w:rsid w:val="00740CDC"/>
    <w:rsid w:val="00744502"/>
    <w:rsid w:val="007451E3"/>
    <w:rsid w:val="0075283D"/>
    <w:rsid w:val="00755ECA"/>
    <w:rsid w:val="00760C83"/>
    <w:rsid w:val="00772340"/>
    <w:rsid w:val="00774721"/>
    <w:rsid w:val="00774A3A"/>
    <w:rsid w:val="00775308"/>
    <w:rsid w:val="00777815"/>
    <w:rsid w:val="0078238F"/>
    <w:rsid w:val="00782433"/>
    <w:rsid w:val="00794D4E"/>
    <w:rsid w:val="007954F1"/>
    <w:rsid w:val="007A4606"/>
    <w:rsid w:val="007A5247"/>
    <w:rsid w:val="007A5E3C"/>
    <w:rsid w:val="007B4C29"/>
    <w:rsid w:val="007B58FE"/>
    <w:rsid w:val="007E22EE"/>
    <w:rsid w:val="007E2E53"/>
    <w:rsid w:val="007F2215"/>
    <w:rsid w:val="007F3D3E"/>
    <w:rsid w:val="007F6CD5"/>
    <w:rsid w:val="00801AF0"/>
    <w:rsid w:val="00801F78"/>
    <w:rsid w:val="0080427A"/>
    <w:rsid w:val="008076C5"/>
    <w:rsid w:val="00826603"/>
    <w:rsid w:val="00834337"/>
    <w:rsid w:val="00841465"/>
    <w:rsid w:val="008436DF"/>
    <w:rsid w:val="0085020F"/>
    <w:rsid w:val="00851317"/>
    <w:rsid w:val="00852E9D"/>
    <w:rsid w:val="008537EA"/>
    <w:rsid w:val="008544D9"/>
    <w:rsid w:val="00864909"/>
    <w:rsid w:val="008739EA"/>
    <w:rsid w:val="00874352"/>
    <w:rsid w:val="008751DC"/>
    <w:rsid w:val="00875D52"/>
    <w:rsid w:val="00887AE3"/>
    <w:rsid w:val="008906BD"/>
    <w:rsid w:val="00896AFC"/>
    <w:rsid w:val="008A00AA"/>
    <w:rsid w:val="008A0ED2"/>
    <w:rsid w:val="008B71E4"/>
    <w:rsid w:val="008B7A1C"/>
    <w:rsid w:val="008C0145"/>
    <w:rsid w:val="008C20D5"/>
    <w:rsid w:val="008C3A55"/>
    <w:rsid w:val="008C7B08"/>
    <w:rsid w:val="008F6156"/>
    <w:rsid w:val="008F7C71"/>
    <w:rsid w:val="00900FA8"/>
    <w:rsid w:val="00904915"/>
    <w:rsid w:val="009077F7"/>
    <w:rsid w:val="00915102"/>
    <w:rsid w:val="00916C39"/>
    <w:rsid w:val="00917065"/>
    <w:rsid w:val="00925C91"/>
    <w:rsid w:val="009261D4"/>
    <w:rsid w:val="0093062D"/>
    <w:rsid w:val="009436B5"/>
    <w:rsid w:val="00943B52"/>
    <w:rsid w:val="009545D9"/>
    <w:rsid w:val="009561F2"/>
    <w:rsid w:val="00956849"/>
    <w:rsid w:val="009620D8"/>
    <w:rsid w:val="009676A2"/>
    <w:rsid w:val="00971CC1"/>
    <w:rsid w:val="0098667A"/>
    <w:rsid w:val="00992007"/>
    <w:rsid w:val="009B07E1"/>
    <w:rsid w:val="009B6DD7"/>
    <w:rsid w:val="009B7A59"/>
    <w:rsid w:val="009C003A"/>
    <w:rsid w:val="009C5A12"/>
    <w:rsid w:val="009D19E0"/>
    <w:rsid w:val="009F1E85"/>
    <w:rsid w:val="009F4B8E"/>
    <w:rsid w:val="009F4C76"/>
    <w:rsid w:val="00A022A2"/>
    <w:rsid w:val="00A10F50"/>
    <w:rsid w:val="00A21A5D"/>
    <w:rsid w:val="00A24C4F"/>
    <w:rsid w:val="00A364D7"/>
    <w:rsid w:val="00A4299B"/>
    <w:rsid w:val="00A43B4E"/>
    <w:rsid w:val="00A45EFE"/>
    <w:rsid w:val="00A46A0C"/>
    <w:rsid w:val="00A53203"/>
    <w:rsid w:val="00A60DA7"/>
    <w:rsid w:val="00A618A3"/>
    <w:rsid w:val="00A74D62"/>
    <w:rsid w:val="00A7539E"/>
    <w:rsid w:val="00A77973"/>
    <w:rsid w:val="00A811DF"/>
    <w:rsid w:val="00A81CAE"/>
    <w:rsid w:val="00A82D3E"/>
    <w:rsid w:val="00A8659C"/>
    <w:rsid w:val="00A87A9E"/>
    <w:rsid w:val="00A87BB2"/>
    <w:rsid w:val="00A96863"/>
    <w:rsid w:val="00A9788A"/>
    <w:rsid w:val="00A97A30"/>
    <w:rsid w:val="00AA49AF"/>
    <w:rsid w:val="00AA7796"/>
    <w:rsid w:val="00AA7936"/>
    <w:rsid w:val="00AB3068"/>
    <w:rsid w:val="00AB4104"/>
    <w:rsid w:val="00AC3829"/>
    <w:rsid w:val="00AD2239"/>
    <w:rsid w:val="00AD43FD"/>
    <w:rsid w:val="00AD5AEB"/>
    <w:rsid w:val="00AE0498"/>
    <w:rsid w:val="00AE48F2"/>
    <w:rsid w:val="00AE7976"/>
    <w:rsid w:val="00AF390A"/>
    <w:rsid w:val="00B10A9D"/>
    <w:rsid w:val="00B11523"/>
    <w:rsid w:val="00B21D63"/>
    <w:rsid w:val="00B26BFA"/>
    <w:rsid w:val="00B26FA2"/>
    <w:rsid w:val="00B27FD5"/>
    <w:rsid w:val="00B31225"/>
    <w:rsid w:val="00B3389E"/>
    <w:rsid w:val="00B417BE"/>
    <w:rsid w:val="00B436DA"/>
    <w:rsid w:val="00B51B2F"/>
    <w:rsid w:val="00B52C4B"/>
    <w:rsid w:val="00B63040"/>
    <w:rsid w:val="00B63566"/>
    <w:rsid w:val="00B646F0"/>
    <w:rsid w:val="00B66CC3"/>
    <w:rsid w:val="00B66D1A"/>
    <w:rsid w:val="00B80362"/>
    <w:rsid w:val="00B902B0"/>
    <w:rsid w:val="00B9395C"/>
    <w:rsid w:val="00B97D10"/>
    <w:rsid w:val="00BA0CFF"/>
    <w:rsid w:val="00BA333E"/>
    <w:rsid w:val="00BA4A6B"/>
    <w:rsid w:val="00BB5024"/>
    <w:rsid w:val="00BB6815"/>
    <w:rsid w:val="00BB76FA"/>
    <w:rsid w:val="00BC5AFF"/>
    <w:rsid w:val="00BD28E2"/>
    <w:rsid w:val="00BD56B3"/>
    <w:rsid w:val="00BE4C69"/>
    <w:rsid w:val="00BE5E44"/>
    <w:rsid w:val="00BF75B3"/>
    <w:rsid w:val="00C13852"/>
    <w:rsid w:val="00C21E29"/>
    <w:rsid w:val="00C22BD4"/>
    <w:rsid w:val="00C3637D"/>
    <w:rsid w:val="00C41146"/>
    <w:rsid w:val="00C42FE1"/>
    <w:rsid w:val="00C46ADB"/>
    <w:rsid w:val="00C50143"/>
    <w:rsid w:val="00C5672D"/>
    <w:rsid w:val="00C61511"/>
    <w:rsid w:val="00C7165F"/>
    <w:rsid w:val="00C800A0"/>
    <w:rsid w:val="00C94689"/>
    <w:rsid w:val="00CA0BFF"/>
    <w:rsid w:val="00CA1C8A"/>
    <w:rsid w:val="00CA5802"/>
    <w:rsid w:val="00CA5D0E"/>
    <w:rsid w:val="00CA769B"/>
    <w:rsid w:val="00CB0650"/>
    <w:rsid w:val="00CB4325"/>
    <w:rsid w:val="00CB465C"/>
    <w:rsid w:val="00CB6CC8"/>
    <w:rsid w:val="00CC1AA1"/>
    <w:rsid w:val="00CC2E3B"/>
    <w:rsid w:val="00CD7FF4"/>
    <w:rsid w:val="00CE0E77"/>
    <w:rsid w:val="00CF4277"/>
    <w:rsid w:val="00D01BA5"/>
    <w:rsid w:val="00D04307"/>
    <w:rsid w:val="00D0752B"/>
    <w:rsid w:val="00D10EC0"/>
    <w:rsid w:val="00D14F50"/>
    <w:rsid w:val="00D31421"/>
    <w:rsid w:val="00D3263D"/>
    <w:rsid w:val="00D33948"/>
    <w:rsid w:val="00D4004F"/>
    <w:rsid w:val="00D4079B"/>
    <w:rsid w:val="00D41267"/>
    <w:rsid w:val="00D44747"/>
    <w:rsid w:val="00D458EC"/>
    <w:rsid w:val="00D46F84"/>
    <w:rsid w:val="00D5154A"/>
    <w:rsid w:val="00D51E2F"/>
    <w:rsid w:val="00D52B20"/>
    <w:rsid w:val="00D56A72"/>
    <w:rsid w:val="00D575B2"/>
    <w:rsid w:val="00D646DE"/>
    <w:rsid w:val="00D9266B"/>
    <w:rsid w:val="00DA2B95"/>
    <w:rsid w:val="00DB636A"/>
    <w:rsid w:val="00DC2112"/>
    <w:rsid w:val="00DD0DE6"/>
    <w:rsid w:val="00DD5445"/>
    <w:rsid w:val="00DE152A"/>
    <w:rsid w:val="00DF0F43"/>
    <w:rsid w:val="00E00EB0"/>
    <w:rsid w:val="00E01B08"/>
    <w:rsid w:val="00E07B8B"/>
    <w:rsid w:val="00E13E4D"/>
    <w:rsid w:val="00E14D48"/>
    <w:rsid w:val="00E221DB"/>
    <w:rsid w:val="00E250FE"/>
    <w:rsid w:val="00E40D9F"/>
    <w:rsid w:val="00E57798"/>
    <w:rsid w:val="00E57BDE"/>
    <w:rsid w:val="00E61C72"/>
    <w:rsid w:val="00E6317B"/>
    <w:rsid w:val="00E66C4C"/>
    <w:rsid w:val="00E75569"/>
    <w:rsid w:val="00E8156C"/>
    <w:rsid w:val="00E904B5"/>
    <w:rsid w:val="00E94690"/>
    <w:rsid w:val="00E94D20"/>
    <w:rsid w:val="00E95E15"/>
    <w:rsid w:val="00E978B2"/>
    <w:rsid w:val="00EA2693"/>
    <w:rsid w:val="00EA336B"/>
    <w:rsid w:val="00EA64B3"/>
    <w:rsid w:val="00EC1458"/>
    <w:rsid w:val="00EE594B"/>
    <w:rsid w:val="00EE6BBA"/>
    <w:rsid w:val="00EE78D9"/>
    <w:rsid w:val="00EF35FF"/>
    <w:rsid w:val="00EF73E5"/>
    <w:rsid w:val="00F125A5"/>
    <w:rsid w:val="00F14551"/>
    <w:rsid w:val="00F148F2"/>
    <w:rsid w:val="00F17B24"/>
    <w:rsid w:val="00F2291B"/>
    <w:rsid w:val="00F243D9"/>
    <w:rsid w:val="00F3556C"/>
    <w:rsid w:val="00F45A99"/>
    <w:rsid w:val="00F477F8"/>
    <w:rsid w:val="00F478EB"/>
    <w:rsid w:val="00F51FEE"/>
    <w:rsid w:val="00F576BA"/>
    <w:rsid w:val="00F603C0"/>
    <w:rsid w:val="00F61769"/>
    <w:rsid w:val="00F746C9"/>
    <w:rsid w:val="00F74A23"/>
    <w:rsid w:val="00F75FCF"/>
    <w:rsid w:val="00F77D6C"/>
    <w:rsid w:val="00F90543"/>
    <w:rsid w:val="00FA25AF"/>
    <w:rsid w:val="00FA2931"/>
    <w:rsid w:val="00FA34E8"/>
    <w:rsid w:val="00FC0049"/>
    <w:rsid w:val="00FC6673"/>
    <w:rsid w:val="00FD0FCF"/>
    <w:rsid w:val="00FD6B7E"/>
    <w:rsid w:val="00FE170A"/>
    <w:rsid w:val="00FE27D8"/>
    <w:rsid w:val="00FF0C14"/>
    <w:rsid w:val="00FF1A2C"/>
    <w:rsid w:val="00FF3370"/>
    <w:rsid w:val="00FF6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3486F"/>
  <w15:docId w15:val="{408D95F4-6E9B-420F-99E9-76D3A5FF0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53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D52"/>
    <w:pPr>
      <w:ind w:left="720"/>
      <w:contextualSpacing/>
    </w:pPr>
  </w:style>
  <w:style w:type="paragraph" w:styleId="EndnoteText">
    <w:name w:val="endnote text"/>
    <w:basedOn w:val="Normal"/>
    <w:link w:val="EndnoteTextChar"/>
    <w:uiPriority w:val="99"/>
    <w:semiHidden/>
    <w:unhideWhenUsed/>
    <w:rsid w:val="00AD2239"/>
    <w:rPr>
      <w:sz w:val="20"/>
      <w:szCs w:val="20"/>
    </w:rPr>
  </w:style>
  <w:style w:type="character" w:customStyle="1" w:styleId="EndnoteTextChar">
    <w:name w:val="Endnote Text Char"/>
    <w:basedOn w:val="DefaultParagraphFont"/>
    <w:link w:val="EndnoteText"/>
    <w:uiPriority w:val="99"/>
    <w:semiHidden/>
    <w:rsid w:val="00AD2239"/>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AD2239"/>
    <w:rPr>
      <w:vertAlign w:val="superscript"/>
    </w:rPr>
  </w:style>
  <w:style w:type="paragraph" w:styleId="FootnoteText">
    <w:name w:val="footnote text"/>
    <w:basedOn w:val="Normal"/>
    <w:link w:val="FootnoteTextChar"/>
    <w:semiHidden/>
    <w:unhideWhenUsed/>
    <w:rsid w:val="00AD2239"/>
    <w:rPr>
      <w:sz w:val="20"/>
      <w:szCs w:val="20"/>
    </w:rPr>
  </w:style>
  <w:style w:type="character" w:customStyle="1" w:styleId="FootnoteTextChar">
    <w:name w:val="Footnote Text Char"/>
    <w:basedOn w:val="DefaultParagraphFont"/>
    <w:link w:val="FootnoteText"/>
    <w:semiHidden/>
    <w:rsid w:val="00AD2239"/>
    <w:rPr>
      <w:rFonts w:ascii="Times New Roman" w:eastAsia="Times New Roman" w:hAnsi="Times New Roman" w:cs="Times New Roman"/>
      <w:sz w:val="20"/>
      <w:szCs w:val="20"/>
    </w:rPr>
  </w:style>
  <w:style w:type="character" w:styleId="FootnoteReference">
    <w:name w:val="footnote reference"/>
    <w:basedOn w:val="DefaultParagraphFont"/>
    <w:unhideWhenUsed/>
    <w:rsid w:val="00AD2239"/>
    <w:rPr>
      <w:vertAlign w:val="superscript"/>
    </w:rPr>
  </w:style>
  <w:style w:type="character" w:styleId="CommentReference">
    <w:name w:val="annotation reference"/>
    <w:basedOn w:val="DefaultParagraphFont"/>
    <w:semiHidden/>
    <w:rsid w:val="00CB465C"/>
    <w:rPr>
      <w:sz w:val="16"/>
      <w:szCs w:val="16"/>
    </w:rPr>
  </w:style>
  <w:style w:type="paragraph" w:styleId="CommentText">
    <w:name w:val="annotation text"/>
    <w:basedOn w:val="Normal"/>
    <w:semiHidden/>
    <w:rsid w:val="00CB465C"/>
    <w:rPr>
      <w:sz w:val="20"/>
      <w:szCs w:val="20"/>
    </w:rPr>
  </w:style>
  <w:style w:type="paragraph" w:styleId="CommentSubject">
    <w:name w:val="annotation subject"/>
    <w:basedOn w:val="CommentText"/>
    <w:next w:val="CommentText"/>
    <w:semiHidden/>
    <w:rsid w:val="00CB465C"/>
    <w:rPr>
      <w:b/>
      <w:bCs/>
    </w:rPr>
  </w:style>
  <w:style w:type="paragraph" w:styleId="BalloonText">
    <w:name w:val="Balloon Text"/>
    <w:basedOn w:val="Normal"/>
    <w:semiHidden/>
    <w:rsid w:val="00CB465C"/>
    <w:rPr>
      <w:rFonts w:ascii="Tahoma" w:hAnsi="Tahoma" w:cs="Tahoma"/>
      <w:sz w:val="16"/>
      <w:szCs w:val="16"/>
    </w:rPr>
  </w:style>
  <w:style w:type="paragraph" w:styleId="Header">
    <w:name w:val="header"/>
    <w:basedOn w:val="Normal"/>
    <w:rsid w:val="00FC6673"/>
    <w:pPr>
      <w:tabs>
        <w:tab w:val="center" w:pos="4320"/>
        <w:tab w:val="right" w:pos="8640"/>
      </w:tabs>
    </w:pPr>
  </w:style>
  <w:style w:type="paragraph" w:styleId="Footer">
    <w:name w:val="footer"/>
    <w:basedOn w:val="Normal"/>
    <w:link w:val="FooterChar"/>
    <w:uiPriority w:val="99"/>
    <w:rsid w:val="00FC6673"/>
    <w:pPr>
      <w:tabs>
        <w:tab w:val="center" w:pos="4320"/>
        <w:tab w:val="right" w:pos="8640"/>
      </w:tabs>
    </w:pPr>
  </w:style>
  <w:style w:type="character" w:customStyle="1" w:styleId="FooterChar">
    <w:name w:val="Footer Char"/>
    <w:basedOn w:val="DefaultParagraphFont"/>
    <w:link w:val="Footer"/>
    <w:uiPriority w:val="99"/>
    <w:rsid w:val="00D4079B"/>
    <w:rPr>
      <w:rFonts w:ascii="Times New Roman" w:eastAsia="Times New Roman" w:hAnsi="Times New Roman"/>
      <w:sz w:val="24"/>
      <w:szCs w:val="24"/>
    </w:rPr>
  </w:style>
  <w:style w:type="paragraph" w:styleId="Revision">
    <w:name w:val="Revision"/>
    <w:hidden/>
    <w:uiPriority w:val="99"/>
    <w:semiHidden/>
    <w:rsid w:val="00583394"/>
    <w:rPr>
      <w:rFonts w:ascii="Times New Roman" w:eastAsia="Times New Roman" w:hAnsi="Times New Roman"/>
      <w:sz w:val="24"/>
      <w:szCs w:val="24"/>
    </w:rPr>
  </w:style>
  <w:style w:type="table" w:styleId="TableGrid">
    <w:name w:val="Table Grid"/>
    <w:basedOn w:val="TableNormal"/>
    <w:uiPriority w:val="59"/>
    <w:rsid w:val="00565C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qFormat/>
    <w:rsid w:val="00DA2B95"/>
    <w:pPr>
      <w:tabs>
        <w:tab w:val="left" w:pos="360"/>
      </w:tabs>
      <w:spacing w:line="300" w:lineRule="atLeast"/>
    </w:pPr>
    <w:rPr>
      <w:rFonts w:eastAsia="Times"/>
      <w:szCs w:val="20"/>
    </w:rPr>
  </w:style>
  <w:style w:type="character" w:customStyle="1" w:styleId="BodyTextChar">
    <w:name w:val="Body Text Char"/>
    <w:basedOn w:val="DefaultParagraphFont"/>
    <w:link w:val="BodyText"/>
    <w:rsid w:val="00DA2B95"/>
    <w:rPr>
      <w:rFonts w:ascii="Times New Roman" w:eastAsia="Times" w:hAnsi="Times New Roman"/>
      <w:sz w:val="24"/>
    </w:rPr>
  </w:style>
  <w:style w:type="character" w:styleId="Hyperlink">
    <w:name w:val="Hyperlink"/>
    <w:basedOn w:val="DefaultParagraphFont"/>
    <w:uiPriority w:val="99"/>
    <w:unhideWhenUsed/>
    <w:rsid w:val="000B2631"/>
    <w:rPr>
      <w:color w:val="0000FF" w:themeColor="hyperlink"/>
      <w:u w:val="single"/>
    </w:rPr>
  </w:style>
  <w:style w:type="character" w:styleId="UnresolvedMention">
    <w:name w:val="Unresolved Mention"/>
    <w:basedOn w:val="DefaultParagraphFont"/>
    <w:uiPriority w:val="99"/>
    <w:semiHidden/>
    <w:unhideWhenUsed/>
    <w:rsid w:val="000B2631"/>
    <w:rPr>
      <w:color w:val="605E5C"/>
      <w:shd w:val="clear" w:color="auto" w:fill="E1DFDD"/>
    </w:rPr>
  </w:style>
  <w:style w:type="character" w:styleId="FollowedHyperlink">
    <w:name w:val="FollowedHyperlink"/>
    <w:basedOn w:val="DefaultParagraphFont"/>
    <w:uiPriority w:val="99"/>
    <w:semiHidden/>
    <w:unhideWhenUsed/>
    <w:rsid w:val="000B2631"/>
    <w:rPr>
      <w:color w:val="800080" w:themeColor="followedHyperlink"/>
      <w:u w:val="single"/>
    </w:rPr>
  </w:style>
  <w:style w:type="paragraph" w:customStyle="1" w:styleId="Default">
    <w:name w:val="Default"/>
    <w:rsid w:val="0036004C"/>
    <w:pPr>
      <w:autoSpaceDE w:val="0"/>
      <w:autoSpaceDN w:val="0"/>
      <w:adjustRightInd w:val="0"/>
    </w:pPr>
    <w:rPr>
      <w:rFonts w:ascii="Times New Roman" w:hAnsi="Times New Roman"/>
      <w:color w:val="000000"/>
      <w:sz w:val="24"/>
      <w:szCs w:val="24"/>
    </w:rPr>
  </w:style>
  <w:style w:type="paragraph" w:styleId="NoSpacing">
    <w:name w:val="No Spacing"/>
    <w:uiPriority w:val="1"/>
    <w:qFormat/>
    <w:rsid w:val="00801F7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57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rts.ca.gov/cms/rules/index.cfm?title=ten&amp;linkid=rule10_68"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courts.ca.gov/cms/rules/index.cfm?title=ten&amp;linkid=rule10_68" TargetMode="External"/><Relationship Id="rId4" Type="http://schemas.openxmlformats.org/officeDocument/2006/relationships/settings" Target="settings.xml"/><Relationship Id="rId9" Type="http://schemas.openxmlformats.org/officeDocument/2006/relationships/hyperlink" Target="https://www.courts.ca.gov/cms/rules/index.cfm?title=ten&amp;linkid=rule10_68"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intranet.jud.ca.gov/documents/reference/Advisory_Body_Operating_Standards.pdf?15427367195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1046E-ECD5-422C-9600-5E9A0D9CE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1993</Words>
  <Characters>11420</Characters>
  <Application>Microsoft Office Word</Application>
  <DocSecurity>0</DocSecurity>
  <Lines>326</Lines>
  <Paragraphs>126</Paragraphs>
  <ScaleCrop>false</ScaleCrop>
  <HeadingPairs>
    <vt:vector size="2" baseType="variant">
      <vt:variant>
        <vt:lpstr>Title</vt:lpstr>
      </vt:variant>
      <vt:variant>
        <vt:i4>1</vt:i4>
      </vt:variant>
    </vt:vector>
  </HeadingPairs>
  <TitlesOfParts>
    <vt:vector size="1" baseType="lpstr">
      <vt:lpstr>Annual Agenda Template</vt:lpstr>
    </vt:vector>
  </TitlesOfParts>
  <Company>Judicial Council of California</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Agenda Template</dc:title>
  <dc:creator>Judicial Council Services/Josely Yangco-Fronda</dc:creator>
  <cp:lastModifiedBy>Ho, Lana</cp:lastModifiedBy>
  <cp:revision>2</cp:revision>
  <cp:lastPrinted>2019-12-09T19:51:00Z</cp:lastPrinted>
  <dcterms:created xsi:type="dcterms:W3CDTF">2022-12-08T22:47:00Z</dcterms:created>
  <dcterms:modified xsi:type="dcterms:W3CDTF">2022-12-08T22:47:00Z</dcterms:modified>
</cp:coreProperties>
</file>