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72A" w:rsidRDefault="00ED472A"/>
    <w:p w:rsidR="00CF0D00" w:rsidRDefault="00CF0D00">
      <w:pPr>
        <w:sectPr w:rsidR="00CF0D00" w:rsidSect="002E6E84">
          <w:headerReference w:type="default" r:id="rId8"/>
          <w:headerReference w:type="first" r:id="rId9"/>
          <w:pgSz w:w="12240" w:h="15840" w:code="1"/>
          <w:pgMar w:top="720" w:right="1440" w:bottom="1440" w:left="1440" w:header="490" w:footer="720" w:gutter="0"/>
          <w:cols w:space="720"/>
          <w:titlePg/>
          <w:docGrid w:linePitch="360"/>
        </w:sectPr>
      </w:pPr>
    </w:p>
    <w:p w:rsidR="00B55E12" w:rsidRPr="00B55E12" w:rsidRDefault="004953A3" w:rsidP="00EF0129">
      <w:pPr>
        <w:spacing w:line="240" w:lineRule="auto"/>
        <w:rPr>
          <w:color w:val="FF0000"/>
        </w:rPr>
      </w:pPr>
      <w:bookmarkStart w:id="0" w:name="bmDate"/>
      <w:bookmarkStart w:id="1" w:name="bmStart"/>
      <w:bookmarkEnd w:id="0"/>
      <w:bookmarkEnd w:id="1"/>
      <w:r>
        <w:lastRenderedPageBreak/>
        <w:t>January 7, 2016</w:t>
      </w:r>
    </w:p>
    <w:p w:rsidR="00B55E12" w:rsidRPr="00B55E12" w:rsidRDefault="00B55E12" w:rsidP="00EF0129">
      <w:pPr>
        <w:spacing w:line="240" w:lineRule="auto"/>
      </w:pPr>
    </w:p>
    <w:p w:rsidR="00B55E12" w:rsidRPr="00B55E12" w:rsidRDefault="00B55E12" w:rsidP="00EF0129">
      <w:pPr>
        <w:spacing w:line="240" w:lineRule="auto"/>
      </w:pPr>
    </w:p>
    <w:p w:rsidR="00B55E12" w:rsidRPr="00B55E12" w:rsidRDefault="00B55E12" w:rsidP="00EF0129">
      <w:pPr>
        <w:spacing w:line="240" w:lineRule="auto"/>
      </w:pPr>
    </w:p>
    <w:p w:rsidR="004953A3" w:rsidRDefault="004953A3" w:rsidP="004953A3">
      <w:pPr>
        <w:spacing w:line="240" w:lineRule="auto"/>
      </w:pPr>
    </w:p>
    <w:p w:rsidR="00B55E12" w:rsidRPr="00B55E12" w:rsidRDefault="004953A3" w:rsidP="004953A3">
      <w:pPr>
        <w:spacing w:line="240" w:lineRule="auto"/>
      </w:pPr>
      <w:r>
        <w:t>Hon. Das Williams</w:t>
      </w:r>
      <w:r w:rsidR="00B55E12" w:rsidRPr="00B55E12">
        <w:t>, Chair</w:t>
      </w:r>
    </w:p>
    <w:p w:rsidR="00B55E12" w:rsidRPr="00B55E12" w:rsidRDefault="004953A3" w:rsidP="00EF0129">
      <w:pPr>
        <w:spacing w:line="240" w:lineRule="auto"/>
      </w:pPr>
      <w:r>
        <w:t>Assembly Natural Resources</w:t>
      </w:r>
      <w:r w:rsidR="00B55E12" w:rsidRPr="00B55E12">
        <w:t xml:space="preserve"> Committee</w:t>
      </w:r>
    </w:p>
    <w:p w:rsidR="00B55E12" w:rsidRPr="00B55E12" w:rsidRDefault="00B55E12" w:rsidP="00EF0129">
      <w:pPr>
        <w:spacing w:line="240" w:lineRule="auto"/>
      </w:pPr>
      <w:r w:rsidRPr="00B55E12">
        <w:t xml:space="preserve">State Capitol, Room </w:t>
      </w:r>
      <w:r w:rsidR="004953A3">
        <w:t>4005</w:t>
      </w:r>
    </w:p>
    <w:p w:rsidR="00B55E12" w:rsidRPr="00B55E12" w:rsidRDefault="00B55E12" w:rsidP="00EF0129">
      <w:pPr>
        <w:spacing w:line="240" w:lineRule="auto"/>
      </w:pPr>
      <w:r w:rsidRPr="00B55E12">
        <w:t>Sacramento, California  95814</w:t>
      </w:r>
    </w:p>
    <w:p w:rsidR="00B55E12" w:rsidRPr="00B55E12" w:rsidRDefault="00B55E12" w:rsidP="00EF0129">
      <w:pPr>
        <w:spacing w:line="240" w:lineRule="auto"/>
      </w:pPr>
    </w:p>
    <w:p w:rsidR="00B55E12" w:rsidRPr="00B55E12" w:rsidRDefault="00B55E12" w:rsidP="00EF0129">
      <w:pPr>
        <w:spacing w:line="240" w:lineRule="auto"/>
      </w:pPr>
      <w:r w:rsidRPr="00B55E12">
        <w:t>Subject:</w:t>
      </w:r>
      <w:r w:rsidRPr="00B55E12">
        <w:tab/>
      </w:r>
      <w:r w:rsidR="004953A3">
        <w:t>AB 1474 (Salas) as amended January 4, 2016</w:t>
      </w:r>
      <w:r w:rsidRPr="00B55E12">
        <w:t xml:space="preserve"> - </w:t>
      </w:r>
      <w:r w:rsidR="004953A3">
        <w:t>Oppose</w:t>
      </w:r>
    </w:p>
    <w:p w:rsidR="00B55E12" w:rsidRPr="00B55E12" w:rsidRDefault="00B55E12" w:rsidP="00EF0129">
      <w:pPr>
        <w:spacing w:line="240" w:lineRule="auto"/>
      </w:pPr>
      <w:r w:rsidRPr="00B55E12">
        <w:t>Hearing:</w:t>
      </w:r>
      <w:r w:rsidRPr="00B55E12">
        <w:tab/>
      </w:r>
      <w:r w:rsidR="004953A3">
        <w:t xml:space="preserve">Assembly Natural Resources </w:t>
      </w:r>
      <w:r w:rsidRPr="00B55E12">
        <w:t>Committee</w:t>
      </w:r>
      <w:r w:rsidR="004953A3">
        <w:t>–January 11, 2016</w:t>
      </w:r>
    </w:p>
    <w:p w:rsidR="00B55E12" w:rsidRPr="00B55E12" w:rsidRDefault="00B55E12" w:rsidP="00EF0129">
      <w:pPr>
        <w:spacing w:line="240" w:lineRule="auto"/>
      </w:pPr>
    </w:p>
    <w:p w:rsidR="00B55E12" w:rsidRPr="00B55E12" w:rsidRDefault="004953A3" w:rsidP="00EF0129">
      <w:pPr>
        <w:spacing w:line="240" w:lineRule="auto"/>
      </w:pPr>
      <w:r>
        <w:t xml:space="preserve">Dear </w:t>
      </w:r>
      <w:r w:rsidR="00B55E12" w:rsidRPr="00B55E12">
        <w:t>Assembly Member</w:t>
      </w:r>
      <w:r>
        <w:t xml:space="preserve"> Williams</w:t>
      </w:r>
      <w:r w:rsidR="00B55E12" w:rsidRPr="00B55E12">
        <w:t>:</w:t>
      </w:r>
    </w:p>
    <w:p w:rsidR="00B55E12" w:rsidRDefault="00B55E12" w:rsidP="00EF0129">
      <w:pPr>
        <w:spacing w:line="240" w:lineRule="auto"/>
      </w:pPr>
    </w:p>
    <w:p w:rsidR="0078361A" w:rsidRPr="00BE3C0C" w:rsidRDefault="0078361A" w:rsidP="0078361A">
      <w:pPr>
        <w:tabs>
          <w:tab w:val="left" w:pos="360"/>
        </w:tabs>
      </w:pPr>
      <w:r w:rsidRPr="00B55E12">
        <w:t xml:space="preserve">The Judicial Council </w:t>
      </w:r>
      <w:r>
        <w:t xml:space="preserve">is </w:t>
      </w:r>
      <w:r>
        <w:t>oppos</w:t>
      </w:r>
      <w:r>
        <w:t xml:space="preserve">ed </w:t>
      </w:r>
      <w:r>
        <w:t>to</w:t>
      </w:r>
      <w:r w:rsidRPr="00B55E12">
        <w:t xml:space="preserve"> AB</w:t>
      </w:r>
      <w:r>
        <w:t xml:space="preserve"> 1473</w:t>
      </w:r>
      <w:r w:rsidRPr="00B55E12">
        <w:t xml:space="preserve">, </w:t>
      </w:r>
      <w:r>
        <w:t xml:space="preserve">as amended January 4, 2016, </w:t>
      </w:r>
      <w:r w:rsidRPr="00B55E12">
        <w:t xml:space="preserve">which </w:t>
      </w:r>
      <w:r>
        <w:t>would e</w:t>
      </w:r>
      <w:r w:rsidRPr="00BE3C0C">
        <w:t xml:space="preserve">xtend for four years the sunset on </w:t>
      </w:r>
      <w:r>
        <w:t xml:space="preserve">the expedited judicial review provisions in </w:t>
      </w:r>
      <w:r w:rsidRPr="00BE3C0C">
        <w:t xml:space="preserve">AB 900 (Stats. 2011, </w:t>
      </w:r>
      <w:proofErr w:type="spellStart"/>
      <w:r w:rsidRPr="00BE3C0C">
        <w:t>ch.</w:t>
      </w:r>
      <w:proofErr w:type="spellEnd"/>
      <w:r w:rsidRPr="00BE3C0C">
        <w:t xml:space="preserve"> 354)</w:t>
      </w:r>
      <w:r>
        <w:t xml:space="preserve"> that apply to specified</w:t>
      </w:r>
      <w:r w:rsidRPr="00BE3C0C">
        <w:t xml:space="preserve"> cases filed under the California Environmental Quality Act (CEQA).</w:t>
      </w:r>
      <w:r>
        <w:t xml:space="preserve"> It is important to note that the Judicial Council’s concerns regarding AB 1473 are limited solely to the court impacts of the legislation, which are detailed below. The Judicial Council is not expressing any views on CEQA generally or the underlying merits of the projects that would be covered by this bill, as those issues are outside the council’s purview.</w:t>
      </w:r>
    </w:p>
    <w:p w:rsidR="0078361A" w:rsidRDefault="0078361A" w:rsidP="0078361A">
      <w:pPr>
        <w:spacing w:line="240" w:lineRule="auto"/>
      </w:pPr>
    </w:p>
    <w:p w:rsidR="0078361A" w:rsidRPr="00BE3C0C" w:rsidRDefault="0078361A" w:rsidP="0078361A">
      <w:pPr>
        <w:autoSpaceDE w:val="0"/>
        <w:autoSpaceDN w:val="0"/>
        <w:adjustRightInd w:val="0"/>
      </w:pPr>
      <w:r>
        <w:rPr>
          <w:rFonts w:ascii="TimesNewRoman" w:hAnsi="TimesNewRoman" w:cs="TimesNewRoman"/>
        </w:rPr>
        <w:t>As we noted with the other recent bills that have sought to expand AB 900, re</w:t>
      </w:r>
      <w:r w:rsidRPr="00BE3C0C">
        <w:t xml:space="preserve">quiring that a CEQA lawsuit challenging </w:t>
      </w:r>
      <w:r>
        <w:t xml:space="preserve">the </w:t>
      </w:r>
      <w:r w:rsidRPr="00BE3C0C">
        <w:t xml:space="preserve">additional projects that may be certified </w:t>
      </w:r>
      <w:r>
        <w:t>for this form of expedited judicial review</w:t>
      </w:r>
      <w:r w:rsidRPr="00BE3C0C">
        <w:t xml:space="preserve">, including any appeals therefrom, be resolved within 270 days is problematic for a number of reasons. First, the timeline is triggered by </w:t>
      </w:r>
      <w:r w:rsidRPr="00BE3C0C">
        <w:rPr>
          <w:i/>
        </w:rPr>
        <w:t>the certification of the record</w:t>
      </w:r>
      <w:r w:rsidRPr="00BE3C0C">
        <w:t xml:space="preserve">, which is an action that takes place </w:t>
      </w:r>
      <w:r w:rsidRPr="00BE3C0C">
        <w:rPr>
          <w:i/>
        </w:rPr>
        <w:t>before</w:t>
      </w:r>
      <w:r w:rsidRPr="00BE3C0C">
        <w:t xml:space="preserve"> the court has any jurisdiction or control over the proceedings. This means that the extremely tight 270-day period in which the trial court and Court of Appeal must issue their respective decisions on an action could—and likely would—begin weeks before the lawsuit is even filed. It makes no sense to have something that occurs before the matter even comes to the courts start the courts’ already limited time period to complete their work. </w:t>
      </w:r>
    </w:p>
    <w:p w:rsidR="0078361A" w:rsidRPr="00BE3C0C" w:rsidRDefault="0078361A" w:rsidP="0078361A">
      <w:pPr>
        <w:tabs>
          <w:tab w:val="left" w:pos="1440"/>
        </w:tabs>
      </w:pPr>
    </w:p>
    <w:p w:rsidR="0078361A" w:rsidRDefault="0078361A" w:rsidP="0078361A">
      <w:pPr>
        <w:tabs>
          <w:tab w:val="left" w:pos="1440"/>
        </w:tabs>
      </w:pPr>
      <w:r w:rsidRPr="00BE3C0C">
        <w:t xml:space="preserve">Second, the 270-day timeline will likely be unworkable in practice. During the council’s development process for the rules to implement AB 900, it became clear that 175 days (which was the timeline under the enacted version of that bill) is an unrealistically short timeframe for the Court of Appeal to decide a large CEQA matter. As was the case for initial review in the Court of Appeal, even assuming that no extensions of time are granted for any aspect of the proceeding, it appears that it will take about 175 days just to get to hearing in the superior court, </w:t>
      </w:r>
    </w:p>
    <w:p w:rsidR="0078361A" w:rsidRPr="00BE3C0C" w:rsidRDefault="0078361A" w:rsidP="0078361A">
      <w:pPr>
        <w:tabs>
          <w:tab w:val="left" w:pos="1440"/>
        </w:tabs>
      </w:pPr>
      <w:proofErr w:type="gramStart"/>
      <w:r>
        <w:t>m</w:t>
      </w:r>
      <w:r w:rsidRPr="00BE3C0C">
        <w:t>uch</w:t>
      </w:r>
      <w:proofErr w:type="gramEnd"/>
      <w:r w:rsidRPr="00BE3C0C">
        <w:t xml:space="preserve"> less to issue a decision, in the majority of these cases. Even if the superior court were able to issue its decision within 175 days, which </w:t>
      </w:r>
      <w:r>
        <w:t>seems</w:t>
      </w:r>
      <w:r w:rsidRPr="00BE3C0C">
        <w:t xml:space="preserve"> unlikely, that would leave only 95 days for proceedings in the Court of Appeal, which appears to be infeasible.</w:t>
      </w:r>
      <w:r w:rsidRPr="00BE3C0C">
        <w:rPr>
          <w:vertAlign w:val="superscript"/>
        </w:rPr>
        <w:footnoteReference w:id="1"/>
      </w:r>
      <w:r w:rsidRPr="00BE3C0C">
        <w:t xml:space="preserve">  </w:t>
      </w:r>
    </w:p>
    <w:p w:rsidR="0078361A" w:rsidRPr="00BE3C0C" w:rsidRDefault="0078361A" w:rsidP="0078361A">
      <w:pPr>
        <w:tabs>
          <w:tab w:val="left" w:pos="360"/>
        </w:tabs>
        <w:rPr>
          <w:sz w:val="16"/>
          <w:szCs w:val="16"/>
        </w:rPr>
      </w:pPr>
    </w:p>
    <w:p w:rsidR="0078361A" w:rsidRPr="00BE3C0C" w:rsidRDefault="0078361A" w:rsidP="0078361A">
      <w:pPr>
        <w:tabs>
          <w:tab w:val="left" w:pos="1440"/>
        </w:tabs>
      </w:pPr>
      <w:r w:rsidRPr="00BE3C0C">
        <w:t xml:space="preserve">Third, </w:t>
      </w:r>
      <w:r>
        <w:t xml:space="preserve">if AB 1473 is enacted, </w:t>
      </w:r>
      <w:r w:rsidRPr="00BE3C0C">
        <w:t xml:space="preserve">the expedited judicial review requirements for any additional projects </w:t>
      </w:r>
      <w:r>
        <w:t xml:space="preserve">that may be </w:t>
      </w:r>
      <w:r w:rsidRPr="00BE3C0C">
        <w:t>certified under AB 900 will likely have an adverse impact on other cases. Like other types of calendar preferences, which the Judicial Council has historically opposed, setting an extremely tight timeline for deciding these cases has the practical effect of pushing other cases on the courts’ dockets to the back of the line. This means that other cases, including cases that have statutorily mandated calendar preferences, such as juvenile cases, criminal cases, and civil cases in which a party is at risk of dying, will take longer to decide. Moreover, delays in the administration of justice that would likely result from any expansion of this expedited judicial review approach would be even more pronounced in light of the ongoing fiscal limitations faced by the judicial branch.</w:t>
      </w:r>
    </w:p>
    <w:p w:rsidR="0078361A" w:rsidRPr="00BE3C0C" w:rsidRDefault="0078361A" w:rsidP="0078361A">
      <w:pPr>
        <w:tabs>
          <w:tab w:val="left" w:pos="360"/>
        </w:tabs>
        <w:rPr>
          <w:sz w:val="16"/>
          <w:szCs w:val="16"/>
        </w:rPr>
      </w:pPr>
    </w:p>
    <w:p w:rsidR="0078361A" w:rsidRPr="00BE3C0C" w:rsidRDefault="0078361A" w:rsidP="0078361A">
      <w:pPr>
        <w:autoSpaceDE w:val="0"/>
        <w:autoSpaceDN w:val="0"/>
        <w:adjustRightInd w:val="0"/>
      </w:pPr>
      <w:r w:rsidRPr="00BE3C0C">
        <w:t xml:space="preserve">Fourth, providing expedited judicial review for </w:t>
      </w:r>
      <w:r>
        <w:t xml:space="preserve">additional </w:t>
      </w:r>
      <w:r w:rsidRPr="00BE3C0C">
        <w:t xml:space="preserve">projects </w:t>
      </w:r>
      <w:r>
        <w:t xml:space="preserve">that may be </w:t>
      </w:r>
      <w:r w:rsidRPr="00BE3C0C">
        <w:t xml:space="preserve">covered by </w:t>
      </w:r>
      <w:r>
        <w:t xml:space="preserve">the bill’s proposed expansion of </w:t>
      </w:r>
      <w:r w:rsidRPr="00BE3C0C">
        <w:t>AB 900 while other cases proceed under the usual civil procedure rules and timelines undermines equal access to justice. The courts are charged with dispensing equal access to justice for each and every case on their dockets. Singling out this special type of case for such preferential treatment appears at odds with how our justice system has historically functioned.</w:t>
      </w:r>
    </w:p>
    <w:p w:rsidR="0078361A" w:rsidRPr="00BE3C0C" w:rsidRDefault="0078361A" w:rsidP="0078361A">
      <w:pPr>
        <w:autoSpaceDE w:val="0"/>
        <w:autoSpaceDN w:val="0"/>
        <w:adjustRightInd w:val="0"/>
      </w:pPr>
    </w:p>
    <w:p w:rsidR="0078361A" w:rsidRPr="00BE3C0C" w:rsidRDefault="0078361A" w:rsidP="0078361A">
      <w:pPr>
        <w:autoSpaceDE w:val="0"/>
        <w:autoSpaceDN w:val="0"/>
        <w:adjustRightInd w:val="0"/>
      </w:pPr>
      <w:r w:rsidRPr="00BE3C0C">
        <w:t xml:space="preserve">In addition to the above, the provision in AB 900 that significantly limits the forms of relief that the court may use in any action challenging such projects sets a dangerous precedent by interfering with the inherent authority of a judicial officer, which in turn raises a serious separation of powers question.  </w:t>
      </w:r>
    </w:p>
    <w:p w:rsidR="0078361A" w:rsidRPr="00B55E12" w:rsidRDefault="0078361A" w:rsidP="00EF0129">
      <w:pPr>
        <w:spacing w:line="240" w:lineRule="auto"/>
      </w:pPr>
    </w:p>
    <w:p w:rsidR="004953A3" w:rsidRDefault="004953A3" w:rsidP="00074669">
      <w:r w:rsidRPr="00B55E12">
        <w:t xml:space="preserve">For these reasons, the Judicial Council </w:t>
      </w:r>
      <w:r w:rsidR="00074669">
        <w:t xml:space="preserve">opposes </w:t>
      </w:r>
      <w:r>
        <w:t xml:space="preserve">AB 1473. </w:t>
      </w:r>
    </w:p>
    <w:p w:rsidR="00A06C96" w:rsidRDefault="00A06C96" w:rsidP="00074669"/>
    <w:p w:rsidR="00A06C96" w:rsidRDefault="00A06C96" w:rsidP="00074669">
      <w:r>
        <w:t>Should you have any questions or require any additional information, please contact Daniel Pone at (916) 323-3121 or daniel.pone@jud.ca.gov.</w:t>
      </w:r>
    </w:p>
    <w:p w:rsidR="004953A3" w:rsidRDefault="004953A3" w:rsidP="004953A3">
      <w:pPr>
        <w:spacing w:line="240" w:lineRule="auto"/>
      </w:pPr>
    </w:p>
    <w:p w:rsidR="004953A3" w:rsidRPr="00B55E12" w:rsidRDefault="004953A3" w:rsidP="004953A3">
      <w:pPr>
        <w:spacing w:line="240" w:lineRule="auto"/>
      </w:pPr>
      <w:r w:rsidRPr="00B55E12">
        <w:t>Sincerely,</w:t>
      </w:r>
    </w:p>
    <w:p w:rsidR="004953A3" w:rsidRPr="00B55E12" w:rsidRDefault="004953A3" w:rsidP="004953A3">
      <w:pPr>
        <w:spacing w:line="240" w:lineRule="auto"/>
      </w:pPr>
    </w:p>
    <w:p w:rsidR="004953A3" w:rsidRPr="00B55E12" w:rsidRDefault="004953A3" w:rsidP="004953A3">
      <w:pPr>
        <w:spacing w:line="240" w:lineRule="auto"/>
      </w:pPr>
    </w:p>
    <w:p w:rsidR="004953A3" w:rsidRPr="00B55E12" w:rsidRDefault="004953A3" w:rsidP="004953A3">
      <w:pPr>
        <w:spacing w:line="240" w:lineRule="auto"/>
      </w:pPr>
    </w:p>
    <w:p w:rsidR="004953A3" w:rsidRPr="00B55E12" w:rsidRDefault="004953A3" w:rsidP="004953A3">
      <w:pPr>
        <w:spacing w:line="240" w:lineRule="auto"/>
      </w:pPr>
    </w:p>
    <w:p w:rsidR="004953A3" w:rsidRPr="00B55E12" w:rsidRDefault="00A06C96" w:rsidP="004953A3">
      <w:pPr>
        <w:spacing w:line="240" w:lineRule="auto"/>
      </w:pPr>
      <w:r>
        <w:t>Cory T. Jasperson</w:t>
      </w:r>
    </w:p>
    <w:p w:rsidR="004953A3" w:rsidRPr="00B55E12" w:rsidRDefault="00A06C96" w:rsidP="004953A3">
      <w:pPr>
        <w:spacing w:line="240" w:lineRule="auto"/>
      </w:pPr>
      <w:r>
        <w:t>Director</w:t>
      </w:r>
      <w:bookmarkStart w:id="2" w:name="_GoBack"/>
      <w:bookmarkEnd w:id="2"/>
    </w:p>
    <w:p w:rsidR="004953A3" w:rsidRPr="00B55E12" w:rsidRDefault="004953A3" w:rsidP="004953A3">
      <w:pPr>
        <w:spacing w:line="240" w:lineRule="auto"/>
      </w:pPr>
    </w:p>
    <w:p w:rsidR="004953A3" w:rsidRPr="00B55E12" w:rsidRDefault="004953A3" w:rsidP="004953A3">
      <w:pPr>
        <w:spacing w:line="240" w:lineRule="auto"/>
      </w:pPr>
    </w:p>
    <w:p w:rsidR="004953A3" w:rsidRPr="00B55E12" w:rsidRDefault="004953A3" w:rsidP="004953A3">
      <w:pPr>
        <w:spacing w:line="240" w:lineRule="auto"/>
      </w:pPr>
      <w:r>
        <w:t>DAP/ml</w:t>
      </w:r>
    </w:p>
    <w:p w:rsidR="00B55E12" w:rsidRPr="00B55E12" w:rsidRDefault="00B55E12" w:rsidP="0011175A">
      <w:pPr>
        <w:spacing w:line="276" w:lineRule="auto"/>
      </w:pPr>
      <w:r w:rsidRPr="00B55E12">
        <w:t>cc:</w:t>
      </w:r>
      <w:r w:rsidRPr="00B55E12">
        <w:tab/>
        <w:t xml:space="preserve">Members, </w:t>
      </w:r>
      <w:r w:rsidR="0011175A">
        <w:t>Assembly Natural Resources</w:t>
      </w:r>
      <w:r w:rsidR="00CA18BC">
        <w:t xml:space="preserve"> </w:t>
      </w:r>
      <w:r w:rsidRPr="00B55E12">
        <w:t>Committee</w:t>
      </w:r>
    </w:p>
    <w:p w:rsidR="00B55E12" w:rsidRPr="00B55E12" w:rsidRDefault="007968E7" w:rsidP="00EF0129">
      <w:pPr>
        <w:spacing w:line="240" w:lineRule="auto"/>
        <w:ind w:left="720"/>
      </w:pPr>
      <w:r>
        <w:t xml:space="preserve">Hon. </w:t>
      </w:r>
      <w:r w:rsidR="0011175A">
        <w:t>Rudy Salas, Jr., Member of the Assembly</w:t>
      </w:r>
    </w:p>
    <w:p w:rsidR="00B55E12" w:rsidRPr="00B55E12" w:rsidRDefault="00CA18BC" w:rsidP="00EF0129">
      <w:pPr>
        <w:spacing w:line="240" w:lineRule="auto"/>
        <w:ind w:left="720"/>
      </w:pPr>
      <w:r>
        <w:t>Mr. Lawrence Lingbloom</w:t>
      </w:r>
      <w:r w:rsidR="00B55E12" w:rsidRPr="00B55E12">
        <w:t xml:space="preserve">, Chief </w:t>
      </w:r>
      <w:r>
        <w:t>Consultant, Assembly Natural Resources Committee</w:t>
      </w:r>
    </w:p>
    <w:p w:rsidR="00B55E12" w:rsidRDefault="00CA18BC" w:rsidP="00EF0129">
      <w:pPr>
        <w:spacing w:line="240" w:lineRule="auto"/>
        <w:ind w:left="720"/>
      </w:pPr>
      <w:r>
        <w:t>Mr. John Kennedy</w:t>
      </w:r>
      <w:r w:rsidR="00B55E12" w:rsidRPr="00B55E12">
        <w:t xml:space="preserve">, Consultant, Assembly </w:t>
      </w:r>
      <w:r>
        <w:t>Republican Office of Policy and Budget</w:t>
      </w:r>
    </w:p>
    <w:p w:rsidR="00C81C5B" w:rsidRDefault="00C81C5B" w:rsidP="00EF0129">
      <w:pPr>
        <w:tabs>
          <w:tab w:val="left" w:pos="450"/>
        </w:tabs>
      </w:pPr>
      <w:r w:rsidRPr="00C81C5B">
        <w:tab/>
      </w:r>
      <w:r>
        <w:tab/>
      </w:r>
      <w:r w:rsidRPr="00C81C5B">
        <w:t>Ms. June Clark, Deputy Legislative Affairs Secretary, Office of the Governor</w:t>
      </w:r>
    </w:p>
    <w:p w:rsidR="00013953" w:rsidRPr="00C81C5B" w:rsidRDefault="00013953" w:rsidP="00EF0129">
      <w:pPr>
        <w:tabs>
          <w:tab w:val="left" w:pos="450"/>
        </w:tabs>
      </w:pPr>
      <w:r>
        <w:tab/>
      </w:r>
      <w:r>
        <w:tab/>
        <w:t>Mr. Martin Hoshino, Administrative Director, Judicial Council of California</w:t>
      </w:r>
    </w:p>
    <w:p w:rsidR="00CF0D00" w:rsidRPr="00C7146A" w:rsidRDefault="00CF0D00" w:rsidP="00C7146A">
      <w:pPr>
        <w:spacing w:line="276" w:lineRule="auto"/>
        <w:rPr>
          <w:b/>
          <w:color w:val="FF0000"/>
        </w:rPr>
      </w:pPr>
    </w:p>
    <w:sectPr w:rsidR="00CF0D00" w:rsidRPr="00C7146A" w:rsidSect="009E721F">
      <w:type w:val="continuous"/>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86A" w:rsidRDefault="008D386A" w:rsidP="00B6505E">
      <w:r>
        <w:separator/>
      </w:r>
    </w:p>
  </w:endnote>
  <w:endnote w:type="continuationSeparator" w:id="0">
    <w:p w:rsidR="008D386A" w:rsidRDefault="008D386A" w:rsidP="00B6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TimesNewRoman">
    <w:altName w:val="Times New Roman"/>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86A" w:rsidRDefault="008D386A" w:rsidP="00B6505E">
      <w:r>
        <w:separator/>
      </w:r>
    </w:p>
  </w:footnote>
  <w:footnote w:type="continuationSeparator" w:id="0">
    <w:p w:rsidR="008D386A" w:rsidRDefault="008D386A" w:rsidP="00B6505E">
      <w:r>
        <w:continuationSeparator/>
      </w:r>
    </w:p>
  </w:footnote>
  <w:footnote w:id="1">
    <w:p w:rsidR="0078361A" w:rsidRDefault="0078361A" w:rsidP="0078361A">
      <w:pPr>
        <w:pStyle w:val="FootnoteText"/>
      </w:pPr>
      <w:r>
        <w:rPr>
          <w:rStyle w:val="FootnoteReference"/>
        </w:rPr>
        <w:footnoteRef/>
      </w:r>
      <w:r>
        <w:t xml:space="preserve"> In a typical civil appeal, it takes more than 95 days from when a trial court decision becomes final just for the record on appeal to be prepared and filed in the Court of Appeal. This does not include any time for briefing, oral argument, analysis of the issues, or preparation of a decision by the court.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922" w:rsidRDefault="00E71922">
    <w:pPr>
      <w:pStyle w:val="Header"/>
    </w:pPr>
    <w:r>
      <w:t xml:space="preserve">Hon. </w:t>
    </w:r>
    <w:r w:rsidR="00CA18BC">
      <w:t>Das Williams</w:t>
    </w:r>
  </w:p>
  <w:p w:rsidR="00B55E12" w:rsidRDefault="00CA18BC">
    <w:pPr>
      <w:pStyle w:val="Header"/>
    </w:pPr>
    <w:r>
      <w:t>January 7, 2016</w:t>
    </w:r>
  </w:p>
  <w:p w:rsidR="00B55E12" w:rsidRDefault="00B55E12" w:rsidP="00B55E12">
    <w:pPr>
      <w:pStyle w:val="HeaderPageNumber"/>
    </w:pPr>
    <w:r>
      <w:t xml:space="preserve">Page </w:t>
    </w:r>
    <w:r w:rsidR="00902D30">
      <w:fldChar w:fldCharType="begin"/>
    </w:r>
    <w:r w:rsidR="00902D30">
      <w:instrText xml:space="preserve"> PAGE  \* MERGEFORMAT </w:instrText>
    </w:r>
    <w:r w:rsidR="00902D30">
      <w:fldChar w:fldCharType="separate"/>
    </w:r>
    <w:r w:rsidR="00A06C96">
      <w:rPr>
        <w:noProof/>
      </w:rPr>
      <w:t>2</w:t>
    </w:r>
    <w:r w:rsidR="00902D30">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5E" w:rsidRDefault="00B6505E" w:rsidP="00B6505E">
    <w:pPr>
      <w:pStyle w:val="Header"/>
      <w:jc w:val="center"/>
    </w:pPr>
    <w:r>
      <w:rPr>
        <w:noProof/>
      </w:rPr>
      <w:drawing>
        <wp:inline distT="0" distB="0" distL="0" distR="0">
          <wp:extent cx="821381" cy="813816"/>
          <wp:effectExtent l="19050" t="0" r="0" b="0"/>
          <wp:docPr id="1" name="Picture 0" descr="JC_Sea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_Seal.emf"/>
                  <pic:cNvPicPr/>
                </pic:nvPicPr>
                <pic:blipFill>
                  <a:blip r:embed="rId1"/>
                  <a:stretch>
                    <a:fillRect/>
                  </a:stretch>
                </pic:blipFill>
                <pic:spPr>
                  <a:xfrm>
                    <a:off x="0" y="0"/>
                    <a:ext cx="821381" cy="813816"/>
                  </a:xfrm>
                  <a:prstGeom prst="rect">
                    <a:avLst/>
                  </a:prstGeom>
                </pic:spPr>
              </pic:pic>
            </a:graphicData>
          </a:graphic>
        </wp:inline>
      </w:drawing>
    </w:r>
  </w:p>
  <w:p w:rsidR="00A67E54" w:rsidRDefault="00A67E54" w:rsidP="00D715E1">
    <w:pPr>
      <w:pStyle w:val="JCCHeader"/>
    </w:pPr>
    <w:r w:rsidRPr="00A43BF6">
      <w:t>JUDICIAL COUNCIL OF CALIFORNIA</w:t>
    </w:r>
  </w:p>
  <w:p w:rsidR="00B55E12" w:rsidRPr="00DB4B82" w:rsidRDefault="00B55E12" w:rsidP="00B55E12">
    <w:pPr>
      <w:pStyle w:val="JCCAddressLine"/>
      <w:rPr>
        <w:sz w:val="17"/>
        <w:szCs w:val="17"/>
      </w:rPr>
    </w:pPr>
    <w:r w:rsidRPr="00DB4B82">
      <w:rPr>
        <w:sz w:val="17"/>
        <w:szCs w:val="17"/>
      </w:rPr>
      <w:t>GOVERNMENTAL AFFAIRS</w:t>
    </w:r>
  </w:p>
  <w:p w:rsidR="00F11CAA" w:rsidRPr="009F5403" w:rsidRDefault="00B55E12" w:rsidP="003E412A">
    <w:pPr>
      <w:pStyle w:val="JCCAddressLine"/>
    </w:pPr>
    <w:r>
      <w:t xml:space="preserve">770 L Street, Suite </w:t>
    </w:r>
    <w:proofErr w:type="gramStart"/>
    <w:r>
      <w:t xml:space="preserve">1240 </w:t>
    </w:r>
    <w:r w:rsidR="00F11CAA" w:rsidRPr="009F5403">
      <w:t xml:space="preserve"> </w:t>
    </w:r>
    <w:r w:rsidR="00F11CAA" w:rsidRPr="009F5403">
      <w:rPr>
        <w:position w:val="4"/>
        <w:sz w:val="44"/>
        <w:szCs w:val="44"/>
      </w:rPr>
      <w:t>.</w:t>
    </w:r>
    <w:proofErr w:type="gramEnd"/>
    <w:r w:rsidR="00F11CAA" w:rsidRPr="009F5403">
      <w:t xml:space="preserve"> </w:t>
    </w:r>
    <w:r>
      <w:t>Sacramento, California 95814-3368</w:t>
    </w:r>
  </w:p>
  <w:p w:rsidR="00F11CAA" w:rsidRDefault="004953A3" w:rsidP="003E412A">
    <w:pPr>
      <w:pStyle w:val="JCCAddressLine"/>
    </w:pPr>
    <w:r>
      <w:rPr>
        <w:noProof/>
      </w:rPr>
      <mc:AlternateContent>
        <mc:Choice Requires="wps">
          <w:drawing>
            <wp:anchor distT="0" distB="0" distL="114300" distR="114300" simplePos="0" relativeHeight="251658240" behindDoc="0" locked="0" layoutInCell="1" allowOverlap="1" wp14:anchorId="53F72FC7" wp14:editId="4CF0C760">
              <wp:simplePos x="0" y="0"/>
              <wp:positionH relativeFrom="page">
                <wp:posOffset>485775</wp:posOffset>
              </wp:positionH>
              <wp:positionV relativeFrom="paragraph">
                <wp:posOffset>233680</wp:posOffset>
              </wp:positionV>
              <wp:extent cx="1718945" cy="11430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143000"/>
                      </a:xfrm>
                      <a:prstGeom prst="rect">
                        <a:avLst/>
                      </a:prstGeom>
                      <a:solidFill>
                        <a:srgbClr val="FFFFFF"/>
                      </a:solid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5C39C8" w:rsidRDefault="005C39C8" w:rsidP="005D4413">
                          <w:pPr>
                            <w:pStyle w:val="JCCName"/>
                          </w:pPr>
                          <w:r>
                            <w:t>TANI G. CANTIL-SAKAUYE</w:t>
                          </w:r>
                        </w:p>
                        <w:p w:rsidR="005C39C8" w:rsidRPr="004A687B" w:rsidRDefault="005C39C8" w:rsidP="005D4413">
                          <w:pPr>
                            <w:pStyle w:val="JCCTitle"/>
                          </w:pPr>
                          <w:r w:rsidRPr="004A687B">
                            <w:t>Chief Justice of California</w:t>
                          </w:r>
                        </w:p>
                        <w:p w:rsidR="005C39C8" w:rsidRPr="004A687B" w:rsidRDefault="005C39C8" w:rsidP="005D4413">
                          <w:pPr>
                            <w:pStyle w:val="JCCTitle"/>
                          </w:pPr>
                          <w:r w:rsidRPr="004A687B">
                            <w:t>Chair of the Judicial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72FC7" id="_x0000_t202" coordsize="21600,21600" o:spt="202" path="m,l,21600r21600,l21600,xe">
              <v:stroke joinstyle="miter"/>
              <v:path gradientshapeok="t" o:connecttype="rect"/>
            </v:shapetype>
            <v:shape id="Text Box 1" o:spid="_x0000_s1026" type="#_x0000_t202" style="position:absolute;left:0;text-align:left;margin-left:38.25pt;margin-top:18.4pt;width:135.35pt;height:9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" stroked="f" strokecolor="black [3213]" strokeweight=".25pt">
              <v:textbox inset="0,0,0,0">
                <w:txbxContent>
                  <w:p w:rsidR="005C39C8" w:rsidRDefault="005C39C8" w:rsidP="005D4413">
                    <w:pPr>
                      <w:pStyle w:val="JCCName"/>
                    </w:pPr>
                    <w:r>
                      <w:t>TANI G. CANTIL-SAKAUYE</w:t>
                    </w:r>
                  </w:p>
                  <w:p w:rsidR="005C39C8" w:rsidRPr="004A687B" w:rsidRDefault="005C39C8" w:rsidP="005D4413">
                    <w:pPr>
                      <w:pStyle w:val="JCCTitle"/>
                    </w:pPr>
                    <w:r w:rsidRPr="004A687B">
                      <w:t>Chief Justice of California</w:t>
                    </w:r>
                  </w:p>
                  <w:p w:rsidR="005C39C8" w:rsidRPr="004A687B" w:rsidRDefault="005C39C8" w:rsidP="005D4413">
                    <w:pPr>
                      <w:pStyle w:val="JCCTitle"/>
                    </w:pPr>
                    <w:r w:rsidRPr="004A687B">
                      <w:t>Chair of the Judicial Council</w:t>
                    </w:r>
                  </w:p>
                </w:txbxContent>
              </v:textbox>
              <w10:wrap type="square" anchorx="page"/>
            </v:shape>
          </w:pict>
        </mc:Fallback>
      </mc:AlternateContent>
    </w:r>
    <w:r w:rsidR="00F11CAA" w:rsidRPr="009F5403">
      <w:t xml:space="preserve">Telephone </w:t>
    </w:r>
    <w:r w:rsidR="00B55E12">
      <w:t>916-323-</w:t>
    </w:r>
    <w:proofErr w:type="gramStart"/>
    <w:r w:rsidR="00B55E12">
      <w:t>3121</w:t>
    </w:r>
    <w:r w:rsidR="00F11CAA" w:rsidRPr="009F5403">
      <w:t xml:space="preserve"> </w:t>
    </w:r>
    <w:r w:rsidR="00F11CAA" w:rsidRPr="009F5403">
      <w:rPr>
        <w:position w:val="4"/>
        <w:sz w:val="44"/>
        <w:szCs w:val="44"/>
      </w:rPr>
      <w:t>.</w:t>
    </w:r>
    <w:proofErr w:type="gramEnd"/>
    <w:r w:rsidR="00F11CAA" w:rsidRPr="009F5403">
      <w:t xml:space="preserve"> Fax </w:t>
    </w:r>
    <w:r w:rsidR="00B55E12">
      <w:t>916-323-</w:t>
    </w:r>
    <w:proofErr w:type="gramStart"/>
    <w:r w:rsidR="00B55E12">
      <w:t>4347</w:t>
    </w:r>
    <w:r w:rsidR="00F11CAA" w:rsidRPr="009F5403">
      <w:t xml:space="preserve"> </w:t>
    </w:r>
    <w:r w:rsidR="00F11CAA" w:rsidRPr="009F5403">
      <w:rPr>
        <w:position w:val="4"/>
        <w:sz w:val="44"/>
        <w:szCs w:val="44"/>
      </w:rPr>
      <w:t>.</w:t>
    </w:r>
    <w:proofErr w:type="gramEnd"/>
    <w:r w:rsidR="00F11CAA" w:rsidRPr="009F5403">
      <w:t xml:space="preserve"> TDD 415-865-4272</w:t>
    </w:r>
  </w:p>
  <w:p w:rsidR="009F5403" w:rsidRPr="009F5403" w:rsidRDefault="009F5403" w:rsidP="003E412A">
    <w:pPr>
      <w:pStyle w:val="JCCAddressLine"/>
    </w:pPr>
  </w:p>
  <w:p w:rsidR="00A67E54" w:rsidRDefault="00870940" w:rsidP="005C39C8">
    <w:pPr>
      <w:pStyle w:val="Header"/>
    </w:pPr>
    <w:r>
      <w:rPr>
        <w:noProof/>
      </w:rPr>
      <mc:AlternateContent>
        <mc:Choice Requires="wps">
          <w:drawing>
            <wp:anchor distT="0" distB="0" distL="114300" distR="114300" simplePos="0" relativeHeight="251660288" behindDoc="1" locked="0" layoutInCell="1" allowOverlap="1" wp14:anchorId="666A5A99" wp14:editId="192284D0">
              <wp:simplePos x="0" y="0"/>
              <wp:positionH relativeFrom="column">
                <wp:posOffset>5038090</wp:posOffset>
              </wp:positionH>
              <wp:positionV relativeFrom="page">
                <wp:posOffset>2195830</wp:posOffset>
              </wp:positionV>
              <wp:extent cx="1481455" cy="118872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188720"/>
                      </a:xfrm>
                      <a:prstGeom prst="rect">
                        <a:avLst/>
                      </a:prstGeom>
                      <a:solidFill>
                        <a:srgbClr val="FFFFFF"/>
                      </a:solid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264195" w:rsidRDefault="00455976" w:rsidP="005D4413">
                          <w:pPr>
                            <w:pStyle w:val="JCCName"/>
                          </w:pPr>
                          <w:r w:rsidRPr="00455976">
                            <w:t>MARTIN HOSHINO</w:t>
                          </w:r>
                        </w:p>
                        <w:p w:rsidR="0013290A" w:rsidRDefault="002910D3" w:rsidP="005D4413">
                          <w:pPr>
                            <w:pStyle w:val="JCCTitle"/>
                          </w:pPr>
                          <w:r>
                            <w:t>Administrative Director</w:t>
                          </w:r>
                        </w:p>
                        <w:p w:rsidR="002910D3" w:rsidRDefault="00B55E12" w:rsidP="005D4413">
                          <w:pPr>
                            <w:pStyle w:val="JCCName"/>
                          </w:pPr>
                          <w:r>
                            <w:t>CORY T. JASPERSON</w:t>
                          </w:r>
                        </w:p>
                        <w:p w:rsidR="002910D3" w:rsidRDefault="00B55E12" w:rsidP="005D4413">
                          <w:pPr>
                            <w:pStyle w:val="JCCTitle"/>
                          </w:pPr>
                          <w:r>
                            <w:t>Director, Governmental Affairs</w:t>
                          </w:r>
                        </w:p>
                        <w:p w:rsidR="00CB32B4" w:rsidRDefault="00CB32B4" w:rsidP="005D4413">
                          <w:pPr>
                            <w:pStyle w:val="JCCName"/>
                          </w:pPr>
                        </w:p>
                        <w:p w:rsidR="00020796" w:rsidRDefault="00020796" w:rsidP="005D4413">
                          <w:pPr>
                            <w:pStyle w:val="JCCTit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A5A99" id="Text Box 4" o:spid="_x0000_s1027" type="#_x0000_t202" style="position:absolute;margin-left:396.7pt;margin-top:172.9pt;width:116.65pt;height:9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" stroked="f" strokecolor="black [3213]" strokeweight=".25pt">
              <v:textbox inset="0,0,0,0">
                <w:txbxContent>
                  <w:p w:rsidR="00264195" w:rsidRDefault="00455976" w:rsidP="005D4413">
                    <w:pPr>
                      <w:pStyle w:val="JCCName"/>
                    </w:pPr>
                    <w:r w:rsidRPr="00455976">
                      <w:t>MARTIN HOSHINO</w:t>
                    </w:r>
                  </w:p>
                  <w:p w:rsidR="0013290A" w:rsidRDefault="002910D3" w:rsidP="005D4413">
                    <w:pPr>
                      <w:pStyle w:val="JCCTitle"/>
                    </w:pPr>
                    <w:r>
                      <w:t>Administrative Director</w:t>
                    </w:r>
                  </w:p>
                  <w:p w:rsidR="002910D3" w:rsidRDefault="00B55E12" w:rsidP="005D4413">
                    <w:pPr>
                      <w:pStyle w:val="JCCName"/>
                    </w:pPr>
                    <w:r>
                      <w:t>CORY T. JASPERSON</w:t>
                    </w:r>
                  </w:p>
                  <w:p w:rsidR="002910D3" w:rsidRDefault="00B55E12" w:rsidP="005D4413">
                    <w:pPr>
                      <w:pStyle w:val="JCCTitle"/>
                    </w:pPr>
                    <w:r>
                      <w:t>Director, Governmental Affairs</w:t>
                    </w:r>
                  </w:p>
                  <w:p w:rsidR="00CB32B4" w:rsidRDefault="00CB32B4" w:rsidP="005D4413">
                    <w:pPr>
                      <w:pStyle w:val="JCCName"/>
                    </w:pPr>
                  </w:p>
                  <w:p w:rsidR="00020796" w:rsidRDefault="00020796" w:rsidP="005D4413">
                    <w:pPr>
                      <w:pStyle w:val="JCCTitle"/>
                    </w:pPr>
                  </w:p>
                </w:txbxContent>
              </v:textbox>
              <w10:wrap type="topAndBottom" anchory="page"/>
            </v:shape>
          </w:pict>
        </mc:Fallback>
      </mc:AlternateContent>
    </w:r>
    <w:r>
      <w:rPr>
        <w:noProof/>
      </w:rPr>
      <mc:AlternateContent>
        <mc:Choice Requires="wps">
          <w:drawing>
            <wp:anchor distT="0" distB="0" distL="114300" distR="114300" simplePos="0" relativeHeight="251659264" behindDoc="0" locked="0" layoutInCell="1" allowOverlap="1" wp14:anchorId="5C4DE23F" wp14:editId="32ED7E0D">
              <wp:simplePos x="0" y="0"/>
              <wp:positionH relativeFrom="column">
                <wp:posOffset>1232535</wp:posOffset>
              </wp:positionH>
              <wp:positionV relativeFrom="paragraph">
                <wp:posOffset>19050</wp:posOffset>
              </wp:positionV>
              <wp:extent cx="2862580" cy="1143000"/>
              <wp:effectExtent l="3810" t="0" r="63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114300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3B465F" w:rsidRDefault="003B46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DE23F" id="Text Box 3" o:spid="_x0000_s1028" type="#_x0000_t202" style="position:absolute;margin-left:97.05pt;margin-top:1.5pt;width:225.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" stroked="f" strokeweight=".25pt">
              <v:textbox>
                <w:txbxContent>
                  <w:p w:rsidR="003B465F" w:rsidRDefault="003B465F"/>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C5965"/>
    <w:multiLevelType w:val="hybridMultilevel"/>
    <w:tmpl w:val="6CE28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3F"/>
    <w:rsid w:val="00013953"/>
    <w:rsid w:val="00013C71"/>
    <w:rsid w:val="000156BB"/>
    <w:rsid w:val="00020796"/>
    <w:rsid w:val="00074669"/>
    <w:rsid w:val="00075821"/>
    <w:rsid w:val="0007597B"/>
    <w:rsid w:val="000C306B"/>
    <w:rsid w:val="000E6B33"/>
    <w:rsid w:val="000F3B1C"/>
    <w:rsid w:val="001107F2"/>
    <w:rsid w:val="0011175A"/>
    <w:rsid w:val="0013290A"/>
    <w:rsid w:val="0013526B"/>
    <w:rsid w:val="001706E4"/>
    <w:rsid w:val="00192363"/>
    <w:rsid w:val="001D0A30"/>
    <w:rsid w:val="00264195"/>
    <w:rsid w:val="002910D3"/>
    <w:rsid w:val="002935D4"/>
    <w:rsid w:val="002D0548"/>
    <w:rsid w:val="002E6E84"/>
    <w:rsid w:val="00324DEF"/>
    <w:rsid w:val="00341BBC"/>
    <w:rsid w:val="00351D0D"/>
    <w:rsid w:val="003928CF"/>
    <w:rsid w:val="00394BCD"/>
    <w:rsid w:val="003B465F"/>
    <w:rsid w:val="003B48A4"/>
    <w:rsid w:val="003B7405"/>
    <w:rsid w:val="003C29CB"/>
    <w:rsid w:val="003E412A"/>
    <w:rsid w:val="004103A9"/>
    <w:rsid w:val="004325EF"/>
    <w:rsid w:val="00441125"/>
    <w:rsid w:val="0044741B"/>
    <w:rsid w:val="0045015B"/>
    <w:rsid w:val="00455976"/>
    <w:rsid w:val="00467BD6"/>
    <w:rsid w:val="00482B98"/>
    <w:rsid w:val="00491D4A"/>
    <w:rsid w:val="004953A3"/>
    <w:rsid w:val="004A687B"/>
    <w:rsid w:val="004C043E"/>
    <w:rsid w:val="004E757D"/>
    <w:rsid w:val="004F519A"/>
    <w:rsid w:val="004F769B"/>
    <w:rsid w:val="00510DCF"/>
    <w:rsid w:val="00514140"/>
    <w:rsid w:val="00537415"/>
    <w:rsid w:val="00540E80"/>
    <w:rsid w:val="00575BEB"/>
    <w:rsid w:val="005A0D0A"/>
    <w:rsid w:val="005B7382"/>
    <w:rsid w:val="005C39C8"/>
    <w:rsid w:val="005D4413"/>
    <w:rsid w:val="005E1767"/>
    <w:rsid w:val="005E2888"/>
    <w:rsid w:val="00615C84"/>
    <w:rsid w:val="00680C13"/>
    <w:rsid w:val="00696A80"/>
    <w:rsid w:val="006A0F59"/>
    <w:rsid w:val="006D5C04"/>
    <w:rsid w:val="0078361A"/>
    <w:rsid w:val="0079151A"/>
    <w:rsid w:val="007968E7"/>
    <w:rsid w:val="007B41D0"/>
    <w:rsid w:val="007F06F9"/>
    <w:rsid w:val="00824B98"/>
    <w:rsid w:val="00864F2D"/>
    <w:rsid w:val="00870940"/>
    <w:rsid w:val="00894B21"/>
    <w:rsid w:val="008D386A"/>
    <w:rsid w:val="008F0AE3"/>
    <w:rsid w:val="00902D30"/>
    <w:rsid w:val="009101C7"/>
    <w:rsid w:val="00946EEE"/>
    <w:rsid w:val="009577DA"/>
    <w:rsid w:val="009622AF"/>
    <w:rsid w:val="00985234"/>
    <w:rsid w:val="009E09E8"/>
    <w:rsid w:val="009E721F"/>
    <w:rsid w:val="009F5403"/>
    <w:rsid w:val="00A06C96"/>
    <w:rsid w:val="00A43BF6"/>
    <w:rsid w:val="00A65205"/>
    <w:rsid w:val="00A67E54"/>
    <w:rsid w:val="00B328F9"/>
    <w:rsid w:val="00B523D4"/>
    <w:rsid w:val="00B55E12"/>
    <w:rsid w:val="00B6505E"/>
    <w:rsid w:val="00B90853"/>
    <w:rsid w:val="00BD65AD"/>
    <w:rsid w:val="00C12304"/>
    <w:rsid w:val="00C52366"/>
    <w:rsid w:val="00C53E8E"/>
    <w:rsid w:val="00C7146A"/>
    <w:rsid w:val="00C7655A"/>
    <w:rsid w:val="00C81903"/>
    <w:rsid w:val="00C81C5B"/>
    <w:rsid w:val="00C93F77"/>
    <w:rsid w:val="00CA18BC"/>
    <w:rsid w:val="00CB32B4"/>
    <w:rsid w:val="00CD2E7D"/>
    <w:rsid w:val="00CE2AE4"/>
    <w:rsid w:val="00CF0D00"/>
    <w:rsid w:val="00CF153F"/>
    <w:rsid w:val="00D07FA6"/>
    <w:rsid w:val="00D239AF"/>
    <w:rsid w:val="00D4731E"/>
    <w:rsid w:val="00D50968"/>
    <w:rsid w:val="00D715E1"/>
    <w:rsid w:val="00DC4DE0"/>
    <w:rsid w:val="00DE26AE"/>
    <w:rsid w:val="00E2721A"/>
    <w:rsid w:val="00E362CC"/>
    <w:rsid w:val="00E71922"/>
    <w:rsid w:val="00E72925"/>
    <w:rsid w:val="00E83F72"/>
    <w:rsid w:val="00EA6935"/>
    <w:rsid w:val="00ED472A"/>
    <w:rsid w:val="00EF0129"/>
    <w:rsid w:val="00F11CAA"/>
    <w:rsid w:val="00F15309"/>
    <w:rsid w:val="00F77C19"/>
    <w:rsid w:val="00F9631B"/>
    <w:rsid w:val="00F97B57"/>
    <w:rsid w:val="00FA6D0A"/>
    <w:rsid w:val="00FA7129"/>
    <w:rsid w:val="00FB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1B6BCDF-B314-4971-A9AA-BBD50379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E7D"/>
    <w:pPr>
      <w:spacing w:line="300" w:lineRule="atLeast"/>
    </w:pPr>
    <w:rPr>
      <w:rFonts w:ascii="Times New Roman" w:eastAsia="Times" w:hAnsi="Times New Roman"/>
      <w:szCs w:val="20"/>
      <w:lang w:bidi="ar-SA"/>
    </w:rPr>
  </w:style>
  <w:style w:type="paragraph" w:styleId="Heading1">
    <w:name w:val="heading 1"/>
    <w:basedOn w:val="Normal"/>
    <w:next w:val="Normal"/>
    <w:link w:val="Heading1Char"/>
    <w:uiPriority w:val="9"/>
    <w:qFormat/>
    <w:rsid w:val="000C30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C30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C306B"/>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C306B"/>
    <w:pPr>
      <w:spacing w:before="240" w:after="60"/>
      <w:outlineLvl w:val="5"/>
    </w:pPr>
    <w:rPr>
      <w:b/>
      <w:bCs/>
    </w:rPr>
  </w:style>
  <w:style w:type="paragraph" w:styleId="Heading7">
    <w:name w:val="heading 7"/>
    <w:basedOn w:val="Normal"/>
    <w:next w:val="Normal"/>
    <w:link w:val="Heading7Char"/>
    <w:uiPriority w:val="9"/>
    <w:semiHidden/>
    <w:unhideWhenUsed/>
    <w:qFormat/>
    <w:rsid w:val="000C306B"/>
    <w:pPr>
      <w:spacing w:before="240" w:after="60"/>
      <w:outlineLvl w:val="6"/>
    </w:pPr>
  </w:style>
  <w:style w:type="paragraph" w:styleId="Heading8">
    <w:name w:val="heading 8"/>
    <w:basedOn w:val="Normal"/>
    <w:next w:val="Normal"/>
    <w:link w:val="Heading8Char"/>
    <w:uiPriority w:val="9"/>
    <w:semiHidden/>
    <w:unhideWhenUsed/>
    <w:qFormat/>
    <w:rsid w:val="000C306B"/>
    <w:pPr>
      <w:spacing w:before="240" w:after="60"/>
      <w:outlineLvl w:val="7"/>
    </w:pPr>
    <w:rPr>
      <w:i/>
      <w:iCs/>
    </w:rPr>
  </w:style>
  <w:style w:type="paragraph" w:styleId="Heading9">
    <w:name w:val="heading 9"/>
    <w:basedOn w:val="Normal"/>
    <w:next w:val="Normal"/>
    <w:link w:val="Heading9Char"/>
    <w:uiPriority w:val="9"/>
    <w:semiHidden/>
    <w:unhideWhenUsed/>
    <w:qFormat/>
    <w:rsid w:val="000C306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0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C30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C306B"/>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C306B"/>
    <w:rPr>
      <w:b/>
      <w:bCs/>
    </w:rPr>
  </w:style>
  <w:style w:type="character" w:customStyle="1" w:styleId="Heading7Char">
    <w:name w:val="Heading 7 Char"/>
    <w:basedOn w:val="DefaultParagraphFont"/>
    <w:link w:val="Heading7"/>
    <w:uiPriority w:val="9"/>
    <w:semiHidden/>
    <w:rsid w:val="000C306B"/>
    <w:rPr>
      <w:sz w:val="24"/>
      <w:szCs w:val="24"/>
    </w:rPr>
  </w:style>
  <w:style w:type="character" w:customStyle="1" w:styleId="Heading8Char">
    <w:name w:val="Heading 8 Char"/>
    <w:basedOn w:val="DefaultParagraphFont"/>
    <w:link w:val="Heading8"/>
    <w:uiPriority w:val="9"/>
    <w:semiHidden/>
    <w:rsid w:val="000C306B"/>
    <w:rPr>
      <w:i/>
      <w:iCs/>
      <w:sz w:val="24"/>
      <w:szCs w:val="24"/>
    </w:rPr>
  </w:style>
  <w:style w:type="character" w:customStyle="1" w:styleId="Heading9Char">
    <w:name w:val="Heading 9 Char"/>
    <w:basedOn w:val="DefaultParagraphFont"/>
    <w:link w:val="Heading9"/>
    <w:uiPriority w:val="9"/>
    <w:semiHidden/>
    <w:rsid w:val="000C306B"/>
    <w:rPr>
      <w:rFonts w:asciiTheme="majorHAnsi" w:eastAsiaTheme="majorEastAsia" w:hAnsiTheme="majorHAnsi"/>
    </w:rPr>
  </w:style>
  <w:style w:type="paragraph" w:styleId="Title">
    <w:name w:val="Title"/>
    <w:basedOn w:val="Normal"/>
    <w:next w:val="Normal"/>
    <w:link w:val="TitleChar"/>
    <w:uiPriority w:val="10"/>
    <w:qFormat/>
    <w:rsid w:val="000C30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C30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C30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C306B"/>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C306B"/>
    <w:pPr>
      <w:outlineLvl w:val="9"/>
    </w:pPr>
  </w:style>
  <w:style w:type="paragraph" w:styleId="Header">
    <w:name w:val="header"/>
    <w:basedOn w:val="Normal"/>
    <w:link w:val="HeaderChar"/>
    <w:rsid w:val="0079151A"/>
    <w:pPr>
      <w:tabs>
        <w:tab w:val="center" w:pos="4320"/>
        <w:tab w:val="right" w:pos="8640"/>
      </w:tabs>
    </w:pPr>
  </w:style>
  <w:style w:type="character" w:customStyle="1" w:styleId="HeaderChar">
    <w:name w:val="Header Char"/>
    <w:basedOn w:val="DefaultParagraphFont"/>
    <w:link w:val="Header"/>
    <w:rsid w:val="00B6505E"/>
    <w:rPr>
      <w:rFonts w:ascii="Times New Roman" w:eastAsia="Times" w:hAnsi="Times New Roman"/>
      <w:szCs w:val="20"/>
      <w:lang w:bidi="ar-SA"/>
    </w:rPr>
  </w:style>
  <w:style w:type="paragraph" w:styleId="Footer">
    <w:name w:val="footer"/>
    <w:basedOn w:val="Normal"/>
    <w:link w:val="FooterChar"/>
    <w:rsid w:val="0079151A"/>
    <w:pPr>
      <w:tabs>
        <w:tab w:val="center" w:pos="4320"/>
        <w:tab w:val="right" w:pos="8640"/>
      </w:tabs>
    </w:pPr>
    <w:rPr>
      <w:sz w:val="16"/>
    </w:rPr>
  </w:style>
  <w:style w:type="character" w:customStyle="1" w:styleId="FooterChar">
    <w:name w:val="Footer Char"/>
    <w:basedOn w:val="DefaultParagraphFont"/>
    <w:link w:val="Footer"/>
    <w:rsid w:val="00B6505E"/>
    <w:rPr>
      <w:rFonts w:ascii="Times New Roman" w:eastAsia="Times" w:hAnsi="Times New Roman"/>
      <w:sz w:val="16"/>
      <w:szCs w:val="20"/>
      <w:lang w:bidi="ar-SA"/>
    </w:rPr>
  </w:style>
  <w:style w:type="paragraph" w:styleId="BalloonText">
    <w:name w:val="Balloon Text"/>
    <w:basedOn w:val="Normal"/>
    <w:link w:val="BalloonTextChar"/>
    <w:uiPriority w:val="99"/>
    <w:semiHidden/>
    <w:unhideWhenUsed/>
    <w:rsid w:val="00B6505E"/>
    <w:rPr>
      <w:rFonts w:ascii="Tahoma" w:hAnsi="Tahoma" w:cs="Tahoma"/>
      <w:sz w:val="16"/>
      <w:szCs w:val="16"/>
    </w:rPr>
  </w:style>
  <w:style w:type="character" w:customStyle="1" w:styleId="BalloonTextChar">
    <w:name w:val="Balloon Text Char"/>
    <w:basedOn w:val="DefaultParagraphFont"/>
    <w:link w:val="BalloonText"/>
    <w:uiPriority w:val="99"/>
    <w:semiHidden/>
    <w:rsid w:val="00B6505E"/>
    <w:rPr>
      <w:rFonts w:ascii="Tahoma" w:hAnsi="Tahoma" w:cs="Tahoma"/>
      <w:sz w:val="16"/>
      <w:szCs w:val="16"/>
    </w:rPr>
  </w:style>
  <w:style w:type="paragraph" w:customStyle="1" w:styleId="JCCAddressLine">
    <w:name w:val="JCC Address Line"/>
    <w:rsid w:val="003E412A"/>
    <w:pPr>
      <w:spacing w:line="320" w:lineRule="exact"/>
      <w:jc w:val="center"/>
    </w:pPr>
    <w:rPr>
      <w:rFonts w:ascii="Goudy Old Style" w:eastAsia="Times" w:hAnsi="Goudy Old Style"/>
      <w:spacing w:val="2"/>
      <w:sz w:val="20"/>
      <w:szCs w:val="20"/>
      <w:lang w:bidi="ar-SA"/>
    </w:rPr>
  </w:style>
  <w:style w:type="paragraph" w:styleId="BodyText">
    <w:name w:val="Body Text"/>
    <w:basedOn w:val="Normal"/>
    <w:link w:val="BodyTextChar"/>
    <w:qFormat/>
    <w:rsid w:val="0079151A"/>
    <w:pPr>
      <w:tabs>
        <w:tab w:val="left" w:pos="360"/>
      </w:tabs>
    </w:pPr>
  </w:style>
  <w:style w:type="character" w:customStyle="1" w:styleId="BodyTextChar">
    <w:name w:val="Body Text Char"/>
    <w:basedOn w:val="DefaultParagraphFont"/>
    <w:link w:val="BodyText"/>
    <w:rsid w:val="0079151A"/>
    <w:rPr>
      <w:rFonts w:ascii="Times New Roman" w:eastAsia="Times" w:hAnsi="Times New Roman"/>
      <w:szCs w:val="20"/>
      <w:lang w:bidi="ar-SA"/>
    </w:rPr>
  </w:style>
  <w:style w:type="paragraph" w:styleId="FootnoteText">
    <w:name w:val="footnote text"/>
    <w:basedOn w:val="Normal"/>
    <w:link w:val="FootnoteTextChar"/>
    <w:qFormat/>
    <w:rsid w:val="0079151A"/>
    <w:pPr>
      <w:spacing w:after="120" w:line="220" w:lineRule="atLeast"/>
    </w:pPr>
    <w:rPr>
      <w:sz w:val="20"/>
    </w:rPr>
  </w:style>
  <w:style w:type="character" w:customStyle="1" w:styleId="FootnoteTextChar">
    <w:name w:val="Footnote Text Char"/>
    <w:basedOn w:val="DefaultParagraphFont"/>
    <w:link w:val="FootnoteText"/>
    <w:rsid w:val="0079151A"/>
    <w:rPr>
      <w:rFonts w:ascii="Times New Roman" w:eastAsia="Times" w:hAnsi="Times New Roman"/>
      <w:sz w:val="20"/>
      <w:szCs w:val="20"/>
      <w:lang w:bidi="ar-SA"/>
    </w:rPr>
  </w:style>
  <w:style w:type="paragraph" w:customStyle="1" w:styleId="HeaderPageNumber">
    <w:name w:val="Header Page Number"/>
    <w:basedOn w:val="Normal"/>
    <w:rsid w:val="0079151A"/>
    <w:pPr>
      <w:tabs>
        <w:tab w:val="center" w:pos="4320"/>
        <w:tab w:val="right" w:pos="8640"/>
      </w:tabs>
      <w:spacing w:after="600"/>
    </w:pPr>
  </w:style>
  <w:style w:type="paragraph" w:customStyle="1" w:styleId="JCCTitle">
    <w:name w:val="JCC Title"/>
    <w:rsid w:val="005D4413"/>
    <w:pPr>
      <w:spacing w:line="180" w:lineRule="exact"/>
      <w:jc w:val="center"/>
    </w:pPr>
    <w:rPr>
      <w:rFonts w:ascii="Goudy Old Style" w:eastAsia="Times" w:hAnsi="Goudy Old Style"/>
      <w:i/>
      <w:spacing w:val="5"/>
      <w:sz w:val="15"/>
      <w:szCs w:val="15"/>
      <w:lang w:bidi="ar-SA"/>
    </w:rPr>
  </w:style>
  <w:style w:type="paragraph" w:customStyle="1" w:styleId="JCCName">
    <w:name w:val="JCC Name"/>
    <w:rsid w:val="005D4413"/>
    <w:pPr>
      <w:spacing w:before="200" w:line="240" w:lineRule="auto"/>
      <w:jc w:val="center"/>
    </w:pPr>
    <w:rPr>
      <w:rFonts w:ascii="Goudy Old Style" w:eastAsia="Times" w:hAnsi="Goudy Old Style"/>
      <w:spacing w:val="40"/>
      <w:sz w:val="15"/>
      <w:szCs w:val="15"/>
      <w:lang w:bidi="ar-SA"/>
    </w:rPr>
  </w:style>
  <w:style w:type="paragraph" w:customStyle="1" w:styleId="JCCHeader">
    <w:name w:val="JCC Header"/>
    <w:rsid w:val="00D715E1"/>
    <w:pPr>
      <w:spacing w:before="240" w:after="120" w:line="240" w:lineRule="auto"/>
      <w:jc w:val="center"/>
    </w:pPr>
    <w:rPr>
      <w:rFonts w:ascii="Goudy Old Style" w:eastAsia="Times" w:hAnsi="Goudy Old Style"/>
      <w:caps/>
      <w:spacing w:val="20"/>
      <w:sz w:val="28"/>
      <w:szCs w:val="28"/>
      <w:lang w:bidi="ar-SA"/>
    </w:rPr>
  </w:style>
  <w:style w:type="character" w:styleId="Hyperlink">
    <w:name w:val="Hyperlink"/>
    <w:basedOn w:val="DefaultParagraphFont"/>
    <w:uiPriority w:val="99"/>
    <w:unhideWhenUsed/>
    <w:rsid w:val="003C29CB"/>
    <w:rPr>
      <w:color w:val="0000FF" w:themeColor="hyperlink"/>
      <w:u w:val="single"/>
    </w:rPr>
  </w:style>
  <w:style w:type="character" w:styleId="FootnoteReference">
    <w:name w:val="footnote reference"/>
    <w:uiPriority w:val="99"/>
    <w:rsid w:val="004953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228541">
      <w:bodyDiv w:val="1"/>
      <w:marLeft w:val="0"/>
      <w:marRight w:val="0"/>
      <w:marTop w:val="0"/>
      <w:marBottom w:val="0"/>
      <w:divBdr>
        <w:top w:val="none" w:sz="0" w:space="0" w:color="auto"/>
        <w:left w:val="none" w:sz="0" w:space="0" w:color="auto"/>
        <w:bottom w:val="none" w:sz="0" w:space="0" w:color="auto"/>
        <w:right w:val="none" w:sz="0" w:space="0" w:color="auto"/>
      </w:divBdr>
    </w:div>
    <w:div w:id="143736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letterhead.dotx"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43B0-D790-47AB-8482-D50B49C0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9</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Judicial Council Letter</vt:lpstr>
    </vt:vector>
  </TitlesOfParts>
  <Company>Administrative Office of the Courts</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Letter</dc:title>
  <dc:creator>ycasillas-sarcos</dc:creator>
  <cp:lastModifiedBy>Pone, Daniel</cp:lastModifiedBy>
  <cp:revision>3</cp:revision>
  <cp:lastPrinted>2016-01-05T23:06:00Z</cp:lastPrinted>
  <dcterms:created xsi:type="dcterms:W3CDTF">2016-01-05T23:06:00Z</dcterms:created>
  <dcterms:modified xsi:type="dcterms:W3CDTF">2016-01-05T23:10:00Z</dcterms:modified>
</cp:coreProperties>
</file>