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76"/>
        <w:gridCol w:w="3859"/>
        <w:gridCol w:w="4315"/>
        <w:gridCol w:w="10"/>
      </w:tblGrid>
      <w:tr w:rsidR="00ED09F7" w14:paraId="3FA06339" w14:textId="77777777" w:rsidTr="005A21CB">
        <w:trPr>
          <w:gridAfter w:val="1"/>
          <w:wAfter w:w="10" w:type="dxa"/>
          <w:trHeight w:hRule="exact" w:val="1440"/>
        </w:trPr>
        <w:tc>
          <w:tcPr>
            <w:tcW w:w="5035" w:type="dxa"/>
            <w:gridSpan w:val="2"/>
          </w:tcPr>
          <w:p w14:paraId="0A0DE931" w14:textId="77777777" w:rsidR="00ED09F7" w:rsidRDefault="00A71B93" w:rsidP="005A21CB">
            <w:r>
              <w:rPr>
                <w:noProof/>
              </w:rPr>
              <w:drawing>
                <wp:inline distT="0" distB="0" distL="0" distR="0" wp14:anchorId="30761C7F" wp14:editId="3E2FFE2B">
                  <wp:extent cx="3197225" cy="770255"/>
                  <wp:effectExtent l="0" t="0" r="3175" b="0"/>
                  <wp:docPr id="963723843" name="Picture 1"/>
                  <wp:cNvGraphicFramePr/>
                  <a:graphic xmlns:a="http://schemas.openxmlformats.org/drawingml/2006/main">
                    <a:graphicData uri="http://schemas.openxmlformats.org/drawingml/2006/picture">
                      <pic:pic xmlns:pic="http://schemas.openxmlformats.org/drawingml/2006/picture">
                        <pic:nvPicPr>
                          <pic:cNvPr id="963723843" name=""/>
                          <pic:cNvPicPr/>
                        </pic:nvPicPr>
                        <pic:blipFill>
                          <a:blip r:embed="rId8"/>
                          <a:stretch>
                            <a:fillRect/>
                          </a:stretch>
                        </pic:blipFill>
                        <pic:spPr>
                          <a:xfrm>
                            <a:off x="0" y="0"/>
                            <a:ext cx="3197225" cy="770255"/>
                          </a:xfrm>
                          <a:prstGeom prst="rect">
                            <a:avLst/>
                          </a:prstGeom>
                        </pic:spPr>
                      </pic:pic>
                    </a:graphicData>
                  </a:graphic>
                </wp:inline>
              </w:drawing>
            </w:r>
          </w:p>
        </w:tc>
        <w:tc>
          <w:tcPr>
            <w:tcW w:w="4315" w:type="dxa"/>
          </w:tcPr>
          <w:p w14:paraId="52B79FF1" w14:textId="77777777" w:rsidR="00ED09F7" w:rsidRPr="004927DF" w:rsidRDefault="00A71B93" w:rsidP="005A21CB">
            <w:pPr>
              <w:jc w:val="right"/>
              <w:rPr>
                <w:rFonts w:ascii="Bierstadt" w:hAnsi="Bierstadt"/>
                <w:sz w:val="20"/>
                <w:szCs w:val="20"/>
              </w:rPr>
            </w:pPr>
            <w:hyperlink r:id="rId9" w:history="1">
              <w:r>
                <w:rPr>
                  <w:rStyle w:val="Hyperlink"/>
                  <w:rFonts w:ascii="Bierstadt" w:hAnsi="Bierstadt"/>
                  <w:sz w:val="20"/>
                  <w:szCs w:val="20"/>
                </w:rPr>
                <w:t>www.courts.ca.gov/aac.htm</w:t>
              </w:r>
            </w:hyperlink>
          </w:p>
          <w:p w14:paraId="697FC1A8" w14:textId="77777777" w:rsidR="00ED09F7" w:rsidRPr="004927DF" w:rsidRDefault="00A71B93" w:rsidP="005A21CB">
            <w:pPr>
              <w:jc w:val="right"/>
              <w:rPr>
                <w:rFonts w:ascii="Bierstadt" w:hAnsi="Bierstadt"/>
                <w:sz w:val="20"/>
                <w:szCs w:val="20"/>
              </w:rPr>
            </w:pPr>
            <w:hyperlink r:id="rId10" w:history="1">
              <w:r>
                <w:rPr>
                  <w:rStyle w:val="Hyperlink"/>
                  <w:rFonts w:ascii="Bierstadt" w:hAnsi="Bierstadt"/>
                  <w:sz w:val="20"/>
                  <w:szCs w:val="20"/>
                </w:rPr>
                <w:t>aac@jud.ca.gov</w:t>
              </w:r>
            </w:hyperlink>
          </w:p>
          <w:p w14:paraId="65353374" w14:textId="77777777" w:rsidR="00ED09F7" w:rsidRDefault="00ED09F7" w:rsidP="005A21CB"/>
          <w:p w14:paraId="4503D8C9" w14:textId="77777777" w:rsidR="00ED09F7" w:rsidRDefault="00ED09F7" w:rsidP="005A21CB"/>
        </w:tc>
      </w:tr>
      <w:tr w:rsidR="00BA5566" w14:paraId="58344D82" w14:textId="77777777" w:rsidTr="00ED09F7">
        <w:tblPrEx>
          <w:tblCellMar>
            <w:left w:w="108" w:type="dxa"/>
            <w:right w:w="108" w:type="dxa"/>
          </w:tblCellMar>
        </w:tblPrEx>
        <w:tc>
          <w:tcPr>
            <w:tcW w:w="9360" w:type="dxa"/>
            <w:gridSpan w:val="4"/>
          </w:tcPr>
          <w:p w14:paraId="75AC4EEC" w14:textId="77777777" w:rsidR="00BA5566" w:rsidRDefault="00A71B93" w:rsidP="003F1130">
            <w:pPr>
              <w:spacing w:before="240" w:after="120" w:line="300" w:lineRule="atLeast"/>
              <w:jc w:val="center"/>
              <w:outlineLvl w:val="0"/>
              <w:rPr>
                <w:rFonts w:ascii="Bierstadt Display" w:hAnsi="Bierstadt Display" w:cs="Estrangelo Edessa"/>
                <w:b/>
                <w:smallCaps/>
                <w:spacing w:val="60"/>
                <w:sz w:val="28"/>
                <w:szCs w:val="28"/>
              </w:rPr>
            </w:pPr>
            <w:r>
              <w:rPr>
                <w:rFonts w:ascii="Bierstadt Display" w:hAnsi="Bierstadt Display" w:cs="Estrangelo Edessa"/>
                <w:b/>
                <w:smallCaps/>
                <w:spacing w:val="60"/>
                <w:sz w:val="28"/>
                <w:szCs w:val="28"/>
              </w:rPr>
              <w:t>Appellate Advisory Committee</w:t>
            </w:r>
          </w:p>
          <w:p w14:paraId="070B5123" w14:textId="2C48649F" w:rsidR="00A71B93" w:rsidRPr="00ED09F7" w:rsidRDefault="00A71B93" w:rsidP="003F1130">
            <w:pPr>
              <w:spacing w:before="240" w:after="120" w:line="300" w:lineRule="atLeast"/>
              <w:jc w:val="center"/>
              <w:outlineLvl w:val="0"/>
              <w:rPr>
                <w:rFonts w:ascii="Bierstadt Display" w:hAnsi="Bierstadt Display" w:cs="Estrangelo Edessa"/>
                <w:b/>
                <w:smallCaps/>
                <w:spacing w:val="60"/>
                <w:sz w:val="34"/>
                <w:szCs w:val="34"/>
              </w:rPr>
            </w:pPr>
            <w:r>
              <w:rPr>
                <w:rFonts w:ascii="Bierstadt Display" w:hAnsi="Bierstadt Display" w:cs="Estrangelo Edessa"/>
                <w:b/>
                <w:smallCaps/>
                <w:spacing w:val="60"/>
                <w:sz w:val="28"/>
                <w:szCs w:val="28"/>
              </w:rPr>
              <w:t>Appellate Efficiency Ad Hoc Subcommittee</w:t>
            </w:r>
          </w:p>
        </w:tc>
      </w:tr>
      <w:tr w:rsidR="00BA5566" w14:paraId="12DFD927" w14:textId="77777777" w:rsidTr="00ED09F7">
        <w:tblPrEx>
          <w:tblCellMar>
            <w:left w:w="108" w:type="dxa"/>
            <w:right w:w="108" w:type="dxa"/>
          </w:tblCellMar>
        </w:tblPrEx>
        <w:tc>
          <w:tcPr>
            <w:tcW w:w="9360" w:type="dxa"/>
            <w:gridSpan w:val="4"/>
            <w:shd w:val="clear" w:color="auto" w:fill="000000" w:themeFill="text1"/>
          </w:tcPr>
          <w:p w14:paraId="698E4AFE" w14:textId="77777777" w:rsidR="00BA5566" w:rsidRPr="00ED09F7" w:rsidRDefault="00DF69A2" w:rsidP="00DF69A2">
            <w:pPr>
              <w:spacing w:line="276" w:lineRule="auto"/>
              <w:jc w:val="center"/>
              <w:rPr>
                <w:rFonts w:ascii="Bierstadt Display" w:hAnsi="Bierstadt Display"/>
                <w:color w:val="FFFFFF" w:themeColor="background1"/>
                <w:sz w:val="28"/>
                <w:szCs w:val="28"/>
              </w:rPr>
            </w:pPr>
            <w:r w:rsidRPr="00ED09F7">
              <w:rPr>
                <w:rFonts w:ascii="Bierstadt Display" w:hAnsi="Bierstadt Display" w:cs="Estrangelo Edessa"/>
                <w:b/>
                <w:smallCaps/>
                <w:color w:val="FFFFFF" w:themeColor="background1"/>
                <w:spacing w:val="60"/>
                <w:sz w:val="28"/>
                <w:szCs w:val="28"/>
              </w:rPr>
              <w:t xml:space="preserve">Notice and Agenda of </w:t>
            </w:r>
            <w:r w:rsidR="00C6110F" w:rsidRPr="00ED09F7">
              <w:rPr>
                <w:rFonts w:ascii="Bierstadt Display" w:hAnsi="Bierstadt Display" w:cs="Estrangelo Edessa"/>
                <w:b/>
                <w:smallCaps/>
                <w:color w:val="FFFFFF" w:themeColor="background1"/>
                <w:spacing w:val="60"/>
                <w:sz w:val="28"/>
                <w:szCs w:val="28"/>
              </w:rPr>
              <w:t xml:space="preserve">Closed Meeting </w:t>
            </w:r>
          </w:p>
        </w:tc>
      </w:tr>
      <w:tr w:rsidR="0024304E" w14:paraId="2FBC319F" w14:textId="77777777" w:rsidTr="00ED09F7">
        <w:tblPrEx>
          <w:tblCellMar>
            <w:left w:w="108" w:type="dxa"/>
            <w:right w:w="108" w:type="dxa"/>
          </w:tblCellMar>
        </w:tblPrEx>
        <w:tc>
          <w:tcPr>
            <w:tcW w:w="9360" w:type="dxa"/>
            <w:gridSpan w:val="4"/>
            <w:tcBorders>
              <w:bottom w:val="single" w:sz="4" w:space="0" w:color="auto"/>
            </w:tcBorders>
          </w:tcPr>
          <w:p w14:paraId="309A6FB5" w14:textId="77777777" w:rsidR="0024304E" w:rsidRPr="0024304E" w:rsidRDefault="0024304E">
            <w:pPr>
              <w:spacing w:before="120" w:after="240"/>
              <w:jc w:val="center"/>
              <w:rPr>
                <w:rFonts w:ascii="Calibri" w:hAnsi="Calibri" w:cs="Estrangelo Edessa"/>
                <w:b/>
                <w:smallCaps/>
                <w:spacing w:val="60"/>
                <w:sz w:val="20"/>
              </w:rPr>
            </w:pPr>
            <w:r>
              <w:rPr>
                <w:rFonts w:ascii="Arial" w:hAnsi="Arial" w:cs="Arial"/>
                <w:sz w:val="20"/>
              </w:rPr>
              <w:t xml:space="preserve">Closed </w:t>
            </w:r>
            <w:r w:rsidRPr="00C161E6">
              <w:rPr>
                <w:rFonts w:ascii="Arial" w:hAnsi="Arial" w:cs="Arial"/>
                <w:sz w:val="20"/>
              </w:rPr>
              <w:t>to the Public</w:t>
            </w:r>
            <w:r>
              <w:rPr>
                <w:rFonts w:ascii="Arial" w:hAnsi="Arial" w:cs="Arial"/>
                <w:sz w:val="20"/>
              </w:rPr>
              <w:t xml:space="preserve"> (Cal. </w:t>
            </w:r>
            <w:r w:rsidRPr="00C161E6">
              <w:rPr>
                <w:rFonts w:ascii="Arial" w:hAnsi="Arial" w:cs="Arial"/>
                <w:sz w:val="20"/>
              </w:rPr>
              <w:t xml:space="preserve">Rules of Court, </w:t>
            </w:r>
            <w:r w:rsidR="0091673F">
              <w:rPr>
                <w:rFonts w:ascii="Arial" w:hAnsi="Arial" w:cs="Arial"/>
                <w:sz w:val="20"/>
              </w:rPr>
              <w:t>r</w:t>
            </w:r>
            <w:r w:rsidRPr="00C161E6">
              <w:rPr>
                <w:rFonts w:ascii="Arial" w:hAnsi="Arial" w:cs="Arial"/>
                <w:sz w:val="20"/>
              </w:rPr>
              <w:t xml:space="preserve">ule </w:t>
            </w:r>
            <w:r w:rsidR="00A71B93">
              <w:rPr>
                <w:rFonts w:ascii="Arial" w:hAnsi="Arial" w:cs="Arial"/>
                <w:sz w:val="20"/>
              </w:rPr>
              <w:t>10.75(c)(3)</w:t>
            </w:r>
            <w:r w:rsidR="00740732">
              <w:rPr>
                <w:rFonts w:ascii="Arial" w:hAnsi="Arial" w:cs="Arial"/>
                <w:sz w:val="20"/>
              </w:rPr>
              <w:t xml:space="preserve"> and (e)(1)</w:t>
            </w:r>
            <w:r w:rsidRPr="00C161E6">
              <w:rPr>
                <w:rFonts w:ascii="Arial" w:hAnsi="Arial" w:cs="Arial"/>
                <w:sz w:val="20"/>
              </w:rPr>
              <w:t>)</w:t>
            </w:r>
          </w:p>
        </w:tc>
      </w:tr>
      <w:tr w:rsidR="0024304E" w14:paraId="7EA8B192" w14:textId="77777777" w:rsidTr="00ED09F7">
        <w:tblPrEx>
          <w:tblCellMar>
            <w:left w:w="108" w:type="dxa"/>
            <w:right w:w="108" w:type="dxa"/>
          </w:tblCellMar>
        </w:tblPrEx>
        <w:tc>
          <w:tcPr>
            <w:tcW w:w="1176" w:type="dxa"/>
            <w:tcBorders>
              <w:top w:val="single" w:sz="4" w:space="0" w:color="auto"/>
            </w:tcBorders>
          </w:tcPr>
          <w:p w14:paraId="61C86372" w14:textId="77777777" w:rsidR="0024304E" w:rsidRPr="00231AAA" w:rsidRDefault="0024304E" w:rsidP="003F1130">
            <w:pPr>
              <w:spacing w:before="120" w:line="300" w:lineRule="atLeast"/>
              <w:rPr>
                <w:rFonts w:ascii="Arial" w:hAnsi="Arial" w:cs="Arial"/>
                <w:b/>
                <w:sz w:val="20"/>
                <w:szCs w:val="20"/>
              </w:rPr>
            </w:pPr>
            <w:r w:rsidRPr="00231AAA">
              <w:rPr>
                <w:rFonts w:ascii="Arial" w:hAnsi="Arial" w:cs="Arial"/>
                <w:b/>
                <w:sz w:val="20"/>
                <w:szCs w:val="20"/>
              </w:rPr>
              <w:t>Date:</w:t>
            </w:r>
          </w:p>
        </w:tc>
        <w:tc>
          <w:tcPr>
            <w:tcW w:w="8184" w:type="dxa"/>
            <w:gridSpan w:val="3"/>
            <w:tcBorders>
              <w:top w:val="single" w:sz="4" w:space="0" w:color="auto"/>
            </w:tcBorders>
            <w:vAlign w:val="bottom"/>
          </w:tcPr>
          <w:p w14:paraId="5F9BFF94" w14:textId="7C5CD46C" w:rsidR="0024304E" w:rsidRPr="0024304E" w:rsidRDefault="009E7B0E" w:rsidP="00F42509">
            <w:pPr>
              <w:spacing w:line="300" w:lineRule="atLeast"/>
              <w:rPr>
                <w:rFonts w:ascii="Arial" w:hAnsi="Arial" w:cs="Arial"/>
                <w:sz w:val="20"/>
                <w:szCs w:val="20"/>
              </w:rPr>
            </w:pPr>
            <w:r>
              <w:rPr>
                <w:rFonts w:ascii="Arial" w:hAnsi="Arial" w:cs="Arial"/>
                <w:sz w:val="20"/>
                <w:szCs w:val="20"/>
              </w:rPr>
              <w:t>January</w:t>
            </w:r>
            <w:r w:rsidR="00C7110C">
              <w:rPr>
                <w:rFonts w:ascii="Arial" w:hAnsi="Arial" w:cs="Arial"/>
                <w:sz w:val="20"/>
                <w:szCs w:val="20"/>
              </w:rPr>
              <w:t xml:space="preserve"> </w:t>
            </w:r>
            <w:r w:rsidR="00210C8B">
              <w:rPr>
                <w:rFonts w:ascii="Arial" w:hAnsi="Arial" w:cs="Arial"/>
                <w:sz w:val="20"/>
                <w:szCs w:val="20"/>
              </w:rPr>
              <w:t>15</w:t>
            </w:r>
            <w:r w:rsidR="00C7110C">
              <w:rPr>
                <w:rFonts w:ascii="Arial" w:hAnsi="Arial" w:cs="Arial"/>
                <w:sz w:val="20"/>
                <w:szCs w:val="20"/>
              </w:rPr>
              <w:t>, 202</w:t>
            </w:r>
            <w:r>
              <w:rPr>
                <w:rFonts w:ascii="Arial" w:hAnsi="Arial" w:cs="Arial"/>
                <w:sz w:val="20"/>
                <w:szCs w:val="20"/>
              </w:rPr>
              <w:t>6</w:t>
            </w:r>
          </w:p>
        </w:tc>
      </w:tr>
      <w:tr w:rsidR="0024304E" w14:paraId="293EAB5B" w14:textId="77777777" w:rsidTr="00ED09F7">
        <w:tblPrEx>
          <w:tblCellMar>
            <w:left w:w="108" w:type="dxa"/>
            <w:right w:w="108" w:type="dxa"/>
          </w:tblCellMar>
        </w:tblPrEx>
        <w:tc>
          <w:tcPr>
            <w:tcW w:w="1176" w:type="dxa"/>
            <w:tcBorders>
              <w:bottom w:val="single" w:sz="4" w:space="0" w:color="auto"/>
            </w:tcBorders>
          </w:tcPr>
          <w:p w14:paraId="28B121F4" w14:textId="77777777" w:rsidR="0024304E" w:rsidRPr="00231AAA" w:rsidRDefault="0024304E" w:rsidP="005E6EF4">
            <w:pPr>
              <w:spacing w:after="120" w:line="300" w:lineRule="atLeast"/>
              <w:rPr>
                <w:rFonts w:ascii="Arial" w:hAnsi="Arial" w:cs="Arial"/>
                <w:b/>
                <w:sz w:val="20"/>
                <w:szCs w:val="20"/>
              </w:rPr>
            </w:pPr>
            <w:r w:rsidRPr="00231AAA">
              <w:rPr>
                <w:rFonts w:ascii="Arial" w:hAnsi="Arial" w:cs="Arial"/>
                <w:b/>
                <w:sz w:val="20"/>
                <w:szCs w:val="20"/>
              </w:rPr>
              <w:t>Time:</w:t>
            </w:r>
          </w:p>
        </w:tc>
        <w:tc>
          <w:tcPr>
            <w:tcW w:w="8184" w:type="dxa"/>
            <w:gridSpan w:val="3"/>
            <w:tcBorders>
              <w:bottom w:val="single" w:sz="4" w:space="0" w:color="auto"/>
            </w:tcBorders>
          </w:tcPr>
          <w:p w14:paraId="2E70677B" w14:textId="072FBC6D" w:rsidR="0024304E" w:rsidRPr="0024304E" w:rsidRDefault="00A71B93" w:rsidP="005E6EF4">
            <w:pPr>
              <w:spacing w:after="120" w:line="300" w:lineRule="atLeast"/>
              <w:rPr>
                <w:rFonts w:ascii="Arial" w:hAnsi="Arial" w:cs="Arial"/>
                <w:sz w:val="20"/>
                <w:szCs w:val="20"/>
              </w:rPr>
            </w:pPr>
            <w:r>
              <w:rPr>
                <w:rFonts w:ascii="Arial" w:hAnsi="Arial" w:cs="Arial"/>
                <w:sz w:val="20"/>
                <w:szCs w:val="20"/>
              </w:rPr>
              <w:t>12:</w:t>
            </w:r>
            <w:r w:rsidR="009E7B0E">
              <w:rPr>
                <w:rFonts w:ascii="Arial" w:hAnsi="Arial" w:cs="Arial"/>
                <w:sz w:val="20"/>
                <w:szCs w:val="20"/>
              </w:rPr>
              <w:t>3</w:t>
            </w:r>
            <w:r>
              <w:rPr>
                <w:rFonts w:ascii="Arial" w:hAnsi="Arial" w:cs="Arial"/>
                <w:sz w:val="20"/>
                <w:szCs w:val="20"/>
              </w:rPr>
              <w:t>0 P.M.</w:t>
            </w:r>
          </w:p>
        </w:tc>
      </w:tr>
    </w:tbl>
    <w:p w14:paraId="3A1970A5" w14:textId="739547CF" w:rsidR="00A71B93" w:rsidRPr="00D46AE7" w:rsidRDefault="00A71B93" w:rsidP="00A71B93">
      <w:pPr>
        <w:tabs>
          <w:tab w:val="left" w:pos="2178"/>
        </w:tabs>
        <w:spacing w:before="120" w:after="240" w:line="280" w:lineRule="atLeast"/>
      </w:pPr>
      <w:r w:rsidRPr="009D286E">
        <w:rPr>
          <w:rFonts w:ascii="Arial" w:eastAsia="Times New Roman" w:hAnsi="Arial" w:cs="Arial"/>
          <w:iCs/>
          <w:sz w:val="20"/>
          <w:szCs w:val="20"/>
          <w:lang w:bidi="ar-SA"/>
        </w:rPr>
        <w:t xml:space="preserve">In accordance with California Rules of Court, rule 10.75(e)(1), public notice is hereby given that the Appellate Efficiency Ad Hoc Subcommittee of the Appellate Advisory Committee will hold a closed session on </w:t>
      </w:r>
      <w:r w:rsidR="009E7B0E">
        <w:rPr>
          <w:rFonts w:ascii="Arial" w:eastAsia="Times New Roman" w:hAnsi="Arial" w:cs="Arial"/>
          <w:iCs/>
          <w:sz w:val="20"/>
          <w:szCs w:val="20"/>
          <w:lang w:bidi="ar-SA"/>
        </w:rPr>
        <w:t>Thursday</w:t>
      </w:r>
      <w:r w:rsidRPr="009D286E">
        <w:rPr>
          <w:rFonts w:ascii="Arial" w:eastAsia="Times New Roman" w:hAnsi="Arial" w:cs="Arial"/>
          <w:iCs/>
          <w:sz w:val="20"/>
          <w:szCs w:val="20"/>
          <w:lang w:bidi="ar-SA"/>
        </w:rPr>
        <w:t xml:space="preserve">, </w:t>
      </w:r>
      <w:r w:rsidR="009E7B0E">
        <w:rPr>
          <w:rFonts w:ascii="Arial" w:eastAsia="Times New Roman" w:hAnsi="Arial" w:cs="Arial"/>
          <w:iCs/>
          <w:sz w:val="20"/>
          <w:szCs w:val="20"/>
          <w:lang w:bidi="ar-SA"/>
        </w:rPr>
        <w:t xml:space="preserve">January </w:t>
      </w:r>
      <w:r w:rsidR="00210C8B">
        <w:rPr>
          <w:rFonts w:ascii="Arial" w:eastAsia="Times New Roman" w:hAnsi="Arial" w:cs="Arial"/>
          <w:iCs/>
          <w:sz w:val="20"/>
          <w:szCs w:val="20"/>
          <w:lang w:bidi="ar-SA"/>
        </w:rPr>
        <w:t>15</w:t>
      </w:r>
      <w:r w:rsidR="009E7B0E">
        <w:rPr>
          <w:rFonts w:ascii="Arial" w:eastAsia="Times New Roman" w:hAnsi="Arial" w:cs="Arial"/>
          <w:iCs/>
          <w:sz w:val="20"/>
          <w:szCs w:val="20"/>
          <w:lang w:bidi="ar-SA"/>
        </w:rPr>
        <w:t>, 2026</w:t>
      </w:r>
      <w:r w:rsidRPr="009D286E">
        <w:rPr>
          <w:rFonts w:ascii="Arial" w:eastAsia="Times New Roman" w:hAnsi="Arial" w:cs="Arial"/>
          <w:iCs/>
          <w:sz w:val="20"/>
          <w:szCs w:val="20"/>
          <w:lang w:bidi="ar-SA"/>
        </w:rPr>
        <w:t xml:space="preserve"> at 12:</w:t>
      </w:r>
      <w:r w:rsidR="009E7B0E">
        <w:rPr>
          <w:rFonts w:ascii="Arial" w:eastAsia="Times New Roman" w:hAnsi="Arial" w:cs="Arial"/>
          <w:iCs/>
          <w:sz w:val="20"/>
          <w:szCs w:val="20"/>
          <w:lang w:bidi="ar-SA"/>
        </w:rPr>
        <w:t>3</w:t>
      </w:r>
      <w:r w:rsidRPr="009D286E">
        <w:rPr>
          <w:rFonts w:ascii="Arial" w:eastAsia="Times New Roman" w:hAnsi="Arial" w:cs="Arial"/>
          <w:iCs/>
          <w:sz w:val="20"/>
          <w:szCs w:val="20"/>
          <w:lang w:bidi="ar-SA"/>
        </w:rPr>
        <w:t>0 p.m. The meeting will be closed pursuant to California Rules of Court, rule 10.75(c)(3). Meeting materials will not be posted on the advisory body web page on the California Courts website. Materials are only posted for open meetings.</w:t>
      </w:r>
      <w:r w:rsidRPr="00D46AE7">
        <w:rPr>
          <w:rFonts w:ascii="Arial" w:eastAsia="Times New Roman" w:hAnsi="Arial" w:cs="Arial"/>
          <w:iCs/>
          <w:sz w:val="20"/>
          <w:szCs w:val="20"/>
          <w:lang w:bidi="ar-SA"/>
        </w:rPr>
        <w:t xml:space="preserve"> (Cal. Rules of Court, rule 10.75(h).)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71B93" w14:paraId="02D8CF7C" w14:textId="77777777" w:rsidTr="00BC046A">
        <w:tc>
          <w:tcPr>
            <w:tcW w:w="9576" w:type="dxa"/>
          </w:tcPr>
          <w:p w14:paraId="7D034E1E" w14:textId="77777777" w:rsidR="00A71B93" w:rsidRPr="00385FE5" w:rsidRDefault="00A71B93" w:rsidP="00A71B93">
            <w:pPr>
              <w:pStyle w:val="ListParagraph"/>
              <w:keepNext/>
              <w:numPr>
                <w:ilvl w:val="0"/>
                <w:numId w:val="4"/>
              </w:numPr>
              <w:spacing w:before="40" w:after="40"/>
              <w:ind w:left="720"/>
              <w:rPr>
                <w:rFonts w:ascii="Arial" w:hAnsi="Arial" w:cs="Arial"/>
                <w:b/>
                <w:spacing w:val="60"/>
                <w:sz w:val="20"/>
                <w:szCs w:val="20"/>
              </w:rPr>
            </w:pPr>
            <w:r w:rsidRPr="00385FE5">
              <w:rPr>
                <w:rFonts w:ascii="Arial" w:hAnsi="Arial" w:cs="Arial"/>
                <w:b/>
                <w:smallCaps/>
                <w:spacing w:val="60"/>
                <w:sz w:val="20"/>
                <w:szCs w:val="20"/>
              </w:rPr>
              <w:t xml:space="preserve">Closed Session (Cal. Rules of Court, Rule </w:t>
            </w:r>
            <w:bookmarkStart w:id="0" w:name="bmRule2"/>
            <w:r w:rsidRPr="00385FE5">
              <w:rPr>
                <w:rFonts w:ascii="Arial" w:hAnsi="Arial" w:cs="Arial"/>
                <w:b/>
                <w:smallCaps/>
                <w:spacing w:val="60"/>
                <w:sz w:val="20"/>
                <w:szCs w:val="20"/>
              </w:rPr>
              <w:t>10.75(</w:t>
            </w:r>
            <w:r w:rsidRPr="00742380">
              <w:rPr>
                <w:rFonts w:ascii="Arial" w:hAnsi="Arial" w:cs="Arial"/>
                <w:b/>
                <w:smallCaps/>
                <w:spacing w:val="60"/>
                <w:sz w:val="20"/>
                <w:szCs w:val="20"/>
              </w:rPr>
              <w:t>d</w:t>
            </w:r>
            <w:r w:rsidRPr="00385FE5">
              <w:rPr>
                <w:rFonts w:ascii="Arial" w:hAnsi="Arial" w:cs="Arial"/>
                <w:b/>
                <w:smallCaps/>
                <w:spacing w:val="60"/>
                <w:sz w:val="20"/>
                <w:szCs w:val="20"/>
              </w:rPr>
              <w:t>)</w:t>
            </w:r>
            <w:bookmarkEnd w:id="0"/>
            <w:r w:rsidRPr="00385FE5">
              <w:rPr>
                <w:rFonts w:ascii="Arial" w:hAnsi="Arial" w:cs="Arial"/>
                <w:b/>
                <w:smallCaps/>
                <w:spacing w:val="60"/>
                <w:sz w:val="20"/>
                <w:szCs w:val="20"/>
              </w:rPr>
              <w:t>)</w:t>
            </w:r>
          </w:p>
        </w:tc>
      </w:tr>
    </w:tbl>
    <w:p w14:paraId="529C81D1" w14:textId="77777777" w:rsidR="00A71B93" w:rsidRPr="00363752" w:rsidRDefault="00A71B93" w:rsidP="00A71B93">
      <w:pPr>
        <w:pStyle w:val="BodyText1"/>
        <w:tabs>
          <w:tab w:val="left" w:pos="720"/>
          <w:tab w:val="left" w:pos="2070"/>
        </w:tabs>
        <w:spacing w:before="200" w:after="0"/>
        <w:ind w:left="720"/>
        <w:rPr>
          <w:rFonts w:ascii="Arial" w:hAnsi="Arial" w:cs="Arial"/>
          <w:b/>
          <w:sz w:val="20"/>
        </w:rPr>
      </w:pPr>
      <w:r w:rsidRPr="00363752">
        <w:rPr>
          <w:rFonts w:ascii="Arial" w:hAnsi="Arial" w:cs="Arial"/>
          <w:b/>
          <w:sz w:val="20"/>
        </w:rPr>
        <w:t>Call to Order and Roll Call</w:t>
      </w:r>
    </w:p>
    <w:p w14:paraId="592D0A7D" w14:textId="77777777" w:rsidR="00A71B93" w:rsidRPr="005D22D8" w:rsidRDefault="00A71B93" w:rsidP="00A71B93">
      <w:pPr>
        <w:pStyle w:val="BodyText1"/>
        <w:spacing w:before="200" w:after="0"/>
        <w:ind w:left="720"/>
        <w:rPr>
          <w:rFonts w:ascii="Arial" w:hAnsi="Arial" w:cs="Arial"/>
          <w:b/>
          <w:bCs/>
          <w:iCs/>
          <w:sz w:val="20"/>
        </w:rPr>
      </w:pPr>
      <w:r w:rsidRPr="005D22D8">
        <w:rPr>
          <w:rFonts w:ascii="Arial" w:hAnsi="Arial" w:cs="Arial"/>
          <w:b/>
          <w:bCs/>
          <w:iCs/>
          <w:sz w:val="20"/>
        </w:rPr>
        <w:t>Item 1</w:t>
      </w:r>
      <w:r w:rsidRPr="005D22D8">
        <w:rPr>
          <w:rFonts w:ascii="Arial" w:hAnsi="Arial" w:cs="Arial"/>
          <w:b/>
          <w:bCs/>
          <w:iCs/>
          <w:sz w:val="20"/>
        </w:rPr>
        <w:tab/>
      </w:r>
    </w:p>
    <w:p w14:paraId="2FF84CE8" w14:textId="77777777" w:rsidR="00A71B93" w:rsidRDefault="00A71B93" w:rsidP="00A71B93">
      <w:pPr>
        <w:pStyle w:val="BodyText1"/>
        <w:tabs>
          <w:tab w:val="left" w:pos="720"/>
          <w:tab w:val="left" w:pos="1980"/>
        </w:tabs>
        <w:spacing w:after="0"/>
        <w:ind w:left="720"/>
        <w:rPr>
          <w:rFonts w:ascii="Arial" w:hAnsi="Arial" w:cs="Arial"/>
          <w:b/>
          <w:sz w:val="20"/>
        </w:rPr>
      </w:pPr>
      <w:r>
        <w:rPr>
          <w:rFonts w:ascii="Arial" w:hAnsi="Arial" w:cs="Arial"/>
          <w:b/>
          <w:sz w:val="20"/>
        </w:rPr>
        <w:t>Appellate Procedure Rules and Forms. Closed under Rule 10.75(c)(3)(A) – Rule Committees.</w:t>
      </w:r>
    </w:p>
    <w:p w14:paraId="0D7725BB" w14:textId="5EF51590" w:rsidR="004D14E0" w:rsidRDefault="00F07B50" w:rsidP="004D14E0">
      <w:pPr>
        <w:spacing w:after="240" w:line="300" w:lineRule="atLeast"/>
        <w:ind w:left="720"/>
        <w:rPr>
          <w:bCs/>
          <w:iCs/>
        </w:rPr>
      </w:pPr>
      <w:r>
        <w:rPr>
          <w:bCs/>
          <w:iCs/>
        </w:rPr>
        <w:t>Consider</w:t>
      </w:r>
      <w:r w:rsidR="004D14E0">
        <w:rPr>
          <w:bCs/>
          <w:iCs/>
        </w:rPr>
        <w:t xml:space="preserve"> </w:t>
      </w:r>
      <w:r w:rsidR="00394C16">
        <w:rPr>
          <w:bCs/>
          <w:iCs/>
        </w:rPr>
        <w:t xml:space="preserve">revised </w:t>
      </w:r>
      <w:r w:rsidR="004D14E0">
        <w:rPr>
          <w:bCs/>
          <w:iCs/>
        </w:rPr>
        <w:t>draft amendments to the rule</w:t>
      </w:r>
      <w:r w:rsidR="00210C8B">
        <w:rPr>
          <w:bCs/>
          <w:iCs/>
        </w:rPr>
        <w:t xml:space="preserve">s </w:t>
      </w:r>
      <w:r w:rsidR="00394C16">
        <w:rPr>
          <w:bCs/>
          <w:iCs/>
        </w:rPr>
        <w:t>on appendixes</w:t>
      </w:r>
      <w:r w:rsidR="004D14E0">
        <w:rPr>
          <w:bCs/>
          <w:iCs/>
        </w:rPr>
        <w:t xml:space="preserve">. </w:t>
      </w:r>
    </w:p>
    <w:p w14:paraId="251738AE" w14:textId="2BFFEBB1" w:rsidR="00394C16" w:rsidRPr="005D22D8" w:rsidRDefault="00394C16" w:rsidP="00394C16">
      <w:pPr>
        <w:pStyle w:val="BodyText1"/>
        <w:spacing w:before="200" w:after="0"/>
        <w:ind w:left="720"/>
        <w:rPr>
          <w:rFonts w:ascii="Arial" w:hAnsi="Arial" w:cs="Arial"/>
          <w:b/>
          <w:bCs/>
          <w:iCs/>
          <w:sz w:val="20"/>
        </w:rPr>
      </w:pPr>
      <w:r w:rsidRPr="005D22D8">
        <w:rPr>
          <w:rFonts w:ascii="Arial" w:hAnsi="Arial" w:cs="Arial"/>
          <w:b/>
          <w:bCs/>
          <w:iCs/>
          <w:sz w:val="20"/>
        </w:rPr>
        <w:t xml:space="preserve">Item </w:t>
      </w:r>
      <w:r>
        <w:rPr>
          <w:rFonts w:ascii="Arial" w:hAnsi="Arial" w:cs="Arial"/>
          <w:b/>
          <w:bCs/>
          <w:iCs/>
          <w:sz w:val="20"/>
        </w:rPr>
        <w:t>2</w:t>
      </w:r>
      <w:r w:rsidRPr="005D22D8">
        <w:rPr>
          <w:rFonts w:ascii="Arial" w:hAnsi="Arial" w:cs="Arial"/>
          <w:b/>
          <w:bCs/>
          <w:iCs/>
          <w:sz w:val="20"/>
        </w:rPr>
        <w:tab/>
      </w:r>
    </w:p>
    <w:p w14:paraId="06E620CA" w14:textId="77777777" w:rsidR="00394C16" w:rsidRDefault="00394C16" w:rsidP="00394C16">
      <w:pPr>
        <w:pStyle w:val="BodyText1"/>
        <w:tabs>
          <w:tab w:val="left" w:pos="720"/>
          <w:tab w:val="left" w:pos="1980"/>
        </w:tabs>
        <w:spacing w:after="0"/>
        <w:ind w:left="720"/>
        <w:rPr>
          <w:rFonts w:ascii="Arial" w:hAnsi="Arial" w:cs="Arial"/>
          <w:b/>
          <w:sz w:val="20"/>
        </w:rPr>
      </w:pPr>
      <w:r>
        <w:rPr>
          <w:rFonts w:ascii="Arial" w:hAnsi="Arial" w:cs="Arial"/>
          <w:b/>
          <w:sz w:val="20"/>
        </w:rPr>
        <w:t>Appellate Procedure Rules and Forms. Closed under Rule 10.75(c)(3)(A) – Rule Committees.</w:t>
      </w:r>
    </w:p>
    <w:p w14:paraId="7A297FC2" w14:textId="458493FD" w:rsidR="00394C16" w:rsidRDefault="00394C16" w:rsidP="00394C16">
      <w:pPr>
        <w:spacing w:after="240" w:line="300" w:lineRule="atLeast"/>
        <w:ind w:left="720"/>
        <w:rPr>
          <w:bCs/>
          <w:iCs/>
        </w:rPr>
      </w:pPr>
      <w:r>
        <w:rPr>
          <w:bCs/>
          <w:iCs/>
        </w:rPr>
        <w:t>Consider draft amendments to the rules and forms on record designation and register of actions.</w:t>
      </w:r>
    </w:p>
    <w:p w14:paraId="06012453" w14:textId="77777777" w:rsidR="00A71B93" w:rsidRPr="00385FE5" w:rsidRDefault="00A71B93" w:rsidP="00A71B93">
      <w:pPr>
        <w:pStyle w:val="ListParagraph"/>
        <w:keepNext/>
        <w:numPr>
          <w:ilvl w:val="0"/>
          <w:numId w:val="4"/>
        </w:numPr>
        <w:pBdr>
          <w:top w:val="single" w:sz="4" w:space="1" w:color="auto"/>
          <w:bottom w:val="single" w:sz="4" w:space="1" w:color="auto"/>
        </w:pBdr>
        <w:spacing w:before="40" w:after="40"/>
        <w:ind w:left="720"/>
        <w:rPr>
          <w:rFonts w:ascii="Arial" w:hAnsi="Arial" w:cs="Arial"/>
          <w:b/>
          <w:smallCaps/>
          <w:spacing w:val="60"/>
          <w:sz w:val="20"/>
          <w:szCs w:val="20"/>
        </w:rPr>
      </w:pPr>
      <w:r w:rsidRPr="00385FE5">
        <w:rPr>
          <w:rFonts w:ascii="Arial" w:hAnsi="Arial" w:cs="Arial"/>
          <w:b/>
          <w:smallCaps/>
          <w:spacing w:val="60"/>
          <w:sz w:val="20"/>
          <w:szCs w:val="20"/>
        </w:rPr>
        <w:t>Adjournment</w:t>
      </w:r>
    </w:p>
    <w:p w14:paraId="74DB2EEF" w14:textId="77777777" w:rsidR="00A71B93" w:rsidRDefault="00A71B93" w:rsidP="00A71B93">
      <w:pPr>
        <w:pStyle w:val="BodyText1"/>
        <w:spacing w:before="200"/>
        <w:ind w:left="720"/>
        <w:rPr>
          <w:rFonts w:ascii="Arial" w:hAnsi="Arial" w:cs="Arial"/>
          <w:b/>
          <w:bCs/>
          <w:iCs/>
          <w:sz w:val="20"/>
        </w:rPr>
      </w:pPr>
      <w:r w:rsidRPr="00363752">
        <w:rPr>
          <w:rFonts w:ascii="Arial" w:hAnsi="Arial" w:cs="Arial"/>
          <w:b/>
          <w:bCs/>
          <w:iCs/>
          <w:sz w:val="20"/>
        </w:rPr>
        <w:t>Adjourn</w:t>
      </w:r>
      <w:r>
        <w:rPr>
          <w:rFonts w:ascii="Arial" w:hAnsi="Arial" w:cs="Arial"/>
          <w:b/>
          <w:bCs/>
          <w:iCs/>
          <w:sz w:val="20"/>
        </w:rPr>
        <w:t xml:space="preserve"> Closed Session</w:t>
      </w:r>
    </w:p>
    <w:p w14:paraId="17A47C2A" w14:textId="77777777" w:rsidR="00A71B93" w:rsidRDefault="00A71B93" w:rsidP="00A71B93">
      <w:pPr>
        <w:pStyle w:val="BodyText1"/>
        <w:spacing w:before="200"/>
        <w:rPr>
          <w:rFonts w:ascii="Arial" w:hAnsi="Arial" w:cs="Arial"/>
          <w:b/>
          <w:bCs/>
          <w:iCs/>
          <w:sz w:val="20"/>
        </w:rPr>
      </w:pPr>
    </w:p>
    <w:p w14:paraId="6D673FFA" w14:textId="7029F9A2" w:rsidR="00210C8B" w:rsidRDefault="00A71B93" w:rsidP="007014D8">
      <w:pPr>
        <w:pStyle w:val="BodyText1"/>
        <w:spacing w:before="200"/>
        <w:rPr>
          <w:rFonts w:ascii="Arial" w:hAnsi="Arial" w:cs="Arial"/>
          <w:b/>
          <w:bCs/>
          <w:iCs/>
          <w:sz w:val="20"/>
        </w:rPr>
      </w:pPr>
      <w:r>
        <w:rPr>
          <w:rFonts w:ascii="Arial" w:hAnsi="Arial" w:cs="Arial"/>
          <w:b/>
          <w:bCs/>
          <w:iCs/>
          <w:sz w:val="20"/>
        </w:rPr>
        <w:t xml:space="preserve">Posted on: </w:t>
      </w:r>
      <w:r w:rsidR="00F975E3">
        <w:rPr>
          <w:rFonts w:ascii="Arial" w:hAnsi="Arial" w:cs="Arial"/>
          <w:b/>
          <w:bCs/>
          <w:iCs/>
          <w:sz w:val="20"/>
        </w:rPr>
        <w:t xml:space="preserve">January </w:t>
      </w:r>
      <w:r w:rsidR="00E94577">
        <w:rPr>
          <w:rFonts w:ascii="Arial" w:hAnsi="Arial" w:cs="Arial"/>
          <w:b/>
          <w:bCs/>
          <w:iCs/>
          <w:sz w:val="20"/>
        </w:rPr>
        <w:t>12</w:t>
      </w:r>
      <w:r w:rsidR="00F975E3">
        <w:rPr>
          <w:rFonts w:ascii="Arial" w:hAnsi="Arial" w:cs="Arial"/>
          <w:b/>
          <w:bCs/>
          <w:iCs/>
          <w:sz w:val="20"/>
        </w:rPr>
        <w:t>, 2026</w:t>
      </w:r>
    </w:p>
    <w:sectPr w:rsidR="00210C8B" w:rsidSect="004B1DEF">
      <w:headerReference w:type="default" r:id="rId11"/>
      <w:footerReference w:type="default" r:id="rId12"/>
      <w:pgSz w:w="12240" w:h="15840"/>
      <w:pgMar w:top="864"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E713" w14:textId="77777777" w:rsidR="00EE626D" w:rsidRDefault="00EE626D" w:rsidP="008321F4">
      <w:pPr>
        <w:spacing w:line="240" w:lineRule="auto"/>
      </w:pPr>
      <w:r>
        <w:separator/>
      </w:r>
    </w:p>
  </w:endnote>
  <w:endnote w:type="continuationSeparator" w:id="0">
    <w:p w14:paraId="0D7B241B" w14:textId="77777777" w:rsidR="00EE626D" w:rsidRDefault="00EE626D" w:rsidP="00832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3313"/>
      <w:docPartObj>
        <w:docPartGallery w:val="Page Numbers (Bottom of Page)"/>
        <w:docPartUnique/>
      </w:docPartObj>
    </w:sdtPr>
    <w:sdtEndPr>
      <w:rPr>
        <w:color w:val="7F7F7F" w:themeColor="background1" w:themeShade="7F"/>
        <w:spacing w:val="60"/>
        <w:sz w:val="20"/>
      </w:rPr>
    </w:sdtEndPr>
    <w:sdtContent>
      <w:p w14:paraId="5CF2BB9A" w14:textId="77777777" w:rsidR="008321F4" w:rsidRPr="008321F4" w:rsidRDefault="00861997" w:rsidP="00B87CC7">
        <w:pPr>
          <w:pStyle w:val="Footer"/>
          <w:pBdr>
            <w:top w:val="single" w:sz="4" w:space="1" w:color="D9D9D9" w:themeColor="background1" w:themeShade="D9"/>
          </w:pBdr>
          <w:tabs>
            <w:tab w:val="clear" w:pos="4680"/>
          </w:tabs>
          <w:rPr>
            <w:color w:val="7F7F7F" w:themeColor="background1" w:themeShade="7F"/>
            <w:spacing w:val="60"/>
            <w:sz w:val="20"/>
          </w:rPr>
        </w:pPr>
        <w:r w:rsidRPr="00997EF5">
          <w:rPr>
            <w:sz w:val="20"/>
          </w:rPr>
          <w:fldChar w:fldCharType="begin"/>
        </w:r>
        <w:r w:rsidR="008321F4" w:rsidRPr="00997EF5">
          <w:rPr>
            <w:sz w:val="20"/>
          </w:rPr>
          <w:instrText xml:space="preserve"> PAGE   \* MERGEFORMAT </w:instrText>
        </w:r>
        <w:r w:rsidRPr="00997EF5">
          <w:rPr>
            <w:sz w:val="20"/>
          </w:rPr>
          <w:fldChar w:fldCharType="separate"/>
        </w:r>
        <w:r w:rsidR="00B87CC7" w:rsidRPr="00B87CC7">
          <w:rPr>
            <w:b/>
            <w:noProof/>
            <w:sz w:val="20"/>
          </w:rPr>
          <w:t>2</w:t>
        </w:r>
        <w:r w:rsidRPr="00997EF5">
          <w:rPr>
            <w:sz w:val="20"/>
          </w:rPr>
          <w:fldChar w:fldCharType="end"/>
        </w:r>
        <w:r w:rsidR="008321F4" w:rsidRPr="00997EF5">
          <w:rPr>
            <w:b/>
            <w:sz w:val="20"/>
          </w:rPr>
          <w:t xml:space="preserve"> | </w:t>
        </w:r>
        <w:r w:rsidR="008321F4" w:rsidRPr="00997EF5">
          <w:rPr>
            <w:color w:val="7F7F7F" w:themeColor="background1" w:themeShade="7F"/>
            <w:spacing w:val="60"/>
            <w:sz w:val="20"/>
          </w:rPr>
          <w:t>Page</w:t>
        </w:r>
        <w:r w:rsidR="008321F4" w:rsidRPr="00997EF5">
          <w:rPr>
            <w:color w:val="7F7F7F" w:themeColor="background1" w:themeShade="7F"/>
            <w:spacing w:val="60"/>
            <w:sz w:val="20"/>
          </w:rPr>
          <w:tab/>
        </w:r>
        <w:bookmarkStart w:id="2" w:name="bmAdvisoryBody3"/>
        <w:r w:rsidR="00A71B93">
          <w:rPr>
            <w:color w:val="7F7F7F" w:themeColor="background1" w:themeShade="7F"/>
            <w:spacing w:val="60"/>
            <w:sz w:val="20"/>
          </w:rPr>
          <w:t>Appellate Advisory Committee</w:t>
        </w:r>
      </w:p>
    </w:sdtContent>
  </w:sdt>
  <w:bookmarkEnd w:id="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1DE9" w14:textId="77777777" w:rsidR="00EE626D" w:rsidRDefault="00EE626D" w:rsidP="008321F4">
      <w:pPr>
        <w:spacing w:line="240" w:lineRule="auto"/>
      </w:pPr>
      <w:r>
        <w:separator/>
      </w:r>
    </w:p>
  </w:footnote>
  <w:footnote w:type="continuationSeparator" w:id="0">
    <w:p w14:paraId="131A1933" w14:textId="77777777" w:rsidR="00EE626D" w:rsidRDefault="00EE626D" w:rsidP="008321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3343"/>
      <w:docPartObj>
        <w:docPartGallery w:val="Page Numbers (Top of Page)"/>
        <w:docPartUnique/>
      </w:docPartObj>
    </w:sdtPr>
    <w:sdtEndPr>
      <w:rPr>
        <w:color w:val="7F7F7F" w:themeColor="background1" w:themeShade="7F"/>
        <w:spacing w:val="60"/>
      </w:rPr>
    </w:sdtEndPr>
    <w:sdtContent>
      <w:p w14:paraId="48425FB6" w14:textId="77777777" w:rsidR="0047283D" w:rsidRDefault="008321F4" w:rsidP="008321F4">
        <w:pPr>
          <w:pStyle w:val="Header"/>
          <w:pBdr>
            <w:bottom w:val="single" w:sz="4" w:space="1" w:color="D9D9D9" w:themeColor="background1" w:themeShade="D9"/>
          </w:pBdr>
          <w:jc w:val="center"/>
          <w:rPr>
            <w:rFonts w:ascii="Times New Roman" w:hAnsi="Times New Roman"/>
            <w:color w:val="7F7F7F" w:themeColor="background1" w:themeShade="7F"/>
            <w:spacing w:val="60"/>
            <w:sz w:val="20"/>
            <w:szCs w:val="20"/>
          </w:rPr>
        </w:pPr>
        <w:r w:rsidRPr="008321F4">
          <w:rPr>
            <w:rFonts w:ascii="Times New Roman" w:hAnsi="Times New Roman"/>
            <w:color w:val="7F7F7F" w:themeColor="background1" w:themeShade="7F"/>
            <w:spacing w:val="60"/>
            <w:sz w:val="20"/>
            <w:szCs w:val="20"/>
          </w:rPr>
          <w:t xml:space="preserve">Meeting </w:t>
        </w:r>
        <w:r w:rsidR="00740732">
          <w:rPr>
            <w:rFonts w:ascii="Times New Roman" w:hAnsi="Times New Roman"/>
            <w:color w:val="7F7F7F" w:themeColor="background1" w:themeShade="7F"/>
            <w:spacing w:val="60"/>
            <w:sz w:val="20"/>
            <w:szCs w:val="20"/>
          </w:rPr>
          <w:t xml:space="preserve">Notice and </w:t>
        </w:r>
        <w:r w:rsidRPr="008321F4">
          <w:rPr>
            <w:rFonts w:ascii="Times New Roman" w:hAnsi="Times New Roman"/>
            <w:color w:val="7F7F7F" w:themeColor="background1" w:themeShade="7F"/>
            <w:spacing w:val="60"/>
            <w:sz w:val="20"/>
            <w:szCs w:val="20"/>
          </w:rPr>
          <w:t>Agenda</w:t>
        </w:r>
      </w:p>
      <w:p w14:paraId="355EAF52" w14:textId="0374B465" w:rsidR="008321F4" w:rsidRDefault="007014D8" w:rsidP="008321F4">
        <w:pPr>
          <w:pStyle w:val="Header"/>
          <w:pBdr>
            <w:bottom w:val="single" w:sz="4" w:space="1" w:color="D9D9D9" w:themeColor="background1" w:themeShade="D9"/>
          </w:pBdr>
          <w:jc w:val="center"/>
          <w:rPr>
            <w:b/>
          </w:rPr>
        </w:pPr>
        <w:bookmarkStart w:id="1" w:name="bmMeetingDate2"/>
        <w:r>
          <w:rPr>
            <w:rFonts w:ascii="Times New Roman" w:hAnsi="Times New Roman"/>
            <w:color w:val="7F7F7F" w:themeColor="background1" w:themeShade="7F"/>
            <w:spacing w:val="60"/>
            <w:sz w:val="20"/>
            <w:szCs w:val="20"/>
          </w:rPr>
          <w:t xml:space="preserve">January </w:t>
        </w:r>
        <w:r w:rsidR="00210C8B">
          <w:rPr>
            <w:rFonts w:ascii="Times New Roman" w:hAnsi="Times New Roman"/>
            <w:color w:val="7F7F7F" w:themeColor="background1" w:themeShade="7F"/>
            <w:spacing w:val="60"/>
            <w:sz w:val="20"/>
            <w:szCs w:val="20"/>
          </w:rPr>
          <w:t>15</w:t>
        </w:r>
        <w:r w:rsidR="00A71B93">
          <w:rPr>
            <w:rFonts w:ascii="Times New Roman" w:hAnsi="Times New Roman"/>
            <w:color w:val="7F7F7F" w:themeColor="background1" w:themeShade="7F"/>
            <w:spacing w:val="60"/>
            <w:sz w:val="20"/>
            <w:szCs w:val="20"/>
          </w:rPr>
          <w:t>, 202</w:t>
        </w:r>
        <w:r>
          <w:rPr>
            <w:rFonts w:ascii="Times New Roman" w:hAnsi="Times New Roman"/>
            <w:color w:val="7F7F7F" w:themeColor="background1" w:themeShade="7F"/>
            <w:spacing w:val="60"/>
            <w:sz w:val="20"/>
            <w:szCs w:val="20"/>
          </w:rPr>
          <w:t>6</w:t>
        </w:r>
      </w:p>
    </w:sdtContent>
  </w:sdt>
  <w:bookmarkEnd w:id="1" w:displacedByCustomXml="prev"/>
  <w:p w14:paraId="0C78AD57" w14:textId="77777777" w:rsidR="008321F4" w:rsidRDefault="008321F4">
    <w:pPr>
      <w:pStyle w:val="Header"/>
    </w:pPr>
  </w:p>
  <w:p w14:paraId="0C9EA033" w14:textId="77777777" w:rsidR="00531DDA" w:rsidRDefault="00531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CFC"/>
    <w:multiLevelType w:val="hybridMultilevel"/>
    <w:tmpl w:val="38A219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48A7"/>
    <w:multiLevelType w:val="hybridMultilevel"/>
    <w:tmpl w:val="9A1A6B98"/>
    <w:lvl w:ilvl="0" w:tplc="3BFA3CDC">
      <w:start w:val="1"/>
      <w:numFmt w:val="upperRoman"/>
      <w:lvlText w:val="%1."/>
      <w:lvlJc w:val="right"/>
      <w:pPr>
        <w:ind w:left="720" w:hanging="360"/>
      </w:pPr>
      <w:rPr>
        <w:rFonts w:ascii="Calibri" w:hAnsi="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94981"/>
    <w:multiLevelType w:val="hybridMultilevel"/>
    <w:tmpl w:val="7268A2EA"/>
    <w:lvl w:ilvl="0" w:tplc="69C2B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65561"/>
    <w:multiLevelType w:val="multilevel"/>
    <w:tmpl w:val="0066A7AE"/>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9245953">
    <w:abstractNumId w:val="3"/>
  </w:num>
  <w:num w:numId="2" w16cid:durableId="581985176">
    <w:abstractNumId w:val="1"/>
  </w:num>
  <w:num w:numId="3" w16cid:durableId="1440638578">
    <w:abstractNumId w:val="0"/>
  </w:num>
  <w:num w:numId="4" w16cid:durableId="1772163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93"/>
    <w:rsid w:val="0000396E"/>
    <w:rsid w:val="000273C3"/>
    <w:rsid w:val="000328AC"/>
    <w:rsid w:val="000611DD"/>
    <w:rsid w:val="000669C6"/>
    <w:rsid w:val="00081FBC"/>
    <w:rsid w:val="000A54F0"/>
    <w:rsid w:val="000A6AEF"/>
    <w:rsid w:val="000D7076"/>
    <w:rsid w:val="000E52C1"/>
    <w:rsid w:val="000F7288"/>
    <w:rsid w:val="00115E97"/>
    <w:rsid w:val="00134563"/>
    <w:rsid w:val="001431DC"/>
    <w:rsid w:val="00195717"/>
    <w:rsid w:val="001E390A"/>
    <w:rsid w:val="00206670"/>
    <w:rsid w:val="00210C8B"/>
    <w:rsid w:val="00231AAA"/>
    <w:rsid w:val="002371B3"/>
    <w:rsid w:val="0024304E"/>
    <w:rsid w:val="002653F4"/>
    <w:rsid w:val="00283A6F"/>
    <w:rsid w:val="002A14CA"/>
    <w:rsid w:val="002B195D"/>
    <w:rsid w:val="002F571D"/>
    <w:rsid w:val="00385FE5"/>
    <w:rsid w:val="00394C16"/>
    <w:rsid w:val="003A0C78"/>
    <w:rsid w:val="003B76FD"/>
    <w:rsid w:val="003D1461"/>
    <w:rsid w:val="003F1130"/>
    <w:rsid w:val="0042675B"/>
    <w:rsid w:val="0045066A"/>
    <w:rsid w:val="004615D9"/>
    <w:rsid w:val="0047283D"/>
    <w:rsid w:val="004836A2"/>
    <w:rsid w:val="00484D7B"/>
    <w:rsid w:val="004B1DEF"/>
    <w:rsid w:val="004D14E0"/>
    <w:rsid w:val="004E0172"/>
    <w:rsid w:val="004E5312"/>
    <w:rsid w:val="00531DDA"/>
    <w:rsid w:val="00540644"/>
    <w:rsid w:val="00541CE2"/>
    <w:rsid w:val="00581455"/>
    <w:rsid w:val="005A77B0"/>
    <w:rsid w:val="005B55E0"/>
    <w:rsid w:val="005B6B6A"/>
    <w:rsid w:val="005D22D8"/>
    <w:rsid w:val="005E15BF"/>
    <w:rsid w:val="005E6EA2"/>
    <w:rsid w:val="005E6EF4"/>
    <w:rsid w:val="00614CDE"/>
    <w:rsid w:val="00666E24"/>
    <w:rsid w:val="00685882"/>
    <w:rsid w:val="006B43AF"/>
    <w:rsid w:val="006B4EFD"/>
    <w:rsid w:val="006E5AA0"/>
    <w:rsid w:val="006E7C3E"/>
    <w:rsid w:val="007014D8"/>
    <w:rsid w:val="00710E81"/>
    <w:rsid w:val="00712399"/>
    <w:rsid w:val="00716423"/>
    <w:rsid w:val="0072799B"/>
    <w:rsid w:val="007375EC"/>
    <w:rsid w:val="00740732"/>
    <w:rsid w:val="00741059"/>
    <w:rsid w:val="00742380"/>
    <w:rsid w:val="007A305F"/>
    <w:rsid w:val="007C4DBB"/>
    <w:rsid w:val="007D3E07"/>
    <w:rsid w:val="007D5B8C"/>
    <w:rsid w:val="007F3465"/>
    <w:rsid w:val="007F694C"/>
    <w:rsid w:val="00824EF0"/>
    <w:rsid w:val="008321F4"/>
    <w:rsid w:val="00836AED"/>
    <w:rsid w:val="00842868"/>
    <w:rsid w:val="00843A83"/>
    <w:rsid w:val="00860E56"/>
    <w:rsid w:val="00861997"/>
    <w:rsid w:val="00861C63"/>
    <w:rsid w:val="00863987"/>
    <w:rsid w:val="00886984"/>
    <w:rsid w:val="008A377D"/>
    <w:rsid w:val="008C090C"/>
    <w:rsid w:val="008D7F85"/>
    <w:rsid w:val="0091673F"/>
    <w:rsid w:val="00937605"/>
    <w:rsid w:val="00940889"/>
    <w:rsid w:val="00967CC4"/>
    <w:rsid w:val="009706C3"/>
    <w:rsid w:val="00975B9A"/>
    <w:rsid w:val="00997F6F"/>
    <w:rsid w:val="009A7B64"/>
    <w:rsid w:val="009E7B0E"/>
    <w:rsid w:val="009F009D"/>
    <w:rsid w:val="00A178E0"/>
    <w:rsid w:val="00A2619A"/>
    <w:rsid w:val="00A36B34"/>
    <w:rsid w:val="00A64230"/>
    <w:rsid w:val="00A71B93"/>
    <w:rsid w:val="00A72750"/>
    <w:rsid w:val="00A771A9"/>
    <w:rsid w:val="00A77D28"/>
    <w:rsid w:val="00B35DCF"/>
    <w:rsid w:val="00B538AA"/>
    <w:rsid w:val="00B67155"/>
    <w:rsid w:val="00B842B0"/>
    <w:rsid w:val="00B87CC7"/>
    <w:rsid w:val="00BA3FBC"/>
    <w:rsid w:val="00BA5566"/>
    <w:rsid w:val="00BB3C8F"/>
    <w:rsid w:val="00BB6296"/>
    <w:rsid w:val="00C15510"/>
    <w:rsid w:val="00C6110F"/>
    <w:rsid w:val="00C662EC"/>
    <w:rsid w:val="00C7110C"/>
    <w:rsid w:val="00C96696"/>
    <w:rsid w:val="00D156FF"/>
    <w:rsid w:val="00D46AE7"/>
    <w:rsid w:val="00D60753"/>
    <w:rsid w:val="00DD0774"/>
    <w:rsid w:val="00DF69A2"/>
    <w:rsid w:val="00E010A2"/>
    <w:rsid w:val="00E3400C"/>
    <w:rsid w:val="00E4207A"/>
    <w:rsid w:val="00E5404B"/>
    <w:rsid w:val="00E6214B"/>
    <w:rsid w:val="00E94577"/>
    <w:rsid w:val="00EB34C0"/>
    <w:rsid w:val="00ED09F7"/>
    <w:rsid w:val="00EE626D"/>
    <w:rsid w:val="00F07B50"/>
    <w:rsid w:val="00F159DE"/>
    <w:rsid w:val="00F3324D"/>
    <w:rsid w:val="00F42509"/>
    <w:rsid w:val="00F517F0"/>
    <w:rsid w:val="00F74602"/>
    <w:rsid w:val="00F86497"/>
    <w:rsid w:val="00F975E3"/>
    <w:rsid w:val="00FE2079"/>
    <w:rsid w:val="00FE3153"/>
    <w:rsid w:val="00FE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B152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AF"/>
  </w:style>
  <w:style w:type="paragraph" w:styleId="Heading1">
    <w:name w:val="heading 1"/>
    <w:basedOn w:val="Normal"/>
    <w:next w:val="Normal"/>
    <w:link w:val="Heading1Char"/>
    <w:uiPriority w:val="9"/>
    <w:qFormat/>
    <w:rsid w:val="006B43A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43A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43A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43AF"/>
    <w:pPr>
      <w:spacing w:before="240" w:after="60"/>
      <w:outlineLvl w:val="5"/>
    </w:pPr>
    <w:rPr>
      <w:b/>
      <w:bCs/>
    </w:rPr>
  </w:style>
  <w:style w:type="paragraph" w:styleId="Heading7">
    <w:name w:val="heading 7"/>
    <w:basedOn w:val="Normal"/>
    <w:next w:val="Normal"/>
    <w:link w:val="Heading7Char"/>
    <w:uiPriority w:val="9"/>
    <w:semiHidden/>
    <w:unhideWhenUsed/>
    <w:qFormat/>
    <w:rsid w:val="006B43AF"/>
    <w:pPr>
      <w:spacing w:before="240" w:after="60"/>
      <w:outlineLvl w:val="6"/>
    </w:pPr>
  </w:style>
  <w:style w:type="paragraph" w:styleId="Heading8">
    <w:name w:val="heading 8"/>
    <w:basedOn w:val="Normal"/>
    <w:next w:val="Normal"/>
    <w:link w:val="Heading8Char"/>
    <w:uiPriority w:val="9"/>
    <w:semiHidden/>
    <w:unhideWhenUsed/>
    <w:qFormat/>
    <w:rsid w:val="006B43AF"/>
    <w:pPr>
      <w:spacing w:before="240" w:after="60"/>
      <w:outlineLvl w:val="7"/>
    </w:pPr>
    <w:rPr>
      <w:i/>
      <w:iCs/>
    </w:rPr>
  </w:style>
  <w:style w:type="paragraph" w:styleId="Heading9">
    <w:name w:val="heading 9"/>
    <w:basedOn w:val="Normal"/>
    <w:next w:val="Normal"/>
    <w:link w:val="Heading9Char"/>
    <w:uiPriority w:val="9"/>
    <w:semiHidden/>
    <w:unhideWhenUsed/>
    <w:qFormat/>
    <w:rsid w:val="006B43A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3A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43A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43A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43AF"/>
    <w:rPr>
      <w:b/>
      <w:bCs/>
    </w:rPr>
  </w:style>
  <w:style w:type="character" w:customStyle="1" w:styleId="Heading7Char">
    <w:name w:val="Heading 7 Char"/>
    <w:basedOn w:val="DefaultParagraphFont"/>
    <w:link w:val="Heading7"/>
    <w:uiPriority w:val="9"/>
    <w:semiHidden/>
    <w:rsid w:val="006B43AF"/>
    <w:rPr>
      <w:sz w:val="24"/>
      <w:szCs w:val="24"/>
    </w:rPr>
  </w:style>
  <w:style w:type="character" w:customStyle="1" w:styleId="Heading8Char">
    <w:name w:val="Heading 8 Char"/>
    <w:basedOn w:val="DefaultParagraphFont"/>
    <w:link w:val="Heading8"/>
    <w:uiPriority w:val="9"/>
    <w:semiHidden/>
    <w:rsid w:val="006B43AF"/>
    <w:rPr>
      <w:i/>
      <w:iCs/>
      <w:sz w:val="24"/>
      <w:szCs w:val="24"/>
    </w:rPr>
  </w:style>
  <w:style w:type="character" w:customStyle="1" w:styleId="Heading9Char">
    <w:name w:val="Heading 9 Char"/>
    <w:basedOn w:val="DefaultParagraphFont"/>
    <w:link w:val="Heading9"/>
    <w:uiPriority w:val="9"/>
    <w:semiHidden/>
    <w:rsid w:val="006B43AF"/>
    <w:rPr>
      <w:rFonts w:asciiTheme="majorHAnsi" w:eastAsiaTheme="majorEastAsia" w:hAnsiTheme="majorHAnsi"/>
    </w:rPr>
  </w:style>
  <w:style w:type="paragraph" w:styleId="Title">
    <w:name w:val="Title"/>
    <w:basedOn w:val="Normal"/>
    <w:next w:val="Normal"/>
    <w:link w:val="TitleChar"/>
    <w:uiPriority w:val="10"/>
    <w:qFormat/>
    <w:rsid w:val="006B43A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43A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43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43A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43AF"/>
    <w:pPr>
      <w:outlineLvl w:val="9"/>
    </w:pPr>
  </w:style>
  <w:style w:type="paragraph" w:styleId="BalloonText">
    <w:name w:val="Balloon Text"/>
    <w:basedOn w:val="Normal"/>
    <w:link w:val="BalloonTextChar"/>
    <w:uiPriority w:val="99"/>
    <w:semiHidden/>
    <w:unhideWhenUsed/>
    <w:rsid w:val="00BA5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566"/>
    <w:rPr>
      <w:rFonts w:ascii="Tahoma" w:hAnsi="Tahoma" w:cs="Tahoma"/>
      <w:sz w:val="16"/>
      <w:szCs w:val="16"/>
    </w:rPr>
  </w:style>
  <w:style w:type="paragraph" w:customStyle="1" w:styleId="Heading10">
    <w:name w:val="Heading1"/>
    <w:basedOn w:val="Normal"/>
    <w:next w:val="BodyText1"/>
    <w:uiPriority w:val="99"/>
    <w:rsid w:val="00BA5566"/>
    <w:pPr>
      <w:widowControl w:val="0"/>
      <w:suppressAutoHyphens/>
      <w:spacing w:line="240" w:lineRule="auto"/>
      <w:jc w:val="center"/>
    </w:pPr>
    <w:rPr>
      <w:rFonts w:ascii="Times New Roman" w:eastAsia="Times New Roman" w:hAnsi="Times New Roman"/>
      <w:b/>
      <w:i/>
      <w:sz w:val="30"/>
      <w:szCs w:val="20"/>
      <w:lang w:bidi="ar-SA"/>
    </w:rPr>
  </w:style>
  <w:style w:type="paragraph" w:customStyle="1" w:styleId="BodyText1">
    <w:name w:val="Body Text 1"/>
    <w:basedOn w:val="Normal"/>
    <w:link w:val="BodyText1Char"/>
    <w:qFormat/>
    <w:rsid w:val="00BA5566"/>
    <w:pPr>
      <w:spacing w:after="120" w:line="300" w:lineRule="atLeast"/>
    </w:pPr>
    <w:rPr>
      <w:rFonts w:ascii="Times New Roman" w:eastAsia="Times New Roman" w:hAnsi="Times New Roman"/>
      <w:sz w:val="26"/>
      <w:szCs w:val="20"/>
      <w:lang w:bidi="ar-SA"/>
    </w:rPr>
  </w:style>
  <w:style w:type="character" w:customStyle="1" w:styleId="BodyText1Char">
    <w:name w:val="Body Text 1 Char"/>
    <w:basedOn w:val="DefaultParagraphFont"/>
    <w:link w:val="BodyText1"/>
    <w:rsid w:val="00BA5566"/>
    <w:rPr>
      <w:rFonts w:ascii="Times New Roman" w:eastAsia="Times New Roman" w:hAnsi="Times New Roman"/>
      <w:sz w:val="26"/>
      <w:szCs w:val="20"/>
      <w:lang w:bidi="ar-SA"/>
    </w:rPr>
  </w:style>
  <w:style w:type="character" w:styleId="Hyperlink">
    <w:name w:val="Hyperlink"/>
    <w:basedOn w:val="DefaultParagraphFont"/>
    <w:rsid w:val="00BA5566"/>
    <w:rPr>
      <w:color w:val="0000FF" w:themeColor="hyperlink"/>
      <w:u w:val="single"/>
    </w:rPr>
  </w:style>
  <w:style w:type="paragraph" w:styleId="DocumentMap">
    <w:name w:val="Document Map"/>
    <w:basedOn w:val="Normal"/>
    <w:link w:val="DocumentMapChar"/>
    <w:uiPriority w:val="99"/>
    <w:semiHidden/>
    <w:unhideWhenUsed/>
    <w:rsid w:val="00BA556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5566"/>
    <w:rPr>
      <w:rFonts w:ascii="Tahoma" w:hAnsi="Tahoma" w:cs="Tahoma"/>
      <w:sz w:val="16"/>
      <w:szCs w:val="16"/>
    </w:rPr>
  </w:style>
  <w:style w:type="table" w:styleId="TableGrid">
    <w:name w:val="Table Grid"/>
    <w:basedOn w:val="TableNormal"/>
    <w:uiPriority w:val="59"/>
    <w:rsid w:val="00BA55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04E"/>
    <w:pPr>
      <w:spacing w:line="240" w:lineRule="auto"/>
      <w:ind w:left="720"/>
    </w:pPr>
    <w:rPr>
      <w:rFonts w:ascii="Times New Roman" w:hAnsi="Times New Roman"/>
      <w:lang w:bidi="ar-SA"/>
    </w:rPr>
  </w:style>
  <w:style w:type="character" w:styleId="FollowedHyperlink">
    <w:name w:val="FollowedHyperlink"/>
    <w:basedOn w:val="DefaultParagraphFont"/>
    <w:uiPriority w:val="99"/>
    <w:semiHidden/>
    <w:unhideWhenUsed/>
    <w:rsid w:val="00842868"/>
    <w:rPr>
      <w:color w:val="800080" w:themeColor="followedHyperlink"/>
      <w:u w:val="single"/>
    </w:rPr>
  </w:style>
  <w:style w:type="paragraph" w:styleId="Header">
    <w:name w:val="header"/>
    <w:basedOn w:val="Normal"/>
    <w:link w:val="HeaderChar"/>
    <w:uiPriority w:val="99"/>
    <w:unhideWhenUsed/>
    <w:rsid w:val="008321F4"/>
    <w:pPr>
      <w:tabs>
        <w:tab w:val="center" w:pos="4680"/>
        <w:tab w:val="right" w:pos="9360"/>
      </w:tabs>
      <w:spacing w:line="240" w:lineRule="auto"/>
    </w:pPr>
  </w:style>
  <w:style w:type="character" w:customStyle="1" w:styleId="HeaderChar">
    <w:name w:val="Header Char"/>
    <w:basedOn w:val="DefaultParagraphFont"/>
    <w:link w:val="Header"/>
    <w:uiPriority w:val="99"/>
    <w:rsid w:val="008321F4"/>
  </w:style>
  <w:style w:type="paragraph" w:styleId="Footer">
    <w:name w:val="footer"/>
    <w:basedOn w:val="Normal"/>
    <w:link w:val="FooterChar"/>
    <w:uiPriority w:val="99"/>
    <w:unhideWhenUsed/>
    <w:rsid w:val="008321F4"/>
    <w:pPr>
      <w:tabs>
        <w:tab w:val="center" w:pos="4680"/>
        <w:tab w:val="right" w:pos="9360"/>
      </w:tabs>
      <w:spacing w:line="240" w:lineRule="auto"/>
    </w:pPr>
  </w:style>
  <w:style w:type="character" w:customStyle="1" w:styleId="FooterChar">
    <w:name w:val="Footer Char"/>
    <w:basedOn w:val="DefaultParagraphFont"/>
    <w:link w:val="Footer"/>
    <w:uiPriority w:val="99"/>
    <w:rsid w:val="008321F4"/>
  </w:style>
  <w:style w:type="character" w:styleId="UnresolvedMention">
    <w:name w:val="Unresolved Mention"/>
    <w:basedOn w:val="DefaultParagraphFont"/>
    <w:uiPriority w:val="99"/>
    <w:semiHidden/>
    <w:unhideWhenUsed/>
    <w:rsid w:val="00A71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ac@jud.ca.gov" TargetMode="External"/><Relationship Id="rId4" Type="http://schemas.openxmlformats.org/officeDocument/2006/relationships/settings" Target="settings.xml"/><Relationship Id="rId9" Type="http://schemas.openxmlformats.org/officeDocument/2006/relationships/hyperlink" Target="http://www.courts.ca.gov/aac.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JCC%20Templates\ac-P-CombinedClosed.dotx"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586AE-53B7-4EDA-BB67-7B0A86DF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ac-P-CombinedClosed</Template>
  <TotalTime>0</TotalTime>
  <Pages>1</Pages>
  <Words>205</Words>
  <Characters>1167</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2026-01-12T15:53:00Z</dcterms:created>
  <dcterms:modified xsi:type="dcterms:W3CDTF">2026-01-12T16:03:00Z</dcterms:modified>
</cp:coreProperties>
</file>