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</w:pPr>
      <w:r>
        <w:rPr>
          <w:rFonts w:ascii="Arial" w:cs="Arial" w:eastAsia="Arial" w:hAnsi="Arial"/>
          <w:b/>
          <w:bCs/>
          <w:color w:val="555555"/>
          <w:sz w:val="19"/>
          <w:szCs w:val="19"/>
          <w:lang w:val="en-US"/>
        </w:rPr>
        <w:t xml:space="preserve">Judicial Council of California  |  Center for Families, Children &amp; the Courts</w:t>
      </w:r>
    </w:p>
    <w:p>
      <w:pPr>
        <w:pStyle w:val="Heading1"/>
        <w:keepNext/>
        <w:spacing w:after="100" w:before="0"/>
      </w:pPr>
      <w:r>
        <w:rPr>
          <w:lang w:val="en-US"/>
        </w:rPr>
        <w:t xml:space="preserve">Access to Visitation Grant Applicant Webinar Agenda</w:t>
      </w:r>
    </w:p>
    <w:p>
      <w:pPr>
        <w:spacing w:after="60" w:before="0"/>
      </w:pPr>
      <w:r>
        <w:rPr>
          <w:rFonts w:ascii="Arial" w:cs="Arial" w:eastAsia="Arial" w:hAnsi="Arial"/>
          <w:sz w:val="22"/>
          <w:szCs w:val="22"/>
          <w:lang w:val="en-US"/>
        </w:rPr>
        <w:t xml:space="preserve">California’s Access to Visitation Grant Program, Fiscal Years 2027–28 through 2029–30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sz w:val="21"/>
          <w:szCs w:val="21"/>
          <w:lang w:val="en-US"/>
        </w:rPr>
        <w:t xml:space="preserve">Date and time: </w:t>
      </w:r>
      <w:r>
        <w:rPr>
          <w:rFonts w:ascii="Arial" w:cs="Arial" w:eastAsia="Arial" w:hAnsi="Arial"/>
          <w:sz w:val="21"/>
          <w:szCs w:val="21"/>
          <w:lang w:val="en-US"/>
        </w:rPr>
        <w:t xml:space="preserve">Wednesday, October 7, 2026, 2:00–3:30 p.m.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sz w:val="21"/>
          <w:szCs w:val="21"/>
          <w:lang w:val="en-US"/>
        </w:rPr>
        <w:t xml:space="preserve">Contact: </w:t>
      </w:r>
      <w:r>
        <w:rPr>
          <w:rFonts w:ascii="Arial" w:cs="Arial" w:eastAsia="Arial" w:hAnsi="Arial"/>
          <w:sz w:val="21"/>
          <w:szCs w:val="21"/>
          <w:lang w:val="en-US"/>
        </w:rPr>
        <w:t xml:space="preserve">Jodi Mulligan-Pfile, (916) 643-8004, </w:t>
      </w:r>
      <w:hyperlink w:history="1" r:id="rId1radwhgkniogt0ngjnyul">
        <w:r>
          <w:rPr>
            <w:rFonts w:ascii="Arial" w:cs="Arial" w:eastAsia="Arial" w:hAnsi="Arial"/>
            <w:color w:val="0563C1"/>
            <w:sz w:val="21"/>
            <w:szCs w:val="21"/>
            <w:u w:val="single"/>
            <w:lang w:val="en-US"/>
          </w:rPr>
          <w:t xml:space="preserve">Jodi.Mulligan-Pfile@jud.ca.gov</w:t>
        </w:r>
      </w:hyperlink>
    </w:p>
    <w:p>
      <w:pPr>
        <w:pStyle w:val="Heading2"/>
        <w:keepNext/>
        <w:spacing w:after="100" w:before="240"/>
      </w:pPr>
      <w:r>
        <w:rPr>
          <w:lang w:val="en-US"/>
        </w:rPr>
        <w:t xml:space="preserve">Webinar Information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sz w:val="21"/>
          <w:szCs w:val="21"/>
          <w:lang w:val="en-US"/>
        </w:rPr>
        <w:t xml:space="preserve">Zoom for Government registration: </w:t>
      </w:r>
      <w:hyperlink w:history="1" r:id="rIdqdm-bu8-zhoe3ph-ymfza">
        <w:r>
          <w:rPr>
            <w:rFonts w:ascii="Arial" w:cs="Arial" w:eastAsia="Arial" w:hAnsi="Arial"/>
            <w:color w:val="0563C1"/>
            <w:sz w:val="21"/>
            <w:szCs w:val="21"/>
            <w:u w:val="single"/>
            <w:lang w:val="en-US"/>
          </w:rPr>
          <w:t xml:space="preserve">https://jud-ca-gov.zoomgov.com/meeting/register/9jv2IcHTSRiEd6HOcyaIJQ</w:t>
        </w:r>
      </w:hyperlink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sz w:val="21"/>
          <w:szCs w:val="21"/>
          <w:lang w:val="en-US"/>
        </w:rPr>
        <w:t xml:space="preserve">Webinar instructions will be emailed to registrants before the session. Join by computer, mobile device, or phone.</w:t>
      </w:r>
    </w:p>
    <w:p>
      <w:pPr>
        <w:pStyle w:val="ListParagraph"/>
        <w:numPr>
          <w:ilvl w:val="0"/>
          <w:numId w:val="2"/>
        </w:numPr>
        <w:spacing w:after="60" w:before="0"/>
      </w:pPr>
      <w:r>
        <w:rPr>
          <w:rFonts w:ascii="Arial" w:cs="Arial" w:eastAsia="Arial" w:hAnsi="Arial"/>
          <w:sz w:val="21"/>
          <w:szCs w:val="21"/>
          <w:lang w:val="en-US"/>
        </w:rPr>
        <w:t xml:space="preserve">Questions may be submitted in advance through the registration link by 3:00 p.m., Tuesday, October 6, 2026. Please reference the grant application page number and section.</w:t>
      </w:r>
    </w:p>
    <w:p>
      <w:pPr>
        <w:pStyle w:val="Heading2"/>
        <w:keepNext/>
        <w:spacing w:after="100" w:before="240"/>
      </w:pPr>
      <w:r>
        <w:rPr>
          <w:lang w:val="en-US"/>
        </w:rPr>
        <w:t xml:space="preserve">Agenda</w:t>
      </w:r>
    </w:p>
    <w:tbl>
      <w:tblPr>
        <w:tblW w:type="dxa" w:w="964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448"/>
      </w:tblGrid>
      <w:tr>
        <w:trPr>
          <w:cantSplit/>
          <w:tblHeader/>
        </w:trPr>
        <w:tc>
          <w:tcPr>
            <w:tcW w:type="dxa" w:w="2200"/>
            <w:tcBorders>
              <w:top w:val="single" w:color="B8C7D6" w:sz="4"/>
              <w:left w:val="single" w:color="B8C7D6" w:sz="4"/>
              <w:bottom w:val="single" w:color="B8C7D6" w:sz="4"/>
              <w:right w:val="single" w:color="B8C7D6" w:sz="4"/>
            </w:tcBorders>
            <w:shd w:fill="0B3A63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lang w:val="en-US"/>
              </w:rPr>
              <w:t xml:space="preserve">Time</w:t>
            </w:r>
          </w:p>
        </w:tc>
        <w:tc>
          <w:tcPr>
            <w:tcW w:type="dxa" w:w="7448"/>
            <w:tcBorders>
              <w:top w:val="single" w:color="B8C7D6" w:sz="4"/>
              <w:left w:val="single" w:color="B8C7D6" w:sz="4"/>
              <w:bottom w:val="single" w:color="B8C7D6" w:sz="4"/>
              <w:right w:val="single" w:color="B8C7D6" w:sz="4"/>
            </w:tcBorders>
            <w:shd w:fill="0B3A63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lang w:val="en-US"/>
              </w:rPr>
              <w:t xml:space="preserve">Topic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8C7D6" w:sz="4"/>
              <w:left w:val="single" w:color="B8C7D6" w:sz="4"/>
              <w:bottom w:val="single" w:color="B8C7D6" w:sz="4"/>
              <w:right w:val="single" w:color="B8C7D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  <w:lang w:val="en-US"/>
              </w:rPr>
              <w:t xml:space="preserve">2:00–2:10 p.m.</w:t>
            </w:r>
          </w:p>
        </w:tc>
        <w:tc>
          <w:tcPr>
            <w:tcW w:type="dxa" w:w="7448"/>
            <w:tcBorders>
              <w:top w:val="single" w:color="B8C7D6" w:sz="4"/>
              <w:left w:val="single" w:color="B8C7D6" w:sz="4"/>
              <w:bottom w:val="single" w:color="B8C7D6" w:sz="4"/>
              <w:right w:val="single" w:color="B8C7D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  <w:lang w:val="en-US"/>
              </w:rPr>
              <w:t xml:space="preserve">Welcome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before="0"/>
            </w:pPr>
            <w:r>
              <w:rPr>
                <w:rFonts w:ascii="Arial" w:cs="Arial" w:eastAsia="Arial" w:hAnsi="Arial"/>
                <w:sz w:val="21"/>
                <w:szCs w:val="21"/>
                <w:lang w:val="en-US"/>
              </w:rPr>
              <w:t xml:space="preserve">Introductions and roll call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before="0"/>
            </w:pPr>
            <w:r>
              <w:rPr>
                <w:rFonts w:ascii="Arial" w:cs="Arial" w:eastAsia="Arial" w:hAnsi="Arial"/>
                <w:sz w:val="21"/>
                <w:szCs w:val="21"/>
                <w:lang w:val="en-US"/>
              </w:rPr>
              <w:t xml:space="preserve">Overview of agenda and materials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  <w:lang w:val="en-US"/>
              </w:rPr>
              <w:t xml:space="preserve">Housekeeping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8C7D6" w:sz="4"/>
              <w:left w:val="single" w:color="B8C7D6" w:sz="4"/>
              <w:bottom w:val="single" w:color="B8C7D6" w:sz="4"/>
              <w:right w:val="single" w:color="B8C7D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  <w:lang w:val="en-US"/>
              </w:rPr>
              <w:t xml:space="preserve">2:10–2:20 p.m.</w:t>
            </w:r>
          </w:p>
        </w:tc>
        <w:tc>
          <w:tcPr>
            <w:tcW w:type="dxa" w:w="7448"/>
            <w:tcBorders>
              <w:top w:val="single" w:color="B8C7D6" w:sz="4"/>
              <w:left w:val="single" w:color="B8C7D6" w:sz="4"/>
              <w:bottom w:val="single" w:color="B8C7D6" w:sz="4"/>
              <w:right w:val="single" w:color="B8C7D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  <w:lang w:val="en-US"/>
              </w:rPr>
              <w:t xml:space="preserve">Access to Visitation Grant Program Overview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before="0"/>
            </w:pPr>
            <w:r>
              <w:rPr>
                <w:rFonts w:ascii="Arial" w:cs="Arial" w:eastAsia="Arial" w:hAnsi="Arial"/>
                <w:sz w:val="21"/>
                <w:szCs w:val="21"/>
                <w:lang w:val="en-US"/>
              </w:rPr>
              <w:t xml:space="preserve">Federal and state program goals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  <w:lang w:val="en-US"/>
              </w:rPr>
              <w:t xml:space="preserve">Eligible applicants and target population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8C7D6" w:sz="4"/>
              <w:left w:val="single" w:color="B8C7D6" w:sz="4"/>
              <w:bottom w:val="single" w:color="B8C7D6" w:sz="4"/>
              <w:right w:val="single" w:color="B8C7D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  <w:lang w:val="en-US"/>
              </w:rPr>
              <w:t xml:space="preserve">2:20–2:35 p.m.</w:t>
            </w:r>
          </w:p>
        </w:tc>
        <w:tc>
          <w:tcPr>
            <w:tcW w:type="dxa" w:w="7448"/>
            <w:tcBorders>
              <w:top w:val="single" w:color="B8C7D6" w:sz="4"/>
              <w:left w:val="single" w:color="B8C7D6" w:sz="4"/>
              <w:bottom w:val="single" w:color="B8C7D6" w:sz="4"/>
              <w:right w:val="single" w:color="B8C7D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  <w:lang w:val="en-US"/>
              </w:rPr>
              <w:t xml:space="preserve">Funding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before="0"/>
            </w:pPr>
            <w:r>
              <w:rPr>
                <w:rFonts w:ascii="Arial" w:cs="Arial" w:eastAsia="Arial" w:hAnsi="Arial"/>
                <w:sz w:val="21"/>
                <w:szCs w:val="21"/>
                <w:lang w:val="en-US"/>
              </w:rPr>
              <w:t xml:space="preserve">Funding categories and eligibility amounts (Attachment C)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before="0"/>
            </w:pPr>
            <w:r>
              <w:rPr>
                <w:rFonts w:ascii="Arial" w:cs="Arial" w:eastAsia="Arial" w:hAnsi="Arial"/>
                <w:sz w:val="21"/>
                <w:szCs w:val="21"/>
                <w:lang w:val="en-US"/>
              </w:rPr>
              <w:t xml:space="preserve">20 percent non-federal match requirement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  <w:lang w:val="en-US"/>
              </w:rPr>
              <w:t xml:space="preserve">Grant award period and reimbursement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8C7D6" w:sz="4"/>
              <w:left w:val="single" w:color="B8C7D6" w:sz="4"/>
              <w:bottom w:val="single" w:color="B8C7D6" w:sz="4"/>
              <w:right w:val="single" w:color="B8C7D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  <w:lang w:val="en-US"/>
              </w:rPr>
              <w:t xml:space="preserve">2:35–2:55 p.m.</w:t>
            </w:r>
          </w:p>
        </w:tc>
        <w:tc>
          <w:tcPr>
            <w:tcW w:type="dxa" w:w="7448"/>
            <w:tcBorders>
              <w:top w:val="single" w:color="B8C7D6" w:sz="4"/>
              <w:left w:val="single" w:color="B8C7D6" w:sz="4"/>
              <w:bottom w:val="single" w:color="B8C7D6" w:sz="4"/>
              <w:right w:val="single" w:color="B8C7D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  <w:lang w:val="en-US"/>
              </w:rPr>
              <w:t xml:space="preserve">Grant Application Evaluation and Scoring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before="0"/>
            </w:pPr>
            <w:r>
              <w:rPr>
                <w:rFonts w:ascii="Arial" w:cs="Arial" w:eastAsia="Arial" w:hAnsi="Arial"/>
                <w:sz w:val="21"/>
                <w:szCs w:val="21"/>
                <w:lang w:val="en-US"/>
              </w:rPr>
              <w:t xml:space="preserve">Scoring criteria (Attachment A)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  <w:lang w:val="en-US"/>
              </w:rPr>
              <w:t xml:space="preserve">Grant review and selection process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8C7D6" w:sz="4"/>
              <w:left w:val="single" w:color="B8C7D6" w:sz="4"/>
              <w:bottom w:val="single" w:color="B8C7D6" w:sz="4"/>
              <w:right w:val="single" w:color="B8C7D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  <w:lang w:val="en-US"/>
              </w:rPr>
              <w:t xml:space="preserve">2:55–3:05 p.m.</w:t>
            </w:r>
          </w:p>
        </w:tc>
        <w:tc>
          <w:tcPr>
            <w:tcW w:type="dxa" w:w="7448"/>
            <w:tcBorders>
              <w:top w:val="single" w:color="B8C7D6" w:sz="4"/>
              <w:left w:val="single" w:color="B8C7D6" w:sz="4"/>
              <w:bottom w:val="single" w:color="B8C7D6" w:sz="4"/>
              <w:right w:val="single" w:color="B8C7D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  <w:lang w:val="en-US"/>
              </w:rPr>
              <w:t xml:space="preserve">Required Attachments and Templates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before="0"/>
            </w:pPr>
            <w:r>
              <w:rPr>
                <w:rFonts w:ascii="Arial" w:cs="Arial" w:eastAsia="Arial" w:hAnsi="Arial"/>
                <w:sz w:val="21"/>
                <w:szCs w:val="21"/>
                <w:lang w:val="en-US"/>
              </w:rPr>
              <w:t xml:space="preserve">Attachment B: Court and Subcontractor Budget Form (B1)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before="0"/>
            </w:pPr>
            <w:r>
              <w:rPr>
                <w:rFonts w:ascii="Arial" w:cs="Arial" w:eastAsia="Arial" w:hAnsi="Arial"/>
                <w:sz w:val="21"/>
                <w:szCs w:val="21"/>
                <w:lang w:val="en-US"/>
              </w:rPr>
              <w:t xml:space="preserve">B2: Summary of Client Services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  <w:lang w:val="en-US"/>
              </w:rPr>
              <w:t xml:space="preserve">B3: Summary of Court and Subcontractor Program Budget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8C7D6" w:sz="4"/>
              <w:left w:val="single" w:color="B8C7D6" w:sz="4"/>
              <w:bottom w:val="single" w:color="B8C7D6" w:sz="4"/>
              <w:right w:val="single" w:color="B8C7D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  <w:lang w:val="en-US"/>
              </w:rPr>
              <w:t xml:space="preserve">3:05–3:15 p.m.</w:t>
            </w:r>
          </w:p>
        </w:tc>
        <w:tc>
          <w:tcPr>
            <w:tcW w:type="dxa" w:w="7448"/>
            <w:tcBorders>
              <w:top w:val="single" w:color="B8C7D6" w:sz="4"/>
              <w:left w:val="single" w:color="B8C7D6" w:sz="4"/>
              <w:bottom w:val="single" w:color="B8C7D6" w:sz="4"/>
              <w:right w:val="single" w:color="B8C7D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  <w:lang w:val="en-US"/>
              </w:rPr>
              <w:t xml:space="preserve">Applying Through Submit.com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before="0"/>
            </w:pPr>
            <w:r>
              <w:rPr>
                <w:rFonts w:ascii="Arial" w:cs="Arial" w:eastAsia="Arial" w:hAnsi="Arial"/>
                <w:sz w:val="21"/>
                <w:szCs w:val="21"/>
                <w:lang w:val="en-US"/>
              </w:rPr>
              <w:t xml:space="preserve">New application platform for this cycle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  <w:lang w:val="en-US"/>
              </w:rPr>
              <w:t xml:space="preserve">Account setup, completing the application, and submission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8C7D6" w:sz="4"/>
              <w:left w:val="single" w:color="B8C7D6" w:sz="4"/>
              <w:bottom w:val="single" w:color="B8C7D6" w:sz="4"/>
              <w:right w:val="single" w:color="B8C7D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  <w:lang w:val="en-US"/>
              </w:rPr>
              <w:t xml:space="preserve">3:15–3:20 p.m.</w:t>
            </w:r>
          </w:p>
        </w:tc>
        <w:tc>
          <w:tcPr>
            <w:tcW w:type="dxa" w:w="7448"/>
            <w:tcBorders>
              <w:top w:val="single" w:color="B8C7D6" w:sz="4"/>
              <w:left w:val="single" w:color="B8C7D6" w:sz="4"/>
              <w:bottom w:val="single" w:color="B8C7D6" w:sz="4"/>
              <w:right w:val="single" w:color="B8C7D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  <w:lang w:val="en-US"/>
              </w:rPr>
              <w:t xml:space="preserve">Key Dates and Next Steps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before="0"/>
            </w:pPr>
            <w:r>
              <w:rPr>
                <w:rFonts w:ascii="Arial" w:cs="Arial" w:eastAsia="Arial" w:hAnsi="Arial"/>
                <w:sz w:val="21"/>
                <w:szCs w:val="21"/>
                <w:lang w:val="en-US"/>
              </w:rPr>
              <w:t xml:space="preserve">Grant application timeline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  <w:lang w:val="en-US"/>
              </w:rPr>
              <w:t xml:space="preserve">What to expect if funded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8C7D6" w:sz="4"/>
              <w:left w:val="single" w:color="B8C7D6" w:sz="4"/>
              <w:bottom w:val="single" w:color="B8C7D6" w:sz="4"/>
              <w:right w:val="single" w:color="B8C7D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  <w:lang w:val="en-US"/>
              </w:rPr>
              <w:t xml:space="preserve">3:20–3:30 p.m.</w:t>
            </w:r>
          </w:p>
        </w:tc>
        <w:tc>
          <w:tcPr>
            <w:tcW w:type="dxa" w:w="7448"/>
            <w:tcBorders>
              <w:top w:val="single" w:color="B8C7D6" w:sz="4"/>
              <w:left w:val="single" w:color="B8C7D6" w:sz="4"/>
              <w:bottom w:val="single" w:color="B8C7D6" w:sz="4"/>
              <w:right w:val="single" w:color="B8C7D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  <w:lang w:val="en-US"/>
              </w:rPr>
              <w:t xml:space="preserve">Questions and Answers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8C7D6" w:sz="4"/>
              <w:left w:val="single" w:color="B8C7D6" w:sz="4"/>
              <w:bottom w:val="single" w:color="B8C7D6" w:sz="4"/>
              <w:right w:val="single" w:color="B8C7D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  <w:lang w:val="en-US"/>
              </w:rPr>
              <w:t xml:space="preserve">3:30 p.m.</w:t>
            </w:r>
          </w:p>
        </w:tc>
        <w:tc>
          <w:tcPr>
            <w:tcW w:type="dxa" w:w="7448"/>
            <w:tcBorders>
              <w:top w:val="single" w:color="B8C7D6" w:sz="4"/>
              <w:left w:val="single" w:color="B8C7D6" w:sz="4"/>
              <w:bottom w:val="single" w:color="B8C7D6" w:sz="4"/>
              <w:right w:val="single" w:color="B8C7D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  <w:lang w:val="en-US"/>
              </w:rPr>
              <w:t xml:space="preserve">Adjourn</w:t>
            </w:r>
          </w:p>
        </w:tc>
      </w:tr>
    </w:tbl>
    <w:p>
      <w:pPr>
        <w:pStyle w:val="Heading2"/>
        <w:keepNext/>
        <w:spacing w:after="100" w:before="240"/>
      </w:pPr>
      <w:r>
        <w:rPr>
          <w:lang w:val="en-US"/>
        </w:rPr>
        <w:t xml:space="preserve">Application Resources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sz w:val="21"/>
          <w:szCs w:val="21"/>
          <w:lang w:val="en-US"/>
        </w:rPr>
        <w:t xml:space="preserve">Grant application instructions and templates: </w:t>
      </w:r>
      <w:hyperlink w:history="1" r:id="rIdyzhgh4knwmvn8kzupnee7">
        <w:r>
          <w:rPr>
            <w:rFonts w:ascii="Arial" w:cs="Arial" w:eastAsia="Arial" w:hAnsi="Arial"/>
            <w:color w:val="0563C1"/>
            <w:sz w:val="21"/>
            <w:szCs w:val="21"/>
            <w:u w:val="single"/>
            <w:lang w:val="en-US"/>
          </w:rPr>
          <w:t xml:space="preserve">https://www.courts.ca.gov/cfcc-accesstovisitation.htm</w:t>
        </w:r>
      </w:hyperlink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sz w:val="21"/>
          <w:szCs w:val="21"/>
          <w:lang w:val="en-US"/>
        </w:rPr>
        <w:t xml:space="preserve">Apply through Submit.com: </w:t>
      </w:r>
      <w:hyperlink w:history="1" r:id="rIduq7s7i01ofzt8vao7mhmp">
        <w:r>
          <w:rPr>
            <w:rFonts w:ascii="Arial" w:cs="Arial" w:eastAsia="Arial" w:hAnsi="Arial"/>
            <w:color w:val="0563C1"/>
            <w:sz w:val="21"/>
            <w:szCs w:val="21"/>
            <w:u w:val="single"/>
            <w:lang w:val="en-US"/>
          </w:rPr>
          <w:t xml:space="preserve">https://cfcc.submit.com/show/5</w:t>
        </w:r>
      </w:hyperlink>
    </w:p>
    <w:p>
      <w:pPr>
        <w:pStyle w:val="ListParagraph"/>
        <w:numPr>
          <w:ilvl w:val="0"/>
          <w:numId w:val="2"/>
        </w:numPr>
        <w:spacing w:after="0" w:before="0"/>
      </w:pPr>
      <w:r>
        <w:rPr>
          <w:rFonts w:ascii="Arial" w:cs="Arial" w:eastAsia="Arial" w:hAnsi="Arial"/>
          <w:b/>
          <w:bCs/>
          <w:sz w:val="21"/>
          <w:szCs w:val="21"/>
          <w:lang w:val="en-US"/>
        </w:rPr>
        <w:t xml:space="preserve">Applications are due through Submit.com by 5:00 p.m., Wednesday, October 28, 2026.</w:t>
      </w:r>
    </w:p>
    <w:sectPr>
      <w:pgSz w:w="12240" w:h="15840" w:orient="portrait"/>
      <w:pgMar w:top="864" w:right="1296" w:bottom="864" w:left="1296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  <w:lang w:val="en-US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/>
      <w:outlineLvl w:val="0"/>
    </w:pPr>
    <w:rPr>
      <w:rFonts w:ascii="Arial" w:cs="Arial" w:eastAsia="Arial" w:hAnsi="Arial"/>
      <w:b/>
      <w:bCs/>
      <w:color w:val="0B3A63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00" w:before="240"/>
      <w:outlineLvl w:val="1"/>
    </w:pPr>
    <w:rPr>
      <w:rFonts w:ascii="Arial" w:cs="Arial" w:eastAsia="Arial" w:hAnsi="Arial"/>
      <w:b/>
      <w:bCs/>
      <w:color w:val="0B3A63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60" w:before="200"/>
      <w:outlineLvl w:val="2"/>
    </w:pPr>
    <w:rPr>
      <w:rFonts w:ascii="Arial" w:cs="Arial" w:eastAsia="Arial" w:hAnsi="Arial"/>
      <w:b/>
      <w:bCs/>
      <w:color w:val="1F5F99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radwhgkniogt0ngjnyul" Type="http://schemas.openxmlformats.org/officeDocument/2006/relationships/hyperlink" Target="mailto:Jodi.Mulligan-Pfile@jud.ca.gov" TargetMode="External"/><Relationship Id="rIdqdm-bu8-zhoe3ph-ymfza" Type="http://schemas.openxmlformats.org/officeDocument/2006/relationships/hyperlink" Target="https://jud-ca-gov.zoomgov.com/meeting/register/9jv2IcHTSRiEd6HOcyaIJQ" TargetMode="External"/><Relationship Id="rIdyzhgh4knwmvn8kzupnee7" Type="http://schemas.openxmlformats.org/officeDocument/2006/relationships/hyperlink" Target="https://www.courts.ca.gov/cfcc-accesstovisitation.htm" TargetMode="External"/><Relationship Id="rIduq7s7i01ofzt8vao7mhmp" Type="http://schemas.openxmlformats.org/officeDocument/2006/relationships/hyperlink" Target="https://cfcc.submit.com/show/5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 to Visitation Grant Applicant Webinar Agenda, October 7, 2026</dc:title>
  <dc:subject>Access to Visitation Grant Program, FY 2027–28 through 2029–30</dc:subject>
  <dc:creator>Judicial Council of California, Center for Families, Children &amp; the Courts</dc:creator>
  <dc:description>Agenda for the Access to Visitation grant applicant webinar</dc:description>
  <cp:lastModifiedBy>Un-named</cp:lastModifiedBy>
  <cp:revision>1</cp:revision>
  <dcterms:created xsi:type="dcterms:W3CDTF">2026-09-21T18:25:11.146Z</dcterms:created>
  <dcterms:modified xsi:type="dcterms:W3CDTF">2026-09-21T18:25:11.146Z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