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C3742" w:rsidRPr="00C07BE5" w:rsidP="00C07BE5">
      <w:pPr>
        <w:tabs>
          <w:tab w:val="left" w:pos="1440"/>
        </w:tabs>
        <w:spacing w:after="0"/>
        <w:jc w:val="center"/>
        <w:rPr>
          <w:rFonts w:ascii="Times New Roman" w:hAnsi="Times New Roman"/>
          <w:caps/>
          <w:sz w:val="36"/>
        </w:rPr>
      </w:pPr>
      <w:r w:rsidRPr="00C07BE5">
        <w:rPr>
          <w:b/>
          <w:caps/>
          <w:sz w:val="36"/>
        </w:rPr>
        <w:t>IN THE SUPREME COURT OF CALIFORNIA</w:t>
      </w:r>
    </w:p>
    <w:p w:rsidR="002E76A2" w:rsidRPr="00C07BE5" w:rsidP="00C07BE5">
      <w:pPr>
        <w:tabs>
          <w:tab w:val="left" w:pos="1440"/>
        </w:tabs>
        <w:spacing w:after="0"/>
        <w:jc w:val="center"/>
        <w:rPr>
          <w:caps/>
        </w:rPr>
      </w:pPr>
    </w:p>
    <w:p w:rsidR="002E76A2" w:rsidRPr="00C07BE5" w:rsidP="00C07BE5">
      <w:pPr>
        <w:tabs>
          <w:tab w:val="left" w:pos="1440"/>
        </w:tabs>
        <w:spacing w:after="0"/>
        <w:jc w:val="center"/>
        <w:rPr>
          <w:rFonts w:ascii="Times New Roman" w:hAnsi="Times New Roman"/>
          <w:caps/>
          <w:sz w:val="26"/>
        </w:rPr>
      </w:pPr>
      <w:bookmarkStart w:id="0" w:name="plaintiff"/>
      <w:bookmarkEnd w:id="0"/>
      <w:r w:rsidRPr="00C07BE5">
        <w:rPr>
          <w:caps/>
        </w:rPr>
        <w:t>KATHERINE ROSENBERG-WOHL,</w:t>
      </w:r>
    </w:p>
    <w:p w:rsidR="002E76A2" w:rsidRPr="00C07BE5" w:rsidP="00C07BE5">
      <w:pPr>
        <w:tabs>
          <w:tab w:val="left" w:pos="1440"/>
        </w:tabs>
        <w:spacing w:after="0"/>
        <w:jc w:val="center"/>
        <w:rPr>
          <w:caps/>
        </w:rPr>
      </w:pPr>
      <w:bookmarkStart w:id="1" w:name="LD"/>
      <w:bookmarkEnd w:id="1"/>
      <w:r>
        <w:t>Plaintiff and Appellant</w:t>
      </w:r>
      <w:r w:rsidRPr="00C07BE5">
        <w:rPr>
          <w:caps/>
        </w:rPr>
        <w:t>,</w:t>
      </w:r>
    </w:p>
    <w:p w:rsidR="002E76A2" w:rsidRPr="00C07BE5" w:rsidP="00C07BE5">
      <w:pPr>
        <w:tabs>
          <w:tab w:val="left" w:pos="1440"/>
        </w:tabs>
        <w:spacing w:after="0"/>
        <w:jc w:val="center"/>
        <w:rPr>
          <w:caps/>
        </w:rPr>
      </w:pPr>
      <w:r w:rsidRPr="00D1753D">
        <w:t>v</w:t>
      </w:r>
      <w:r w:rsidRPr="00C07BE5">
        <w:rPr>
          <w:caps/>
        </w:rPr>
        <w:t>.</w:t>
      </w:r>
    </w:p>
    <w:p w:rsidR="002E76A2" w:rsidP="002E76A2">
      <w:pPr>
        <w:tabs>
          <w:tab w:val="left" w:pos="1440"/>
        </w:tabs>
        <w:spacing w:after="0"/>
        <w:jc w:val="center"/>
        <w:rPr>
          <w:caps/>
        </w:rPr>
      </w:pPr>
      <w:r w:rsidRPr="00C07BE5">
        <w:rPr>
          <w:caps/>
        </w:rPr>
        <w:t>STATE FARM FIRE AND</w:t>
      </w:r>
      <w:r>
        <w:rPr>
          <w:caps/>
        </w:rPr>
        <w:t xml:space="preserve"> </w:t>
      </w:r>
      <w:r w:rsidRPr="00C07BE5">
        <w:rPr>
          <w:caps/>
        </w:rPr>
        <w:t>CASUALTY COMPANY,</w:t>
      </w:r>
      <w:bookmarkStart w:id="2" w:name="appealnum"/>
      <w:bookmarkEnd w:id="2"/>
    </w:p>
    <w:p w:rsidR="002E76A2" w:rsidRPr="00C07BE5" w:rsidP="00C07BE5">
      <w:pPr>
        <w:tabs>
          <w:tab w:val="left" w:pos="1440"/>
        </w:tabs>
        <w:spacing w:after="0"/>
        <w:jc w:val="center"/>
        <w:rPr>
          <w:caps/>
        </w:rPr>
      </w:pPr>
      <w:bookmarkStart w:id="3" w:name="defendant"/>
      <w:bookmarkEnd w:id="3"/>
      <w:r>
        <w:t>Defendant and Respondent</w:t>
      </w:r>
      <w:r w:rsidRPr="00C07BE5">
        <w:rPr>
          <w:caps/>
        </w:rPr>
        <w:t>.</w:t>
      </w:r>
      <w:bookmarkStart w:id="4" w:name="county"/>
      <w:bookmarkStart w:id="5" w:name="supernum"/>
      <w:bookmarkEnd w:id="4"/>
      <w:bookmarkEnd w:id="5"/>
    </w:p>
    <w:p w:rsidR="002E76A2" w:rsidP="002E76A2">
      <w:pPr>
        <w:tabs>
          <w:tab w:val="left" w:pos="1440"/>
        </w:tabs>
        <w:spacing w:after="0"/>
        <w:jc w:val="center"/>
        <w:rPr>
          <w:caps/>
        </w:rPr>
      </w:pPr>
      <w:bookmarkStart w:id="6" w:name="justice"/>
      <w:bookmarkEnd w:id="6"/>
    </w:p>
    <w:p w:rsidR="002E76A2" w:rsidRPr="00C07BE5" w:rsidP="00C07BE5">
      <w:pPr>
        <w:tabs>
          <w:tab w:val="left" w:pos="1440"/>
        </w:tabs>
        <w:spacing w:after="0"/>
        <w:jc w:val="center"/>
        <w:rPr>
          <w:rFonts w:ascii="Times New Roman" w:hAnsi="Times New Roman"/>
          <w:caps/>
          <w:sz w:val="26"/>
        </w:rPr>
      </w:pPr>
      <w:r w:rsidRPr="00C07BE5">
        <w:rPr>
          <w:caps/>
        </w:rPr>
        <w:t>S281510</w:t>
      </w:r>
    </w:p>
    <w:p w:rsidR="002E76A2" w:rsidP="002E76A2">
      <w:pPr>
        <w:tabs>
          <w:tab w:val="left" w:pos="1440"/>
        </w:tabs>
        <w:spacing w:after="0"/>
        <w:jc w:val="center"/>
        <w:rPr>
          <w:caps/>
        </w:rPr>
      </w:pPr>
    </w:p>
    <w:p w:rsidR="002E76A2" w:rsidP="002E76A2">
      <w:pPr>
        <w:tabs>
          <w:tab w:val="left" w:pos="1440"/>
        </w:tabs>
        <w:spacing w:after="0"/>
        <w:jc w:val="center"/>
        <w:rPr>
          <w:caps/>
        </w:rPr>
      </w:pPr>
      <w:r>
        <w:t>First Appellate District, Division Two</w:t>
      </w:r>
    </w:p>
    <w:p w:rsidR="002E76A2" w:rsidRPr="00C07BE5" w:rsidP="00C07BE5">
      <w:pPr>
        <w:tabs>
          <w:tab w:val="left" w:pos="1440"/>
        </w:tabs>
        <w:spacing w:after="0"/>
        <w:jc w:val="center"/>
        <w:rPr>
          <w:rFonts w:ascii="Times New Roman" w:hAnsi="Times New Roman"/>
          <w:caps/>
          <w:sz w:val="26"/>
        </w:rPr>
      </w:pPr>
      <w:r w:rsidRPr="00C07BE5">
        <w:rPr>
          <w:caps/>
        </w:rPr>
        <w:t>A163848</w:t>
      </w:r>
    </w:p>
    <w:p w:rsidR="002E76A2" w:rsidP="002E76A2">
      <w:pPr>
        <w:tabs>
          <w:tab w:val="left" w:pos="1440"/>
        </w:tabs>
        <w:spacing w:after="0"/>
        <w:jc w:val="center"/>
        <w:rPr>
          <w:caps/>
        </w:rPr>
      </w:pPr>
    </w:p>
    <w:p w:rsidR="002E76A2" w:rsidP="002E76A2">
      <w:pPr>
        <w:tabs>
          <w:tab w:val="left" w:pos="1440"/>
        </w:tabs>
        <w:spacing w:after="0"/>
        <w:jc w:val="center"/>
        <w:rPr>
          <w:caps/>
        </w:rPr>
      </w:pPr>
      <w:r>
        <w:t xml:space="preserve">San Francisco </w:t>
      </w:r>
      <w:r w:rsidR="00B555CC">
        <w:t xml:space="preserve">City and </w:t>
      </w:r>
      <w:r>
        <w:t>County Superior Court</w:t>
      </w:r>
    </w:p>
    <w:p w:rsidR="002E76A2" w:rsidRPr="00C07BE5" w:rsidP="00C07BE5">
      <w:pPr>
        <w:tabs>
          <w:tab w:val="left" w:pos="1440"/>
        </w:tabs>
        <w:spacing w:after="0"/>
        <w:jc w:val="center"/>
        <w:rPr>
          <w:rFonts w:ascii="Times New Roman" w:hAnsi="Times New Roman"/>
          <w:caps/>
          <w:sz w:val="26"/>
        </w:rPr>
      </w:pPr>
      <w:r w:rsidRPr="00C07BE5">
        <w:rPr>
          <w:caps/>
        </w:rPr>
        <w:t>CGC-20-587264</w:t>
      </w:r>
    </w:p>
    <w:p w:rsidR="002E76A2" w:rsidP="002E76A2">
      <w:pPr>
        <w:pBdr>
          <w:bottom w:val="single" w:sz="4" w:space="1" w:color="auto"/>
        </w:pBdr>
        <w:tabs>
          <w:tab w:val="left" w:pos="1440"/>
        </w:tabs>
        <w:spacing w:after="0"/>
        <w:jc w:val="center"/>
        <w:rPr>
          <w:caps/>
        </w:rPr>
      </w:pPr>
    </w:p>
    <w:p w:rsidR="002E76A2" w:rsidP="002E76A2">
      <w:pPr>
        <w:tabs>
          <w:tab w:val="left" w:pos="1440"/>
        </w:tabs>
        <w:spacing w:after="0"/>
        <w:jc w:val="center"/>
        <w:rPr>
          <w:caps/>
        </w:rPr>
      </w:pPr>
    </w:p>
    <w:p w:rsidR="002E76A2" w:rsidP="002E76A2">
      <w:pPr>
        <w:tabs>
          <w:tab w:val="left" w:pos="1440"/>
        </w:tabs>
        <w:spacing w:after="0"/>
        <w:jc w:val="center"/>
        <w:rPr>
          <w:caps/>
        </w:rPr>
      </w:pPr>
      <w:r w:rsidRPr="00211E12">
        <w:t>July</w:t>
      </w:r>
      <w:r>
        <w:rPr>
          <w:caps/>
        </w:rPr>
        <w:t xml:space="preserve"> 18, 2024</w:t>
      </w:r>
    </w:p>
    <w:p w:rsidR="002E76A2" w:rsidP="002E76A2">
      <w:pPr>
        <w:tabs>
          <w:tab w:val="left" w:pos="1440"/>
        </w:tabs>
        <w:spacing w:after="0"/>
        <w:jc w:val="center"/>
        <w:rPr>
          <w:caps/>
        </w:rPr>
      </w:pPr>
    </w:p>
    <w:p w:rsidR="002E76A2" w:rsidP="002E76A2">
      <w:pPr>
        <w:tabs>
          <w:tab w:val="left" w:pos="1440"/>
        </w:tabs>
        <w:spacing w:after="0"/>
        <w:jc w:val="left"/>
        <w:rPr>
          <w:caps/>
        </w:rPr>
      </w:pPr>
      <w:r>
        <w:t xml:space="preserve">Chief Justice Guerrero authored the opinion of the </w:t>
      </w:r>
      <w:r w:rsidR="001E21EF">
        <w:t>Court</w:t>
      </w:r>
      <w:r>
        <w:t xml:space="preserve">, in which </w:t>
      </w:r>
      <w:r w:rsidR="00211E12">
        <w:t>Justices Corrigan, Liu, Kruger, Groban, Jenkins, and Evans</w:t>
      </w:r>
      <w:r>
        <w:t xml:space="preserve"> concurred</w:t>
      </w:r>
      <w:r>
        <w:rPr>
          <w:caps/>
        </w:rPr>
        <w:t>.</w:t>
      </w:r>
    </w:p>
    <w:p w:rsidR="002E76A2" w:rsidRPr="002E76A2" w:rsidP="002E76A2">
      <w:pPr>
        <w:pBdr>
          <w:bottom w:val="single" w:sz="4" w:space="1" w:color="auto"/>
        </w:pBdr>
        <w:tabs>
          <w:tab w:val="left" w:pos="1440"/>
        </w:tabs>
        <w:spacing w:line="480" w:lineRule="exact"/>
        <w:jc w:val="left"/>
        <w:rPr>
          <w:caps/>
        </w:rPr>
      </w:pPr>
      <w:bookmarkStart w:id="7" w:name="Return"/>
      <w:bookmarkEnd w:id="7"/>
    </w:p>
    <w:p w:rsidR="002E76A2" w:rsidP="0052665A">
      <w:pPr>
        <w:tabs>
          <w:tab w:val="left" w:pos="1440"/>
        </w:tabs>
        <w:spacing w:line="480" w:lineRule="exact"/>
        <w:jc w:val="center"/>
        <w:rPr>
          <w:b/>
          <w:caps/>
        </w:rPr>
        <w:sectPr w:rsidSect="002E76A2">
          <w:headerReference w:type="even" r:id="rId5"/>
          <w:headerReference w:type="default" r:id="rId6"/>
          <w:footerReference w:type="even" r:id="rId7"/>
          <w:footerReference w:type="default" r:id="rId8"/>
          <w:headerReference w:type="first" r:id="rId9"/>
          <w:footerReference w:type="first" r:id="rId10"/>
          <w:type w:val="continuous"/>
          <w:pgSz w:w="12240" w:h="15840"/>
          <w:pgMar w:top="1800" w:right="2160" w:bottom="1440" w:left="2160" w:header="720" w:footer="720" w:gutter="0"/>
          <w:cols w:space="720"/>
          <w:titlePg/>
          <w:docGrid w:linePitch="367"/>
        </w:sectPr>
      </w:pPr>
    </w:p>
    <w:p w:rsidR="002E76A2" w:rsidRPr="002E76A2" w:rsidP="002E76A2">
      <w:pPr>
        <w:tabs>
          <w:tab w:val="left" w:pos="1440"/>
        </w:tabs>
        <w:jc w:val="center"/>
        <w:rPr>
          <w:bCs/>
          <w:caps/>
        </w:rPr>
      </w:pPr>
      <w:r w:rsidRPr="002E76A2">
        <w:rPr>
          <w:bCs/>
          <w:caps/>
        </w:rPr>
        <w:t xml:space="preserve">ROSENBERG-WOHL </w:t>
      </w:r>
      <w:r w:rsidRPr="00D1753D">
        <w:rPr>
          <w:bCs/>
        </w:rPr>
        <w:t>v</w:t>
      </w:r>
      <w:r w:rsidRPr="002E76A2">
        <w:rPr>
          <w:bCs/>
          <w:caps/>
        </w:rPr>
        <w:t>. STATE FARM FIRE AND CASUALTY CO.</w:t>
      </w:r>
    </w:p>
    <w:p w:rsidR="002E76A2" w:rsidRPr="002E76A2" w:rsidP="002E76A2">
      <w:pPr>
        <w:tabs>
          <w:tab w:val="left" w:pos="1440"/>
        </w:tabs>
        <w:jc w:val="center"/>
        <w:rPr>
          <w:bCs/>
          <w:caps/>
        </w:rPr>
      </w:pPr>
      <w:r w:rsidRPr="002E76A2">
        <w:rPr>
          <w:bCs/>
          <w:caps/>
        </w:rPr>
        <w:t>S281510</w:t>
      </w:r>
    </w:p>
    <w:p w:rsidR="002E76A2" w:rsidRPr="002E76A2" w:rsidP="002E76A2">
      <w:pPr>
        <w:tabs>
          <w:tab w:val="left" w:pos="1440"/>
        </w:tabs>
        <w:jc w:val="center"/>
        <w:rPr>
          <w:bCs/>
          <w:caps/>
        </w:rPr>
      </w:pPr>
    </w:p>
    <w:p w:rsidR="002E76A2" w:rsidRPr="00C07BE5" w:rsidP="00C07BE5">
      <w:pPr>
        <w:tabs>
          <w:tab w:val="left" w:pos="1440"/>
        </w:tabs>
        <w:jc w:val="center"/>
        <w:rPr>
          <w:caps/>
        </w:rPr>
      </w:pPr>
      <w:r w:rsidRPr="002E76A2">
        <w:rPr>
          <w:bCs/>
        </w:rPr>
        <w:t xml:space="preserve">Opinion of the </w:t>
      </w:r>
      <w:r>
        <w:rPr>
          <w:bCs/>
        </w:rPr>
        <w:t>C</w:t>
      </w:r>
      <w:r w:rsidRPr="002E76A2">
        <w:rPr>
          <w:bCs/>
        </w:rPr>
        <w:t xml:space="preserve">ourt by </w:t>
      </w:r>
      <w:r>
        <w:rPr>
          <w:bCs/>
        </w:rPr>
        <w:t>G</w:t>
      </w:r>
      <w:r w:rsidRPr="002E76A2">
        <w:rPr>
          <w:bCs/>
        </w:rPr>
        <w:t>uerrero</w:t>
      </w:r>
      <w:r w:rsidRPr="00C07BE5">
        <w:t>, C. J.</w:t>
      </w:r>
    </w:p>
    <w:p w:rsidR="002E76A2" w:rsidRPr="002E76A2" w:rsidP="002E76A2">
      <w:pPr>
        <w:tabs>
          <w:tab w:val="left" w:pos="1440"/>
        </w:tabs>
        <w:jc w:val="center"/>
        <w:rPr>
          <w:bCs/>
          <w:caps/>
        </w:rPr>
      </w:pPr>
    </w:p>
    <w:p w:rsidR="006C530A" w:rsidRPr="002E76A2" w:rsidP="00C07BE5">
      <w:pPr>
        <w:ind w:firstLine="720"/>
      </w:pPr>
      <w:bookmarkStart w:id="8" w:name="mainstory"/>
      <w:bookmarkEnd w:id="8"/>
      <w:r w:rsidRPr="002E76A2">
        <w:t xml:space="preserve">Section 2071 of the Insurance Code prescribes a standard form fire insurance </w:t>
      </w:r>
      <w:r w:rsidRPr="002E76A2" w:rsidR="009614AA">
        <w:t>policy</w:t>
      </w:r>
      <w:r w:rsidRPr="002E76A2" w:rsidR="00F638DB">
        <w:t>, the provisions of which provide a baseline for fire insurance coverage in this state</w:t>
      </w:r>
      <w:r w:rsidRPr="002E76A2">
        <w:rPr>
          <w:szCs w:val="26"/>
        </w:rPr>
        <w:t>.</w:t>
      </w:r>
      <w:r>
        <w:rPr>
          <w:rStyle w:val="FootnoteReference"/>
        </w:rPr>
        <w:footnoteReference w:id="3"/>
      </w:r>
      <w:r w:rsidRPr="002E76A2">
        <w:t xml:space="preserve">  Language within </w:t>
      </w:r>
      <w:r w:rsidRPr="002E76A2" w:rsidR="009614AA">
        <w:t>the</w:t>
      </w:r>
      <w:r w:rsidRPr="002E76A2">
        <w:t xml:space="preserve"> standard policy provides, “No suit or action on this policy for the recovery of any claim shall be sustainable in any court of law or equity unless all the requirements of this policy shall have been complied with, and unless commenced within 12</w:t>
      </w:r>
      <w:r w:rsidR="00C853FF">
        <w:t> </w:t>
      </w:r>
      <w:r w:rsidRPr="002E76A2">
        <w:t xml:space="preserve">months next after inception of the loss.”  (§ 2071.)  The issue before us </w:t>
      </w:r>
      <w:r w:rsidRPr="002E76A2" w:rsidR="006A1FD4">
        <w:t xml:space="preserve">is </w:t>
      </w:r>
      <w:r w:rsidRPr="002E76A2">
        <w:t xml:space="preserve">whether this </w:t>
      </w:r>
      <w:r w:rsidRPr="002E76A2" w:rsidR="002C3742">
        <w:t>one-year</w:t>
      </w:r>
      <w:r w:rsidRPr="002E76A2">
        <w:t xml:space="preserve"> deadline for filing suit</w:t>
      </w:r>
      <w:r w:rsidR="00311E8B">
        <w:t xml:space="preserve">, as found within an insurance policy </w:t>
      </w:r>
      <w:r w:rsidR="00CD54F8">
        <w:t xml:space="preserve">that is </w:t>
      </w:r>
      <w:r w:rsidR="00311E8B">
        <w:t xml:space="preserve">subject to </w:t>
      </w:r>
      <w:r w:rsidR="00CD54F8">
        <w:t>section 2071</w:t>
      </w:r>
      <w:r w:rsidR="00311E8B">
        <w:t>,</w:t>
      </w:r>
      <w:r w:rsidRPr="002E76A2" w:rsidR="009614AA">
        <w:rPr>
          <w:szCs w:val="26"/>
        </w:rPr>
        <w:t xml:space="preserve"> </w:t>
      </w:r>
      <w:r w:rsidR="00137B1F">
        <w:t>determines the timeliness of</w:t>
      </w:r>
      <w:r w:rsidRPr="002E76A2">
        <w:t xml:space="preserve"> </w:t>
      </w:r>
      <w:r w:rsidRPr="002E76A2" w:rsidR="58AB7C50">
        <w:t>an insured</w:t>
      </w:r>
      <w:r w:rsidRPr="002E76A2" w:rsidR="006A1FD4">
        <w:t xml:space="preserve">’s </w:t>
      </w:r>
      <w:r w:rsidR="00CD54F8">
        <w:t>cause of action</w:t>
      </w:r>
      <w:r w:rsidRPr="002E76A2">
        <w:t xml:space="preserve"> under the </w:t>
      </w:r>
      <w:r w:rsidRPr="002E76A2" w:rsidR="00F96587">
        <w:t>u</w:t>
      </w:r>
      <w:r w:rsidRPr="002E76A2">
        <w:t xml:space="preserve">nfair </w:t>
      </w:r>
      <w:r w:rsidRPr="002E76A2" w:rsidR="00F96587">
        <w:t>c</w:t>
      </w:r>
      <w:r w:rsidRPr="002E76A2">
        <w:t xml:space="preserve">ompetition </w:t>
      </w:r>
      <w:r w:rsidRPr="002E76A2" w:rsidR="00F96587">
        <w:t>l</w:t>
      </w:r>
      <w:r w:rsidRPr="002E76A2">
        <w:t>aw (UCL; Bus. &amp; Prof. Code, § 17200</w:t>
      </w:r>
      <w:r w:rsidRPr="002E76A2" w:rsidR="00F96587">
        <w:t xml:space="preserve"> et seq.</w:t>
      </w:r>
      <w:r w:rsidRPr="002E76A2">
        <w:rPr>
          <w:szCs w:val="26"/>
        </w:rPr>
        <w:t xml:space="preserve">) </w:t>
      </w:r>
      <w:r w:rsidRPr="002E76A2" w:rsidR="0010277C">
        <w:t xml:space="preserve">that challenges the insurer’s </w:t>
      </w:r>
      <w:r w:rsidR="00217973">
        <w:t xml:space="preserve">general practices in </w:t>
      </w:r>
      <w:r w:rsidRPr="002E76A2" w:rsidR="0010277C">
        <w:t>handling claims</w:t>
      </w:r>
      <w:r w:rsidR="0058641C">
        <w:t xml:space="preserve"> </w:t>
      </w:r>
      <w:r w:rsidRPr="002E76A2" w:rsidR="0010277C">
        <w:t>and</w:t>
      </w:r>
      <w:r w:rsidR="00193E4E">
        <w:t xml:space="preserve"> through which the insured</w:t>
      </w:r>
      <w:r w:rsidRPr="002E76A2" w:rsidR="0010277C">
        <w:t xml:space="preserve"> </w:t>
      </w:r>
      <w:r w:rsidRPr="002E76A2">
        <w:t>seek</w:t>
      </w:r>
      <w:r w:rsidRPr="002E76A2" w:rsidR="0010277C">
        <w:t>s</w:t>
      </w:r>
      <w:r w:rsidRPr="002E76A2">
        <w:t xml:space="preserve"> only declaratory </w:t>
      </w:r>
      <w:r w:rsidRPr="002E76A2" w:rsidR="00D8448D">
        <w:t xml:space="preserve">and injunctive relief on behalf of </w:t>
      </w:r>
      <w:r w:rsidR="00464B9B">
        <w:t xml:space="preserve">all </w:t>
      </w:r>
      <w:r w:rsidRPr="002E76A2" w:rsidR="00D8448D">
        <w:t>policyholders</w:t>
      </w:r>
      <w:r w:rsidRPr="002E76A2" w:rsidR="00094E31">
        <w:t>, or whether the UCL’s four-year statute of limitations (Bus.</w:t>
      </w:r>
      <w:r w:rsidRPr="002E76A2" w:rsidR="009C13F2">
        <w:rPr>
          <w:szCs w:val="26"/>
        </w:rPr>
        <w:t> </w:t>
      </w:r>
      <w:r w:rsidRPr="002E76A2" w:rsidR="00094E31">
        <w:rPr>
          <w:szCs w:val="26"/>
        </w:rPr>
        <w:t>&amp;</w:t>
      </w:r>
      <w:r w:rsidRPr="002E76A2" w:rsidR="009C13F2">
        <w:rPr>
          <w:szCs w:val="26"/>
        </w:rPr>
        <w:t> </w:t>
      </w:r>
      <w:r w:rsidRPr="002E76A2" w:rsidR="00094E31">
        <w:t xml:space="preserve">Prof. Code, § 17208) </w:t>
      </w:r>
      <w:r w:rsidR="00243B60">
        <w:t xml:space="preserve">governs </w:t>
      </w:r>
      <w:r w:rsidR="00137B1F">
        <w:t>instead</w:t>
      </w:r>
      <w:r w:rsidRPr="002E76A2">
        <w:rPr>
          <w:szCs w:val="26"/>
        </w:rPr>
        <w:t xml:space="preserve">.  </w:t>
      </w:r>
    </w:p>
    <w:p w:rsidR="006C530A" w:rsidRPr="002E76A2" w:rsidP="00C07BE5">
      <w:pPr>
        <w:ind w:firstLine="720"/>
        <w:rPr>
          <w:szCs w:val="26"/>
        </w:rPr>
      </w:pPr>
      <w:r w:rsidRPr="002E76A2">
        <w:rPr>
          <w:szCs w:val="26"/>
        </w:rPr>
        <w:t xml:space="preserve">In this case, a divided Court of Appeal affirmed the </w:t>
      </w:r>
      <w:r w:rsidRPr="002E76A2" w:rsidR="00422A74">
        <w:rPr>
          <w:szCs w:val="26"/>
        </w:rPr>
        <w:t>superior</w:t>
      </w:r>
      <w:r w:rsidRPr="002E76A2">
        <w:rPr>
          <w:szCs w:val="26"/>
        </w:rPr>
        <w:t xml:space="preserve"> court’s </w:t>
      </w:r>
      <w:r w:rsidRPr="002E76A2" w:rsidR="00422A74">
        <w:rPr>
          <w:szCs w:val="26"/>
        </w:rPr>
        <w:t xml:space="preserve">entry of </w:t>
      </w:r>
      <w:r w:rsidRPr="002E76A2">
        <w:rPr>
          <w:szCs w:val="26"/>
        </w:rPr>
        <w:t xml:space="preserve">judgment in favor of defendant State Farm Fire and Casualty Company (State Farm) upon </w:t>
      </w:r>
      <w:r w:rsidRPr="002E76A2" w:rsidR="009614AA">
        <w:rPr>
          <w:szCs w:val="26"/>
        </w:rPr>
        <w:t xml:space="preserve">agreeing with the </w:t>
      </w:r>
      <w:r w:rsidRPr="002E76A2" w:rsidR="00422A74">
        <w:rPr>
          <w:szCs w:val="26"/>
        </w:rPr>
        <w:t>lower</w:t>
      </w:r>
      <w:r w:rsidRPr="002E76A2" w:rsidR="009614AA">
        <w:rPr>
          <w:szCs w:val="26"/>
        </w:rPr>
        <w:t xml:space="preserve"> court</w:t>
      </w:r>
      <w:r w:rsidRPr="002E76A2">
        <w:rPr>
          <w:szCs w:val="26"/>
        </w:rPr>
        <w:t xml:space="preserve"> that plaintiff Katherine Rosenberg-Wohl’s </w:t>
      </w:r>
      <w:r w:rsidRPr="002E76A2">
        <w:rPr>
          <w:szCs w:val="26"/>
        </w:rPr>
        <w:t xml:space="preserve">failure to file her lawsuit within one year of her loss defeated her cause of action under the UCL.  The dissenting justice would have allowed plaintiff’s suit to proceed, concluding that the UCL’s four-year limitations period </w:t>
      </w:r>
      <w:r w:rsidR="00243B60">
        <w:rPr>
          <w:szCs w:val="26"/>
        </w:rPr>
        <w:t>controlled</w:t>
      </w:r>
      <w:r w:rsidRPr="002E76A2">
        <w:rPr>
          <w:szCs w:val="26"/>
        </w:rPr>
        <w:t>.</w:t>
      </w:r>
    </w:p>
    <w:p w:rsidR="007E4CCC" w:rsidRPr="002E76A2" w:rsidP="00C07BE5">
      <w:pPr>
        <w:ind w:firstLine="720"/>
      </w:pPr>
      <w:r w:rsidRPr="1CCACB4F">
        <w:t xml:space="preserve">We conclude that the dissent was correct.  Plaintiff’s lawsuit is not a “suit or action on [her] policy for the recovery of </w:t>
      </w:r>
      <w:r w:rsidRPr="1CCACB4F" w:rsidR="004112AE">
        <w:t>any</w:t>
      </w:r>
      <w:r w:rsidRPr="1CCACB4F">
        <w:t xml:space="preserve"> claim</w:t>
      </w:r>
      <w:r w:rsidRPr="002E76A2" w:rsidR="00D8448D">
        <w:rPr>
          <w:szCs w:val="26"/>
        </w:rPr>
        <w:t>.</w:t>
      </w:r>
      <w:r w:rsidRPr="002E76A2">
        <w:rPr>
          <w:szCs w:val="26"/>
        </w:rPr>
        <w:t>”</w:t>
      </w:r>
      <w:r w:rsidRPr="002E76A2" w:rsidR="00D8448D">
        <w:rPr>
          <w:szCs w:val="26"/>
        </w:rPr>
        <w:t xml:space="preserve"> </w:t>
      </w:r>
      <w:r w:rsidRPr="1CCACB4F">
        <w:t xml:space="preserve"> (§ 2071</w:t>
      </w:r>
      <w:r w:rsidRPr="002E76A2" w:rsidR="00D8448D">
        <w:rPr>
          <w:szCs w:val="26"/>
        </w:rPr>
        <w:t>.</w:t>
      </w:r>
      <w:r w:rsidRPr="002E76A2">
        <w:rPr>
          <w:szCs w:val="26"/>
        </w:rPr>
        <w:t>)</w:t>
      </w:r>
      <w:r w:rsidRPr="002E76A2" w:rsidR="00D8448D">
        <w:rPr>
          <w:szCs w:val="26"/>
        </w:rPr>
        <w:t xml:space="preserve"> </w:t>
      </w:r>
      <w:r w:rsidRPr="002E76A2">
        <w:rPr>
          <w:szCs w:val="26"/>
        </w:rPr>
        <w:t xml:space="preserve"> </w:t>
      </w:r>
      <w:r w:rsidRPr="1CCACB4F" w:rsidR="00D8448D">
        <w:t xml:space="preserve">Plaintiff is not attempting to </w:t>
      </w:r>
      <w:r w:rsidRPr="1CCACB4F" w:rsidR="0058641C">
        <w:t xml:space="preserve">directly or indirectly </w:t>
      </w:r>
      <w:r w:rsidRPr="1CCACB4F" w:rsidR="00D8448D">
        <w:t>recover</w:t>
      </w:r>
      <w:r w:rsidRPr="002E76A2" w:rsidR="002C3742">
        <w:rPr>
          <w:szCs w:val="26"/>
        </w:rPr>
        <w:t xml:space="preserve"> </w:t>
      </w:r>
      <w:r w:rsidRPr="1CCACB4F" w:rsidR="00D8448D">
        <w:t xml:space="preserve">damages </w:t>
      </w:r>
      <w:r w:rsidRPr="1CCACB4F" w:rsidR="0058641C">
        <w:t>associated with the denial of her insurance claim</w:t>
      </w:r>
      <w:r w:rsidRPr="002E76A2" w:rsidR="00D8448D">
        <w:rPr>
          <w:szCs w:val="26"/>
        </w:rPr>
        <w:t xml:space="preserve">.  </w:t>
      </w:r>
      <w:r w:rsidRPr="1CCACB4F" w:rsidR="004B6D6D">
        <w:t xml:space="preserve">Instead, </w:t>
      </w:r>
      <w:r w:rsidRPr="1CCACB4F" w:rsidR="00C853FF">
        <w:t xml:space="preserve">plaintiff seeks only declaratory relief regarding State Farm’s claims-handling practices generally and a forward-looking injunction under the UCL.  In pursuing such </w:t>
      </w:r>
      <w:r w:rsidRPr="1CCACB4F" w:rsidR="7442601F">
        <w:t>relief</w:t>
      </w:r>
      <w:r w:rsidRPr="1CCACB4F" w:rsidR="004B6D6D">
        <w:t>, plaintiff brings an essentially “</w:t>
      </w:r>
      <w:r w:rsidRPr="1CCACB4F" w:rsidR="004B6D6D">
        <w:rPr>
          <w:bdr w:val="none" w:sz="0" w:space="0" w:color="auto" w:frame="1"/>
        </w:rPr>
        <w:t>preventive” (</w:t>
      </w:r>
      <w:r w:rsidRPr="1CCACB4F" w:rsidR="004B6D6D">
        <w:rPr>
          <w:i/>
          <w:iCs/>
          <w:bdr w:val="none" w:sz="0" w:space="0" w:color="auto" w:frame="1"/>
        </w:rPr>
        <w:t>Nationwide Biweekly Administration, Inc. v. Superior Court</w:t>
      </w:r>
      <w:r w:rsidRPr="1CCACB4F" w:rsidR="004B6D6D">
        <w:rPr>
          <w:bdr w:val="none" w:sz="0" w:space="0" w:color="auto" w:frame="1"/>
        </w:rPr>
        <w:t> (2020) 9</w:t>
      </w:r>
      <w:r w:rsidR="006A1D29">
        <w:rPr>
          <w:szCs w:val="26"/>
          <w:bdr w:val="none" w:sz="0" w:space="0" w:color="auto" w:frame="1"/>
        </w:rPr>
        <w:t> </w:t>
      </w:r>
      <w:r w:rsidRPr="1CCACB4F" w:rsidR="004B6D6D">
        <w:rPr>
          <w:bdr w:val="none" w:sz="0" w:space="0" w:color="auto" w:frame="1"/>
        </w:rPr>
        <w:t>Cal.5th 279, 326 (</w:t>
      </w:r>
      <w:r w:rsidRPr="1CCACB4F" w:rsidR="004B6D6D">
        <w:rPr>
          <w:i/>
          <w:iCs/>
          <w:bdr w:val="none" w:sz="0" w:space="0" w:color="auto" w:frame="1"/>
        </w:rPr>
        <w:t>Nationwide Biweekly</w:t>
      </w:r>
      <w:r w:rsidRPr="002E76A2" w:rsidR="004B6D6D">
        <w:rPr>
          <w:szCs w:val="26"/>
          <w:bdr w:val="none" w:sz="0" w:space="0" w:color="auto" w:frame="1"/>
        </w:rPr>
        <w:t>))</w:t>
      </w:r>
      <w:r w:rsidRPr="00C07BE5" w:rsidR="004B6D6D">
        <w:rPr>
          <w:bdr w:val="none" w:sz="0" w:space="0" w:color="auto" w:frame="1"/>
        </w:rPr>
        <w:t xml:space="preserve"> action </w:t>
      </w:r>
      <w:r w:rsidRPr="1CCACB4F" w:rsidR="00243B60">
        <w:rPr>
          <w:bdr w:val="none" w:sz="0" w:space="0" w:color="auto" w:frame="1"/>
        </w:rPr>
        <w:t>to which neither</w:t>
      </w:r>
      <w:r w:rsidRPr="1CCACB4F" w:rsidR="004B6D6D">
        <w:t xml:space="preserve"> the standard policy’s </w:t>
      </w:r>
      <w:r w:rsidR="001E21EF">
        <w:t>language</w:t>
      </w:r>
      <w:r w:rsidR="00243B60">
        <w:rPr>
          <w:szCs w:val="26"/>
        </w:rPr>
        <w:t>,</w:t>
      </w:r>
      <w:r w:rsidR="004B6D6D">
        <w:rPr>
          <w:szCs w:val="26"/>
        </w:rPr>
        <w:t xml:space="preserve"> </w:t>
      </w:r>
      <w:r w:rsidRPr="1CCACB4F" w:rsidR="00243B60">
        <w:t>nor</w:t>
      </w:r>
      <w:r w:rsidR="004B6D6D">
        <w:rPr>
          <w:szCs w:val="26"/>
        </w:rPr>
        <w:t xml:space="preserve"> </w:t>
      </w:r>
      <w:r w:rsidRPr="1CCACB4F" w:rsidR="004B6D6D">
        <w:t xml:space="preserve">the </w:t>
      </w:r>
      <w:r w:rsidR="001E21EF">
        <w:t>policy reasons underlying</w:t>
      </w:r>
      <w:r w:rsidRPr="1CCACB4F" w:rsidR="004B6D6D">
        <w:t xml:space="preserve"> the Legislature’s authorization of a </w:t>
      </w:r>
      <w:r w:rsidR="001E21EF">
        <w:t>one-year limitations period</w:t>
      </w:r>
      <w:r w:rsidRPr="1CCACB4F" w:rsidR="004B6D6D">
        <w:t xml:space="preserve"> for filing certain kinds of claims-related lawsuits</w:t>
      </w:r>
      <w:r w:rsidRPr="1CCACB4F" w:rsidR="00243B60">
        <w:t>, applies</w:t>
      </w:r>
      <w:r w:rsidRPr="002E76A2" w:rsidR="004B6D6D">
        <w:rPr>
          <w:szCs w:val="26"/>
        </w:rPr>
        <w:t xml:space="preserve">.  </w:t>
      </w:r>
      <w:r w:rsidRPr="1CCACB4F">
        <w:t xml:space="preserve">We therefore reverse the judgment below and remand the matter for further proceedings consistent with our opinion. </w:t>
      </w:r>
    </w:p>
    <w:p w:rsidR="007E4CCC" w:rsidRPr="002E76A2" w:rsidP="002E76A2">
      <w:pPr>
        <w:pStyle w:val="Heading1"/>
      </w:pPr>
      <w:r w:rsidRPr="002E76A2">
        <w:t>I.  Factual and Procedural Background</w:t>
      </w:r>
    </w:p>
    <w:p w:rsidR="007E4CCC" w:rsidRPr="002E76A2" w:rsidP="00C07BE5">
      <w:pPr>
        <w:ind w:firstLine="720"/>
        <w:rPr>
          <w:szCs w:val="26"/>
        </w:rPr>
      </w:pPr>
      <w:r w:rsidRPr="002E76A2">
        <w:rPr>
          <w:szCs w:val="26"/>
        </w:rPr>
        <w:t>Because this appeal is from</w:t>
      </w:r>
      <w:r w:rsidR="001E21EF">
        <w:rPr>
          <w:szCs w:val="26"/>
        </w:rPr>
        <w:t xml:space="preserve"> a judgment entered after</w:t>
      </w:r>
      <w:r w:rsidRPr="002E76A2">
        <w:rPr>
          <w:szCs w:val="26"/>
        </w:rPr>
        <w:t xml:space="preserve"> the sustaining of a demurrer, “ ‘We give the complaint a reasonable interpretation, reading it as a whole and its parts in their context.  [Citation.]  Further, we treat the demurrer as admitting all material facts properly pleaded, but do not assume the truth of contentions, deductions or conclusions of law.’ ”  (</w:t>
      </w:r>
      <w:r w:rsidRPr="002E76A2">
        <w:rPr>
          <w:i/>
          <w:iCs/>
          <w:szCs w:val="26"/>
        </w:rPr>
        <w:t>County of Santa Clara v. Superior Court</w:t>
      </w:r>
      <w:r w:rsidRPr="002E76A2">
        <w:rPr>
          <w:szCs w:val="26"/>
        </w:rPr>
        <w:t xml:space="preserve"> (2023) 14 Cal.5th 1034, 1041.)  We also consider matters that are subject to judicial notice.  (</w:t>
      </w:r>
      <w:r w:rsidRPr="002E76A2">
        <w:rPr>
          <w:i/>
          <w:iCs/>
          <w:szCs w:val="26"/>
        </w:rPr>
        <w:t>Blank v. Kirwan</w:t>
      </w:r>
      <w:r w:rsidRPr="002E76A2">
        <w:rPr>
          <w:szCs w:val="26"/>
        </w:rPr>
        <w:t xml:space="preserve"> (1985) 39</w:t>
      </w:r>
      <w:r w:rsidR="006A1D29">
        <w:rPr>
          <w:szCs w:val="26"/>
        </w:rPr>
        <w:t> </w:t>
      </w:r>
      <w:r w:rsidRPr="002E76A2">
        <w:rPr>
          <w:szCs w:val="26"/>
        </w:rPr>
        <w:t xml:space="preserve">Cal.3d 311, 318.) </w:t>
      </w:r>
    </w:p>
    <w:p w:rsidR="007E4CCC" w:rsidRPr="002E76A2" w:rsidP="00C07BE5">
      <w:pPr>
        <w:ind w:firstLine="720"/>
        <w:rPr>
          <w:szCs w:val="26"/>
        </w:rPr>
      </w:pPr>
      <w:r w:rsidRPr="002E76A2">
        <w:rPr>
          <w:szCs w:val="26"/>
        </w:rPr>
        <w:t xml:space="preserve">Plaintiff procured a homeowners insurance policy from State Farm that provided coverage for all risks, including fire, except those specifically excluded under the policy.  The policy excluded losses </w:t>
      </w:r>
      <w:r w:rsidRPr="002E76A2" w:rsidR="003B0ACE">
        <w:rPr>
          <w:szCs w:val="26"/>
        </w:rPr>
        <w:t>from</w:t>
      </w:r>
      <w:r w:rsidRPr="002E76A2" w:rsidR="00A175D3">
        <w:rPr>
          <w:szCs w:val="26"/>
        </w:rPr>
        <w:t>, among other things,</w:t>
      </w:r>
      <w:r w:rsidRPr="002E76A2">
        <w:rPr>
          <w:szCs w:val="26"/>
        </w:rPr>
        <w:t xml:space="preserve"> “wear, tear, marring, scratching, deterioration, inherent vice, latent defect or mechanical breakdown” and “settling, cracking, shrinking, bulging, or expansion of pavements, </w:t>
      </w:r>
      <w:r w:rsidRPr="002E76A2" w:rsidR="00740205">
        <w:rPr>
          <w:szCs w:val="26"/>
        </w:rPr>
        <w:t>patios</w:t>
      </w:r>
      <w:r w:rsidRPr="002E76A2">
        <w:rPr>
          <w:szCs w:val="26"/>
        </w:rPr>
        <w:t>, foundation, walls, floors, roofs or ceilings</w:t>
      </w:r>
      <w:r w:rsidRPr="002E76A2" w:rsidR="003E7C53">
        <w:rPr>
          <w:szCs w:val="26"/>
        </w:rPr>
        <w:t>.</w:t>
      </w:r>
      <w:r w:rsidRPr="002E76A2">
        <w:rPr>
          <w:szCs w:val="26"/>
        </w:rPr>
        <w:t>”  One of the policy conditions provided as follows:</w:t>
      </w:r>
      <w:r w:rsidRPr="002E76A2" w:rsidR="00404079">
        <w:rPr>
          <w:szCs w:val="26"/>
        </w:rPr>
        <w:t xml:space="preserve"> </w:t>
      </w:r>
      <w:r w:rsidRPr="002E76A2">
        <w:rPr>
          <w:szCs w:val="26"/>
        </w:rPr>
        <w:t xml:space="preserve"> “Suit Against Us.  No action shall be brought unless there has been compliance with the policy provisions.  The action must be started within one year after the date of loss or damage”</w:t>
      </w:r>
      <w:r w:rsidRPr="002E76A2" w:rsidR="00A13F3C">
        <w:rPr>
          <w:szCs w:val="26"/>
        </w:rPr>
        <w:t xml:space="preserve"> (boldface omitted).</w:t>
      </w:r>
      <w:r w:rsidRPr="002E76A2">
        <w:rPr>
          <w:szCs w:val="26"/>
        </w:rPr>
        <w:t xml:space="preserve"> </w:t>
      </w:r>
    </w:p>
    <w:p w:rsidR="007E4CCC" w:rsidRPr="002E76A2" w:rsidP="00C07BE5">
      <w:pPr>
        <w:ind w:firstLine="720"/>
        <w:rPr>
          <w:szCs w:val="26"/>
        </w:rPr>
      </w:pPr>
      <w:r w:rsidRPr="002E76A2">
        <w:rPr>
          <w:szCs w:val="26"/>
        </w:rPr>
        <w:t xml:space="preserve">On two occasions in late 2018 or early 2019, </w:t>
      </w:r>
      <w:r w:rsidRPr="002E76A2" w:rsidR="006C530A">
        <w:rPr>
          <w:szCs w:val="26"/>
        </w:rPr>
        <w:t>plaintiff</w:t>
      </w:r>
      <w:r w:rsidRPr="002E76A2" w:rsidR="0035348B">
        <w:rPr>
          <w:szCs w:val="26"/>
        </w:rPr>
        <w:t>’s</w:t>
      </w:r>
      <w:r w:rsidRPr="002E76A2">
        <w:rPr>
          <w:szCs w:val="26"/>
        </w:rPr>
        <w:t xml:space="preserve"> neighbor stumbled and fell as she descended a staircase at plaintiff’s residence.  </w:t>
      </w:r>
      <w:r w:rsidR="00815793">
        <w:rPr>
          <w:szCs w:val="26"/>
        </w:rPr>
        <w:t>After i</w:t>
      </w:r>
      <w:r w:rsidRPr="002E76A2">
        <w:rPr>
          <w:szCs w:val="26"/>
        </w:rPr>
        <w:t>nvestigating, plaintiff discovered that the pitch of the stairs had changed, and that the stairs would have to be replaced to fix this issue.  She authorized this work to be performed and contacted State Farm on or around April</w:t>
      </w:r>
      <w:r w:rsidRPr="002E76A2" w:rsidR="00404079">
        <w:rPr>
          <w:szCs w:val="26"/>
        </w:rPr>
        <w:t> </w:t>
      </w:r>
      <w:r w:rsidRPr="002E76A2">
        <w:rPr>
          <w:szCs w:val="26"/>
        </w:rPr>
        <w:t xml:space="preserve">23, 2019. </w:t>
      </w:r>
      <w:r w:rsidRPr="002E76A2" w:rsidR="00A240FB">
        <w:rPr>
          <w:szCs w:val="26"/>
        </w:rPr>
        <w:t xml:space="preserve"> </w:t>
      </w:r>
      <w:r w:rsidRPr="002E76A2">
        <w:rPr>
          <w:szCs w:val="26"/>
        </w:rPr>
        <w:t>On August</w:t>
      </w:r>
      <w:r w:rsidRPr="002E76A2" w:rsidR="00404079">
        <w:rPr>
          <w:szCs w:val="26"/>
        </w:rPr>
        <w:t> </w:t>
      </w:r>
      <w:r w:rsidRPr="002E76A2">
        <w:rPr>
          <w:szCs w:val="26"/>
        </w:rPr>
        <w:t>9, 2019, plaintiff submitted a claim to State Farm, seeking reimbursement for what she had paid to repair the stair</w:t>
      </w:r>
      <w:r w:rsidRPr="002E76A2" w:rsidR="00A240FB">
        <w:rPr>
          <w:szCs w:val="26"/>
        </w:rPr>
        <w:t>case</w:t>
      </w:r>
      <w:r w:rsidRPr="002E76A2">
        <w:rPr>
          <w:szCs w:val="26"/>
        </w:rPr>
        <w:t>.</w:t>
      </w:r>
      <w:r w:rsidRPr="002E76A2" w:rsidR="00A240FB">
        <w:rPr>
          <w:szCs w:val="26"/>
        </w:rPr>
        <w:t xml:space="preserve"> </w:t>
      </w:r>
      <w:r w:rsidRPr="002E76A2">
        <w:rPr>
          <w:szCs w:val="26"/>
        </w:rPr>
        <w:t xml:space="preserve"> On August</w:t>
      </w:r>
      <w:r w:rsidRPr="002E76A2" w:rsidR="00404079">
        <w:rPr>
          <w:szCs w:val="26"/>
        </w:rPr>
        <w:t> </w:t>
      </w:r>
      <w:r w:rsidRPr="002E76A2">
        <w:rPr>
          <w:szCs w:val="26"/>
        </w:rPr>
        <w:t>26, 2019, State Farm denied plaintiff’s claim, advising her by letter that there was “no evidence of a covered cause or loss nor any covered accidental direct physical loss to the front exterior stairway”</w:t>
      </w:r>
      <w:r w:rsidRPr="002E76A2" w:rsidR="001D2BD3">
        <w:rPr>
          <w:szCs w:val="26"/>
        </w:rPr>
        <w:t xml:space="preserve"> </w:t>
      </w:r>
      <w:r w:rsidRPr="002E76A2" w:rsidR="00A350AF">
        <w:rPr>
          <w:szCs w:val="26"/>
        </w:rPr>
        <w:t xml:space="preserve">and </w:t>
      </w:r>
      <w:r w:rsidRPr="002E76A2" w:rsidR="00A9717B">
        <w:rPr>
          <w:szCs w:val="26"/>
        </w:rPr>
        <w:t>identifying</w:t>
      </w:r>
      <w:r w:rsidRPr="002E76A2" w:rsidR="00A350AF">
        <w:rPr>
          <w:szCs w:val="26"/>
        </w:rPr>
        <w:t xml:space="preserve"> </w:t>
      </w:r>
      <w:r w:rsidRPr="002E76A2" w:rsidR="00A9717B">
        <w:rPr>
          <w:szCs w:val="26"/>
        </w:rPr>
        <w:t>several</w:t>
      </w:r>
      <w:r w:rsidRPr="002E76A2" w:rsidR="00A350AF">
        <w:rPr>
          <w:szCs w:val="26"/>
        </w:rPr>
        <w:t xml:space="preserve"> exclusions </w:t>
      </w:r>
      <w:r w:rsidRPr="002E76A2" w:rsidR="00C74BFF">
        <w:rPr>
          <w:szCs w:val="26"/>
        </w:rPr>
        <w:t>within</w:t>
      </w:r>
      <w:r w:rsidRPr="002E76A2" w:rsidR="00A350AF">
        <w:rPr>
          <w:szCs w:val="26"/>
        </w:rPr>
        <w:t xml:space="preserve"> her policy</w:t>
      </w:r>
      <w:r w:rsidRPr="002E76A2" w:rsidR="00A175D3">
        <w:rPr>
          <w:szCs w:val="26"/>
        </w:rPr>
        <w:t xml:space="preserve"> as potentially applicable</w:t>
      </w:r>
      <w:r w:rsidRPr="002E76A2" w:rsidR="00A350AF">
        <w:rPr>
          <w:szCs w:val="26"/>
        </w:rPr>
        <w:t>.</w:t>
      </w:r>
      <w:r w:rsidRPr="002E76A2">
        <w:rPr>
          <w:szCs w:val="26"/>
        </w:rPr>
        <w:t xml:space="preserve">  </w:t>
      </w:r>
    </w:p>
    <w:p w:rsidR="007E4CCC" w:rsidRPr="002E76A2" w:rsidP="00C07BE5">
      <w:pPr>
        <w:ind w:firstLine="720"/>
        <w:rPr>
          <w:szCs w:val="26"/>
        </w:rPr>
      </w:pPr>
      <w:r w:rsidRPr="002E76A2">
        <w:rPr>
          <w:szCs w:val="26"/>
        </w:rPr>
        <w:t xml:space="preserve">Plaintiff subsequently </w:t>
      </w:r>
      <w:r w:rsidR="000A7F88">
        <w:rPr>
          <w:szCs w:val="26"/>
        </w:rPr>
        <w:t>made</w:t>
      </w:r>
      <w:r w:rsidRPr="002E76A2">
        <w:rPr>
          <w:szCs w:val="26"/>
        </w:rPr>
        <w:t xml:space="preserve"> a follow-up inquiry, to which a State Farm claims representative responded in August 2020.</w:t>
      </w:r>
      <w:r w:rsidRPr="002E76A2" w:rsidR="00A240FB">
        <w:rPr>
          <w:szCs w:val="26"/>
        </w:rPr>
        <w:t xml:space="preserve"> </w:t>
      </w:r>
      <w:r w:rsidRPr="002E76A2" w:rsidR="00931ADF">
        <w:rPr>
          <w:szCs w:val="26"/>
        </w:rPr>
        <w:t xml:space="preserve"> </w:t>
      </w:r>
      <w:r w:rsidRPr="002E76A2">
        <w:rPr>
          <w:szCs w:val="26"/>
        </w:rPr>
        <w:t>After a conversation between plaintiff and the claims representative later that month, the representative advised plaintiff once again that her claim was denied</w:t>
      </w:r>
      <w:r w:rsidRPr="002E76A2" w:rsidR="00E217B2">
        <w:rPr>
          <w:szCs w:val="26"/>
        </w:rPr>
        <w:t>.</w:t>
      </w:r>
      <w:r w:rsidRPr="002E76A2">
        <w:rPr>
          <w:szCs w:val="26"/>
        </w:rPr>
        <w:t xml:space="preserve">  </w:t>
      </w:r>
    </w:p>
    <w:p w:rsidR="007E4CCC" w:rsidRPr="002E76A2" w:rsidP="002E1551">
      <w:pPr>
        <w:tabs>
          <w:tab w:val="left" w:pos="6480"/>
        </w:tabs>
        <w:ind w:firstLine="720"/>
        <w:rPr>
          <w:szCs w:val="26"/>
        </w:rPr>
      </w:pPr>
      <w:r w:rsidRPr="002E76A2">
        <w:rPr>
          <w:szCs w:val="26"/>
        </w:rPr>
        <w:t xml:space="preserve">Plaintiff then filed two lawsuits in state court against State Farm in October 2020.  </w:t>
      </w:r>
      <w:r w:rsidRPr="002E76A2" w:rsidR="00253C88">
        <w:rPr>
          <w:szCs w:val="26"/>
        </w:rPr>
        <w:t>In o</w:t>
      </w:r>
      <w:r w:rsidRPr="002E76A2">
        <w:rPr>
          <w:szCs w:val="26"/>
        </w:rPr>
        <w:t>ne of these lawsuits</w:t>
      </w:r>
      <w:r w:rsidRPr="002E76A2" w:rsidR="00253C88">
        <w:rPr>
          <w:szCs w:val="26"/>
        </w:rPr>
        <w:t xml:space="preserve">, plaintiff </w:t>
      </w:r>
      <w:r w:rsidRPr="002E76A2">
        <w:rPr>
          <w:szCs w:val="26"/>
        </w:rPr>
        <w:t xml:space="preserve">alleged claims for breach of contract and the implied covenant of good faith and fair dealing </w:t>
      </w:r>
      <w:r w:rsidRPr="002E76A2" w:rsidR="00253C88">
        <w:rPr>
          <w:szCs w:val="26"/>
        </w:rPr>
        <w:t xml:space="preserve">and </w:t>
      </w:r>
      <w:r w:rsidRPr="002E76A2">
        <w:rPr>
          <w:szCs w:val="26"/>
        </w:rPr>
        <w:t>sought damages against State Farm.  State Farm removed that case to federal court</w:t>
      </w:r>
      <w:r w:rsidRPr="002E76A2" w:rsidR="009C13F2">
        <w:rPr>
          <w:szCs w:val="26"/>
        </w:rPr>
        <w:t>.</w:t>
      </w:r>
      <w:r w:rsidRPr="002E76A2">
        <w:rPr>
          <w:szCs w:val="26"/>
        </w:rPr>
        <w:t xml:space="preserve">  Agreeing with State Farm that plaintiff</w:t>
      </w:r>
      <w:r w:rsidRPr="002E76A2" w:rsidR="009C13F2">
        <w:rPr>
          <w:szCs w:val="26"/>
        </w:rPr>
        <w:t>’s lawsuit was barred</w:t>
      </w:r>
      <w:r w:rsidRPr="002E76A2" w:rsidR="00135350">
        <w:rPr>
          <w:szCs w:val="26"/>
        </w:rPr>
        <w:t xml:space="preserve"> </w:t>
      </w:r>
      <w:r w:rsidRPr="002E76A2" w:rsidR="00A175D3">
        <w:rPr>
          <w:szCs w:val="26"/>
        </w:rPr>
        <w:t>under</w:t>
      </w:r>
      <w:r w:rsidRPr="002E76A2" w:rsidR="00135350">
        <w:rPr>
          <w:szCs w:val="26"/>
        </w:rPr>
        <w:t xml:space="preserve"> the limitations period found in her insurance policy</w:t>
      </w:r>
      <w:r w:rsidRPr="002E76A2" w:rsidR="009C13F2">
        <w:rPr>
          <w:szCs w:val="26"/>
        </w:rPr>
        <w:t xml:space="preserve"> because she did not file </w:t>
      </w:r>
      <w:r w:rsidRPr="002E76A2" w:rsidR="00EC717E">
        <w:rPr>
          <w:szCs w:val="26"/>
        </w:rPr>
        <w:t>suit</w:t>
      </w:r>
      <w:r w:rsidRPr="002E76A2" w:rsidR="009C13F2">
        <w:rPr>
          <w:szCs w:val="26"/>
        </w:rPr>
        <w:t xml:space="preserve"> within one year of her loss</w:t>
      </w:r>
      <w:r w:rsidRPr="002E76A2" w:rsidR="00135350">
        <w:rPr>
          <w:szCs w:val="26"/>
        </w:rPr>
        <w:t xml:space="preserve">, </w:t>
      </w:r>
      <w:r w:rsidRPr="002E76A2">
        <w:rPr>
          <w:szCs w:val="26"/>
        </w:rPr>
        <w:t>the federal district court granted</w:t>
      </w:r>
      <w:r w:rsidRPr="002E76A2" w:rsidR="003B0ACE">
        <w:rPr>
          <w:szCs w:val="26"/>
        </w:rPr>
        <w:t xml:space="preserve"> </w:t>
      </w:r>
      <w:r w:rsidRPr="002E76A2">
        <w:rPr>
          <w:szCs w:val="26"/>
        </w:rPr>
        <w:t>the insurer’s motion to dismiss plaintiff’s second amended complaint</w:t>
      </w:r>
      <w:r w:rsidRPr="002E76A2" w:rsidR="00F77879">
        <w:rPr>
          <w:szCs w:val="26"/>
        </w:rPr>
        <w:t xml:space="preserve"> (see Fed. Rules Civ.Proc., rule 12(b)(6), 28</w:t>
      </w:r>
      <w:r w:rsidR="000A7F88">
        <w:rPr>
          <w:szCs w:val="26"/>
        </w:rPr>
        <w:t> </w:t>
      </w:r>
      <w:r w:rsidRPr="002E76A2" w:rsidR="00F77879">
        <w:rPr>
          <w:szCs w:val="26"/>
        </w:rPr>
        <w:t>U.S.C.)</w:t>
      </w:r>
      <w:r w:rsidRPr="002E76A2" w:rsidR="00FC3465">
        <w:rPr>
          <w:szCs w:val="26"/>
        </w:rPr>
        <w:t xml:space="preserve">. </w:t>
      </w:r>
      <w:r w:rsidRPr="002E76A2">
        <w:rPr>
          <w:szCs w:val="26"/>
        </w:rPr>
        <w:t xml:space="preserve"> (</w:t>
      </w:r>
      <w:r w:rsidRPr="002E76A2">
        <w:rPr>
          <w:i/>
          <w:iCs/>
          <w:szCs w:val="26"/>
        </w:rPr>
        <w:t>Rosenberg-Wohl v. State Farm Fire and Casualty Co</w:t>
      </w:r>
      <w:r w:rsidRPr="002E76A2" w:rsidR="00E217B2">
        <w:rPr>
          <w:i/>
          <w:iCs/>
          <w:szCs w:val="26"/>
        </w:rPr>
        <w:t>.</w:t>
      </w:r>
      <w:r w:rsidRPr="002E76A2">
        <w:rPr>
          <w:szCs w:val="26"/>
        </w:rPr>
        <w:t xml:space="preserve"> (N.D.Cal. Mar.</w:t>
      </w:r>
      <w:r w:rsidRPr="002E76A2" w:rsidR="00404079">
        <w:rPr>
          <w:szCs w:val="26"/>
        </w:rPr>
        <w:t> </w:t>
      </w:r>
      <w:r w:rsidRPr="002E76A2">
        <w:rPr>
          <w:szCs w:val="26"/>
        </w:rPr>
        <w:t>28, 2022, No.</w:t>
      </w:r>
      <w:r w:rsidR="006A1D29">
        <w:t> </w:t>
      </w:r>
      <w:r w:rsidRPr="002E76A2">
        <w:rPr>
          <w:szCs w:val="26"/>
        </w:rPr>
        <w:t>20-cv-09316-DMR) 2022</w:t>
      </w:r>
      <w:r w:rsidR="006A1D29">
        <w:rPr>
          <w:szCs w:val="26"/>
        </w:rPr>
        <w:t> </w:t>
      </w:r>
      <w:r w:rsidRPr="002E76A2">
        <w:rPr>
          <w:szCs w:val="26"/>
        </w:rPr>
        <w:t>WL 901545</w:t>
      </w:r>
      <w:r w:rsidR="001E21EF">
        <w:rPr>
          <w:szCs w:val="26"/>
        </w:rPr>
        <w:t>,</w:t>
      </w:r>
      <w:r w:rsidRPr="002E76A2">
        <w:rPr>
          <w:szCs w:val="26"/>
        </w:rPr>
        <w:t xml:space="preserve"> </w:t>
      </w:r>
      <w:r w:rsidR="001E21EF">
        <w:rPr>
          <w:szCs w:val="26"/>
        </w:rPr>
        <w:t>p.</w:t>
      </w:r>
      <w:r w:rsidRPr="002E76A2">
        <w:rPr>
          <w:szCs w:val="26"/>
        </w:rPr>
        <w:t xml:space="preserve"> *8</w:t>
      </w:r>
      <w:r w:rsidRPr="002E76A2" w:rsidR="00EC717E">
        <w:rPr>
          <w:szCs w:val="26"/>
        </w:rPr>
        <w:t xml:space="preserve">; see also </w:t>
      </w:r>
      <w:r w:rsidRPr="002E76A2" w:rsidR="00EC717E">
        <w:rPr>
          <w:i/>
          <w:iCs/>
          <w:szCs w:val="26"/>
        </w:rPr>
        <w:t>Rosenberg-Wohl v. State Farm Fire and Casualty Co</w:t>
      </w:r>
      <w:r w:rsidRPr="002E76A2" w:rsidR="00E217B2">
        <w:rPr>
          <w:i/>
          <w:iCs/>
          <w:szCs w:val="26"/>
        </w:rPr>
        <w:t>.</w:t>
      </w:r>
      <w:r w:rsidRPr="002E76A2" w:rsidR="00EC717E">
        <w:rPr>
          <w:szCs w:val="26"/>
        </w:rPr>
        <w:t xml:space="preserve"> (N.D.Cal. Sept.</w:t>
      </w:r>
      <w:r w:rsidRPr="002E76A2" w:rsidR="00404079">
        <w:rPr>
          <w:szCs w:val="26"/>
        </w:rPr>
        <w:t> </w:t>
      </w:r>
      <w:r w:rsidRPr="002E76A2" w:rsidR="00EC717E">
        <w:rPr>
          <w:szCs w:val="26"/>
        </w:rPr>
        <w:t>17, 2021, No.</w:t>
      </w:r>
      <w:r w:rsidR="006A1D29">
        <w:t> </w:t>
      </w:r>
      <w:r w:rsidRPr="002E76A2" w:rsidR="00EC717E">
        <w:rPr>
          <w:szCs w:val="26"/>
        </w:rPr>
        <w:t>20-cv-09316-DMR) 2021</w:t>
      </w:r>
      <w:r w:rsidR="006A1D29">
        <w:rPr>
          <w:szCs w:val="26"/>
        </w:rPr>
        <w:t> </w:t>
      </w:r>
      <w:r w:rsidRPr="002E76A2" w:rsidR="00EC717E">
        <w:rPr>
          <w:szCs w:val="26"/>
        </w:rPr>
        <w:t>WL 4243389</w:t>
      </w:r>
      <w:r w:rsidR="001E21EF">
        <w:rPr>
          <w:szCs w:val="26"/>
        </w:rPr>
        <w:t>, p.</w:t>
      </w:r>
      <w:r w:rsidRPr="002E76A2" w:rsidR="00EC717E">
        <w:rPr>
          <w:szCs w:val="26"/>
        </w:rPr>
        <w:t xml:space="preserve"> *7 [granting State F</w:t>
      </w:r>
      <w:r w:rsidRPr="002E76A2" w:rsidR="00F77879">
        <w:rPr>
          <w:szCs w:val="26"/>
        </w:rPr>
        <w:t>a</w:t>
      </w:r>
      <w:r w:rsidRPr="002E76A2" w:rsidR="00EC717E">
        <w:rPr>
          <w:szCs w:val="26"/>
        </w:rPr>
        <w:t>rm’s motion to dismiss plaintiff’s first amended complaint, with leave to amend]</w:t>
      </w:r>
      <w:r w:rsidRPr="002E76A2" w:rsidR="00FC3465">
        <w:rPr>
          <w:szCs w:val="26"/>
        </w:rPr>
        <w:t>.</w:t>
      </w:r>
      <w:r w:rsidRPr="002E76A2">
        <w:rPr>
          <w:szCs w:val="26"/>
        </w:rPr>
        <w:t xml:space="preserve">)  </w:t>
      </w:r>
      <w:r w:rsidR="000A7F88">
        <w:rPr>
          <w:szCs w:val="26"/>
        </w:rPr>
        <w:t>P</w:t>
      </w:r>
      <w:r w:rsidRPr="002E76A2">
        <w:rPr>
          <w:szCs w:val="26"/>
        </w:rPr>
        <w:t xml:space="preserve">laintiff </w:t>
      </w:r>
      <w:r w:rsidR="000A7F88">
        <w:rPr>
          <w:szCs w:val="26"/>
        </w:rPr>
        <w:t>eventually</w:t>
      </w:r>
      <w:r w:rsidRPr="002E76A2">
        <w:rPr>
          <w:szCs w:val="26"/>
        </w:rPr>
        <w:t xml:space="preserve"> abandoned her appeal</w:t>
      </w:r>
      <w:r w:rsidRPr="002E76A2" w:rsidR="00D67C22">
        <w:rPr>
          <w:szCs w:val="26"/>
        </w:rPr>
        <w:t xml:space="preserve"> in that matter</w:t>
      </w:r>
      <w:r w:rsidRPr="002E76A2">
        <w:rPr>
          <w:szCs w:val="26"/>
        </w:rPr>
        <w:t>.</w:t>
      </w:r>
      <w:r>
        <w:rPr>
          <w:rStyle w:val="FootnoteReference"/>
          <w:szCs w:val="26"/>
        </w:rPr>
        <w:footnoteReference w:id="4"/>
      </w:r>
      <w:r w:rsidRPr="002E76A2">
        <w:rPr>
          <w:szCs w:val="26"/>
        </w:rPr>
        <w:t xml:space="preserve">  </w:t>
      </w:r>
    </w:p>
    <w:p w:rsidR="003F7CF9" w:rsidRPr="002E76A2" w:rsidP="00C07BE5">
      <w:pPr>
        <w:ind w:firstLine="720"/>
        <w:rPr>
          <w:szCs w:val="26"/>
        </w:rPr>
      </w:pPr>
      <w:r w:rsidRPr="002E76A2">
        <w:rPr>
          <w:szCs w:val="26"/>
        </w:rPr>
        <w:t xml:space="preserve">This lawsuit, meanwhile, remained in state court.  </w:t>
      </w:r>
      <w:r w:rsidR="00137B1F">
        <w:rPr>
          <w:szCs w:val="26"/>
        </w:rPr>
        <w:t>As originally filed, p</w:t>
      </w:r>
      <w:r w:rsidRPr="002E76A2">
        <w:rPr>
          <w:szCs w:val="26"/>
        </w:rPr>
        <w:t>laintiff’s second amended complaint (complaint), which is the operative complaint, assert</w:t>
      </w:r>
      <w:r w:rsidR="00137B1F">
        <w:rPr>
          <w:szCs w:val="26"/>
        </w:rPr>
        <w:t>ed</w:t>
      </w:r>
      <w:r w:rsidRPr="002E76A2" w:rsidR="006C530A">
        <w:rPr>
          <w:szCs w:val="26"/>
        </w:rPr>
        <w:t xml:space="preserve"> </w:t>
      </w:r>
      <w:r w:rsidRPr="002E76A2" w:rsidR="003B0ACE">
        <w:rPr>
          <w:szCs w:val="26"/>
        </w:rPr>
        <w:t>causes of action</w:t>
      </w:r>
      <w:r w:rsidRPr="002E76A2">
        <w:rPr>
          <w:szCs w:val="26"/>
        </w:rPr>
        <w:t xml:space="preserve"> under the False Advertising Law (Bus. &amp; Prof. Code, § 17500 et seq.) as well as the UCL.</w:t>
      </w:r>
      <w:r w:rsidRPr="002E76A2" w:rsidR="00F77879">
        <w:rPr>
          <w:szCs w:val="26"/>
        </w:rPr>
        <w:t xml:space="preserve"> </w:t>
      </w:r>
      <w:r w:rsidRPr="002E76A2">
        <w:rPr>
          <w:szCs w:val="26"/>
        </w:rPr>
        <w:t xml:space="preserve"> The complaint allege</w:t>
      </w:r>
      <w:r w:rsidR="00137B1F">
        <w:rPr>
          <w:szCs w:val="26"/>
        </w:rPr>
        <w:t>s</w:t>
      </w:r>
      <w:r w:rsidRPr="002E76A2">
        <w:rPr>
          <w:szCs w:val="26"/>
        </w:rPr>
        <w:t xml:space="preserve"> that “State Farm has a practice of summarily denying and regularly summarily denies property insurance claims unless State Farm believes the particular claim falls into a category of likely coverage.”  State Farm allegedly “followed that practice” with plaintiff’s claim</w:t>
      </w:r>
      <w:r w:rsidRPr="002E76A2" w:rsidR="00D67C22">
        <w:rPr>
          <w:szCs w:val="26"/>
        </w:rPr>
        <w:t>.  A</w:t>
      </w:r>
      <w:r w:rsidRPr="002E76A2">
        <w:rPr>
          <w:szCs w:val="26"/>
        </w:rPr>
        <w:t>ccording to plaintiff, “[b]ecause State Farm did not investigate Plaintiff’s claim, State Farm had no reasonable basis for its determination that coverage should be denied</w:t>
      </w:r>
      <w:r w:rsidRPr="002E76A2" w:rsidR="00D67C22">
        <w:rPr>
          <w:szCs w:val="26"/>
        </w:rPr>
        <w:t>.</w:t>
      </w:r>
      <w:r w:rsidRPr="002E76A2">
        <w:rPr>
          <w:szCs w:val="26"/>
        </w:rPr>
        <w:t xml:space="preserve">” </w:t>
      </w:r>
      <w:r w:rsidRPr="002E76A2" w:rsidR="00D67C22">
        <w:rPr>
          <w:szCs w:val="26"/>
        </w:rPr>
        <w:t xml:space="preserve"> </w:t>
      </w:r>
      <w:r w:rsidRPr="002E76A2" w:rsidR="00135350">
        <w:rPr>
          <w:szCs w:val="26"/>
        </w:rPr>
        <w:t>S</w:t>
      </w:r>
      <w:r w:rsidRPr="002E76A2">
        <w:rPr>
          <w:szCs w:val="26"/>
        </w:rPr>
        <w:t>tate Farm’s conduct</w:t>
      </w:r>
      <w:r w:rsidRPr="002E76A2" w:rsidR="00135350">
        <w:rPr>
          <w:szCs w:val="26"/>
        </w:rPr>
        <w:t xml:space="preserve"> </w:t>
      </w:r>
      <w:r w:rsidRPr="002E76A2" w:rsidR="00D67C22">
        <w:rPr>
          <w:szCs w:val="26"/>
        </w:rPr>
        <w:t xml:space="preserve">allegedly </w:t>
      </w:r>
      <w:r w:rsidRPr="002E76A2">
        <w:rPr>
          <w:szCs w:val="26"/>
        </w:rPr>
        <w:t xml:space="preserve">“was and is designed to deny claimants coverage for all but the most obvious of covered claims, to the detriment of State Farm’s policyholders and to its own benefit.” </w:t>
      </w:r>
      <w:r w:rsidRPr="002E76A2" w:rsidR="00A240FB">
        <w:rPr>
          <w:szCs w:val="26"/>
        </w:rPr>
        <w:t xml:space="preserve"> </w:t>
      </w:r>
    </w:p>
    <w:p w:rsidR="00A240FB" w:rsidRPr="002E76A2" w:rsidP="00137B1F">
      <w:pPr>
        <w:ind w:firstLine="720"/>
        <w:rPr>
          <w:szCs w:val="26"/>
        </w:rPr>
      </w:pPr>
      <w:r w:rsidRPr="002E76A2">
        <w:rPr>
          <w:szCs w:val="26"/>
        </w:rPr>
        <w:t>The complaint further allege</w:t>
      </w:r>
      <w:r w:rsidR="009F4261">
        <w:rPr>
          <w:szCs w:val="26"/>
        </w:rPr>
        <w:t>s</w:t>
      </w:r>
      <w:r w:rsidRPr="002E76A2">
        <w:rPr>
          <w:szCs w:val="26"/>
        </w:rPr>
        <w:t xml:space="preserve"> that “State Farm has a practice of obfuscating and regularly fails to make clear precisely what the basis is for its denials</w:t>
      </w:r>
      <w:r w:rsidRPr="002E76A2" w:rsidR="003C27D8">
        <w:rPr>
          <w:szCs w:val="26"/>
        </w:rPr>
        <w:t>,</w:t>
      </w:r>
      <w:r w:rsidRPr="002E76A2">
        <w:rPr>
          <w:szCs w:val="26"/>
        </w:rPr>
        <w:t>”</w:t>
      </w:r>
      <w:r w:rsidRPr="002E76A2" w:rsidR="004353F6">
        <w:rPr>
          <w:szCs w:val="26"/>
        </w:rPr>
        <w:t xml:space="preserve"> </w:t>
      </w:r>
      <w:r w:rsidRPr="002E76A2">
        <w:rPr>
          <w:szCs w:val="26"/>
        </w:rPr>
        <w:t>as assertedly shown by State Farm</w:t>
      </w:r>
      <w:r w:rsidRPr="002E76A2" w:rsidR="00135350">
        <w:rPr>
          <w:szCs w:val="26"/>
        </w:rPr>
        <w:t>’s denial letter</w:t>
      </w:r>
      <w:r w:rsidRPr="002E76A2" w:rsidR="00F77879">
        <w:rPr>
          <w:szCs w:val="26"/>
        </w:rPr>
        <w:t xml:space="preserve"> to plaintiff</w:t>
      </w:r>
      <w:r w:rsidRPr="002E76A2">
        <w:rPr>
          <w:szCs w:val="26"/>
        </w:rPr>
        <w:t xml:space="preserve"> merely listing</w:t>
      </w:r>
      <w:r w:rsidRPr="002E76A2" w:rsidR="00135350">
        <w:rPr>
          <w:szCs w:val="26"/>
        </w:rPr>
        <w:t xml:space="preserve"> </w:t>
      </w:r>
      <w:r w:rsidRPr="002E76A2">
        <w:rPr>
          <w:szCs w:val="26"/>
        </w:rPr>
        <w:t xml:space="preserve">“a wide range of excluded risks that were </w:t>
      </w:r>
      <w:r w:rsidRPr="002E76A2">
        <w:rPr>
          <w:i/>
          <w:iCs/>
          <w:szCs w:val="26"/>
        </w:rPr>
        <w:t>possibly</w:t>
      </w:r>
      <w:r w:rsidRPr="002E76A2">
        <w:rPr>
          <w:szCs w:val="26"/>
        </w:rPr>
        <w:t xml:space="preserve"> applicable”</w:t>
      </w:r>
      <w:r w:rsidRPr="002E76A2" w:rsidR="004353F6">
        <w:rPr>
          <w:szCs w:val="26"/>
        </w:rPr>
        <w:t xml:space="preserve"> </w:t>
      </w:r>
      <w:r w:rsidRPr="002E76A2">
        <w:rPr>
          <w:szCs w:val="26"/>
        </w:rPr>
        <w:t xml:space="preserve">to </w:t>
      </w:r>
      <w:r w:rsidRPr="002E76A2" w:rsidR="00135350">
        <w:rPr>
          <w:szCs w:val="26"/>
        </w:rPr>
        <w:t xml:space="preserve">plaintiff’s </w:t>
      </w:r>
      <w:r w:rsidRPr="002E76A2">
        <w:rPr>
          <w:szCs w:val="26"/>
        </w:rPr>
        <w:t>claim</w:t>
      </w:r>
      <w:r w:rsidRPr="002E76A2" w:rsidR="004353F6">
        <w:rPr>
          <w:szCs w:val="26"/>
        </w:rPr>
        <w:t>.</w:t>
      </w:r>
      <w:r w:rsidRPr="002E76A2">
        <w:rPr>
          <w:szCs w:val="26"/>
        </w:rPr>
        <w:t xml:space="preserve">  “Because State Farm did not identify any particular reason for its denial,” the complaint allege</w:t>
      </w:r>
      <w:r w:rsidR="009F4261">
        <w:rPr>
          <w:szCs w:val="26"/>
        </w:rPr>
        <w:t>s</w:t>
      </w:r>
      <w:r w:rsidRPr="002E76A2">
        <w:rPr>
          <w:szCs w:val="26"/>
        </w:rPr>
        <w:t>, “State Farm deprived plaintiff of any reasonable opportunity to question or challenge the basis of the denial, much less seek out and provide additional information that might be relevant and possibly change State Farm’s mind.”  These practices are</w:t>
      </w:r>
      <w:r w:rsidR="009F4261">
        <w:rPr>
          <w:szCs w:val="26"/>
        </w:rPr>
        <w:t xml:space="preserve"> alleged to be</w:t>
      </w:r>
      <w:r w:rsidRPr="002E76A2">
        <w:rPr>
          <w:szCs w:val="26"/>
        </w:rPr>
        <w:t xml:space="preserve"> contrary to State Farm’s advertising, which leads consumers “to believe that upon submitting a claim to State Farm, State Farm would investigate the claim made and . . . , if denying the claim, will provide the reason(s).”  </w:t>
      </w:r>
      <w:r w:rsidR="00217973">
        <w:rPr>
          <w:szCs w:val="26"/>
        </w:rPr>
        <w:t>According to plaintiff</w:t>
      </w:r>
      <w:r w:rsidRPr="002E76A2">
        <w:rPr>
          <w:szCs w:val="26"/>
        </w:rPr>
        <w:t xml:space="preserve">, “The failure of State Farm to investigate all claims made in a good faith and reasonable manner constitutes </w:t>
      </w:r>
      <w:r w:rsidRPr="002E76A2" w:rsidR="004353F6">
        <w:rPr>
          <w:szCs w:val="26"/>
        </w:rPr>
        <w:t xml:space="preserve">. . . </w:t>
      </w:r>
      <w:r w:rsidRPr="002E76A2">
        <w:rPr>
          <w:szCs w:val="26"/>
        </w:rPr>
        <w:t>an unfair business practice” under the UCL, as does “[t]he failure of State Farm to identify the applicable reasons for its denial</w:t>
      </w:r>
      <w:r w:rsidRPr="002E76A2" w:rsidR="003B753F">
        <w:rPr>
          <w:szCs w:val="26"/>
        </w:rPr>
        <w:t>.</w:t>
      </w:r>
      <w:r w:rsidRPr="002E76A2">
        <w:rPr>
          <w:szCs w:val="26"/>
        </w:rPr>
        <w:t xml:space="preserve">” </w:t>
      </w:r>
    </w:p>
    <w:p w:rsidR="007E4CCC" w:rsidRPr="002E76A2" w:rsidP="00C07BE5">
      <w:pPr>
        <w:ind w:firstLine="720"/>
        <w:rPr>
          <w:szCs w:val="26"/>
        </w:rPr>
      </w:pPr>
      <w:r w:rsidRPr="002E76A2">
        <w:rPr>
          <w:szCs w:val="26"/>
        </w:rPr>
        <w:t xml:space="preserve">Plaintiff seeks declaratory relief, injunctive relief, attorney fees under Code of Civil Procedure section 1021.5, and costs of suit.  </w:t>
      </w:r>
      <w:r w:rsidRPr="002E76A2" w:rsidR="00691430">
        <w:rPr>
          <w:szCs w:val="26"/>
        </w:rPr>
        <w:t xml:space="preserve">The complaint specifically disavows any claim for damages.  </w:t>
      </w:r>
      <w:r w:rsidRPr="002E76A2">
        <w:rPr>
          <w:szCs w:val="26"/>
        </w:rPr>
        <w:t>Regarding injunctive relief</w:t>
      </w:r>
      <w:r w:rsidRPr="002E76A2" w:rsidR="00135350">
        <w:rPr>
          <w:szCs w:val="26"/>
        </w:rPr>
        <w:t xml:space="preserve"> under the UCL</w:t>
      </w:r>
      <w:r w:rsidRPr="002E76A2">
        <w:rPr>
          <w:szCs w:val="26"/>
        </w:rPr>
        <w:t xml:space="preserve">, plaintiff </w:t>
      </w:r>
      <w:r w:rsidRPr="002E76A2" w:rsidR="00A240FB">
        <w:rPr>
          <w:szCs w:val="26"/>
        </w:rPr>
        <w:t>requests</w:t>
      </w:r>
      <w:r w:rsidRPr="002E76A2">
        <w:rPr>
          <w:szCs w:val="26"/>
        </w:rPr>
        <w:t xml:space="preserve"> an order that would require State Farm</w:t>
      </w:r>
      <w:r w:rsidRPr="002E76A2" w:rsidR="004353F6">
        <w:rPr>
          <w:szCs w:val="26"/>
        </w:rPr>
        <w:t>,</w:t>
      </w:r>
      <w:r w:rsidRPr="002E76A2">
        <w:rPr>
          <w:szCs w:val="26"/>
        </w:rPr>
        <w:t xml:space="preserve"> “</w:t>
      </w:r>
      <w:r w:rsidRPr="002E76A2" w:rsidR="004353F6">
        <w:rPr>
          <w:szCs w:val="26"/>
        </w:rPr>
        <w:t xml:space="preserve">when adjudicating any property insurance claim presented to it, </w:t>
      </w:r>
      <w:r w:rsidRPr="002E76A2">
        <w:rPr>
          <w:szCs w:val="26"/>
        </w:rPr>
        <w:t>to give at least as much consideration to the interests of its insured as to its own interests</w:t>
      </w:r>
      <w:r w:rsidRPr="002E76A2" w:rsidR="004353F6">
        <w:rPr>
          <w:szCs w:val="26"/>
        </w:rPr>
        <w:t xml:space="preserve">.” </w:t>
      </w:r>
      <w:r w:rsidRPr="002E76A2">
        <w:rPr>
          <w:szCs w:val="26"/>
        </w:rPr>
        <w:t xml:space="preserve"> </w:t>
      </w:r>
      <w:r w:rsidR="006500B9">
        <w:rPr>
          <w:szCs w:val="26"/>
        </w:rPr>
        <w:t xml:space="preserve">Although </w:t>
      </w:r>
      <w:r w:rsidR="00217973">
        <w:rPr>
          <w:szCs w:val="26"/>
        </w:rPr>
        <w:t>the</w:t>
      </w:r>
      <w:r w:rsidR="006500B9">
        <w:rPr>
          <w:szCs w:val="26"/>
        </w:rPr>
        <w:t xml:space="preserve"> complaint does not specify the precise declaratory relief </w:t>
      </w:r>
      <w:r w:rsidR="00217973">
        <w:rPr>
          <w:szCs w:val="26"/>
        </w:rPr>
        <w:t>plaintiff seeks</w:t>
      </w:r>
      <w:r w:rsidR="006500B9">
        <w:rPr>
          <w:szCs w:val="26"/>
        </w:rPr>
        <w:t xml:space="preserve">, the pleading is fairly read as requesting a declaration </w:t>
      </w:r>
      <w:r w:rsidR="00814DC0">
        <w:rPr>
          <w:szCs w:val="26"/>
        </w:rPr>
        <w:t>concerning</w:t>
      </w:r>
      <w:r w:rsidR="00464B9B">
        <w:rPr>
          <w:szCs w:val="26"/>
        </w:rPr>
        <w:t xml:space="preserve"> </w:t>
      </w:r>
      <w:r w:rsidR="00FE7741">
        <w:rPr>
          <w:szCs w:val="26"/>
        </w:rPr>
        <w:t>State Farm’s alleged</w:t>
      </w:r>
      <w:r w:rsidR="00464B9B">
        <w:rPr>
          <w:szCs w:val="26"/>
        </w:rPr>
        <w:t xml:space="preserve">ly widespread </w:t>
      </w:r>
      <w:r w:rsidR="00FE7741">
        <w:rPr>
          <w:szCs w:val="26"/>
        </w:rPr>
        <w:t>practices of summarily denying claims without proper investigation and not providing sufficiently clear explanations</w:t>
      </w:r>
      <w:r w:rsidR="00927459">
        <w:rPr>
          <w:szCs w:val="26"/>
        </w:rPr>
        <w:t xml:space="preserve"> to policyholders</w:t>
      </w:r>
      <w:r w:rsidR="00FE7741">
        <w:rPr>
          <w:szCs w:val="26"/>
        </w:rPr>
        <w:t xml:space="preserve"> </w:t>
      </w:r>
      <w:r w:rsidR="00927459">
        <w:rPr>
          <w:szCs w:val="26"/>
        </w:rPr>
        <w:t>regarding</w:t>
      </w:r>
      <w:r w:rsidR="00FE7741">
        <w:rPr>
          <w:szCs w:val="26"/>
        </w:rPr>
        <w:t xml:space="preserve"> why</w:t>
      </w:r>
      <w:r w:rsidR="00927459">
        <w:rPr>
          <w:szCs w:val="26"/>
        </w:rPr>
        <w:t xml:space="preserve"> their </w:t>
      </w:r>
      <w:r w:rsidR="00FE7741">
        <w:rPr>
          <w:szCs w:val="26"/>
        </w:rPr>
        <w:t>claim</w:t>
      </w:r>
      <w:r w:rsidR="00927459">
        <w:rPr>
          <w:szCs w:val="26"/>
        </w:rPr>
        <w:t>s</w:t>
      </w:r>
      <w:r w:rsidR="00FE7741">
        <w:rPr>
          <w:szCs w:val="26"/>
        </w:rPr>
        <w:t xml:space="preserve"> </w:t>
      </w:r>
      <w:r w:rsidR="00927459">
        <w:rPr>
          <w:szCs w:val="26"/>
        </w:rPr>
        <w:t>have been</w:t>
      </w:r>
      <w:r w:rsidR="00FE7741">
        <w:rPr>
          <w:szCs w:val="26"/>
        </w:rPr>
        <w:t xml:space="preserve"> denied</w:t>
      </w:r>
      <w:r w:rsidR="006500B9">
        <w:rPr>
          <w:szCs w:val="26"/>
        </w:rPr>
        <w:t>.</w:t>
      </w:r>
    </w:p>
    <w:p w:rsidR="007E4CCC" w:rsidRPr="002E76A2" w:rsidP="00C07BE5">
      <w:pPr>
        <w:ind w:firstLine="720"/>
      </w:pPr>
      <w:r>
        <w:t>State Farm demurred to both causes of action</w:t>
      </w:r>
      <w:r w:rsidR="00D67C22">
        <w:t xml:space="preserve"> alleged by plaintiff</w:t>
      </w:r>
      <w:r>
        <w:t xml:space="preserve">, </w:t>
      </w:r>
      <w:r w:rsidR="00F77879">
        <w:t>arguing</w:t>
      </w:r>
      <w:r>
        <w:t xml:space="preserve"> that</w:t>
      </w:r>
      <w:r w:rsidR="008A4C92">
        <w:t xml:space="preserve"> </w:t>
      </w:r>
      <w:r w:rsidR="00135350">
        <w:t xml:space="preserve">under her policy, </w:t>
      </w:r>
      <w:r w:rsidR="008A4C92">
        <w:t xml:space="preserve">plaintiff </w:t>
      </w:r>
      <w:r w:rsidR="00135350">
        <w:t>had to</w:t>
      </w:r>
      <w:r w:rsidR="008A4C92">
        <w:t xml:space="preserve"> file her lawsuit within one year of her loss</w:t>
      </w:r>
      <w:r w:rsidR="004353F6">
        <w:t>.</w:t>
      </w:r>
      <w:r>
        <w:t xml:space="preserve">  At the hearing</w:t>
      </w:r>
      <w:r w:rsidR="00D67C22">
        <w:t xml:space="preserve"> on the demurrer</w:t>
      </w:r>
      <w:r>
        <w:t xml:space="preserve">, plaintiff abandoned her cause of action under the </w:t>
      </w:r>
      <w:r w:rsidR="006212B7">
        <w:t>False Advertising Law</w:t>
      </w:r>
      <w:r>
        <w:t xml:space="preserve">.  </w:t>
      </w:r>
      <w:r w:rsidR="00217973">
        <w:t xml:space="preserve">That cause of action is therefore no longer at issue in this matter.  </w:t>
      </w:r>
      <w:r>
        <w:t xml:space="preserve">The </w:t>
      </w:r>
      <w:r w:rsidR="000A7F88">
        <w:t xml:space="preserve">superior </w:t>
      </w:r>
      <w:r>
        <w:t xml:space="preserve">court sustained the demurrer to plaintiff’s UCL cause of action, concluding that the one-year limitation </w:t>
      </w:r>
      <w:r w:rsidR="00253C88">
        <w:t>period</w:t>
      </w:r>
      <w:r>
        <w:t xml:space="preserve"> in plaintiff’s policy “applies to all of Plaintiff’s causes of action, including her claim for unfair practices . . . because the essence of the relief sought relates to the denial of her claim.”  The court’s order continued, “California cases interpreting one-year limitations provisions have made clear that the one-year provision bars both contract and tort actions not filed within the period, as long as the claim for relief is ‘on the policy,’ meaning that it seeks to recover policy benefits </w:t>
      </w:r>
      <w:r w:rsidRPr="1CCACB4F">
        <w:rPr>
          <w:i/>
          <w:iCs/>
        </w:rPr>
        <w:t>or is grounded upon a failure to pay policy benefits</w:t>
      </w:r>
      <w:r>
        <w:t>.”  “To be sure,” the court recognized, “Plaintiff here does not seek to recover policy benefits.  But the Court is persuaded that Plaintiff’s claims are nonetheless ‘on the policy’ because they are ‘grounded upon [State Farm’s] failure to pay policy benefits.’  Plaintiff’s initial claim on the policy, State Farm’s denial, and Plaintiff’s subsequent claim for relief are all inextricably intertwined.</w:t>
      </w:r>
      <w:r w:rsidR="004353F6">
        <w:t> . . .  Though Plaintiff seeks equitable relief in the form of an injunction . . .</w:t>
      </w:r>
      <w:r w:rsidR="0041501B">
        <w:t xml:space="preserve"> </w:t>
      </w:r>
      <w:r w:rsidR="004353F6">
        <w:t xml:space="preserve">, as opposed to damages (i.e., policy benefits), the essence of the relief sought relates to the denial of </w:t>
      </w:r>
      <w:r w:rsidR="0041501B">
        <w:t>her</w:t>
      </w:r>
      <w:r w:rsidR="004353F6">
        <w:t xml:space="preserve"> claim.</w:t>
      </w:r>
      <w:r>
        <w:t xml:space="preserve">” </w:t>
      </w:r>
    </w:p>
    <w:p w:rsidR="007E4CCC" w:rsidRPr="002E76A2" w:rsidP="00C07BE5">
      <w:pPr>
        <w:ind w:firstLine="720"/>
        <w:rPr>
          <w:szCs w:val="26"/>
        </w:rPr>
      </w:pPr>
      <w:r w:rsidRPr="002E76A2">
        <w:rPr>
          <w:szCs w:val="26"/>
        </w:rPr>
        <w:t>After plaintiff appealed, a divided Court of Appeal affirmed.  (</w:t>
      </w:r>
      <w:r w:rsidRPr="002E76A2">
        <w:rPr>
          <w:i/>
          <w:iCs/>
          <w:szCs w:val="26"/>
        </w:rPr>
        <w:t>Rosenberg-Wohl v. State Farm Fire and Casualty</w:t>
      </w:r>
      <w:r w:rsidRPr="002E76A2">
        <w:rPr>
          <w:szCs w:val="26"/>
        </w:rPr>
        <w:t xml:space="preserve"> </w:t>
      </w:r>
      <w:r w:rsidRPr="002E76A2">
        <w:rPr>
          <w:i/>
          <w:iCs/>
          <w:szCs w:val="26"/>
        </w:rPr>
        <w:t>Co</w:t>
      </w:r>
      <w:r w:rsidRPr="002E76A2" w:rsidR="00994E04">
        <w:rPr>
          <w:szCs w:val="26"/>
        </w:rPr>
        <w:t>.</w:t>
      </w:r>
      <w:r w:rsidRPr="002E76A2">
        <w:rPr>
          <w:szCs w:val="26"/>
        </w:rPr>
        <w:t xml:space="preserve"> (2023) 93</w:t>
      </w:r>
      <w:r w:rsidR="006A1D29">
        <w:rPr>
          <w:szCs w:val="26"/>
        </w:rPr>
        <w:t> </w:t>
      </w:r>
      <w:r w:rsidRPr="002E76A2">
        <w:rPr>
          <w:szCs w:val="26"/>
        </w:rPr>
        <w:t>Cal.App.5th 436, 440 (</w:t>
      </w:r>
      <w:r w:rsidRPr="002E76A2">
        <w:rPr>
          <w:i/>
          <w:iCs/>
          <w:szCs w:val="26"/>
        </w:rPr>
        <w:t>Rosenberg-Wohl</w:t>
      </w:r>
      <w:r w:rsidRPr="002E76A2">
        <w:rPr>
          <w:szCs w:val="26"/>
        </w:rPr>
        <w:t>).)  The majority agreed with the court</w:t>
      </w:r>
      <w:r w:rsidR="004F116D">
        <w:rPr>
          <w:szCs w:val="26"/>
        </w:rPr>
        <w:t xml:space="preserve"> below</w:t>
      </w:r>
      <w:r w:rsidRPr="002E76A2">
        <w:rPr>
          <w:szCs w:val="26"/>
        </w:rPr>
        <w:t xml:space="preserve"> that plaintiff’s UCL claim was time-barred.  </w:t>
      </w:r>
      <w:r w:rsidR="004F116D">
        <w:rPr>
          <w:szCs w:val="26"/>
        </w:rPr>
        <w:t>Like the superior court, i</w:t>
      </w:r>
      <w:r w:rsidRPr="002E76A2" w:rsidR="00422A74">
        <w:rPr>
          <w:szCs w:val="26"/>
        </w:rPr>
        <w:t xml:space="preserve">t </w:t>
      </w:r>
      <w:r w:rsidRPr="002E76A2">
        <w:rPr>
          <w:szCs w:val="26"/>
        </w:rPr>
        <w:t xml:space="preserve">concluded that the one-year time limit under </w:t>
      </w:r>
      <w:r w:rsidR="00217973">
        <w:rPr>
          <w:szCs w:val="26"/>
        </w:rPr>
        <w:t>plaintiff’s insurance</w:t>
      </w:r>
      <w:r w:rsidRPr="002E76A2">
        <w:rPr>
          <w:szCs w:val="26"/>
        </w:rPr>
        <w:t xml:space="preserve"> policy applied because “the crux of plaintiff’s claim</w:t>
      </w:r>
      <w:r w:rsidRPr="002E76A2" w:rsidR="00D67C22">
        <w:rPr>
          <w:szCs w:val="26"/>
        </w:rPr>
        <w:t xml:space="preserve"> </w:t>
      </w:r>
      <w:r w:rsidRPr="002E76A2" w:rsidR="003F78E0">
        <w:rPr>
          <w:szCs w:val="26"/>
        </w:rPr>
        <w:t>[citation]</w:t>
      </w:r>
      <w:r w:rsidRPr="002E76A2">
        <w:rPr>
          <w:szCs w:val="26"/>
        </w:rPr>
        <w:t xml:space="preserve"> is ‘grounded upon a failure to pay policy benefits.’ ”  (</w:t>
      </w:r>
      <w:r w:rsidRPr="002E76A2" w:rsidR="005B28D4">
        <w:rPr>
          <w:i/>
          <w:iCs/>
          <w:szCs w:val="26"/>
        </w:rPr>
        <w:t>Rosenberg-Wohl</w:t>
      </w:r>
      <w:r w:rsidRPr="002E76A2" w:rsidR="005B28D4">
        <w:rPr>
          <w:szCs w:val="26"/>
        </w:rPr>
        <w:t>,</w:t>
      </w:r>
      <w:r w:rsidRPr="0028148B" w:rsidR="005B28D4">
        <w:rPr>
          <w:szCs w:val="26"/>
        </w:rPr>
        <w:t xml:space="preserve"> </w:t>
      </w:r>
      <w:r w:rsidRPr="002E76A2">
        <w:rPr>
          <w:szCs w:val="26"/>
        </w:rPr>
        <w:t>at p.</w:t>
      </w:r>
      <w:r w:rsidRPr="002E76A2" w:rsidR="006212B7">
        <w:rPr>
          <w:szCs w:val="26"/>
        </w:rPr>
        <w:t> </w:t>
      </w:r>
      <w:r w:rsidRPr="002E76A2">
        <w:rPr>
          <w:szCs w:val="26"/>
        </w:rPr>
        <w:t xml:space="preserve">452, quoting </w:t>
      </w:r>
      <w:r w:rsidRPr="002E76A2">
        <w:rPr>
          <w:i/>
          <w:iCs/>
          <w:szCs w:val="26"/>
        </w:rPr>
        <w:t>Sullivan v. Allstate Ins. Co.</w:t>
      </w:r>
      <w:r w:rsidRPr="002E76A2">
        <w:rPr>
          <w:szCs w:val="26"/>
        </w:rPr>
        <w:t xml:space="preserve"> (C.D.Cal. 1997) 964</w:t>
      </w:r>
      <w:r w:rsidRPr="002E76A2" w:rsidR="006212B7">
        <w:rPr>
          <w:szCs w:val="26"/>
        </w:rPr>
        <w:t> </w:t>
      </w:r>
      <w:r w:rsidRPr="002E76A2">
        <w:rPr>
          <w:szCs w:val="26"/>
        </w:rPr>
        <w:t>F.Supp.</w:t>
      </w:r>
      <w:r w:rsidRPr="002E76A2" w:rsidR="003F78E0">
        <w:rPr>
          <w:szCs w:val="26"/>
        </w:rPr>
        <w:t xml:space="preserve"> </w:t>
      </w:r>
      <w:r w:rsidRPr="002E76A2">
        <w:rPr>
          <w:szCs w:val="26"/>
        </w:rPr>
        <w:t>1407, 1414 (</w:t>
      </w:r>
      <w:r w:rsidRPr="002E76A2">
        <w:rPr>
          <w:i/>
          <w:iCs/>
          <w:szCs w:val="26"/>
        </w:rPr>
        <w:t>Sullivan</w:t>
      </w:r>
      <w:r w:rsidRPr="002E76A2">
        <w:rPr>
          <w:szCs w:val="26"/>
        </w:rPr>
        <w:t>).)  The majority also found “support for [its] conclusion in the substantive UCL law” (</w:t>
      </w:r>
      <w:r w:rsidRPr="002E76A2">
        <w:rPr>
          <w:i/>
          <w:iCs/>
          <w:szCs w:val="26"/>
        </w:rPr>
        <w:t>Rosenberg-Wohl</w:t>
      </w:r>
      <w:r w:rsidRPr="002E76A2">
        <w:rPr>
          <w:szCs w:val="26"/>
        </w:rPr>
        <w:t xml:space="preserve">, at p. 453), specifically, the requirement that to have standing under </w:t>
      </w:r>
      <w:r w:rsidRPr="002E76A2" w:rsidR="00253C88">
        <w:rPr>
          <w:szCs w:val="26"/>
        </w:rPr>
        <w:t>the</w:t>
      </w:r>
      <w:r w:rsidRPr="002E76A2">
        <w:rPr>
          <w:szCs w:val="26"/>
        </w:rPr>
        <w:t xml:space="preserve"> UCL, a “plaintiff must establish that she has personally ‘lost money or property,’ that she has some form of economic injury — that she has ‘personally suffered . . . harm’ ” (</w:t>
      </w:r>
      <w:r w:rsidRPr="002E76A2" w:rsidR="005B28D4">
        <w:rPr>
          <w:i/>
          <w:iCs/>
          <w:szCs w:val="26"/>
        </w:rPr>
        <w:t>Rosenberg-Wohl</w:t>
      </w:r>
      <w:r w:rsidRPr="002E76A2" w:rsidR="005B28D4">
        <w:rPr>
          <w:szCs w:val="26"/>
        </w:rPr>
        <w:t>,</w:t>
      </w:r>
      <w:r w:rsidRPr="002E76A2" w:rsidR="00253C88">
        <w:rPr>
          <w:szCs w:val="26"/>
        </w:rPr>
        <w:t xml:space="preserve"> </w:t>
      </w:r>
      <w:r w:rsidRPr="002E76A2">
        <w:rPr>
          <w:szCs w:val="26"/>
        </w:rPr>
        <w:t>at p.</w:t>
      </w:r>
      <w:r w:rsidRPr="002E76A2" w:rsidR="00A240FB">
        <w:rPr>
          <w:szCs w:val="26"/>
        </w:rPr>
        <w:t> </w:t>
      </w:r>
      <w:r w:rsidRPr="002E76A2">
        <w:rPr>
          <w:szCs w:val="26"/>
        </w:rPr>
        <w:t xml:space="preserve">454, quoting </w:t>
      </w:r>
      <w:r w:rsidRPr="002E76A2">
        <w:rPr>
          <w:i/>
          <w:iCs/>
          <w:szCs w:val="26"/>
        </w:rPr>
        <w:t>Kwikset Corp. v. Superior Court</w:t>
      </w:r>
      <w:r w:rsidRPr="002E76A2">
        <w:rPr>
          <w:szCs w:val="26"/>
        </w:rPr>
        <w:t xml:space="preserve"> (2011) 51</w:t>
      </w:r>
      <w:r w:rsidRPr="002E76A2" w:rsidR="006212B7">
        <w:rPr>
          <w:szCs w:val="26"/>
        </w:rPr>
        <w:t> </w:t>
      </w:r>
      <w:r w:rsidRPr="002E76A2">
        <w:rPr>
          <w:szCs w:val="26"/>
        </w:rPr>
        <w:t>Cal.4th 310, 323 (</w:t>
      </w:r>
      <w:r w:rsidRPr="002E76A2">
        <w:rPr>
          <w:i/>
          <w:iCs/>
          <w:szCs w:val="26"/>
        </w:rPr>
        <w:t>Kwikset</w:t>
      </w:r>
      <w:r w:rsidRPr="002E76A2">
        <w:rPr>
          <w:szCs w:val="26"/>
        </w:rPr>
        <w:t>)</w:t>
      </w:r>
      <w:r w:rsidRPr="002E76A2" w:rsidR="00B62BFB">
        <w:rPr>
          <w:szCs w:val="26"/>
        </w:rPr>
        <w:t>; see Bus. &amp; Prof. Code, § 17204</w:t>
      </w:r>
      <w:r w:rsidRPr="002E76A2">
        <w:rPr>
          <w:szCs w:val="26"/>
        </w:rPr>
        <w:t xml:space="preserve">).  This </w:t>
      </w:r>
      <w:r w:rsidRPr="002E76A2" w:rsidR="00253C88">
        <w:rPr>
          <w:szCs w:val="26"/>
        </w:rPr>
        <w:t xml:space="preserve">standing </w:t>
      </w:r>
      <w:r w:rsidRPr="002E76A2">
        <w:rPr>
          <w:szCs w:val="26"/>
        </w:rPr>
        <w:t>requirement would only be satisfied, the majority determined, if plaintiff</w:t>
      </w:r>
      <w:r w:rsidR="004F116D">
        <w:rPr>
          <w:szCs w:val="26"/>
        </w:rPr>
        <w:t xml:space="preserve"> </w:t>
      </w:r>
      <w:r w:rsidRPr="002E76A2" w:rsidR="0041501B">
        <w:rPr>
          <w:szCs w:val="26"/>
        </w:rPr>
        <w:t>sought to recover</w:t>
      </w:r>
      <w:r w:rsidRPr="002E76A2">
        <w:rPr>
          <w:szCs w:val="26"/>
        </w:rPr>
        <w:t xml:space="preserve"> policy benefits</w:t>
      </w:r>
      <w:r w:rsidR="004F116D">
        <w:rPr>
          <w:szCs w:val="26"/>
        </w:rPr>
        <w:t xml:space="preserve"> through her action</w:t>
      </w:r>
      <w:r w:rsidRPr="002E76A2">
        <w:rPr>
          <w:szCs w:val="26"/>
        </w:rPr>
        <w:t>.  (</w:t>
      </w:r>
      <w:r w:rsidRPr="002E76A2">
        <w:rPr>
          <w:i/>
          <w:iCs/>
          <w:szCs w:val="26"/>
        </w:rPr>
        <w:t>Rosenberg-Wohl</w:t>
      </w:r>
      <w:r w:rsidRPr="002E76A2">
        <w:rPr>
          <w:szCs w:val="26"/>
        </w:rPr>
        <w:t xml:space="preserve">, at </w:t>
      </w:r>
      <w:r w:rsidRPr="002E76A2" w:rsidR="0041501B">
        <w:rPr>
          <w:szCs w:val="26"/>
        </w:rPr>
        <w:t>p</w:t>
      </w:r>
      <w:r w:rsidRPr="002E76A2">
        <w:rPr>
          <w:szCs w:val="26"/>
        </w:rPr>
        <w:t>p.</w:t>
      </w:r>
      <w:r w:rsidRPr="002E76A2" w:rsidR="00A240FB">
        <w:rPr>
          <w:szCs w:val="26"/>
        </w:rPr>
        <w:t> </w:t>
      </w:r>
      <w:r w:rsidRPr="002E76A2" w:rsidR="0041501B">
        <w:rPr>
          <w:szCs w:val="26"/>
        </w:rPr>
        <w:t>453–</w:t>
      </w:r>
      <w:r w:rsidRPr="002E76A2">
        <w:rPr>
          <w:szCs w:val="26"/>
        </w:rPr>
        <w:t>454.)</w:t>
      </w:r>
    </w:p>
    <w:p w:rsidR="007E4CCC" w:rsidRPr="002E76A2" w:rsidP="00C07BE5">
      <w:pPr>
        <w:ind w:firstLine="720"/>
        <w:rPr>
          <w:szCs w:val="26"/>
        </w:rPr>
      </w:pPr>
      <w:r w:rsidRPr="002E76A2">
        <w:rPr>
          <w:szCs w:val="26"/>
        </w:rPr>
        <w:t>The dissent</w:t>
      </w:r>
      <w:r w:rsidR="004F116D">
        <w:rPr>
          <w:szCs w:val="26"/>
        </w:rPr>
        <w:t>, meanwhile,</w:t>
      </w:r>
      <w:r w:rsidRPr="002E76A2">
        <w:rPr>
          <w:szCs w:val="26"/>
        </w:rPr>
        <w:t xml:space="preserve"> looked</w:t>
      </w:r>
      <w:r w:rsidRPr="002E76A2" w:rsidR="00A240FB">
        <w:rPr>
          <w:szCs w:val="26"/>
        </w:rPr>
        <w:t xml:space="preserve"> first</w:t>
      </w:r>
      <w:r w:rsidRPr="002E76A2">
        <w:rPr>
          <w:szCs w:val="26"/>
        </w:rPr>
        <w:t xml:space="preserve"> to our</w:t>
      </w:r>
      <w:r w:rsidRPr="002E76A2" w:rsidR="00931ADF">
        <w:rPr>
          <w:szCs w:val="26"/>
        </w:rPr>
        <w:t xml:space="preserve"> decision</w:t>
      </w:r>
      <w:r w:rsidRPr="002E76A2">
        <w:rPr>
          <w:szCs w:val="26"/>
        </w:rPr>
        <w:t xml:space="preserve"> </w:t>
      </w:r>
      <w:r w:rsidRPr="00C07BE5">
        <w:t>in</w:t>
      </w:r>
      <w:r w:rsidRPr="002E76A2">
        <w:rPr>
          <w:i/>
          <w:iCs/>
          <w:szCs w:val="26"/>
        </w:rPr>
        <w:t xml:space="preserve"> Cortez v. Purolator Air Filtration Products Co.</w:t>
      </w:r>
      <w:r w:rsidRPr="002E76A2">
        <w:rPr>
          <w:szCs w:val="26"/>
        </w:rPr>
        <w:t xml:space="preserve"> (2000) 23</w:t>
      </w:r>
      <w:r w:rsidR="006A1D29">
        <w:rPr>
          <w:szCs w:val="26"/>
        </w:rPr>
        <w:t> </w:t>
      </w:r>
      <w:r w:rsidRPr="002E76A2">
        <w:rPr>
          <w:szCs w:val="26"/>
        </w:rPr>
        <w:t>Cal.4th 163 (</w:t>
      </w:r>
      <w:r w:rsidRPr="002E76A2">
        <w:rPr>
          <w:i/>
          <w:iCs/>
          <w:szCs w:val="26"/>
        </w:rPr>
        <w:t>Cortez</w:t>
      </w:r>
      <w:r w:rsidRPr="002E76A2">
        <w:rPr>
          <w:szCs w:val="26"/>
        </w:rPr>
        <w:t>), in which we rejected a “defendant’s claim that the shorter periods of limitation applicable to contractual or statutory wage claims govern a UCL action based on failure to pay wages.”  (</w:t>
      </w:r>
      <w:r w:rsidRPr="002E76A2">
        <w:rPr>
          <w:i/>
          <w:iCs/>
          <w:szCs w:val="26"/>
        </w:rPr>
        <w:t>Id</w:t>
      </w:r>
      <w:r w:rsidRPr="002E76A2">
        <w:rPr>
          <w:szCs w:val="26"/>
        </w:rPr>
        <w:t>. at p.</w:t>
      </w:r>
      <w:r w:rsidRPr="002E76A2" w:rsidR="00450CAC">
        <w:rPr>
          <w:szCs w:val="26"/>
        </w:rPr>
        <w:t> </w:t>
      </w:r>
      <w:r w:rsidRPr="002E76A2">
        <w:rPr>
          <w:szCs w:val="26"/>
        </w:rPr>
        <w:t>179.)  Regarding the UCL’s limitations provision as “clear” (</w:t>
      </w:r>
      <w:r w:rsidRPr="002E76A2">
        <w:rPr>
          <w:i/>
          <w:iCs/>
          <w:szCs w:val="26"/>
        </w:rPr>
        <w:t>Cortez</w:t>
      </w:r>
      <w:r w:rsidRPr="002E76A2">
        <w:rPr>
          <w:szCs w:val="26"/>
        </w:rPr>
        <w:t>, at p.</w:t>
      </w:r>
      <w:r w:rsidRPr="002E76A2" w:rsidR="004754A4">
        <w:rPr>
          <w:szCs w:val="26"/>
        </w:rPr>
        <w:t> </w:t>
      </w:r>
      <w:r w:rsidRPr="002E76A2">
        <w:rPr>
          <w:szCs w:val="26"/>
        </w:rPr>
        <w:t>178), we explained</w:t>
      </w:r>
      <w:r w:rsidRPr="002E76A2" w:rsidR="00A240FB">
        <w:rPr>
          <w:szCs w:val="26"/>
        </w:rPr>
        <w:t xml:space="preserve"> </w:t>
      </w:r>
      <w:r w:rsidRPr="002E76A2">
        <w:rPr>
          <w:szCs w:val="26"/>
        </w:rPr>
        <w:t>that “[</w:t>
      </w:r>
      <w:r w:rsidRPr="002E76A2">
        <w:rPr>
          <w:i/>
          <w:iCs/>
          <w:szCs w:val="26"/>
        </w:rPr>
        <w:t>a</w:t>
      </w:r>
      <w:r w:rsidRPr="002E76A2">
        <w:rPr>
          <w:szCs w:val="26"/>
        </w:rPr>
        <w:t>]</w:t>
      </w:r>
      <w:r w:rsidRPr="002E76A2">
        <w:rPr>
          <w:i/>
          <w:iCs/>
          <w:szCs w:val="26"/>
        </w:rPr>
        <w:t>ny</w:t>
      </w:r>
      <w:r w:rsidRPr="002E76A2">
        <w:rPr>
          <w:szCs w:val="26"/>
        </w:rPr>
        <w:t xml:space="preserve"> action on </w:t>
      </w:r>
      <w:r w:rsidRPr="002E76A2">
        <w:rPr>
          <w:i/>
          <w:iCs/>
          <w:szCs w:val="26"/>
        </w:rPr>
        <w:t>any</w:t>
      </w:r>
      <w:r w:rsidRPr="002E76A2">
        <w:rPr>
          <w:szCs w:val="26"/>
        </w:rPr>
        <w:t xml:space="preserve"> UCL cause of action is subject to [its] four-year period of limitations</w:t>
      </w:r>
      <w:r w:rsidRPr="002E76A2" w:rsidR="00D67C22">
        <w:rPr>
          <w:szCs w:val="26"/>
        </w:rPr>
        <w:t>” (</w:t>
      </w:r>
      <w:r w:rsidRPr="002E76A2" w:rsidR="00D67C22">
        <w:rPr>
          <w:i/>
          <w:iCs/>
          <w:szCs w:val="26"/>
        </w:rPr>
        <w:t>id</w:t>
      </w:r>
      <w:r w:rsidRPr="002E76A2" w:rsidR="00D67C22">
        <w:rPr>
          <w:szCs w:val="26"/>
        </w:rPr>
        <w:t>. at p. 179),</w:t>
      </w:r>
      <w:r w:rsidRPr="002E76A2">
        <w:rPr>
          <w:szCs w:val="26"/>
        </w:rPr>
        <w:t xml:space="preserve"> which “admits of no exceptions” (</w:t>
      </w:r>
      <w:r w:rsidRPr="002E76A2" w:rsidR="00D67C22">
        <w:rPr>
          <w:i/>
          <w:iCs/>
          <w:szCs w:val="26"/>
        </w:rPr>
        <w:t>ibid</w:t>
      </w:r>
      <w:r w:rsidRPr="002E76A2" w:rsidR="00D67C22">
        <w:rPr>
          <w:szCs w:val="26"/>
        </w:rPr>
        <w:t>.</w:t>
      </w:r>
      <w:r w:rsidRPr="002E76A2">
        <w:rPr>
          <w:szCs w:val="26"/>
        </w:rPr>
        <w:t xml:space="preserve">).  The dissent read </w:t>
      </w:r>
      <w:r w:rsidRPr="002E76A2">
        <w:rPr>
          <w:i/>
          <w:iCs/>
          <w:szCs w:val="26"/>
        </w:rPr>
        <w:t>Cortez</w:t>
      </w:r>
      <w:r w:rsidRPr="002E76A2">
        <w:rPr>
          <w:szCs w:val="26"/>
        </w:rPr>
        <w:t xml:space="preserve"> as instructing that “whatever the limitations period may be for an action ‘on’ </w:t>
      </w:r>
      <w:r w:rsidRPr="002E76A2" w:rsidR="0041501B">
        <w:rPr>
          <w:szCs w:val="26"/>
        </w:rPr>
        <w:t>the</w:t>
      </w:r>
      <w:r w:rsidRPr="002E76A2">
        <w:rPr>
          <w:szCs w:val="26"/>
        </w:rPr>
        <w:t xml:space="preserve"> insurance policy, whether mandated by contract or by operation of Insurance Code section 2071, a claim brought under the UCL is distinct, and it is governed by the UCL’s four-year limitations period.”  (</w:t>
      </w:r>
      <w:r w:rsidRPr="002E76A2">
        <w:rPr>
          <w:i/>
          <w:iCs/>
          <w:szCs w:val="26"/>
        </w:rPr>
        <w:t>Rosenberg-Wohl</w:t>
      </w:r>
      <w:r w:rsidRPr="002E76A2">
        <w:rPr>
          <w:szCs w:val="26"/>
        </w:rPr>
        <w:t xml:space="preserve">, </w:t>
      </w:r>
      <w:r w:rsidRPr="002E76A2">
        <w:rPr>
          <w:i/>
          <w:iCs/>
          <w:szCs w:val="26"/>
        </w:rPr>
        <w:t>supra</w:t>
      </w:r>
      <w:r w:rsidRPr="002E76A2">
        <w:rPr>
          <w:szCs w:val="26"/>
        </w:rPr>
        <w:t>, 93</w:t>
      </w:r>
      <w:r w:rsidRPr="002E76A2" w:rsidR="00450CAC">
        <w:rPr>
          <w:szCs w:val="26"/>
        </w:rPr>
        <w:t> </w:t>
      </w:r>
      <w:r w:rsidRPr="002E76A2">
        <w:rPr>
          <w:szCs w:val="26"/>
        </w:rPr>
        <w:t>Cal.App.5th at p.</w:t>
      </w:r>
      <w:r w:rsidRPr="002E76A2" w:rsidR="00450CAC">
        <w:rPr>
          <w:szCs w:val="26"/>
        </w:rPr>
        <w:t> </w:t>
      </w:r>
      <w:r w:rsidRPr="002E76A2">
        <w:rPr>
          <w:szCs w:val="26"/>
        </w:rPr>
        <w:t>459 (dis. opn. of Stewart, P. J.)</w:t>
      </w:r>
      <w:r w:rsidRPr="002E76A2" w:rsidR="00A240FB">
        <w:rPr>
          <w:szCs w:val="26"/>
        </w:rPr>
        <w:t>.</w:t>
      </w:r>
      <w:r w:rsidRPr="002E76A2">
        <w:rPr>
          <w:szCs w:val="26"/>
        </w:rPr>
        <w:t>)</w:t>
      </w:r>
    </w:p>
    <w:p w:rsidR="007E4CCC" w:rsidRPr="002E76A2" w:rsidP="00C07BE5">
      <w:pPr>
        <w:ind w:firstLine="720"/>
        <w:rPr>
          <w:szCs w:val="26"/>
        </w:rPr>
      </w:pPr>
      <w:r w:rsidRPr="002E76A2">
        <w:rPr>
          <w:szCs w:val="26"/>
        </w:rPr>
        <w:t xml:space="preserve">The dissent </w:t>
      </w:r>
      <w:r w:rsidRPr="002E76A2" w:rsidR="00D67C22">
        <w:rPr>
          <w:szCs w:val="26"/>
        </w:rPr>
        <w:t>also disagreed with the majority</w:t>
      </w:r>
      <w:r w:rsidRPr="002E76A2">
        <w:rPr>
          <w:szCs w:val="26"/>
        </w:rPr>
        <w:t xml:space="preserve"> that plaintiff’s </w:t>
      </w:r>
      <w:r w:rsidRPr="002E76A2" w:rsidR="00D67C22">
        <w:rPr>
          <w:szCs w:val="26"/>
        </w:rPr>
        <w:t>cause of action under the UCL</w:t>
      </w:r>
      <w:r w:rsidRPr="002E76A2">
        <w:rPr>
          <w:szCs w:val="26"/>
        </w:rPr>
        <w:t xml:space="preserve"> was “</w:t>
      </w:r>
      <w:r w:rsidR="00217973">
        <w:rPr>
          <w:szCs w:val="26"/>
        </w:rPr>
        <w:t> ‘</w:t>
      </w:r>
      <w:r w:rsidRPr="002E76A2">
        <w:rPr>
          <w:szCs w:val="26"/>
        </w:rPr>
        <w:t>on</w:t>
      </w:r>
      <w:r w:rsidR="00217973">
        <w:rPr>
          <w:szCs w:val="26"/>
        </w:rPr>
        <w:t>’</w:t>
      </w:r>
      <w:r w:rsidRPr="002E76A2">
        <w:rPr>
          <w:szCs w:val="26"/>
        </w:rPr>
        <w:t xml:space="preserve"> the</w:t>
      </w:r>
      <w:r w:rsidR="00217973">
        <w:rPr>
          <w:szCs w:val="26"/>
        </w:rPr>
        <w:t xml:space="preserve"> insurance</w:t>
      </w:r>
      <w:r w:rsidRPr="002E76A2">
        <w:rPr>
          <w:szCs w:val="26"/>
        </w:rPr>
        <w:t xml:space="preserve"> policy”</w:t>
      </w:r>
      <w:r w:rsidR="004F116D">
        <w:rPr>
          <w:szCs w:val="26"/>
        </w:rPr>
        <w:t xml:space="preserve"> </w:t>
      </w:r>
      <w:r w:rsidRPr="002E76A2" w:rsidR="00217973">
        <w:rPr>
          <w:szCs w:val="26"/>
        </w:rPr>
        <w:t>(</w:t>
      </w:r>
      <w:r w:rsidRPr="002E76A2" w:rsidR="00217973">
        <w:rPr>
          <w:i/>
          <w:iCs/>
          <w:szCs w:val="26"/>
        </w:rPr>
        <w:t>Rosenberg-Wohl</w:t>
      </w:r>
      <w:r w:rsidRPr="002E76A2" w:rsidR="00217973">
        <w:rPr>
          <w:szCs w:val="26"/>
        </w:rPr>
        <w:t xml:space="preserve">, </w:t>
      </w:r>
      <w:r w:rsidRPr="002E76A2" w:rsidR="00217973">
        <w:rPr>
          <w:i/>
          <w:iCs/>
          <w:szCs w:val="26"/>
        </w:rPr>
        <w:t>supra</w:t>
      </w:r>
      <w:r w:rsidRPr="002E76A2" w:rsidR="00217973">
        <w:rPr>
          <w:szCs w:val="26"/>
        </w:rPr>
        <w:t>, 93</w:t>
      </w:r>
      <w:r w:rsidR="00217973">
        <w:rPr>
          <w:szCs w:val="26"/>
        </w:rPr>
        <w:t> </w:t>
      </w:r>
      <w:r w:rsidRPr="002E76A2" w:rsidR="00217973">
        <w:rPr>
          <w:szCs w:val="26"/>
        </w:rPr>
        <w:t>Cal.App.5th at p. 45</w:t>
      </w:r>
      <w:r w:rsidR="00217973">
        <w:rPr>
          <w:szCs w:val="26"/>
        </w:rPr>
        <w:t>7</w:t>
      </w:r>
      <w:r w:rsidRPr="002E76A2" w:rsidR="00217973">
        <w:rPr>
          <w:szCs w:val="26"/>
        </w:rPr>
        <w:t xml:space="preserve"> (dis. opn. of Stewart, P. J.))</w:t>
      </w:r>
      <w:r w:rsidR="00217973">
        <w:rPr>
          <w:szCs w:val="26"/>
        </w:rPr>
        <w:t xml:space="preserve"> </w:t>
      </w:r>
      <w:r w:rsidR="004F116D">
        <w:rPr>
          <w:szCs w:val="26"/>
        </w:rPr>
        <w:t>and</w:t>
      </w:r>
      <w:r w:rsidRPr="002E76A2">
        <w:rPr>
          <w:szCs w:val="26"/>
        </w:rPr>
        <w:t xml:space="preserve"> th</w:t>
      </w:r>
      <w:r w:rsidR="004F116D">
        <w:rPr>
          <w:szCs w:val="26"/>
        </w:rPr>
        <w:t>erefore</w:t>
      </w:r>
      <w:r w:rsidRPr="002E76A2">
        <w:rPr>
          <w:szCs w:val="26"/>
        </w:rPr>
        <w:t xml:space="preserve"> subject to </w:t>
      </w:r>
      <w:r w:rsidRPr="002E76A2" w:rsidR="00D67C22">
        <w:rPr>
          <w:szCs w:val="26"/>
        </w:rPr>
        <w:t>a</w:t>
      </w:r>
      <w:r w:rsidRPr="002E76A2">
        <w:rPr>
          <w:szCs w:val="26"/>
        </w:rPr>
        <w:t xml:space="preserve"> one-year time limit for bringing suit</w:t>
      </w:r>
      <w:r w:rsidRPr="002E76A2" w:rsidR="00D67C22">
        <w:rPr>
          <w:szCs w:val="26"/>
        </w:rPr>
        <w:t xml:space="preserve">. </w:t>
      </w:r>
      <w:r w:rsidRPr="002E76A2">
        <w:rPr>
          <w:szCs w:val="26"/>
        </w:rPr>
        <w:t xml:space="preserve"> </w:t>
      </w:r>
      <w:r w:rsidRPr="002E76A2" w:rsidR="00D67C22">
        <w:rPr>
          <w:szCs w:val="26"/>
        </w:rPr>
        <w:t>I</w:t>
      </w:r>
      <w:r w:rsidRPr="002E76A2">
        <w:rPr>
          <w:szCs w:val="26"/>
        </w:rPr>
        <w:t xml:space="preserve">n </w:t>
      </w:r>
      <w:r w:rsidRPr="002E76A2" w:rsidR="005D3E66">
        <w:rPr>
          <w:szCs w:val="26"/>
        </w:rPr>
        <w:t xml:space="preserve">the dissent’s </w:t>
      </w:r>
      <w:r w:rsidRPr="002E76A2">
        <w:rPr>
          <w:szCs w:val="26"/>
        </w:rPr>
        <w:t>view, “[t]he ‘crux’ of plaintiff’s lawsuit [citation] is that State Farm is marketing homeowners insurance to the public, promising benefits on defined terms, while its claims adjustment process is, by design, so superficial (little to no investigation) and obscure (no communication with insureds about the basis for denials) that it manages to avoid paying out on all but the claims that are obviously covered.  Plaintiff seeks only an injunction to rectify those practices on a prospective basis, generally applicable to State Farm’s dealings with all its customers. . . .  This lawsuit is not a disguised attempt</w:t>
      </w:r>
      <w:r w:rsidRPr="002E76A2" w:rsidR="00C0050A">
        <w:rPr>
          <w:szCs w:val="26"/>
        </w:rPr>
        <w:t>[</w:t>
      </w:r>
      <w:r w:rsidRPr="002E76A2">
        <w:rPr>
          <w:szCs w:val="26"/>
        </w:rPr>
        <w:t>] to recover (or even litigate) any policy benefits.  It seeks only to compel State Farm to reform the way it conducts business with its customers.”  (</w:t>
      </w:r>
      <w:r w:rsidRPr="002E76A2">
        <w:rPr>
          <w:i/>
          <w:iCs/>
          <w:szCs w:val="26"/>
        </w:rPr>
        <w:t>Id</w:t>
      </w:r>
      <w:r w:rsidRPr="002E76A2">
        <w:rPr>
          <w:szCs w:val="26"/>
        </w:rPr>
        <w:t>. at pp.</w:t>
      </w:r>
      <w:r w:rsidRPr="002E76A2" w:rsidR="00A027F0">
        <w:rPr>
          <w:szCs w:val="26"/>
        </w:rPr>
        <w:t> </w:t>
      </w:r>
      <w:r w:rsidRPr="002E76A2">
        <w:rPr>
          <w:szCs w:val="26"/>
        </w:rPr>
        <w:t xml:space="preserve">460–461 (dis. opn. of Stewart, P. J.).)  The dissent contrasted plaintiff’s lawsuit, so perceived, with past cases in which courts regarded claims by insureds as subject to the </w:t>
      </w:r>
      <w:r w:rsidRPr="002E76A2" w:rsidR="00A240FB">
        <w:rPr>
          <w:szCs w:val="26"/>
        </w:rPr>
        <w:t xml:space="preserve">limitations periods </w:t>
      </w:r>
      <w:r w:rsidRPr="002E76A2">
        <w:rPr>
          <w:szCs w:val="26"/>
        </w:rPr>
        <w:t xml:space="preserve">specified </w:t>
      </w:r>
      <w:r w:rsidRPr="002E76A2" w:rsidR="00A240FB">
        <w:rPr>
          <w:szCs w:val="26"/>
        </w:rPr>
        <w:t>within</w:t>
      </w:r>
      <w:r w:rsidRPr="002E76A2">
        <w:rPr>
          <w:szCs w:val="26"/>
        </w:rPr>
        <w:t xml:space="preserve"> their insurance policies, which</w:t>
      </w:r>
      <w:r w:rsidRPr="002E76A2" w:rsidR="00505508">
        <w:rPr>
          <w:szCs w:val="26"/>
        </w:rPr>
        <w:t xml:space="preserve"> in </w:t>
      </w:r>
      <w:r w:rsidRPr="002E76A2" w:rsidR="005D3E66">
        <w:rPr>
          <w:szCs w:val="26"/>
        </w:rPr>
        <w:t>the dissent’s</w:t>
      </w:r>
      <w:r w:rsidRPr="002E76A2" w:rsidR="00505508">
        <w:rPr>
          <w:szCs w:val="26"/>
        </w:rPr>
        <w:t xml:space="preserve"> view</w:t>
      </w:r>
      <w:r w:rsidRPr="002E76A2">
        <w:rPr>
          <w:szCs w:val="26"/>
        </w:rPr>
        <w:t xml:space="preserve"> “</w:t>
      </w:r>
      <w:r w:rsidRPr="002E76A2" w:rsidR="0041501B">
        <w:rPr>
          <w:szCs w:val="26"/>
        </w:rPr>
        <w:t xml:space="preserve">[a]ll </w:t>
      </w:r>
      <w:r w:rsidRPr="002E76A2">
        <w:rPr>
          <w:szCs w:val="26"/>
        </w:rPr>
        <w:t>involved claims based on refusal to pay policy benefits that were simply repackaged as tort claims while still seeking policy benefits as damages.”  (</w:t>
      </w:r>
      <w:r w:rsidRPr="002E76A2">
        <w:rPr>
          <w:i/>
          <w:iCs/>
          <w:szCs w:val="26"/>
        </w:rPr>
        <w:t>Id</w:t>
      </w:r>
      <w:r w:rsidRPr="002E76A2">
        <w:rPr>
          <w:szCs w:val="26"/>
        </w:rPr>
        <w:t>. at p.</w:t>
      </w:r>
      <w:r w:rsidRPr="002E76A2" w:rsidR="00A027F0">
        <w:rPr>
          <w:szCs w:val="26"/>
        </w:rPr>
        <w:t> </w:t>
      </w:r>
      <w:r w:rsidRPr="002E76A2">
        <w:rPr>
          <w:szCs w:val="26"/>
        </w:rPr>
        <w:t xml:space="preserve">461 (dis. opn. of Stewart, P. J.), citing </w:t>
      </w:r>
      <w:r w:rsidRPr="002E76A2">
        <w:rPr>
          <w:i/>
          <w:iCs/>
          <w:szCs w:val="26"/>
        </w:rPr>
        <w:t>Jang v. State Farm Fire &amp; Casualty Co.</w:t>
      </w:r>
      <w:r w:rsidRPr="002E76A2">
        <w:rPr>
          <w:szCs w:val="26"/>
        </w:rPr>
        <w:t xml:space="preserve"> (2000) 80</w:t>
      </w:r>
      <w:r w:rsidRPr="002E76A2" w:rsidR="00A027F0">
        <w:rPr>
          <w:szCs w:val="26"/>
        </w:rPr>
        <w:t> </w:t>
      </w:r>
      <w:r w:rsidRPr="002E76A2">
        <w:rPr>
          <w:szCs w:val="26"/>
        </w:rPr>
        <w:t>Cal.App.4th 1291, 1303 (</w:t>
      </w:r>
      <w:r w:rsidRPr="002E76A2">
        <w:rPr>
          <w:i/>
          <w:iCs/>
          <w:szCs w:val="26"/>
        </w:rPr>
        <w:t>Jang</w:t>
      </w:r>
      <w:r w:rsidRPr="002E76A2">
        <w:rPr>
          <w:szCs w:val="26"/>
        </w:rPr>
        <w:t xml:space="preserve">); </w:t>
      </w:r>
      <w:r w:rsidRPr="002E76A2">
        <w:rPr>
          <w:i/>
          <w:iCs/>
          <w:szCs w:val="26"/>
        </w:rPr>
        <w:t>CBS Broadcasting Inc. v. Fireman’s Fund Ins</w:t>
      </w:r>
      <w:r w:rsidRPr="002E76A2" w:rsidR="00F96587">
        <w:rPr>
          <w:i/>
          <w:iCs/>
          <w:szCs w:val="26"/>
        </w:rPr>
        <w:t>.</w:t>
      </w:r>
      <w:r w:rsidRPr="002E76A2">
        <w:rPr>
          <w:i/>
          <w:iCs/>
          <w:szCs w:val="26"/>
        </w:rPr>
        <w:t xml:space="preserve"> Co. </w:t>
      </w:r>
      <w:r w:rsidRPr="002E76A2">
        <w:rPr>
          <w:szCs w:val="26"/>
        </w:rPr>
        <w:t>(1999) 70</w:t>
      </w:r>
      <w:r w:rsidRPr="002E76A2" w:rsidR="00A027F0">
        <w:rPr>
          <w:szCs w:val="26"/>
        </w:rPr>
        <w:t> </w:t>
      </w:r>
      <w:r w:rsidRPr="002E76A2">
        <w:rPr>
          <w:szCs w:val="26"/>
        </w:rPr>
        <w:t xml:space="preserve">Cal.App.4th 1075, 1086; </w:t>
      </w:r>
      <w:r w:rsidRPr="002E76A2">
        <w:rPr>
          <w:i/>
          <w:iCs/>
          <w:szCs w:val="26"/>
        </w:rPr>
        <w:t>Velasquez v. Truck Ins. Exchange</w:t>
      </w:r>
      <w:r w:rsidRPr="002E76A2">
        <w:rPr>
          <w:szCs w:val="26"/>
        </w:rPr>
        <w:t xml:space="preserve"> (1991) 1</w:t>
      </w:r>
      <w:r w:rsidRPr="002E76A2" w:rsidR="00A027F0">
        <w:rPr>
          <w:szCs w:val="26"/>
        </w:rPr>
        <w:t> </w:t>
      </w:r>
      <w:r w:rsidRPr="002E76A2">
        <w:rPr>
          <w:szCs w:val="26"/>
        </w:rPr>
        <w:t>Cal.App.4th 712, 722 (</w:t>
      </w:r>
      <w:r w:rsidRPr="002E76A2">
        <w:rPr>
          <w:i/>
          <w:iCs/>
          <w:szCs w:val="26"/>
        </w:rPr>
        <w:t>Velasquez</w:t>
      </w:r>
      <w:r w:rsidRPr="002E76A2">
        <w:rPr>
          <w:szCs w:val="26"/>
        </w:rPr>
        <w:t xml:space="preserve">); </w:t>
      </w:r>
      <w:r w:rsidRPr="002E76A2">
        <w:rPr>
          <w:i/>
          <w:iCs/>
          <w:szCs w:val="26"/>
        </w:rPr>
        <w:t>Prieto v. State Farm Fire &amp; Casualty Co.</w:t>
      </w:r>
      <w:r w:rsidRPr="002E76A2">
        <w:rPr>
          <w:szCs w:val="26"/>
        </w:rPr>
        <w:t xml:space="preserve"> (1990) 225</w:t>
      </w:r>
      <w:r w:rsidRPr="002E76A2" w:rsidR="00A027F0">
        <w:rPr>
          <w:szCs w:val="26"/>
        </w:rPr>
        <w:t> </w:t>
      </w:r>
      <w:r w:rsidRPr="002E76A2">
        <w:rPr>
          <w:szCs w:val="26"/>
        </w:rPr>
        <w:t>Cal.App.3d 1188, 1190 (</w:t>
      </w:r>
      <w:r w:rsidRPr="002E76A2">
        <w:rPr>
          <w:i/>
          <w:iCs/>
          <w:szCs w:val="26"/>
        </w:rPr>
        <w:t>Prieto</w:t>
      </w:r>
      <w:r w:rsidRPr="002E76A2">
        <w:rPr>
          <w:szCs w:val="26"/>
        </w:rPr>
        <w:t xml:space="preserve">); </w:t>
      </w:r>
      <w:r w:rsidRPr="002E76A2">
        <w:rPr>
          <w:i/>
          <w:iCs/>
          <w:szCs w:val="26"/>
        </w:rPr>
        <w:t xml:space="preserve">Magnolia Square Homeowners Assn. v. Safeco Ins. Co. </w:t>
      </w:r>
      <w:r w:rsidRPr="002E76A2">
        <w:rPr>
          <w:szCs w:val="26"/>
        </w:rPr>
        <w:t>(1990) 221</w:t>
      </w:r>
      <w:r w:rsidRPr="002E76A2" w:rsidR="00A027F0">
        <w:rPr>
          <w:szCs w:val="26"/>
        </w:rPr>
        <w:t> </w:t>
      </w:r>
      <w:r w:rsidRPr="002E76A2">
        <w:rPr>
          <w:szCs w:val="26"/>
        </w:rPr>
        <w:t xml:space="preserve">Cal.App.3d 1049, 1063; </w:t>
      </w:r>
      <w:r w:rsidRPr="002E76A2">
        <w:rPr>
          <w:i/>
          <w:iCs/>
          <w:szCs w:val="26"/>
        </w:rPr>
        <w:t>Abari v. State Farm Fire &amp; Casualty Co.</w:t>
      </w:r>
      <w:r w:rsidRPr="002E76A2">
        <w:rPr>
          <w:szCs w:val="26"/>
        </w:rPr>
        <w:t xml:space="preserve"> (1988) 205</w:t>
      </w:r>
      <w:r w:rsidRPr="002E76A2" w:rsidR="00A027F0">
        <w:rPr>
          <w:szCs w:val="26"/>
        </w:rPr>
        <w:t> </w:t>
      </w:r>
      <w:r w:rsidRPr="002E76A2">
        <w:rPr>
          <w:szCs w:val="26"/>
        </w:rPr>
        <w:t>Cal.App.3d 530, 536 (</w:t>
      </w:r>
      <w:r w:rsidRPr="002E76A2">
        <w:rPr>
          <w:i/>
          <w:iCs/>
          <w:szCs w:val="26"/>
        </w:rPr>
        <w:t>Abari</w:t>
      </w:r>
      <w:r w:rsidRPr="002E76A2">
        <w:rPr>
          <w:szCs w:val="26"/>
        </w:rPr>
        <w:t xml:space="preserve">); </w:t>
      </w:r>
      <w:r w:rsidRPr="002E76A2">
        <w:rPr>
          <w:i/>
          <w:iCs/>
          <w:szCs w:val="26"/>
        </w:rPr>
        <w:t>Lawrence v. Western Mutual Ins. Co.</w:t>
      </w:r>
      <w:r w:rsidRPr="002E76A2">
        <w:rPr>
          <w:szCs w:val="26"/>
        </w:rPr>
        <w:t xml:space="preserve"> (1988) 204</w:t>
      </w:r>
      <w:r w:rsidRPr="002E76A2" w:rsidR="00A027F0">
        <w:rPr>
          <w:szCs w:val="26"/>
        </w:rPr>
        <w:t> </w:t>
      </w:r>
      <w:r w:rsidRPr="002E76A2">
        <w:rPr>
          <w:szCs w:val="26"/>
        </w:rPr>
        <w:t>Cal.App.3d 565, 575 (</w:t>
      </w:r>
      <w:r w:rsidRPr="002E76A2">
        <w:rPr>
          <w:i/>
          <w:iCs/>
          <w:szCs w:val="26"/>
        </w:rPr>
        <w:t>Lawrence</w:t>
      </w:r>
      <w:r w:rsidRPr="002E76A2">
        <w:rPr>
          <w:szCs w:val="26"/>
        </w:rPr>
        <w:t xml:space="preserve">); </w:t>
      </w:r>
      <w:r w:rsidRPr="002E76A2">
        <w:rPr>
          <w:i/>
          <w:iCs/>
          <w:szCs w:val="26"/>
        </w:rPr>
        <w:t>Sullivan</w:t>
      </w:r>
      <w:r w:rsidRPr="002E76A2">
        <w:rPr>
          <w:szCs w:val="26"/>
        </w:rPr>
        <w:t xml:space="preserve">, </w:t>
      </w:r>
      <w:r w:rsidRPr="002E76A2">
        <w:rPr>
          <w:i/>
          <w:iCs/>
          <w:szCs w:val="26"/>
        </w:rPr>
        <w:t>supra</w:t>
      </w:r>
      <w:r w:rsidRPr="002E76A2">
        <w:rPr>
          <w:szCs w:val="26"/>
        </w:rPr>
        <w:t>, 964 F.Supp. at p.</w:t>
      </w:r>
      <w:r w:rsidRPr="002E76A2" w:rsidR="00A027F0">
        <w:rPr>
          <w:szCs w:val="26"/>
        </w:rPr>
        <w:t> </w:t>
      </w:r>
      <w:r w:rsidRPr="002E76A2">
        <w:rPr>
          <w:szCs w:val="26"/>
        </w:rPr>
        <w:t>1415.)</w:t>
      </w:r>
    </w:p>
    <w:p w:rsidR="007E4CCC" w:rsidRPr="002E76A2" w:rsidP="00C07BE5">
      <w:pPr>
        <w:ind w:firstLine="720"/>
      </w:pPr>
      <w:r>
        <w:t xml:space="preserve">The dissent also regarded “the UCL’s unique scope and purpose,” including the limited array of remedies available under the statute, as distinguishing a UCL claim such as </w:t>
      </w:r>
      <w:r w:rsidR="005D3E66">
        <w:t xml:space="preserve">the one </w:t>
      </w:r>
      <w:r>
        <w:t>brought by plaintiff from a tort or contract action seeking policy benefits.  (</w:t>
      </w:r>
      <w:r w:rsidRPr="1CCACB4F">
        <w:rPr>
          <w:i/>
          <w:iCs/>
        </w:rPr>
        <w:t>Rosenberg-Wohl</w:t>
      </w:r>
      <w:r>
        <w:t xml:space="preserve">, </w:t>
      </w:r>
      <w:r w:rsidRPr="1CCACB4F" w:rsidR="001A73A5">
        <w:rPr>
          <w:i/>
          <w:iCs/>
        </w:rPr>
        <w:t>supra</w:t>
      </w:r>
      <w:r w:rsidR="001A73A5">
        <w:t>, 93</w:t>
      </w:r>
      <w:r w:rsidR="00A027F0">
        <w:t> </w:t>
      </w:r>
      <w:r w:rsidR="001A73A5">
        <w:t xml:space="preserve">Cal.App.5th </w:t>
      </w:r>
      <w:r>
        <w:t>at p.</w:t>
      </w:r>
      <w:r w:rsidR="005D3E66">
        <w:t> </w:t>
      </w:r>
      <w:r>
        <w:t xml:space="preserve">462 (dis. opn. of Stewart, P. J.).)  </w:t>
      </w:r>
      <w:r w:rsidR="00A26EC6">
        <w:t>Finally, r</w:t>
      </w:r>
      <w:r>
        <w:t xml:space="preserve">egarding the majority’s standing analysis, the dissent noted that State Farm had not </w:t>
      </w:r>
      <w:r w:rsidR="2833C40B">
        <w:t>demurred to plaintiff’s UCL cause of action on the ground that she lacked</w:t>
      </w:r>
      <w:r w:rsidR="00422A74">
        <w:t xml:space="preserve"> standing</w:t>
      </w:r>
      <w:r>
        <w:t>.  (</w:t>
      </w:r>
      <w:r w:rsidRPr="1CCACB4F" w:rsidR="00435C0F">
        <w:rPr>
          <w:i/>
          <w:iCs/>
        </w:rPr>
        <w:t>Id</w:t>
      </w:r>
      <w:r w:rsidR="00435C0F">
        <w:t>.</w:t>
      </w:r>
      <w:r>
        <w:t xml:space="preserve"> at p.</w:t>
      </w:r>
      <w:r w:rsidR="00A027F0">
        <w:t> </w:t>
      </w:r>
      <w:r>
        <w:t xml:space="preserve">464 (dis. opn. of Stewart, P. J.).)  The dissent </w:t>
      </w:r>
      <w:r w:rsidR="00750258">
        <w:t>contended</w:t>
      </w:r>
      <w:r>
        <w:t xml:space="preserve"> that plaintiff </w:t>
      </w:r>
      <w:r w:rsidR="00817021">
        <w:t>conceivably could</w:t>
      </w:r>
      <w:r>
        <w:t xml:space="preserve"> satisfy the UCL’s standing requirement in various ways and that, in any event, the standing question was ultimately distinct from whether plaintiff’s UCL cause of action was an impermissible end-run around the one-year time period for bringing suit under the policy.  (</w:t>
      </w:r>
      <w:r w:rsidRPr="1CCACB4F" w:rsidR="00505508">
        <w:rPr>
          <w:i/>
          <w:iCs/>
        </w:rPr>
        <w:t>Rosenberg-Wohl</w:t>
      </w:r>
      <w:r w:rsidR="00505508">
        <w:t>, at p.</w:t>
      </w:r>
      <w:r w:rsidR="00A027F0">
        <w:t> </w:t>
      </w:r>
      <w:r w:rsidR="00505508">
        <w:t>464 (dis. opn. of Stewart, P. J.)</w:t>
      </w:r>
      <w:r>
        <w:t xml:space="preserve">.)  </w:t>
      </w:r>
    </w:p>
    <w:p w:rsidR="007E4CCC" w:rsidRPr="002E76A2" w:rsidP="00C07BE5">
      <w:pPr>
        <w:ind w:firstLine="720"/>
        <w:rPr>
          <w:szCs w:val="26"/>
        </w:rPr>
      </w:pPr>
      <w:r w:rsidRPr="002E76A2">
        <w:rPr>
          <w:szCs w:val="26"/>
        </w:rPr>
        <w:t>We granted plaintiff’s petition for review</w:t>
      </w:r>
      <w:r w:rsidR="00464B9B">
        <w:rPr>
          <w:szCs w:val="26"/>
        </w:rPr>
        <w:t xml:space="preserve"> to decide whether the one-year limitations period within plaintiff’s insurance policy and section 2071 applies to her cause of action under the UCL</w:t>
      </w:r>
      <w:r w:rsidRPr="002E76A2">
        <w:rPr>
          <w:szCs w:val="26"/>
        </w:rPr>
        <w:t>.</w:t>
      </w:r>
    </w:p>
    <w:p w:rsidR="007E4CCC" w:rsidRPr="002E76A2" w:rsidP="002E76A2">
      <w:pPr>
        <w:pStyle w:val="Heading1"/>
      </w:pPr>
      <w:r w:rsidRPr="002E76A2">
        <w:t>II.  Discussion</w:t>
      </w:r>
    </w:p>
    <w:p w:rsidR="007E4CCC" w:rsidRPr="002E76A2" w:rsidP="00C07BE5">
      <w:pPr>
        <w:ind w:firstLine="720"/>
        <w:rPr>
          <w:szCs w:val="26"/>
        </w:rPr>
      </w:pPr>
      <w:r>
        <w:rPr>
          <w:szCs w:val="26"/>
        </w:rPr>
        <w:t xml:space="preserve">State Farm argues </w:t>
      </w:r>
      <w:r w:rsidR="009F4261">
        <w:rPr>
          <w:szCs w:val="26"/>
        </w:rPr>
        <w:t xml:space="preserve">that </w:t>
      </w:r>
      <w:r>
        <w:rPr>
          <w:szCs w:val="26"/>
        </w:rPr>
        <w:t xml:space="preserve">the </w:t>
      </w:r>
      <w:r w:rsidRPr="002E76A2">
        <w:rPr>
          <w:szCs w:val="26"/>
        </w:rPr>
        <w:t xml:space="preserve">one-year limitations period </w:t>
      </w:r>
      <w:r w:rsidR="009F4261">
        <w:rPr>
          <w:szCs w:val="26"/>
        </w:rPr>
        <w:t xml:space="preserve">for bringing suit </w:t>
      </w:r>
      <w:r w:rsidR="00CD54F8">
        <w:rPr>
          <w:szCs w:val="26"/>
        </w:rPr>
        <w:t>that appears</w:t>
      </w:r>
      <w:r w:rsidR="009F4261">
        <w:rPr>
          <w:szCs w:val="26"/>
        </w:rPr>
        <w:t xml:space="preserve"> </w:t>
      </w:r>
      <w:r w:rsidRPr="002E76A2">
        <w:rPr>
          <w:szCs w:val="26"/>
        </w:rPr>
        <w:t xml:space="preserve">within </w:t>
      </w:r>
      <w:r w:rsidR="009F4261">
        <w:rPr>
          <w:szCs w:val="26"/>
        </w:rPr>
        <w:t>plaintiff’s insurance</w:t>
      </w:r>
      <w:r w:rsidRPr="002E76A2">
        <w:rPr>
          <w:szCs w:val="26"/>
        </w:rPr>
        <w:t xml:space="preserve"> policy and section 2071 applies</w:t>
      </w:r>
      <w:r>
        <w:rPr>
          <w:szCs w:val="26"/>
        </w:rPr>
        <w:t xml:space="preserve"> </w:t>
      </w:r>
      <w:r w:rsidR="009F4261">
        <w:rPr>
          <w:szCs w:val="26"/>
        </w:rPr>
        <w:t>here and controls the timeliness analysis</w:t>
      </w:r>
      <w:r>
        <w:rPr>
          <w:szCs w:val="26"/>
        </w:rPr>
        <w:t xml:space="preserve">.  </w:t>
      </w:r>
      <w:r w:rsidRPr="002E76A2" w:rsidR="009F4261">
        <w:rPr>
          <w:szCs w:val="26"/>
        </w:rPr>
        <w:t>Plaintiff’s loss occurred no later than April 2019</w:t>
      </w:r>
      <w:r w:rsidR="009F4261">
        <w:rPr>
          <w:szCs w:val="26"/>
        </w:rPr>
        <w:t>, and plaintiff filed suit in October 2020</w:t>
      </w:r>
      <w:r w:rsidRPr="002E76A2" w:rsidR="009F4261">
        <w:rPr>
          <w:szCs w:val="26"/>
        </w:rPr>
        <w:t xml:space="preserve">.  </w:t>
      </w:r>
      <w:r w:rsidR="009F4261">
        <w:rPr>
          <w:szCs w:val="26"/>
        </w:rPr>
        <w:t>Thus, a</w:t>
      </w:r>
      <w:r>
        <w:rPr>
          <w:szCs w:val="26"/>
        </w:rPr>
        <w:t>ccording to State Farm, e</w:t>
      </w:r>
      <w:r w:rsidRPr="002E76A2">
        <w:rPr>
          <w:szCs w:val="26"/>
        </w:rPr>
        <w:t xml:space="preserve">ven accounting for the </w:t>
      </w:r>
      <w:r>
        <w:rPr>
          <w:szCs w:val="26"/>
        </w:rPr>
        <w:t xml:space="preserve">short </w:t>
      </w:r>
      <w:r w:rsidR="00955A29">
        <w:rPr>
          <w:szCs w:val="26"/>
        </w:rPr>
        <w:t>span</w:t>
      </w:r>
      <w:r w:rsidRPr="002E76A2">
        <w:rPr>
          <w:szCs w:val="26"/>
        </w:rPr>
        <w:t xml:space="preserve"> </w:t>
      </w:r>
      <w:r w:rsidR="00D857A3">
        <w:rPr>
          <w:szCs w:val="26"/>
        </w:rPr>
        <w:t xml:space="preserve">in August 2019 </w:t>
      </w:r>
      <w:r w:rsidRPr="002E76A2">
        <w:rPr>
          <w:szCs w:val="26"/>
        </w:rPr>
        <w:t xml:space="preserve">between when plaintiff submitted her claim to </w:t>
      </w:r>
      <w:r w:rsidRPr="002E76A2" w:rsidR="006E18AF">
        <w:rPr>
          <w:szCs w:val="26"/>
        </w:rPr>
        <w:t>State Farm</w:t>
      </w:r>
      <w:r w:rsidRPr="002E76A2">
        <w:rPr>
          <w:szCs w:val="26"/>
        </w:rPr>
        <w:t xml:space="preserve"> and when coverage was denied, during which</w:t>
      </w:r>
      <w:r w:rsidRPr="002E76A2" w:rsidR="00DC40A3">
        <w:rPr>
          <w:szCs w:val="26"/>
        </w:rPr>
        <w:t xml:space="preserve"> time</w:t>
      </w:r>
      <w:r w:rsidRPr="002E76A2">
        <w:rPr>
          <w:szCs w:val="26"/>
        </w:rPr>
        <w:t xml:space="preserve"> the limitations period was tolled (see </w:t>
      </w:r>
      <w:r w:rsidRPr="00D2109F" w:rsidR="00B40357">
        <w:rPr>
          <w:i/>
          <w:iCs/>
          <w:szCs w:val="26"/>
        </w:rPr>
        <w:t>Prudential-LMI Com. Insurance v. Superior Court</w:t>
      </w:r>
      <w:r w:rsidRPr="00D2109F" w:rsidR="00B40357">
        <w:rPr>
          <w:szCs w:val="26"/>
        </w:rPr>
        <w:t xml:space="preserve"> (1990) 51 Cal.3d 674, </w:t>
      </w:r>
      <w:r w:rsidR="00B40357">
        <w:rPr>
          <w:szCs w:val="26"/>
        </w:rPr>
        <w:t>678</w:t>
      </w:r>
      <w:r w:rsidRPr="00D2109F" w:rsidR="00B40357">
        <w:rPr>
          <w:szCs w:val="26"/>
        </w:rPr>
        <w:t xml:space="preserve"> (</w:t>
      </w:r>
      <w:r w:rsidRPr="00D2109F" w:rsidR="00B40357">
        <w:rPr>
          <w:i/>
          <w:iCs/>
          <w:szCs w:val="26"/>
        </w:rPr>
        <w:t>Prudential-LMI</w:t>
      </w:r>
      <w:r w:rsidRPr="00D2109F" w:rsidR="00B40357">
        <w:rPr>
          <w:szCs w:val="26"/>
        </w:rPr>
        <w:t>)</w:t>
      </w:r>
      <w:r w:rsidRPr="002E76A2">
        <w:rPr>
          <w:szCs w:val="26"/>
        </w:rPr>
        <w:t>),</w:t>
      </w:r>
      <w:r>
        <w:rPr>
          <w:szCs w:val="26"/>
        </w:rPr>
        <w:t xml:space="preserve"> plaintiff filed her lawsuit too late</w:t>
      </w:r>
      <w:r w:rsidRPr="002E76A2">
        <w:rPr>
          <w:szCs w:val="26"/>
        </w:rPr>
        <w:t xml:space="preserve">.  </w:t>
      </w:r>
      <w:r>
        <w:rPr>
          <w:szCs w:val="26"/>
        </w:rPr>
        <w:t>We conclude</w:t>
      </w:r>
      <w:r w:rsidR="009F4261">
        <w:rPr>
          <w:szCs w:val="26"/>
        </w:rPr>
        <w:t xml:space="preserve"> </w:t>
      </w:r>
      <w:r w:rsidR="00587A22">
        <w:rPr>
          <w:szCs w:val="26"/>
        </w:rPr>
        <w:t>otherwise</w:t>
      </w:r>
      <w:r w:rsidR="00CD54F8">
        <w:rPr>
          <w:szCs w:val="26"/>
        </w:rPr>
        <w:t xml:space="preserve">.  </w:t>
      </w:r>
      <w:r w:rsidR="00587A22">
        <w:rPr>
          <w:szCs w:val="26"/>
        </w:rPr>
        <w:t>The</w:t>
      </w:r>
      <w:r w:rsidR="00CD54F8">
        <w:rPr>
          <w:szCs w:val="26"/>
        </w:rPr>
        <w:t xml:space="preserve"> parties agree that the </w:t>
      </w:r>
      <w:r w:rsidR="00587A22">
        <w:rPr>
          <w:szCs w:val="26"/>
        </w:rPr>
        <w:t>limitations</w:t>
      </w:r>
      <w:r w:rsidR="00CD54F8">
        <w:rPr>
          <w:szCs w:val="26"/>
        </w:rPr>
        <w:t xml:space="preserve"> language in plaintiff’s insurance policy is</w:t>
      </w:r>
      <w:r w:rsidR="00587A22">
        <w:rPr>
          <w:szCs w:val="26"/>
        </w:rPr>
        <w:t>, for present purposes,</w:t>
      </w:r>
      <w:r w:rsidR="00CD54F8">
        <w:rPr>
          <w:szCs w:val="26"/>
        </w:rPr>
        <w:t xml:space="preserve"> equivalent to th</w:t>
      </w:r>
      <w:r w:rsidR="00587A22">
        <w:rPr>
          <w:szCs w:val="26"/>
        </w:rPr>
        <w:t xml:space="preserve">at found in section 2071, and we interpret the </w:t>
      </w:r>
      <w:r w:rsidR="0089259A">
        <w:rPr>
          <w:szCs w:val="26"/>
        </w:rPr>
        <w:t>one-year deadline within that statute</w:t>
      </w:r>
      <w:r w:rsidR="00587A22">
        <w:rPr>
          <w:szCs w:val="26"/>
        </w:rPr>
        <w:t xml:space="preserve"> as </w:t>
      </w:r>
      <w:r w:rsidR="00C86764">
        <w:rPr>
          <w:szCs w:val="26"/>
        </w:rPr>
        <w:t>inapplicable</w:t>
      </w:r>
      <w:r>
        <w:rPr>
          <w:szCs w:val="26"/>
        </w:rPr>
        <w:t xml:space="preserve"> to </w:t>
      </w:r>
      <w:r w:rsidR="00C86764">
        <w:rPr>
          <w:szCs w:val="26"/>
        </w:rPr>
        <w:t>the</w:t>
      </w:r>
      <w:r>
        <w:rPr>
          <w:szCs w:val="26"/>
        </w:rPr>
        <w:t xml:space="preserve"> </w:t>
      </w:r>
      <w:r w:rsidR="00CD54F8">
        <w:rPr>
          <w:szCs w:val="26"/>
        </w:rPr>
        <w:t>cause of action</w:t>
      </w:r>
      <w:r>
        <w:rPr>
          <w:szCs w:val="26"/>
        </w:rPr>
        <w:t xml:space="preserve"> for </w:t>
      </w:r>
      <w:r w:rsidR="00C86764">
        <w:rPr>
          <w:szCs w:val="26"/>
        </w:rPr>
        <w:t>declaratory and injunctive</w:t>
      </w:r>
      <w:r>
        <w:rPr>
          <w:szCs w:val="26"/>
        </w:rPr>
        <w:t xml:space="preserve"> relief</w:t>
      </w:r>
      <w:r w:rsidR="00C86764">
        <w:rPr>
          <w:szCs w:val="26"/>
        </w:rPr>
        <w:t xml:space="preserve"> that plaintiff has alleged under the UCL</w:t>
      </w:r>
      <w:r w:rsidR="00587A22">
        <w:rPr>
          <w:szCs w:val="26"/>
        </w:rPr>
        <w:t xml:space="preserve">.  Because </w:t>
      </w:r>
      <w:r>
        <w:rPr>
          <w:szCs w:val="26"/>
        </w:rPr>
        <w:t>plaintiff filed suit well within the UCL’s</w:t>
      </w:r>
      <w:r w:rsidRPr="002E76A2">
        <w:rPr>
          <w:szCs w:val="26"/>
        </w:rPr>
        <w:t xml:space="preserve"> four-year limitations period</w:t>
      </w:r>
      <w:r w:rsidR="00587A22">
        <w:rPr>
          <w:szCs w:val="26"/>
        </w:rPr>
        <w:t xml:space="preserve"> </w:t>
      </w:r>
      <w:r w:rsidR="0089259A">
        <w:rPr>
          <w:szCs w:val="26"/>
        </w:rPr>
        <w:t>(</w:t>
      </w:r>
      <w:r w:rsidRPr="002E76A2" w:rsidR="00587A22">
        <w:rPr>
          <w:szCs w:val="26"/>
        </w:rPr>
        <w:t>Bus.</w:t>
      </w:r>
      <w:r w:rsidR="00587A22">
        <w:rPr>
          <w:szCs w:val="26"/>
        </w:rPr>
        <w:t> </w:t>
      </w:r>
      <w:r w:rsidRPr="002E76A2" w:rsidR="00587A22">
        <w:rPr>
          <w:szCs w:val="26"/>
        </w:rPr>
        <w:t>&amp;</w:t>
      </w:r>
      <w:r w:rsidR="00587A22">
        <w:rPr>
          <w:szCs w:val="26"/>
        </w:rPr>
        <w:t> </w:t>
      </w:r>
      <w:r w:rsidRPr="002E76A2" w:rsidR="00587A22">
        <w:rPr>
          <w:szCs w:val="26"/>
        </w:rPr>
        <w:t>Prof. Code, § 17208)</w:t>
      </w:r>
      <w:r w:rsidR="00587A22">
        <w:rPr>
          <w:szCs w:val="26"/>
        </w:rPr>
        <w:t>, it was timely</w:t>
      </w:r>
      <w:r>
        <w:rPr>
          <w:szCs w:val="26"/>
        </w:rPr>
        <w:t xml:space="preserve">. </w:t>
      </w:r>
      <w:r w:rsidRPr="002E76A2">
        <w:rPr>
          <w:szCs w:val="26"/>
        </w:rPr>
        <w:t xml:space="preserve"> </w:t>
      </w:r>
    </w:p>
    <w:p w:rsidR="007E4CCC" w:rsidRPr="002E76A2" w:rsidP="00C07BE5">
      <w:pPr>
        <w:ind w:firstLine="720"/>
        <w:rPr>
          <w:szCs w:val="26"/>
        </w:rPr>
      </w:pPr>
      <w:r w:rsidRPr="002E76A2">
        <w:rPr>
          <w:szCs w:val="26"/>
        </w:rPr>
        <w:t xml:space="preserve">The development of a standard fire insurance policy more than a century ago responded to market conditions in which “every </w:t>
      </w:r>
      <w:r w:rsidRPr="002E76A2" w:rsidR="000D0C64">
        <w:rPr>
          <w:szCs w:val="26"/>
        </w:rPr>
        <w:t xml:space="preserve">[insurance] </w:t>
      </w:r>
      <w:r w:rsidRPr="002E76A2">
        <w:rPr>
          <w:szCs w:val="26"/>
        </w:rPr>
        <w:t xml:space="preserve">company issued a policy that suited its particular needs.  These policies were drafted by company experts who did not always have at heart the best interest of the insured.”  (Wenck, </w:t>
      </w:r>
      <w:r w:rsidRPr="002E76A2">
        <w:rPr>
          <w:i/>
          <w:iCs/>
          <w:szCs w:val="26"/>
        </w:rPr>
        <w:t>The Historical Development of Standard Policies</w:t>
      </w:r>
      <w:r w:rsidRPr="002E76A2">
        <w:rPr>
          <w:szCs w:val="26"/>
        </w:rPr>
        <w:t xml:space="preserve"> (1968) 35</w:t>
      </w:r>
      <w:r w:rsidR="006A1D29">
        <w:rPr>
          <w:szCs w:val="26"/>
        </w:rPr>
        <w:t> </w:t>
      </w:r>
      <w:r w:rsidRPr="002E76A2">
        <w:rPr>
          <w:szCs w:val="26"/>
        </w:rPr>
        <w:t>J.</w:t>
      </w:r>
      <w:r w:rsidR="006A1D29">
        <w:rPr>
          <w:szCs w:val="26"/>
        </w:rPr>
        <w:t> </w:t>
      </w:r>
      <w:r w:rsidRPr="002E76A2">
        <w:rPr>
          <w:szCs w:val="26"/>
        </w:rPr>
        <w:t xml:space="preserve">Risk </w:t>
      </w:r>
      <w:r w:rsidRPr="002E76A2" w:rsidR="00E16C24">
        <w:rPr>
          <w:szCs w:val="26"/>
        </w:rPr>
        <w:t>&amp;</w:t>
      </w:r>
      <w:r w:rsidRPr="002E76A2">
        <w:rPr>
          <w:szCs w:val="26"/>
        </w:rPr>
        <w:t xml:space="preserve"> Ins. 537, 538.)  With the San Francisco earthquake and fire of 1906 providing an impetus (see Cal</w:t>
      </w:r>
      <w:r w:rsidRPr="002E76A2" w:rsidR="00750258">
        <w:rPr>
          <w:szCs w:val="26"/>
        </w:rPr>
        <w:t>.</w:t>
      </w:r>
      <w:r w:rsidRPr="002E76A2">
        <w:rPr>
          <w:szCs w:val="26"/>
        </w:rPr>
        <w:t xml:space="preserve"> Dep</w:t>
      </w:r>
      <w:r w:rsidRPr="002E76A2" w:rsidR="00750258">
        <w:rPr>
          <w:szCs w:val="26"/>
        </w:rPr>
        <w:t xml:space="preserve">t. </w:t>
      </w:r>
      <w:r w:rsidRPr="002E76A2">
        <w:rPr>
          <w:szCs w:val="26"/>
        </w:rPr>
        <w:t>of Insurance, Forty-First Ann</w:t>
      </w:r>
      <w:r w:rsidRPr="002E76A2" w:rsidR="00750258">
        <w:rPr>
          <w:szCs w:val="26"/>
        </w:rPr>
        <w:t>.</w:t>
      </w:r>
      <w:r w:rsidRPr="002E76A2">
        <w:rPr>
          <w:szCs w:val="26"/>
        </w:rPr>
        <w:t xml:space="preserve"> Rep</w:t>
      </w:r>
      <w:r w:rsidRPr="002E76A2" w:rsidR="00750258">
        <w:rPr>
          <w:szCs w:val="26"/>
        </w:rPr>
        <w:t>.</w:t>
      </w:r>
      <w:r w:rsidRPr="002E76A2">
        <w:rPr>
          <w:szCs w:val="26"/>
        </w:rPr>
        <w:t xml:space="preserve"> of the Insurance Commissioner for the Year Ending Dec. 31, 1908 (1909) pp.</w:t>
      </w:r>
      <w:r w:rsidRPr="002E76A2" w:rsidR="00A027F0">
        <w:rPr>
          <w:szCs w:val="26"/>
        </w:rPr>
        <w:t> </w:t>
      </w:r>
      <w:r w:rsidRPr="002E76A2">
        <w:rPr>
          <w:szCs w:val="26"/>
        </w:rPr>
        <w:t xml:space="preserve">18–19), </w:t>
      </w:r>
      <w:r w:rsidR="006D3059">
        <w:rPr>
          <w:szCs w:val="26"/>
        </w:rPr>
        <w:t>this state first enacted a</w:t>
      </w:r>
      <w:r w:rsidRPr="002E76A2">
        <w:rPr>
          <w:szCs w:val="26"/>
        </w:rPr>
        <w:t xml:space="preserve"> standard form fire insurance policy</w:t>
      </w:r>
      <w:r w:rsidR="006D3059">
        <w:rPr>
          <w:szCs w:val="26"/>
        </w:rPr>
        <w:t xml:space="preserve"> in 1909</w:t>
      </w:r>
      <w:r w:rsidRPr="002E76A2">
        <w:rPr>
          <w:szCs w:val="26"/>
        </w:rPr>
        <w:t>.  Th</w:t>
      </w:r>
      <w:r w:rsidRPr="002E76A2" w:rsidR="00750258">
        <w:rPr>
          <w:szCs w:val="26"/>
        </w:rPr>
        <w:t>e initial</w:t>
      </w:r>
      <w:r w:rsidRPr="002E76A2">
        <w:rPr>
          <w:szCs w:val="26"/>
        </w:rPr>
        <w:t xml:space="preserve"> standard policy provided, in relevant part, “No suit or action on this policy for the recovery of any claim shall be sustained . . . unless begun within fifteen months next after the commencement of the fire.”  (Stats. 1909, ch. 267, § 1, p.</w:t>
      </w:r>
      <w:r w:rsidRPr="002E76A2" w:rsidR="00E217B2">
        <w:rPr>
          <w:szCs w:val="26"/>
        </w:rPr>
        <w:t> </w:t>
      </w:r>
      <w:r w:rsidRPr="002E76A2">
        <w:rPr>
          <w:szCs w:val="26"/>
        </w:rPr>
        <w:t>409.)  The timeliness provision within the standard policy “was amended in 1949 to reflect the nearly uniform adoption (by 45 states at the time) of a 1</w:t>
      </w:r>
      <w:r w:rsidRPr="002E76A2" w:rsidR="00103096">
        <w:rPr>
          <w:szCs w:val="26"/>
        </w:rPr>
        <w:t>-</w:t>
      </w:r>
      <w:r w:rsidRPr="002E76A2">
        <w:rPr>
          <w:szCs w:val="26"/>
        </w:rPr>
        <w:t xml:space="preserve">year limitations period in </w:t>
      </w:r>
      <w:r w:rsidRPr="002E76A2" w:rsidR="00F43BB5">
        <w:rPr>
          <w:szCs w:val="26"/>
        </w:rPr>
        <w:t>the</w:t>
      </w:r>
      <w:r w:rsidRPr="002E76A2">
        <w:rPr>
          <w:szCs w:val="26"/>
        </w:rPr>
        <w:t xml:space="preserve"> ‘Model New York Standard Fire Form Policy,’ ” a revised model policy that was promulgated in 1943.  (</w:t>
      </w:r>
      <w:r w:rsidRPr="002E76A2">
        <w:rPr>
          <w:i/>
          <w:iCs/>
          <w:szCs w:val="26"/>
        </w:rPr>
        <w:t>Prudential-LMI</w:t>
      </w:r>
      <w:r w:rsidRPr="002E76A2">
        <w:rPr>
          <w:szCs w:val="26"/>
        </w:rPr>
        <w:t xml:space="preserve">, </w:t>
      </w:r>
      <w:r w:rsidRPr="002E76A2">
        <w:rPr>
          <w:i/>
          <w:iCs/>
          <w:szCs w:val="26"/>
        </w:rPr>
        <w:t>supra</w:t>
      </w:r>
      <w:r w:rsidRPr="002E76A2">
        <w:rPr>
          <w:szCs w:val="26"/>
        </w:rPr>
        <w:t>, 51</w:t>
      </w:r>
      <w:r w:rsidRPr="002E76A2" w:rsidR="00A027F0">
        <w:rPr>
          <w:szCs w:val="26"/>
        </w:rPr>
        <w:t> </w:t>
      </w:r>
      <w:r w:rsidRPr="002E76A2">
        <w:rPr>
          <w:szCs w:val="26"/>
        </w:rPr>
        <w:t>Cal.3d at p.</w:t>
      </w:r>
      <w:r w:rsidRPr="002E76A2" w:rsidR="00A027F0">
        <w:rPr>
          <w:szCs w:val="26"/>
        </w:rPr>
        <w:t> </w:t>
      </w:r>
      <w:r w:rsidRPr="002E76A2">
        <w:rPr>
          <w:szCs w:val="26"/>
        </w:rPr>
        <w:t xml:space="preserve">682; see also </w:t>
      </w:r>
      <w:r w:rsidRPr="002E76A2">
        <w:rPr>
          <w:i/>
          <w:iCs/>
          <w:szCs w:val="26"/>
        </w:rPr>
        <w:t>id</w:t>
      </w:r>
      <w:r w:rsidRPr="002E76A2">
        <w:rPr>
          <w:szCs w:val="26"/>
        </w:rPr>
        <w:t>. at p.</w:t>
      </w:r>
      <w:r w:rsidRPr="002E76A2" w:rsidR="00A027F0">
        <w:rPr>
          <w:szCs w:val="26"/>
        </w:rPr>
        <w:t> </w:t>
      </w:r>
      <w:r w:rsidRPr="002E76A2">
        <w:rPr>
          <w:szCs w:val="26"/>
        </w:rPr>
        <w:t xml:space="preserve">683 [describing the development of the 1943 New York standard policy].) </w:t>
      </w:r>
    </w:p>
    <w:p w:rsidR="007E4CCC" w:rsidRPr="002E76A2" w:rsidP="00C07BE5">
      <w:pPr>
        <w:ind w:firstLine="720"/>
        <w:rPr>
          <w:szCs w:val="26"/>
        </w:rPr>
      </w:pPr>
      <w:r>
        <w:rPr>
          <w:szCs w:val="26"/>
        </w:rPr>
        <w:t xml:space="preserve">The standard policy is today codified at section 2071.  </w:t>
      </w:r>
      <w:r w:rsidRPr="002E76A2" w:rsidR="00750258">
        <w:rPr>
          <w:szCs w:val="26"/>
        </w:rPr>
        <w:t xml:space="preserve">State Farm </w:t>
      </w:r>
      <w:r w:rsidRPr="002E76A2" w:rsidR="002917D8">
        <w:rPr>
          <w:szCs w:val="26"/>
        </w:rPr>
        <w:t>acknowledges</w:t>
      </w:r>
      <w:r w:rsidRPr="002E76A2" w:rsidR="00750258">
        <w:rPr>
          <w:szCs w:val="26"/>
        </w:rPr>
        <w:t xml:space="preserve"> that section 2071 applies</w:t>
      </w:r>
      <w:r w:rsidRPr="002E76A2" w:rsidR="002917D8">
        <w:rPr>
          <w:szCs w:val="26"/>
        </w:rPr>
        <w:t xml:space="preserve"> to plaintiff’s policy, which provides coverage for fire, among other perils</w:t>
      </w:r>
      <w:r w:rsidRPr="002E76A2" w:rsidR="00750258">
        <w:rPr>
          <w:szCs w:val="26"/>
        </w:rPr>
        <w:t xml:space="preserve">.  (See </w:t>
      </w:r>
      <w:r w:rsidRPr="002E76A2" w:rsidR="00750258">
        <w:rPr>
          <w:i/>
          <w:iCs/>
          <w:szCs w:val="26"/>
        </w:rPr>
        <w:t>Unetco Industries Exchange v. Homestead Ins. Co.</w:t>
      </w:r>
      <w:r w:rsidRPr="002E76A2" w:rsidR="00750258">
        <w:rPr>
          <w:szCs w:val="26"/>
        </w:rPr>
        <w:t xml:space="preserve"> (1997) 57</w:t>
      </w:r>
      <w:r w:rsidR="006A1D29">
        <w:rPr>
          <w:szCs w:val="26"/>
        </w:rPr>
        <w:t> </w:t>
      </w:r>
      <w:r w:rsidRPr="002E76A2" w:rsidR="00750258">
        <w:rPr>
          <w:szCs w:val="26"/>
        </w:rPr>
        <w:t>Cal.App.4th 1459, 1467</w:t>
      </w:r>
      <w:r w:rsidRPr="002E76A2" w:rsidR="002917D8">
        <w:rPr>
          <w:szCs w:val="26"/>
        </w:rPr>
        <w:t xml:space="preserve"> [discussing what is essential for an insurance policy to constitute “fire insurance” for purposes of </w:t>
      </w:r>
      <w:r w:rsidRPr="002E76A2" w:rsidR="00103096">
        <w:rPr>
          <w:szCs w:val="26"/>
        </w:rPr>
        <w:t>§ </w:t>
      </w:r>
      <w:r w:rsidRPr="002E76A2" w:rsidR="002917D8">
        <w:rPr>
          <w:szCs w:val="26"/>
        </w:rPr>
        <w:t>2071]; cf. § 102, subd. (a) [defining “</w:t>
      </w:r>
      <w:r w:rsidRPr="002E76A2" w:rsidR="008074A9">
        <w:rPr>
          <w:szCs w:val="26"/>
        </w:rPr>
        <w:t>[</w:t>
      </w:r>
      <w:r w:rsidRPr="002E76A2" w:rsidR="002917D8">
        <w:rPr>
          <w:szCs w:val="26"/>
        </w:rPr>
        <w:t>f</w:t>
      </w:r>
      <w:r w:rsidRPr="002E76A2" w:rsidR="008074A9">
        <w:rPr>
          <w:szCs w:val="26"/>
        </w:rPr>
        <w:t>]</w:t>
      </w:r>
      <w:r w:rsidRPr="002E76A2" w:rsidR="002917D8">
        <w:rPr>
          <w:szCs w:val="26"/>
        </w:rPr>
        <w:t>ire insurance” under the Insurance Code generally]</w:t>
      </w:r>
      <w:r w:rsidRPr="002E76A2" w:rsidR="00750258">
        <w:rPr>
          <w:szCs w:val="26"/>
        </w:rPr>
        <w:t xml:space="preserve">.)  </w:t>
      </w:r>
      <w:r w:rsidR="00FF3BA5">
        <w:rPr>
          <w:szCs w:val="26"/>
        </w:rPr>
        <w:t>Moreover, b</w:t>
      </w:r>
      <w:r w:rsidRPr="002E76A2">
        <w:rPr>
          <w:szCs w:val="26"/>
        </w:rPr>
        <w:t xml:space="preserve">efore both the Court of Appeal and this court, State Farm has characterized the limitations provision within </w:t>
      </w:r>
      <w:r w:rsidRPr="002E76A2" w:rsidR="00817021">
        <w:rPr>
          <w:szCs w:val="26"/>
        </w:rPr>
        <w:t>plaintiff’s</w:t>
      </w:r>
      <w:r w:rsidRPr="002E76A2">
        <w:rPr>
          <w:szCs w:val="26"/>
        </w:rPr>
        <w:t xml:space="preserve"> policy</w:t>
      </w:r>
      <w:r w:rsidRPr="002E76A2" w:rsidR="00817021">
        <w:rPr>
          <w:szCs w:val="26"/>
        </w:rPr>
        <w:t xml:space="preserve"> </w:t>
      </w:r>
      <w:r w:rsidRPr="002E76A2">
        <w:rPr>
          <w:szCs w:val="26"/>
        </w:rPr>
        <w:t xml:space="preserve">as </w:t>
      </w:r>
      <w:r w:rsidR="00955A29">
        <w:rPr>
          <w:szCs w:val="26"/>
        </w:rPr>
        <w:t>equivalent to</w:t>
      </w:r>
      <w:r w:rsidRPr="002E76A2">
        <w:rPr>
          <w:szCs w:val="26"/>
        </w:rPr>
        <w:t xml:space="preserve"> </w:t>
      </w:r>
      <w:r w:rsidRPr="002E76A2" w:rsidR="00817021">
        <w:rPr>
          <w:szCs w:val="26"/>
        </w:rPr>
        <w:t>section 2071’s</w:t>
      </w:r>
      <w:r w:rsidRPr="002E76A2">
        <w:rPr>
          <w:szCs w:val="26"/>
        </w:rPr>
        <w:t xml:space="preserve"> timeliness language. </w:t>
      </w:r>
      <w:r w:rsidRPr="002E76A2" w:rsidR="00817021">
        <w:rPr>
          <w:szCs w:val="26"/>
        </w:rPr>
        <w:t xml:space="preserve"> </w:t>
      </w:r>
      <w:r w:rsidRPr="002E76A2" w:rsidR="008A4C92">
        <w:rPr>
          <w:szCs w:val="26"/>
        </w:rPr>
        <w:t>(See</w:t>
      </w:r>
      <w:r>
        <w:rPr>
          <w:szCs w:val="26"/>
        </w:rPr>
        <w:t>, e.g.,</w:t>
      </w:r>
      <w:r w:rsidRPr="002E76A2" w:rsidR="008A4C92">
        <w:rPr>
          <w:szCs w:val="26"/>
        </w:rPr>
        <w:t xml:space="preserve"> </w:t>
      </w:r>
      <w:r w:rsidRPr="002E76A2" w:rsidR="008A4C92">
        <w:rPr>
          <w:i/>
          <w:iCs/>
          <w:szCs w:val="26"/>
        </w:rPr>
        <w:t>Rosenberg-Wohl</w:t>
      </w:r>
      <w:r w:rsidRPr="002E76A2" w:rsidR="008A4C92">
        <w:rPr>
          <w:szCs w:val="26"/>
        </w:rPr>
        <w:t xml:space="preserve">, </w:t>
      </w:r>
      <w:r w:rsidRPr="002E76A2" w:rsidR="008A4C92">
        <w:rPr>
          <w:i/>
          <w:iCs/>
          <w:szCs w:val="26"/>
        </w:rPr>
        <w:t>supra</w:t>
      </w:r>
      <w:r w:rsidRPr="002E76A2" w:rsidR="008A4C92">
        <w:rPr>
          <w:szCs w:val="26"/>
        </w:rPr>
        <w:t>, 93</w:t>
      </w:r>
      <w:r w:rsidRPr="002E76A2" w:rsidR="007168A4">
        <w:rPr>
          <w:szCs w:val="26"/>
        </w:rPr>
        <w:t> </w:t>
      </w:r>
      <w:r w:rsidRPr="002E76A2" w:rsidR="008A4C92">
        <w:rPr>
          <w:szCs w:val="26"/>
        </w:rPr>
        <w:t>Cal.App.5th at p.</w:t>
      </w:r>
      <w:r w:rsidRPr="002E76A2" w:rsidR="007168A4">
        <w:rPr>
          <w:szCs w:val="26"/>
        </w:rPr>
        <w:t> </w:t>
      </w:r>
      <w:r w:rsidRPr="002E76A2" w:rsidR="008A4C92">
        <w:rPr>
          <w:szCs w:val="26"/>
        </w:rPr>
        <w:t xml:space="preserve">449.) </w:t>
      </w:r>
      <w:r w:rsidRPr="002E76A2">
        <w:rPr>
          <w:szCs w:val="26"/>
        </w:rPr>
        <w:t xml:space="preserve"> </w:t>
      </w:r>
      <w:r w:rsidRPr="002E76A2" w:rsidR="008A4C92">
        <w:rPr>
          <w:szCs w:val="26"/>
        </w:rPr>
        <w:t xml:space="preserve">In its answer brief filed in this court, for </w:t>
      </w:r>
      <w:r w:rsidRPr="002E76A2" w:rsidR="00AA193E">
        <w:rPr>
          <w:szCs w:val="26"/>
        </w:rPr>
        <w:t>instance</w:t>
      </w:r>
      <w:r w:rsidRPr="002E76A2" w:rsidR="008A4C92">
        <w:rPr>
          <w:szCs w:val="26"/>
        </w:rPr>
        <w:t>, State Farm assert</w:t>
      </w:r>
      <w:r w:rsidR="005F20EA">
        <w:rPr>
          <w:szCs w:val="26"/>
        </w:rPr>
        <w:t>ed</w:t>
      </w:r>
      <w:r w:rsidRPr="002E76A2" w:rsidR="008A4C92">
        <w:rPr>
          <w:szCs w:val="26"/>
        </w:rPr>
        <w:t xml:space="preserve">, </w:t>
      </w:r>
      <w:r w:rsidRPr="002E76A2">
        <w:rPr>
          <w:szCs w:val="26"/>
        </w:rPr>
        <w:t xml:space="preserve">“This common contractual </w:t>
      </w:r>
      <w:r w:rsidRPr="002E76A2" w:rsidR="002356B3">
        <w:rPr>
          <w:szCs w:val="26"/>
        </w:rPr>
        <w:t xml:space="preserve">limitations </w:t>
      </w:r>
      <w:r w:rsidRPr="002E76A2">
        <w:rPr>
          <w:szCs w:val="26"/>
        </w:rPr>
        <w:t>provision</w:t>
      </w:r>
      <w:r w:rsidR="00955A29">
        <w:rPr>
          <w:szCs w:val="26"/>
        </w:rPr>
        <w:t xml:space="preserve"> [within the policy]</w:t>
      </w:r>
      <w:r w:rsidRPr="002E76A2">
        <w:rPr>
          <w:szCs w:val="26"/>
        </w:rPr>
        <w:t xml:space="preserve"> is coextensive with and authorized by Insurance Code section 2071</w:t>
      </w:r>
      <w:r w:rsidRPr="002E76A2" w:rsidR="008A4C92">
        <w:rPr>
          <w:szCs w:val="26"/>
        </w:rPr>
        <w:t xml:space="preserve">.”  </w:t>
      </w:r>
      <w:r w:rsidRPr="002E76A2">
        <w:rPr>
          <w:szCs w:val="26"/>
        </w:rPr>
        <w:t xml:space="preserve">(See </w:t>
      </w:r>
      <w:r w:rsidRPr="002E76A2" w:rsidR="00104189">
        <w:rPr>
          <w:szCs w:val="26"/>
        </w:rPr>
        <w:t xml:space="preserve">also </w:t>
      </w:r>
      <w:r w:rsidRPr="002E76A2">
        <w:rPr>
          <w:i/>
          <w:iCs/>
          <w:szCs w:val="26"/>
        </w:rPr>
        <w:t>Fire Ins</w:t>
      </w:r>
      <w:r w:rsidRPr="002E76A2" w:rsidR="008074A9">
        <w:rPr>
          <w:i/>
          <w:iCs/>
          <w:szCs w:val="26"/>
        </w:rPr>
        <w:t>.</w:t>
      </w:r>
      <w:r w:rsidRPr="002E76A2">
        <w:rPr>
          <w:i/>
          <w:iCs/>
          <w:szCs w:val="26"/>
        </w:rPr>
        <w:t xml:space="preserve"> Exchange v. Superior Court</w:t>
      </w:r>
      <w:r w:rsidRPr="002E76A2">
        <w:rPr>
          <w:szCs w:val="26"/>
        </w:rPr>
        <w:t xml:space="preserve"> (2004) 116</w:t>
      </w:r>
      <w:r w:rsidRPr="002E76A2" w:rsidR="007168A4">
        <w:rPr>
          <w:szCs w:val="26"/>
        </w:rPr>
        <w:t> </w:t>
      </w:r>
      <w:r w:rsidRPr="002E76A2">
        <w:rPr>
          <w:szCs w:val="26"/>
        </w:rPr>
        <w:t>Cal.App.4th 446, 459 [“</w:t>
      </w:r>
      <w:r w:rsidRPr="002E76A2" w:rsidR="00F96587">
        <w:rPr>
          <w:szCs w:val="26"/>
        </w:rPr>
        <w:t>[a]</w:t>
      </w:r>
      <w:r w:rsidRPr="002E76A2">
        <w:rPr>
          <w:szCs w:val="26"/>
        </w:rPr>
        <w:t>s long as the language of the policy is substantially similar to the standard form</w:t>
      </w:r>
      <w:r w:rsidRPr="002E76A2" w:rsidR="00E16C24">
        <w:rPr>
          <w:szCs w:val="26"/>
        </w:rPr>
        <w:t xml:space="preserve"> [found in § 2071]</w:t>
      </w:r>
      <w:r w:rsidRPr="002E76A2">
        <w:rPr>
          <w:szCs w:val="26"/>
        </w:rPr>
        <w:t xml:space="preserve">, the statutory language will control”]; </w:t>
      </w:r>
      <w:r w:rsidRPr="002E76A2">
        <w:rPr>
          <w:i/>
          <w:iCs/>
          <w:szCs w:val="26"/>
        </w:rPr>
        <w:t>State Farm Fire &amp; Casualty Co. v. Superior Court</w:t>
      </w:r>
      <w:r w:rsidRPr="002E76A2">
        <w:rPr>
          <w:szCs w:val="26"/>
        </w:rPr>
        <w:t xml:space="preserve"> (1989) 210</w:t>
      </w:r>
      <w:r w:rsidRPr="002E76A2" w:rsidR="007168A4">
        <w:rPr>
          <w:szCs w:val="26"/>
        </w:rPr>
        <w:t> </w:t>
      </w:r>
      <w:r w:rsidRPr="002E76A2">
        <w:rPr>
          <w:szCs w:val="26"/>
        </w:rPr>
        <w:t xml:space="preserve">Cal.App.3d 604, 610.)  Plaintiff has not </w:t>
      </w:r>
      <w:r w:rsidRPr="002E76A2" w:rsidR="002917D8">
        <w:rPr>
          <w:szCs w:val="26"/>
        </w:rPr>
        <w:t xml:space="preserve">offered a </w:t>
      </w:r>
      <w:r w:rsidR="005F20EA">
        <w:rPr>
          <w:szCs w:val="26"/>
        </w:rPr>
        <w:t>conflicting</w:t>
      </w:r>
      <w:r w:rsidRPr="002E76A2" w:rsidR="002917D8">
        <w:rPr>
          <w:szCs w:val="26"/>
        </w:rPr>
        <w:t xml:space="preserve"> interpretation of </w:t>
      </w:r>
      <w:r w:rsidR="00955A29">
        <w:rPr>
          <w:szCs w:val="26"/>
        </w:rPr>
        <w:t xml:space="preserve">the relevant policy </w:t>
      </w:r>
      <w:r w:rsidR="005F20EA">
        <w:rPr>
          <w:szCs w:val="26"/>
        </w:rPr>
        <w:t>language</w:t>
      </w:r>
      <w:r w:rsidRPr="002E76A2">
        <w:rPr>
          <w:szCs w:val="26"/>
        </w:rPr>
        <w:t xml:space="preserve">.  </w:t>
      </w:r>
      <w:r w:rsidRPr="002E76A2" w:rsidR="00AC65A2">
        <w:rPr>
          <w:szCs w:val="26"/>
        </w:rPr>
        <w:t>Therefore, in addressing the question before us</w:t>
      </w:r>
      <w:r w:rsidRPr="002E76A2" w:rsidR="000D0C64">
        <w:rPr>
          <w:szCs w:val="26"/>
        </w:rPr>
        <w:t>,</w:t>
      </w:r>
      <w:r w:rsidRPr="002E76A2" w:rsidR="00AC65A2">
        <w:rPr>
          <w:szCs w:val="26"/>
        </w:rPr>
        <w:t xml:space="preserve"> </w:t>
      </w:r>
      <w:r w:rsidRPr="002E76A2" w:rsidR="0003102F">
        <w:rPr>
          <w:szCs w:val="26"/>
        </w:rPr>
        <w:t>we regard</w:t>
      </w:r>
      <w:r w:rsidRPr="002E76A2" w:rsidR="00E16C24">
        <w:rPr>
          <w:szCs w:val="26"/>
        </w:rPr>
        <w:t xml:space="preserve"> </w:t>
      </w:r>
      <w:r w:rsidRPr="002E76A2" w:rsidR="00AC65A2">
        <w:rPr>
          <w:szCs w:val="26"/>
        </w:rPr>
        <w:t>the</w:t>
      </w:r>
      <w:r w:rsidRPr="002E76A2" w:rsidR="00E16C24">
        <w:rPr>
          <w:szCs w:val="26"/>
        </w:rPr>
        <w:t xml:space="preserve"> policy language as congruent with the limitations provision in section </w:t>
      </w:r>
      <w:r w:rsidRPr="002E76A2" w:rsidR="00350868">
        <w:rPr>
          <w:szCs w:val="26"/>
        </w:rPr>
        <w:t>2071 and</w:t>
      </w:r>
      <w:r w:rsidRPr="002E76A2" w:rsidR="00AC65A2">
        <w:rPr>
          <w:szCs w:val="26"/>
        </w:rPr>
        <w:t xml:space="preserve"> </w:t>
      </w:r>
      <w:r w:rsidRPr="002E76A2">
        <w:rPr>
          <w:szCs w:val="26"/>
        </w:rPr>
        <w:t xml:space="preserve">begin </w:t>
      </w:r>
      <w:r w:rsidR="00955A29">
        <w:rPr>
          <w:szCs w:val="26"/>
        </w:rPr>
        <w:t>our</w:t>
      </w:r>
      <w:r w:rsidRPr="002E76A2">
        <w:rPr>
          <w:szCs w:val="26"/>
        </w:rPr>
        <w:t xml:space="preserve"> analysis with the language of </w:t>
      </w:r>
      <w:r w:rsidRPr="002E76A2" w:rsidR="00E16C24">
        <w:rPr>
          <w:szCs w:val="26"/>
        </w:rPr>
        <w:t>that statute</w:t>
      </w:r>
      <w:r w:rsidRPr="002E76A2">
        <w:rPr>
          <w:szCs w:val="26"/>
        </w:rPr>
        <w:t>.</w:t>
      </w:r>
      <w:r w:rsidR="003A3014">
        <w:rPr>
          <w:szCs w:val="26"/>
        </w:rPr>
        <w:t xml:space="preserve">  (See </w:t>
      </w:r>
      <w:r w:rsidRPr="002E76A2" w:rsidR="003A3014">
        <w:rPr>
          <w:i/>
          <w:iCs/>
          <w:szCs w:val="26"/>
        </w:rPr>
        <w:t>Prudential-LMI</w:t>
      </w:r>
      <w:r w:rsidRPr="002E76A2" w:rsidR="003A3014">
        <w:rPr>
          <w:szCs w:val="26"/>
        </w:rPr>
        <w:t xml:space="preserve">, </w:t>
      </w:r>
      <w:r w:rsidRPr="002E76A2" w:rsidR="003A3014">
        <w:rPr>
          <w:i/>
          <w:iCs/>
          <w:szCs w:val="26"/>
        </w:rPr>
        <w:t>supra</w:t>
      </w:r>
      <w:r w:rsidRPr="002E76A2" w:rsidR="003A3014">
        <w:rPr>
          <w:szCs w:val="26"/>
        </w:rPr>
        <w:t>, 51 Cal.3d at p. 6</w:t>
      </w:r>
      <w:r w:rsidR="003A3014">
        <w:rPr>
          <w:szCs w:val="26"/>
        </w:rPr>
        <w:t>84.)</w:t>
      </w:r>
      <w:r>
        <w:rPr>
          <w:rStyle w:val="FootnoteReference"/>
          <w:szCs w:val="26"/>
        </w:rPr>
        <w:footnoteReference w:id="5"/>
      </w:r>
      <w:r w:rsidRPr="002E76A2">
        <w:rPr>
          <w:szCs w:val="26"/>
        </w:rPr>
        <w:t xml:space="preserve">  </w:t>
      </w:r>
    </w:p>
    <w:p w:rsidR="007E4CCC" w:rsidRPr="002E76A2" w:rsidP="00C07BE5">
      <w:pPr>
        <w:ind w:firstLine="720"/>
        <w:rPr>
          <w:szCs w:val="26"/>
        </w:rPr>
      </w:pPr>
      <w:r w:rsidRPr="002E76A2">
        <w:rPr>
          <w:szCs w:val="26"/>
        </w:rPr>
        <w:t xml:space="preserve">As previously stated, </w:t>
      </w:r>
      <w:r w:rsidRPr="002E76A2" w:rsidR="00AA193E">
        <w:rPr>
          <w:szCs w:val="26"/>
        </w:rPr>
        <w:t>section 2071</w:t>
      </w:r>
      <w:r w:rsidRPr="002E76A2">
        <w:rPr>
          <w:szCs w:val="26"/>
        </w:rPr>
        <w:t xml:space="preserve"> provides in relevant part, “No suit or action on this policy for the recovery of any claim shall be sustainable in any court of law or equity unless all the requirements of this policy shall have been complied with, and unless commenced within 12 months next after inception of the loss.”</w:t>
      </w:r>
      <w:r>
        <w:rPr>
          <w:rStyle w:val="FootnoteReference"/>
        </w:rPr>
        <w:footnoteReference w:id="6"/>
      </w:r>
      <w:r w:rsidRPr="002E76A2">
        <w:rPr>
          <w:szCs w:val="26"/>
        </w:rPr>
        <w:t xml:space="preserve">  </w:t>
      </w:r>
      <w:r w:rsidRPr="002E76A2" w:rsidR="00B85FA5">
        <w:rPr>
          <w:szCs w:val="26"/>
        </w:rPr>
        <w:t xml:space="preserve">The one-year timeliness provision thus applies when a cause of action is “on [the] policy” and “for the recovery of [a] claim.”  (§ 2071.)  </w:t>
      </w:r>
    </w:p>
    <w:p w:rsidR="007E4CCC" w:rsidRPr="002E76A2" w:rsidP="00C07BE5">
      <w:pPr>
        <w:ind w:firstLine="720"/>
        <w:rPr>
          <w:szCs w:val="26"/>
        </w:rPr>
      </w:pPr>
      <w:r>
        <w:rPr>
          <w:szCs w:val="26"/>
        </w:rPr>
        <w:t>P</w:t>
      </w:r>
      <w:r w:rsidRPr="002E76A2" w:rsidR="00104189">
        <w:rPr>
          <w:szCs w:val="26"/>
        </w:rPr>
        <w:t>rior</w:t>
      </w:r>
      <w:r w:rsidRPr="002E76A2" w:rsidR="00B85FA5">
        <w:rPr>
          <w:szCs w:val="26"/>
        </w:rPr>
        <w:t xml:space="preserve"> </w:t>
      </w:r>
      <w:r w:rsidRPr="002E76A2" w:rsidR="00104189">
        <w:rPr>
          <w:szCs w:val="26"/>
        </w:rPr>
        <w:t xml:space="preserve">decisions </w:t>
      </w:r>
      <w:r w:rsidRPr="002E76A2" w:rsidR="00B85FA5">
        <w:rPr>
          <w:szCs w:val="26"/>
        </w:rPr>
        <w:t>that have</w:t>
      </w:r>
      <w:r w:rsidRPr="002E76A2">
        <w:rPr>
          <w:szCs w:val="26"/>
        </w:rPr>
        <w:t xml:space="preserve"> </w:t>
      </w:r>
      <w:r w:rsidRPr="002E76A2" w:rsidR="00B85FA5">
        <w:rPr>
          <w:szCs w:val="26"/>
        </w:rPr>
        <w:t xml:space="preserve">addressed </w:t>
      </w:r>
      <w:r w:rsidRPr="002E76A2">
        <w:rPr>
          <w:szCs w:val="26"/>
        </w:rPr>
        <w:t xml:space="preserve">limitations provisions in </w:t>
      </w:r>
      <w:r w:rsidRPr="002E76A2" w:rsidR="00B85FA5">
        <w:rPr>
          <w:szCs w:val="26"/>
        </w:rPr>
        <w:t>insurance policies</w:t>
      </w:r>
      <w:r w:rsidRPr="002E76A2">
        <w:rPr>
          <w:szCs w:val="26"/>
        </w:rPr>
        <w:t xml:space="preserve"> covered by section 2071 </w:t>
      </w:r>
      <w:r w:rsidRPr="002E76A2" w:rsidR="009B17D8">
        <w:rPr>
          <w:szCs w:val="26"/>
        </w:rPr>
        <w:t xml:space="preserve">have </w:t>
      </w:r>
      <w:r w:rsidRPr="002E76A2">
        <w:rPr>
          <w:szCs w:val="26"/>
        </w:rPr>
        <w:t xml:space="preserve">focused upon whether </w:t>
      </w:r>
      <w:r w:rsidRPr="002E76A2" w:rsidR="000E674E">
        <w:rPr>
          <w:szCs w:val="26"/>
        </w:rPr>
        <w:t>the</w:t>
      </w:r>
      <w:r w:rsidRPr="002E76A2">
        <w:rPr>
          <w:szCs w:val="26"/>
        </w:rPr>
        <w:t xml:space="preserve"> </w:t>
      </w:r>
      <w:r w:rsidRPr="002E76A2" w:rsidR="000E674E">
        <w:rPr>
          <w:szCs w:val="26"/>
        </w:rPr>
        <w:t>plaintiff’s suit or</w:t>
      </w:r>
      <w:r w:rsidRPr="002E76A2">
        <w:rPr>
          <w:szCs w:val="26"/>
        </w:rPr>
        <w:t xml:space="preserve"> </w:t>
      </w:r>
      <w:r w:rsidRPr="002E76A2" w:rsidR="000E674E">
        <w:rPr>
          <w:szCs w:val="26"/>
        </w:rPr>
        <w:t>action was</w:t>
      </w:r>
      <w:r w:rsidRPr="002E76A2">
        <w:rPr>
          <w:szCs w:val="26"/>
        </w:rPr>
        <w:t xml:space="preserve"> “</w:t>
      </w:r>
      <w:r w:rsidRPr="002E76A2" w:rsidR="00A175D3">
        <w:rPr>
          <w:szCs w:val="26"/>
        </w:rPr>
        <w:t> ‘</w:t>
      </w:r>
      <w:r w:rsidRPr="002E76A2">
        <w:rPr>
          <w:szCs w:val="26"/>
        </w:rPr>
        <w:t>on the policy</w:t>
      </w:r>
      <w:r w:rsidRPr="002E76A2" w:rsidR="000E674E">
        <w:rPr>
          <w:szCs w:val="26"/>
        </w:rPr>
        <w:t>,</w:t>
      </w:r>
      <w:r w:rsidRPr="002E76A2" w:rsidR="00A175D3">
        <w:rPr>
          <w:szCs w:val="26"/>
        </w:rPr>
        <w:t>’ </w:t>
      </w:r>
      <w:r w:rsidRPr="002E76A2">
        <w:rPr>
          <w:szCs w:val="26"/>
        </w:rPr>
        <w:t xml:space="preserve">” </w:t>
      </w:r>
      <w:r w:rsidRPr="002E76A2" w:rsidR="000E674E">
        <w:rPr>
          <w:szCs w:val="26"/>
        </w:rPr>
        <w:t>in which case the policy’s limitation</w:t>
      </w:r>
      <w:r w:rsidRPr="002E76A2" w:rsidR="00793ABE">
        <w:rPr>
          <w:szCs w:val="26"/>
        </w:rPr>
        <w:t>s</w:t>
      </w:r>
      <w:r w:rsidRPr="002E76A2" w:rsidR="000E674E">
        <w:rPr>
          <w:szCs w:val="26"/>
        </w:rPr>
        <w:t xml:space="preserve"> period </w:t>
      </w:r>
      <w:r w:rsidRPr="002E76A2" w:rsidR="008E4B41">
        <w:rPr>
          <w:szCs w:val="26"/>
        </w:rPr>
        <w:t>would</w:t>
      </w:r>
      <w:r w:rsidRPr="002E76A2" w:rsidR="000E674E">
        <w:rPr>
          <w:szCs w:val="26"/>
        </w:rPr>
        <w:t xml:space="preserve"> appl</w:t>
      </w:r>
      <w:r w:rsidRPr="002E76A2" w:rsidR="008E4B41">
        <w:rPr>
          <w:szCs w:val="26"/>
        </w:rPr>
        <w:t>y</w:t>
      </w:r>
      <w:r w:rsidRPr="002E76A2" w:rsidR="000E674E">
        <w:rPr>
          <w:szCs w:val="26"/>
        </w:rPr>
        <w:t xml:space="preserve">.  </w:t>
      </w:r>
      <w:r w:rsidRPr="002E76A2">
        <w:rPr>
          <w:szCs w:val="26"/>
        </w:rPr>
        <w:t>(</w:t>
      </w:r>
      <w:r w:rsidRPr="002E76A2">
        <w:rPr>
          <w:i/>
          <w:iCs/>
          <w:szCs w:val="26"/>
        </w:rPr>
        <w:t>Velasquez</w:t>
      </w:r>
      <w:r w:rsidRPr="002E76A2">
        <w:rPr>
          <w:szCs w:val="26"/>
        </w:rPr>
        <w:t xml:space="preserve">, </w:t>
      </w:r>
      <w:r w:rsidRPr="002E76A2">
        <w:rPr>
          <w:i/>
          <w:iCs/>
          <w:szCs w:val="26"/>
        </w:rPr>
        <w:t>supra</w:t>
      </w:r>
      <w:r w:rsidRPr="002E76A2">
        <w:rPr>
          <w:szCs w:val="26"/>
        </w:rPr>
        <w:t>, 1</w:t>
      </w:r>
      <w:r w:rsidRPr="002E76A2" w:rsidR="000E674E">
        <w:rPr>
          <w:szCs w:val="26"/>
        </w:rPr>
        <w:t> </w:t>
      </w:r>
      <w:r w:rsidRPr="002E76A2">
        <w:rPr>
          <w:szCs w:val="26"/>
        </w:rPr>
        <w:t>Cal.App.4th at p.</w:t>
      </w:r>
      <w:r w:rsidRPr="002E76A2" w:rsidR="002917D8">
        <w:rPr>
          <w:szCs w:val="26"/>
        </w:rPr>
        <w:t> </w:t>
      </w:r>
      <w:r w:rsidRPr="002E76A2">
        <w:rPr>
          <w:szCs w:val="26"/>
        </w:rPr>
        <w:t>72</w:t>
      </w:r>
      <w:r w:rsidRPr="002E76A2" w:rsidR="00D43F54">
        <w:rPr>
          <w:szCs w:val="26"/>
        </w:rPr>
        <w:t>2</w:t>
      </w:r>
      <w:r w:rsidRPr="002E76A2">
        <w:rPr>
          <w:szCs w:val="26"/>
        </w:rPr>
        <w:t xml:space="preserve"> [“Among the damages sought by appellants are the policy benefits plus interest, revealing that their action . . . is an ‘attempt to recover on the policy</w:t>
      </w:r>
      <w:r w:rsidRPr="002E76A2" w:rsidR="00D43F54">
        <w:rPr>
          <w:szCs w:val="26"/>
        </w:rPr>
        <w:t>’ </w:t>
      </w:r>
      <w:r w:rsidRPr="002E76A2">
        <w:rPr>
          <w:szCs w:val="26"/>
        </w:rPr>
        <w:t>”]</w:t>
      </w:r>
      <w:r w:rsidRPr="002E76A2" w:rsidR="00E06C24">
        <w:rPr>
          <w:szCs w:val="26"/>
        </w:rPr>
        <w:t xml:space="preserve">; </w:t>
      </w:r>
      <w:r w:rsidRPr="002E76A2" w:rsidR="00D43F54">
        <w:rPr>
          <w:szCs w:val="26"/>
        </w:rPr>
        <w:t xml:space="preserve">see also </w:t>
      </w:r>
      <w:r w:rsidRPr="002E76A2" w:rsidR="00D43F54">
        <w:rPr>
          <w:i/>
          <w:iCs/>
          <w:szCs w:val="26"/>
        </w:rPr>
        <w:t>Jang</w:t>
      </w:r>
      <w:r w:rsidRPr="002E76A2" w:rsidR="00D43F54">
        <w:rPr>
          <w:szCs w:val="26"/>
        </w:rPr>
        <w:t xml:space="preserve">, </w:t>
      </w:r>
      <w:r w:rsidRPr="002E76A2" w:rsidR="00D43F54">
        <w:rPr>
          <w:i/>
          <w:iCs/>
          <w:szCs w:val="26"/>
        </w:rPr>
        <w:t>supra</w:t>
      </w:r>
      <w:r w:rsidRPr="002E76A2" w:rsidR="00D43F54">
        <w:rPr>
          <w:szCs w:val="26"/>
        </w:rPr>
        <w:t>, 80</w:t>
      </w:r>
      <w:r w:rsidRPr="002E76A2" w:rsidR="007168A4">
        <w:rPr>
          <w:szCs w:val="26"/>
        </w:rPr>
        <w:t> </w:t>
      </w:r>
      <w:r w:rsidRPr="002E76A2" w:rsidR="00D43F54">
        <w:rPr>
          <w:szCs w:val="26"/>
        </w:rPr>
        <w:t>Cal.App.4th at pp.</w:t>
      </w:r>
      <w:r w:rsidRPr="002E76A2" w:rsidR="007168A4">
        <w:rPr>
          <w:szCs w:val="26"/>
        </w:rPr>
        <w:t> </w:t>
      </w:r>
      <w:r w:rsidRPr="002E76A2" w:rsidR="00D43F54">
        <w:rPr>
          <w:szCs w:val="26"/>
        </w:rPr>
        <w:t>130</w:t>
      </w:r>
      <w:r w:rsidRPr="002E76A2" w:rsidR="00E875AE">
        <w:rPr>
          <w:szCs w:val="26"/>
        </w:rPr>
        <w:t>2</w:t>
      </w:r>
      <w:r w:rsidRPr="002E76A2" w:rsidR="00D43F54">
        <w:rPr>
          <w:szCs w:val="26"/>
        </w:rPr>
        <w:t xml:space="preserve">‒1304; </w:t>
      </w:r>
      <w:r w:rsidRPr="002E76A2" w:rsidR="00E06C24">
        <w:rPr>
          <w:i/>
          <w:iCs/>
          <w:szCs w:val="26"/>
        </w:rPr>
        <w:t>Prieto</w:t>
      </w:r>
      <w:r w:rsidRPr="002E76A2" w:rsidR="00E06C24">
        <w:rPr>
          <w:szCs w:val="26"/>
        </w:rPr>
        <w:t xml:space="preserve">, </w:t>
      </w:r>
      <w:r w:rsidRPr="002E76A2" w:rsidR="00E06C24">
        <w:rPr>
          <w:i/>
          <w:iCs/>
          <w:szCs w:val="26"/>
        </w:rPr>
        <w:t>supra</w:t>
      </w:r>
      <w:r w:rsidRPr="002E76A2" w:rsidR="00E06C24">
        <w:rPr>
          <w:szCs w:val="26"/>
        </w:rPr>
        <w:t>, 225</w:t>
      </w:r>
      <w:r w:rsidRPr="002E76A2" w:rsidR="007168A4">
        <w:rPr>
          <w:szCs w:val="26"/>
        </w:rPr>
        <w:t> </w:t>
      </w:r>
      <w:r w:rsidRPr="002E76A2" w:rsidR="00E06C24">
        <w:rPr>
          <w:szCs w:val="26"/>
        </w:rPr>
        <w:t>Cal.App.3d at p.</w:t>
      </w:r>
      <w:r w:rsidRPr="002E76A2" w:rsidR="007168A4">
        <w:rPr>
          <w:szCs w:val="26"/>
        </w:rPr>
        <w:t> </w:t>
      </w:r>
      <w:r w:rsidRPr="002E76A2" w:rsidR="00E06C24">
        <w:rPr>
          <w:szCs w:val="26"/>
        </w:rPr>
        <w:t>119</w:t>
      </w:r>
      <w:r w:rsidRPr="002E76A2" w:rsidR="003A5BF5">
        <w:rPr>
          <w:szCs w:val="26"/>
        </w:rPr>
        <w:t>5 [</w:t>
      </w:r>
      <w:r w:rsidRPr="002E76A2" w:rsidR="002917D8">
        <w:rPr>
          <w:szCs w:val="26"/>
        </w:rPr>
        <w:t xml:space="preserve">regarding a plaintiff’s </w:t>
      </w:r>
      <w:r w:rsidRPr="002E76A2" w:rsidR="002356B3">
        <w:rPr>
          <w:szCs w:val="26"/>
        </w:rPr>
        <w:t xml:space="preserve">suit alleging </w:t>
      </w:r>
      <w:r w:rsidRPr="002E76A2" w:rsidR="002917D8">
        <w:rPr>
          <w:szCs w:val="26"/>
        </w:rPr>
        <w:t xml:space="preserve">bad faith denial of </w:t>
      </w:r>
      <w:r w:rsidRPr="002E76A2" w:rsidR="002356B3">
        <w:rPr>
          <w:szCs w:val="26"/>
        </w:rPr>
        <w:t xml:space="preserve">coverage and intentional infliction of emotional distress </w:t>
      </w:r>
      <w:r w:rsidRPr="002E76A2" w:rsidR="002917D8">
        <w:rPr>
          <w:szCs w:val="26"/>
        </w:rPr>
        <w:t>as subject to “the</w:t>
      </w:r>
      <w:r w:rsidRPr="002E76A2" w:rsidR="003A5BF5">
        <w:rPr>
          <w:szCs w:val="26"/>
        </w:rPr>
        <w:t xml:space="preserve"> legislatively prescribed limitation for actions that are ‘on the policy’ because</w:t>
      </w:r>
      <w:r w:rsidRPr="002E76A2" w:rsidR="002917D8">
        <w:rPr>
          <w:szCs w:val="26"/>
        </w:rPr>
        <w:t xml:space="preserve"> [it was]</w:t>
      </w:r>
      <w:r w:rsidRPr="002E76A2" w:rsidR="003A5BF5">
        <w:rPr>
          <w:szCs w:val="26"/>
        </w:rPr>
        <w:t xml:space="preserve"> grounded in a failure to pay benefits that are due under the policy and indeed constitute its very reason for being”]</w:t>
      </w:r>
      <w:r w:rsidRPr="002E76A2" w:rsidR="00E06C24">
        <w:rPr>
          <w:szCs w:val="26"/>
        </w:rPr>
        <w:t xml:space="preserve">; </w:t>
      </w:r>
      <w:r w:rsidRPr="002E76A2" w:rsidR="00E06C24">
        <w:rPr>
          <w:i/>
          <w:iCs/>
          <w:szCs w:val="26"/>
        </w:rPr>
        <w:t>Abari</w:t>
      </w:r>
      <w:r w:rsidRPr="002E76A2" w:rsidR="00E06C24">
        <w:rPr>
          <w:szCs w:val="26"/>
        </w:rPr>
        <w:t xml:space="preserve">, </w:t>
      </w:r>
      <w:r w:rsidRPr="002E76A2" w:rsidR="00E06C24">
        <w:rPr>
          <w:i/>
          <w:iCs/>
          <w:szCs w:val="26"/>
        </w:rPr>
        <w:t>supra</w:t>
      </w:r>
      <w:r w:rsidRPr="002E76A2" w:rsidR="00E06C24">
        <w:rPr>
          <w:szCs w:val="26"/>
        </w:rPr>
        <w:t>, 205</w:t>
      </w:r>
      <w:r w:rsidRPr="002E76A2" w:rsidR="007168A4">
        <w:rPr>
          <w:szCs w:val="26"/>
        </w:rPr>
        <w:t> </w:t>
      </w:r>
      <w:r w:rsidRPr="002E76A2" w:rsidR="00E06C24">
        <w:rPr>
          <w:szCs w:val="26"/>
        </w:rPr>
        <w:t>Cal.App.3d at p.</w:t>
      </w:r>
      <w:r w:rsidRPr="002E76A2" w:rsidR="007168A4">
        <w:rPr>
          <w:szCs w:val="26"/>
        </w:rPr>
        <w:t> </w:t>
      </w:r>
      <w:r w:rsidRPr="002E76A2" w:rsidR="00E06C24">
        <w:rPr>
          <w:szCs w:val="26"/>
        </w:rPr>
        <w:t>536</w:t>
      </w:r>
      <w:r w:rsidRPr="002E76A2" w:rsidR="003A5BF5">
        <w:rPr>
          <w:szCs w:val="26"/>
        </w:rPr>
        <w:t xml:space="preserve"> [rejecting what the court regarded as </w:t>
      </w:r>
      <w:r w:rsidRPr="002E76A2" w:rsidR="00F96587">
        <w:rPr>
          <w:szCs w:val="26"/>
        </w:rPr>
        <w:t>“</w:t>
      </w:r>
      <w:r w:rsidRPr="002E76A2" w:rsidR="003A5BF5">
        <w:rPr>
          <w:szCs w:val="26"/>
        </w:rPr>
        <w:t xml:space="preserve">a transparent attempt to recover </w:t>
      </w:r>
      <w:r w:rsidRPr="002E76A2" w:rsidR="003A5BF5">
        <w:rPr>
          <w:i/>
          <w:iCs/>
          <w:szCs w:val="26"/>
        </w:rPr>
        <w:t>on the policy</w:t>
      </w:r>
      <w:r w:rsidRPr="002E76A2" w:rsidR="003A5BF5">
        <w:rPr>
          <w:szCs w:val="26"/>
        </w:rPr>
        <w:t>, notwithstanding [the plaintiff</w:t>
      </w:r>
      <w:r w:rsidRPr="002E76A2" w:rsidR="00F96587">
        <w:rPr>
          <w:szCs w:val="26"/>
        </w:rPr>
        <w:t>’</w:t>
      </w:r>
      <w:r w:rsidRPr="002E76A2" w:rsidR="003A5BF5">
        <w:rPr>
          <w:szCs w:val="26"/>
        </w:rPr>
        <w:t>s] failure to commence suit within one year of accrual”]</w:t>
      </w:r>
      <w:r w:rsidRPr="002E76A2">
        <w:rPr>
          <w:szCs w:val="26"/>
        </w:rPr>
        <w:t xml:space="preserve">.)  </w:t>
      </w:r>
    </w:p>
    <w:p w:rsidR="000D7F46" w:rsidP="002E76A2">
      <w:pPr>
        <w:ind w:firstLine="720"/>
        <w:rPr>
          <w:szCs w:val="26"/>
        </w:rPr>
      </w:pPr>
      <w:r>
        <w:rPr>
          <w:szCs w:val="26"/>
        </w:rPr>
        <w:t xml:space="preserve">The parties </w:t>
      </w:r>
      <w:r w:rsidR="00D0014D">
        <w:rPr>
          <w:szCs w:val="26"/>
        </w:rPr>
        <w:t>here</w:t>
      </w:r>
      <w:r>
        <w:rPr>
          <w:szCs w:val="26"/>
        </w:rPr>
        <w:t xml:space="preserve"> have likewise focused primarily</w:t>
      </w:r>
      <w:r w:rsidR="008807C5">
        <w:rPr>
          <w:szCs w:val="26"/>
        </w:rPr>
        <w:t xml:space="preserve"> although not exclusively</w:t>
      </w:r>
      <w:r w:rsidR="00625E23">
        <w:rPr>
          <w:szCs w:val="26"/>
        </w:rPr>
        <w:t xml:space="preserve"> </w:t>
      </w:r>
      <w:r>
        <w:rPr>
          <w:szCs w:val="26"/>
        </w:rPr>
        <w:t>on section 2071’s “on th</w:t>
      </w:r>
      <w:r w:rsidR="00455274">
        <w:rPr>
          <w:szCs w:val="26"/>
        </w:rPr>
        <w:t>is</w:t>
      </w:r>
      <w:r>
        <w:rPr>
          <w:szCs w:val="26"/>
        </w:rPr>
        <w:t xml:space="preserve"> policy” language.  State Farm asserts that</w:t>
      </w:r>
      <w:r w:rsidR="00455274">
        <w:rPr>
          <w:szCs w:val="26"/>
        </w:rPr>
        <w:t xml:space="preserve"> this language captures “any theory arising out of the insurer’s handling of claims for policy benefits</w:t>
      </w:r>
      <w:r>
        <w:rPr>
          <w:szCs w:val="26"/>
        </w:rPr>
        <w:t>.</w:t>
      </w:r>
      <w:r w:rsidR="00455274">
        <w:rPr>
          <w:szCs w:val="26"/>
        </w:rPr>
        <w:t>”</w:t>
      </w:r>
      <w:r>
        <w:rPr>
          <w:szCs w:val="26"/>
        </w:rPr>
        <w:t xml:space="preserve">  Plaintiff </w:t>
      </w:r>
      <w:r w:rsidR="00455274">
        <w:rPr>
          <w:szCs w:val="26"/>
        </w:rPr>
        <w:t xml:space="preserve">argues that her action is not “on </w:t>
      </w:r>
      <w:r w:rsidR="00D0014D">
        <w:rPr>
          <w:szCs w:val="26"/>
        </w:rPr>
        <w:t>[the]</w:t>
      </w:r>
      <w:r w:rsidR="00455274">
        <w:rPr>
          <w:szCs w:val="26"/>
        </w:rPr>
        <w:t xml:space="preserve"> policy” </w:t>
      </w:r>
      <w:r w:rsidR="00D0014D">
        <w:rPr>
          <w:szCs w:val="26"/>
        </w:rPr>
        <w:t xml:space="preserve">(§ 2071) </w:t>
      </w:r>
      <w:r w:rsidR="00455274">
        <w:rPr>
          <w:szCs w:val="26"/>
        </w:rPr>
        <w:t>insofar as it challenges State Farm’s business practices</w:t>
      </w:r>
      <w:r w:rsidR="00B65927">
        <w:rPr>
          <w:szCs w:val="26"/>
        </w:rPr>
        <w:t xml:space="preserve"> generally, not the insurer’s rejection of her claim specifically</w:t>
      </w:r>
      <w:r>
        <w:rPr>
          <w:szCs w:val="26"/>
        </w:rPr>
        <w:t xml:space="preserve">.  </w:t>
      </w:r>
      <w:r w:rsidR="00F12715">
        <w:rPr>
          <w:szCs w:val="26"/>
        </w:rPr>
        <w:t>Similarly</w:t>
      </w:r>
      <w:r w:rsidR="00B65927">
        <w:rPr>
          <w:szCs w:val="26"/>
        </w:rPr>
        <w:t>, the</w:t>
      </w:r>
      <w:r>
        <w:rPr>
          <w:szCs w:val="26"/>
        </w:rPr>
        <w:t xml:space="preserve"> Attorney General, appearing as amicus curiae in support of plaintiff, argues that </w:t>
      </w:r>
      <w:r w:rsidR="00B65927">
        <w:rPr>
          <w:szCs w:val="26"/>
        </w:rPr>
        <w:t xml:space="preserve">plaintiff’s suit is not </w:t>
      </w:r>
      <w:r w:rsidR="00D0014D">
        <w:rPr>
          <w:szCs w:val="26"/>
        </w:rPr>
        <w:t>“on [the] policy” (</w:t>
      </w:r>
      <w:r w:rsidRPr="00D0014D" w:rsidR="00D0014D">
        <w:rPr>
          <w:i/>
          <w:iCs/>
          <w:szCs w:val="26"/>
        </w:rPr>
        <w:t>ibid</w:t>
      </w:r>
      <w:r w:rsidR="00D0014D">
        <w:rPr>
          <w:szCs w:val="26"/>
        </w:rPr>
        <w:t xml:space="preserve">.) </w:t>
      </w:r>
      <w:r w:rsidR="00B65927">
        <w:rPr>
          <w:szCs w:val="26"/>
        </w:rPr>
        <w:t>because “it does not seek to enforce the terms of the insurance policy</w:t>
      </w:r>
      <w:r>
        <w:rPr>
          <w:szCs w:val="26"/>
        </w:rPr>
        <w:t>.</w:t>
      </w:r>
      <w:r w:rsidR="00B65927">
        <w:rPr>
          <w:szCs w:val="26"/>
        </w:rPr>
        <w:t>”</w:t>
      </w:r>
    </w:p>
    <w:p w:rsidR="009B17D8" w:rsidRPr="002E76A2" w:rsidP="00C07BE5">
      <w:pPr>
        <w:ind w:firstLine="720"/>
        <w:rPr>
          <w:szCs w:val="26"/>
        </w:rPr>
      </w:pPr>
      <w:r w:rsidRPr="002E76A2">
        <w:rPr>
          <w:szCs w:val="26"/>
        </w:rPr>
        <w:t xml:space="preserve">Although section 2071’s “on this policy” </w:t>
      </w:r>
      <w:r w:rsidR="00D0014D">
        <w:rPr>
          <w:szCs w:val="26"/>
        </w:rPr>
        <w:t>text</w:t>
      </w:r>
      <w:r w:rsidRPr="002E76A2">
        <w:rPr>
          <w:szCs w:val="26"/>
        </w:rPr>
        <w:t xml:space="preserve"> is relevant </w:t>
      </w:r>
      <w:r w:rsidR="00EB3291">
        <w:rPr>
          <w:szCs w:val="26"/>
        </w:rPr>
        <w:t>here</w:t>
      </w:r>
      <w:r w:rsidRPr="002E76A2">
        <w:rPr>
          <w:szCs w:val="26"/>
        </w:rPr>
        <w:t xml:space="preserve">, we do not limit our review to any particular word or phrase appearing in </w:t>
      </w:r>
      <w:r w:rsidR="00D0014D">
        <w:rPr>
          <w:szCs w:val="26"/>
        </w:rPr>
        <w:t>a</w:t>
      </w:r>
      <w:r w:rsidRPr="002E76A2">
        <w:rPr>
          <w:szCs w:val="26"/>
        </w:rPr>
        <w:t xml:space="preserve"> statute, but </w:t>
      </w:r>
      <w:r w:rsidRPr="002E76A2" w:rsidR="00B85FA5">
        <w:rPr>
          <w:szCs w:val="26"/>
        </w:rPr>
        <w:t>instead</w:t>
      </w:r>
      <w:r w:rsidRPr="002E76A2">
        <w:rPr>
          <w:szCs w:val="26"/>
        </w:rPr>
        <w:t xml:space="preserve"> consider </w:t>
      </w:r>
      <w:r w:rsidR="00D0014D">
        <w:rPr>
          <w:szCs w:val="26"/>
        </w:rPr>
        <w:t>the</w:t>
      </w:r>
      <w:r w:rsidRPr="002E76A2">
        <w:rPr>
          <w:szCs w:val="26"/>
        </w:rPr>
        <w:t xml:space="preserve"> </w:t>
      </w:r>
      <w:r w:rsidR="00D0014D">
        <w:rPr>
          <w:szCs w:val="26"/>
        </w:rPr>
        <w:t>language</w:t>
      </w:r>
      <w:r w:rsidRPr="002E76A2">
        <w:rPr>
          <w:szCs w:val="26"/>
        </w:rPr>
        <w:t xml:space="preserve"> </w:t>
      </w:r>
      <w:r w:rsidR="00D0014D">
        <w:rPr>
          <w:szCs w:val="26"/>
        </w:rPr>
        <w:t xml:space="preserve">of </w:t>
      </w:r>
      <w:r w:rsidR="00767C80">
        <w:rPr>
          <w:szCs w:val="26"/>
        </w:rPr>
        <w:t>a</w:t>
      </w:r>
      <w:r w:rsidR="00D0014D">
        <w:rPr>
          <w:szCs w:val="26"/>
        </w:rPr>
        <w:t xml:space="preserve"> statute </w:t>
      </w:r>
      <w:r w:rsidRPr="002E76A2">
        <w:rPr>
          <w:szCs w:val="26"/>
        </w:rPr>
        <w:t xml:space="preserve">as a whole.  (See, e.g., </w:t>
      </w:r>
      <w:r w:rsidRPr="002E76A2" w:rsidR="00AD0C83">
        <w:rPr>
          <w:i/>
          <w:iCs/>
          <w:szCs w:val="26"/>
        </w:rPr>
        <w:t>Skidgel v. California Unemployment Ins. Appeals Bd.</w:t>
      </w:r>
      <w:r w:rsidRPr="002E76A2" w:rsidR="00AD0C83">
        <w:rPr>
          <w:szCs w:val="26"/>
        </w:rPr>
        <w:t xml:space="preserve"> (2021) 12</w:t>
      </w:r>
      <w:r w:rsidR="006A1D29">
        <w:rPr>
          <w:szCs w:val="26"/>
        </w:rPr>
        <w:t> </w:t>
      </w:r>
      <w:r w:rsidRPr="002E76A2" w:rsidR="00AD0C83">
        <w:rPr>
          <w:szCs w:val="26"/>
        </w:rPr>
        <w:t xml:space="preserve">Cal.5th 1, 20; </w:t>
      </w:r>
      <w:r w:rsidRPr="002E76A2" w:rsidR="00E73297">
        <w:rPr>
          <w:i/>
          <w:iCs/>
          <w:szCs w:val="26"/>
        </w:rPr>
        <w:t>People v. Castillolopez</w:t>
      </w:r>
      <w:r w:rsidRPr="002E76A2">
        <w:rPr>
          <w:szCs w:val="26"/>
        </w:rPr>
        <w:t xml:space="preserve"> (</w:t>
      </w:r>
      <w:r w:rsidRPr="002E76A2" w:rsidR="00E73297">
        <w:rPr>
          <w:szCs w:val="26"/>
        </w:rPr>
        <w:t>2016</w:t>
      </w:r>
      <w:r w:rsidRPr="002E76A2">
        <w:rPr>
          <w:szCs w:val="26"/>
        </w:rPr>
        <w:t xml:space="preserve">) </w:t>
      </w:r>
      <w:r w:rsidRPr="002E76A2" w:rsidR="00E73297">
        <w:rPr>
          <w:szCs w:val="26"/>
        </w:rPr>
        <w:t>63</w:t>
      </w:r>
      <w:r w:rsidR="006A1D29">
        <w:rPr>
          <w:szCs w:val="26"/>
        </w:rPr>
        <w:t> </w:t>
      </w:r>
      <w:r w:rsidRPr="002E76A2">
        <w:rPr>
          <w:szCs w:val="26"/>
        </w:rPr>
        <w:t>Cal.</w:t>
      </w:r>
      <w:r w:rsidRPr="002E76A2" w:rsidR="00E73297">
        <w:rPr>
          <w:szCs w:val="26"/>
        </w:rPr>
        <w:t>4</w:t>
      </w:r>
      <w:r w:rsidRPr="002E76A2">
        <w:rPr>
          <w:szCs w:val="26"/>
        </w:rPr>
        <w:t xml:space="preserve">th </w:t>
      </w:r>
      <w:r w:rsidRPr="002E76A2" w:rsidR="00E73297">
        <w:rPr>
          <w:szCs w:val="26"/>
        </w:rPr>
        <w:t>322</w:t>
      </w:r>
      <w:r w:rsidRPr="002E76A2">
        <w:rPr>
          <w:szCs w:val="26"/>
        </w:rPr>
        <w:t xml:space="preserve">, </w:t>
      </w:r>
      <w:r w:rsidRPr="002E76A2" w:rsidR="00E73297">
        <w:rPr>
          <w:szCs w:val="26"/>
        </w:rPr>
        <w:t>329</w:t>
      </w:r>
      <w:r w:rsidRPr="002E76A2">
        <w:rPr>
          <w:szCs w:val="26"/>
        </w:rPr>
        <w:t xml:space="preserve">.)  </w:t>
      </w:r>
      <w:r w:rsidR="0044674B">
        <w:rPr>
          <w:szCs w:val="26"/>
        </w:rPr>
        <w:t>T</w:t>
      </w:r>
      <w:r w:rsidRPr="002E76A2" w:rsidR="00E73297">
        <w:rPr>
          <w:szCs w:val="26"/>
        </w:rPr>
        <w:t>he limitations provision found within section 2071 does not apply</w:t>
      </w:r>
      <w:r w:rsidRPr="002E76A2" w:rsidR="00CC1D85">
        <w:rPr>
          <w:szCs w:val="26"/>
        </w:rPr>
        <w:t xml:space="preserve"> without further qualification</w:t>
      </w:r>
      <w:r w:rsidRPr="002E76A2" w:rsidR="00E73297">
        <w:rPr>
          <w:szCs w:val="26"/>
        </w:rPr>
        <w:t xml:space="preserve"> to all suits or actions</w:t>
      </w:r>
      <w:r w:rsidRPr="002E76A2" w:rsidR="007E4CCC">
        <w:rPr>
          <w:szCs w:val="26"/>
        </w:rPr>
        <w:t xml:space="preserve"> </w:t>
      </w:r>
      <w:r w:rsidRPr="002E76A2" w:rsidR="00E73297">
        <w:rPr>
          <w:szCs w:val="26"/>
        </w:rPr>
        <w:t xml:space="preserve">“on this policy”; it applies to suits or actions “on this policy </w:t>
      </w:r>
      <w:r w:rsidRPr="002E76A2" w:rsidR="00E73297">
        <w:rPr>
          <w:i/>
          <w:iCs/>
          <w:szCs w:val="26"/>
        </w:rPr>
        <w:t>for the recovery of any claim</w:t>
      </w:r>
      <w:r w:rsidRPr="002E76A2" w:rsidR="00E73297">
        <w:rPr>
          <w:szCs w:val="26"/>
        </w:rPr>
        <w:t>.”  (</w:t>
      </w:r>
      <w:r w:rsidRPr="002E76A2" w:rsidR="000A499A">
        <w:rPr>
          <w:szCs w:val="26"/>
        </w:rPr>
        <w:t>§ 2071, i</w:t>
      </w:r>
      <w:r w:rsidRPr="002E76A2" w:rsidR="00E73297">
        <w:rPr>
          <w:szCs w:val="26"/>
        </w:rPr>
        <w:t xml:space="preserve">talics added.) </w:t>
      </w:r>
      <w:r w:rsidRPr="002E76A2">
        <w:rPr>
          <w:szCs w:val="26"/>
        </w:rPr>
        <w:t xml:space="preserve"> </w:t>
      </w:r>
      <w:r w:rsidR="00C749EA">
        <w:rPr>
          <w:szCs w:val="26"/>
        </w:rPr>
        <w:t xml:space="preserve">State Farm argues </w:t>
      </w:r>
      <w:r w:rsidR="005C7A60">
        <w:rPr>
          <w:szCs w:val="26"/>
        </w:rPr>
        <w:t xml:space="preserve">that </w:t>
      </w:r>
      <w:r w:rsidR="00C749EA">
        <w:rPr>
          <w:szCs w:val="26"/>
        </w:rPr>
        <w:t>“</w:t>
      </w:r>
      <w:r w:rsidR="0004051E">
        <w:rPr>
          <w:szCs w:val="26"/>
        </w:rPr>
        <w:t xml:space="preserve">for the </w:t>
      </w:r>
      <w:r w:rsidR="00C749EA">
        <w:rPr>
          <w:szCs w:val="26"/>
        </w:rPr>
        <w:t xml:space="preserve">recovery of any claim” </w:t>
      </w:r>
      <w:r w:rsidR="00881697">
        <w:rPr>
          <w:szCs w:val="26"/>
        </w:rPr>
        <w:t>(</w:t>
      </w:r>
      <w:r w:rsidRPr="00DE0EBC" w:rsidR="00881697">
        <w:rPr>
          <w:i/>
          <w:iCs/>
          <w:szCs w:val="26"/>
        </w:rPr>
        <w:t>ibid</w:t>
      </w:r>
      <w:r w:rsidR="00881697">
        <w:rPr>
          <w:szCs w:val="26"/>
        </w:rPr>
        <w:t xml:space="preserve">.) </w:t>
      </w:r>
      <w:r w:rsidR="00C749EA">
        <w:rPr>
          <w:szCs w:val="26"/>
        </w:rPr>
        <w:t xml:space="preserve">should be read </w:t>
      </w:r>
      <w:r w:rsidR="00FE35B6">
        <w:rPr>
          <w:szCs w:val="26"/>
        </w:rPr>
        <w:t>broadly as meaning</w:t>
      </w:r>
      <w:r w:rsidR="0004051E">
        <w:rPr>
          <w:szCs w:val="26"/>
        </w:rPr>
        <w:t xml:space="preserve"> </w:t>
      </w:r>
      <w:r w:rsidR="00C749EA">
        <w:rPr>
          <w:szCs w:val="26"/>
        </w:rPr>
        <w:t>“for the recovery of any relief</w:t>
      </w:r>
      <w:r w:rsidR="0004051E">
        <w:rPr>
          <w:szCs w:val="26"/>
        </w:rPr>
        <w:t>.</w:t>
      </w:r>
      <w:r w:rsidR="00C749EA">
        <w:rPr>
          <w:szCs w:val="26"/>
        </w:rPr>
        <w:t>”</w:t>
      </w:r>
      <w:r w:rsidR="0004051E">
        <w:rPr>
          <w:szCs w:val="26"/>
        </w:rPr>
        <w:t xml:space="preserve">  </w:t>
      </w:r>
      <w:r w:rsidR="00C749EA">
        <w:rPr>
          <w:szCs w:val="26"/>
        </w:rPr>
        <w:t xml:space="preserve">The Attorney General disagrees, </w:t>
      </w:r>
      <w:r w:rsidR="0004051E">
        <w:rPr>
          <w:szCs w:val="26"/>
        </w:rPr>
        <w:t>perceiving</w:t>
      </w:r>
      <w:r w:rsidR="00C749EA">
        <w:rPr>
          <w:szCs w:val="26"/>
        </w:rPr>
        <w:t xml:space="preserve"> o</w:t>
      </w:r>
      <w:r w:rsidRPr="002E76A2">
        <w:rPr>
          <w:szCs w:val="26"/>
        </w:rPr>
        <w:t xml:space="preserve">ther uses of the word “claim” within section 2071 </w:t>
      </w:r>
      <w:r w:rsidR="00C749EA">
        <w:rPr>
          <w:szCs w:val="26"/>
        </w:rPr>
        <w:t xml:space="preserve">as </w:t>
      </w:r>
      <w:r w:rsidRPr="002E76A2">
        <w:rPr>
          <w:szCs w:val="26"/>
        </w:rPr>
        <w:t>establish</w:t>
      </w:r>
      <w:r w:rsidR="00C749EA">
        <w:rPr>
          <w:szCs w:val="26"/>
        </w:rPr>
        <w:t>ing</w:t>
      </w:r>
      <w:r w:rsidRPr="002E76A2">
        <w:rPr>
          <w:szCs w:val="26"/>
        </w:rPr>
        <w:t xml:space="preserve"> that as </w:t>
      </w:r>
      <w:r w:rsidR="0004051E">
        <w:rPr>
          <w:szCs w:val="26"/>
        </w:rPr>
        <w:t>it appears</w:t>
      </w:r>
      <w:r w:rsidRPr="002E76A2" w:rsidR="0004051E">
        <w:rPr>
          <w:szCs w:val="26"/>
        </w:rPr>
        <w:t xml:space="preserve"> </w:t>
      </w:r>
      <w:r w:rsidRPr="002E76A2">
        <w:rPr>
          <w:szCs w:val="26"/>
        </w:rPr>
        <w:t xml:space="preserve">in the section’s limitations provision, </w:t>
      </w:r>
      <w:r w:rsidR="00881697">
        <w:rPr>
          <w:szCs w:val="26"/>
        </w:rPr>
        <w:t>this</w:t>
      </w:r>
      <w:r w:rsidRPr="002E76A2" w:rsidR="00881697">
        <w:rPr>
          <w:szCs w:val="26"/>
        </w:rPr>
        <w:t xml:space="preserve"> </w:t>
      </w:r>
      <w:r w:rsidRPr="002E76A2">
        <w:rPr>
          <w:szCs w:val="26"/>
        </w:rPr>
        <w:t xml:space="preserve">word refers to a claim for benefits directed to an insurer pursuant to the terms of the insurance policy.  (E.g., </w:t>
      </w:r>
      <w:r w:rsidRPr="002E76A2">
        <w:rPr>
          <w:i/>
          <w:iCs/>
          <w:szCs w:val="26"/>
        </w:rPr>
        <w:t>i</w:t>
      </w:r>
      <w:r w:rsidRPr="002E76A2" w:rsidR="0054612D">
        <w:rPr>
          <w:i/>
          <w:iCs/>
          <w:szCs w:val="26"/>
        </w:rPr>
        <w:t>bi</w:t>
      </w:r>
      <w:r w:rsidRPr="002E76A2">
        <w:rPr>
          <w:i/>
          <w:iCs/>
          <w:szCs w:val="26"/>
        </w:rPr>
        <w:t>d</w:t>
      </w:r>
      <w:r w:rsidRPr="002E76A2">
        <w:rPr>
          <w:szCs w:val="26"/>
        </w:rPr>
        <w:t>. [“The insurer shall notify every claimant that they may obtain, upon request, copies of claim-related documents.  For purposes of this section, ‘claim-related documents’ means all documents that relate to the evaluation of damages”].)  With claims themselves being designed to secure insurance proceeds</w:t>
      </w:r>
      <w:r w:rsidRPr="002E76A2" w:rsidR="0038798B">
        <w:rPr>
          <w:szCs w:val="26"/>
        </w:rPr>
        <w:t xml:space="preserve"> (see </w:t>
      </w:r>
      <w:r w:rsidRPr="002E76A2" w:rsidR="0038798B">
        <w:rPr>
          <w:i/>
          <w:iCs/>
          <w:szCs w:val="26"/>
        </w:rPr>
        <w:t>i</w:t>
      </w:r>
      <w:r w:rsidRPr="002E76A2" w:rsidR="0054612D">
        <w:rPr>
          <w:i/>
          <w:iCs/>
          <w:szCs w:val="26"/>
        </w:rPr>
        <w:t>bi</w:t>
      </w:r>
      <w:r w:rsidRPr="002E76A2" w:rsidR="0038798B">
        <w:rPr>
          <w:i/>
          <w:iCs/>
          <w:szCs w:val="26"/>
        </w:rPr>
        <w:t>d</w:t>
      </w:r>
      <w:r w:rsidRPr="002E76A2" w:rsidR="0038798B">
        <w:rPr>
          <w:szCs w:val="26"/>
        </w:rPr>
        <w:t>. [discussing claim-presentation procedures])</w:t>
      </w:r>
      <w:r w:rsidRPr="002E76A2">
        <w:rPr>
          <w:szCs w:val="26"/>
        </w:rPr>
        <w:t xml:space="preserve">, </w:t>
      </w:r>
      <w:r w:rsidR="000E7503">
        <w:rPr>
          <w:szCs w:val="26"/>
        </w:rPr>
        <w:t>under this interpretation</w:t>
      </w:r>
      <w:r w:rsidR="00C749EA">
        <w:rPr>
          <w:szCs w:val="26"/>
        </w:rPr>
        <w:t xml:space="preserve"> </w:t>
      </w:r>
      <w:r w:rsidRPr="002E76A2">
        <w:rPr>
          <w:szCs w:val="26"/>
        </w:rPr>
        <w:t xml:space="preserve">the phrase “recovery of any claim” </w:t>
      </w:r>
      <w:r w:rsidR="00596D6A">
        <w:rPr>
          <w:szCs w:val="26"/>
        </w:rPr>
        <w:t xml:space="preserve">within section 2071 </w:t>
      </w:r>
      <w:r w:rsidRPr="002E76A2">
        <w:rPr>
          <w:szCs w:val="26"/>
        </w:rPr>
        <w:t xml:space="preserve">is </w:t>
      </w:r>
      <w:r w:rsidR="00035B38">
        <w:rPr>
          <w:szCs w:val="26"/>
        </w:rPr>
        <w:t>best</w:t>
      </w:r>
      <w:r w:rsidRPr="002E76A2">
        <w:rPr>
          <w:szCs w:val="26"/>
        </w:rPr>
        <w:t xml:space="preserve"> understood as concerned with suits or actions seeking a monetary award </w:t>
      </w:r>
      <w:r w:rsidRPr="002E76A2" w:rsidR="0038798B">
        <w:rPr>
          <w:szCs w:val="26"/>
        </w:rPr>
        <w:t>owing to</w:t>
      </w:r>
      <w:r w:rsidRPr="002E76A2">
        <w:rPr>
          <w:szCs w:val="26"/>
        </w:rPr>
        <w:t xml:space="preserve"> such a claim.</w:t>
      </w:r>
      <w:r w:rsidR="00FE653B">
        <w:rPr>
          <w:szCs w:val="26"/>
        </w:rPr>
        <w:t xml:space="preserve">  </w:t>
      </w:r>
      <w:r w:rsidRPr="002E76A2" w:rsidR="00FE653B">
        <w:rPr>
          <w:szCs w:val="26"/>
        </w:rPr>
        <w:t>(See Black’s Law Dict. (11th ed. 2019) p.</w:t>
      </w:r>
      <w:r w:rsidR="00FE653B">
        <w:rPr>
          <w:szCs w:val="26"/>
        </w:rPr>
        <w:t> </w:t>
      </w:r>
      <w:r w:rsidRPr="002E76A2" w:rsidR="00FE653B">
        <w:rPr>
          <w:szCs w:val="26"/>
        </w:rPr>
        <w:t>1528, col. 2 [defining “recovery” as “The regaining or restoration of something lost or taken away” and “The obtainment of a right to something (esp. damages) by a judgment or decree”].)</w:t>
      </w:r>
      <w:r>
        <w:rPr>
          <w:rStyle w:val="FootnoteReference"/>
          <w:szCs w:val="26"/>
        </w:rPr>
        <w:footnoteReference w:id="7"/>
      </w:r>
    </w:p>
    <w:p w:rsidR="005D7574" w:rsidP="00C07BE5">
      <w:pPr>
        <w:ind w:firstLine="720"/>
        <w:rPr>
          <w:szCs w:val="26"/>
          <w:bdr w:val="none" w:sz="0" w:space="0" w:color="auto" w:frame="1"/>
        </w:rPr>
      </w:pPr>
      <w:r>
        <w:rPr>
          <w:szCs w:val="26"/>
        </w:rPr>
        <w:t xml:space="preserve">Regardless of what “on this policy” </w:t>
      </w:r>
      <w:r w:rsidR="000E7503">
        <w:rPr>
          <w:szCs w:val="26"/>
        </w:rPr>
        <w:t>(§ 2071) and</w:t>
      </w:r>
      <w:r>
        <w:rPr>
          <w:szCs w:val="26"/>
        </w:rPr>
        <w:t xml:space="preserve"> “for the recovery of any claim” </w:t>
      </w:r>
      <w:r w:rsidR="000E7503">
        <w:rPr>
          <w:szCs w:val="26"/>
        </w:rPr>
        <w:t>(</w:t>
      </w:r>
      <w:r w:rsidRPr="00DE0EBC" w:rsidR="000E7503">
        <w:rPr>
          <w:i/>
          <w:iCs/>
          <w:szCs w:val="26"/>
        </w:rPr>
        <w:t>ibid</w:t>
      </w:r>
      <w:r w:rsidR="000E7503">
        <w:rPr>
          <w:szCs w:val="26"/>
        </w:rPr>
        <w:t xml:space="preserve">.) </w:t>
      </w:r>
      <w:r>
        <w:rPr>
          <w:szCs w:val="26"/>
        </w:rPr>
        <w:t>might mean in isolation, we conclude that t</w:t>
      </w:r>
      <w:r w:rsidR="00217973">
        <w:rPr>
          <w:szCs w:val="26"/>
        </w:rPr>
        <w:t>his lawsuit is not a “</w:t>
      </w:r>
      <w:r w:rsidRPr="002E76A2" w:rsidR="00217973">
        <w:t xml:space="preserve">suit or action on </w:t>
      </w:r>
      <w:r w:rsidR="00217973">
        <w:t>[the]</w:t>
      </w:r>
      <w:r w:rsidRPr="002E76A2" w:rsidR="00217973">
        <w:t xml:space="preserve"> policy </w:t>
      </w:r>
      <w:r w:rsidRPr="00DE0EBC" w:rsidR="00217973">
        <w:t xml:space="preserve">for </w:t>
      </w:r>
      <w:r w:rsidRPr="00DE0EBC" w:rsidR="001B0476">
        <w:rPr>
          <w:szCs w:val="26"/>
        </w:rPr>
        <w:t xml:space="preserve">the recovery of </w:t>
      </w:r>
      <w:r w:rsidR="000E7503">
        <w:rPr>
          <w:szCs w:val="26"/>
        </w:rPr>
        <w:t>any</w:t>
      </w:r>
      <w:r w:rsidRPr="00DE0EBC" w:rsidR="001B0476">
        <w:rPr>
          <w:szCs w:val="26"/>
        </w:rPr>
        <w:t xml:space="preserve"> claim</w:t>
      </w:r>
      <w:r w:rsidR="001B0476">
        <w:rPr>
          <w:szCs w:val="26"/>
        </w:rPr>
        <w:t>”</w:t>
      </w:r>
      <w:r w:rsidR="005F20EA">
        <w:rPr>
          <w:szCs w:val="26"/>
        </w:rPr>
        <w:t xml:space="preserve"> (</w:t>
      </w:r>
      <w:r w:rsidRPr="00DE0EBC" w:rsidR="000E7503">
        <w:rPr>
          <w:i/>
          <w:iCs/>
          <w:szCs w:val="26"/>
        </w:rPr>
        <w:t>ibid</w:t>
      </w:r>
      <w:r w:rsidR="000E7503">
        <w:rPr>
          <w:szCs w:val="26"/>
        </w:rPr>
        <w:t>.</w:t>
      </w:r>
      <w:r w:rsidR="005F20EA">
        <w:rPr>
          <w:szCs w:val="26"/>
        </w:rPr>
        <w:t>)</w:t>
      </w:r>
      <w:r w:rsidR="000E7503">
        <w:rPr>
          <w:szCs w:val="26"/>
        </w:rPr>
        <w:t>.</w:t>
      </w:r>
      <w:r w:rsidR="005F20EA">
        <w:rPr>
          <w:szCs w:val="26"/>
        </w:rPr>
        <w:t xml:space="preserve"> </w:t>
      </w:r>
      <w:r w:rsidR="00A06FDD">
        <w:rPr>
          <w:szCs w:val="26"/>
        </w:rPr>
        <w:t xml:space="preserve"> </w:t>
      </w:r>
      <w:r>
        <w:rPr>
          <w:szCs w:val="26"/>
        </w:rPr>
        <w:t>We regard this language</w:t>
      </w:r>
      <w:r w:rsidR="000E7503">
        <w:rPr>
          <w:szCs w:val="26"/>
        </w:rPr>
        <w:t>, read in the context of the statute as a whole,</w:t>
      </w:r>
      <w:r>
        <w:rPr>
          <w:szCs w:val="26"/>
        </w:rPr>
        <w:t xml:space="preserve"> as concerned with </w:t>
      </w:r>
      <w:r w:rsidR="0004051E">
        <w:rPr>
          <w:szCs w:val="26"/>
        </w:rPr>
        <w:t xml:space="preserve">causes of action that </w:t>
      </w:r>
      <w:r w:rsidR="00EF1E00">
        <w:rPr>
          <w:szCs w:val="26"/>
        </w:rPr>
        <w:t xml:space="preserve">in some manner </w:t>
      </w:r>
      <w:r w:rsidR="000E7503">
        <w:rPr>
          <w:szCs w:val="26"/>
        </w:rPr>
        <w:t>seek</w:t>
      </w:r>
      <w:r w:rsidR="0004051E">
        <w:rPr>
          <w:szCs w:val="26"/>
        </w:rPr>
        <w:t xml:space="preserve"> a financial recovery</w:t>
      </w:r>
      <w:r>
        <w:rPr>
          <w:szCs w:val="26"/>
        </w:rPr>
        <w:t xml:space="preserve"> </w:t>
      </w:r>
      <w:r w:rsidR="00483578">
        <w:rPr>
          <w:szCs w:val="26"/>
        </w:rPr>
        <w:t>attributable to</w:t>
      </w:r>
      <w:r w:rsidR="00CC5E80">
        <w:rPr>
          <w:szCs w:val="26"/>
        </w:rPr>
        <w:t xml:space="preserve"> a claim</w:t>
      </w:r>
      <w:r w:rsidR="00483578">
        <w:rPr>
          <w:szCs w:val="26"/>
        </w:rPr>
        <w:t>ed</w:t>
      </w:r>
      <w:r w:rsidR="00CC5E80">
        <w:rPr>
          <w:szCs w:val="26"/>
        </w:rPr>
        <w:t xml:space="preserve"> loss </w:t>
      </w:r>
      <w:r w:rsidR="001E21EF">
        <w:rPr>
          <w:szCs w:val="26"/>
        </w:rPr>
        <w:t xml:space="preserve">that was coverable </w:t>
      </w:r>
      <w:r w:rsidR="00CC5E80">
        <w:rPr>
          <w:szCs w:val="26"/>
        </w:rPr>
        <w:t xml:space="preserve">under </w:t>
      </w:r>
      <w:r w:rsidR="00881697">
        <w:rPr>
          <w:szCs w:val="26"/>
        </w:rPr>
        <w:t>a</w:t>
      </w:r>
      <w:r w:rsidR="00CC5E80">
        <w:rPr>
          <w:szCs w:val="26"/>
        </w:rPr>
        <w:t xml:space="preserve"> policy</w:t>
      </w:r>
      <w:r>
        <w:rPr>
          <w:szCs w:val="26"/>
        </w:rPr>
        <w:t xml:space="preserve">.  </w:t>
      </w:r>
      <w:r w:rsidR="00A06FDD">
        <w:rPr>
          <w:szCs w:val="26"/>
        </w:rPr>
        <w:t>Plaintiff</w:t>
      </w:r>
      <w:r>
        <w:rPr>
          <w:szCs w:val="26"/>
        </w:rPr>
        <w:t>, however,</w:t>
      </w:r>
      <w:r w:rsidR="000B2D10">
        <w:rPr>
          <w:szCs w:val="26"/>
        </w:rPr>
        <w:t xml:space="preserve"> </w:t>
      </w:r>
      <w:r w:rsidR="00EB3291">
        <w:rPr>
          <w:szCs w:val="26"/>
        </w:rPr>
        <w:t>pursues only</w:t>
      </w:r>
      <w:r w:rsidR="00814DC0">
        <w:rPr>
          <w:szCs w:val="26"/>
        </w:rPr>
        <w:t xml:space="preserve"> broad</w:t>
      </w:r>
      <w:r w:rsidR="00EB3291">
        <w:rPr>
          <w:szCs w:val="26"/>
        </w:rPr>
        <w:t xml:space="preserve"> declaratory relief</w:t>
      </w:r>
      <w:r w:rsidR="00C30B34">
        <w:rPr>
          <w:szCs w:val="26"/>
        </w:rPr>
        <w:t xml:space="preserve"> </w:t>
      </w:r>
      <w:r w:rsidR="00A06FDD">
        <w:rPr>
          <w:szCs w:val="26"/>
        </w:rPr>
        <w:t>pertaining to</w:t>
      </w:r>
      <w:r w:rsidR="00C30B34">
        <w:rPr>
          <w:szCs w:val="26"/>
        </w:rPr>
        <w:t xml:space="preserve"> State Farm’s alleged </w:t>
      </w:r>
      <w:r w:rsidR="00A06FDD">
        <w:rPr>
          <w:szCs w:val="26"/>
        </w:rPr>
        <w:t>claims-handling</w:t>
      </w:r>
      <w:r w:rsidR="00C30B34">
        <w:rPr>
          <w:szCs w:val="26"/>
        </w:rPr>
        <w:t xml:space="preserve"> practices</w:t>
      </w:r>
      <w:r w:rsidR="00EB3291">
        <w:rPr>
          <w:szCs w:val="26"/>
        </w:rPr>
        <w:t xml:space="preserve"> and an injunction that would require State Farm to </w:t>
      </w:r>
      <w:r w:rsidR="000B2D10">
        <w:rPr>
          <w:szCs w:val="26"/>
        </w:rPr>
        <w:t>“</w:t>
      </w:r>
      <w:r w:rsidRPr="002E76A2" w:rsidR="00EB3291">
        <w:rPr>
          <w:szCs w:val="26"/>
        </w:rPr>
        <w:t>give at least as much consideration to the interests of its insured as to its own interests</w:t>
      </w:r>
      <w:r w:rsidR="000B2D10">
        <w:rPr>
          <w:szCs w:val="26"/>
        </w:rPr>
        <w:t xml:space="preserve">.”  </w:t>
      </w:r>
      <w:r w:rsidR="00A06FDD">
        <w:rPr>
          <w:szCs w:val="26"/>
        </w:rPr>
        <w:t>These requests for declaratory and injunctive</w:t>
      </w:r>
      <w:r w:rsidR="00B97D44">
        <w:rPr>
          <w:szCs w:val="26"/>
        </w:rPr>
        <w:t xml:space="preserve"> relief </w:t>
      </w:r>
      <w:r w:rsidR="005F20EA">
        <w:rPr>
          <w:szCs w:val="26"/>
        </w:rPr>
        <w:t xml:space="preserve">do not </w:t>
      </w:r>
      <w:r w:rsidR="00C30B34">
        <w:rPr>
          <w:szCs w:val="26"/>
        </w:rPr>
        <w:t xml:space="preserve">directly or </w:t>
      </w:r>
      <w:r w:rsidR="00B40357">
        <w:rPr>
          <w:szCs w:val="26"/>
        </w:rPr>
        <w:t>in</w:t>
      </w:r>
      <w:r w:rsidR="00C30B34">
        <w:rPr>
          <w:szCs w:val="26"/>
        </w:rPr>
        <w:t>directly</w:t>
      </w:r>
      <w:r w:rsidR="00A06FDD">
        <w:rPr>
          <w:szCs w:val="26"/>
        </w:rPr>
        <w:t xml:space="preserve"> pursue</w:t>
      </w:r>
      <w:r w:rsidR="00B97D44">
        <w:rPr>
          <w:szCs w:val="26"/>
        </w:rPr>
        <w:t xml:space="preserve"> </w:t>
      </w:r>
      <w:r w:rsidR="00B40357">
        <w:rPr>
          <w:szCs w:val="26"/>
        </w:rPr>
        <w:t>the</w:t>
      </w:r>
      <w:r w:rsidR="00B97D44">
        <w:rPr>
          <w:szCs w:val="26"/>
        </w:rPr>
        <w:t xml:space="preserve"> recover</w:t>
      </w:r>
      <w:r w:rsidR="00A06FDD">
        <w:rPr>
          <w:szCs w:val="26"/>
        </w:rPr>
        <w:t>y</w:t>
      </w:r>
      <w:r w:rsidR="00B97D44">
        <w:rPr>
          <w:szCs w:val="26"/>
        </w:rPr>
        <w:t xml:space="preserve"> </w:t>
      </w:r>
      <w:r w:rsidR="00B40357">
        <w:rPr>
          <w:szCs w:val="26"/>
        </w:rPr>
        <w:t>of</w:t>
      </w:r>
      <w:r w:rsidR="005F20EA">
        <w:rPr>
          <w:szCs w:val="26"/>
        </w:rPr>
        <w:t xml:space="preserve"> benefits</w:t>
      </w:r>
      <w:r w:rsidR="00FD54B6">
        <w:rPr>
          <w:szCs w:val="26"/>
        </w:rPr>
        <w:t xml:space="preserve"> under plaintiff’s insurance policy</w:t>
      </w:r>
      <w:r w:rsidR="0004051E">
        <w:rPr>
          <w:szCs w:val="26"/>
        </w:rPr>
        <w:t>, or for that matter any financial recovery for plaintiff</w:t>
      </w:r>
      <w:r w:rsidR="00B97D44">
        <w:rPr>
          <w:szCs w:val="26"/>
        </w:rPr>
        <w:t>.</w:t>
      </w:r>
      <w:r w:rsidRPr="002E76A2" w:rsidR="007E4CCC">
        <w:rPr>
          <w:szCs w:val="26"/>
          <w:bdr w:val="none" w:sz="0" w:space="0" w:color="auto" w:frame="1"/>
        </w:rPr>
        <w:t xml:space="preserve">  </w:t>
      </w:r>
      <w:r w:rsidR="00FB33DA">
        <w:rPr>
          <w:szCs w:val="26"/>
          <w:bdr w:val="none" w:sz="0" w:space="0" w:color="auto" w:frame="1"/>
        </w:rPr>
        <w:t xml:space="preserve">Instead, these forms of relief are being invoked here </w:t>
      </w:r>
      <w:r w:rsidR="00B40357">
        <w:rPr>
          <w:szCs w:val="26"/>
          <w:bdr w:val="none" w:sz="0" w:space="0" w:color="auto" w:frame="1"/>
        </w:rPr>
        <w:t xml:space="preserve">on behalf of consumers generally and </w:t>
      </w:r>
      <w:r w:rsidR="00FB33DA">
        <w:rPr>
          <w:szCs w:val="26"/>
          <w:bdr w:val="none" w:sz="0" w:space="0" w:color="auto" w:frame="1"/>
        </w:rPr>
        <w:t xml:space="preserve">in service of the UCL’s protective and preventive functions.  (See </w:t>
      </w:r>
      <w:r w:rsidRPr="002E76A2" w:rsidR="003726FF">
        <w:rPr>
          <w:i/>
          <w:iCs/>
          <w:szCs w:val="26"/>
          <w:bdr w:val="none" w:sz="0" w:space="0" w:color="auto" w:frame="1"/>
        </w:rPr>
        <w:t xml:space="preserve">Nationwide </w:t>
      </w:r>
      <w:r w:rsidRPr="00B97D44" w:rsidR="003726FF">
        <w:rPr>
          <w:i/>
          <w:iCs/>
          <w:szCs w:val="26"/>
          <w:bdr w:val="none" w:sz="0" w:space="0" w:color="auto" w:frame="1"/>
        </w:rPr>
        <w:t>Biweekly</w:t>
      </w:r>
      <w:r w:rsidR="003726FF">
        <w:rPr>
          <w:szCs w:val="26"/>
          <w:bdr w:val="none" w:sz="0" w:space="0" w:color="auto" w:frame="1"/>
        </w:rPr>
        <w:t xml:space="preserve">, </w:t>
      </w:r>
      <w:r w:rsidRPr="004B6D6D" w:rsidR="003726FF">
        <w:rPr>
          <w:i/>
          <w:iCs/>
          <w:szCs w:val="26"/>
          <w:bdr w:val="none" w:sz="0" w:space="0" w:color="auto" w:frame="1"/>
        </w:rPr>
        <w:t>supra</w:t>
      </w:r>
      <w:r w:rsidR="003726FF">
        <w:rPr>
          <w:szCs w:val="26"/>
          <w:bdr w:val="none" w:sz="0" w:space="0" w:color="auto" w:frame="1"/>
        </w:rPr>
        <w:t xml:space="preserve">, </w:t>
      </w:r>
      <w:r w:rsidRPr="004B6D6D" w:rsidR="003726FF">
        <w:rPr>
          <w:szCs w:val="26"/>
          <w:bdr w:val="none" w:sz="0" w:space="0" w:color="auto" w:frame="1"/>
        </w:rPr>
        <w:t>9</w:t>
      </w:r>
      <w:r w:rsidR="006A1D29">
        <w:rPr>
          <w:szCs w:val="26"/>
          <w:bdr w:val="none" w:sz="0" w:space="0" w:color="auto" w:frame="1"/>
        </w:rPr>
        <w:t> </w:t>
      </w:r>
      <w:r w:rsidRPr="002E76A2" w:rsidR="003726FF">
        <w:rPr>
          <w:szCs w:val="26"/>
          <w:bdr w:val="none" w:sz="0" w:space="0" w:color="auto" w:frame="1"/>
        </w:rPr>
        <w:t xml:space="preserve">Cal.5th </w:t>
      </w:r>
      <w:r w:rsidR="003726FF">
        <w:rPr>
          <w:szCs w:val="26"/>
          <w:bdr w:val="none" w:sz="0" w:space="0" w:color="auto" w:frame="1"/>
        </w:rPr>
        <w:t>at p.</w:t>
      </w:r>
      <w:r w:rsidR="00EF2DD9">
        <w:rPr>
          <w:szCs w:val="26"/>
          <w:bdr w:val="none" w:sz="0" w:space="0" w:color="auto" w:frame="1"/>
        </w:rPr>
        <w:t> </w:t>
      </w:r>
      <w:r w:rsidRPr="002E76A2" w:rsidR="003726FF">
        <w:rPr>
          <w:szCs w:val="26"/>
          <w:bdr w:val="none" w:sz="0" w:space="0" w:color="auto" w:frame="1"/>
        </w:rPr>
        <w:t>32</w:t>
      </w:r>
      <w:r w:rsidR="003726FF">
        <w:rPr>
          <w:szCs w:val="26"/>
          <w:bdr w:val="none" w:sz="0" w:space="0" w:color="auto" w:frame="1"/>
        </w:rPr>
        <w:t>6 [describing the UCL’s “primary objective” as “</w:t>
      </w:r>
      <w:r w:rsidRPr="002E76A2" w:rsidR="003726FF">
        <w:rPr>
          <w:szCs w:val="26"/>
          <w:bdr w:val="none" w:sz="0" w:space="0" w:color="auto" w:frame="1"/>
        </w:rPr>
        <w:t>preventive, authorizing the exercise of broad equitable authority to protect consumers</w:t>
      </w:r>
      <w:r w:rsidR="003726FF">
        <w:rPr>
          <w:szCs w:val="26"/>
          <w:bdr w:val="none" w:sz="0" w:space="0" w:color="auto" w:frame="1"/>
        </w:rPr>
        <w:t>”]</w:t>
      </w:r>
      <w:r w:rsidR="00A06FDD">
        <w:rPr>
          <w:szCs w:val="26"/>
          <w:bdr w:val="none" w:sz="0" w:space="0" w:color="auto" w:frame="1"/>
        </w:rPr>
        <w:t xml:space="preserve">; </w:t>
      </w:r>
      <w:r w:rsidRPr="002E76A2" w:rsidR="00A06FDD">
        <w:rPr>
          <w:i/>
          <w:iCs/>
          <w:szCs w:val="26"/>
          <w:bdr w:val="none" w:sz="0" w:space="0" w:color="auto" w:frame="1"/>
        </w:rPr>
        <w:t>Zhang v. Superior Court</w:t>
      </w:r>
      <w:r w:rsidRPr="002E76A2" w:rsidR="00A06FDD">
        <w:rPr>
          <w:szCs w:val="26"/>
          <w:bdr w:val="none" w:sz="0" w:space="0" w:color="auto" w:frame="1"/>
        </w:rPr>
        <w:t xml:space="preserve"> (2013) 57</w:t>
      </w:r>
      <w:r w:rsidR="00A06FDD">
        <w:rPr>
          <w:szCs w:val="26"/>
          <w:bdr w:val="none" w:sz="0" w:space="0" w:color="auto" w:frame="1"/>
        </w:rPr>
        <w:t> </w:t>
      </w:r>
      <w:r w:rsidRPr="002E76A2" w:rsidR="00A06FDD">
        <w:rPr>
          <w:szCs w:val="26"/>
          <w:bdr w:val="none" w:sz="0" w:space="0" w:color="auto" w:frame="1"/>
        </w:rPr>
        <w:t>Cal.4th 364, 3</w:t>
      </w:r>
      <w:r w:rsidR="00A06FDD">
        <w:rPr>
          <w:szCs w:val="26"/>
          <w:bdr w:val="none" w:sz="0" w:space="0" w:color="auto" w:frame="1"/>
        </w:rPr>
        <w:t>82</w:t>
      </w:r>
      <w:r w:rsidRPr="002E76A2" w:rsidR="00A06FDD">
        <w:rPr>
          <w:szCs w:val="26"/>
          <w:bdr w:val="none" w:sz="0" w:space="0" w:color="auto" w:frame="1"/>
        </w:rPr>
        <w:t xml:space="preserve"> (</w:t>
      </w:r>
      <w:r w:rsidRPr="002E76A2" w:rsidR="00A06FDD">
        <w:rPr>
          <w:i/>
          <w:iCs/>
          <w:szCs w:val="26"/>
          <w:bdr w:val="none" w:sz="0" w:space="0" w:color="auto" w:frame="1"/>
        </w:rPr>
        <w:t>Zhang</w:t>
      </w:r>
      <w:r w:rsidRPr="002E76A2" w:rsidR="00A06FDD">
        <w:rPr>
          <w:szCs w:val="26"/>
          <w:bdr w:val="none" w:sz="0" w:space="0" w:color="auto" w:frame="1"/>
        </w:rPr>
        <w:t>)</w:t>
      </w:r>
      <w:r w:rsidR="00A06FDD">
        <w:rPr>
          <w:szCs w:val="26"/>
          <w:bdr w:val="none" w:sz="0" w:space="0" w:color="auto" w:frame="1"/>
        </w:rPr>
        <w:t xml:space="preserve"> [“</w:t>
      </w:r>
      <w:r w:rsidR="00FB33DA">
        <w:rPr>
          <w:szCs w:val="26"/>
          <w:bdr w:val="none" w:sz="0" w:space="0" w:color="auto" w:frame="1"/>
        </w:rPr>
        <w:t>[a]</w:t>
      </w:r>
      <w:r w:rsidRPr="002E76A2" w:rsidR="00A06FDD">
        <w:rPr>
          <w:szCs w:val="26"/>
          <w:bdr w:val="none" w:sz="0" w:space="0" w:color="auto" w:frame="1"/>
        </w:rPr>
        <w:t xml:space="preserve"> UCL claim does not duplicate the contract and tort causes of action involved in bad faith litigation”</w:t>
      </w:r>
      <w:r w:rsidR="00A06FDD">
        <w:rPr>
          <w:szCs w:val="26"/>
          <w:bdr w:val="none" w:sz="0" w:space="0" w:color="auto" w:frame="1"/>
        </w:rPr>
        <w:t>]</w:t>
      </w:r>
      <w:r>
        <w:rPr>
          <w:szCs w:val="26"/>
          <w:bdr w:val="none" w:sz="0" w:space="0" w:color="auto" w:frame="1"/>
        </w:rPr>
        <w:t>;</w:t>
      </w:r>
      <w:r w:rsidR="0033349A">
        <w:rPr>
          <w:szCs w:val="26"/>
          <w:bdr w:val="none" w:sz="0" w:space="0" w:color="auto" w:frame="1"/>
        </w:rPr>
        <w:t xml:space="preserve"> </w:t>
      </w:r>
      <w:r w:rsidRPr="002E76A2" w:rsidR="0033349A">
        <w:rPr>
          <w:i/>
          <w:iCs/>
          <w:szCs w:val="26"/>
          <w:bdr w:val="none" w:sz="0" w:space="0" w:color="auto" w:frame="1"/>
        </w:rPr>
        <w:t>Kwikset</w:t>
      </w:r>
      <w:r w:rsidRPr="002E76A2" w:rsidR="0033349A">
        <w:rPr>
          <w:szCs w:val="26"/>
          <w:bdr w:val="none" w:sz="0" w:space="0" w:color="auto" w:frame="1"/>
        </w:rPr>
        <w:t>, </w:t>
      </w:r>
      <w:r w:rsidRPr="002E76A2" w:rsidR="0033349A">
        <w:rPr>
          <w:i/>
          <w:iCs/>
          <w:szCs w:val="26"/>
          <w:bdr w:val="none" w:sz="0" w:space="0" w:color="auto" w:frame="1"/>
        </w:rPr>
        <w:t>supra</w:t>
      </w:r>
      <w:r w:rsidRPr="002E76A2" w:rsidR="0033349A">
        <w:rPr>
          <w:szCs w:val="26"/>
          <w:bdr w:val="none" w:sz="0" w:space="0" w:color="auto" w:frame="1"/>
        </w:rPr>
        <w:t>, 51</w:t>
      </w:r>
      <w:r w:rsidR="0033349A">
        <w:rPr>
          <w:szCs w:val="26"/>
          <w:bdr w:val="none" w:sz="0" w:space="0" w:color="auto" w:frame="1"/>
        </w:rPr>
        <w:t> </w:t>
      </w:r>
      <w:r w:rsidRPr="002E76A2" w:rsidR="0033349A">
        <w:rPr>
          <w:szCs w:val="26"/>
          <w:bdr w:val="none" w:sz="0" w:space="0" w:color="auto" w:frame="1"/>
        </w:rPr>
        <w:t>Cal.4th at p. 337</w:t>
      </w:r>
      <w:r w:rsidR="0033349A">
        <w:rPr>
          <w:szCs w:val="26"/>
          <w:bdr w:val="none" w:sz="0" w:space="0" w:color="auto" w:frame="1"/>
        </w:rPr>
        <w:t xml:space="preserve"> [explaining that injunctive relief </w:t>
      </w:r>
      <w:r w:rsidRPr="002E76A2" w:rsidR="0033349A">
        <w:rPr>
          <w:szCs w:val="26"/>
          <w:bdr w:val="none" w:sz="0" w:space="0" w:color="auto" w:frame="1"/>
        </w:rPr>
        <w:t>“</w:t>
      </w:r>
      <w:r w:rsidR="0033349A">
        <w:rPr>
          <w:szCs w:val="26"/>
          <w:bdr w:val="none" w:sz="0" w:space="0" w:color="auto" w:frame="1"/>
        </w:rPr>
        <w:t> </w:t>
      </w:r>
      <w:r w:rsidRPr="002E76A2" w:rsidR="0033349A">
        <w:rPr>
          <w:szCs w:val="26"/>
          <w:bdr w:val="none" w:sz="0" w:space="0" w:color="auto" w:frame="1"/>
        </w:rPr>
        <w:t xml:space="preserve">‘under the UCL </w:t>
      </w:r>
      <w:r w:rsidR="0033349A">
        <w:rPr>
          <w:szCs w:val="26"/>
          <w:bdr w:val="none" w:sz="0" w:space="0" w:color="auto" w:frame="1"/>
        </w:rPr>
        <w:t>. . .</w:t>
      </w:r>
      <w:r w:rsidRPr="002E76A2" w:rsidR="0033349A">
        <w:rPr>
          <w:szCs w:val="26"/>
          <w:bdr w:val="none" w:sz="0" w:space="0" w:color="auto" w:frame="1"/>
        </w:rPr>
        <w:t xml:space="preserve"> protect</w:t>
      </w:r>
      <w:r w:rsidR="0033349A">
        <w:rPr>
          <w:szCs w:val="26"/>
          <w:bdr w:val="none" w:sz="0" w:space="0" w:color="auto" w:frame="1"/>
        </w:rPr>
        <w:t>[s]</w:t>
      </w:r>
      <w:r w:rsidRPr="002E76A2" w:rsidR="0033349A">
        <w:rPr>
          <w:szCs w:val="26"/>
          <w:bdr w:val="none" w:sz="0" w:space="0" w:color="auto" w:frame="1"/>
        </w:rPr>
        <w:t xml:space="preserve"> consumers from unfair business practices’ ”</w:t>
      </w:r>
      <w:r w:rsidR="0033349A">
        <w:rPr>
          <w:szCs w:val="26"/>
          <w:bdr w:val="none" w:sz="0" w:space="0" w:color="auto" w:frame="1"/>
        </w:rPr>
        <w:t xml:space="preserve">]; </w:t>
      </w:r>
      <w:r w:rsidRPr="002E76A2" w:rsidR="007E4CCC">
        <w:rPr>
          <w:i/>
          <w:iCs/>
          <w:szCs w:val="26"/>
          <w:bdr w:val="none" w:sz="0" w:space="0" w:color="auto" w:frame="1"/>
        </w:rPr>
        <w:t>In re Tobacco II Cases</w:t>
      </w:r>
      <w:r w:rsidRPr="002E76A2" w:rsidR="007E4CCC">
        <w:rPr>
          <w:szCs w:val="26"/>
          <w:bdr w:val="none" w:sz="0" w:space="0" w:color="auto" w:frame="1"/>
        </w:rPr>
        <w:t> (2009) 46 Cal.4th 298, 320</w:t>
      </w:r>
      <w:r>
        <w:rPr>
          <w:szCs w:val="26"/>
          <w:bdr w:val="none" w:sz="0" w:space="0" w:color="auto" w:frame="1"/>
        </w:rPr>
        <w:t xml:space="preserve"> [“</w:t>
      </w:r>
      <w:r w:rsidRPr="002E76A2">
        <w:rPr>
          <w:szCs w:val="26"/>
          <w:bdr w:val="none" w:sz="0" w:space="0" w:color="auto" w:frame="1"/>
        </w:rPr>
        <w:t xml:space="preserve">The purpose of </w:t>
      </w:r>
      <w:r>
        <w:rPr>
          <w:szCs w:val="26"/>
          <w:bdr w:val="none" w:sz="0" w:space="0" w:color="auto" w:frame="1"/>
        </w:rPr>
        <w:t>[injunctive]</w:t>
      </w:r>
      <w:r w:rsidRPr="002E76A2">
        <w:rPr>
          <w:szCs w:val="26"/>
          <w:bdr w:val="none" w:sz="0" w:space="0" w:color="auto" w:frame="1"/>
        </w:rPr>
        <w:t xml:space="preserve"> relief, in the context of a UCL action, is to protect California’s consumers against unfair business practices by stopping such practices in their tracks”</w:t>
      </w:r>
      <w:r>
        <w:rPr>
          <w:szCs w:val="26"/>
          <w:bdr w:val="none" w:sz="0" w:space="0" w:color="auto" w:frame="1"/>
        </w:rPr>
        <w:t>]</w:t>
      </w:r>
      <w:r w:rsidRPr="002E76A2" w:rsidR="00B43A55">
        <w:rPr>
          <w:szCs w:val="26"/>
          <w:bdr w:val="none" w:sz="0" w:space="0" w:color="auto" w:frame="1"/>
        </w:rPr>
        <w:t>.</w:t>
      </w:r>
      <w:r w:rsidRPr="002E76A2" w:rsidR="007E4CCC">
        <w:rPr>
          <w:szCs w:val="26"/>
          <w:bdr w:val="none" w:sz="0" w:space="0" w:color="auto" w:frame="1"/>
        </w:rPr>
        <w:t>)</w:t>
      </w:r>
      <w:r w:rsidR="006B4035">
        <w:rPr>
          <w:szCs w:val="26"/>
          <w:bdr w:val="none" w:sz="0" w:space="0" w:color="auto" w:frame="1"/>
        </w:rPr>
        <w:t xml:space="preserve">  </w:t>
      </w:r>
    </w:p>
    <w:p w:rsidR="007E4CCC" w:rsidRPr="002E76A2" w:rsidP="00C07BE5">
      <w:pPr>
        <w:ind w:firstLine="720"/>
        <w:rPr>
          <w:szCs w:val="26"/>
          <w:bdr w:val="none" w:sz="0" w:space="0" w:color="auto" w:frame="1"/>
        </w:rPr>
      </w:pPr>
      <w:r>
        <w:rPr>
          <w:szCs w:val="26"/>
          <w:bdr w:val="none" w:sz="0" w:space="0" w:color="auto" w:frame="1"/>
        </w:rPr>
        <w:t xml:space="preserve">It </w:t>
      </w:r>
      <w:r w:rsidR="005D7574">
        <w:rPr>
          <w:szCs w:val="26"/>
          <w:bdr w:val="none" w:sz="0" w:space="0" w:color="auto" w:frame="1"/>
        </w:rPr>
        <w:t xml:space="preserve">follows from the analysis above, together with </w:t>
      </w:r>
      <w:r w:rsidR="006B4035">
        <w:rPr>
          <w:szCs w:val="26"/>
          <w:bdr w:val="none" w:sz="0" w:space="0" w:color="auto" w:frame="1"/>
        </w:rPr>
        <w:t>State Farm</w:t>
      </w:r>
      <w:r w:rsidR="005D7574">
        <w:rPr>
          <w:szCs w:val="26"/>
          <w:bdr w:val="none" w:sz="0" w:space="0" w:color="auto" w:frame="1"/>
        </w:rPr>
        <w:t>’s</w:t>
      </w:r>
      <w:r w:rsidR="006B4035">
        <w:rPr>
          <w:szCs w:val="26"/>
          <w:bdr w:val="none" w:sz="0" w:space="0" w:color="auto" w:frame="1"/>
        </w:rPr>
        <w:t xml:space="preserve"> acknowledge</w:t>
      </w:r>
      <w:r w:rsidR="005D7574">
        <w:rPr>
          <w:szCs w:val="26"/>
          <w:bdr w:val="none" w:sz="0" w:space="0" w:color="auto" w:frame="1"/>
        </w:rPr>
        <w:t>ment</w:t>
      </w:r>
      <w:r w:rsidR="006B4035">
        <w:rPr>
          <w:szCs w:val="26"/>
          <w:bdr w:val="none" w:sz="0" w:space="0" w:color="auto" w:frame="1"/>
        </w:rPr>
        <w:t xml:space="preserve"> that the limitations provision within plaintiff’s insurance policy is equivalent to the timeliness language appearing in section 2071, that the one-year deadline found in both that statute and the policy does not </w:t>
      </w:r>
      <w:r w:rsidR="00625E23">
        <w:rPr>
          <w:szCs w:val="26"/>
          <w:bdr w:val="none" w:sz="0" w:space="0" w:color="auto" w:frame="1"/>
        </w:rPr>
        <w:t>apply</w:t>
      </w:r>
      <w:r w:rsidR="006B4035">
        <w:rPr>
          <w:szCs w:val="26"/>
          <w:bdr w:val="none" w:sz="0" w:space="0" w:color="auto" w:frame="1"/>
        </w:rPr>
        <w:t xml:space="preserve"> to plaintiff’s cause of action under the UCL.  </w:t>
      </w:r>
    </w:p>
    <w:p w:rsidR="007E4CCC" w:rsidRPr="00C30B34" w:rsidP="00C749EA">
      <w:pPr>
        <w:pStyle w:val="NormalWeb"/>
        <w:shd w:val="clear" w:color="auto" w:fill="FFFFFF"/>
        <w:spacing w:before="0" w:beforeAutospacing="0" w:afterAutospacing="0"/>
        <w:ind w:firstLine="720"/>
        <w:rPr>
          <w:sz w:val="27"/>
          <w:szCs w:val="26"/>
          <w:bdr w:val="none" w:sz="0" w:space="0" w:color="auto" w:frame="1"/>
        </w:rPr>
      </w:pPr>
      <w:r w:rsidRPr="1CCACB4F">
        <w:rPr>
          <w:sz w:val="27"/>
          <w:szCs w:val="27"/>
          <w:bdr w:val="none" w:sz="0" w:space="0" w:color="auto" w:frame="1"/>
        </w:rPr>
        <w:t xml:space="preserve">State Farm’s arguments </w:t>
      </w:r>
      <w:r w:rsidRPr="1CCACB4F" w:rsidR="007A469C">
        <w:rPr>
          <w:sz w:val="27"/>
          <w:szCs w:val="27"/>
          <w:bdr w:val="none" w:sz="0" w:space="0" w:color="auto" w:frame="1"/>
        </w:rPr>
        <w:t xml:space="preserve">for </w:t>
      </w:r>
      <w:r w:rsidRPr="1CCACB4F" w:rsidR="006B4035">
        <w:rPr>
          <w:sz w:val="27"/>
          <w:szCs w:val="27"/>
          <w:bdr w:val="none" w:sz="0" w:space="0" w:color="auto" w:frame="1"/>
        </w:rPr>
        <w:t>applying</w:t>
      </w:r>
      <w:r w:rsidRPr="1CCACB4F" w:rsidR="007A469C">
        <w:rPr>
          <w:sz w:val="27"/>
          <w:szCs w:val="27"/>
          <w:bdr w:val="none" w:sz="0" w:space="0" w:color="auto" w:frame="1"/>
        </w:rPr>
        <w:t xml:space="preserve"> the one-year limitations provision to plaintiff’s UCL cause of action</w:t>
      </w:r>
      <w:r w:rsidRPr="1CCACB4F">
        <w:rPr>
          <w:sz w:val="27"/>
          <w:szCs w:val="27"/>
          <w:bdr w:val="none" w:sz="0" w:space="0" w:color="auto" w:frame="1"/>
        </w:rPr>
        <w:t xml:space="preserve"> </w:t>
      </w:r>
      <w:r w:rsidRPr="1CCACB4F" w:rsidR="00921932">
        <w:rPr>
          <w:sz w:val="27"/>
          <w:szCs w:val="27"/>
          <w:bdr w:val="none" w:sz="0" w:space="0" w:color="auto" w:frame="1"/>
        </w:rPr>
        <w:t>all</w:t>
      </w:r>
      <w:r w:rsidRPr="1CCACB4F">
        <w:rPr>
          <w:sz w:val="27"/>
          <w:szCs w:val="27"/>
          <w:bdr w:val="none" w:sz="0" w:space="0" w:color="auto" w:frame="1"/>
        </w:rPr>
        <w:t xml:space="preserve"> fall short.  </w:t>
      </w:r>
      <w:r w:rsidR="00C30B34">
        <w:rPr>
          <w:sz w:val="27"/>
          <w:szCs w:val="27"/>
          <w:bdr w:val="none" w:sz="0" w:space="0" w:color="auto" w:frame="1"/>
        </w:rPr>
        <w:t>R</w:t>
      </w:r>
      <w:r w:rsidR="00E06A25">
        <w:rPr>
          <w:sz w:val="27"/>
          <w:szCs w:val="27"/>
          <w:bdr w:val="none" w:sz="0" w:space="0" w:color="auto" w:frame="1"/>
        </w:rPr>
        <w:t>egarding the text of section 2071,</w:t>
      </w:r>
      <w:r w:rsidR="00C30B34">
        <w:rPr>
          <w:sz w:val="27"/>
          <w:szCs w:val="27"/>
          <w:bdr w:val="none" w:sz="0" w:space="0" w:color="auto" w:frame="1"/>
        </w:rPr>
        <w:t xml:space="preserve"> </w:t>
      </w:r>
      <w:r w:rsidRPr="002E76A2">
        <w:rPr>
          <w:sz w:val="27"/>
          <w:szCs w:val="27"/>
          <w:bdr w:val="none" w:sz="0" w:space="0" w:color="auto" w:frame="1"/>
        </w:rPr>
        <w:t>State Farm</w:t>
      </w:r>
      <w:r w:rsidR="00E06A25">
        <w:rPr>
          <w:sz w:val="27"/>
          <w:szCs w:val="27"/>
          <w:bdr w:val="none" w:sz="0" w:space="0" w:color="auto" w:frame="1"/>
        </w:rPr>
        <w:t xml:space="preserve"> </w:t>
      </w:r>
      <w:r w:rsidR="00C749EA">
        <w:rPr>
          <w:sz w:val="27"/>
          <w:szCs w:val="27"/>
          <w:bdr w:val="none" w:sz="0" w:space="0" w:color="auto" w:frame="1"/>
        </w:rPr>
        <w:t>contends</w:t>
      </w:r>
      <w:r w:rsidRPr="002E76A2">
        <w:rPr>
          <w:sz w:val="27"/>
          <w:szCs w:val="27"/>
          <w:bdr w:val="none" w:sz="0" w:space="0" w:color="auto" w:frame="1"/>
        </w:rPr>
        <w:t xml:space="preserve"> that the </w:t>
      </w:r>
      <w:r w:rsidRPr="002E76A2">
        <w:rPr>
          <w:sz w:val="27"/>
          <w:szCs w:val="27"/>
        </w:rPr>
        <w:t xml:space="preserve">one-year </w:t>
      </w:r>
      <w:r w:rsidRPr="002E76A2">
        <w:rPr>
          <w:sz w:val="27"/>
          <w:szCs w:val="27"/>
          <w:bdr w:val="none" w:sz="0" w:space="0" w:color="auto" w:frame="1"/>
        </w:rPr>
        <w:t xml:space="preserve">time limit must extend to </w:t>
      </w:r>
      <w:r w:rsidR="00973022">
        <w:rPr>
          <w:sz w:val="27"/>
          <w:szCs w:val="27"/>
          <w:bdr w:val="none" w:sz="0" w:space="0" w:color="auto" w:frame="1"/>
        </w:rPr>
        <w:t>causes of action</w:t>
      </w:r>
      <w:r w:rsidRPr="1CCACB4F">
        <w:rPr>
          <w:sz w:val="27"/>
          <w:szCs w:val="27"/>
          <w:bdr w:val="none" w:sz="0" w:space="0" w:color="auto" w:frame="1"/>
        </w:rPr>
        <w:t xml:space="preserve"> seeking </w:t>
      </w:r>
      <w:r w:rsidRPr="1CCACB4F" w:rsidR="00625E23">
        <w:rPr>
          <w:sz w:val="27"/>
          <w:szCs w:val="27"/>
          <w:bdr w:val="none" w:sz="0" w:space="0" w:color="auto" w:frame="1"/>
        </w:rPr>
        <w:t>declaratory and</w:t>
      </w:r>
      <w:r w:rsidRPr="1CCACB4F">
        <w:rPr>
          <w:sz w:val="27"/>
          <w:szCs w:val="27"/>
          <w:bdr w:val="none" w:sz="0" w:space="0" w:color="auto" w:frame="1"/>
        </w:rPr>
        <w:t xml:space="preserve"> injunctive relief because the limitations language in section 2071 refers to suits or actions brought in courts of “law </w:t>
      </w:r>
      <w:r w:rsidRPr="1CCACB4F">
        <w:rPr>
          <w:i/>
          <w:iCs/>
          <w:sz w:val="27"/>
          <w:szCs w:val="27"/>
          <w:bdr w:val="none" w:sz="0" w:space="0" w:color="auto" w:frame="1"/>
        </w:rPr>
        <w:t>or equity</w:t>
      </w:r>
      <w:r w:rsidRPr="1CCACB4F">
        <w:rPr>
          <w:sz w:val="27"/>
          <w:szCs w:val="27"/>
          <w:bdr w:val="none" w:sz="0" w:space="0" w:color="auto" w:frame="1"/>
        </w:rPr>
        <w:t xml:space="preserve">.” </w:t>
      </w:r>
      <w:r w:rsidRPr="1CCACB4F" w:rsidR="001E63F7">
        <w:rPr>
          <w:sz w:val="27"/>
          <w:szCs w:val="27"/>
          <w:bdr w:val="none" w:sz="0" w:space="0" w:color="auto" w:frame="1"/>
        </w:rPr>
        <w:t xml:space="preserve"> </w:t>
      </w:r>
      <w:r w:rsidRPr="1CCACB4F">
        <w:rPr>
          <w:sz w:val="27"/>
          <w:szCs w:val="27"/>
          <w:bdr w:val="none" w:sz="0" w:space="0" w:color="auto" w:frame="1"/>
        </w:rPr>
        <w:t>(Italics added.)</w:t>
      </w:r>
      <w:r w:rsidRPr="1CCACB4F" w:rsidR="001E63F7">
        <w:rPr>
          <w:sz w:val="27"/>
          <w:szCs w:val="27"/>
          <w:bdr w:val="none" w:sz="0" w:space="0" w:color="auto" w:frame="1"/>
        </w:rPr>
        <w:t xml:space="preserve">  </w:t>
      </w:r>
      <w:r w:rsidRPr="1CCACB4F">
        <w:rPr>
          <w:sz w:val="27"/>
          <w:szCs w:val="27"/>
          <w:bdr w:val="none" w:sz="0" w:space="0" w:color="auto" w:frame="1"/>
        </w:rPr>
        <w:t xml:space="preserve">But </w:t>
      </w:r>
      <w:r w:rsidRPr="1CCACB4F" w:rsidR="001B0476">
        <w:rPr>
          <w:sz w:val="27"/>
          <w:szCs w:val="27"/>
          <w:bdr w:val="none" w:sz="0" w:space="0" w:color="auto" w:frame="1"/>
        </w:rPr>
        <w:t xml:space="preserve">this </w:t>
      </w:r>
      <w:r w:rsidR="001B0476">
        <w:rPr>
          <w:sz w:val="27"/>
          <w:szCs w:val="27"/>
          <w:bdr w:val="none" w:sz="0" w:space="0" w:color="auto" w:frame="1"/>
        </w:rPr>
        <w:t>reference</w:t>
      </w:r>
      <w:r w:rsidRPr="1CCACB4F">
        <w:rPr>
          <w:sz w:val="27"/>
          <w:szCs w:val="27"/>
          <w:bdr w:val="none" w:sz="0" w:space="0" w:color="auto" w:frame="1"/>
        </w:rPr>
        <w:t xml:space="preserve"> to courts of equity</w:t>
      </w:r>
      <w:r w:rsidRPr="1CCACB4F" w:rsidR="002B4853">
        <w:rPr>
          <w:sz w:val="27"/>
          <w:szCs w:val="27"/>
          <w:bdr w:val="none" w:sz="0" w:space="0" w:color="auto" w:frame="1"/>
        </w:rPr>
        <w:t>, read in context,</w:t>
      </w:r>
      <w:r w:rsidRPr="1CCACB4F">
        <w:rPr>
          <w:sz w:val="27"/>
          <w:szCs w:val="27"/>
          <w:bdr w:val="none" w:sz="0" w:space="0" w:color="auto" w:frame="1"/>
        </w:rPr>
        <w:t xml:space="preserve"> is </w:t>
      </w:r>
      <w:r w:rsidRPr="1CCACB4F" w:rsidR="003925FB">
        <w:rPr>
          <w:sz w:val="27"/>
          <w:szCs w:val="27"/>
          <w:bdr w:val="none" w:sz="0" w:space="0" w:color="auto" w:frame="1"/>
        </w:rPr>
        <w:t>better</w:t>
      </w:r>
      <w:r w:rsidRPr="1CCACB4F">
        <w:rPr>
          <w:sz w:val="27"/>
          <w:szCs w:val="27"/>
          <w:bdr w:val="none" w:sz="0" w:space="0" w:color="auto" w:frame="1"/>
        </w:rPr>
        <w:t xml:space="preserve"> understood as concerned with suits or actions that</w:t>
      </w:r>
      <w:r w:rsidRPr="1CCACB4F" w:rsidR="007A469C">
        <w:rPr>
          <w:sz w:val="27"/>
          <w:szCs w:val="27"/>
          <w:bdr w:val="none" w:sz="0" w:space="0" w:color="auto" w:frame="1"/>
        </w:rPr>
        <w:t xml:space="preserve"> </w:t>
      </w:r>
      <w:r w:rsidRPr="1CCACB4F">
        <w:rPr>
          <w:sz w:val="27"/>
          <w:szCs w:val="27"/>
          <w:bdr w:val="none" w:sz="0" w:space="0" w:color="auto" w:frame="1"/>
        </w:rPr>
        <w:t xml:space="preserve">invoke equitable theories and remedies, such as unjust enrichment, in </w:t>
      </w:r>
      <w:r w:rsidRPr="1CCACB4F" w:rsidR="00C4479A">
        <w:rPr>
          <w:sz w:val="27"/>
          <w:szCs w:val="27"/>
          <w:bdr w:val="none" w:sz="0" w:space="0" w:color="auto" w:frame="1"/>
        </w:rPr>
        <w:t>pursuing financial</w:t>
      </w:r>
      <w:r w:rsidRPr="1CCACB4F">
        <w:rPr>
          <w:sz w:val="27"/>
          <w:szCs w:val="27"/>
          <w:bdr w:val="none" w:sz="0" w:space="0" w:color="auto" w:frame="1"/>
        </w:rPr>
        <w:t xml:space="preserve"> recover</w:t>
      </w:r>
      <w:r w:rsidRPr="1CCACB4F" w:rsidR="009F4C55">
        <w:rPr>
          <w:sz w:val="27"/>
          <w:szCs w:val="27"/>
          <w:bdr w:val="none" w:sz="0" w:space="0" w:color="auto" w:frame="1"/>
        </w:rPr>
        <w:t>y</w:t>
      </w:r>
      <w:r w:rsidRPr="1CCACB4F">
        <w:rPr>
          <w:sz w:val="27"/>
          <w:szCs w:val="27"/>
          <w:bdr w:val="none" w:sz="0" w:space="0" w:color="auto" w:frame="1"/>
        </w:rPr>
        <w:t xml:space="preserve"> </w:t>
      </w:r>
      <w:r w:rsidRPr="1CCACB4F" w:rsidR="0043227D">
        <w:rPr>
          <w:sz w:val="27"/>
          <w:szCs w:val="27"/>
          <w:bdr w:val="none" w:sz="0" w:space="0" w:color="auto" w:frame="1"/>
        </w:rPr>
        <w:t>on</w:t>
      </w:r>
      <w:r w:rsidRPr="1CCACB4F">
        <w:rPr>
          <w:sz w:val="27"/>
          <w:szCs w:val="27"/>
          <w:bdr w:val="none" w:sz="0" w:space="0" w:color="auto" w:frame="1"/>
        </w:rPr>
        <w:t xml:space="preserve"> a</w:t>
      </w:r>
      <w:r w:rsidRPr="1CCACB4F" w:rsidR="0077248D">
        <w:rPr>
          <w:sz w:val="27"/>
          <w:szCs w:val="27"/>
          <w:bdr w:val="none" w:sz="0" w:space="0" w:color="auto" w:frame="1"/>
        </w:rPr>
        <w:t>n insurance</w:t>
      </w:r>
      <w:r w:rsidRPr="1CCACB4F">
        <w:rPr>
          <w:sz w:val="27"/>
          <w:szCs w:val="27"/>
          <w:bdr w:val="none" w:sz="0" w:space="0" w:color="auto" w:frame="1"/>
        </w:rPr>
        <w:t xml:space="preserve"> claim.  (See </w:t>
      </w:r>
      <w:r w:rsidRPr="1CCACB4F">
        <w:rPr>
          <w:i/>
          <w:iCs/>
          <w:sz w:val="27"/>
          <w:szCs w:val="27"/>
          <w:bdr w:val="none" w:sz="0" w:space="0" w:color="auto" w:frame="1"/>
        </w:rPr>
        <w:t>Orange Catholic Foundation v. Arvizu</w:t>
      </w:r>
      <w:r w:rsidRPr="1CCACB4F">
        <w:rPr>
          <w:sz w:val="27"/>
          <w:szCs w:val="27"/>
          <w:bdr w:val="none" w:sz="0" w:space="0" w:color="auto" w:frame="1"/>
        </w:rPr>
        <w:t xml:space="preserve"> (2018) 28</w:t>
      </w:r>
      <w:r w:rsidR="006A1D29">
        <w:rPr>
          <w:sz w:val="27"/>
          <w:szCs w:val="27"/>
          <w:bdr w:val="none" w:sz="0" w:space="0" w:color="auto" w:frame="1"/>
        </w:rPr>
        <w:t> </w:t>
      </w:r>
      <w:r w:rsidRPr="1CCACB4F">
        <w:rPr>
          <w:sz w:val="27"/>
          <w:szCs w:val="27"/>
          <w:bdr w:val="none" w:sz="0" w:space="0" w:color="auto" w:frame="1"/>
        </w:rPr>
        <w:t xml:space="preserve">Cal.App.5th 283, 293 [discussing the </w:t>
      </w:r>
      <w:r w:rsidRPr="1CCACB4F" w:rsidR="00F96587">
        <w:rPr>
          <w:sz w:val="27"/>
          <w:szCs w:val="27"/>
          <w:bdr w:val="none" w:sz="0" w:space="0" w:color="auto" w:frame="1"/>
        </w:rPr>
        <w:t>latitude courts have</w:t>
      </w:r>
      <w:r w:rsidRPr="1CCACB4F">
        <w:rPr>
          <w:sz w:val="27"/>
          <w:szCs w:val="27"/>
          <w:bdr w:val="none" w:sz="0" w:space="0" w:color="auto" w:frame="1"/>
        </w:rPr>
        <w:t xml:space="preserve"> in crafting equitable remedies]; </w:t>
      </w:r>
      <w:r w:rsidRPr="1CCACB4F">
        <w:rPr>
          <w:i/>
          <w:iCs/>
          <w:sz w:val="27"/>
          <w:szCs w:val="27"/>
          <w:bdr w:val="none" w:sz="0" w:space="0" w:color="auto" w:frame="1"/>
        </w:rPr>
        <w:t>Lickiss v. Financial Industry Regulatory Authority</w:t>
      </w:r>
      <w:r w:rsidRPr="1CCACB4F">
        <w:rPr>
          <w:sz w:val="27"/>
          <w:szCs w:val="27"/>
          <w:bdr w:val="none" w:sz="0" w:space="0" w:color="auto" w:frame="1"/>
        </w:rPr>
        <w:t xml:space="preserve"> (2012) 208</w:t>
      </w:r>
      <w:r w:rsidR="006A1D29">
        <w:rPr>
          <w:sz w:val="27"/>
          <w:szCs w:val="27"/>
          <w:bdr w:val="none" w:sz="0" w:space="0" w:color="auto" w:frame="1"/>
        </w:rPr>
        <w:t> </w:t>
      </w:r>
      <w:r w:rsidRPr="1CCACB4F">
        <w:rPr>
          <w:sz w:val="27"/>
          <w:szCs w:val="27"/>
          <w:bdr w:val="none" w:sz="0" w:space="0" w:color="auto" w:frame="1"/>
        </w:rPr>
        <w:t>Cal.App.4th 1125, 1133; 30</w:t>
      </w:r>
      <w:r w:rsidRPr="002E76A2" w:rsidR="00230019">
        <w:rPr>
          <w:sz w:val="27"/>
          <w:szCs w:val="27"/>
          <w:bdr w:val="none" w:sz="0" w:space="0" w:color="auto" w:frame="1"/>
        </w:rPr>
        <w:t> </w:t>
      </w:r>
      <w:r w:rsidRPr="1CCACB4F">
        <w:rPr>
          <w:sz w:val="27"/>
          <w:szCs w:val="27"/>
          <w:bdr w:val="none" w:sz="0" w:space="0" w:color="auto" w:frame="1"/>
        </w:rPr>
        <w:t>Cal.Jur.3d (2021) Equity, § 14, pp.</w:t>
      </w:r>
      <w:r w:rsidRPr="1CCACB4F" w:rsidR="00EF2DD9">
        <w:rPr>
          <w:sz w:val="27"/>
          <w:szCs w:val="27"/>
          <w:bdr w:val="none" w:sz="0" w:space="0" w:color="auto" w:frame="1"/>
        </w:rPr>
        <w:t> </w:t>
      </w:r>
      <w:r w:rsidRPr="1CCACB4F">
        <w:rPr>
          <w:sz w:val="27"/>
          <w:szCs w:val="27"/>
          <w:bdr w:val="none" w:sz="0" w:space="0" w:color="auto" w:frame="1"/>
        </w:rPr>
        <w:t xml:space="preserve">586–587 [discussing a court’s power to exercise its equitable jurisdiction to award monetary relief]; </w:t>
      </w:r>
      <w:r w:rsidRPr="1CCACB4F" w:rsidR="00F1052A">
        <w:rPr>
          <w:i/>
          <w:iCs/>
          <w:sz w:val="27"/>
          <w:szCs w:val="27"/>
          <w:bdr w:val="none" w:sz="0" w:space="0" w:color="auto" w:frame="1"/>
        </w:rPr>
        <w:t>id.</w:t>
      </w:r>
      <w:r w:rsidRPr="1CCACB4F" w:rsidR="00F1052A">
        <w:rPr>
          <w:sz w:val="27"/>
          <w:szCs w:val="27"/>
          <w:bdr w:val="none" w:sz="0" w:space="0" w:color="auto" w:frame="1"/>
        </w:rPr>
        <w:t>,</w:t>
      </w:r>
      <w:r w:rsidRPr="1CCACB4F" w:rsidR="00F1052A">
        <w:rPr>
          <w:i/>
          <w:iCs/>
          <w:sz w:val="27"/>
          <w:szCs w:val="27"/>
          <w:bdr w:val="none" w:sz="0" w:space="0" w:color="auto" w:frame="1"/>
        </w:rPr>
        <w:t xml:space="preserve"> </w:t>
      </w:r>
      <w:r w:rsidRPr="1CCACB4F">
        <w:rPr>
          <w:sz w:val="27"/>
          <w:szCs w:val="27"/>
          <w:bdr w:val="none" w:sz="0" w:space="0" w:color="auto" w:frame="1"/>
        </w:rPr>
        <w:t>§ 61, p.</w:t>
      </w:r>
      <w:r w:rsidRPr="1CCACB4F" w:rsidR="008022F6">
        <w:rPr>
          <w:sz w:val="27"/>
          <w:szCs w:val="27"/>
          <w:bdr w:val="none" w:sz="0" w:space="0" w:color="auto" w:frame="1"/>
        </w:rPr>
        <w:t> </w:t>
      </w:r>
      <w:r w:rsidRPr="1CCACB4F">
        <w:rPr>
          <w:sz w:val="27"/>
          <w:szCs w:val="27"/>
          <w:bdr w:val="none" w:sz="0" w:space="0" w:color="auto" w:frame="1"/>
        </w:rPr>
        <w:t xml:space="preserve">664 [enumerating the “numerous and varied” remedies available in equity].)  Even if </w:t>
      </w:r>
      <w:r w:rsidRPr="1CCACB4F" w:rsidR="000E7503">
        <w:rPr>
          <w:sz w:val="27"/>
          <w:szCs w:val="27"/>
          <w:bdr w:val="none" w:sz="0" w:space="0" w:color="auto" w:frame="1"/>
        </w:rPr>
        <w:t xml:space="preserve">we were to assume that </w:t>
      </w:r>
      <w:r w:rsidRPr="1CCACB4F">
        <w:rPr>
          <w:sz w:val="27"/>
          <w:szCs w:val="27"/>
          <w:bdr w:val="none" w:sz="0" w:space="0" w:color="auto" w:frame="1"/>
        </w:rPr>
        <w:t xml:space="preserve">forms of equitable relief involving monetary awards </w:t>
      </w:r>
      <w:r w:rsidRPr="1CCACB4F" w:rsidR="006B4035">
        <w:rPr>
          <w:sz w:val="27"/>
          <w:szCs w:val="27"/>
          <w:bdr w:val="none" w:sz="0" w:space="0" w:color="auto" w:frame="1"/>
        </w:rPr>
        <w:t>w</w:t>
      </w:r>
      <w:r w:rsidRPr="1CCACB4F" w:rsidR="009F4C55">
        <w:rPr>
          <w:sz w:val="27"/>
          <w:szCs w:val="27"/>
          <w:bdr w:val="none" w:sz="0" w:space="0" w:color="auto" w:frame="1"/>
        </w:rPr>
        <w:t>ould</w:t>
      </w:r>
      <w:r w:rsidRPr="1CCACB4F" w:rsidR="007A469C">
        <w:rPr>
          <w:sz w:val="27"/>
          <w:szCs w:val="27"/>
          <w:bdr w:val="none" w:sz="0" w:space="0" w:color="auto" w:frame="1"/>
        </w:rPr>
        <w:t xml:space="preserve"> be</w:t>
      </w:r>
      <w:r w:rsidRPr="1CCACB4F">
        <w:rPr>
          <w:sz w:val="27"/>
          <w:szCs w:val="27"/>
          <w:bdr w:val="none" w:sz="0" w:space="0" w:color="auto" w:frame="1"/>
        </w:rPr>
        <w:t xml:space="preserve"> captured by the statutory </w:t>
      </w:r>
      <w:r w:rsidRPr="1CCACB4F" w:rsidR="00EF1E00">
        <w:rPr>
          <w:sz w:val="27"/>
          <w:szCs w:val="27"/>
          <w:bdr w:val="none" w:sz="0" w:space="0" w:color="auto" w:frame="1"/>
        </w:rPr>
        <w:t xml:space="preserve">limitations </w:t>
      </w:r>
      <w:r w:rsidRPr="1CCACB4F">
        <w:rPr>
          <w:sz w:val="27"/>
          <w:szCs w:val="27"/>
          <w:bdr w:val="none" w:sz="0" w:space="0" w:color="auto" w:frame="1"/>
        </w:rPr>
        <w:t>language</w:t>
      </w:r>
      <w:r w:rsidRPr="1CCACB4F">
        <w:rPr>
          <w:sz w:val="27"/>
          <w:szCs w:val="27"/>
        </w:rPr>
        <w:t>,</w:t>
      </w:r>
      <w:r w:rsidRPr="1CCACB4F">
        <w:rPr>
          <w:sz w:val="27"/>
          <w:szCs w:val="27"/>
          <w:bdr w:val="none" w:sz="0" w:space="0" w:color="auto" w:frame="1"/>
        </w:rPr>
        <w:t xml:space="preserve"> </w:t>
      </w:r>
      <w:r w:rsidR="00973022">
        <w:rPr>
          <w:sz w:val="27"/>
          <w:szCs w:val="27"/>
          <w:bdr w:val="none" w:sz="0" w:space="0" w:color="auto" w:frame="1"/>
        </w:rPr>
        <w:t xml:space="preserve">the </w:t>
      </w:r>
      <w:r w:rsidRPr="1CCACB4F">
        <w:rPr>
          <w:sz w:val="27"/>
          <w:szCs w:val="27"/>
          <w:bdr w:val="none" w:sz="0" w:space="0" w:color="auto" w:frame="1"/>
        </w:rPr>
        <w:t>injunctive</w:t>
      </w:r>
      <w:r w:rsidRPr="1CCACB4F" w:rsidR="003A5BF5">
        <w:rPr>
          <w:sz w:val="27"/>
          <w:szCs w:val="27"/>
          <w:bdr w:val="none" w:sz="0" w:space="0" w:color="auto" w:frame="1"/>
        </w:rPr>
        <w:t xml:space="preserve"> and declaratory</w:t>
      </w:r>
      <w:r w:rsidRPr="1CCACB4F">
        <w:rPr>
          <w:sz w:val="27"/>
          <w:szCs w:val="27"/>
          <w:bdr w:val="none" w:sz="0" w:space="0" w:color="auto" w:frame="1"/>
        </w:rPr>
        <w:t xml:space="preserve"> </w:t>
      </w:r>
      <w:r w:rsidRPr="1CCACB4F" w:rsidR="00086A69">
        <w:rPr>
          <w:sz w:val="27"/>
          <w:szCs w:val="27"/>
          <w:bdr w:val="none" w:sz="0" w:space="0" w:color="auto" w:frame="1"/>
        </w:rPr>
        <w:t>remedies</w:t>
      </w:r>
      <w:r w:rsidRPr="1CCACB4F">
        <w:rPr>
          <w:sz w:val="27"/>
          <w:szCs w:val="27"/>
          <w:bdr w:val="none" w:sz="0" w:space="0" w:color="auto" w:frame="1"/>
        </w:rPr>
        <w:t xml:space="preserve"> </w:t>
      </w:r>
      <w:r w:rsidR="00973022">
        <w:rPr>
          <w:sz w:val="27"/>
          <w:szCs w:val="27"/>
          <w:bdr w:val="none" w:sz="0" w:space="0" w:color="auto" w:frame="1"/>
        </w:rPr>
        <w:t xml:space="preserve">that </w:t>
      </w:r>
      <w:r w:rsidR="00086A69">
        <w:rPr>
          <w:sz w:val="27"/>
          <w:szCs w:val="27"/>
          <w:bdr w:val="none" w:sz="0" w:space="0" w:color="auto" w:frame="1"/>
        </w:rPr>
        <w:t>are</w:t>
      </w:r>
      <w:r w:rsidR="00973022">
        <w:rPr>
          <w:sz w:val="27"/>
          <w:szCs w:val="27"/>
          <w:bdr w:val="none" w:sz="0" w:space="0" w:color="auto" w:frame="1"/>
        </w:rPr>
        <w:t xml:space="preserve"> being pursued here</w:t>
      </w:r>
      <w:r w:rsidRPr="002E76A2">
        <w:rPr>
          <w:sz w:val="27"/>
          <w:szCs w:val="27"/>
          <w:bdr w:val="none" w:sz="0" w:space="0" w:color="auto" w:frame="1"/>
        </w:rPr>
        <w:t xml:space="preserve"> </w:t>
      </w:r>
      <w:r w:rsidRPr="1CCACB4F" w:rsidR="000E7503">
        <w:rPr>
          <w:sz w:val="27"/>
          <w:szCs w:val="27"/>
          <w:bdr w:val="none" w:sz="0" w:space="0" w:color="auto" w:frame="1"/>
        </w:rPr>
        <w:t xml:space="preserve">would </w:t>
      </w:r>
      <w:r w:rsidRPr="1CCACB4F" w:rsidR="002B4853">
        <w:rPr>
          <w:sz w:val="27"/>
          <w:szCs w:val="27"/>
          <w:bdr w:val="none" w:sz="0" w:space="0" w:color="auto" w:frame="1"/>
        </w:rPr>
        <w:t xml:space="preserve">not </w:t>
      </w:r>
      <w:r w:rsidRPr="1CCACB4F" w:rsidR="000E7503">
        <w:rPr>
          <w:sz w:val="27"/>
          <w:szCs w:val="27"/>
          <w:bdr w:val="none" w:sz="0" w:space="0" w:color="auto" w:frame="1"/>
        </w:rPr>
        <w:t xml:space="preserve">be </w:t>
      </w:r>
      <w:r w:rsidRPr="1CCACB4F" w:rsidR="002B4853">
        <w:rPr>
          <w:sz w:val="27"/>
          <w:szCs w:val="27"/>
          <w:bdr w:val="none" w:sz="0" w:space="0" w:color="auto" w:frame="1"/>
        </w:rPr>
        <w:t xml:space="preserve">similarly </w:t>
      </w:r>
      <w:r w:rsidRPr="1CCACB4F" w:rsidR="003925FB">
        <w:rPr>
          <w:sz w:val="27"/>
          <w:szCs w:val="27"/>
          <w:bdr w:val="none" w:sz="0" w:space="0" w:color="auto" w:frame="1"/>
        </w:rPr>
        <w:t>covered</w:t>
      </w:r>
      <w:r w:rsidRPr="1CCACB4F" w:rsidR="00557DDB">
        <w:rPr>
          <w:sz w:val="27"/>
          <w:szCs w:val="27"/>
          <w:bdr w:val="none" w:sz="0" w:space="0" w:color="auto" w:frame="1"/>
        </w:rPr>
        <w:t>,</w:t>
      </w:r>
      <w:r w:rsidRPr="1CCACB4F">
        <w:rPr>
          <w:sz w:val="27"/>
          <w:szCs w:val="27"/>
          <w:bdr w:val="none" w:sz="0" w:space="0" w:color="auto" w:frame="1"/>
        </w:rPr>
        <w:t xml:space="preserve"> </w:t>
      </w:r>
      <w:r w:rsidRPr="1CCACB4F" w:rsidR="009F4C55">
        <w:rPr>
          <w:sz w:val="27"/>
          <w:szCs w:val="27"/>
          <w:bdr w:val="none" w:sz="0" w:space="0" w:color="auto" w:frame="1"/>
        </w:rPr>
        <w:t xml:space="preserve">because </w:t>
      </w:r>
      <w:r w:rsidRPr="1CCACB4F" w:rsidR="00086A69">
        <w:rPr>
          <w:sz w:val="27"/>
          <w:szCs w:val="27"/>
          <w:bdr w:val="none" w:sz="0" w:space="0" w:color="auto" w:frame="1"/>
        </w:rPr>
        <w:t>they</w:t>
      </w:r>
      <w:r w:rsidRPr="1CCACB4F" w:rsidR="009F4C55">
        <w:rPr>
          <w:sz w:val="27"/>
          <w:szCs w:val="27"/>
          <w:bdr w:val="none" w:sz="0" w:space="0" w:color="auto" w:frame="1"/>
        </w:rPr>
        <w:t xml:space="preserve"> do not </w:t>
      </w:r>
      <w:r w:rsidRPr="1CCACB4F" w:rsidR="0043227D">
        <w:rPr>
          <w:sz w:val="27"/>
          <w:szCs w:val="27"/>
          <w:bdr w:val="none" w:sz="0" w:space="0" w:color="auto" w:frame="1"/>
        </w:rPr>
        <w:t>involve</w:t>
      </w:r>
      <w:r w:rsidRPr="1CCACB4F" w:rsidR="009F4C55">
        <w:rPr>
          <w:sz w:val="27"/>
          <w:szCs w:val="27"/>
          <w:bdr w:val="none" w:sz="0" w:space="0" w:color="auto" w:frame="1"/>
        </w:rPr>
        <w:t xml:space="preserve"> such </w:t>
      </w:r>
      <w:r w:rsidRPr="1CCACB4F" w:rsidR="006E25BF">
        <w:rPr>
          <w:sz w:val="27"/>
          <w:szCs w:val="27"/>
          <w:bdr w:val="none" w:sz="0" w:space="0" w:color="auto" w:frame="1"/>
        </w:rPr>
        <w:t xml:space="preserve">a </w:t>
      </w:r>
      <w:r w:rsidRPr="1CCACB4F" w:rsidR="009F4C55">
        <w:rPr>
          <w:sz w:val="27"/>
          <w:szCs w:val="27"/>
          <w:bdr w:val="none" w:sz="0" w:space="0" w:color="auto" w:frame="1"/>
        </w:rPr>
        <w:t>recover</w:t>
      </w:r>
      <w:r w:rsidRPr="1CCACB4F" w:rsidR="006E25BF">
        <w:rPr>
          <w:sz w:val="27"/>
          <w:szCs w:val="27"/>
          <w:bdr w:val="none" w:sz="0" w:space="0" w:color="auto" w:frame="1"/>
        </w:rPr>
        <w:t>y</w:t>
      </w:r>
      <w:r w:rsidRPr="1CCACB4F">
        <w:rPr>
          <w:sz w:val="27"/>
          <w:szCs w:val="27"/>
          <w:bdr w:val="none" w:sz="0" w:space="0" w:color="auto" w:frame="1"/>
        </w:rPr>
        <w:t>.</w:t>
      </w:r>
      <w:r>
        <w:rPr>
          <w:rStyle w:val="FootnoteReference"/>
          <w:bdr w:val="none" w:sz="0" w:space="0" w:color="auto" w:frame="1"/>
        </w:rPr>
        <w:footnoteReference w:id="8"/>
      </w:r>
      <w:r w:rsidRPr="1CCACB4F" w:rsidR="00C749EA">
        <w:rPr>
          <w:sz w:val="27"/>
          <w:szCs w:val="27"/>
          <w:bdr w:val="none" w:sz="0" w:space="0" w:color="auto" w:frame="1"/>
        </w:rPr>
        <w:t xml:space="preserve"> </w:t>
      </w:r>
      <w:r>
        <w:rPr>
          <w:rStyle w:val="FootnoteReference"/>
          <w:bdr w:val="none" w:sz="0" w:space="0" w:color="auto" w:frame="1"/>
        </w:rPr>
        <w:footnoteReference w:id="9"/>
      </w:r>
    </w:p>
    <w:p w:rsidR="007E4CCC" w:rsidRPr="002E76A2" w:rsidP="00C07BE5">
      <w:pPr>
        <w:ind w:firstLine="720"/>
        <w:rPr>
          <w:szCs w:val="26"/>
          <w:bdr w:val="none" w:sz="0" w:space="0" w:color="auto" w:frame="1"/>
        </w:rPr>
      </w:pPr>
      <w:r w:rsidRPr="002E76A2">
        <w:rPr>
          <w:szCs w:val="26"/>
          <w:bdr w:val="none" w:sz="0" w:space="0" w:color="auto" w:frame="1"/>
        </w:rPr>
        <w:t>State Farm also argues that allowing plaintiff’s suit to proceed would contravene section 2071’s goal of avoiding stale claims that carry a heightened risk of fraud</w:t>
      </w:r>
      <w:r w:rsidRPr="002E76A2" w:rsidR="003749AE">
        <w:rPr>
          <w:szCs w:val="26"/>
          <w:bdr w:val="none" w:sz="0" w:space="0" w:color="auto" w:frame="1"/>
        </w:rPr>
        <w:t xml:space="preserve"> and mistake</w:t>
      </w:r>
      <w:r w:rsidRPr="002E76A2">
        <w:rPr>
          <w:szCs w:val="26"/>
          <w:bdr w:val="none" w:sz="0" w:space="0" w:color="auto" w:frame="1"/>
        </w:rPr>
        <w:t>.  (See </w:t>
      </w:r>
      <w:r w:rsidRPr="002E76A2">
        <w:rPr>
          <w:i/>
          <w:iCs/>
          <w:szCs w:val="26"/>
          <w:bdr w:val="none" w:sz="0" w:space="0" w:color="auto" w:frame="1"/>
        </w:rPr>
        <w:t>Bollinger v. National Fire Ins. Co.</w:t>
      </w:r>
      <w:r w:rsidRPr="002E76A2" w:rsidR="00F96587">
        <w:rPr>
          <w:i/>
          <w:iCs/>
          <w:szCs w:val="26"/>
          <w:bdr w:val="none" w:sz="0" w:space="0" w:color="auto" w:frame="1"/>
        </w:rPr>
        <w:t xml:space="preserve"> </w:t>
      </w:r>
      <w:r w:rsidRPr="002E76A2">
        <w:rPr>
          <w:szCs w:val="26"/>
          <w:bdr w:val="none" w:sz="0" w:space="0" w:color="auto" w:frame="1"/>
        </w:rPr>
        <w:t>(1944) 25</w:t>
      </w:r>
      <w:r w:rsidRPr="002E76A2" w:rsidR="008022F6">
        <w:rPr>
          <w:szCs w:val="26"/>
          <w:bdr w:val="none" w:sz="0" w:space="0" w:color="auto" w:frame="1"/>
        </w:rPr>
        <w:t> </w:t>
      </w:r>
      <w:r w:rsidRPr="002E76A2">
        <w:rPr>
          <w:szCs w:val="26"/>
          <w:bdr w:val="none" w:sz="0" w:space="0" w:color="auto" w:frame="1"/>
        </w:rPr>
        <w:t>Cal.2d 399, 407 [“The short</w:t>
      </w:r>
      <w:r w:rsidRPr="002E76A2" w:rsidR="00F96587">
        <w:rPr>
          <w:szCs w:val="26"/>
          <w:bdr w:val="none" w:sz="0" w:space="0" w:color="auto" w:frame="1"/>
        </w:rPr>
        <w:t xml:space="preserve"> statutory</w:t>
      </w:r>
      <w:r w:rsidRPr="002E76A2">
        <w:rPr>
          <w:szCs w:val="26"/>
          <w:bdr w:val="none" w:sz="0" w:space="0" w:color="auto" w:frame="1"/>
        </w:rPr>
        <w:t xml:space="preserve"> limitation period in the present case is the result of long insistence by insurance companies that they have additional protection against fraudulent proofs, which they could not meet if claims could be sued upon within four years as in the case of actions on other written instruments”]; </w:t>
      </w:r>
      <w:r w:rsidRPr="002E76A2">
        <w:rPr>
          <w:i/>
          <w:iCs/>
          <w:szCs w:val="26"/>
          <w:bdr w:val="none" w:sz="0" w:space="0" w:color="auto" w:frame="1"/>
        </w:rPr>
        <w:t>Aliberti v. Allstate Ins. Co.</w:t>
      </w:r>
      <w:r w:rsidRPr="002E76A2">
        <w:rPr>
          <w:szCs w:val="26"/>
          <w:bdr w:val="none" w:sz="0" w:space="0" w:color="auto" w:frame="1"/>
        </w:rPr>
        <w:t xml:space="preserve"> (1999) 74</w:t>
      </w:r>
      <w:r w:rsidR="006A1D29">
        <w:rPr>
          <w:szCs w:val="26"/>
          <w:bdr w:val="none" w:sz="0" w:space="0" w:color="auto" w:frame="1"/>
        </w:rPr>
        <w:t> </w:t>
      </w:r>
      <w:r w:rsidRPr="002E76A2">
        <w:rPr>
          <w:szCs w:val="26"/>
          <w:bdr w:val="none" w:sz="0" w:space="0" w:color="auto" w:frame="1"/>
        </w:rPr>
        <w:t>Cal.App.4th 138, 145.)</w:t>
      </w:r>
      <w:r w:rsidRPr="002E76A2" w:rsidR="008022F6">
        <w:rPr>
          <w:szCs w:val="26"/>
          <w:bdr w:val="none" w:sz="0" w:space="0" w:color="auto" w:frame="1"/>
        </w:rPr>
        <w:t xml:space="preserve"> </w:t>
      </w:r>
      <w:r w:rsidRPr="002E76A2">
        <w:rPr>
          <w:szCs w:val="26"/>
          <w:bdr w:val="none" w:sz="0" w:space="0" w:color="auto" w:frame="1"/>
        </w:rPr>
        <w:t xml:space="preserve"> Yet the Legislature could well have been more concerned about late-raised claims seeking recovery of policy benefits than with the timeliness of other </w:t>
      </w:r>
      <w:r w:rsidRPr="002E76A2" w:rsidR="0043227D">
        <w:rPr>
          <w:szCs w:val="26"/>
          <w:bdr w:val="none" w:sz="0" w:space="0" w:color="auto" w:frame="1"/>
        </w:rPr>
        <w:t>lawsuits</w:t>
      </w:r>
      <w:r w:rsidRPr="002E76A2" w:rsidR="007A469C">
        <w:rPr>
          <w:szCs w:val="26"/>
          <w:bdr w:val="none" w:sz="0" w:space="0" w:color="auto" w:frame="1"/>
        </w:rPr>
        <w:t>, such as the one before us,</w:t>
      </w:r>
      <w:r w:rsidRPr="002E76A2">
        <w:rPr>
          <w:szCs w:val="26"/>
          <w:bdr w:val="none" w:sz="0" w:space="0" w:color="auto" w:frame="1"/>
        </w:rPr>
        <w:t xml:space="preserve"> that do not </w:t>
      </w:r>
      <w:r w:rsidR="00625E23">
        <w:rPr>
          <w:szCs w:val="26"/>
          <w:bdr w:val="none" w:sz="0" w:space="0" w:color="auto" w:frame="1"/>
        </w:rPr>
        <w:t xml:space="preserve">necessarily </w:t>
      </w:r>
      <w:r w:rsidRPr="002E76A2" w:rsidR="0043227D">
        <w:rPr>
          <w:szCs w:val="26"/>
          <w:bdr w:val="none" w:sz="0" w:space="0" w:color="auto" w:frame="1"/>
        </w:rPr>
        <w:t>involve</w:t>
      </w:r>
      <w:r w:rsidRPr="002E76A2">
        <w:rPr>
          <w:szCs w:val="26"/>
          <w:bdr w:val="none" w:sz="0" w:space="0" w:color="auto" w:frame="1"/>
        </w:rPr>
        <w:t xml:space="preserve"> the same</w:t>
      </w:r>
      <w:r w:rsidRPr="002E76A2" w:rsidR="003A5BF5">
        <w:rPr>
          <w:szCs w:val="26"/>
          <w:bdr w:val="none" w:sz="0" w:space="0" w:color="auto" w:frame="1"/>
        </w:rPr>
        <w:t xml:space="preserve"> financial</w:t>
      </w:r>
      <w:r w:rsidRPr="002E76A2">
        <w:rPr>
          <w:szCs w:val="26"/>
          <w:bdr w:val="none" w:sz="0" w:space="0" w:color="auto" w:frame="1"/>
        </w:rPr>
        <w:t xml:space="preserve"> incentives for</w:t>
      </w:r>
      <w:r w:rsidRPr="002E76A2" w:rsidR="0043227D">
        <w:rPr>
          <w:szCs w:val="26"/>
          <w:bdr w:val="none" w:sz="0" w:space="0" w:color="auto" w:frame="1"/>
        </w:rPr>
        <w:t xml:space="preserve"> committing</w:t>
      </w:r>
      <w:r w:rsidRPr="002E76A2">
        <w:rPr>
          <w:szCs w:val="26"/>
          <w:bdr w:val="none" w:sz="0" w:space="0" w:color="auto" w:frame="1"/>
        </w:rPr>
        <w:t xml:space="preserve"> fraud. </w:t>
      </w:r>
    </w:p>
    <w:p w:rsidR="007E4CCC" w:rsidRPr="002E76A2" w:rsidP="00C07BE5">
      <w:pPr>
        <w:ind w:firstLine="720"/>
        <w:rPr>
          <w:szCs w:val="26"/>
        </w:rPr>
      </w:pPr>
      <w:r w:rsidRPr="002E76A2">
        <w:rPr>
          <w:szCs w:val="26"/>
          <w:bdr w:val="none" w:sz="0" w:space="0" w:color="auto" w:frame="1"/>
        </w:rPr>
        <w:t>Furthermore, any concerns regarding staleness are mitigated here by the fact that in seeking injunctive relief, plaintiff bears the burden of showing “</w:t>
      </w:r>
      <w:r w:rsidRPr="002E76A2">
        <w:rPr>
          <w:szCs w:val="26"/>
        </w:rPr>
        <w:t> ‘a threat that the wrongful conduct will continue.’ ”  (</w:t>
      </w:r>
      <w:r w:rsidRPr="002E76A2">
        <w:rPr>
          <w:i/>
          <w:iCs/>
          <w:szCs w:val="26"/>
        </w:rPr>
        <w:t>Davis v. Farmers Ins. Exchange</w:t>
      </w:r>
      <w:r w:rsidRPr="002E76A2">
        <w:rPr>
          <w:szCs w:val="26"/>
        </w:rPr>
        <w:t xml:space="preserve"> (2016) 245</w:t>
      </w:r>
      <w:r w:rsidR="006A1D29">
        <w:rPr>
          <w:szCs w:val="26"/>
        </w:rPr>
        <w:t> </w:t>
      </w:r>
      <w:r w:rsidRPr="002E76A2">
        <w:rPr>
          <w:szCs w:val="26"/>
        </w:rPr>
        <w:t>Cal.App.4th 1302, 1326.)</w:t>
      </w:r>
      <w:r w:rsidRPr="002E76A2" w:rsidR="0043227D">
        <w:rPr>
          <w:szCs w:val="26"/>
        </w:rPr>
        <w:t xml:space="preserve"> </w:t>
      </w:r>
      <w:r w:rsidRPr="002E76A2">
        <w:rPr>
          <w:szCs w:val="26"/>
        </w:rPr>
        <w:t xml:space="preserve"> “ ‘ “Injunctive relief will be denied if, at the time of the order of judgment, there is no reasonable probability that the past acts complained of will recur . . . .” ’ ”</w:t>
      </w:r>
      <w:r w:rsidRPr="002E76A2" w:rsidR="0043227D">
        <w:rPr>
          <w:szCs w:val="26"/>
        </w:rPr>
        <w:t xml:space="preserve"> </w:t>
      </w:r>
      <w:r w:rsidRPr="002E76A2">
        <w:rPr>
          <w:szCs w:val="26"/>
        </w:rPr>
        <w:t xml:space="preserve"> (</w:t>
      </w:r>
      <w:r w:rsidRPr="002E76A2" w:rsidR="00F96587">
        <w:rPr>
          <w:i/>
          <w:iCs/>
          <w:szCs w:val="26"/>
        </w:rPr>
        <w:t>Id</w:t>
      </w:r>
      <w:r w:rsidRPr="002E76A2" w:rsidR="00F96587">
        <w:rPr>
          <w:szCs w:val="26"/>
        </w:rPr>
        <w:t>. at pp.</w:t>
      </w:r>
      <w:r w:rsidRPr="002E76A2" w:rsidR="008022F6">
        <w:rPr>
          <w:szCs w:val="26"/>
        </w:rPr>
        <w:t> </w:t>
      </w:r>
      <w:r w:rsidRPr="002E76A2" w:rsidR="00F96587">
        <w:rPr>
          <w:szCs w:val="26"/>
        </w:rPr>
        <w:t>1326‒1327</w:t>
      </w:r>
      <w:r w:rsidRPr="002E76A2">
        <w:rPr>
          <w:szCs w:val="26"/>
        </w:rPr>
        <w:t xml:space="preserve">; see </w:t>
      </w:r>
      <w:r w:rsidRPr="00C07BE5">
        <w:t xml:space="preserve">also </w:t>
      </w:r>
      <w:bookmarkStart w:id="9" w:name="_Hlk168584834"/>
      <w:r w:rsidRPr="002E76A2" w:rsidR="00295F1E">
        <w:rPr>
          <w:i/>
          <w:iCs/>
          <w:szCs w:val="26"/>
        </w:rPr>
        <w:t>In re Tobacco Cases II</w:t>
      </w:r>
      <w:r w:rsidRPr="002E76A2" w:rsidR="00295F1E">
        <w:rPr>
          <w:szCs w:val="26"/>
        </w:rPr>
        <w:t xml:space="preserve"> (2015) 240</w:t>
      </w:r>
      <w:r w:rsidR="006A1D29">
        <w:rPr>
          <w:szCs w:val="26"/>
        </w:rPr>
        <w:t> </w:t>
      </w:r>
      <w:r w:rsidRPr="002E76A2" w:rsidR="00295F1E">
        <w:rPr>
          <w:szCs w:val="26"/>
        </w:rPr>
        <w:t>Cal.App.4th 779, 802</w:t>
      </w:r>
      <w:bookmarkEnd w:id="9"/>
      <w:r w:rsidRPr="002E76A2" w:rsidR="00295F1E">
        <w:rPr>
          <w:szCs w:val="26"/>
        </w:rPr>
        <w:t xml:space="preserve">; </w:t>
      </w:r>
      <w:r w:rsidRPr="002E76A2" w:rsidR="00295F1E">
        <w:rPr>
          <w:i/>
          <w:iCs/>
          <w:szCs w:val="26"/>
        </w:rPr>
        <w:t xml:space="preserve">Colgan v. Leatherman Tool Group, Inc. </w:t>
      </w:r>
      <w:r w:rsidRPr="002E76A2" w:rsidR="00295F1E">
        <w:rPr>
          <w:szCs w:val="26"/>
        </w:rPr>
        <w:t>(2006) 135</w:t>
      </w:r>
      <w:r w:rsidR="006A1D29">
        <w:rPr>
          <w:szCs w:val="26"/>
        </w:rPr>
        <w:t> </w:t>
      </w:r>
      <w:r w:rsidRPr="002E76A2" w:rsidR="00295F1E">
        <w:rPr>
          <w:szCs w:val="26"/>
        </w:rPr>
        <w:t xml:space="preserve">Cal.App.4th 663, 702; </w:t>
      </w:r>
      <w:r w:rsidRPr="002E76A2">
        <w:rPr>
          <w:i/>
          <w:iCs/>
          <w:szCs w:val="26"/>
        </w:rPr>
        <w:t xml:space="preserve">Madrid v. Perot Systems Corp. </w:t>
      </w:r>
      <w:r w:rsidRPr="002E76A2">
        <w:rPr>
          <w:szCs w:val="26"/>
        </w:rPr>
        <w:t>(2005) 130</w:t>
      </w:r>
      <w:r w:rsidR="006A1D29">
        <w:rPr>
          <w:szCs w:val="26"/>
        </w:rPr>
        <w:t> </w:t>
      </w:r>
      <w:r w:rsidRPr="002E76A2">
        <w:rPr>
          <w:szCs w:val="26"/>
        </w:rPr>
        <w:t>Cal.App.4th 440, 464</w:t>
      </w:r>
      <w:r w:rsidRPr="002E76A2" w:rsidR="005D7D6E">
        <w:rPr>
          <w:szCs w:val="26"/>
        </w:rPr>
        <w:t>‒465</w:t>
      </w:r>
      <w:r w:rsidRPr="002E76A2">
        <w:rPr>
          <w:szCs w:val="26"/>
        </w:rPr>
        <w:t>.)  I</w:t>
      </w:r>
      <w:r w:rsidR="00927459">
        <w:rPr>
          <w:szCs w:val="26"/>
        </w:rPr>
        <w:t>n this respect, i</w:t>
      </w:r>
      <w:r w:rsidRPr="002E76A2">
        <w:rPr>
          <w:szCs w:val="26"/>
        </w:rPr>
        <w:t xml:space="preserve">t will </w:t>
      </w:r>
      <w:r w:rsidR="00EF5846">
        <w:rPr>
          <w:szCs w:val="26"/>
        </w:rPr>
        <w:t>commonly</w:t>
      </w:r>
      <w:r w:rsidRPr="002E76A2">
        <w:rPr>
          <w:szCs w:val="26"/>
        </w:rPr>
        <w:t xml:space="preserve"> become more difficult for a plaintiff to make the showing</w:t>
      </w:r>
      <w:r w:rsidR="003925FB">
        <w:rPr>
          <w:szCs w:val="26"/>
        </w:rPr>
        <w:t xml:space="preserve"> necessary</w:t>
      </w:r>
      <w:r w:rsidRPr="002E76A2">
        <w:rPr>
          <w:szCs w:val="26"/>
        </w:rPr>
        <w:t xml:space="preserve"> </w:t>
      </w:r>
      <w:r w:rsidR="00927459">
        <w:rPr>
          <w:szCs w:val="26"/>
        </w:rPr>
        <w:t>to obtain</w:t>
      </w:r>
      <w:r w:rsidR="00EF5846">
        <w:rPr>
          <w:szCs w:val="26"/>
        </w:rPr>
        <w:t xml:space="preserve"> injunctive relief</w:t>
      </w:r>
      <w:r w:rsidR="00927459">
        <w:rPr>
          <w:szCs w:val="26"/>
        </w:rPr>
        <w:t xml:space="preserve"> </w:t>
      </w:r>
      <w:r w:rsidRPr="002E76A2">
        <w:rPr>
          <w:szCs w:val="26"/>
        </w:rPr>
        <w:t xml:space="preserve">as more time </w:t>
      </w:r>
      <w:r w:rsidRPr="002E76A2" w:rsidR="009F4C55">
        <w:rPr>
          <w:szCs w:val="26"/>
        </w:rPr>
        <w:t>elapses</w:t>
      </w:r>
      <w:r w:rsidRPr="002E76A2">
        <w:rPr>
          <w:szCs w:val="26"/>
        </w:rPr>
        <w:t xml:space="preserve"> </w:t>
      </w:r>
      <w:r w:rsidR="006500B9">
        <w:rPr>
          <w:szCs w:val="26"/>
        </w:rPr>
        <w:t xml:space="preserve">between </w:t>
      </w:r>
      <w:r w:rsidR="00EF5846">
        <w:rPr>
          <w:szCs w:val="26"/>
        </w:rPr>
        <w:t>the events that form the basis of a lawsuit</w:t>
      </w:r>
      <w:r w:rsidR="0077722A">
        <w:rPr>
          <w:szCs w:val="26"/>
        </w:rPr>
        <w:t xml:space="preserve"> </w:t>
      </w:r>
      <w:r w:rsidR="00EF5846">
        <w:rPr>
          <w:szCs w:val="26"/>
        </w:rPr>
        <w:t>and when the action is filed</w:t>
      </w:r>
      <w:r w:rsidRPr="002E76A2">
        <w:rPr>
          <w:szCs w:val="26"/>
        </w:rPr>
        <w:t xml:space="preserve">.  This dynamic both incentivizes the prompt presentation of </w:t>
      </w:r>
      <w:r w:rsidR="0077722A">
        <w:rPr>
          <w:szCs w:val="26"/>
        </w:rPr>
        <w:t xml:space="preserve">UCL </w:t>
      </w:r>
      <w:r w:rsidRPr="002E76A2">
        <w:rPr>
          <w:szCs w:val="26"/>
        </w:rPr>
        <w:t>claims</w:t>
      </w:r>
      <w:r w:rsidR="0077722A">
        <w:rPr>
          <w:szCs w:val="26"/>
        </w:rPr>
        <w:t xml:space="preserve"> seeking </w:t>
      </w:r>
      <w:r w:rsidR="003925FB">
        <w:rPr>
          <w:szCs w:val="26"/>
        </w:rPr>
        <w:t>this</w:t>
      </w:r>
      <w:r w:rsidR="00EF5846">
        <w:rPr>
          <w:szCs w:val="26"/>
        </w:rPr>
        <w:t xml:space="preserve"> </w:t>
      </w:r>
      <w:r w:rsidR="003925FB">
        <w:rPr>
          <w:szCs w:val="26"/>
        </w:rPr>
        <w:t>kind</w:t>
      </w:r>
      <w:r w:rsidR="00EF5846">
        <w:rPr>
          <w:szCs w:val="26"/>
        </w:rPr>
        <w:t xml:space="preserve"> of </w:t>
      </w:r>
      <w:r w:rsidR="0077722A">
        <w:rPr>
          <w:szCs w:val="26"/>
        </w:rPr>
        <w:t>relief</w:t>
      </w:r>
      <w:r w:rsidRPr="002E76A2">
        <w:rPr>
          <w:szCs w:val="26"/>
        </w:rPr>
        <w:t xml:space="preserve"> and lessens the</w:t>
      </w:r>
      <w:r w:rsidR="00501888">
        <w:rPr>
          <w:szCs w:val="26"/>
        </w:rPr>
        <w:t xml:space="preserve"> likelihood of</w:t>
      </w:r>
      <w:r w:rsidRPr="002E76A2">
        <w:rPr>
          <w:szCs w:val="26"/>
        </w:rPr>
        <w:t xml:space="preserve"> prejudice to </w:t>
      </w:r>
      <w:r w:rsidR="006E25BF">
        <w:rPr>
          <w:szCs w:val="26"/>
        </w:rPr>
        <w:t>an insurer</w:t>
      </w:r>
      <w:r w:rsidRPr="002E76A2">
        <w:rPr>
          <w:szCs w:val="26"/>
        </w:rPr>
        <w:t xml:space="preserve"> that might </w:t>
      </w:r>
      <w:r w:rsidRPr="002E76A2" w:rsidR="007A469C">
        <w:rPr>
          <w:szCs w:val="26"/>
        </w:rPr>
        <w:t>flow</w:t>
      </w:r>
      <w:r w:rsidRPr="002E76A2">
        <w:rPr>
          <w:szCs w:val="26"/>
        </w:rPr>
        <w:t xml:space="preserve"> from any delay. </w:t>
      </w:r>
    </w:p>
    <w:p w:rsidR="007E4CCC" w:rsidRPr="002E76A2" w:rsidP="00C07BE5">
      <w:pPr>
        <w:ind w:firstLine="720"/>
        <w:rPr>
          <w:szCs w:val="26"/>
        </w:rPr>
      </w:pPr>
      <w:r w:rsidRPr="002E76A2">
        <w:rPr>
          <w:szCs w:val="26"/>
        </w:rPr>
        <w:t xml:space="preserve">The discretionary </w:t>
      </w:r>
      <w:r w:rsidR="0079592C">
        <w:rPr>
          <w:szCs w:val="26"/>
        </w:rPr>
        <w:t>aspect</w:t>
      </w:r>
      <w:r w:rsidRPr="002E76A2">
        <w:rPr>
          <w:szCs w:val="26"/>
        </w:rPr>
        <w:t xml:space="preserve"> of </w:t>
      </w:r>
      <w:r w:rsidR="00106176">
        <w:rPr>
          <w:szCs w:val="26"/>
        </w:rPr>
        <w:t>equitable</w:t>
      </w:r>
      <w:r w:rsidRPr="002E76A2">
        <w:rPr>
          <w:szCs w:val="26"/>
        </w:rPr>
        <w:t xml:space="preserve"> relief </w:t>
      </w:r>
      <w:r w:rsidR="00927459">
        <w:rPr>
          <w:szCs w:val="26"/>
        </w:rPr>
        <w:t xml:space="preserve">under the UCL </w:t>
      </w:r>
      <w:r w:rsidRPr="002E76A2">
        <w:rPr>
          <w:szCs w:val="26"/>
        </w:rPr>
        <w:t xml:space="preserve">serves as an additional deterrent to stale </w:t>
      </w:r>
      <w:r w:rsidRPr="002E76A2" w:rsidR="00DF6E74">
        <w:rPr>
          <w:szCs w:val="26"/>
        </w:rPr>
        <w:t xml:space="preserve">and suspect </w:t>
      </w:r>
      <w:r w:rsidRPr="002E76A2">
        <w:rPr>
          <w:szCs w:val="26"/>
        </w:rPr>
        <w:t>claims.  “[T]he equitable remedies of the UCL are subject to the broad discretion of the trial court” (</w:t>
      </w:r>
      <w:r w:rsidRPr="002E76A2">
        <w:rPr>
          <w:i/>
          <w:iCs/>
          <w:szCs w:val="26"/>
        </w:rPr>
        <w:t>Zhang</w:t>
      </w:r>
      <w:r w:rsidRPr="002E76A2">
        <w:rPr>
          <w:szCs w:val="26"/>
        </w:rPr>
        <w:t xml:space="preserve">, </w:t>
      </w:r>
      <w:r w:rsidRPr="002E76A2">
        <w:rPr>
          <w:i/>
          <w:iCs/>
          <w:szCs w:val="26"/>
        </w:rPr>
        <w:t>supra</w:t>
      </w:r>
      <w:r w:rsidRPr="002E76A2">
        <w:rPr>
          <w:szCs w:val="26"/>
        </w:rPr>
        <w:t>, 57</w:t>
      </w:r>
      <w:r w:rsidRPr="002E76A2" w:rsidR="008022F6">
        <w:rPr>
          <w:szCs w:val="26"/>
        </w:rPr>
        <w:t> </w:t>
      </w:r>
      <w:r w:rsidRPr="002E76A2">
        <w:rPr>
          <w:szCs w:val="26"/>
        </w:rPr>
        <w:t>Cal.4th at p.</w:t>
      </w:r>
      <w:r w:rsidR="00EF2DD9">
        <w:rPr>
          <w:szCs w:val="26"/>
        </w:rPr>
        <w:t> </w:t>
      </w:r>
      <w:r w:rsidRPr="002E76A2">
        <w:rPr>
          <w:szCs w:val="26"/>
        </w:rPr>
        <w:t>371) and the statute</w:t>
      </w:r>
      <w:r w:rsidR="00464B9B">
        <w:rPr>
          <w:szCs w:val="26"/>
        </w:rPr>
        <w:t xml:space="preserve"> does not require such relief even</w:t>
      </w:r>
      <w:r w:rsidRPr="002E76A2">
        <w:rPr>
          <w:szCs w:val="26"/>
        </w:rPr>
        <w:t xml:space="preserve"> “</w:t>
      </w:r>
      <w:r w:rsidR="00464B9B">
        <w:rPr>
          <w:szCs w:val="26"/>
        </w:rPr>
        <w:t> </w:t>
      </w:r>
      <w:r w:rsidRPr="002E76A2">
        <w:rPr>
          <w:szCs w:val="26"/>
        </w:rPr>
        <w:t>‘when an unfair business practice has been shown.  Rather, it provides that the court “</w:t>
      </w:r>
      <w:r w:rsidRPr="002E76A2">
        <w:rPr>
          <w:i/>
          <w:iCs/>
          <w:szCs w:val="26"/>
        </w:rPr>
        <w:t>may</w:t>
      </w:r>
      <w:r w:rsidRPr="002E76A2">
        <w:rPr>
          <w:szCs w:val="26"/>
        </w:rPr>
        <w:t xml:space="preserve"> make such orders or judgments . . . as may be necessary to prevent the use or employment . . . of any practice which constitutes unfair competition . . . or as may be necessary to restore . . . money or property.” ’ ”  (</w:t>
      </w:r>
      <w:r w:rsidRPr="002E76A2">
        <w:rPr>
          <w:i/>
          <w:iCs/>
          <w:szCs w:val="26"/>
        </w:rPr>
        <w:t>Ibid</w:t>
      </w:r>
      <w:r w:rsidRPr="002E76A2">
        <w:rPr>
          <w:szCs w:val="26"/>
        </w:rPr>
        <w:t>.</w:t>
      </w:r>
      <w:r w:rsidR="0082205D">
        <w:rPr>
          <w:szCs w:val="26"/>
        </w:rPr>
        <w:t xml:space="preserve">) </w:t>
      </w:r>
      <w:r w:rsidR="00EF5846">
        <w:rPr>
          <w:szCs w:val="26"/>
        </w:rPr>
        <w:t xml:space="preserve"> </w:t>
      </w:r>
      <w:r w:rsidR="00464B9B">
        <w:rPr>
          <w:szCs w:val="26"/>
        </w:rPr>
        <w:t>In addition, a</w:t>
      </w:r>
      <w:r w:rsidRPr="002E76A2">
        <w:rPr>
          <w:szCs w:val="26"/>
        </w:rPr>
        <w:t xml:space="preserve"> court may properly take </w:t>
      </w:r>
      <w:r w:rsidR="00464B9B">
        <w:rPr>
          <w:szCs w:val="26"/>
        </w:rPr>
        <w:t>equitable</w:t>
      </w:r>
      <w:r w:rsidRPr="002E76A2">
        <w:rPr>
          <w:szCs w:val="26"/>
        </w:rPr>
        <w:t xml:space="preserve"> considerations raised by a defendant</w:t>
      </w:r>
      <w:r w:rsidRPr="002E76A2" w:rsidR="00271EBA">
        <w:rPr>
          <w:szCs w:val="26"/>
        </w:rPr>
        <w:t> </w:t>
      </w:r>
      <w:r w:rsidRPr="002E76A2">
        <w:rPr>
          <w:szCs w:val="26"/>
        </w:rPr>
        <w:t>—</w:t>
      </w:r>
      <w:r w:rsidRPr="002E76A2" w:rsidR="008022F6">
        <w:rPr>
          <w:szCs w:val="26"/>
        </w:rPr>
        <w:t xml:space="preserve"> </w:t>
      </w:r>
      <w:r w:rsidRPr="002E76A2">
        <w:rPr>
          <w:szCs w:val="26"/>
        </w:rPr>
        <w:t>including laches</w:t>
      </w:r>
      <w:r w:rsidRPr="002E76A2" w:rsidR="00271EBA">
        <w:rPr>
          <w:szCs w:val="26"/>
        </w:rPr>
        <w:t> </w:t>
      </w:r>
      <w:r w:rsidRPr="002E76A2">
        <w:rPr>
          <w:szCs w:val="26"/>
        </w:rPr>
        <w:t>—</w:t>
      </w:r>
      <w:r w:rsidRPr="002E76A2" w:rsidR="008022F6">
        <w:rPr>
          <w:szCs w:val="26"/>
        </w:rPr>
        <w:t xml:space="preserve"> </w:t>
      </w:r>
      <w:r w:rsidRPr="002E76A2">
        <w:rPr>
          <w:szCs w:val="26"/>
        </w:rPr>
        <w:t>into account in deciding whether an injunction is proper, and in crafting any injunctive relief.  (</w:t>
      </w:r>
      <w:r w:rsidRPr="002E76A2">
        <w:rPr>
          <w:i/>
          <w:iCs/>
          <w:szCs w:val="26"/>
        </w:rPr>
        <w:t>Cortez</w:t>
      </w:r>
      <w:r w:rsidRPr="002E76A2">
        <w:rPr>
          <w:szCs w:val="26"/>
        </w:rPr>
        <w:t xml:space="preserve">, </w:t>
      </w:r>
      <w:r w:rsidRPr="002E76A2" w:rsidR="0091205B">
        <w:rPr>
          <w:i/>
          <w:iCs/>
          <w:szCs w:val="26"/>
        </w:rPr>
        <w:t>supra</w:t>
      </w:r>
      <w:r w:rsidRPr="002E76A2" w:rsidR="0091205B">
        <w:rPr>
          <w:szCs w:val="26"/>
        </w:rPr>
        <w:t>, 23</w:t>
      </w:r>
      <w:r w:rsidR="006A1D29">
        <w:rPr>
          <w:szCs w:val="26"/>
        </w:rPr>
        <w:t> </w:t>
      </w:r>
      <w:r w:rsidRPr="002E76A2" w:rsidR="0091205B">
        <w:rPr>
          <w:szCs w:val="26"/>
        </w:rPr>
        <w:t xml:space="preserve">Cal.4th </w:t>
      </w:r>
      <w:r w:rsidRPr="002E76A2">
        <w:rPr>
          <w:szCs w:val="26"/>
        </w:rPr>
        <w:t>at pp.</w:t>
      </w:r>
      <w:r w:rsidRPr="002E76A2" w:rsidR="008022F6">
        <w:rPr>
          <w:szCs w:val="26"/>
        </w:rPr>
        <w:t> </w:t>
      </w:r>
      <w:r w:rsidRPr="002E76A2">
        <w:rPr>
          <w:szCs w:val="26"/>
        </w:rPr>
        <w:t>180–181.)  This “consideration of the equities between the parties” (</w:t>
      </w:r>
      <w:r w:rsidRPr="002E76A2">
        <w:rPr>
          <w:i/>
          <w:iCs/>
          <w:szCs w:val="26"/>
        </w:rPr>
        <w:t>id</w:t>
      </w:r>
      <w:r w:rsidRPr="002E76A2">
        <w:rPr>
          <w:szCs w:val="26"/>
        </w:rPr>
        <w:t>. at p.</w:t>
      </w:r>
      <w:r w:rsidRPr="002E76A2" w:rsidR="008022F6">
        <w:rPr>
          <w:szCs w:val="26"/>
        </w:rPr>
        <w:t> </w:t>
      </w:r>
      <w:r w:rsidRPr="002E76A2">
        <w:rPr>
          <w:szCs w:val="26"/>
        </w:rPr>
        <w:t>181) functions as an</w:t>
      </w:r>
      <w:r w:rsidRPr="002E76A2" w:rsidR="008E5DB1">
        <w:rPr>
          <w:szCs w:val="26"/>
        </w:rPr>
        <w:t xml:space="preserve"> additional</w:t>
      </w:r>
      <w:r w:rsidRPr="002E76A2">
        <w:rPr>
          <w:szCs w:val="26"/>
        </w:rPr>
        <w:t xml:space="preserve"> incentive for </w:t>
      </w:r>
      <w:r w:rsidR="0077248D">
        <w:rPr>
          <w:szCs w:val="26"/>
        </w:rPr>
        <w:t xml:space="preserve">UCL </w:t>
      </w:r>
      <w:r w:rsidRPr="002E76A2">
        <w:rPr>
          <w:szCs w:val="26"/>
        </w:rPr>
        <w:t xml:space="preserve">plaintiffs to </w:t>
      </w:r>
      <w:r w:rsidR="003925FB">
        <w:rPr>
          <w:szCs w:val="26"/>
        </w:rPr>
        <w:t>promptly file any lawsuit in which they seek equitable relief</w:t>
      </w:r>
      <w:r w:rsidRPr="002E76A2">
        <w:rPr>
          <w:szCs w:val="26"/>
        </w:rPr>
        <w:t>.</w:t>
      </w:r>
      <w:r>
        <w:rPr>
          <w:rStyle w:val="FootnoteReference"/>
          <w:szCs w:val="26"/>
        </w:rPr>
        <w:footnoteReference w:id="10"/>
      </w:r>
    </w:p>
    <w:p w:rsidR="004D10AF" w:rsidRPr="002E76A2" w:rsidP="00C07BE5">
      <w:pPr>
        <w:ind w:firstLine="720"/>
        <w:rPr>
          <w:szCs w:val="26"/>
        </w:rPr>
      </w:pPr>
      <w:r w:rsidRPr="002E76A2">
        <w:rPr>
          <w:szCs w:val="26"/>
          <w:bdr w:val="none" w:sz="0" w:space="0" w:color="auto" w:frame="1"/>
        </w:rPr>
        <w:t>State Farm</w:t>
      </w:r>
      <w:r w:rsidRPr="002E76A2" w:rsidR="007E4CCC">
        <w:rPr>
          <w:szCs w:val="26"/>
          <w:bdr w:val="none" w:sz="0" w:space="0" w:color="auto" w:frame="1"/>
        </w:rPr>
        <w:t xml:space="preserve"> also relies on </w:t>
      </w:r>
      <w:r w:rsidRPr="002E76A2" w:rsidR="0003102F">
        <w:rPr>
          <w:szCs w:val="26"/>
          <w:bdr w:val="none" w:sz="0" w:space="0" w:color="auto" w:frame="1"/>
        </w:rPr>
        <w:t>Court of Appeal decision</w:t>
      </w:r>
      <w:r w:rsidRPr="002E76A2" w:rsidR="007E4CCC">
        <w:rPr>
          <w:szCs w:val="26"/>
          <w:bdr w:val="none" w:sz="0" w:space="0" w:color="auto" w:frame="1"/>
        </w:rPr>
        <w:t>s</w:t>
      </w:r>
      <w:r w:rsidRPr="002E76A2" w:rsidR="003C4FBD">
        <w:rPr>
          <w:szCs w:val="26"/>
          <w:bdr w:val="none" w:sz="0" w:space="0" w:color="auto" w:frame="1"/>
        </w:rPr>
        <w:t xml:space="preserve">, </w:t>
      </w:r>
      <w:r w:rsidRPr="002E76A2" w:rsidR="00921932">
        <w:rPr>
          <w:szCs w:val="26"/>
          <w:bdr w:val="none" w:sz="0" w:space="0" w:color="auto" w:frame="1"/>
        </w:rPr>
        <w:t>referenced</w:t>
      </w:r>
      <w:r w:rsidRPr="002E76A2" w:rsidR="003C4FBD">
        <w:rPr>
          <w:szCs w:val="26"/>
          <w:bdr w:val="none" w:sz="0" w:space="0" w:color="auto" w:frame="1"/>
        </w:rPr>
        <w:t xml:space="preserve"> earlier</w:t>
      </w:r>
      <w:r w:rsidR="00557DDB">
        <w:rPr>
          <w:szCs w:val="26"/>
          <w:bdr w:val="none" w:sz="0" w:space="0" w:color="auto" w:frame="1"/>
        </w:rPr>
        <w:t xml:space="preserve"> in this opinion</w:t>
      </w:r>
      <w:r w:rsidRPr="002E76A2" w:rsidR="003C4FBD">
        <w:rPr>
          <w:szCs w:val="26"/>
          <w:bdr w:val="none" w:sz="0" w:space="0" w:color="auto" w:frame="1"/>
        </w:rPr>
        <w:t>,</w:t>
      </w:r>
      <w:r w:rsidRPr="002E76A2" w:rsidR="007E4CCC">
        <w:rPr>
          <w:szCs w:val="26"/>
          <w:bdr w:val="none" w:sz="0" w:space="0" w:color="auto" w:frame="1"/>
        </w:rPr>
        <w:t xml:space="preserve"> that have construed </w:t>
      </w:r>
      <w:r w:rsidRPr="002E76A2">
        <w:rPr>
          <w:szCs w:val="26"/>
          <w:bdr w:val="none" w:sz="0" w:space="0" w:color="auto" w:frame="1"/>
        </w:rPr>
        <w:t>the time limit</w:t>
      </w:r>
      <w:r w:rsidRPr="002E76A2" w:rsidR="000A499A">
        <w:rPr>
          <w:szCs w:val="26"/>
          <w:bdr w:val="none" w:sz="0" w:space="0" w:color="auto" w:frame="1"/>
        </w:rPr>
        <w:t>s</w:t>
      </w:r>
      <w:r w:rsidRPr="002E76A2" w:rsidR="007E4CCC">
        <w:rPr>
          <w:szCs w:val="26"/>
          <w:bdr w:val="none" w:sz="0" w:space="0" w:color="auto" w:frame="1"/>
        </w:rPr>
        <w:t xml:space="preserve"> </w:t>
      </w:r>
      <w:r w:rsidRPr="002E76A2">
        <w:rPr>
          <w:szCs w:val="26"/>
          <w:bdr w:val="none" w:sz="0" w:space="0" w:color="auto" w:frame="1"/>
        </w:rPr>
        <w:t xml:space="preserve">for </w:t>
      </w:r>
      <w:r w:rsidRPr="002E76A2" w:rsidR="007E4CCC">
        <w:rPr>
          <w:szCs w:val="26"/>
          <w:bdr w:val="none" w:sz="0" w:space="0" w:color="auto" w:frame="1"/>
        </w:rPr>
        <w:t>filing suit</w:t>
      </w:r>
      <w:r w:rsidRPr="002E76A2">
        <w:rPr>
          <w:szCs w:val="26"/>
          <w:bdr w:val="none" w:sz="0" w:space="0" w:color="auto" w:frame="1"/>
        </w:rPr>
        <w:t xml:space="preserve"> </w:t>
      </w:r>
      <w:r w:rsidRPr="002E76A2" w:rsidR="000A499A">
        <w:rPr>
          <w:szCs w:val="26"/>
          <w:bdr w:val="none" w:sz="0" w:space="0" w:color="auto" w:frame="1"/>
        </w:rPr>
        <w:t>found in</w:t>
      </w:r>
      <w:r w:rsidRPr="002E76A2">
        <w:rPr>
          <w:szCs w:val="26"/>
          <w:bdr w:val="none" w:sz="0" w:space="0" w:color="auto" w:frame="1"/>
        </w:rPr>
        <w:t xml:space="preserve"> </w:t>
      </w:r>
      <w:r w:rsidRPr="002E76A2" w:rsidR="007E4CCC">
        <w:rPr>
          <w:szCs w:val="26"/>
          <w:bdr w:val="none" w:sz="0" w:space="0" w:color="auto" w:frame="1"/>
        </w:rPr>
        <w:t xml:space="preserve">insurance </w:t>
      </w:r>
      <w:r w:rsidRPr="002E76A2">
        <w:rPr>
          <w:szCs w:val="26"/>
          <w:bdr w:val="none" w:sz="0" w:space="0" w:color="auto" w:frame="1"/>
        </w:rPr>
        <w:t>polic</w:t>
      </w:r>
      <w:r w:rsidRPr="002E76A2" w:rsidR="000A499A">
        <w:rPr>
          <w:szCs w:val="26"/>
          <w:bdr w:val="none" w:sz="0" w:space="0" w:color="auto" w:frame="1"/>
        </w:rPr>
        <w:t>ies</w:t>
      </w:r>
      <w:r w:rsidRPr="002E76A2">
        <w:rPr>
          <w:szCs w:val="26"/>
          <w:bdr w:val="none" w:sz="0" w:space="0" w:color="auto" w:frame="1"/>
        </w:rPr>
        <w:t xml:space="preserve"> </w:t>
      </w:r>
      <w:r w:rsidR="00625E23">
        <w:rPr>
          <w:szCs w:val="26"/>
          <w:bdr w:val="none" w:sz="0" w:space="0" w:color="auto" w:frame="1"/>
        </w:rPr>
        <w:t>governed by</w:t>
      </w:r>
      <w:r w:rsidRPr="002E76A2">
        <w:rPr>
          <w:szCs w:val="26"/>
          <w:bdr w:val="none" w:sz="0" w:space="0" w:color="auto" w:frame="1"/>
        </w:rPr>
        <w:t xml:space="preserve"> section 2071</w:t>
      </w:r>
      <w:r>
        <w:rPr>
          <w:rStyle w:val="FootnoteReference"/>
          <w:szCs w:val="26"/>
          <w:bdr w:val="none" w:sz="0" w:space="0" w:color="auto" w:frame="1"/>
        </w:rPr>
        <w:footnoteReference w:id="11"/>
      </w:r>
      <w:r w:rsidRPr="002E76A2" w:rsidR="007E4CCC">
        <w:rPr>
          <w:szCs w:val="26"/>
          <w:bdr w:val="none" w:sz="0" w:space="0" w:color="auto" w:frame="1"/>
        </w:rPr>
        <w:t xml:space="preserve"> as applicable to </w:t>
      </w:r>
      <w:r w:rsidR="005D6EE4">
        <w:rPr>
          <w:szCs w:val="26"/>
          <w:bdr w:val="none" w:sz="0" w:space="0" w:color="auto" w:frame="1"/>
        </w:rPr>
        <w:t xml:space="preserve">various </w:t>
      </w:r>
      <w:r w:rsidRPr="002E76A2" w:rsidR="00C4479A">
        <w:rPr>
          <w:szCs w:val="26"/>
          <w:bdr w:val="none" w:sz="0" w:space="0" w:color="auto" w:frame="1"/>
        </w:rPr>
        <w:t>causes of action</w:t>
      </w:r>
      <w:r w:rsidRPr="002E76A2" w:rsidR="007E4CCC">
        <w:rPr>
          <w:szCs w:val="26"/>
          <w:bdr w:val="none" w:sz="0" w:space="0" w:color="auto" w:frame="1"/>
        </w:rPr>
        <w:t xml:space="preserve"> </w:t>
      </w:r>
      <w:r w:rsidRPr="002E76A2" w:rsidR="008B03C3">
        <w:rPr>
          <w:szCs w:val="26"/>
          <w:bdr w:val="none" w:sz="0" w:space="0" w:color="auto" w:frame="1"/>
        </w:rPr>
        <w:t>that were</w:t>
      </w:r>
      <w:r w:rsidRPr="002E76A2" w:rsidR="007E4CCC">
        <w:rPr>
          <w:szCs w:val="26"/>
          <w:bdr w:val="none" w:sz="0" w:space="0" w:color="auto" w:frame="1"/>
        </w:rPr>
        <w:t xml:space="preserve"> determined to be “on </w:t>
      </w:r>
      <w:r w:rsidRPr="002E76A2" w:rsidR="00446B18">
        <w:rPr>
          <w:szCs w:val="26"/>
          <w:bdr w:val="none" w:sz="0" w:space="0" w:color="auto" w:frame="1"/>
        </w:rPr>
        <w:t>[</w:t>
      </w:r>
      <w:r w:rsidRPr="002E76A2" w:rsidR="007E4CCC">
        <w:rPr>
          <w:szCs w:val="26"/>
          <w:bdr w:val="none" w:sz="0" w:space="0" w:color="auto" w:frame="1"/>
        </w:rPr>
        <w:t>the</w:t>
      </w:r>
      <w:r w:rsidRPr="002E76A2" w:rsidR="00446B18">
        <w:rPr>
          <w:szCs w:val="26"/>
          <w:bdr w:val="none" w:sz="0" w:space="0" w:color="auto" w:frame="1"/>
        </w:rPr>
        <w:t>]</w:t>
      </w:r>
      <w:r w:rsidRPr="002E76A2" w:rsidR="007E4CCC">
        <w:rPr>
          <w:szCs w:val="26"/>
          <w:bdr w:val="none" w:sz="0" w:space="0" w:color="auto" w:frame="1"/>
        </w:rPr>
        <w:t xml:space="preserve"> policy</w:t>
      </w:r>
      <w:r w:rsidRPr="002E76A2">
        <w:rPr>
          <w:szCs w:val="26"/>
          <w:bdr w:val="none" w:sz="0" w:space="0" w:color="auto" w:frame="1"/>
        </w:rPr>
        <w:t>.</w:t>
      </w:r>
      <w:r w:rsidRPr="002E76A2" w:rsidR="007E4CCC">
        <w:rPr>
          <w:szCs w:val="26"/>
          <w:bdr w:val="none" w:sz="0" w:space="0" w:color="auto" w:frame="1"/>
        </w:rPr>
        <w:t>”  (</w:t>
      </w:r>
      <w:r w:rsidRPr="002E76A2" w:rsidR="00201FAD">
        <w:rPr>
          <w:szCs w:val="26"/>
          <w:bdr w:val="none" w:sz="0" w:space="0" w:color="auto" w:frame="1"/>
        </w:rPr>
        <w:t xml:space="preserve">E.g., </w:t>
      </w:r>
      <w:r w:rsidRPr="002E76A2" w:rsidR="007E4CCC">
        <w:rPr>
          <w:i/>
          <w:iCs/>
          <w:szCs w:val="26"/>
        </w:rPr>
        <w:t>Jang</w:t>
      </w:r>
      <w:r w:rsidRPr="002E76A2" w:rsidR="007E4CCC">
        <w:rPr>
          <w:szCs w:val="26"/>
        </w:rPr>
        <w:t xml:space="preserve">, </w:t>
      </w:r>
      <w:r w:rsidRPr="002E76A2" w:rsidR="007E4CCC">
        <w:rPr>
          <w:i/>
          <w:iCs/>
          <w:szCs w:val="26"/>
        </w:rPr>
        <w:t>supra</w:t>
      </w:r>
      <w:r w:rsidRPr="002E76A2" w:rsidR="007E4CCC">
        <w:rPr>
          <w:szCs w:val="26"/>
        </w:rPr>
        <w:t>, 80</w:t>
      </w:r>
      <w:r w:rsidR="00902ADA">
        <w:rPr>
          <w:szCs w:val="26"/>
        </w:rPr>
        <w:t> </w:t>
      </w:r>
      <w:r w:rsidRPr="002E76A2" w:rsidR="007E4CCC">
        <w:rPr>
          <w:szCs w:val="26"/>
        </w:rPr>
        <w:t xml:space="preserve">Cal.App.4th at </w:t>
      </w:r>
      <w:r w:rsidRPr="002E76A2" w:rsidR="00E875AE">
        <w:rPr>
          <w:szCs w:val="26"/>
        </w:rPr>
        <w:t>p</w:t>
      </w:r>
      <w:r w:rsidRPr="002E76A2" w:rsidR="007E4CCC">
        <w:rPr>
          <w:szCs w:val="26"/>
        </w:rPr>
        <w:t>p.</w:t>
      </w:r>
      <w:r w:rsidR="00501888">
        <w:rPr>
          <w:szCs w:val="26"/>
        </w:rPr>
        <w:t> </w:t>
      </w:r>
      <w:r w:rsidRPr="002E76A2" w:rsidR="007E4CCC">
        <w:rPr>
          <w:szCs w:val="26"/>
        </w:rPr>
        <w:t>130</w:t>
      </w:r>
      <w:r w:rsidRPr="002E76A2" w:rsidR="00E875AE">
        <w:rPr>
          <w:szCs w:val="26"/>
        </w:rPr>
        <w:t>2–1304</w:t>
      </w:r>
      <w:r w:rsidRPr="002E76A2" w:rsidR="007E4CCC">
        <w:rPr>
          <w:szCs w:val="26"/>
        </w:rPr>
        <w:t xml:space="preserve">; </w:t>
      </w:r>
      <w:r w:rsidRPr="002E76A2" w:rsidR="0010182D">
        <w:rPr>
          <w:i/>
          <w:iCs/>
          <w:szCs w:val="26"/>
          <w:bdr w:val="none" w:sz="0" w:space="0" w:color="auto" w:frame="1"/>
        </w:rPr>
        <w:t>Velasquez</w:t>
      </w:r>
      <w:r w:rsidRPr="002E76A2" w:rsidR="0010182D">
        <w:rPr>
          <w:szCs w:val="26"/>
          <w:bdr w:val="none" w:sz="0" w:space="0" w:color="auto" w:frame="1"/>
        </w:rPr>
        <w:t xml:space="preserve">, </w:t>
      </w:r>
      <w:r w:rsidRPr="002E76A2" w:rsidR="0010182D">
        <w:rPr>
          <w:i/>
          <w:iCs/>
          <w:szCs w:val="26"/>
          <w:bdr w:val="none" w:sz="0" w:space="0" w:color="auto" w:frame="1"/>
        </w:rPr>
        <w:t>supra</w:t>
      </w:r>
      <w:r w:rsidRPr="002E76A2" w:rsidR="0010182D">
        <w:rPr>
          <w:szCs w:val="26"/>
          <w:bdr w:val="none" w:sz="0" w:space="0" w:color="auto" w:frame="1"/>
        </w:rPr>
        <w:t>, 1</w:t>
      </w:r>
      <w:r w:rsidRPr="002E76A2" w:rsidR="00C4479A">
        <w:rPr>
          <w:szCs w:val="26"/>
          <w:bdr w:val="none" w:sz="0" w:space="0" w:color="auto" w:frame="1"/>
        </w:rPr>
        <w:t> </w:t>
      </w:r>
      <w:r w:rsidRPr="002E76A2" w:rsidR="0010182D">
        <w:rPr>
          <w:szCs w:val="26"/>
          <w:bdr w:val="none" w:sz="0" w:space="0" w:color="auto" w:frame="1"/>
        </w:rPr>
        <w:t xml:space="preserve">Cal.App.4th at </w:t>
      </w:r>
      <w:r w:rsidRPr="002E76A2" w:rsidR="002356B3">
        <w:rPr>
          <w:szCs w:val="26"/>
          <w:bdr w:val="none" w:sz="0" w:space="0" w:color="auto" w:frame="1"/>
        </w:rPr>
        <w:t>p</w:t>
      </w:r>
      <w:r w:rsidRPr="002E76A2" w:rsidR="0010182D">
        <w:rPr>
          <w:szCs w:val="26"/>
          <w:bdr w:val="none" w:sz="0" w:space="0" w:color="auto" w:frame="1"/>
        </w:rPr>
        <w:t>p.</w:t>
      </w:r>
      <w:r w:rsidR="00501888">
        <w:rPr>
          <w:szCs w:val="26"/>
          <w:bdr w:val="none" w:sz="0" w:space="0" w:color="auto" w:frame="1"/>
        </w:rPr>
        <w:t> </w:t>
      </w:r>
      <w:r w:rsidRPr="002E76A2" w:rsidR="0010182D">
        <w:rPr>
          <w:szCs w:val="26"/>
          <w:bdr w:val="none" w:sz="0" w:space="0" w:color="auto" w:frame="1"/>
        </w:rPr>
        <w:t>721</w:t>
      </w:r>
      <w:r w:rsidRPr="002E76A2" w:rsidR="002356B3">
        <w:rPr>
          <w:szCs w:val="26"/>
          <w:bdr w:val="none" w:sz="0" w:space="0" w:color="auto" w:frame="1"/>
        </w:rPr>
        <w:t>–722</w:t>
      </w:r>
      <w:r w:rsidRPr="002E76A2" w:rsidR="0010182D">
        <w:rPr>
          <w:szCs w:val="26"/>
          <w:bdr w:val="none" w:sz="0" w:space="0" w:color="auto" w:frame="1"/>
        </w:rPr>
        <w:t xml:space="preserve">; </w:t>
      </w:r>
      <w:r w:rsidRPr="002E76A2" w:rsidR="007E4CCC">
        <w:rPr>
          <w:i/>
          <w:iCs/>
          <w:szCs w:val="26"/>
        </w:rPr>
        <w:t>Prieto</w:t>
      </w:r>
      <w:r w:rsidRPr="002E76A2" w:rsidR="007E4CCC">
        <w:rPr>
          <w:szCs w:val="26"/>
        </w:rPr>
        <w:t xml:space="preserve">, </w:t>
      </w:r>
      <w:r w:rsidRPr="002E76A2" w:rsidR="007E4CCC">
        <w:rPr>
          <w:i/>
          <w:iCs/>
          <w:szCs w:val="26"/>
        </w:rPr>
        <w:t>supra</w:t>
      </w:r>
      <w:r w:rsidRPr="002E76A2" w:rsidR="007E4CCC">
        <w:rPr>
          <w:szCs w:val="26"/>
        </w:rPr>
        <w:t>, 225</w:t>
      </w:r>
      <w:r w:rsidR="00902ADA">
        <w:rPr>
          <w:szCs w:val="26"/>
        </w:rPr>
        <w:t> </w:t>
      </w:r>
      <w:r w:rsidRPr="002E76A2" w:rsidR="007E4CCC">
        <w:rPr>
          <w:szCs w:val="26"/>
        </w:rPr>
        <w:t>Cal.App.3d at p.</w:t>
      </w:r>
      <w:r w:rsidR="00501888">
        <w:rPr>
          <w:szCs w:val="26"/>
        </w:rPr>
        <w:t> </w:t>
      </w:r>
      <w:r w:rsidRPr="002E76A2" w:rsidR="007E4CCC">
        <w:rPr>
          <w:szCs w:val="26"/>
        </w:rPr>
        <w:t>119</w:t>
      </w:r>
      <w:r w:rsidRPr="002E76A2" w:rsidR="00E875AE">
        <w:rPr>
          <w:szCs w:val="26"/>
        </w:rPr>
        <w:t>5</w:t>
      </w:r>
      <w:r w:rsidRPr="002E76A2" w:rsidR="007E4CCC">
        <w:rPr>
          <w:szCs w:val="26"/>
        </w:rPr>
        <w:t xml:space="preserve">; </w:t>
      </w:r>
      <w:r w:rsidRPr="002E76A2" w:rsidR="007E4CCC">
        <w:rPr>
          <w:i/>
          <w:iCs/>
          <w:szCs w:val="26"/>
        </w:rPr>
        <w:t>Abari</w:t>
      </w:r>
      <w:r w:rsidRPr="002E76A2" w:rsidR="007E4CCC">
        <w:rPr>
          <w:szCs w:val="26"/>
        </w:rPr>
        <w:t xml:space="preserve">, </w:t>
      </w:r>
      <w:r w:rsidRPr="002E76A2" w:rsidR="007E4CCC">
        <w:rPr>
          <w:i/>
          <w:iCs/>
          <w:szCs w:val="26"/>
        </w:rPr>
        <w:t>supra</w:t>
      </w:r>
      <w:r w:rsidRPr="002E76A2" w:rsidR="007E4CCC">
        <w:rPr>
          <w:szCs w:val="26"/>
        </w:rPr>
        <w:t>, 205</w:t>
      </w:r>
      <w:r w:rsidR="00902ADA">
        <w:rPr>
          <w:szCs w:val="26"/>
        </w:rPr>
        <w:t> </w:t>
      </w:r>
      <w:r w:rsidRPr="002E76A2" w:rsidR="007E4CCC">
        <w:rPr>
          <w:szCs w:val="26"/>
        </w:rPr>
        <w:t>Cal.App.3d at p.</w:t>
      </w:r>
      <w:r w:rsidR="005D6EE4">
        <w:rPr>
          <w:szCs w:val="26"/>
        </w:rPr>
        <w:t> </w:t>
      </w:r>
      <w:r w:rsidRPr="002E76A2" w:rsidR="007E4CCC">
        <w:rPr>
          <w:szCs w:val="26"/>
        </w:rPr>
        <w:t xml:space="preserve">536; </w:t>
      </w:r>
      <w:r w:rsidRPr="002E76A2" w:rsidR="007E4CCC">
        <w:rPr>
          <w:i/>
          <w:iCs/>
          <w:szCs w:val="26"/>
        </w:rPr>
        <w:t>Lawrence</w:t>
      </w:r>
      <w:r w:rsidRPr="002E76A2" w:rsidR="007E4CCC">
        <w:rPr>
          <w:szCs w:val="26"/>
        </w:rPr>
        <w:t xml:space="preserve">, </w:t>
      </w:r>
      <w:r w:rsidRPr="002E76A2" w:rsidR="007E4CCC">
        <w:rPr>
          <w:i/>
          <w:iCs/>
          <w:szCs w:val="26"/>
        </w:rPr>
        <w:t>supra</w:t>
      </w:r>
      <w:r w:rsidRPr="002E76A2" w:rsidR="007E4CCC">
        <w:rPr>
          <w:szCs w:val="26"/>
        </w:rPr>
        <w:t>, 204</w:t>
      </w:r>
      <w:r w:rsidR="00902ADA">
        <w:rPr>
          <w:szCs w:val="26"/>
        </w:rPr>
        <w:t> </w:t>
      </w:r>
      <w:r w:rsidRPr="002E76A2" w:rsidR="007E4CCC">
        <w:rPr>
          <w:szCs w:val="26"/>
        </w:rPr>
        <w:t>Cal.App.3d at p.</w:t>
      </w:r>
      <w:r w:rsidR="00501888">
        <w:rPr>
          <w:szCs w:val="26"/>
        </w:rPr>
        <w:t> </w:t>
      </w:r>
      <w:r w:rsidRPr="002E76A2" w:rsidR="007E4CCC">
        <w:rPr>
          <w:szCs w:val="26"/>
        </w:rPr>
        <w:t xml:space="preserve">575.)  </w:t>
      </w:r>
      <w:r w:rsidRPr="002E76A2" w:rsidR="0010182D">
        <w:rPr>
          <w:szCs w:val="26"/>
        </w:rPr>
        <w:t xml:space="preserve">Noting that these </w:t>
      </w:r>
      <w:r w:rsidRPr="002E76A2" w:rsidR="008B03C3">
        <w:rPr>
          <w:szCs w:val="26"/>
        </w:rPr>
        <w:t>matters</w:t>
      </w:r>
      <w:r w:rsidRPr="002E76A2" w:rsidR="0010182D">
        <w:rPr>
          <w:szCs w:val="26"/>
        </w:rPr>
        <w:t xml:space="preserve"> involved plaintiffs who alleged theories</w:t>
      </w:r>
      <w:r w:rsidRPr="002E76A2" w:rsidR="00C4479A">
        <w:rPr>
          <w:szCs w:val="26"/>
        </w:rPr>
        <w:t xml:space="preserve"> of recovery</w:t>
      </w:r>
      <w:r w:rsidRPr="002E76A2" w:rsidR="0010182D">
        <w:rPr>
          <w:szCs w:val="26"/>
        </w:rPr>
        <w:t xml:space="preserve"> </w:t>
      </w:r>
      <w:r w:rsidR="00550257">
        <w:rPr>
          <w:szCs w:val="26"/>
        </w:rPr>
        <w:t>different from a simple</w:t>
      </w:r>
      <w:r w:rsidR="0077248D">
        <w:rPr>
          <w:szCs w:val="26"/>
        </w:rPr>
        <w:t xml:space="preserve"> breach of contract, </w:t>
      </w:r>
      <w:r w:rsidRPr="002E76A2" w:rsidR="0010182D">
        <w:rPr>
          <w:szCs w:val="26"/>
        </w:rPr>
        <w:t>State Farm</w:t>
      </w:r>
      <w:r w:rsidRPr="002E76A2" w:rsidR="007E4CCC">
        <w:rPr>
          <w:szCs w:val="26"/>
        </w:rPr>
        <w:t xml:space="preserve"> </w:t>
      </w:r>
      <w:r w:rsidR="005D6EE4">
        <w:rPr>
          <w:szCs w:val="26"/>
        </w:rPr>
        <w:t>regards</w:t>
      </w:r>
      <w:r w:rsidRPr="002E76A2" w:rsidR="007E4CCC">
        <w:rPr>
          <w:szCs w:val="26"/>
        </w:rPr>
        <w:t xml:space="preserve"> these cases as </w:t>
      </w:r>
      <w:r w:rsidRPr="002E76A2" w:rsidR="009D7176">
        <w:rPr>
          <w:szCs w:val="26"/>
        </w:rPr>
        <w:t>supporting its position that insureds</w:t>
      </w:r>
      <w:r w:rsidRPr="002E76A2" w:rsidR="007E4CCC">
        <w:rPr>
          <w:szCs w:val="26"/>
        </w:rPr>
        <w:t xml:space="preserve"> </w:t>
      </w:r>
      <w:r w:rsidRPr="002E76A2" w:rsidR="009D7176">
        <w:rPr>
          <w:szCs w:val="26"/>
        </w:rPr>
        <w:t xml:space="preserve">have </w:t>
      </w:r>
      <w:r w:rsidRPr="002E76A2" w:rsidR="007E4CCC">
        <w:rPr>
          <w:szCs w:val="26"/>
        </w:rPr>
        <w:t xml:space="preserve">“one year to sue on </w:t>
      </w:r>
      <w:r w:rsidRPr="00FE653B" w:rsidR="007E4CCC">
        <w:rPr>
          <w:szCs w:val="26"/>
        </w:rPr>
        <w:t>any theory</w:t>
      </w:r>
      <w:r w:rsidRPr="002E76A2" w:rsidR="007E4CCC">
        <w:rPr>
          <w:szCs w:val="26"/>
        </w:rPr>
        <w:t xml:space="preserve"> arising out of the insurer’s handling of claims for policy benefits</w:t>
      </w:r>
      <w:r w:rsidR="00FE653B">
        <w:rPr>
          <w:szCs w:val="26"/>
        </w:rPr>
        <w:t>.</w:t>
      </w:r>
      <w:r w:rsidRPr="002E76A2" w:rsidR="007E4CCC">
        <w:rPr>
          <w:szCs w:val="26"/>
        </w:rPr>
        <w:t>”</w:t>
      </w:r>
      <w:r w:rsidRPr="002E76A2" w:rsidR="0003102F">
        <w:rPr>
          <w:szCs w:val="26"/>
        </w:rPr>
        <w:t xml:space="preserve"> </w:t>
      </w:r>
      <w:r w:rsidRPr="002E76A2" w:rsidR="007E4CCC">
        <w:rPr>
          <w:szCs w:val="26"/>
        </w:rPr>
        <w:t xml:space="preserve"> </w:t>
      </w:r>
    </w:p>
    <w:p w:rsidR="00CF3C14" w:rsidP="00CF3C14">
      <w:pPr>
        <w:ind w:firstLine="720"/>
        <w:rPr>
          <w:szCs w:val="26"/>
          <w:bdr w:val="none" w:sz="0" w:space="0" w:color="auto" w:frame="1"/>
        </w:rPr>
      </w:pPr>
      <w:r w:rsidRPr="002E76A2">
        <w:rPr>
          <w:szCs w:val="26"/>
        </w:rPr>
        <w:t>State Farm</w:t>
      </w:r>
      <w:r w:rsidRPr="002E76A2" w:rsidR="008D1B1C">
        <w:rPr>
          <w:szCs w:val="26"/>
        </w:rPr>
        <w:t xml:space="preserve"> </w:t>
      </w:r>
      <w:r w:rsidR="00902ADA">
        <w:rPr>
          <w:szCs w:val="26"/>
        </w:rPr>
        <w:t>mis</w:t>
      </w:r>
      <w:r w:rsidRPr="002E76A2" w:rsidR="008D1B1C">
        <w:rPr>
          <w:szCs w:val="26"/>
        </w:rPr>
        <w:t>reads</w:t>
      </w:r>
      <w:r w:rsidRPr="002E76A2" w:rsidR="007E4CCC">
        <w:rPr>
          <w:szCs w:val="26"/>
        </w:rPr>
        <w:t xml:space="preserve"> </w:t>
      </w:r>
      <w:r w:rsidRPr="002E76A2" w:rsidR="001F630F">
        <w:rPr>
          <w:szCs w:val="26"/>
        </w:rPr>
        <w:t xml:space="preserve">the holdings </w:t>
      </w:r>
      <w:r w:rsidR="00902ADA">
        <w:rPr>
          <w:szCs w:val="26"/>
        </w:rPr>
        <w:t>of</w:t>
      </w:r>
      <w:r w:rsidRPr="002E76A2" w:rsidR="001F630F">
        <w:rPr>
          <w:szCs w:val="26"/>
        </w:rPr>
        <w:t xml:space="preserve"> </w:t>
      </w:r>
      <w:r w:rsidRPr="002E76A2" w:rsidR="008D1B1C">
        <w:rPr>
          <w:szCs w:val="26"/>
        </w:rPr>
        <w:t xml:space="preserve">these </w:t>
      </w:r>
      <w:r w:rsidRPr="002E76A2" w:rsidR="004F3E8A">
        <w:rPr>
          <w:szCs w:val="26"/>
        </w:rPr>
        <w:t>decisions</w:t>
      </w:r>
      <w:r w:rsidRPr="002E76A2" w:rsidR="007E4CCC">
        <w:rPr>
          <w:szCs w:val="26"/>
        </w:rPr>
        <w:t xml:space="preserve">.  </w:t>
      </w:r>
      <w:r w:rsidRPr="002E76A2" w:rsidR="009B17D8">
        <w:rPr>
          <w:szCs w:val="26"/>
        </w:rPr>
        <w:t>T</w:t>
      </w:r>
      <w:r w:rsidRPr="002E76A2">
        <w:rPr>
          <w:szCs w:val="26"/>
          <w:bdr w:val="none" w:sz="0" w:space="0" w:color="auto" w:frame="1"/>
        </w:rPr>
        <w:t>he</w:t>
      </w:r>
      <w:r w:rsidR="00902ADA">
        <w:rPr>
          <w:szCs w:val="26"/>
          <w:bdr w:val="none" w:sz="0" w:space="0" w:color="auto" w:frame="1"/>
        </w:rPr>
        <w:t>se</w:t>
      </w:r>
      <w:r w:rsidRPr="002E76A2">
        <w:rPr>
          <w:szCs w:val="26"/>
          <w:bdr w:val="none" w:sz="0" w:space="0" w:color="auto" w:frame="1"/>
        </w:rPr>
        <w:t xml:space="preserve"> </w:t>
      </w:r>
      <w:r w:rsidR="00902ADA">
        <w:rPr>
          <w:szCs w:val="26"/>
          <w:bdr w:val="none" w:sz="0" w:space="0" w:color="auto" w:frame="1"/>
        </w:rPr>
        <w:t>cases</w:t>
      </w:r>
      <w:r w:rsidR="00D353BB">
        <w:rPr>
          <w:szCs w:val="26"/>
          <w:bdr w:val="none" w:sz="0" w:space="0" w:color="auto" w:frame="1"/>
        </w:rPr>
        <w:t xml:space="preserve"> all</w:t>
      </w:r>
      <w:r w:rsidRPr="002E76A2">
        <w:rPr>
          <w:szCs w:val="26"/>
          <w:bdr w:val="none" w:sz="0" w:space="0" w:color="auto" w:frame="1"/>
        </w:rPr>
        <w:t xml:space="preserve"> </w:t>
      </w:r>
      <w:r w:rsidRPr="002E76A2" w:rsidR="007E4CCC">
        <w:rPr>
          <w:szCs w:val="26"/>
          <w:bdr w:val="none" w:sz="0" w:space="0" w:color="auto" w:frame="1"/>
        </w:rPr>
        <w:t xml:space="preserve">involved attempts to recover </w:t>
      </w:r>
      <w:r w:rsidRPr="00D353BB" w:rsidR="007E4CCC">
        <w:rPr>
          <w:szCs w:val="26"/>
          <w:bdr w:val="none" w:sz="0" w:space="0" w:color="auto" w:frame="1"/>
        </w:rPr>
        <w:t>damages</w:t>
      </w:r>
      <w:r w:rsidRPr="002E76A2" w:rsidR="007E4CCC">
        <w:rPr>
          <w:szCs w:val="26"/>
          <w:bdr w:val="none" w:sz="0" w:space="0" w:color="auto" w:frame="1"/>
        </w:rPr>
        <w:t xml:space="preserve"> </w:t>
      </w:r>
      <w:r w:rsidRPr="002E76A2">
        <w:rPr>
          <w:szCs w:val="26"/>
          <w:bdr w:val="none" w:sz="0" w:space="0" w:color="auto" w:frame="1"/>
        </w:rPr>
        <w:t>owing to</w:t>
      </w:r>
      <w:r w:rsidRPr="002E76A2" w:rsidR="007E4CCC">
        <w:rPr>
          <w:szCs w:val="26"/>
          <w:bdr w:val="none" w:sz="0" w:space="0" w:color="auto" w:frame="1"/>
        </w:rPr>
        <w:t xml:space="preserve"> </w:t>
      </w:r>
      <w:r w:rsidRPr="002E76A2">
        <w:rPr>
          <w:szCs w:val="26"/>
          <w:bdr w:val="none" w:sz="0" w:space="0" w:color="auto" w:frame="1"/>
        </w:rPr>
        <w:t>an</w:t>
      </w:r>
      <w:r w:rsidRPr="002E76A2" w:rsidR="007E4CCC">
        <w:rPr>
          <w:szCs w:val="26"/>
          <w:bdr w:val="none" w:sz="0" w:space="0" w:color="auto" w:frame="1"/>
        </w:rPr>
        <w:t xml:space="preserve"> assertedly </w:t>
      </w:r>
      <w:r w:rsidR="0077248D">
        <w:rPr>
          <w:szCs w:val="26"/>
          <w:bdr w:val="none" w:sz="0" w:space="0" w:color="auto" w:frame="1"/>
        </w:rPr>
        <w:t>improper</w:t>
      </w:r>
      <w:r w:rsidRPr="002E76A2" w:rsidR="007E4CCC">
        <w:rPr>
          <w:szCs w:val="26"/>
          <w:bdr w:val="none" w:sz="0" w:space="0" w:color="auto" w:frame="1"/>
        </w:rPr>
        <w:t xml:space="preserve"> </w:t>
      </w:r>
      <w:r w:rsidRPr="002E76A2" w:rsidR="00C81293">
        <w:rPr>
          <w:szCs w:val="26"/>
          <w:bdr w:val="none" w:sz="0" w:space="0" w:color="auto" w:frame="1"/>
        </w:rPr>
        <w:t xml:space="preserve">failure to </w:t>
      </w:r>
      <w:r w:rsidR="00F432E3">
        <w:rPr>
          <w:szCs w:val="26"/>
          <w:bdr w:val="none" w:sz="0" w:space="0" w:color="auto" w:frame="1"/>
        </w:rPr>
        <w:t>provide benefits</w:t>
      </w:r>
      <w:r w:rsidRPr="002E76A2" w:rsidR="007E4CCC">
        <w:rPr>
          <w:szCs w:val="26"/>
          <w:bdr w:val="none" w:sz="0" w:space="0" w:color="auto" w:frame="1"/>
        </w:rPr>
        <w:t xml:space="preserve"> under an insurance policy </w:t>
      </w:r>
      <w:r w:rsidRPr="002E76A2" w:rsidR="00C81293">
        <w:rPr>
          <w:szCs w:val="26"/>
          <w:bdr w:val="none" w:sz="0" w:space="0" w:color="auto" w:frame="1"/>
        </w:rPr>
        <w:t>subject</w:t>
      </w:r>
      <w:r w:rsidRPr="002E76A2" w:rsidR="007E4CCC">
        <w:rPr>
          <w:szCs w:val="26"/>
          <w:bdr w:val="none" w:sz="0" w:space="0" w:color="auto" w:frame="1"/>
        </w:rPr>
        <w:t xml:space="preserve"> </w:t>
      </w:r>
      <w:r w:rsidRPr="002E76A2" w:rsidR="00C81293">
        <w:rPr>
          <w:szCs w:val="26"/>
          <w:bdr w:val="none" w:sz="0" w:space="0" w:color="auto" w:frame="1"/>
        </w:rPr>
        <w:t>to</w:t>
      </w:r>
      <w:r w:rsidRPr="002E76A2" w:rsidR="007E4CCC">
        <w:rPr>
          <w:szCs w:val="26"/>
          <w:bdr w:val="none" w:sz="0" w:space="0" w:color="auto" w:frame="1"/>
        </w:rPr>
        <w:t xml:space="preserve"> section 2071</w:t>
      </w:r>
      <w:r w:rsidRPr="002E76A2">
        <w:rPr>
          <w:szCs w:val="26"/>
          <w:bdr w:val="none" w:sz="0" w:space="0" w:color="auto" w:frame="1"/>
        </w:rPr>
        <w:t>.</w:t>
      </w:r>
      <w:r w:rsidRPr="002E76A2" w:rsidR="004B388E">
        <w:rPr>
          <w:szCs w:val="26"/>
          <w:bdr w:val="none" w:sz="0" w:space="0" w:color="auto" w:frame="1"/>
        </w:rPr>
        <w:t xml:space="preserve">  </w:t>
      </w:r>
      <w:r w:rsidR="00B52323">
        <w:rPr>
          <w:szCs w:val="26"/>
          <w:bdr w:val="none" w:sz="0" w:space="0" w:color="auto" w:frame="1"/>
        </w:rPr>
        <w:t>None of the appellate decisions cited by State Farm had</w:t>
      </w:r>
      <w:r w:rsidRPr="002E76A2" w:rsidR="00B52323">
        <w:rPr>
          <w:szCs w:val="26"/>
          <w:bdr w:val="none" w:sz="0" w:space="0" w:color="auto" w:frame="1"/>
        </w:rPr>
        <w:t xml:space="preserve"> occasion to consider a </w:t>
      </w:r>
      <w:r w:rsidR="00B52323">
        <w:rPr>
          <w:szCs w:val="26"/>
          <w:bdr w:val="none" w:sz="0" w:space="0" w:color="auto" w:frame="1"/>
        </w:rPr>
        <w:t xml:space="preserve">lawsuit such as </w:t>
      </w:r>
      <w:r w:rsidRPr="002E76A2" w:rsidR="00B52323">
        <w:rPr>
          <w:szCs w:val="26"/>
          <w:bdr w:val="none" w:sz="0" w:space="0" w:color="auto" w:frame="1"/>
        </w:rPr>
        <w:t>plaintiff</w:t>
      </w:r>
      <w:r w:rsidR="00B52323">
        <w:rPr>
          <w:szCs w:val="26"/>
          <w:bdr w:val="none" w:sz="0" w:space="0" w:color="auto" w:frame="1"/>
        </w:rPr>
        <w:t>’s</w:t>
      </w:r>
      <w:r w:rsidRPr="002E76A2" w:rsidR="00B52323">
        <w:rPr>
          <w:szCs w:val="26"/>
          <w:bdr w:val="none" w:sz="0" w:space="0" w:color="auto" w:frame="1"/>
        </w:rPr>
        <w:t xml:space="preserve"> that</w:t>
      </w:r>
      <w:r w:rsidR="00B52323">
        <w:rPr>
          <w:szCs w:val="26"/>
          <w:bdr w:val="none" w:sz="0" w:space="0" w:color="auto" w:frame="1"/>
        </w:rPr>
        <w:t xml:space="preserve"> challenges an insurer’s general claims-handling protocols and</w:t>
      </w:r>
      <w:r w:rsidRPr="002E76A2" w:rsidR="00B52323">
        <w:rPr>
          <w:szCs w:val="26"/>
          <w:bdr w:val="none" w:sz="0" w:space="0" w:color="auto" w:frame="1"/>
        </w:rPr>
        <w:t xml:space="preserve"> </w:t>
      </w:r>
      <w:r w:rsidR="00B52323">
        <w:rPr>
          <w:szCs w:val="26"/>
          <w:bdr w:val="none" w:sz="0" w:space="0" w:color="auto" w:frame="1"/>
        </w:rPr>
        <w:t>seeks</w:t>
      </w:r>
      <w:r w:rsidRPr="002E76A2" w:rsidR="00B52323">
        <w:rPr>
          <w:szCs w:val="26"/>
          <w:bdr w:val="none" w:sz="0" w:space="0" w:color="auto" w:frame="1"/>
        </w:rPr>
        <w:t xml:space="preserve"> only </w:t>
      </w:r>
      <w:r w:rsidR="00B52323">
        <w:rPr>
          <w:szCs w:val="26"/>
          <w:bdr w:val="none" w:sz="0" w:space="0" w:color="auto" w:frame="1"/>
        </w:rPr>
        <w:t xml:space="preserve">broad </w:t>
      </w:r>
      <w:r w:rsidRPr="002E76A2" w:rsidR="00B52323">
        <w:rPr>
          <w:szCs w:val="26"/>
          <w:bdr w:val="none" w:sz="0" w:space="0" w:color="auto" w:frame="1"/>
        </w:rPr>
        <w:t xml:space="preserve">injunctive and declaratory relief </w:t>
      </w:r>
      <w:r w:rsidR="00B52323">
        <w:rPr>
          <w:szCs w:val="26"/>
          <w:bdr w:val="none" w:sz="0" w:space="0" w:color="auto" w:frame="1"/>
        </w:rPr>
        <w:t>to stop an allegedly unfair and widespread business practice</w:t>
      </w:r>
      <w:r w:rsidRPr="002E76A2" w:rsidR="00B52323">
        <w:rPr>
          <w:szCs w:val="26"/>
          <w:bdr w:val="none" w:sz="0" w:space="0" w:color="auto" w:frame="1"/>
        </w:rPr>
        <w:t xml:space="preserve">. </w:t>
      </w:r>
      <w:r w:rsidR="00B52323">
        <w:rPr>
          <w:szCs w:val="26"/>
          <w:bdr w:val="none" w:sz="0" w:space="0" w:color="auto" w:frame="1"/>
        </w:rPr>
        <w:t xml:space="preserve"> </w:t>
      </w:r>
    </w:p>
    <w:p w:rsidR="00CB4F39" w:rsidRPr="002E76A2" w:rsidP="00CF3C14">
      <w:pPr>
        <w:ind w:firstLine="720"/>
        <w:rPr>
          <w:szCs w:val="26"/>
          <w:bdr w:val="none" w:sz="0" w:space="0" w:color="auto" w:frame="1"/>
        </w:rPr>
      </w:pPr>
      <w:r>
        <w:rPr>
          <w:szCs w:val="26"/>
          <w:bdr w:val="none" w:sz="0" w:space="0" w:color="auto" w:frame="1"/>
        </w:rPr>
        <w:t>Furthermore, t</w:t>
      </w:r>
      <w:r w:rsidR="0083040B">
        <w:rPr>
          <w:szCs w:val="26"/>
          <w:bdr w:val="none" w:sz="0" w:space="0" w:color="auto" w:frame="1"/>
        </w:rPr>
        <w:t>hese</w:t>
      </w:r>
      <w:r w:rsidRPr="002E76A2" w:rsidR="004D10AF">
        <w:rPr>
          <w:szCs w:val="26"/>
          <w:bdr w:val="none" w:sz="0" w:space="0" w:color="auto" w:frame="1"/>
        </w:rPr>
        <w:t xml:space="preserve"> decisions have </w:t>
      </w:r>
      <w:r w:rsidRPr="002E76A2" w:rsidR="00064E32">
        <w:rPr>
          <w:szCs w:val="26"/>
          <w:bdr w:val="none" w:sz="0" w:space="0" w:color="auto" w:frame="1"/>
        </w:rPr>
        <w:t xml:space="preserve">suggested </w:t>
      </w:r>
      <w:r w:rsidR="0083040B">
        <w:rPr>
          <w:szCs w:val="26"/>
          <w:bdr w:val="none" w:sz="0" w:space="0" w:color="auto" w:frame="1"/>
        </w:rPr>
        <w:t>the limited nature of</w:t>
      </w:r>
      <w:r w:rsidRPr="002E76A2" w:rsidR="00064E32">
        <w:rPr>
          <w:szCs w:val="26"/>
          <w:bdr w:val="none" w:sz="0" w:space="0" w:color="auto" w:frame="1"/>
        </w:rPr>
        <w:t xml:space="preserve"> their holdings by </w:t>
      </w:r>
      <w:r w:rsidRPr="002E76A2" w:rsidR="004D10AF">
        <w:rPr>
          <w:szCs w:val="26"/>
          <w:bdr w:val="none" w:sz="0" w:space="0" w:color="auto" w:frame="1"/>
        </w:rPr>
        <w:t>distinguish</w:t>
      </w:r>
      <w:r w:rsidRPr="002E76A2" w:rsidR="00064E32">
        <w:rPr>
          <w:szCs w:val="26"/>
          <w:bdr w:val="none" w:sz="0" w:space="0" w:color="auto" w:frame="1"/>
        </w:rPr>
        <w:t>ing</w:t>
      </w:r>
      <w:r w:rsidRPr="002E76A2" w:rsidR="00D43F54">
        <w:rPr>
          <w:szCs w:val="26"/>
          <w:bdr w:val="none" w:sz="0" w:space="0" w:color="auto" w:frame="1"/>
        </w:rPr>
        <w:t xml:space="preserve"> the facts involved in</w:t>
      </w:r>
      <w:r w:rsidRPr="002E76A2" w:rsidR="004D10AF">
        <w:rPr>
          <w:szCs w:val="26"/>
          <w:bdr w:val="none" w:sz="0" w:space="0" w:color="auto" w:frame="1"/>
        </w:rPr>
        <w:t xml:space="preserve"> </w:t>
      </w:r>
      <w:r w:rsidRPr="002E76A2" w:rsidR="00487252">
        <w:rPr>
          <w:i/>
          <w:iCs/>
          <w:szCs w:val="26"/>
        </w:rPr>
        <w:t>Murphy v. Allstate Ins. Co.</w:t>
      </w:r>
      <w:r w:rsidRPr="002E76A2" w:rsidR="00487252">
        <w:rPr>
          <w:szCs w:val="26"/>
        </w:rPr>
        <w:t xml:space="preserve"> (1978) 83</w:t>
      </w:r>
      <w:r w:rsidR="00902ADA">
        <w:rPr>
          <w:szCs w:val="26"/>
        </w:rPr>
        <w:t> </w:t>
      </w:r>
      <w:r w:rsidRPr="002E76A2" w:rsidR="00487252">
        <w:rPr>
          <w:szCs w:val="26"/>
        </w:rPr>
        <w:t>Cal.App.3d 38</w:t>
      </w:r>
      <w:r w:rsidRPr="002E76A2" w:rsidR="00D43F54">
        <w:rPr>
          <w:szCs w:val="26"/>
          <w:bdr w:val="none" w:sz="0" w:space="0" w:color="auto" w:frame="1"/>
        </w:rPr>
        <w:t>.</w:t>
      </w:r>
      <w:r w:rsidRPr="002E76A2" w:rsidR="004D10AF">
        <w:rPr>
          <w:szCs w:val="26"/>
          <w:bdr w:val="none" w:sz="0" w:space="0" w:color="auto" w:frame="1"/>
        </w:rPr>
        <w:t xml:space="preserve"> </w:t>
      </w:r>
      <w:r w:rsidRPr="002E76A2" w:rsidR="00D43F54">
        <w:rPr>
          <w:szCs w:val="26"/>
          <w:bdr w:val="none" w:sz="0" w:space="0" w:color="auto" w:frame="1"/>
        </w:rPr>
        <w:t xml:space="preserve"> (</w:t>
      </w:r>
      <w:r w:rsidRPr="002E76A2" w:rsidR="00D43F54">
        <w:rPr>
          <w:i/>
          <w:iCs/>
          <w:szCs w:val="26"/>
        </w:rPr>
        <w:t>Jang</w:t>
      </w:r>
      <w:r w:rsidRPr="002E76A2" w:rsidR="00D43F54">
        <w:rPr>
          <w:szCs w:val="26"/>
        </w:rPr>
        <w:t xml:space="preserve">, </w:t>
      </w:r>
      <w:r w:rsidRPr="002E76A2" w:rsidR="00D43F54">
        <w:rPr>
          <w:i/>
          <w:iCs/>
          <w:szCs w:val="26"/>
        </w:rPr>
        <w:t>supra</w:t>
      </w:r>
      <w:r w:rsidRPr="002E76A2" w:rsidR="00D43F54">
        <w:rPr>
          <w:szCs w:val="26"/>
        </w:rPr>
        <w:t>, 80</w:t>
      </w:r>
      <w:r w:rsidR="00902ADA">
        <w:rPr>
          <w:szCs w:val="26"/>
        </w:rPr>
        <w:t> </w:t>
      </w:r>
      <w:r w:rsidRPr="002E76A2" w:rsidR="00D43F54">
        <w:rPr>
          <w:szCs w:val="26"/>
        </w:rPr>
        <w:t xml:space="preserve">Cal.App.4th at </w:t>
      </w:r>
      <w:r w:rsidRPr="002E76A2" w:rsidR="00CB694F">
        <w:rPr>
          <w:szCs w:val="26"/>
        </w:rPr>
        <w:t>p</w:t>
      </w:r>
      <w:r w:rsidRPr="002E76A2" w:rsidR="00D43F54">
        <w:rPr>
          <w:szCs w:val="26"/>
        </w:rPr>
        <w:t>p.</w:t>
      </w:r>
      <w:r w:rsidRPr="002E76A2" w:rsidR="00E00645">
        <w:rPr>
          <w:szCs w:val="26"/>
        </w:rPr>
        <w:t> </w:t>
      </w:r>
      <w:r w:rsidRPr="002E76A2" w:rsidR="00CB694F">
        <w:rPr>
          <w:szCs w:val="26"/>
        </w:rPr>
        <w:t>1301–</w:t>
      </w:r>
      <w:r w:rsidRPr="002E76A2" w:rsidR="00D43F54">
        <w:rPr>
          <w:szCs w:val="26"/>
        </w:rPr>
        <w:t xml:space="preserve">1303; </w:t>
      </w:r>
      <w:r w:rsidRPr="002E76A2" w:rsidR="00D43F54">
        <w:rPr>
          <w:i/>
          <w:iCs/>
          <w:szCs w:val="26"/>
          <w:bdr w:val="none" w:sz="0" w:space="0" w:color="auto" w:frame="1"/>
        </w:rPr>
        <w:t>Velasquez</w:t>
      </w:r>
      <w:r w:rsidRPr="002E76A2" w:rsidR="00D43F54">
        <w:rPr>
          <w:szCs w:val="26"/>
          <w:bdr w:val="none" w:sz="0" w:space="0" w:color="auto" w:frame="1"/>
        </w:rPr>
        <w:t xml:space="preserve">, </w:t>
      </w:r>
      <w:r w:rsidRPr="002E76A2" w:rsidR="009370A0">
        <w:rPr>
          <w:i/>
          <w:iCs/>
          <w:szCs w:val="26"/>
          <w:bdr w:val="none" w:sz="0" w:space="0" w:color="auto" w:frame="1"/>
        </w:rPr>
        <w:t>supra</w:t>
      </w:r>
      <w:r w:rsidRPr="002E76A2" w:rsidR="009370A0">
        <w:rPr>
          <w:szCs w:val="26"/>
          <w:bdr w:val="none" w:sz="0" w:space="0" w:color="auto" w:frame="1"/>
        </w:rPr>
        <w:t xml:space="preserve">, </w:t>
      </w:r>
      <w:r w:rsidRPr="002E76A2" w:rsidR="006C22B9">
        <w:rPr>
          <w:szCs w:val="26"/>
          <w:bdr w:val="none" w:sz="0" w:space="0" w:color="auto" w:frame="1"/>
        </w:rPr>
        <w:t>1</w:t>
      </w:r>
      <w:r w:rsidR="00902ADA">
        <w:rPr>
          <w:szCs w:val="26"/>
          <w:bdr w:val="none" w:sz="0" w:space="0" w:color="auto" w:frame="1"/>
        </w:rPr>
        <w:t> </w:t>
      </w:r>
      <w:r w:rsidRPr="002E76A2" w:rsidR="006C22B9">
        <w:rPr>
          <w:szCs w:val="26"/>
          <w:bdr w:val="none" w:sz="0" w:space="0" w:color="auto" w:frame="1"/>
        </w:rPr>
        <w:t xml:space="preserve">Cal.App.4th </w:t>
      </w:r>
      <w:r w:rsidRPr="002E76A2" w:rsidR="00D43F54">
        <w:rPr>
          <w:szCs w:val="26"/>
          <w:bdr w:val="none" w:sz="0" w:space="0" w:color="auto" w:frame="1"/>
        </w:rPr>
        <w:t>at p</w:t>
      </w:r>
      <w:r w:rsidRPr="002E76A2" w:rsidR="002356B3">
        <w:rPr>
          <w:szCs w:val="26"/>
          <w:bdr w:val="none" w:sz="0" w:space="0" w:color="auto" w:frame="1"/>
        </w:rPr>
        <w:t>p</w:t>
      </w:r>
      <w:r w:rsidRPr="002E76A2" w:rsidR="00D43F54">
        <w:rPr>
          <w:szCs w:val="26"/>
          <w:bdr w:val="none" w:sz="0" w:space="0" w:color="auto" w:frame="1"/>
        </w:rPr>
        <w:t>.</w:t>
      </w:r>
      <w:r w:rsidR="006E25BF">
        <w:rPr>
          <w:szCs w:val="26"/>
          <w:bdr w:val="none" w:sz="0" w:space="0" w:color="auto" w:frame="1"/>
        </w:rPr>
        <w:t> </w:t>
      </w:r>
      <w:r w:rsidRPr="002E76A2" w:rsidR="002356B3">
        <w:rPr>
          <w:szCs w:val="26"/>
          <w:bdr w:val="none" w:sz="0" w:space="0" w:color="auto" w:frame="1"/>
        </w:rPr>
        <w:t>719–</w:t>
      </w:r>
      <w:r w:rsidRPr="002E76A2" w:rsidR="00D43F54">
        <w:rPr>
          <w:szCs w:val="26"/>
          <w:bdr w:val="none" w:sz="0" w:space="0" w:color="auto" w:frame="1"/>
        </w:rPr>
        <w:t xml:space="preserve">720; </w:t>
      </w:r>
      <w:r w:rsidRPr="002E76A2" w:rsidR="006C22B9">
        <w:rPr>
          <w:i/>
          <w:iCs/>
          <w:szCs w:val="26"/>
          <w:bdr w:val="none" w:sz="0" w:space="0" w:color="auto" w:frame="1"/>
        </w:rPr>
        <w:t>Prieto</w:t>
      </w:r>
      <w:r w:rsidRPr="002E76A2" w:rsidR="006C22B9">
        <w:rPr>
          <w:szCs w:val="26"/>
          <w:bdr w:val="none" w:sz="0" w:space="0" w:color="auto" w:frame="1"/>
        </w:rPr>
        <w:t xml:space="preserve">, </w:t>
      </w:r>
      <w:r w:rsidRPr="002E76A2" w:rsidR="009370A0">
        <w:rPr>
          <w:i/>
          <w:iCs/>
          <w:szCs w:val="26"/>
          <w:bdr w:val="none" w:sz="0" w:space="0" w:color="auto" w:frame="1"/>
        </w:rPr>
        <w:t>supra</w:t>
      </w:r>
      <w:r w:rsidRPr="002E76A2" w:rsidR="009370A0">
        <w:rPr>
          <w:szCs w:val="26"/>
          <w:bdr w:val="none" w:sz="0" w:space="0" w:color="auto" w:frame="1"/>
        </w:rPr>
        <w:t xml:space="preserve">, </w:t>
      </w:r>
      <w:r w:rsidRPr="002E76A2" w:rsidR="00D43F54">
        <w:rPr>
          <w:szCs w:val="26"/>
        </w:rPr>
        <w:t>225</w:t>
      </w:r>
      <w:r w:rsidR="00902ADA">
        <w:rPr>
          <w:szCs w:val="26"/>
        </w:rPr>
        <w:t> </w:t>
      </w:r>
      <w:r w:rsidRPr="002E76A2" w:rsidR="00D43F54">
        <w:rPr>
          <w:szCs w:val="26"/>
        </w:rPr>
        <w:t xml:space="preserve">Cal.App.3d at </w:t>
      </w:r>
      <w:r w:rsidRPr="002E76A2" w:rsidR="002356B3">
        <w:rPr>
          <w:szCs w:val="26"/>
        </w:rPr>
        <w:t>p</w:t>
      </w:r>
      <w:r w:rsidRPr="002E76A2" w:rsidR="00D43F54">
        <w:rPr>
          <w:szCs w:val="26"/>
        </w:rPr>
        <w:t>p.</w:t>
      </w:r>
      <w:r w:rsidR="006E25BF">
        <w:rPr>
          <w:szCs w:val="26"/>
        </w:rPr>
        <w:t> </w:t>
      </w:r>
      <w:r w:rsidRPr="002E76A2" w:rsidR="002356B3">
        <w:rPr>
          <w:szCs w:val="26"/>
        </w:rPr>
        <w:t>1193–</w:t>
      </w:r>
      <w:r w:rsidRPr="002E76A2" w:rsidR="00D43F54">
        <w:rPr>
          <w:szCs w:val="26"/>
        </w:rPr>
        <w:t xml:space="preserve">1194; </w:t>
      </w:r>
      <w:r w:rsidRPr="002E76A2" w:rsidR="00D43F54">
        <w:rPr>
          <w:i/>
          <w:iCs/>
          <w:szCs w:val="26"/>
        </w:rPr>
        <w:t>Abari</w:t>
      </w:r>
      <w:r w:rsidRPr="002E76A2" w:rsidR="00D43F54">
        <w:rPr>
          <w:szCs w:val="26"/>
        </w:rPr>
        <w:t xml:space="preserve">, </w:t>
      </w:r>
      <w:r w:rsidRPr="002E76A2" w:rsidR="00D43F54">
        <w:rPr>
          <w:i/>
          <w:iCs/>
          <w:szCs w:val="26"/>
        </w:rPr>
        <w:t>supra</w:t>
      </w:r>
      <w:r w:rsidRPr="002E76A2" w:rsidR="00D43F54">
        <w:rPr>
          <w:szCs w:val="26"/>
        </w:rPr>
        <w:t>, 205</w:t>
      </w:r>
      <w:r w:rsidR="00902ADA">
        <w:rPr>
          <w:szCs w:val="26"/>
        </w:rPr>
        <w:t> </w:t>
      </w:r>
      <w:r w:rsidRPr="002E76A2" w:rsidR="00D43F54">
        <w:rPr>
          <w:szCs w:val="26"/>
        </w:rPr>
        <w:t>Cal.App.3d at p.</w:t>
      </w:r>
      <w:r w:rsidR="00511404">
        <w:rPr>
          <w:szCs w:val="26"/>
        </w:rPr>
        <w:t> </w:t>
      </w:r>
      <w:r w:rsidRPr="002E76A2" w:rsidR="00D43F54">
        <w:rPr>
          <w:szCs w:val="26"/>
        </w:rPr>
        <w:t>536;</w:t>
      </w:r>
      <w:r w:rsidRPr="002E76A2" w:rsidR="00D43F54">
        <w:rPr>
          <w:szCs w:val="26"/>
          <w:bdr w:val="none" w:sz="0" w:space="0" w:color="auto" w:frame="1"/>
        </w:rPr>
        <w:t xml:space="preserve"> </w:t>
      </w:r>
      <w:r w:rsidRPr="002E76A2" w:rsidR="00D43F54">
        <w:rPr>
          <w:i/>
          <w:iCs/>
          <w:szCs w:val="26"/>
          <w:bdr w:val="none" w:sz="0" w:space="0" w:color="auto" w:frame="1"/>
        </w:rPr>
        <w:t>Lawrence</w:t>
      </w:r>
      <w:r w:rsidRPr="002E76A2" w:rsidR="00D43F54">
        <w:rPr>
          <w:szCs w:val="26"/>
          <w:bdr w:val="none" w:sz="0" w:space="0" w:color="auto" w:frame="1"/>
        </w:rPr>
        <w:t xml:space="preserve">, </w:t>
      </w:r>
      <w:r w:rsidRPr="002E76A2" w:rsidR="00D43F54">
        <w:rPr>
          <w:i/>
          <w:iCs/>
          <w:szCs w:val="26"/>
          <w:bdr w:val="none" w:sz="0" w:space="0" w:color="auto" w:frame="1"/>
        </w:rPr>
        <w:t>supra</w:t>
      </w:r>
      <w:r w:rsidRPr="002E76A2" w:rsidR="00D43F54">
        <w:rPr>
          <w:szCs w:val="26"/>
          <w:bdr w:val="none" w:sz="0" w:space="0" w:color="auto" w:frame="1"/>
        </w:rPr>
        <w:t xml:space="preserve">, </w:t>
      </w:r>
      <w:r w:rsidRPr="002E76A2" w:rsidR="00D43F54">
        <w:rPr>
          <w:szCs w:val="26"/>
        </w:rPr>
        <w:t>204</w:t>
      </w:r>
      <w:r w:rsidR="00902ADA">
        <w:rPr>
          <w:szCs w:val="26"/>
        </w:rPr>
        <w:t> </w:t>
      </w:r>
      <w:r w:rsidRPr="002E76A2" w:rsidR="00D43F54">
        <w:rPr>
          <w:szCs w:val="26"/>
        </w:rPr>
        <w:t>Cal.App.3d at p.</w:t>
      </w:r>
      <w:r w:rsidR="006E25BF">
        <w:rPr>
          <w:szCs w:val="26"/>
        </w:rPr>
        <w:t> </w:t>
      </w:r>
      <w:r w:rsidRPr="002E76A2" w:rsidR="00D43F54">
        <w:rPr>
          <w:szCs w:val="26"/>
        </w:rPr>
        <w:t xml:space="preserve">575.)  The court in </w:t>
      </w:r>
      <w:r w:rsidRPr="002E76A2" w:rsidR="00D43F54">
        <w:rPr>
          <w:i/>
          <w:iCs/>
          <w:szCs w:val="26"/>
        </w:rPr>
        <w:t>Murphy</w:t>
      </w:r>
      <w:r w:rsidRPr="002E76A2" w:rsidR="00D43F54">
        <w:rPr>
          <w:szCs w:val="26"/>
        </w:rPr>
        <w:t xml:space="preserve"> allowed the</w:t>
      </w:r>
      <w:r w:rsidRPr="002E76A2" w:rsidR="00D43F54">
        <w:rPr>
          <w:szCs w:val="26"/>
          <w:bdr w:val="none" w:sz="0" w:space="0" w:color="auto" w:frame="1"/>
        </w:rPr>
        <w:t xml:space="preserve"> </w:t>
      </w:r>
      <w:r w:rsidRPr="002E76A2" w:rsidR="004D10AF">
        <w:rPr>
          <w:szCs w:val="26"/>
          <w:bdr w:val="none" w:sz="0" w:space="0" w:color="auto" w:frame="1"/>
        </w:rPr>
        <w:t xml:space="preserve">plaintiff </w:t>
      </w:r>
      <w:r w:rsidRPr="002E76A2" w:rsidR="00064E32">
        <w:rPr>
          <w:szCs w:val="26"/>
          <w:bdr w:val="none" w:sz="0" w:space="0" w:color="auto" w:frame="1"/>
        </w:rPr>
        <w:t xml:space="preserve">insured </w:t>
      </w:r>
      <w:r w:rsidRPr="002E76A2" w:rsidR="004D10AF">
        <w:rPr>
          <w:szCs w:val="26"/>
          <w:bdr w:val="none" w:sz="0" w:space="0" w:color="auto" w:frame="1"/>
        </w:rPr>
        <w:t xml:space="preserve">to </w:t>
      </w:r>
      <w:r w:rsidRPr="002E76A2" w:rsidR="004E51C9">
        <w:rPr>
          <w:szCs w:val="26"/>
          <w:bdr w:val="none" w:sz="0" w:space="0" w:color="auto" w:frame="1"/>
        </w:rPr>
        <w:t>pursue</w:t>
      </w:r>
      <w:r w:rsidRPr="002E76A2" w:rsidR="00064E32">
        <w:rPr>
          <w:szCs w:val="26"/>
          <w:bdr w:val="none" w:sz="0" w:space="0" w:color="auto" w:frame="1"/>
        </w:rPr>
        <w:t xml:space="preserve"> various tort theories against his insurer notwithstanding </w:t>
      </w:r>
      <w:r w:rsidR="00D353BB">
        <w:rPr>
          <w:szCs w:val="26"/>
          <w:bdr w:val="none" w:sz="0" w:space="0" w:color="auto" w:frame="1"/>
        </w:rPr>
        <w:t>a</w:t>
      </w:r>
      <w:r w:rsidRPr="002E76A2" w:rsidR="00064E32">
        <w:rPr>
          <w:szCs w:val="26"/>
          <w:bdr w:val="none" w:sz="0" w:space="0" w:color="auto" w:frame="1"/>
        </w:rPr>
        <w:t xml:space="preserve"> failure to </w:t>
      </w:r>
      <w:r w:rsidR="00D353BB">
        <w:rPr>
          <w:szCs w:val="26"/>
          <w:bdr w:val="none" w:sz="0" w:space="0" w:color="auto" w:frame="1"/>
        </w:rPr>
        <w:t>comply with</w:t>
      </w:r>
      <w:r w:rsidRPr="002E76A2" w:rsidR="00064E32">
        <w:rPr>
          <w:szCs w:val="26"/>
          <w:bdr w:val="none" w:sz="0" w:space="0" w:color="auto" w:frame="1"/>
        </w:rPr>
        <w:t xml:space="preserve"> a </w:t>
      </w:r>
      <w:r w:rsidRPr="002E76A2" w:rsidR="003D599F">
        <w:rPr>
          <w:szCs w:val="26"/>
          <w:bdr w:val="none" w:sz="0" w:space="0" w:color="auto" w:frame="1"/>
        </w:rPr>
        <w:t xml:space="preserve">timeliness </w:t>
      </w:r>
      <w:r w:rsidRPr="002E76A2" w:rsidR="00064E32">
        <w:rPr>
          <w:szCs w:val="26"/>
          <w:bdr w:val="none" w:sz="0" w:space="0" w:color="auto" w:frame="1"/>
        </w:rPr>
        <w:t>provision</w:t>
      </w:r>
      <w:r w:rsidRPr="002E76A2" w:rsidR="003D599F">
        <w:rPr>
          <w:szCs w:val="26"/>
          <w:bdr w:val="none" w:sz="0" w:space="0" w:color="auto" w:frame="1"/>
        </w:rPr>
        <w:t xml:space="preserve"> within his policy</w:t>
      </w:r>
      <w:r w:rsidRPr="002E76A2" w:rsidR="00064E32">
        <w:rPr>
          <w:szCs w:val="26"/>
          <w:bdr w:val="none" w:sz="0" w:space="0" w:color="auto" w:frame="1"/>
        </w:rPr>
        <w:t xml:space="preserve"> that mirrored the language in section 2071.  (</w:t>
      </w:r>
      <w:r w:rsidRPr="002E76A2" w:rsidR="00064E32">
        <w:rPr>
          <w:i/>
          <w:iCs/>
          <w:szCs w:val="26"/>
          <w:bdr w:val="none" w:sz="0" w:space="0" w:color="auto" w:frame="1"/>
        </w:rPr>
        <w:t>Murphy</w:t>
      </w:r>
      <w:r w:rsidRPr="002E76A2" w:rsidR="00064E32">
        <w:rPr>
          <w:szCs w:val="26"/>
          <w:bdr w:val="none" w:sz="0" w:space="0" w:color="auto" w:frame="1"/>
        </w:rPr>
        <w:t>, at pp.</w:t>
      </w:r>
      <w:r w:rsidR="00EF2DD9">
        <w:rPr>
          <w:szCs w:val="26"/>
          <w:bdr w:val="none" w:sz="0" w:space="0" w:color="auto" w:frame="1"/>
        </w:rPr>
        <w:t> </w:t>
      </w:r>
      <w:r w:rsidRPr="002E76A2" w:rsidR="00064E32">
        <w:rPr>
          <w:szCs w:val="26"/>
          <w:bdr w:val="none" w:sz="0" w:space="0" w:color="auto" w:frame="1"/>
        </w:rPr>
        <w:t xml:space="preserve">44, 47‒49.)  </w:t>
      </w:r>
      <w:r w:rsidRPr="002E76A2" w:rsidR="00064E32">
        <w:rPr>
          <w:i/>
          <w:iCs/>
          <w:szCs w:val="26"/>
          <w:bdr w:val="none" w:sz="0" w:space="0" w:color="auto" w:frame="1"/>
        </w:rPr>
        <w:t>Murphy</w:t>
      </w:r>
      <w:r w:rsidRPr="002E76A2" w:rsidR="004D10AF">
        <w:rPr>
          <w:szCs w:val="26"/>
          <w:bdr w:val="none" w:sz="0" w:space="0" w:color="auto" w:frame="1"/>
        </w:rPr>
        <w:t xml:space="preserve"> </w:t>
      </w:r>
      <w:r w:rsidRPr="002E76A2" w:rsidR="00064E32">
        <w:rPr>
          <w:szCs w:val="26"/>
          <w:bdr w:val="none" w:sz="0" w:space="0" w:color="auto" w:frame="1"/>
        </w:rPr>
        <w:t xml:space="preserve">emphasized that </w:t>
      </w:r>
      <w:r w:rsidRPr="002E76A2" w:rsidR="009370A0">
        <w:rPr>
          <w:szCs w:val="26"/>
          <w:bdr w:val="none" w:sz="0" w:space="0" w:color="auto" w:frame="1"/>
        </w:rPr>
        <w:t>the plaintiff’s</w:t>
      </w:r>
      <w:r w:rsidRPr="002E76A2" w:rsidR="00064E32">
        <w:rPr>
          <w:szCs w:val="26"/>
          <w:bdr w:val="none" w:sz="0" w:space="0" w:color="auto" w:frame="1"/>
        </w:rPr>
        <w:t xml:space="preserve"> causes of action involved</w:t>
      </w:r>
      <w:r w:rsidRPr="002E76A2">
        <w:rPr>
          <w:szCs w:val="26"/>
          <w:bdr w:val="none" w:sz="0" w:space="0" w:color="auto" w:frame="1"/>
        </w:rPr>
        <w:t xml:space="preserve"> alleged misconduct by the insurer</w:t>
      </w:r>
      <w:r w:rsidRPr="002E76A2" w:rsidR="003F3182">
        <w:rPr>
          <w:szCs w:val="26"/>
          <w:bdr w:val="none" w:sz="0" w:space="0" w:color="auto" w:frame="1"/>
        </w:rPr>
        <w:t xml:space="preserve"> (</w:t>
      </w:r>
      <w:r w:rsidRPr="002E76A2" w:rsidR="00CB694F">
        <w:rPr>
          <w:szCs w:val="26"/>
          <w:bdr w:val="none" w:sz="0" w:space="0" w:color="auto" w:frame="1"/>
        </w:rPr>
        <w:t>including</w:t>
      </w:r>
      <w:r w:rsidRPr="002E76A2" w:rsidR="00B15BF7">
        <w:rPr>
          <w:szCs w:val="26"/>
          <w:bdr w:val="none" w:sz="0" w:space="0" w:color="auto" w:frame="1"/>
        </w:rPr>
        <w:t xml:space="preserve"> retaining</w:t>
      </w:r>
      <w:r w:rsidRPr="002E76A2" w:rsidR="003D599F">
        <w:rPr>
          <w:szCs w:val="26"/>
          <w:bdr w:val="none" w:sz="0" w:space="0" w:color="auto" w:frame="1"/>
        </w:rPr>
        <w:t xml:space="preserve"> assertedly</w:t>
      </w:r>
      <w:r w:rsidRPr="002E76A2" w:rsidR="00B15BF7">
        <w:rPr>
          <w:szCs w:val="26"/>
          <w:bdr w:val="none" w:sz="0" w:space="0" w:color="auto" w:frame="1"/>
        </w:rPr>
        <w:t xml:space="preserve"> unqualified contractors </w:t>
      </w:r>
      <w:r w:rsidRPr="002E76A2" w:rsidR="003D599F">
        <w:rPr>
          <w:szCs w:val="26"/>
          <w:bdr w:val="none" w:sz="0" w:space="0" w:color="auto" w:frame="1"/>
        </w:rPr>
        <w:t>to perform</w:t>
      </w:r>
      <w:r w:rsidRPr="002E76A2" w:rsidR="00B15BF7">
        <w:rPr>
          <w:szCs w:val="26"/>
          <w:bdr w:val="none" w:sz="0" w:space="0" w:color="auto" w:frame="1"/>
        </w:rPr>
        <w:t xml:space="preserve"> repair</w:t>
      </w:r>
      <w:r w:rsidRPr="002E76A2" w:rsidR="003D599F">
        <w:rPr>
          <w:szCs w:val="26"/>
          <w:bdr w:val="none" w:sz="0" w:space="0" w:color="auto" w:frame="1"/>
        </w:rPr>
        <w:t xml:space="preserve"> work</w:t>
      </w:r>
      <w:r w:rsidRPr="002E76A2" w:rsidR="00B15BF7">
        <w:rPr>
          <w:szCs w:val="26"/>
          <w:bdr w:val="none" w:sz="0" w:space="0" w:color="auto" w:frame="1"/>
        </w:rPr>
        <w:t xml:space="preserve"> and filing an interpleader action that delayed the award of policy benefits)</w:t>
      </w:r>
      <w:r w:rsidRPr="002E76A2">
        <w:rPr>
          <w:szCs w:val="26"/>
          <w:bdr w:val="none" w:sz="0" w:space="0" w:color="auto" w:frame="1"/>
        </w:rPr>
        <w:t xml:space="preserve"> </w:t>
      </w:r>
      <w:r w:rsidRPr="002E76A2" w:rsidR="00064E32">
        <w:rPr>
          <w:szCs w:val="26"/>
          <w:bdr w:val="none" w:sz="0" w:space="0" w:color="auto" w:frame="1"/>
        </w:rPr>
        <w:t>that</w:t>
      </w:r>
      <w:r w:rsidRPr="002E76A2" w:rsidR="00CB694F">
        <w:rPr>
          <w:szCs w:val="26"/>
          <w:bdr w:val="none" w:sz="0" w:space="0" w:color="auto" w:frame="1"/>
        </w:rPr>
        <w:t xml:space="preserve"> the court regarded as </w:t>
      </w:r>
      <w:r w:rsidRPr="002E76A2" w:rsidR="004E51C9">
        <w:rPr>
          <w:szCs w:val="26"/>
          <w:bdr w:val="none" w:sz="0" w:space="0" w:color="auto" w:frame="1"/>
        </w:rPr>
        <w:t>distinct from</w:t>
      </w:r>
      <w:r w:rsidRPr="002E76A2">
        <w:rPr>
          <w:szCs w:val="26"/>
          <w:bdr w:val="none" w:sz="0" w:space="0" w:color="auto" w:frame="1"/>
        </w:rPr>
        <w:t xml:space="preserve"> the initial denial of benefits</w:t>
      </w:r>
      <w:r w:rsidRPr="002E76A2" w:rsidR="00064E32">
        <w:rPr>
          <w:szCs w:val="26"/>
          <w:bdr w:val="none" w:sz="0" w:space="0" w:color="auto" w:frame="1"/>
        </w:rPr>
        <w:t xml:space="preserve">, and </w:t>
      </w:r>
      <w:r w:rsidRPr="002E76A2" w:rsidR="00CB694F">
        <w:rPr>
          <w:szCs w:val="26"/>
          <w:bdr w:val="none" w:sz="0" w:space="0" w:color="auto" w:frame="1"/>
        </w:rPr>
        <w:t xml:space="preserve">which </w:t>
      </w:r>
      <w:r w:rsidRPr="002E76A2" w:rsidR="00064E32">
        <w:rPr>
          <w:szCs w:val="26"/>
          <w:bdr w:val="none" w:sz="0" w:space="0" w:color="auto" w:frame="1"/>
        </w:rPr>
        <w:t xml:space="preserve">allegedly led to </w:t>
      </w:r>
      <w:r w:rsidRPr="002E76A2" w:rsidR="003C78F5">
        <w:rPr>
          <w:szCs w:val="26"/>
          <w:bdr w:val="none" w:sz="0" w:space="0" w:color="auto" w:frame="1"/>
        </w:rPr>
        <w:t>damages that were not recoverable under the policy.</w:t>
      </w:r>
      <w:r w:rsidRPr="002E76A2">
        <w:rPr>
          <w:szCs w:val="26"/>
          <w:bdr w:val="none" w:sz="0" w:space="0" w:color="auto" w:frame="1"/>
        </w:rPr>
        <w:t xml:space="preserve">  (</w:t>
      </w:r>
      <w:r w:rsidRPr="002E76A2" w:rsidR="00227270">
        <w:rPr>
          <w:i/>
          <w:iCs/>
          <w:szCs w:val="26"/>
        </w:rPr>
        <w:t>Id.</w:t>
      </w:r>
      <w:r w:rsidRPr="002E76A2" w:rsidR="00064E32">
        <w:rPr>
          <w:szCs w:val="26"/>
        </w:rPr>
        <w:t xml:space="preserve"> at pp.</w:t>
      </w:r>
      <w:r w:rsidR="00EF2DD9">
        <w:rPr>
          <w:szCs w:val="26"/>
        </w:rPr>
        <w:t> </w:t>
      </w:r>
      <w:r w:rsidRPr="002E76A2" w:rsidR="00064E32">
        <w:rPr>
          <w:szCs w:val="26"/>
        </w:rPr>
        <w:t>47‒49</w:t>
      </w:r>
      <w:r w:rsidRPr="002E76A2">
        <w:rPr>
          <w:szCs w:val="26"/>
        </w:rPr>
        <w:t>.)</w:t>
      </w:r>
      <w:r>
        <w:rPr>
          <w:rStyle w:val="FootnoteReference"/>
          <w:szCs w:val="26"/>
        </w:rPr>
        <w:footnoteReference w:id="12"/>
      </w:r>
      <w:r w:rsidRPr="002E76A2" w:rsidR="00064E32">
        <w:rPr>
          <w:szCs w:val="26"/>
        </w:rPr>
        <w:t xml:space="preserve">  Although </w:t>
      </w:r>
      <w:r w:rsidR="00625E23">
        <w:rPr>
          <w:szCs w:val="26"/>
        </w:rPr>
        <w:t>one court has since said</w:t>
      </w:r>
      <w:r w:rsidRPr="002E76A2" w:rsidR="00064E32">
        <w:rPr>
          <w:szCs w:val="26"/>
        </w:rPr>
        <w:t xml:space="preserve"> that </w:t>
      </w:r>
      <w:r w:rsidRPr="002E76A2" w:rsidR="00064E32">
        <w:rPr>
          <w:i/>
          <w:iCs/>
          <w:szCs w:val="26"/>
        </w:rPr>
        <w:t>Murphy</w:t>
      </w:r>
      <w:r w:rsidRPr="002E76A2" w:rsidR="00064E32">
        <w:rPr>
          <w:szCs w:val="26"/>
        </w:rPr>
        <w:t xml:space="preserve"> should be “narrowly construed” (</w:t>
      </w:r>
      <w:r w:rsidRPr="002E76A2" w:rsidR="00064E32">
        <w:rPr>
          <w:i/>
          <w:iCs/>
          <w:szCs w:val="26"/>
        </w:rPr>
        <w:t>Jang</w:t>
      </w:r>
      <w:r w:rsidRPr="002E76A2" w:rsidR="00064E32">
        <w:rPr>
          <w:szCs w:val="26"/>
        </w:rPr>
        <w:t>, at p.</w:t>
      </w:r>
      <w:r w:rsidR="00EF2DD9">
        <w:rPr>
          <w:szCs w:val="26"/>
        </w:rPr>
        <w:t> </w:t>
      </w:r>
      <w:r w:rsidRPr="002E76A2" w:rsidR="00064E32">
        <w:rPr>
          <w:szCs w:val="26"/>
        </w:rPr>
        <w:t xml:space="preserve">1301), the decision </w:t>
      </w:r>
      <w:r w:rsidRPr="002E76A2" w:rsidR="00F767F7">
        <w:rPr>
          <w:szCs w:val="26"/>
        </w:rPr>
        <w:t xml:space="preserve">also </w:t>
      </w:r>
      <w:r w:rsidRPr="002E76A2" w:rsidR="00064E32">
        <w:rPr>
          <w:szCs w:val="26"/>
        </w:rPr>
        <w:t xml:space="preserve">“remains compelling,” in the </w:t>
      </w:r>
      <w:r w:rsidR="00625E23">
        <w:rPr>
          <w:szCs w:val="26"/>
        </w:rPr>
        <w:t>same</w:t>
      </w:r>
      <w:r w:rsidRPr="002E76A2" w:rsidR="00064E32">
        <w:rPr>
          <w:szCs w:val="26"/>
        </w:rPr>
        <w:t xml:space="preserve"> court</w:t>
      </w:r>
      <w:r w:rsidR="00625E23">
        <w:rPr>
          <w:szCs w:val="26"/>
        </w:rPr>
        <w:t>’s words</w:t>
      </w:r>
      <w:r w:rsidRPr="002E76A2" w:rsidR="00064E32">
        <w:rPr>
          <w:szCs w:val="26"/>
        </w:rPr>
        <w:t>, “to the extent that it sets forth a narrow exemption</w:t>
      </w:r>
      <w:r w:rsidRPr="002E76A2" w:rsidR="000763F3">
        <w:rPr>
          <w:szCs w:val="26"/>
        </w:rPr>
        <w:t xml:space="preserve">” </w:t>
      </w:r>
      <w:r w:rsidR="00141747">
        <w:rPr>
          <w:szCs w:val="26"/>
        </w:rPr>
        <w:t>(</w:t>
      </w:r>
      <w:r w:rsidRPr="004A11BF" w:rsidR="00141747">
        <w:rPr>
          <w:i/>
          <w:iCs/>
          <w:szCs w:val="26"/>
        </w:rPr>
        <w:t>id</w:t>
      </w:r>
      <w:r w:rsidR="00141747">
        <w:rPr>
          <w:szCs w:val="26"/>
        </w:rPr>
        <w:t>. at p. 1302</w:t>
      </w:r>
      <w:r w:rsidR="00EA0075">
        <w:rPr>
          <w:szCs w:val="26"/>
        </w:rPr>
        <w:t xml:space="preserve">) </w:t>
      </w:r>
      <w:r w:rsidRPr="002E76A2" w:rsidR="000763F3">
        <w:rPr>
          <w:szCs w:val="26"/>
        </w:rPr>
        <w:t>from the limitations bar</w:t>
      </w:r>
      <w:r w:rsidR="00A74A8A">
        <w:rPr>
          <w:szCs w:val="26"/>
        </w:rPr>
        <w:t xml:space="preserve"> for causes of action involving alleged misconduct by an insurer sufficiently distinguishable from </w:t>
      </w:r>
      <w:r w:rsidR="00625E23">
        <w:rPr>
          <w:szCs w:val="26"/>
        </w:rPr>
        <w:t xml:space="preserve">conduct deemed “on [the] policy” </w:t>
      </w:r>
      <w:r w:rsidR="00EA0075">
        <w:rPr>
          <w:szCs w:val="26"/>
        </w:rPr>
        <w:t>(</w:t>
      </w:r>
      <w:r w:rsidR="00625E23">
        <w:rPr>
          <w:szCs w:val="26"/>
        </w:rPr>
        <w:t>§ 2071</w:t>
      </w:r>
      <w:r w:rsidR="00EA0075">
        <w:rPr>
          <w:szCs w:val="26"/>
        </w:rPr>
        <w:t>)</w:t>
      </w:r>
      <w:r w:rsidR="00625E23">
        <w:rPr>
          <w:szCs w:val="26"/>
        </w:rPr>
        <w:t xml:space="preserve"> and thus subject to section 2071. </w:t>
      </w:r>
      <w:r w:rsidR="00A74A8A">
        <w:rPr>
          <w:szCs w:val="26"/>
        </w:rPr>
        <w:t xml:space="preserve"> </w:t>
      </w:r>
      <w:r w:rsidRPr="002E76A2" w:rsidR="00064E32">
        <w:rPr>
          <w:szCs w:val="26"/>
        </w:rPr>
        <w:t>(</w:t>
      </w:r>
      <w:r w:rsidR="00625E23">
        <w:rPr>
          <w:i/>
          <w:iCs/>
          <w:szCs w:val="26"/>
        </w:rPr>
        <w:t>Jang</w:t>
      </w:r>
      <w:r w:rsidR="00625E23">
        <w:rPr>
          <w:szCs w:val="26"/>
        </w:rPr>
        <w:t>,</w:t>
      </w:r>
      <w:r w:rsidRPr="002E76A2" w:rsidR="00064E32">
        <w:rPr>
          <w:szCs w:val="26"/>
        </w:rPr>
        <w:t xml:space="preserve"> at p.</w:t>
      </w:r>
      <w:r w:rsidRPr="002E76A2" w:rsidR="00934C38">
        <w:rPr>
          <w:szCs w:val="26"/>
        </w:rPr>
        <w:t> </w:t>
      </w:r>
      <w:r w:rsidRPr="002E76A2" w:rsidR="00064E32">
        <w:rPr>
          <w:szCs w:val="26"/>
        </w:rPr>
        <w:t>1302</w:t>
      </w:r>
      <w:r w:rsidRPr="002E76A2" w:rsidR="003D599F">
        <w:rPr>
          <w:szCs w:val="26"/>
        </w:rPr>
        <w:t xml:space="preserve">; see also </w:t>
      </w:r>
      <w:r w:rsidRPr="002E76A2" w:rsidR="003D599F">
        <w:rPr>
          <w:i/>
          <w:iCs/>
          <w:szCs w:val="26"/>
        </w:rPr>
        <w:t>Lawrence</w:t>
      </w:r>
      <w:r w:rsidRPr="002E76A2" w:rsidR="003D599F">
        <w:rPr>
          <w:szCs w:val="26"/>
        </w:rPr>
        <w:t xml:space="preserve">, at p. 575 [distinguishing </w:t>
      </w:r>
      <w:r w:rsidRPr="002E76A2" w:rsidR="003D599F">
        <w:rPr>
          <w:i/>
          <w:iCs/>
          <w:szCs w:val="26"/>
        </w:rPr>
        <w:t>Murphy</w:t>
      </w:r>
      <w:r w:rsidRPr="002E76A2" w:rsidR="003D599F">
        <w:rPr>
          <w:szCs w:val="26"/>
        </w:rPr>
        <w:t xml:space="preserve"> on the ground that the </w:t>
      </w:r>
      <w:r w:rsidR="00D353BB">
        <w:rPr>
          <w:szCs w:val="26"/>
        </w:rPr>
        <w:t xml:space="preserve">causes of action </w:t>
      </w:r>
      <w:r w:rsidR="00C1773B">
        <w:rPr>
          <w:szCs w:val="26"/>
        </w:rPr>
        <w:t xml:space="preserve">that were </w:t>
      </w:r>
      <w:r w:rsidR="00D353BB">
        <w:rPr>
          <w:szCs w:val="26"/>
        </w:rPr>
        <w:t>allowed to proceed</w:t>
      </w:r>
      <w:r w:rsidRPr="002E76A2" w:rsidR="003D599F">
        <w:rPr>
          <w:szCs w:val="26"/>
        </w:rPr>
        <w:t xml:space="preserve"> </w:t>
      </w:r>
      <w:r w:rsidR="00D353BB">
        <w:rPr>
          <w:szCs w:val="26"/>
        </w:rPr>
        <w:t>in that case</w:t>
      </w:r>
      <w:r w:rsidRPr="002E76A2" w:rsidR="003D599F">
        <w:rPr>
          <w:szCs w:val="26"/>
        </w:rPr>
        <w:t xml:space="preserve"> involved </w:t>
      </w:r>
      <w:r w:rsidR="00D353BB">
        <w:rPr>
          <w:szCs w:val="26"/>
        </w:rPr>
        <w:t>circumstances</w:t>
      </w:r>
      <w:r w:rsidRPr="002E76A2" w:rsidR="003D599F">
        <w:rPr>
          <w:szCs w:val="26"/>
        </w:rPr>
        <w:t xml:space="preserve"> that merely “related to the policy” and “occurred after the initial policy coverage was triggered”]</w:t>
      </w:r>
      <w:r w:rsidR="0063632B">
        <w:rPr>
          <w:szCs w:val="26"/>
        </w:rPr>
        <w:t>.</w:t>
      </w:r>
      <w:r w:rsidRPr="002E76A2" w:rsidR="00064E32">
        <w:rPr>
          <w:szCs w:val="26"/>
        </w:rPr>
        <w:t>)</w:t>
      </w:r>
      <w:r w:rsidRPr="002E76A2" w:rsidR="004B388E">
        <w:rPr>
          <w:szCs w:val="26"/>
          <w:bdr w:val="none" w:sz="0" w:space="0" w:color="auto" w:frame="1"/>
        </w:rPr>
        <w:t xml:space="preserve">  </w:t>
      </w:r>
    </w:p>
    <w:p w:rsidR="00035B38" w:rsidP="00035B38">
      <w:pPr>
        <w:ind w:firstLine="720"/>
        <w:rPr>
          <w:szCs w:val="26"/>
        </w:rPr>
      </w:pPr>
      <w:r w:rsidRPr="002E76A2">
        <w:rPr>
          <w:szCs w:val="26"/>
          <w:bdr w:val="none" w:sz="0" w:space="0" w:color="auto" w:frame="1"/>
        </w:rPr>
        <w:t>We</w:t>
      </w:r>
      <w:r w:rsidRPr="002E76A2" w:rsidR="00E875AE">
        <w:rPr>
          <w:szCs w:val="26"/>
          <w:bdr w:val="none" w:sz="0" w:space="0" w:color="auto" w:frame="1"/>
        </w:rPr>
        <w:t xml:space="preserve"> </w:t>
      </w:r>
      <w:r w:rsidR="001B0476">
        <w:rPr>
          <w:szCs w:val="26"/>
          <w:bdr w:val="none" w:sz="0" w:space="0" w:color="auto" w:frame="1"/>
        </w:rPr>
        <w:t>do</w:t>
      </w:r>
      <w:r w:rsidRPr="002E76A2" w:rsidR="00E875AE">
        <w:rPr>
          <w:szCs w:val="26"/>
          <w:bdr w:val="none" w:sz="0" w:space="0" w:color="auto" w:frame="1"/>
        </w:rPr>
        <w:t xml:space="preserve"> not</w:t>
      </w:r>
      <w:r w:rsidR="001B0476">
        <w:rPr>
          <w:szCs w:val="26"/>
          <w:bdr w:val="none" w:sz="0" w:space="0" w:color="auto" w:frame="1"/>
        </w:rPr>
        <w:t xml:space="preserve"> have to</w:t>
      </w:r>
      <w:r w:rsidRPr="002E76A2" w:rsidR="00E875AE">
        <w:rPr>
          <w:szCs w:val="26"/>
          <w:bdr w:val="none" w:sz="0" w:space="0" w:color="auto" w:frame="1"/>
        </w:rPr>
        <w:t xml:space="preserve"> </w:t>
      </w:r>
      <w:r w:rsidR="003872A8">
        <w:rPr>
          <w:szCs w:val="26"/>
          <w:bdr w:val="none" w:sz="0" w:space="0" w:color="auto" w:frame="1"/>
        </w:rPr>
        <w:t>determine</w:t>
      </w:r>
      <w:r w:rsidR="009F5380">
        <w:rPr>
          <w:szCs w:val="26"/>
          <w:bdr w:val="none" w:sz="0" w:space="0" w:color="auto" w:frame="1"/>
        </w:rPr>
        <w:t xml:space="preserve"> here</w:t>
      </w:r>
      <w:r w:rsidR="001B0476">
        <w:rPr>
          <w:szCs w:val="26"/>
          <w:bdr w:val="none" w:sz="0" w:space="0" w:color="auto" w:frame="1"/>
        </w:rPr>
        <w:t xml:space="preserve"> </w:t>
      </w:r>
      <w:r w:rsidR="009F5380">
        <w:rPr>
          <w:szCs w:val="26"/>
          <w:bdr w:val="none" w:sz="0" w:space="0" w:color="auto" w:frame="1"/>
        </w:rPr>
        <w:t>whether</w:t>
      </w:r>
      <w:r w:rsidRPr="002E76A2">
        <w:rPr>
          <w:szCs w:val="26"/>
          <w:bdr w:val="none" w:sz="0" w:space="0" w:color="auto" w:frame="1"/>
        </w:rPr>
        <w:t xml:space="preserve"> </w:t>
      </w:r>
      <w:r w:rsidRPr="002E76A2" w:rsidR="003C27D8">
        <w:rPr>
          <w:i/>
          <w:iCs/>
          <w:szCs w:val="26"/>
          <w:bdr w:val="none" w:sz="0" w:space="0" w:color="auto" w:frame="1"/>
        </w:rPr>
        <w:t>Murphy</w:t>
      </w:r>
      <w:r w:rsidRPr="002E76A2" w:rsidR="003C27D8">
        <w:rPr>
          <w:szCs w:val="26"/>
          <w:bdr w:val="none" w:sz="0" w:space="0" w:color="auto" w:frame="1"/>
        </w:rPr>
        <w:t xml:space="preserve"> was correctly decided, </w:t>
      </w:r>
      <w:r w:rsidR="00F03653">
        <w:rPr>
          <w:szCs w:val="26"/>
          <w:bdr w:val="none" w:sz="0" w:space="0" w:color="auto" w:frame="1"/>
        </w:rPr>
        <w:t>n</w:t>
      </w:r>
      <w:r w:rsidRPr="002E76A2" w:rsidR="003C27D8">
        <w:rPr>
          <w:szCs w:val="26"/>
          <w:bdr w:val="none" w:sz="0" w:space="0" w:color="auto" w:frame="1"/>
        </w:rPr>
        <w:t>or for that matter</w:t>
      </w:r>
      <w:r w:rsidR="00D353BB">
        <w:rPr>
          <w:szCs w:val="26"/>
          <w:bdr w:val="none" w:sz="0" w:space="0" w:color="auto" w:frame="1"/>
        </w:rPr>
        <w:t xml:space="preserve"> must we</w:t>
      </w:r>
      <w:r w:rsidRPr="002E76A2" w:rsidR="003C27D8">
        <w:rPr>
          <w:szCs w:val="26"/>
          <w:bdr w:val="none" w:sz="0" w:space="0" w:color="auto" w:frame="1"/>
        </w:rPr>
        <w:t xml:space="preserve"> </w:t>
      </w:r>
      <w:r w:rsidR="00511404">
        <w:rPr>
          <w:szCs w:val="26"/>
          <w:bdr w:val="none" w:sz="0" w:space="0" w:color="auto" w:frame="1"/>
        </w:rPr>
        <w:t>review every aspect of</w:t>
      </w:r>
      <w:r w:rsidR="00557DDB">
        <w:rPr>
          <w:szCs w:val="26"/>
          <w:bdr w:val="none" w:sz="0" w:space="0" w:color="auto" w:frame="1"/>
        </w:rPr>
        <w:t xml:space="preserve"> </w:t>
      </w:r>
      <w:r w:rsidRPr="002E76A2" w:rsidR="003C27D8">
        <w:rPr>
          <w:szCs w:val="26"/>
          <w:bdr w:val="none" w:sz="0" w:space="0" w:color="auto" w:frame="1"/>
        </w:rPr>
        <w:t>the reasoning</w:t>
      </w:r>
      <w:r w:rsidR="003872A8">
        <w:rPr>
          <w:szCs w:val="26"/>
          <w:bdr w:val="none" w:sz="0" w:space="0" w:color="auto" w:frame="1"/>
        </w:rPr>
        <w:t xml:space="preserve"> in other</w:t>
      </w:r>
      <w:r w:rsidRPr="002E76A2" w:rsidR="009B17D8">
        <w:rPr>
          <w:szCs w:val="26"/>
          <w:bdr w:val="none" w:sz="0" w:space="0" w:color="auto" w:frame="1"/>
        </w:rPr>
        <w:t xml:space="preserve"> </w:t>
      </w:r>
      <w:r w:rsidR="003872A8">
        <w:rPr>
          <w:szCs w:val="26"/>
          <w:bdr w:val="none" w:sz="0" w:space="0" w:color="auto" w:frame="1"/>
        </w:rPr>
        <w:t>decisions</w:t>
      </w:r>
      <w:r w:rsidRPr="002E76A2" w:rsidR="00E875AE">
        <w:rPr>
          <w:szCs w:val="26"/>
          <w:bdr w:val="none" w:sz="0" w:space="0" w:color="auto" w:frame="1"/>
        </w:rPr>
        <w:t xml:space="preserve"> </w:t>
      </w:r>
      <w:r w:rsidR="00902ADA">
        <w:rPr>
          <w:szCs w:val="26"/>
          <w:bdr w:val="none" w:sz="0" w:space="0" w:color="auto" w:frame="1"/>
        </w:rPr>
        <w:t>that have addressed</w:t>
      </w:r>
      <w:r w:rsidRPr="002E76A2" w:rsidR="009B17D8">
        <w:rPr>
          <w:szCs w:val="26"/>
          <w:bdr w:val="none" w:sz="0" w:space="0" w:color="auto" w:frame="1"/>
        </w:rPr>
        <w:t xml:space="preserve"> whether a</w:t>
      </w:r>
      <w:r w:rsidR="00D353BB">
        <w:rPr>
          <w:szCs w:val="26"/>
          <w:bdr w:val="none" w:sz="0" w:space="0" w:color="auto" w:frame="1"/>
        </w:rPr>
        <w:t xml:space="preserve"> particular</w:t>
      </w:r>
      <w:r w:rsidRPr="002E76A2" w:rsidR="009B17D8">
        <w:rPr>
          <w:szCs w:val="26"/>
          <w:bdr w:val="none" w:sz="0" w:space="0" w:color="auto" w:frame="1"/>
        </w:rPr>
        <w:t xml:space="preserve"> suit or action was “on </w:t>
      </w:r>
      <w:r w:rsidRPr="002E76A2" w:rsidR="00E4742F">
        <w:rPr>
          <w:szCs w:val="26"/>
          <w:bdr w:val="none" w:sz="0" w:space="0" w:color="auto" w:frame="1"/>
        </w:rPr>
        <w:t>[</w:t>
      </w:r>
      <w:r w:rsidRPr="002E76A2" w:rsidR="009B17D8">
        <w:rPr>
          <w:szCs w:val="26"/>
          <w:bdr w:val="none" w:sz="0" w:space="0" w:color="auto" w:frame="1"/>
        </w:rPr>
        <w:t>the</w:t>
      </w:r>
      <w:r w:rsidRPr="002E76A2" w:rsidR="00E4742F">
        <w:rPr>
          <w:szCs w:val="26"/>
          <w:bdr w:val="none" w:sz="0" w:space="0" w:color="auto" w:frame="1"/>
        </w:rPr>
        <w:t>]</w:t>
      </w:r>
      <w:r w:rsidRPr="002E76A2" w:rsidR="009B17D8">
        <w:rPr>
          <w:szCs w:val="26"/>
          <w:bdr w:val="none" w:sz="0" w:space="0" w:color="auto" w:frame="1"/>
        </w:rPr>
        <w:t xml:space="preserve"> policy</w:t>
      </w:r>
      <w:r w:rsidRPr="002E76A2" w:rsidR="003C27D8">
        <w:rPr>
          <w:szCs w:val="26"/>
          <w:bdr w:val="none" w:sz="0" w:space="0" w:color="auto" w:frame="1"/>
        </w:rPr>
        <w:t>.</w:t>
      </w:r>
      <w:r w:rsidRPr="002E76A2" w:rsidR="009B17D8">
        <w:rPr>
          <w:szCs w:val="26"/>
          <w:bdr w:val="none" w:sz="0" w:space="0" w:color="auto" w:frame="1"/>
        </w:rPr>
        <w:t xml:space="preserve">” </w:t>
      </w:r>
      <w:r w:rsidRPr="002E76A2" w:rsidR="003C27D8">
        <w:rPr>
          <w:szCs w:val="26"/>
          <w:bdr w:val="none" w:sz="0" w:space="0" w:color="auto" w:frame="1"/>
        </w:rPr>
        <w:t xml:space="preserve"> (§ 2071.)</w:t>
      </w:r>
      <w:r w:rsidRPr="002E76A2" w:rsidR="00E875AE">
        <w:rPr>
          <w:szCs w:val="26"/>
          <w:bdr w:val="none" w:sz="0" w:space="0" w:color="auto" w:frame="1"/>
        </w:rPr>
        <w:t xml:space="preserve">  The </w:t>
      </w:r>
      <w:r w:rsidR="00B40357">
        <w:rPr>
          <w:szCs w:val="26"/>
          <w:bdr w:val="none" w:sz="0" w:space="0" w:color="auto" w:frame="1"/>
        </w:rPr>
        <w:t>fundamental</w:t>
      </w:r>
      <w:r w:rsidRPr="002E76A2" w:rsidR="00E875AE">
        <w:rPr>
          <w:szCs w:val="26"/>
          <w:bdr w:val="none" w:sz="0" w:space="0" w:color="auto" w:frame="1"/>
        </w:rPr>
        <w:t xml:space="preserve"> </w:t>
      </w:r>
      <w:r w:rsidR="00C1561A">
        <w:rPr>
          <w:szCs w:val="26"/>
          <w:bdr w:val="none" w:sz="0" w:space="0" w:color="auto" w:frame="1"/>
        </w:rPr>
        <w:t>point</w:t>
      </w:r>
      <w:r w:rsidR="00B40357">
        <w:rPr>
          <w:szCs w:val="26"/>
          <w:bdr w:val="none" w:sz="0" w:space="0" w:color="auto" w:frame="1"/>
        </w:rPr>
        <w:t xml:space="preserve"> </w:t>
      </w:r>
      <w:r w:rsidRPr="002E76A2" w:rsidR="00E875AE">
        <w:rPr>
          <w:szCs w:val="26"/>
          <w:bdr w:val="none" w:sz="0" w:space="0" w:color="auto" w:frame="1"/>
        </w:rPr>
        <w:t>is that</w:t>
      </w:r>
      <w:r w:rsidR="0077722A">
        <w:rPr>
          <w:szCs w:val="26"/>
          <w:bdr w:val="none" w:sz="0" w:space="0" w:color="auto" w:frame="1"/>
        </w:rPr>
        <w:t xml:space="preserve">, properly read, </w:t>
      </w:r>
      <w:r w:rsidRPr="002E76A2" w:rsidR="003C78F5">
        <w:rPr>
          <w:szCs w:val="26"/>
          <w:bdr w:val="none" w:sz="0" w:space="0" w:color="auto" w:frame="1"/>
        </w:rPr>
        <w:t>the</w:t>
      </w:r>
      <w:r w:rsidR="002C122B">
        <w:rPr>
          <w:szCs w:val="26"/>
          <w:bdr w:val="none" w:sz="0" w:space="0" w:color="auto" w:frame="1"/>
        </w:rPr>
        <w:t xml:space="preserve"> Court of Appeal</w:t>
      </w:r>
      <w:r w:rsidRPr="002E76A2" w:rsidR="003C78F5">
        <w:rPr>
          <w:szCs w:val="26"/>
          <w:bdr w:val="none" w:sz="0" w:space="0" w:color="auto" w:frame="1"/>
        </w:rPr>
        <w:t xml:space="preserve"> decisions State Farm relies upon have </w:t>
      </w:r>
      <w:r w:rsidRPr="0077722A" w:rsidR="003C78F5">
        <w:rPr>
          <w:i/>
          <w:iCs/>
          <w:szCs w:val="26"/>
          <w:bdr w:val="none" w:sz="0" w:space="0" w:color="auto" w:frame="1"/>
        </w:rPr>
        <w:t>not</w:t>
      </w:r>
      <w:r w:rsidRPr="002E76A2" w:rsidR="003C78F5">
        <w:rPr>
          <w:szCs w:val="26"/>
          <w:bdr w:val="none" w:sz="0" w:space="0" w:color="auto" w:frame="1"/>
        </w:rPr>
        <w:t xml:space="preserve"> </w:t>
      </w:r>
      <w:r w:rsidR="00827F86">
        <w:rPr>
          <w:szCs w:val="26"/>
          <w:bdr w:val="none" w:sz="0" w:space="0" w:color="auto" w:frame="1"/>
        </w:rPr>
        <w:t>held that</w:t>
      </w:r>
      <w:r w:rsidRPr="002E76A2" w:rsidR="003C78F5">
        <w:rPr>
          <w:szCs w:val="26"/>
          <w:bdr w:val="none" w:sz="0" w:space="0" w:color="auto" w:frame="1"/>
        </w:rPr>
        <w:t xml:space="preserve"> the</w:t>
      </w:r>
      <w:r w:rsidRPr="002E76A2" w:rsidR="00314A87">
        <w:rPr>
          <w:szCs w:val="26"/>
          <w:bdr w:val="none" w:sz="0" w:space="0" w:color="auto" w:frame="1"/>
        </w:rPr>
        <w:t xml:space="preserve"> time limit</w:t>
      </w:r>
      <w:r w:rsidR="00C1773B">
        <w:rPr>
          <w:szCs w:val="26"/>
          <w:bdr w:val="none" w:sz="0" w:space="0" w:color="auto" w:frame="1"/>
        </w:rPr>
        <w:t>s</w:t>
      </w:r>
      <w:r w:rsidRPr="002E76A2" w:rsidR="00314A87">
        <w:rPr>
          <w:szCs w:val="26"/>
          <w:bdr w:val="none" w:sz="0" w:space="0" w:color="auto" w:frame="1"/>
        </w:rPr>
        <w:t xml:space="preserve"> within policies </w:t>
      </w:r>
      <w:r w:rsidRPr="002E76A2" w:rsidR="0055163F">
        <w:rPr>
          <w:szCs w:val="26"/>
          <w:bdr w:val="none" w:sz="0" w:space="0" w:color="auto" w:frame="1"/>
        </w:rPr>
        <w:t>subject</w:t>
      </w:r>
      <w:r w:rsidRPr="002E76A2" w:rsidR="00314A87">
        <w:rPr>
          <w:szCs w:val="26"/>
          <w:bdr w:val="none" w:sz="0" w:space="0" w:color="auto" w:frame="1"/>
        </w:rPr>
        <w:t xml:space="preserve"> to</w:t>
      </w:r>
      <w:r w:rsidRPr="002E76A2" w:rsidR="003C78F5">
        <w:rPr>
          <w:szCs w:val="26"/>
          <w:bdr w:val="none" w:sz="0" w:space="0" w:color="auto" w:frame="1"/>
        </w:rPr>
        <w:t xml:space="preserve"> section 2071</w:t>
      </w:r>
      <w:r w:rsidRPr="002E76A2" w:rsidR="00314A87">
        <w:rPr>
          <w:szCs w:val="26"/>
          <w:bdr w:val="none" w:sz="0" w:space="0" w:color="auto" w:frame="1"/>
        </w:rPr>
        <w:t xml:space="preserve"> </w:t>
      </w:r>
      <w:r w:rsidRPr="002E76A2" w:rsidR="003C78F5">
        <w:rPr>
          <w:szCs w:val="26"/>
          <w:bdr w:val="none" w:sz="0" w:space="0" w:color="auto" w:frame="1"/>
        </w:rPr>
        <w:t>extend</w:t>
      </w:r>
      <w:r w:rsidRPr="002E76A2" w:rsidR="00314A87">
        <w:rPr>
          <w:szCs w:val="26"/>
          <w:bdr w:val="none" w:sz="0" w:space="0" w:color="auto" w:frame="1"/>
        </w:rPr>
        <w:t xml:space="preserve"> to “</w:t>
      </w:r>
      <w:r w:rsidRPr="002E76A2" w:rsidR="00314A87">
        <w:rPr>
          <w:szCs w:val="26"/>
        </w:rPr>
        <w:t>any</w:t>
      </w:r>
      <w:r w:rsidRPr="002E76A2" w:rsidR="00314A87">
        <w:rPr>
          <w:i/>
          <w:iCs/>
          <w:szCs w:val="26"/>
        </w:rPr>
        <w:t xml:space="preserve"> </w:t>
      </w:r>
      <w:r w:rsidRPr="002E76A2" w:rsidR="00314A87">
        <w:rPr>
          <w:szCs w:val="26"/>
        </w:rPr>
        <w:t>theory arising out of the insurer’s handling of claims for policy benefits</w:t>
      </w:r>
      <w:r w:rsidR="002C122B">
        <w:rPr>
          <w:szCs w:val="26"/>
        </w:rPr>
        <w:t>,</w:t>
      </w:r>
      <w:r w:rsidRPr="002E76A2" w:rsidR="00314A87">
        <w:rPr>
          <w:szCs w:val="26"/>
        </w:rPr>
        <w:t>”</w:t>
      </w:r>
      <w:r w:rsidRPr="002E76A2" w:rsidR="003C78F5">
        <w:rPr>
          <w:szCs w:val="26"/>
        </w:rPr>
        <w:t xml:space="preserve"> </w:t>
      </w:r>
      <w:r w:rsidR="002C122B">
        <w:rPr>
          <w:szCs w:val="26"/>
        </w:rPr>
        <w:t xml:space="preserve">as </w:t>
      </w:r>
      <w:r w:rsidR="00F86B45">
        <w:rPr>
          <w:szCs w:val="26"/>
        </w:rPr>
        <w:t>the insurer</w:t>
      </w:r>
      <w:r w:rsidR="002C122B">
        <w:rPr>
          <w:szCs w:val="26"/>
        </w:rPr>
        <w:t xml:space="preserve"> puts it. </w:t>
      </w:r>
      <w:r w:rsidRPr="002E76A2" w:rsidR="003F3182">
        <w:rPr>
          <w:szCs w:val="26"/>
        </w:rPr>
        <w:t xml:space="preserve"> </w:t>
      </w:r>
      <w:r w:rsidR="00E47287">
        <w:rPr>
          <w:szCs w:val="26"/>
        </w:rPr>
        <w:t>None of these</w:t>
      </w:r>
      <w:r w:rsidR="003872A8">
        <w:rPr>
          <w:szCs w:val="26"/>
        </w:rPr>
        <w:t xml:space="preserve"> </w:t>
      </w:r>
      <w:r w:rsidR="00167413">
        <w:rPr>
          <w:szCs w:val="26"/>
        </w:rPr>
        <w:t>decisions</w:t>
      </w:r>
      <w:r w:rsidR="003872A8">
        <w:rPr>
          <w:szCs w:val="26"/>
        </w:rPr>
        <w:t xml:space="preserve"> </w:t>
      </w:r>
      <w:r w:rsidR="00582254">
        <w:rPr>
          <w:szCs w:val="26"/>
        </w:rPr>
        <w:t>involved</w:t>
      </w:r>
      <w:r w:rsidR="00E47287">
        <w:rPr>
          <w:szCs w:val="26"/>
        </w:rPr>
        <w:t xml:space="preserve"> such an expansive holding, unmoored to the</w:t>
      </w:r>
      <w:r w:rsidR="00B52323">
        <w:rPr>
          <w:szCs w:val="26"/>
        </w:rPr>
        <w:t xml:space="preserve"> specific</w:t>
      </w:r>
      <w:r w:rsidR="00E47287">
        <w:rPr>
          <w:szCs w:val="26"/>
        </w:rPr>
        <w:t xml:space="preserve"> facts before the court</w:t>
      </w:r>
      <w:r w:rsidR="003872A8">
        <w:rPr>
          <w:szCs w:val="26"/>
        </w:rPr>
        <w:t xml:space="preserve">.  </w:t>
      </w:r>
      <w:r w:rsidR="0077722A">
        <w:rPr>
          <w:szCs w:val="26"/>
        </w:rPr>
        <w:t xml:space="preserve">Instead, </w:t>
      </w:r>
      <w:r w:rsidR="00CC46B4">
        <w:rPr>
          <w:szCs w:val="26"/>
        </w:rPr>
        <w:t xml:space="preserve">each </w:t>
      </w:r>
      <w:r w:rsidR="00555EE3">
        <w:rPr>
          <w:szCs w:val="26"/>
        </w:rPr>
        <w:t>decided</w:t>
      </w:r>
      <w:r w:rsidR="0077722A">
        <w:rPr>
          <w:szCs w:val="26"/>
        </w:rPr>
        <w:t xml:space="preserve"> </w:t>
      </w:r>
      <w:r w:rsidR="00D958A8">
        <w:rPr>
          <w:szCs w:val="26"/>
        </w:rPr>
        <w:t xml:space="preserve">only </w:t>
      </w:r>
      <w:r w:rsidR="0077722A">
        <w:rPr>
          <w:szCs w:val="26"/>
        </w:rPr>
        <w:t>whether</w:t>
      </w:r>
      <w:r w:rsidR="00C1561A">
        <w:rPr>
          <w:szCs w:val="26"/>
        </w:rPr>
        <w:t xml:space="preserve"> </w:t>
      </w:r>
      <w:r w:rsidR="00D958A8">
        <w:rPr>
          <w:szCs w:val="26"/>
        </w:rPr>
        <w:t xml:space="preserve">a </w:t>
      </w:r>
      <w:r w:rsidR="00C854AF">
        <w:rPr>
          <w:szCs w:val="26"/>
        </w:rPr>
        <w:t xml:space="preserve">cause of action for damages </w:t>
      </w:r>
      <w:r w:rsidR="00555EE3">
        <w:rPr>
          <w:szCs w:val="26"/>
        </w:rPr>
        <w:t>portrayed as</w:t>
      </w:r>
      <w:r w:rsidRPr="002E76A2" w:rsidR="003D599F">
        <w:rPr>
          <w:szCs w:val="26"/>
        </w:rPr>
        <w:t xml:space="preserve"> </w:t>
      </w:r>
      <w:r w:rsidR="00C854AF">
        <w:rPr>
          <w:szCs w:val="26"/>
        </w:rPr>
        <w:t xml:space="preserve">different from </w:t>
      </w:r>
      <w:r w:rsidR="00555EE3">
        <w:rPr>
          <w:szCs w:val="26"/>
        </w:rPr>
        <w:t>a cause of action for</w:t>
      </w:r>
      <w:r w:rsidR="00C854AF">
        <w:rPr>
          <w:szCs w:val="26"/>
        </w:rPr>
        <w:t xml:space="preserve"> breach of an express contractual term</w:t>
      </w:r>
      <w:r w:rsidRPr="002E76A2" w:rsidR="0010182D">
        <w:rPr>
          <w:szCs w:val="26"/>
        </w:rPr>
        <w:t xml:space="preserve"> n</w:t>
      </w:r>
      <w:r w:rsidR="00827F86">
        <w:rPr>
          <w:szCs w:val="26"/>
        </w:rPr>
        <w:t>ever</w:t>
      </w:r>
      <w:r w:rsidRPr="002E76A2" w:rsidR="0010182D">
        <w:rPr>
          <w:szCs w:val="26"/>
        </w:rPr>
        <w:t xml:space="preserve">theless </w:t>
      </w:r>
      <w:r w:rsidR="00872F4B">
        <w:rPr>
          <w:szCs w:val="26"/>
        </w:rPr>
        <w:t>sufficiently resembled,</w:t>
      </w:r>
      <w:r w:rsidR="00827F86">
        <w:rPr>
          <w:szCs w:val="26"/>
        </w:rPr>
        <w:t xml:space="preserve"> or </w:t>
      </w:r>
      <w:r w:rsidR="00872F4B">
        <w:rPr>
          <w:szCs w:val="26"/>
        </w:rPr>
        <w:t xml:space="preserve">was so </w:t>
      </w:r>
      <w:r w:rsidR="00827F86">
        <w:rPr>
          <w:szCs w:val="26"/>
        </w:rPr>
        <w:t>intertwined with</w:t>
      </w:r>
      <w:r w:rsidR="00872F4B">
        <w:rPr>
          <w:szCs w:val="26"/>
        </w:rPr>
        <w:t>,</w:t>
      </w:r>
      <w:r w:rsidR="00D958A8">
        <w:rPr>
          <w:szCs w:val="26"/>
        </w:rPr>
        <w:t xml:space="preserve"> a </w:t>
      </w:r>
      <w:r w:rsidR="00362F79">
        <w:rPr>
          <w:szCs w:val="26"/>
        </w:rPr>
        <w:t>demand</w:t>
      </w:r>
      <w:r w:rsidR="00D958A8">
        <w:rPr>
          <w:szCs w:val="26"/>
        </w:rPr>
        <w:t xml:space="preserve"> for policy benefits </w:t>
      </w:r>
      <w:r w:rsidR="00C854AF">
        <w:rPr>
          <w:szCs w:val="26"/>
        </w:rPr>
        <w:t>that it should be considered</w:t>
      </w:r>
      <w:r w:rsidR="00CC46B4">
        <w:rPr>
          <w:szCs w:val="26"/>
        </w:rPr>
        <w:t xml:space="preserve"> </w:t>
      </w:r>
      <w:r w:rsidRPr="002E76A2" w:rsidR="00C1561A">
        <w:rPr>
          <w:szCs w:val="26"/>
          <w:bdr w:val="none" w:sz="0" w:space="0" w:color="auto" w:frame="1"/>
        </w:rPr>
        <w:t>“on [the]</w:t>
      </w:r>
      <w:r w:rsidRPr="00C07BE5" w:rsidR="00C1561A">
        <w:rPr>
          <w:bdr w:val="none" w:sz="0" w:space="0" w:color="auto" w:frame="1"/>
        </w:rPr>
        <w:t xml:space="preserve"> policy</w:t>
      </w:r>
      <w:r w:rsidRPr="002E76A2" w:rsidR="00C1561A">
        <w:rPr>
          <w:szCs w:val="26"/>
          <w:bdr w:val="none" w:sz="0" w:space="0" w:color="auto" w:frame="1"/>
        </w:rPr>
        <w:t>”</w:t>
      </w:r>
      <w:r w:rsidR="00555EE3">
        <w:rPr>
          <w:szCs w:val="26"/>
          <w:bdr w:val="none" w:sz="0" w:space="0" w:color="auto" w:frame="1"/>
        </w:rPr>
        <w:t xml:space="preserve"> (§ 2071) and thus subject to the policy’s limitations period.</w:t>
      </w:r>
      <w:r w:rsidR="00286287">
        <w:rPr>
          <w:szCs w:val="26"/>
          <w:bdr w:val="none" w:sz="0" w:space="0" w:color="auto" w:frame="1"/>
        </w:rPr>
        <w:t xml:space="preserve"> </w:t>
      </w:r>
      <w:r w:rsidR="00872F4B">
        <w:rPr>
          <w:szCs w:val="26"/>
          <w:bdr w:val="none" w:sz="0" w:space="0" w:color="auto" w:frame="1"/>
        </w:rPr>
        <w:t xml:space="preserve"> </w:t>
      </w:r>
      <w:r w:rsidR="00286287">
        <w:rPr>
          <w:szCs w:val="26"/>
          <w:bdr w:val="none" w:sz="0" w:space="0" w:color="auto" w:frame="1"/>
        </w:rPr>
        <w:t>(</w:t>
      </w:r>
      <w:r w:rsidR="00555EE3">
        <w:rPr>
          <w:szCs w:val="26"/>
          <w:bdr w:val="none" w:sz="0" w:space="0" w:color="auto" w:frame="1"/>
        </w:rPr>
        <w:t>S</w:t>
      </w:r>
      <w:r w:rsidRPr="002E76A2" w:rsidR="008D59A2">
        <w:rPr>
          <w:szCs w:val="26"/>
        </w:rPr>
        <w:t xml:space="preserve">ee </w:t>
      </w:r>
      <w:r w:rsidRPr="002E76A2">
        <w:rPr>
          <w:i/>
          <w:iCs/>
          <w:szCs w:val="26"/>
        </w:rPr>
        <w:t>Prudential-LMI</w:t>
      </w:r>
      <w:r w:rsidRPr="002E76A2">
        <w:rPr>
          <w:szCs w:val="26"/>
        </w:rPr>
        <w:t xml:space="preserve">, </w:t>
      </w:r>
      <w:r w:rsidRPr="002E76A2">
        <w:rPr>
          <w:i/>
          <w:iCs/>
          <w:szCs w:val="26"/>
        </w:rPr>
        <w:t>supra</w:t>
      </w:r>
      <w:r w:rsidRPr="002E76A2">
        <w:rPr>
          <w:szCs w:val="26"/>
        </w:rPr>
        <w:t>, 51</w:t>
      </w:r>
      <w:r w:rsidRPr="002E76A2" w:rsidR="00E00645">
        <w:rPr>
          <w:szCs w:val="26"/>
        </w:rPr>
        <w:t> </w:t>
      </w:r>
      <w:r w:rsidRPr="002E76A2">
        <w:rPr>
          <w:szCs w:val="26"/>
        </w:rPr>
        <w:t>Cal.3d at p.</w:t>
      </w:r>
      <w:r w:rsidRPr="002E76A2" w:rsidR="00E00645">
        <w:rPr>
          <w:szCs w:val="26"/>
        </w:rPr>
        <w:t> </w:t>
      </w:r>
      <w:r w:rsidRPr="002E76A2">
        <w:rPr>
          <w:szCs w:val="26"/>
        </w:rPr>
        <w:t xml:space="preserve">692 [discussing </w:t>
      </w:r>
      <w:r w:rsidRPr="002E76A2">
        <w:rPr>
          <w:i/>
          <w:iCs/>
          <w:szCs w:val="26"/>
        </w:rPr>
        <w:t>Abari</w:t>
      </w:r>
      <w:r w:rsidRPr="002E76A2">
        <w:rPr>
          <w:szCs w:val="26"/>
        </w:rPr>
        <w:t xml:space="preserve">]; </w:t>
      </w:r>
      <w:r w:rsidRPr="002E76A2" w:rsidR="008D59A2">
        <w:rPr>
          <w:i/>
          <w:iCs/>
          <w:szCs w:val="26"/>
        </w:rPr>
        <w:t>Rosenberg-Wohl</w:t>
      </w:r>
      <w:r w:rsidRPr="002E76A2" w:rsidR="008D59A2">
        <w:rPr>
          <w:szCs w:val="26"/>
        </w:rPr>
        <w:t xml:space="preserve">, </w:t>
      </w:r>
      <w:r w:rsidRPr="002E76A2" w:rsidR="008D59A2">
        <w:rPr>
          <w:i/>
          <w:iCs/>
          <w:szCs w:val="26"/>
        </w:rPr>
        <w:t>supra</w:t>
      </w:r>
      <w:r w:rsidRPr="002E76A2" w:rsidR="008D59A2">
        <w:rPr>
          <w:szCs w:val="26"/>
        </w:rPr>
        <w:t>, 93</w:t>
      </w:r>
      <w:r w:rsidRPr="002E76A2" w:rsidR="00E00645">
        <w:rPr>
          <w:szCs w:val="26"/>
        </w:rPr>
        <w:t> </w:t>
      </w:r>
      <w:r w:rsidRPr="002E76A2" w:rsidR="008D59A2">
        <w:rPr>
          <w:szCs w:val="26"/>
        </w:rPr>
        <w:t>Cal.App.5th at p.</w:t>
      </w:r>
      <w:r w:rsidRPr="002E76A2" w:rsidR="003D599F">
        <w:rPr>
          <w:szCs w:val="26"/>
        </w:rPr>
        <w:t> </w:t>
      </w:r>
      <w:r w:rsidRPr="002E76A2" w:rsidR="008D59A2">
        <w:rPr>
          <w:szCs w:val="26"/>
        </w:rPr>
        <w:t>461 (dis. opn. of Stewart, P. J.)</w:t>
      </w:r>
      <w:r w:rsidRPr="002E76A2" w:rsidR="0010182D">
        <w:rPr>
          <w:szCs w:val="26"/>
        </w:rPr>
        <w:t xml:space="preserve"> [expressing a similar understanding of these cases]</w:t>
      </w:r>
      <w:r w:rsidRPr="002E76A2" w:rsidR="008D59A2">
        <w:rPr>
          <w:szCs w:val="26"/>
        </w:rPr>
        <w:t>.)</w:t>
      </w:r>
      <w:r>
        <w:rPr>
          <w:rStyle w:val="FootnoteReference"/>
          <w:szCs w:val="26"/>
          <w:bdr w:val="none" w:sz="0" w:space="0" w:color="auto" w:frame="1"/>
        </w:rPr>
        <w:footnoteReference w:id="13"/>
      </w:r>
      <w:r w:rsidR="00F5001B">
        <w:rPr>
          <w:szCs w:val="26"/>
        </w:rPr>
        <w:t xml:space="preserve">  </w:t>
      </w:r>
    </w:p>
    <w:p w:rsidR="005C1C84" w:rsidRPr="002E76A2" w:rsidP="00035B38">
      <w:pPr>
        <w:ind w:firstLine="720"/>
        <w:rPr>
          <w:szCs w:val="26"/>
        </w:rPr>
      </w:pPr>
      <w:r w:rsidRPr="002E76A2">
        <w:rPr>
          <w:szCs w:val="26"/>
        </w:rPr>
        <w:t xml:space="preserve">So understood, </w:t>
      </w:r>
      <w:r w:rsidR="00F5001B">
        <w:rPr>
          <w:szCs w:val="26"/>
        </w:rPr>
        <w:t>the</w:t>
      </w:r>
      <w:r w:rsidR="0077722A">
        <w:rPr>
          <w:szCs w:val="26"/>
        </w:rPr>
        <w:t xml:space="preserve"> analysis in the </w:t>
      </w:r>
      <w:r w:rsidR="003872A8">
        <w:rPr>
          <w:szCs w:val="26"/>
        </w:rPr>
        <w:t>decisions</w:t>
      </w:r>
      <w:r w:rsidR="0061504E">
        <w:rPr>
          <w:szCs w:val="26"/>
        </w:rPr>
        <w:t xml:space="preserve"> State Farm relies upon</w:t>
      </w:r>
      <w:r w:rsidR="0077722A">
        <w:rPr>
          <w:szCs w:val="26"/>
        </w:rPr>
        <w:t xml:space="preserve"> has </w:t>
      </w:r>
      <w:r w:rsidR="00BD7040">
        <w:rPr>
          <w:szCs w:val="26"/>
        </w:rPr>
        <w:t>been</w:t>
      </w:r>
      <w:r w:rsidRPr="002E76A2">
        <w:rPr>
          <w:szCs w:val="26"/>
        </w:rPr>
        <w:t xml:space="preserve"> </w:t>
      </w:r>
      <w:r w:rsidR="0077722A">
        <w:rPr>
          <w:szCs w:val="26"/>
        </w:rPr>
        <w:t xml:space="preserve">broadly </w:t>
      </w:r>
      <w:r w:rsidR="000E0704">
        <w:rPr>
          <w:szCs w:val="26"/>
        </w:rPr>
        <w:t>consistent</w:t>
      </w:r>
      <w:r w:rsidRPr="002E76A2" w:rsidR="007D69FA">
        <w:rPr>
          <w:szCs w:val="26"/>
        </w:rPr>
        <w:t xml:space="preserve"> </w:t>
      </w:r>
      <w:r w:rsidR="00EF1E00">
        <w:rPr>
          <w:szCs w:val="26"/>
        </w:rPr>
        <w:t xml:space="preserve">with </w:t>
      </w:r>
      <w:r w:rsidR="00C749EA">
        <w:rPr>
          <w:szCs w:val="26"/>
        </w:rPr>
        <w:t>the interpretation of section 2071 that we adopt here.</w:t>
      </w:r>
      <w:r w:rsidRPr="002E76A2">
        <w:rPr>
          <w:szCs w:val="26"/>
        </w:rPr>
        <w:t xml:space="preserve"> </w:t>
      </w:r>
      <w:r w:rsidR="003872A8">
        <w:rPr>
          <w:szCs w:val="26"/>
        </w:rPr>
        <w:t xml:space="preserve"> </w:t>
      </w:r>
      <w:r w:rsidR="00C1561A">
        <w:rPr>
          <w:szCs w:val="26"/>
        </w:rPr>
        <w:t>(</w:t>
      </w:r>
      <w:r w:rsidR="00FE653B">
        <w:rPr>
          <w:szCs w:val="26"/>
        </w:rPr>
        <w:t>§</w:t>
      </w:r>
      <w:r w:rsidR="00FE653B">
        <w:t> </w:t>
      </w:r>
      <w:r w:rsidR="00FE653B">
        <w:rPr>
          <w:szCs w:val="26"/>
        </w:rPr>
        <w:t>2071</w:t>
      </w:r>
      <w:r w:rsidRPr="002E76A2" w:rsidR="00FE4E76">
        <w:rPr>
          <w:szCs w:val="26"/>
        </w:rPr>
        <w:t>.</w:t>
      </w:r>
      <w:r w:rsidRPr="002E76A2">
        <w:rPr>
          <w:szCs w:val="26"/>
        </w:rPr>
        <w:t>)</w:t>
      </w:r>
      <w:r w:rsidR="000E0704">
        <w:rPr>
          <w:szCs w:val="26"/>
        </w:rPr>
        <w:t xml:space="preserve"> </w:t>
      </w:r>
      <w:r w:rsidR="009E437A">
        <w:rPr>
          <w:szCs w:val="26"/>
        </w:rPr>
        <w:t xml:space="preserve"> </w:t>
      </w:r>
      <w:r w:rsidR="00035B38">
        <w:rPr>
          <w:szCs w:val="26"/>
        </w:rPr>
        <w:t xml:space="preserve">To be clear, </w:t>
      </w:r>
      <w:r w:rsidR="00267228">
        <w:rPr>
          <w:szCs w:val="26"/>
        </w:rPr>
        <w:t>we agree</w:t>
      </w:r>
      <w:r w:rsidR="00EF1E00">
        <w:rPr>
          <w:szCs w:val="26"/>
        </w:rPr>
        <w:t xml:space="preserve"> with</w:t>
      </w:r>
      <w:r w:rsidR="00267228">
        <w:rPr>
          <w:szCs w:val="26"/>
        </w:rPr>
        <w:t xml:space="preserve"> these decisions that the </w:t>
      </w:r>
      <w:r w:rsidR="00362F79">
        <w:rPr>
          <w:szCs w:val="26"/>
        </w:rPr>
        <w:t>prescribed</w:t>
      </w:r>
      <w:r w:rsidR="00555EE3">
        <w:rPr>
          <w:szCs w:val="26"/>
        </w:rPr>
        <w:t xml:space="preserve"> limitations period </w:t>
      </w:r>
      <w:r w:rsidR="00267228">
        <w:rPr>
          <w:szCs w:val="26"/>
        </w:rPr>
        <w:t xml:space="preserve">applies </w:t>
      </w:r>
      <w:r w:rsidR="00555EE3">
        <w:rPr>
          <w:szCs w:val="26"/>
        </w:rPr>
        <w:t>to</w:t>
      </w:r>
      <w:r w:rsidR="00BC10AF">
        <w:rPr>
          <w:szCs w:val="26"/>
        </w:rPr>
        <w:t xml:space="preserve"> </w:t>
      </w:r>
      <w:r w:rsidR="009E437A">
        <w:rPr>
          <w:szCs w:val="26"/>
        </w:rPr>
        <w:t xml:space="preserve">a cause of action </w:t>
      </w:r>
      <w:r w:rsidRPr="009F5380" w:rsidR="009E437A">
        <w:rPr>
          <w:szCs w:val="26"/>
        </w:rPr>
        <w:t>for damages</w:t>
      </w:r>
      <w:r w:rsidR="009E437A">
        <w:rPr>
          <w:szCs w:val="26"/>
        </w:rPr>
        <w:t xml:space="preserve"> that is “inextricably bound” (</w:t>
      </w:r>
      <w:r w:rsidRPr="009E437A" w:rsidR="009E437A">
        <w:rPr>
          <w:i/>
          <w:iCs/>
          <w:szCs w:val="26"/>
        </w:rPr>
        <w:t>Velasquez</w:t>
      </w:r>
      <w:r w:rsidR="009E437A">
        <w:rPr>
          <w:szCs w:val="26"/>
        </w:rPr>
        <w:t xml:space="preserve">, </w:t>
      </w:r>
      <w:r w:rsidRPr="009E437A" w:rsidR="009E437A">
        <w:rPr>
          <w:i/>
          <w:iCs/>
          <w:szCs w:val="26"/>
        </w:rPr>
        <w:t>supra</w:t>
      </w:r>
      <w:r w:rsidR="009E437A">
        <w:rPr>
          <w:szCs w:val="26"/>
        </w:rPr>
        <w:t>, 1 Cal.App.4</w:t>
      </w:r>
      <w:r w:rsidRPr="009E437A" w:rsidR="009E437A">
        <w:rPr>
          <w:szCs w:val="26"/>
        </w:rPr>
        <w:t>th</w:t>
      </w:r>
      <w:r w:rsidR="009E437A">
        <w:rPr>
          <w:szCs w:val="26"/>
        </w:rPr>
        <w:t xml:space="preserve"> at p.</w:t>
      </w:r>
      <w:r w:rsidR="001846E0">
        <w:rPr>
          <w:szCs w:val="26"/>
        </w:rPr>
        <w:t> </w:t>
      </w:r>
      <w:r w:rsidR="009E437A">
        <w:rPr>
          <w:szCs w:val="26"/>
        </w:rPr>
        <w:t>722</w:t>
      </w:r>
      <w:r w:rsidR="001E21EF">
        <w:rPr>
          <w:szCs w:val="26"/>
        </w:rPr>
        <w:t xml:space="preserve">; see also </w:t>
      </w:r>
      <w:r w:rsidRPr="002E76A2" w:rsidR="001E21EF">
        <w:rPr>
          <w:i/>
          <w:iCs/>
          <w:szCs w:val="26"/>
        </w:rPr>
        <w:t>Prieto</w:t>
      </w:r>
      <w:r w:rsidRPr="002E76A2" w:rsidR="001E21EF">
        <w:rPr>
          <w:szCs w:val="26"/>
        </w:rPr>
        <w:t xml:space="preserve">, </w:t>
      </w:r>
      <w:r w:rsidRPr="002E76A2" w:rsidR="001E21EF">
        <w:rPr>
          <w:i/>
          <w:iCs/>
          <w:szCs w:val="26"/>
        </w:rPr>
        <w:t>supra</w:t>
      </w:r>
      <w:r w:rsidRPr="002E76A2" w:rsidR="001E21EF">
        <w:rPr>
          <w:szCs w:val="26"/>
        </w:rPr>
        <w:t>, 225</w:t>
      </w:r>
      <w:r w:rsidR="001E21EF">
        <w:rPr>
          <w:szCs w:val="26"/>
        </w:rPr>
        <w:t> </w:t>
      </w:r>
      <w:r w:rsidRPr="002E76A2" w:rsidR="001E21EF">
        <w:rPr>
          <w:szCs w:val="26"/>
        </w:rPr>
        <w:t>Cal.App.3d at p.</w:t>
      </w:r>
      <w:r w:rsidR="001E21EF">
        <w:rPr>
          <w:szCs w:val="26"/>
        </w:rPr>
        <w:t> </w:t>
      </w:r>
      <w:r w:rsidRPr="002E76A2" w:rsidR="001E21EF">
        <w:rPr>
          <w:szCs w:val="26"/>
        </w:rPr>
        <w:t>1195</w:t>
      </w:r>
      <w:r w:rsidR="009E437A">
        <w:rPr>
          <w:szCs w:val="26"/>
        </w:rPr>
        <w:t xml:space="preserve">) </w:t>
      </w:r>
      <w:r w:rsidR="00BC10AF">
        <w:rPr>
          <w:szCs w:val="26"/>
        </w:rPr>
        <w:t>to</w:t>
      </w:r>
      <w:r w:rsidR="009E437A">
        <w:rPr>
          <w:szCs w:val="26"/>
        </w:rPr>
        <w:t xml:space="preserve"> a denial of coverage</w:t>
      </w:r>
      <w:r w:rsidR="00BC10AF">
        <w:rPr>
          <w:szCs w:val="26"/>
        </w:rPr>
        <w:t xml:space="preserve">, even if the cause of action is alleged to sound in tort instead of contract </w:t>
      </w:r>
      <w:r w:rsidR="002E6217">
        <w:rPr>
          <w:szCs w:val="26"/>
        </w:rPr>
        <w:t xml:space="preserve">and </w:t>
      </w:r>
      <w:r w:rsidR="006357DF">
        <w:rPr>
          <w:szCs w:val="26"/>
        </w:rPr>
        <w:t xml:space="preserve">a plaintiff alleges resulting </w:t>
      </w:r>
      <w:r w:rsidR="00BC10AF">
        <w:rPr>
          <w:szCs w:val="26"/>
        </w:rPr>
        <w:t xml:space="preserve">damages </w:t>
      </w:r>
      <w:r w:rsidR="006357DF">
        <w:rPr>
          <w:szCs w:val="26"/>
        </w:rPr>
        <w:t xml:space="preserve">going </w:t>
      </w:r>
      <w:r w:rsidR="002E6217">
        <w:rPr>
          <w:szCs w:val="26"/>
        </w:rPr>
        <w:t>beyond the withheld policy proceeds</w:t>
      </w:r>
      <w:r w:rsidR="009E437A">
        <w:rPr>
          <w:szCs w:val="26"/>
        </w:rPr>
        <w:t xml:space="preserve">.  (Cf. </w:t>
      </w:r>
      <w:r w:rsidRPr="009E437A" w:rsidR="009E437A">
        <w:rPr>
          <w:i/>
          <w:iCs/>
          <w:szCs w:val="26"/>
        </w:rPr>
        <w:t>Thomson v. Canyon</w:t>
      </w:r>
      <w:r w:rsidR="009E437A">
        <w:rPr>
          <w:szCs w:val="26"/>
        </w:rPr>
        <w:t xml:space="preserve"> (2011) 198</w:t>
      </w:r>
      <w:r w:rsidR="001846E0">
        <w:rPr>
          <w:szCs w:val="26"/>
        </w:rPr>
        <w:t> </w:t>
      </w:r>
      <w:r w:rsidR="009E437A">
        <w:rPr>
          <w:szCs w:val="26"/>
        </w:rPr>
        <w:t>Cal.App.4</w:t>
      </w:r>
      <w:r w:rsidRPr="009E437A" w:rsidR="009E437A">
        <w:rPr>
          <w:szCs w:val="26"/>
        </w:rPr>
        <w:t>th</w:t>
      </w:r>
      <w:r w:rsidR="009E437A">
        <w:rPr>
          <w:szCs w:val="26"/>
        </w:rPr>
        <w:t xml:space="preserve"> 594, 606 [“It is widely understood that a plaintiff is not permitted to evade a statute of limitations by artful pleading that labels a cause of action one thing while actually stating another”].)  </w:t>
      </w:r>
      <w:r w:rsidR="0077248D">
        <w:rPr>
          <w:szCs w:val="26"/>
        </w:rPr>
        <w:t>Likewise</w:t>
      </w:r>
      <w:r w:rsidR="00177F11">
        <w:rPr>
          <w:szCs w:val="26"/>
        </w:rPr>
        <w:t xml:space="preserve">, as </w:t>
      </w:r>
      <w:r w:rsidR="00FD54B6">
        <w:rPr>
          <w:szCs w:val="26"/>
        </w:rPr>
        <w:t>has been</w:t>
      </w:r>
      <w:r w:rsidR="00177F11">
        <w:rPr>
          <w:szCs w:val="26"/>
        </w:rPr>
        <w:t xml:space="preserve"> explained (at fn</w:t>
      </w:r>
      <w:r w:rsidR="00174977">
        <w:rPr>
          <w:szCs w:val="26"/>
        </w:rPr>
        <w:t>.</w:t>
      </w:r>
      <w:r w:rsidR="000C5A90">
        <w:rPr>
          <w:szCs w:val="26"/>
        </w:rPr>
        <w:t> 6</w:t>
      </w:r>
      <w:r w:rsidR="00177F11">
        <w:rPr>
          <w:szCs w:val="26"/>
        </w:rPr>
        <w:t xml:space="preserve">, </w:t>
      </w:r>
      <w:r w:rsidRPr="00177F11" w:rsidR="00177F11">
        <w:rPr>
          <w:i/>
          <w:iCs/>
          <w:szCs w:val="26"/>
        </w:rPr>
        <w:t>ante</w:t>
      </w:r>
      <w:r w:rsidR="00177F11">
        <w:rPr>
          <w:szCs w:val="26"/>
        </w:rPr>
        <w:t xml:space="preserve">), we leave open the possibility that on different facts, a cause of action that requests only equitable relief </w:t>
      </w:r>
      <w:r w:rsidR="0077248D">
        <w:rPr>
          <w:szCs w:val="26"/>
        </w:rPr>
        <w:t xml:space="preserve">nonetheless </w:t>
      </w:r>
      <w:r w:rsidR="00177F11">
        <w:rPr>
          <w:szCs w:val="26"/>
        </w:rPr>
        <w:t xml:space="preserve">may be regarded as </w:t>
      </w:r>
      <w:r w:rsidR="00267228">
        <w:rPr>
          <w:szCs w:val="26"/>
        </w:rPr>
        <w:t>subject to</w:t>
      </w:r>
      <w:r w:rsidR="00177F11">
        <w:rPr>
          <w:szCs w:val="26"/>
        </w:rPr>
        <w:t xml:space="preserve"> section 2071</w:t>
      </w:r>
      <w:r w:rsidR="00267228">
        <w:rPr>
          <w:szCs w:val="26"/>
        </w:rPr>
        <w:t>’s limitations provision, as found in policies promulgated under the statute</w:t>
      </w:r>
      <w:r w:rsidR="00177F11">
        <w:rPr>
          <w:szCs w:val="26"/>
        </w:rPr>
        <w:t xml:space="preserve">.  But </w:t>
      </w:r>
      <w:r w:rsidR="009B29F7">
        <w:rPr>
          <w:szCs w:val="26"/>
        </w:rPr>
        <w:t xml:space="preserve">those are not the circumstances </w:t>
      </w:r>
      <w:r w:rsidR="0063632B">
        <w:rPr>
          <w:szCs w:val="26"/>
        </w:rPr>
        <w:t>presented in this case</w:t>
      </w:r>
      <w:r w:rsidR="009B29F7">
        <w:rPr>
          <w:szCs w:val="26"/>
        </w:rPr>
        <w:t xml:space="preserve">.  </w:t>
      </w:r>
    </w:p>
    <w:p w:rsidR="007E4CCC" w:rsidRPr="002E76A2" w:rsidP="00C07BE5">
      <w:pPr>
        <w:ind w:firstLine="720"/>
      </w:pPr>
      <w:r>
        <w:t xml:space="preserve">The Court of Appeal majority below also determined that plaintiff </w:t>
      </w:r>
      <w:r w:rsidRPr="1CCACB4F">
        <w:rPr>
          <w:i/>
          <w:iCs/>
        </w:rPr>
        <w:t>must</w:t>
      </w:r>
      <w:r>
        <w:t xml:space="preserve"> be </w:t>
      </w:r>
      <w:r w:rsidR="005F4BB9">
        <w:t xml:space="preserve">regarded as </w:t>
      </w:r>
      <w:r>
        <w:t xml:space="preserve">seeking policy benefits through her </w:t>
      </w:r>
      <w:r w:rsidR="005F4BB9">
        <w:t>UCL cause of action</w:t>
      </w:r>
      <w:r>
        <w:t xml:space="preserve"> because otherwise she would lack standing under </w:t>
      </w:r>
      <w:r w:rsidR="0055163F">
        <w:t>that statute</w:t>
      </w:r>
      <w:r>
        <w:t xml:space="preserve">, which requires that a private plaintiff </w:t>
      </w:r>
      <w:r w:rsidR="003C4FBD">
        <w:t xml:space="preserve">have </w:t>
      </w:r>
      <w:r w:rsidR="0084183B">
        <w:t>“</w:t>
      </w:r>
      <w:r w:rsidR="003C4FBD">
        <w:t>suffered</w:t>
      </w:r>
      <w:r>
        <w:t xml:space="preserve"> injury in fact and [have] lost money or property as a result of the unfair competition”</w:t>
      </w:r>
      <w:r w:rsidR="003C4FBD">
        <w:t xml:space="preserve"> in order to pursue relief under the statute.</w:t>
      </w:r>
      <w:r>
        <w:t xml:space="preserve">  (Bus. &amp; Prof. Code, § 17204.)  But </w:t>
      </w:r>
      <w:r w:rsidR="006130AF">
        <w:t>the critical issue here</w:t>
      </w:r>
      <w:r w:rsidR="000E1540">
        <w:t xml:space="preserve"> — </w:t>
      </w:r>
      <w:r w:rsidR="006130AF">
        <w:t xml:space="preserve">whether </w:t>
      </w:r>
      <w:r w:rsidR="78C07AC6">
        <w:t xml:space="preserve">plaintiff’s </w:t>
      </w:r>
      <w:r>
        <w:t xml:space="preserve">lawsuit </w:t>
      </w:r>
      <w:r w:rsidR="0077248D">
        <w:t>is</w:t>
      </w:r>
      <w:r>
        <w:t xml:space="preserve"> </w:t>
      </w:r>
      <w:r w:rsidR="00EF1E00">
        <w:t xml:space="preserve">a </w:t>
      </w:r>
      <w:r>
        <w:t>“</w:t>
      </w:r>
      <w:r w:rsidR="00267228">
        <w:t xml:space="preserve">suit or action </w:t>
      </w:r>
      <w:r w:rsidR="0077248D">
        <w:t xml:space="preserve">on [the] policy for the </w:t>
      </w:r>
      <w:r>
        <w:t xml:space="preserve">recovery of </w:t>
      </w:r>
      <w:r w:rsidR="00267228">
        <w:t>any</w:t>
      </w:r>
      <w:r>
        <w:t xml:space="preserve"> claim” </w:t>
      </w:r>
      <w:r w:rsidR="0055163F">
        <w:t>(§ 2071)</w:t>
      </w:r>
      <w:r w:rsidR="000E1540">
        <w:t> —</w:t>
      </w:r>
      <w:r w:rsidR="006130AF">
        <w:t xml:space="preserve"> presents a question </w:t>
      </w:r>
      <w:r w:rsidR="009F5380">
        <w:t>distinct from her</w:t>
      </w:r>
      <w:r w:rsidR="006130AF">
        <w:t xml:space="preserve"> standing to proceed under the UCL</w:t>
      </w:r>
      <w:r>
        <w:t xml:space="preserve">.  </w:t>
      </w:r>
      <w:r w:rsidR="00915C29">
        <w:t xml:space="preserve">We have determined that </w:t>
      </w:r>
      <w:r w:rsidR="00FE35B6">
        <w:t xml:space="preserve">with plaintiff not pursuing a financial recovery under her policy but rather broad injunctive and declaratory relief, </w:t>
      </w:r>
      <w:r w:rsidR="00267228">
        <w:t xml:space="preserve">this is not a suit </w:t>
      </w:r>
      <w:r w:rsidR="00881697">
        <w:t>to which the statutory language applies</w:t>
      </w:r>
      <w:r w:rsidR="00915C29">
        <w:t>, and that alone is dispositive here</w:t>
      </w:r>
      <w:r>
        <w:t xml:space="preserve">.  </w:t>
      </w:r>
      <w:r w:rsidR="00915C29">
        <w:t>T</w:t>
      </w:r>
      <w:r w:rsidR="005F4BB9">
        <w:t>he UCL’s standing requirement do</w:t>
      </w:r>
      <w:r w:rsidR="008C4793">
        <w:t>es</w:t>
      </w:r>
      <w:r w:rsidR="005F4BB9">
        <w:t xml:space="preserve"> not provide grounds for </w:t>
      </w:r>
      <w:r w:rsidR="008C4793">
        <w:t xml:space="preserve">perceiving plaintiff’s UCL </w:t>
      </w:r>
      <w:r w:rsidR="008E4B41">
        <w:t>cause of action</w:t>
      </w:r>
      <w:r w:rsidR="008C4793">
        <w:t xml:space="preserve"> </w:t>
      </w:r>
      <w:r w:rsidR="00C1773B">
        <w:t>as seeking</w:t>
      </w:r>
      <w:r w:rsidR="008C4793">
        <w:t xml:space="preserve"> something it is not.</w:t>
      </w:r>
    </w:p>
    <w:p w:rsidR="007E4CCC" w:rsidRPr="002E76A2" w:rsidP="00C07BE5">
      <w:pPr>
        <w:ind w:firstLine="720"/>
        <w:rPr>
          <w:szCs w:val="26"/>
        </w:rPr>
      </w:pPr>
      <w:r w:rsidRPr="002E76A2">
        <w:rPr>
          <w:szCs w:val="26"/>
        </w:rPr>
        <w:t>The Court of Appeal</w:t>
      </w:r>
      <w:r w:rsidRPr="002E76A2" w:rsidR="003C4FBD">
        <w:rPr>
          <w:szCs w:val="26"/>
        </w:rPr>
        <w:t xml:space="preserve"> majority</w:t>
      </w:r>
      <w:r w:rsidRPr="002E76A2">
        <w:rPr>
          <w:szCs w:val="26"/>
        </w:rPr>
        <w:t xml:space="preserve"> also relied upon</w:t>
      </w:r>
      <w:r w:rsidRPr="002E76A2" w:rsidR="003C4FBD">
        <w:rPr>
          <w:szCs w:val="26"/>
        </w:rPr>
        <w:t xml:space="preserve"> our observation in</w:t>
      </w:r>
      <w:r w:rsidRPr="002E76A2">
        <w:rPr>
          <w:szCs w:val="26"/>
        </w:rPr>
        <w:t xml:space="preserve"> </w:t>
      </w:r>
      <w:r w:rsidRPr="002E76A2">
        <w:rPr>
          <w:i/>
          <w:iCs/>
          <w:szCs w:val="26"/>
        </w:rPr>
        <w:t>Aryeh v. Canon Business Solutions, Inc.</w:t>
      </w:r>
      <w:r w:rsidRPr="002E76A2">
        <w:rPr>
          <w:szCs w:val="26"/>
        </w:rPr>
        <w:t xml:space="preserve"> (2013) 55</w:t>
      </w:r>
      <w:r w:rsidR="006A1D29">
        <w:rPr>
          <w:szCs w:val="26"/>
        </w:rPr>
        <w:t> </w:t>
      </w:r>
      <w:r w:rsidRPr="002E76A2">
        <w:rPr>
          <w:szCs w:val="26"/>
        </w:rPr>
        <w:t>Cal.4th</w:t>
      </w:r>
      <w:r w:rsidRPr="002E76A2">
        <w:rPr>
          <w:szCs w:val="26"/>
          <w:vertAlign w:val="superscript"/>
        </w:rPr>
        <w:t xml:space="preserve"> </w:t>
      </w:r>
      <w:r w:rsidRPr="002E76A2">
        <w:rPr>
          <w:szCs w:val="26"/>
        </w:rPr>
        <w:t>1185</w:t>
      </w:r>
      <w:r w:rsidR="00557DDB">
        <w:rPr>
          <w:szCs w:val="26"/>
        </w:rPr>
        <w:t>,</w:t>
      </w:r>
      <w:r w:rsidRPr="002E76A2" w:rsidR="005D7D6E">
        <w:rPr>
          <w:szCs w:val="26"/>
        </w:rPr>
        <w:t xml:space="preserve"> a case involving the applicability of continuous accrual rules to </w:t>
      </w:r>
      <w:r w:rsidR="00596D6A">
        <w:rPr>
          <w:szCs w:val="26"/>
        </w:rPr>
        <w:t xml:space="preserve">causes of action under the </w:t>
      </w:r>
      <w:r w:rsidRPr="002E76A2" w:rsidR="005D7D6E">
        <w:rPr>
          <w:szCs w:val="26"/>
        </w:rPr>
        <w:t>UCL,</w:t>
      </w:r>
      <w:r w:rsidRPr="002E76A2">
        <w:rPr>
          <w:szCs w:val="26"/>
        </w:rPr>
        <w:t xml:space="preserve"> </w:t>
      </w:r>
      <w:r w:rsidRPr="002E76A2" w:rsidR="005D7D6E">
        <w:rPr>
          <w:szCs w:val="26"/>
        </w:rPr>
        <w:t>“T</w:t>
      </w:r>
      <w:r w:rsidRPr="002E76A2" w:rsidR="00E91351">
        <w:rPr>
          <w:szCs w:val="26"/>
        </w:rPr>
        <w:t xml:space="preserve">hat </w:t>
      </w:r>
      <w:r w:rsidRPr="002E76A2">
        <w:rPr>
          <w:szCs w:val="26"/>
        </w:rPr>
        <w:t>a cause of action is labeled a UCL claim is not dispositive; instead, ‘the nature of the right sued upon’ [citation] and the circumstances attending its invocation control the point of accrual.”  (</w:t>
      </w:r>
      <w:r w:rsidRPr="002E76A2" w:rsidR="005D7D6E">
        <w:rPr>
          <w:i/>
          <w:iCs/>
          <w:szCs w:val="26"/>
        </w:rPr>
        <w:t>Aryeh</w:t>
      </w:r>
      <w:r w:rsidRPr="002E76A2" w:rsidR="00CC1BA0">
        <w:rPr>
          <w:szCs w:val="26"/>
        </w:rPr>
        <w:t>,</w:t>
      </w:r>
      <w:r w:rsidRPr="002E76A2">
        <w:rPr>
          <w:szCs w:val="26"/>
        </w:rPr>
        <w:t xml:space="preserve"> at p.</w:t>
      </w:r>
      <w:r w:rsidR="00EF2DD9">
        <w:rPr>
          <w:szCs w:val="26"/>
        </w:rPr>
        <w:t> </w:t>
      </w:r>
      <w:r w:rsidRPr="002E76A2">
        <w:rPr>
          <w:szCs w:val="26"/>
        </w:rPr>
        <w:t xml:space="preserve">1196.)  </w:t>
      </w:r>
      <w:r w:rsidRPr="002E76A2" w:rsidR="00E1524B">
        <w:rPr>
          <w:szCs w:val="26"/>
        </w:rPr>
        <w:t>T</w:t>
      </w:r>
      <w:r w:rsidRPr="002E76A2">
        <w:rPr>
          <w:szCs w:val="26"/>
        </w:rPr>
        <w:t>he</w:t>
      </w:r>
      <w:r w:rsidRPr="002E76A2" w:rsidR="00E1524B">
        <w:rPr>
          <w:szCs w:val="26"/>
        </w:rPr>
        <w:t xml:space="preserve"> Court of Appeal reasoned that the</w:t>
      </w:r>
      <w:r w:rsidRPr="002E76A2">
        <w:rPr>
          <w:szCs w:val="26"/>
        </w:rPr>
        <w:t xml:space="preserve">se same considerations also inform whether </w:t>
      </w:r>
      <w:r w:rsidR="00D5694F">
        <w:rPr>
          <w:szCs w:val="26"/>
        </w:rPr>
        <w:t>plaintiff’s</w:t>
      </w:r>
      <w:r w:rsidRPr="002E76A2">
        <w:rPr>
          <w:szCs w:val="26"/>
        </w:rPr>
        <w:t xml:space="preserve"> UCL cause of action should be regarded as “on the policy” and therefore subject to the </w:t>
      </w:r>
      <w:r w:rsidRPr="002E76A2" w:rsidR="0084183B">
        <w:rPr>
          <w:szCs w:val="26"/>
        </w:rPr>
        <w:t xml:space="preserve">policy’s </w:t>
      </w:r>
      <w:r w:rsidRPr="002E76A2">
        <w:rPr>
          <w:szCs w:val="26"/>
        </w:rPr>
        <w:t>one-year time period for filing suit.  (</w:t>
      </w:r>
      <w:r w:rsidRPr="002E76A2">
        <w:rPr>
          <w:i/>
          <w:iCs/>
          <w:szCs w:val="26"/>
        </w:rPr>
        <w:t>Rosenberg-Wohl</w:t>
      </w:r>
      <w:r w:rsidRPr="002E76A2">
        <w:rPr>
          <w:szCs w:val="26"/>
        </w:rPr>
        <w:t xml:space="preserve">, </w:t>
      </w:r>
      <w:r w:rsidRPr="002E76A2">
        <w:rPr>
          <w:i/>
          <w:iCs/>
          <w:szCs w:val="26"/>
        </w:rPr>
        <w:t>supra</w:t>
      </w:r>
      <w:r w:rsidRPr="002E76A2">
        <w:rPr>
          <w:szCs w:val="26"/>
        </w:rPr>
        <w:t>, 93</w:t>
      </w:r>
      <w:r w:rsidR="00B667F4">
        <w:rPr>
          <w:szCs w:val="26"/>
        </w:rPr>
        <w:t> </w:t>
      </w:r>
      <w:r w:rsidRPr="002E76A2">
        <w:rPr>
          <w:szCs w:val="26"/>
        </w:rPr>
        <w:t>Cal.App.5th at p.</w:t>
      </w:r>
      <w:r w:rsidR="00EF2DD9">
        <w:rPr>
          <w:szCs w:val="26"/>
        </w:rPr>
        <w:t> </w:t>
      </w:r>
      <w:r w:rsidRPr="002E76A2">
        <w:rPr>
          <w:szCs w:val="26"/>
        </w:rPr>
        <w:t xml:space="preserve">449.)  </w:t>
      </w:r>
      <w:r w:rsidR="00B667F4">
        <w:rPr>
          <w:szCs w:val="26"/>
        </w:rPr>
        <w:t xml:space="preserve">This reliance on </w:t>
      </w:r>
      <w:r w:rsidRPr="00B667F4" w:rsidR="00B667F4">
        <w:rPr>
          <w:i/>
          <w:iCs/>
          <w:szCs w:val="26"/>
        </w:rPr>
        <w:t>Aryeh</w:t>
      </w:r>
      <w:r w:rsidR="00B667F4">
        <w:rPr>
          <w:szCs w:val="26"/>
        </w:rPr>
        <w:t xml:space="preserve"> is misplaced</w:t>
      </w:r>
      <w:r w:rsidR="00FC5556">
        <w:rPr>
          <w:szCs w:val="26"/>
        </w:rPr>
        <w:t xml:space="preserve"> here</w:t>
      </w:r>
      <w:r w:rsidR="00EF1E00">
        <w:rPr>
          <w:szCs w:val="26"/>
        </w:rPr>
        <w:t xml:space="preserve">. </w:t>
      </w:r>
      <w:r w:rsidR="00B667F4">
        <w:rPr>
          <w:szCs w:val="26"/>
        </w:rPr>
        <w:t xml:space="preserve"> </w:t>
      </w:r>
      <w:r w:rsidR="00EF1E00">
        <w:rPr>
          <w:szCs w:val="26"/>
        </w:rPr>
        <w:t>A</w:t>
      </w:r>
      <w:r w:rsidR="00B667F4">
        <w:rPr>
          <w:szCs w:val="26"/>
        </w:rPr>
        <w:t xml:space="preserve">s previously explained, with plaintiff pursuing only </w:t>
      </w:r>
      <w:r w:rsidR="00C1773B">
        <w:rPr>
          <w:szCs w:val="26"/>
        </w:rPr>
        <w:t xml:space="preserve">broad </w:t>
      </w:r>
      <w:r w:rsidR="00B667F4">
        <w:rPr>
          <w:szCs w:val="26"/>
        </w:rPr>
        <w:t xml:space="preserve">declaratory and injunctive relief it is </w:t>
      </w:r>
      <w:r w:rsidR="007E7F7B">
        <w:rPr>
          <w:szCs w:val="26"/>
        </w:rPr>
        <w:t>evident</w:t>
      </w:r>
      <w:r w:rsidR="00B667F4">
        <w:rPr>
          <w:szCs w:val="26"/>
        </w:rPr>
        <w:t xml:space="preserve"> that </w:t>
      </w:r>
      <w:r w:rsidR="00267228">
        <w:rPr>
          <w:szCs w:val="26"/>
        </w:rPr>
        <w:t xml:space="preserve">her UCL cause of action is not captured by </w:t>
      </w:r>
      <w:r w:rsidR="00EF1E00">
        <w:rPr>
          <w:szCs w:val="26"/>
        </w:rPr>
        <w:t xml:space="preserve">section 2071’s “on [the] policy for </w:t>
      </w:r>
      <w:r w:rsidRPr="002E76A2" w:rsidR="00EF1E00">
        <w:rPr>
          <w:szCs w:val="26"/>
        </w:rPr>
        <w:t xml:space="preserve">the recovery of </w:t>
      </w:r>
      <w:r w:rsidR="00EF1E00">
        <w:rPr>
          <w:szCs w:val="26"/>
        </w:rPr>
        <w:t>any</w:t>
      </w:r>
      <w:r w:rsidRPr="002E76A2" w:rsidR="00EF1E00">
        <w:rPr>
          <w:szCs w:val="26"/>
        </w:rPr>
        <w:t xml:space="preserve"> claim”</w:t>
      </w:r>
      <w:r w:rsidR="00267228">
        <w:rPr>
          <w:szCs w:val="26"/>
        </w:rPr>
        <w:t xml:space="preserve"> phrasing</w:t>
      </w:r>
      <w:r w:rsidR="00FE35B6">
        <w:rPr>
          <w:szCs w:val="26"/>
        </w:rPr>
        <w:t>, resolving the crucial question before us</w:t>
      </w:r>
      <w:r w:rsidR="00FC5556">
        <w:rPr>
          <w:szCs w:val="26"/>
        </w:rPr>
        <w:t>.</w:t>
      </w:r>
    </w:p>
    <w:p w:rsidR="007E4CCC" w:rsidRPr="002E76A2" w:rsidP="00C07BE5">
      <w:pPr>
        <w:ind w:firstLine="720"/>
        <w:rPr>
          <w:szCs w:val="26"/>
          <w:bdr w:val="none" w:sz="0" w:space="0" w:color="auto" w:frame="1"/>
        </w:rPr>
      </w:pPr>
      <w:r w:rsidRPr="002E76A2">
        <w:rPr>
          <w:szCs w:val="26"/>
          <w:bdr w:val="none" w:sz="0" w:space="0" w:color="auto" w:frame="1"/>
        </w:rPr>
        <w:t xml:space="preserve">Finally, State Farm observes that this court </w:t>
      </w:r>
      <w:r w:rsidR="006B6C6E">
        <w:rPr>
          <w:szCs w:val="26"/>
          <w:bdr w:val="none" w:sz="0" w:space="0" w:color="auto" w:frame="1"/>
        </w:rPr>
        <w:t xml:space="preserve">and others </w:t>
      </w:r>
      <w:r w:rsidRPr="002E76A2">
        <w:rPr>
          <w:szCs w:val="26"/>
          <w:bdr w:val="none" w:sz="0" w:space="0" w:color="auto" w:frame="1"/>
        </w:rPr>
        <w:t>ha</w:t>
      </w:r>
      <w:r w:rsidR="006B6C6E">
        <w:rPr>
          <w:szCs w:val="26"/>
          <w:bdr w:val="none" w:sz="0" w:space="0" w:color="auto" w:frame="1"/>
        </w:rPr>
        <w:t>ve</w:t>
      </w:r>
      <w:r w:rsidRPr="002E76A2">
        <w:rPr>
          <w:szCs w:val="26"/>
          <w:bdr w:val="none" w:sz="0" w:space="0" w:color="auto" w:frame="1"/>
        </w:rPr>
        <w:t xml:space="preserve"> long recognized the validity of provisions within insurance policies whereby the parties agree to shorten a</w:t>
      </w:r>
      <w:r w:rsidRPr="002E76A2" w:rsidR="008C4793">
        <w:rPr>
          <w:szCs w:val="26"/>
          <w:bdr w:val="none" w:sz="0" w:space="0" w:color="auto" w:frame="1"/>
        </w:rPr>
        <w:t>n otherwise applicable</w:t>
      </w:r>
      <w:r w:rsidRPr="002E76A2">
        <w:rPr>
          <w:szCs w:val="26"/>
          <w:bdr w:val="none" w:sz="0" w:space="0" w:color="auto" w:frame="1"/>
        </w:rPr>
        <w:t xml:space="preserve"> statutory limitations period.  (See, e.g., </w:t>
      </w:r>
      <w:r w:rsidRPr="002E76A2" w:rsidR="004B388E">
        <w:rPr>
          <w:i/>
          <w:iCs/>
          <w:szCs w:val="26"/>
          <w:bdr w:val="none" w:sz="0" w:space="0" w:color="auto" w:frame="1"/>
        </w:rPr>
        <w:t>Fageol T.</w:t>
      </w:r>
      <w:r w:rsidR="00FC5556">
        <w:rPr>
          <w:i/>
          <w:iCs/>
          <w:szCs w:val="26"/>
          <w:bdr w:val="none" w:sz="0" w:space="0" w:color="auto" w:frame="1"/>
        </w:rPr>
        <w:t> </w:t>
      </w:r>
      <w:r w:rsidRPr="002E76A2" w:rsidR="004B388E">
        <w:rPr>
          <w:i/>
          <w:iCs/>
          <w:szCs w:val="26"/>
          <w:bdr w:val="none" w:sz="0" w:space="0" w:color="auto" w:frame="1"/>
        </w:rPr>
        <w:t>&amp;</w:t>
      </w:r>
      <w:r w:rsidR="00FC5556">
        <w:rPr>
          <w:i/>
          <w:iCs/>
          <w:szCs w:val="26"/>
          <w:bdr w:val="none" w:sz="0" w:space="0" w:color="auto" w:frame="1"/>
        </w:rPr>
        <w:t> </w:t>
      </w:r>
      <w:r w:rsidRPr="002E76A2" w:rsidR="004B388E">
        <w:rPr>
          <w:i/>
          <w:iCs/>
          <w:szCs w:val="26"/>
          <w:bdr w:val="none" w:sz="0" w:space="0" w:color="auto" w:frame="1"/>
        </w:rPr>
        <w:t>C. Co. v. Pacific Indemnity Co.</w:t>
      </w:r>
      <w:r w:rsidRPr="002E76A2" w:rsidR="004B388E">
        <w:rPr>
          <w:szCs w:val="26"/>
          <w:bdr w:val="none" w:sz="0" w:space="0" w:color="auto" w:frame="1"/>
        </w:rPr>
        <w:t xml:space="preserve"> (1941) 18</w:t>
      </w:r>
      <w:r w:rsidR="00B667F4">
        <w:rPr>
          <w:szCs w:val="26"/>
          <w:bdr w:val="none" w:sz="0" w:space="0" w:color="auto" w:frame="1"/>
        </w:rPr>
        <w:t> </w:t>
      </w:r>
      <w:r w:rsidRPr="002E76A2" w:rsidR="004B388E">
        <w:rPr>
          <w:szCs w:val="26"/>
          <w:bdr w:val="none" w:sz="0" w:space="0" w:color="auto" w:frame="1"/>
        </w:rPr>
        <w:t xml:space="preserve">Cal.2d 748, 753; </w:t>
      </w:r>
      <w:r w:rsidRPr="002E76A2">
        <w:rPr>
          <w:i/>
          <w:iCs/>
          <w:szCs w:val="26"/>
          <w:bdr w:val="none" w:sz="0" w:space="0" w:color="auto" w:frame="1"/>
        </w:rPr>
        <w:t xml:space="preserve">Tebbets v. Fidelity </w:t>
      </w:r>
      <w:r w:rsidRPr="002E76A2" w:rsidR="005D7D6E">
        <w:rPr>
          <w:i/>
          <w:iCs/>
          <w:szCs w:val="26"/>
          <w:bdr w:val="none" w:sz="0" w:space="0" w:color="auto" w:frame="1"/>
        </w:rPr>
        <w:t xml:space="preserve">and Casualty </w:t>
      </w:r>
      <w:r w:rsidRPr="002E76A2">
        <w:rPr>
          <w:i/>
          <w:iCs/>
          <w:szCs w:val="26"/>
          <w:bdr w:val="none" w:sz="0" w:space="0" w:color="auto" w:frame="1"/>
        </w:rPr>
        <w:t xml:space="preserve">Co. </w:t>
      </w:r>
      <w:r w:rsidRPr="002E76A2">
        <w:rPr>
          <w:szCs w:val="26"/>
          <w:bdr w:val="none" w:sz="0" w:space="0" w:color="auto" w:frame="1"/>
        </w:rPr>
        <w:t>(1909) 155</w:t>
      </w:r>
      <w:r w:rsidR="00B667F4">
        <w:rPr>
          <w:szCs w:val="26"/>
          <w:bdr w:val="none" w:sz="0" w:space="0" w:color="auto" w:frame="1"/>
        </w:rPr>
        <w:t> </w:t>
      </w:r>
      <w:r w:rsidRPr="002E76A2">
        <w:rPr>
          <w:szCs w:val="26"/>
          <w:bdr w:val="none" w:sz="0" w:space="0" w:color="auto" w:frame="1"/>
        </w:rPr>
        <w:t>Cal.</w:t>
      </w:r>
      <w:r w:rsidRPr="002E76A2" w:rsidR="00CF0039">
        <w:rPr>
          <w:szCs w:val="26"/>
          <w:bdr w:val="none" w:sz="0" w:space="0" w:color="auto" w:frame="1"/>
        </w:rPr>
        <w:t xml:space="preserve"> </w:t>
      </w:r>
      <w:r w:rsidRPr="002E76A2">
        <w:rPr>
          <w:szCs w:val="26"/>
          <w:bdr w:val="none" w:sz="0" w:space="0" w:color="auto" w:frame="1"/>
        </w:rPr>
        <w:t xml:space="preserve">137, </w:t>
      </w:r>
      <w:r w:rsidRPr="002E76A2" w:rsidR="005D7D6E">
        <w:rPr>
          <w:szCs w:val="26"/>
          <w:bdr w:val="none" w:sz="0" w:space="0" w:color="auto" w:frame="1"/>
        </w:rPr>
        <w:t>138‒</w:t>
      </w:r>
      <w:r w:rsidRPr="002E76A2">
        <w:rPr>
          <w:szCs w:val="26"/>
          <w:bdr w:val="none" w:sz="0" w:space="0" w:color="auto" w:frame="1"/>
        </w:rPr>
        <w:t>139</w:t>
      </w:r>
      <w:r w:rsidRPr="002E76A2" w:rsidR="004B388E">
        <w:rPr>
          <w:szCs w:val="26"/>
          <w:bdr w:val="none" w:sz="0" w:space="0" w:color="auto" w:frame="1"/>
        </w:rPr>
        <w:t xml:space="preserve">; </w:t>
      </w:r>
      <w:r w:rsidRPr="002E76A2" w:rsidR="004B388E">
        <w:rPr>
          <w:i/>
          <w:iCs/>
          <w:szCs w:val="26"/>
          <w:bdr w:val="none" w:sz="0" w:space="0" w:color="auto" w:frame="1"/>
        </w:rPr>
        <w:t>C</w:t>
      </w:r>
      <w:r w:rsidRPr="002E76A2" w:rsidR="00CC1BA0">
        <w:rPr>
          <w:i/>
          <w:iCs/>
          <w:szCs w:val="26"/>
          <w:bdr w:val="none" w:sz="0" w:space="0" w:color="auto" w:frame="1"/>
        </w:rPr>
        <w:t xml:space="preserve"> </w:t>
      </w:r>
      <w:r w:rsidRPr="002E76A2" w:rsidR="004B388E">
        <w:rPr>
          <w:i/>
          <w:iCs/>
          <w:szCs w:val="26"/>
          <w:bdr w:val="none" w:sz="0" w:space="0" w:color="auto" w:frame="1"/>
        </w:rPr>
        <w:t>&amp;</w:t>
      </w:r>
      <w:r w:rsidRPr="002E76A2" w:rsidR="00CC1BA0">
        <w:rPr>
          <w:i/>
          <w:iCs/>
          <w:szCs w:val="26"/>
          <w:bdr w:val="none" w:sz="0" w:space="0" w:color="auto" w:frame="1"/>
        </w:rPr>
        <w:t xml:space="preserve"> </w:t>
      </w:r>
      <w:r w:rsidRPr="002E76A2" w:rsidR="004B388E">
        <w:rPr>
          <w:i/>
          <w:iCs/>
          <w:szCs w:val="26"/>
          <w:bdr w:val="none" w:sz="0" w:space="0" w:color="auto" w:frame="1"/>
        </w:rPr>
        <w:t>H</w:t>
      </w:r>
      <w:r w:rsidRPr="002E76A2" w:rsidR="00CC1BA0">
        <w:rPr>
          <w:i/>
          <w:iCs/>
          <w:szCs w:val="26"/>
          <w:bdr w:val="none" w:sz="0" w:space="0" w:color="auto" w:frame="1"/>
        </w:rPr>
        <w:t>.</w:t>
      </w:r>
      <w:r w:rsidRPr="002E76A2" w:rsidR="004B388E">
        <w:rPr>
          <w:i/>
          <w:iCs/>
          <w:szCs w:val="26"/>
          <w:bdr w:val="none" w:sz="0" w:space="0" w:color="auto" w:frame="1"/>
        </w:rPr>
        <w:t xml:space="preserve"> Foods Co. v. Hartford Ins. Co.</w:t>
      </w:r>
      <w:r w:rsidRPr="002E76A2" w:rsidR="004B388E">
        <w:rPr>
          <w:szCs w:val="26"/>
          <w:bdr w:val="none" w:sz="0" w:space="0" w:color="auto" w:frame="1"/>
        </w:rPr>
        <w:t xml:space="preserve"> (1984) 163</w:t>
      </w:r>
      <w:r w:rsidR="00B667F4">
        <w:rPr>
          <w:szCs w:val="26"/>
          <w:bdr w:val="none" w:sz="0" w:space="0" w:color="auto" w:frame="1"/>
        </w:rPr>
        <w:t> </w:t>
      </w:r>
      <w:r w:rsidRPr="002E76A2" w:rsidR="004B388E">
        <w:rPr>
          <w:szCs w:val="26"/>
          <w:bdr w:val="none" w:sz="0" w:space="0" w:color="auto" w:frame="1"/>
        </w:rPr>
        <w:t xml:space="preserve">Cal.App.3d 1055, </w:t>
      </w:r>
      <w:r w:rsidRPr="002E76A2" w:rsidR="006A4A7C">
        <w:rPr>
          <w:szCs w:val="26"/>
          <w:bdr w:val="none" w:sz="0" w:space="0" w:color="auto" w:frame="1"/>
        </w:rPr>
        <w:t>1064</w:t>
      </w:r>
      <w:r w:rsidRPr="002E76A2">
        <w:rPr>
          <w:szCs w:val="26"/>
          <w:bdr w:val="none" w:sz="0" w:space="0" w:color="auto" w:frame="1"/>
        </w:rPr>
        <w:t xml:space="preserve">.)  </w:t>
      </w:r>
      <w:r w:rsidR="006B6C6E">
        <w:rPr>
          <w:szCs w:val="26"/>
          <w:bdr w:val="none" w:sz="0" w:space="0" w:color="auto" w:frame="1"/>
        </w:rPr>
        <w:t xml:space="preserve">Yet with State Farm having taken the position that the limitations provision in plaintiff’s insurance policy is equivalent to section 2071’s </w:t>
      </w:r>
      <w:r w:rsidRPr="002E76A2" w:rsidR="006B6C6E">
        <w:t>“</w:t>
      </w:r>
      <w:r w:rsidR="006B6C6E">
        <w:t>[n]</w:t>
      </w:r>
      <w:r w:rsidRPr="002E76A2" w:rsidR="006B6C6E">
        <w:t>o suit or action on this policy for the recovery of any claim</w:t>
      </w:r>
      <w:r w:rsidR="006B6C6E">
        <w:t xml:space="preserve">” language, </w:t>
      </w:r>
      <w:r w:rsidR="006B6C6E">
        <w:rPr>
          <w:szCs w:val="26"/>
          <w:bdr w:val="none" w:sz="0" w:space="0" w:color="auto" w:frame="1"/>
        </w:rPr>
        <w:t xml:space="preserve">our </w:t>
      </w:r>
      <w:r w:rsidR="00F12715">
        <w:rPr>
          <w:szCs w:val="26"/>
          <w:bdr w:val="none" w:sz="0" w:space="0" w:color="auto" w:frame="1"/>
        </w:rPr>
        <w:t xml:space="preserve">interpretation of </w:t>
      </w:r>
      <w:r w:rsidR="00FC5556">
        <w:rPr>
          <w:szCs w:val="26"/>
          <w:bdr w:val="none" w:sz="0" w:space="0" w:color="auto" w:frame="1"/>
        </w:rPr>
        <w:t>the</w:t>
      </w:r>
      <w:r w:rsidR="00F12715">
        <w:rPr>
          <w:szCs w:val="26"/>
          <w:bdr w:val="none" w:sz="0" w:space="0" w:color="auto" w:frame="1"/>
        </w:rPr>
        <w:t xml:space="preserve"> </w:t>
      </w:r>
      <w:r w:rsidR="004D0E18">
        <w:rPr>
          <w:szCs w:val="26"/>
          <w:bdr w:val="none" w:sz="0" w:space="0" w:color="auto" w:frame="1"/>
        </w:rPr>
        <w:t>statute</w:t>
      </w:r>
      <w:r w:rsidR="008F38E7">
        <w:rPr>
          <w:szCs w:val="26"/>
          <w:bdr w:val="none" w:sz="0" w:space="0" w:color="auto" w:frame="1"/>
        </w:rPr>
        <w:t xml:space="preserve">, as set out above, </w:t>
      </w:r>
      <w:r w:rsidR="006B6C6E">
        <w:rPr>
          <w:szCs w:val="26"/>
          <w:bdr w:val="none" w:sz="0" w:space="0" w:color="auto" w:frame="1"/>
        </w:rPr>
        <w:t xml:space="preserve">means there has been no agreement </w:t>
      </w:r>
      <w:r w:rsidR="0077722A">
        <w:rPr>
          <w:szCs w:val="26"/>
          <w:bdr w:val="none" w:sz="0" w:space="0" w:color="auto" w:frame="1"/>
        </w:rPr>
        <w:t>between State Farm and plaintiff</w:t>
      </w:r>
      <w:r w:rsidR="006B6C6E">
        <w:rPr>
          <w:szCs w:val="26"/>
          <w:bdr w:val="none" w:sz="0" w:space="0" w:color="auto" w:frame="1"/>
        </w:rPr>
        <w:t xml:space="preserve"> to shorten the </w:t>
      </w:r>
      <w:r w:rsidR="00D5694F">
        <w:rPr>
          <w:szCs w:val="26"/>
          <w:bdr w:val="none" w:sz="0" w:space="0" w:color="auto" w:frame="1"/>
        </w:rPr>
        <w:t>limitations</w:t>
      </w:r>
      <w:r w:rsidR="006B6C6E">
        <w:rPr>
          <w:szCs w:val="26"/>
          <w:bdr w:val="none" w:sz="0" w:space="0" w:color="auto" w:frame="1"/>
        </w:rPr>
        <w:t xml:space="preserve"> period </w:t>
      </w:r>
      <w:r w:rsidR="00F12715">
        <w:rPr>
          <w:szCs w:val="26"/>
          <w:bdr w:val="none" w:sz="0" w:space="0" w:color="auto" w:frame="1"/>
        </w:rPr>
        <w:t>applicable to plaintiff’s UCL cause of action from four years to one </w:t>
      </w:r>
      <w:r w:rsidR="006B6C6E">
        <w:rPr>
          <w:szCs w:val="26"/>
          <w:bdr w:val="none" w:sz="0" w:space="0" w:color="auto" w:frame="1"/>
        </w:rPr>
        <w:t>— even if we were to assume</w:t>
      </w:r>
      <w:r w:rsidR="00F12715">
        <w:rPr>
          <w:szCs w:val="26"/>
          <w:bdr w:val="none" w:sz="0" w:space="0" w:color="auto" w:frame="1"/>
        </w:rPr>
        <w:t xml:space="preserve"> the enforceability of</w:t>
      </w:r>
      <w:r w:rsidR="006B6C6E">
        <w:rPr>
          <w:szCs w:val="26"/>
          <w:bdr w:val="none" w:sz="0" w:space="0" w:color="auto" w:frame="1"/>
        </w:rPr>
        <w:t xml:space="preserve"> such a provision.</w:t>
      </w:r>
      <w:r>
        <w:rPr>
          <w:rStyle w:val="FootnoteReference"/>
          <w:bdr w:val="none" w:sz="0" w:space="0" w:color="auto" w:frame="1"/>
        </w:rPr>
        <w:footnoteReference w:id="14"/>
      </w:r>
      <w:r w:rsidR="006B6C6E">
        <w:rPr>
          <w:szCs w:val="26"/>
          <w:bdr w:val="none" w:sz="0" w:space="0" w:color="auto" w:frame="1"/>
        </w:rPr>
        <w:t xml:space="preserve">  </w:t>
      </w:r>
      <w:r w:rsidR="00FC5556">
        <w:rPr>
          <w:szCs w:val="26"/>
          <w:bdr w:val="none" w:sz="0" w:space="0" w:color="auto" w:frame="1"/>
        </w:rPr>
        <w:t>The general principle invoked by State Farm, therefore, is not implicated</w:t>
      </w:r>
      <w:r w:rsidR="0077722A">
        <w:rPr>
          <w:szCs w:val="26"/>
          <w:bdr w:val="none" w:sz="0" w:space="0" w:color="auto" w:frame="1"/>
        </w:rPr>
        <w:t xml:space="preserve"> here</w:t>
      </w:r>
      <w:r w:rsidR="00FC5556">
        <w:rPr>
          <w:szCs w:val="26"/>
          <w:bdr w:val="none" w:sz="0" w:space="0" w:color="auto" w:frame="1"/>
        </w:rPr>
        <w:t xml:space="preserve">.  </w:t>
      </w:r>
    </w:p>
    <w:p w:rsidR="007E4CCC" w:rsidRPr="002E76A2" w:rsidP="002E76A2">
      <w:pPr>
        <w:pStyle w:val="Heading1"/>
      </w:pPr>
      <w:r w:rsidRPr="002E76A2">
        <w:t>III.  Disposition</w:t>
      </w:r>
    </w:p>
    <w:p w:rsidR="007E4CCC" w:rsidRPr="002E76A2" w:rsidP="008617A8">
      <w:pPr>
        <w:keepNext/>
        <w:ind w:firstLine="720"/>
        <w:rPr>
          <w:szCs w:val="26"/>
        </w:rPr>
      </w:pPr>
      <w:r w:rsidRPr="002E76A2">
        <w:rPr>
          <w:szCs w:val="26"/>
        </w:rPr>
        <w:t>We conclude that the one-year limitations period within</w:t>
      </w:r>
      <w:r w:rsidR="00273EE6">
        <w:rPr>
          <w:szCs w:val="26"/>
        </w:rPr>
        <w:t xml:space="preserve"> section 2071 and</w:t>
      </w:r>
      <w:r w:rsidRPr="002E76A2">
        <w:rPr>
          <w:szCs w:val="26"/>
        </w:rPr>
        <w:t xml:space="preserve"> plaintiff’s </w:t>
      </w:r>
      <w:r w:rsidR="00D5694F">
        <w:rPr>
          <w:szCs w:val="26"/>
        </w:rPr>
        <w:t xml:space="preserve">insurance </w:t>
      </w:r>
      <w:r w:rsidRPr="002E76A2">
        <w:rPr>
          <w:szCs w:val="26"/>
        </w:rPr>
        <w:t>policy with State Farm does not apply to her UCL cause of action</w:t>
      </w:r>
      <w:r w:rsidR="00D5694F">
        <w:rPr>
          <w:szCs w:val="26"/>
        </w:rPr>
        <w:t xml:space="preserve"> seeking declaratory and injunctive relief</w:t>
      </w:r>
      <w:r w:rsidRPr="002E76A2">
        <w:rPr>
          <w:szCs w:val="26"/>
        </w:rPr>
        <w:t xml:space="preserve">.  </w:t>
      </w:r>
      <w:r w:rsidR="00FC5556">
        <w:rPr>
          <w:szCs w:val="26"/>
        </w:rPr>
        <w:t>Since plaintiff’s lawsuit was brought within</w:t>
      </w:r>
      <w:r w:rsidR="00265469">
        <w:rPr>
          <w:szCs w:val="26"/>
        </w:rPr>
        <w:t xml:space="preserve"> the four-year </w:t>
      </w:r>
      <w:r w:rsidR="00FC5556">
        <w:rPr>
          <w:szCs w:val="26"/>
        </w:rPr>
        <w:t xml:space="preserve">period provided </w:t>
      </w:r>
      <w:r w:rsidR="00265469">
        <w:rPr>
          <w:szCs w:val="26"/>
        </w:rPr>
        <w:t>under the UCL, w</w:t>
      </w:r>
      <w:r w:rsidRPr="002E76A2" w:rsidR="006044B3">
        <w:rPr>
          <w:szCs w:val="26"/>
        </w:rPr>
        <w:t xml:space="preserve">e reverse </w:t>
      </w:r>
      <w:r w:rsidRPr="002E76A2">
        <w:rPr>
          <w:szCs w:val="26"/>
        </w:rPr>
        <w:t xml:space="preserve">the judgment of the Court of </w:t>
      </w:r>
      <w:r w:rsidRPr="002E76A2" w:rsidR="00350868">
        <w:rPr>
          <w:szCs w:val="26"/>
        </w:rPr>
        <w:t>Appeal and</w:t>
      </w:r>
      <w:r w:rsidRPr="002E76A2">
        <w:rPr>
          <w:szCs w:val="26"/>
        </w:rPr>
        <w:t xml:space="preserve"> remand </w:t>
      </w:r>
      <w:r w:rsidRPr="002E76A2" w:rsidR="006044B3">
        <w:rPr>
          <w:szCs w:val="26"/>
        </w:rPr>
        <w:t xml:space="preserve">the matter </w:t>
      </w:r>
      <w:r w:rsidRPr="002E76A2">
        <w:rPr>
          <w:szCs w:val="26"/>
        </w:rPr>
        <w:t>to that court with directions that it be remanded to the superior court for further proceedings</w:t>
      </w:r>
      <w:r w:rsidR="006B6C6E">
        <w:rPr>
          <w:szCs w:val="26"/>
        </w:rPr>
        <w:t xml:space="preserve"> consistent with our decision</w:t>
      </w:r>
      <w:r w:rsidRPr="002E76A2">
        <w:rPr>
          <w:szCs w:val="26"/>
        </w:rPr>
        <w:t>.</w:t>
      </w:r>
    </w:p>
    <w:p w:rsidR="0003102F" w:rsidRPr="002E76A2" w:rsidP="008617A8">
      <w:pPr>
        <w:keepNext/>
        <w:ind w:firstLine="720"/>
        <w:rPr>
          <w:b/>
          <w:bCs/>
          <w:szCs w:val="26"/>
        </w:rPr>
      </w:pPr>
      <w:r w:rsidRPr="002E76A2">
        <w:rPr>
          <w:b/>
          <w:bCs/>
          <w:szCs w:val="26"/>
        </w:rPr>
        <w:tab/>
      </w:r>
      <w:r w:rsidRPr="002E76A2">
        <w:rPr>
          <w:b/>
          <w:bCs/>
          <w:szCs w:val="26"/>
        </w:rPr>
        <w:tab/>
      </w:r>
      <w:r w:rsidRPr="002E76A2">
        <w:rPr>
          <w:b/>
          <w:bCs/>
          <w:szCs w:val="26"/>
        </w:rPr>
        <w:tab/>
      </w:r>
      <w:r w:rsidRPr="002E76A2">
        <w:rPr>
          <w:b/>
          <w:bCs/>
          <w:szCs w:val="26"/>
        </w:rPr>
        <w:tab/>
      </w:r>
      <w:r w:rsidRPr="002E76A2">
        <w:rPr>
          <w:b/>
          <w:bCs/>
          <w:szCs w:val="26"/>
        </w:rPr>
        <w:tab/>
      </w:r>
      <w:r w:rsidRPr="002E76A2">
        <w:rPr>
          <w:b/>
          <w:bCs/>
          <w:szCs w:val="26"/>
        </w:rPr>
        <w:tab/>
      </w:r>
      <w:r w:rsidRPr="002E76A2">
        <w:rPr>
          <w:b/>
          <w:bCs/>
          <w:szCs w:val="26"/>
        </w:rPr>
        <w:tab/>
      </w:r>
    </w:p>
    <w:p w:rsidR="001E25B7" w:rsidP="004A11BF">
      <w:pPr>
        <w:keepNext/>
        <w:ind w:left="4320" w:firstLine="720"/>
        <w:rPr>
          <w:b/>
          <w:bCs/>
          <w:szCs w:val="26"/>
        </w:rPr>
      </w:pPr>
      <w:r w:rsidRPr="002E76A2">
        <w:rPr>
          <w:b/>
          <w:bCs/>
          <w:szCs w:val="26"/>
        </w:rPr>
        <w:t>GUERRERO, C. J.</w:t>
      </w:r>
    </w:p>
    <w:p w:rsidR="002E76A2" w:rsidP="004A11BF">
      <w:pPr>
        <w:keepNext/>
        <w:jc w:val="left"/>
        <w:rPr>
          <w:b/>
          <w:bCs/>
          <w:szCs w:val="26"/>
        </w:rPr>
      </w:pPr>
      <w:r>
        <w:rPr>
          <w:b/>
          <w:bCs/>
          <w:szCs w:val="26"/>
        </w:rPr>
        <w:t>We Concur:</w:t>
      </w:r>
    </w:p>
    <w:p w:rsidR="006C72D2" w:rsidRPr="00077BAA" w:rsidP="006C72D2">
      <w:pPr>
        <w:keepNext/>
        <w:spacing w:after="0" w:line="240" w:lineRule="auto"/>
        <w:rPr>
          <w:b/>
          <w:lang w:val="it-IT"/>
        </w:rPr>
      </w:pPr>
      <w:r w:rsidRPr="00077BAA">
        <w:rPr>
          <w:b/>
          <w:lang w:val="it-IT"/>
        </w:rPr>
        <w:t>CORRIGAN, J.</w:t>
      </w:r>
    </w:p>
    <w:p w:rsidR="006C72D2" w:rsidP="006C72D2">
      <w:pPr>
        <w:spacing w:after="0" w:line="240" w:lineRule="auto"/>
        <w:jc w:val="left"/>
        <w:rPr>
          <w:b/>
        </w:rPr>
      </w:pPr>
      <w:r>
        <w:rPr>
          <w:b/>
        </w:rPr>
        <w:t>LIU</w:t>
      </w:r>
      <w:r w:rsidRPr="00077BAA">
        <w:rPr>
          <w:b/>
        </w:rPr>
        <w:t>, J.</w:t>
      </w:r>
    </w:p>
    <w:p w:rsidR="006C72D2" w:rsidRPr="00077BAA" w:rsidP="006C72D2">
      <w:pPr>
        <w:spacing w:after="0" w:line="240" w:lineRule="auto"/>
        <w:jc w:val="left"/>
        <w:rPr>
          <w:b/>
        </w:rPr>
      </w:pPr>
      <w:r>
        <w:rPr>
          <w:b/>
        </w:rPr>
        <w:t>KRUGER, J.</w:t>
      </w:r>
    </w:p>
    <w:p w:rsidR="006C72D2" w:rsidRPr="00077BAA" w:rsidP="006C72D2">
      <w:pPr>
        <w:spacing w:after="0" w:line="240" w:lineRule="auto"/>
        <w:jc w:val="left"/>
        <w:rPr>
          <w:b/>
          <w:lang w:val="it-IT"/>
        </w:rPr>
      </w:pPr>
      <w:r>
        <w:rPr>
          <w:b/>
          <w:lang w:val="it-IT"/>
        </w:rPr>
        <w:t>GROBAN, J.</w:t>
      </w:r>
    </w:p>
    <w:p w:rsidR="006C72D2" w:rsidP="006C72D2">
      <w:pPr>
        <w:spacing w:after="0" w:line="240" w:lineRule="auto"/>
        <w:jc w:val="left"/>
        <w:rPr>
          <w:b/>
        </w:rPr>
      </w:pPr>
      <w:r w:rsidRPr="00077BAA">
        <w:rPr>
          <w:b/>
        </w:rPr>
        <w:t>JENKINS, J.</w:t>
      </w:r>
    </w:p>
    <w:p w:rsidR="00080AEA" w:rsidP="006C72D2">
      <w:pPr>
        <w:spacing w:after="0" w:line="240" w:lineRule="auto"/>
        <w:jc w:val="left"/>
        <w:rPr>
          <w:b/>
        </w:rPr>
      </w:pPr>
      <w:r>
        <w:rPr>
          <w:b/>
        </w:rPr>
        <w:t>EVANS, J.</w:t>
      </w:r>
    </w:p>
    <w:p w:rsidR="00CE017D" w:rsidP="006C72D2">
      <w:pPr>
        <w:spacing w:after="0" w:line="240" w:lineRule="auto"/>
        <w:jc w:val="left"/>
        <w:rPr>
          <w:b/>
        </w:rPr>
        <w:sectPr w:rsidSect="00C07BE5">
          <w:footerReference w:type="first" r:id="rId11"/>
          <w:pgSz w:w="12240" w:h="15840"/>
          <w:pgMar w:top="1800" w:right="2160" w:bottom="1440" w:left="2160" w:header="720" w:footer="720" w:gutter="0"/>
          <w:pgNumType w:start="1"/>
          <w:cols w:space="720"/>
          <w:titlePg/>
          <w:docGrid w:linePitch="367"/>
        </w:sectPr>
      </w:pPr>
    </w:p>
    <w:p w:rsidR="00F139D6" w:rsidRPr="00F139D6" w:rsidP="00F139D6">
      <w:pPr>
        <w:spacing w:after="0" w:line="240" w:lineRule="auto"/>
        <w:jc w:val="left"/>
        <w:rPr>
          <w:i/>
          <w:sz w:val="24"/>
          <w:szCs w:val="24"/>
        </w:rPr>
      </w:pPr>
      <w:r w:rsidRPr="00F139D6">
        <w:rPr>
          <w:i/>
          <w:sz w:val="24"/>
          <w:szCs w:val="24"/>
        </w:rPr>
        <w:t>See next page for addresses and telephone numbers for counsel who argued in Supreme Court.</w:t>
      </w:r>
    </w:p>
    <w:p w:rsidR="00F139D6" w:rsidRPr="00F139D6" w:rsidP="00F139D6">
      <w:pPr>
        <w:spacing w:after="0" w:line="240" w:lineRule="auto"/>
        <w:jc w:val="left"/>
        <w:rPr>
          <w:i/>
          <w:sz w:val="24"/>
          <w:szCs w:val="24"/>
        </w:rPr>
      </w:pPr>
    </w:p>
    <w:p w:rsidR="00F139D6" w:rsidRPr="00F139D6" w:rsidP="00F139D6">
      <w:pPr>
        <w:spacing w:after="0" w:line="240" w:lineRule="auto"/>
        <w:jc w:val="left"/>
        <w:rPr>
          <w:bCs/>
          <w:sz w:val="24"/>
          <w:szCs w:val="24"/>
        </w:rPr>
      </w:pPr>
      <w:r w:rsidRPr="00F139D6">
        <w:rPr>
          <w:b/>
          <w:sz w:val="24"/>
          <w:szCs w:val="24"/>
        </w:rPr>
        <w:t xml:space="preserve">Name of Opinion  </w:t>
      </w:r>
      <w:r w:rsidRPr="00F139D6">
        <w:rPr>
          <w:bCs/>
          <w:sz w:val="24"/>
          <w:szCs w:val="24"/>
        </w:rPr>
        <w:t>Rosenberg-Wohl v. State Farm Fire &amp; Casualty Co.</w:t>
      </w:r>
    </w:p>
    <w:p w:rsidR="00F139D6" w:rsidRPr="00F139D6" w:rsidP="00F139D6">
      <w:pPr>
        <w:spacing w:after="0" w:line="240" w:lineRule="auto"/>
        <w:jc w:val="left"/>
        <w:rPr>
          <w:b/>
          <w:sz w:val="24"/>
          <w:szCs w:val="24"/>
        </w:rPr>
      </w:pPr>
      <w:r w:rsidRPr="00F139D6">
        <w:rPr>
          <w:b/>
          <w:sz w:val="24"/>
          <w:szCs w:val="24"/>
        </w:rPr>
        <w:t xml:space="preserve">__________________________________________________________ </w:t>
      </w:r>
    </w:p>
    <w:p w:rsidR="00F139D6" w:rsidRPr="00F139D6" w:rsidP="00F139D6">
      <w:pPr>
        <w:spacing w:after="0" w:line="240" w:lineRule="auto"/>
        <w:jc w:val="left"/>
        <w:rPr>
          <w:b/>
          <w:sz w:val="24"/>
          <w:szCs w:val="24"/>
        </w:rPr>
      </w:pPr>
    </w:p>
    <w:p w:rsidR="00F139D6" w:rsidRPr="00F139D6" w:rsidP="00F139D6">
      <w:pPr>
        <w:spacing w:after="0" w:line="240" w:lineRule="auto"/>
        <w:jc w:val="left"/>
        <w:rPr>
          <w:sz w:val="24"/>
          <w:szCs w:val="24"/>
        </w:rPr>
      </w:pPr>
      <w:r w:rsidRPr="00F139D6">
        <w:rPr>
          <w:b/>
          <w:bCs/>
          <w:sz w:val="24"/>
          <w:szCs w:val="24"/>
          <w:u w:val="single"/>
        </w:rPr>
        <w:t>Procedural Posture</w:t>
      </w:r>
      <w:r w:rsidRPr="00F139D6">
        <w:rPr>
          <w:b/>
          <w:bCs/>
          <w:sz w:val="24"/>
          <w:szCs w:val="24"/>
        </w:rPr>
        <w:t xml:space="preserve"> </w:t>
      </w:r>
      <w:r w:rsidRPr="00F139D6">
        <w:rPr>
          <w:sz w:val="24"/>
          <w:szCs w:val="24"/>
        </w:rPr>
        <w:t>(see XX below)</w:t>
      </w:r>
    </w:p>
    <w:p w:rsidR="00F139D6" w:rsidRPr="00F139D6" w:rsidP="00F139D6">
      <w:pPr>
        <w:spacing w:after="0" w:line="240" w:lineRule="auto"/>
        <w:jc w:val="left"/>
        <w:rPr>
          <w:sz w:val="24"/>
          <w:szCs w:val="24"/>
        </w:rPr>
      </w:pPr>
      <w:r w:rsidRPr="00F139D6">
        <w:rPr>
          <w:b/>
          <w:bCs/>
          <w:sz w:val="24"/>
          <w:szCs w:val="24"/>
        </w:rPr>
        <w:t>Original Appeal</w:t>
      </w:r>
      <w:r w:rsidRPr="00F139D6">
        <w:rPr>
          <w:sz w:val="24"/>
          <w:szCs w:val="24"/>
        </w:rPr>
        <w:t xml:space="preserve"> </w:t>
      </w:r>
    </w:p>
    <w:p w:rsidR="00F139D6" w:rsidRPr="00F139D6" w:rsidP="00F139D6">
      <w:pPr>
        <w:spacing w:after="0" w:line="240" w:lineRule="auto"/>
        <w:jc w:val="left"/>
        <w:rPr>
          <w:b/>
          <w:bCs/>
          <w:sz w:val="24"/>
          <w:szCs w:val="24"/>
        </w:rPr>
      </w:pPr>
      <w:r w:rsidRPr="00F139D6">
        <w:rPr>
          <w:b/>
          <w:bCs/>
          <w:sz w:val="24"/>
          <w:szCs w:val="24"/>
        </w:rPr>
        <w:t>Original Proceeding</w:t>
      </w:r>
    </w:p>
    <w:p w:rsidR="00F139D6" w:rsidRPr="00F139D6" w:rsidP="00F139D6">
      <w:pPr>
        <w:spacing w:after="0" w:line="240" w:lineRule="auto"/>
        <w:jc w:val="left"/>
        <w:rPr>
          <w:sz w:val="24"/>
          <w:szCs w:val="24"/>
        </w:rPr>
      </w:pPr>
      <w:r w:rsidRPr="00F139D6">
        <w:rPr>
          <w:b/>
          <w:bCs/>
          <w:sz w:val="24"/>
          <w:szCs w:val="24"/>
        </w:rPr>
        <w:t>Review Granted</w:t>
      </w:r>
      <w:r w:rsidRPr="00F139D6">
        <w:rPr>
          <w:sz w:val="24"/>
          <w:szCs w:val="24"/>
        </w:rPr>
        <w:t xml:space="preserve"> </w:t>
      </w:r>
      <w:r w:rsidRPr="00F139D6">
        <w:rPr>
          <w:b/>
          <w:bCs/>
          <w:sz w:val="24"/>
          <w:szCs w:val="24"/>
        </w:rPr>
        <w:t xml:space="preserve">(published) </w:t>
      </w:r>
      <w:r w:rsidRPr="00F139D6">
        <w:rPr>
          <w:sz w:val="24"/>
          <w:szCs w:val="24"/>
        </w:rPr>
        <w:t>XX 93 Cal.App.5th 436</w:t>
      </w:r>
    </w:p>
    <w:p w:rsidR="00F139D6" w:rsidRPr="00F139D6" w:rsidP="00F139D6">
      <w:pPr>
        <w:spacing w:after="0" w:line="240" w:lineRule="auto"/>
        <w:jc w:val="left"/>
        <w:rPr>
          <w:sz w:val="24"/>
          <w:szCs w:val="24"/>
        </w:rPr>
      </w:pPr>
      <w:r w:rsidRPr="00F139D6">
        <w:rPr>
          <w:b/>
          <w:bCs/>
          <w:sz w:val="24"/>
          <w:szCs w:val="24"/>
        </w:rPr>
        <w:t xml:space="preserve">Review Granted (unpublished) </w:t>
      </w:r>
    </w:p>
    <w:p w:rsidR="00F139D6" w:rsidRPr="00F139D6" w:rsidP="00F139D6">
      <w:pPr>
        <w:spacing w:after="0" w:line="240" w:lineRule="auto"/>
        <w:jc w:val="left"/>
        <w:rPr>
          <w:b/>
          <w:bCs/>
          <w:sz w:val="24"/>
          <w:szCs w:val="24"/>
        </w:rPr>
      </w:pPr>
      <w:r w:rsidRPr="00F139D6">
        <w:rPr>
          <w:b/>
          <w:bCs/>
          <w:sz w:val="24"/>
          <w:szCs w:val="24"/>
        </w:rPr>
        <w:t>Rehearing Granted</w:t>
      </w:r>
    </w:p>
    <w:p w:rsidR="00F139D6" w:rsidRPr="00F139D6" w:rsidP="00F139D6">
      <w:pPr>
        <w:spacing w:after="0" w:line="240" w:lineRule="auto"/>
        <w:jc w:val="left"/>
        <w:rPr>
          <w:b/>
          <w:sz w:val="24"/>
          <w:szCs w:val="24"/>
        </w:rPr>
      </w:pPr>
      <w:r w:rsidRPr="00F139D6">
        <w:rPr>
          <w:b/>
          <w:sz w:val="24"/>
          <w:szCs w:val="24"/>
        </w:rPr>
        <w:t xml:space="preserve">__________________________________________________________ </w:t>
      </w:r>
    </w:p>
    <w:p w:rsidR="00F139D6" w:rsidRPr="00F139D6" w:rsidP="00F139D6">
      <w:pPr>
        <w:spacing w:after="0" w:line="240" w:lineRule="auto"/>
        <w:jc w:val="left"/>
        <w:rPr>
          <w:b/>
          <w:sz w:val="24"/>
          <w:szCs w:val="24"/>
        </w:rPr>
      </w:pPr>
    </w:p>
    <w:p w:rsidR="00F139D6" w:rsidRPr="00F139D6" w:rsidP="00F139D6">
      <w:pPr>
        <w:spacing w:after="0" w:line="240" w:lineRule="auto"/>
        <w:jc w:val="left"/>
        <w:rPr>
          <w:bCs/>
          <w:sz w:val="24"/>
          <w:szCs w:val="24"/>
        </w:rPr>
      </w:pPr>
      <w:r w:rsidRPr="00F139D6">
        <w:rPr>
          <w:b/>
          <w:sz w:val="24"/>
          <w:szCs w:val="24"/>
        </w:rPr>
        <w:t>Opinion No.</w:t>
      </w:r>
      <w:r w:rsidRPr="00F139D6">
        <w:rPr>
          <w:sz w:val="24"/>
          <w:szCs w:val="24"/>
        </w:rPr>
        <w:t xml:space="preserve"> S281510</w:t>
      </w:r>
    </w:p>
    <w:p w:rsidR="00F139D6" w:rsidRPr="00F139D6" w:rsidP="00F139D6">
      <w:pPr>
        <w:spacing w:after="0" w:line="240" w:lineRule="auto"/>
        <w:jc w:val="left"/>
        <w:rPr>
          <w:bCs/>
          <w:sz w:val="24"/>
          <w:szCs w:val="24"/>
        </w:rPr>
      </w:pPr>
      <w:r w:rsidRPr="00F139D6">
        <w:rPr>
          <w:b/>
          <w:sz w:val="24"/>
          <w:szCs w:val="24"/>
        </w:rPr>
        <w:t>Date Filed:</w:t>
      </w:r>
      <w:r w:rsidRPr="00F139D6">
        <w:rPr>
          <w:sz w:val="24"/>
          <w:szCs w:val="24"/>
        </w:rPr>
        <w:t xml:space="preserve">  July 18, 2024</w:t>
      </w:r>
    </w:p>
    <w:p w:rsidR="00F139D6" w:rsidRPr="00F139D6" w:rsidP="00F139D6">
      <w:pPr>
        <w:spacing w:after="0" w:line="240" w:lineRule="auto"/>
        <w:jc w:val="left"/>
        <w:rPr>
          <w:b/>
          <w:sz w:val="24"/>
          <w:szCs w:val="24"/>
        </w:rPr>
      </w:pPr>
      <w:r w:rsidRPr="00F139D6">
        <w:rPr>
          <w:b/>
          <w:sz w:val="24"/>
          <w:szCs w:val="24"/>
        </w:rPr>
        <w:t xml:space="preserve">__________________________________________________________ </w:t>
      </w:r>
    </w:p>
    <w:p w:rsidR="00F139D6" w:rsidRPr="00F139D6" w:rsidP="00F139D6">
      <w:pPr>
        <w:spacing w:after="0" w:line="240" w:lineRule="auto"/>
        <w:jc w:val="left"/>
        <w:rPr>
          <w:b/>
          <w:sz w:val="24"/>
          <w:szCs w:val="24"/>
        </w:rPr>
      </w:pPr>
    </w:p>
    <w:p w:rsidR="00F139D6" w:rsidRPr="00F139D6" w:rsidP="00F139D6">
      <w:pPr>
        <w:spacing w:after="0" w:line="240" w:lineRule="auto"/>
        <w:jc w:val="left"/>
        <w:rPr>
          <w:bCs/>
          <w:sz w:val="24"/>
          <w:szCs w:val="24"/>
        </w:rPr>
      </w:pPr>
      <w:r w:rsidRPr="00F139D6">
        <w:rPr>
          <w:b/>
          <w:sz w:val="24"/>
          <w:szCs w:val="24"/>
        </w:rPr>
        <w:t xml:space="preserve">Court:  </w:t>
      </w:r>
      <w:r w:rsidRPr="00F139D6">
        <w:rPr>
          <w:bCs/>
          <w:sz w:val="24"/>
          <w:szCs w:val="24"/>
        </w:rPr>
        <w:t>Superior</w:t>
      </w:r>
      <w:r w:rsidRPr="00F139D6">
        <w:rPr>
          <w:b/>
          <w:sz w:val="24"/>
          <w:szCs w:val="24"/>
        </w:rPr>
        <w:t xml:space="preserve"> </w:t>
      </w:r>
    </w:p>
    <w:p w:rsidR="00F139D6" w:rsidRPr="00F139D6" w:rsidP="00F139D6">
      <w:pPr>
        <w:spacing w:after="0" w:line="240" w:lineRule="auto"/>
        <w:jc w:val="left"/>
        <w:rPr>
          <w:bCs/>
          <w:sz w:val="24"/>
          <w:szCs w:val="24"/>
        </w:rPr>
      </w:pPr>
      <w:r w:rsidRPr="00F139D6">
        <w:rPr>
          <w:b/>
          <w:sz w:val="24"/>
          <w:szCs w:val="24"/>
        </w:rPr>
        <w:t xml:space="preserve">County:  </w:t>
      </w:r>
      <w:r w:rsidRPr="00F139D6">
        <w:rPr>
          <w:bCs/>
          <w:sz w:val="24"/>
          <w:szCs w:val="24"/>
        </w:rPr>
        <w:t>San Francisco</w:t>
      </w:r>
    </w:p>
    <w:p w:rsidR="00F139D6" w:rsidRPr="00F139D6" w:rsidP="00F139D6">
      <w:pPr>
        <w:spacing w:after="0" w:line="240" w:lineRule="auto"/>
        <w:ind w:left="720" w:hanging="720"/>
        <w:jc w:val="left"/>
        <w:rPr>
          <w:bCs/>
          <w:sz w:val="24"/>
          <w:szCs w:val="24"/>
        </w:rPr>
      </w:pPr>
      <w:r w:rsidRPr="00F139D6">
        <w:rPr>
          <w:b/>
          <w:sz w:val="24"/>
          <w:szCs w:val="24"/>
        </w:rPr>
        <w:t xml:space="preserve">Judge: </w:t>
      </w:r>
      <w:r w:rsidRPr="00F139D6">
        <w:rPr>
          <w:bCs/>
          <w:sz w:val="24"/>
          <w:szCs w:val="24"/>
        </w:rPr>
        <w:t xml:space="preserve"> Anne-Christine Massullo</w:t>
      </w:r>
    </w:p>
    <w:p w:rsidR="00F139D6" w:rsidRPr="00F139D6" w:rsidP="00F139D6">
      <w:pPr>
        <w:spacing w:after="0" w:line="240" w:lineRule="auto"/>
        <w:jc w:val="left"/>
        <w:rPr>
          <w:b/>
          <w:sz w:val="24"/>
          <w:szCs w:val="24"/>
        </w:rPr>
      </w:pPr>
      <w:r w:rsidRPr="00F139D6">
        <w:rPr>
          <w:b/>
          <w:sz w:val="24"/>
          <w:szCs w:val="24"/>
        </w:rPr>
        <w:t xml:space="preserve">__________________________________________________________  </w:t>
      </w:r>
    </w:p>
    <w:p w:rsidR="00F139D6" w:rsidRPr="00F139D6" w:rsidP="00F139D6">
      <w:pPr>
        <w:spacing w:after="0" w:line="240" w:lineRule="auto"/>
        <w:jc w:val="left"/>
        <w:rPr>
          <w:b/>
          <w:sz w:val="24"/>
          <w:szCs w:val="24"/>
        </w:rPr>
      </w:pPr>
    </w:p>
    <w:p w:rsidR="00F139D6" w:rsidRPr="00F139D6" w:rsidP="00F139D6">
      <w:pPr>
        <w:spacing w:after="0" w:line="240" w:lineRule="auto"/>
        <w:jc w:val="left"/>
        <w:rPr>
          <w:b/>
          <w:sz w:val="24"/>
          <w:szCs w:val="24"/>
        </w:rPr>
      </w:pPr>
      <w:r w:rsidRPr="00F139D6">
        <w:rPr>
          <w:b/>
          <w:sz w:val="24"/>
          <w:szCs w:val="24"/>
        </w:rPr>
        <w:t>Counsel:</w:t>
      </w:r>
    </w:p>
    <w:p w:rsidR="00F139D6" w:rsidRPr="00F139D6" w:rsidP="00F139D6">
      <w:pPr>
        <w:spacing w:after="0" w:line="240" w:lineRule="auto"/>
        <w:jc w:val="left"/>
        <w:rPr>
          <w:b/>
          <w:sz w:val="24"/>
          <w:szCs w:val="24"/>
        </w:rPr>
      </w:pP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Hershenson Rosenberg-Wohl and David M. Rosenberg-Wohl for Plaintiff and Appellant.</w:t>
      </w:r>
    </w:p>
    <w:p w:rsidR="00F139D6" w:rsidRPr="00F139D6" w:rsidP="00F139D6">
      <w:pPr>
        <w:spacing w:after="0" w:line="240" w:lineRule="auto"/>
        <w:jc w:val="left"/>
        <w:rPr>
          <w:color w:val="212121"/>
          <w:sz w:val="24"/>
          <w:szCs w:val="24"/>
          <w:shd w:val="clear" w:color="auto" w:fill="FFFFFF"/>
        </w:rPr>
      </w:pP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Rob Bonta, Attorney General, Michael J. Mongan, State Solicitor General, Nicklas A. Akers, Assistant Attorney General, Christopher D. Hu and Samuel T. Harbourt, Deputy State Solicitors General, Michele Van Gelderen and Adelina Acuña, Deputy Attorneys General, for the California Attorney General as Amicus Curiae on behalf of Plaintiff and Appellant.</w:t>
      </w:r>
    </w:p>
    <w:p w:rsidR="00F139D6" w:rsidRPr="00F139D6" w:rsidP="00F139D6">
      <w:pPr>
        <w:spacing w:after="0" w:line="240" w:lineRule="auto"/>
        <w:jc w:val="left"/>
        <w:rPr>
          <w:color w:val="212121"/>
          <w:sz w:val="24"/>
          <w:szCs w:val="24"/>
          <w:shd w:val="clear" w:color="auto" w:fill="FFFFFF"/>
        </w:rPr>
      </w:pP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 xml:space="preserve">Horvitz &amp; Levy, Lisa Perrochet, Jason R. Litt, Jasjaap S. Sidhu; DTO Law, Lauren Hudecki, Megan O'Neill and Erik P. Mortensen for Defendant and Respondent. </w:t>
      </w:r>
    </w:p>
    <w:p w:rsidR="00F139D6" w:rsidRPr="00F139D6" w:rsidP="00F139D6">
      <w:pPr>
        <w:spacing w:after="0" w:line="240" w:lineRule="auto"/>
        <w:jc w:val="left"/>
        <w:rPr>
          <w:color w:val="212121"/>
          <w:sz w:val="24"/>
          <w:szCs w:val="24"/>
          <w:shd w:val="clear" w:color="auto" w:fill="FFFFFF"/>
        </w:rPr>
      </w:pP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Gutierrez, Preciado &amp; House and Calvin House for the Civil Justice Association of California as Amicus Curiae on behalf of Defendant and Respondent.</w:t>
      </w:r>
      <w:r w:rsidRPr="00F139D6">
        <w:rPr>
          <w:color w:val="212121"/>
          <w:sz w:val="24"/>
          <w:szCs w:val="24"/>
          <w:shd w:val="clear" w:color="auto" w:fill="FFFFFF"/>
        </w:rPr>
        <w:br w:type="page"/>
      </w:r>
      <w:r w:rsidRPr="00F139D6">
        <w:rPr>
          <w:b/>
          <w:sz w:val="24"/>
          <w:szCs w:val="24"/>
        </w:rPr>
        <w:t xml:space="preserve">Counsel who argued in Supreme Court (not intended for publication with opinion): </w:t>
      </w:r>
    </w:p>
    <w:p w:rsidR="00F139D6" w:rsidRPr="00F139D6" w:rsidP="00F139D6">
      <w:pPr>
        <w:spacing w:after="0" w:line="240" w:lineRule="auto"/>
        <w:jc w:val="left"/>
        <w:rPr>
          <w:color w:val="212121"/>
          <w:sz w:val="24"/>
          <w:szCs w:val="24"/>
          <w:shd w:val="clear" w:color="auto" w:fill="FFFFFF"/>
        </w:rPr>
      </w:pP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David M. Rosenberg-Wohl</w:t>
      </w:r>
    </w:p>
    <w:p w:rsidR="00F139D6" w:rsidRPr="00F139D6" w:rsidP="00F139D6">
      <w:pPr>
        <w:spacing w:after="0" w:line="240" w:lineRule="auto"/>
        <w:jc w:val="left"/>
        <w:rPr>
          <w:sz w:val="24"/>
          <w:szCs w:val="24"/>
        </w:rPr>
      </w:pPr>
      <w:r w:rsidRPr="00F139D6">
        <w:rPr>
          <w:sz w:val="24"/>
          <w:szCs w:val="24"/>
        </w:rPr>
        <w:t>Hershenson Rosenberg-Wohl, A Professional Corporation</w:t>
      </w:r>
    </w:p>
    <w:p w:rsidR="00F139D6" w:rsidRPr="00F139D6" w:rsidP="00F139D6">
      <w:pPr>
        <w:spacing w:after="0" w:line="240" w:lineRule="auto"/>
        <w:jc w:val="left"/>
        <w:rPr>
          <w:sz w:val="24"/>
          <w:szCs w:val="24"/>
        </w:rPr>
      </w:pPr>
      <w:r w:rsidRPr="00F139D6">
        <w:rPr>
          <w:sz w:val="24"/>
          <w:szCs w:val="24"/>
        </w:rPr>
        <w:t>3080 Washington Street</w:t>
      </w:r>
    </w:p>
    <w:p w:rsidR="00F139D6" w:rsidRPr="00F139D6" w:rsidP="00F139D6">
      <w:pPr>
        <w:spacing w:after="0" w:line="240" w:lineRule="auto"/>
        <w:jc w:val="left"/>
        <w:rPr>
          <w:sz w:val="24"/>
          <w:szCs w:val="24"/>
        </w:rPr>
      </w:pPr>
      <w:r w:rsidRPr="00F139D6">
        <w:rPr>
          <w:sz w:val="24"/>
          <w:szCs w:val="24"/>
        </w:rPr>
        <w:t>San Francisco, CA 94115</w:t>
      </w:r>
    </w:p>
    <w:p w:rsidR="00F139D6" w:rsidRPr="00F139D6" w:rsidP="00F139D6">
      <w:pPr>
        <w:spacing w:after="0" w:line="240" w:lineRule="auto"/>
        <w:jc w:val="left"/>
        <w:rPr>
          <w:sz w:val="24"/>
          <w:szCs w:val="24"/>
        </w:rPr>
      </w:pPr>
      <w:r w:rsidRPr="00F139D6">
        <w:rPr>
          <w:sz w:val="24"/>
          <w:szCs w:val="24"/>
        </w:rPr>
        <w:t>(415) 317-7756</w:t>
      </w:r>
    </w:p>
    <w:p w:rsidR="00F139D6" w:rsidRPr="00F139D6" w:rsidP="00F139D6">
      <w:pPr>
        <w:spacing w:after="0" w:line="240" w:lineRule="auto"/>
        <w:jc w:val="left"/>
        <w:rPr>
          <w:sz w:val="24"/>
          <w:szCs w:val="24"/>
        </w:rPr>
      </w:pPr>
    </w:p>
    <w:p w:rsidR="00F139D6" w:rsidRPr="00F139D6" w:rsidP="00F139D6">
      <w:pPr>
        <w:spacing w:after="0" w:line="240" w:lineRule="auto"/>
        <w:jc w:val="left"/>
        <w:rPr>
          <w:sz w:val="24"/>
          <w:szCs w:val="24"/>
        </w:rPr>
      </w:pPr>
      <w:r w:rsidRPr="00F139D6">
        <w:rPr>
          <w:sz w:val="24"/>
          <w:szCs w:val="24"/>
        </w:rPr>
        <w:t>Christopher D. Hu</w:t>
      </w:r>
    </w:p>
    <w:p w:rsidR="00F139D6" w:rsidRPr="00F139D6" w:rsidP="00F139D6">
      <w:pPr>
        <w:spacing w:after="0" w:line="240" w:lineRule="auto"/>
        <w:jc w:val="left"/>
        <w:rPr>
          <w:sz w:val="24"/>
          <w:szCs w:val="24"/>
        </w:rPr>
      </w:pPr>
      <w:r w:rsidRPr="00F139D6">
        <w:rPr>
          <w:sz w:val="24"/>
          <w:szCs w:val="24"/>
        </w:rPr>
        <w:t>Deputy State Solicitor General</w:t>
      </w:r>
    </w:p>
    <w:p w:rsidR="00F139D6" w:rsidRPr="00F139D6" w:rsidP="00F139D6">
      <w:pPr>
        <w:spacing w:after="0" w:line="240" w:lineRule="auto"/>
        <w:jc w:val="left"/>
        <w:rPr>
          <w:sz w:val="24"/>
          <w:szCs w:val="24"/>
        </w:rPr>
      </w:pPr>
      <w:r w:rsidRPr="00F139D6">
        <w:rPr>
          <w:sz w:val="24"/>
          <w:szCs w:val="24"/>
        </w:rPr>
        <w:t>455 Golden Gate Avenue, Suite 11000</w:t>
      </w:r>
    </w:p>
    <w:p w:rsidR="00F139D6" w:rsidRPr="00F139D6" w:rsidP="00F139D6">
      <w:pPr>
        <w:spacing w:after="0" w:line="240" w:lineRule="auto"/>
        <w:jc w:val="left"/>
        <w:rPr>
          <w:sz w:val="24"/>
          <w:szCs w:val="24"/>
        </w:rPr>
      </w:pPr>
      <w:r w:rsidRPr="00F139D6">
        <w:rPr>
          <w:sz w:val="24"/>
          <w:szCs w:val="24"/>
        </w:rPr>
        <w:t>San Francisco, CA 94102</w:t>
      </w:r>
    </w:p>
    <w:p w:rsidR="00F139D6" w:rsidRPr="00F139D6" w:rsidP="00F139D6">
      <w:pPr>
        <w:spacing w:after="0" w:line="240" w:lineRule="auto"/>
        <w:jc w:val="left"/>
        <w:rPr>
          <w:sz w:val="24"/>
          <w:szCs w:val="24"/>
        </w:rPr>
      </w:pPr>
      <w:r w:rsidRPr="00F139D6">
        <w:rPr>
          <w:sz w:val="24"/>
          <w:szCs w:val="24"/>
        </w:rPr>
        <w:t>(415) 510-3917</w:t>
      </w:r>
    </w:p>
    <w:p w:rsidR="00F139D6" w:rsidRPr="00F139D6" w:rsidP="00F139D6">
      <w:pPr>
        <w:spacing w:after="0" w:line="240" w:lineRule="auto"/>
        <w:jc w:val="left"/>
        <w:rPr>
          <w:sz w:val="24"/>
          <w:szCs w:val="24"/>
        </w:rPr>
      </w:pP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Lisa Perrochet</w:t>
      </w: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Horvitz &amp; Levy LLP</w:t>
      </w:r>
    </w:p>
    <w:p w:rsidR="00F139D6" w:rsidRPr="00F139D6" w:rsidP="00F139D6">
      <w:pPr>
        <w:spacing w:after="0" w:line="240" w:lineRule="auto"/>
        <w:jc w:val="left"/>
        <w:rPr>
          <w:color w:val="212121"/>
          <w:sz w:val="24"/>
          <w:szCs w:val="24"/>
          <w:shd w:val="clear" w:color="auto" w:fill="FFFFFF"/>
        </w:rPr>
      </w:pPr>
      <w:r w:rsidRPr="00F139D6">
        <w:rPr>
          <w:color w:val="212121"/>
          <w:sz w:val="24"/>
          <w:szCs w:val="24"/>
          <w:shd w:val="clear" w:color="auto" w:fill="FFFFFF"/>
        </w:rPr>
        <w:t>3601 West Olive Avenue, 8th Floor</w:t>
      </w:r>
    </w:p>
    <w:p w:rsidR="00F139D6" w:rsidRPr="00F139D6" w:rsidP="00F139D6">
      <w:pPr>
        <w:spacing w:after="0" w:line="240" w:lineRule="auto"/>
        <w:jc w:val="left"/>
        <w:rPr>
          <w:sz w:val="24"/>
          <w:szCs w:val="24"/>
        </w:rPr>
      </w:pPr>
      <w:r w:rsidRPr="00F139D6">
        <w:rPr>
          <w:sz w:val="24"/>
          <w:szCs w:val="24"/>
        </w:rPr>
        <w:t>Burbank, CA 91505-4681</w:t>
      </w:r>
    </w:p>
    <w:p w:rsidR="00F139D6" w:rsidRPr="00F139D6" w:rsidP="00F139D6">
      <w:pPr>
        <w:spacing w:after="0" w:line="240" w:lineRule="auto"/>
        <w:jc w:val="left"/>
        <w:rPr>
          <w:sz w:val="24"/>
          <w:szCs w:val="24"/>
        </w:rPr>
      </w:pPr>
      <w:r w:rsidRPr="00F139D6">
        <w:rPr>
          <w:sz w:val="24"/>
          <w:szCs w:val="24"/>
        </w:rPr>
        <w:t>(818) 995-0800</w:t>
      </w:r>
    </w:p>
    <w:p w:rsidR="00CE017D" w:rsidRPr="006C72D2" w:rsidP="006C72D2">
      <w:pPr>
        <w:spacing w:after="0" w:line="240" w:lineRule="auto"/>
        <w:jc w:val="left"/>
        <w:rPr>
          <w:b/>
        </w:rPr>
      </w:pPr>
    </w:p>
    <w:sectPr w:rsidSect="00EC2BB8">
      <w:headerReference w:type="even" r:id="rId12"/>
      <w:headerReference w:type="default" r:id="rId13"/>
      <w:footerReference w:type="even" r:id="rId14"/>
      <w:footerReference w:type="default" r:id="rId15"/>
      <w:headerReference w:type="first" r:id="rId16"/>
      <w:footerReference w:type="first" r:id="rId17"/>
      <w:pgSz w:w="12240" w:h="15840"/>
      <w:pgMar w:top="1800" w:right="2160" w:bottom="1440" w:left="216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3936549"/>
      <w:docPartObj>
        <w:docPartGallery w:val="Page Numbers (Bottom of Page)"/>
        <w:docPartUnique/>
      </w:docPartObj>
    </w:sdtPr>
    <w:sdtEndPr>
      <w:rPr>
        <w:noProof/>
      </w:rPr>
    </w:sdtEndPr>
    <w:sdtContent>
      <w:p w:rsidR="009F4215">
        <w:pPr>
          <w:pStyle w:val="Footer"/>
        </w:pPr>
        <w:r>
          <w:fldChar w:fldCharType="begin"/>
        </w:r>
        <w:r>
          <w:instrText xml:space="preserve"> PAGE   \* MERGEFORMAT </w:instrText>
        </w:r>
        <w:r>
          <w:fldChar w:fldCharType="separate"/>
        </w:r>
        <w:r>
          <w:rPr>
            <w:noProof/>
          </w:rPr>
          <w:t>2</w:t>
        </w:r>
        <w:r>
          <w:rPr>
            <w:noProof/>
          </w:rPr>
          <w:fldChar w:fldCharType="end"/>
        </w:r>
      </w:p>
    </w:sdtContent>
  </w:sdt>
  <w:p w:rsidR="00DF15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9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6A2">
    <w:pPr>
      <w:pStyle w:val="Footer"/>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A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A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C6BD5">
      <w:r>
        <w:separator/>
      </w:r>
    </w:p>
  </w:footnote>
  <w:footnote w:type="continuationSeparator" w:id="1">
    <w:p w:rsidR="009C6BD5">
      <w:pPr>
        <w:rPr>
          <w:sz w:val="22"/>
        </w:rPr>
      </w:pPr>
      <w:r w:rsidRPr="00C07BE5">
        <w:continuationSeparator/>
      </w:r>
    </w:p>
  </w:footnote>
  <w:footnote w:type="continuationNotice" w:id="2">
    <w:p w:rsidR="009C6BD5">
      <w:pPr>
        <w:jc w:val="right"/>
        <w:rPr>
          <w:i/>
          <w:sz w:val="20"/>
        </w:rPr>
      </w:pPr>
    </w:p>
  </w:footnote>
  <w:footnote w:id="3">
    <w:p w:rsidR="007E4CCC" w:rsidRPr="00D2109F" w:rsidP="00C07BE5">
      <w:pPr>
        <w:pStyle w:val="FootnoteText"/>
        <w:rPr>
          <w:szCs w:val="26"/>
        </w:rPr>
      </w:pPr>
      <w:r w:rsidRPr="00D2109F">
        <w:rPr>
          <w:rStyle w:val="FootnoteReference"/>
        </w:rPr>
        <w:footnoteRef/>
      </w:r>
      <w:r w:rsidRPr="00D2109F">
        <w:rPr>
          <w:b/>
          <w:bCs/>
          <w:szCs w:val="26"/>
        </w:rPr>
        <w:t xml:space="preserve"> </w:t>
      </w:r>
      <w:r w:rsidRPr="00D2109F">
        <w:rPr>
          <w:szCs w:val="26"/>
        </w:rPr>
        <w:tab/>
        <w:t>All subsequent undesignated statutory references are to the Insurance Code.</w:t>
      </w:r>
    </w:p>
  </w:footnote>
  <w:footnote w:id="4">
    <w:p w:rsidR="001E21EF">
      <w:pPr>
        <w:pStyle w:val="FootnoteText"/>
      </w:pPr>
      <w:r>
        <w:rPr>
          <w:rStyle w:val="FootnoteReference"/>
        </w:rPr>
        <w:footnoteRef/>
      </w:r>
      <w:r>
        <w:t xml:space="preserve"> </w:t>
      </w:r>
      <w:r>
        <w:tab/>
        <w:t>State Farm does not argue that the federal proceedings have any preclusive effect in this case.</w:t>
      </w:r>
    </w:p>
  </w:footnote>
  <w:footnote w:id="5">
    <w:p w:rsidR="00443B79" w:rsidRPr="00D2109F" w:rsidP="00C07BE5">
      <w:pPr>
        <w:pStyle w:val="FootnoteText"/>
      </w:pPr>
      <w:r w:rsidRPr="00D2109F">
        <w:rPr>
          <w:rStyle w:val="FootnoteReference"/>
        </w:rPr>
        <w:footnoteRef/>
      </w:r>
      <w:r w:rsidRPr="00D2109F">
        <w:t xml:space="preserve"> </w:t>
      </w:r>
      <w:r w:rsidRPr="00D2109F">
        <w:tab/>
      </w:r>
      <w:r w:rsidRPr="00D2109F" w:rsidR="00B606EA">
        <w:t>The positions</w:t>
      </w:r>
      <w:r w:rsidR="0044674B">
        <w:t xml:space="preserve"> of the parties</w:t>
      </w:r>
      <w:r w:rsidRPr="00D2109F" w:rsidR="00B606EA">
        <w:t xml:space="preserve"> notwithstanding, it is not self-evident that the limitations language in </w:t>
      </w:r>
      <w:r w:rsidRPr="00D2109F" w:rsidR="00D71A06">
        <w:t>plaintiff’s</w:t>
      </w:r>
      <w:r w:rsidRPr="00D2109F" w:rsidR="00B606EA">
        <w:t xml:space="preserve"> insurance policy</w:t>
      </w:r>
      <w:r w:rsidRPr="00D2109F">
        <w:rPr>
          <w:szCs w:val="26"/>
        </w:rPr>
        <w:t xml:space="preserve"> </w:t>
      </w:r>
      <w:r w:rsidRPr="00D2109F" w:rsidR="00B606EA">
        <w:rPr>
          <w:i/>
          <w:iCs/>
        </w:rPr>
        <w:t>is</w:t>
      </w:r>
      <w:r w:rsidRPr="00D2109F" w:rsidR="00B606EA">
        <w:t xml:space="preserve"> equivalent, for all purposes, </w:t>
      </w:r>
      <w:r w:rsidRPr="00D2109F" w:rsidR="00D71A06">
        <w:t>to</w:t>
      </w:r>
      <w:r w:rsidRPr="00D2109F">
        <w:t xml:space="preserve"> </w:t>
      </w:r>
      <w:r w:rsidRPr="00D2109F" w:rsidR="00B606EA">
        <w:t xml:space="preserve">the timeliness provision appearing within </w:t>
      </w:r>
      <w:r w:rsidRPr="00D2109F">
        <w:t>section 2071</w:t>
      </w:r>
      <w:r w:rsidRPr="00D2109F" w:rsidR="00B606EA">
        <w:t xml:space="preserve">.  In accepting </w:t>
      </w:r>
      <w:r w:rsidR="0044674B">
        <w:t>the parties’</w:t>
      </w:r>
      <w:r w:rsidRPr="00D2109F" w:rsidR="00B606EA">
        <w:t xml:space="preserve"> characterization of the policy </w:t>
      </w:r>
      <w:r w:rsidR="0044674B">
        <w:t>text</w:t>
      </w:r>
      <w:r w:rsidRPr="00D2109F" w:rsidR="00B606EA">
        <w:t xml:space="preserve">, </w:t>
      </w:r>
      <w:r w:rsidR="0044674B">
        <w:t>we do not</w:t>
      </w:r>
      <w:r w:rsidRPr="00D2109F" w:rsidR="00F638DB">
        <w:t xml:space="preserve"> address </w:t>
      </w:r>
      <w:r w:rsidRPr="00D2109F" w:rsidR="00B606EA">
        <w:t xml:space="preserve">how this language might be </w:t>
      </w:r>
      <w:r w:rsidR="005F20EA">
        <w:t>interpreted</w:t>
      </w:r>
      <w:r w:rsidRPr="00D2109F" w:rsidR="00B606EA">
        <w:t xml:space="preserve"> </w:t>
      </w:r>
      <w:r w:rsidR="0044674B">
        <w:t>in cases presenting</w:t>
      </w:r>
      <w:r w:rsidRPr="00D2109F" w:rsidR="00B606EA">
        <w:t xml:space="preserve"> different </w:t>
      </w:r>
      <w:r w:rsidR="0044674B">
        <w:t>issues</w:t>
      </w:r>
      <w:r w:rsidRPr="00D2109F" w:rsidR="00B606EA">
        <w:t xml:space="preserve">.  </w:t>
      </w:r>
    </w:p>
  </w:footnote>
  <w:footnote w:id="6">
    <w:p w:rsidR="007E4CCC" w:rsidRPr="00D2109F" w:rsidP="00C07BE5">
      <w:pPr>
        <w:pStyle w:val="FootnoteText"/>
        <w:rPr>
          <w:szCs w:val="26"/>
        </w:rPr>
      </w:pPr>
      <w:r w:rsidRPr="00D2109F">
        <w:rPr>
          <w:rStyle w:val="FootnoteReference"/>
        </w:rPr>
        <w:footnoteRef/>
      </w:r>
      <w:r w:rsidRPr="00D2109F">
        <w:rPr>
          <w:szCs w:val="26"/>
        </w:rPr>
        <w:t xml:space="preserve"> </w:t>
      </w:r>
      <w:r w:rsidRPr="00D2109F">
        <w:rPr>
          <w:szCs w:val="26"/>
        </w:rPr>
        <w:tab/>
        <w:t xml:space="preserve">If the loss is related to a state of emergency, as defined in subdivision (b) of </w:t>
      </w:r>
      <w:r w:rsidRPr="00D2109F" w:rsidR="007168A4">
        <w:rPr>
          <w:szCs w:val="26"/>
        </w:rPr>
        <w:t>s</w:t>
      </w:r>
      <w:r w:rsidRPr="00D2109F">
        <w:rPr>
          <w:szCs w:val="26"/>
        </w:rPr>
        <w:t>ection 8558 of the Government Code, the standard form</w:t>
      </w:r>
      <w:r w:rsidR="00D0014D">
        <w:rPr>
          <w:szCs w:val="26"/>
        </w:rPr>
        <w:t xml:space="preserve"> policy</w:t>
      </w:r>
      <w:r w:rsidRPr="00D2109F">
        <w:rPr>
          <w:szCs w:val="26"/>
        </w:rPr>
        <w:t xml:space="preserve"> extends the time to bring suit to 24 months after inception of the loss.</w:t>
      </w:r>
      <w:r w:rsidRPr="00D2109F" w:rsidR="00E06C24">
        <w:rPr>
          <w:szCs w:val="26"/>
        </w:rPr>
        <w:t xml:space="preserve">  (§ 2071.</w:t>
      </w:r>
      <w:r w:rsidRPr="00D2109F" w:rsidR="00A27D97">
        <w:rPr>
          <w:szCs w:val="26"/>
        </w:rPr>
        <w:t>)</w:t>
      </w:r>
    </w:p>
  </w:footnote>
  <w:footnote w:id="7">
    <w:p w:rsidR="00171A09" w:rsidP="003925FB">
      <w:pPr>
        <w:pStyle w:val="FootnoteText"/>
      </w:pPr>
      <w:r>
        <w:rPr>
          <w:rStyle w:val="FootnoteReference"/>
        </w:rPr>
        <w:footnoteRef/>
      </w:r>
      <w:r>
        <w:t xml:space="preserve"> </w:t>
      </w:r>
      <w:r>
        <w:tab/>
        <w:t>This interpretation of section 2071 is bolstered by the statute’s running of the limitations period from the “inception of the loss.”  (§ 2071.)</w:t>
      </w:r>
      <w:r w:rsidR="0099366A">
        <w:t xml:space="preserve">  </w:t>
      </w:r>
      <w:r w:rsidRPr="0099366A" w:rsidR="0099366A">
        <w:t>“</w:t>
      </w:r>
      <w:r w:rsidR="0099366A">
        <w:t>T</w:t>
      </w:r>
      <w:r w:rsidRPr="0099366A" w:rsidR="0099366A">
        <w:t xml:space="preserve">he word ‘loss’ is one of common use in insurance parlance” that </w:t>
      </w:r>
      <w:r w:rsidR="0059406E">
        <w:t>has been defined as</w:t>
      </w:r>
      <w:r w:rsidRPr="0099366A" w:rsidR="0099366A">
        <w:t xml:space="preserve"> “</w:t>
      </w:r>
      <w:r w:rsidR="001F3A6A">
        <w:t> </w:t>
      </w:r>
      <w:r w:rsidRPr="0099366A" w:rsidR="0099366A">
        <w:t>‘injury, destruction, or damage in such a manner as to charge the insurer with a liability under the terms of the policy.’</w:t>
      </w:r>
      <w:r w:rsidR="001F3A6A">
        <w:t> </w:t>
      </w:r>
      <w:r w:rsidRPr="0099366A" w:rsidR="0099366A">
        <w:t>”  (</w:t>
      </w:r>
      <w:r w:rsidRPr="0099366A" w:rsidR="0099366A">
        <w:rPr>
          <w:i/>
          <w:iCs/>
        </w:rPr>
        <w:t xml:space="preserve">Jarrett v. Allstate Ins. Co. </w:t>
      </w:r>
      <w:r w:rsidRPr="0099366A" w:rsidR="0099366A">
        <w:t>(1962) 209</w:t>
      </w:r>
      <w:r w:rsidR="006A1D29">
        <w:t> </w:t>
      </w:r>
      <w:r w:rsidRPr="0099366A" w:rsidR="0099366A">
        <w:t>Cal.App.2d 804, 811</w:t>
      </w:r>
      <w:r w:rsidR="001F3A6A">
        <w:t>.)</w:t>
      </w:r>
      <w:r w:rsidR="0059406E">
        <w:t xml:space="preserve">  This use of “loss” </w:t>
      </w:r>
      <w:r w:rsidR="00CC5E80">
        <w:t xml:space="preserve">therefore could be </w:t>
      </w:r>
      <w:r w:rsidR="00FE35B6">
        <w:t>perceived</w:t>
      </w:r>
      <w:r w:rsidR="00CC5E80">
        <w:t xml:space="preserve"> as another indication </w:t>
      </w:r>
      <w:r w:rsidR="005F20EA">
        <w:t xml:space="preserve">that, in referring to </w:t>
      </w:r>
      <w:r w:rsidR="00EF1E00">
        <w:t xml:space="preserve">a </w:t>
      </w:r>
      <w:r w:rsidR="005F20EA">
        <w:t>“claim,” the statute is concerned</w:t>
      </w:r>
      <w:r w:rsidR="0059406E">
        <w:t xml:space="preserve"> with claims </w:t>
      </w:r>
      <w:r w:rsidR="00596D6A">
        <w:t>for</w:t>
      </w:r>
      <w:r w:rsidR="0059406E">
        <w:t xml:space="preserve"> benefits under a policy.</w:t>
      </w:r>
    </w:p>
  </w:footnote>
  <w:footnote w:id="8">
    <w:p w:rsidR="00973022" w:rsidP="00973022">
      <w:pPr>
        <w:pStyle w:val="FootnoteText"/>
      </w:pPr>
      <w:r>
        <w:rPr>
          <w:rStyle w:val="FootnoteReference"/>
        </w:rPr>
        <w:footnoteRef/>
      </w:r>
      <w:r>
        <w:t xml:space="preserve"> </w:t>
      </w:r>
      <w:r>
        <w:tab/>
        <w:t xml:space="preserve">Because plaintiff does not </w:t>
      </w:r>
      <w:r w:rsidR="008A30F7">
        <w:t>request</w:t>
      </w:r>
      <w:r>
        <w:t xml:space="preserve"> these forms of relief</w:t>
      </w:r>
      <w:r w:rsidR="001C006E">
        <w:t xml:space="preserve">, </w:t>
      </w:r>
      <w:r>
        <w:t>we express no opinion whether</w:t>
      </w:r>
      <w:r w:rsidR="006B4035">
        <w:t>,</w:t>
      </w:r>
      <w:r>
        <w:t xml:space="preserve"> </w:t>
      </w:r>
      <w:r w:rsidR="001C006E">
        <w:t>or under what circumstances</w:t>
      </w:r>
      <w:r w:rsidR="006B4035">
        <w:t>,</w:t>
      </w:r>
      <w:r w:rsidR="001C006E">
        <w:t xml:space="preserve"> </w:t>
      </w:r>
      <w:r>
        <w:t>a cause of action through which an insured sought</w:t>
      </w:r>
      <w:r w:rsidR="006B4035">
        <w:t xml:space="preserve"> a monetary</w:t>
      </w:r>
      <w:r w:rsidR="001C006E">
        <w:t xml:space="preserve"> </w:t>
      </w:r>
      <w:r w:rsidR="006B4035">
        <w:t>award</w:t>
      </w:r>
      <w:r w:rsidR="001C006E">
        <w:t xml:space="preserve"> styled as</w:t>
      </w:r>
      <w:r>
        <w:t xml:space="preserve"> restitution, an injunction that indirectly pursued a </w:t>
      </w:r>
      <w:r w:rsidR="006B4035">
        <w:t>monetary award</w:t>
      </w:r>
      <w:r>
        <w:t xml:space="preserve"> </w:t>
      </w:r>
      <w:r w:rsidR="00557DDB">
        <w:t xml:space="preserve">(by, </w:t>
      </w:r>
      <w:r>
        <w:t xml:space="preserve">for example, </w:t>
      </w:r>
      <w:r w:rsidR="0023265A">
        <w:t xml:space="preserve">requiring </w:t>
      </w:r>
      <w:r>
        <w:t>the insurer to revisit its previous denial of a claim</w:t>
      </w:r>
      <w:r w:rsidR="00557DDB">
        <w:t>)</w:t>
      </w:r>
      <w:r>
        <w:t xml:space="preserve">, </w:t>
      </w:r>
      <w:r w:rsidR="006500B9">
        <w:t xml:space="preserve">or </w:t>
      </w:r>
      <w:r w:rsidR="00C30B34">
        <w:t>declaratory relief</w:t>
      </w:r>
      <w:r w:rsidR="006500B9">
        <w:t xml:space="preserve"> </w:t>
      </w:r>
      <w:r w:rsidR="00C30B34">
        <w:t xml:space="preserve">different from </w:t>
      </w:r>
      <w:r w:rsidR="003925FB">
        <w:t xml:space="preserve">that </w:t>
      </w:r>
      <w:r w:rsidR="008A30F7">
        <w:t>pursued</w:t>
      </w:r>
      <w:r w:rsidR="003925FB">
        <w:t xml:space="preserve"> </w:t>
      </w:r>
      <w:r w:rsidR="008A30F7">
        <w:t>here</w:t>
      </w:r>
      <w:r w:rsidR="00C30B34">
        <w:t xml:space="preserve"> </w:t>
      </w:r>
      <w:r>
        <w:t>would involve a “</w:t>
      </w:r>
      <w:r w:rsidRPr="002E76A2">
        <w:t xml:space="preserve">suit or action on </w:t>
      </w:r>
      <w:r>
        <w:t>[</w:t>
      </w:r>
      <w:r w:rsidRPr="002E76A2">
        <w:t>th</w:t>
      </w:r>
      <w:r>
        <w:t>e]</w:t>
      </w:r>
      <w:r w:rsidRPr="002E76A2">
        <w:t xml:space="preserve"> policy for the recovery of </w:t>
      </w:r>
      <w:r w:rsidR="00EF1E00">
        <w:t>any</w:t>
      </w:r>
      <w:r w:rsidRPr="002E76A2">
        <w:t xml:space="preserve"> claim</w:t>
      </w:r>
      <w:r w:rsidR="003925FB">
        <w:t>.</w:t>
      </w:r>
      <w:r>
        <w:t>”</w:t>
      </w:r>
      <w:r w:rsidRPr="002E76A2">
        <w:t xml:space="preserve"> </w:t>
      </w:r>
      <w:r w:rsidR="003925FB">
        <w:t xml:space="preserve"> </w:t>
      </w:r>
      <w:r>
        <w:t>(§ 2071</w:t>
      </w:r>
      <w:r w:rsidR="003925FB">
        <w:t>.</w:t>
      </w:r>
      <w:r>
        <w:t xml:space="preserve">) </w:t>
      </w:r>
    </w:p>
  </w:footnote>
  <w:footnote w:id="9">
    <w:p w:rsidR="00C749EA" w:rsidRPr="002B2228" w:rsidP="00C749EA">
      <w:pPr>
        <w:spacing w:line="300" w:lineRule="exact"/>
      </w:pPr>
      <w:r>
        <w:rPr>
          <w:rStyle w:val="FootnoteReference"/>
        </w:rPr>
        <w:footnoteRef/>
      </w:r>
      <w:r w:rsidR="1CCACB4F">
        <w:t xml:space="preserve"> </w:t>
      </w:r>
      <w:r>
        <w:tab/>
      </w:r>
      <w:r w:rsidRPr="1CCACB4F" w:rsidR="1CCACB4F">
        <w:rPr>
          <w:bdr w:val="none" w:sz="0" w:space="0" w:color="auto" w:frame="1"/>
        </w:rPr>
        <w:t>State Farm also juxtaposes the timeliness language in section 2071 against language in another statute that created a revival window for “any insurance claim for damages arising out of the Northridge earthquake of 1994” that was time-barred due to the expiration of the statute of limitations.  (Code Civ. Proc., § 340.9, subd. (a).)  We do not agree with State Farm that the absence of the modifier “for damages” (</w:t>
      </w:r>
      <w:r w:rsidRPr="1CCACB4F" w:rsidR="1CCACB4F">
        <w:rPr>
          <w:i/>
          <w:iCs/>
          <w:bdr w:val="none" w:sz="0" w:space="0" w:color="auto" w:frame="1"/>
        </w:rPr>
        <w:t>ibid</w:t>
      </w:r>
      <w:r w:rsidRPr="1CCACB4F" w:rsidR="1CCACB4F">
        <w:rPr>
          <w:bdr w:val="none" w:sz="0" w:space="0" w:color="auto" w:frame="1"/>
        </w:rPr>
        <w:t xml:space="preserve">.) within section 2071 establishes that the statute’s one-year limitations period applies in circumstances such as those presented here.  Section 2071 uses limiting language different from that contained in Code of Civil Procedure section 340.9, subdivision (a), but as we have explained, its qualifying language matters here; this is not a “suit or action on this policy for the recovery of any claim.”  (§ 2071.)  </w:t>
      </w:r>
    </w:p>
  </w:footnote>
  <w:footnote w:id="10">
    <w:p w:rsidR="00B40357" w:rsidRPr="00D2109F" w:rsidP="00B40357">
      <w:pPr>
        <w:pStyle w:val="FootnoteText"/>
        <w:rPr>
          <w:szCs w:val="26"/>
          <w:bdr w:val="none" w:sz="0" w:space="0" w:color="auto" w:frame="1"/>
        </w:rPr>
      </w:pPr>
      <w:r w:rsidRPr="00D2109F">
        <w:rPr>
          <w:rStyle w:val="FootnoteReference"/>
        </w:rPr>
        <w:footnoteRef/>
      </w:r>
      <w:r w:rsidRPr="00D2109F">
        <w:rPr>
          <w:szCs w:val="26"/>
          <w:vertAlign w:val="superscript"/>
        </w:rPr>
        <w:t xml:space="preserve"> </w:t>
      </w:r>
      <w:r w:rsidRPr="00D2109F">
        <w:rPr>
          <w:szCs w:val="26"/>
        </w:rPr>
        <w:tab/>
      </w:r>
      <w:r>
        <w:rPr>
          <w:szCs w:val="26"/>
          <w:bdr w:val="none" w:sz="0" w:space="0" w:color="auto" w:frame="1"/>
        </w:rPr>
        <w:t>G</w:t>
      </w:r>
      <w:r w:rsidRPr="00D2109F">
        <w:rPr>
          <w:szCs w:val="26"/>
          <w:bdr w:val="none" w:sz="0" w:space="0" w:color="auto" w:frame="1"/>
        </w:rPr>
        <w:t>overnment agencies also may challenge insurers’ claims-handling procedures and seek injunctive relief under the UCL at any point within the statute’s four-year limitations period.  (See Bus. &amp; Prof. Code, §§ 17204, 17208.)  Cutting off the ability of private plaintiffs</w:t>
      </w:r>
      <w:r>
        <w:rPr>
          <w:szCs w:val="26"/>
          <w:bdr w:val="none" w:sz="0" w:space="0" w:color="auto" w:frame="1"/>
        </w:rPr>
        <w:t>, alone,</w:t>
      </w:r>
      <w:r w:rsidRPr="00D2109F">
        <w:rPr>
          <w:szCs w:val="26"/>
          <w:bdr w:val="none" w:sz="0" w:space="0" w:color="auto" w:frame="1"/>
        </w:rPr>
        <w:t xml:space="preserve"> to bring such actions one year after inception of a loss would therefore provide an incomplete solution to any perceived issue </w:t>
      </w:r>
      <w:r>
        <w:rPr>
          <w:szCs w:val="26"/>
          <w:bdr w:val="none" w:sz="0" w:space="0" w:color="auto" w:frame="1"/>
        </w:rPr>
        <w:t>regarding</w:t>
      </w:r>
      <w:r w:rsidRPr="00D2109F">
        <w:rPr>
          <w:szCs w:val="26"/>
          <w:bdr w:val="none" w:sz="0" w:space="0" w:color="auto" w:frame="1"/>
        </w:rPr>
        <w:t xml:space="preserve"> </w:t>
      </w:r>
      <w:r>
        <w:rPr>
          <w:szCs w:val="26"/>
          <w:bdr w:val="none" w:sz="0" w:space="0" w:color="auto" w:frame="1"/>
        </w:rPr>
        <w:t>a heightened risk of mistakes in claim presentation and adjudication owing to the passage of time</w:t>
      </w:r>
      <w:r w:rsidRPr="00D2109F">
        <w:rPr>
          <w:szCs w:val="26"/>
          <w:bdr w:val="none" w:sz="0" w:space="0" w:color="auto" w:frame="1"/>
        </w:rPr>
        <w:t xml:space="preserve">.  </w:t>
      </w:r>
    </w:p>
  </w:footnote>
  <w:footnote w:id="11">
    <w:p w:rsidR="007E4CCC" w:rsidRPr="00D2109F" w:rsidP="00C07BE5">
      <w:pPr>
        <w:pStyle w:val="FootnoteText"/>
        <w:rPr>
          <w:szCs w:val="26"/>
        </w:rPr>
      </w:pPr>
      <w:r w:rsidRPr="00D2109F">
        <w:rPr>
          <w:rStyle w:val="FootnoteReference"/>
        </w:rPr>
        <w:footnoteRef/>
      </w:r>
      <w:r w:rsidRPr="00D2109F">
        <w:rPr>
          <w:szCs w:val="26"/>
        </w:rPr>
        <w:t xml:space="preserve">  </w:t>
      </w:r>
      <w:r w:rsidRPr="00D2109F">
        <w:rPr>
          <w:szCs w:val="26"/>
        </w:rPr>
        <w:tab/>
        <w:t xml:space="preserve">Periods for filing suit </w:t>
      </w:r>
      <w:r w:rsidRPr="00D2109F">
        <w:rPr>
          <w:i/>
          <w:iCs/>
          <w:szCs w:val="26"/>
        </w:rPr>
        <w:t>longer</w:t>
      </w:r>
      <w:r w:rsidRPr="00D2109F">
        <w:rPr>
          <w:szCs w:val="26"/>
        </w:rPr>
        <w:t xml:space="preserve"> than the 12 months specified in the standard form policy have been regarded as permissible pursuant to section 2070, which provides</w:t>
      </w:r>
      <w:r w:rsidRPr="00D2109F" w:rsidR="00F638DB">
        <w:rPr>
          <w:szCs w:val="26"/>
        </w:rPr>
        <w:t xml:space="preserve"> in relevant part</w:t>
      </w:r>
      <w:r w:rsidRPr="00D2109F">
        <w:rPr>
          <w:szCs w:val="26"/>
        </w:rPr>
        <w:t xml:space="preserve">, “No part of the standard form </w:t>
      </w:r>
      <w:r w:rsidRPr="00D2109F" w:rsidR="005D7D6E">
        <w:rPr>
          <w:szCs w:val="26"/>
        </w:rPr>
        <w:t xml:space="preserve">[set out in section 2071] </w:t>
      </w:r>
      <w:r w:rsidRPr="00D2109F">
        <w:rPr>
          <w:szCs w:val="26"/>
        </w:rPr>
        <w:t xml:space="preserve">shall be omitted therefrom except that any policy providing coverage against the peril of fire only, or in combination with coverage against other perils, need not comply with the provisions of the standard form of fire insurance policy or Section 2080; provided, that coverage with respect to the peril of fire, when viewed in its entirety, is substantially equivalent to or more favorable to the insured than that contained in such standard form fire insurance policy.”  (See, e.g., </w:t>
      </w:r>
      <w:r w:rsidRPr="00D2109F">
        <w:rPr>
          <w:i/>
          <w:iCs/>
          <w:szCs w:val="26"/>
        </w:rPr>
        <w:t xml:space="preserve">Doheny Park Terrace Homeowners Assn., Inc. v. Truck Ins. Exchange </w:t>
      </w:r>
      <w:r w:rsidRPr="00D2109F">
        <w:rPr>
          <w:szCs w:val="26"/>
        </w:rPr>
        <w:t>(200</w:t>
      </w:r>
      <w:r w:rsidRPr="00D2109F" w:rsidR="005D7D6E">
        <w:rPr>
          <w:szCs w:val="26"/>
        </w:rPr>
        <w:t>5</w:t>
      </w:r>
      <w:r w:rsidRPr="00D2109F">
        <w:rPr>
          <w:szCs w:val="26"/>
        </w:rPr>
        <w:t>) 132</w:t>
      </w:r>
      <w:r w:rsidR="00902ADA">
        <w:rPr>
          <w:szCs w:val="26"/>
        </w:rPr>
        <w:t> </w:t>
      </w:r>
      <w:r w:rsidRPr="00D2109F">
        <w:rPr>
          <w:szCs w:val="26"/>
        </w:rPr>
        <w:t>Cal.App.4th 1076, 1085</w:t>
      </w:r>
      <w:r w:rsidRPr="00D2109F" w:rsidR="0091205B">
        <w:rPr>
          <w:szCs w:val="26"/>
        </w:rPr>
        <w:t>,</w:t>
      </w:r>
      <w:r w:rsidRPr="00D2109F">
        <w:rPr>
          <w:szCs w:val="26"/>
        </w:rPr>
        <w:t xml:space="preserve"> fn. 9.)</w:t>
      </w:r>
      <w:r w:rsidR="00501888">
        <w:rPr>
          <w:szCs w:val="26"/>
        </w:rPr>
        <w:t xml:space="preserve">  </w:t>
      </w:r>
    </w:p>
  </w:footnote>
  <w:footnote w:id="12">
    <w:p w:rsidR="004E51C9" w:rsidRPr="00D2109F" w:rsidP="00C07BE5">
      <w:pPr>
        <w:pStyle w:val="FootnoteText"/>
      </w:pPr>
      <w:r w:rsidRPr="00D2109F">
        <w:rPr>
          <w:rStyle w:val="FootnoteReference"/>
        </w:rPr>
        <w:footnoteRef/>
      </w:r>
      <w:r w:rsidRPr="00D2109F">
        <w:t xml:space="preserve"> </w:t>
      </w:r>
      <w:r w:rsidRPr="00D2109F">
        <w:tab/>
        <w:t xml:space="preserve">Somewhat similarly to the </w:t>
      </w:r>
      <w:r w:rsidR="00975072">
        <w:t>distinction drawn</w:t>
      </w:r>
      <w:r w:rsidRPr="00D2109F">
        <w:t xml:space="preserve"> in </w:t>
      </w:r>
      <w:r w:rsidRPr="00D2109F">
        <w:rPr>
          <w:i/>
          <w:iCs/>
        </w:rPr>
        <w:t>Murphy</w:t>
      </w:r>
      <w:r w:rsidRPr="00D2109F">
        <w:t xml:space="preserve">, </w:t>
      </w:r>
      <w:r w:rsidRPr="00D2109F" w:rsidR="00975072">
        <w:t xml:space="preserve">the court in </w:t>
      </w:r>
      <w:r w:rsidRPr="00D2109F" w:rsidR="00975072">
        <w:rPr>
          <w:i/>
          <w:iCs/>
          <w:szCs w:val="26"/>
        </w:rPr>
        <w:t>20th Century Ins. Co. v. Superior Court</w:t>
      </w:r>
      <w:r w:rsidRPr="00D2109F" w:rsidR="00975072">
        <w:rPr>
          <w:szCs w:val="26"/>
        </w:rPr>
        <w:t xml:space="preserve"> (2001) 90</w:t>
      </w:r>
      <w:r w:rsidR="00975072">
        <w:rPr>
          <w:szCs w:val="26"/>
        </w:rPr>
        <w:t> </w:t>
      </w:r>
      <w:r w:rsidRPr="00D2109F" w:rsidR="00975072">
        <w:rPr>
          <w:szCs w:val="26"/>
        </w:rPr>
        <w:t xml:space="preserve">Cal.App.4th 1247 </w:t>
      </w:r>
      <w:r w:rsidR="00975072">
        <w:rPr>
          <w:szCs w:val="26"/>
        </w:rPr>
        <w:t>regarded</w:t>
      </w:r>
      <w:r w:rsidRPr="00D2109F">
        <w:rPr>
          <w:szCs w:val="26"/>
        </w:rPr>
        <w:t xml:space="preserve"> the claim-revival </w:t>
      </w:r>
      <w:r w:rsidR="00E45B5C">
        <w:rPr>
          <w:szCs w:val="26"/>
        </w:rPr>
        <w:t>statute</w:t>
      </w:r>
      <w:r w:rsidRPr="00D2109F">
        <w:rPr>
          <w:szCs w:val="26"/>
        </w:rPr>
        <w:t xml:space="preserve"> </w:t>
      </w:r>
      <w:r w:rsidR="00E45B5C">
        <w:rPr>
          <w:szCs w:val="26"/>
        </w:rPr>
        <w:t>codified at</w:t>
      </w:r>
      <w:r w:rsidRPr="00D2109F">
        <w:rPr>
          <w:szCs w:val="26"/>
        </w:rPr>
        <w:t xml:space="preserve"> Code of Civil Procedure section 340.9</w:t>
      </w:r>
      <w:r w:rsidR="00E45B5C">
        <w:rPr>
          <w:szCs w:val="26"/>
        </w:rPr>
        <w:t xml:space="preserve"> </w:t>
      </w:r>
      <w:r w:rsidRPr="00D2109F">
        <w:rPr>
          <w:szCs w:val="26"/>
        </w:rPr>
        <w:t xml:space="preserve">as </w:t>
      </w:r>
      <w:r w:rsidR="00975072">
        <w:rPr>
          <w:szCs w:val="26"/>
        </w:rPr>
        <w:t>intended to “</w:t>
      </w:r>
      <w:r w:rsidRPr="00975072" w:rsidR="00975072">
        <w:rPr>
          <w:szCs w:val="26"/>
        </w:rPr>
        <w:t xml:space="preserve">revive claims barred by </w:t>
      </w:r>
      <w:r w:rsidR="00975072">
        <w:rPr>
          <w:szCs w:val="26"/>
        </w:rPr>
        <w:t>. . .</w:t>
      </w:r>
      <w:r w:rsidR="000D59ED">
        <w:rPr>
          <w:szCs w:val="26"/>
        </w:rPr>
        <w:t xml:space="preserve"> </w:t>
      </w:r>
      <w:r w:rsidRPr="00975072" w:rsidR="00975072">
        <w:rPr>
          <w:szCs w:val="26"/>
        </w:rPr>
        <w:t>insurance policies</w:t>
      </w:r>
      <w:r w:rsidR="00975072">
        <w:rPr>
          <w:szCs w:val="26"/>
        </w:rPr>
        <w:t>’</w:t>
      </w:r>
      <w:r w:rsidRPr="00975072" w:rsidR="00975072">
        <w:rPr>
          <w:szCs w:val="26"/>
        </w:rPr>
        <w:t xml:space="preserve"> one-year limitations provision, the minimum limitations period set by Insurance Code section 2071</w:t>
      </w:r>
      <w:r w:rsidR="00975072">
        <w:rPr>
          <w:szCs w:val="26"/>
        </w:rPr>
        <w:t>”</w:t>
      </w:r>
      <w:r w:rsidRPr="00D2109F">
        <w:rPr>
          <w:szCs w:val="26"/>
        </w:rPr>
        <w:t xml:space="preserve"> </w:t>
      </w:r>
      <w:r w:rsidR="00975072">
        <w:rPr>
          <w:szCs w:val="26"/>
        </w:rPr>
        <w:t>(</w:t>
      </w:r>
      <w:r w:rsidRPr="00D2109F" w:rsidR="00975072">
        <w:rPr>
          <w:i/>
          <w:iCs/>
          <w:szCs w:val="26"/>
        </w:rPr>
        <w:t>20th Century Ins. Co.</w:t>
      </w:r>
      <w:r w:rsidR="00975072">
        <w:rPr>
          <w:szCs w:val="26"/>
        </w:rPr>
        <w:t>, at p.</w:t>
      </w:r>
      <w:r w:rsidR="00EF2DD9">
        <w:rPr>
          <w:szCs w:val="26"/>
        </w:rPr>
        <w:t> </w:t>
      </w:r>
      <w:r w:rsidR="00975072">
        <w:rPr>
          <w:szCs w:val="26"/>
        </w:rPr>
        <w:t>1280)</w:t>
      </w:r>
      <w:r w:rsidR="008B4498">
        <w:rPr>
          <w:szCs w:val="26"/>
        </w:rPr>
        <w:t>,</w:t>
      </w:r>
      <w:r w:rsidR="00975072">
        <w:rPr>
          <w:szCs w:val="26"/>
        </w:rPr>
        <w:t xml:space="preserve"> and determined that</w:t>
      </w:r>
      <w:r w:rsidRPr="00D2109F" w:rsidR="00975072">
        <w:rPr>
          <w:szCs w:val="26"/>
        </w:rPr>
        <w:t xml:space="preserve"> </w:t>
      </w:r>
      <w:r w:rsidR="00975072">
        <w:rPr>
          <w:szCs w:val="26"/>
        </w:rPr>
        <w:t>th</w:t>
      </w:r>
      <w:r w:rsidR="000D59ED">
        <w:rPr>
          <w:szCs w:val="26"/>
        </w:rPr>
        <w:t>is</w:t>
      </w:r>
      <w:r w:rsidR="00975072">
        <w:rPr>
          <w:szCs w:val="26"/>
        </w:rPr>
        <w:t xml:space="preserve"> revival provision applied</w:t>
      </w:r>
      <w:r w:rsidRPr="00D2109F">
        <w:rPr>
          <w:szCs w:val="26"/>
        </w:rPr>
        <w:t xml:space="preserve"> to </w:t>
      </w:r>
      <w:r w:rsidR="00975072">
        <w:rPr>
          <w:szCs w:val="26"/>
        </w:rPr>
        <w:t>a</w:t>
      </w:r>
      <w:r w:rsidRPr="00D2109F">
        <w:rPr>
          <w:szCs w:val="26"/>
        </w:rPr>
        <w:t xml:space="preserve"> plaintiff’s bad</w:t>
      </w:r>
      <w:r w:rsidRPr="00D2109F" w:rsidR="00725536">
        <w:rPr>
          <w:szCs w:val="26"/>
        </w:rPr>
        <w:t xml:space="preserve"> </w:t>
      </w:r>
      <w:r w:rsidRPr="00D2109F">
        <w:rPr>
          <w:szCs w:val="26"/>
        </w:rPr>
        <w:t>faith cause of action against the insurer, but not to the plaintiff’s cause of action for fraud,</w:t>
      </w:r>
      <w:r w:rsidRPr="00D2109F" w:rsidR="00725536">
        <w:rPr>
          <w:szCs w:val="26"/>
        </w:rPr>
        <w:t xml:space="preserve"> </w:t>
      </w:r>
      <w:r w:rsidRPr="00D2109F">
        <w:rPr>
          <w:szCs w:val="26"/>
        </w:rPr>
        <w:t xml:space="preserve">which was </w:t>
      </w:r>
      <w:r w:rsidR="00975072">
        <w:rPr>
          <w:szCs w:val="26"/>
        </w:rPr>
        <w:t>seen as alleging</w:t>
      </w:r>
      <w:r w:rsidRPr="00D2109F">
        <w:rPr>
          <w:szCs w:val="26"/>
        </w:rPr>
        <w:t xml:space="preserve"> an “entirely separate act of misconduct”</w:t>
      </w:r>
      <w:r w:rsidR="00975072">
        <w:rPr>
          <w:szCs w:val="26"/>
        </w:rPr>
        <w:t xml:space="preserve"> </w:t>
      </w:r>
      <w:r w:rsidRPr="00D2109F">
        <w:rPr>
          <w:szCs w:val="26"/>
        </w:rPr>
        <w:t>(</w:t>
      </w:r>
      <w:r w:rsidR="006E25BF">
        <w:rPr>
          <w:i/>
          <w:iCs/>
          <w:szCs w:val="26"/>
        </w:rPr>
        <w:t>i</w:t>
      </w:r>
      <w:r w:rsidR="001D4A33">
        <w:rPr>
          <w:i/>
          <w:iCs/>
          <w:szCs w:val="26"/>
        </w:rPr>
        <w:t>d</w:t>
      </w:r>
      <w:r w:rsidRPr="00BC5FE4" w:rsidR="001D4A33">
        <w:rPr>
          <w:szCs w:val="26"/>
        </w:rPr>
        <w:t>.</w:t>
      </w:r>
      <w:r w:rsidRPr="000C5A90" w:rsidR="001D4A33">
        <w:rPr>
          <w:szCs w:val="26"/>
        </w:rPr>
        <w:t xml:space="preserve"> </w:t>
      </w:r>
      <w:r w:rsidRPr="00D2109F">
        <w:rPr>
          <w:szCs w:val="26"/>
        </w:rPr>
        <w:t>at pp.</w:t>
      </w:r>
      <w:r w:rsidR="00EF2DD9">
        <w:rPr>
          <w:szCs w:val="26"/>
        </w:rPr>
        <w:t> </w:t>
      </w:r>
      <w:r w:rsidRPr="00D2109F">
        <w:rPr>
          <w:szCs w:val="26"/>
        </w:rPr>
        <w:t>1279</w:t>
      </w:r>
      <w:r w:rsidRPr="00D2109F" w:rsidR="0055163F">
        <w:rPr>
          <w:szCs w:val="26"/>
        </w:rPr>
        <w:t>‒</w:t>
      </w:r>
      <w:r w:rsidRPr="00D2109F">
        <w:rPr>
          <w:szCs w:val="26"/>
        </w:rPr>
        <w:t>128</w:t>
      </w:r>
      <w:r w:rsidR="006E25BF">
        <w:rPr>
          <w:szCs w:val="26"/>
        </w:rPr>
        <w:t>1</w:t>
      </w:r>
      <w:r w:rsidRPr="00D2109F">
        <w:rPr>
          <w:szCs w:val="26"/>
        </w:rPr>
        <w:t>)</w:t>
      </w:r>
      <w:r w:rsidR="006E25BF">
        <w:rPr>
          <w:szCs w:val="26"/>
        </w:rPr>
        <w:t>.</w:t>
      </w:r>
      <w:r w:rsidRPr="00D2109F">
        <w:rPr>
          <w:szCs w:val="26"/>
        </w:rPr>
        <w:t xml:space="preserve"> </w:t>
      </w:r>
    </w:p>
  </w:footnote>
  <w:footnote w:id="13">
    <w:p w:rsidR="0077248D" w:rsidRPr="00D2109F" w:rsidP="0077248D">
      <w:pPr>
        <w:spacing w:line="300" w:lineRule="exact"/>
        <w:rPr>
          <w:szCs w:val="26"/>
          <w:bdr w:val="none" w:sz="0" w:space="0" w:color="auto" w:frame="1"/>
        </w:rPr>
      </w:pPr>
      <w:r w:rsidRPr="00D2109F">
        <w:rPr>
          <w:rStyle w:val="FootnoteReference"/>
        </w:rPr>
        <w:footnoteRef/>
      </w:r>
      <w:r w:rsidRPr="00D2109F">
        <w:rPr>
          <w:b/>
          <w:bCs/>
          <w:szCs w:val="26"/>
        </w:rPr>
        <w:t xml:space="preserve"> </w:t>
      </w:r>
      <w:r w:rsidRPr="00D2109F">
        <w:rPr>
          <w:szCs w:val="26"/>
        </w:rPr>
        <w:tab/>
      </w:r>
      <w:r w:rsidRPr="00D2109F">
        <w:rPr>
          <w:szCs w:val="26"/>
          <w:bdr w:val="none" w:sz="0" w:space="0" w:color="auto" w:frame="1"/>
        </w:rPr>
        <w:t>Two federal district court decisions cited by State Farm did</w:t>
      </w:r>
      <w:r>
        <w:rPr>
          <w:szCs w:val="26"/>
          <w:bdr w:val="none" w:sz="0" w:space="0" w:color="auto" w:frame="1"/>
        </w:rPr>
        <w:t xml:space="preserve"> </w:t>
      </w:r>
      <w:r w:rsidRPr="00D2109F">
        <w:rPr>
          <w:szCs w:val="26"/>
          <w:bdr w:val="none" w:sz="0" w:space="0" w:color="auto" w:frame="1"/>
        </w:rPr>
        <w:t>apply one-year limitations periods</w:t>
      </w:r>
      <w:r>
        <w:rPr>
          <w:szCs w:val="26"/>
          <w:bdr w:val="none" w:sz="0" w:space="0" w:color="auto" w:frame="1"/>
        </w:rPr>
        <w:t xml:space="preserve"> appearing</w:t>
      </w:r>
      <w:r w:rsidRPr="00D2109F">
        <w:rPr>
          <w:szCs w:val="26"/>
          <w:bdr w:val="none" w:sz="0" w:space="0" w:color="auto" w:frame="1"/>
        </w:rPr>
        <w:t xml:space="preserve"> in</w:t>
      </w:r>
      <w:r>
        <w:rPr>
          <w:szCs w:val="26"/>
          <w:bdr w:val="none" w:sz="0" w:space="0" w:color="auto" w:frame="1"/>
        </w:rPr>
        <w:t xml:space="preserve"> insurance</w:t>
      </w:r>
      <w:r w:rsidRPr="00D2109F">
        <w:rPr>
          <w:szCs w:val="26"/>
          <w:bdr w:val="none" w:sz="0" w:space="0" w:color="auto" w:frame="1"/>
        </w:rPr>
        <w:t xml:space="preserve"> policies to UCL claims seeking injunctive relief.  (</w:t>
      </w:r>
      <w:r w:rsidRPr="00D2109F">
        <w:rPr>
          <w:i/>
          <w:iCs/>
          <w:szCs w:val="26"/>
          <w:bdr w:val="none" w:sz="0" w:space="0" w:color="auto" w:frame="1"/>
        </w:rPr>
        <w:t>Keller v. Federal Ins. Co.</w:t>
      </w:r>
      <w:r w:rsidRPr="00D2109F">
        <w:rPr>
          <w:szCs w:val="26"/>
          <w:bdr w:val="none" w:sz="0" w:space="0" w:color="auto" w:frame="1"/>
        </w:rPr>
        <w:t xml:space="preserve"> (C.D.Cal. Feb. 13, 2017, No.</w:t>
      </w:r>
      <w:r>
        <w:rPr>
          <w:szCs w:val="26"/>
          <w:bdr w:val="none" w:sz="0" w:space="0" w:color="auto" w:frame="1"/>
        </w:rPr>
        <w:t> </w:t>
      </w:r>
      <w:r w:rsidRPr="00D2109F">
        <w:rPr>
          <w:szCs w:val="26"/>
          <w:bdr w:val="none" w:sz="0" w:space="0" w:color="auto" w:frame="1"/>
        </w:rPr>
        <w:t>CV 16-3946-GW(PJWx)) 2017</w:t>
      </w:r>
      <w:r>
        <w:rPr>
          <w:szCs w:val="26"/>
          <w:bdr w:val="none" w:sz="0" w:space="0" w:color="auto" w:frame="1"/>
        </w:rPr>
        <w:t> </w:t>
      </w:r>
      <w:r w:rsidRPr="00D2109F">
        <w:rPr>
          <w:szCs w:val="26"/>
          <w:bdr w:val="none" w:sz="0" w:space="0" w:color="auto" w:frame="1"/>
        </w:rPr>
        <w:t>WL 603181</w:t>
      </w:r>
      <w:r w:rsidR="001E21EF">
        <w:rPr>
          <w:szCs w:val="26"/>
          <w:bdr w:val="none" w:sz="0" w:space="0" w:color="auto" w:frame="1"/>
        </w:rPr>
        <w:t>, p.</w:t>
      </w:r>
      <w:r w:rsidRPr="00D2109F">
        <w:rPr>
          <w:szCs w:val="26"/>
          <w:bdr w:val="none" w:sz="0" w:space="0" w:color="auto" w:frame="1"/>
        </w:rPr>
        <w:t xml:space="preserve"> *15; </w:t>
      </w:r>
      <w:r w:rsidRPr="00D2109F">
        <w:rPr>
          <w:i/>
          <w:iCs/>
          <w:szCs w:val="26"/>
          <w:bdr w:val="none" w:sz="0" w:space="0" w:color="auto" w:frame="1"/>
        </w:rPr>
        <w:t>Enger v. Allstate Ins. Co.</w:t>
      </w:r>
      <w:r w:rsidRPr="00D2109F">
        <w:rPr>
          <w:szCs w:val="26"/>
          <w:bdr w:val="none" w:sz="0" w:space="0" w:color="auto" w:frame="1"/>
        </w:rPr>
        <w:t xml:space="preserve"> (N.D.Cal. Apr. 5, 2016, No.</w:t>
      </w:r>
      <w:r>
        <w:rPr>
          <w:szCs w:val="26"/>
          <w:bdr w:val="none" w:sz="0" w:space="0" w:color="auto" w:frame="1"/>
        </w:rPr>
        <w:t> </w:t>
      </w:r>
      <w:r w:rsidRPr="00D2109F">
        <w:rPr>
          <w:szCs w:val="26"/>
          <w:bdr w:val="none" w:sz="0" w:space="0" w:color="auto" w:frame="1"/>
        </w:rPr>
        <w:t>16-cv-000136-JSW) 2016</w:t>
      </w:r>
      <w:r>
        <w:rPr>
          <w:szCs w:val="26"/>
          <w:bdr w:val="none" w:sz="0" w:space="0" w:color="auto" w:frame="1"/>
        </w:rPr>
        <w:t> </w:t>
      </w:r>
      <w:r w:rsidRPr="00D2109F">
        <w:rPr>
          <w:szCs w:val="26"/>
          <w:bdr w:val="none" w:sz="0" w:space="0" w:color="auto" w:frame="1"/>
        </w:rPr>
        <w:t>WL 10829363</w:t>
      </w:r>
      <w:r w:rsidR="001E21EF">
        <w:rPr>
          <w:szCs w:val="26"/>
          <w:bdr w:val="none" w:sz="0" w:space="0" w:color="auto" w:frame="1"/>
        </w:rPr>
        <w:t>, p.</w:t>
      </w:r>
      <w:r w:rsidRPr="00D2109F">
        <w:rPr>
          <w:szCs w:val="26"/>
          <w:bdr w:val="none" w:sz="0" w:space="0" w:color="auto" w:frame="1"/>
        </w:rPr>
        <w:t xml:space="preserve"> *6.)  </w:t>
      </w:r>
      <w:r>
        <w:rPr>
          <w:szCs w:val="26"/>
          <w:bdr w:val="none" w:sz="0" w:space="0" w:color="auto" w:frame="1"/>
        </w:rPr>
        <w:t>To the extent these decisions may conflict with our analysis,</w:t>
      </w:r>
      <w:r w:rsidRPr="00D2109F">
        <w:rPr>
          <w:szCs w:val="26"/>
          <w:bdr w:val="none" w:sz="0" w:space="0" w:color="auto" w:frame="1"/>
        </w:rPr>
        <w:t xml:space="preserve"> </w:t>
      </w:r>
      <w:r>
        <w:rPr>
          <w:szCs w:val="26"/>
          <w:bdr w:val="none" w:sz="0" w:space="0" w:color="auto" w:frame="1"/>
        </w:rPr>
        <w:t>we</w:t>
      </w:r>
      <w:r w:rsidRPr="00D2109F">
        <w:rPr>
          <w:szCs w:val="26"/>
          <w:bdr w:val="none" w:sz="0" w:space="0" w:color="auto" w:frame="1"/>
        </w:rPr>
        <w:t xml:space="preserve"> decline to </w:t>
      </w:r>
      <w:r>
        <w:rPr>
          <w:szCs w:val="26"/>
          <w:bdr w:val="none" w:sz="0" w:space="0" w:color="auto" w:frame="1"/>
        </w:rPr>
        <w:t>adopt</w:t>
      </w:r>
      <w:r w:rsidRPr="00D2109F">
        <w:rPr>
          <w:szCs w:val="26"/>
          <w:bdr w:val="none" w:sz="0" w:space="0" w:color="auto" w:frame="1"/>
        </w:rPr>
        <w:t xml:space="preserve"> their approach.  </w:t>
      </w:r>
    </w:p>
  </w:footnote>
  <w:footnote w:id="14">
    <w:p w:rsidR="00501888" w:rsidP="003136F6">
      <w:pPr>
        <w:pStyle w:val="FootnoteText"/>
        <w:rPr>
          <w:szCs w:val="26"/>
        </w:rPr>
      </w:pPr>
      <w:r w:rsidRPr="00D2109F">
        <w:rPr>
          <w:rStyle w:val="FootnoteReference"/>
        </w:rPr>
        <w:footnoteRef/>
      </w:r>
      <w:r w:rsidRPr="00D2109F">
        <w:rPr>
          <w:b/>
          <w:bCs/>
          <w:szCs w:val="26"/>
        </w:rPr>
        <w:t xml:space="preserve"> </w:t>
      </w:r>
      <w:r w:rsidRPr="00D2109F">
        <w:rPr>
          <w:szCs w:val="26"/>
        </w:rPr>
        <w:tab/>
      </w:r>
      <w:r w:rsidR="00932E39">
        <w:rPr>
          <w:szCs w:val="26"/>
        </w:rPr>
        <w:t>B</w:t>
      </w:r>
      <w:r>
        <w:rPr>
          <w:szCs w:val="26"/>
        </w:rPr>
        <w:t xml:space="preserve">ecause this case </w:t>
      </w:r>
      <w:r w:rsidR="008F38E7">
        <w:rPr>
          <w:szCs w:val="26"/>
        </w:rPr>
        <w:t xml:space="preserve">can be </w:t>
      </w:r>
      <w:r>
        <w:rPr>
          <w:szCs w:val="26"/>
        </w:rPr>
        <w:t xml:space="preserve">resolved on the ground that </w:t>
      </w:r>
      <w:r w:rsidR="00253819">
        <w:rPr>
          <w:szCs w:val="26"/>
        </w:rPr>
        <w:t>it does not involve</w:t>
      </w:r>
      <w:r>
        <w:rPr>
          <w:szCs w:val="26"/>
        </w:rPr>
        <w:t xml:space="preserve"> </w:t>
      </w:r>
      <w:r w:rsidR="009E437A">
        <w:rPr>
          <w:szCs w:val="26"/>
        </w:rPr>
        <w:t xml:space="preserve">a </w:t>
      </w:r>
      <w:r>
        <w:rPr>
          <w:szCs w:val="26"/>
        </w:rPr>
        <w:t>“</w:t>
      </w:r>
      <w:r w:rsidRPr="002E76A2" w:rsidR="009E437A">
        <w:rPr>
          <w:szCs w:val="26"/>
        </w:rPr>
        <w:t xml:space="preserve">suit or action on </w:t>
      </w:r>
      <w:r w:rsidR="009E437A">
        <w:rPr>
          <w:szCs w:val="26"/>
        </w:rPr>
        <w:t>[the]</w:t>
      </w:r>
      <w:r w:rsidRPr="002E76A2" w:rsidR="009E437A">
        <w:rPr>
          <w:szCs w:val="26"/>
        </w:rPr>
        <w:t xml:space="preserve"> policy for the recovery of </w:t>
      </w:r>
      <w:r w:rsidR="009E437A">
        <w:rPr>
          <w:szCs w:val="26"/>
        </w:rPr>
        <w:t>[a]</w:t>
      </w:r>
      <w:r w:rsidRPr="002E76A2" w:rsidR="009E437A">
        <w:rPr>
          <w:szCs w:val="26"/>
        </w:rPr>
        <w:t xml:space="preserve"> claim</w:t>
      </w:r>
      <w:r>
        <w:rPr>
          <w:szCs w:val="26"/>
        </w:rPr>
        <w:t>” (§ 2071) and the one-year limitations period in the parties’ insurance agreement</w:t>
      </w:r>
      <w:r w:rsidR="0077722A">
        <w:rPr>
          <w:szCs w:val="26"/>
        </w:rPr>
        <w:t xml:space="preserve"> </w:t>
      </w:r>
      <w:r>
        <w:rPr>
          <w:szCs w:val="26"/>
        </w:rPr>
        <w:t xml:space="preserve">does not extend to </w:t>
      </w:r>
      <w:r w:rsidR="00253819">
        <w:rPr>
          <w:szCs w:val="26"/>
        </w:rPr>
        <w:t>plaintiff’s</w:t>
      </w:r>
      <w:r>
        <w:rPr>
          <w:szCs w:val="26"/>
        </w:rPr>
        <w:t xml:space="preserve"> </w:t>
      </w:r>
      <w:r w:rsidR="00915C29">
        <w:rPr>
          <w:szCs w:val="26"/>
        </w:rPr>
        <w:t>UCL cause of action</w:t>
      </w:r>
      <w:r>
        <w:rPr>
          <w:szCs w:val="26"/>
        </w:rPr>
        <w:t xml:space="preserve">, we </w:t>
      </w:r>
      <w:r w:rsidR="00ED17D6">
        <w:rPr>
          <w:szCs w:val="26"/>
        </w:rPr>
        <w:t>do not address</w:t>
      </w:r>
      <w:r>
        <w:rPr>
          <w:szCs w:val="26"/>
        </w:rPr>
        <w:t xml:space="preserve"> the </w:t>
      </w:r>
      <w:r w:rsidR="008113A3">
        <w:rPr>
          <w:szCs w:val="26"/>
        </w:rPr>
        <w:t>broader</w:t>
      </w:r>
      <w:r>
        <w:rPr>
          <w:szCs w:val="26"/>
        </w:rPr>
        <w:t xml:space="preserve"> argument that the four-year period</w:t>
      </w:r>
      <w:r w:rsidR="00273EE6">
        <w:rPr>
          <w:szCs w:val="26"/>
        </w:rPr>
        <w:t xml:space="preserve"> for bringing UCL claims</w:t>
      </w:r>
      <w:r>
        <w:rPr>
          <w:szCs w:val="26"/>
        </w:rPr>
        <w:t xml:space="preserve"> </w:t>
      </w:r>
      <w:r w:rsidR="0077248D">
        <w:rPr>
          <w:szCs w:val="26"/>
        </w:rPr>
        <w:t>specified</w:t>
      </w:r>
      <w:r>
        <w:rPr>
          <w:szCs w:val="26"/>
        </w:rPr>
        <w:t xml:space="preserve"> by Business and Professions Code section 17208, as construed by this court in </w:t>
      </w:r>
      <w:r w:rsidRPr="00D27832">
        <w:rPr>
          <w:i/>
          <w:iCs/>
          <w:szCs w:val="26"/>
        </w:rPr>
        <w:t>Cortez</w:t>
      </w:r>
      <w:r>
        <w:rPr>
          <w:szCs w:val="26"/>
        </w:rPr>
        <w:t xml:space="preserve">, </w:t>
      </w:r>
      <w:r w:rsidRPr="00D27832">
        <w:rPr>
          <w:i/>
          <w:iCs/>
          <w:szCs w:val="26"/>
        </w:rPr>
        <w:t>supra</w:t>
      </w:r>
      <w:r>
        <w:rPr>
          <w:szCs w:val="26"/>
        </w:rPr>
        <w:t xml:space="preserve">, </w:t>
      </w:r>
      <w:r w:rsidRPr="00D27832">
        <w:rPr>
          <w:szCs w:val="26"/>
        </w:rPr>
        <w:t>23</w:t>
      </w:r>
      <w:r>
        <w:rPr>
          <w:szCs w:val="26"/>
        </w:rPr>
        <w:t> </w:t>
      </w:r>
      <w:r w:rsidRPr="002E76A2">
        <w:rPr>
          <w:szCs w:val="26"/>
        </w:rPr>
        <w:t>Cal.4th</w:t>
      </w:r>
      <w:r>
        <w:rPr>
          <w:szCs w:val="26"/>
        </w:rPr>
        <w:t xml:space="preserve"> at page 179, may </w:t>
      </w:r>
      <w:r w:rsidRPr="008F38E7">
        <w:rPr>
          <w:i/>
          <w:iCs/>
          <w:szCs w:val="26"/>
        </w:rPr>
        <w:t>never</w:t>
      </w:r>
      <w:r>
        <w:rPr>
          <w:szCs w:val="26"/>
        </w:rPr>
        <w:t xml:space="preserve"> be shortened by agreement.  </w:t>
      </w:r>
    </w:p>
    <w:p w:rsidR="003136F6" w:rsidRPr="00D2109F" w:rsidP="00501888">
      <w:pPr>
        <w:pStyle w:val="FootnoteText"/>
        <w:ind w:firstLine="720"/>
        <w:rPr>
          <w:szCs w:val="26"/>
        </w:rPr>
      </w:pPr>
      <w:r>
        <w:rPr>
          <w:szCs w:val="26"/>
        </w:rPr>
        <w:t>In addition</w:t>
      </w:r>
      <w:r w:rsidR="00501888">
        <w:rPr>
          <w:szCs w:val="26"/>
        </w:rPr>
        <w:t xml:space="preserve">, </w:t>
      </w:r>
      <w:r w:rsidR="00915C29">
        <w:rPr>
          <w:szCs w:val="26"/>
        </w:rPr>
        <w:t xml:space="preserve">in light of the parties’ </w:t>
      </w:r>
      <w:r w:rsidR="001E21EF">
        <w:rPr>
          <w:szCs w:val="26"/>
        </w:rPr>
        <w:t xml:space="preserve">litigation </w:t>
      </w:r>
      <w:r w:rsidR="00915C29">
        <w:rPr>
          <w:szCs w:val="26"/>
        </w:rPr>
        <w:t>positions</w:t>
      </w:r>
      <w:r w:rsidR="00ED17D6">
        <w:rPr>
          <w:szCs w:val="26"/>
        </w:rPr>
        <w:t>,</w:t>
      </w:r>
      <w:r w:rsidR="00915C29">
        <w:rPr>
          <w:szCs w:val="26"/>
        </w:rPr>
        <w:t xml:space="preserve"> </w:t>
      </w:r>
      <w:r w:rsidR="00501888">
        <w:rPr>
          <w:szCs w:val="26"/>
        </w:rPr>
        <w:t>we have no occasion here to consider the validity of a provision within an insurance policy subject to section 2071 that purport</w:t>
      </w:r>
      <w:r w:rsidR="00D353BB">
        <w:rPr>
          <w:szCs w:val="26"/>
        </w:rPr>
        <w:t>s</w:t>
      </w:r>
      <w:r w:rsidR="00501888">
        <w:rPr>
          <w:szCs w:val="26"/>
        </w:rPr>
        <w:t xml:space="preserve"> to apply a one-year time period for filing suit to a </w:t>
      </w:r>
      <w:r w:rsidR="00915C29">
        <w:rPr>
          <w:szCs w:val="26"/>
        </w:rPr>
        <w:t>broader</w:t>
      </w:r>
      <w:r w:rsidR="00501888">
        <w:rPr>
          <w:szCs w:val="26"/>
        </w:rPr>
        <w:t xml:space="preserve"> array of causes of action than</w:t>
      </w:r>
      <w:r w:rsidR="00915C29">
        <w:rPr>
          <w:szCs w:val="26"/>
        </w:rPr>
        <w:t xml:space="preserve"> just</w:t>
      </w:r>
      <w:r w:rsidR="00501888">
        <w:rPr>
          <w:szCs w:val="26"/>
        </w:rPr>
        <w:t xml:space="preserve"> those “on this policy for the recovery of any claim.”  (§ 2071</w:t>
      </w:r>
      <w:r w:rsidR="00265549">
        <w:rPr>
          <w:szCs w:val="26"/>
        </w:rPr>
        <w:t>; see § 2070</w:t>
      </w:r>
      <w:r w:rsidR="00501888">
        <w:rPr>
          <w:szCs w:val="26"/>
        </w:rPr>
        <w:t xml:space="preserve">.)  </w:t>
      </w:r>
      <w:r>
        <w:rPr>
          <w:szCs w:val="26"/>
        </w:rPr>
        <w:t>W</w:t>
      </w:r>
      <w:r w:rsidRPr="00D2109F">
        <w:rPr>
          <w:szCs w:val="26"/>
        </w:rPr>
        <w:t>e</w:t>
      </w:r>
      <w:r>
        <w:rPr>
          <w:szCs w:val="26"/>
        </w:rPr>
        <w:t xml:space="preserve"> also</w:t>
      </w:r>
      <w:r w:rsidRPr="00D2109F">
        <w:rPr>
          <w:szCs w:val="26"/>
        </w:rPr>
        <w:t xml:space="preserve"> express no views regarding the merits of plaintiff’s action</w:t>
      </w:r>
      <w:r>
        <w:rPr>
          <w:szCs w:val="26"/>
        </w:rPr>
        <w:t xml:space="preserve"> under the UCL</w:t>
      </w:r>
      <w:r w:rsidR="00EF5846">
        <w:rPr>
          <w:szCs w:val="26"/>
        </w:rPr>
        <w:t xml:space="preserve"> </w:t>
      </w:r>
      <w:r w:rsidR="001E21EF">
        <w:rPr>
          <w:szCs w:val="26"/>
        </w:rPr>
        <w:t xml:space="preserve">or </w:t>
      </w:r>
      <w:r w:rsidR="00D5694F">
        <w:rPr>
          <w:szCs w:val="26"/>
        </w:rPr>
        <w:t>whether she is</w:t>
      </w:r>
      <w:r w:rsidR="00EF5846">
        <w:rPr>
          <w:szCs w:val="26"/>
        </w:rPr>
        <w:t xml:space="preserve"> entitle</w:t>
      </w:r>
      <w:r w:rsidR="00D5694F">
        <w:rPr>
          <w:szCs w:val="26"/>
        </w:rPr>
        <w:t>d</w:t>
      </w:r>
      <w:r w:rsidR="00EF5846">
        <w:rPr>
          <w:szCs w:val="26"/>
        </w:rPr>
        <w:t xml:space="preserve"> to the relief she seeks</w:t>
      </w:r>
      <w:r w:rsidRPr="00D2109F">
        <w:rPr>
          <w:szCs w:val="2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6A2">
    <w:pPr>
      <w:pStyle w:val="Header"/>
    </w:pPr>
    <w:r>
      <w:t xml:space="preserve"> ROSENBERG-WOHL v. STATE FARM FIRE AND CASUALTY CO.</w:t>
    </w:r>
  </w:p>
  <w:p w:rsidR="002E76A2">
    <w:pPr>
      <w:pStyle w:val="Header"/>
    </w:pPr>
    <w:r>
      <w:t>Opinion of the Court by Guerrero, C. J.</w:t>
    </w:r>
  </w:p>
  <w:p w:rsidR="002E7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49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A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A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451CE9"/>
    <w:multiLevelType w:val="hybridMultilevel"/>
    <w:tmpl w:val="7FA4146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8A7BA4"/>
    <w:multiLevelType w:val="multilevel"/>
    <w:tmpl w:val="0878446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094013D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FE15028"/>
    <w:multiLevelType w:val="hybridMultilevel"/>
    <w:tmpl w:val="419E9C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1081C15"/>
    <w:multiLevelType w:val="hybridMultilevel"/>
    <w:tmpl w:val="D0D89B8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482F5F"/>
    <w:multiLevelType w:val="hybridMultilevel"/>
    <w:tmpl w:val="915CDD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A45929"/>
    <w:multiLevelType w:val="hybridMultilevel"/>
    <w:tmpl w:val="C0E21EC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73469B"/>
    <w:multiLevelType w:val="hybridMultilevel"/>
    <w:tmpl w:val="9E1291B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6B0571"/>
    <w:multiLevelType w:val="hybridMultilevel"/>
    <w:tmpl w:val="7A5231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0611F2"/>
    <w:multiLevelType w:val="hybridMultilevel"/>
    <w:tmpl w:val="D28616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ED0B87"/>
    <w:multiLevelType w:val="hybridMultilevel"/>
    <w:tmpl w:val="34DEBAE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ED2247"/>
    <w:multiLevelType w:val="hybridMultilevel"/>
    <w:tmpl w:val="C89810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0A13F9F"/>
    <w:multiLevelType w:val="hybridMultilevel"/>
    <w:tmpl w:val="683E8890"/>
    <w:lvl w:ilvl="0">
      <w:start w:val="1"/>
      <w:numFmt w:val="upperRoman"/>
      <w:pStyle w:val="TopHeadingStyle"/>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316F5F"/>
    <w:multiLevelType w:val="hybridMultilevel"/>
    <w:tmpl w:val="5D3882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7E7841"/>
    <w:multiLevelType w:val="hybridMultilevel"/>
    <w:tmpl w:val="B2B8CDC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7F3CA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476C3559"/>
    <w:multiLevelType w:val="hybridMultilevel"/>
    <w:tmpl w:val="64D837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2D3371"/>
    <w:multiLevelType w:val="hybridMultilevel"/>
    <w:tmpl w:val="C63EB2EA"/>
    <w:lvl w:ilvl="0">
      <w:start w:val="1"/>
      <w:numFmt w:val="upperLetter"/>
      <w:pStyle w:val="CalendarLevel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BF95B3A"/>
    <w:multiLevelType w:val="hybridMultilevel"/>
    <w:tmpl w:val="9D7E5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F1F149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516134ED"/>
    <w:multiLevelType w:val="multilevel"/>
    <w:tmpl w:val="12EC266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5308111C"/>
    <w:multiLevelType w:val="multilevel"/>
    <w:tmpl w:val="C09E04C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nsid w:val="556557C6"/>
    <w:multiLevelType w:val="hybridMultilevel"/>
    <w:tmpl w:val="3CF0512A"/>
    <w:lvl w:ilvl="0">
      <w:start w:val="1"/>
      <w:numFmt w:val="upperLetter"/>
      <w:lvlText w:val="%1."/>
      <w:lvlJc w:val="left"/>
      <w:pPr>
        <w:ind w:left="2970" w:hanging="360"/>
      </w:pPr>
      <w:rPr>
        <w:rFonts w:hint="default"/>
      </w:r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23">
    <w:nsid w:val="57A465B0"/>
    <w:multiLevelType w:val="hybridMultilevel"/>
    <w:tmpl w:val="3CB09C5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Letter"/>
      <w:lvlText w:val="%3."/>
      <w:lvlJc w:val="left"/>
      <w:pPr>
        <w:ind w:left="1440" w:hanging="360"/>
      </w:pPr>
    </w:lvl>
    <w:lvl w:ilvl="3">
      <w:start w:val="1"/>
      <w:numFmt w:val="lowerLetter"/>
      <w:lvlText w:val="%4."/>
      <w:lvlJc w:val="left"/>
      <w:pPr>
        <w:ind w:left="14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2C680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61FA101D"/>
    <w:multiLevelType w:val="hybridMultilevel"/>
    <w:tmpl w:val="5B4A98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7057CF8"/>
    <w:multiLevelType w:val="hybridMultilevel"/>
    <w:tmpl w:val="44609D9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7E92F32"/>
    <w:multiLevelType w:val="hybridMultilevel"/>
    <w:tmpl w:val="3640C2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9A2416B"/>
    <w:multiLevelType w:val="hybridMultilevel"/>
    <w:tmpl w:val="7DF491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C4374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nsid w:val="6AE36621"/>
    <w:multiLevelType w:val="hybridMultilevel"/>
    <w:tmpl w:val="CBB225C0"/>
    <w:lvl w:ilvl="0">
      <w:start w:val="340"/>
      <w:numFmt w:val="bullet"/>
      <w:lvlText w:val="-"/>
      <w:lvlJc w:val="left"/>
      <w:pPr>
        <w:ind w:left="720" w:hanging="360"/>
      </w:pPr>
      <w:rPr>
        <w:rFonts w:ascii="Source Sans Pro" w:hAnsi="Source Sans Pro"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7979F6"/>
    <w:multiLevelType w:val="hybridMultilevel"/>
    <w:tmpl w:val="1558487C"/>
    <w:lvl w:ilvl="0">
      <w:start w:val="1"/>
      <w:numFmt w:val="decimal"/>
      <w:lvlText w:val="(%1)"/>
      <w:lvlJc w:val="left"/>
      <w:pPr>
        <w:ind w:left="408" w:hanging="360"/>
      </w:pPr>
      <w:rPr>
        <w:rFonts w:hint="default"/>
      </w:rPr>
    </w:lvl>
    <w:lvl w:ilvl="1" w:tentative="1">
      <w:start w:val="1"/>
      <w:numFmt w:val="lowerLetter"/>
      <w:lvlText w:val="%2."/>
      <w:lvlJc w:val="left"/>
      <w:pPr>
        <w:ind w:left="1128" w:hanging="360"/>
      </w:pPr>
    </w:lvl>
    <w:lvl w:ilvl="2" w:tentative="1">
      <w:start w:val="1"/>
      <w:numFmt w:val="lowerRoman"/>
      <w:lvlText w:val="%3."/>
      <w:lvlJc w:val="right"/>
      <w:pPr>
        <w:ind w:left="1848" w:hanging="180"/>
      </w:pPr>
    </w:lvl>
    <w:lvl w:ilvl="3" w:tentative="1">
      <w:start w:val="1"/>
      <w:numFmt w:val="decimal"/>
      <w:lvlText w:val="%4."/>
      <w:lvlJc w:val="left"/>
      <w:pPr>
        <w:ind w:left="2568" w:hanging="360"/>
      </w:pPr>
    </w:lvl>
    <w:lvl w:ilvl="4" w:tentative="1">
      <w:start w:val="1"/>
      <w:numFmt w:val="lowerLetter"/>
      <w:lvlText w:val="%5."/>
      <w:lvlJc w:val="left"/>
      <w:pPr>
        <w:ind w:left="3288" w:hanging="360"/>
      </w:pPr>
    </w:lvl>
    <w:lvl w:ilvl="5" w:tentative="1">
      <w:start w:val="1"/>
      <w:numFmt w:val="lowerRoman"/>
      <w:lvlText w:val="%6."/>
      <w:lvlJc w:val="right"/>
      <w:pPr>
        <w:ind w:left="4008" w:hanging="180"/>
      </w:pPr>
    </w:lvl>
    <w:lvl w:ilvl="6" w:tentative="1">
      <w:start w:val="1"/>
      <w:numFmt w:val="decimal"/>
      <w:lvlText w:val="%7."/>
      <w:lvlJc w:val="left"/>
      <w:pPr>
        <w:ind w:left="4728" w:hanging="360"/>
      </w:pPr>
    </w:lvl>
    <w:lvl w:ilvl="7" w:tentative="1">
      <w:start w:val="1"/>
      <w:numFmt w:val="lowerLetter"/>
      <w:lvlText w:val="%8."/>
      <w:lvlJc w:val="left"/>
      <w:pPr>
        <w:ind w:left="5448" w:hanging="360"/>
      </w:pPr>
    </w:lvl>
    <w:lvl w:ilvl="8" w:tentative="1">
      <w:start w:val="1"/>
      <w:numFmt w:val="lowerRoman"/>
      <w:lvlText w:val="%9."/>
      <w:lvlJc w:val="right"/>
      <w:pPr>
        <w:ind w:left="6168" w:hanging="180"/>
      </w:pPr>
    </w:lvl>
  </w:abstractNum>
  <w:abstractNum w:abstractNumId="32">
    <w:nsid w:val="6F724778"/>
    <w:multiLevelType w:val="hybridMultilevel"/>
    <w:tmpl w:val="37D08136"/>
    <w:lvl w:ilvl="0">
      <w:start w:val="1"/>
      <w:numFmt w:val="decimal"/>
      <w:pStyle w:val="CalendarLevel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C193001"/>
    <w:multiLevelType w:val="hybridMultilevel"/>
    <w:tmpl w:val="73A037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EDD2ED0"/>
    <w:multiLevelType w:val="hybridMultilevel"/>
    <w:tmpl w:val="B950B0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28"/>
  </w:num>
  <w:num w:numId="3">
    <w:abstractNumId w:val="22"/>
  </w:num>
  <w:num w:numId="4">
    <w:abstractNumId w:val="5"/>
  </w:num>
  <w:num w:numId="5">
    <w:abstractNumId w:val="13"/>
  </w:num>
  <w:num w:numId="6">
    <w:abstractNumId w:val="4"/>
  </w:num>
  <w:num w:numId="7">
    <w:abstractNumId w:val="33"/>
  </w:num>
  <w:num w:numId="8">
    <w:abstractNumId w:val="8"/>
  </w:num>
  <w:num w:numId="9">
    <w:abstractNumId w:val="18"/>
  </w:num>
  <w:num w:numId="10">
    <w:abstractNumId w:val="31"/>
  </w:num>
  <w:num w:numId="11">
    <w:abstractNumId w:val="30"/>
  </w:num>
  <w:num w:numId="12">
    <w:abstractNumId w:val="11"/>
  </w:num>
  <w:num w:numId="13">
    <w:abstractNumId w:val="26"/>
  </w:num>
  <w:num w:numId="14">
    <w:abstractNumId w:val="27"/>
  </w:num>
  <w:num w:numId="15">
    <w:abstractNumId w:val="7"/>
  </w:num>
  <w:num w:numId="16">
    <w:abstractNumId w:val="3"/>
  </w:num>
  <w:num w:numId="17">
    <w:abstractNumId w:val="34"/>
  </w:num>
  <w:num w:numId="18">
    <w:abstractNumId w:val="12"/>
  </w:num>
  <w:num w:numId="19">
    <w:abstractNumId w:val="10"/>
  </w:num>
  <w:num w:numId="20">
    <w:abstractNumId w:val="23"/>
  </w:num>
  <w:num w:numId="21">
    <w:abstractNumId w:val="25"/>
  </w:num>
  <w:num w:numId="22">
    <w:abstractNumId w:val="17"/>
  </w:num>
  <w:num w:numId="23">
    <w:abstractNumId w:val="16"/>
  </w:num>
  <w:num w:numId="24">
    <w:abstractNumId w:val="32"/>
  </w:num>
  <w:num w:numId="25">
    <w:abstractNumId w:val="21"/>
  </w:num>
  <w:num w:numId="26">
    <w:abstractNumId w:val="0"/>
  </w:num>
  <w:num w:numId="27">
    <w:abstractNumId w:val="1"/>
  </w:num>
  <w:num w:numId="28">
    <w:abstractNumId w:val="20"/>
  </w:num>
  <w:num w:numId="29">
    <w:abstractNumId w:val="24"/>
  </w:num>
  <w:num w:numId="30">
    <w:abstractNumId w:val="15"/>
  </w:num>
  <w:num w:numId="31">
    <w:abstractNumId w:val="19"/>
  </w:num>
  <w:num w:numId="32">
    <w:abstractNumId w:val="2"/>
  </w:num>
  <w:num w:numId="33">
    <w:abstractNumId w:val="29"/>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printFractionalCharacterWidth/>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3"/>
    <w:pPr>
      <w:spacing w:after="100" w:line="400" w:lineRule="exact"/>
      <w:jc w:val="both"/>
    </w:pPr>
    <w:rPr>
      <w:rFonts w:ascii="Century Schoolbook" w:hAnsi="Century Schoolbook"/>
      <w:sz w:val="27"/>
    </w:rPr>
  </w:style>
  <w:style w:type="paragraph" w:styleId="Heading1">
    <w:name w:val="heading 1"/>
    <w:basedOn w:val="Normal"/>
    <w:next w:val="Normal"/>
    <w:link w:val="Heading1Char"/>
    <w:uiPriority w:val="9"/>
    <w:qFormat/>
    <w:rsid w:val="00AC2BD3"/>
    <w:pPr>
      <w:keepNext/>
      <w:spacing w:before="140" w:line="240" w:lineRule="atLeast"/>
      <w:jc w:val="center"/>
      <w:outlineLvl w:val="0"/>
    </w:pPr>
    <w:rPr>
      <w:b/>
      <w:smallCaps/>
    </w:rPr>
  </w:style>
  <w:style w:type="paragraph" w:styleId="Heading2">
    <w:name w:val="heading 2"/>
    <w:basedOn w:val="Normal"/>
    <w:next w:val="Normal"/>
    <w:link w:val="Heading2Char"/>
    <w:uiPriority w:val="9"/>
    <w:qFormat/>
    <w:rsid w:val="00AC2BD3"/>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uiPriority w:val="9"/>
    <w:qFormat/>
    <w:rsid w:val="00AC2BD3"/>
    <w:pPr>
      <w:keepNext/>
      <w:tabs>
        <w:tab w:val="left" w:pos="1584"/>
      </w:tabs>
      <w:spacing w:before="140" w:line="240" w:lineRule="atLeast"/>
      <w:ind w:left="1584" w:hanging="432"/>
      <w:jc w:val="left"/>
      <w:outlineLvl w:val="2"/>
    </w:pPr>
    <w:rPr>
      <w:i/>
    </w:rPr>
  </w:style>
  <w:style w:type="paragraph" w:styleId="Heading4">
    <w:name w:val="heading 4"/>
    <w:basedOn w:val="Normal"/>
    <w:qFormat/>
    <w:rsid w:val="00AC2BD3"/>
    <w:pPr>
      <w:keepNext/>
      <w:tabs>
        <w:tab w:val="left" w:pos="2016"/>
      </w:tabs>
      <w:spacing w:before="140" w:line="240" w:lineRule="atLeast"/>
      <w:ind w:left="2016" w:hanging="432"/>
      <w:jc w:val="left"/>
      <w:outlineLvl w:val="3"/>
    </w:pPr>
    <w:rPr>
      <w:i/>
    </w:rPr>
  </w:style>
  <w:style w:type="paragraph" w:styleId="Heading5">
    <w:name w:val="heading 5"/>
    <w:basedOn w:val="Normal"/>
    <w:qFormat/>
    <w:rsid w:val="00AC2BD3"/>
    <w:pPr>
      <w:keepNext/>
      <w:tabs>
        <w:tab w:val="left" w:pos="2448"/>
      </w:tabs>
      <w:spacing w:before="140" w:line="240" w:lineRule="atLeast"/>
      <w:ind w:left="2448" w:hanging="432"/>
      <w:jc w:val="left"/>
      <w:outlineLvl w:val="4"/>
    </w:pPr>
    <w:rPr>
      <w:i/>
    </w:rPr>
  </w:style>
  <w:style w:type="paragraph" w:styleId="Heading6">
    <w:name w:val="heading 6"/>
    <w:basedOn w:val="Normal"/>
    <w:next w:val="Normal"/>
    <w:link w:val="Heading6Char"/>
    <w:uiPriority w:val="9"/>
    <w:semiHidden/>
    <w:unhideWhenUsed/>
    <w:qFormat/>
    <w:rsid w:val="00DA273C"/>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73C"/>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73C"/>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73C"/>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2E76A2"/>
    <w:pPr>
      <w:ind w:left="720"/>
    </w:pPr>
  </w:style>
  <w:style w:type="paragraph" w:styleId="Footer">
    <w:name w:val="footer"/>
    <w:basedOn w:val="Normal"/>
    <w:link w:val="FooterChar"/>
    <w:uiPriority w:val="99"/>
    <w:qFormat/>
    <w:rsid w:val="00AC2BD3"/>
    <w:pPr>
      <w:tabs>
        <w:tab w:val="center" w:pos="3960"/>
        <w:tab w:val="right" w:pos="10080"/>
      </w:tabs>
      <w:spacing w:after="0" w:line="240" w:lineRule="auto"/>
      <w:jc w:val="center"/>
    </w:pPr>
    <w:rPr>
      <w:sz w:val="22"/>
    </w:rPr>
  </w:style>
  <w:style w:type="paragraph" w:styleId="Header">
    <w:name w:val="header"/>
    <w:basedOn w:val="Normal"/>
    <w:link w:val="HeaderChar"/>
    <w:uiPriority w:val="99"/>
    <w:qFormat/>
    <w:rsid w:val="00AC2BD3"/>
    <w:pPr>
      <w:tabs>
        <w:tab w:val="center" w:pos="3960"/>
        <w:tab w:val="right" w:pos="10080"/>
      </w:tabs>
      <w:spacing w:after="80" w:line="240" w:lineRule="auto"/>
      <w:jc w:val="center"/>
    </w:pPr>
    <w:rPr>
      <w:sz w:val="22"/>
    </w:rPr>
  </w:style>
  <w:style w:type="character" w:styleId="FootnoteReference">
    <w:name w:val="footnote reference"/>
    <w:basedOn w:val="DefaultParagraphFont"/>
    <w:uiPriority w:val="99"/>
    <w:rsid w:val="00AC2BD3"/>
    <w:rPr>
      <w:rFonts w:ascii="Century Schoolbook" w:hAnsi="Century Schoolbook"/>
      <w:b/>
      <w:i w:val="0"/>
      <w:position w:val="4"/>
      <w:sz w:val="27"/>
      <w:vertAlign w:val="superscript"/>
    </w:rPr>
  </w:style>
  <w:style w:type="paragraph" w:styleId="FootnoteText">
    <w:name w:val="footnote text"/>
    <w:basedOn w:val="Normal"/>
    <w:link w:val="FootnoteTextChar"/>
    <w:uiPriority w:val="99"/>
    <w:rsid w:val="00AC2BD3"/>
    <w:pPr>
      <w:spacing w:line="300" w:lineRule="exact"/>
    </w:pPr>
  </w:style>
  <w:style w:type="paragraph" w:customStyle="1" w:styleId="Title1">
    <w:name w:val="Title1"/>
    <w:basedOn w:val="Normal"/>
    <w:rsid w:val="002E76A2"/>
    <w:pPr>
      <w:tabs>
        <w:tab w:val="left" w:pos="5760"/>
        <w:tab w:val="left" w:pos="6480"/>
      </w:tabs>
      <w:spacing w:line="240" w:lineRule="atLeast"/>
    </w:pPr>
  </w:style>
  <w:style w:type="paragraph" w:customStyle="1" w:styleId="Recommend">
    <w:name w:val="Recommend"/>
    <w:basedOn w:val="Normal"/>
    <w:rsid w:val="002E76A2"/>
  </w:style>
  <w:style w:type="paragraph" w:customStyle="1" w:styleId="Summary">
    <w:name w:val="Summary"/>
    <w:basedOn w:val="Normal"/>
    <w:rsid w:val="002E76A2"/>
    <w:pPr>
      <w:ind w:left="2160" w:hanging="2160"/>
    </w:pPr>
  </w:style>
  <w:style w:type="paragraph" w:customStyle="1" w:styleId="Text">
    <w:name w:val="Text"/>
    <w:basedOn w:val="Normal"/>
    <w:rsid w:val="002E76A2"/>
    <w:pPr>
      <w:tabs>
        <w:tab w:val="left" w:pos="720"/>
        <w:tab w:val="left" w:pos="1440"/>
        <w:tab w:val="left" w:pos="2160"/>
        <w:tab w:val="center" w:pos="4320"/>
      </w:tabs>
      <w:spacing w:line="480" w:lineRule="atLeast"/>
      <w:ind w:firstLine="540"/>
    </w:pPr>
  </w:style>
  <w:style w:type="paragraph" w:styleId="Date">
    <w:name w:val="Date"/>
    <w:basedOn w:val="Normal"/>
    <w:semiHidden/>
    <w:rsid w:val="002E76A2"/>
    <w:pPr>
      <w:jc w:val="right"/>
    </w:pPr>
  </w:style>
  <w:style w:type="character" w:styleId="PageNumber">
    <w:name w:val="page number"/>
    <w:basedOn w:val="DefaultParagraphFont"/>
    <w:semiHidden/>
    <w:rsid w:val="002E76A2"/>
  </w:style>
  <w:style w:type="paragraph" w:customStyle="1" w:styleId="subject">
    <w:name w:val="subject"/>
    <w:basedOn w:val="Normal"/>
    <w:rsid w:val="002E76A2"/>
    <w:pPr>
      <w:tabs>
        <w:tab w:val="left" w:pos="1008"/>
      </w:tabs>
      <w:ind w:left="990" w:hanging="990"/>
    </w:pPr>
    <w:rPr>
      <w:b/>
    </w:rPr>
  </w:style>
  <w:style w:type="paragraph" w:customStyle="1" w:styleId="Titles">
    <w:name w:val="Titles"/>
    <w:basedOn w:val="Normal"/>
    <w:rsid w:val="002E76A2"/>
    <w:pPr>
      <w:tabs>
        <w:tab w:val="left" w:pos="2160"/>
      </w:tabs>
      <w:ind w:left="2160" w:hanging="2160"/>
    </w:pPr>
    <w:rPr>
      <w:b/>
    </w:rPr>
  </w:style>
  <w:style w:type="paragraph" w:styleId="TOAHeading">
    <w:name w:val="toa heading"/>
    <w:basedOn w:val="Normal"/>
    <w:next w:val="Normal"/>
    <w:semiHidden/>
    <w:rsid w:val="002E76A2"/>
    <w:pPr>
      <w:spacing w:before="120"/>
    </w:pPr>
    <w:rPr>
      <w:b/>
    </w:rPr>
  </w:style>
  <w:style w:type="paragraph" w:styleId="TOC1">
    <w:name w:val="toc 1"/>
    <w:basedOn w:val="Normal"/>
    <w:next w:val="Normal"/>
    <w:autoRedefine/>
    <w:semiHidden/>
    <w:rsid w:val="002E76A2"/>
  </w:style>
  <w:style w:type="paragraph" w:styleId="TOC2">
    <w:name w:val="toc 2"/>
    <w:basedOn w:val="Normal"/>
    <w:next w:val="Normal"/>
    <w:autoRedefine/>
    <w:semiHidden/>
    <w:rsid w:val="002E76A2"/>
    <w:pPr>
      <w:ind w:left="259"/>
    </w:pPr>
  </w:style>
  <w:style w:type="paragraph" w:styleId="TOC3">
    <w:name w:val="toc 3"/>
    <w:basedOn w:val="Normal"/>
    <w:next w:val="Normal"/>
    <w:autoRedefine/>
    <w:semiHidden/>
    <w:rsid w:val="002E76A2"/>
    <w:pPr>
      <w:ind w:left="520"/>
    </w:pPr>
  </w:style>
  <w:style w:type="paragraph" w:styleId="TOC4">
    <w:name w:val="toc 4"/>
    <w:basedOn w:val="Normal"/>
    <w:next w:val="Normal"/>
    <w:autoRedefine/>
    <w:semiHidden/>
    <w:rsid w:val="002E76A2"/>
    <w:pPr>
      <w:ind w:left="780"/>
    </w:pPr>
  </w:style>
  <w:style w:type="paragraph" w:styleId="TOC5">
    <w:name w:val="toc 5"/>
    <w:basedOn w:val="Normal"/>
    <w:next w:val="Normal"/>
    <w:autoRedefine/>
    <w:semiHidden/>
    <w:rsid w:val="002E76A2"/>
    <w:pPr>
      <w:ind w:left="1040"/>
    </w:pPr>
  </w:style>
  <w:style w:type="paragraph" w:styleId="TOC6">
    <w:name w:val="toc 6"/>
    <w:basedOn w:val="Normal"/>
    <w:next w:val="Normal"/>
    <w:autoRedefine/>
    <w:semiHidden/>
    <w:rsid w:val="002E76A2"/>
    <w:pPr>
      <w:ind w:left="1300"/>
    </w:pPr>
  </w:style>
  <w:style w:type="paragraph" w:styleId="TOC7">
    <w:name w:val="toc 7"/>
    <w:basedOn w:val="Normal"/>
    <w:next w:val="Normal"/>
    <w:autoRedefine/>
    <w:semiHidden/>
    <w:rsid w:val="002E76A2"/>
    <w:pPr>
      <w:ind w:left="1560"/>
    </w:pPr>
  </w:style>
  <w:style w:type="paragraph" w:styleId="TOC8">
    <w:name w:val="toc 8"/>
    <w:basedOn w:val="Normal"/>
    <w:next w:val="Normal"/>
    <w:autoRedefine/>
    <w:semiHidden/>
    <w:rsid w:val="002E76A2"/>
    <w:pPr>
      <w:ind w:left="1820"/>
    </w:pPr>
  </w:style>
  <w:style w:type="paragraph" w:styleId="TOC9">
    <w:name w:val="toc 9"/>
    <w:basedOn w:val="Normal"/>
    <w:next w:val="Normal"/>
    <w:autoRedefine/>
    <w:semiHidden/>
    <w:rsid w:val="002E76A2"/>
    <w:pPr>
      <w:ind w:left="2080"/>
    </w:pPr>
  </w:style>
  <w:style w:type="paragraph" w:customStyle="1" w:styleId="Contents">
    <w:name w:val="Contents"/>
    <w:basedOn w:val="Normal"/>
    <w:rsid w:val="002E76A2"/>
    <w:pPr>
      <w:jc w:val="center"/>
    </w:pPr>
    <w:rPr>
      <w:b/>
      <w:spacing w:val="100"/>
    </w:rPr>
  </w:style>
  <w:style w:type="character" w:customStyle="1" w:styleId="cosearchterm">
    <w:name w:val="co_searchterm"/>
    <w:basedOn w:val="DefaultParagraphFont"/>
    <w:rsid w:val="0052665A"/>
  </w:style>
  <w:style w:type="character" w:styleId="Hyperlink">
    <w:name w:val="Hyperlink"/>
    <w:basedOn w:val="DefaultParagraphFont"/>
    <w:uiPriority w:val="99"/>
    <w:semiHidden/>
    <w:unhideWhenUsed/>
    <w:rsid w:val="0052665A"/>
    <w:rPr>
      <w:color w:val="0000FF"/>
      <w:u w:val="single"/>
    </w:rPr>
  </w:style>
  <w:style w:type="character" w:styleId="Emphasis">
    <w:name w:val="Emphasis"/>
    <w:basedOn w:val="DefaultParagraphFont"/>
    <w:uiPriority w:val="20"/>
    <w:qFormat/>
    <w:rsid w:val="0052665A"/>
    <w:rPr>
      <w:i/>
      <w:iCs/>
    </w:rPr>
  </w:style>
  <w:style w:type="character" w:customStyle="1" w:styleId="costarpage">
    <w:name w:val="co_starpage"/>
    <w:basedOn w:val="DefaultParagraphFont"/>
    <w:rsid w:val="0052665A"/>
  </w:style>
  <w:style w:type="paragraph" w:styleId="ListParagraph">
    <w:name w:val="List Paragraph"/>
    <w:basedOn w:val="Normal"/>
    <w:link w:val="ListParagraphChar"/>
    <w:uiPriority w:val="34"/>
    <w:qFormat/>
    <w:rsid w:val="0052665A"/>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406DB"/>
    <w:rPr>
      <w:rFonts w:ascii="Century Schoolbook" w:hAnsi="Century Schoolbook"/>
      <w:b/>
      <w:smallCaps/>
      <w:sz w:val="27"/>
    </w:rPr>
  </w:style>
  <w:style w:type="character" w:customStyle="1" w:styleId="Heading3Char">
    <w:name w:val="Heading 3 Char"/>
    <w:basedOn w:val="DefaultParagraphFont"/>
    <w:link w:val="Heading3"/>
    <w:uiPriority w:val="9"/>
    <w:rsid w:val="0052665A"/>
    <w:rPr>
      <w:rFonts w:ascii="Century Schoolbook" w:hAnsi="Century Schoolbook"/>
      <w:i/>
      <w:sz w:val="27"/>
    </w:rPr>
  </w:style>
  <w:style w:type="character" w:customStyle="1" w:styleId="FootnoteTextChar">
    <w:name w:val="Footnote Text Char"/>
    <w:basedOn w:val="DefaultParagraphFont"/>
    <w:link w:val="FootnoteText"/>
    <w:uiPriority w:val="99"/>
    <w:rsid w:val="0052665A"/>
    <w:rPr>
      <w:rFonts w:ascii="Century Schoolbook" w:hAnsi="Century Schoolbook"/>
      <w:sz w:val="27"/>
    </w:rPr>
  </w:style>
  <w:style w:type="character" w:customStyle="1" w:styleId="Heading2Char">
    <w:name w:val="Heading 2 Char"/>
    <w:basedOn w:val="DefaultParagraphFont"/>
    <w:link w:val="Heading2"/>
    <w:uiPriority w:val="9"/>
    <w:rsid w:val="0052665A"/>
    <w:rPr>
      <w:rFonts w:ascii="Century Schoolbook" w:hAnsi="Century Schoolbook"/>
      <w:b/>
      <w:sz w:val="27"/>
    </w:rPr>
  </w:style>
  <w:style w:type="character" w:customStyle="1" w:styleId="copinpointicon">
    <w:name w:val="co_pinpointicon"/>
    <w:basedOn w:val="DefaultParagraphFont"/>
    <w:rsid w:val="0052665A"/>
  </w:style>
  <w:style w:type="character" w:customStyle="1" w:styleId="coinlinekeyciteflag">
    <w:name w:val="co_inlinekeyciteflag"/>
    <w:basedOn w:val="DefaultParagraphFont"/>
    <w:rsid w:val="0052665A"/>
  </w:style>
  <w:style w:type="character" w:customStyle="1" w:styleId="cosmallcaps">
    <w:name w:val="co_smallcaps"/>
    <w:basedOn w:val="DefaultParagraphFont"/>
    <w:rsid w:val="0052665A"/>
  </w:style>
  <w:style w:type="character" w:customStyle="1" w:styleId="HeaderChar">
    <w:name w:val="Header Char"/>
    <w:basedOn w:val="DefaultParagraphFont"/>
    <w:link w:val="Header"/>
    <w:uiPriority w:val="99"/>
    <w:rsid w:val="0052665A"/>
    <w:rPr>
      <w:rFonts w:ascii="Century Schoolbook" w:hAnsi="Century Schoolbook"/>
      <w:sz w:val="22"/>
    </w:rPr>
  </w:style>
  <w:style w:type="character" w:customStyle="1" w:styleId="FooterChar">
    <w:name w:val="Footer Char"/>
    <w:basedOn w:val="DefaultParagraphFont"/>
    <w:link w:val="Footer"/>
    <w:uiPriority w:val="99"/>
    <w:rsid w:val="0052665A"/>
    <w:rPr>
      <w:rFonts w:ascii="Century Schoolbook" w:hAnsi="Century Schoolbook"/>
      <w:sz w:val="22"/>
    </w:rPr>
  </w:style>
  <w:style w:type="character" w:styleId="Strong">
    <w:name w:val="Strong"/>
    <w:basedOn w:val="DefaultParagraphFont"/>
    <w:uiPriority w:val="22"/>
    <w:qFormat/>
    <w:rsid w:val="0052665A"/>
    <w:rPr>
      <w:b/>
      <w:bCs/>
    </w:rPr>
  </w:style>
  <w:style w:type="character" w:styleId="PlaceholderText">
    <w:name w:val="Placeholder Text"/>
    <w:basedOn w:val="DefaultParagraphFont"/>
    <w:uiPriority w:val="99"/>
    <w:semiHidden/>
    <w:rsid w:val="0052665A"/>
    <w:rPr>
      <w:color w:val="808080"/>
    </w:rPr>
  </w:style>
  <w:style w:type="character" w:styleId="CommentReference">
    <w:name w:val="annotation reference"/>
    <w:basedOn w:val="DefaultParagraphFont"/>
    <w:uiPriority w:val="99"/>
    <w:semiHidden/>
    <w:unhideWhenUsed/>
    <w:rsid w:val="007A1AE0"/>
    <w:rPr>
      <w:sz w:val="16"/>
      <w:szCs w:val="16"/>
    </w:rPr>
  </w:style>
  <w:style w:type="paragraph" w:styleId="CommentText">
    <w:name w:val="annotation text"/>
    <w:basedOn w:val="Normal"/>
    <w:link w:val="CommentTextChar"/>
    <w:uiPriority w:val="99"/>
    <w:unhideWhenUsed/>
    <w:rsid w:val="007A1AE0"/>
    <w:rPr>
      <w:sz w:val="20"/>
    </w:rPr>
  </w:style>
  <w:style w:type="character" w:customStyle="1" w:styleId="CommentTextChar">
    <w:name w:val="Comment Text Char"/>
    <w:basedOn w:val="DefaultParagraphFont"/>
    <w:link w:val="CommentText"/>
    <w:uiPriority w:val="99"/>
    <w:rsid w:val="007A1AE0"/>
  </w:style>
  <w:style w:type="paragraph" w:styleId="CommentSubject">
    <w:name w:val="annotation subject"/>
    <w:basedOn w:val="CommentText"/>
    <w:next w:val="CommentText"/>
    <w:link w:val="CommentSubjectChar"/>
    <w:uiPriority w:val="99"/>
    <w:semiHidden/>
    <w:unhideWhenUsed/>
    <w:rsid w:val="007A1AE0"/>
    <w:rPr>
      <w:b/>
      <w:bCs/>
    </w:rPr>
  </w:style>
  <w:style w:type="character" w:customStyle="1" w:styleId="CommentSubjectChar">
    <w:name w:val="Comment Subject Char"/>
    <w:basedOn w:val="CommentTextChar"/>
    <w:link w:val="CommentSubject"/>
    <w:uiPriority w:val="99"/>
    <w:semiHidden/>
    <w:rsid w:val="007A1AE0"/>
    <w:rPr>
      <w:b/>
      <w:bCs/>
    </w:rPr>
  </w:style>
  <w:style w:type="paragraph" w:styleId="Revision">
    <w:name w:val="Revision"/>
    <w:hidden/>
    <w:uiPriority w:val="99"/>
    <w:semiHidden/>
    <w:rsid w:val="00054709"/>
    <w:rPr>
      <w:sz w:val="26"/>
    </w:rPr>
  </w:style>
  <w:style w:type="paragraph" w:styleId="NormalWeb">
    <w:name w:val="Normal (Web)"/>
    <w:basedOn w:val="Normal"/>
    <w:uiPriority w:val="99"/>
    <w:unhideWhenUsed/>
    <w:rsid w:val="00AC2BD3"/>
    <w:pPr>
      <w:spacing w:before="100" w:beforeAutospacing="1" w:afterAutospacing="1"/>
    </w:pPr>
    <w:rPr>
      <w:sz w:val="24"/>
      <w:szCs w:val="24"/>
    </w:rPr>
  </w:style>
  <w:style w:type="character" w:customStyle="1" w:styleId="normaltextrun">
    <w:name w:val="normaltextrun"/>
    <w:basedOn w:val="DefaultParagraphFont"/>
    <w:rsid w:val="00394E6A"/>
  </w:style>
  <w:style w:type="paragraph" w:customStyle="1" w:styleId="TopHeadingStyle">
    <w:name w:val="Top Heading Style"/>
    <w:basedOn w:val="ListParagraph"/>
    <w:link w:val="TopHeadingStyleChar"/>
    <w:qFormat/>
    <w:rsid w:val="002C1B72"/>
    <w:pPr>
      <w:numPr>
        <w:numId w:val="18"/>
      </w:numPr>
      <w:spacing w:line="480" w:lineRule="exact"/>
      <w:ind w:left="0" w:firstLine="0"/>
      <w:jc w:val="center"/>
    </w:pPr>
    <w:rPr>
      <w:rFonts w:ascii="Times New Roman Bold" w:hAnsi="Times New Roman Bold" w:cs="Times New Roman"/>
      <w:b/>
      <w:bCs/>
      <w:smallCaps/>
      <w:color w:val="333333"/>
      <w:sz w:val="26"/>
      <w:szCs w:val="26"/>
    </w:rPr>
  </w:style>
  <w:style w:type="character" w:customStyle="1" w:styleId="ListParagraphChar">
    <w:name w:val="List Paragraph Char"/>
    <w:basedOn w:val="DefaultParagraphFont"/>
    <w:link w:val="ListParagraph"/>
    <w:uiPriority w:val="34"/>
    <w:rsid w:val="002C1B72"/>
    <w:rPr>
      <w:rFonts w:asciiTheme="minorHAnsi" w:eastAsiaTheme="minorHAnsi" w:hAnsiTheme="minorHAnsi" w:cstheme="minorBidi"/>
      <w:sz w:val="22"/>
      <w:szCs w:val="22"/>
    </w:rPr>
  </w:style>
  <w:style w:type="character" w:customStyle="1" w:styleId="TopHeadingStyleChar">
    <w:name w:val="Top Heading Style Char"/>
    <w:basedOn w:val="ListParagraphChar"/>
    <w:link w:val="TopHeadingStyle"/>
    <w:rsid w:val="002C1B72"/>
    <w:rPr>
      <w:rFonts w:ascii="Times New Roman Bold" w:hAnsi="Times New Roman Bold" w:eastAsiaTheme="minorHAnsi" w:cstheme="minorBidi"/>
      <w:b/>
      <w:bCs/>
      <w:smallCaps/>
      <w:color w:val="333333"/>
      <w:sz w:val="26"/>
      <w:szCs w:val="26"/>
    </w:rPr>
  </w:style>
  <w:style w:type="paragraph" w:customStyle="1" w:styleId="CalendarLevelOne">
    <w:name w:val="Calendar Level One"/>
    <w:basedOn w:val="TopHeadingStyle"/>
    <w:link w:val="CalendarLevelOneChar"/>
    <w:qFormat/>
    <w:rsid w:val="002C1B72"/>
    <w:pPr>
      <w:numPr>
        <w:numId w:val="0"/>
      </w:numPr>
      <w:tabs>
        <w:tab w:val="left" w:pos="270"/>
      </w:tabs>
    </w:pPr>
  </w:style>
  <w:style w:type="character" w:customStyle="1" w:styleId="CalendarLevelOneChar">
    <w:name w:val="Calendar Level One Char"/>
    <w:basedOn w:val="TopHeadingStyleChar"/>
    <w:link w:val="CalendarLevelOne"/>
    <w:rsid w:val="002C1B72"/>
    <w:rPr>
      <w:rFonts w:ascii="Times New Roman Bold" w:hAnsi="Times New Roman Bold" w:eastAsiaTheme="minorHAnsi" w:cstheme="minorBidi"/>
      <w:b/>
      <w:bCs/>
      <w:smallCaps/>
      <w:color w:val="333333"/>
      <w:sz w:val="26"/>
      <w:szCs w:val="26"/>
    </w:rPr>
  </w:style>
  <w:style w:type="paragraph" w:customStyle="1" w:styleId="CalendarLevel2">
    <w:name w:val="Calendar Level 2"/>
    <w:basedOn w:val="ListParagraph"/>
    <w:link w:val="CalendarLevel2Char"/>
    <w:qFormat/>
    <w:rsid w:val="00DA273C"/>
    <w:pPr>
      <w:numPr>
        <w:numId w:val="22"/>
      </w:numPr>
      <w:spacing w:after="0"/>
    </w:pPr>
    <w:rPr>
      <w:rFonts w:ascii="Times New Roman" w:hAnsi="Times New Roman" w:cs="Times New Roman"/>
      <w:b/>
      <w:bCs/>
      <w:sz w:val="26"/>
      <w:szCs w:val="26"/>
    </w:rPr>
  </w:style>
  <w:style w:type="character" w:customStyle="1" w:styleId="CalendarLevel2Char">
    <w:name w:val="Calendar Level 2 Char"/>
    <w:basedOn w:val="ListParagraphChar"/>
    <w:link w:val="CalendarLevel2"/>
    <w:rsid w:val="00DA273C"/>
    <w:rPr>
      <w:rFonts w:asciiTheme="minorHAnsi" w:eastAsiaTheme="minorHAnsi" w:hAnsiTheme="minorHAnsi" w:cstheme="minorBidi"/>
      <w:b/>
      <w:bCs/>
      <w:sz w:val="26"/>
      <w:szCs w:val="26"/>
    </w:rPr>
  </w:style>
  <w:style w:type="character" w:customStyle="1" w:styleId="Heading6Char">
    <w:name w:val="Heading 6 Char"/>
    <w:basedOn w:val="DefaultParagraphFont"/>
    <w:link w:val="Heading6"/>
    <w:uiPriority w:val="9"/>
    <w:semiHidden/>
    <w:rsid w:val="00DA273C"/>
    <w:rPr>
      <w:rFonts w:asciiTheme="majorHAnsi" w:eastAsiaTheme="majorEastAsia" w:hAnsiTheme="majorHAnsi" w:cstheme="majorBidi"/>
      <w:color w:val="243F60" w:themeColor="accent1" w:themeShade="7F"/>
      <w:sz w:val="26"/>
    </w:rPr>
  </w:style>
  <w:style w:type="character" w:customStyle="1" w:styleId="Heading7Char">
    <w:name w:val="Heading 7 Char"/>
    <w:basedOn w:val="DefaultParagraphFont"/>
    <w:link w:val="Heading7"/>
    <w:uiPriority w:val="9"/>
    <w:semiHidden/>
    <w:rsid w:val="00DA273C"/>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semiHidden/>
    <w:rsid w:val="00DA27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73C"/>
    <w:rPr>
      <w:rFonts w:asciiTheme="majorHAnsi" w:eastAsiaTheme="majorEastAsia" w:hAnsiTheme="majorHAnsi" w:cstheme="majorBidi"/>
      <w:i/>
      <w:iCs/>
      <w:color w:val="272727" w:themeColor="text1" w:themeTint="D8"/>
      <w:sz w:val="21"/>
      <w:szCs w:val="21"/>
    </w:rPr>
  </w:style>
  <w:style w:type="paragraph" w:customStyle="1" w:styleId="CalendarLevel3">
    <w:name w:val="Calendar Level 3"/>
    <w:basedOn w:val="ListParagraph"/>
    <w:link w:val="CalendarLevel3Char"/>
    <w:qFormat/>
    <w:rsid w:val="00DA273C"/>
    <w:pPr>
      <w:numPr>
        <w:numId w:val="24"/>
      </w:numPr>
      <w:spacing w:after="0" w:line="480" w:lineRule="exact"/>
      <w:ind w:left="1440"/>
    </w:pPr>
    <w:rPr>
      <w:rFonts w:ascii="Times New Roman" w:hAnsi="Times New Roman" w:cs="Times New Roman"/>
      <w:i/>
      <w:iCs/>
      <w:sz w:val="26"/>
      <w:szCs w:val="26"/>
    </w:rPr>
  </w:style>
  <w:style w:type="character" w:customStyle="1" w:styleId="CalendarLevel3Char">
    <w:name w:val="Calendar Level 3 Char"/>
    <w:basedOn w:val="ListParagraphChar"/>
    <w:link w:val="CalendarLevel3"/>
    <w:rsid w:val="00DA273C"/>
    <w:rPr>
      <w:rFonts w:asciiTheme="minorHAnsi" w:eastAsiaTheme="minorHAnsi" w:hAnsiTheme="minorHAnsi" w:cstheme="minorBidi"/>
      <w:i/>
      <w:iCs/>
      <w:sz w:val="26"/>
      <w:szCs w:val="26"/>
    </w:rPr>
  </w:style>
  <w:style w:type="paragraph" w:customStyle="1" w:styleId="CalendarLevel3a">
    <w:name w:val="Calendar Level 3a"/>
    <w:basedOn w:val="Heading3"/>
    <w:link w:val="CalendarLevel3aChar"/>
    <w:qFormat/>
    <w:rsid w:val="00DA273C"/>
    <w:pPr>
      <w:tabs>
        <w:tab w:val="left" w:pos="1440"/>
        <w:tab w:val="clear" w:pos="1584"/>
      </w:tabs>
      <w:ind w:left="1080"/>
    </w:pPr>
  </w:style>
  <w:style w:type="character" w:customStyle="1" w:styleId="CalendarLevel3aChar">
    <w:name w:val="Calendar Level 3a Char"/>
    <w:basedOn w:val="Heading3Char"/>
    <w:link w:val="CalendarLevel3a"/>
    <w:rsid w:val="00DA273C"/>
    <w:rPr>
      <w:rFonts w:ascii="Century Schoolbook" w:hAnsi="Century Schoolbook"/>
      <w:i/>
      <w:sz w:val="26"/>
    </w:rPr>
  </w:style>
  <w:style w:type="paragraph" w:styleId="BodyText">
    <w:name w:val="Body Text"/>
    <w:basedOn w:val="Normal"/>
    <w:link w:val="BodyTextChar"/>
    <w:qFormat/>
    <w:rsid w:val="002E76A2"/>
  </w:style>
  <w:style w:type="character" w:customStyle="1" w:styleId="BodyTextChar">
    <w:name w:val="Body Text Char"/>
    <w:basedOn w:val="DefaultParagraphFont"/>
    <w:link w:val="BodyText"/>
    <w:rsid w:val="002E76A2"/>
    <w:rPr>
      <w:rFonts w:ascii="Century Schoolbook" w:hAnsi="Century Schoolbook"/>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eader" Target="head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2024-07-16T23:50:49Z</dcterms:created>
  <dcterms:modified xsi:type="dcterms:W3CDTF">2024-07-16T23:50:49Z</dcterms:modified>
</cp:coreProperties>
</file>