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3.0 -->
  <w:body>
    <w:p w:rsidR="00302164" w:rsidP="00302164" w14:paraId="1A8AFE21" w14:textId="3108AB78">
      <w:pPr>
        <w:tabs>
          <w:tab w:val="left" w:pos="1440"/>
          <w:tab w:val="left" w:pos="4680"/>
          <w:tab w:val="center" w:pos="7200"/>
        </w:tabs>
        <w:spacing w:after="0"/>
        <w:jc w:val="center"/>
        <w:rPr>
          <w:sz w:val="36"/>
        </w:rPr>
      </w:pPr>
      <w:r>
        <w:rPr>
          <w:b/>
          <w:sz w:val="36"/>
        </w:rPr>
        <w:t>IN THE SUPREME COURT OF CALIFORNIA</w:t>
      </w:r>
    </w:p>
    <w:p w:rsidR="00302164" w:rsidP="00302164" w14:paraId="6144016B" w14:textId="77777777">
      <w:pPr>
        <w:tabs>
          <w:tab w:val="left" w:pos="1440"/>
          <w:tab w:val="left" w:pos="4680"/>
          <w:tab w:val="center" w:pos="7200"/>
        </w:tabs>
        <w:spacing w:after="0"/>
        <w:jc w:val="center"/>
      </w:pPr>
    </w:p>
    <w:p w:rsidR="00302164" w:rsidP="00302164" w14:paraId="08F74003" w14:textId="7E449B1D">
      <w:pPr>
        <w:tabs>
          <w:tab w:val="left" w:pos="1440"/>
          <w:tab w:val="left" w:pos="4680"/>
          <w:tab w:val="center" w:pos="7200"/>
        </w:tabs>
        <w:spacing w:after="0"/>
        <w:jc w:val="center"/>
      </w:pPr>
      <w:r>
        <w:t>JAYDE DOWNEY,</w:t>
      </w:r>
    </w:p>
    <w:p w:rsidR="00302164" w:rsidP="00302164" w14:paraId="105F7A46" w14:textId="07EF0664">
      <w:pPr>
        <w:tabs>
          <w:tab w:val="left" w:pos="1440"/>
          <w:tab w:val="left" w:pos="4680"/>
          <w:tab w:val="center" w:pos="7200"/>
        </w:tabs>
        <w:spacing w:after="0"/>
        <w:jc w:val="center"/>
      </w:pPr>
      <w:r>
        <w:t>Plaintiff and Appellant,</w:t>
      </w:r>
    </w:p>
    <w:p w:rsidR="00302164" w:rsidP="00302164" w14:paraId="39E29856" w14:textId="77777777">
      <w:pPr>
        <w:tabs>
          <w:tab w:val="left" w:pos="1440"/>
          <w:tab w:val="left" w:pos="4680"/>
          <w:tab w:val="center" w:pos="7200"/>
        </w:tabs>
        <w:spacing w:after="0"/>
        <w:jc w:val="center"/>
      </w:pPr>
      <w:r>
        <w:t>v.</w:t>
      </w:r>
    </w:p>
    <w:p w:rsidR="00302164" w:rsidP="00302164" w14:paraId="44FAEAF7" w14:textId="69B5614B">
      <w:pPr>
        <w:tabs>
          <w:tab w:val="left" w:pos="1440"/>
          <w:tab w:val="left" w:pos="4680"/>
          <w:tab w:val="center" w:pos="7200"/>
        </w:tabs>
        <w:spacing w:after="0"/>
        <w:jc w:val="center"/>
      </w:pPr>
      <w:r>
        <w:t>CITY OF RIVERSIDE et al.,</w:t>
      </w:r>
    </w:p>
    <w:p w:rsidR="00302164" w:rsidP="00302164" w14:paraId="6914E9C2" w14:textId="51F7EB59">
      <w:pPr>
        <w:tabs>
          <w:tab w:val="left" w:pos="1440"/>
          <w:tab w:val="left" w:pos="4680"/>
          <w:tab w:val="center" w:pos="7200"/>
        </w:tabs>
        <w:spacing w:after="0"/>
        <w:jc w:val="center"/>
      </w:pPr>
      <w:r>
        <w:t>Defendants and Appellants.</w:t>
      </w:r>
    </w:p>
    <w:p w:rsidR="00302164" w:rsidP="00302164" w14:paraId="6258A41F" w14:textId="77777777">
      <w:pPr>
        <w:tabs>
          <w:tab w:val="left" w:pos="1440"/>
          <w:tab w:val="left" w:pos="4680"/>
          <w:tab w:val="center" w:pos="7200"/>
        </w:tabs>
        <w:spacing w:after="0"/>
        <w:jc w:val="center"/>
      </w:pPr>
    </w:p>
    <w:p w:rsidR="00302164" w:rsidP="00302164" w14:paraId="7D9D21A2" w14:textId="79333ECE">
      <w:pPr>
        <w:tabs>
          <w:tab w:val="left" w:pos="1440"/>
          <w:tab w:val="left" w:pos="4680"/>
          <w:tab w:val="center" w:pos="7200"/>
        </w:tabs>
        <w:spacing w:after="0"/>
        <w:jc w:val="center"/>
      </w:pPr>
      <w:r>
        <w:t>S280322</w:t>
      </w:r>
    </w:p>
    <w:p w:rsidR="00302164" w:rsidP="00302164" w14:paraId="10204508" w14:textId="77777777">
      <w:pPr>
        <w:tabs>
          <w:tab w:val="left" w:pos="1440"/>
          <w:tab w:val="left" w:pos="4680"/>
          <w:tab w:val="center" w:pos="7200"/>
        </w:tabs>
        <w:spacing w:after="0"/>
        <w:jc w:val="center"/>
      </w:pPr>
    </w:p>
    <w:p w:rsidR="00302164" w:rsidP="00302164" w14:paraId="4104FD14" w14:textId="497075DB">
      <w:pPr>
        <w:tabs>
          <w:tab w:val="left" w:pos="1440"/>
          <w:tab w:val="left" w:pos="4680"/>
          <w:tab w:val="center" w:pos="7200"/>
        </w:tabs>
        <w:spacing w:after="0"/>
        <w:jc w:val="center"/>
      </w:pPr>
      <w:r>
        <w:t>Fourth Appellate District, Division One</w:t>
      </w:r>
    </w:p>
    <w:p w:rsidR="00302164" w:rsidP="00302164" w14:paraId="776DB271" w14:textId="162E4B88">
      <w:pPr>
        <w:tabs>
          <w:tab w:val="left" w:pos="1440"/>
          <w:tab w:val="left" w:pos="4680"/>
          <w:tab w:val="center" w:pos="7200"/>
        </w:tabs>
        <w:spacing w:after="0"/>
        <w:jc w:val="center"/>
      </w:pPr>
      <w:r>
        <w:t>D080377</w:t>
      </w:r>
    </w:p>
    <w:p w:rsidR="00302164" w:rsidP="00302164" w14:paraId="46639282" w14:textId="77777777">
      <w:pPr>
        <w:tabs>
          <w:tab w:val="left" w:pos="1440"/>
          <w:tab w:val="left" w:pos="4680"/>
          <w:tab w:val="center" w:pos="7200"/>
        </w:tabs>
        <w:spacing w:after="0"/>
        <w:jc w:val="center"/>
      </w:pPr>
    </w:p>
    <w:p w:rsidR="00302164" w:rsidP="00302164" w14:paraId="74F86FFF" w14:textId="727885E4">
      <w:pPr>
        <w:tabs>
          <w:tab w:val="left" w:pos="1440"/>
          <w:tab w:val="left" w:pos="4680"/>
          <w:tab w:val="center" w:pos="7200"/>
        </w:tabs>
        <w:spacing w:after="0"/>
        <w:jc w:val="center"/>
      </w:pPr>
      <w:r>
        <w:t>Riverside County Superior Court</w:t>
      </w:r>
    </w:p>
    <w:p w:rsidR="00302164" w:rsidP="00302164" w14:paraId="79ED839E" w14:textId="32FF8490">
      <w:pPr>
        <w:tabs>
          <w:tab w:val="left" w:pos="1440"/>
          <w:tab w:val="left" w:pos="4680"/>
          <w:tab w:val="center" w:pos="7200"/>
        </w:tabs>
        <w:spacing w:after="0"/>
        <w:jc w:val="center"/>
      </w:pPr>
      <w:r>
        <w:t>RIC1905830</w:t>
      </w:r>
    </w:p>
    <w:p w:rsidR="00302164" w:rsidP="00302164" w14:paraId="27DF3983" w14:textId="77777777">
      <w:pPr>
        <w:pBdr>
          <w:bottom w:val="single" w:sz="4" w:space="1" w:color="auto"/>
        </w:pBdr>
        <w:tabs>
          <w:tab w:val="left" w:pos="1440"/>
          <w:tab w:val="left" w:pos="4680"/>
          <w:tab w:val="center" w:pos="7200"/>
        </w:tabs>
        <w:spacing w:after="0"/>
        <w:jc w:val="center"/>
      </w:pPr>
    </w:p>
    <w:p w:rsidR="00302164" w:rsidP="00302164" w14:paraId="69FAC3D7" w14:textId="77777777">
      <w:pPr>
        <w:tabs>
          <w:tab w:val="left" w:pos="1440"/>
          <w:tab w:val="left" w:pos="4680"/>
          <w:tab w:val="center" w:pos="7200"/>
        </w:tabs>
        <w:spacing w:after="0"/>
        <w:jc w:val="center"/>
      </w:pPr>
    </w:p>
    <w:p w:rsidR="00302164" w:rsidP="00302164" w14:paraId="5437EE7D" w14:textId="390192B8">
      <w:pPr>
        <w:tabs>
          <w:tab w:val="left" w:pos="1440"/>
          <w:tab w:val="left" w:pos="4680"/>
          <w:tab w:val="center" w:pos="7200"/>
        </w:tabs>
        <w:spacing w:after="0"/>
        <w:jc w:val="center"/>
      </w:pPr>
      <w:r>
        <w:t>July 22, 2024</w:t>
      </w:r>
    </w:p>
    <w:p w:rsidR="00302164" w:rsidP="00302164" w14:paraId="239DB8CB" w14:textId="77777777">
      <w:pPr>
        <w:tabs>
          <w:tab w:val="left" w:pos="1440"/>
          <w:tab w:val="left" w:pos="4680"/>
          <w:tab w:val="center" w:pos="7200"/>
        </w:tabs>
        <w:spacing w:after="0"/>
        <w:jc w:val="left"/>
      </w:pPr>
    </w:p>
    <w:p w:rsidR="00302164" w:rsidP="00302164" w14:paraId="74C70754" w14:textId="18EB9649">
      <w:pPr>
        <w:tabs>
          <w:tab w:val="left" w:pos="1440"/>
        </w:tabs>
        <w:rPr>
          <w:szCs w:val="27"/>
        </w:rPr>
      </w:pPr>
      <w:r>
        <w:rPr>
          <w:szCs w:val="27"/>
        </w:rPr>
        <w:t xml:space="preserve">Justice Kruger authored the opinion of the Court, in which </w:t>
      </w:r>
      <w:r w:rsidR="009C2B99">
        <w:rPr>
          <w:szCs w:val="27"/>
        </w:rPr>
        <w:t>Chief Justice Guerrero and Justices Corrigan, Liu, Groban, Jenkins, and Evans</w:t>
      </w:r>
      <w:r>
        <w:rPr>
          <w:szCs w:val="27"/>
        </w:rPr>
        <w:t xml:space="preserve"> concurred.</w:t>
      </w:r>
      <w:bookmarkStart w:id="0" w:name="Return"/>
      <w:bookmarkEnd w:id="0"/>
    </w:p>
    <w:p w:rsidR="00302164" w:rsidP="00302164" w14:paraId="12712714" w14:textId="77777777">
      <w:pPr>
        <w:pBdr>
          <w:bottom w:val="single" w:sz="4" w:space="1" w:color="auto"/>
        </w:pBdr>
        <w:tabs>
          <w:tab w:val="left" w:pos="1440"/>
          <w:tab w:val="left" w:pos="4680"/>
          <w:tab w:val="center" w:pos="7200"/>
        </w:tabs>
        <w:spacing w:line="480" w:lineRule="exact"/>
        <w:jc w:val="left"/>
      </w:pPr>
    </w:p>
    <w:p w:rsidR="00302164" w:rsidP="00302164" w14:paraId="19F4E862" w14:textId="77777777">
      <w:pPr>
        <w:tabs>
          <w:tab w:val="left" w:pos="1440"/>
          <w:tab w:val="left" w:pos="4680"/>
          <w:tab w:val="center" w:pos="7200"/>
        </w:tabs>
        <w:spacing w:line="480" w:lineRule="atLeast"/>
      </w:pPr>
    </w:p>
    <w:p w:rsidR="00302164" w:rsidP="00302164" w14:paraId="6383C154" w14:textId="77777777">
      <w:pPr>
        <w:tabs>
          <w:tab w:val="left" w:pos="1440"/>
          <w:tab w:val="left" w:pos="4680"/>
          <w:tab w:val="center" w:pos="7200"/>
        </w:tabs>
        <w:spacing w:line="480" w:lineRule="atLeast"/>
        <w:sectPr w:rsidSect="008F2BB6">
          <w:headerReference w:type="default" r:id="rId7"/>
          <w:footerReference w:type="default" r:id="rId8"/>
          <w:pgSz w:w="12240" w:h="15840"/>
          <w:pgMar w:top="1800" w:right="2160" w:bottom="1440" w:left="2160" w:header="720" w:footer="720" w:gutter="0"/>
          <w:cols w:space="720"/>
          <w:titlePg/>
          <w:docGrid w:linePitch="367"/>
        </w:sectPr>
      </w:pPr>
    </w:p>
    <w:p w:rsidR="00302164" w:rsidP="00302164" w14:paraId="509CA987" w14:textId="78F5D060">
      <w:pPr>
        <w:tabs>
          <w:tab w:val="left" w:pos="1440"/>
          <w:tab w:val="left" w:pos="4680"/>
          <w:tab w:val="center" w:pos="7200"/>
        </w:tabs>
        <w:jc w:val="center"/>
      </w:pPr>
      <w:r>
        <w:t>DOWNEY v. CITY OF RIVERSIDE</w:t>
      </w:r>
    </w:p>
    <w:p w:rsidR="00302164" w:rsidP="00302164" w14:paraId="25207D1B" w14:textId="0FB1F4D4">
      <w:pPr>
        <w:tabs>
          <w:tab w:val="left" w:pos="1440"/>
          <w:tab w:val="left" w:pos="4680"/>
          <w:tab w:val="center" w:pos="7200"/>
        </w:tabs>
        <w:jc w:val="center"/>
      </w:pPr>
      <w:r>
        <w:t>S280322</w:t>
      </w:r>
    </w:p>
    <w:p w:rsidR="00302164" w:rsidP="00302164" w14:paraId="6A6C3F36" w14:textId="77777777">
      <w:pPr>
        <w:tabs>
          <w:tab w:val="left" w:pos="1440"/>
          <w:tab w:val="left" w:pos="4680"/>
          <w:tab w:val="center" w:pos="7200"/>
        </w:tabs>
        <w:jc w:val="center"/>
      </w:pPr>
    </w:p>
    <w:p w:rsidR="00302164" w:rsidP="00302164" w14:paraId="55C1E29E" w14:textId="77777777">
      <w:pPr>
        <w:tabs>
          <w:tab w:val="left" w:pos="1440"/>
          <w:tab w:val="left" w:pos="4680"/>
          <w:tab w:val="center" w:pos="7200"/>
        </w:tabs>
        <w:jc w:val="center"/>
      </w:pPr>
      <w:r>
        <w:t>Opinion of the Court by Kruger, J.</w:t>
      </w:r>
    </w:p>
    <w:p w:rsidR="00302164" w:rsidRPr="00AC3433" w:rsidP="00302164" w14:paraId="0A1FA5BD" w14:textId="77777777">
      <w:pPr>
        <w:tabs>
          <w:tab w:val="left" w:pos="1440"/>
          <w:tab w:val="left" w:pos="4680"/>
          <w:tab w:val="center" w:pos="7200"/>
        </w:tabs>
        <w:jc w:val="center"/>
      </w:pPr>
    </w:p>
    <w:p w:rsidR="000271B6" w:rsidRPr="00302164" w:rsidP="00302164" w14:paraId="5EFE28E5" w14:textId="09DCC0D6">
      <w:pPr>
        <w:tabs>
          <w:tab w:val="left" w:pos="720"/>
        </w:tabs>
        <w:rPr>
          <w:szCs w:val="26"/>
        </w:rPr>
      </w:pPr>
      <w:r w:rsidRPr="00302164">
        <w:rPr>
          <w:szCs w:val="26"/>
        </w:rPr>
        <w:tab/>
      </w:r>
      <w:r w:rsidRPr="00302164" w:rsidR="00A22D76">
        <w:rPr>
          <w:szCs w:val="26"/>
        </w:rPr>
        <w:t xml:space="preserve">Since </w:t>
      </w:r>
      <w:r w:rsidRPr="00302164" w:rsidR="00747C47">
        <w:rPr>
          <w:i/>
          <w:iCs/>
          <w:szCs w:val="26"/>
        </w:rPr>
        <w:t>Dillon v. Legg</w:t>
      </w:r>
      <w:r w:rsidRPr="00302164" w:rsidR="00747C47">
        <w:rPr>
          <w:szCs w:val="26"/>
        </w:rPr>
        <w:t xml:space="preserve"> (1968) 68 Cal.2d 728 (</w:t>
      </w:r>
      <w:r w:rsidRPr="00302164" w:rsidR="00747C47">
        <w:rPr>
          <w:i/>
          <w:iCs/>
          <w:szCs w:val="26"/>
        </w:rPr>
        <w:t>Dillon</w:t>
      </w:r>
      <w:r w:rsidRPr="00302164" w:rsidR="00747C47">
        <w:rPr>
          <w:szCs w:val="26"/>
        </w:rPr>
        <w:t>)</w:t>
      </w:r>
      <w:r w:rsidRPr="00302164" w:rsidR="003775B8">
        <w:rPr>
          <w:szCs w:val="26"/>
        </w:rPr>
        <w:t xml:space="preserve">, </w:t>
      </w:r>
      <w:r w:rsidRPr="00302164" w:rsidR="00314A40">
        <w:rPr>
          <w:szCs w:val="26"/>
        </w:rPr>
        <w:t xml:space="preserve">California </w:t>
      </w:r>
      <w:r w:rsidR="006F7A08">
        <w:rPr>
          <w:szCs w:val="26"/>
        </w:rPr>
        <w:t xml:space="preserve">courts </w:t>
      </w:r>
      <w:r w:rsidRPr="00302164" w:rsidR="00314A40">
        <w:rPr>
          <w:szCs w:val="26"/>
        </w:rPr>
        <w:t>ha</w:t>
      </w:r>
      <w:r w:rsidR="006F7A08">
        <w:rPr>
          <w:szCs w:val="26"/>
        </w:rPr>
        <w:t>ve</w:t>
      </w:r>
      <w:r w:rsidRPr="00302164" w:rsidR="00314A40">
        <w:rPr>
          <w:szCs w:val="26"/>
        </w:rPr>
        <w:t xml:space="preserve"> recognized </w:t>
      </w:r>
      <w:r w:rsidR="0012740D">
        <w:rPr>
          <w:szCs w:val="26"/>
        </w:rPr>
        <w:t>a</w:t>
      </w:r>
      <w:r w:rsidR="0074052E">
        <w:rPr>
          <w:szCs w:val="26"/>
        </w:rPr>
        <w:t xml:space="preserve"> plaintiff’s</w:t>
      </w:r>
      <w:r w:rsidR="0012740D">
        <w:rPr>
          <w:szCs w:val="26"/>
        </w:rPr>
        <w:t xml:space="preserve"> right to recover in negligence for </w:t>
      </w:r>
      <w:r w:rsidRPr="00302164" w:rsidR="0064405F">
        <w:rPr>
          <w:szCs w:val="26"/>
        </w:rPr>
        <w:t xml:space="preserve">serious emotional distress </w:t>
      </w:r>
      <w:r w:rsidR="0012740D">
        <w:rPr>
          <w:szCs w:val="26"/>
        </w:rPr>
        <w:t xml:space="preserve">suffered </w:t>
      </w:r>
      <w:r w:rsidR="005A0704">
        <w:rPr>
          <w:szCs w:val="26"/>
        </w:rPr>
        <w:t xml:space="preserve">as a result of witnessing </w:t>
      </w:r>
      <w:r w:rsidR="00E50C9A">
        <w:rPr>
          <w:szCs w:val="26"/>
        </w:rPr>
        <w:t xml:space="preserve">injuries inflicted on </w:t>
      </w:r>
      <w:r w:rsidRPr="00302164" w:rsidR="0064405F">
        <w:rPr>
          <w:szCs w:val="26"/>
        </w:rPr>
        <w:t xml:space="preserve">a close </w:t>
      </w:r>
      <w:r w:rsidRPr="00302164" w:rsidR="000F5211">
        <w:rPr>
          <w:szCs w:val="26"/>
        </w:rPr>
        <w:t>relativ</w:t>
      </w:r>
      <w:r w:rsidR="00E50C9A">
        <w:rPr>
          <w:szCs w:val="26"/>
        </w:rPr>
        <w:t>e</w:t>
      </w:r>
      <w:r w:rsidRPr="00302164" w:rsidR="00B131A5">
        <w:rPr>
          <w:szCs w:val="26"/>
        </w:rPr>
        <w:t xml:space="preserve">.  </w:t>
      </w:r>
      <w:r w:rsidR="00DD0AC3">
        <w:rPr>
          <w:szCs w:val="26"/>
        </w:rPr>
        <w:t>R</w:t>
      </w:r>
      <w:r w:rsidRPr="00302164" w:rsidR="00397E8F">
        <w:rPr>
          <w:szCs w:val="26"/>
        </w:rPr>
        <w:t xml:space="preserve">ecovery </w:t>
      </w:r>
      <w:r w:rsidR="00E234B8">
        <w:rPr>
          <w:szCs w:val="26"/>
        </w:rPr>
        <w:t xml:space="preserve">for negligent infliction of emotional distress </w:t>
      </w:r>
      <w:r w:rsidRPr="00302164" w:rsidR="00397E8F">
        <w:rPr>
          <w:szCs w:val="26"/>
        </w:rPr>
        <w:t>is</w:t>
      </w:r>
      <w:r w:rsidRPr="00302164" w:rsidR="00900ACD">
        <w:rPr>
          <w:szCs w:val="26"/>
        </w:rPr>
        <w:t xml:space="preserve"> available</w:t>
      </w:r>
      <w:r w:rsidR="00DD0AC3">
        <w:rPr>
          <w:szCs w:val="26"/>
        </w:rPr>
        <w:t>, however,</w:t>
      </w:r>
      <w:r w:rsidR="00A60190">
        <w:rPr>
          <w:szCs w:val="26"/>
        </w:rPr>
        <w:t xml:space="preserve"> </w:t>
      </w:r>
      <w:r w:rsidRPr="00302164" w:rsidR="00397E8F">
        <w:rPr>
          <w:szCs w:val="26"/>
        </w:rPr>
        <w:t>only if</w:t>
      </w:r>
      <w:r w:rsidR="00DD0AC3">
        <w:rPr>
          <w:szCs w:val="26"/>
        </w:rPr>
        <w:t xml:space="preserve"> </w:t>
      </w:r>
      <w:r w:rsidRPr="00302164" w:rsidR="003775B8">
        <w:rPr>
          <w:szCs w:val="26"/>
        </w:rPr>
        <w:t xml:space="preserve">the plaintiff “is </w:t>
      </w:r>
      <w:r w:rsidRPr="00302164" w:rsidR="001C6565">
        <w:rPr>
          <w:szCs w:val="26"/>
        </w:rPr>
        <w:t>present at the scene of the injury</w:t>
      </w:r>
      <w:r w:rsidRPr="00302164" w:rsidR="000E6A5B">
        <w:rPr>
          <w:szCs w:val="26"/>
        </w:rPr>
        <w:t>-</w:t>
      </w:r>
      <w:r w:rsidRPr="00302164" w:rsidR="001C6565">
        <w:rPr>
          <w:szCs w:val="26"/>
        </w:rPr>
        <w:t>producing event at the time it occurs and is then aware that it is causing injury to the victim</w:t>
      </w:r>
      <w:r w:rsidRPr="00302164" w:rsidR="003775B8">
        <w:rPr>
          <w:szCs w:val="26"/>
        </w:rPr>
        <w:t>.</w:t>
      </w:r>
      <w:r w:rsidRPr="00302164" w:rsidR="001C6565">
        <w:rPr>
          <w:szCs w:val="26"/>
        </w:rPr>
        <w:t>”</w:t>
      </w:r>
      <w:r w:rsidRPr="00302164" w:rsidR="003775B8">
        <w:rPr>
          <w:szCs w:val="26"/>
        </w:rPr>
        <w:t xml:space="preserve">  </w:t>
      </w:r>
      <w:r w:rsidRPr="00302164" w:rsidR="001C6565">
        <w:rPr>
          <w:szCs w:val="26"/>
        </w:rPr>
        <w:t>(</w:t>
      </w:r>
      <w:r w:rsidRPr="00302164" w:rsidR="001C6565">
        <w:rPr>
          <w:i/>
          <w:iCs/>
          <w:szCs w:val="26"/>
        </w:rPr>
        <w:t>Thing v. La Chusa</w:t>
      </w:r>
      <w:r w:rsidRPr="00302164" w:rsidR="001C6565">
        <w:rPr>
          <w:szCs w:val="26"/>
        </w:rPr>
        <w:t xml:space="preserve"> (1989) 48</w:t>
      </w:r>
      <w:r w:rsidR="0007686B">
        <w:rPr>
          <w:szCs w:val="26"/>
        </w:rPr>
        <w:t> </w:t>
      </w:r>
      <w:r w:rsidRPr="00302164" w:rsidR="001C6565">
        <w:rPr>
          <w:szCs w:val="26"/>
        </w:rPr>
        <w:t>Cal.3d 644, 668</w:t>
      </w:r>
      <w:r w:rsidRPr="00302164" w:rsidR="00DA3627">
        <w:rPr>
          <w:szCs w:val="26"/>
        </w:rPr>
        <w:t xml:space="preserve"> (</w:t>
      </w:r>
      <w:r w:rsidRPr="00302164" w:rsidR="00DA3627">
        <w:rPr>
          <w:i/>
          <w:iCs/>
          <w:szCs w:val="26"/>
        </w:rPr>
        <w:t>Thing</w:t>
      </w:r>
      <w:r w:rsidRPr="00302164" w:rsidR="00DA3627">
        <w:rPr>
          <w:szCs w:val="26"/>
        </w:rPr>
        <w:t>)</w:t>
      </w:r>
      <w:r w:rsidRPr="00302164" w:rsidR="001C6565">
        <w:rPr>
          <w:szCs w:val="26"/>
        </w:rPr>
        <w:t>.)</w:t>
      </w:r>
    </w:p>
    <w:p w:rsidR="00995F98" w:rsidRPr="00302164" w:rsidP="00302164" w14:paraId="5FFCC3ED" w14:textId="6DD947F6">
      <w:pPr>
        <w:tabs>
          <w:tab w:val="left" w:pos="720"/>
        </w:tabs>
        <w:rPr>
          <w:szCs w:val="26"/>
        </w:rPr>
      </w:pPr>
      <w:r w:rsidRPr="00302164">
        <w:rPr>
          <w:szCs w:val="26"/>
        </w:rPr>
        <w:tab/>
      </w:r>
      <w:r w:rsidRPr="00302164" w:rsidR="000D3A62">
        <w:rPr>
          <w:szCs w:val="26"/>
        </w:rPr>
        <w:t xml:space="preserve">In the prototypical case, exemplified by the facts of </w:t>
      </w:r>
      <w:r w:rsidRPr="00302164" w:rsidR="000D3A62">
        <w:rPr>
          <w:i/>
          <w:iCs/>
          <w:szCs w:val="26"/>
        </w:rPr>
        <w:t>Dillon</w:t>
      </w:r>
      <w:r w:rsidRPr="00302164" w:rsidR="000D3A62">
        <w:rPr>
          <w:szCs w:val="26"/>
        </w:rPr>
        <w:t xml:space="preserve">, a parent watches as a negligent driver collides with </w:t>
      </w:r>
      <w:r w:rsidRPr="00302164" w:rsidR="00107B18">
        <w:rPr>
          <w:szCs w:val="26"/>
        </w:rPr>
        <w:t xml:space="preserve">her </w:t>
      </w:r>
      <w:r w:rsidRPr="00302164" w:rsidR="000D3A62">
        <w:rPr>
          <w:szCs w:val="26"/>
        </w:rPr>
        <w:t xml:space="preserve">child.  The parent, who is contemporaneously aware of both the </w:t>
      </w:r>
      <w:r w:rsidRPr="00302164" w:rsidR="001044B2">
        <w:rPr>
          <w:szCs w:val="26"/>
        </w:rPr>
        <w:t xml:space="preserve">driver’s </w:t>
      </w:r>
      <w:r w:rsidRPr="00302164" w:rsidR="000D3A62">
        <w:rPr>
          <w:szCs w:val="26"/>
        </w:rPr>
        <w:t xml:space="preserve">negligent </w:t>
      </w:r>
      <w:r w:rsidRPr="00302164" w:rsidR="001044B2">
        <w:rPr>
          <w:szCs w:val="26"/>
        </w:rPr>
        <w:t xml:space="preserve">conduct </w:t>
      </w:r>
      <w:r w:rsidRPr="00302164" w:rsidR="000D3A62">
        <w:rPr>
          <w:szCs w:val="26"/>
        </w:rPr>
        <w:t xml:space="preserve">and </w:t>
      </w:r>
      <w:r w:rsidRPr="00302164" w:rsidR="001044B2">
        <w:rPr>
          <w:szCs w:val="26"/>
        </w:rPr>
        <w:t>the child’s resulting injury</w:t>
      </w:r>
      <w:r w:rsidRPr="00302164" w:rsidR="000D3A62">
        <w:rPr>
          <w:szCs w:val="26"/>
        </w:rPr>
        <w:t xml:space="preserve">, is permitted to sue </w:t>
      </w:r>
      <w:r w:rsidRPr="00302164" w:rsidR="001044B2">
        <w:rPr>
          <w:szCs w:val="26"/>
        </w:rPr>
        <w:t xml:space="preserve">the driver </w:t>
      </w:r>
      <w:r w:rsidRPr="00302164" w:rsidR="000D3A62">
        <w:rPr>
          <w:szCs w:val="26"/>
        </w:rPr>
        <w:t xml:space="preserve">for </w:t>
      </w:r>
      <w:r w:rsidRPr="00302164" w:rsidR="00107B18">
        <w:rPr>
          <w:szCs w:val="26"/>
        </w:rPr>
        <w:t xml:space="preserve">her </w:t>
      </w:r>
      <w:r w:rsidRPr="00302164" w:rsidR="000D3A62">
        <w:rPr>
          <w:szCs w:val="26"/>
        </w:rPr>
        <w:t xml:space="preserve">emotional trauma.  </w:t>
      </w:r>
      <w:r w:rsidR="00F20F98">
        <w:rPr>
          <w:szCs w:val="26"/>
        </w:rPr>
        <w:t xml:space="preserve">The facts of this case </w:t>
      </w:r>
      <w:r w:rsidR="00002E42">
        <w:rPr>
          <w:szCs w:val="26"/>
        </w:rPr>
        <w:t xml:space="preserve">require us to consider </w:t>
      </w:r>
      <w:r w:rsidR="00F20F98">
        <w:rPr>
          <w:szCs w:val="26"/>
        </w:rPr>
        <w:t>a new question about</w:t>
      </w:r>
      <w:r w:rsidR="00855D58">
        <w:rPr>
          <w:szCs w:val="26"/>
        </w:rPr>
        <w:t xml:space="preserve"> </w:t>
      </w:r>
      <w:r w:rsidR="00576158">
        <w:rPr>
          <w:szCs w:val="26"/>
        </w:rPr>
        <w:t xml:space="preserve">emotional distress </w:t>
      </w:r>
      <w:r w:rsidR="00855D58">
        <w:rPr>
          <w:szCs w:val="26"/>
        </w:rPr>
        <w:t>recovery</w:t>
      </w:r>
      <w:r w:rsidR="00153B57">
        <w:rPr>
          <w:szCs w:val="26"/>
        </w:rPr>
        <w:t xml:space="preserve">:  </w:t>
      </w:r>
      <w:r w:rsidR="00F20F98">
        <w:rPr>
          <w:szCs w:val="26"/>
        </w:rPr>
        <w:t>W</w:t>
      </w:r>
      <w:r w:rsidRPr="00302164" w:rsidR="000D3A62">
        <w:rPr>
          <w:szCs w:val="26"/>
        </w:rPr>
        <w:t>hat if the p</w:t>
      </w:r>
      <w:r w:rsidRPr="00302164" w:rsidR="001044B2">
        <w:rPr>
          <w:szCs w:val="26"/>
        </w:rPr>
        <w:t xml:space="preserve">laintiff </w:t>
      </w:r>
      <w:r w:rsidRPr="00302164" w:rsidR="000D3A62">
        <w:rPr>
          <w:szCs w:val="26"/>
        </w:rPr>
        <w:t xml:space="preserve">is aware </w:t>
      </w:r>
      <w:r w:rsidRPr="00302164" w:rsidR="001044B2">
        <w:rPr>
          <w:szCs w:val="26"/>
        </w:rPr>
        <w:t xml:space="preserve">that </w:t>
      </w:r>
      <w:r w:rsidRPr="00302164" w:rsidR="00C26910">
        <w:rPr>
          <w:szCs w:val="26"/>
        </w:rPr>
        <w:t xml:space="preserve">injury has been inflicted on </w:t>
      </w:r>
      <w:r w:rsidRPr="00302164" w:rsidR="00BA39F5">
        <w:rPr>
          <w:szCs w:val="26"/>
        </w:rPr>
        <w:t>the victim</w:t>
      </w:r>
      <w:r w:rsidRPr="00302164" w:rsidR="00C26910">
        <w:rPr>
          <w:szCs w:val="26"/>
        </w:rPr>
        <w:t xml:space="preserve">, but </w:t>
      </w:r>
      <w:r w:rsidRPr="00302164" w:rsidR="001044B2">
        <w:rPr>
          <w:szCs w:val="26"/>
        </w:rPr>
        <w:t xml:space="preserve">not of </w:t>
      </w:r>
      <w:r w:rsidRPr="00302164" w:rsidR="00204052">
        <w:rPr>
          <w:szCs w:val="26"/>
        </w:rPr>
        <w:t xml:space="preserve">the defendant’s role in </w:t>
      </w:r>
      <w:r w:rsidRPr="00302164" w:rsidR="000D3A62">
        <w:rPr>
          <w:szCs w:val="26"/>
        </w:rPr>
        <w:t>caus</w:t>
      </w:r>
      <w:r w:rsidRPr="00302164" w:rsidR="00204052">
        <w:rPr>
          <w:szCs w:val="26"/>
        </w:rPr>
        <w:t>ing</w:t>
      </w:r>
      <w:r w:rsidRPr="00302164" w:rsidR="000D3A62">
        <w:rPr>
          <w:szCs w:val="26"/>
        </w:rPr>
        <w:t xml:space="preserve"> </w:t>
      </w:r>
      <w:r w:rsidRPr="00302164" w:rsidR="00DB0943">
        <w:rPr>
          <w:szCs w:val="26"/>
        </w:rPr>
        <w:t>the injury</w:t>
      </w:r>
      <w:r w:rsidRPr="00302164" w:rsidR="000D3A62">
        <w:rPr>
          <w:szCs w:val="26"/>
        </w:rPr>
        <w:t>?</w:t>
      </w:r>
      <w:r w:rsidRPr="00302164">
        <w:rPr>
          <w:szCs w:val="26"/>
        </w:rPr>
        <w:t xml:space="preserve">  </w:t>
      </w:r>
    </w:p>
    <w:p w:rsidR="00840A42" w:rsidRPr="00302164" w:rsidP="00302164" w14:paraId="54F8B1AB" w14:textId="16A2C80D">
      <w:pPr>
        <w:tabs>
          <w:tab w:val="left" w:pos="720"/>
        </w:tabs>
        <w:rPr>
          <w:szCs w:val="26"/>
        </w:rPr>
      </w:pPr>
      <w:r w:rsidRPr="00302164">
        <w:rPr>
          <w:szCs w:val="26"/>
        </w:rPr>
        <w:tab/>
      </w:r>
      <w:r w:rsidRPr="00302164" w:rsidR="002A4EB9">
        <w:rPr>
          <w:szCs w:val="26"/>
        </w:rPr>
        <w:t>P</w:t>
      </w:r>
      <w:r w:rsidRPr="00302164" w:rsidR="00130D49">
        <w:rPr>
          <w:szCs w:val="26"/>
        </w:rPr>
        <w:t xml:space="preserve">laintiff Jayde Downey was </w:t>
      </w:r>
      <w:r w:rsidRPr="00302164" w:rsidR="00DA3627">
        <w:rPr>
          <w:szCs w:val="26"/>
        </w:rPr>
        <w:t xml:space="preserve">giving driving directions to her daughter </w:t>
      </w:r>
      <w:r w:rsidRPr="00302164" w:rsidR="00130D49">
        <w:rPr>
          <w:szCs w:val="26"/>
        </w:rPr>
        <w:t xml:space="preserve">over cell phone when her daughter was severely injured in a car crash.  Downey </w:t>
      </w:r>
      <w:r w:rsidRPr="00302164" w:rsidR="00601F30">
        <w:rPr>
          <w:szCs w:val="26"/>
        </w:rPr>
        <w:t xml:space="preserve">heard the collision </w:t>
      </w:r>
      <w:r w:rsidRPr="00302164" w:rsidR="002A4EB9">
        <w:rPr>
          <w:szCs w:val="26"/>
        </w:rPr>
        <w:t>and its immediate aftermath</w:t>
      </w:r>
      <w:r w:rsidRPr="00302164" w:rsidR="006568E1">
        <w:rPr>
          <w:szCs w:val="26"/>
        </w:rPr>
        <w:t xml:space="preserve">, but </w:t>
      </w:r>
      <w:r w:rsidRPr="00302164" w:rsidR="002A4EB9">
        <w:rPr>
          <w:szCs w:val="26"/>
        </w:rPr>
        <w:t xml:space="preserve">she </w:t>
      </w:r>
      <w:r w:rsidRPr="00302164" w:rsidR="006568E1">
        <w:rPr>
          <w:szCs w:val="26"/>
        </w:rPr>
        <w:t>could not see what had caused it</w:t>
      </w:r>
      <w:r w:rsidRPr="00302164" w:rsidR="00566122">
        <w:rPr>
          <w:szCs w:val="26"/>
        </w:rPr>
        <w:t xml:space="preserve">.  </w:t>
      </w:r>
      <w:r w:rsidRPr="00302164" w:rsidR="00F10773">
        <w:rPr>
          <w:szCs w:val="26"/>
        </w:rPr>
        <w:t xml:space="preserve">She </w:t>
      </w:r>
      <w:r w:rsidR="006579DC">
        <w:rPr>
          <w:szCs w:val="26"/>
        </w:rPr>
        <w:t xml:space="preserve">claims </w:t>
      </w:r>
      <w:r w:rsidRPr="00302164" w:rsidR="00192230">
        <w:rPr>
          <w:szCs w:val="26"/>
        </w:rPr>
        <w:t xml:space="preserve">that the fault lies partially with individuals and entities responsible for the condition of the roadway where the crash occurred and has sued them for negligent infliction of emotional distress.  </w:t>
      </w:r>
      <w:r w:rsidR="006F7A08">
        <w:rPr>
          <w:szCs w:val="26"/>
        </w:rPr>
        <w:t>T</w:t>
      </w:r>
      <w:r w:rsidRPr="00302164" w:rsidR="00620B1A">
        <w:rPr>
          <w:szCs w:val="26"/>
        </w:rPr>
        <w:t xml:space="preserve">he Court of Appeal </w:t>
      </w:r>
      <w:r w:rsidRPr="00302164" w:rsidR="00DB4C7C">
        <w:rPr>
          <w:szCs w:val="26"/>
        </w:rPr>
        <w:t>conclud</w:t>
      </w:r>
      <w:r w:rsidR="006F7A08">
        <w:rPr>
          <w:szCs w:val="26"/>
        </w:rPr>
        <w:t>ed, however,</w:t>
      </w:r>
      <w:r w:rsidRPr="00302164" w:rsidR="00DB4C7C">
        <w:rPr>
          <w:szCs w:val="26"/>
        </w:rPr>
        <w:t xml:space="preserve"> that </w:t>
      </w:r>
      <w:r w:rsidRPr="00302164" w:rsidR="00F10773">
        <w:rPr>
          <w:szCs w:val="26"/>
        </w:rPr>
        <w:t xml:space="preserve">Downey was not entitled to recover </w:t>
      </w:r>
      <w:r w:rsidRPr="00302164" w:rsidR="00AE69F1">
        <w:rPr>
          <w:szCs w:val="26"/>
        </w:rPr>
        <w:t xml:space="preserve">emotional distress damages </w:t>
      </w:r>
      <w:r w:rsidRPr="00302164" w:rsidR="00E5609D">
        <w:rPr>
          <w:szCs w:val="26"/>
        </w:rPr>
        <w:t xml:space="preserve">against these defendants </w:t>
      </w:r>
      <w:r w:rsidRPr="00302164" w:rsidR="00F10773">
        <w:rPr>
          <w:szCs w:val="26"/>
        </w:rPr>
        <w:t>unless</w:t>
      </w:r>
      <w:r w:rsidRPr="00302164" w:rsidR="006177B2">
        <w:rPr>
          <w:szCs w:val="26"/>
        </w:rPr>
        <w:t xml:space="preserve"> at the time of the crash </w:t>
      </w:r>
      <w:r w:rsidRPr="00302164" w:rsidR="00F10773">
        <w:rPr>
          <w:szCs w:val="26"/>
        </w:rPr>
        <w:t xml:space="preserve">she was </w:t>
      </w:r>
      <w:r w:rsidRPr="00302164" w:rsidR="006177B2">
        <w:rPr>
          <w:szCs w:val="26"/>
        </w:rPr>
        <w:t xml:space="preserve">aware </w:t>
      </w:r>
      <w:r w:rsidRPr="00302164" w:rsidR="00BE0508">
        <w:rPr>
          <w:szCs w:val="26"/>
        </w:rPr>
        <w:t xml:space="preserve">of a causal connection </w:t>
      </w:r>
      <w:r w:rsidRPr="00302164" w:rsidR="00F10773">
        <w:rPr>
          <w:szCs w:val="26"/>
        </w:rPr>
        <w:t>between her daughter’s injuries and the defendants</w:t>
      </w:r>
      <w:r w:rsidRPr="00302164" w:rsidR="00900ACD">
        <w:rPr>
          <w:szCs w:val="26"/>
        </w:rPr>
        <w:t>’</w:t>
      </w:r>
      <w:r w:rsidRPr="00302164" w:rsidR="00F10773">
        <w:rPr>
          <w:szCs w:val="26"/>
        </w:rPr>
        <w:t xml:space="preserve"> alleged negligence</w:t>
      </w:r>
      <w:r w:rsidRPr="00302164" w:rsidR="00900ACD">
        <w:rPr>
          <w:szCs w:val="26"/>
        </w:rPr>
        <w:t xml:space="preserve"> in maintaining the intersection</w:t>
      </w:r>
      <w:r w:rsidRPr="00302164" w:rsidR="00F10773">
        <w:rPr>
          <w:szCs w:val="26"/>
        </w:rPr>
        <w:t>.</w:t>
      </w:r>
    </w:p>
    <w:p w:rsidR="00040168" w:rsidRPr="00302164" w:rsidP="00BF00BE" w14:paraId="12691B93" w14:textId="26E6C42B">
      <w:pPr>
        <w:tabs>
          <w:tab w:val="left" w:pos="1440"/>
        </w:tabs>
        <w:ind w:firstLine="720"/>
        <w:rPr>
          <w:szCs w:val="26"/>
        </w:rPr>
      </w:pPr>
      <w:r>
        <w:rPr>
          <w:szCs w:val="26"/>
        </w:rPr>
        <w:t>W</w:t>
      </w:r>
      <w:r w:rsidRPr="00302164">
        <w:rPr>
          <w:szCs w:val="26"/>
        </w:rPr>
        <w:t xml:space="preserve">e </w:t>
      </w:r>
      <w:r w:rsidR="006F7A08">
        <w:rPr>
          <w:szCs w:val="26"/>
        </w:rPr>
        <w:t>conclude this was error.  F</w:t>
      </w:r>
      <w:r w:rsidRPr="00302164" w:rsidR="002A0E88">
        <w:rPr>
          <w:szCs w:val="26"/>
        </w:rPr>
        <w:t xml:space="preserve">or purposes of clearing the </w:t>
      </w:r>
      <w:r w:rsidR="00E83383">
        <w:rPr>
          <w:szCs w:val="26"/>
        </w:rPr>
        <w:t xml:space="preserve">awareness </w:t>
      </w:r>
      <w:r w:rsidRPr="00302164" w:rsidR="002A0E88">
        <w:rPr>
          <w:szCs w:val="26"/>
        </w:rPr>
        <w:t xml:space="preserve">threshold for emotional distress recovery, it is awareness of </w:t>
      </w:r>
      <w:r w:rsidR="00B9015C">
        <w:rPr>
          <w:szCs w:val="26"/>
        </w:rPr>
        <w:t>an</w:t>
      </w:r>
      <w:r w:rsidRPr="00302164" w:rsidR="00B9015C">
        <w:rPr>
          <w:szCs w:val="26"/>
        </w:rPr>
        <w:t xml:space="preserve"> </w:t>
      </w:r>
      <w:r w:rsidR="00B9015C">
        <w:rPr>
          <w:szCs w:val="26"/>
        </w:rPr>
        <w:t>event that is injuring the victim</w:t>
      </w:r>
      <w:r w:rsidR="00A25C1B">
        <w:rPr>
          <w:szCs w:val="26"/>
        </w:rPr>
        <w:t> </w:t>
      </w:r>
      <w:r w:rsidR="00E83383">
        <w:rPr>
          <w:szCs w:val="26"/>
        </w:rPr>
        <w:t xml:space="preserve">— </w:t>
      </w:r>
      <w:r w:rsidRPr="00302164" w:rsidR="002A0E88">
        <w:rPr>
          <w:szCs w:val="26"/>
        </w:rPr>
        <w:t xml:space="preserve">not awareness </w:t>
      </w:r>
      <w:r w:rsidRPr="00302164" w:rsidR="00084A81">
        <w:rPr>
          <w:szCs w:val="26"/>
        </w:rPr>
        <w:t xml:space="preserve">of </w:t>
      </w:r>
      <w:r w:rsidR="00BC623F">
        <w:rPr>
          <w:szCs w:val="26"/>
        </w:rPr>
        <w:t xml:space="preserve">the </w:t>
      </w:r>
      <w:r w:rsidRPr="00302164" w:rsidR="00C60FC7">
        <w:rPr>
          <w:szCs w:val="26"/>
        </w:rPr>
        <w:t>defendant’s</w:t>
      </w:r>
      <w:r w:rsidR="00A25C1B">
        <w:rPr>
          <w:szCs w:val="26"/>
        </w:rPr>
        <w:t xml:space="preserve"> </w:t>
      </w:r>
      <w:r w:rsidRPr="00302164" w:rsidR="00D80E6C">
        <w:rPr>
          <w:szCs w:val="26"/>
        </w:rPr>
        <w:t xml:space="preserve">role </w:t>
      </w:r>
      <w:r w:rsidRPr="00302164" w:rsidR="00C60FC7">
        <w:rPr>
          <w:szCs w:val="26"/>
        </w:rPr>
        <w:t>in causing th</w:t>
      </w:r>
      <w:r w:rsidR="00B9015C">
        <w:rPr>
          <w:szCs w:val="26"/>
        </w:rPr>
        <w:t>e</w:t>
      </w:r>
      <w:r w:rsidRPr="00302164" w:rsidR="00C60FC7">
        <w:rPr>
          <w:szCs w:val="26"/>
        </w:rPr>
        <w:t xml:space="preserve"> injury</w:t>
      </w:r>
      <w:r w:rsidR="00E50332">
        <w:rPr>
          <w:szCs w:val="26"/>
        </w:rPr>
        <w:t> </w:t>
      </w:r>
      <w:r w:rsidR="006F7A08">
        <w:rPr>
          <w:szCs w:val="26"/>
        </w:rPr>
        <w:t xml:space="preserve">— </w:t>
      </w:r>
      <w:r w:rsidRPr="00302164" w:rsidR="006F7A08">
        <w:rPr>
          <w:szCs w:val="26"/>
        </w:rPr>
        <w:t>that matters</w:t>
      </w:r>
      <w:r w:rsidRPr="00302164" w:rsidR="00084A81">
        <w:rPr>
          <w:szCs w:val="26"/>
        </w:rPr>
        <w:t xml:space="preserve">.  In some cases, </w:t>
      </w:r>
      <w:r w:rsidR="00F2381C">
        <w:rPr>
          <w:szCs w:val="26"/>
        </w:rPr>
        <w:t xml:space="preserve">as in </w:t>
      </w:r>
      <w:r w:rsidR="00F2381C">
        <w:rPr>
          <w:i/>
          <w:iCs/>
          <w:szCs w:val="26"/>
        </w:rPr>
        <w:t>Dillon</w:t>
      </w:r>
      <w:r w:rsidR="00F2381C">
        <w:rPr>
          <w:szCs w:val="26"/>
        </w:rPr>
        <w:t xml:space="preserve">, </w:t>
      </w:r>
      <w:r w:rsidRPr="00302164" w:rsidR="003002FE">
        <w:rPr>
          <w:szCs w:val="26"/>
        </w:rPr>
        <w:t xml:space="preserve">these two things may </w:t>
      </w:r>
      <w:r w:rsidRPr="00302164" w:rsidR="00C60FC7">
        <w:rPr>
          <w:szCs w:val="26"/>
        </w:rPr>
        <w:t xml:space="preserve">be </w:t>
      </w:r>
      <w:r w:rsidRPr="00302164" w:rsidR="004C1BCA">
        <w:rPr>
          <w:szCs w:val="26"/>
        </w:rPr>
        <w:t>effectively the same</w:t>
      </w:r>
      <w:r w:rsidR="00F2381C">
        <w:rPr>
          <w:szCs w:val="26"/>
        </w:rPr>
        <w:t xml:space="preserve">.  </w:t>
      </w:r>
      <w:r w:rsidR="00D92662">
        <w:rPr>
          <w:szCs w:val="26"/>
        </w:rPr>
        <w:t>I</w:t>
      </w:r>
      <w:r w:rsidRPr="00302164" w:rsidR="003002FE">
        <w:rPr>
          <w:szCs w:val="26"/>
        </w:rPr>
        <w:t xml:space="preserve">n </w:t>
      </w:r>
      <w:r w:rsidRPr="00302164">
        <w:rPr>
          <w:szCs w:val="26"/>
        </w:rPr>
        <w:t xml:space="preserve">many </w:t>
      </w:r>
      <w:r w:rsidRPr="00302164" w:rsidR="003002FE">
        <w:rPr>
          <w:szCs w:val="26"/>
        </w:rPr>
        <w:t>medical malpractice case</w:t>
      </w:r>
      <w:r w:rsidRPr="00302164">
        <w:rPr>
          <w:szCs w:val="26"/>
        </w:rPr>
        <w:t>s</w:t>
      </w:r>
      <w:r w:rsidRPr="00302164" w:rsidR="003002FE">
        <w:rPr>
          <w:szCs w:val="26"/>
        </w:rPr>
        <w:t xml:space="preserve">, </w:t>
      </w:r>
      <w:r w:rsidR="00002E42">
        <w:rPr>
          <w:szCs w:val="26"/>
        </w:rPr>
        <w:t xml:space="preserve">for instance, a </w:t>
      </w:r>
      <w:r w:rsidRPr="00302164" w:rsidR="003002FE">
        <w:rPr>
          <w:szCs w:val="26"/>
        </w:rPr>
        <w:t xml:space="preserve">bystander </w:t>
      </w:r>
      <w:r w:rsidR="009830FD">
        <w:rPr>
          <w:szCs w:val="26"/>
        </w:rPr>
        <w:t xml:space="preserve">ordinarily </w:t>
      </w:r>
      <w:r w:rsidR="001A51F6">
        <w:rPr>
          <w:szCs w:val="26"/>
        </w:rPr>
        <w:t xml:space="preserve">will not </w:t>
      </w:r>
      <w:r w:rsidRPr="00302164" w:rsidR="003002FE">
        <w:rPr>
          <w:szCs w:val="26"/>
        </w:rPr>
        <w:t xml:space="preserve">be aware that injury is being inflicted on the victim </w:t>
      </w:r>
      <w:r w:rsidRPr="00302164" w:rsidR="006C64F9">
        <w:rPr>
          <w:szCs w:val="26"/>
        </w:rPr>
        <w:t>without also being aware that medical practitioner</w:t>
      </w:r>
      <w:r w:rsidRPr="00302164">
        <w:rPr>
          <w:szCs w:val="26"/>
        </w:rPr>
        <w:t>s</w:t>
      </w:r>
      <w:r w:rsidRPr="00302164" w:rsidR="006C64F9">
        <w:rPr>
          <w:szCs w:val="26"/>
        </w:rPr>
        <w:t xml:space="preserve"> </w:t>
      </w:r>
      <w:r w:rsidRPr="00302164">
        <w:rPr>
          <w:szCs w:val="26"/>
        </w:rPr>
        <w:t xml:space="preserve">are, </w:t>
      </w:r>
      <w:r w:rsidRPr="00302164" w:rsidR="00613F24">
        <w:rPr>
          <w:szCs w:val="26"/>
        </w:rPr>
        <w:t xml:space="preserve">through </w:t>
      </w:r>
      <w:r w:rsidRPr="00302164">
        <w:rPr>
          <w:szCs w:val="26"/>
        </w:rPr>
        <w:t xml:space="preserve">their </w:t>
      </w:r>
      <w:r w:rsidRPr="00302164" w:rsidR="00F2297C">
        <w:rPr>
          <w:szCs w:val="26"/>
        </w:rPr>
        <w:t>deficient care</w:t>
      </w:r>
      <w:r w:rsidRPr="00302164">
        <w:rPr>
          <w:szCs w:val="26"/>
        </w:rPr>
        <w:t>, causing harm.</w:t>
      </w:r>
      <w:r w:rsidRPr="00302164" w:rsidR="00D80E6C">
        <w:rPr>
          <w:szCs w:val="26"/>
        </w:rPr>
        <w:t xml:space="preserve">  But </w:t>
      </w:r>
      <w:r w:rsidRPr="00302164" w:rsidR="007F07E7">
        <w:rPr>
          <w:szCs w:val="26"/>
        </w:rPr>
        <w:t xml:space="preserve">when a bystander </w:t>
      </w:r>
      <w:r w:rsidRPr="00302164" w:rsidR="00D842A2">
        <w:rPr>
          <w:szCs w:val="26"/>
        </w:rPr>
        <w:t xml:space="preserve">witnesses </w:t>
      </w:r>
      <w:r w:rsidR="00A1325D">
        <w:rPr>
          <w:szCs w:val="26"/>
        </w:rPr>
        <w:t xml:space="preserve">what </w:t>
      </w:r>
      <w:r w:rsidR="001A51F6">
        <w:rPr>
          <w:szCs w:val="26"/>
        </w:rPr>
        <w:t xml:space="preserve">any layperson would understand to be </w:t>
      </w:r>
      <w:r w:rsidR="00A1325D">
        <w:rPr>
          <w:szCs w:val="26"/>
        </w:rPr>
        <w:t xml:space="preserve">an </w:t>
      </w:r>
      <w:r w:rsidRPr="00302164" w:rsidR="00D842A2">
        <w:rPr>
          <w:szCs w:val="26"/>
        </w:rPr>
        <w:t>injury-</w:t>
      </w:r>
      <w:r w:rsidR="001A51F6">
        <w:rPr>
          <w:szCs w:val="26"/>
        </w:rPr>
        <w:t xml:space="preserve">producing </w:t>
      </w:r>
      <w:r w:rsidRPr="00302164" w:rsidR="007F07E7">
        <w:rPr>
          <w:szCs w:val="26"/>
        </w:rPr>
        <w:t>event</w:t>
      </w:r>
      <w:r w:rsidR="00A25C1B">
        <w:rPr>
          <w:szCs w:val="26"/>
        </w:rPr>
        <w:t> </w:t>
      </w:r>
      <w:r w:rsidR="00A1325D">
        <w:rPr>
          <w:szCs w:val="26"/>
        </w:rPr>
        <w:t xml:space="preserve">— </w:t>
      </w:r>
      <w:r w:rsidRPr="00302164" w:rsidR="007F07E7">
        <w:rPr>
          <w:szCs w:val="26"/>
        </w:rPr>
        <w:t>such as a</w:t>
      </w:r>
      <w:r w:rsidRPr="00302164" w:rsidR="00D842A2">
        <w:rPr>
          <w:szCs w:val="26"/>
        </w:rPr>
        <w:t xml:space="preserve"> car</w:t>
      </w:r>
      <w:r w:rsidRPr="00302164" w:rsidR="007F07E7">
        <w:rPr>
          <w:szCs w:val="26"/>
        </w:rPr>
        <w:t xml:space="preserve"> accident, </w:t>
      </w:r>
      <w:r w:rsidR="00A1325D">
        <w:rPr>
          <w:szCs w:val="26"/>
        </w:rPr>
        <w:t>explosion, or fire</w:t>
      </w:r>
      <w:r w:rsidR="00A25C1B">
        <w:rPr>
          <w:szCs w:val="26"/>
        </w:rPr>
        <w:t> </w:t>
      </w:r>
      <w:r w:rsidR="00A1325D">
        <w:rPr>
          <w:szCs w:val="26"/>
        </w:rPr>
        <w:t>—</w:t>
      </w:r>
      <w:r w:rsidR="001A51F6">
        <w:rPr>
          <w:szCs w:val="26"/>
        </w:rPr>
        <w:t xml:space="preserve"> </w:t>
      </w:r>
      <w:r w:rsidRPr="00302164" w:rsidR="007F07E7">
        <w:rPr>
          <w:szCs w:val="26"/>
        </w:rPr>
        <w:t>the bystander may bring a claim for negligent infliction of emotional distress</w:t>
      </w:r>
      <w:r w:rsidR="00790C07">
        <w:rPr>
          <w:szCs w:val="26"/>
        </w:rPr>
        <w:t xml:space="preserve"> based on the emotional trauma of witnessing injuries inflicted on a close relative.  This is true </w:t>
      </w:r>
      <w:r w:rsidR="00092085">
        <w:rPr>
          <w:szCs w:val="26"/>
        </w:rPr>
        <w:t xml:space="preserve">even if the bystander was not </w:t>
      </w:r>
      <w:r w:rsidRPr="00302164" w:rsidR="00CA4434">
        <w:rPr>
          <w:szCs w:val="26"/>
        </w:rPr>
        <w:t xml:space="preserve">aware at the time of the </w:t>
      </w:r>
      <w:r w:rsidRPr="00302164" w:rsidR="006D639D">
        <w:rPr>
          <w:szCs w:val="26"/>
        </w:rPr>
        <w:t xml:space="preserve">role the </w:t>
      </w:r>
      <w:r w:rsidRPr="00302164" w:rsidR="00CA4434">
        <w:rPr>
          <w:szCs w:val="26"/>
        </w:rPr>
        <w:t>defendant</w:t>
      </w:r>
      <w:r w:rsidRPr="00302164" w:rsidR="006D639D">
        <w:rPr>
          <w:szCs w:val="26"/>
        </w:rPr>
        <w:t xml:space="preserve"> played</w:t>
      </w:r>
      <w:r w:rsidR="00890E78">
        <w:rPr>
          <w:szCs w:val="26"/>
        </w:rPr>
        <w:t xml:space="preserve"> in</w:t>
      </w:r>
      <w:r w:rsidR="00CD1BA9">
        <w:rPr>
          <w:szCs w:val="26"/>
        </w:rPr>
        <w:t xml:space="preserve"> causing</w:t>
      </w:r>
      <w:r w:rsidR="00890E78">
        <w:rPr>
          <w:szCs w:val="26"/>
        </w:rPr>
        <w:t xml:space="preserve"> </w:t>
      </w:r>
      <w:r w:rsidR="00030671">
        <w:rPr>
          <w:szCs w:val="26"/>
        </w:rPr>
        <w:t>the victim’s injury</w:t>
      </w:r>
      <w:r w:rsidRPr="00302164" w:rsidR="007F07E7">
        <w:rPr>
          <w:szCs w:val="26"/>
        </w:rPr>
        <w:t>.</w:t>
      </w:r>
      <w:r w:rsidRPr="00302164" w:rsidR="006159BF">
        <w:rPr>
          <w:szCs w:val="26"/>
        </w:rPr>
        <w:t xml:space="preserve">  </w:t>
      </w:r>
    </w:p>
    <w:p w:rsidR="00EF18D9" w:rsidRPr="00302164" w:rsidP="008F2BB6" w14:paraId="41212475" w14:textId="44DDB593">
      <w:pPr>
        <w:keepNext/>
        <w:tabs>
          <w:tab w:val="left" w:pos="1440"/>
        </w:tabs>
        <w:jc w:val="center"/>
        <w:rPr>
          <w:b/>
          <w:bCs/>
          <w:smallCaps/>
          <w:szCs w:val="26"/>
          <w:lang w:val="it-IT"/>
        </w:rPr>
      </w:pPr>
      <w:r w:rsidRPr="00302164">
        <w:rPr>
          <w:b/>
          <w:bCs/>
          <w:smallCaps/>
          <w:szCs w:val="26"/>
          <w:lang w:val="it-IT"/>
        </w:rPr>
        <w:t>I.</w:t>
      </w:r>
    </w:p>
    <w:p w:rsidR="00677E05" w:rsidRPr="00302164" w:rsidP="00302164" w14:paraId="22576D98" w14:textId="0539597F">
      <w:pPr>
        <w:tabs>
          <w:tab w:val="left" w:pos="1440"/>
        </w:tabs>
        <w:ind w:firstLine="720"/>
        <w:rPr>
          <w:szCs w:val="26"/>
        </w:rPr>
      </w:pPr>
      <w:r w:rsidRPr="00302164">
        <w:rPr>
          <w:szCs w:val="26"/>
        </w:rPr>
        <w:t xml:space="preserve">Jayde Downey’s daughter, </w:t>
      </w:r>
      <w:r w:rsidRPr="00302164" w:rsidR="00E95A5F">
        <w:rPr>
          <w:szCs w:val="26"/>
        </w:rPr>
        <w:t xml:space="preserve">Malyah </w:t>
      </w:r>
      <w:r w:rsidRPr="00302164" w:rsidR="001039FB">
        <w:rPr>
          <w:szCs w:val="26"/>
        </w:rPr>
        <w:t xml:space="preserve">Jane </w:t>
      </w:r>
      <w:r w:rsidRPr="00302164">
        <w:rPr>
          <w:szCs w:val="26"/>
        </w:rPr>
        <w:t xml:space="preserve">Vance, was driving </w:t>
      </w:r>
      <w:r w:rsidRPr="00302164" w:rsidR="00545DEC">
        <w:rPr>
          <w:szCs w:val="26"/>
        </w:rPr>
        <w:t xml:space="preserve">near the intersection of Canyon Crest Drive and </w:t>
      </w:r>
      <w:r w:rsidRPr="00302164">
        <w:rPr>
          <w:szCs w:val="26"/>
        </w:rPr>
        <w:t xml:space="preserve">Via Zapata </w:t>
      </w:r>
      <w:r w:rsidRPr="00302164" w:rsidR="002B4F31">
        <w:rPr>
          <w:szCs w:val="26"/>
        </w:rPr>
        <w:t xml:space="preserve">in the City of Riverside </w:t>
      </w:r>
      <w:r w:rsidRPr="00302164">
        <w:rPr>
          <w:szCs w:val="26"/>
        </w:rPr>
        <w:t>when her vehicle was struck by a</w:t>
      </w:r>
      <w:r w:rsidRPr="00302164" w:rsidR="00CC182B">
        <w:rPr>
          <w:szCs w:val="26"/>
        </w:rPr>
        <w:t>nother</w:t>
      </w:r>
      <w:r w:rsidRPr="00302164">
        <w:rPr>
          <w:szCs w:val="26"/>
        </w:rPr>
        <w:t xml:space="preserve"> </w:t>
      </w:r>
      <w:r w:rsidRPr="00302164" w:rsidR="005B62D8">
        <w:rPr>
          <w:szCs w:val="26"/>
        </w:rPr>
        <w:t>car</w:t>
      </w:r>
      <w:r w:rsidRPr="00302164">
        <w:rPr>
          <w:szCs w:val="26"/>
        </w:rPr>
        <w:t>.</w:t>
      </w:r>
      <w:r>
        <w:rPr>
          <w:rStyle w:val="FootnoteReference"/>
          <w:szCs w:val="26"/>
        </w:rPr>
        <w:footnoteReference w:id="3"/>
      </w:r>
      <w:r w:rsidRPr="00302164" w:rsidR="00E95A5F">
        <w:rPr>
          <w:szCs w:val="26"/>
        </w:rPr>
        <w:t xml:space="preserve"> </w:t>
      </w:r>
      <w:r w:rsidRPr="00302164" w:rsidR="000F29E9">
        <w:rPr>
          <w:szCs w:val="26"/>
        </w:rPr>
        <w:t xml:space="preserve"> </w:t>
      </w:r>
      <w:r w:rsidRPr="00302164">
        <w:rPr>
          <w:szCs w:val="26"/>
        </w:rPr>
        <w:t xml:space="preserve">Vance </w:t>
      </w:r>
      <w:r w:rsidRPr="00302164" w:rsidR="00E95A5F">
        <w:rPr>
          <w:szCs w:val="26"/>
        </w:rPr>
        <w:t xml:space="preserve">was seriously injured </w:t>
      </w:r>
      <w:r w:rsidRPr="00302164">
        <w:rPr>
          <w:szCs w:val="26"/>
        </w:rPr>
        <w:t>as a result of the collision.</w:t>
      </w:r>
      <w:r w:rsidRPr="00302164" w:rsidR="009E30BB">
        <w:rPr>
          <w:szCs w:val="26"/>
        </w:rPr>
        <w:t xml:space="preserve"> </w:t>
      </w:r>
    </w:p>
    <w:p w:rsidR="00E95A5F" w:rsidRPr="00302164" w:rsidP="00302164" w14:paraId="567E66BA" w14:textId="407CFC43">
      <w:pPr>
        <w:tabs>
          <w:tab w:val="left" w:pos="1440"/>
        </w:tabs>
        <w:ind w:firstLine="720"/>
        <w:rPr>
          <w:szCs w:val="26"/>
        </w:rPr>
      </w:pPr>
      <w:r w:rsidRPr="00302164">
        <w:rPr>
          <w:szCs w:val="26"/>
        </w:rPr>
        <w:t xml:space="preserve">At the time of the collision, </w:t>
      </w:r>
      <w:r w:rsidRPr="00302164" w:rsidR="00D75B6C">
        <w:rPr>
          <w:szCs w:val="26"/>
        </w:rPr>
        <w:t>Downey was talking to Vance by cell phone</w:t>
      </w:r>
      <w:r w:rsidRPr="00302164" w:rsidR="0075131E">
        <w:rPr>
          <w:szCs w:val="26"/>
        </w:rPr>
        <w:t xml:space="preserve"> to give her </w:t>
      </w:r>
      <w:r w:rsidRPr="00302164" w:rsidR="00927226">
        <w:rPr>
          <w:szCs w:val="26"/>
        </w:rPr>
        <w:t xml:space="preserve">driving </w:t>
      </w:r>
      <w:r w:rsidRPr="00302164" w:rsidR="002B4F31">
        <w:rPr>
          <w:szCs w:val="26"/>
        </w:rPr>
        <w:t xml:space="preserve">directions </w:t>
      </w:r>
      <w:r w:rsidRPr="00302164">
        <w:rPr>
          <w:szCs w:val="26"/>
        </w:rPr>
        <w:t>to a</w:t>
      </w:r>
      <w:r w:rsidRPr="00302164" w:rsidR="003379E6">
        <w:rPr>
          <w:szCs w:val="26"/>
        </w:rPr>
        <w:t>n</w:t>
      </w:r>
      <w:r w:rsidRPr="00302164">
        <w:rPr>
          <w:szCs w:val="26"/>
        </w:rPr>
        <w:t xml:space="preserve"> office close to the intersection. </w:t>
      </w:r>
      <w:r w:rsidRPr="00302164" w:rsidR="001F1628">
        <w:rPr>
          <w:szCs w:val="26"/>
        </w:rPr>
        <w:t xml:space="preserve"> </w:t>
      </w:r>
      <w:r w:rsidRPr="00302164" w:rsidR="00255030">
        <w:rPr>
          <w:szCs w:val="26"/>
        </w:rPr>
        <w:t xml:space="preserve">On her end of the line, </w:t>
      </w:r>
      <w:r w:rsidRPr="00302164">
        <w:rPr>
          <w:szCs w:val="26"/>
        </w:rPr>
        <w:t xml:space="preserve">Downey heard Vance </w:t>
      </w:r>
      <w:r w:rsidRPr="00302164" w:rsidR="00803C40">
        <w:rPr>
          <w:szCs w:val="26"/>
        </w:rPr>
        <w:t xml:space="preserve">suddenly </w:t>
      </w:r>
      <w:r w:rsidRPr="00302164" w:rsidR="001F1628">
        <w:rPr>
          <w:szCs w:val="26"/>
        </w:rPr>
        <w:t xml:space="preserve">gasp, then say “Oh!” in fear or shock.  </w:t>
      </w:r>
      <w:r w:rsidRPr="00302164" w:rsidR="00681B09">
        <w:rPr>
          <w:szCs w:val="26"/>
        </w:rPr>
        <w:t>A split second later</w:t>
      </w:r>
      <w:r w:rsidRPr="00302164" w:rsidR="001F1628">
        <w:rPr>
          <w:szCs w:val="26"/>
        </w:rPr>
        <w:t>, Downey heard the sounds of an explosive metal-on-metal vehicular crash</w:t>
      </w:r>
      <w:r w:rsidR="000842BB">
        <w:rPr>
          <w:szCs w:val="26"/>
        </w:rPr>
        <w:t>,</w:t>
      </w:r>
      <w:r w:rsidRPr="00302164" w:rsidR="001F1628">
        <w:rPr>
          <w:szCs w:val="26"/>
        </w:rPr>
        <w:t xml:space="preserve"> shattering glass</w:t>
      </w:r>
      <w:r w:rsidR="000842BB">
        <w:rPr>
          <w:szCs w:val="26"/>
        </w:rPr>
        <w:t>,</w:t>
      </w:r>
      <w:r w:rsidRPr="00302164" w:rsidR="001F1628">
        <w:rPr>
          <w:szCs w:val="26"/>
        </w:rPr>
        <w:t xml:space="preserve"> and rubber tires skidding or dragging across asphalt.  </w:t>
      </w:r>
      <w:r w:rsidRPr="00302164">
        <w:rPr>
          <w:szCs w:val="26"/>
        </w:rPr>
        <w:t>Downey knew from the sounds she heard</w:t>
      </w:r>
      <w:r w:rsidRPr="00302164" w:rsidR="005C6EE6">
        <w:rPr>
          <w:szCs w:val="26"/>
        </w:rPr>
        <w:t xml:space="preserve"> that Vance had been involved in a car crash</w:t>
      </w:r>
      <w:r w:rsidRPr="00302164">
        <w:rPr>
          <w:szCs w:val="26"/>
        </w:rPr>
        <w:t>.</w:t>
      </w:r>
      <w:r w:rsidRPr="00302164" w:rsidR="003379E6">
        <w:rPr>
          <w:szCs w:val="26"/>
        </w:rPr>
        <w:t xml:space="preserve"> </w:t>
      </w:r>
      <w:r w:rsidRPr="00302164" w:rsidR="00185224">
        <w:rPr>
          <w:szCs w:val="26"/>
        </w:rPr>
        <w:t xml:space="preserve"> </w:t>
      </w:r>
      <w:r w:rsidRPr="00302164">
        <w:rPr>
          <w:szCs w:val="26"/>
        </w:rPr>
        <w:t xml:space="preserve">As the sound of tires dragging across asphalt </w:t>
      </w:r>
      <w:r w:rsidRPr="00302164" w:rsidR="001F1628">
        <w:rPr>
          <w:szCs w:val="26"/>
        </w:rPr>
        <w:t>faded</w:t>
      </w:r>
      <w:r w:rsidRPr="00302164">
        <w:rPr>
          <w:szCs w:val="26"/>
        </w:rPr>
        <w:t>, Downey</w:t>
      </w:r>
      <w:r w:rsidRPr="00302164" w:rsidR="00337A84">
        <w:rPr>
          <w:szCs w:val="26"/>
        </w:rPr>
        <w:t> </w:t>
      </w:r>
      <w:r w:rsidRPr="00302164" w:rsidR="00734249">
        <w:rPr>
          <w:szCs w:val="26"/>
        </w:rPr>
        <w:t>— having heard no sounds or vocalizations from Vance</w:t>
      </w:r>
      <w:r w:rsidRPr="00302164" w:rsidR="00F51E4A">
        <w:rPr>
          <w:szCs w:val="26"/>
        </w:rPr>
        <w:t> </w:t>
      </w:r>
      <w:r w:rsidRPr="00302164" w:rsidR="00734249">
        <w:rPr>
          <w:szCs w:val="26"/>
        </w:rPr>
        <w:t xml:space="preserve">— </w:t>
      </w:r>
      <w:r w:rsidRPr="00302164">
        <w:rPr>
          <w:szCs w:val="26"/>
        </w:rPr>
        <w:t xml:space="preserve">understood </w:t>
      </w:r>
      <w:r w:rsidRPr="00302164" w:rsidR="00A030E3">
        <w:rPr>
          <w:szCs w:val="26"/>
        </w:rPr>
        <w:t xml:space="preserve">that </w:t>
      </w:r>
      <w:r w:rsidRPr="00302164">
        <w:rPr>
          <w:szCs w:val="26"/>
        </w:rPr>
        <w:t xml:space="preserve">Vance was injured so seriously </w:t>
      </w:r>
      <w:r w:rsidRPr="00302164" w:rsidR="00734249">
        <w:rPr>
          <w:szCs w:val="26"/>
        </w:rPr>
        <w:t xml:space="preserve">that </w:t>
      </w:r>
      <w:r w:rsidRPr="00302164">
        <w:rPr>
          <w:szCs w:val="26"/>
        </w:rPr>
        <w:t>she could not speak.</w:t>
      </w:r>
      <w:r w:rsidRPr="00302164" w:rsidR="005C1ED5">
        <w:rPr>
          <w:szCs w:val="26"/>
        </w:rPr>
        <w:t xml:space="preserve">  </w:t>
      </w:r>
      <w:r w:rsidRPr="00302164" w:rsidR="00F51E4A">
        <w:rPr>
          <w:szCs w:val="26"/>
        </w:rPr>
        <w:t xml:space="preserve">This was confirmed by a stranger who rushed to the scene to help and told Downey over the phone to quiet down so that he could “find a pulse.” </w:t>
      </w:r>
      <w:r w:rsidRPr="00302164" w:rsidR="001F1628">
        <w:rPr>
          <w:szCs w:val="26"/>
        </w:rPr>
        <w:t xml:space="preserve"> </w:t>
      </w:r>
    </w:p>
    <w:p w:rsidR="002A3680" w:rsidRPr="00302164" w:rsidP="00302164" w14:paraId="3291C61C" w14:textId="5965AE10">
      <w:pPr>
        <w:tabs>
          <w:tab w:val="left" w:pos="1440"/>
        </w:tabs>
        <w:ind w:firstLine="720"/>
        <w:rPr>
          <w:szCs w:val="26"/>
        </w:rPr>
      </w:pPr>
      <w:r w:rsidRPr="00302164">
        <w:rPr>
          <w:szCs w:val="26"/>
        </w:rPr>
        <w:t xml:space="preserve">After the crash, </w:t>
      </w:r>
      <w:r w:rsidRPr="00302164" w:rsidR="00E95A5F">
        <w:rPr>
          <w:szCs w:val="26"/>
        </w:rPr>
        <w:t xml:space="preserve">Downey and Vance </w:t>
      </w:r>
      <w:r w:rsidRPr="00302164" w:rsidR="000E0445">
        <w:rPr>
          <w:szCs w:val="26"/>
        </w:rPr>
        <w:t>sued</w:t>
      </w:r>
      <w:r w:rsidRPr="00302164" w:rsidR="00C82FC4">
        <w:rPr>
          <w:szCs w:val="26"/>
        </w:rPr>
        <w:t xml:space="preserve"> the driver of the other car involved in the collision</w:t>
      </w:r>
      <w:r w:rsidRPr="00302164">
        <w:rPr>
          <w:szCs w:val="26"/>
        </w:rPr>
        <w:t xml:space="preserve">.  </w:t>
      </w:r>
      <w:r w:rsidR="00FE6220">
        <w:rPr>
          <w:szCs w:val="26"/>
        </w:rPr>
        <w:t>They</w:t>
      </w:r>
      <w:r w:rsidRPr="00302164" w:rsidR="00FE6220">
        <w:rPr>
          <w:szCs w:val="26"/>
        </w:rPr>
        <w:t xml:space="preserve"> </w:t>
      </w:r>
      <w:r w:rsidRPr="00302164">
        <w:rPr>
          <w:szCs w:val="26"/>
        </w:rPr>
        <w:t xml:space="preserve">also sued </w:t>
      </w:r>
      <w:r w:rsidRPr="00302164" w:rsidR="00C82FC4">
        <w:rPr>
          <w:szCs w:val="26"/>
        </w:rPr>
        <w:t>the City of Riverside</w:t>
      </w:r>
      <w:r w:rsidRPr="00302164" w:rsidR="000E0445">
        <w:rPr>
          <w:szCs w:val="26"/>
        </w:rPr>
        <w:t xml:space="preserve"> and </w:t>
      </w:r>
      <w:r w:rsidRPr="00302164">
        <w:rPr>
          <w:szCs w:val="26"/>
        </w:rPr>
        <w:t>Ara and Va</w:t>
      </w:r>
      <w:r w:rsidRPr="00302164" w:rsidR="00F51E4A">
        <w:rPr>
          <w:szCs w:val="26"/>
        </w:rPr>
        <w:t>h</w:t>
      </w:r>
      <w:r w:rsidRPr="00302164">
        <w:rPr>
          <w:szCs w:val="26"/>
        </w:rPr>
        <w:t xml:space="preserve">ram Sevacherian, </w:t>
      </w:r>
      <w:r w:rsidRPr="00302164" w:rsidR="000E0445">
        <w:rPr>
          <w:szCs w:val="26"/>
        </w:rPr>
        <w:t>the owners of private property adjacent to the intersection where the crash occurred</w:t>
      </w:r>
      <w:r w:rsidRPr="00302164" w:rsidR="003E6FBC">
        <w:rPr>
          <w:szCs w:val="26"/>
        </w:rPr>
        <w:t>.</w:t>
      </w:r>
      <w:r w:rsidRPr="00302164">
        <w:rPr>
          <w:szCs w:val="26"/>
        </w:rPr>
        <w:t xml:space="preserve">  </w:t>
      </w:r>
      <w:r w:rsidRPr="00302164" w:rsidR="00C05EFF">
        <w:rPr>
          <w:szCs w:val="26"/>
        </w:rPr>
        <w:t>Among other things, the</w:t>
      </w:r>
      <w:r w:rsidR="00266B40">
        <w:rPr>
          <w:szCs w:val="26"/>
        </w:rPr>
        <w:t>ir</w:t>
      </w:r>
      <w:r w:rsidRPr="00302164" w:rsidR="00C05EFF">
        <w:rPr>
          <w:szCs w:val="26"/>
        </w:rPr>
        <w:t xml:space="preserve"> complaint sought recovery for negligent infliction of emotional distress on Downey, who </w:t>
      </w:r>
      <w:r w:rsidRPr="00302164" w:rsidR="0041734C">
        <w:rPr>
          <w:szCs w:val="26"/>
        </w:rPr>
        <w:t xml:space="preserve">suffered emotional trauma as a result of hearing </w:t>
      </w:r>
      <w:r w:rsidRPr="00302164" w:rsidR="00C05EFF">
        <w:rPr>
          <w:szCs w:val="26"/>
        </w:rPr>
        <w:t xml:space="preserve">her daughter’s accident </w:t>
      </w:r>
      <w:r w:rsidRPr="00302164" w:rsidR="0064304B">
        <w:rPr>
          <w:szCs w:val="26"/>
        </w:rPr>
        <w:t xml:space="preserve">occur </w:t>
      </w:r>
      <w:r w:rsidRPr="00302164" w:rsidR="00C05EFF">
        <w:rPr>
          <w:szCs w:val="26"/>
        </w:rPr>
        <w:t xml:space="preserve">in real time.  </w:t>
      </w:r>
      <w:r w:rsidRPr="00302164" w:rsidR="00D155B7">
        <w:rPr>
          <w:szCs w:val="26"/>
        </w:rPr>
        <w:t xml:space="preserve">Downey </w:t>
      </w:r>
      <w:r w:rsidRPr="00302164" w:rsidR="00C23FB9">
        <w:rPr>
          <w:szCs w:val="26"/>
        </w:rPr>
        <w:t xml:space="preserve">alleged the </w:t>
      </w:r>
      <w:r w:rsidRPr="006604B4" w:rsidR="00C23FB9">
        <w:t>City</w:t>
      </w:r>
      <w:r w:rsidRPr="00302164" w:rsidR="00C23FB9">
        <w:rPr>
          <w:szCs w:val="26"/>
        </w:rPr>
        <w:t xml:space="preserve"> was at least in part responsible </w:t>
      </w:r>
      <w:r w:rsidRPr="00302164" w:rsidR="006D16CD">
        <w:rPr>
          <w:szCs w:val="26"/>
        </w:rPr>
        <w:t xml:space="preserve">for the accident, and thus for Downey’s emotional distress, because </w:t>
      </w:r>
      <w:r w:rsidRPr="00302164" w:rsidR="00F83B3F">
        <w:rPr>
          <w:szCs w:val="26"/>
        </w:rPr>
        <w:t>“</w:t>
      </w:r>
      <w:r w:rsidRPr="00302164" w:rsidR="00860A70">
        <w:rPr>
          <w:szCs w:val="26"/>
        </w:rPr>
        <w:t xml:space="preserve">[t]he traffic markings, signals, warnings, medians, and fixtures thereon (or lack thereof), were so located constructed, placed, designed, repaired, maintained, used, and otherwise defective in design, manufacture and warning that they constituted a dangerous condition of public property” </w:t>
      </w:r>
      <w:r w:rsidRPr="00302164" w:rsidR="00F83B3F">
        <w:rPr>
          <w:szCs w:val="26"/>
        </w:rPr>
        <w:t xml:space="preserve">that </w:t>
      </w:r>
      <w:r w:rsidRPr="00302164" w:rsidR="00860A70">
        <w:rPr>
          <w:szCs w:val="26"/>
        </w:rPr>
        <w:t xml:space="preserve">“created an unreasonable and foreseeable risk of injury and harm to occupants of vehicles in the intersection.”  </w:t>
      </w:r>
      <w:r w:rsidRPr="00302164">
        <w:rPr>
          <w:szCs w:val="26"/>
        </w:rPr>
        <w:t xml:space="preserve">Downey alleged </w:t>
      </w:r>
      <w:r w:rsidRPr="00302164" w:rsidR="00495C36">
        <w:rPr>
          <w:szCs w:val="26"/>
        </w:rPr>
        <w:t>the Sevacherians</w:t>
      </w:r>
      <w:r w:rsidRPr="00302164" w:rsidR="001D5BF8">
        <w:rPr>
          <w:szCs w:val="26"/>
        </w:rPr>
        <w:t>, too,</w:t>
      </w:r>
      <w:r w:rsidRPr="00302164" w:rsidR="00495C36">
        <w:rPr>
          <w:szCs w:val="26"/>
        </w:rPr>
        <w:t xml:space="preserve"> contributed to the </w:t>
      </w:r>
      <w:r w:rsidRPr="00302164" w:rsidR="001D5BF8">
        <w:rPr>
          <w:szCs w:val="26"/>
        </w:rPr>
        <w:t>accident</w:t>
      </w:r>
      <w:r w:rsidRPr="00302164" w:rsidR="00495C36">
        <w:rPr>
          <w:szCs w:val="26"/>
        </w:rPr>
        <w:t xml:space="preserve"> by failing to trim vegetation on their property, which had obstructed the view of traffic turning from Via Zapata onto Canyon Crest Drive.  </w:t>
      </w:r>
    </w:p>
    <w:p w:rsidR="00860A70" w:rsidRPr="00302164" w:rsidP="00302164" w14:paraId="6FE3C9B7" w14:textId="012E5405">
      <w:pPr>
        <w:tabs>
          <w:tab w:val="left" w:pos="1440"/>
        </w:tabs>
        <w:ind w:firstLine="720"/>
        <w:rPr>
          <w:szCs w:val="26"/>
        </w:rPr>
      </w:pPr>
      <w:r w:rsidRPr="00302164">
        <w:rPr>
          <w:szCs w:val="26"/>
        </w:rPr>
        <w:t>T</w:t>
      </w:r>
      <w:r w:rsidRPr="00302164" w:rsidR="00C6200E">
        <w:rPr>
          <w:szCs w:val="26"/>
        </w:rPr>
        <w:t xml:space="preserve">he </w:t>
      </w:r>
      <w:r w:rsidRPr="00302164">
        <w:rPr>
          <w:szCs w:val="26"/>
        </w:rPr>
        <w:t xml:space="preserve">City and the Sevacherians </w:t>
      </w:r>
      <w:r w:rsidRPr="00302164" w:rsidR="0003741C">
        <w:rPr>
          <w:szCs w:val="26"/>
        </w:rPr>
        <w:t>demurred</w:t>
      </w:r>
      <w:r w:rsidRPr="00302164" w:rsidR="001D5BF8">
        <w:rPr>
          <w:szCs w:val="26"/>
        </w:rPr>
        <w:t xml:space="preserve"> to the complaint</w:t>
      </w:r>
      <w:r w:rsidRPr="00302164">
        <w:rPr>
          <w:szCs w:val="26"/>
        </w:rPr>
        <w:t xml:space="preserve">. </w:t>
      </w:r>
      <w:r w:rsidRPr="00302164" w:rsidR="00D607E9">
        <w:rPr>
          <w:szCs w:val="26"/>
        </w:rPr>
        <w:t xml:space="preserve"> </w:t>
      </w:r>
      <w:r w:rsidRPr="00302164" w:rsidR="00C6200E">
        <w:rPr>
          <w:szCs w:val="26"/>
        </w:rPr>
        <w:t xml:space="preserve">They argued that Downey could not allege a negligent infliction of emotional distress claim against them because </w:t>
      </w:r>
      <w:r w:rsidRPr="00302164" w:rsidR="00CF6CAC">
        <w:rPr>
          <w:szCs w:val="26"/>
        </w:rPr>
        <w:t xml:space="preserve">at the time of the collision </w:t>
      </w:r>
      <w:r w:rsidRPr="00302164" w:rsidR="00C6200E">
        <w:rPr>
          <w:szCs w:val="26"/>
        </w:rPr>
        <w:t xml:space="preserve">she was not aware of how their alleged negligence had caused the collision.  </w:t>
      </w:r>
      <w:r w:rsidRPr="00302164" w:rsidR="003C4DBA">
        <w:rPr>
          <w:szCs w:val="26"/>
        </w:rPr>
        <w:t xml:space="preserve">Agreeing with </w:t>
      </w:r>
      <w:r w:rsidRPr="00302164" w:rsidR="00303298">
        <w:rPr>
          <w:szCs w:val="26"/>
        </w:rPr>
        <w:t xml:space="preserve">the </w:t>
      </w:r>
      <w:r w:rsidRPr="00302164" w:rsidR="003C4DBA">
        <w:rPr>
          <w:szCs w:val="26"/>
        </w:rPr>
        <w:t>defendants, t</w:t>
      </w:r>
      <w:r w:rsidRPr="00302164">
        <w:rPr>
          <w:szCs w:val="26"/>
        </w:rPr>
        <w:t xml:space="preserve">he </w:t>
      </w:r>
      <w:r w:rsidRPr="00302164" w:rsidR="00977E0B">
        <w:rPr>
          <w:szCs w:val="26"/>
        </w:rPr>
        <w:t xml:space="preserve">trial </w:t>
      </w:r>
      <w:r w:rsidRPr="00302164">
        <w:rPr>
          <w:szCs w:val="26"/>
        </w:rPr>
        <w:t>court sustained the demurrers</w:t>
      </w:r>
      <w:r w:rsidRPr="00302164" w:rsidR="005579F2">
        <w:rPr>
          <w:szCs w:val="26"/>
        </w:rPr>
        <w:t xml:space="preserve"> </w:t>
      </w:r>
      <w:r w:rsidRPr="00302164">
        <w:rPr>
          <w:szCs w:val="26"/>
        </w:rPr>
        <w:t>without leave to amend</w:t>
      </w:r>
      <w:r w:rsidRPr="00302164" w:rsidR="003C4DBA">
        <w:rPr>
          <w:szCs w:val="26"/>
        </w:rPr>
        <w:t xml:space="preserve">.  It explained </w:t>
      </w:r>
      <w:r w:rsidRPr="00302164" w:rsidR="001D5BF8">
        <w:rPr>
          <w:szCs w:val="26"/>
        </w:rPr>
        <w:t xml:space="preserve">that </w:t>
      </w:r>
      <w:r w:rsidR="00FE6220">
        <w:rPr>
          <w:szCs w:val="26"/>
        </w:rPr>
        <w:t xml:space="preserve">the complaint’s </w:t>
      </w:r>
      <w:r w:rsidRPr="00302164">
        <w:rPr>
          <w:szCs w:val="26"/>
        </w:rPr>
        <w:t>allegations were “insufficient to show that Downey had a contemporaneous awareness of the injury</w:t>
      </w:r>
      <w:r w:rsidRPr="00302164" w:rsidR="001039FB">
        <w:rPr>
          <w:szCs w:val="26"/>
        </w:rPr>
        <w:t>-</w:t>
      </w:r>
      <w:r w:rsidRPr="00302164">
        <w:rPr>
          <w:szCs w:val="26"/>
        </w:rPr>
        <w:t>producing event</w:t>
      </w:r>
      <w:r w:rsidRPr="00302164" w:rsidR="00702F26">
        <w:rPr>
          <w:szCs w:val="26"/>
        </w:rPr>
        <w:t> </w:t>
      </w:r>
      <w:r w:rsidRPr="00302164">
        <w:rPr>
          <w:szCs w:val="26"/>
        </w:rPr>
        <w:t>—</w:t>
      </w:r>
      <w:r w:rsidRPr="00302164" w:rsidR="00977E0B">
        <w:rPr>
          <w:szCs w:val="26"/>
        </w:rPr>
        <w:t xml:space="preserve"> </w:t>
      </w:r>
      <w:r w:rsidRPr="00302164">
        <w:rPr>
          <w:szCs w:val="26"/>
        </w:rPr>
        <w:t>not just the harm Vance suffered, but also the causal connection between defendants’ tortious conduct and the injuries Vance suffered.”</w:t>
      </w:r>
      <w:r w:rsidRPr="00302164" w:rsidR="00761C15">
        <w:rPr>
          <w:szCs w:val="26"/>
        </w:rPr>
        <w:t xml:space="preserve"> </w:t>
      </w:r>
    </w:p>
    <w:p w:rsidR="00977E0B" w:rsidRPr="00302164" w:rsidP="00302164" w14:paraId="4274F24F" w14:textId="3238F302">
      <w:pPr>
        <w:tabs>
          <w:tab w:val="left" w:pos="1440"/>
        </w:tabs>
        <w:ind w:firstLine="720"/>
        <w:rPr>
          <w:szCs w:val="26"/>
        </w:rPr>
      </w:pPr>
      <w:r w:rsidRPr="00302164">
        <w:rPr>
          <w:szCs w:val="26"/>
        </w:rPr>
        <w:t xml:space="preserve">On appeal, Downey argued that </w:t>
      </w:r>
      <w:r w:rsidRPr="00302164" w:rsidR="00E1595F">
        <w:rPr>
          <w:szCs w:val="26"/>
        </w:rPr>
        <w:t xml:space="preserve">it was unnecessary for her to show contemporaneous awareness of </w:t>
      </w:r>
      <w:r w:rsidRPr="00302164" w:rsidR="00303298">
        <w:rPr>
          <w:szCs w:val="26"/>
        </w:rPr>
        <w:t xml:space="preserve">the </w:t>
      </w:r>
      <w:r w:rsidRPr="00302164">
        <w:rPr>
          <w:szCs w:val="26"/>
        </w:rPr>
        <w:t>defendant</w:t>
      </w:r>
      <w:r w:rsidRPr="00302164" w:rsidR="00E1595F">
        <w:rPr>
          <w:szCs w:val="26"/>
        </w:rPr>
        <w:t>s’ tortious</w:t>
      </w:r>
      <w:r w:rsidRPr="00302164">
        <w:rPr>
          <w:szCs w:val="26"/>
        </w:rPr>
        <w:t xml:space="preserve"> conduct to state a claim for negligent infliction of emotional distress.  </w:t>
      </w:r>
      <w:r w:rsidR="006F7A08">
        <w:rPr>
          <w:szCs w:val="26"/>
        </w:rPr>
        <w:t>In a divided decision, t</w:t>
      </w:r>
      <w:r w:rsidRPr="00302164">
        <w:rPr>
          <w:szCs w:val="26"/>
        </w:rPr>
        <w:t>he Court of Appeal rejected the argument</w:t>
      </w:r>
      <w:r w:rsidRPr="00302164" w:rsidR="00CC7B61">
        <w:rPr>
          <w:szCs w:val="26"/>
        </w:rPr>
        <w:t>.</w:t>
      </w:r>
      <w:r w:rsidRPr="00302164">
        <w:rPr>
          <w:szCs w:val="26"/>
        </w:rPr>
        <w:t xml:space="preserve">  (</w:t>
      </w:r>
      <w:r w:rsidRPr="00302164">
        <w:rPr>
          <w:i/>
          <w:iCs/>
          <w:szCs w:val="26"/>
        </w:rPr>
        <w:t>Downey</w:t>
      </w:r>
      <w:r w:rsidRPr="00302164">
        <w:rPr>
          <w:szCs w:val="26"/>
        </w:rPr>
        <w:t xml:space="preserve">, </w:t>
      </w:r>
      <w:r w:rsidRPr="00302164">
        <w:rPr>
          <w:i/>
          <w:iCs/>
          <w:szCs w:val="26"/>
        </w:rPr>
        <w:t>supra</w:t>
      </w:r>
      <w:r w:rsidRPr="00302164">
        <w:rPr>
          <w:szCs w:val="26"/>
        </w:rPr>
        <w:t>, 90</w:t>
      </w:r>
      <w:r w:rsidR="0007686B">
        <w:rPr>
          <w:szCs w:val="26"/>
        </w:rPr>
        <w:t> </w:t>
      </w:r>
      <w:r w:rsidRPr="00302164">
        <w:rPr>
          <w:szCs w:val="26"/>
        </w:rPr>
        <w:t>Cal.App.5th at pp.</w:t>
      </w:r>
      <w:r w:rsidRPr="00302164" w:rsidR="00337A84">
        <w:rPr>
          <w:szCs w:val="26"/>
        </w:rPr>
        <w:t> </w:t>
      </w:r>
      <w:r w:rsidRPr="00302164">
        <w:rPr>
          <w:szCs w:val="26"/>
        </w:rPr>
        <w:t>1054–1055, 1057</w:t>
      </w:r>
      <w:r w:rsidRPr="00302164" w:rsidR="004A0F9E">
        <w:rPr>
          <w:szCs w:val="26"/>
        </w:rPr>
        <w:t xml:space="preserve">.)  </w:t>
      </w:r>
    </w:p>
    <w:p w:rsidR="00E44960" w:rsidRPr="00302164" w:rsidP="00302164" w14:paraId="363A1B0B" w14:textId="5E920885">
      <w:pPr>
        <w:tabs>
          <w:tab w:val="left" w:pos="1440"/>
        </w:tabs>
        <w:ind w:firstLine="720"/>
        <w:rPr>
          <w:szCs w:val="26"/>
        </w:rPr>
      </w:pPr>
      <w:r w:rsidRPr="00302164">
        <w:rPr>
          <w:szCs w:val="26"/>
        </w:rPr>
        <w:t>T</w:t>
      </w:r>
      <w:r w:rsidRPr="00302164" w:rsidR="00320F3D">
        <w:rPr>
          <w:szCs w:val="26"/>
        </w:rPr>
        <w:t>he majority</w:t>
      </w:r>
      <w:r w:rsidRPr="00302164">
        <w:rPr>
          <w:szCs w:val="26"/>
        </w:rPr>
        <w:t xml:space="preserve"> relied </w:t>
      </w:r>
      <w:r w:rsidRPr="00302164" w:rsidR="00320F3D">
        <w:rPr>
          <w:szCs w:val="26"/>
        </w:rPr>
        <w:t xml:space="preserve">in large part </w:t>
      </w:r>
      <w:r w:rsidRPr="00302164">
        <w:rPr>
          <w:szCs w:val="26"/>
        </w:rPr>
        <w:t xml:space="preserve">on this court’s decision in </w:t>
      </w:r>
      <w:r w:rsidRPr="00302164" w:rsidR="00297911">
        <w:rPr>
          <w:i/>
          <w:iCs/>
          <w:szCs w:val="26"/>
        </w:rPr>
        <w:t>Bird v. Saenz</w:t>
      </w:r>
      <w:r w:rsidRPr="00302164" w:rsidR="00297911">
        <w:rPr>
          <w:szCs w:val="26"/>
        </w:rPr>
        <w:t xml:space="preserve"> (2002) 28</w:t>
      </w:r>
      <w:r w:rsidR="0007686B">
        <w:rPr>
          <w:szCs w:val="26"/>
        </w:rPr>
        <w:t> </w:t>
      </w:r>
      <w:r w:rsidRPr="00302164" w:rsidR="00297911">
        <w:rPr>
          <w:szCs w:val="26"/>
        </w:rPr>
        <w:t>Cal.4th 910</w:t>
      </w:r>
      <w:r w:rsidRPr="00302164" w:rsidR="005C7E2A">
        <w:rPr>
          <w:szCs w:val="26"/>
        </w:rPr>
        <w:t xml:space="preserve"> (</w:t>
      </w:r>
      <w:r w:rsidRPr="00302164" w:rsidR="005C7E2A">
        <w:rPr>
          <w:i/>
          <w:iCs/>
          <w:szCs w:val="26"/>
        </w:rPr>
        <w:t>Bird</w:t>
      </w:r>
      <w:r w:rsidRPr="00302164" w:rsidR="005C7E2A">
        <w:rPr>
          <w:szCs w:val="26"/>
        </w:rPr>
        <w:t>)</w:t>
      </w:r>
      <w:r w:rsidRPr="00302164" w:rsidR="00297911">
        <w:rPr>
          <w:szCs w:val="26"/>
        </w:rPr>
        <w:t xml:space="preserve">.  </w:t>
      </w:r>
      <w:r w:rsidRPr="00302164" w:rsidR="00F107FA">
        <w:rPr>
          <w:szCs w:val="26"/>
        </w:rPr>
        <w:t xml:space="preserve">In </w:t>
      </w:r>
      <w:r w:rsidRPr="00302164" w:rsidR="00F107FA">
        <w:rPr>
          <w:i/>
          <w:iCs/>
          <w:szCs w:val="26"/>
        </w:rPr>
        <w:t>Bird</w:t>
      </w:r>
      <w:r w:rsidRPr="00302164" w:rsidR="00F107FA">
        <w:rPr>
          <w:szCs w:val="26"/>
        </w:rPr>
        <w:t xml:space="preserve">, the plaintiffs’ mother, a cancer patient, had </w:t>
      </w:r>
      <w:r w:rsidRPr="00302164" w:rsidR="00CA5964">
        <w:rPr>
          <w:szCs w:val="26"/>
        </w:rPr>
        <w:t>been injured when her artery was transected during surgery and her doctors did not diagnose or treat the damaged artery right away</w:t>
      </w:r>
      <w:r w:rsidRPr="00302164" w:rsidR="00F107FA">
        <w:rPr>
          <w:szCs w:val="26"/>
        </w:rPr>
        <w:t>.  (</w:t>
      </w:r>
      <w:r w:rsidRPr="00302164" w:rsidR="00F107FA">
        <w:rPr>
          <w:i/>
          <w:iCs/>
          <w:szCs w:val="26"/>
        </w:rPr>
        <w:t>Id.</w:t>
      </w:r>
      <w:r w:rsidRPr="00302164" w:rsidR="00F107FA">
        <w:rPr>
          <w:szCs w:val="26"/>
        </w:rPr>
        <w:t xml:space="preserve"> at pp.</w:t>
      </w:r>
      <w:r w:rsidRPr="00302164" w:rsidR="00337A84">
        <w:rPr>
          <w:szCs w:val="26"/>
        </w:rPr>
        <w:t> </w:t>
      </w:r>
      <w:r w:rsidRPr="00302164" w:rsidR="00F107FA">
        <w:rPr>
          <w:szCs w:val="26"/>
        </w:rPr>
        <w:t>912–914</w:t>
      </w:r>
      <w:r w:rsidRPr="00302164" w:rsidR="00DC4DE4">
        <w:rPr>
          <w:szCs w:val="26"/>
        </w:rPr>
        <w:t>, 916–917</w:t>
      </w:r>
      <w:r w:rsidRPr="00302164" w:rsidR="00F107FA">
        <w:rPr>
          <w:szCs w:val="26"/>
        </w:rPr>
        <w:t xml:space="preserve">.)  </w:t>
      </w:r>
      <w:r w:rsidRPr="00302164" w:rsidR="001B307E">
        <w:rPr>
          <w:szCs w:val="26"/>
        </w:rPr>
        <w:t>Because the plaintiffs had not witnessed the injury-causing event</w:t>
      </w:r>
      <w:r w:rsidRPr="00302164" w:rsidR="001C045E">
        <w:rPr>
          <w:szCs w:val="26"/>
        </w:rPr>
        <w:t>s</w:t>
      </w:r>
      <w:r w:rsidRPr="00302164" w:rsidR="00337A84">
        <w:rPr>
          <w:szCs w:val="26"/>
        </w:rPr>
        <w:t> </w:t>
      </w:r>
      <w:r w:rsidRPr="00302164" w:rsidR="001B307E">
        <w:rPr>
          <w:szCs w:val="26"/>
        </w:rPr>
        <w:t xml:space="preserve">— the transection of their mother’s artery </w:t>
      </w:r>
      <w:r w:rsidRPr="00302164" w:rsidR="001C045E">
        <w:rPr>
          <w:szCs w:val="26"/>
        </w:rPr>
        <w:t>and the physicians’ subsequent failures to diagnose and treat the damaged artery</w:t>
      </w:r>
      <w:r w:rsidRPr="00302164" w:rsidR="00337A84">
        <w:rPr>
          <w:szCs w:val="26"/>
        </w:rPr>
        <w:t> </w:t>
      </w:r>
      <w:r w:rsidRPr="00302164" w:rsidR="001B307E">
        <w:rPr>
          <w:szCs w:val="26"/>
        </w:rPr>
        <w:t>— but claimed only to have perceived its consequences</w:t>
      </w:r>
      <w:r w:rsidRPr="00302164" w:rsidR="00337A84">
        <w:rPr>
          <w:szCs w:val="26"/>
        </w:rPr>
        <w:t> </w:t>
      </w:r>
      <w:r w:rsidRPr="00302164" w:rsidR="001B307E">
        <w:rPr>
          <w:szCs w:val="26"/>
        </w:rPr>
        <w:t xml:space="preserve">— </w:t>
      </w:r>
      <w:r w:rsidRPr="00302164" w:rsidR="005C7E2A">
        <w:rPr>
          <w:szCs w:val="26"/>
        </w:rPr>
        <w:t>her suffering from the internal bleeding</w:t>
      </w:r>
      <w:r w:rsidRPr="00302164" w:rsidR="00337A84">
        <w:rPr>
          <w:szCs w:val="26"/>
        </w:rPr>
        <w:t> </w:t>
      </w:r>
      <w:r w:rsidRPr="00302164" w:rsidR="00B115B8">
        <w:rPr>
          <w:szCs w:val="26"/>
        </w:rPr>
        <w:t>— we declined to impose liability for negligent infliction of emotional distress based on the physicians’ alleged malpractice</w:t>
      </w:r>
      <w:r w:rsidRPr="00302164" w:rsidR="00E63389">
        <w:rPr>
          <w:szCs w:val="26"/>
        </w:rPr>
        <w:t xml:space="preserve">.  </w:t>
      </w:r>
      <w:r w:rsidRPr="00302164" w:rsidR="00F23BC2">
        <w:rPr>
          <w:szCs w:val="26"/>
        </w:rPr>
        <w:t>Such</w:t>
      </w:r>
      <w:r w:rsidRPr="00302164" w:rsidR="00B115B8">
        <w:rPr>
          <w:szCs w:val="26"/>
        </w:rPr>
        <w:t xml:space="preserve"> liability </w:t>
      </w:r>
      <w:r w:rsidRPr="00302164" w:rsidR="00296CC1">
        <w:rPr>
          <w:szCs w:val="26"/>
        </w:rPr>
        <w:t>will</w:t>
      </w:r>
      <w:r w:rsidRPr="00302164" w:rsidR="00C42589">
        <w:rPr>
          <w:szCs w:val="26"/>
        </w:rPr>
        <w:t xml:space="preserve"> not lie </w:t>
      </w:r>
      <w:r w:rsidRPr="00302164" w:rsidR="00B115B8">
        <w:rPr>
          <w:szCs w:val="26"/>
        </w:rPr>
        <w:t xml:space="preserve">“based on nothing more than a bystander’s ‘observation of </w:t>
      </w:r>
      <w:r w:rsidRPr="00302164" w:rsidR="00B115B8">
        <w:rPr>
          <w:i/>
          <w:iCs/>
          <w:szCs w:val="26"/>
        </w:rPr>
        <w:t>the results</w:t>
      </w:r>
      <w:r w:rsidRPr="00302164" w:rsidR="00B115B8">
        <w:rPr>
          <w:szCs w:val="26"/>
        </w:rPr>
        <w:t xml:space="preserve"> of the defendant’s infliction of harm,’ however ‘direct and contemporaneous.’ ” </w:t>
      </w:r>
      <w:r w:rsidRPr="00302164" w:rsidR="001C045E">
        <w:rPr>
          <w:szCs w:val="26"/>
        </w:rPr>
        <w:t xml:space="preserve"> </w:t>
      </w:r>
      <w:r w:rsidRPr="00302164" w:rsidR="00B115B8">
        <w:rPr>
          <w:szCs w:val="26"/>
        </w:rPr>
        <w:t>(</w:t>
      </w:r>
      <w:r w:rsidRPr="00302164" w:rsidR="00B115B8">
        <w:rPr>
          <w:i/>
          <w:iCs/>
          <w:szCs w:val="26"/>
        </w:rPr>
        <w:t>Id.</w:t>
      </w:r>
      <w:r w:rsidRPr="00302164" w:rsidR="00B115B8">
        <w:rPr>
          <w:szCs w:val="26"/>
        </w:rPr>
        <w:t xml:space="preserve"> at p. 92</w:t>
      </w:r>
      <w:r w:rsidRPr="00302164" w:rsidR="001039FB">
        <w:rPr>
          <w:szCs w:val="26"/>
        </w:rPr>
        <w:t>1</w:t>
      </w:r>
      <w:r w:rsidRPr="00302164" w:rsidR="00B115B8">
        <w:rPr>
          <w:szCs w:val="26"/>
        </w:rPr>
        <w:t xml:space="preserve">, quoting </w:t>
      </w:r>
      <w:r w:rsidRPr="00302164" w:rsidR="00B115B8">
        <w:rPr>
          <w:i/>
          <w:iCs/>
          <w:szCs w:val="26"/>
        </w:rPr>
        <w:t xml:space="preserve">Mobaldi v. Regents of University of California </w:t>
      </w:r>
      <w:r w:rsidRPr="00302164" w:rsidR="00B115B8">
        <w:rPr>
          <w:szCs w:val="26"/>
        </w:rPr>
        <w:t>(1976) 55</w:t>
      </w:r>
      <w:r w:rsidR="0007686B">
        <w:rPr>
          <w:szCs w:val="26"/>
        </w:rPr>
        <w:t> </w:t>
      </w:r>
      <w:r w:rsidRPr="00302164" w:rsidR="00B115B8">
        <w:rPr>
          <w:szCs w:val="26"/>
        </w:rPr>
        <w:t xml:space="preserve">Cal.App.3d 573, 583.)  </w:t>
      </w:r>
    </w:p>
    <w:p w:rsidR="005B6B58" w:rsidRPr="00302164" w:rsidP="00302164" w14:paraId="606FD80A" w14:textId="3956EF75">
      <w:pPr>
        <w:tabs>
          <w:tab w:val="left" w:pos="1440"/>
        </w:tabs>
        <w:ind w:firstLine="720"/>
        <w:rPr>
          <w:szCs w:val="26"/>
        </w:rPr>
      </w:pPr>
      <w:r w:rsidRPr="00302164">
        <w:rPr>
          <w:szCs w:val="26"/>
        </w:rPr>
        <w:t xml:space="preserve">Likening this case to </w:t>
      </w:r>
      <w:r w:rsidRPr="00302164">
        <w:rPr>
          <w:i/>
          <w:iCs/>
          <w:szCs w:val="26"/>
        </w:rPr>
        <w:t>Bird</w:t>
      </w:r>
      <w:r w:rsidRPr="00302164">
        <w:rPr>
          <w:szCs w:val="26"/>
        </w:rPr>
        <w:t xml:space="preserve">, </w:t>
      </w:r>
      <w:r w:rsidRPr="00302164" w:rsidR="006B746B">
        <w:rPr>
          <w:szCs w:val="26"/>
        </w:rPr>
        <w:t xml:space="preserve">the Court of Appeal majority concluded that Downey </w:t>
      </w:r>
      <w:r w:rsidRPr="00302164" w:rsidR="00F76412">
        <w:rPr>
          <w:szCs w:val="26"/>
        </w:rPr>
        <w:t xml:space="preserve">failed to allege facts sufficient to make out a claim for negligent infliction of emotional distress because she had not alleged that she was contemporaneously aware </w:t>
      </w:r>
      <w:r w:rsidRPr="00302164" w:rsidR="00A13A87">
        <w:rPr>
          <w:szCs w:val="26"/>
        </w:rPr>
        <w:t>that the City’s and the Sevacherians’ “acts or omissions with respect to the traffic markings at the intersection or landscaping of surrounding property caused the accident or injured Vance.”  (</w:t>
      </w:r>
      <w:r w:rsidRPr="00302164" w:rsidR="00A13A87">
        <w:rPr>
          <w:i/>
          <w:iCs/>
          <w:szCs w:val="26"/>
        </w:rPr>
        <w:t>Downey</w:t>
      </w:r>
      <w:r w:rsidRPr="00302164" w:rsidR="00A13A87">
        <w:rPr>
          <w:szCs w:val="26"/>
        </w:rPr>
        <w:t xml:space="preserve">, </w:t>
      </w:r>
      <w:r w:rsidRPr="00302164" w:rsidR="009429C2">
        <w:rPr>
          <w:i/>
          <w:iCs/>
          <w:szCs w:val="26"/>
        </w:rPr>
        <w:t>supra</w:t>
      </w:r>
      <w:r w:rsidRPr="00302164" w:rsidR="009429C2">
        <w:rPr>
          <w:szCs w:val="26"/>
        </w:rPr>
        <w:t>, 90</w:t>
      </w:r>
      <w:r w:rsidR="0007686B">
        <w:rPr>
          <w:szCs w:val="26"/>
        </w:rPr>
        <w:t> </w:t>
      </w:r>
      <w:r w:rsidRPr="00302164" w:rsidR="009429C2">
        <w:rPr>
          <w:szCs w:val="26"/>
        </w:rPr>
        <w:t xml:space="preserve">Cal.App.5th </w:t>
      </w:r>
      <w:r w:rsidRPr="00302164" w:rsidR="00A13A87">
        <w:rPr>
          <w:szCs w:val="26"/>
        </w:rPr>
        <w:t xml:space="preserve">at p. 1055.)  Like the </w:t>
      </w:r>
      <w:r w:rsidRPr="00302164" w:rsidR="00A13A87">
        <w:rPr>
          <w:i/>
          <w:iCs/>
          <w:szCs w:val="26"/>
        </w:rPr>
        <w:t>Bird</w:t>
      </w:r>
      <w:r w:rsidRPr="00302164" w:rsidR="00A13A87">
        <w:rPr>
          <w:szCs w:val="26"/>
        </w:rPr>
        <w:t xml:space="preserve"> plaintiffs, Downey was aware only of the “</w:t>
      </w:r>
      <w:r w:rsidRPr="00302164" w:rsidR="00A13A87">
        <w:rPr>
          <w:i/>
          <w:iCs/>
          <w:szCs w:val="26"/>
        </w:rPr>
        <w:t>result</w:t>
      </w:r>
      <w:r w:rsidRPr="00302164" w:rsidR="00A13A87">
        <w:rPr>
          <w:szCs w:val="26"/>
        </w:rPr>
        <w:t xml:space="preserve"> or </w:t>
      </w:r>
      <w:r w:rsidRPr="00302164" w:rsidR="00A13A87">
        <w:rPr>
          <w:i/>
          <w:iCs/>
          <w:szCs w:val="26"/>
        </w:rPr>
        <w:t>consequence</w:t>
      </w:r>
      <w:r w:rsidRPr="00302164" w:rsidR="00A13A87">
        <w:rPr>
          <w:szCs w:val="26"/>
        </w:rPr>
        <w:t xml:space="preserve">” of </w:t>
      </w:r>
      <w:r w:rsidRPr="00302164" w:rsidR="00303298">
        <w:rPr>
          <w:szCs w:val="26"/>
        </w:rPr>
        <w:t xml:space="preserve">the </w:t>
      </w:r>
      <w:r w:rsidRPr="00302164" w:rsidR="00A13A87">
        <w:rPr>
          <w:szCs w:val="26"/>
        </w:rPr>
        <w:t>defendants’ alleged injury-causing conduct, not the conduct itself.  (</w:t>
      </w:r>
      <w:r w:rsidRPr="00302164" w:rsidR="001039FB">
        <w:rPr>
          <w:i/>
          <w:iCs/>
          <w:szCs w:val="26"/>
        </w:rPr>
        <w:t>Ibid.</w:t>
      </w:r>
      <w:r w:rsidRPr="00302164" w:rsidR="00A13A87">
        <w:rPr>
          <w:szCs w:val="26"/>
        </w:rPr>
        <w:t xml:space="preserve">)  </w:t>
      </w:r>
      <w:r w:rsidRPr="00302164" w:rsidR="000F639F">
        <w:rPr>
          <w:szCs w:val="26"/>
        </w:rPr>
        <w:t xml:space="preserve">That was not enough to </w:t>
      </w:r>
      <w:r w:rsidRPr="00302164" w:rsidR="00DC4DE4">
        <w:rPr>
          <w:szCs w:val="26"/>
        </w:rPr>
        <w:t>“</w:t>
      </w:r>
      <w:r w:rsidRPr="00302164" w:rsidR="000F639F">
        <w:rPr>
          <w:szCs w:val="26"/>
        </w:rPr>
        <w:t>state a negligent infliction of emotional distress cause of action.”  (</w:t>
      </w:r>
      <w:r w:rsidRPr="00302164" w:rsidR="000F639F">
        <w:rPr>
          <w:i/>
          <w:iCs/>
          <w:szCs w:val="26"/>
        </w:rPr>
        <w:t>Id.</w:t>
      </w:r>
      <w:r w:rsidRPr="00302164" w:rsidR="000F639F">
        <w:rPr>
          <w:szCs w:val="26"/>
        </w:rPr>
        <w:t xml:space="preserve"> at p.</w:t>
      </w:r>
      <w:r w:rsidRPr="00302164" w:rsidR="00337A84">
        <w:rPr>
          <w:szCs w:val="26"/>
        </w:rPr>
        <w:t> </w:t>
      </w:r>
      <w:r w:rsidRPr="00302164" w:rsidR="000F639F">
        <w:rPr>
          <w:szCs w:val="26"/>
        </w:rPr>
        <w:t>1056.)</w:t>
      </w:r>
      <w:r w:rsidRPr="00302164" w:rsidR="007C108B">
        <w:rPr>
          <w:szCs w:val="26"/>
        </w:rPr>
        <w:t xml:space="preserve">  Based on Downey’s representations at oral argument, however, the </w:t>
      </w:r>
      <w:r w:rsidR="006F7A08">
        <w:rPr>
          <w:szCs w:val="26"/>
        </w:rPr>
        <w:t>majority</w:t>
      </w:r>
      <w:r w:rsidRPr="00302164" w:rsidR="007C108B">
        <w:rPr>
          <w:szCs w:val="26"/>
        </w:rPr>
        <w:t xml:space="preserve"> concluded that she should be granted leave to attempt to “</w:t>
      </w:r>
      <w:r w:rsidRPr="00302164" w:rsidR="000F639F">
        <w:rPr>
          <w:szCs w:val="26"/>
        </w:rPr>
        <w:t xml:space="preserve">allege additional facts establishing that she had familiarity with, and knowledge and awareness of, the intersection and the dangerous conditions created by” </w:t>
      </w:r>
      <w:r w:rsidRPr="00302164" w:rsidR="00060550">
        <w:rPr>
          <w:szCs w:val="26"/>
        </w:rPr>
        <w:t xml:space="preserve">the </w:t>
      </w:r>
      <w:r w:rsidRPr="00302164" w:rsidR="000F639F">
        <w:rPr>
          <w:szCs w:val="26"/>
        </w:rPr>
        <w:t>defendants.  (</w:t>
      </w:r>
      <w:r w:rsidRPr="00302164" w:rsidR="007C108B">
        <w:rPr>
          <w:i/>
          <w:iCs/>
          <w:szCs w:val="26"/>
        </w:rPr>
        <w:t>Id.</w:t>
      </w:r>
      <w:r w:rsidRPr="00302164" w:rsidR="007C108B">
        <w:rPr>
          <w:szCs w:val="26"/>
        </w:rPr>
        <w:t xml:space="preserve"> </w:t>
      </w:r>
      <w:r w:rsidRPr="00302164" w:rsidR="000F639F">
        <w:rPr>
          <w:szCs w:val="26"/>
        </w:rPr>
        <w:t>at p. 1057.)</w:t>
      </w:r>
      <w:r w:rsidRPr="00302164" w:rsidR="00684F47">
        <w:rPr>
          <w:szCs w:val="26"/>
        </w:rPr>
        <w:t xml:space="preserve">  The </w:t>
      </w:r>
      <w:r w:rsidR="006F7A08">
        <w:rPr>
          <w:szCs w:val="26"/>
        </w:rPr>
        <w:t xml:space="preserve">majority </w:t>
      </w:r>
      <w:r w:rsidRPr="00302164" w:rsidR="00684F47">
        <w:rPr>
          <w:szCs w:val="26"/>
        </w:rPr>
        <w:t xml:space="preserve">otherwise affirmed the trial court’s decision sustaining </w:t>
      </w:r>
      <w:r w:rsidRPr="00302164" w:rsidR="00060550">
        <w:rPr>
          <w:szCs w:val="26"/>
        </w:rPr>
        <w:t xml:space="preserve">the </w:t>
      </w:r>
      <w:r w:rsidRPr="00302164" w:rsidR="00C21C4B">
        <w:rPr>
          <w:szCs w:val="26"/>
        </w:rPr>
        <w:t xml:space="preserve">defendants’ </w:t>
      </w:r>
      <w:r w:rsidRPr="00302164" w:rsidR="00684F47">
        <w:rPr>
          <w:szCs w:val="26"/>
        </w:rPr>
        <w:t>demurrer</w:t>
      </w:r>
      <w:r w:rsidR="00FE6220">
        <w:rPr>
          <w:szCs w:val="26"/>
        </w:rPr>
        <w:t>s</w:t>
      </w:r>
      <w:r w:rsidRPr="00302164" w:rsidR="00684F47">
        <w:rPr>
          <w:szCs w:val="26"/>
        </w:rPr>
        <w:t>.</w:t>
      </w:r>
      <w:bookmarkStart w:id="1" w:name="_Ref166584043"/>
      <w:r>
        <w:rPr>
          <w:rStyle w:val="FootnoteReference"/>
          <w:szCs w:val="26"/>
        </w:rPr>
        <w:footnoteReference w:id="4"/>
      </w:r>
      <w:bookmarkEnd w:id="1"/>
      <w:r w:rsidRPr="00302164" w:rsidR="000F639F">
        <w:rPr>
          <w:szCs w:val="26"/>
        </w:rPr>
        <w:t xml:space="preserve">  </w:t>
      </w:r>
    </w:p>
    <w:p w:rsidR="00763952" w:rsidRPr="00302164" w:rsidP="002854C9" w14:paraId="229CFD22" w14:textId="0840BECD">
      <w:pPr>
        <w:tabs>
          <w:tab w:val="left" w:pos="1440"/>
        </w:tabs>
        <w:ind w:firstLine="720"/>
        <w:rPr>
          <w:szCs w:val="26"/>
        </w:rPr>
      </w:pPr>
      <w:r>
        <w:rPr>
          <w:szCs w:val="26"/>
        </w:rPr>
        <w:t xml:space="preserve">In a concurring and dissenting opinion, </w:t>
      </w:r>
      <w:r w:rsidRPr="00302164" w:rsidR="0055139E">
        <w:rPr>
          <w:szCs w:val="26"/>
        </w:rPr>
        <w:t xml:space="preserve">Justice Dato </w:t>
      </w:r>
      <w:r>
        <w:rPr>
          <w:szCs w:val="26"/>
        </w:rPr>
        <w:t xml:space="preserve">disagreed that </w:t>
      </w:r>
      <w:r w:rsidRPr="00302164">
        <w:rPr>
          <w:szCs w:val="26"/>
        </w:rPr>
        <w:t xml:space="preserve">Downey </w:t>
      </w:r>
      <w:r>
        <w:rPr>
          <w:szCs w:val="26"/>
        </w:rPr>
        <w:t>was required to</w:t>
      </w:r>
      <w:r w:rsidRPr="00302164">
        <w:rPr>
          <w:szCs w:val="26"/>
        </w:rPr>
        <w:t xml:space="preserve"> plead or prove that she was “aware of each and every separate act of negligence that may have contributed to the accident.”  </w:t>
      </w:r>
      <w:r w:rsidRPr="00302164" w:rsidR="0055139E">
        <w:rPr>
          <w:szCs w:val="26"/>
        </w:rPr>
        <w:t>(</w:t>
      </w:r>
      <w:r w:rsidRPr="00302164" w:rsidR="0055139E">
        <w:rPr>
          <w:i/>
          <w:iCs/>
          <w:szCs w:val="26"/>
        </w:rPr>
        <w:t>Downey</w:t>
      </w:r>
      <w:r w:rsidRPr="00302164" w:rsidR="0055139E">
        <w:rPr>
          <w:szCs w:val="26"/>
        </w:rPr>
        <w:t xml:space="preserve">, </w:t>
      </w:r>
      <w:r w:rsidRPr="00302164" w:rsidR="0055139E">
        <w:rPr>
          <w:i/>
          <w:iCs/>
          <w:szCs w:val="26"/>
        </w:rPr>
        <w:t>supra</w:t>
      </w:r>
      <w:r w:rsidRPr="00302164" w:rsidR="0055139E">
        <w:rPr>
          <w:szCs w:val="26"/>
        </w:rPr>
        <w:t>, 90</w:t>
      </w:r>
      <w:r w:rsidR="0007686B">
        <w:rPr>
          <w:szCs w:val="26"/>
        </w:rPr>
        <w:t> </w:t>
      </w:r>
      <w:r w:rsidRPr="00302164" w:rsidR="0055139E">
        <w:rPr>
          <w:szCs w:val="26"/>
        </w:rPr>
        <w:t xml:space="preserve">Cal.App.5th at </w:t>
      </w:r>
      <w:r>
        <w:rPr>
          <w:szCs w:val="26"/>
        </w:rPr>
        <w:t>p</w:t>
      </w:r>
      <w:r w:rsidRPr="00302164" w:rsidR="0055139E">
        <w:rPr>
          <w:szCs w:val="26"/>
        </w:rPr>
        <w:t>. </w:t>
      </w:r>
      <w:r>
        <w:rPr>
          <w:szCs w:val="26"/>
        </w:rPr>
        <w:t>1058</w:t>
      </w:r>
      <w:r w:rsidR="00582C98">
        <w:rPr>
          <w:szCs w:val="26"/>
        </w:rPr>
        <w:t xml:space="preserve"> (</w:t>
      </w:r>
      <w:r w:rsidRPr="00302164" w:rsidR="00582C98">
        <w:rPr>
          <w:szCs w:val="26"/>
        </w:rPr>
        <w:t>conc. &amp; dis. opn. of Dato, J</w:t>
      </w:r>
      <w:r w:rsidR="00582C98">
        <w:rPr>
          <w:szCs w:val="26"/>
        </w:rPr>
        <w:t>.)</w:t>
      </w:r>
      <w:r w:rsidR="00646E59">
        <w:rPr>
          <w:szCs w:val="26"/>
        </w:rPr>
        <w:t xml:space="preserve">; see </w:t>
      </w:r>
      <w:r w:rsidRPr="00646E59" w:rsidR="00646E59">
        <w:rPr>
          <w:i/>
          <w:iCs/>
          <w:szCs w:val="26"/>
        </w:rPr>
        <w:t>id.</w:t>
      </w:r>
      <w:r w:rsidR="00646E59">
        <w:rPr>
          <w:szCs w:val="26"/>
        </w:rPr>
        <w:t xml:space="preserve"> at p. 1057</w:t>
      </w:r>
      <w:r w:rsidRPr="00302164" w:rsidR="0055139E">
        <w:rPr>
          <w:szCs w:val="26"/>
        </w:rPr>
        <w:t xml:space="preserve"> (conc. &amp; dis. opn. of Dato, J.).)  </w:t>
      </w:r>
      <w:r w:rsidRPr="00302164" w:rsidR="00DA0999">
        <w:rPr>
          <w:szCs w:val="26"/>
        </w:rPr>
        <w:t>I</w:t>
      </w:r>
      <w:r w:rsidRPr="00302164" w:rsidR="00537D90">
        <w:rPr>
          <w:szCs w:val="26"/>
        </w:rPr>
        <w:t xml:space="preserve">n Justice Dato’s view, a plaintiff seeking bystander distress recovery </w:t>
      </w:r>
      <w:r w:rsidRPr="00302164" w:rsidR="008146AB">
        <w:rPr>
          <w:szCs w:val="26"/>
        </w:rPr>
        <w:t xml:space="preserve">needs to show </w:t>
      </w:r>
      <w:r w:rsidRPr="00302164" w:rsidR="00F52648">
        <w:rPr>
          <w:szCs w:val="26"/>
        </w:rPr>
        <w:t xml:space="preserve">contemporaneous </w:t>
      </w:r>
      <w:r w:rsidRPr="00302164" w:rsidR="008146AB">
        <w:rPr>
          <w:szCs w:val="26"/>
        </w:rPr>
        <w:t xml:space="preserve">awareness of the injury-causing event and that it is causing injury to the victim, </w:t>
      </w:r>
      <w:r w:rsidRPr="00302164" w:rsidR="00F52648">
        <w:rPr>
          <w:szCs w:val="26"/>
        </w:rPr>
        <w:t xml:space="preserve">but does not necessarily need to </w:t>
      </w:r>
      <w:r w:rsidRPr="00302164" w:rsidR="008146AB">
        <w:rPr>
          <w:szCs w:val="26"/>
        </w:rPr>
        <w:t>understand that the defendant’s</w:t>
      </w:r>
      <w:r w:rsidRPr="00302164" w:rsidR="006F1B4B">
        <w:rPr>
          <w:szCs w:val="26"/>
        </w:rPr>
        <w:t xml:space="preserve"> </w:t>
      </w:r>
      <w:r w:rsidRPr="00302164" w:rsidR="008146AB">
        <w:rPr>
          <w:szCs w:val="26"/>
        </w:rPr>
        <w:t xml:space="preserve">conduct is causing the injury.  </w:t>
      </w:r>
      <w:r w:rsidRPr="00302164" w:rsidR="004029D7">
        <w:rPr>
          <w:szCs w:val="26"/>
        </w:rPr>
        <w:t>(</w:t>
      </w:r>
      <w:r w:rsidRPr="00302164" w:rsidR="004029D7">
        <w:rPr>
          <w:i/>
          <w:iCs/>
          <w:szCs w:val="26"/>
        </w:rPr>
        <w:t xml:space="preserve">Id. </w:t>
      </w:r>
      <w:r w:rsidRPr="00302164" w:rsidR="004029D7">
        <w:rPr>
          <w:szCs w:val="26"/>
        </w:rPr>
        <w:t>at pp.</w:t>
      </w:r>
      <w:r w:rsidRPr="00302164" w:rsidR="00337A84">
        <w:rPr>
          <w:szCs w:val="26"/>
        </w:rPr>
        <w:t> </w:t>
      </w:r>
      <w:r w:rsidRPr="00302164" w:rsidR="00DC4DE4">
        <w:rPr>
          <w:szCs w:val="26"/>
        </w:rPr>
        <w:t>1059</w:t>
      </w:r>
      <w:r w:rsidRPr="00302164" w:rsidR="004029D7">
        <w:rPr>
          <w:szCs w:val="26"/>
        </w:rPr>
        <w:t>–106</w:t>
      </w:r>
      <w:r w:rsidRPr="00302164" w:rsidR="00DC4DE4">
        <w:rPr>
          <w:szCs w:val="26"/>
        </w:rPr>
        <w:t>3</w:t>
      </w:r>
      <w:r w:rsidR="00646E59">
        <w:rPr>
          <w:szCs w:val="26"/>
        </w:rPr>
        <w:t xml:space="preserve"> (conc. &amp; dis. opn. </w:t>
      </w:r>
      <w:r w:rsidR="00AF373F">
        <w:rPr>
          <w:szCs w:val="26"/>
        </w:rPr>
        <w:t xml:space="preserve">of </w:t>
      </w:r>
      <w:r w:rsidR="00646E59">
        <w:rPr>
          <w:szCs w:val="26"/>
        </w:rPr>
        <w:t>Dato, J.</w:t>
      </w:r>
      <w:r w:rsidRPr="00302164" w:rsidR="004029D7">
        <w:rPr>
          <w:szCs w:val="26"/>
        </w:rPr>
        <w:t>)</w:t>
      </w:r>
      <w:r w:rsidR="000B7CA2">
        <w:rPr>
          <w:szCs w:val="26"/>
        </w:rPr>
        <w:t>.)</w:t>
      </w:r>
      <w:r w:rsidRPr="00302164" w:rsidR="004029D7">
        <w:rPr>
          <w:szCs w:val="26"/>
        </w:rPr>
        <w:t xml:space="preserve">  </w:t>
      </w:r>
    </w:p>
    <w:p w:rsidR="00EF58AE" w:rsidRPr="00302164" w:rsidP="00302164" w14:paraId="36128F3B" w14:textId="2992E5C0">
      <w:pPr>
        <w:tabs>
          <w:tab w:val="left" w:pos="1440"/>
        </w:tabs>
        <w:ind w:firstLine="720"/>
        <w:rPr>
          <w:szCs w:val="26"/>
        </w:rPr>
      </w:pPr>
      <w:r w:rsidRPr="00302164">
        <w:rPr>
          <w:szCs w:val="26"/>
        </w:rPr>
        <w:t xml:space="preserve">We granted review to </w:t>
      </w:r>
      <w:r w:rsidRPr="00302164" w:rsidR="00203E90">
        <w:rPr>
          <w:szCs w:val="26"/>
        </w:rPr>
        <w:t>address this question of statewide importance that divided the Court of Appeal</w:t>
      </w:r>
      <w:r w:rsidRPr="00302164" w:rsidR="008D3D53">
        <w:rPr>
          <w:szCs w:val="26"/>
        </w:rPr>
        <w:t>.</w:t>
      </w:r>
    </w:p>
    <w:p w:rsidR="00835599" w:rsidRPr="00302164" w:rsidP="008F2BB6" w14:paraId="0E319AE3" w14:textId="77777777">
      <w:pPr>
        <w:keepNext/>
        <w:tabs>
          <w:tab w:val="left" w:pos="1440"/>
        </w:tabs>
        <w:jc w:val="center"/>
        <w:rPr>
          <w:b/>
          <w:bCs/>
          <w:smallCaps/>
          <w:szCs w:val="26"/>
        </w:rPr>
      </w:pPr>
      <w:r w:rsidRPr="00302164">
        <w:rPr>
          <w:b/>
          <w:bCs/>
          <w:smallCaps/>
          <w:szCs w:val="26"/>
        </w:rPr>
        <w:t>II.</w:t>
      </w:r>
    </w:p>
    <w:p w:rsidR="00835599" w:rsidRPr="00302164" w:rsidP="008F2BB6" w14:paraId="200FB901" w14:textId="3051294D">
      <w:pPr>
        <w:keepNext/>
        <w:tabs>
          <w:tab w:val="left" w:pos="1440"/>
        </w:tabs>
        <w:jc w:val="center"/>
        <w:rPr>
          <w:b/>
          <w:bCs/>
          <w:smallCaps/>
          <w:szCs w:val="26"/>
        </w:rPr>
      </w:pPr>
      <w:r w:rsidRPr="00302164">
        <w:rPr>
          <w:b/>
          <w:bCs/>
          <w:smallCaps/>
          <w:szCs w:val="26"/>
        </w:rPr>
        <w:t>A.</w:t>
      </w:r>
    </w:p>
    <w:p w:rsidR="00D20C5C" w:rsidP="00302164" w14:paraId="38A89426" w14:textId="0EA351AB">
      <w:pPr>
        <w:tabs>
          <w:tab w:val="left" w:pos="1440"/>
        </w:tabs>
        <w:ind w:firstLine="720"/>
        <w:rPr>
          <w:szCs w:val="26"/>
        </w:rPr>
      </w:pPr>
      <w:r w:rsidRPr="00302164">
        <w:rPr>
          <w:szCs w:val="26"/>
        </w:rPr>
        <w:t>N</w:t>
      </w:r>
      <w:r w:rsidRPr="00302164" w:rsidR="00BE5701">
        <w:rPr>
          <w:szCs w:val="26"/>
        </w:rPr>
        <w:t>egligent infliction of emotional distress “</w:t>
      </w:r>
      <w:r w:rsidRPr="00302164" w:rsidR="00C35642">
        <w:rPr>
          <w:szCs w:val="26"/>
        </w:rPr>
        <w:t> ‘</w:t>
      </w:r>
      <w:r w:rsidRPr="00302164" w:rsidR="00BE5701">
        <w:rPr>
          <w:szCs w:val="26"/>
        </w:rPr>
        <w:t xml:space="preserve">is not an independent tort, but the tort of </w:t>
      </w:r>
      <w:r w:rsidRPr="00302164" w:rsidR="00BE5701">
        <w:rPr>
          <w:i/>
          <w:iCs/>
          <w:szCs w:val="26"/>
        </w:rPr>
        <w:t>negligence</w:t>
      </w:r>
      <w:r w:rsidRPr="00302164" w:rsidR="00BE5701">
        <w:rPr>
          <w:szCs w:val="26"/>
        </w:rPr>
        <w:t>,</w:t>
      </w:r>
      <w:r w:rsidRPr="00302164" w:rsidR="00C35642">
        <w:rPr>
          <w:szCs w:val="26"/>
        </w:rPr>
        <w:t>’ </w:t>
      </w:r>
      <w:r w:rsidRPr="00302164" w:rsidR="00BE5701">
        <w:rPr>
          <w:szCs w:val="26"/>
        </w:rPr>
        <w:t>” to which “</w:t>
      </w:r>
      <w:r w:rsidRPr="00302164" w:rsidR="00C35642">
        <w:rPr>
          <w:szCs w:val="26"/>
        </w:rPr>
        <w:t> ‘</w:t>
      </w:r>
      <w:r w:rsidRPr="00302164" w:rsidR="00BE5701">
        <w:rPr>
          <w:szCs w:val="26"/>
        </w:rPr>
        <w:t>traditional elements of duty, breach of duty, causation, and damages apply.</w:t>
      </w:r>
      <w:r w:rsidRPr="00302164" w:rsidR="00C35642">
        <w:rPr>
          <w:szCs w:val="26"/>
        </w:rPr>
        <w:t>’ </w:t>
      </w:r>
      <w:r w:rsidRPr="00302164" w:rsidR="00BE5701">
        <w:rPr>
          <w:szCs w:val="26"/>
        </w:rPr>
        <w:t>”  (</w:t>
      </w:r>
      <w:r w:rsidRPr="00302164" w:rsidR="00BE5701">
        <w:rPr>
          <w:i/>
          <w:iCs/>
          <w:szCs w:val="26"/>
        </w:rPr>
        <w:t xml:space="preserve">Burgess v. Superior Court </w:t>
      </w:r>
      <w:r w:rsidRPr="00302164" w:rsidR="00BE5701">
        <w:rPr>
          <w:szCs w:val="26"/>
        </w:rPr>
        <w:t>(1992) 2 Cal.4th 1064, 1072</w:t>
      </w:r>
      <w:r w:rsidRPr="00302164" w:rsidR="00C35642">
        <w:rPr>
          <w:szCs w:val="26"/>
        </w:rPr>
        <w:t xml:space="preserve">, quoting </w:t>
      </w:r>
      <w:r w:rsidRPr="00302164" w:rsidR="00C35642">
        <w:rPr>
          <w:i/>
          <w:iCs/>
          <w:szCs w:val="26"/>
        </w:rPr>
        <w:t>Marlene F. v. Affiliated Psychiatric Medical Clinic, Inc.</w:t>
      </w:r>
      <w:r w:rsidRPr="00302164" w:rsidR="00C35642">
        <w:rPr>
          <w:szCs w:val="26"/>
        </w:rPr>
        <w:t xml:space="preserve"> (1989) 48</w:t>
      </w:r>
      <w:r w:rsidR="0007686B">
        <w:rPr>
          <w:szCs w:val="26"/>
        </w:rPr>
        <w:t> </w:t>
      </w:r>
      <w:r w:rsidRPr="00302164" w:rsidR="00C35642">
        <w:rPr>
          <w:szCs w:val="26"/>
        </w:rPr>
        <w:t>Cal.3d 583, 588.)</w:t>
      </w:r>
      <w:r w:rsidRPr="00302164">
        <w:rPr>
          <w:szCs w:val="26"/>
        </w:rPr>
        <w:t xml:space="preserve">  </w:t>
      </w:r>
    </w:p>
    <w:p w:rsidR="00281325" w:rsidRPr="00302164" w:rsidP="00D20C5C" w14:paraId="3839E024" w14:textId="43E88ED5">
      <w:pPr>
        <w:tabs>
          <w:tab w:val="left" w:pos="1440"/>
        </w:tabs>
        <w:ind w:firstLine="720"/>
        <w:rPr>
          <w:szCs w:val="26"/>
        </w:rPr>
      </w:pPr>
      <w:r w:rsidRPr="00302164">
        <w:rPr>
          <w:szCs w:val="26"/>
        </w:rPr>
        <w:t>Al</w:t>
      </w:r>
      <w:r w:rsidRPr="00302164" w:rsidR="00F4275E">
        <w:rPr>
          <w:szCs w:val="26"/>
        </w:rPr>
        <w:t xml:space="preserve">though negligent infliction of emotional distress is a </w:t>
      </w:r>
      <w:r w:rsidRPr="00302164" w:rsidR="007161A8">
        <w:rPr>
          <w:szCs w:val="26"/>
        </w:rPr>
        <w:t xml:space="preserve">species </w:t>
      </w:r>
      <w:r w:rsidRPr="00302164" w:rsidR="00F4275E">
        <w:rPr>
          <w:szCs w:val="26"/>
        </w:rPr>
        <w:t xml:space="preserve">of </w:t>
      </w:r>
      <w:r w:rsidRPr="00302164" w:rsidR="007161A8">
        <w:rPr>
          <w:szCs w:val="26"/>
        </w:rPr>
        <w:t xml:space="preserve">the long-established tort of </w:t>
      </w:r>
      <w:r w:rsidRPr="00302164" w:rsidR="00F4275E">
        <w:rPr>
          <w:szCs w:val="26"/>
        </w:rPr>
        <w:t xml:space="preserve">negligence, </w:t>
      </w:r>
      <w:r w:rsidRPr="00302164" w:rsidR="007161A8">
        <w:rPr>
          <w:szCs w:val="26"/>
        </w:rPr>
        <w:t>its origins are considerably more recent.</w:t>
      </w:r>
      <w:r w:rsidRPr="00302164" w:rsidR="000F5DE8">
        <w:rPr>
          <w:szCs w:val="26"/>
        </w:rPr>
        <w:t xml:space="preserve">  </w:t>
      </w:r>
      <w:r w:rsidRPr="00302164" w:rsidR="00530C22">
        <w:rPr>
          <w:szCs w:val="26"/>
        </w:rPr>
        <w:t xml:space="preserve">As we have previously explained, the recognition of a </w:t>
      </w:r>
      <w:r w:rsidRPr="00302164" w:rsidR="00A63827">
        <w:rPr>
          <w:szCs w:val="26"/>
        </w:rPr>
        <w:t xml:space="preserve">bystander’s </w:t>
      </w:r>
      <w:r w:rsidRPr="00302164" w:rsidR="00530C22">
        <w:rPr>
          <w:szCs w:val="26"/>
        </w:rPr>
        <w:t xml:space="preserve">claim for the negligent infliction of emotional distress was the outgrowth of two significant developments in California tort law.  </w:t>
      </w:r>
      <w:r w:rsidR="006F7A08">
        <w:rPr>
          <w:szCs w:val="26"/>
        </w:rPr>
        <w:t xml:space="preserve">(See generally </w:t>
      </w:r>
      <w:r w:rsidRPr="00302164" w:rsidR="006F7A08">
        <w:rPr>
          <w:i/>
          <w:iCs/>
          <w:szCs w:val="26"/>
        </w:rPr>
        <w:t>Thing</w:t>
      </w:r>
      <w:r w:rsidRPr="00302164" w:rsidR="006F7A08">
        <w:rPr>
          <w:szCs w:val="26"/>
        </w:rPr>
        <w:t xml:space="preserve">, </w:t>
      </w:r>
      <w:r w:rsidRPr="00302164" w:rsidR="006F7A08">
        <w:rPr>
          <w:i/>
          <w:iCs/>
          <w:szCs w:val="26"/>
        </w:rPr>
        <w:t>supra</w:t>
      </w:r>
      <w:r w:rsidRPr="00302164" w:rsidR="006F7A08">
        <w:rPr>
          <w:szCs w:val="26"/>
        </w:rPr>
        <w:t>, 48</w:t>
      </w:r>
      <w:r w:rsidR="006F7A08">
        <w:rPr>
          <w:szCs w:val="26"/>
        </w:rPr>
        <w:t> </w:t>
      </w:r>
      <w:r w:rsidRPr="00302164" w:rsidR="006F7A08">
        <w:rPr>
          <w:szCs w:val="26"/>
        </w:rPr>
        <w:t>Cal.3d at pp. 648–655</w:t>
      </w:r>
      <w:r w:rsidR="006F7A08">
        <w:rPr>
          <w:szCs w:val="26"/>
        </w:rPr>
        <w:t>.</w:t>
      </w:r>
      <w:r w:rsidRPr="00302164" w:rsidR="006F7A08">
        <w:rPr>
          <w:szCs w:val="26"/>
        </w:rPr>
        <w:t>)</w:t>
      </w:r>
      <w:r w:rsidR="006F7A08">
        <w:rPr>
          <w:szCs w:val="26"/>
        </w:rPr>
        <w:t xml:space="preserve">  </w:t>
      </w:r>
      <w:r w:rsidRPr="00302164" w:rsidR="00530C22">
        <w:rPr>
          <w:szCs w:val="26"/>
        </w:rPr>
        <w:t xml:space="preserve">The first </w:t>
      </w:r>
      <w:r w:rsidR="006F7A08">
        <w:rPr>
          <w:szCs w:val="26"/>
        </w:rPr>
        <w:t xml:space="preserve">development </w:t>
      </w:r>
      <w:r w:rsidRPr="00302164" w:rsidR="00530C22">
        <w:rPr>
          <w:szCs w:val="26"/>
        </w:rPr>
        <w:t xml:space="preserve">was the recognition </w:t>
      </w:r>
      <w:r w:rsidRPr="00302164" w:rsidR="00A3229A">
        <w:rPr>
          <w:szCs w:val="26"/>
        </w:rPr>
        <w:t>of the infliction of emotional distress as a discrete tort cause of action</w:t>
      </w:r>
      <w:r w:rsidRPr="00302164" w:rsidR="009404EE">
        <w:rPr>
          <w:szCs w:val="26"/>
        </w:rPr>
        <w:t xml:space="preserve"> in </w:t>
      </w:r>
      <w:r w:rsidRPr="00302164" w:rsidR="009404EE">
        <w:rPr>
          <w:i/>
          <w:iCs/>
          <w:szCs w:val="26"/>
        </w:rPr>
        <w:t>State Rubbish etc. Assn. v. Siliznoff</w:t>
      </w:r>
      <w:r w:rsidRPr="00302164" w:rsidR="009404EE">
        <w:rPr>
          <w:szCs w:val="26"/>
        </w:rPr>
        <w:t xml:space="preserve"> (1952) 38</w:t>
      </w:r>
      <w:r w:rsidR="0007686B">
        <w:rPr>
          <w:szCs w:val="26"/>
        </w:rPr>
        <w:t> </w:t>
      </w:r>
      <w:r w:rsidRPr="00302164" w:rsidR="009404EE">
        <w:rPr>
          <w:szCs w:val="26"/>
        </w:rPr>
        <w:t>Cal.2d 330</w:t>
      </w:r>
      <w:r w:rsidRPr="00302164" w:rsidR="00984196">
        <w:rPr>
          <w:szCs w:val="26"/>
        </w:rPr>
        <w:t>, a case concerning a claim for recovery for intentional threats causing emotional distress but producing no physical harm</w:t>
      </w:r>
      <w:r w:rsidRPr="00302164" w:rsidR="00DC505F">
        <w:rPr>
          <w:szCs w:val="26"/>
        </w:rPr>
        <w:t xml:space="preserve">.  Although the law had previously </w:t>
      </w:r>
      <w:r w:rsidRPr="00302164" w:rsidR="00225672">
        <w:rPr>
          <w:szCs w:val="26"/>
        </w:rPr>
        <w:t xml:space="preserve">recognized emotional distress as a significant component of a plaintiff’s damages for various established torts such as assault and false imprisonment, the court in </w:t>
      </w:r>
      <w:r w:rsidRPr="00302164" w:rsidR="00225672">
        <w:rPr>
          <w:i/>
          <w:iCs/>
          <w:szCs w:val="26"/>
        </w:rPr>
        <w:t>Siliznoff</w:t>
      </w:r>
      <w:r w:rsidRPr="00302164" w:rsidR="00225672">
        <w:rPr>
          <w:szCs w:val="26"/>
        </w:rPr>
        <w:t xml:space="preserve"> </w:t>
      </w:r>
      <w:r w:rsidRPr="00302164">
        <w:rPr>
          <w:szCs w:val="26"/>
        </w:rPr>
        <w:t xml:space="preserve">for the first time </w:t>
      </w:r>
      <w:r w:rsidRPr="00302164" w:rsidR="00225672">
        <w:rPr>
          <w:szCs w:val="26"/>
        </w:rPr>
        <w:t>“</w:t>
      </w:r>
      <w:r w:rsidRPr="00302164" w:rsidR="001F5C26">
        <w:rPr>
          <w:szCs w:val="26"/>
        </w:rPr>
        <w:t xml:space="preserve">accepted </w:t>
      </w:r>
      <w:r w:rsidRPr="00302164">
        <w:rPr>
          <w:szCs w:val="26"/>
        </w:rPr>
        <w:t xml:space="preserve">both </w:t>
      </w:r>
      <w:r w:rsidRPr="00302164" w:rsidR="00225672">
        <w:rPr>
          <w:szCs w:val="26"/>
        </w:rPr>
        <w:t>freedom from emotional distress as an interest worthy of protection in its own right</w:t>
      </w:r>
      <w:r w:rsidRPr="00302164" w:rsidR="001039FB">
        <w:rPr>
          <w:szCs w:val="26"/>
        </w:rPr>
        <w:t>,</w:t>
      </w:r>
      <w:r w:rsidRPr="00302164">
        <w:rPr>
          <w:szCs w:val="26"/>
        </w:rPr>
        <w:t xml:space="preserve"> and the proposition that it is possible to quantify and compensate for the invasion of that interest</w:t>
      </w:r>
      <w:r w:rsidRPr="00302164" w:rsidR="00A831BE">
        <w:rPr>
          <w:szCs w:val="26"/>
        </w:rPr>
        <w:t>,</w:t>
      </w:r>
      <w:r w:rsidRPr="00302164">
        <w:rPr>
          <w:szCs w:val="26"/>
        </w:rPr>
        <w:t>”</w:t>
      </w:r>
      <w:r w:rsidRPr="00302164" w:rsidR="00A831BE">
        <w:rPr>
          <w:szCs w:val="26"/>
        </w:rPr>
        <w:t xml:space="preserve"> even when unaccompanied by physical harm.  (</w:t>
      </w:r>
      <w:r w:rsidRPr="00302164" w:rsidR="00405409">
        <w:rPr>
          <w:i/>
          <w:iCs/>
          <w:szCs w:val="26"/>
        </w:rPr>
        <w:t>Thing</w:t>
      </w:r>
      <w:r w:rsidRPr="00302164" w:rsidR="00405409">
        <w:rPr>
          <w:szCs w:val="26"/>
        </w:rPr>
        <w:t>, at p.</w:t>
      </w:r>
      <w:r w:rsidRPr="00302164" w:rsidR="003A6E95">
        <w:rPr>
          <w:szCs w:val="26"/>
        </w:rPr>
        <w:t> </w:t>
      </w:r>
      <w:r w:rsidRPr="00302164" w:rsidR="00405409">
        <w:rPr>
          <w:szCs w:val="26"/>
        </w:rPr>
        <w:t>650.)</w:t>
      </w:r>
    </w:p>
    <w:p w:rsidR="00F51DF9" w:rsidRPr="00302164" w:rsidP="00302164" w14:paraId="05CE5B80" w14:textId="1B7EA9C3">
      <w:pPr>
        <w:tabs>
          <w:tab w:val="left" w:pos="1440"/>
        </w:tabs>
        <w:ind w:firstLine="720"/>
        <w:rPr>
          <w:szCs w:val="26"/>
        </w:rPr>
      </w:pPr>
      <w:r w:rsidRPr="00302164">
        <w:rPr>
          <w:szCs w:val="26"/>
        </w:rPr>
        <w:t xml:space="preserve">The second development concerned </w:t>
      </w:r>
      <w:r w:rsidRPr="00302164" w:rsidR="00345216">
        <w:rPr>
          <w:szCs w:val="26"/>
        </w:rPr>
        <w:t xml:space="preserve">the </w:t>
      </w:r>
      <w:r w:rsidRPr="00302164" w:rsidR="008D7F3F">
        <w:rPr>
          <w:szCs w:val="26"/>
        </w:rPr>
        <w:t xml:space="preserve">treatment of emotional distress claims </w:t>
      </w:r>
      <w:r w:rsidRPr="00302164" w:rsidR="00345216">
        <w:rPr>
          <w:szCs w:val="26"/>
        </w:rPr>
        <w:t xml:space="preserve">in cases involving </w:t>
      </w:r>
      <w:r w:rsidRPr="00302164" w:rsidR="008D7F3F">
        <w:rPr>
          <w:szCs w:val="26"/>
        </w:rPr>
        <w:t>negligence</w:t>
      </w:r>
      <w:r w:rsidRPr="00302164" w:rsidR="003A6E95">
        <w:rPr>
          <w:szCs w:val="26"/>
        </w:rPr>
        <w:t> </w:t>
      </w:r>
      <w:r w:rsidRPr="00302164" w:rsidR="008D7F3F">
        <w:rPr>
          <w:szCs w:val="26"/>
        </w:rPr>
        <w:t>—</w:t>
      </w:r>
      <w:r w:rsidRPr="00302164" w:rsidR="003A6E95">
        <w:rPr>
          <w:szCs w:val="26"/>
        </w:rPr>
        <w:t xml:space="preserve"> </w:t>
      </w:r>
      <w:r w:rsidRPr="00302164" w:rsidR="004A16AB">
        <w:rPr>
          <w:szCs w:val="26"/>
        </w:rPr>
        <w:t>particularly</w:t>
      </w:r>
      <w:r w:rsidRPr="00302164" w:rsidR="008D7F3F">
        <w:rPr>
          <w:szCs w:val="26"/>
        </w:rPr>
        <w:t xml:space="preserve"> in cases involving </w:t>
      </w:r>
      <w:r w:rsidRPr="00302164" w:rsidR="00345216">
        <w:rPr>
          <w:szCs w:val="26"/>
        </w:rPr>
        <w:t>emotional harms resulting from negligently inflicted physical injury</w:t>
      </w:r>
      <w:r w:rsidRPr="00302164" w:rsidR="00B660F0">
        <w:rPr>
          <w:szCs w:val="26"/>
        </w:rPr>
        <w:t xml:space="preserve"> to another</w:t>
      </w:r>
      <w:r w:rsidRPr="00302164" w:rsidR="00345216">
        <w:rPr>
          <w:szCs w:val="26"/>
        </w:rPr>
        <w:t xml:space="preserve">.  For </w:t>
      </w:r>
      <w:r w:rsidRPr="00302164" w:rsidR="0053497E">
        <w:rPr>
          <w:szCs w:val="26"/>
        </w:rPr>
        <w:t xml:space="preserve">many </w:t>
      </w:r>
      <w:r w:rsidRPr="00302164" w:rsidR="00345216">
        <w:rPr>
          <w:szCs w:val="26"/>
        </w:rPr>
        <w:t>years</w:t>
      </w:r>
      <w:r w:rsidRPr="00302164" w:rsidR="0053497E">
        <w:rPr>
          <w:szCs w:val="26"/>
        </w:rPr>
        <w:t xml:space="preserve">, even </w:t>
      </w:r>
      <w:r w:rsidRPr="00302164" w:rsidR="00345216">
        <w:rPr>
          <w:szCs w:val="26"/>
        </w:rPr>
        <w:t xml:space="preserve">after </w:t>
      </w:r>
      <w:r w:rsidRPr="00302164" w:rsidR="00345216">
        <w:rPr>
          <w:i/>
          <w:iCs/>
          <w:szCs w:val="26"/>
        </w:rPr>
        <w:t>Siliznoff</w:t>
      </w:r>
      <w:r w:rsidRPr="00302164" w:rsidR="00345216">
        <w:rPr>
          <w:szCs w:val="26"/>
        </w:rPr>
        <w:t xml:space="preserve"> was decided, </w:t>
      </w:r>
      <w:r w:rsidRPr="00302164" w:rsidR="00B074D0">
        <w:rPr>
          <w:szCs w:val="26"/>
        </w:rPr>
        <w:t xml:space="preserve">the </w:t>
      </w:r>
      <w:r w:rsidRPr="00302164" w:rsidR="00BB5D9A">
        <w:rPr>
          <w:szCs w:val="26"/>
        </w:rPr>
        <w:t>“ ‘ “</w:t>
      </w:r>
      <w:r w:rsidRPr="00302164" w:rsidR="0053497E">
        <w:rPr>
          <w:szCs w:val="26"/>
        </w:rPr>
        <w:t xml:space="preserve">general </w:t>
      </w:r>
      <w:r w:rsidRPr="00302164" w:rsidR="00B074D0">
        <w:rPr>
          <w:szCs w:val="26"/>
        </w:rPr>
        <w:t>rule</w:t>
      </w:r>
      <w:r w:rsidRPr="00302164" w:rsidR="00BB5D9A">
        <w:rPr>
          <w:szCs w:val="26"/>
        </w:rPr>
        <w:t>” ’ ”</w:t>
      </w:r>
      <w:r w:rsidRPr="00302164" w:rsidR="00B074D0">
        <w:rPr>
          <w:szCs w:val="26"/>
        </w:rPr>
        <w:t xml:space="preserve"> in California was that “ ‘</w:t>
      </w:r>
      <w:r w:rsidRPr="00302164" w:rsidR="000802C0">
        <w:rPr>
          <w:szCs w:val="26"/>
        </w:rPr>
        <w:t> “</w:t>
      </w:r>
      <w:r w:rsidRPr="00302164" w:rsidR="00B074D0">
        <w:rPr>
          <w:szCs w:val="26"/>
        </w:rPr>
        <w:t>no recovery is permitted for a mental or emotional disturbance, or for a bodily injury or illness resulting therefrom, in the absence of a contemporaneous bodily contact or independent cause of action, or an element of wilfulness, wantonness, or maliciousness, in cases in which there is no injury other than one to a third person, even though recovery would have been permitted had the wrong been directed against the plaintiff.</w:t>
      </w:r>
      <w:r w:rsidRPr="00302164" w:rsidR="000802C0">
        <w:rPr>
          <w:szCs w:val="26"/>
        </w:rPr>
        <w:t>” </w:t>
      </w:r>
      <w:r w:rsidRPr="00302164" w:rsidR="00B074D0">
        <w:rPr>
          <w:szCs w:val="26"/>
        </w:rPr>
        <w:t>’ ”  (</w:t>
      </w:r>
      <w:r w:rsidRPr="00302164" w:rsidR="00B074D0">
        <w:rPr>
          <w:i/>
          <w:iCs/>
          <w:szCs w:val="26"/>
        </w:rPr>
        <w:t>Thing</w:t>
      </w:r>
      <w:r w:rsidRPr="00302164" w:rsidR="00B074D0">
        <w:rPr>
          <w:szCs w:val="26"/>
        </w:rPr>
        <w:t xml:space="preserve">, </w:t>
      </w:r>
      <w:r w:rsidRPr="00302164" w:rsidR="00F61B97">
        <w:rPr>
          <w:i/>
          <w:iCs/>
          <w:szCs w:val="26"/>
        </w:rPr>
        <w:t>supra</w:t>
      </w:r>
      <w:r w:rsidRPr="00302164" w:rsidR="00F61B97">
        <w:rPr>
          <w:szCs w:val="26"/>
        </w:rPr>
        <w:t>, 48</w:t>
      </w:r>
      <w:r w:rsidR="0007686B">
        <w:rPr>
          <w:szCs w:val="26"/>
        </w:rPr>
        <w:t> </w:t>
      </w:r>
      <w:r w:rsidRPr="00302164" w:rsidR="00F61B97">
        <w:rPr>
          <w:szCs w:val="26"/>
        </w:rPr>
        <w:t xml:space="preserve">Cal.3d </w:t>
      </w:r>
      <w:r w:rsidRPr="00302164" w:rsidR="00B074D0">
        <w:rPr>
          <w:szCs w:val="26"/>
        </w:rPr>
        <w:t xml:space="preserve">at p. 651, quoting </w:t>
      </w:r>
      <w:r w:rsidRPr="00302164" w:rsidR="000802C0">
        <w:rPr>
          <w:i/>
          <w:iCs/>
          <w:szCs w:val="26"/>
        </w:rPr>
        <w:t>Amaya v. Home Ice, Fuel &amp; Supply Co.</w:t>
      </w:r>
      <w:r w:rsidRPr="00302164" w:rsidR="000802C0">
        <w:rPr>
          <w:szCs w:val="26"/>
        </w:rPr>
        <w:t xml:space="preserve"> (1963) 59</w:t>
      </w:r>
      <w:r w:rsidR="0007686B">
        <w:rPr>
          <w:szCs w:val="26"/>
        </w:rPr>
        <w:t> </w:t>
      </w:r>
      <w:r w:rsidRPr="00302164" w:rsidR="000802C0">
        <w:rPr>
          <w:szCs w:val="26"/>
        </w:rPr>
        <w:t>Cal.2d 295, 302–303</w:t>
      </w:r>
      <w:r w:rsidRPr="00302164" w:rsidR="00BB5D9A">
        <w:rPr>
          <w:szCs w:val="26"/>
        </w:rPr>
        <w:t xml:space="preserve"> (</w:t>
      </w:r>
      <w:r w:rsidRPr="00302164" w:rsidR="00BB5D9A">
        <w:rPr>
          <w:i/>
          <w:iCs/>
          <w:szCs w:val="26"/>
        </w:rPr>
        <w:t>Amaya</w:t>
      </w:r>
      <w:r w:rsidRPr="00302164" w:rsidR="00BB5D9A">
        <w:rPr>
          <w:szCs w:val="26"/>
        </w:rPr>
        <w:t>)</w:t>
      </w:r>
      <w:r w:rsidRPr="00302164" w:rsidR="000802C0">
        <w:rPr>
          <w:szCs w:val="26"/>
        </w:rPr>
        <w:t xml:space="preserve">; see also </w:t>
      </w:r>
      <w:r w:rsidRPr="00302164" w:rsidR="000802C0">
        <w:rPr>
          <w:i/>
          <w:iCs/>
          <w:szCs w:val="26"/>
        </w:rPr>
        <w:t>Reed v. Moore</w:t>
      </w:r>
      <w:r w:rsidRPr="00302164" w:rsidR="000802C0">
        <w:rPr>
          <w:szCs w:val="26"/>
        </w:rPr>
        <w:t xml:space="preserve"> (1957) 156</w:t>
      </w:r>
      <w:r w:rsidR="0007686B">
        <w:rPr>
          <w:szCs w:val="26"/>
        </w:rPr>
        <w:t> </w:t>
      </w:r>
      <w:r w:rsidRPr="00302164" w:rsidR="000802C0">
        <w:rPr>
          <w:szCs w:val="26"/>
        </w:rPr>
        <w:t>Cal.App.2d 43, 45–46 [same].)</w:t>
      </w:r>
      <w:r w:rsidRPr="00302164" w:rsidR="00B074D0">
        <w:rPr>
          <w:szCs w:val="26"/>
        </w:rPr>
        <w:t xml:space="preserve"> </w:t>
      </w:r>
      <w:r w:rsidRPr="00302164" w:rsidR="009D5B01">
        <w:rPr>
          <w:szCs w:val="26"/>
        </w:rPr>
        <w:t xml:space="preserve"> </w:t>
      </w:r>
      <w:r w:rsidRPr="00302164" w:rsidR="00C969DD">
        <w:rPr>
          <w:szCs w:val="26"/>
        </w:rPr>
        <w:t>U</w:t>
      </w:r>
      <w:r w:rsidRPr="00302164" w:rsidR="00C72C4A">
        <w:rPr>
          <w:szCs w:val="26"/>
        </w:rPr>
        <w:t xml:space="preserve">nless the plaintiff </w:t>
      </w:r>
      <w:r w:rsidRPr="00302164" w:rsidR="00900065">
        <w:rPr>
          <w:szCs w:val="26"/>
        </w:rPr>
        <w:t xml:space="preserve">personally </w:t>
      </w:r>
      <w:r w:rsidRPr="00302164" w:rsidR="00C72C4A">
        <w:rPr>
          <w:szCs w:val="26"/>
        </w:rPr>
        <w:t>suffered bodily injury</w:t>
      </w:r>
      <w:r w:rsidRPr="00302164" w:rsidR="00B53227">
        <w:rPr>
          <w:szCs w:val="26"/>
        </w:rPr>
        <w:t xml:space="preserve"> as a result of the defendant’s negligence</w:t>
      </w:r>
      <w:r w:rsidRPr="00302164" w:rsidR="008F55D7">
        <w:rPr>
          <w:szCs w:val="26"/>
        </w:rPr>
        <w:t xml:space="preserve"> </w:t>
      </w:r>
      <w:r w:rsidRPr="00302164" w:rsidR="00C72C4A">
        <w:rPr>
          <w:szCs w:val="26"/>
        </w:rPr>
        <w:t xml:space="preserve">or </w:t>
      </w:r>
      <w:r w:rsidRPr="00302164" w:rsidR="00E50B53">
        <w:rPr>
          <w:szCs w:val="26"/>
        </w:rPr>
        <w:t>was in the “</w:t>
      </w:r>
      <w:r w:rsidR="00646E59">
        <w:rPr>
          <w:szCs w:val="26"/>
        </w:rPr>
        <w:t> ‘</w:t>
      </w:r>
      <w:r w:rsidRPr="00302164" w:rsidR="00E50B53">
        <w:rPr>
          <w:szCs w:val="26"/>
        </w:rPr>
        <w:t>zone of danger</w:t>
      </w:r>
      <w:r w:rsidR="00646E59">
        <w:rPr>
          <w:szCs w:val="26"/>
        </w:rPr>
        <w:t>’ </w:t>
      </w:r>
      <w:r w:rsidRPr="00302164" w:rsidR="00E50B53">
        <w:rPr>
          <w:szCs w:val="26"/>
        </w:rPr>
        <w:t xml:space="preserve">” </w:t>
      </w:r>
      <w:r w:rsidRPr="00302164" w:rsidR="00B977C8">
        <w:rPr>
          <w:szCs w:val="26"/>
        </w:rPr>
        <w:t xml:space="preserve">and suffered </w:t>
      </w:r>
      <w:r w:rsidRPr="00302164" w:rsidR="00B660F0">
        <w:rPr>
          <w:szCs w:val="26"/>
        </w:rPr>
        <w:t>physical injury as a result of emotional trauma</w:t>
      </w:r>
      <w:r w:rsidRPr="00302164" w:rsidR="00C72C4A">
        <w:rPr>
          <w:szCs w:val="26"/>
        </w:rPr>
        <w:t>, damages for emotional distress were not recoverable in negligence actions.  (</w:t>
      </w:r>
      <w:r w:rsidRPr="00302164" w:rsidR="00C72C4A">
        <w:rPr>
          <w:i/>
          <w:iCs/>
          <w:szCs w:val="26"/>
        </w:rPr>
        <w:t>Thing</w:t>
      </w:r>
      <w:r w:rsidRPr="00302164" w:rsidR="00C72C4A">
        <w:rPr>
          <w:szCs w:val="26"/>
        </w:rPr>
        <w:t xml:space="preserve">, at p. 651.)  </w:t>
      </w:r>
    </w:p>
    <w:p w:rsidR="00D35C44" w:rsidRPr="00302164" w:rsidP="00302164" w14:paraId="4E9EE2E7" w14:textId="0D7148EE">
      <w:pPr>
        <w:tabs>
          <w:tab w:val="left" w:pos="1440"/>
        </w:tabs>
        <w:ind w:firstLine="720"/>
        <w:rPr>
          <w:szCs w:val="26"/>
        </w:rPr>
      </w:pPr>
      <w:r w:rsidRPr="00302164">
        <w:rPr>
          <w:szCs w:val="26"/>
        </w:rPr>
        <w:t xml:space="preserve">This general rule </w:t>
      </w:r>
      <w:r w:rsidRPr="00302164" w:rsidR="00C969DD">
        <w:rPr>
          <w:szCs w:val="26"/>
        </w:rPr>
        <w:t xml:space="preserve">significantly </w:t>
      </w:r>
      <w:r w:rsidRPr="00302164" w:rsidR="00446DAB">
        <w:rPr>
          <w:szCs w:val="26"/>
        </w:rPr>
        <w:t xml:space="preserve">limited the recovery available </w:t>
      </w:r>
      <w:r w:rsidRPr="00302164" w:rsidR="00C969DD">
        <w:rPr>
          <w:szCs w:val="26"/>
        </w:rPr>
        <w:t xml:space="preserve">for </w:t>
      </w:r>
      <w:r w:rsidRPr="00302164">
        <w:rPr>
          <w:szCs w:val="26"/>
        </w:rPr>
        <w:t>“</w:t>
      </w:r>
      <w:r w:rsidR="00646E59">
        <w:rPr>
          <w:szCs w:val="26"/>
        </w:rPr>
        <w:t> ‘ “</w:t>
      </w:r>
      <w:r w:rsidRPr="00302164">
        <w:rPr>
          <w:szCs w:val="26"/>
        </w:rPr>
        <w:t>mental or emotional disturbances caused by another’s danger, or sympathy for another’s suffering</w:t>
      </w:r>
      <w:r w:rsidR="00646E59">
        <w:rPr>
          <w:szCs w:val="26"/>
        </w:rPr>
        <w:t>” ’ </w:t>
      </w:r>
      <w:r w:rsidRPr="00302164">
        <w:rPr>
          <w:szCs w:val="26"/>
        </w:rPr>
        <w:t>”</w:t>
      </w:r>
      <w:r w:rsidRPr="00302164" w:rsidR="00C969DD">
        <w:rPr>
          <w:szCs w:val="26"/>
        </w:rPr>
        <w:t xml:space="preserve"> when that suffering was negligently inflicted.  </w:t>
      </w:r>
      <w:r w:rsidRPr="00302164" w:rsidR="005E7C95">
        <w:rPr>
          <w:szCs w:val="26"/>
        </w:rPr>
        <w:t>(</w:t>
      </w:r>
      <w:r w:rsidRPr="00302164" w:rsidR="005E7C95">
        <w:rPr>
          <w:i/>
          <w:iCs/>
          <w:szCs w:val="26"/>
        </w:rPr>
        <w:t>Thing</w:t>
      </w:r>
      <w:r w:rsidRPr="00302164" w:rsidR="005E7C95">
        <w:rPr>
          <w:szCs w:val="26"/>
        </w:rPr>
        <w:t xml:space="preserve">, </w:t>
      </w:r>
      <w:r w:rsidRPr="00302164" w:rsidR="005B2EA0">
        <w:rPr>
          <w:i/>
          <w:iCs/>
          <w:szCs w:val="26"/>
        </w:rPr>
        <w:t>supra</w:t>
      </w:r>
      <w:r w:rsidRPr="00302164" w:rsidR="005B2EA0">
        <w:rPr>
          <w:szCs w:val="26"/>
        </w:rPr>
        <w:t>, 48</w:t>
      </w:r>
      <w:r w:rsidR="0007686B">
        <w:rPr>
          <w:szCs w:val="26"/>
        </w:rPr>
        <w:t> </w:t>
      </w:r>
      <w:r w:rsidRPr="00302164" w:rsidR="005B2EA0">
        <w:rPr>
          <w:szCs w:val="26"/>
        </w:rPr>
        <w:t xml:space="preserve">Cal.3d </w:t>
      </w:r>
      <w:r w:rsidRPr="00302164" w:rsidR="005E7C95">
        <w:rPr>
          <w:szCs w:val="26"/>
        </w:rPr>
        <w:t>at p. 651</w:t>
      </w:r>
      <w:r w:rsidRPr="00302164" w:rsidR="007864E7">
        <w:rPr>
          <w:szCs w:val="26"/>
        </w:rPr>
        <w:t>.</w:t>
      </w:r>
      <w:r w:rsidRPr="00302164" w:rsidR="005E7C95">
        <w:rPr>
          <w:szCs w:val="26"/>
        </w:rPr>
        <w:t xml:space="preserve">)  </w:t>
      </w:r>
      <w:r w:rsidRPr="00302164" w:rsidR="00760FC1">
        <w:rPr>
          <w:szCs w:val="26"/>
        </w:rPr>
        <w:t>P</w:t>
      </w:r>
      <w:r w:rsidRPr="00302164" w:rsidR="005F11E1">
        <w:rPr>
          <w:szCs w:val="26"/>
        </w:rPr>
        <w:t>laintiff</w:t>
      </w:r>
      <w:r w:rsidRPr="00302164" w:rsidR="00760FC1">
        <w:rPr>
          <w:szCs w:val="26"/>
        </w:rPr>
        <w:t>s</w:t>
      </w:r>
      <w:r w:rsidRPr="00302164" w:rsidR="005F11E1">
        <w:rPr>
          <w:szCs w:val="26"/>
        </w:rPr>
        <w:t xml:space="preserve"> traumatized by having </w:t>
      </w:r>
      <w:r w:rsidRPr="00302164" w:rsidR="00D4425B">
        <w:rPr>
          <w:szCs w:val="26"/>
        </w:rPr>
        <w:t xml:space="preserve">witnessed </w:t>
      </w:r>
      <w:r w:rsidRPr="00302164" w:rsidR="005F11E1">
        <w:rPr>
          <w:szCs w:val="26"/>
        </w:rPr>
        <w:t xml:space="preserve">a loved one being injured or killed in an accident </w:t>
      </w:r>
      <w:r w:rsidRPr="00302164" w:rsidR="00747A94">
        <w:rPr>
          <w:szCs w:val="26"/>
        </w:rPr>
        <w:t xml:space="preserve">could </w:t>
      </w:r>
      <w:r w:rsidRPr="00302164" w:rsidR="005F11E1">
        <w:rPr>
          <w:szCs w:val="26"/>
        </w:rPr>
        <w:t>recover for the trauma only if the plaintiff</w:t>
      </w:r>
      <w:r w:rsidRPr="00302164" w:rsidR="00760FC1">
        <w:rPr>
          <w:szCs w:val="26"/>
        </w:rPr>
        <w:t>s</w:t>
      </w:r>
      <w:r w:rsidRPr="00302164" w:rsidR="005F11E1">
        <w:rPr>
          <w:szCs w:val="26"/>
        </w:rPr>
        <w:t xml:space="preserve"> </w:t>
      </w:r>
      <w:r w:rsidRPr="00302164" w:rsidR="00760FC1">
        <w:rPr>
          <w:szCs w:val="26"/>
        </w:rPr>
        <w:t xml:space="preserve">were </w:t>
      </w:r>
      <w:r w:rsidRPr="00302164" w:rsidR="00747A94">
        <w:rPr>
          <w:szCs w:val="26"/>
        </w:rPr>
        <w:t xml:space="preserve">also physically injured, or else </w:t>
      </w:r>
      <w:r w:rsidRPr="00302164" w:rsidR="00760FC1">
        <w:rPr>
          <w:szCs w:val="26"/>
        </w:rPr>
        <w:t xml:space="preserve">were </w:t>
      </w:r>
      <w:r w:rsidRPr="00302164" w:rsidR="005F11E1">
        <w:rPr>
          <w:szCs w:val="26"/>
        </w:rPr>
        <w:t xml:space="preserve">so close to the accident that </w:t>
      </w:r>
      <w:r w:rsidRPr="00302164" w:rsidR="00760FC1">
        <w:rPr>
          <w:szCs w:val="26"/>
        </w:rPr>
        <w:t xml:space="preserve">they </w:t>
      </w:r>
      <w:r w:rsidRPr="00302164" w:rsidR="005F11E1">
        <w:rPr>
          <w:szCs w:val="26"/>
        </w:rPr>
        <w:t xml:space="preserve">feared for </w:t>
      </w:r>
      <w:r w:rsidRPr="00302164" w:rsidR="00104586">
        <w:rPr>
          <w:szCs w:val="26"/>
        </w:rPr>
        <w:t xml:space="preserve">their </w:t>
      </w:r>
      <w:r w:rsidRPr="00302164" w:rsidR="005F11E1">
        <w:rPr>
          <w:szCs w:val="26"/>
        </w:rPr>
        <w:t>own safety.  (See</w:t>
      </w:r>
      <w:r w:rsidRPr="00302164" w:rsidR="00A23EF2">
        <w:rPr>
          <w:szCs w:val="26"/>
        </w:rPr>
        <w:t xml:space="preserve"> </w:t>
      </w:r>
      <w:r w:rsidRPr="00302164" w:rsidR="005F11E1">
        <w:rPr>
          <w:i/>
          <w:iCs/>
          <w:szCs w:val="26"/>
        </w:rPr>
        <w:t>Amaya</w:t>
      </w:r>
      <w:r w:rsidRPr="00302164" w:rsidR="00BB5D9A">
        <w:rPr>
          <w:szCs w:val="26"/>
        </w:rPr>
        <w:t xml:space="preserve">, </w:t>
      </w:r>
      <w:r w:rsidRPr="00302164" w:rsidR="00BB5D9A">
        <w:rPr>
          <w:i/>
          <w:iCs/>
          <w:szCs w:val="26"/>
        </w:rPr>
        <w:t>supra</w:t>
      </w:r>
      <w:r w:rsidRPr="00302164" w:rsidR="00BB5D9A">
        <w:rPr>
          <w:szCs w:val="26"/>
        </w:rPr>
        <w:t xml:space="preserve">, </w:t>
      </w:r>
      <w:r w:rsidRPr="00302164" w:rsidR="005F11E1">
        <w:rPr>
          <w:szCs w:val="26"/>
        </w:rPr>
        <w:t xml:space="preserve">59 Cal.2d </w:t>
      </w:r>
      <w:r w:rsidRPr="00302164" w:rsidR="00BB5D9A">
        <w:rPr>
          <w:szCs w:val="26"/>
        </w:rPr>
        <w:t>at p. </w:t>
      </w:r>
      <w:r w:rsidRPr="00302164" w:rsidR="005F11E1">
        <w:rPr>
          <w:szCs w:val="26"/>
        </w:rPr>
        <w:t xml:space="preserve">302.)  </w:t>
      </w:r>
      <w:r w:rsidRPr="00302164" w:rsidR="009B6D67">
        <w:rPr>
          <w:szCs w:val="26"/>
        </w:rPr>
        <w:t xml:space="preserve">Although we </w:t>
      </w:r>
      <w:r w:rsidRPr="00302164" w:rsidR="00F7199A">
        <w:rPr>
          <w:szCs w:val="26"/>
        </w:rPr>
        <w:t xml:space="preserve">acknowledged </w:t>
      </w:r>
      <w:r w:rsidRPr="00302164" w:rsidR="00B60154">
        <w:rPr>
          <w:szCs w:val="26"/>
        </w:rPr>
        <w:t xml:space="preserve">the </w:t>
      </w:r>
      <w:r w:rsidRPr="00302164" w:rsidR="009B6D67">
        <w:rPr>
          <w:szCs w:val="26"/>
        </w:rPr>
        <w:t xml:space="preserve">plaintiffs’ legitimate </w:t>
      </w:r>
      <w:r w:rsidRPr="00302164" w:rsidR="00B03C1F">
        <w:rPr>
          <w:szCs w:val="26"/>
        </w:rPr>
        <w:t xml:space="preserve">interest in </w:t>
      </w:r>
      <w:r w:rsidRPr="00302164" w:rsidR="003F3358">
        <w:rPr>
          <w:szCs w:val="26"/>
        </w:rPr>
        <w:t xml:space="preserve">protection </w:t>
      </w:r>
      <w:r w:rsidRPr="00302164" w:rsidR="00B03C1F">
        <w:rPr>
          <w:szCs w:val="26"/>
        </w:rPr>
        <w:t>from severe mental disturbances, we</w:t>
      </w:r>
      <w:r w:rsidRPr="00302164" w:rsidR="00F7199A">
        <w:rPr>
          <w:szCs w:val="26"/>
        </w:rPr>
        <w:t xml:space="preserve"> declined to recognize a claim for </w:t>
      </w:r>
      <w:r w:rsidRPr="00302164" w:rsidR="00B03C1F">
        <w:rPr>
          <w:szCs w:val="26"/>
        </w:rPr>
        <w:t>emotional distress damages in negligence actions</w:t>
      </w:r>
      <w:r w:rsidRPr="00302164" w:rsidR="00F7199A">
        <w:rPr>
          <w:szCs w:val="26"/>
        </w:rPr>
        <w:t xml:space="preserve">, fearing that the consequence would be to create a </w:t>
      </w:r>
      <w:r w:rsidRPr="00302164" w:rsidR="00CB3A33">
        <w:rPr>
          <w:szCs w:val="26"/>
        </w:rPr>
        <w:t>“fantastic realm of infinite liability.”  (</w:t>
      </w:r>
      <w:r w:rsidRPr="00302164" w:rsidR="00F70167">
        <w:rPr>
          <w:i/>
          <w:iCs/>
          <w:szCs w:val="26"/>
        </w:rPr>
        <w:t>Id.</w:t>
      </w:r>
      <w:r w:rsidRPr="00302164" w:rsidR="00CB3A33">
        <w:rPr>
          <w:szCs w:val="26"/>
        </w:rPr>
        <w:t xml:space="preserve"> at p.</w:t>
      </w:r>
      <w:r w:rsidRPr="00302164" w:rsidR="00337A84">
        <w:rPr>
          <w:szCs w:val="26"/>
        </w:rPr>
        <w:t> </w:t>
      </w:r>
      <w:r w:rsidRPr="00302164" w:rsidR="00CB3A33">
        <w:rPr>
          <w:szCs w:val="26"/>
        </w:rPr>
        <w:t>315</w:t>
      </w:r>
      <w:r w:rsidRPr="00302164" w:rsidR="000874F9">
        <w:rPr>
          <w:szCs w:val="26"/>
        </w:rPr>
        <w:t xml:space="preserve">; see </w:t>
      </w:r>
      <w:r w:rsidRPr="00302164" w:rsidR="000874F9">
        <w:rPr>
          <w:i/>
          <w:iCs/>
          <w:szCs w:val="26"/>
        </w:rPr>
        <w:t>id.</w:t>
      </w:r>
      <w:r w:rsidRPr="00302164" w:rsidR="000874F9">
        <w:rPr>
          <w:szCs w:val="26"/>
        </w:rPr>
        <w:t xml:space="preserve"> at pp.</w:t>
      </w:r>
      <w:r w:rsidRPr="00302164" w:rsidR="00337A84">
        <w:rPr>
          <w:szCs w:val="26"/>
        </w:rPr>
        <w:t> </w:t>
      </w:r>
      <w:r w:rsidRPr="00302164" w:rsidR="000874F9">
        <w:rPr>
          <w:szCs w:val="26"/>
        </w:rPr>
        <w:t>310–315</w:t>
      </w:r>
      <w:r w:rsidRPr="00302164" w:rsidR="00CB3A33">
        <w:rPr>
          <w:szCs w:val="26"/>
        </w:rPr>
        <w:t>.)</w:t>
      </w:r>
    </w:p>
    <w:p w:rsidR="00731CCB" w:rsidRPr="00302164" w:rsidP="00302164" w14:paraId="06DAC8B0" w14:textId="4DF4361F">
      <w:pPr>
        <w:tabs>
          <w:tab w:val="left" w:pos="1440"/>
        </w:tabs>
        <w:ind w:firstLine="720"/>
        <w:rPr>
          <w:szCs w:val="26"/>
        </w:rPr>
      </w:pPr>
      <w:r w:rsidRPr="00302164">
        <w:rPr>
          <w:szCs w:val="26"/>
        </w:rPr>
        <w:t xml:space="preserve">We reconsidered </w:t>
      </w:r>
      <w:r w:rsidRPr="00302164" w:rsidR="008A4BFA">
        <w:rPr>
          <w:szCs w:val="26"/>
        </w:rPr>
        <w:t xml:space="preserve">this approach </w:t>
      </w:r>
      <w:r w:rsidRPr="00302164">
        <w:rPr>
          <w:szCs w:val="26"/>
        </w:rPr>
        <w:t xml:space="preserve">in </w:t>
      </w:r>
      <w:r w:rsidRPr="00302164" w:rsidR="001B3F62">
        <w:rPr>
          <w:szCs w:val="26"/>
        </w:rPr>
        <w:t>o</w:t>
      </w:r>
      <w:r w:rsidRPr="00302164" w:rsidR="000E4B94">
        <w:rPr>
          <w:szCs w:val="26"/>
        </w:rPr>
        <w:t xml:space="preserve">ur seminal decision in </w:t>
      </w:r>
      <w:r w:rsidRPr="00302164" w:rsidR="000E4B94">
        <w:rPr>
          <w:i/>
          <w:iCs/>
          <w:szCs w:val="26"/>
        </w:rPr>
        <w:t>Dillon</w:t>
      </w:r>
      <w:r w:rsidRPr="00302164" w:rsidR="001B3F62">
        <w:rPr>
          <w:szCs w:val="26"/>
        </w:rPr>
        <w:t xml:space="preserve">.  </w:t>
      </w:r>
      <w:r w:rsidRPr="00302164" w:rsidR="00644B11">
        <w:rPr>
          <w:szCs w:val="26"/>
        </w:rPr>
        <w:t xml:space="preserve">Overturning </w:t>
      </w:r>
      <w:r w:rsidRPr="00302164" w:rsidR="00644B11">
        <w:rPr>
          <w:i/>
          <w:iCs/>
          <w:szCs w:val="26"/>
        </w:rPr>
        <w:t>Amaya</w:t>
      </w:r>
      <w:r w:rsidRPr="00302164" w:rsidR="00644B11">
        <w:rPr>
          <w:szCs w:val="26"/>
        </w:rPr>
        <w:t xml:space="preserve">, </w:t>
      </w:r>
      <w:r w:rsidRPr="00302164" w:rsidR="001B3F62">
        <w:rPr>
          <w:i/>
          <w:iCs/>
          <w:szCs w:val="26"/>
        </w:rPr>
        <w:t>Dillon</w:t>
      </w:r>
      <w:r w:rsidRPr="00302164" w:rsidR="001B3F62">
        <w:rPr>
          <w:szCs w:val="26"/>
        </w:rPr>
        <w:t xml:space="preserve"> broke new ground by permitting a plaintiff </w:t>
      </w:r>
      <w:r w:rsidRPr="00302164" w:rsidR="00960708">
        <w:rPr>
          <w:szCs w:val="26"/>
        </w:rPr>
        <w:t xml:space="preserve">to </w:t>
      </w:r>
      <w:r w:rsidRPr="00302164" w:rsidR="000E4B94">
        <w:rPr>
          <w:szCs w:val="26"/>
        </w:rPr>
        <w:t xml:space="preserve">recover for negligent infliction of emotional distress </w:t>
      </w:r>
      <w:r w:rsidRPr="00302164" w:rsidR="0030179B">
        <w:rPr>
          <w:szCs w:val="26"/>
        </w:rPr>
        <w:t xml:space="preserve">caused by witnessing an accident that fatally injured her child, </w:t>
      </w:r>
      <w:r w:rsidRPr="00302164" w:rsidR="000E4B94">
        <w:rPr>
          <w:szCs w:val="26"/>
        </w:rPr>
        <w:t xml:space="preserve">even </w:t>
      </w:r>
      <w:r w:rsidRPr="00302164" w:rsidR="0030179B">
        <w:rPr>
          <w:szCs w:val="26"/>
        </w:rPr>
        <w:t xml:space="preserve">though </w:t>
      </w:r>
      <w:r w:rsidRPr="00302164" w:rsidR="000E4B94">
        <w:rPr>
          <w:szCs w:val="26"/>
        </w:rPr>
        <w:t>the plaintiff</w:t>
      </w:r>
      <w:r w:rsidRPr="00302164" w:rsidR="0030179B">
        <w:rPr>
          <w:szCs w:val="26"/>
        </w:rPr>
        <w:t xml:space="preserve"> herself</w:t>
      </w:r>
      <w:r w:rsidRPr="00302164" w:rsidR="000E4B94">
        <w:rPr>
          <w:szCs w:val="26"/>
        </w:rPr>
        <w:t xml:space="preserve"> was not within the “zone of physical impact” or “</w:t>
      </w:r>
      <w:r w:rsidRPr="00302164" w:rsidR="00F23A82">
        <w:rPr>
          <w:szCs w:val="26"/>
        </w:rPr>
        <w:t xml:space="preserve">zone of </w:t>
      </w:r>
      <w:r w:rsidRPr="00302164" w:rsidR="000E4B94">
        <w:rPr>
          <w:szCs w:val="26"/>
        </w:rPr>
        <w:t xml:space="preserve">danger.”  </w:t>
      </w:r>
      <w:r w:rsidRPr="00302164" w:rsidR="007B2BFF">
        <w:rPr>
          <w:szCs w:val="26"/>
        </w:rPr>
        <w:t>(</w:t>
      </w:r>
      <w:r w:rsidRPr="00302164" w:rsidR="008F4E50">
        <w:rPr>
          <w:i/>
          <w:iCs/>
          <w:szCs w:val="26"/>
        </w:rPr>
        <w:t>Dillon</w:t>
      </w:r>
      <w:r w:rsidRPr="00302164" w:rsidR="008F4E50">
        <w:rPr>
          <w:szCs w:val="26"/>
        </w:rPr>
        <w:t xml:space="preserve">, </w:t>
      </w:r>
      <w:r w:rsidRPr="00302164" w:rsidR="008F4E50">
        <w:rPr>
          <w:i/>
          <w:iCs/>
          <w:szCs w:val="26"/>
        </w:rPr>
        <w:t>supra</w:t>
      </w:r>
      <w:r w:rsidRPr="00302164" w:rsidR="008F4E50">
        <w:rPr>
          <w:szCs w:val="26"/>
        </w:rPr>
        <w:t>, 68</w:t>
      </w:r>
      <w:r w:rsidR="0007686B">
        <w:rPr>
          <w:szCs w:val="26"/>
        </w:rPr>
        <w:t> </w:t>
      </w:r>
      <w:r w:rsidRPr="00302164" w:rsidR="008F4E50">
        <w:rPr>
          <w:szCs w:val="26"/>
        </w:rPr>
        <w:t xml:space="preserve">Cal.2d </w:t>
      </w:r>
      <w:r w:rsidRPr="00302164" w:rsidR="007B2BFF">
        <w:rPr>
          <w:szCs w:val="26"/>
        </w:rPr>
        <w:t>at p.</w:t>
      </w:r>
      <w:r w:rsidRPr="00302164" w:rsidR="00337A84">
        <w:rPr>
          <w:szCs w:val="26"/>
        </w:rPr>
        <w:t> </w:t>
      </w:r>
      <w:r w:rsidRPr="00302164" w:rsidR="007B2BFF">
        <w:rPr>
          <w:szCs w:val="26"/>
        </w:rPr>
        <w:t>732</w:t>
      </w:r>
      <w:r w:rsidR="00646E59">
        <w:rPr>
          <w:szCs w:val="26"/>
        </w:rPr>
        <w:t xml:space="preserve">; see </w:t>
      </w:r>
      <w:r w:rsidRPr="00646E59" w:rsidR="00646E59">
        <w:rPr>
          <w:i/>
          <w:iCs/>
          <w:szCs w:val="26"/>
        </w:rPr>
        <w:t>id.</w:t>
      </w:r>
      <w:r w:rsidR="00646E59">
        <w:rPr>
          <w:szCs w:val="26"/>
        </w:rPr>
        <w:t xml:space="preserve"> at pp. </w:t>
      </w:r>
      <w:r w:rsidRPr="00302164" w:rsidR="007B2BFF">
        <w:rPr>
          <w:szCs w:val="26"/>
        </w:rPr>
        <w:t xml:space="preserve">746–748.)  </w:t>
      </w:r>
      <w:r w:rsidRPr="00302164" w:rsidR="002C1FEB">
        <w:rPr>
          <w:szCs w:val="26"/>
        </w:rPr>
        <w:t xml:space="preserve">We held that regardless of whether the mother was so close to the accident as to fear for her own safety, she should still be </w:t>
      </w:r>
      <w:r w:rsidRPr="00302164" w:rsidR="005C3C58">
        <w:rPr>
          <w:szCs w:val="26"/>
        </w:rPr>
        <w:t>able</w:t>
      </w:r>
      <w:r w:rsidRPr="00302164" w:rsidR="002C1FEB">
        <w:rPr>
          <w:szCs w:val="26"/>
        </w:rPr>
        <w:t xml:space="preserve"> to recover </w:t>
      </w:r>
      <w:r w:rsidRPr="00302164" w:rsidR="005C3C58">
        <w:rPr>
          <w:szCs w:val="26"/>
        </w:rPr>
        <w:t xml:space="preserve">damages </w:t>
      </w:r>
      <w:r w:rsidRPr="00302164" w:rsidR="002C1FEB">
        <w:rPr>
          <w:szCs w:val="26"/>
        </w:rPr>
        <w:t>for her “emotional trauma at the witnessed death of her child</w:t>
      </w:r>
      <w:r w:rsidRPr="00302164" w:rsidR="005C3C58">
        <w:rPr>
          <w:szCs w:val="26"/>
        </w:rPr>
        <w:t>.”</w:t>
      </w:r>
      <w:r w:rsidRPr="00302164" w:rsidR="002C1FEB">
        <w:rPr>
          <w:szCs w:val="26"/>
        </w:rPr>
        <w:t xml:space="preserve">  (</w:t>
      </w:r>
      <w:r w:rsidRPr="00302164" w:rsidR="002C1FEB">
        <w:rPr>
          <w:i/>
          <w:iCs/>
          <w:szCs w:val="26"/>
        </w:rPr>
        <w:t>Id</w:t>
      </w:r>
      <w:r w:rsidRPr="00302164" w:rsidR="002C1FEB">
        <w:rPr>
          <w:szCs w:val="26"/>
        </w:rPr>
        <w:t xml:space="preserve">. at </w:t>
      </w:r>
      <w:r w:rsidRPr="00302164" w:rsidR="005C3C58">
        <w:rPr>
          <w:szCs w:val="26"/>
        </w:rPr>
        <w:t>p</w:t>
      </w:r>
      <w:r w:rsidRPr="00302164" w:rsidR="002C1FEB">
        <w:rPr>
          <w:szCs w:val="26"/>
        </w:rPr>
        <w:t>.</w:t>
      </w:r>
      <w:r w:rsidRPr="00302164" w:rsidR="00337A84">
        <w:rPr>
          <w:szCs w:val="26"/>
        </w:rPr>
        <w:t> </w:t>
      </w:r>
      <w:r w:rsidRPr="00302164" w:rsidR="005C3C58">
        <w:rPr>
          <w:szCs w:val="26"/>
        </w:rPr>
        <w:t>74</w:t>
      </w:r>
      <w:r w:rsidRPr="00302164" w:rsidR="001039FB">
        <w:rPr>
          <w:szCs w:val="26"/>
        </w:rPr>
        <w:t>7</w:t>
      </w:r>
      <w:r w:rsidRPr="00302164" w:rsidR="008C6600">
        <w:rPr>
          <w:szCs w:val="26"/>
        </w:rPr>
        <w:t xml:space="preserve">.)  </w:t>
      </w:r>
      <w:r w:rsidRPr="00302164" w:rsidR="00644B11">
        <w:rPr>
          <w:szCs w:val="26"/>
        </w:rPr>
        <w:t xml:space="preserve">As a result of </w:t>
      </w:r>
      <w:r w:rsidRPr="00302164" w:rsidR="005F11E1">
        <w:rPr>
          <w:i/>
          <w:iCs/>
          <w:szCs w:val="26"/>
        </w:rPr>
        <w:t>Dillon</w:t>
      </w:r>
      <w:r w:rsidRPr="00302164" w:rsidR="005F11E1">
        <w:rPr>
          <w:szCs w:val="26"/>
        </w:rPr>
        <w:t xml:space="preserve">, </w:t>
      </w:r>
      <w:r w:rsidRPr="00302164" w:rsidR="00644B11">
        <w:rPr>
          <w:szCs w:val="26"/>
        </w:rPr>
        <w:t xml:space="preserve">the law in </w:t>
      </w:r>
      <w:r w:rsidRPr="00302164" w:rsidR="005F11E1">
        <w:rPr>
          <w:szCs w:val="26"/>
        </w:rPr>
        <w:t>California</w:t>
      </w:r>
      <w:r w:rsidRPr="00302164" w:rsidR="00337A84">
        <w:rPr>
          <w:szCs w:val="26"/>
        </w:rPr>
        <w:t> </w:t>
      </w:r>
      <w:r w:rsidRPr="00302164" w:rsidR="00644B11">
        <w:rPr>
          <w:szCs w:val="26"/>
        </w:rPr>
        <w:t xml:space="preserve">— and </w:t>
      </w:r>
      <w:r w:rsidRPr="00302164" w:rsidR="004A16AB">
        <w:rPr>
          <w:szCs w:val="26"/>
        </w:rPr>
        <w:t xml:space="preserve">now </w:t>
      </w:r>
      <w:r w:rsidRPr="00302164" w:rsidR="00644B11">
        <w:rPr>
          <w:szCs w:val="26"/>
        </w:rPr>
        <w:t>elsewhere</w:t>
      </w:r>
      <w:r>
        <w:rPr>
          <w:rStyle w:val="FootnoteReference"/>
          <w:szCs w:val="26"/>
        </w:rPr>
        <w:footnoteReference w:id="5"/>
      </w:r>
      <w:r w:rsidRPr="00302164" w:rsidR="00337A84">
        <w:rPr>
          <w:szCs w:val="26"/>
        </w:rPr>
        <w:t> </w:t>
      </w:r>
      <w:r w:rsidRPr="00302164" w:rsidR="00644B11">
        <w:rPr>
          <w:szCs w:val="26"/>
        </w:rPr>
        <w:t xml:space="preserve">— </w:t>
      </w:r>
      <w:r w:rsidRPr="00302164" w:rsidR="005F11E1">
        <w:rPr>
          <w:szCs w:val="26"/>
        </w:rPr>
        <w:t>recognize</w:t>
      </w:r>
      <w:r w:rsidRPr="00302164" w:rsidR="00644B11">
        <w:rPr>
          <w:szCs w:val="26"/>
        </w:rPr>
        <w:t xml:space="preserve">s </w:t>
      </w:r>
      <w:r w:rsidRPr="00302164" w:rsidR="005F11E1">
        <w:rPr>
          <w:szCs w:val="26"/>
        </w:rPr>
        <w:t xml:space="preserve">that </w:t>
      </w:r>
      <w:r w:rsidRPr="00302164" w:rsidR="00A55D99">
        <w:rPr>
          <w:szCs w:val="26"/>
        </w:rPr>
        <w:t xml:space="preserve">bystanders who </w:t>
      </w:r>
      <w:r w:rsidRPr="00302164" w:rsidR="00870B4F">
        <w:rPr>
          <w:szCs w:val="26"/>
        </w:rPr>
        <w:t xml:space="preserve">witness </w:t>
      </w:r>
      <w:r w:rsidRPr="00302164" w:rsidR="00A55D99">
        <w:rPr>
          <w:szCs w:val="26"/>
        </w:rPr>
        <w:t xml:space="preserve">a close relative being negligently injured have a cause of action for negligence and </w:t>
      </w:r>
      <w:r w:rsidRPr="00302164" w:rsidR="00FF0058">
        <w:rPr>
          <w:szCs w:val="26"/>
        </w:rPr>
        <w:t xml:space="preserve">may </w:t>
      </w:r>
      <w:r w:rsidRPr="00302164" w:rsidR="00A55D99">
        <w:rPr>
          <w:szCs w:val="26"/>
        </w:rPr>
        <w:t>recover damages for their trauma.</w:t>
      </w:r>
      <w:r>
        <w:rPr>
          <w:rStyle w:val="FootnoteReference"/>
          <w:szCs w:val="26"/>
        </w:rPr>
        <w:footnoteReference w:id="6"/>
      </w:r>
      <w:r w:rsidRPr="00302164" w:rsidR="00644B11">
        <w:rPr>
          <w:szCs w:val="26"/>
        </w:rPr>
        <w:t xml:space="preserve">  </w:t>
      </w:r>
    </w:p>
    <w:p w:rsidR="008B60C3" w:rsidRPr="00C47E71" w:rsidP="00302164" w14:paraId="25BDAC3C" w14:textId="0A448A12">
      <w:pPr>
        <w:tabs>
          <w:tab w:val="left" w:pos="1440"/>
        </w:tabs>
        <w:ind w:firstLine="720"/>
        <w:rPr>
          <w:szCs w:val="26"/>
        </w:rPr>
      </w:pPr>
      <w:r w:rsidRPr="00302164">
        <w:rPr>
          <w:szCs w:val="26"/>
        </w:rPr>
        <w:t>But even though</w:t>
      </w:r>
      <w:r w:rsidRPr="00302164">
        <w:rPr>
          <w:i/>
          <w:iCs/>
          <w:szCs w:val="26"/>
        </w:rPr>
        <w:t xml:space="preserve"> </w:t>
      </w:r>
      <w:r w:rsidRPr="00302164" w:rsidR="00C3152D">
        <w:rPr>
          <w:i/>
          <w:iCs/>
          <w:szCs w:val="26"/>
        </w:rPr>
        <w:t>Dillon</w:t>
      </w:r>
      <w:r w:rsidRPr="00302164" w:rsidR="00C3152D">
        <w:rPr>
          <w:szCs w:val="26"/>
        </w:rPr>
        <w:t xml:space="preserve"> broadened emotional distress liability to permit safely located bystanders to an accident </w:t>
      </w:r>
      <w:r w:rsidR="0040389C">
        <w:rPr>
          <w:szCs w:val="26"/>
        </w:rPr>
        <w:t xml:space="preserve">to recover </w:t>
      </w:r>
      <w:r w:rsidRPr="00302164" w:rsidR="00C3152D">
        <w:rPr>
          <w:szCs w:val="26"/>
        </w:rPr>
        <w:t xml:space="preserve">based on their fear and shock when their close relatives suffer injury, it also </w:t>
      </w:r>
      <w:r w:rsidRPr="00302164">
        <w:rPr>
          <w:szCs w:val="26"/>
        </w:rPr>
        <w:t xml:space="preserve">recognized </w:t>
      </w:r>
      <w:r w:rsidRPr="00302164" w:rsidR="007A46FC">
        <w:rPr>
          <w:szCs w:val="26"/>
        </w:rPr>
        <w:t>that “lines of demarcation” would have to be drawn “to limit the otherwise potentially infinite liability which would follow every negligent act.”  (</w:t>
      </w:r>
      <w:r w:rsidRPr="00302164" w:rsidR="007A46FC">
        <w:rPr>
          <w:i/>
          <w:iCs/>
          <w:szCs w:val="26"/>
        </w:rPr>
        <w:t>Dillon</w:t>
      </w:r>
      <w:r w:rsidRPr="00302164" w:rsidR="007A46FC">
        <w:rPr>
          <w:szCs w:val="26"/>
        </w:rPr>
        <w:t xml:space="preserve">, </w:t>
      </w:r>
      <w:r w:rsidRPr="00302164" w:rsidR="007A46FC">
        <w:rPr>
          <w:i/>
          <w:iCs/>
          <w:szCs w:val="26"/>
        </w:rPr>
        <w:t>supra</w:t>
      </w:r>
      <w:r w:rsidRPr="00302164" w:rsidR="007A46FC">
        <w:rPr>
          <w:szCs w:val="26"/>
        </w:rPr>
        <w:t>, 68</w:t>
      </w:r>
      <w:r w:rsidR="0007686B">
        <w:rPr>
          <w:szCs w:val="26"/>
        </w:rPr>
        <w:t> </w:t>
      </w:r>
      <w:r w:rsidRPr="00302164" w:rsidR="007A46FC">
        <w:rPr>
          <w:szCs w:val="26"/>
        </w:rPr>
        <w:t>Cal.2d at pp.</w:t>
      </w:r>
      <w:r w:rsidRPr="00302164" w:rsidR="00337A84">
        <w:rPr>
          <w:szCs w:val="26"/>
        </w:rPr>
        <w:t> </w:t>
      </w:r>
      <w:r w:rsidRPr="00302164" w:rsidR="007A46FC">
        <w:rPr>
          <w:szCs w:val="26"/>
        </w:rPr>
        <w:t>7</w:t>
      </w:r>
      <w:r w:rsidRPr="00302164" w:rsidR="001039FB">
        <w:rPr>
          <w:szCs w:val="26"/>
        </w:rPr>
        <w:t>41</w:t>
      </w:r>
      <w:r w:rsidRPr="00302164" w:rsidR="007A46FC">
        <w:rPr>
          <w:szCs w:val="26"/>
        </w:rPr>
        <w:t>, 7</w:t>
      </w:r>
      <w:r w:rsidRPr="00302164" w:rsidR="001039FB">
        <w:rPr>
          <w:szCs w:val="26"/>
        </w:rPr>
        <w:t>39</w:t>
      </w:r>
      <w:r w:rsidRPr="00302164" w:rsidR="007A46FC">
        <w:rPr>
          <w:szCs w:val="26"/>
        </w:rPr>
        <w:t>.)</w:t>
      </w:r>
      <w:r w:rsidRPr="00302164" w:rsidR="001D41F4">
        <w:rPr>
          <w:szCs w:val="26"/>
        </w:rPr>
        <w:t xml:space="preserve">  </w:t>
      </w:r>
      <w:r w:rsidRPr="00302164" w:rsidR="00DF1891">
        <w:rPr>
          <w:szCs w:val="26"/>
        </w:rPr>
        <w:t xml:space="preserve">Pointing to one such line, </w:t>
      </w:r>
      <w:r w:rsidRPr="00302164" w:rsidR="001D41F4">
        <w:rPr>
          <w:i/>
          <w:iCs/>
          <w:szCs w:val="26"/>
        </w:rPr>
        <w:t xml:space="preserve">Dillon </w:t>
      </w:r>
      <w:r w:rsidRPr="00302164">
        <w:rPr>
          <w:szCs w:val="26"/>
        </w:rPr>
        <w:t>instructed courts to consider, among other things, “[w]hether the shock resulted from a direct emotional impact upon plaintiff from the sensory and contemporaneous observance of the accident, as contrasted with learning of the accident from others after its occurrence</w:t>
      </w:r>
      <w:r w:rsidRPr="00302164" w:rsidR="00DF1891">
        <w:rPr>
          <w:szCs w:val="26"/>
        </w:rPr>
        <w:t>.</w:t>
      </w:r>
      <w:r w:rsidRPr="00302164">
        <w:rPr>
          <w:szCs w:val="26"/>
        </w:rPr>
        <w:t>”</w:t>
      </w:r>
      <w:r w:rsidRPr="00302164" w:rsidR="00337A84">
        <w:rPr>
          <w:szCs w:val="26"/>
        </w:rPr>
        <w:t xml:space="preserve"> </w:t>
      </w:r>
      <w:r w:rsidRPr="00302164">
        <w:rPr>
          <w:szCs w:val="26"/>
        </w:rPr>
        <w:t xml:space="preserve"> (</w:t>
      </w:r>
      <w:r w:rsidRPr="00302164" w:rsidR="001039FB">
        <w:rPr>
          <w:i/>
          <w:iCs/>
          <w:szCs w:val="26"/>
        </w:rPr>
        <w:t>Id.</w:t>
      </w:r>
      <w:r w:rsidRPr="00302164" w:rsidR="001039FB">
        <w:rPr>
          <w:szCs w:val="26"/>
        </w:rPr>
        <w:t xml:space="preserve"> </w:t>
      </w:r>
      <w:r w:rsidRPr="00302164">
        <w:rPr>
          <w:szCs w:val="26"/>
        </w:rPr>
        <w:t>at pp.</w:t>
      </w:r>
      <w:r w:rsidRPr="00302164" w:rsidR="00337A84">
        <w:rPr>
          <w:szCs w:val="26"/>
        </w:rPr>
        <w:t> </w:t>
      </w:r>
      <w:r w:rsidRPr="00302164">
        <w:rPr>
          <w:szCs w:val="26"/>
        </w:rPr>
        <w:t xml:space="preserve">740–741.)  </w:t>
      </w:r>
      <w:r w:rsidR="00C91E47">
        <w:rPr>
          <w:szCs w:val="26"/>
        </w:rPr>
        <w:t xml:space="preserve">In several cases after </w:t>
      </w:r>
      <w:r w:rsidR="00C91E47">
        <w:rPr>
          <w:i/>
          <w:iCs/>
          <w:szCs w:val="26"/>
        </w:rPr>
        <w:t>Dillon</w:t>
      </w:r>
      <w:r w:rsidR="00C91E47">
        <w:rPr>
          <w:szCs w:val="26"/>
        </w:rPr>
        <w:t xml:space="preserve">, we further explored this limit on </w:t>
      </w:r>
      <w:r w:rsidR="00C47E71">
        <w:rPr>
          <w:szCs w:val="26"/>
        </w:rPr>
        <w:t xml:space="preserve">the duty owed by tortfeasors to bystanders who suffer </w:t>
      </w:r>
      <w:r w:rsidR="002717AF">
        <w:rPr>
          <w:szCs w:val="26"/>
        </w:rPr>
        <w:t xml:space="preserve">serious </w:t>
      </w:r>
      <w:r w:rsidR="00C47E71">
        <w:rPr>
          <w:szCs w:val="26"/>
        </w:rPr>
        <w:t xml:space="preserve">emotional distress after witnessing a close relative being injured.  </w:t>
      </w:r>
    </w:p>
    <w:p w:rsidR="00762C16" w:rsidRPr="00302164" w:rsidP="00302164" w14:paraId="77A27EA0" w14:textId="1FD0E675">
      <w:pPr>
        <w:tabs>
          <w:tab w:val="left" w:pos="1440"/>
        </w:tabs>
        <w:ind w:firstLine="720"/>
        <w:rPr>
          <w:szCs w:val="26"/>
        </w:rPr>
      </w:pPr>
      <w:r>
        <w:rPr>
          <w:szCs w:val="26"/>
        </w:rPr>
        <w:t>W</w:t>
      </w:r>
      <w:r w:rsidRPr="00302164" w:rsidR="00EB0F08">
        <w:rPr>
          <w:szCs w:val="26"/>
        </w:rPr>
        <w:t xml:space="preserve">e </w:t>
      </w:r>
      <w:r>
        <w:rPr>
          <w:szCs w:val="26"/>
        </w:rPr>
        <w:t>first</w:t>
      </w:r>
      <w:r w:rsidRPr="00302164" w:rsidR="008A4BFA">
        <w:rPr>
          <w:szCs w:val="26"/>
        </w:rPr>
        <w:t xml:space="preserve"> </w:t>
      </w:r>
      <w:r w:rsidRPr="00302164" w:rsidR="00EB0F08">
        <w:rPr>
          <w:szCs w:val="26"/>
        </w:rPr>
        <w:t>consider</w:t>
      </w:r>
      <w:r>
        <w:rPr>
          <w:szCs w:val="26"/>
        </w:rPr>
        <w:t>ed</w:t>
      </w:r>
      <w:r w:rsidRPr="00302164" w:rsidR="00EB0F08">
        <w:rPr>
          <w:szCs w:val="26"/>
        </w:rPr>
        <w:t xml:space="preserve"> </w:t>
      </w:r>
      <w:r w:rsidRPr="00302164" w:rsidR="00EB0F08">
        <w:rPr>
          <w:i/>
          <w:iCs/>
          <w:szCs w:val="26"/>
        </w:rPr>
        <w:t>Dillon</w:t>
      </w:r>
      <w:r w:rsidRPr="00302164" w:rsidR="00EB0F08">
        <w:rPr>
          <w:szCs w:val="26"/>
        </w:rPr>
        <w:t xml:space="preserve">’s “sensory and contemporaneous observance” factor in </w:t>
      </w:r>
      <w:r w:rsidRPr="00302164" w:rsidR="00EB0F08">
        <w:rPr>
          <w:i/>
          <w:iCs/>
          <w:szCs w:val="26"/>
        </w:rPr>
        <w:t>Justus v. Atchison</w:t>
      </w:r>
      <w:r w:rsidRPr="00302164" w:rsidR="00EB0F08">
        <w:rPr>
          <w:szCs w:val="26"/>
        </w:rPr>
        <w:t xml:space="preserve"> (1977) 19</w:t>
      </w:r>
      <w:r w:rsidR="0007686B">
        <w:rPr>
          <w:szCs w:val="26"/>
        </w:rPr>
        <w:t> </w:t>
      </w:r>
      <w:r w:rsidRPr="00302164" w:rsidR="00EB0F08">
        <w:rPr>
          <w:szCs w:val="26"/>
        </w:rPr>
        <w:t>Cal.3d 564</w:t>
      </w:r>
      <w:r w:rsidRPr="00302164" w:rsidR="003079DF">
        <w:rPr>
          <w:szCs w:val="26"/>
        </w:rPr>
        <w:t>, a medical malpractice case</w:t>
      </w:r>
      <w:r w:rsidRPr="00302164" w:rsidR="00EB0F08">
        <w:rPr>
          <w:szCs w:val="26"/>
        </w:rPr>
        <w:t xml:space="preserve">.  </w:t>
      </w:r>
      <w:r w:rsidRPr="00302164" w:rsidR="00ED57FA">
        <w:rPr>
          <w:szCs w:val="26"/>
        </w:rPr>
        <w:t xml:space="preserve">The plaintiffs in </w:t>
      </w:r>
      <w:r w:rsidRPr="00302164" w:rsidR="00ED57FA">
        <w:rPr>
          <w:i/>
          <w:iCs/>
          <w:szCs w:val="26"/>
        </w:rPr>
        <w:t>Justus</w:t>
      </w:r>
      <w:r w:rsidRPr="00302164" w:rsidR="00ED57FA">
        <w:rPr>
          <w:szCs w:val="26"/>
        </w:rPr>
        <w:t xml:space="preserve"> were two husbands </w:t>
      </w:r>
      <w:r w:rsidRPr="00302164" w:rsidR="00265351">
        <w:rPr>
          <w:szCs w:val="26"/>
        </w:rPr>
        <w:t xml:space="preserve">who </w:t>
      </w:r>
      <w:r w:rsidRPr="00302164" w:rsidR="00C87D1A">
        <w:rPr>
          <w:szCs w:val="26"/>
        </w:rPr>
        <w:t xml:space="preserve">alleged, in separate actions, that they saw </w:t>
      </w:r>
      <w:r w:rsidRPr="00302164" w:rsidR="00265351">
        <w:rPr>
          <w:szCs w:val="26"/>
        </w:rPr>
        <w:t xml:space="preserve">their wives deliver </w:t>
      </w:r>
      <w:r w:rsidRPr="00302164" w:rsidR="00C87D1A">
        <w:rPr>
          <w:szCs w:val="26"/>
        </w:rPr>
        <w:t xml:space="preserve">stillborn </w:t>
      </w:r>
      <w:r w:rsidRPr="00302164" w:rsidR="00265351">
        <w:rPr>
          <w:szCs w:val="26"/>
        </w:rPr>
        <w:t xml:space="preserve">fetuses and suffered emotional distress </w:t>
      </w:r>
      <w:r w:rsidRPr="00302164" w:rsidR="00C87D1A">
        <w:rPr>
          <w:szCs w:val="26"/>
        </w:rPr>
        <w:t>from</w:t>
      </w:r>
      <w:r w:rsidRPr="00302164" w:rsidR="00EA5B41">
        <w:rPr>
          <w:szCs w:val="26"/>
        </w:rPr>
        <w:t xml:space="preserve"> </w:t>
      </w:r>
      <w:r w:rsidRPr="00302164" w:rsidR="00265351">
        <w:rPr>
          <w:szCs w:val="26"/>
        </w:rPr>
        <w:t>witnessing the stillbirths.  (</w:t>
      </w:r>
      <w:r w:rsidRPr="00302164" w:rsidR="001039FB">
        <w:rPr>
          <w:i/>
          <w:iCs/>
          <w:szCs w:val="26"/>
        </w:rPr>
        <w:t>Id.</w:t>
      </w:r>
      <w:r w:rsidRPr="00302164" w:rsidR="00265351">
        <w:rPr>
          <w:szCs w:val="26"/>
        </w:rPr>
        <w:t xml:space="preserve"> at pp. 567–56</w:t>
      </w:r>
      <w:r w:rsidRPr="00302164" w:rsidR="00F70167">
        <w:rPr>
          <w:szCs w:val="26"/>
        </w:rPr>
        <w:t>9</w:t>
      </w:r>
      <w:r w:rsidRPr="00302164" w:rsidR="00105FCD">
        <w:rPr>
          <w:szCs w:val="26"/>
        </w:rPr>
        <w:t>, 585</w:t>
      </w:r>
      <w:r w:rsidRPr="00302164" w:rsidR="00265351">
        <w:rPr>
          <w:szCs w:val="26"/>
        </w:rPr>
        <w:t xml:space="preserve">.)  </w:t>
      </w:r>
      <w:r w:rsidRPr="00302164" w:rsidR="005878C9">
        <w:rPr>
          <w:szCs w:val="26"/>
        </w:rPr>
        <w:t xml:space="preserve">We concluded that the husbands had failed to state a cause of action under </w:t>
      </w:r>
      <w:r w:rsidRPr="00302164" w:rsidR="005878C9">
        <w:rPr>
          <w:i/>
          <w:iCs/>
          <w:szCs w:val="26"/>
        </w:rPr>
        <w:t>Dillon</w:t>
      </w:r>
      <w:r w:rsidRPr="00302164" w:rsidR="005878C9">
        <w:rPr>
          <w:szCs w:val="26"/>
        </w:rPr>
        <w:t xml:space="preserve"> because </w:t>
      </w:r>
      <w:r w:rsidRPr="00302164" w:rsidR="008A63FC">
        <w:rPr>
          <w:szCs w:val="26"/>
        </w:rPr>
        <w:t xml:space="preserve">they had not understood what they had seen until a doctor told them.  </w:t>
      </w:r>
      <w:r w:rsidRPr="00302164" w:rsidR="005878C9">
        <w:rPr>
          <w:szCs w:val="26"/>
        </w:rPr>
        <w:t xml:space="preserve">Because </w:t>
      </w:r>
      <w:r w:rsidRPr="00302164" w:rsidR="00BA39F5">
        <w:rPr>
          <w:szCs w:val="26"/>
        </w:rPr>
        <w:t xml:space="preserve">each plaintiff’s </w:t>
      </w:r>
      <w:r w:rsidRPr="00302164" w:rsidR="005878C9">
        <w:rPr>
          <w:szCs w:val="26"/>
        </w:rPr>
        <w:t xml:space="preserve">emotional </w:t>
      </w:r>
      <w:r w:rsidRPr="00302164" w:rsidR="004A16AB">
        <w:rPr>
          <w:szCs w:val="26"/>
        </w:rPr>
        <w:t xml:space="preserve">distress </w:t>
      </w:r>
      <w:r w:rsidRPr="00302164" w:rsidR="005878C9">
        <w:rPr>
          <w:szCs w:val="26"/>
        </w:rPr>
        <w:t xml:space="preserve">derived not from what </w:t>
      </w:r>
      <w:r w:rsidRPr="00302164" w:rsidR="00BA39F5">
        <w:rPr>
          <w:szCs w:val="26"/>
        </w:rPr>
        <w:t xml:space="preserve">he </w:t>
      </w:r>
      <w:r w:rsidRPr="00302164" w:rsidR="008A63FC">
        <w:rPr>
          <w:szCs w:val="26"/>
        </w:rPr>
        <w:t xml:space="preserve">witnessed </w:t>
      </w:r>
      <w:r w:rsidRPr="00302164" w:rsidR="005878C9">
        <w:rPr>
          <w:szCs w:val="26"/>
        </w:rPr>
        <w:t>during the delivery, but “from what he was told after the fact,”</w:t>
      </w:r>
      <w:r w:rsidRPr="00302164" w:rsidR="004A16AB">
        <w:rPr>
          <w:szCs w:val="26"/>
        </w:rPr>
        <w:t xml:space="preserve"> we held that the plaintiffs had failed to allege </w:t>
      </w:r>
      <w:r w:rsidRPr="00302164" w:rsidR="005878C9">
        <w:rPr>
          <w:szCs w:val="26"/>
        </w:rPr>
        <w:t>“shock . . . result[ing] from a ‘direct emotional impact’ on the plaintiff caused by ‘sensory and contemporaneous observance of the accident</w:t>
      </w:r>
      <w:r w:rsidRPr="00302164" w:rsidR="003079DF">
        <w:rPr>
          <w:szCs w:val="26"/>
        </w:rPr>
        <w:t>.</w:t>
      </w:r>
      <w:r w:rsidRPr="00302164" w:rsidR="005878C9">
        <w:rPr>
          <w:szCs w:val="26"/>
        </w:rPr>
        <w:t xml:space="preserve">’ ” </w:t>
      </w:r>
      <w:r w:rsidRPr="00302164" w:rsidR="003079DF">
        <w:rPr>
          <w:szCs w:val="26"/>
        </w:rPr>
        <w:t xml:space="preserve"> </w:t>
      </w:r>
      <w:r w:rsidRPr="00302164" w:rsidR="001E1CF3">
        <w:rPr>
          <w:szCs w:val="26"/>
        </w:rPr>
        <w:t>(</w:t>
      </w:r>
      <w:r w:rsidRPr="00302164" w:rsidR="001E1CF3">
        <w:rPr>
          <w:i/>
          <w:iCs/>
          <w:szCs w:val="26"/>
        </w:rPr>
        <w:t>Justus</w:t>
      </w:r>
      <w:r w:rsidRPr="00302164" w:rsidR="001E1CF3">
        <w:rPr>
          <w:szCs w:val="26"/>
        </w:rPr>
        <w:t xml:space="preserve">, at </w:t>
      </w:r>
      <w:r w:rsidRPr="00302164" w:rsidR="001039FB">
        <w:rPr>
          <w:szCs w:val="26"/>
        </w:rPr>
        <w:t>p</w:t>
      </w:r>
      <w:r w:rsidRPr="00302164" w:rsidR="001E1CF3">
        <w:rPr>
          <w:szCs w:val="26"/>
        </w:rPr>
        <w:t>p.</w:t>
      </w:r>
      <w:r w:rsidRPr="00302164" w:rsidR="00337A84">
        <w:rPr>
          <w:szCs w:val="26"/>
        </w:rPr>
        <w:t> </w:t>
      </w:r>
      <w:r w:rsidRPr="00302164" w:rsidR="001039FB">
        <w:rPr>
          <w:szCs w:val="26"/>
        </w:rPr>
        <w:t xml:space="preserve">585, </w:t>
      </w:r>
      <w:r w:rsidRPr="00302164" w:rsidR="001E1CF3">
        <w:rPr>
          <w:szCs w:val="26"/>
        </w:rPr>
        <w:t xml:space="preserve">584, quoting </w:t>
      </w:r>
      <w:r w:rsidRPr="00302164" w:rsidR="001E1CF3">
        <w:rPr>
          <w:i/>
          <w:iCs/>
          <w:szCs w:val="26"/>
        </w:rPr>
        <w:t>Dillon</w:t>
      </w:r>
      <w:r w:rsidRPr="00302164" w:rsidR="001E1CF3">
        <w:rPr>
          <w:szCs w:val="26"/>
        </w:rPr>
        <w:t>,</w:t>
      </w:r>
      <w:r w:rsidRPr="00302164" w:rsidR="001E1CF3">
        <w:rPr>
          <w:i/>
          <w:iCs/>
          <w:szCs w:val="26"/>
        </w:rPr>
        <w:t xml:space="preserve"> supra</w:t>
      </w:r>
      <w:r w:rsidRPr="00302164" w:rsidR="001E1CF3">
        <w:rPr>
          <w:szCs w:val="26"/>
        </w:rPr>
        <w:t>, 68</w:t>
      </w:r>
      <w:r w:rsidR="0007686B">
        <w:rPr>
          <w:szCs w:val="26"/>
        </w:rPr>
        <w:t> </w:t>
      </w:r>
      <w:r w:rsidRPr="00302164" w:rsidR="001E1CF3">
        <w:rPr>
          <w:szCs w:val="26"/>
        </w:rPr>
        <w:t xml:space="preserve">Cal.2d at p. 740.)  </w:t>
      </w:r>
    </w:p>
    <w:p w:rsidR="00111E79" w:rsidRPr="00302164" w:rsidP="00302164" w14:paraId="462AEEE2" w14:textId="5D50828C">
      <w:pPr>
        <w:tabs>
          <w:tab w:val="left" w:pos="1440"/>
        </w:tabs>
        <w:ind w:firstLine="720"/>
        <w:rPr>
          <w:szCs w:val="26"/>
        </w:rPr>
      </w:pPr>
      <w:r w:rsidRPr="00302164">
        <w:rPr>
          <w:szCs w:val="26"/>
        </w:rPr>
        <w:t xml:space="preserve">We </w:t>
      </w:r>
      <w:r w:rsidRPr="00302164" w:rsidR="008A4BFA">
        <w:rPr>
          <w:szCs w:val="26"/>
        </w:rPr>
        <w:t xml:space="preserve">again considered this </w:t>
      </w:r>
      <w:r w:rsidRPr="00302164" w:rsidR="00203E90">
        <w:rPr>
          <w:szCs w:val="26"/>
        </w:rPr>
        <w:t xml:space="preserve">factor </w:t>
      </w:r>
      <w:r w:rsidRPr="00302164">
        <w:rPr>
          <w:szCs w:val="26"/>
        </w:rPr>
        <w:t xml:space="preserve">in </w:t>
      </w:r>
      <w:r w:rsidRPr="00302164">
        <w:rPr>
          <w:i/>
          <w:iCs/>
          <w:szCs w:val="26"/>
        </w:rPr>
        <w:t>Ochoa v. Superior Court</w:t>
      </w:r>
      <w:r w:rsidRPr="00302164" w:rsidR="00F70167">
        <w:rPr>
          <w:i/>
          <w:iCs/>
          <w:szCs w:val="26"/>
        </w:rPr>
        <w:t xml:space="preserve"> </w:t>
      </w:r>
      <w:r w:rsidRPr="00302164" w:rsidR="00F70167">
        <w:rPr>
          <w:szCs w:val="26"/>
        </w:rPr>
        <w:t>(1985)</w:t>
      </w:r>
      <w:r w:rsidRPr="00302164" w:rsidR="00F70167">
        <w:rPr>
          <w:i/>
          <w:iCs/>
          <w:szCs w:val="26"/>
        </w:rPr>
        <w:t xml:space="preserve"> </w:t>
      </w:r>
      <w:r w:rsidRPr="00302164">
        <w:rPr>
          <w:szCs w:val="26"/>
        </w:rPr>
        <w:t>39</w:t>
      </w:r>
      <w:r w:rsidR="0007686B">
        <w:rPr>
          <w:szCs w:val="26"/>
        </w:rPr>
        <w:t> </w:t>
      </w:r>
      <w:r w:rsidRPr="00302164">
        <w:rPr>
          <w:szCs w:val="26"/>
        </w:rPr>
        <w:t>Cal.3d 159</w:t>
      </w:r>
      <w:r w:rsidRPr="00302164" w:rsidR="00DC322D">
        <w:rPr>
          <w:szCs w:val="26"/>
        </w:rPr>
        <w:t xml:space="preserve"> (</w:t>
      </w:r>
      <w:r w:rsidRPr="00302164" w:rsidR="00DC322D">
        <w:rPr>
          <w:i/>
          <w:iCs/>
          <w:szCs w:val="26"/>
        </w:rPr>
        <w:t>Ochoa</w:t>
      </w:r>
      <w:r w:rsidRPr="00302164" w:rsidR="00DC322D">
        <w:rPr>
          <w:szCs w:val="26"/>
        </w:rPr>
        <w:t>)</w:t>
      </w:r>
      <w:r w:rsidRPr="00302164">
        <w:rPr>
          <w:szCs w:val="26"/>
        </w:rPr>
        <w:t xml:space="preserve">.  </w:t>
      </w:r>
      <w:r w:rsidRPr="00302164" w:rsidR="00781F53">
        <w:rPr>
          <w:szCs w:val="26"/>
        </w:rPr>
        <w:t>There, the plaintiff was a mother whose teenage son had died of bilateral pneumonia while detained in juvenile hall.  (</w:t>
      </w:r>
      <w:r w:rsidRPr="00302164" w:rsidR="00781F53">
        <w:rPr>
          <w:i/>
          <w:iCs/>
          <w:szCs w:val="26"/>
        </w:rPr>
        <w:t>Id.</w:t>
      </w:r>
      <w:r w:rsidRPr="00302164" w:rsidR="00781F53">
        <w:rPr>
          <w:szCs w:val="26"/>
        </w:rPr>
        <w:t xml:space="preserve"> at p</w:t>
      </w:r>
      <w:r w:rsidRPr="00302164" w:rsidR="004A47D9">
        <w:rPr>
          <w:szCs w:val="26"/>
        </w:rPr>
        <w:t>p</w:t>
      </w:r>
      <w:r w:rsidRPr="00302164" w:rsidR="00781F53">
        <w:rPr>
          <w:szCs w:val="26"/>
        </w:rPr>
        <w:t>. 16</w:t>
      </w:r>
      <w:r w:rsidRPr="00302164" w:rsidR="004A47D9">
        <w:rPr>
          <w:szCs w:val="26"/>
        </w:rPr>
        <w:t>2–163</w:t>
      </w:r>
      <w:r w:rsidRPr="00302164" w:rsidR="00781F53">
        <w:rPr>
          <w:szCs w:val="26"/>
        </w:rPr>
        <w:t>.)  She had visited her son in the infirmary, where she saw him “going into convulsions and</w:t>
      </w:r>
      <w:r w:rsidRPr="00302164" w:rsidR="00B07EB2">
        <w:rPr>
          <w:szCs w:val="26"/>
        </w:rPr>
        <w:t> </w:t>
      </w:r>
      <w:r w:rsidRPr="00302164" w:rsidR="00781F53">
        <w:rPr>
          <w:szCs w:val="26"/>
        </w:rPr>
        <w:t>.</w:t>
      </w:r>
      <w:r w:rsidRPr="00302164" w:rsidR="00B07EB2">
        <w:rPr>
          <w:szCs w:val="26"/>
        </w:rPr>
        <w:t> </w:t>
      </w:r>
      <w:r w:rsidRPr="00302164" w:rsidR="00781F53">
        <w:rPr>
          <w:szCs w:val="26"/>
        </w:rPr>
        <w:t>.</w:t>
      </w:r>
      <w:r w:rsidRPr="00302164" w:rsidR="00B07EB2">
        <w:rPr>
          <w:szCs w:val="26"/>
        </w:rPr>
        <w:t> </w:t>
      </w:r>
      <w:r w:rsidRPr="00302164" w:rsidR="00781F53">
        <w:rPr>
          <w:szCs w:val="26"/>
        </w:rPr>
        <w:t>. hallucinating” and heard him when he “complained of feeling very sick and of feeling pain.”  (</w:t>
      </w:r>
      <w:r w:rsidRPr="00302164" w:rsidR="004A47D9">
        <w:rPr>
          <w:i/>
          <w:iCs/>
          <w:szCs w:val="26"/>
        </w:rPr>
        <w:t>Id</w:t>
      </w:r>
      <w:r w:rsidRPr="00302164" w:rsidR="00781F53">
        <w:rPr>
          <w:szCs w:val="26"/>
        </w:rPr>
        <w:t>.</w:t>
      </w:r>
      <w:r w:rsidRPr="00302164" w:rsidR="004A47D9">
        <w:rPr>
          <w:i/>
          <w:iCs/>
          <w:szCs w:val="26"/>
        </w:rPr>
        <w:t xml:space="preserve"> </w:t>
      </w:r>
      <w:r w:rsidRPr="00302164" w:rsidR="004A47D9">
        <w:rPr>
          <w:szCs w:val="26"/>
        </w:rPr>
        <w:t>at p.</w:t>
      </w:r>
      <w:r w:rsidRPr="00302164" w:rsidR="00337A84">
        <w:rPr>
          <w:szCs w:val="26"/>
        </w:rPr>
        <w:t> </w:t>
      </w:r>
      <w:r w:rsidRPr="00302164" w:rsidR="004A47D9">
        <w:rPr>
          <w:szCs w:val="26"/>
        </w:rPr>
        <w:t>163</w:t>
      </w:r>
      <w:r w:rsidR="00A25C1B">
        <w:rPr>
          <w:szCs w:val="26"/>
        </w:rPr>
        <w:t>.</w:t>
      </w:r>
      <w:r w:rsidRPr="00302164" w:rsidR="00781F53">
        <w:rPr>
          <w:szCs w:val="26"/>
        </w:rPr>
        <w:t xml:space="preserve">)  </w:t>
      </w:r>
      <w:r w:rsidRPr="00302164" w:rsidR="00F753D9">
        <w:rPr>
          <w:szCs w:val="26"/>
        </w:rPr>
        <w:t>The mother repeatedly pleaded with the attending physician at the juvenile hall infirmary to allow her son to be seen by the family doctor, but her requests were denied.  (</w:t>
      </w:r>
      <w:r w:rsidRPr="00302164" w:rsidR="00F753D9">
        <w:rPr>
          <w:i/>
          <w:iCs/>
          <w:szCs w:val="26"/>
        </w:rPr>
        <w:t>Id.</w:t>
      </w:r>
      <w:r w:rsidRPr="00302164" w:rsidR="00F753D9">
        <w:rPr>
          <w:szCs w:val="26"/>
        </w:rPr>
        <w:t xml:space="preserve"> at pp. 163–164.)  When she visited him a second time and tried to roll him over on his side, he “yelled and screamed, complaining of excruciating pain in his chest area.”  (</w:t>
      </w:r>
      <w:r w:rsidRPr="00302164" w:rsidR="00F753D9">
        <w:rPr>
          <w:i/>
          <w:iCs/>
          <w:szCs w:val="26"/>
        </w:rPr>
        <w:t xml:space="preserve">Id. </w:t>
      </w:r>
      <w:r w:rsidRPr="00302164" w:rsidR="00F753D9">
        <w:rPr>
          <w:szCs w:val="26"/>
        </w:rPr>
        <w:t>at p. 164.)  During both visits, the mother “was distressed because of her son’s condition and because it appeared that her child</w:t>
      </w:r>
      <w:r w:rsidRPr="00302164" w:rsidR="00BF3D89">
        <w:rPr>
          <w:szCs w:val="26"/>
        </w:rPr>
        <w:t>’</w:t>
      </w:r>
      <w:r w:rsidRPr="00302164" w:rsidR="00F753D9">
        <w:rPr>
          <w:szCs w:val="26"/>
        </w:rPr>
        <w:t>s medical needs were being ignored”</w:t>
      </w:r>
      <w:r w:rsidRPr="00302164" w:rsidR="007A7CE3">
        <w:rPr>
          <w:szCs w:val="26"/>
        </w:rPr>
        <w:t>;</w:t>
      </w:r>
      <w:r w:rsidRPr="00302164" w:rsidR="00F753D9">
        <w:rPr>
          <w:szCs w:val="26"/>
        </w:rPr>
        <w:t xml:space="preserve"> </w:t>
      </w:r>
      <w:r w:rsidRPr="00302164" w:rsidR="00024CAD">
        <w:rPr>
          <w:szCs w:val="26"/>
        </w:rPr>
        <w:t xml:space="preserve">no doctor tended to her son while she was at the infirmary. </w:t>
      </w:r>
      <w:r w:rsidRPr="00302164" w:rsidR="00F753D9">
        <w:rPr>
          <w:szCs w:val="26"/>
        </w:rPr>
        <w:t xml:space="preserve"> (</w:t>
      </w:r>
      <w:r w:rsidRPr="00302164" w:rsidR="00F753D9">
        <w:rPr>
          <w:i/>
          <w:iCs/>
          <w:szCs w:val="26"/>
        </w:rPr>
        <w:t>I</w:t>
      </w:r>
      <w:r w:rsidRPr="00302164" w:rsidR="00CC26D3">
        <w:rPr>
          <w:i/>
          <w:iCs/>
          <w:szCs w:val="26"/>
        </w:rPr>
        <w:t>bid.</w:t>
      </w:r>
      <w:r w:rsidRPr="00302164" w:rsidR="00CC26D3">
        <w:rPr>
          <w:szCs w:val="26"/>
        </w:rPr>
        <w:t xml:space="preserve">)  </w:t>
      </w:r>
      <w:r w:rsidRPr="00302164" w:rsidR="00C30246">
        <w:rPr>
          <w:szCs w:val="26"/>
        </w:rPr>
        <w:t xml:space="preserve">Disapproving </w:t>
      </w:r>
      <w:r w:rsidRPr="00302164" w:rsidR="00FB5B4F">
        <w:rPr>
          <w:szCs w:val="26"/>
        </w:rPr>
        <w:t>cases limiting recovery to emotional distress caused by a “</w:t>
      </w:r>
      <w:r w:rsidR="00646E59">
        <w:rPr>
          <w:szCs w:val="26"/>
        </w:rPr>
        <w:t> ‘</w:t>
      </w:r>
      <w:r w:rsidRPr="00302164" w:rsidR="00FB5B4F">
        <w:rPr>
          <w:szCs w:val="26"/>
        </w:rPr>
        <w:t>sudden and brief</w:t>
      </w:r>
      <w:r w:rsidR="00646E59">
        <w:rPr>
          <w:szCs w:val="26"/>
        </w:rPr>
        <w:t>’ </w:t>
      </w:r>
      <w:r w:rsidRPr="00302164" w:rsidR="00FB5B4F">
        <w:rPr>
          <w:szCs w:val="26"/>
        </w:rPr>
        <w:t xml:space="preserve">” injury-causing event, we </w:t>
      </w:r>
      <w:r w:rsidRPr="00302164" w:rsidR="00024CAD">
        <w:rPr>
          <w:szCs w:val="26"/>
        </w:rPr>
        <w:t>held that the mother</w:t>
      </w:r>
      <w:r w:rsidRPr="00302164" w:rsidR="00FB5B4F">
        <w:rPr>
          <w:szCs w:val="26"/>
        </w:rPr>
        <w:t xml:space="preserve"> had stated a claim for </w:t>
      </w:r>
      <w:r w:rsidRPr="00302164" w:rsidR="00024CAD">
        <w:rPr>
          <w:szCs w:val="26"/>
        </w:rPr>
        <w:t>negligent infliction of emotional distress</w:t>
      </w:r>
      <w:r w:rsidRPr="00302164" w:rsidR="00FB5B4F">
        <w:rPr>
          <w:szCs w:val="26"/>
        </w:rPr>
        <w:t>.  (</w:t>
      </w:r>
      <w:r w:rsidRPr="00302164" w:rsidR="00FB5B4F">
        <w:rPr>
          <w:i/>
          <w:iCs/>
          <w:szCs w:val="26"/>
        </w:rPr>
        <w:t>Id.</w:t>
      </w:r>
      <w:r w:rsidRPr="00302164" w:rsidR="00FB5B4F">
        <w:rPr>
          <w:szCs w:val="26"/>
        </w:rPr>
        <w:t xml:space="preserve"> at </w:t>
      </w:r>
      <w:r w:rsidRPr="00302164" w:rsidR="00A217E3">
        <w:rPr>
          <w:szCs w:val="26"/>
        </w:rPr>
        <w:t>p</w:t>
      </w:r>
      <w:r w:rsidRPr="00302164" w:rsidR="00FB5B4F">
        <w:rPr>
          <w:szCs w:val="26"/>
        </w:rPr>
        <w:t>.</w:t>
      </w:r>
      <w:r w:rsidRPr="00302164" w:rsidR="00337A84">
        <w:rPr>
          <w:szCs w:val="26"/>
        </w:rPr>
        <w:t> </w:t>
      </w:r>
      <w:r w:rsidRPr="00302164" w:rsidR="00FB5B4F">
        <w:rPr>
          <w:szCs w:val="26"/>
        </w:rPr>
        <w:t>167</w:t>
      </w:r>
      <w:r w:rsidRPr="00302164" w:rsidR="00DC322D">
        <w:rPr>
          <w:szCs w:val="26"/>
        </w:rPr>
        <w:t xml:space="preserve">; see </w:t>
      </w:r>
      <w:r w:rsidRPr="00302164" w:rsidR="00DC322D">
        <w:rPr>
          <w:i/>
          <w:iCs/>
          <w:szCs w:val="26"/>
        </w:rPr>
        <w:t>id.</w:t>
      </w:r>
      <w:r w:rsidRPr="00302164" w:rsidR="00DC322D">
        <w:rPr>
          <w:szCs w:val="26"/>
        </w:rPr>
        <w:t xml:space="preserve"> at p. 168</w:t>
      </w:r>
      <w:r w:rsidRPr="00302164" w:rsidR="00FB5B4F">
        <w:rPr>
          <w:szCs w:val="26"/>
        </w:rPr>
        <w:t xml:space="preserve">, disapproving </w:t>
      </w:r>
      <w:r w:rsidRPr="00302164" w:rsidR="00FB5B4F">
        <w:rPr>
          <w:i/>
          <w:iCs/>
          <w:szCs w:val="26"/>
        </w:rPr>
        <w:t>Jansen v. Children’s Hospital Medical Center</w:t>
      </w:r>
      <w:r w:rsidRPr="00302164" w:rsidR="00FB5B4F">
        <w:rPr>
          <w:szCs w:val="26"/>
        </w:rPr>
        <w:t xml:space="preserve"> (1973) 31</w:t>
      </w:r>
      <w:r w:rsidR="0007686B">
        <w:rPr>
          <w:szCs w:val="26"/>
        </w:rPr>
        <w:t> </w:t>
      </w:r>
      <w:r w:rsidRPr="00302164" w:rsidR="00FB5B4F">
        <w:rPr>
          <w:szCs w:val="26"/>
        </w:rPr>
        <w:t xml:space="preserve">Cal.App.3d 22, 24.)  </w:t>
      </w:r>
      <w:r w:rsidRPr="00302164" w:rsidR="00D633DC">
        <w:rPr>
          <w:szCs w:val="26"/>
        </w:rPr>
        <w:t xml:space="preserve">We explained </w:t>
      </w:r>
      <w:r w:rsidRPr="00302164" w:rsidR="00024CAD">
        <w:rPr>
          <w:szCs w:val="26"/>
        </w:rPr>
        <w:t>that “when there is observation of the defendant’s conduct and the child’s injury and contemporaneous awareness the defendant’s conduct or lack thereof is causing harm to the child, recovery is permitted</w:t>
      </w:r>
      <w:r w:rsidRPr="00302164" w:rsidR="00BC75BF">
        <w:rPr>
          <w:szCs w:val="26"/>
        </w:rPr>
        <w:t>,</w:t>
      </w:r>
      <w:r w:rsidRPr="00302164" w:rsidR="00024CAD">
        <w:rPr>
          <w:szCs w:val="26"/>
        </w:rPr>
        <w:t xml:space="preserve">” </w:t>
      </w:r>
      <w:r w:rsidRPr="00302164" w:rsidR="00BC75BF">
        <w:rPr>
          <w:szCs w:val="26"/>
        </w:rPr>
        <w:t xml:space="preserve">regardless of whether the injury was inflicted suddenly or across several days.  </w:t>
      </w:r>
      <w:r w:rsidRPr="00302164" w:rsidR="00024CAD">
        <w:rPr>
          <w:szCs w:val="26"/>
        </w:rPr>
        <w:t>(</w:t>
      </w:r>
      <w:r w:rsidRPr="00302164" w:rsidR="00DC322D">
        <w:rPr>
          <w:i/>
          <w:iCs/>
          <w:szCs w:val="26"/>
        </w:rPr>
        <w:t>Ochoa</w:t>
      </w:r>
      <w:r w:rsidRPr="00302164" w:rsidR="00DC322D">
        <w:rPr>
          <w:szCs w:val="26"/>
        </w:rPr>
        <w:t>,</w:t>
      </w:r>
      <w:r w:rsidRPr="00302164" w:rsidR="00024CAD">
        <w:rPr>
          <w:szCs w:val="26"/>
        </w:rPr>
        <w:t xml:space="preserve"> at p. 170.)  </w:t>
      </w:r>
    </w:p>
    <w:p w:rsidR="00DF5A05" w:rsidRPr="00302164" w:rsidP="00302164" w14:paraId="3A3B2030" w14:textId="45D41ACD">
      <w:pPr>
        <w:tabs>
          <w:tab w:val="left" w:pos="1440"/>
        </w:tabs>
        <w:ind w:firstLine="720"/>
        <w:rPr>
          <w:szCs w:val="26"/>
        </w:rPr>
      </w:pPr>
      <w:r w:rsidRPr="00302164">
        <w:rPr>
          <w:szCs w:val="26"/>
        </w:rPr>
        <w:t>W</w:t>
      </w:r>
      <w:r w:rsidRPr="00302164" w:rsidR="004E6B19">
        <w:rPr>
          <w:szCs w:val="26"/>
        </w:rPr>
        <w:t xml:space="preserve">e </w:t>
      </w:r>
      <w:r w:rsidRPr="00302164" w:rsidR="00683F62">
        <w:rPr>
          <w:szCs w:val="26"/>
        </w:rPr>
        <w:t xml:space="preserve">returned </w:t>
      </w:r>
      <w:r w:rsidRPr="00302164" w:rsidR="007E36AD">
        <w:rPr>
          <w:szCs w:val="26"/>
        </w:rPr>
        <w:t xml:space="preserve">once more </w:t>
      </w:r>
      <w:r w:rsidRPr="00302164" w:rsidR="00683F62">
        <w:rPr>
          <w:szCs w:val="26"/>
        </w:rPr>
        <w:t xml:space="preserve">to the subject of bystander distress liability in </w:t>
      </w:r>
      <w:r w:rsidRPr="00302164" w:rsidR="00E440E5">
        <w:rPr>
          <w:i/>
          <w:iCs/>
          <w:szCs w:val="26"/>
        </w:rPr>
        <w:t>Thing</w:t>
      </w:r>
      <w:r w:rsidRPr="00302164" w:rsidR="008163CA">
        <w:rPr>
          <w:szCs w:val="26"/>
        </w:rPr>
        <w:t xml:space="preserve">, </w:t>
      </w:r>
      <w:r w:rsidRPr="00302164" w:rsidR="008163CA">
        <w:rPr>
          <w:i/>
          <w:iCs/>
          <w:szCs w:val="26"/>
        </w:rPr>
        <w:t>supra</w:t>
      </w:r>
      <w:r w:rsidRPr="00302164" w:rsidR="008163CA">
        <w:rPr>
          <w:szCs w:val="26"/>
        </w:rPr>
        <w:t xml:space="preserve">, </w:t>
      </w:r>
      <w:r w:rsidRPr="00302164" w:rsidR="00E440E5">
        <w:rPr>
          <w:szCs w:val="26"/>
        </w:rPr>
        <w:t>48</w:t>
      </w:r>
      <w:r w:rsidR="0007686B">
        <w:rPr>
          <w:szCs w:val="26"/>
        </w:rPr>
        <w:t> </w:t>
      </w:r>
      <w:r w:rsidRPr="00302164" w:rsidR="00E440E5">
        <w:rPr>
          <w:szCs w:val="26"/>
        </w:rPr>
        <w:t xml:space="preserve">Cal.3d 644.  </w:t>
      </w:r>
      <w:r w:rsidRPr="00302164" w:rsidR="00281527">
        <w:rPr>
          <w:szCs w:val="26"/>
        </w:rPr>
        <w:t xml:space="preserve">In </w:t>
      </w:r>
      <w:r w:rsidRPr="00302164" w:rsidR="00281527">
        <w:rPr>
          <w:i/>
          <w:iCs/>
          <w:szCs w:val="26"/>
        </w:rPr>
        <w:t>Thing</w:t>
      </w:r>
      <w:r w:rsidRPr="00302164" w:rsidR="00281527">
        <w:rPr>
          <w:szCs w:val="26"/>
        </w:rPr>
        <w:t xml:space="preserve">, a mother sought emotional distress damages caused by witnessing her injured son lying in a roadway after a car accident, although she had not seen or heard the accident itself.  </w:t>
      </w:r>
      <w:r w:rsidRPr="00302164" w:rsidR="00FF5624">
        <w:rPr>
          <w:szCs w:val="26"/>
        </w:rPr>
        <w:t xml:space="preserve">We granted review to consider </w:t>
      </w:r>
      <w:r w:rsidRPr="00302164" w:rsidR="00C65A93">
        <w:rPr>
          <w:szCs w:val="26"/>
        </w:rPr>
        <w:t xml:space="preserve">the discrete question </w:t>
      </w:r>
      <w:r w:rsidRPr="00302164" w:rsidR="00FF5624">
        <w:rPr>
          <w:szCs w:val="26"/>
        </w:rPr>
        <w:t>whether</w:t>
      </w:r>
      <w:r w:rsidRPr="00302164" w:rsidR="00882EDB">
        <w:rPr>
          <w:szCs w:val="26"/>
        </w:rPr>
        <w:t xml:space="preserve">, as some courts had understood </w:t>
      </w:r>
      <w:r w:rsidRPr="00302164" w:rsidR="00FF5624">
        <w:rPr>
          <w:i/>
          <w:iCs/>
          <w:szCs w:val="26"/>
        </w:rPr>
        <w:t>Ochoa</w:t>
      </w:r>
      <w:r w:rsidRPr="00302164" w:rsidR="00882EDB">
        <w:rPr>
          <w:i/>
          <w:iCs/>
          <w:szCs w:val="26"/>
        </w:rPr>
        <w:t xml:space="preserve"> </w:t>
      </w:r>
      <w:r w:rsidRPr="00302164" w:rsidR="00882EDB">
        <w:rPr>
          <w:szCs w:val="26"/>
        </w:rPr>
        <w:t xml:space="preserve">to hold, </w:t>
      </w:r>
      <w:r w:rsidRPr="00302164" w:rsidR="00FF5624">
        <w:rPr>
          <w:szCs w:val="26"/>
        </w:rPr>
        <w:t xml:space="preserve">“contemporaneous awareness of a sudden occurrence causing injury to [the plaintiff’s] child was not a prerequisite to recovery under </w:t>
      </w:r>
      <w:r w:rsidRPr="00302164" w:rsidR="00FF5624">
        <w:rPr>
          <w:i/>
          <w:iCs/>
          <w:szCs w:val="26"/>
        </w:rPr>
        <w:t>Dillon</w:t>
      </w:r>
      <w:r w:rsidRPr="00302164" w:rsidR="00FF5624">
        <w:rPr>
          <w:szCs w:val="26"/>
        </w:rPr>
        <w:t>.”  (</w:t>
      </w:r>
      <w:r w:rsidRPr="00302164" w:rsidR="00FF5624">
        <w:rPr>
          <w:i/>
          <w:iCs/>
          <w:szCs w:val="26"/>
        </w:rPr>
        <w:t>Thing</w:t>
      </w:r>
      <w:r w:rsidRPr="00302164" w:rsidR="00FF5624">
        <w:rPr>
          <w:szCs w:val="26"/>
        </w:rPr>
        <w:t>, at p.</w:t>
      </w:r>
      <w:r w:rsidRPr="00302164" w:rsidR="00337A84">
        <w:rPr>
          <w:szCs w:val="26"/>
        </w:rPr>
        <w:t> </w:t>
      </w:r>
      <w:r w:rsidRPr="00302164" w:rsidR="00FF5624">
        <w:rPr>
          <w:szCs w:val="26"/>
        </w:rPr>
        <w:t xml:space="preserve">648.)  </w:t>
      </w:r>
      <w:r w:rsidRPr="00302164" w:rsidR="007149BB">
        <w:rPr>
          <w:szCs w:val="26"/>
        </w:rPr>
        <w:t xml:space="preserve">But we also took the opportunity </w:t>
      </w:r>
      <w:r w:rsidRPr="00302164" w:rsidR="00DC322D">
        <w:rPr>
          <w:szCs w:val="26"/>
        </w:rPr>
        <w:t xml:space="preserve">to </w:t>
      </w:r>
      <w:r w:rsidRPr="00302164" w:rsidR="001E76A5">
        <w:rPr>
          <w:szCs w:val="26"/>
        </w:rPr>
        <w:t xml:space="preserve">take stock of the general </w:t>
      </w:r>
      <w:r w:rsidRPr="00302164" w:rsidR="00683F62">
        <w:rPr>
          <w:szCs w:val="26"/>
        </w:rPr>
        <w:t>state of the law</w:t>
      </w:r>
      <w:r w:rsidRPr="00302164">
        <w:rPr>
          <w:szCs w:val="26"/>
        </w:rPr>
        <w:t xml:space="preserve"> two decades after </w:t>
      </w:r>
      <w:r w:rsidRPr="00302164">
        <w:rPr>
          <w:i/>
          <w:iCs/>
          <w:szCs w:val="26"/>
        </w:rPr>
        <w:t>Dillon</w:t>
      </w:r>
      <w:r w:rsidRPr="00302164" w:rsidR="007149BB">
        <w:rPr>
          <w:szCs w:val="26"/>
        </w:rPr>
        <w:t>.</w:t>
      </w:r>
      <w:r w:rsidRPr="00302164" w:rsidR="001E76A5">
        <w:rPr>
          <w:szCs w:val="26"/>
        </w:rPr>
        <w:t xml:space="preserve">  W</w:t>
      </w:r>
      <w:r w:rsidRPr="00302164" w:rsidR="00683F62">
        <w:rPr>
          <w:szCs w:val="26"/>
        </w:rPr>
        <w:t xml:space="preserve">e </w:t>
      </w:r>
      <w:r w:rsidRPr="00302164" w:rsidR="00E440E5">
        <w:rPr>
          <w:szCs w:val="26"/>
        </w:rPr>
        <w:t xml:space="preserve">observed that the </w:t>
      </w:r>
      <w:r w:rsidRPr="00302164" w:rsidR="00E440E5">
        <w:rPr>
          <w:i/>
          <w:iCs/>
          <w:szCs w:val="26"/>
        </w:rPr>
        <w:t>Dillon</w:t>
      </w:r>
      <w:r w:rsidRPr="00302164" w:rsidR="00E440E5">
        <w:rPr>
          <w:szCs w:val="26"/>
        </w:rPr>
        <w:t xml:space="preserve"> majority’s anticipation</w:t>
      </w:r>
      <w:r w:rsidRPr="00302164" w:rsidR="004E6B19">
        <w:rPr>
          <w:szCs w:val="26"/>
        </w:rPr>
        <w:t xml:space="preserve"> </w:t>
      </w:r>
      <w:r w:rsidRPr="00302164" w:rsidR="00E440E5">
        <w:rPr>
          <w:szCs w:val="26"/>
        </w:rPr>
        <w:t>“</w:t>
      </w:r>
      <w:r w:rsidRPr="00302164" w:rsidR="004E6B19">
        <w:rPr>
          <w:szCs w:val="26"/>
        </w:rPr>
        <w:t>that the parameters of the tort would be further defined in future cases</w:t>
      </w:r>
      <w:r w:rsidRPr="00302164" w:rsidR="00E440E5">
        <w:rPr>
          <w:szCs w:val="26"/>
        </w:rPr>
        <w:t xml:space="preserve">” had gone unfulfilled, and subsequent appellate cases had only </w:t>
      </w:r>
      <w:r w:rsidRPr="00302164" w:rsidR="008F73A3">
        <w:rPr>
          <w:szCs w:val="26"/>
        </w:rPr>
        <w:t xml:space="preserve">created </w:t>
      </w:r>
      <w:r w:rsidRPr="00302164" w:rsidR="00E440E5">
        <w:rPr>
          <w:szCs w:val="26"/>
        </w:rPr>
        <w:t>“</w:t>
      </w:r>
      <w:r w:rsidRPr="00302164" w:rsidR="004E6B19">
        <w:rPr>
          <w:szCs w:val="26"/>
        </w:rPr>
        <w:t>more uncertainty.”  (</w:t>
      </w:r>
      <w:r w:rsidRPr="00302164" w:rsidR="006F5944">
        <w:rPr>
          <w:i/>
          <w:iCs/>
          <w:szCs w:val="26"/>
        </w:rPr>
        <w:t>Id.</w:t>
      </w:r>
      <w:r w:rsidRPr="00302164" w:rsidR="00E440E5">
        <w:rPr>
          <w:i/>
          <w:iCs/>
          <w:szCs w:val="26"/>
        </w:rPr>
        <w:t xml:space="preserve"> </w:t>
      </w:r>
      <w:r w:rsidRPr="00302164" w:rsidR="00E440E5">
        <w:rPr>
          <w:szCs w:val="26"/>
        </w:rPr>
        <w:t>at p. </w:t>
      </w:r>
      <w:r w:rsidRPr="00302164" w:rsidR="004E6B19">
        <w:rPr>
          <w:szCs w:val="26"/>
        </w:rPr>
        <w:t xml:space="preserve">656.)  </w:t>
      </w:r>
      <w:r w:rsidRPr="00302164" w:rsidR="00B91ADE">
        <w:rPr>
          <w:szCs w:val="26"/>
        </w:rPr>
        <w:t>D</w:t>
      </w:r>
      <w:r w:rsidRPr="00302164" w:rsidR="004E6B19">
        <w:rPr>
          <w:szCs w:val="26"/>
        </w:rPr>
        <w:t xml:space="preserve">ecisions following </w:t>
      </w:r>
      <w:r w:rsidRPr="00302164" w:rsidR="004E6B19">
        <w:rPr>
          <w:i/>
          <w:iCs/>
          <w:szCs w:val="26"/>
        </w:rPr>
        <w:t>Dillon</w:t>
      </w:r>
      <w:r w:rsidRPr="00302164" w:rsidR="004E6B19">
        <w:rPr>
          <w:szCs w:val="26"/>
        </w:rPr>
        <w:t xml:space="preserve"> had</w:t>
      </w:r>
      <w:r w:rsidRPr="00302164" w:rsidR="00BE6115">
        <w:rPr>
          <w:szCs w:val="26"/>
        </w:rPr>
        <w:t>, “like the pebble cast into the pond,”</w:t>
      </w:r>
      <w:r w:rsidRPr="00302164" w:rsidR="004E6B19">
        <w:rPr>
          <w:szCs w:val="26"/>
        </w:rPr>
        <w:t xml:space="preserve"> </w:t>
      </w:r>
      <w:r w:rsidRPr="00302164" w:rsidR="001C1C3A">
        <w:rPr>
          <w:szCs w:val="26"/>
        </w:rPr>
        <w:t xml:space="preserve">expanded </w:t>
      </w:r>
      <w:r w:rsidRPr="00302164" w:rsidR="002C1CF0">
        <w:rPr>
          <w:szCs w:val="26"/>
        </w:rPr>
        <w:t xml:space="preserve">the </w:t>
      </w:r>
      <w:r w:rsidRPr="00302164" w:rsidR="001C1C3A">
        <w:rPr>
          <w:szCs w:val="26"/>
        </w:rPr>
        <w:t xml:space="preserve">bystander </w:t>
      </w:r>
      <w:r w:rsidRPr="00302164" w:rsidR="00767B33">
        <w:rPr>
          <w:szCs w:val="26"/>
        </w:rPr>
        <w:t xml:space="preserve">distress </w:t>
      </w:r>
      <w:r w:rsidRPr="00302164" w:rsidR="002C1CF0">
        <w:rPr>
          <w:szCs w:val="26"/>
        </w:rPr>
        <w:t>claim</w:t>
      </w:r>
      <w:r w:rsidRPr="00302164" w:rsidR="00BE6115">
        <w:rPr>
          <w:szCs w:val="26"/>
        </w:rPr>
        <w:t xml:space="preserve"> and </w:t>
      </w:r>
      <w:r w:rsidRPr="00302164" w:rsidR="004E4525">
        <w:rPr>
          <w:szCs w:val="26"/>
        </w:rPr>
        <w:t>“</w:t>
      </w:r>
      <w:r w:rsidRPr="00302164" w:rsidR="00BE6115">
        <w:rPr>
          <w:szCs w:val="26"/>
        </w:rPr>
        <w:t>created</w:t>
      </w:r>
      <w:r w:rsidRPr="00302164" w:rsidR="002C1CF0">
        <w:rPr>
          <w:szCs w:val="26"/>
        </w:rPr>
        <w:t xml:space="preserve"> ever widening circles of liability.”  (</w:t>
      </w:r>
      <w:r w:rsidRPr="00302164" w:rsidR="002C1CF0">
        <w:rPr>
          <w:i/>
          <w:iCs/>
          <w:szCs w:val="26"/>
        </w:rPr>
        <w:t>Id.</w:t>
      </w:r>
      <w:r w:rsidRPr="00302164" w:rsidR="002C1CF0">
        <w:rPr>
          <w:szCs w:val="26"/>
        </w:rPr>
        <w:t xml:space="preserve"> </w:t>
      </w:r>
      <w:r w:rsidRPr="00302164" w:rsidR="000E2047">
        <w:rPr>
          <w:szCs w:val="26"/>
        </w:rPr>
        <w:t>at p.</w:t>
      </w:r>
      <w:r w:rsidRPr="00302164" w:rsidR="00337A84">
        <w:rPr>
          <w:szCs w:val="26"/>
        </w:rPr>
        <w:t> </w:t>
      </w:r>
      <w:r w:rsidRPr="00302164" w:rsidR="000E2047">
        <w:rPr>
          <w:szCs w:val="26"/>
        </w:rPr>
        <w:t>653</w:t>
      </w:r>
      <w:r w:rsidRPr="00302164" w:rsidR="002C1CF0">
        <w:rPr>
          <w:szCs w:val="26"/>
        </w:rPr>
        <w:t xml:space="preserve">; see </w:t>
      </w:r>
      <w:r w:rsidRPr="00302164" w:rsidR="002C1CF0">
        <w:rPr>
          <w:i/>
          <w:iCs/>
          <w:szCs w:val="26"/>
        </w:rPr>
        <w:t>id.</w:t>
      </w:r>
      <w:r w:rsidRPr="00302164" w:rsidR="002C1CF0">
        <w:rPr>
          <w:szCs w:val="26"/>
        </w:rPr>
        <w:t xml:space="preserve"> at p</w:t>
      </w:r>
      <w:r w:rsidRPr="006604B4" w:rsidR="002C1CF0">
        <w:rPr>
          <w:szCs w:val="26"/>
        </w:rPr>
        <w:t>.</w:t>
      </w:r>
      <w:r w:rsidRPr="006604B4" w:rsidR="00337A84">
        <w:rPr>
          <w:szCs w:val="26"/>
        </w:rPr>
        <w:t> </w:t>
      </w:r>
      <w:r w:rsidRPr="006604B4" w:rsidR="001C1C3A">
        <w:t>656</w:t>
      </w:r>
      <w:r w:rsidRPr="00302164" w:rsidR="001C1C3A">
        <w:rPr>
          <w:szCs w:val="26"/>
        </w:rPr>
        <w:t xml:space="preserve"> [discussing </w:t>
      </w:r>
      <w:r w:rsidRPr="00302164" w:rsidR="00031F55">
        <w:rPr>
          <w:szCs w:val="26"/>
        </w:rPr>
        <w:t xml:space="preserve">the “expansive progression” of </w:t>
      </w:r>
      <w:r w:rsidRPr="00302164" w:rsidR="001C1C3A">
        <w:rPr>
          <w:szCs w:val="26"/>
        </w:rPr>
        <w:t>post-</w:t>
      </w:r>
      <w:r w:rsidRPr="00302164" w:rsidR="001C1C3A">
        <w:rPr>
          <w:i/>
          <w:iCs/>
          <w:szCs w:val="26"/>
        </w:rPr>
        <w:t>Dillon</w:t>
      </w:r>
      <w:r w:rsidRPr="00302164" w:rsidR="001C1C3A">
        <w:rPr>
          <w:szCs w:val="26"/>
        </w:rPr>
        <w:t xml:space="preserve"> decisions</w:t>
      </w:r>
      <w:r w:rsidRPr="00302164" w:rsidR="000E2047">
        <w:rPr>
          <w:szCs w:val="26"/>
        </w:rPr>
        <w:t>]</w:t>
      </w:r>
      <w:r w:rsidRPr="00302164" w:rsidR="00031F55">
        <w:rPr>
          <w:szCs w:val="26"/>
        </w:rPr>
        <w:t>.</w:t>
      </w:r>
      <w:r w:rsidRPr="00302164" w:rsidR="006301CE">
        <w:rPr>
          <w:szCs w:val="26"/>
        </w:rPr>
        <w:t>)</w:t>
      </w:r>
      <w:r w:rsidRPr="00302164" w:rsidR="00D21302">
        <w:rPr>
          <w:szCs w:val="26"/>
        </w:rPr>
        <w:t xml:space="preserve">  Clearly articulated limits were necessary, we </w:t>
      </w:r>
      <w:r w:rsidR="006F7A08">
        <w:rPr>
          <w:szCs w:val="26"/>
        </w:rPr>
        <w:t>explained</w:t>
      </w:r>
      <w:r w:rsidRPr="00302164" w:rsidR="00D21302">
        <w:rPr>
          <w:szCs w:val="26"/>
        </w:rPr>
        <w:t>, “[i]</w:t>
      </w:r>
      <w:r w:rsidRPr="00302164" w:rsidR="00031F55">
        <w:rPr>
          <w:szCs w:val="26"/>
        </w:rPr>
        <w:t>n order to avoid limitless liability out of all proportion to the degree of a defendant’s negligence, and against which it is impossible to insure without imposing unacceptable costs on those among whom the risk is spread</w:t>
      </w:r>
      <w:r w:rsidRPr="00302164" w:rsidR="00D21302">
        <w:rPr>
          <w:szCs w:val="26"/>
        </w:rPr>
        <w:t>.”</w:t>
      </w:r>
      <w:r w:rsidRPr="00302164" w:rsidR="00031F55">
        <w:rPr>
          <w:szCs w:val="26"/>
        </w:rPr>
        <w:t xml:space="preserve"> </w:t>
      </w:r>
      <w:r w:rsidRPr="00302164" w:rsidR="00D21302">
        <w:rPr>
          <w:szCs w:val="26"/>
        </w:rPr>
        <w:t xml:space="preserve"> </w:t>
      </w:r>
      <w:r w:rsidRPr="00302164" w:rsidR="00031F55">
        <w:rPr>
          <w:szCs w:val="26"/>
        </w:rPr>
        <w:t>(</w:t>
      </w:r>
      <w:r w:rsidRPr="00302164" w:rsidR="00031F55">
        <w:rPr>
          <w:i/>
          <w:iCs/>
          <w:szCs w:val="26"/>
        </w:rPr>
        <w:t>Id.</w:t>
      </w:r>
      <w:r w:rsidRPr="00302164" w:rsidR="00031F55">
        <w:rPr>
          <w:szCs w:val="26"/>
        </w:rPr>
        <w:t xml:space="preserve"> at p.</w:t>
      </w:r>
      <w:r w:rsidRPr="00302164" w:rsidR="00337A84">
        <w:rPr>
          <w:szCs w:val="26"/>
        </w:rPr>
        <w:t> </w:t>
      </w:r>
      <w:r w:rsidRPr="00302164" w:rsidR="00031F55">
        <w:rPr>
          <w:szCs w:val="26"/>
        </w:rPr>
        <w:t xml:space="preserve">664.)  </w:t>
      </w:r>
    </w:p>
    <w:p w:rsidR="00FD1027" w:rsidRPr="00302164" w:rsidP="00302164" w14:paraId="513D6C0D" w14:textId="6A0CF5AB">
      <w:pPr>
        <w:tabs>
          <w:tab w:val="left" w:pos="1440"/>
        </w:tabs>
        <w:ind w:firstLine="720"/>
        <w:rPr>
          <w:szCs w:val="26"/>
        </w:rPr>
      </w:pPr>
      <w:r w:rsidRPr="00302164">
        <w:rPr>
          <w:szCs w:val="26"/>
        </w:rPr>
        <w:t xml:space="preserve">To </w:t>
      </w:r>
      <w:r w:rsidR="006F7A08">
        <w:rPr>
          <w:szCs w:val="26"/>
        </w:rPr>
        <w:t>fill this gap</w:t>
      </w:r>
      <w:r w:rsidRPr="00302164" w:rsidR="00D21302">
        <w:rPr>
          <w:szCs w:val="26"/>
        </w:rPr>
        <w:t xml:space="preserve">, </w:t>
      </w:r>
      <w:r w:rsidRPr="00302164" w:rsidR="00D21302">
        <w:rPr>
          <w:i/>
          <w:iCs/>
          <w:szCs w:val="26"/>
        </w:rPr>
        <w:t>Thing</w:t>
      </w:r>
      <w:r w:rsidRPr="00302164" w:rsidR="00D21302">
        <w:rPr>
          <w:szCs w:val="26"/>
        </w:rPr>
        <w:t xml:space="preserve"> articulated three essential </w:t>
      </w:r>
      <w:r w:rsidRPr="00302164" w:rsidR="004A553F">
        <w:rPr>
          <w:szCs w:val="26"/>
        </w:rPr>
        <w:t xml:space="preserve">limits on a bystander’s </w:t>
      </w:r>
      <w:r w:rsidRPr="00302164" w:rsidR="00D21302">
        <w:rPr>
          <w:szCs w:val="26"/>
        </w:rPr>
        <w:t xml:space="preserve">recovery </w:t>
      </w:r>
      <w:r w:rsidRPr="00302164" w:rsidR="004A553F">
        <w:rPr>
          <w:szCs w:val="26"/>
        </w:rPr>
        <w:t>for negligently caused emotional distress</w:t>
      </w:r>
      <w:r w:rsidRPr="00302164" w:rsidR="00203E90">
        <w:rPr>
          <w:szCs w:val="26"/>
        </w:rPr>
        <w:t xml:space="preserve">.  These limits refined the guidelines that </w:t>
      </w:r>
      <w:r w:rsidRPr="00302164" w:rsidR="00F05715">
        <w:rPr>
          <w:szCs w:val="26"/>
        </w:rPr>
        <w:t xml:space="preserve">we had </w:t>
      </w:r>
      <w:r w:rsidRPr="00302164" w:rsidR="00203E90">
        <w:rPr>
          <w:szCs w:val="26"/>
        </w:rPr>
        <w:t xml:space="preserve">set out in </w:t>
      </w:r>
      <w:r w:rsidRPr="00302164" w:rsidR="00203E90">
        <w:rPr>
          <w:i/>
          <w:iCs/>
          <w:szCs w:val="26"/>
        </w:rPr>
        <w:t>Dillon</w:t>
      </w:r>
      <w:r w:rsidRPr="00302164" w:rsidR="00203E90">
        <w:rPr>
          <w:szCs w:val="26"/>
        </w:rPr>
        <w:t>, including its focus on the plaintiff’s sensory and contemporaneous observance of the injury-producing event</w:t>
      </w:r>
      <w:r w:rsidRPr="00302164" w:rsidR="004A553F">
        <w:rPr>
          <w:szCs w:val="26"/>
        </w:rPr>
        <w:t xml:space="preserve">.  “[A] plaintiff,” we said, “may recover damages </w:t>
      </w:r>
      <w:r w:rsidRPr="00302164" w:rsidR="00DC322D">
        <w:rPr>
          <w:szCs w:val="26"/>
        </w:rPr>
        <w:t xml:space="preserve">for emotional distress </w:t>
      </w:r>
      <w:r w:rsidRPr="00302164" w:rsidR="008D4DD3">
        <w:rPr>
          <w:szCs w:val="26"/>
        </w:rPr>
        <w:t xml:space="preserve">caused by observing the negligently inflicted injury of a third person if, but only if, said plaintiff: </w:t>
      </w:r>
      <w:r w:rsidRPr="00302164" w:rsidR="00520BB3">
        <w:rPr>
          <w:szCs w:val="26"/>
        </w:rPr>
        <w:t xml:space="preserve"> </w:t>
      </w:r>
      <w:r w:rsidRPr="00302164" w:rsidR="008D4DD3">
        <w:rPr>
          <w:szCs w:val="26"/>
        </w:rPr>
        <w:t>(1)</w:t>
      </w:r>
      <w:r w:rsidRPr="00302164" w:rsidR="00337A84">
        <w:rPr>
          <w:szCs w:val="26"/>
        </w:rPr>
        <w:t> </w:t>
      </w:r>
      <w:r w:rsidRPr="00302164" w:rsidR="008D4DD3">
        <w:rPr>
          <w:szCs w:val="26"/>
        </w:rPr>
        <w:t>is closely related to the injury victim; (2)</w:t>
      </w:r>
      <w:r w:rsidRPr="00302164" w:rsidR="00337A84">
        <w:rPr>
          <w:szCs w:val="26"/>
        </w:rPr>
        <w:t> </w:t>
      </w:r>
      <w:r w:rsidRPr="00302164" w:rsidR="008D4DD3">
        <w:rPr>
          <w:szCs w:val="26"/>
        </w:rPr>
        <w:t>is present at the scene of the injury</w:t>
      </w:r>
      <w:r w:rsidRPr="00302164" w:rsidR="00DC322D">
        <w:rPr>
          <w:szCs w:val="26"/>
        </w:rPr>
        <w:t>-</w:t>
      </w:r>
      <w:r w:rsidRPr="00302164" w:rsidR="008D4DD3">
        <w:rPr>
          <w:szCs w:val="26"/>
        </w:rPr>
        <w:t>producing event at the time it occurs and is then aware that it is causing injury to the victim; and (3)</w:t>
      </w:r>
      <w:r w:rsidRPr="00302164" w:rsidR="00337A84">
        <w:rPr>
          <w:szCs w:val="26"/>
        </w:rPr>
        <w:t> </w:t>
      </w:r>
      <w:r w:rsidRPr="00302164" w:rsidR="008D4DD3">
        <w:rPr>
          <w:szCs w:val="26"/>
        </w:rPr>
        <w:t xml:space="preserve">as </w:t>
      </w:r>
      <w:r w:rsidRPr="00302164" w:rsidR="00DC322D">
        <w:rPr>
          <w:szCs w:val="26"/>
        </w:rPr>
        <w:t xml:space="preserve">a </w:t>
      </w:r>
      <w:r w:rsidRPr="00302164" w:rsidR="008D4DD3">
        <w:rPr>
          <w:szCs w:val="26"/>
        </w:rPr>
        <w:t>result suffers serious emotional distress</w:t>
      </w:r>
      <w:r w:rsidRPr="00302164" w:rsidR="00702F26">
        <w:rPr>
          <w:szCs w:val="26"/>
        </w:rPr>
        <w:t> </w:t>
      </w:r>
      <w:r w:rsidRPr="00302164" w:rsidR="008D4DD3">
        <w:rPr>
          <w:szCs w:val="26"/>
        </w:rPr>
        <w:t>—</w:t>
      </w:r>
      <w:r w:rsidRPr="00302164" w:rsidR="0051098A">
        <w:rPr>
          <w:szCs w:val="26"/>
        </w:rPr>
        <w:t xml:space="preserve"> </w:t>
      </w:r>
      <w:r w:rsidRPr="00302164" w:rsidR="008D4DD3">
        <w:rPr>
          <w:szCs w:val="26"/>
        </w:rPr>
        <w:t>a reaction beyond that which would be anticipated in a disinterested witness and which is not an abnormal response to the circumstances.”  (</w:t>
      </w:r>
      <w:r w:rsidRPr="00302164" w:rsidR="00EC0F60">
        <w:rPr>
          <w:i/>
          <w:iCs/>
          <w:szCs w:val="26"/>
        </w:rPr>
        <w:t>Thing</w:t>
      </w:r>
      <w:r w:rsidRPr="00302164" w:rsidR="00EC0F60">
        <w:rPr>
          <w:szCs w:val="26"/>
        </w:rPr>
        <w:t xml:space="preserve">, </w:t>
      </w:r>
      <w:r w:rsidRPr="00302164" w:rsidR="00EC0F60">
        <w:rPr>
          <w:i/>
          <w:iCs/>
          <w:szCs w:val="26"/>
        </w:rPr>
        <w:t>supra</w:t>
      </w:r>
      <w:r w:rsidRPr="00302164" w:rsidR="00EC0F60">
        <w:rPr>
          <w:szCs w:val="26"/>
        </w:rPr>
        <w:t>, 48</w:t>
      </w:r>
      <w:r w:rsidR="0007686B">
        <w:rPr>
          <w:szCs w:val="26"/>
        </w:rPr>
        <w:t> </w:t>
      </w:r>
      <w:r w:rsidRPr="00302164" w:rsidR="00EC0F60">
        <w:rPr>
          <w:szCs w:val="26"/>
        </w:rPr>
        <w:t xml:space="preserve">Cal.3d </w:t>
      </w:r>
      <w:r w:rsidRPr="00302164" w:rsidR="008D4DD3">
        <w:rPr>
          <w:szCs w:val="26"/>
        </w:rPr>
        <w:t>at pp. 667–668, fns. omitted.)</w:t>
      </w:r>
      <w:r w:rsidRPr="00302164" w:rsidR="007E53C5">
        <w:rPr>
          <w:szCs w:val="26"/>
        </w:rPr>
        <w:t xml:space="preserve">  </w:t>
      </w:r>
      <w:r w:rsidRPr="00302164" w:rsidR="003632B7">
        <w:rPr>
          <w:szCs w:val="26"/>
        </w:rPr>
        <w:t xml:space="preserve">Applying </w:t>
      </w:r>
      <w:r w:rsidRPr="00302164" w:rsidR="00522480">
        <w:rPr>
          <w:szCs w:val="26"/>
        </w:rPr>
        <w:t>these limits</w:t>
      </w:r>
      <w:r w:rsidRPr="00302164" w:rsidR="003632B7">
        <w:rPr>
          <w:szCs w:val="26"/>
        </w:rPr>
        <w:t xml:space="preserve">, we held that </w:t>
      </w:r>
      <w:r w:rsidRPr="00302164" w:rsidR="007E53C5">
        <w:rPr>
          <w:szCs w:val="26"/>
        </w:rPr>
        <w:t xml:space="preserve">the mother who had not witnessed </w:t>
      </w:r>
      <w:r w:rsidRPr="00302164" w:rsidR="003632B7">
        <w:rPr>
          <w:szCs w:val="26"/>
        </w:rPr>
        <w:t>her son being struck by a car</w:t>
      </w:r>
      <w:r w:rsidRPr="00302164" w:rsidR="007E53C5">
        <w:rPr>
          <w:szCs w:val="26"/>
        </w:rPr>
        <w:t xml:space="preserve"> </w:t>
      </w:r>
      <w:r w:rsidRPr="00302164" w:rsidR="003632B7">
        <w:rPr>
          <w:szCs w:val="26"/>
        </w:rPr>
        <w:t>could not recover emotional distress damages</w:t>
      </w:r>
      <w:r w:rsidRPr="00302164" w:rsidR="00A85350">
        <w:rPr>
          <w:szCs w:val="26"/>
        </w:rPr>
        <w:t xml:space="preserve"> because she could not </w:t>
      </w:r>
      <w:r w:rsidRPr="00302164" w:rsidR="00522480">
        <w:rPr>
          <w:szCs w:val="26"/>
        </w:rPr>
        <w:t>satisfy the second requirement</w:t>
      </w:r>
      <w:r w:rsidRPr="00302164" w:rsidR="003632B7">
        <w:rPr>
          <w:szCs w:val="26"/>
        </w:rPr>
        <w:t>.  (</w:t>
      </w:r>
      <w:r w:rsidRPr="00302164" w:rsidR="00337A84">
        <w:rPr>
          <w:i/>
          <w:iCs/>
          <w:szCs w:val="26"/>
        </w:rPr>
        <w:t>Id.</w:t>
      </w:r>
      <w:r w:rsidRPr="00302164" w:rsidR="00EC0F60">
        <w:rPr>
          <w:szCs w:val="26"/>
        </w:rPr>
        <w:t xml:space="preserve"> </w:t>
      </w:r>
      <w:r w:rsidRPr="00302164" w:rsidR="003632B7">
        <w:rPr>
          <w:szCs w:val="26"/>
        </w:rPr>
        <w:t>at pp.</w:t>
      </w:r>
      <w:r w:rsidRPr="00302164" w:rsidR="00702F26">
        <w:rPr>
          <w:szCs w:val="26"/>
        </w:rPr>
        <w:t> </w:t>
      </w:r>
      <w:r w:rsidRPr="00302164" w:rsidR="003632B7">
        <w:rPr>
          <w:szCs w:val="26"/>
        </w:rPr>
        <w:t>647–648</w:t>
      </w:r>
      <w:r w:rsidRPr="00302164" w:rsidR="00EC0F60">
        <w:rPr>
          <w:szCs w:val="26"/>
        </w:rPr>
        <w:t xml:space="preserve">; see </w:t>
      </w:r>
      <w:r w:rsidRPr="00302164" w:rsidR="00EC0F60">
        <w:rPr>
          <w:i/>
          <w:iCs/>
          <w:szCs w:val="26"/>
        </w:rPr>
        <w:t>id.</w:t>
      </w:r>
      <w:r w:rsidRPr="00302164" w:rsidR="00EC0F60">
        <w:rPr>
          <w:szCs w:val="26"/>
        </w:rPr>
        <w:t xml:space="preserve"> at p.</w:t>
      </w:r>
      <w:r w:rsidRPr="00302164" w:rsidR="00337A84">
        <w:rPr>
          <w:szCs w:val="26"/>
        </w:rPr>
        <w:t> </w:t>
      </w:r>
      <w:r w:rsidRPr="00302164" w:rsidR="00EC0F60">
        <w:rPr>
          <w:szCs w:val="26"/>
        </w:rPr>
        <w:t>669</w:t>
      </w:r>
      <w:r w:rsidRPr="00302164" w:rsidR="003632B7">
        <w:rPr>
          <w:szCs w:val="26"/>
        </w:rPr>
        <w:t xml:space="preserve">.)  </w:t>
      </w:r>
    </w:p>
    <w:p w:rsidR="00DA189E" w:rsidRPr="00302164" w:rsidP="008F2BB6" w14:paraId="43D0F0C4" w14:textId="34AA461E">
      <w:pPr>
        <w:keepNext/>
        <w:tabs>
          <w:tab w:val="left" w:pos="1440"/>
        </w:tabs>
        <w:jc w:val="center"/>
        <w:rPr>
          <w:b/>
          <w:bCs/>
          <w:smallCaps/>
          <w:szCs w:val="26"/>
        </w:rPr>
      </w:pPr>
      <w:r w:rsidRPr="00302164">
        <w:rPr>
          <w:b/>
          <w:bCs/>
          <w:smallCaps/>
          <w:szCs w:val="26"/>
        </w:rPr>
        <w:t>B.</w:t>
      </w:r>
    </w:p>
    <w:p w:rsidR="006209D9" w:rsidRPr="00302164" w:rsidP="00302164" w14:paraId="76B277D5" w14:textId="5FDD6299">
      <w:pPr>
        <w:tabs>
          <w:tab w:val="left" w:pos="720"/>
        </w:tabs>
        <w:rPr>
          <w:szCs w:val="26"/>
        </w:rPr>
      </w:pPr>
      <w:r w:rsidRPr="00302164">
        <w:rPr>
          <w:szCs w:val="26"/>
        </w:rPr>
        <w:tab/>
      </w:r>
      <w:r w:rsidRPr="00302164" w:rsidR="00864C78">
        <w:rPr>
          <w:szCs w:val="26"/>
        </w:rPr>
        <w:t xml:space="preserve">This case likewise turns on </w:t>
      </w:r>
      <w:r w:rsidRPr="00302164" w:rsidR="00174884">
        <w:rPr>
          <w:szCs w:val="26"/>
        </w:rPr>
        <w:t xml:space="preserve">the second </w:t>
      </w:r>
      <w:r w:rsidRPr="00302164" w:rsidR="00174884">
        <w:rPr>
          <w:i/>
          <w:iCs/>
          <w:szCs w:val="26"/>
        </w:rPr>
        <w:t>Thing</w:t>
      </w:r>
      <w:r w:rsidRPr="00302164" w:rsidR="00174884">
        <w:rPr>
          <w:szCs w:val="26"/>
        </w:rPr>
        <w:t xml:space="preserve"> requirement</w:t>
      </w:r>
      <w:r w:rsidRPr="00302164" w:rsidR="00EC0F60">
        <w:rPr>
          <w:szCs w:val="26"/>
        </w:rPr>
        <w:t>, that the bystander plaintiff be “present at the scene of the injury</w:t>
      </w:r>
      <w:r w:rsidRPr="00302164" w:rsidR="00DC322D">
        <w:rPr>
          <w:szCs w:val="26"/>
        </w:rPr>
        <w:t>-</w:t>
      </w:r>
      <w:r w:rsidRPr="00302164" w:rsidR="00EC0F60">
        <w:rPr>
          <w:szCs w:val="26"/>
        </w:rPr>
        <w:t>producing event at the time it occurs and [be] then aware that it is causing injury to the victim</w:t>
      </w:r>
      <w:r w:rsidRPr="00302164" w:rsidR="00174884">
        <w:rPr>
          <w:szCs w:val="26"/>
        </w:rPr>
        <w:t>.</w:t>
      </w:r>
      <w:r w:rsidRPr="00302164" w:rsidR="00EC0F60">
        <w:rPr>
          <w:szCs w:val="26"/>
        </w:rPr>
        <w:t>”  (</w:t>
      </w:r>
      <w:r w:rsidRPr="00302164" w:rsidR="00A711A2">
        <w:rPr>
          <w:i/>
          <w:iCs/>
          <w:szCs w:val="26"/>
        </w:rPr>
        <w:t>Thing</w:t>
      </w:r>
      <w:r w:rsidRPr="00302164" w:rsidR="00A711A2">
        <w:rPr>
          <w:szCs w:val="26"/>
        </w:rPr>
        <w:t xml:space="preserve">, </w:t>
      </w:r>
      <w:r w:rsidRPr="00302164" w:rsidR="00A711A2">
        <w:rPr>
          <w:i/>
          <w:iCs/>
          <w:szCs w:val="26"/>
        </w:rPr>
        <w:t>supra</w:t>
      </w:r>
      <w:r w:rsidRPr="00302164" w:rsidR="00A711A2">
        <w:rPr>
          <w:szCs w:val="26"/>
        </w:rPr>
        <w:t>, 48</w:t>
      </w:r>
      <w:r w:rsidR="0007686B">
        <w:rPr>
          <w:szCs w:val="26"/>
        </w:rPr>
        <w:t> </w:t>
      </w:r>
      <w:r w:rsidRPr="00302164" w:rsidR="00A711A2">
        <w:rPr>
          <w:szCs w:val="26"/>
        </w:rPr>
        <w:t xml:space="preserve">Cal.3d at p. 668.) </w:t>
      </w:r>
      <w:r w:rsidRPr="00302164" w:rsidR="00CE7E82">
        <w:rPr>
          <w:szCs w:val="26"/>
        </w:rPr>
        <w:t xml:space="preserve"> </w:t>
      </w:r>
      <w:r w:rsidRPr="00302164" w:rsidR="00941D24">
        <w:rPr>
          <w:szCs w:val="26"/>
        </w:rPr>
        <w:t xml:space="preserve">The question </w:t>
      </w:r>
      <w:r w:rsidRPr="00302164" w:rsidR="00CE7E82">
        <w:rPr>
          <w:szCs w:val="26"/>
        </w:rPr>
        <w:t>is whether</w:t>
      </w:r>
      <w:r w:rsidRPr="00302164" w:rsidR="0069546F">
        <w:rPr>
          <w:szCs w:val="26"/>
        </w:rPr>
        <w:t>, to satisfy this requirement,</w:t>
      </w:r>
      <w:r w:rsidRPr="00302164" w:rsidR="00CE7E82">
        <w:rPr>
          <w:szCs w:val="26"/>
        </w:rPr>
        <w:t xml:space="preserve"> </w:t>
      </w:r>
      <w:r w:rsidRPr="00302164" w:rsidR="0069546F">
        <w:rPr>
          <w:szCs w:val="26"/>
        </w:rPr>
        <w:t>the</w:t>
      </w:r>
      <w:r w:rsidRPr="00302164" w:rsidR="00CE7E82">
        <w:rPr>
          <w:szCs w:val="26"/>
        </w:rPr>
        <w:t xml:space="preserve"> plaintiff must understand not only that a close relative is suffering injury, but also that the defendant’s negligent conduct or omissions </w:t>
      </w:r>
      <w:r w:rsidRPr="00302164" w:rsidR="006F7E8B">
        <w:rPr>
          <w:szCs w:val="26"/>
        </w:rPr>
        <w:t>have c</w:t>
      </w:r>
      <w:r w:rsidRPr="00302164" w:rsidR="00145C9F">
        <w:rPr>
          <w:szCs w:val="26"/>
        </w:rPr>
        <w:t xml:space="preserve">aused </w:t>
      </w:r>
      <w:r w:rsidRPr="00302164" w:rsidR="00CE7E82">
        <w:rPr>
          <w:szCs w:val="26"/>
        </w:rPr>
        <w:t>the injury.</w:t>
      </w:r>
      <w:r>
        <w:rPr>
          <w:rStyle w:val="FootnoteReference"/>
          <w:szCs w:val="26"/>
        </w:rPr>
        <w:footnoteReference w:id="7"/>
      </w:r>
      <w:r w:rsidRPr="00302164" w:rsidR="00CE7E82">
        <w:rPr>
          <w:szCs w:val="26"/>
        </w:rPr>
        <w:t xml:space="preserve"> </w:t>
      </w:r>
      <w:r w:rsidRPr="00302164" w:rsidR="00FE219B">
        <w:rPr>
          <w:szCs w:val="26"/>
        </w:rPr>
        <w:t xml:space="preserve"> </w:t>
      </w:r>
    </w:p>
    <w:p w:rsidR="005C12D1" w:rsidRPr="00302164" w:rsidP="00302164" w14:paraId="5EB57245" w14:textId="468593BA">
      <w:pPr>
        <w:tabs>
          <w:tab w:val="left" w:pos="720"/>
          <w:tab w:val="left" w:pos="1440"/>
        </w:tabs>
        <w:rPr>
          <w:szCs w:val="26"/>
        </w:rPr>
      </w:pPr>
      <w:r w:rsidRPr="00302164">
        <w:rPr>
          <w:szCs w:val="26"/>
        </w:rPr>
        <w:tab/>
      </w:r>
      <w:r w:rsidRPr="00302164" w:rsidR="00FE219B">
        <w:rPr>
          <w:szCs w:val="26"/>
        </w:rPr>
        <w:t>The focal point of th</w:t>
      </w:r>
      <w:r w:rsidR="006F7A08">
        <w:rPr>
          <w:szCs w:val="26"/>
        </w:rPr>
        <w:t>e</w:t>
      </w:r>
      <w:r w:rsidRPr="00302164" w:rsidR="00FE219B">
        <w:rPr>
          <w:szCs w:val="26"/>
        </w:rPr>
        <w:t xml:space="preserve"> dispute </w:t>
      </w:r>
      <w:r w:rsidRPr="00302164" w:rsidR="006F5C9E">
        <w:rPr>
          <w:szCs w:val="26"/>
        </w:rPr>
        <w:t xml:space="preserve">is </w:t>
      </w:r>
      <w:r w:rsidRPr="00302164" w:rsidR="00F75DFB">
        <w:rPr>
          <w:i/>
          <w:iCs/>
          <w:szCs w:val="26"/>
        </w:rPr>
        <w:t>Bird</w:t>
      </w:r>
      <w:r w:rsidRPr="00302164" w:rsidR="00F75DFB">
        <w:rPr>
          <w:szCs w:val="26"/>
        </w:rPr>
        <w:t xml:space="preserve">, </w:t>
      </w:r>
      <w:r w:rsidRPr="00302164" w:rsidR="00F75DFB">
        <w:rPr>
          <w:i/>
          <w:iCs/>
          <w:szCs w:val="26"/>
        </w:rPr>
        <w:t>supra</w:t>
      </w:r>
      <w:r w:rsidRPr="00302164" w:rsidR="00F75DFB">
        <w:rPr>
          <w:szCs w:val="26"/>
        </w:rPr>
        <w:t>, 28</w:t>
      </w:r>
      <w:r w:rsidR="0007686B">
        <w:rPr>
          <w:szCs w:val="26"/>
        </w:rPr>
        <w:t> </w:t>
      </w:r>
      <w:r w:rsidRPr="00302164" w:rsidR="00F75DFB">
        <w:rPr>
          <w:szCs w:val="26"/>
        </w:rPr>
        <w:t xml:space="preserve">Cal.4th 910, </w:t>
      </w:r>
      <w:r w:rsidRPr="00302164" w:rsidR="00FE219B">
        <w:rPr>
          <w:szCs w:val="26"/>
        </w:rPr>
        <w:t>so we will begin there.</w:t>
      </w:r>
      <w:r w:rsidRPr="00302164">
        <w:rPr>
          <w:szCs w:val="26"/>
        </w:rPr>
        <w:t xml:space="preserve">  </w:t>
      </w:r>
      <w:r w:rsidRPr="00302164" w:rsidR="00FE219B">
        <w:rPr>
          <w:szCs w:val="26"/>
        </w:rPr>
        <w:t>As</w:t>
      </w:r>
      <w:r w:rsidRPr="00302164" w:rsidR="00295F8F">
        <w:rPr>
          <w:szCs w:val="26"/>
        </w:rPr>
        <w:t xml:space="preserve"> </w:t>
      </w:r>
      <w:r w:rsidRPr="00302164">
        <w:rPr>
          <w:szCs w:val="26"/>
        </w:rPr>
        <w:t>noted</w:t>
      </w:r>
      <w:r w:rsidRPr="00302164" w:rsidR="00F05715">
        <w:rPr>
          <w:szCs w:val="26"/>
        </w:rPr>
        <w:t xml:space="preserve"> earlier</w:t>
      </w:r>
      <w:r w:rsidRPr="00302164" w:rsidR="00FE219B">
        <w:rPr>
          <w:szCs w:val="26"/>
        </w:rPr>
        <w:t xml:space="preserve">, </w:t>
      </w:r>
      <w:r w:rsidRPr="00302164" w:rsidR="00FE219B">
        <w:rPr>
          <w:i/>
          <w:iCs/>
          <w:szCs w:val="26"/>
        </w:rPr>
        <w:t>Bird</w:t>
      </w:r>
      <w:r w:rsidRPr="00302164" w:rsidR="00FE219B">
        <w:rPr>
          <w:szCs w:val="26"/>
        </w:rPr>
        <w:t xml:space="preserve"> was </w:t>
      </w:r>
      <w:r w:rsidRPr="00302164">
        <w:rPr>
          <w:szCs w:val="26"/>
        </w:rPr>
        <w:t xml:space="preserve">a </w:t>
      </w:r>
      <w:r w:rsidRPr="00302164" w:rsidR="00295F8F">
        <w:rPr>
          <w:szCs w:val="26"/>
        </w:rPr>
        <w:t xml:space="preserve">medical malpractice </w:t>
      </w:r>
      <w:r w:rsidRPr="00302164">
        <w:rPr>
          <w:szCs w:val="26"/>
        </w:rPr>
        <w:t xml:space="preserve">case brought </w:t>
      </w:r>
      <w:r w:rsidRPr="00302164" w:rsidR="00DC322D">
        <w:rPr>
          <w:szCs w:val="26"/>
        </w:rPr>
        <w:t xml:space="preserve">by </w:t>
      </w:r>
      <w:r w:rsidRPr="00302164" w:rsidR="00F75DFB">
        <w:rPr>
          <w:szCs w:val="26"/>
        </w:rPr>
        <w:t>the children of a cancer patient who had sustained damage to her artery during surgery.  The</w:t>
      </w:r>
      <w:r w:rsidRPr="00302164" w:rsidR="00687B83">
        <w:rPr>
          <w:szCs w:val="26"/>
        </w:rPr>
        <w:t xml:space="preserve"> plaintiffs</w:t>
      </w:r>
      <w:r w:rsidRPr="00302164" w:rsidR="00F75DFB">
        <w:rPr>
          <w:szCs w:val="26"/>
        </w:rPr>
        <w:t xml:space="preserve"> sought damages for the emotional </w:t>
      </w:r>
      <w:r w:rsidRPr="00302164" w:rsidR="00A94228">
        <w:rPr>
          <w:szCs w:val="26"/>
        </w:rPr>
        <w:t xml:space="preserve">trauma </w:t>
      </w:r>
      <w:r w:rsidRPr="00302164" w:rsidR="00F75DFB">
        <w:rPr>
          <w:szCs w:val="26"/>
        </w:rPr>
        <w:t>they experienced as a result of seeing their mother’s physical distress, which they alleged had resulted from physicians’ negligent transection of her artery during surgery and the</w:t>
      </w:r>
      <w:r w:rsidRPr="00302164" w:rsidR="00687B83">
        <w:rPr>
          <w:szCs w:val="26"/>
        </w:rPr>
        <w:t xml:space="preserve"> physicians’</w:t>
      </w:r>
      <w:r w:rsidRPr="00302164" w:rsidR="00F75DFB">
        <w:rPr>
          <w:szCs w:val="26"/>
        </w:rPr>
        <w:t xml:space="preserve"> failure to </w:t>
      </w:r>
      <w:r w:rsidRPr="00302164" w:rsidR="00687B83">
        <w:rPr>
          <w:szCs w:val="26"/>
        </w:rPr>
        <w:t xml:space="preserve">immediately </w:t>
      </w:r>
      <w:r w:rsidRPr="00302164" w:rsidR="00F75DFB">
        <w:rPr>
          <w:szCs w:val="26"/>
        </w:rPr>
        <w:t>diagnose and treat the damaged artery</w:t>
      </w:r>
      <w:r w:rsidRPr="00302164" w:rsidR="00687B83">
        <w:rPr>
          <w:szCs w:val="26"/>
        </w:rPr>
        <w:t xml:space="preserve"> thereafter</w:t>
      </w:r>
      <w:r w:rsidRPr="00302164" w:rsidR="00F75DFB">
        <w:rPr>
          <w:szCs w:val="26"/>
        </w:rPr>
        <w:t>.  (</w:t>
      </w:r>
      <w:r w:rsidRPr="00302164" w:rsidR="006F5944">
        <w:rPr>
          <w:i/>
          <w:iCs/>
          <w:szCs w:val="26"/>
        </w:rPr>
        <w:t>Id.</w:t>
      </w:r>
      <w:r w:rsidRPr="00302164" w:rsidR="00F75DFB">
        <w:rPr>
          <w:i/>
          <w:iCs/>
          <w:szCs w:val="26"/>
        </w:rPr>
        <w:t xml:space="preserve"> </w:t>
      </w:r>
      <w:r w:rsidRPr="00302164" w:rsidR="00F75DFB">
        <w:rPr>
          <w:szCs w:val="26"/>
        </w:rPr>
        <w:t xml:space="preserve">at p. 917.)  We concluded that the plaintiffs could not recover for </w:t>
      </w:r>
      <w:r w:rsidRPr="00302164" w:rsidR="006F5C9E">
        <w:rPr>
          <w:szCs w:val="26"/>
        </w:rPr>
        <w:t xml:space="preserve">emotional distress caused by the transection of the artery because they were not in the operating room to witness it.  </w:t>
      </w:r>
      <w:r w:rsidRPr="00302164" w:rsidR="00F75DFB">
        <w:rPr>
          <w:szCs w:val="26"/>
        </w:rPr>
        <w:t>(</w:t>
      </w:r>
      <w:r w:rsidRPr="00302164" w:rsidR="00F75DFB">
        <w:rPr>
          <w:i/>
          <w:iCs/>
          <w:szCs w:val="26"/>
        </w:rPr>
        <w:t>Id</w:t>
      </w:r>
      <w:r w:rsidRPr="00302164" w:rsidR="00F75DFB">
        <w:rPr>
          <w:szCs w:val="26"/>
        </w:rPr>
        <w:t xml:space="preserve">. at pp. 916–917, 921–922.)  </w:t>
      </w:r>
      <w:r w:rsidRPr="00302164" w:rsidR="00A94228">
        <w:rPr>
          <w:szCs w:val="26"/>
        </w:rPr>
        <w:t xml:space="preserve">Nor could they recover for emotional distress caused by </w:t>
      </w:r>
      <w:r w:rsidRPr="00302164" w:rsidR="00F75DFB">
        <w:rPr>
          <w:szCs w:val="26"/>
        </w:rPr>
        <w:t xml:space="preserve">the physicians’ alleged failure to </w:t>
      </w:r>
      <w:r w:rsidRPr="00302164" w:rsidR="00A94228">
        <w:rPr>
          <w:szCs w:val="26"/>
        </w:rPr>
        <w:t xml:space="preserve">immediately </w:t>
      </w:r>
      <w:r w:rsidRPr="00302164" w:rsidR="00F75DFB">
        <w:rPr>
          <w:szCs w:val="26"/>
        </w:rPr>
        <w:t>diagnose and treat the damaged artery because “plaintiffs could not meaningfully have perceived any such failure.”  (</w:t>
      </w:r>
      <w:r w:rsidRPr="00302164" w:rsidR="00F75DFB">
        <w:rPr>
          <w:i/>
          <w:iCs/>
          <w:szCs w:val="26"/>
        </w:rPr>
        <w:t>Id.</w:t>
      </w:r>
      <w:r w:rsidRPr="00302164" w:rsidR="00F75DFB">
        <w:rPr>
          <w:szCs w:val="26"/>
        </w:rPr>
        <w:t xml:space="preserve"> at p.</w:t>
      </w:r>
      <w:r w:rsidRPr="00302164" w:rsidR="00337A84">
        <w:rPr>
          <w:szCs w:val="26"/>
        </w:rPr>
        <w:t> </w:t>
      </w:r>
      <w:r w:rsidRPr="00302164" w:rsidR="00F75DFB">
        <w:rPr>
          <w:szCs w:val="26"/>
        </w:rPr>
        <w:t xml:space="preserve">917.)  </w:t>
      </w:r>
    </w:p>
    <w:p w:rsidR="00DA189E" w:rsidRPr="00302164" w:rsidP="00302164" w14:paraId="45DCD996" w14:textId="47F79A19">
      <w:pPr>
        <w:tabs>
          <w:tab w:val="left" w:pos="1440"/>
        </w:tabs>
        <w:ind w:firstLine="720"/>
        <w:rPr>
          <w:szCs w:val="26"/>
        </w:rPr>
      </w:pPr>
      <w:r w:rsidRPr="00302164">
        <w:rPr>
          <w:szCs w:val="26"/>
        </w:rPr>
        <w:t xml:space="preserve">We observed </w:t>
      </w:r>
      <w:r w:rsidRPr="00302164" w:rsidR="005F5F84">
        <w:rPr>
          <w:szCs w:val="26"/>
        </w:rPr>
        <w:t xml:space="preserve">that both before and </w:t>
      </w:r>
      <w:r w:rsidRPr="00302164">
        <w:rPr>
          <w:szCs w:val="26"/>
        </w:rPr>
        <w:t xml:space="preserve">after </w:t>
      </w:r>
      <w:r w:rsidRPr="00302164">
        <w:rPr>
          <w:i/>
          <w:iCs/>
          <w:szCs w:val="26"/>
        </w:rPr>
        <w:t>Thing</w:t>
      </w:r>
      <w:r w:rsidRPr="00302164">
        <w:rPr>
          <w:szCs w:val="26"/>
        </w:rPr>
        <w:t>, courts considering bystander emotional distress claims “based on alleged medical negligence . . . have not found a layperson’s observation of medical procedures to satisfy the requirement of contemporary awareness of the injury-producing event.”  (</w:t>
      </w:r>
      <w:r w:rsidRPr="00302164">
        <w:rPr>
          <w:i/>
          <w:iCs/>
          <w:szCs w:val="26"/>
        </w:rPr>
        <w:t>Bird</w:t>
      </w:r>
      <w:r w:rsidRPr="00302164">
        <w:rPr>
          <w:szCs w:val="26"/>
        </w:rPr>
        <w:t xml:space="preserve">, </w:t>
      </w:r>
      <w:r w:rsidRPr="00302164" w:rsidR="006E76BF">
        <w:rPr>
          <w:i/>
          <w:iCs/>
          <w:szCs w:val="26"/>
        </w:rPr>
        <w:t>supra</w:t>
      </w:r>
      <w:r w:rsidRPr="00302164" w:rsidR="006E76BF">
        <w:rPr>
          <w:szCs w:val="26"/>
        </w:rPr>
        <w:t>, 28</w:t>
      </w:r>
      <w:r w:rsidR="0007686B">
        <w:rPr>
          <w:szCs w:val="26"/>
        </w:rPr>
        <w:t> </w:t>
      </w:r>
      <w:r w:rsidRPr="00302164" w:rsidR="006E76BF">
        <w:rPr>
          <w:szCs w:val="26"/>
        </w:rPr>
        <w:t xml:space="preserve">Cal.4th </w:t>
      </w:r>
      <w:r w:rsidRPr="00302164">
        <w:rPr>
          <w:szCs w:val="26"/>
        </w:rPr>
        <w:t>at pp. 917–9</w:t>
      </w:r>
      <w:r w:rsidRPr="00302164" w:rsidR="00DC322D">
        <w:rPr>
          <w:szCs w:val="26"/>
        </w:rPr>
        <w:t xml:space="preserve">18; see </w:t>
      </w:r>
      <w:r w:rsidRPr="00302164" w:rsidR="00DC322D">
        <w:rPr>
          <w:i/>
          <w:iCs/>
          <w:szCs w:val="26"/>
        </w:rPr>
        <w:t>id.</w:t>
      </w:r>
      <w:r w:rsidRPr="00302164" w:rsidR="00DC322D">
        <w:rPr>
          <w:szCs w:val="26"/>
        </w:rPr>
        <w:t xml:space="preserve"> at pp. 917–921</w:t>
      </w:r>
      <w:r w:rsidRPr="00302164">
        <w:rPr>
          <w:szCs w:val="26"/>
        </w:rPr>
        <w:t>.)</w:t>
      </w:r>
      <w:r>
        <w:rPr>
          <w:rStyle w:val="FootnoteReference"/>
          <w:szCs w:val="26"/>
        </w:rPr>
        <w:footnoteReference w:id="8"/>
      </w:r>
      <w:r w:rsidRPr="00302164">
        <w:rPr>
          <w:szCs w:val="26"/>
        </w:rPr>
        <w:t xml:space="preserve">  </w:t>
      </w:r>
      <w:r w:rsidRPr="00302164" w:rsidR="00CA7DF9">
        <w:rPr>
          <w:szCs w:val="26"/>
        </w:rPr>
        <w:t>W</w:t>
      </w:r>
      <w:r w:rsidRPr="00302164">
        <w:rPr>
          <w:szCs w:val="26"/>
        </w:rPr>
        <w:t xml:space="preserve">e drew on </w:t>
      </w:r>
      <w:r w:rsidRPr="00302164">
        <w:rPr>
          <w:i/>
          <w:iCs/>
          <w:szCs w:val="26"/>
        </w:rPr>
        <w:t>Golstein v. Superior Court</w:t>
      </w:r>
      <w:r w:rsidRPr="00302164">
        <w:rPr>
          <w:szCs w:val="26"/>
        </w:rPr>
        <w:t xml:space="preserve"> (1990) 223</w:t>
      </w:r>
      <w:r w:rsidR="0007686B">
        <w:rPr>
          <w:szCs w:val="26"/>
        </w:rPr>
        <w:t> </w:t>
      </w:r>
      <w:r w:rsidRPr="00302164">
        <w:rPr>
          <w:szCs w:val="26"/>
        </w:rPr>
        <w:t>Cal.App.3d 1415 (</w:t>
      </w:r>
      <w:r w:rsidRPr="00302164">
        <w:rPr>
          <w:i/>
          <w:iCs/>
          <w:szCs w:val="26"/>
        </w:rPr>
        <w:t>Golstein</w:t>
      </w:r>
      <w:r w:rsidRPr="00302164">
        <w:rPr>
          <w:szCs w:val="26"/>
        </w:rPr>
        <w:t>) as “[t]he leading case on point.”  (</w:t>
      </w:r>
      <w:r w:rsidRPr="00302164">
        <w:rPr>
          <w:i/>
          <w:iCs/>
          <w:szCs w:val="26"/>
        </w:rPr>
        <w:t>Bird</w:t>
      </w:r>
      <w:r w:rsidRPr="00302164">
        <w:rPr>
          <w:szCs w:val="26"/>
        </w:rPr>
        <w:t>, at p.</w:t>
      </w:r>
      <w:r w:rsidRPr="00302164" w:rsidR="00337A84">
        <w:rPr>
          <w:szCs w:val="26"/>
        </w:rPr>
        <w:t> </w:t>
      </w:r>
      <w:r w:rsidRPr="00302164">
        <w:rPr>
          <w:szCs w:val="26"/>
        </w:rPr>
        <w:t xml:space="preserve">918.)  In </w:t>
      </w:r>
      <w:r w:rsidRPr="00302164">
        <w:rPr>
          <w:i/>
          <w:iCs/>
          <w:szCs w:val="26"/>
        </w:rPr>
        <w:t>Golstein</w:t>
      </w:r>
      <w:r w:rsidRPr="00302164">
        <w:rPr>
          <w:szCs w:val="26"/>
        </w:rPr>
        <w:t xml:space="preserve">, the plaintiffs were parents who had watched their son, who was being treated for a curable cancer, receive </w:t>
      </w:r>
      <w:r w:rsidRPr="00302164" w:rsidR="00326BD8">
        <w:rPr>
          <w:szCs w:val="26"/>
        </w:rPr>
        <w:t xml:space="preserve">what turned out to be </w:t>
      </w:r>
      <w:r w:rsidRPr="00302164">
        <w:rPr>
          <w:szCs w:val="26"/>
        </w:rPr>
        <w:t>a lethal dose of radiation during radiation therapy</w:t>
      </w:r>
      <w:r w:rsidRPr="00302164" w:rsidR="00326BD8">
        <w:rPr>
          <w:szCs w:val="26"/>
        </w:rPr>
        <w:t xml:space="preserve">.  </w:t>
      </w:r>
      <w:r w:rsidRPr="00302164">
        <w:rPr>
          <w:szCs w:val="26"/>
        </w:rPr>
        <w:t>Although they had observed the procedure,</w:t>
      </w:r>
      <w:r w:rsidRPr="00302164" w:rsidR="00D52FF1">
        <w:rPr>
          <w:szCs w:val="26"/>
        </w:rPr>
        <w:t xml:space="preserve"> they did not then realize that it was inflicting what would prove to be fatal harm.  The Court of Appeal in </w:t>
      </w:r>
      <w:r w:rsidRPr="00302164" w:rsidR="00D52FF1">
        <w:rPr>
          <w:i/>
          <w:iCs/>
          <w:szCs w:val="26"/>
        </w:rPr>
        <w:t>Golstein</w:t>
      </w:r>
      <w:r w:rsidRPr="00302164" w:rsidR="00D52FF1">
        <w:rPr>
          <w:szCs w:val="26"/>
        </w:rPr>
        <w:t xml:space="preserve"> denied recovery, reasoning that </w:t>
      </w:r>
      <w:r w:rsidRPr="00302164">
        <w:rPr>
          <w:szCs w:val="26"/>
        </w:rPr>
        <w:t xml:space="preserve">“understanding perception of the injury-causing event is an essential component of </w:t>
      </w:r>
      <w:r w:rsidRPr="00302164">
        <w:rPr>
          <w:i/>
          <w:iCs/>
          <w:szCs w:val="26"/>
        </w:rPr>
        <w:t>Dillon</w:t>
      </w:r>
      <w:r w:rsidRPr="00302164">
        <w:rPr>
          <w:szCs w:val="26"/>
        </w:rPr>
        <w:t xml:space="preserve"> recovery.  In the case of an event which cannot be perceived, distress recovery is not allowed.”  (</w:t>
      </w:r>
      <w:r w:rsidRPr="00302164">
        <w:rPr>
          <w:i/>
          <w:iCs/>
          <w:szCs w:val="26"/>
        </w:rPr>
        <w:t>Golstein</w:t>
      </w:r>
      <w:r w:rsidRPr="00302164">
        <w:rPr>
          <w:szCs w:val="26"/>
        </w:rPr>
        <w:t>, at p. 1427</w:t>
      </w:r>
      <w:r w:rsidRPr="00302164" w:rsidR="008F4A1F">
        <w:rPr>
          <w:szCs w:val="26"/>
        </w:rPr>
        <w:t xml:space="preserve">; </w:t>
      </w:r>
      <w:r w:rsidRPr="00302164" w:rsidR="006E76BF">
        <w:rPr>
          <w:szCs w:val="26"/>
        </w:rPr>
        <w:t xml:space="preserve">accord, </w:t>
      </w:r>
      <w:r w:rsidRPr="00302164" w:rsidR="008F4A1F">
        <w:rPr>
          <w:i/>
          <w:iCs/>
          <w:szCs w:val="26"/>
        </w:rPr>
        <w:t>Bird</w:t>
      </w:r>
      <w:r w:rsidRPr="00302164" w:rsidR="008F4A1F">
        <w:rPr>
          <w:szCs w:val="26"/>
        </w:rPr>
        <w:t>, at p.</w:t>
      </w:r>
      <w:r w:rsidRPr="00302164" w:rsidR="00337A84">
        <w:rPr>
          <w:szCs w:val="26"/>
        </w:rPr>
        <w:t> </w:t>
      </w:r>
      <w:r w:rsidRPr="00302164" w:rsidR="008F4A1F">
        <w:rPr>
          <w:szCs w:val="26"/>
        </w:rPr>
        <w:t>918.</w:t>
      </w:r>
      <w:r w:rsidRPr="00302164">
        <w:rPr>
          <w:szCs w:val="26"/>
        </w:rPr>
        <w:t xml:space="preserve">)  </w:t>
      </w:r>
      <w:r w:rsidRPr="00302164" w:rsidR="00317105">
        <w:rPr>
          <w:szCs w:val="26"/>
        </w:rPr>
        <w:t xml:space="preserve">We also cited </w:t>
      </w:r>
      <w:r w:rsidRPr="00302164" w:rsidR="00DC398F">
        <w:rPr>
          <w:szCs w:val="26"/>
        </w:rPr>
        <w:t xml:space="preserve">with approval </w:t>
      </w:r>
      <w:r w:rsidRPr="00302164" w:rsidR="00317105">
        <w:rPr>
          <w:i/>
          <w:iCs/>
          <w:szCs w:val="26"/>
        </w:rPr>
        <w:t>Wright v. City of Los Angeles</w:t>
      </w:r>
      <w:r w:rsidRPr="00302164" w:rsidR="00317105">
        <w:rPr>
          <w:szCs w:val="26"/>
        </w:rPr>
        <w:t xml:space="preserve"> (1990) 219</w:t>
      </w:r>
      <w:r w:rsidR="0007686B">
        <w:rPr>
          <w:szCs w:val="26"/>
        </w:rPr>
        <w:t> </w:t>
      </w:r>
      <w:r w:rsidRPr="00302164" w:rsidR="00317105">
        <w:rPr>
          <w:szCs w:val="26"/>
        </w:rPr>
        <w:t xml:space="preserve">Cal.App.3d 318, </w:t>
      </w:r>
      <w:r w:rsidRPr="00302164" w:rsidR="00DC398F">
        <w:rPr>
          <w:szCs w:val="26"/>
        </w:rPr>
        <w:t>where “a relative who watched a paramedic conduct a cursory medical examination that failed to detect signs of sickle cell shock was permitted to sue for wrongful death but not for [negligent infliction of emotional distress].”  (</w:t>
      </w:r>
      <w:r w:rsidRPr="00302164" w:rsidR="00DC398F">
        <w:rPr>
          <w:i/>
          <w:iCs/>
          <w:szCs w:val="26"/>
        </w:rPr>
        <w:t>Bird</w:t>
      </w:r>
      <w:r w:rsidRPr="00302164" w:rsidR="00DC398F">
        <w:rPr>
          <w:szCs w:val="26"/>
        </w:rPr>
        <w:t xml:space="preserve">, at p. 919.)  “While the relative was ‘present at the scene at the time the injury-producing event occurred,’ there was no evidence ‘he was </w:t>
      </w:r>
      <w:r w:rsidRPr="00302164" w:rsidR="00DC398F">
        <w:rPr>
          <w:i/>
          <w:iCs/>
          <w:szCs w:val="26"/>
        </w:rPr>
        <w:t>then</w:t>
      </w:r>
      <w:r w:rsidRPr="00302164" w:rsidR="00DC398F">
        <w:rPr>
          <w:szCs w:val="26"/>
        </w:rPr>
        <w:t xml:space="preserve"> aware [that the decedent] was being injured by [the paramedic’s] negligent conduct.’ ”  (</w:t>
      </w:r>
      <w:r w:rsidRPr="00302164" w:rsidR="00DC398F">
        <w:rPr>
          <w:i/>
          <w:iCs/>
          <w:szCs w:val="26"/>
        </w:rPr>
        <w:t>Ibid</w:t>
      </w:r>
      <w:r w:rsidRPr="00302164" w:rsidR="00702F26">
        <w:rPr>
          <w:i/>
          <w:iCs/>
          <w:szCs w:val="26"/>
        </w:rPr>
        <w:t>.</w:t>
      </w:r>
      <w:r w:rsidRPr="00302164" w:rsidR="00DC398F">
        <w:rPr>
          <w:szCs w:val="26"/>
        </w:rPr>
        <w:t xml:space="preserve">, quoting </w:t>
      </w:r>
      <w:r w:rsidRPr="00302164" w:rsidR="00DC398F">
        <w:rPr>
          <w:i/>
          <w:iCs/>
          <w:szCs w:val="26"/>
        </w:rPr>
        <w:t>Wright</w:t>
      </w:r>
      <w:r w:rsidRPr="00302164" w:rsidR="00DC398F">
        <w:rPr>
          <w:szCs w:val="26"/>
        </w:rPr>
        <w:t>, at p.</w:t>
      </w:r>
      <w:r w:rsidRPr="00302164" w:rsidR="00337A84">
        <w:rPr>
          <w:szCs w:val="26"/>
        </w:rPr>
        <w:t> </w:t>
      </w:r>
      <w:r w:rsidRPr="00302164" w:rsidR="00DC398F">
        <w:rPr>
          <w:szCs w:val="26"/>
        </w:rPr>
        <w:t xml:space="preserve">350.)  </w:t>
      </w:r>
    </w:p>
    <w:p w:rsidR="009F19D0" w:rsidRPr="00302164" w:rsidP="00302164" w14:paraId="2CFA8EDC" w14:textId="2B0FE0BC">
      <w:pPr>
        <w:tabs>
          <w:tab w:val="left" w:pos="1440"/>
        </w:tabs>
        <w:ind w:firstLine="720"/>
        <w:rPr>
          <w:szCs w:val="26"/>
        </w:rPr>
      </w:pPr>
      <w:r w:rsidRPr="00302164">
        <w:rPr>
          <w:szCs w:val="26"/>
        </w:rPr>
        <w:t xml:space="preserve">We explained that, as </w:t>
      </w:r>
      <w:r w:rsidRPr="00302164">
        <w:rPr>
          <w:i/>
          <w:iCs/>
          <w:szCs w:val="26"/>
        </w:rPr>
        <w:t>Golstein</w:t>
      </w:r>
      <w:r w:rsidRPr="00302164" w:rsidR="006E76BF">
        <w:rPr>
          <w:i/>
          <w:iCs/>
          <w:szCs w:val="26"/>
        </w:rPr>
        <w:t xml:space="preserve"> </w:t>
      </w:r>
      <w:r w:rsidRPr="00302164" w:rsidR="001840D3">
        <w:rPr>
          <w:szCs w:val="26"/>
        </w:rPr>
        <w:t>and other medical malpractice cases</w:t>
      </w:r>
      <w:r w:rsidRPr="00302164" w:rsidR="00317105">
        <w:rPr>
          <w:szCs w:val="26"/>
        </w:rPr>
        <w:t xml:space="preserve"> </w:t>
      </w:r>
      <w:r w:rsidRPr="00302164">
        <w:rPr>
          <w:szCs w:val="26"/>
        </w:rPr>
        <w:t xml:space="preserve">illustrated, </w:t>
      </w:r>
      <w:r w:rsidRPr="00302164" w:rsidR="000B5D37">
        <w:rPr>
          <w:szCs w:val="26"/>
        </w:rPr>
        <w:t xml:space="preserve">recovery for negligent infliction of emotional distress in </w:t>
      </w:r>
      <w:r w:rsidRPr="00302164" w:rsidR="008F147A">
        <w:rPr>
          <w:szCs w:val="26"/>
        </w:rPr>
        <w:t xml:space="preserve">such </w:t>
      </w:r>
      <w:r w:rsidRPr="00302164" w:rsidR="000B5D37">
        <w:rPr>
          <w:szCs w:val="26"/>
        </w:rPr>
        <w:t xml:space="preserve">cases will be </w:t>
      </w:r>
      <w:r w:rsidRPr="00302164" w:rsidR="00915903">
        <w:rPr>
          <w:szCs w:val="26"/>
        </w:rPr>
        <w:t>available</w:t>
      </w:r>
      <w:r w:rsidRPr="00302164" w:rsidR="000B5D37">
        <w:rPr>
          <w:szCs w:val="26"/>
        </w:rPr>
        <w:t xml:space="preserve"> only rarely becaus</w:t>
      </w:r>
      <w:r w:rsidRPr="00302164" w:rsidR="00EE554A">
        <w:rPr>
          <w:szCs w:val="26"/>
        </w:rPr>
        <w:t xml:space="preserve">e </w:t>
      </w:r>
      <w:r w:rsidRPr="00302164" w:rsidR="000B5D37">
        <w:rPr>
          <w:szCs w:val="26"/>
        </w:rPr>
        <w:t xml:space="preserve">even a plaintiff present during the medical treatment of a close relative </w:t>
      </w:r>
      <w:r w:rsidRPr="00302164" w:rsidR="00EE554A">
        <w:rPr>
          <w:szCs w:val="26"/>
        </w:rPr>
        <w:t xml:space="preserve">generally </w:t>
      </w:r>
      <w:r w:rsidRPr="00302164" w:rsidR="000B5D37">
        <w:rPr>
          <w:szCs w:val="26"/>
        </w:rPr>
        <w:t>will not be able to show a contemporaneous awareness that a physician’s allegedly negligent conduct is causing harm</w:t>
      </w:r>
      <w:r w:rsidRPr="00302164" w:rsidR="0064209F">
        <w:rPr>
          <w:szCs w:val="26"/>
        </w:rPr>
        <w:t>:  “Except in the most obvious cases, a misdiagnosis is beyond the awareness of lay bystanders</w:t>
      </w:r>
      <w:r w:rsidRPr="00302164" w:rsidR="00317105">
        <w:rPr>
          <w:szCs w:val="26"/>
        </w:rPr>
        <w:t>.</w:t>
      </w:r>
      <w:r w:rsidRPr="00302164" w:rsidR="0064209F">
        <w:rPr>
          <w:szCs w:val="26"/>
        </w:rPr>
        <w:t>”</w:t>
      </w:r>
      <w:r w:rsidRPr="00302164" w:rsidR="000B5D37">
        <w:rPr>
          <w:szCs w:val="26"/>
        </w:rPr>
        <w:t xml:space="preserve">  (</w:t>
      </w:r>
      <w:r w:rsidRPr="00302164" w:rsidR="000B5D37">
        <w:rPr>
          <w:i/>
          <w:iCs/>
          <w:szCs w:val="26"/>
        </w:rPr>
        <w:t>Bird</w:t>
      </w:r>
      <w:r w:rsidRPr="00302164" w:rsidR="000B5D37">
        <w:rPr>
          <w:szCs w:val="26"/>
        </w:rPr>
        <w:t xml:space="preserve">, </w:t>
      </w:r>
      <w:r w:rsidRPr="00302164" w:rsidR="00414CB9">
        <w:rPr>
          <w:i/>
          <w:iCs/>
          <w:szCs w:val="26"/>
        </w:rPr>
        <w:t>supra</w:t>
      </w:r>
      <w:r w:rsidRPr="00302164" w:rsidR="00414CB9">
        <w:rPr>
          <w:szCs w:val="26"/>
        </w:rPr>
        <w:t>, 28</w:t>
      </w:r>
      <w:r w:rsidR="0007686B">
        <w:rPr>
          <w:szCs w:val="26"/>
        </w:rPr>
        <w:t> </w:t>
      </w:r>
      <w:r w:rsidRPr="00302164" w:rsidR="00414CB9">
        <w:rPr>
          <w:szCs w:val="26"/>
        </w:rPr>
        <w:t xml:space="preserve">Cal.4th </w:t>
      </w:r>
      <w:r w:rsidRPr="00302164" w:rsidR="000B5D37">
        <w:rPr>
          <w:szCs w:val="26"/>
        </w:rPr>
        <w:t>at p.</w:t>
      </w:r>
      <w:r w:rsidRPr="00302164" w:rsidR="00414CB9">
        <w:rPr>
          <w:szCs w:val="26"/>
        </w:rPr>
        <w:t> </w:t>
      </w:r>
      <w:r w:rsidRPr="00302164" w:rsidR="000B5D37">
        <w:rPr>
          <w:szCs w:val="26"/>
        </w:rPr>
        <w:t>917.)  Unlike catastrophic events like “ ‘an explosion, traffic accident, or electrocution,’</w:t>
      </w:r>
      <w:r w:rsidRPr="00302164" w:rsidR="00337A84">
        <w:rPr>
          <w:szCs w:val="26"/>
        </w:rPr>
        <w:t> </w:t>
      </w:r>
      <w:r w:rsidRPr="00302164" w:rsidR="000B5D37">
        <w:rPr>
          <w:szCs w:val="26"/>
        </w:rPr>
        <w:t>” negligent medical treatment is an “</w:t>
      </w:r>
      <w:r w:rsidRPr="00302164" w:rsidR="00337A84">
        <w:rPr>
          <w:szCs w:val="26"/>
        </w:rPr>
        <w:t> </w:t>
      </w:r>
      <w:r w:rsidRPr="00302164" w:rsidR="000B5D37">
        <w:rPr>
          <w:szCs w:val="26"/>
        </w:rPr>
        <w:t>‘injury-causing event’</w:t>
      </w:r>
      <w:r w:rsidRPr="00302164" w:rsidR="00337A84">
        <w:rPr>
          <w:szCs w:val="26"/>
        </w:rPr>
        <w:t> </w:t>
      </w:r>
      <w:r w:rsidRPr="00302164" w:rsidR="000B5D37">
        <w:rPr>
          <w:szCs w:val="26"/>
        </w:rPr>
        <w:t xml:space="preserve">” that, because it </w:t>
      </w:r>
      <w:r w:rsidRPr="00302164" w:rsidR="008F4A1F">
        <w:rPr>
          <w:szCs w:val="26"/>
        </w:rPr>
        <w:t xml:space="preserve">ordinarily </w:t>
      </w:r>
      <w:r w:rsidRPr="00302164" w:rsidR="000B5D37">
        <w:rPr>
          <w:szCs w:val="26"/>
        </w:rPr>
        <w:t>remains “</w:t>
      </w:r>
      <w:r w:rsidRPr="00302164" w:rsidR="00337A84">
        <w:rPr>
          <w:szCs w:val="26"/>
        </w:rPr>
        <w:t> </w:t>
      </w:r>
      <w:r w:rsidRPr="00302164" w:rsidR="000B5D37">
        <w:rPr>
          <w:szCs w:val="26"/>
        </w:rPr>
        <w:t>‘essentially invisible to the plaintiff’</w:t>
      </w:r>
      <w:r w:rsidRPr="00302164" w:rsidR="00337A84">
        <w:rPr>
          <w:szCs w:val="26"/>
        </w:rPr>
        <w:t> </w:t>
      </w:r>
      <w:r w:rsidRPr="00302164" w:rsidR="000B5D37">
        <w:rPr>
          <w:szCs w:val="26"/>
        </w:rPr>
        <w:t xml:space="preserve">” as it occurs, is not </w:t>
      </w:r>
      <w:r w:rsidRPr="00302164" w:rsidR="008F4A1F">
        <w:rPr>
          <w:szCs w:val="26"/>
        </w:rPr>
        <w:t xml:space="preserve">ordinarily </w:t>
      </w:r>
      <w:r w:rsidRPr="00302164" w:rsidR="00486D7C">
        <w:rPr>
          <w:szCs w:val="26"/>
        </w:rPr>
        <w:t>“</w:t>
      </w:r>
      <w:r w:rsidRPr="00302164" w:rsidR="00337A84">
        <w:rPr>
          <w:szCs w:val="26"/>
        </w:rPr>
        <w:t> </w:t>
      </w:r>
      <w:r w:rsidRPr="00302164" w:rsidR="00486D7C">
        <w:rPr>
          <w:szCs w:val="26"/>
        </w:rPr>
        <w:t xml:space="preserve">‘a component of her </w:t>
      </w:r>
      <w:r w:rsidRPr="00302164" w:rsidR="000B5D37">
        <w:rPr>
          <w:szCs w:val="26"/>
        </w:rPr>
        <w:t>emotional trauma.’ ”  (</w:t>
      </w:r>
      <w:r w:rsidRPr="00302164" w:rsidR="000B5D37">
        <w:rPr>
          <w:i/>
          <w:iCs/>
          <w:szCs w:val="26"/>
        </w:rPr>
        <w:t>Id.</w:t>
      </w:r>
      <w:r w:rsidRPr="00302164" w:rsidR="000B5D37">
        <w:rPr>
          <w:szCs w:val="26"/>
        </w:rPr>
        <w:t xml:space="preserve"> at p.</w:t>
      </w:r>
      <w:r w:rsidRPr="00302164" w:rsidR="00337A84">
        <w:rPr>
          <w:szCs w:val="26"/>
        </w:rPr>
        <w:t> </w:t>
      </w:r>
      <w:r w:rsidRPr="00302164" w:rsidR="000B5D37">
        <w:rPr>
          <w:szCs w:val="26"/>
        </w:rPr>
        <w:t xml:space="preserve">921, quoting </w:t>
      </w:r>
      <w:r w:rsidRPr="00302164" w:rsidR="000B5D37">
        <w:rPr>
          <w:i/>
          <w:iCs/>
          <w:szCs w:val="26"/>
        </w:rPr>
        <w:t>Golstein</w:t>
      </w:r>
      <w:r w:rsidRPr="00302164" w:rsidR="00796BD7">
        <w:rPr>
          <w:szCs w:val="26"/>
        </w:rPr>
        <w:t xml:space="preserve">, </w:t>
      </w:r>
      <w:r w:rsidRPr="00302164" w:rsidR="00796BD7">
        <w:rPr>
          <w:i/>
          <w:iCs/>
          <w:szCs w:val="26"/>
        </w:rPr>
        <w:t>supra</w:t>
      </w:r>
      <w:r w:rsidRPr="00302164" w:rsidR="00796BD7">
        <w:rPr>
          <w:szCs w:val="26"/>
        </w:rPr>
        <w:t xml:space="preserve">, </w:t>
      </w:r>
      <w:r w:rsidRPr="00302164" w:rsidR="000B5D37">
        <w:rPr>
          <w:szCs w:val="26"/>
        </w:rPr>
        <w:t>223</w:t>
      </w:r>
      <w:r w:rsidR="0007686B">
        <w:rPr>
          <w:szCs w:val="26"/>
        </w:rPr>
        <w:t> </w:t>
      </w:r>
      <w:r w:rsidRPr="00302164" w:rsidR="000B5D37">
        <w:rPr>
          <w:szCs w:val="26"/>
        </w:rPr>
        <w:t xml:space="preserve">Cal.App.3d </w:t>
      </w:r>
      <w:r w:rsidRPr="00302164" w:rsidR="00796BD7">
        <w:rPr>
          <w:szCs w:val="26"/>
        </w:rPr>
        <w:t>at p. </w:t>
      </w:r>
      <w:r w:rsidRPr="00302164" w:rsidR="000B5D37">
        <w:rPr>
          <w:szCs w:val="26"/>
        </w:rPr>
        <w:t>1423.)</w:t>
      </w:r>
      <w:r w:rsidRPr="00302164" w:rsidR="00D27392">
        <w:rPr>
          <w:szCs w:val="26"/>
        </w:rPr>
        <w:t xml:space="preserve">  </w:t>
      </w:r>
      <w:r w:rsidRPr="00302164" w:rsidR="000B5D37">
        <w:rPr>
          <w:szCs w:val="26"/>
        </w:rPr>
        <w:t>Allowing recovery for “unperceived medical errors hidden in a course of treatment</w:t>
      </w:r>
      <w:r w:rsidRPr="00302164" w:rsidR="005C12D1">
        <w:rPr>
          <w:szCs w:val="26"/>
        </w:rPr>
        <w:t>,” we explained, “</w:t>
      </w:r>
      <w:r w:rsidRPr="00302164" w:rsidR="000B5D37">
        <w:rPr>
          <w:szCs w:val="26"/>
        </w:rPr>
        <w:t xml:space="preserve">cannot be reconciled with </w:t>
      </w:r>
      <w:r w:rsidRPr="00302164" w:rsidR="000B5D37">
        <w:rPr>
          <w:i/>
          <w:iCs/>
          <w:szCs w:val="26"/>
        </w:rPr>
        <w:t>Thing</w:t>
      </w:r>
      <w:r w:rsidRPr="00302164" w:rsidR="000B5D37">
        <w:rPr>
          <w:szCs w:val="26"/>
        </w:rPr>
        <w:t>’s requirement that the plaintiff be aware of the connection between the injury-producing event and the injury.”  (</w:t>
      </w:r>
      <w:r w:rsidRPr="00302164" w:rsidR="000B5D37">
        <w:rPr>
          <w:i/>
          <w:iCs/>
          <w:szCs w:val="26"/>
        </w:rPr>
        <w:t>Bird</w:t>
      </w:r>
      <w:r w:rsidRPr="00302164" w:rsidR="000B5D37">
        <w:rPr>
          <w:szCs w:val="26"/>
        </w:rPr>
        <w:t>, at p.</w:t>
      </w:r>
      <w:r w:rsidRPr="00302164" w:rsidR="00337A84">
        <w:rPr>
          <w:szCs w:val="26"/>
        </w:rPr>
        <w:t> </w:t>
      </w:r>
      <w:r w:rsidRPr="00302164" w:rsidR="000B5D37">
        <w:rPr>
          <w:szCs w:val="26"/>
        </w:rPr>
        <w:t>921.)</w:t>
      </w:r>
    </w:p>
    <w:p w:rsidR="00D13E11" w:rsidRPr="00D13E11" w:rsidP="00302164" w14:paraId="6C74C954" w14:textId="5B1DA399">
      <w:pPr>
        <w:keepNext/>
        <w:tabs>
          <w:tab w:val="left" w:pos="720"/>
        </w:tabs>
      </w:pPr>
      <w:r w:rsidRPr="00302164">
        <w:rPr>
          <w:szCs w:val="26"/>
        </w:rPr>
        <w:tab/>
      </w:r>
      <w:r w:rsidRPr="00302164" w:rsidR="007A614B">
        <w:rPr>
          <w:i/>
          <w:iCs/>
          <w:szCs w:val="26"/>
        </w:rPr>
        <w:t>Bird</w:t>
      </w:r>
      <w:r w:rsidRPr="00302164" w:rsidR="007A614B">
        <w:rPr>
          <w:szCs w:val="26"/>
        </w:rPr>
        <w:t xml:space="preserve"> </w:t>
      </w:r>
      <w:r w:rsidRPr="00302164" w:rsidR="000738FF">
        <w:rPr>
          <w:szCs w:val="26"/>
        </w:rPr>
        <w:t xml:space="preserve">clearly </w:t>
      </w:r>
      <w:r w:rsidRPr="00302164" w:rsidR="007A614B">
        <w:rPr>
          <w:szCs w:val="26"/>
        </w:rPr>
        <w:t xml:space="preserve">settled this much:  There </w:t>
      </w:r>
      <w:r w:rsidRPr="00302164" w:rsidR="0076439C">
        <w:rPr>
          <w:szCs w:val="26"/>
        </w:rPr>
        <w:t xml:space="preserve">can be </w:t>
      </w:r>
      <w:r w:rsidRPr="00302164" w:rsidR="007A614B">
        <w:rPr>
          <w:szCs w:val="26"/>
        </w:rPr>
        <w:t xml:space="preserve">no recovery for emotional distress caused by </w:t>
      </w:r>
      <w:r w:rsidRPr="00302164" w:rsidR="00AB0D0B">
        <w:rPr>
          <w:szCs w:val="26"/>
        </w:rPr>
        <w:t xml:space="preserve">the </w:t>
      </w:r>
      <w:r w:rsidRPr="00302164" w:rsidR="007A614B">
        <w:rPr>
          <w:szCs w:val="26"/>
        </w:rPr>
        <w:t xml:space="preserve">negligent </w:t>
      </w:r>
      <w:r w:rsidRPr="00302164" w:rsidR="00AB0D0B">
        <w:rPr>
          <w:szCs w:val="26"/>
        </w:rPr>
        <w:t xml:space="preserve">infliction of injury on a third party </w:t>
      </w:r>
      <w:r w:rsidRPr="00302164" w:rsidR="007A614B">
        <w:rPr>
          <w:szCs w:val="26"/>
        </w:rPr>
        <w:t xml:space="preserve">unless the plaintiff contemporaneously understands that the injury-causing event is in fact </w:t>
      </w:r>
      <w:r w:rsidRPr="00302164" w:rsidR="008A53B3">
        <w:rPr>
          <w:szCs w:val="26"/>
        </w:rPr>
        <w:t>causing injury</w:t>
      </w:r>
      <w:r w:rsidRPr="00302164" w:rsidR="003256A4">
        <w:rPr>
          <w:szCs w:val="26"/>
        </w:rPr>
        <w:t xml:space="preserve"> to the victim</w:t>
      </w:r>
      <w:r w:rsidRPr="00302164" w:rsidR="00DC0A99">
        <w:rPr>
          <w:szCs w:val="26"/>
        </w:rPr>
        <w:t>.</w:t>
      </w:r>
      <w:r w:rsidRPr="00302164" w:rsidR="00411E49">
        <w:rPr>
          <w:szCs w:val="26"/>
        </w:rPr>
        <w:t xml:space="preserve">  </w:t>
      </w:r>
      <w:r w:rsidRPr="00302164" w:rsidR="009D03DC">
        <w:rPr>
          <w:szCs w:val="26"/>
        </w:rPr>
        <w:t xml:space="preserve">As the Court of Appeal </w:t>
      </w:r>
      <w:r w:rsidR="006F7A08">
        <w:rPr>
          <w:szCs w:val="26"/>
        </w:rPr>
        <w:t xml:space="preserve">majority </w:t>
      </w:r>
      <w:r w:rsidRPr="00302164" w:rsidR="009D03DC">
        <w:rPr>
          <w:szCs w:val="26"/>
        </w:rPr>
        <w:t xml:space="preserve">noted, however, </w:t>
      </w:r>
      <w:r w:rsidRPr="00302164" w:rsidR="00411E49">
        <w:rPr>
          <w:szCs w:val="26"/>
        </w:rPr>
        <w:t xml:space="preserve">at various places </w:t>
      </w:r>
      <w:r w:rsidRPr="00302164" w:rsidR="009D03DC">
        <w:rPr>
          <w:i/>
          <w:iCs/>
          <w:szCs w:val="26"/>
        </w:rPr>
        <w:t>Bird</w:t>
      </w:r>
      <w:r w:rsidRPr="00302164" w:rsidR="009D03DC">
        <w:rPr>
          <w:szCs w:val="26"/>
        </w:rPr>
        <w:t xml:space="preserve"> </w:t>
      </w:r>
      <w:r w:rsidRPr="00302164" w:rsidR="00113783">
        <w:rPr>
          <w:szCs w:val="26"/>
        </w:rPr>
        <w:t xml:space="preserve">suggests </w:t>
      </w:r>
      <w:r w:rsidRPr="00302164" w:rsidR="00383490">
        <w:rPr>
          <w:szCs w:val="26"/>
        </w:rPr>
        <w:t>that the focal point of this inquiry is</w:t>
      </w:r>
      <w:r w:rsidRPr="00302164" w:rsidR="00411E49">
        <w:rPr>
          <w:szCs w:val="26"/>
        </w:rPr>
        <w:t>, more specifically,</w:t>
      </w:r>
      <w:r w:rsidRPr="00302164" w:rsidR="00383490">
        <w:rPr>
          <w:szCs w:val="26"/>
        </w:rPr>
        <w:t xml:space="preserve"> on the </w:t>
      </w:r>
      <w:r w:rsidRPr="00302164" w:rsidR="00C73DCC">
        <w:rPr>
          <w:szCs w:val="26"/>
        </w:rPr>
        <w:t xml:space="preserve">tortious </w:t>
      </w:r>
      <w:r w:rsidRPr="00302164" w:rsidR="00104175">
        <w:rPr>
          <w:szCs w:val="26"/>
        </w:rPr>
        <w:t>act causing the injury</w:t>
      </w:r>
      <w:r w:rsidRPr="00302164" w:rsidR="00411E49">
        <w:rPr>
          <w:szCs w:val="26"/>
        </w:rPr>
        <w:t>.  (</w:t>
      </w:r>
      <w:r w:rsidRPr="00302164" w:rsidR="00411E49">
        <w:rPr>
          <w:i/>
          <w:iCs/>
          <w:szCs w:val="26"/>
        </w:rPr>
        <w:t>Downey</w:t>
      </w:r>
      <w:r w:rsidRPr="00302164" w:rsidR="00411E49">
        <w:rPr>
          <w:szCs w:val="26"/>
        </w:rPr>
        <w:t xml:space="preserve">, </w:t>
      </w:r>
      <w:r w:rsidRPr="00302164" w:rsidR="00411E49">
        <w:rPr>
          <w:i/>
          <w:iCs/>
          <w:szCs w:val="26"/>
        </w:rPr>
        <w:t>supra</w:t>
      </w:r>
      <w:r w:rsidRPr="00302164" w:rsidR="00411E49">
        <w:rPr>
          <w:szCs w:val="26"/>
        </w:rPr>
        <w:t>, 90</w:t>
      </w:r>
      <w:r w:rsidR="0007686B">
        <w:rPr>
          <w:szCs w:val="26"/>
        </w:rPr>
        <w:t> </w:t>
      </w:r>
      <w:r w:rsidRPr="00302164" w:rsidR="00411E49">
        <w:rPr>
          <w:szCs w:val="26"/>
        </w:rPr>
        <w:t>Cal.App.5th at p.</w:t>
      </w:r>
      <w:r w:rsidRPr="00302164" w:rsidR="00337A84">
        <w:rPr>
          <w:szCs w:val="26"/>
        </w:rPr>
        <w:t> </w:t>
      </w:r>
      <w:r w:rsidRPr="00302164" w:rsidR="00411E49">
        <w:rPr>
          <w:szCs w:val="26"/>
        </w:rPr>
        <w:t xml:space="preserve">1053.)  For instance, </w:t>
      </w:r>
      <w:r w:rsidRPr="00302164" w:rsidR="00104175">
        <w:rPr>
          <w:szCs w:val="26"/>
        </w:rPr>
        <w:t xml:space="preserve">in </w:t>
      </w:r>
      <w:r w:rsidRPr="00302164" w:rsidR="00411E49">
        <w:rPr>
          <w:i/>
          <w:iCs/>
          <w:szCs w:val="26"/>
        </w:rPr>
        <w:t>Bird</w:t>
      </w:r>
      <w:r w:rsidRPr="00302164" w:rsidR="00411E49">
        <w:rPr>
          <w:szCs w:val="26"/>
        </w:rPr>
        <w:t xml:space="preserve"> </w:t>
      </w:r>
      <w:r w:rsidRPr="00302164" w:rsidR="00104175">
        <w:rPr>
          <w:szCs w:val="26"/>
        </w:rPr>
        <w:t xml:space="preserve">we quoted </w:t>
      </w:r>
      <w:r w:rsidRPr="00302164" w:rsidR="00411E49">
        <w:rPr>
          <w:szCs w:val="26"/>
        </w:rPr>
        <w:t xml:space="preserve">a passage from </w:t>
      </w:r>
      <w:r w:rsidRPr="00302164" w:rsidR="00411E49">
        <w:rPr>
          <w:i/>
          <w:iCs/>
          <w:szCs w:val="26"/>
        </w:rPr>
        <w:t>Golstein</w:t>
      </w:r>
      <w:r w:rsidRPr="00302164" w:rsidR="00411E49">
        <w:rPr>
          <w:szCs w:val="26"/>
        </w:rPr>
        <w:t xml:space="preserve"> that refers to “</w:t>
      </w:r>
      <w:r w:rsidRPr="00302164" w:rsidR="00337A84">
        <w:rPr>
          <w:szCs w:val="26"/>
        </w:rPr>
        <w:t> </w:t>
      </w:r>
      <w:r w:rsidRPr="00302164" w:rsidR="00411E49">
        <w:rPr>
          <w:szCs w:val="26"/>
        </w:rPr>
        <w:t>‘[t]he actual negligent act’</w:t>
      </w:r>
      <w:r w:rsidRPr="00302164" w:rsidR="00337A84">
        <w:rPr>
          <w:szCs w:val="26"/>
        </w:rPr>
        <w:t> </w:t>
      </w:r>
      <w:r w:rsidRPr="00302164" w:rsidR="00411E49">
        <w:rPr>
          <w:szCs w:val="26"/>
        </w:rPr>
        <w:t>” and “</w:t>
      </w:r>
      <w:r w:rsidRPr="00302164" w:rsidR="006E0839">
        <w:rPr>
          <w:szCs w:val="26"/>
        </w:rPr>
        <w:t> ‘</w:t>
      </w:r>
      <w:r w:rsidRPr="00302164" w:rsidR="00411E49">
        <w:rPr>
          <w:szCs w:val="26"/>
        </w:rPr>
        <w:t>the injury-causing event</w:t>
      </w:r>
      <w:r w:rsidRPr="00302164" w:rsidR="006E0839">
        <w:rPr>
          <w:szCs w:val="26"/>
        </w:rPr>
        <w:t>’ </w:t>
      </w:r>
      <w:r w:rsidRPr="00302164" w:rsidR="00411E49">
        <w:rPr>
          <w:szCs w:val="26"/>
        </w:rPr>
        <w:t>” interchangeably.  (</w:t>
      </w:r>
      <w:r w:rsidRPr="00302164" w:rsidR="00411E49">
        <w:rPr>
          <w:i/>
          <w:iCs/>
          <w:szCs w:val="26"/>
        </w:rPr>
        <w:t>Bird</w:t>
      </w:r>
      <w:r w:rsidRPr="00302164" w:rsidR="00411E49">
        <w:rPr>
          <w:szCs w:val="26"/>
        </w:rPr>
        <w:t xml:space="preserve">, </w:t>
      </w:r>
      <w:r w:rsidRPr="00302164" w:rsidR="00CB4DDC">
        <w:rPr>
          <w:i/>
          <w:iCs/>
          <w:szCs w:val="26"/>
        </w:rPr>
        <w:t>supra</w:t>
      </w:r>
      <w:r w:rsidRPr="00302164" w:rsidR="00CB4DDC">
        <w:rPr>
          <w:szCs w:val="26"/>
        </w:rPr>
        <w:t>, 28</w:t>
      </w:r>
      <w:r w:rsidR="0007686B">
        <w:rPr>
          <w:szCs w:val="26"/>
        </w:rPr>
        <w:t> </w:t>
      </w:r>
      <w:r w:rsidRPr="00302164" w:rsidR="00CB4DDC">
        <w:rPr>
          <w:szCs w:val="26"/>
        </w:rPr>
        <w:t xml:space="preserve">Cal.4th </w:t>
      </w:r>
      <w:r w:rsidRPr="00302164" w:rsidR="00411E49">
        <w:rPr>
          <w:szCs w:val="26"/>
        </w:rPr>
        <w:t>at p.</w:t>
      </w:r>
      <w:r w:rsidRPr="00302164" w:rsidR="00337A84">
        <w:rPr>
          <w:szCs w:val="26"/>
        </w:rPr>
        <w:t> </w:t>
      </w:r>
      <w:r w:rsidRPr="00302164" w:rsidR="00411E49">
        <w:rPr>
          <w:szCs w:val="26"/>
        </w:rPr>
        <w:t xml:space="preserve">921, quoting </w:t>
      </w:r>
      <w:r w:rsidRPr="00302164" w:rsidR="00411E49">
        <w:rPr>
          <w:i/>
          <w:iCs/>
          <w:szCs w:val="26"/>
        </w:rPr>
        <w:t>Golstein</w:t>
      </w:r>
      <w:r w:rsidRPr="00302164" w:rsidR="00411E49">
        <w:rPr>
          <w:szCs w:val="26"/>
        </w:rPr>
        <w:t xml:space="preserve">, </w:t>
      </w:r>
      <w:r w:rsidRPr="00302164" w:rsidR="00411E49">
        <w:rPr>
          <w:i/>
          <w:iCs/>
          <w:szCs w:val="26"/>
        </w:rPr>
        <w:t>supra</w:t>
      </w:r>
      <w:r w:rsidRPr="00302164" w:rsidR="00411E49">
        <w:rPr>
          <w:szCs w:val="26"/>
        </w:rPr>
        <w:t>, 223</w:t>
      </w:r>
      <w:r w:rsidR="0007686B">
        <w:rPr>
          <w:szCs w:val="26"/>
        </w:rPr>
        <w:t> </w:t>
      </w:r>
      <w:r w:rsidRPr="00302164" w:rsidR="00411E49">
        <w:rPr>
          <w:szCs w:val="26"/>
        </w:rPr>
        <w:t>Cal.App.3d at p.</w:t>
      </w:r>
      <w:r w:rsidRPr="00302164" w:rsidR="00337A84">
        <w:rPr>
          <w:szCs w:val="26"/>
        </w:rPr>
        <w:t> </w:t>
      </w:r>
      <w:r w:rsidRPr="00302164" w:rsidR="00411E49">
        <w:rPr>
          <w:szCs w:val="26"/>
        </w:rPr>
        <w:t xml:space="preserve">1423.)  </w:t>
      </w:r>
      <w:r w:rsidRPr="00302164" w:rsidR="00104175">
        <w:rPr>
          <w:szCs w:val="26"/>
        </w:rPr>
        <w:t xml:space="preserve">We also </w:t>
      </w:r>
      <w:r w:rsidRPr="00302164" w:rsidR="006E5B39">
        <w:rPr>
          <w:szCs w:val="26"/>
        </w:rPr>
        <w:t xml:space="preserve">approvingly </w:t>
      </w:r>
      <w:r w:rsidRPr="00302164" w:rsidR="003F216B">
        <w:rPr>
          <w:szCs w:val="26"/>
        </w:rPr>
        <w:t>quote</w:t>
      </w:r>
      <w:r w:rsidRPr="00302164" w:rsidR="00104175">
        <w:rPr>
          <w:szCs w:val="26"/>
        </w:rPr>
        <w:t>d</w:t>
      </w:r>
      <w:r w:rsidRPr="00302164" w:rsidR="003F216B">
        <w:rPr>
          <w:szCs w:val="26"/>
        </w:rPr>
        <w:t xml:space="preserve"> </w:t>
      </w:r>
      <w:r w:rsidRPr="00302164" w:rsidR="00104175">
        <w:rPr>
          <w:szCs w:val="26"/>
        </w:rPr>
        <w:t xml:space="preserve">a passage stating </w:t>
      </w:r>
      <w:r w:rsidRPr="00302164" w:rsidR="006E5B39">
        <w:rPr>
          <w:szCs w:val="26"/>
        </w:rPr>
        <w:t xml:space="preserve">that </w:t>
      </w:r>
      <w:r w:rsidRPr="00302164" w:rsidR="006E5B39">
        <w:rPr>
          <w:i/>
          <w:iCs/>
          <w:szCs w:val="26"/>
        </w:rPr>
        <w:t>Thing</w:t>
      </w:r>
      <w:r w:rsidRPr="00302164" w:rsidR="006E5B39">
        <w:rPr>
          <w:szCs w:val="26"/>
        </w:rPr>
        <w:t xml:space="preserve"> required plaintiffs to “ ‘experience a contemporaneous sensory awareness of the causal connection between the negligent conduct and the resulting injury.’ ”  (</w:t>
      </w:r>
      <w:r w:rsidRPr="00302164" w:rsidR="006E5B39">
        <w:rPr>
          <w:i/>
          <w:iCs/>
          <w:szCs w:val="26"/>
        </w:rPr>
        <w:t>Bird</w:t>
      </w:r>
      <w:r w:rsidRPr="00302164" w:rsidR="006E5B39">
        <w:rPr>
          <w:szCs w:val="26"/>
        </w:rPr>
        <w:t xml:space="preserve">, at p. 918, quoting </w:t>
      </w:r>
      <w:r w:rsidRPr="00302164" w:rsidR="006E5B39">
        <w:rPr>
          <w:i/>
          <w:iCs/>
          <w:szCs w:val="26"/>
        </w:rPr>
        <w:t>Golstein</w:t>
      </w:r>
      <w:r w:rsidRPr="00302164" w:rsidR="006E5B39">
        <w:rPr>
          <w:szCs w:val="26"/>
        </w:rPr>
        <w:t>, at p. 1427.)</w:t>
      </w:r>
      <w:r>
        <w:rPr>
          <w:rStyle w:val="FootnoteReference"/>
          <w:szCs w:val="26"/>
        </w:rPr>
        <w:footnoteReference w:id="9"/>
      </w:r>
      <w:r w:rsidRPr="00302164" w:rsidR="006E5B39">
        <w:rPr>
          <w:szCs w:val="26"/>
        </w:rPr>
        <w:t xml:space="preserve"> </w:t>
      </w:r>
      <w:r w:rsidRPr="00302164" w:rsidR="00336BC6">
        <w:rPr>
          <w:szCs w:val="26"/>
        </w:rPr>
        <w:t xml:space="preserve"> </w:t>
      </w:r>
      <w:r w:rsidRPr="00302164" w:rsidR="00F05715">
        <w:rPr>
          <w:szCs w:val="26"/>
        </w:rPr>
        <w:t>And we</w:t>
      </w:r>
      <w:r w:rsidRPr="00302164" w:rsidR="00E239E3">
        <w:rPr>
          <w:szCs w:val="26"/>
        </w:rPr>
        <w:t xml:space="preserve"> </w:t>
      </w:r>
      <w:r w:rsidRPr="00302164" w:rsidR="006E5B39">
        <w:rPr>
          <w:szCs w:val="26"/>
        </w:rPr>
        <w:t xml:space="preserve">restated our conclusion in </w:t>
      </w:r>
      <w:r w:rsidRPr="00302164" w:rsidR="006E5B39">
        <w:rPr>
          <w:i/>
          <w:iCs/>
          <w:szCs w:val="26"/>
        </w:rPr>
        <w:t>Ochoa</w:t>
      </w:r>
      <w:r w:rsidRPr="00302164" w:rsidR="006E5B39">
        <w:rPr>
          <w:szCs w:val="26"/>
        </w:rPr>
        <w:t xml:space="preserve"> that “</w:t>
      </w:r>
      <w:r w:rsidRPr="00302164" w:rsidR="00337A84">
        <w:rPr>
          <w:szCs w:val="26"/>
        </w:rPr>
        <w:t> </w:t>
      </w:r>
      <w:r w:rsidRPr="00302164" w:rsidR="006E5B39">
        <w:rPr>
          <w:szCs w:val="26"/>
        </w:rPr>
        <w:t xml:space="preserve">‘when there is observation of the defendant’s conduct and the child’s injury </w:t>
      </w:r>
      <w:r w:rsidRPr="00302164" w:rsidR="006E5B39">
        <w:rPr>
          <w:i/>
          <w:iCs/>
          <w:szCs w:val="26"/>
        </w:rPr>
        <w:t>and contemporaneous awareness the defendant’s conduct or lack thereof is causing harm</w:t>
      </w:r>
      <w:r w:rsidRPr="00302164" w:rsidR="006E5B39">
        <w:rPr>
          <w:szCs w:val="26"/>
        </w:rPr>
        <w:t> to the child, recovery is permitted.’ ”  (</w:t>
      </w:r>
      <w:r w:rsidRPr="00302164" w:rsidR="006E5B39">
        <w:rPr>
          <w:i/>
          <w:iCs/>
          <w:szCs w:val="26"/>
        </w:rPr>
        <w:t>Bird</w:t>
      </w:r>
      <w:r w:rsidRPr="00302164" w:rsidR="006E5B39">
        <w:rPr>
          <w:szCs w:val="26"/>
        </w:rPr>
        <w:t xml:space="preserve">, at p. 919, quoting </w:t>
      </w:r>
      <w:r w:rsidRPr="00302164" w:rsidR="006E5B39">
        <w:rPr>
          <w:i/>
          <w:iCs/>
          <w:szCs w:val="26"/>
        </w:rPr>
        <w:t>Ochoa</w:t>
      </w:r>
      <w:r w:rsidRPr="00302164" w:rsidR="006E5B39">
        <w:rPr>
          <w:szCs w:val="26"/>
        </w:rPr>
        <w:t>,</w:t>
      </w:r>
      <w:r w:rsidRPr="00302164" w:rsidR="006E5B39">
        <w:rPr>
          <w:i/>
          <w:iCs/>
          <w:szCs w:val="26"/>
        </w:rPr>
        <w:t xml:space="preserve"> supra</w:t>
      </w:r>
      <w:r w:rsidRPr="00302164" w:rsidR="006E5B39">
        <w:rPr>
          <w:szCs w:val="26"/>
        </w:rPr>
        <w:t>,</w:t>
      </w:r>
      <w:r w:rsidR="0007686B">
        <w:rPr>
          <w:szCs w:val="26"/>
        </w:rPr>
        <w:t xml:space="preserve"> 3</w:t>
      </w:r>
      <w:r w:rsidRPr="00302164" w:rsidR="006E5B39">
        <w:rPr>
          <w:szCs w:val="26"/>
        </w:rPr>
        <w:t>9</w:t>
      </w:r>
      <w:r w:rsidR="0007686B">
        <w:rPr>
          <w:szCs w:val="26"/>
        </w:rPr>
        <w:t> </w:t>
      </w:r>
      <w:r w:rsidRPr="00302164" w:rsidR="006E5B39">
        <w:rPr>
          <w:szCs w:val="26"/>
        </w:rPr>
        <w:t>Cal.3d at p.</w:t>
      </w:r>
      <w:r w:rsidRPr="00302164" w:rsidR="00337A84">
        <w:rPr>
          <w:szCs w:val="26"/>
        </w:rPr>
        <w:t> </w:t>
      </w:r>
      <w:r w:rsidRPr="00302164" w:rsidR="006E5B39">
        <w:rPr>
          <w:szCs w:val="26"/>
        </w:rPr>
        <w:t>170</w:t>
      </w:r>
      <w:r w:rsidR="005B4823">
        <w:rPr>
          <w:szCs w:val="26"/>
        </w:rPr>
        <w:t xml:space="preserve">, italics added by </w:t>
      </w:r>
      <w:r w:rsidR="005B4823">
        <w:rPr>
          <w:i/>
          <w:iCs/>
          <w:szCs w:val="26"/>
        </w:rPr>
        <w:t>Bird</w:t>
      </w:r>
      <w:r w:rsidRPr="00302164" w:rsidR="006E5B39">
        <w:rPr>
          <w:szCs w:val="26"/>
        </w:rPr>
        <w:t>.)</w:t>
      </w:r>
      <w:r w:rsidR="00DB426C">
        <w:rPr>
          <w:szCs w:val="26"/>
        </w:rPr>
        <w:t xml:space="preserve"> </w:t>
      </w:r>
      <w:r w:rsidR="00487904">
        <w:rPr>
          <w:szCs w:val="26"/>
        </w:rPr>
        <w:t xml:space="preserve"> </w:t>
      </w:r>
      <w:r w:rsidRPr="00DC7B83">
        <w:rPr>
          <w:i/>
          <w:iCs/>
          <w:szCs w:val="26"/>
        </w:rPr>
        <w:t>Bird</w:t>
      </w:r>
      <w:r>
        <w:rPr>
          <w:szCs w:val="26"/>
        </w:rPr>
        <w:t xml:space="preserve">’s discussion of an example borrowed </w:t>
      </w:r>
      <w:r>
        <w:t xml:space="preserve">from </w:t>
      </w:r>
      <w:r>
        <w:rPr>
          <w:i/>
          <w:iCs/>
        </w:rPr>
        <w:t>Mobaldi v. Regents of University of California</w:t>
      </w:r>
      <w:r>
        <w:t xml:space="preserve">, </w:t>
      </w:r>
      <w:r w:rsidRPr="00DC322D">
        <w:rPr>
          <w:i/>
          <w:iCs/>
        </w:rPr>
        <w:t>supra</w:t>
      </w:r>
      <w:r>
        <w:t>, 55</w:t>
      </w:r>
      <w:r w:rsidR="0007686B">
        <w:rPr>
          <w:szCs w:val="26"/>
        </w:rPr>
        <w:t> </w:t>
      </w:r>
      <w:r>
        <w:t>Cal.App.3d 573, involving a parent who witnesses a “fatal traffic accident” and “knows the driver’s conduct has killed [her] child, even though she may not know the driver was drunk,” was similarly trained on</w:t>
      </w:r>
      <w:r w:rsidR="002F7ACF">
        <w:t xml:space="preserve"> the plaintiff’s</w:t>
      </w:r>
      <w:r>
        <w:t xml:space="preserve"> perception of </w:t>
      </w:r>
      <w:r w:rsidR="002F7ACF">
        <w:t xml:space="preserve">the defendant’s </w:t>
      </w:r>
      <w:r>
        <w:t>tortious conduct.  (</w:t>
      </w:r>
      <w:r w:rsidRPr="00F27F6D">
        <w:rPr>
          <w:i/>
          <w:iCs/>
        </w:rPr>
        <w:t>Bird</w:t>
      </w:r>
      <w:r>
        <w:t>, at pp. </w:t>
      </w:r>
      <w:r w:rsidRPr="00364510">
        <w:t>9</w:t>
      </w:r>
      <w:r>
        <w:t>20–9</w:t>
      </w:r>
      <w:r w:rsidRPr="00364510">
        <w:t>21</w:t>
      </w:r>
      <w:r>
        <w:t xml:space="preserve">.)  </w:t>
      </w:r>
    </w:p>
    <w:p w:rsidR="006F7A08" w:rsidP="00256A57" w14:paraId="21A8093A" w14:textId="71EAF9A3">
      <w:pPr>
        <w:tabs>
          <w:tab w:val="left" w:pos="720"/>
        </w:tabs>
        <w:rPr>
          <w:szCs w:val="26"/>
        </w:rPr>
      </w:pPr>
      <w:r w:rsidRPr="00302164">
        <w:rPr>
          <w:szCs w:val="26"/>
        </w:rPr>
        <w:tab/>
      </w:r>
      <w:r w:rsidR="00026BAA">
        <w:rPr>
          <w:szCs w:val="26"/>
        </w:rPr>
        <w:t xml:space="preserve">Understood in context, however, </w:t>
      </w:r>
      <w:r w:rsidR="003B33D7">
        <w:rPr>
          <w:szCs w:val="26"/>
        </w:rPr>
        <w:t xml:space="preserve">these statements </w:t>
      </w:r>
      <w:r w:rsidR="00026BAA">
        <w:rPr>
          <w:szCs w:val="26"/>
        </w:rPr>
        <w:t xml:space="preserve">do </w:t>
      </w:r>
      <w:r w:rsidR="00F60490">
        <w:rPr>
          <w:szCs w:val="26"/>
        </w:rPr>
        <w:t xml:space="preserve">not stand for the broad proposition that </w:t>
      </w:r>
      <w:r w:rsidRPr="00302164" w:rsidR="00736783">
        <w:rPr>
          <w:szCs w:val="26"/>
        </w:rPr>
        <w:t xml:space="preserve">bystander plaintiffs cannot recover for their emotional distress unless they contemporaneously </w:t>
      </w:r>
      <w:r w:rsidRPr="00302164" w:rsidR="0054197C">
        <w:rPr>
          <w:szCs w:val="26"/>
        </w:rPr>
        <w:t xml:space="preserve">both </w:t>
      </w:r>
      <w:r w:rsidRPr="00302164" w:rsidR="00736783">
        <w:rPr>
          <w:szCs w:val="26"/>
        </w:rPr>
        <w:t xml:space="preserve">perceive the injury-causing event and understand the defendant’s role in causing the injury.  </w:t>
      </w:r>
      <w:r>
        <w:rPr>
          <w:szCs w:val="26"/>
        </w:rPr>
        <w:t>T</w:t>
      </w:r>
      <w:r w:rsidR="00C44E07">
        <w:rPr>
          <w:szCs w:val="26"/>
        </w:rPr>
        <w:t xml:space="preserve">o take this broad lesson from </w:t>
      </w:r>
      <w:r w:rsidR="00C44E07">
        <w:rPr>
          <w:i/>
          <w:iCs/>
          <w:szCs w:val="26"/>
        </w:rPr>
        <w:t>Bird</w:t>
      </w:r>
      <w:r w:rsidR="00C44E07">
        <w:rPr>
          <w:szCs w:val="26"/>
        </w:rPr>
        <w:t xml:space="preserve"> would suggest a departure from </w:t>
      </w:r>
      <w:r w:rsidR="007C062A">
        <w:rPr>
          <w:i/>
          <w:iCs/>
        </w:rPr>
        <w:t>Thing</w:t>
      </w:r>
      <w:r w:rsidR="00EE4608">
        <w:t xml:space="preserve">, which </w:t>
      </w:r>
      <w:r w:rsidR="00C44E07">
        <w:t xml:space="preserve">had </w:t>
      </w:r>
      <w:r w:rsidR="00647B2E">
        <w:t>not set out any such limitation</w:t>
      </w:r>
      <w:r w:rsidR="00EE4608">
        <w:t xml:space="preserve">.  In </w:t>
      </w:r>
      <w:r w:rsidR="00EE4608">
        <w:rPr>
          <w:i/>
          <w:iCs/>
        </w:rPr>
        <w:t>Thing</w:t>
      </w:r>
      <w:r w:rsidR="00EE4608">
        <w:t xml:space="preserve">, we focused on </w:t>
      </w:r>
      <w:r w:rsidRPr="00DB426C" w:rsidR="004A0AF8">
        <w:rPr>
          <w:szCs w:val="26"/>
        </w:rPr>
        <w:t xml:space="preserve">“the traumatic emotional effect on the plaintiff who contemporaneously observes both the event </w:t>
      </w:r>
      <w:r w:rsidRPr="00DC7B83" w:rsidR="004A0AF8">
        <w:rPr>
          <w:i/>
          <w:iCs/>
          <w:szCs w:val="26"/>
        </w:rPr>
        <w:t>or</w:t>
      </w:r>
      <w:r w:rsidRPr="00DB426C" w:rsidR="004A0AF8">
        <w:rPr>
          <w:szCs w:val="26"/>
        </w:rPr>
        <w:t xml:space="preserve"> conduct that causes serious injury to a close relative and the injury itself.”</w:t>
      </w:r>
      <w:r w:rsidRPr="004A0AF8" w:rsidR="004A0AF8">
        <w:rPr>
          <w:szCs w:val="26"/>
        </w:rPr>
        <w:t xml:space="preserve"> </w:t>
      </w:r>
      <w:r w:rsidR="004A0AF8">
        <w:rPr>
          <w:szCs w:val="26"/>
        </w:rPr>
        <w:t xml:space="preserve"> </w:t>
      </w:r>
      <w:r w:rsidRPr="00DB426C" w:rsidR="004A0AF8">
        <w:rPr>
          <w:szCs w:val="26"/>
        </w:rPr>
        <w:t>(</w:t>
      </w:r>
      <w:r w:rsidRPr="005135BF" w:rsidR="004A0AF8">
        <w:rPr>
          <w:i/>
          <w:iCs/>
          <w:szCs w:val="26"/>
        </w:rPr>
        <w:t>Thing</w:t>
      </w:r>
      <w:r w:rsidRPr="00DB426C" w:rsidR="004A0AF8">
        <w:rPr>
          <w:szCs w:val="26"/>
        </w:rPr>
        <w:t xml:space="preserve">, </w:t>
      </w:r>
      <w:r w:rsidRPr="005135BF" w:rsidR="004A0AF8">
        <w:rPr>
          <w:i/>
          <w:iCs/>
          <w:szCs w:val="26"/>
        </w:rPr>
        <w:t>supra</w:t>
      </w:r>
      <w:r w:rsidRPr="00DB426C" w:rsidR="004A0AF8">
        <w:rPr>
          <w:szCs w:val="26"/>
        </w:rPr>
        <w:t>, 48 Cal.3d at p.</w:t>
      </w:r>
      <w:r w:rsidR="00214885">
        <w:rPr>
          <w:szCs w:val="26"/>
        </w:rPr>
        <w:t> </w:t>
      </w:r>
      <w:r w:rsidRPr="00DB426C" w:rsidR="004A0AF8">
        <w:rPr>
          <w:szCs w:val="26"/>
        </w:rPr>
        <w:t>667</w:t>
      </w:r>
      <w:r w:rsidR="004A0AF8">
        <w:rPr>
          <w:szCs w:val="26"/>
        </w:rPr>
        <w:t xml:space="preserve">, italics added.)  As Justice Dato observed in </w:t>
      </w:r>
      <w:r w:rsidR="005E742B">
        <w:rPr>
          <w:szCs w:val="26"/>
        </w:rPr>
        <w:t xml:space="preserve">his partial </w:t>
      </w:r>
      <w:r w:rsidR="004A0AF8">
        <w:rPr>
          <w:szCs w:val="26"/>
        </w:rPr>
        <w:t xml:space="preserve">dissent </w:t>
      </w:r>
      <w:r>
        <w:rPr>
          <w:szCs w:val="26"/>
        </w:rPr>
        <w:t>in the Court of Appeal</w:t>
      </w:r>
      <w:r w:rsidR="004A0AF8">
        <w:rPr>
          <w:szCs w:val="26"/>
        </w:rPr>
        <w:t>, th</w:t>
      </w:r>
      <w:r w:rsidR="001A4A11">
        <w:rPr>
          <w:szCs w:val="26"/>
        </w:rPr>
        <w:t>is</w:t>
      </w:r>
      <w:r w:rsidR="004A0AF8">
        <w:rPr>
          <w:szCs w:val="26"/>
        </w:rPr>
        <w:t xml:space="preserve"> disjunctive phrasing </w:t>
      </w:r>
      <w:r w:rsidR="001A4A11">
        <w:rPr>
          <w:szCs w:val="26"/>
        </w:rPr>
        <w:t xml:space="preserve">strongly suggests </w:t>
      </w:r>
      <w:r w:rsidR="004A0AF8">
        <w:rPr>
          <w:szCs w:val="26"/>
        </w:rPr>
        <w:t xml:space="preserve">that it is enough if a bystander plaintiff perceives an accident and </w:t>
      </w:r>
      <w:r w:rsidR="00E60EB2">
        <w:rPr>
          <w:szCs w:val="26"/>
        </w:rPr>
        <w:t xml:space="preserve">contemporaneously understands </w:t>
      </w:r>
      <w:r w:rsidR="004A0AF8">
        <w:rPr>
          <w:szCs w:val="26"/>
        </w:rPr>
        <w:t>that it has injured a close relative</w:t>
      </w:r>
      <w:r w:rsidR="00214885">
        <w:rPr>
          <w:szCs w:val="26"/>
        </w:rPr>
        <w:t>; the plaintiff “need not also be aware of the underlying negligent cause.”  (</w:t>
      </w:r>
      <w:r w:rsidRPr="00302164" w:rsidR="00214885">
        <w:rPr>
          <w:i/>
          <w:iCs/>
          <w:szCs w:val="26"/>
        </w:rPr>
        <w:t>Downey</w:t>
      </w:r>
      <w:r w:rsidRPr="00302164" w:rsidR="00214885">
        <w:rPr>
          <w:szCs w:val="26"/>
        </w:rPr>
        <w:t xml:space="preserve">, </w:t>
      </w:r>
      <w:r w:rsidRPr="00302164" w:rsidR="00214885">
        <w:rPr>
          <w:i/>
          <w:iCs/>
          <w:szCs w:val="26"/>
        </w:rPr>
        <w:t>supra</w:t>
      </w:r>
      <w:r w:rsidRPr="00302164" w:rsidR="00214885">
        <w:rPr>
          <w:szCs w:val="26"/>
        </w:rPr>
        <w:t xml:space="preserve">, 90 Cal.App.5th at </w:t>
      </w:r>
      <w:r w:rsidR="00214885">
        <w:rPr>
          <w:szCs w:val="26"/>
        </w:rPr>
        <w:t>p. 1061</w:t>
      </w:r>
      <w:r w:rsidR="00E60EB2">
        <w:rPr>
          <w:szCs w:val="26"/>
        </w:rPr>
        <w:t xml:space="preserve"> (conc. &amp; dis. opn. of Dato, J</w:t>
      </w:r>
      <w:r w:rsidR="00214885">
        <w:rPr>
          <w:szCs w:val="26"/>
        </w:rPr>
        <w:t>.)</w:t>
      </w:r>
      <w:r w:rsidR="00E3707B">
        <w:rPr>
          <w:szCs w:val="26"/>
        </w:rPr>
        <w:t>.)</w:t>
      </w:r>
      <w:r w:rsidR="00214885">
        <w:rPr>
          <w:szCs w:val="26"/>
        </w:rPr>
        <w:t xml:space="preserve">  </w:t>
      </w:r>
      <w:r w:rsidR="00736BA0">
        <w:rPr>
          <w:szCs w:val="26"/>
        </w:rPr>
        <w:t xml:space="preserve">In </w:t>
      </w:r>
      <w:r w:rsidRPr="00C31897" w:rsidR="00736BA0">
        <w:rPr>
          <w:i/>
          <w:iCs/>
          <w:szCs w:val="26"/>
        </w:rPr>
        <w:t>Thing</w:t>
      </w:r>
      <w:r w:rsidR="00736BA0">
        <w:rPr>
          <w:szCs w:val="26"/>
        </w:rPr>
        <w:t xml:space="preserve">, the plaintiff was not allowed to recover because she had perceived </w:t>
      </w:r>
      <w:r w:rsidRPr="00C31897" w:rsidR="00736BA0">
        <w:rPr>
          <w:i/>
          <w:iCs/>
          <w:szCs w:val="26"/>
        </w:rPr>
        <w:t>neither</w:t>
      </w:r>
      <w:r w:rsidR="00736BA0">
        <w:rPr>
          <w:szCs w:val="26"/>
        </w:rPr>
        <w:t xml:space="preserve"> the event </w:t>
      </w:r>
      <w:r w:rsidRPr="00C31897" w:rsidR="00736BA0">
        <w:rPr>
          <w:i/>
          <w:iCs/>
          <w:szCs w:val="26"/>
        </w:rPr>
        <w:t>nor</w:t>
      </w:r>
      <w:r w:rsidR="00736BA0">
        <w:rPr>
          <w:szCs w:val="26"/>
        </w:rPr>
        <w:t xml:space="preserve"> the defendant’s injurious conduct.  </w:t>
      </w:r>
    </w:p>
    <w:p w:rsidR="00BA39F5" w:rsidRPr="00302164" w:rsidP="005D6BB5" w14:paraId="74E06A51" w14:textId="0107B065">
      <w:pPr>
        <w:tabs>
          <w:tab w:val="left" w:pos="720"/>
        </w:tabs>
        <w:rPr>
          <w:szCs w:val="26"/>
        </w:rPr>
      </w:pPr>
      <w:r>
        <w:rPr>
          <w:szCs w:val="26"/>
        </w:rPr>
        <w:tab/>
      </w:r>
      <w:r w:rsidRPr="00DC7B83" w:rsidR="00214885">
        <w:rPr>
          <w:i/>
          <w:iCs/>
          <w:szCs w:val="26"/>
        </w:rPr>
        <w:t>Bird</w:t>
      </w:r>
      <w:r w:rsidR="00214885">
        <w:rPr>
          <w:szCs w:val="26"/>
        </w:rPr>
        <w:t xml:space="preserve"> did not </w:t>
      </w:r>
      <w:r w:rsidR="008C2CAF">
        <w:rPr>
          <w:szCs w:val="26"/>
        </w:rPr>
        <w:t xml:space="preserve">purport to reexamine or </w:t>
      </w:r>
      <w:r w:rsidR="00214885">
        <w:rPr>
          <w:szCs w:val="26"/>
        </w:rPr>
        <w:t xml:space="preserve">call into question </w:t>
      </w:r>
      <w:r w:rsidRPr="00DC7B83" w:rsidR="00214885">
        <w:rPr>
          <w:i/>
          <w:iCs/>
          <w:szCs w:val="26"/>
        </w:rPr>
        <w:t>Thing</w:t>
      </w:r>
      <w:r w:rsidR="00214885">
        <w:rPr>
          <w:szCs w:val="26"/>
        </w:rPr>
        <w:t xml:space="preserve">’s suggestion </w:t>
      </w:r>
      <w:r w:rsidR="00487904">
        <w:rPr>
          <w:szCs w:val="26"/>
        </w:rPr>
        <w:t xml:space="preserve">that </w:t>
      </w:r>
      <w:r w:rsidR="00214885">
        <w:rPr>
          <w:szCs w:val="26"/>
        </w:rPr>
        <w:t>an understanding perception of either the injury-producing event or the conduct that caused the victim’s injury</w:t>
      </w:r>
      <w:r w:rsidR="00736BA0">
        <w:rPr>
          <w:szCs w:val="26"/>
        </w:rPr>
        <w:t xml:space="preserve"> is enough to satisfy its second requirement</w:t>
      </w:r>
      <w:r w:rsidR="006F544E">
        <w:rPr>
          <w:szCs w:val="26"/>
        </w:rPr>
        <w:t>, nor did it otherwise squarely address the question that is now before us</w:t>
      </w:r>
      <w:r w:rsidR="00214885">
        <w:rPr>
          <w:szCs w:val="26"/>
        </w:rPr>
        <w:t>.</w:t>
      </w:r>
      <w:r>
        <w:rPr>
          <w:szCs w:val="26"/>
        </w:rPr>
        <w:t xml:space="preserve">  </w:t>
      </w:r>
      <w:r w:rsidR="0000264A">
        <w:rPr>
          <w:szCs w:val="26"/>
        </w:rPr>
        <w:t>T</w:t>
      </w:r>
      <w:r w:rsidR="005C6218">
        <w:rPr>
          <w:szCs w:val="26"/>
        </w:rPr>
        <w:t xml:space="preserve">his is no surprise, </w:t>
      </w:r>
      <w:r w:rsidR="0000264A">
        <w:rPr>
          <w:szCs w:val="26"/>
        </w:rPr>
        <w:t xml:space="preserve">for </w:t>
      </w:r>
      <w:r>
        <w:rPr>
          <w:szCs w:val="26"/>
        </w:rPr>
        <w:t>the issue was not squarely presented</w:t>
      </w:r>
      <w:r w:rsidR="00095965">
        <w:rPr>
          <w:szCs w:val="26"/>
        </w:rPr>
        <w:t xml:space="preserve">.  </w:t>
      </w:r>
      <w:r w:rsidR="007F3FE3">
        <w:rPr>
          <w:i/>
          <w:iCs/>
          <w:szCs w:val="26"/>
        </w:rPr>
        <w:t>Bird</w:t>
      </w:r>
      <w:r w:rsidRPr="00A25C1B" w:rsidR="00A25C1B">
        <w:rPr>
          <w:szCs w:val="26"/>
        </w:rPr>
        <w:t> </w:t>
      </w:r>
      <w:r w:rsidR="007F3FE3">
        <w:rPr>
          <w:szCs w:val="26"/>
        </w:rPr>
        <w:t xml:space="preserve">— like </w:t>
      </w:r>
      <w:r w:rsidR="007F3FE3">
        <w:rPr>
          <w:i/>
          <w:iCs/>
          <w:szCs w:val="26"/>
        </w:rPr>
        <w:t>Golstein</w:t>
      </w:r>
      <w:r w:rsidR="007F3FE3">
        <w:rPr>
          <w:szCs w:val="26"/>
        </w:rPr>
        <w:t xml:space="preserve"> before it</w:t>
      </w:r>
      <w:r w:rsidR="00A25C1B">
        <w:rPr>
          <w:szCs w:val="26"/>
        </w:rPr>
        <w:t> </w:t>
      </w:r>
      <w:r w:rsidR="007F3FE3">
        <w:rPr>
          <w:szCs w:val="26"/>
        </w:rPr>
        <w:t xml:space="preserve">— </w:t>
      </w:r>
      <w:r w:rsidR="00545F6B">
        <w:rPr>
          <w:szCs w:val="26"/>
        </w:rPr>
        <w:t xml:space="preserve">was a </w:t>
      </w:r>
      <w:r w:rsidR="00195793">
        <w:rPr>
          <w:szCs w:val="26"/>
        </w:rPr>
        <w:t>medical malpractice case</w:t>
      </w:r>
      <w:r w:rsidR="007B0F40">
        <w:rPr>
          <w:szCs w:val="26"/>
        </w:rPr>
        <w:t xml:space="preserve">.  </w:t>
      </w:r>
      <w:r w:rsidR="00820562">
        <w:rPr>
          <w:szCs w:val="26"/>
        </w:rPr>
        <w:t xml:space="preserve">Those cases </w:t>
      </w:r>
      <w:r w:rsidRPr="00302164" w:rsidR="00DD3CF6">
        <w:rPr>
          <w:szCs w:val="26"/>
        </w:rPr>
        <w:t>referred interchangeably to “</w:t>
      </w:r>
      <w:r w:rsidR="00E851BF">
        <w:rPr>
          <w:szCs w:val="26"/>
        </w:rPr>
        <w:t> ‘</w:t>
      </w:r>
      <w:r w:rsidRPr="00302164" w:rsidR="00DD3CF6">
        <w:rPr>
          <w:szCs w:val="26"/>
        </w:rPr>
        <w:t>the injury-causing event</w:t>
      </w:r>
      <w:r w:rsidR="00E851BF">
        <w:rPr>
          <w:szCs w:val="26"/>
        </w:rPr>
        <w:t>’ </w:t>
      </w:r>
      <w:r w:rsidRPr="00302164" w:rsidR="00DD3CF6">
        <w:rPr>
          <w:szCs w:val="26"/>
        </w:rPr>
        <w:t>” and “</w:t>
      </w:r>
      <w:r w:rsidR="00E851BF">
        <w:rPr>
          <w:szCs w:val="26"/>
        </w:rPr>
        <w:t> ‘[</w:t>
      </w:r>
      <w:r w:rsidRPr="00302164" w:rsidR="00DD3CF6">
        <w:rPr>
          <w:szCs w:val="26"/>
        </w:rPr>
        <w:t>t</w:t>
      </w:r>
      <w:r w:rsidR="00E851BF">
        <w:rPr>
          <w:szCs w:val="26"/>
        </w:rPr>
        <w:t>]</w:t>
      </w:r>
      <w:r w:rsidRPr="00302164" w:rsidR="00DD3CF6">
        <w:rPr>
          <w:szCs w:val="26"/>
        </w:rPr>
        <w:t>he act</w:t>
      </w:r>
      <w:r w:rsidR="00E851BF">
        <w:rPr>
          <w:szCs w:val="26"/>
        </w:rPr>
        <w:t xml:space="preserve">ual </w:t>
      </w:r>
      <w:r w:rsidRPr="00302164" w:rsidR="00DD3CF6">
        <w:rPr>
          <w:szCs w:val="26"/>
        </w:rPr>
        <w:t>negligen</w:t>
      </w:r>
      <w:r w:rsidR="00E851BF">
        <w:rPr>
          <w:szCs w:val="26"/>
        </w:rPr>
        <w:t xml:space="preserve">t act’ ” </w:t>
      </w:r>
      <w:r w:rsidRPr="00302164" w:rsidR="00DD3CF6">
        <w:rPr>
          <w:szCs w:val="26"/>
        </w:rPr>
        <w:t>because t</w:t>
      </w:r>
      <w:r w:rsidRPr="00302164" w:rsidR="00736783">
        <w:rPr>
          <w:szCs w:val="26"/>
        </w:rPr>
        <w:t>he</w:t>
      </w:r>
      <w:r w:rsidRPr="00302164" w:rsidR="00CD01ED">
        <w:rPr>
          <w:szCs w:val="26"/>
        </w:rPr>
        <w:t>re was no question that the</w:t>
      </w:r>
      <w:r w:rsidRPr="00302164" w:rsidR="00736783">
        <w:rPr>
          <w:szCs w:val="26"/>
        </w:rPr>
        <w:t xml:space="preserve"> </w:t>
      </w:r>
      <w:r w:rsidRPr="00302164" w:rsidR="00CD01ED">
        <w:rPr>
          <w:szCs w:val="26"/>
        </w:rPr>
        <w:t xml:space="preserve">injury-causing events </w:t>
      </w:r>
      <w:r w:rsidRPr="00302164" w:rsidR="00CD01ED">
        <w:rPr>
          <w:i/>
          <w:iCs/>
          <w:szCs w:val="26"/>
        </w:rPr>
        <w:t>were</w:t>
      </w:r>
      <w:r w:rsidRPr="00302164" w:rsidR="00CD01ED">
        <w:rPr>
          <w:szCs w:val="26"/>
        </w:rPr>
        <w:t xml:space="preserve"> the defendants’ act of medical negligence</w:t>
      </w:r>
      <w:r w:rsidRPr="00302164" w:rsidR="00B14432">
        <w:rPr>
          <w:szCs w:val="26"/>
        </w:rPr>
        <w:t xml:space="preserve">. </w:t>
      </w:r>
      <w:r w:rsidR="00E851BF">
        <w:rPr>
          <w:szCs w:val="26"/>
        </w:rPr>
        <w:t xml:space="preserve"> </w:t>
      </w:r>
      <w:r w:rsidRPr="00E851BF" w:rsidR="00E851BF">
        <w:rPr>
          <w:szCs w:val="26"/>
        </w:rPr>
        <w:t>(</w:t>
      </w:r>
      <w:r w:rsidRPr="00E851BF" w:rsidR="00E851BF">
        <w:rPr>
          <w:i/>
          <w:iCs/>
          <w:szCs w:val="26"/>
        </w:rPr>
        <w:t>Bird</w:t>
      </w:r>
      <w:r w:rsidRPr="00E851BF" w:rsidR="00E851BF">
        <w:rPr>
          <w:szCs w:val="26"/>
        </w:rPr>
        <w:t xml:space="preserve">, </w:t>
      </w:r>
      <w:r w:rsidRPr="00E851BF" w:rsidR="00E851BF">
        <w:rPr>
          <w:i/>
          <w:iCs/>
          <w:szCs w:val="26"/>
        </w:rPr>
        <w:t>supra</w:t>
      </w:r>
      <w:r w:rsidRPr="00E851BF" w:rsidR="00E851BF">
        <w:rPr>
          <w:szCs w:val="26"/>
        </w:rPr>
        <w:t xml:space="preserve">, 28 Cal.4th at p. 921, quoting </w:t>
      </w:r>
      <w:r w:rsidRPr="00E851BF" w:rsidR="00E851BF">
        <w:rPr>
          <w:i/>
          <w:iCs/>
          <w:szCs w:val="26"/>
        </w:rPr>
        <w:t>Golstein</w:t>
      </w:r>
      <w:r w:rsidRPr="00E851BF" w:rsidR="00E851BF">
        <w:rPr>
          <w:szCs w:val="26"/>
        </w:rPr>
        <w:t xml:space="preserve">, </w:t>
      </w:r>
      <w:r w:rsidRPr="00E851BF" w:rsidR="00E851BF">
        <w:rPr>
          <w:i/>
          <w:iCs/>
          <w:szCs w:val="26"/>
        </w:rPr>
        <w:t>supra</w:t>
      </w:r>
      <w:r w:rsidRPr="00E851BF" w:rsidR="00E851BF">
        <w:rPr>
          <w:szCs w:val="26"/>
        </w:rPr>
        <w:t>, 223 Cal.App.3d at p. 1423.)</w:t>
      </w:r>
      <w:r w:rsidR="00E851BF">
        <w:rPr>
          <w:szCs w:val="26"/>
        </w:rPr>
        <w:t xml:space="preserve">  </w:t>
      </w:r>
      <w:r w:rsidRPr="00302164" w:rsidR="00B14432">
        <w:rPr>
          <w:szCs w:val="26"/>
        </w:rPr>
        <w:t xml:space="preserve">In </w:t>
      </w:r>
      <w:r w:rsidRPr="00302164" w:rsidR="00B14432">
        <w:rPr>
          <w:i/>
          <w:iCs/>
          <w:szCs w:val="26"/>
        </w:rPr>
        <w:t>Bird</w:t>
      </w:r>
      <w:r w:rsidRPr="00302164" w:rsidR="00B14432">
        <w:rPr>
          <w:szCs w:val="26"/>
        </w:rPr>
        <w:t xml:space="preserve">, the injury-causing events were the physicians’ transection of the artery and their failure to immediately diagnose and treat it; </w:t>
      </w:r>
      <w:r w:rsidRPr="00302164" w:rsidR="00393E03">
        <w:rPr>
          <w:szCs w:val="26"/>
        </w:rPr>
        <w:t xml:space="preserve">in </w:t>
      </w:r>
      <w:r w:rsidRPr="00302164" w:rsidR="00393E03">
        <w:rPr>
          <w:i/>
          <w:iCs/>
          <w:szCs w:val="26"/>
        </w:rPr>
        <w:t>Golstein</w:t>
      </w:r>
      <w:r w:rsidRPr="00302164" w:rsidR="00393E03">
        <w:rPr>
          <w:szCs w:val="26"/>
        </w:rPr>
        <w:t xml:space="preserve">, the injury-causing event was medical personnel’s delivery of a lethal dose of radiation.  </w:t>
      </w:r>
      <w:r w:rsidRPr="00302164" w:rsidR="00F21DAB">
        <w:rPr>
          <w:szCs w:val="26"/>
        </w:rPr>
        <w:t>Neither</w:t>
      </w:r>
      <w:r w:rsidRPr="00302164" w:rsidR="003E48C8">
        <w:rPr>
          <w:szCs w:val="26"/>
        </w:rPr>
        <w:t xml:space="preserve"> </w:t>
      </w:r>
      <w:r w:rsidRPr="00302164" w:rsidR="00393E03">
        <w:rPr>
          <w:szCs w:val="26"/>
        </w:rPr>
        <w:t xml:space="preserve">case raised any question about awareness of injury without awareness of the role the defendant played in causing the injury.  The critical issue in </w:t>
      </w:r>
      <w:r w:rsidRPr="00302164" w:rsidR="00F21DAB">
        <w:rPr>
          <w:szCs w:val="26"/>
        </w:rPr>
        <w:t xml:space="preserve">both </w:t>
      </w:r>
      <w:r w:rsidRPr="00302164" w:rsidR="00393E03">
        <w:rPr>
          <w:szCs w:val="26"/>
        </w:rPr>
        <w:t xml:space="preserve">cases, rather, concerned lack of contemporaneous awareness of </w:t>
      </w:r>
      <w:r w:rsidRPr="00302164" w:rsidR="00393E03">
        <w:rPr>
          <w:i/>
          <w:iCs/>
          <w:szCs w:val="26"/>
        </w:rPr>
        <w:t>either</w:t>
      </w:r>
      <w:r w:rsidRPr="00302164" w:rsidR="00393E03">
        <w:rPr>
          <w:szCs w:val="26"/>
        </w:rPr>
        <w:t xml:space="preserve"> injury </w:t>
      </w:r>
      <w:r w:rsidRPr="005D6BB5" w:rsidR="00393E03">
        <w:rPr>
          <w:i/>
          <w:iCs/>
          <w:szCs w:val="26"/>
        </w:rPr>
        <w:t>or</w:t>
      </w:r>
      <w:r w:rsidRPr="00302164" w:rsidR="00393E03">
        <w:rPr>
          <w:szCs w:val="26"/>
        </w:rPr>
        <w:t xml:space="preserve"> the defendant’s role in it. </w:t>
      </w:r>
    </w:p>
    <w:p w:rsidR="00736783" w:rsidRPr="00302164" w:rsidP="005D6BB5" w14:paraId="4AA21D8D" w14:textId="6CBD37D5">
      <w:pPr>
        <w:tabs>
          <w:tab w:val="left" w:pos="720"/>
        </w:tabs>
        <w:rPr>
          <w:szCs w:val="26"/>
        </w:rPr>
      </w:pPr>
      <w:r w:rsidRPr="00302164">
        <w:rPr>
          <w:szCs w:val="26"/>
        </w:rPr>
        <w:tab/>
      </w:r>
      <w:r w:rsidRPr="00302164">
        <w:rPr>
          <w:i/>
          <w:iCs/>
          <w:szCs w:val="26"/>
        </w:rPr>
        <w:t>Bird</w:t>
      </w:r>
      <w:r w:rsidRPr="00302164">
        <w:rPr>
          <w:szCs w:val="26"/>
        </w:rPr>
        <w:t xml:space="preserve"> placed particular emphasis on how difficult</w:t>
      </w:r>
      <w:r w:rsidRPr="00302164" w:rsidR="00FB3616">
        <w:rPr>
          <w:szCs w:val="26"/>
        </w:rPr>
        <w:t> </w:t>
      </w:r>
      <w:r w:rsidRPr="00302164">
        <w:rPr>
          <w:szCs w:val="26"/>
        </w:rPr>
        <w:t>— often impossible</w:t>
      </w:r>
      <w:r w:rsidRPr="00302164" w:rsidR="00FB3616">
        <w:rPr>
          <w:szCs w:val="26"/>
        </w:rPr>
        <w:t> </w:t>
      </w:r>
      <w:r w:rsidRPr="00302164">
        <w:rPr>
          <w:szCs w:val="26"/>
        </w:rPr>
        <w:t xml:space="preserve">— it </w:t>
      </w:r>
      <w:r w:rsidRPr="00302164" w:rsidR="00A305EF">
        <w:rPr>
          <w:szCs w:val="26"/>
        </w:rPr>
        <w:t xml:space="preserve">generally </w:t>
      </w:r>
      <w:r w:rsidRPr="00302164">
        <w:rPr>
          <w:szCs w:val="26"/>
        </w:rPr>
        <w:t xml:space="preserve">is for laypersons to recognize </w:t>
      </w:r>
      <w:r w:rsidRPr="00302164" w:rsidR="0022401D">
        <w:rPr>
          <w:szCs w:val="26"/>
        </w:rPr>
        <w:t xml:space="preserve">in the moment </w:t>
      </w:r>
      <w:r w:rsidRPr="00302164">
        <w:rPr>
          <w:szCs w:val="26"/>
        </w:rPr>
        <w:t xml:space="preserve">that a course of medical treatment is causing injury.  Even </w:t>
      </w:r>
      <w:r w:rsidR="00057338">
        <w:rPr>
          <w:szCs w:val="26"/>
        </w:rPr>
        <w:t>when plaintiffs are</w:t>
      </w:r>
      <w:r w:rsidRPr="00302164">
        <w:rPr>
          <w:szCs w:val="26"/>
        </w:rPr>
        <w:t xml:space="preserve"> present at the scene of the injury-causing event and observe conduct that </w:t>
      </w:r>
      <w:r w:rsidR="00057338">
        <w:t>they</w:t>
      </w:r>
      <w:r w:rsidRPr="00302164" w:rsidR="00057338">
        <w:rPr>
          <w:szCs w:val="26"/>
        </w:rPr>
        <w:t xml:space="preserve"> </w:t>
      </w:r>
      <w:r w:rsidRPr="00302164">
        <w:rPr>
          <w:szCs w:val="26"/>
        </w:rPr>
        <w:t xml:space="preserve">later realize caused injury to a close relative, </w:t>
      </w:r>
      <w:r w:rsidR="00057338">
        <w:rPr>
          <w:szCs w:val="26"/>
        </w:rPr>
        <w:t>their</w:t>
      </w:r>
      <w:r w:rsidRPr="00302164" w:rsidR="00057338">
        <w:rPr>
          <w:szCs w:val="26"/>
        </w:rPr>
        <w:t xml:space="preserve"> </w:t>
      </w:r>
      <w:r w:rsidRPr="00302164">
        <w:rPr>
          <w:szCs w:val="26"/>
        </w:rPr>
        <w:t xml:space="preserve">lack of medical knowledge will ordinarily keep </w:t>
      </w:r>
      <w:r w:rsidR="00057338">
        <w:rPr>
          <w:szCs w:val="26"/>
        </w:rPr>
        <w:t>them</w:t>
      </w:r>
      <w:r w:rsidRPr="00302164" w:rsidR="00057338">
        <w:rPr>
          <w:szCs w:val="26"/>
        </w:rPr>
        <w:t xml:space="preserve"> </w:t>
      </w:r>
      <w:r w:rsidRPr="00302164">
        <w:rPr>
          <w:szCs w:val="26"/>
        </w:rPr>
        <w:t>from being “</w:t>
      </w:r>
      <w:r w:rsidRPr="00302164" w:rsidR="0043747D">
        <w:rPr>
          <w:szCs w:val="26"/>
        </w:rPr>
        <w:t> </w:t>
      </w:r>
      <w:r w:rsidRPr="00302164">
        <w:rPr>
          <w:szCs w:val="26"/>
        </w:rPr>
        <w:t>‘then aware that it [was] causing injury to the victim.’  (</w:t>
      </w:r>
      <w:r w:rsidRPr="00302164">
        <w:rPr>
          <w:i/>
          <w:iCs/>
          <w:szCs w:val="26"/>
        </w:rPr>
        <w:t>Thing</w:t>
      </w:r>
      <w:r w:rsidRPr="00302164">
        <w:rPr>
          <w:szCs w:val="26"/>
        </w:rPr>
        <w:t>,</w:t>
      </w:r>
      <w:r w:rsidRPr="00302164">
        <w:rPr>
          <w:i/>
          <w:iCs/>
          <w:szCs w:val="26"/>
        </w:rPr>
        <w:t xml:space="preserve"> supra</w:t>
      </w:r>
      <w:r w:rsidRPr="00302164">
        <w:rPr>
          <w:szCs w:val="26"/>
        </w:rPr>
        <w:t>, 48 Cal.3d [at p.]</w:t>
      </w:r>
      <w:r w:rsidRPr="00302164" w:rsidR="0043747D">
        <w:rPr>
          <w:szCs w:val="26"/>
        </w:rPr>
        <w:t> </w:t>
      </w:r>
      <w:r w:rsidRPr="00302164">
        <w:rPr>
          <w:szCs w:val="26"/>
        </w:rPr>
        <w:t>668.)”  (</w:t>
      </w:r>
      <w:r w:rsidRPr="00302164">
        <w:rPr>
          <w:i/>
          <w:iCs/>
          <w:szCs w:val="26"/>
        </w:rPr>
        <w:t>Bird</w:t>
      </w:r>
      <w:r w:rsidRPr="00302164">
        <w:rPr>
          <w:szCs w:val="26"/>
        </w:rPr>
        <w:t xml:space="preserve">, </w:t>
      </w:r>
      <w:r w:rsidRPr="00302164">
        <w:rPr>
          <w:i/>
          <w:iCs/>
          <w:szCs w:val="26"/>
        </w:rPr>
        <w:t>supra</w:t>
      </w:r>
      <w:r w:rsidRPr="00302164">
        <w:rPr>
          <w:szCs w:val="26"/>
        </w:rPr>
        <w:t>, 28 Cal.4th at p.</w:t>
      </w:r>
      <w:r w:rsidRPr="00302164" w:rsidR="00337A84">
        <w:rPr>
          <w:szCs w:val="26"/>
        </w:rPr>
        <w:t> </w:t>
      </w:r>
      <w:r w:rsidRPr="00302164">
        <w:rPr>
          <w:szCs w:val="26"/>
        </w:rPr>
        <w:t>922</w:t>
      </w:r>
      <w:r w:rsidRPr="00302164" w:rsidR="009D01C8">
        <w:rPr>
          <w:szCs w:val="26"/>
        </w:rPr>
        <w:t xml:space="preserve">; but cf. </w:t>
      </w:r>
      <w:r w:rsidRPr="00302164" w:rsidR="009D01C8">
        <w:rPr>
          <w:i/>
          <w:iCs/>
          <w:szCs w:val="26"/>
        </w:rPr>
        <w:t>id.</w:t>
      </w:r>
      <w:r w:rsidRPr="00302164" w:rsidR="009D01C8">
        <w:rPr>
          <w:szCs w:val="26"/>
        </w:rPr>
        <w:t xml:space="preserve"> at p. 918 [suggesting that some extreme cases of medical malpractice, such as a mistaken amputation, might be easily recognized as malpractice].</w:t>
      </w:r>
      <w:r w:rsidRPr="00302164">
        <w:rPr>
          <w:szCs w:val="26"/>
        </w:rPr>
        <w:t xml:space="preserve">)  In such cases, the injury-causing events or conduct are not traumatizing because they are perceived as injury-causing only in retrospect, when the observer is affected by the event’s results.  </w:t>
      </w:r>
      <w:r w:rsidRPr="00302164" w:rsidR="004F1940">
        <w:rPr>
          <w:szCs w:val="26"/>
        </w:rPr>
        <w:t xml:space="preserve">(See </w:t>
      </w:r>
      <w:r w:rsidRPr="00302164" w:rsidR="004F1940">
        <w:rPr>
          <w:i/>
          <w:iCs/>
          <w:szCs w:val="26"/>
        </w:rPr>
        <w:t>id.</w:t>
      </w:r>
      <w:r w:rsidRPr="00302164" w:rsidR="004F1940">
        <w:rPr>
          <w:szCs w:val="26"/>
        </w:rPr>
        <w:t xml:space="preserve"> at p.</w:t>
      </w:r>
      <w:r w:rsidRPr="00302164" w:rsidR="00337A84">
        <w:rPr>
          <w:szCs w:val="26"/>
        </w:rPr>
        <w:t> </w:t>
      </w:r>
      <w:r w:rsidRPr="00302164" w:rsidR="004F1940">
        <w:rPr>
          <w:szCs w:val="26"/>
        </w:rPr>
        <w:t>921.)</w:t>
      </w:r>
    </w:p>
    <w:p w:rsidR="00736783" w:rsidRPr="00302164" w:rsidP="00EE7DC8" w14:paraId="48547EE4" w14:textId="1B7523D7">
      <w:pPr>
        <w:tabs>
          <w:tab w:val="left" w:pos="1440"/>
        </w:tabs>
        <w:ind w:firstLine="720"/>
        <w:rPr>
          <w:szCs w:val="26"/>
        </w:rPr>
      </w:pPr>
      <w:r w:rsidRPr="00302164">
        <w:rPr>
          <w:i/>
          <w:iCs/>
          <w:szCs w:val="26"/>
        </w:rPr>
        <w:t>Bird</w:t>
      </w:r>
      <w:r w:rsidRPr="00302164">
        <w:rPr>
          <w:szCs w:val="26"/>
        </w:rPr>
        <w:t xml:space="preserve"> </w:t>
      </w:r>
      <w:r w:rsidR="006F7A08">
        <w:rPr>
          <w:szCs w:val="26"/>
        </w:rPr>
        <w:t xml:space="preserve">itself </w:t>
      </w:r>
      <w:r w:rsidRPr="00302164">
        <w:rPr>
          <w:szCs w:val="26"/>
        </w:rPr>
        <w:t>ma</w:t>
      </w:r>
      <w:r w:rsidR="004920C7">
        <w:rPr>
          <w:szCs w:val="26"/>
        </w:rPr>
        <w:t>de</w:t>
      </w:r>
      <w:r w:rsidRPr="00302164">
        <w:rPr>
          <w:szCs w:val="26"/>
        </w:rPr>
        <w:t xml:space="preserve"> clear</w:t>
      </w:r>
      <w:r w:rsidR="006F7A08">
        <w:rPr>
          <w:szCs w:val="26"/>
        </w:rPr>
        <w:t xml:space="preserve"> that the</w:t>
      </w:r>
      <w:r w:rsidRPr="00302164">
        <w:rPr>
          <w:szCs w:val="26"/>
        </w:rPr>
        <w:t xml:space="preserve"> injury caused by medical negligence is different </w:t>
      </w:r>
      <w:r w:rsidRPr="00302164" w:rsidR="0049616F">
        <w:rPr>
          <w:szCs w:val="26"/>
        </w:rPr>
        <w:t xml:space="preserve">in this regard </w:t>
      </w:r>
      <w:r w:rsidRPr="00302164">
        <w:rPr>
          <w:szCs w:val="26"/>
        </w:rPr>
        <w:t xml:space="preserve">from many other types of </w:t>
      </w:r>
      <w:r w:rsidRPr="00302164" w:rsidR="00FD20A1">
        <w:rPr>
          <w:szCs w:val="26"/>
        </w:rPr>
        <w:t>injury-producing events</w:t>
      </w:r>
      <w:r w:rsidRPr="00302164" w:rsidR="00BA39F5">
        <w:rPr>
          <w:szCs w:val="26"/>
        </w:rPr>
        <w:t xml:space="preserve">.  </w:t>
      </w:r>
      <w:r w:rsidR="00EC38E1">
        <w:rPr>
          <w:szCs w:val="26"/>
        </w:rPr>
        <w:t>We explained that the</w:t>
      </w:r>
      <w:r w:rsidRPr="00302164" w:rsidR="00EC38E1">
        <w:rPr>
          <w:szCs w:val="26"/>
        </w:rPr>
        <w:t xml:space="preserve"> </w:t>
      </w:r>
      <w:r w:rsidRPr="00302164" w:rsidR="006C7FA6">
        <w:rPr>
          <w:szCs w:val="26"/>
        </w:rPr>
        <w:t xml:space="preserve">invisibility of injury-causing events </w:t>
      </w:r>
      <w:r w:rsidR="00EC38E1">
        <w:rPr>
          <w:szCs w:val="26"/>
        </w:rPr>
        <w:t xml:space="preserve">resulting from deficient medical care </w:t>
      </w:r>
      <w:r w:rsidRPr="00302164" w:rsidR="006C7FA6">
        <w:rPr>
          <w:szCs w:val="26"/>
        </w:rPr>
        <w:t xml:space="preserve">makes a typical medical negligence case </w:t>
      </w:r>
      <w:r w:rsidRPr="00302164" w:rsidR="00BA39F5">
        <w:rPr>
          <w:szCs w:val="26"/>
        </w:rPr>
        <w:t xml:space="preserve">distinguishable </w:t>
      </w:r>
      <w:r w:rsidRPr="00302164" w:rsidR="006C7FA6">
        <w:rPr>
          <w:szCs w:val="26"/>
        </w:rPr>
        <w:t>from, for instance, a case arising from “</w:t>
      </w:r>
      <w:r w:rsidRPr="00302164" w:rsidR="00337A84">
        <w:rPr>
          <w:szCs w:val="26"/>
        </w:rPr>
        <w:t> </w:t>
      </w:r>
      <w:r w:rsidRPr="00302164" w:rsidR="006C7FA6">
        <w:rPr>
          <w:szCs w:val="26"/>
        </w:rPr>
        <w:t>‘an explosion, traffic accident</w:t>
      </w:r>
      <w:r w:rsidRPr="00302164" w:rsidR="00F60529">
        <w:rPr>
          <w:szCs w:val="26"/>
        </w:rPr>
        <w:t>, or electrocution.’</w:t>
      </w:r>
      <w:r w:rsidRPr="00302164" w:rsidR="00337A84">
        <w:rPr>
          <w:szCs w:val="26"/>
        </w:rPr>
        <w:t> </w:t>
      </w:r>
      <w:r w:rsidRPr="00302164" w:rsidR="00F60529">
        <w:rPr>
          <w:szCs w:val="26"/>
        </w:rPr>
        <w:t>”  (</w:t>
      </w:r>
      <w:r w:rsidRPr="00302164" w:rsidR="00F60529">
        <w:rPr>
          <w:i/>
          <w:iCs/>
          <w:szCs w:val="26"/>
        </w:rPr>
        <w:t>Bird</w:t>
      </w:r>
      <w:r w:rsidRPr="00302164" w:rsidR="00F60529">
        <w:rPr>
          <w:szCs w:val="26"/>
        </w:rPr>
        <w:t xml:space="preserve">, </w:t>
      </w:r>
      <w:r w:rsidRPr="00302164" w:rsidR="00DC322D">
        <w:rPr>
          <w:i/>
          <w:iCs/>
          <w:szCs w:val="26"/>
        </w:rPr>
        <w:t>supra</w:t>
      </w:r>
      <w:r w:rsidRPr="00302164" w:rsidR="00DC322D">
        <w:rPr>
          <w:szCs w:val="26"/>
        </w:rPr>
        <w:t>, 28</w:t>
      </w:r>
      <w:r w:rsidR="0007686B">
        <w:rPr>
          <w:szCs w:val="26"/>
        </w:rPr>
        <w:t> </w:t>
      </w:r>
      <w:r w:rsidRPr="00302164" w:rsidR="00DC322D">
        <w:rPr>
          <w:szCs w:val="26"/>
        </w:rPr>
        <w:t>Cal.4th a</w:t>
      </w:r>
      <w:r w:rsidRPr="00302164" w:rsidR="00F60529">
        <w:rPr>
          <w:szCs w:val="26"/>
        </w:rPr>
        <w:t>t p.</w:t>
      </w:r>
      <w:r w:rsidRPr="00302164" w:rsidR="00337A84">
        <w:rPr>
          <w:szCs w:val="26"/>
        </w:rPr>
        <w:t> </w:t>
      </w:r>
      <w:r w:rsidRPr="00302164" w:rsidR="00F60529">
        <w:rPr>
          <w:szCs w:val="26"/>
        </w:rPr>
        <w:t xml:space="preserve">921, quoting </w:t>
      </w:r>
      <w:r w:rsidRPr="00302164">
        <w:rPr>
          <w:i/>
          <w:iCs/>
          <w:szCs w:val="26"/>
        </w:rPr>
        <w:t>Golstein</w:t>
      </w:r>
      <w:r w:rsidRPr="00302164">
        <w:rPr>
          <w:szCs w:val="26"/>
        </w:rPr>
        <w:t xml:space="preserve">, </w:t>
      </w:r>
      <w:r w:rsidRPr="00302164">
        <w:rPr>
          <w:i/>
          <w:iCs/>
          <w:szCs w:val="26"/>
        </w:rPr>
        <w:t>supra</w:t>
      </w:r>
      <w:r w:rsidRPr="00302164">
        <w:rPr>
          <w:szCs w:val="26"/>
        </w:rPr>
        <w:t>, 223</w:t>
      </w:r>
      <w:r w:rsidR="0007686B">
        <w:rPr>
          <w:szCs w:val="26"/>
        </w:rPr>
        <w:t> </w:t>
      </w:r>
      <w:r w:rsidRPr="00302164">
        <w:rPr>
          <w:szCs w:val="26"/>
        </w:rPr>
        <w:t>Cal.App.3d at p.</w:t>
      </w:r>
      <w:r w:rsidRPr="00302164" w:rsidR="00337A84">
        <w:rPr>
          <w:szCs w:val="26"/>
        </w:rPr>
        <w:t> </w:t>
      </w:r>
      <w:r w:rsidRPr="00302164">
        <w:rPr>
          <w:szCs w:val="26"/>
        </w:rPr>
        <w:t xml:space="preserve">1423.)  </w:t>
      </w:r>
      <w:r w:rsidRPr="00302164" w:rsidR="00173EA2">
        <w:rPr>
          <w:szCs w:val="26"/>
        </w:rPr>
        <w:t xml:space="preserve">Fairly read, </w:t>
      </w:r>
      <w:r w:rsidRPr="00302164" w:rsidR="00F12B18">
        <w:rPr>
          <w:i/>
          <w:iCs/>
          <w:szCs w:val="26"/>
        </w:rPr>
        <w:t>Bird</w:t>
      </w:r>
      <w:r w:rsidRPr="00302164" w:rsidR="00173EA2">
        <w:rPr>
          <w:szCs w:val="26"/>
        </w:rPr>
        <w:t xml:space="preserve"> does not hold </w:t>
      </w:r>
      <w:r w:rsidRPr="00302164" w:rsidR="00F12B18">
        <w:rPr>
          <w:szCs w:val="26"/>
        </w:rPr>
        <w:t xml:space="preserve">that </w:t>
      </w:r>
      <w:r w:rsidRPr="00302164" w:rsidR="00E65FFE">
        <w:rPr>
          <w:szCs w:val="26"/>
        </w:rPr>
        <w:t xml:space="preserve">plaintiffs who witness </w:t>
      </w:r>
      <w:r w:rsidRPr="00302164" w:rsidR="008818D9">
        <w:rPr>
          <w:szCs w:val="26"/>
        </w:rPr>
        <w:t>a serious traffic accident</w:t>
      </w:r>
      <w:r w:rsidR="00B213DF">
        <w:rPr>
          <w:szCs w:val="26"/>
        </w:rPr>
        <w:t xml:space="preserve"> also</w:t>
      </w:r>
      <w:r w:rsidRPr="00302164" w:rsidR="00E65FFE">
        <w:rPr>
          <w:szCs w:val="26"/>
        </w:rPr>
        <w:t xml:space="preserve"> may not recover for their emotional trauma unless they </w:t>
      </w:r>
      <w:r w:rsidRPr="00302164">
        <w:rPr>
          <w:szCs w:val="26"/>
        </w:rPr>
        <w:t>“</w:t>
      </w:r>
      <w:r w:rsidR="00646E59">
        <w:rPr>
          <w:szCs w:val="26"/>
        </w:rPr>
        <w:t> ‘</w:t>
      </w:r>
      <w:r w:rsidRPr="00302164">
        <w:rPr>
          <w:szCs w:val="26"/>
        </w:rPr>
        <w:t>experience a contemporaneous sensory awareness of the causal connection between the negligent conduct</w:t>
      </w:r>
      <w:r w:rsidR="00646E59">
        <w:rPr>
          <w:szCs w:val="26"/>
        </w:rPr>
        <w:t>’ </w:t>
      </w:r>
      <w:r w:rsidRPr="00302164" w:rsidR="008818D9">
        <w:rPr>
          <w:szCs w:val="26"/>
        </w:rPr>
        <w:t>” that led to the accident “</w:t>
      </w:r>
      <w:r w:rsidR="00646E59">
        <w:rPr>
          <w:szCs w:val="26"/>
        </w:rPr>
        <w:t> ‘</w:t>
      </w:r>
      <w:r w:rsidRPr="00302164">
        <w:rPr>
          <w:szCs w:val="26"/>
        </w:rPr>
        <w:t>and the resulting injury.</w:t>
      </w:r>
      <w:r w:rsidR="00646E59">
        <w:rPr>
          <w:szCs w:val="26"/>
        </w:rPr>
        <w:t>’ </w:t>
      </w:r>
      <w:r w:rsidRPr="00302164">
        <w:rPr>
          <w:szCs w:val="26"/>
        </w:rPr>
        <w:t>”  (</w:t>
      </w:r>
      <w:r w:rsidRPr="00302164">
        <w:rPr>
          <w:i/>
          <w:iCs/>
          <w:szCs w:val="26"/>
        </w:rPr>
        <w:t>Bird</w:t>
      </w:r>
      <w:r w:rsidRPr="00302164">
        <w:rPr>
          <w:szCs w:val="26"/>
        </w:rPr>
        <w:t>, at p.</w:t>
      </w:r>
      <w:r w:rsidRPr="00302164" w:rsidR="00337A84">
        <w:rPr>
          <w:szCs w:val="26"/>
        </w:rPr>
        <w:t> </w:t>
      </w:r>
      <w:r w:rsidRPr="00302164">
        <w:rPr>
          <w:szCs w:val="26"/>
        </w:rPr>
        <w:t>918.)</w:t>
      </w:r>
      <w:r w:rsidRPr="00302164" w:rsidR="00173EA2">
        <w:rPr>
          <w:szCs w:val="26"/>
        </w:rPr>
        <w:t xml:space="preserve">  To the extent the Court of Appeal </w:t>
      </w:r>
      <w:r w:rsidR="00965D48">
        <w:rPr>
          <w:szCs w:val="26"/>
        </w:rPr>
        <w:t xml:space="preserve">majority </w:t>
      </w:r>
      <w:r w:rsidRPr="00302164" w:rsidR="00173EA2">
        <w:rPr>
          <w:szCs w:val="26"/>
        </w:rPr>
        <w:t xml:space="preserve">in this case read </w:t>
      </w:r>
      <w:r w:rsidRPr="00302164" w:rsidR="00173EA2">
        <w:rPr>
          <w:i/>
          <w:iCs/>
          <w:szCs w:val="26"/>
        </w:rPr>
        <w:t>Bird</w:t>
      </w:r>
      <w:r w:rsidRPr="00302164" w:rsidR="00173EA2">
        <w:rPr>
          <w:szCs w:val="26"/>
        </w:rPr>
        <w:t xml:space="preserve"> otherwise, we </w:t>
      </w:r>
      <w:r w:rsidR="00B213DF">
        <w:rPr>
          <w:szCs w:val="26"/>
        </w:rPr>
        <w:t>hold</w:t>
      </w:r>
      <w:r w:rsidRPr="00302164" w:rsidR="00B213DF">
        <w:rPr>
          <w:szCs w:val="26"/>
        </w:rPr>
        <w:t xml:space="preserve"> </w:t>
      </w:r>
      <w:r w:rsidRPr="00302164" w:rsidR="00173EA2">
        <w:rPr>
          <w:szCs w:val="26"/>
        </w:rPr>
        <w:t>that it was in error.</w:t>
      </w:r>
    </w:p>
    <w:p w:rsidR="00371480" w:rsidRPr="00302164" w:rsidP="00256A57" w14:paraId="4E159A47" w14:textId="6A7A0E07">
      <w:pPr>
        <w:tabs>
          <w:tab w:val="left" w:pos="720"/>
        </w:tabs>
        <w:rPr>
          <w:szCs w:val="26"/>
        </w:rPr>
      </w:pPr>
      <w:r w:rsidRPr="00302164">
        <w:rPr>
          <w:szCs w:val="26"/>
        </w:rPr>
        <w:tab/>
        <w:t xml:space="preserve">The Court of Appeal </w:t>
      </w:r>
      <w:r w:rsidR="00965D48">
        <w:rPr>
          <w:szCs w:val="26"/>
        </w:rPr>
        <w:t xml:space="preserve">majority </w:t>
      </w:r>
      <w:r w:rsidRPr="00302164">
        <w:rPr>
          <w:szCs w:val="26"/>
        </w:rPr>
        <w:t xml:space="preserve">also </w:t>
      </w:r>
      <w:r w:rsidRPr="00302164" w:rsidR="00A85BA4">
        <w:rPr>
          <w:szCs w:val="26"/>
        </w:rPr>
        <w:t xml:space="preserve">relied on </w:t>
      </w:r>
      <w:r w:rsidRPr="00302164" w:rsidR="00173EA2">
        <w:rPr>
          <w:szCs w:val="26"/>
        </w:rPr>
        <w:t xml:space="preserve">the </w:t>
      </w:r>
      <w:r w:rsidRPr="00302164" w:rsidR="004E265D">
        <w:rPr>
          <w:szCs w:val="26"/>
        </w:rPr>
        <w:t>decision in</w:t>
      </w:r>
      <w:r w:rsidRPr="00302164">
        <w:rPr>
          <w:szCs w:val="26"/>
        </w:rPr>
        <w:t xml:space="preserve"> </w:t>
      </w:r>
      <w:r w:rsidRPr="00302164" w:rsidR="0097633D">
        <w:rPr>
          <w:i/>
          <w:iCs/>
          <w:szCs w:val="26"/>
        </w:rPr>
        <w:t>Fortman v. F</w:t>
      </w:r>
      <w:r w:rsidRPr="00302164" w:rsidR="00493E9C">
        <w:rPr>
          <w:i/>
          <w:iCs/>
          <w:szCs w:val="26"/>
        </w:rPr>
        <w:t>ö</w:t>
      </w:r>
      <w:r w:rsidRPr="00302164" w:rsidR="0097633D">
        <w:rPr>
          <w:i/>
          <w:iCs/>
          <w:szCs w:val="26"/>
        </w:rPr>
        <w:t>rvaltningsbolaget Insulan AB</w:t>
      </w:r>
      <w:r w:rsidRPr="00302164" w:rsidR="0097633D">
        <w:rPr>
          <w:szCs w:val="26"/>
        </w:rPr>
        <w:t xml:space="preserve"> (2013) 212</w:t>
      </w:r>
      <w:r w:rsidR="0007686B">
        <w:rPr>
          <w:szCs w:val="26"/>
        </w:rPr>
        <w:t> </w:t>
      </w:r>
      <w:r w:rsidRPr="00302164" w:rsidR="0097633D">
        <w:rPr>
          <w:szCs w:val="26"/>
        </w:rPr>
        <w:t>Cal.App.4th 830 (</w:t>
      </w:r>
      <w:r w:rsidRPr="00302164" w:rsidR="0097633D">
        <w:rPr>
          <w:i/>
          <w:iCs/>
          <w:szCs w:val="26"/>
        </w:rPr>
        <w:t>Fortman</w:t>
      </w:r>
      <w:r w:rsidRPr="00302164" w:rsidR="0097633D">
        <w:rPr>
          <w:szCs w:val="26"/>
        </w:rPr>
        <w:t>)</w:t>
      </w:r>
      <w:r w:rsidRPr="00302164" w:rsidR="00E7325F">
        <w:rPr>
          <w:szCs w:val="26"/>
        </w:rPr>
        <w:t>, a products liability case</w:t>
      </w:r>
      <w:r w:rsidRPr="00302164" w:rsidR="00EC41B2">
        <w:rPr>
          <w:szCs w:val="26"/>
        </w:rPr>
        <w:t xml:space="preserve">.  </w:t>
      </w:r>
      <w:r w:rsidRPr="00302164" w:rsidR="004E265D">
        <w:rPr>
          <w:szCs w:val="26"/>
        </w:rPr>
        <w:t xml:space="preserve">(See </w:t>
      </w:r>
      <w:r w:rsidRPr="00302164" w:rsidR="004E265D">
        <w:rPr>
          <w:i/>
          <w:iCs/>
          <w:szCs w:val="26"/>
        </w:rPr>
        <w:t>Downey</w:t>
      </w:r>
      <w:r w:rsidRPr="00302164" w:rsidR="004E265D">
        <w:rPr>
          <w:szCs w:val="26"/>
        </w:rPr>
        <w:t xml:space="preserve">, </w:t>
      </w:r>
      <w:r w:rsidRPr="00302164" w:rsidR="004E265D">
        <w:rPr>
          <w:i/>
          <w:iCs/>
          <w:szCs w:val="26"/>
        </w:rPr>
        <w:t>supra</w:t>
      </w:r>
      <w:r w:rsidRPr="00302164" w:rsidR="004E265D">
        <w:rPr>
          <w:szCs w:val="26"/>
        </w:rPr>
        <w:t>, 90</w:t>
      </w:r>
      <w:r w:rsidR="0007686B">
        <w:rPr>
          <w:szCs w:val="26"/>
        </w:rPr>
        <w:t> </w:t>
      </w:r>
      <w:r w:rsidRPr="00302164" w:rsidR="004E265D">
        <w:rPr>
          <w:szCs w:val="26"/>
        </w:rPr>
        <w:t>Cal.App.5th at pp.</w:t>
      </w:r>
      <w:r w:rsidRPr="00302164" w:rsidR="00337A84">
        <w:rPr>
          <w:szCs w:val="26"/>
        </w:rPr>
        <w:t> </w:t>
      </w:r>
      <w:r w:rsidRPr="00302164" w:rsidR="004E265D">
        <w:rPr>
          <w:szCs w:val="26"/>
        </w:rPr>
        <w:t xml:space="preserve">1049–1050, 1053.)  </w:t>
      </w:r>
      <w:r w:rsidRPr="00302164" w:rsidR="00EC41B2">
        <w:rPr>
          <w:szCs w:val="26"/>
        </w:rPr>
        <w:t xml:space="preserve">In </w:t>
      </w:r>
      <w:r w:rsidRPr="00302164" w:rsidR="001F1A3D">
        <w:rPr>
          <w:i/>
          <w:iCs/>
          <w:szCs w:val="26"/>
        </w:rPr>
        <w:t>Fortman</w:t>
      </w:r>
      <w:r w:rsidRPr="00302164" w:rsidR="001F1A3D">
        <w:rPr>
          <w:szCs w:val="26"/>
        </w:rPr>
        <w:t>,</w:t>
      </w:r>
      <w:r w:rsidRPr="00302164" w:rsidR="008E4C4A">
        <w:rPr>
          <w:szCs w:val="26"/>
        </w:rPr>
        <w:t xml:space="preserve"> </w:t>
      </w:r>
      <w:r w:rsidRPr="00302164" w:rsidR="0071656D">
        <w:rPr>
          <w:szCs w:val="26"/>
        </w:rPr>
        <w:t>the plaintiff brought a bystander claim for the distress she suffered when she saw her brother die while they were scuba diving.  (</w:t>
      </w:r>
      <w:r w:rsidRPr="00302164" w:rsidR="00DC322D">
        <w:rPr>
          <w:i/>
          <w:iCs/>
          <w:szCs w:val="26"/>
        </w:rPr>
        <w:t>Fortman</w:t>
      </w:r>
      <w:r w:rsidRPr="00302164" w:rsidR="00DC322D">
        <w:rPr>
          <w:szCs w:val="26"/>
        </w:rPr>
        <w:t>,</w:t>
      </w:r>
      <w:r w:rsidRPr="00302164" w:rsidR="0071656D">
        <w:rPr>
          <w:szCs w:val="26"/>
        </w:rPr>
        <w:t xml:space="preserve"> at p.</w:t>
      </w:r>
      <w:r w:rsidRPr="00302164" w:rsidR="00F12BB9">
        <w:rPr>
          <w:szCs w:val="26"/>
        </w:rPr>
        <w:t> </w:t>
      </w:r>
      <w:r w:rsidRPr="00302164" w:rsidR="0071656D">
        <w:rPr>
          <w:szCs w:val="26"/>
        </w:rPr>
        <w:t xml:space="preserve">832.)  </w:t>
      </w:r>
      <w:r w:rsidRPr="00302164" w:rsidR="00173EA2">
        <w:rPr>
          <w:szCs w:val="26"/>
        </w:rPr>
        <w:t>At the time</w:t>
      </w:r>
      <w:r w:rsidRPr="00302164" w:rsidR="0071656D">
        <w:rPr>
          <w:szCs w:val="26"/>
        </w:rPr>
        <w:t>, the plaintiff thought that her brother was having a heart attack</w:t>
      </w:r>
      <w:r w:rsidRPr="00302164" w:rsidR="00173EA2">
        <w:rPr>
          <w:szCs w:val="26"/>
        </w:rPr>
        <w:t>.  B</w:t>
      </w:r>
      <w:r w:rsidRPr="00302164" w:rsidR="00AD2EEC">
        <w:rPr>
          <w:szCs w:val="26"/>
        </w:rPr>
        <w:t>ut months later she learned th</w:t>
      </w:r>
      <w:r w:rsidRPr="00302164" w:rsidR="00AD6BAC">
        <w:rPr>
          <w:szCs w:val="26"/>
        </w:rPr>
        <w:t xml:space="preserve">at the true cause of the accident was a catastrophic equipment failure:  </w:t>
      </w:r>
      <w:r w:rsidRPr="00302164" w:rsidR="0071656D">
        <w:rPr>
          <w:szCs w:val="26"/>
        </w:rPr>
        <w:t xml:space="preserve">“a plastic flow-restriction insert” in </w:t>
      </w:r>
      <w:r w:rsidRPr="00302164" w:rsidR="00AD6BAC">
        <w:rPr>
          <w:szCs w:val="26"/>
        </w:rPr>
        <w:t xml:space="preserve">her brother’s </w:t>
      </w:r>
      <w:r w:rsidRPr="00302164" w:rsidR="00073902">
        <w:rPr>
          <w:szCs w:val="26"/>
        </w:rPr>
        <w:t>dry suit</w:t>
      </w:r>
      <w:r w:rsidRPr="00302164" w:rsidR="0071656D">
        <w:rPr>
          <w:szCs w:val="26"/>
        </w:rPr>
        <w:t xml:space="preserve"> “had become lodged in [his] second-stage regulator </w:t>
      </w:r>
      <w:r w:rsidRPr="00302164" w:rsidR="00073902">
        <w:rPr>
          <w:szCs w:val="26"/>
        </w:rPr>
        <w:t>[and]</w:t>
      </w:r>
      <w:r w:rsidRPr="00302164" w:rsidR="0071656D">
        <w:rPr>
          <w:szCs w:val="26"/>
        </w:rPr>
        <w:t xml:space="preserve"> prevented him from getting enough air to breathe while underwater.”  (</w:t>
      </w:r>
      <w:r w:rsidRPr="00302164" w:rsidR="0071656D">
        <w:rPr>
          <w:i/>
          <w:iCs/>
          <w:szCs w:val="26"/>
        </w:rPr>
        <w:t>Ibid</w:t>
      </w:r>
      <w:r w:rsidRPr="00302164" w:rsidR="0071656D">
        <w:rPr>
          <w:szCs w:val="26"/>
        </w:rPr>
        <w:t xml:space="preserve">.; see </w:t>
      </w:r>
      <w:r w:rsidRPr="00302164" w:rsidR="0071656D">
        <w:rPr>
          <w:i/>
          <w:iCs/>
          <w:szCs w:val="26"/>
        </w:rPr>
        <w:t>id.</w:t>
      </w:r>
      <w:r w:rsidRPr="00302164" w:rsidR="0071656D">
        <w:rPr>
          <w:szCs w:val="26"/>
        </w:rPr>
        <w:t xml:space="preserve"> at p.</w:t>
      </w:r>
      <w:r w:rsidRPr="00302164" w:rsidR="00337A84">
        <w:rPr>
          <w:szCs w:val="26"/>
        </w:rPr>
        <w:t> </w:t>
      </w:r>
      <w:r w:rsidRPr="00302164" w:rsidR="0071656D">
        <w:rPr>
          <w:szCs w:val="26"/>
        </w:rPr>
        <w:t>84</w:t>
      </w:r>
      <w:r w:rsidRPr="00302164" w:rsidR="00211D7E">
        <w:rPr>
          <w:szCs w:val="26"/>
        </w:rPr>
        <w:t>5</w:t>
      </w:r>
      <w:r w:rsidRPr="00302164" w:rsidR="0071656D">
        <w:rPr>
          <w:szCs w:val="26"/>
        </w:rPr>
        <w:t xml:space="preserve">.)  </w:t>
      </w:r>
    </w:p>
    <w:p w:rsidR="00852039" w:rsidRPr="00302164" w:rsidP="00256A57" w14:paraId="3EE0C4B3" w14:textId="6BD18478">
      <w:pPr>
        <w:tabs>
          <w:tab w:val="left" w:pos="720"/>
        </w:tabs>
        <w:rPr>
          <w:szCs w:val="26"/>
        </w:rPr>
      </w:pPr>
      <w:r w:rsidRPr="00302164">
        <w:rPr>
          <w:szCs w:val="26"/>
        </w:rPr>
        <w:tab/>
      </w:r>
      <w:r w:rsidRPr="00302164" w:rsidR="00F43189">
        <w:rPr>
          <w:szCs w:val="26"/>
        </w:rPr>
        <w:t>The Court of Appeal concluded that the plaintiff had no viable claim for negligent infliction of emotional distress against the manufacturer of the defective flow</w:t>
      </w:r>
      <w:r w:rsidRPr="00302164" w:rsidR="004E2D8D">
        <w:rPr>
          <w:szCs w:val="26"/>
        </w:rPr>
        <w:t>-restriction</w:t>
      </w:r>
      <w:r w:rsidRPr="00302164" w:rsidR="00F43189">
        <w:rPr>
          <w:szCs w:val="26"/>
        </w:rPr>
        <w:t xml:space="preserve"> insert because she “thought her brother had suffered a heart attack; she did not contemporaneously perceive his injuries were being caused by the company’s defective product.”  (</w:t>
      </w:r>
      <w:r w:rsidRPr="00302164" w:rsidR="00F21DAB">
        <w:rPr>
          <w:i/>
          <w:iCs/>
          <w:szCs w:val="26"/>
        </w:rPr>
        <w:t>Fortman</w:t>
      </w:r>
      <w:r w:rsidRPr="00302164" w:rsidR="00F21DAB">
        <w:rPr>
          <w:szCs w:val="26"/>
        </w:rPr>
        <w:t xml:space="preserve">, </w:t>
      </w:r>
      <w:r w:rsidRPr="00302164" w:rsidR="00F21DAB">
        <w:rPr>
          <w:i/>
          <w:iCs/>
          <w:szCs w:val="26"/>
        </w:rPr>
        <w:t>supra</w:t>
      </w:r>
      <w:r w:rsidRPr="00302164" w:rsidR="00F21DAB">
        <w:rPr>
          <w:szCs w:val="26"/>
        </w:rPr>
        <w:t xml:space="preserve">, 212 Cal.App.4th at </w:t>
      </w:r>
      <w:r w:rsidRPr="00302164" w:rsidR="00F43189">
        <w:rPr>
          <w:szCs w:val="26"/>
        </w:rPr>
        <w:t>p.</w:t>
      </w:r>
      <w:r w:rsidRPr="00302164" w:rsidR="00337A84">
        <w:rPr>
          <w:szCs w:val="26"/>
        </w:rPr>
        <w:t> </w:t>
      </w:r>
      <w:r w:rsidRPr="00302164" w:rsidR="00F43189">
        <w:rPr>
          <w:szCs w:val="26"/>
        </w:rPr>
        <w:t>834.)</w:t>
      </w:r>
      <w:r w:rsidRPr="00302164" w:rsidR="00287ABC">
        <w:rPr>
          <w:szCs w:val="26"/>
        </w:rPr>
        <w:t xml:space="preserve">  The Court of Appeal reasoned that the “unobservable” character of the product failure made </w:t>
      </w:r>
      <w:r w:rsidRPr="00302164" w:rsidR="00516E94">
        <w:rPr>
          <w:szCs w:val="26"/>
        </w:rPr>
        <w:t xml:space="preserve">the case more analogous to medical malpractice scenarios than to ordinary accident cases:  “Fortman witnessed her brother’s injury, but like the parents in </w:t>
      </w:r>
      <w:r w:rsidRPr="00302164" w:rsidR="00516E94">
        <w:rPr>
          <w:i/>
          <w:iCs/>
          <w:szCs w:val="26"/>
        </w:rPr>
        <w:t>Golstein</w:t>
      </w:r>
      <w:r w:rsidRPr="00302164" w:rsidR="00516E94">
        <w:rPr>
          <w:szCs w:val="26"/>
        </w:rPr>
        <w:t xml:space="preserve"> who were unaware of the radiation overdose, Fortman had no contemporaneous awareness of the causal connection between the company’s defective product and her brother’s injuries.”  (</w:t>
      </w:r>
      <w:r w:rsidRPr="00302164" w:rsidR="009A4674">
        <w:rPr>
          <w:i/>
          <w:iCs/>
          <w:szCs w:val="26"/>
        </w:rPr>
        <w:t>Id.</w:t>
      </w:r>
      <w:r w:rsidRPr="00302164" w:rsidR="00516E94">
        <w:rPr>
          <w:i/>
          <w:iCs/>
          <w:szCs w:val="26"/>
        </w:rPr>
        <w:t xml:space="preserve"> </w:t>
      </w:r>
      <w:r w:rsidRPr="00302164" w:rsidR="00516E94">
        <w:rPr>
          <w:szCs w:val="26"/>
        </w:rPr>
        <w:t>at p. 845.)</w:t>
      </w:r>
    </w:p>
    <w:p w:rsidR="00C05E0C" w:rsidRPr="00302164" w:rsidP="005D6BB5" w14:paraId="67BC3F60" w14:textId="02FC7263">
      <w:pPr>
        <w:tabs>
          <w:tab w:val="left" w:pos="720"/>
        </w:tabs>
        <w:rPr>
          <w:szCs w:val="26"/>
        </w:rPr>
      </w:pPr>
      <w:r w:rsidRPr="00302164">
        <w:rPr>
          <w:szCs w:val="26"/>
        </w:rPr>
        <w:tab/>
      </w:r>
      <w:r w:rsidR="006F7A08">
        <w:rPr>
          <w:szCs w:val="26"/>
        </w:rPr>
        <w:t>T</w:t>
      </w:r>
      <w:r w:rsidRPr="00302164" w:rsidR="00811CA2">
        <w:rPr>
          <w:szCs w:val="26"/>
        </w:rPr>
        <w:t>he scenario i</w:t>
      </w:r>
      <w:r w:rsidR="006F7A08">
        <w:rPr>
          <w:szCs w:val="26"/>
        </w:rPr>
        <w:t xml:space="preserve">n </w:t>
      </w:r>
      <w:r w:rsidR="006F7A08">
        <w:rPr>
          <w:i/>
          <w:iCs/>
          <w:szCs w:val="26"/>
        </w:rPr>
        <w:t>Fortman</w:t>
      </w:r>
      <w:r w:rsidRPr="00302164" w:rsidR="00811CA2">
        <w:rPr>
          <w:szCs w:val="26"/>
        </w:rPr>
        <w:t xml:space="preserve"> is an unusual one</w:t>
      </w:r>
      <w:r w:rsidRPr="00302164" w:rsidR="008D2411">
        <w:rPr>
          <w:szCs w:val="26"/>
        </w:rPr>
        <w:t xml:space="preserve">, and </w:t>
      </w:r>
      <w:r w:rsidRPr="00302164" w:rsidR="00811CA2">
        <w:rPr>
          <w:szCs w:val="26"/>
        </w:rPr>
        <w:t>whether the court analyzed it correctly is beyond the scope of the issues presented in this case</w:t>
      </w:r>
      <w:r w:rsidRPr="00302164" w:rsidR="00C76CD5">
        <w:rPr>
          <w:szCs w:val="26"/>
        </w:rPr>
        <w:t xml:space="preserve">.  </w:t>
      </w:r>
      <w:r w:rsidRPr="00302164" w:rsidR="008D2411">
        <w:rPr>
          <w:szCs w:val="26"/>
        </w:rPr>
        <w:t xml:space="preserve">For our purposes it </w:t>
      </w:r>
      <w:r w:rsidRPr="00302164" w:rsidR="00C76CD5">
        <w:rPr>
          <w:szCs w:val="26"/>
        </w:rPr>
        <w:t>suffices to observe that</w:t>
      </w:r>
      <w:r w:rsidRPr="00302164" w:rsidR="004867E5">
        <w:rPr>
          <w:szCs w:val="26"/>
        </w:rPr>
        <w:t xml:space="preserve"> </w:t>
      </w:r>
      <w:r w:rsidRPr="00302164" w:rsidR="004867E5">
        <w:rPr>
          <w:i/>
          <w:iCs/>
          <w:szCs w:val="26"/>
        </w:rPr>
        <w:t xml:space="preserve">Fortman </w:t>
      </w:r>
      <w:r w:rsidRPr="00302164" w:rsidR="00C76CD5">
        <w:rPr>
          <w:szCs w:val="26"/>
        </w:rPr>
        <w:t xml:space="preserve">offers no clear answer to the question </w:t>
      </w:r>
      <w:r w:rsidRPr="00302164" w:rsidR="008D2411">
        <w:rPr>
          <w:szCs w:val="26"/>
        </w:rPr>
        <w:t>now before us</w:t>
      </w:r>
      <w:r w:rsidRPr="00302164" w:rsidR="00C76CD5">
        <w:rPr>
          <w:szCs w:val="26"/>
        </w:rPr>
        <w:t>.  M</w:t>
      </w:r>
      <w:r w:rsidRPr="00302164" w:rsidR="00D57AB0">
        <w:rPr>
          <w:szCs w:val="26"/>
        </w:rPr>
        <w:t xml:space="preserve">uch as in </w:t>
      </w:r>
      <w:r w:rsidRPr="00302164" w:rsidR="00D57AB0">
        <w:rPr>
          <w:i/>
          <w:iCs/>
          <w:szCs w:val="26"/>
        </w:rPr>
        <w:t xml:space="preserve">Bird </w:t>
      </w:r>
      <w:r w:rsidRPr="00302164" w:rsidR="00D57AB0">
        <w:rPr>
          <w:szCs w:val="26"/>
        </w:rPr>
        <w:t xml:space="preserve">and </w:t>
      </w:r>
      <w:r w:rsidRPr="00302164" w:rsidR="00D57AB0">
        <w:rPr>
          <w:i/>
          <w:iCs/>
          <w:szCs w:val="26"/>
        </w:rPr>
        <w:t>Golstein</w:t>
      </w:r>
      <w:r w:rsidRPr="00302164" w:rsidR="00D57AB0">
        <w:rPr>
          <w:szCs w:val="26"/>
        </w:rPr>
        <w:t xml:space="preserve">, </w:t>
      </w:r>
      <w:r w:rsidR="002E2AB8">
        <w:rPr>
          <w:szCs w:val="26"/>
        </w:rPr>
        <w:t xml:space="preserve">the court in </w:t>
      </w:r>
      <w:r w:rsidRPr="00302164" w:rsidR="00D57AB0">
        <w:rPr>
          <w:i/>
          <w:iCs/>
          <w:szCs w:val="26"/>
        </w:rPr>
        <w:t xml:space="preserve">Fortman </w:t>
      </w:r>
      <w:r w:rsidR="002E2AB8">
        <w:rPr>
          <w:szCs w:val="26"/>
        </w:rPr>
        <w:t>did not</w:t>
      </w:r>
      <w:r w:rsidRPr="00302164" w:rsidR="00D57AB0">
        <w:rPr>
          <w:szCs w:val="26"/>
        </w:rPr>
        <w:t xml:space="preserve"> probe </w:t>
      </w:r>
      <w:r w:rsidRPr="00302164" w:rsidR="00682CA0">
        <w:rPr>
          <w:szCs w:val="26"/>
        </w:rPr>
        <w:t xml:space="preserve">the </w:t>
      </w:r>
      <w:r w:rsidRPr="00302164" w:rsidR="00D57AB0">
        <w:rPr>
          <w:szCs w:val="26"/>
        </w:rPr>
        <w:t xml:space="preserve">conceptual </w:t>
      </w:r>
      <w:r w:rsidRPr="00302164" w:rsidR="00682CA0">
        <w:rPr>
          <w:szCs w:val="26"/>
        </w:rPr>
        <w:t xml:space="preserve">relationship </w:t>
      </w:r>
      <w:r w:rsidRPr="00302164" w:rsidR="00D57AB0">
        <w:rPr>
          <w:szCs w:val="26"/>
        </w:rPr>
        <w:t xml:space="preserve">between “the injury-causing event” and </w:t>
      </w:r>
      <w:r w:rsidR="00F57963">
        <w:rPr>
          <w:szCs w:val="26"/>
        </w:rPr>
        <w:t>“</w:t>
      </w:r>
      <w:r w:rsidRPr="00302164" w:rsidR="00D57AB0">
        <w:rPr>
          <w:szCs w:val="26"/>
        </w:rPr>
        <w:t>the defendant</w:t>
      </w:r>
      <w:r w:rsidRPr="00302164" w:rsidR="002B07B1">
        <w:rPr>
          <w:szCs w:val="26"/>
        </w:rPr>
        <w:t>’s conduct</w:t>
      </w:r>
      <w:r w:rsidR="00F57963">
        <w:rPr>
          <w:szCs w:val="26"/>
        </w:rPr>
        <w:t>”</w:t>
      </w:r>
      <w:r w:rsidRPr="00302164" w:rsidR="00BF32D8">
        <w:rPr>
          <w:szCs w:val="26"/>
        </w:rPr>
        <w:t xml:space="preserve"> </w:t>
      </w:r>
      <w:r w:rsidRPr="00302164" w:rsidR="00D57AB0">
        <w:rPr>
          <w:szCs w:val="26"/>
        </w:rPr>
        <w:t>because</w:t>
      </w:r>
      <w:r w:rsidRPr="00302164" w:rsidR="005852E2">
        <w:rPr>
          <w:szCs w:val="26"/>
        </w:rPr>
        <w:t xml:space="preserve">, as the court saw it, </w:t>
      </w:r>
      <w:r w:rsidRPr="00302164" w:rsidR="008E7C75">
        <w:rPr>
          <w:szCs w:val="26"/>
        </w:rPr>
        <w:t xml:space="preserve">the two things were </w:t>
      </w:r>
      <w:r w:rsidRPr="00302164" w:rsidR="00BF32D8">
        <w:rPr>
          <w:szCs w:val="26"/>
        </w:rPr>
        <w:t>inextricably intertwined</w:t>
      </w:r>
      <w:r w:rsidRPr="00302164" w:rsidR="001533C8">
        <w:rPr>
          <w:szCs w:val="26"/>
        </w:rPr>
        <w:t>.  T</w:t>
      </w:r>
      <w:r w:rsidRPr="00302164" w:rsidR="00457A5E">
        <w:rPr>
          <w:szCs w:val="26"/>
        </w:rPr>
        <w:t>he plaintiff</w:t>
      </w:r>
      <w:r w:rsidR="00F57963">
        <w:rPr>
          <w:szCs w:val="26"/>
        </w:rPr>
        <w:t xml:space="preserve"> understood </w:t>
      </w:r>
      <w:r w:rsidRPr="00302164" w:rsidR="00457A5E">
        <w:rPr>
          <w:szCs w:val="26"/>
        </w:rPr>
        <w:t xml:space="preserve">that her brother </w:t>
      </w:r>
      <w:r w:rsidR="00F57963">
        <w:rPr>
          <w:szCs w:val="26"/>
        </w:rPr>
        <w:t>had been</w:t>
      </w:r>
      <w:r w:rsidRPr="00302164" w:rsidR="00457A5E">
        <w:rPr>
          <w:szCs w:val="26"/>
        </w:rPr>
        <w:t xml:space="preserve"> injured </w:t>
      </w:r>
      <w:r w:rsidR="003F7C1A">
        <w:rPr>
          <w:szCs w:val="26"/>
        </w:rPr>
        <w:t xml:space="preserve">only </w:t>
      </w:r>
      <w:r w:rsidR="00F57963">
        <w:rPr>
          <w:szCs w:val="26"/>
        </w:rPr>
        <w:t xml:space="preserve">after she was informed, months after the event, </w:t>
      </w:r>
      <w:r w:rsidRPr="00302164" w:rsidR="00457A5E">
        <w:rPr>
          <w:szCs w:val="26"/>
        </w:rPr>
        <w:t xml:space="preserve">that he </w:t>
      </w:r>
      <w:r w:rsidR="00F57963">
        <w:rPr>
          <w:szCs w:val="26"/>
        </w:rPr>
        <w:t>had</w:t>
      </w:r>
      <w:r w:rsidRPr="00302164" w:rsidR="00F57963">
        <w:rPr>
          <w:szCs w:val="26"/>
        </w:rPr>
        <w:t xml:space="preserve"> </w:t>
      </w:r>
      <w:r w:rsidRPr="00302164" w:rsidR="00457A5E">
        <w:rPr>
          <w:szCs w:val="26"/>
        </w:rPr>
        <w:t>experienc</w:t>
      </w:r>
      <w:r w:rsidR="00F57963">
        <w:rPr>
          <w:szCs w:val="26"/>
        </w:rPr>
        <w:t>ed</w:t>
      </w:r>
      <w:r w:rsidRPr="00302164" w:rsidR="00457A5E">
        <w:rPr>
          <w:szCs w:val="26"/>
        </w:rPr>
        <w:t xml:space="preserve"> an </w:t>
      </w:r>
      <w:r w:rsidRPr="00302164" w:rsidR="009A19A8">
        <w:rPr>
          <w:szCs w:val="26"/>
        </w:rPr>
        <w:t xml:space="preserve">injury-producing </w:t>
      </w:r>
      <w:r w:rsidRPr="00302164" w:rsidR="00457A5E">
        <w:rPr>
          <w:szCs w:val="26"/>
        </w:rPr>
        <w:t>equipment failure.</w:t>
      </w:r>
      <w:r w:rsidRPr="00302164" w:rsidR="005852E2">
        <w:rPr>
          <w:szCs w:val="26"/>
        </w:rPr>
        <w:t xml:space="preserve">  </w:t>
      </w:r>
      <w:r w:rsidR="007705EE">
        <w:rPr>
          <w:szCs w:val="26"/>
        </w:rPr>
        <w:t>At the time that she saw her brother die, she thought that he was dying of a natural cause not attributable to an outside force acting on him, so she did not understand that he</w:t>
      </w:r>
      <w:r w:rsidR="003A469A">
        <w:rPr>
          <w:szCs w:val="26"/>
        </w:rPr>
        <w:t>r</w:t>
      </w:r>
      <w:r w:rsidR="007705EE">
        <w:rPr>
          <w:szCs w:val="26"/>
        </w:rPr>
        <w:t xml:space="preserve"> brother </w:t>
      </w:r>
      <w:r w:rsidRPr="00D95138" w:rsidR="007705EE">
        <w:rPr>
          <w:i/>
          <w:iCs/>
          <w:szCs w:val="26"/>
        </w:rPr>
        <w:t>was being injured</w:t>
      </w:r>
      <w:r w:rsidRPr="00A863B2" w:rsidR="00A863B2">
        <w:rPr>
          <w:szCs w:val="26"/>
        </w:rPr>
        <w:t> </w:t>
      </w:r>
      <w:r w:rsidR="007705EE">
        <w:rPr>
          <w:szCs w:val="26"/>
        </w:rPr>
        <w:t xml:space="preserve">— that what she </w:t>
      </w:r>
      <w:r w:rsidR="003A469A">
        <w:rPr>
          <w:szCs w:val="26"/>
        </w:rPr>
        <w:t xml:space="preserve">was witnessing </w:t>
      </w:r>
      <w:r w:rsidR="007705EE">
        <w:rPr>
          <w:szCs w:val="26"/>
        </w:rPr>
        <w:t xml:space="preserve">was </w:t>
      </w:r>
      <w:r w:rsidRPr="00D95138" w:rsidR="007705EE">
        <w:rPr>
          <w:i/>
          <w:iCs/>
          <w:szCs w:val="26"/>
        </w:rPr>
        <w:t>an injury-producing event</w:t>
      </w:r>
      <w:r w:rsidR="007705EE">
        <w:rPr>
          <w:szCs w:val="26"/>
        </w:rPr>
        <w:t xml:space="preserve">.  </w:t>
      </w:r>
      <w:r w:rsidRPr="00302164" w:rsidR="00A4482D">
        <w:rPr>
          <w:szCs w:val="26"/>
        </w:rPr>
        <w:t xml:space="preserve">Ultimately, the dispositive issue was </w:t>
      </w:r>
      <w:r w:rsidRPr="00302164" w:rsidR="002E7DB3">
        <w:rPr>
          <w:i/>
          <w:iCs/>
          <w:szCs w:val="26"/>
        </w:rPr>
        <w:t>Thing</w:t>
      </w:r>
      <w:r w:rsidRPr="00302164" w:rsidR="003B07FA">
        <w:rPr>
          <w:szCs w:val="26"/>
        </w:rPr>
        <w:t>’s requirement</w:t>
      </w:r>
      <w:r w:rsidRPr="00302164" w:rsidR="00AA548E">
        <w:rPr>
          <w:szCs w:val="26"/>
        </w:rPr>
        <w:t xml:space="preserve"> that the plaintiff</w:t>
      </w:r>
      <w:r w:rsidRPr="00302164" w:rsidR="00756570">
        <w:rPr>
          <w:szCs w:val="26"/>
        </w:rPr>
        <w:t xml:space="preserve"> </w:t>
      </w:r>
      <w:r w:rsidRPr="00302164" w:rsidR="00AA548E">
        <w:rPr>
          <w:szCs w:val="26"/>
        </w:rPr>
        <w:t>“</w:t>
      </w:r>
      <w:r w:rsidRPr="00302164" w:rsidR="00756570">
        <w:rPr>
          <w:szCs w:val="26"/>
        </w:rPr>
        <w:t xml:space="preserve">have an understanding perception of the </w:t>
      </w:r>
      <w:r w:rsidRPr="00302164" w:rsidR="00AA548E">
        <w:rPr>
          <w:szCs w:val="26"/>
        </w:rPr>
        <w:t>‘</w:t>
      </w:r>
      <w:r w:rsidRPr="00302164" w:rsidR="00756570">
        <w:rPr>
          <w:szCs w:val="26"/>
        </w:rPr>
        <w:t>event as causing harm to the victim.</w:t>
      </w:r>
      <w:r w:rsidRPr="00302164" w:rsidR="00AA548E">
        <w:rPr>
          <w:szCs w:val="26"/>
        </w:rPr>
        <w:t>’</w:t>
      </w:r>
      <w:r w:rsidRPr="00302164" w:rsidR="0043747D">
        <w:rPr>
          <w:szCs w:val="26"/>
        </w:rPr>
        <w:t> </w:t>
      </w:r>
      <w:r w:rsidRPr="00302164" w:rsidR="00AA548E">
        <w:rPr>
          <w:szCs w:val="26"/>
        </w:rPr>
        <w:t>”  (</w:t>
      </w:r>
      <w:r w:rsidRPr="00302164" w:rsidR="00683CC0">
        <w:rPr>
          <w:i/>
          <w:iCs/>
          <w:szCs w:val="26"/>
        </w:rPr>
        <w:t>Fortman</w:t>
      </w:r>
      <w:r w:rsidRPr="00302164" w:rsidR="00683CC0">
        <w:rPr>
          <w:szCs w:val="26"/>
        </w:rPr>
        <w:t xml:space="preserve">, </w:t>
      </w:r>
      <w:r w:rsidRPr="00302164" w:rsidR="00683CC0">
        <w:rPr>
          <w:i/>
          <w:iCs/>
          <w:szCs w:val="26"/>
        </w:rPr>
        <w:t>supra</w:t>
      </w:r>
      <w:r w:rsidRPr="00302164" w:rsidR="00683CC0">
        <w:rPr>
          <w:szCs w:val="26"/>
        </w:rPr>
        <w:t>, 212</w:t>
      </w:r>
      <w:r w:rsidR="0007686B">
        <w:rPr>
          <w:szCs w:val="26"/>
        </w:rPr>
        <w:t> </w:t>
      </w:r>
      <w:r w:rsidRPr="00302164" w:rsidR="00683CC0">
        <w:rPr>
          <w:szCs w:val="26"/>
        </w:rPr>
        <w:t>Cal.App.4th at p. 841, fn.</w:t>
      </w:r>
      <w:r w:rsidR="00931164">
        <w:rPr>
          <w:szCs w:val="26"/>
        </w:rPr>
        <w:t> </w:t>
      </w:r>
      <w:r w:rsidRPr="00302164" w:rsidR="00683CC0">
        <w:rPr>
          <w:szCs w:val="26"/>
        </w:rPr>
        <w:t>4</w:t>
      </w:r>
      <w:r w:rsidRPr="00302164" w:rsidR="007D794B">
        <w:rPr>
          <w:szCs w:val="26"/>
        </w:rPr>
        <w:t xml:space="preserve">, quoting </w:t>
      </w:r>
      <w:r w:rsidRPr="00302164" w:rsidR="007D794B">
        <w:rPr>
          <w:i/>
          <w:iCs/>
          <w:szCs w:val="26"/>
        </w:rPr>
        <w:t>Bird</w:t>
      </w:r>
      <w:r w:rsidRPr="00302164" w:rsidR="007D794B">
        <w:rPr>
          <w:szCs w:val="26"/>
        </w:rPr>
        <w:t xml:space="preserve">, </w:t>
      </w:r>
      <w:r w:rsidRPr="00302164" w:rsidR="007D794B">
        <w:rPr>
          <w:i/>
          <w:iCs/>
          <w:szCs w:val="26"/>
        </w:rPr>
        <w:t>supra</w:t>
      </w:r>
      <w:r w:rsidRPr="00302164" w:rsidR="007D794B">
        <w:rPr>
          <w:szCs w:val="26"/>
        </w:rPr>
        <w:t>, 28</w:t>
      </w:r>
      <w:r w:rsidR="0007686B">
        <w:rPr>
          <w:szCs w:val="26"/>
        </w:rPr>
        <w:t> </w:t>
      </w:r>
      <w:r w:rsidRPr="00302164" w:rsidR="007D794B">
        <w:rPr>
          <w:szCs w:val="26"/>
        </w:rPr>
        <w:t>Cal.4th at p. 920</w:t>
      </w:r>
      <w:r w:rsidRPr="00302164" w:rsidR="00AA548E">
        <w:rPr>
          <w:szCs w:val="26"/>
        </w:rPr>
        <w:t>.)</w:t>
      </w:r>
      <w:r>
        <w:rPr>
          <w:rStyle w:val="FootnoteReference"/>
          <w:szCs w:val="26"/>
        </w:rPr>
        <w:footnoteReference w:id="10"/>
      </w:r>
      <w:r w:rsidRPr="00302164" w:rsidR="003642E9">
        <w:rPr>
          <w:szCs w:val="26"/>
        </w:rPr>
        <w:t xml:space="preserve">  </w:t>
      </w:r>
      <w:r w:rsidRPr="00302164">
        <w:rPr>
          <w:szCs w:val="26"/>
        </w:rPr>
        <w:t xml:space="preserve">As </w:t>
      </w:r>
      <w:r w:rsidRPr="00302164">
        <w:rPr>
          <w:i/>
          <w:iCs/>
          <w:szCs w:val="26"/>
        </w:rPr>
        <w:t xml:space="preserve">Fortman </w:t>
      </w:r>
      <w:r w:rsidRPr="00302164">
        <w:rPr>
          <w:szCs w:val="26"/>
        </w:rPr>
        <w:t>itself recognized, i</w:t>
      </w:r>
      <w:r w:rsidRPr="00302164" w:rsidR="003642E9">
        <w:rPr>
          <w:szCs w:val="26"/>
        </w:rPr>
        <w:t xml:space="preserve">t is </w:t>
      </w:r>
      <w:r w:rsidRPr="00302164" w:rsidR="003A1775">
        <w:rPr>
          <w:szCs w:val="26"/>
        </w:rPr>
        <w:t xml:space="preserve">a different </w:t>
      </w:r>
      <w:r w:rsidRPr="00302164" w:rsidR="00C86E61">
        <w:rPr>
          <w:szCs w:val="26"/>
        </w:rPr>
        <w:t xml:space="preserve">issue </w:t>
      </w:r>
      <w:r w:rsidRPr="00302164" w:rsidR="003A1775">
        <w:rPr>
          <w:szCs w:val="26"/>
        </w:rPr>
        <w:t xml:space="preserve">whether the </w:t>
      </w:r>
      <w:r w:rsidRPr="00302164" w:rsidR="0012653B">
        <w:rPr>
          <w:szCs w:val="26"/>
        </w:rPr>
        <w:t xml:space="preserve">bystander </w:t>
      </w:r>
      <w:r w:rsidRPr="00302164" w:rsidR="008510C7">
        <w:rPr>
          <w:szCs w:val="26"/>
        </w:rPr>
        <w:t xml:space="preserve">must also </w:t>
      </w:r>
      <w:r w:rsidRPr="00302164" w:rsidR="0038259D">
        <w:rPr>
          <w:szCs w:val="26"/>
        </w:rPr>
        <w:t xml:space="preserve">contemporaneously be aware </w:t>
      </w:r>
      <w:r w:rsidRPr="004F7D2B" w:rsidR="004F7D2B">
        <w:rPr>
          <w:szCs w:val="26"/>
        </w:rPr>
        <w:t>that the injury-producing event was caused by the conduct of some third party</w:t>
      </w:r>
      <w:r w:rsidRPr="00302164" w:rsidR="0012653B">
        <w:rPr>
          <w:szCs w:val="26"/>
        </w:rPr>
        <w:t>.</w:t>
      </w:r>
      <w:r w:rsidRPr="00302164">
        <w:rPr>
          <w:szCs w:val="26"/>
        </w:rPr>
        <w:t xml:space="preserve">  (</w:t>
      </w:r>
      <w:r w:rsidRPr="00302164">
        <w:rPr>
          <w:i/>
          <w:iCs/>
          <w:szCs w:val="26"/>
        </w:rPr>
        <w:t>Fortman</w:t>
      </w:r>
      <w:r w:rsidRPr="00302164">
        <w:rPr>
          <w:szCs w:val="26"/>
        </w:rPr>
        <w:t>, at p. 841, fn.</w:t>
      </w:r>
      <w:r w:rsidRPr="00302164" w:rsidR="00DB1B0F">
        <w:rPr>
          <w:szCs w:val="26"/>
        </w:rPr>
        <w:t> </w:t>
      </w:r>
      <w:r w:rsidRPr="00302164">
        <w:rPr>
          <w:szCs w:val="26"/>
        </w:rPr>
        <w:t>4.)</w:t>
      </w:r>
    </w:p>
    <w:p w:rsidR="00C91CC0" w:rsidRPr="00302164" w:rsidP="005D6BB5" w14:paraId="207E10FB" w14:textId="504FA2D8">
      <w:pPr>
        <w:tabs>
          <w:tab w:val="left" w:pos="720"/>
        </w:tabs>
        <w:rPr>
          <w:szCs w:val="26"/>
        </w:rPr>
      </w:pPr>
      <w:r w:rsidRPr="00302164">
        <w:rPr>
          <w:b/>
          <w:bCs/>
          <w:szCs w:val="26"/>
        </w:rPr>
        <w:tab/>
      </w:r>
      <w:r w:rsidRPr="00302164" w:rsidR="00C86E61">
        <w:rPr>
          <w:i/>
          <w:iCs/>
          <w:szCs w:val="26"/>
        </w:rPr>
        <w:t xml:space="preserve">Fortman </w:t>
      </w:r>
      <w:r w:rsidRPr="00302164" w:rsidR="00C05E0C">
        <w:rPr>
          <w:szCs w:val="26"/>
        </w:rPr>
        <w:t xml:space="preserve">had no occasion to </w:t>
      </w:r>
      <w:r w:rsidRPr="00302164" w:rsidR="00C86E61">
        <w:rPr>
          <w:szCs w:val="26"/>
        </w:rPr>
        <w:t xml:space="preserve">decide that issue.  But in the course of </w:t>
      </w:r>
      <w:r w:rsidR="00E768E0">
        <w:rPr>
          <w:szCs w:val="26"/>
        </w:rPr>
        <w:t>analyzing the question before the court</w:t>
      </w:r>
      <w:r w:rsidRPr="00302164" w:rsidR="00C86E61">
        <w:rPr>
          <w:szCs w:val="26"/>
        </w:rPr>
        <w:t xml:space="preserve">, </w:t>
      </w:r>
      <w:r w:rsidR="00E768E0">
        <w:rPr>
          <w:i/>
          <w:iCs/>
          <w:szCs w:val="26"/>
        </w:rPr>
        <w:t>Fortman</w:t>
      </w:r>
      <w:r w:rsidRPr="00302164" w:rsidR="00E768E0">
        <w:rPr>
          <w:szCs w:val="26"/>
        </w:rPr>
        <w:t xml:space="preserve"> </w:t>
      </w:r>
      <w:r w:rsidRPr="00302164" w:rsidR="00C86E61">
        <w:rPr>
          <w:szCs w:val="26"/>
        </w:rPr>
        <w:t>did discuss</w:t>
      </w:r>
      <w:r w:rsidRPr="00302164" w:rsidR="00FF3158">
        <w:rPr>
          <w:szCs w:val="26"/>
        </w:rPr>
        <w:t> </w:t>
      </w:r>
      <w:r w:rsidRPr="00302164" w:rsidR="00C86E61">
        <w:rPr>
          <w:szCs w:val="26"/>
        </w:rPr>
        <w:t>— and distinguish</w:t>
      </w:r>
      <w:r w:rsidRPr="00302164" w:rsidR="00FF3158">
        <w:rPr>
          <w:szCs w:val="26"/>
        </w:rPr>
        <w:t> </w:t>
      </w:r>
      <w:r w:rsidRPr="00302164" w:rsidR="00C86E61">
        <w:rPr>
          <w:szCs w:val="26"/>
        </w:rPr>
        <w:t xml:space="preserve">— several cases </w:t>
      </w:r>
      <w:r w:rsidRPr="00302164">
        <w:rPr>
          <w:szCs w:val="26"/>
        </w:rPr>
        <w:t xml:space="preserve">that suggest the answer to that question is no.  </w:t>
      </w:r>
      <w:r w:rsidRPr="00302164" w:rsidR="003642E9">
        <w:rPr>
          <w:szCs w:val="26"/>
        </w:rPr>
        <w:t xml:space="preserve">(See </w:t>
      </w:r>
      <w:r w:rsidRPr="00302164" w:rsidR="003642E9">
        <w:rPr>
          <w:i/>
          <w:iCs/>
          <w:szCs w:val="26"/>
        </w:rPr>
        <w:t>Fortman</w:t>
      </w:r>
      <w:r w:rsidRPr="00302164" w:rsidR="003642E9">
        <w:rPr>
          <w:szCs w:val="26"/>
        </w:rPr>
        <w:t>,</w:t>
      </w:r>
      <w:r w:rsidRPr="00302164" w:rsidR="003642E9">
        <w:rPr>
          <w:i/>
          <w:iCs/>
          <w:szCs w:val="26"/>
        </w:rPr>
        <w:t xml:space="preserve"> supra</w:t>
      </w:r>
      <w:r w:rsidRPr="00302164" w:rsidR="003642E9">
        <w:rPr>
          <w:szCs w:val="26"/>
        </w:rPr>
        <w:t xml:space="preserve">, </w:t>
      </w:r>
      <w:r w:rsidRPr="00302164" w:rsidR="00C86E61">
        <w:rPr>
          <w:szCs w:val="26"/>
        </w:rPr>
        <w:t>212</w:t>
      </w:r>
      <w:r w:rsidR="00931164">
        <w:rPr>
          <w:szCs w:val="26"/>
        </w:rPr>
        <w:t> </w:t>
      </w:r>
      <w:r w:rsidRPr="00302164" w:rsidR="00C86E61">
        <w:rPr>
          <w:szCs w:val="26"/>
        </w:rPr>
        <w:t>Cal.App.4th at pp.</w:t>
      </w:r>
      <w:r w:rsidRPr="00302164" w:rsidR="00FF3158">
        <w:rPr>
          <w:szCs w:val="26"/>
        </w:rPr>
        <w:t> </w:t>
      </w:r>
      <w:r w:rsidRPr="00302164" w:rsidR="00C86E61">
        <w:rPr>
          <w:szCs w:val="26"/>
        </w:rPr>
        <w:t>839–843</w:t>
      </w:r>
      <w:r w:rsidRPr="00302164" w:rsidR="00C05E0C">
        <w:rPr>
          <w:szCs w:val="26"/>
        </w:rPr>
        <w:t xml:space="preserve">; see </w:t>
      </w:r>
      <w:r w:rsidRPr="00302164" w:rsidR="00C05E0C">
        <w:rPr>
          <w:i/>
          <w:iCs/>
          <w:szCs w:val="26"/>
        </w:rPr>
        <w:t>id.</w:t>
      </w:r>
      <w:r w:rsidRPr="00302164" w:rsidR="00C05E0C">
        <w:rPr>
          <w:szCs w:val="26"/>
        </w:rPr>
        <w:t xml:space="preserve"> at p.</w:t>
      </w:r>
      <w:r w:rsidRPr="00302164" w:rsidR="00FB3616">
        <w:rPr>
          <w:szCs w:val="26"/>
        </w:rPr>
        <w:t> </w:t>
      </w:r>
      <w:r w:rsidRPr="00302164" w:rsidR="00C05E0C">
        <w:rPr>
          <w:szCs w:val="26"/>
        </w:rPr>
        <w:t>841, fn. 4 [citing cases as illustrations of the proposition that “</w:t>
      </w:r>
      <w:r w:rsidRPr="00302164" w:rsidR="00C05E0C">
        <w:rPr>
          <w:i/>
          <w:iCs/>
          <w:szCs w:val="26"/>
        </w:rPr>
        <w:t>Thing</w:t>
      </w:r>
      <w:r w:rsidRPr="00302164" w:rsidR="00C05E0C">
        <w:rPr>
          <w:szCs w:val="26"/>
        </w:rPr>
        <w:t xml:space="preserve"> does not require that the plaintiff have an awareness of what caused the injury-producing event”].)  </w:t>
      </w:r>
      <w:r w:rsidRPr="00302164" w:rsidR="008C7EFD">
        <w:rPr>
          <w:szCs w:val="26"/>
        </w:rPr>
        <w:t>For example</w:t>
      </w:r>
      <w:r w:rsidRPr="00302164" w:rsidR="00F14F29">
        <w:rPr>
          <w:szCs w:val="26"/>
        </w:rPr>
        <w:t>, in</w:t>
      </w:r>
      <w:r w:rsidRPr="00302164" w:rsidR="00B60850">
        <w:rPr>
          <w:szCs w:val="26"/>
        </w:rPr>
        <w:t xml:space="preserve"> </w:t>
      </w:r>
      <w:r w:rsidRPr="00302164" w:rsidR="00B60850">
        <w:rPr>
          <w:i/>
          <w:iCs/>
          <w:szCs w:val="26"/>
        </w:rPr>
        <w:t>Ortiz v. HPM Corp.</w:t>
      </w:r>
      <w:r w:rsidRPr="00302164" w:rsidR="00B60850">
        <w:rPr>
          <w:szCs w:val="26"/>
        </w:rPr>
        <w:t xml:space="preserve"> (1991) 234</w:t>
      </w:r>
      <w:r w:rsidR="00931164">
        <w:rPr>
          <w:szCs w:val="26"/>
        </w:rPr>
        <w:t> </w:t>
      </w:r>
      <w:r w:rsidRPr="00302164" w:rsidR="00B60850">
        <w:rPr>
          <w:szCs w:val="26"/>
        </w:rPr>
        <w:t>Cal.App.3d 178 (</w:t>
      </w:r>
      <w:r w:rsidRPr="00302164" w:rsidR="00B60850">
        <w:rPr>
          <w:i/>
          <w:iCs/>
          <w:szCs w:val="26"/>
        </w:rPr>
        <w:t>Ortiz</w:t>
      </w:r>
      <w:r w:rsidRPr="00302164" w:rsidR="00B60850">
        <w:rPr>
          <w:szCs w:val="26"/>
        </w:rPr>
        <w:t xml:space="preserve">), the Court of Appeal addressed whether a plaintiff could recover </w:t>
      </w:r>
      <w:r w:rsidRPr="00302164" w:rsidR="00BE7952">
        <w:rPr>
          <w:szCs w:val="26"/>
        </w:rPr>
        <w:t xml:space="preserve">for emotional distress suffered </w:t>
      </w:r>
      <w:r w:rsidRPr="00302164" w:rsidR="00B60850">
        <w:rPr>
          <w:szCs w:val="26"/>
        </w:rPr>
        <w:t>when she had found her husband unconscious and trapped in a plastic injection molding machine.  The trial court had granted a nonsuit in the defendants’ favor on the ground that, because the plaintiff had not witnessed her husband’s initial fall into the machine, she had not perceived the injury-causing event contemporaneously.  (</w:t>
      </w:r>
      <w:r w:rsidRPr="00302164" w:rsidR="00B94220">
        <w:rPr>
          <w:i/>
          <w:iCs/>
          <w:szCs w:val="26"/>
        </w:rPr>
        <w:t>Id.</w:t>
      </w:r>
      <w:r w:rsidRPr="00302164" w:rsidR="00B60850">
        <w:rPr>
          <w:szCs w:val="26"/>
        </w:rPr>
        <w:t xml:space="preserve"> at p.</w:t>
      </w:r>
      <w:r w:rsidRPr="00302164" w:rsidR="00FF3158">
        <w:rPr>
          <w:szCs w:val="26"/>
        </w:rPr>
        <w:t> </w:t>
      </w:r>
      <w:r w:rsidRPr="00302164" w:rsidR="00B60850">
        <w:rPr>
          <w:szCs w:val="26"/>
        </w:rPr>
        <w:t xml:space="preserve">182.)  The Court of Appeal reversed on the ground that the injury-producing event </w:t>
      </w:r>
      <w:r w:rsidRPr="00302164" w:rsidR="00D42DC6">
        <w:rPr>
          <w:szCs w:val="26"/>
        </w:rPr>
        <w:t xml:space="preserve">did not end with the initial fall, but continued while the plaintiff observed her </w:t>
      </w:r>
      <w:r w:rsidRPr="00302164" w:rsidR="00B60850">
        <w:rPr>
          <w:szCs w:val="26"/>
        </w:rPr>
        <w:t xml:space="preserve">husband unconscious, pale, and bleeding from his left arm, </w:t>
      </w:r>
      <w:r w:rsidRPr="00302164" w:rsidR="00F26823">
        <w:rPr>
          <w:szCs w:val="26"/>
        </w:rPr>
        <w:t xml:space="preserve">as </w:t>
      </w:r>
      <w:r w:rsidRPr="00302164" w:rsidR="00B60850">
        <w:rPr>
          <w:szCs w:val="26"/>
        </w:rPr>
        <w:t>the machine was still running and its “air cylinder was pressing across his chest, pinning him against the stationary platen of the machine.”  (</w:t>
      </w:r>
      <w:r w:rsidRPr="00302164" w:rsidR="00B60850">
        <w:rPr>
          <w:i/>
          <w:iCs/>
          <w:szCs w:val="26"/>
        </w:rPr>
        <w:t>Id.</w:t>
      </w:r>
      <w:r w:rsidRPr="00302164" w:rsidR="00B60850">
        <w:rPr>
          <w:szCs w:val="26"/>
        </w:rPr>
        <w:t xml:space="preserve"> at p. 184.)</w:t>
      </w:r>
      <w:r>
        <w:rPr>
          <w:rStyle w:val="FootnoteReference"/>
          <w:szCs w:val="26"/>
        </w:rPr>
        <w:footnoteReference w:id="11"/>
      </w:r>
      <w:r w:rsidRPr="00302164" w:rsidR="007B284E">
        <w:rPr>
          <w:szCs w:val="26"/>
        </w:rPr>
        <w:t xml:space="preserve">  </w:t>
      </w:r>
      <w:r w:rsidRPr="00302164" w:rsidR="005B5892">
        <w:rPr>
          <w:szCs w:val="26"/>
        </w:rPr>
        <w:t>In other words, what</w:t>
      </w:r>
      <w:r w:rsidRPr="00302164" w:rsidR="00F57781">
        <w:rPr>
          <w:szCs w:val="26"/>
        </w:rPr>
        <w:t xml:space="preserve"> mattered was that the plaintiff had witnessed at least part of a</w:t>
      </w:r>
      <w:r w:rsidRPr="00302164" w:rsidR="007B284E">
        <w:rPr>
          <w:szCs w:val="26"/>
        </w:rPr>
        <w:t xml:space="preserve">n injury-producing </w:t>
      </w:r>
      <w:r w:rsidRPr="00302164" w:rsidR="00F57781">
        <w:rPr>
          <w:szCs w:val="26"/>
        </w:rPr>
        <w:t>event</w:t>
      </w:r>
      <w:r w:rsidRPr="00302164" w:rsidR="009F3BD7">
        <w:rPr>
          <w:szCs w:val="26"/>
        </w:rPr>
        <w:t> </w:t>
      </w:r>
      <w:r w:rsidRPr="00302164" w:rsidR="00F57781">
        <w:rPr>
          <w:szCs w:val="26"/>
        </w:rPr>
        <w:t>— her husband being crushed by a machine</w:t>
      </w:r>
      <w:r w:rsidRPr="00302164" w:rsidR="005B5892">
        <w:rPr>
          <w:szCs w:val="26"/>
        </w:rPr>
        <w:t xml:space="preserve">.  The court did not insist that the plaintiff also </w:t>
      </w:r>
      <w:r w:rsidRPr="00302164" w:rsidR="00FB38B4">
        <w:rPr>
          <w:szCs w:val="26"/>
        </w:rPr>
        <w:t xml:space="preserve">be contemporaneously aware </w:t>
      </w:r>
      <w:r w:rsidRPr="00302164" w:rsidR="00811CA2">
        <w:rPr>
          <w:szCs w:val="26"/>
        </w:rPr>
        <w:t>that the accident was attributable to a defect in the manufacture of the machine</w:t>
      </w:r>
      <w:r w:rsidRPr="00302164" w:rsidR="00FB38B4">
        <w:rPr>
          <w:szCs w:val="26"/>
        </w:rPr>
        <w:t>.</w:t>
      </w:r>
    </w:p>
    <w:p w:rsidR="005008FD" w:rsidRPr="00302164" w:rsidP="00302164" w14:paraId="08D8DEB8" w14:textId="3A0D745B">
      <w:pPr>
        <w:tabs>
          <w:tab w:val="left" w:pos="1440"/>
        </w:tabs>
        <w:ind w:firstLine="720"/>
        <w:rPr>
          <w:szCs w:val="26"/>
        </w:rPr>
      </w:pPr>
      <w:r w:rsidRPr="00302164">
        <w:rPr>
          <w:szCs w:val="26"/>
        </w:rPr>
        <w:t xml:space="preserve">Another case decided a few months later, </w:t>
      </w:r>
      <w:r w:rsidRPr="00302164">
        <w:rPr>
          <w:i/>
          <w:iCs/>
          <w:szCs w:val="26"/>
        </w:rPr>
        <w:t>Wilks v. Hom</w:t>
      </w:r>
      <w:r w:rsidRPr="00302164" w:rsidR="00EC763C">
        <w:rPr>
          <w:szCs w:val="26"/>
        </w:rPr>
        <w:t xml:space="preserve"> </w:t>
      </w:r>
      <w:r w:rsidRPr="00302164" w:rsidR="00494FE5">
        <w:rPr>
          <w:szCs w:val="26"/>
        </w:rPr>
        <w:t>(1992) 2</w:t>
      </w:r>
      <w:r w:rsidR="00931164">
        <w:rPr>
          <w:szCs w:val="26"/>
        </w:rPr>
        <w:t> </w:t>
      </w:r>
      <w:r w:rsidRPr="00302164" w:rsidR="00494FE5">
        <w:rPr>
          <w:szCs w:val="26"/>
        </w:rPr>
        <w:t>Cal.App.4th 1264 (</w:t>
      </w:r>
      <w:r w:rsidRPr="00302164" w:rsidR="00494FE5">
        <w:rPr>
          <w:i/>
          <w:iCs/>
          <w:szCs w:val="26"/>
        </w:rPr>
        <w:t>Wilks</w:t>
      </w:r>
      <w:r w:rsidRPr="00302164" w:rsidR="00494FE5">
        <w:rPr>
          <w:szCs w:val="26"/>
        </w:rPr>
        <w:t xml:space="preserve">), </w:t>
      </w:r>
      <w:r w:rsidRPr="00302164" w:rsidR="00CD19F4">
        <w:rPr>
          <w:szCs w:val="26"/>
        </w:rPr>
        <w:t xml:space="preserve">is </w:t>
      </w:r>
      <w:r w:rsidRPr="00302164" w:rsidR="00FE2C21">
        <w:rPr>
          <w:szCs w:val="26"/>
        </w:rPr>
        <w:t xml:space="preserve">perhaps even more </w:t>
      </w:r>
      <w:r w:rsidRPr="00302164" w:rsidR="00CD19F4">
        <w:rPr>
          <w:szCs w:val="26"/>
        </w:rPr>
        <w:t>instructive</w:t>
      </w:r>
      <w:r w:rsidRPr="00302164">
        <w:rPr>
          <w:szCs w:val="26"/>
        </w:rPr>
        <w:t xml:space="preserve">.  In </w:t>
      </w:r>
      <w:r w:rsidRPr="00302164">
        <w:rPr>
          <w:i/>
          <w:iCs/>
          <w:szCs w:val="26"/>
        </w:rPr>
        <w:t>Wilks</w:t>
      </w:r>
      <w:r w:rsidRPr="00302164">
        <w:rPr>
          <w:szCs w:val="26"/>
        </w:rPr>
        <w:t xml:space="preserve">, the Court of Appeal held that a mother who had </w:t>
      </w:r>
      <w:r w:rsidRPr="00302164" w:rsidR="000363D7">
        <w:rPr>
          <w:szCs w:val="26"/>
        </w:rPr>
        <w:t xml:space="preserve">seen, heard, and felt </w:t>
      </w:r>
      <w:r w:rsidRPr="00302164" w:rsidR="00194EC3">
        <w:rPr>
          <w:szCs w:val="26"/>
        </w:rPr>
        <w:t>a residential</w:t>
      </w:r>
      <w:r w:rsidRPr="00302164" w:rsidR="000363D7">
        <w:rPr>
          <w:szCs w:val="26"/>
        </w:rPr>
        <w:t xml:space="preserve"> </w:t>
      </w:r>
      <w:r w:rsidRPr="00302164">
        <w:rPr>
          <w:szCs w:val="26"/>
        </w:rPr>
        <w:t xml:space="preserve">explosion </w:t>
      </w:r>
      <w:r w:rsidRPr="00302164" w:rsidR="000363D7">
        <w:rPr>
          <w:szCs w:val="26"/>
        </w:rPr>
        <w:t xml:space="preserve">and fire </w:t>
      </w:r>
      <w:r w:rsidRPr="00302164">
        <w:rPr>
          <w:szCs w:val="26"/>
        </w:rPr>
        <w:t>that killed one of her daughters and injured her other daughter could recover for negligent infliction of emotional distress</w:t>
      </w:r>
      <w:r w:rsidRPr="00302164" w:rsidR="0046314C">
        <w:rPr>
          <w:szCs w:val="26"/>
        </w:rPr>
        <w:t>.  The plaintiff</w:t>
      </w:r>
      <w:r w:rsidRPr="00302164">
        <w:rPr>
          <w:szCs w:val="26"/>
        </w:rPr>
        <w:t xml:space="preserve"> satisfied </w:t>
      </w:r>
      <w:r w:rsidRPr="00302164">
        <w:rPr>
          <w:i/>
          <w:iCs/>
          <w:szCs w:val="26"/>
        </w:rPr>
        <w:t>Thing</w:t>
      </w:r>
      <w:r w:rsidRPr="00302164">
        <w:rPr>
          <w:szCs w:val="26"/>
        </w:rPr>
        <w:t>’s second requirement because “she personally and contemporaneously perceived the injury-producing event and its traumatic consequences.”  (</w:t>
      </w:r>
      <w:r w:rsidRPr="00302164" w:rsidR="00DC322D">
        <w:rPr>
          <w:i/>
          <w:iCs/>
          <w:szCs w:val="26"/>
        </w:rPr>
        <w:t>Id.</w:t>
      </w:r>
      <w:r w:rsidRPr="00302164">
        <w:rPr>
          <w:szCs w:val="26"/>
        </w:rPr>
        <w:t xml:space="preserve"> at p. 1273.)  It did not matter that the mother “could not visually witness the infliction of injuries” to her surviving daughter; it was enough that “she was most evidently present at the scene of the accident, was personally impressed by the explosion at the same instant damage was done to her child, and instantly knew of the likely severe damage to the child.”  (</w:t>
      </w:r>
      <w:r w:rsidRPr="00302164">
        <w:rPr>
          <w:i/>
          <w:iCs/>
          <w:szCs w:val="26"/>
        </w:rPr>
        <w:t>Id.</w:t>
      </w:r>
      <w:r w:rsidRPr="00302164">
        <w:rPr>
          <w:szCs w:val="26"/>
        </w:rPr>
        <w:t xml:space="preserve"> at p. 1271.)  </w:t>
      </w:r>
    </w:p>
    <w:p w:rsidR="00DE124E" w:rsidRPr="00302164" w:rsidP="00302164" w14:paraId="4979F2FB" w14:textId="52444B90">
      <w:pPr>
        <w:tabs>
          <w:tab w:val="left" w:pos="1440"/>
        </w:tabs>
        <w:ind w:firstLine="720"/>
        <w:rPr>
          <w:szCs w:val="26"/>
        </w:rPr>
      </w:pPr>
      <w:r w:rsidRPr="00302164">
        <w:rPr>
          <w:szCs w:val="26"/>
        </w:rPr>
        <w:t xml:space="preserve">There was no question that the mother </w:t>
      </w:r>
      <w:r w:rsidRPr="00302164" w:rsidR="005008FD">
        <w:rPr>
          <w:szCs w:val="26"/>
        </w:rPr>
        <w:t xml:space="preserve">lacked </w:t>
      </w:r>
      <w:r w:rsidRPr="00302164">
        <w:rPr>
          <w:szCs w:val="26"/>
        </w:rPr>
        <w:t>contemporaneous awareness of what had caused the explosion</w:t>
      </w:r>
      <w:r w:rsidRPr="00302164" w:rsidR="00FF3158">
        <w:rPr>
          <w:szCs w:val="26"/>
        </w:rPr>
        <w:t> </w:t>
      </w:r>
      <w:r w:rsidRPr="00302164">
        <w:rPr>
          <w:szCs w:val="26"/>
        </w:rPr>
        <w:t>— a defective propane system in their rental home</w:t>
      </w:r>
      <w:r w:rsidRPr="00302164" w:rsidR="00FF3158">
        <w:rPr>
          <w:szCs w:val="26"/>
        </w:rPr>
        <w:t> </w:t>
      </w:r>
      <w:r w:rsidRPr="00302164">
        <w:rPr>
          <w:szCs w:val="26"/>
        </w:rPr>
        <w:t xml:space="preserve">— or that it was </w:t>
      </w:r>
      <w:r w:rsidRPr="00302164" w:rsidR="001840D3">
        <w:rPr>
          <w:szCs w:val="26"/>
        </w:rPr>
        <w:t>attributable to the negligence of the defendants, the owners of the property who had installed the faulty propane system.  B</w:t>
      </w:r>
      <w:r w:rsidRPr="00302164">
        <w:rPr>
          <w:szCs w:val="26"/>
        </w:rPr>
        <w:t>ut that did not appear to trouble the Court of Appeal.  It was enough that the mother “was at the scene of the accident and was sensorially aware, in some important way, of the accident and the necessarily inflicted injury to her child.”  (</w:t>
      </w:r>
      <w:r w:rsidRPr="00302164" w:rsidR="001840D3">
        <w:rPr>
          <w:i/>
          <w:iCs/>
          <w:szCs w:val="26"/>
        </w:rPr>
        <w:t>Wilks</w:t>
      </w:r>
      <w:r w:rsidRPr="00302164" w:rsidR="001840D3">
        <w:rPr>
          <w:szCs w:val="26"/>
        </w:rPr>
        <w:t xml:space="preserve">, </w:t>
      </w:r>
      <w:r w:rsidRPr="00302164" w:rsidR="001840D3">
        <w:rPr>
          <w:i/>
          <w:iCs/>
          <w:szCs w:val="26"/>
        </w:rPr>
        <w:t>supra</w:t>
      </w:r>
      <w:r w:rsidRPr="00302164" w:rsidR="001840D3">
        <w:rPr>
          <w:szCs w:val="26"/>
        </w:rPr>
        <w:t>, 2</w:t>
      </w:r>
      <w:r w:rsidR="00931164">
        <w:rPr>
          <w:szCs w:val="26"/>
        </w:rPr>
        <w:t> </w:t>
      </w:r>
      <w:r w:rsidRPr="00302164" w:rsidR="001840D3">
        <w:rPr>
          <w:szCs w:val="26"/>
        </w:rPr>
        <w:t>Cal.App.4th at p. 1271</w:t>
      </w:r>
      <w:r w:rsidRPr="00302164">
        <w:rPr>
          <w:i/>
          <w:iCs/>
          <w:szCs w:val="26"/>
        </w:rPr>
        <w:t>.</w:t>
      </w:r>
      <w:r w:rsidRPr="00302164">
        <w:rPr>
          <w:szCs w:val="26"/>
        </w:rPr>
        <w:t xml:space="preserve">)  </w:t>
      </w:r>
    </w:p>
    <w:p w:rsidR="00DE124E" w:rsidRPr="00302164" w:rsidP="00302164" w14:paraId="666B53C2" w14:textId="090F2A76">
      <w:pPr>
        <w:tabs>
          <w:tab w:val="left" w:pos="1440"/>
        </w:tabs>
        <w:ind w:firstLine="720"/>
        <w:rPr>
          <w:szCs w:val="26"/>
        </w:rPr>
      </w:pPr>
      <w:r w:rsidRPr="00302164">
        <w:rPr>
          <w:szCs w:val="26"/>
        </w:rPr>
        <w:t xml:space="preserve">The Ninth Circuit took a similar approach in </w:t>
      </w:r>
      <w:r w:rsidRPr="00302164">
        <w:rPr>
          <w:i/>
          <w:iCs/>
          <w:szCs w:val="26"/>
        </w:rPr>
        <w:t>In re Air Crash Disaster Near Cerritos, Cal</w:t>
      </w:r>
      <w:r w:rsidR="00646E59">
        <w:rPr>
          <w:i/>
          <w:iCs/>
          <w:szCs w:val="26"/>
        </w:rPr>
        <w:t>.</w:t>
      </w:r>
      <w:r w:rsidRPr="00302164">
        <w:rPr>
          <w:szCs w:val="26"/>
        </w:rPr>
        <w:t xml:space="preserve"> (9th Cir. 1992) 967</w:t>
      </w:r>
      <w:r w:rsidR="00931164">
        <w:rPr>
          <w:szCs w:val="26"/>
        </w:rPr>
        <w:t> </w:t>
      </w:r>
      <w:r w:rsidRPr="00302164">
        <w:rPr>
          <w:szCs w:val="26"/>
        </w:rPr>
        <w:t xml:space="preserve">F.2d 1421.  There, a plaintiff who </w:t>
      </w:r>
      <w:r w:rsidRPr="00302164" w:rsidR="00DF0993">
        <w:rPr>
          <w:szCs w:val="26"/>
        </w:rPr>
        <w:t xml:space="preserve">was </w:t>
      </w:r>
      <w:r w:rsidRPr="00302164">
        <w:rPr>
          <w:szCs w:val="26"/>
        </w:rPr>
        <w:t>return</w:t>
      </w:r>
      <w:r w:rsidRPr="00302164" w:rsidR="00DF0993">
        <w:rPr>
          <w:szCs w:val="26"/>
        </w:rPr>
        <w:t>ing</w:t>
      </w:r>
      <w:r w:rsidRPr="00302164">
        <w:rPr>
          <w:szCs w:val="26"/>
        </w:rPr>
        <w:t xml:space="preserve"> </w:t>
      </w:r>
      <w:r w:rsidRPr="00302164" w:rsidR="004A577F">
        <w:rPr>
          <w:szCs w:val="26"/>
        </w:rPr>
        <w:t xml:space="preserve">from the grocery store </w:t>
      </w:r>
      <w:r w:rsidRPr="00302164">
        <w:rPr>
          <w:szCs w:val="26"/>
        </w:rPr>
        <w:t>to her home</w:t>
      </w:r>
      <w:r w:rsidRPr="00302164" w:rsidR="00DF0993">
        <w:rPr>
          <w:szCs w:val="26"/>
        </w:rPr>
        <w:t>, where she had left her husband and t</w:t>
      </w:r>
      <w:r w:rsidRPr="00302164" w:rsidR="00DC322D">
        <w:rPr>
          <w:szCs w:val="26"/>
        </w:rPr>
        <w:t xml:space="preserve">hree </w:t>
      </w:r>
      <w:r w:rsidRPr="00302164" w:rsidR="00DF0993">
        <w:rPr>
          <w:szCs w:val="26"/>
        </w:rPr>
        <w:t xml:space="preserve">children, </w:t>
      </w:r>
      <w:r w:rsidRPr="00302164">
        <w:rPr>
          <w:szCs w:val="26"/>
        </w:rPr>
        <w:t xml:space="preserve">when </w:t>
      </w:r>
      <w:r w:rsidRPr="00302164" w:rsidR="00DF0993">
        <w:rPr>
          <w:szCs w:val="26"/>
        </w:rPr>
        <w:t xml:space="preserve">she saw </w:t>
      </w:r>
      <w:r w:rsidRPr="00302164">
        <w:rPr>
          <w:szCs w:val="26"/>
        </w:rPr>
        <w:t>it was being consumed by fire</w:t>
      </w:r>
      <w:r w:rsidRPr="00302164" w:rsidR="00DF0993">
        <w:rPr>
          <w:szCs w:val="26"/>
        </w:rPr>
        <w:t xml:space="preserve">. </w:t>
      </w:r>
      <w:r w:rsidRPr="00302164" w:rsidR="00FF3158">
        <w:rPr>
          <w:szCs w:val="26"/>
        </w:rPr>
        <w:t xml:space="preserve"> </w:t>
      </w:r>
      <w:r w:rsidRPr="00302164">
        <w:rPr>
          <w:szCs w:val="26"/>
        </w:rPr>
        <w:t>(</w:t>
      </w:r>
      <w:r w:rsidRPr="00302164" w:rsidR="00FF3158">
        <w:rPr>
          <w:i/>
          <w:iCs/>
          <w:szCs w:val="26"/>
        </w:rPr>
        <w:t>Id.</w:t>
      </w:r>
      <w:r w:rsidRPr="00302164" w:rsidR="00FF3158">
        <w:rPr>
          <w:szCs w:val="26"/>
        </w:rPr>
        <w:t xml:space="preserve"> </w:t>
      </w:r>
      <w:r w:rsidRPr="00302164">
        <w:rPr>
          <w:szCs w:val="26"/>
        </w:rPr>
        <w:t xml:space="preserve">at pp. 1424–1425.)  </w:t>
      </w:r>
      <w:r w:rsidRPr="00302164" w:rsidR="00DF0993">
        <w:rPr>
          <w:szCs w:val="26"/>
        </w:rPr>
        <w:t xml:space="preserve">When she arrived, she </w:t>
      </w:r>
      <w:r w:rsidRPr="00302164" w:rsidR="00025C61">
        <w:rPr>
          <w:szCs w:val="26"/>
        </w:rPr>
        <w:t xml:space="preserve">there </w:t>
      </w:r>
      <w:r w:rsidRPr="00302164" w:rsidR="00DF0993">
        <w:rPr>
          <w:szCs w:val="26"/>
        </w:rPr>
        <w:t>saw</w:t>
      </w:r>
      <w:r w:rsidRPr="00302164" w:rsidR="00CC0A25">
        <w:rPr>
          <w:szCs w:val="26"/>
        </w:rPr>
        <w:t xml:space="preserve"> an airliner</w:t>
      </w:r>
      <w:r w:rsidRPr="00302164" w:rsidR="00025C61">
        <w:rPr>
          <w:szCs w:val="26"/>
        </w:rPr>
        <w:t xml:space="preserve"> also covered in flames</w:t>
      </w:r>
      <w:r w:rsidRPr="00302164" w:rsidR="00DF0993">
        <w:rPr>
          <w:szCs w:val="26"/>
        </w:rPr>
        <w:t>.</w:t>
      </w:r>
      <w:r w:rsidRPr="00302164" w:rsidR="004A577F">
        <w:rPr>
          <w:szCs w:val="26"/>
        </w:rPr>
        <w:t xml:space="preserve">  </w:t>
      </w:r>
      <w:r w:rsidRPr="00302164" w:rsidR="00006E87">
        <w:rPr>
          <w:szCs w:val="26"/>
        </w:rPr>
        <w:t xml:space="preserve">She later sued </w:t>
      </w:r>
      <w:r w:rsidRPr="00302164">
        <w:rPr>
          <w:szCs w:val="26"/>
        </w:rPr>
        <w:t>the federal government under the Federal Tort Claims Act</w:t>
      </w:r>
      <w:r w:rsidR="002D5C95">
        <w:rPr>
          <w:szCs w:val="26"/>
        </w:rPr>
        <w:t xml:space="preserve"> (</w:t>
      </w:r>
      <w:r w:rsidRPr="00302164">
        <w:rPr>
          <w:szCs w:val="26"/>
        </w:rPr>
        <w:t>28 U.S.C. §</w:t>
      </w:r>
      <w:r w:rsidR="00A863B2">
        <w:rPr>
          <w:szCs w:val="26"/>
        </w:rPr>
        <w:t> </w:t>
      </w:r>
      <w:r w:rsidRPr="00302164">
        <w:rPr>
          <w:szCs w:val="26"/>
        </w:rPr>
        <w:t>2671</w:t>
      </w:r>
      <w:r w:rsidR="002D5C95">
        <w:rPr>
          <w:szCs w:val="26"/>
        </w:rPr>
        <w:t xml:space="preserve"> et seq.)</w:t>
      </w:r>
      <w:r w:rsidRPr="00302164">
        <w:rPr>
          <w:szCs w:val="26"/>
        </w:rPr>
        <w:t>, and the trial court found that the United States was partly responsible for the accident “due to the air traffic controllers’ failure to detect” a private plane’s entry into restricted airspace and their “failure to give a traffic advisory” to the airliner crashed into the plaintiff’s home after a midair collision with the private plane.  (</w:t>
      </w:r>
      <w:r w:rsidRPr="00302164">
        <w:rPr>
          <w:i/>
          <w:iCs/>
          <w:szCs w:val="26"/>
        </w:rPr>
        <w:t>Air</w:t>
      </w:r>
      <w:r w:rsidRPr="00302164">
        <w:rPr>
          <w:szCs w:val="26"/>
        </w:rPr>
        <w:t xml:space="preserve"> </w:t>
      </w:r>
      <w:r w:rsidRPr="00302164">
        <w:rPr>
          <w:i/>
          <w:iCs/>
          <w:szCs w:val="26"/>
        </w:rPr>
        <w:t>Crash</w:t>
      </w:r>
      <w:r w:rsidRPr="00302164">
        <w:rPr>
          <w:szCs w:val="26"/>
        </w:rPr>
        <w:t>, at p.</w:t>
      </w:r>
      <w:r w:rsidRPr="00302164" w:rsidR="00FF3158">
        <w:rPr>
          <w:szCs w:val="26"/>
        </w:rPr>
        <w:t> </w:t>
      </w:r>
      <w:r w:rsidRPr="00302164">
        <w:rPr>
          <w:szCs w:val="26"/>
        </w:rPr>
        <w:t xml:space="preserve">1423.)  </w:t>
      </w:r>
      <w:r w:rsidRPr="00302164" w:rsidR="00BB5517">
        <w:rPr>
          <w:szCs w:val="26"/>
        </w:rPr>
        <w:t xml:space="preserve">Relying on </w:t>
      </w:r>
      <w:r w:rsidRPr="00302164" w:rsidR="00BB5517">
        <w:rPr>
          <w:i/>
          <w:iCs/>
          <w:szCs w:val="26"/>
        </w:rPr>
        <w:t>Wilks</w:t>
      </w:r>
      <w:r w:rsidRPr="00302164" w:rsidR="00BB5517">
        <w:rPr>
          <w:szCs w:val="26"/>
        </w:rPr>
        <w:t xml:space="preserve">, the Ninth Circuit held that the plaintiff was entitled </w:t>
      </w:r>
      <w:r w:rsidRPr="00302164" w:rsidR="002338B8">
        <w:rPr>
          <w:szCs w:val="26"/>
        </w:rPr>
        <w:t xml:space="preserve">under California law </w:t>
      </w:r>
      <w:r w:rsidRPr="00302164" w:rsidR="00BB5517">
        <w:rPr>
          <w:szCs w:val="26"/>
        </w:rPr>
        <w:t xml:space="preserve">to recover against the defendants for her emotional distress.  </w:t>
      </w:r>
      <w:r w:rsidRPr="00302164">
        <w:rPr>
          <w:szCs w:val="26"/>
        </w:rPr>
        <w:t>The Ninth Circuit agreed with the trial court’s conclusion that the injury-producing event included the initial crash and the consequent fire, and because the plaintiff “was present at the scene of the fire, she was present at the scene of the injury-producing event.”  (</w:t>
      </w:r>
      <w:r w:rsidRPr="00302164">
        <w:rPr>
          <w:i/>
          <w:iCs/>
          <w:szCs w:val="26"/>
        </w:rPr>
        <w:t>Id.</w:t>
      </w:r>
      <w:r w:rsidRPr="00302164">
        <w:rPr>
          <w:szCs w:val="26"/>
        </w:rPr>
        <w:t xml:space="preserve"> at p.</w:t>
      </w:r>
      <w:r w:rsidRPr="00302164" w:rsidR="00FF3158">
        <w:rPr>
          <w:szCs w:val="26"/>
        </w:rPr>
        <w:t> </w:t>
      </w:r>
      <w:r w:rsidRPr="00302164">
        <w:rPr>
          <w:szCs w:val="26"/>
        </w:rPr>
        <w:t>1425.)  It did not matter that, while she watched her house burning with her family inside, the plaintiff did not know that the fire</w:t>
      </w:r>
      <w:r w:rsidRPr="00302164" w:rsidR="00040E3E">
        <w:rPr>
          <w:szCs w:val="26"/>
        </w:rPr>
        <w:t xml:space="preserve"> had</w:t>
      </w:r>
      <w:r w:rsidRPr="00302164">
        <w:rPr>
          <w:szCs w:val="26"/>
        </w:rPr>
        <w:t xml:space="preserve"> resulted from an airliner crash, </w:t>
      </w:r>
      <w:r w:rsidRPr="00302164" w:rsidR="009170B6">
        <w:rPr>
          <w:szCs w:val="26"/>
        </w:rPr>
        <w:t>nor did it matter that she could not have known the role air traffic controllers played in causing the fire</w:t>
      </w:r>
      <w:r w:rsidRPr="00302164" w:rsidR="00581951">
        <w:rPr>
          <w:szCs w:val="26"/>
        </w:rPr>
        <w:t xml:space="preserve">.  </w:t>
      </w:r>
      <w:r w:rsidRPr="00302164">
        <w:rPr>
          <w:i/>
          <w:iCs/>
          <w:szCs w:val="26"/>
        </w:rPr>
        <w:t>Thing</w:t>
      </w:r>
      <w:r w:rsidRPr="00302164">
        <w:rPr>
          <w:szCs w:val="26"/>
        </w:rPr>
        <w:t>’s contemporaneous awareness requirement was satisfied because the plaintiff had “experienced great emotional distress as a result of watching helplessly as flames engulfed her home and burned her family to death.”  (</w:t>
      </w:r>
      <w:r w:rsidRPr="00302164" w:rsidR="00DC322D">
        <w:rPr>
          <w:i/>
          <w:iCs/>
          <w:szCs w:val="26"/>
        </w:rPr>
        <w:t>Ibid.</w:t>
      </w:r>
      <w:r w:rsidRPr="00302164">
        <w:rPr>
          <w:szCs w:val="26"/>
        </w:rPr>
        <w:t>)</w:t>
      </w:r>
    </w:p>
    <w:p w:rsidR="00DE124E" w:rsidRPr="00302164" w:rsidP="00302164" w14:paraId="6868BE13" w14:textId="7FF1C18B">
      <w:pPr>
        <w:tabs>
          <w:tab w:val="left" w:pos="1440"/>
        </w:tabs>
        <w:ind w:firstLine="720"/>
        <w:rPr>
          <w:szCs w:val="26"/>
        </w:rPr>
      </w:pPr>
      <w:r w:rsidRPr="00302164">
        <w:rPr>
          <w:i/>
          <w:iCs/>
          <w:szCs w:val="26"/>
        </w:rPr>
        <w:t>Fortman</w:t>
      </w:r>
      <w:r w:rsidRPr="00302164">
        <w:rPr>
          <w:szCs w:val="26"/>
        </w:rPr>
        <w:t xml:space="preserve"> also distinguished a third case involving a catastrophic fire, </w:t>
      </w:r>
      <w:r w:rsidRPr="00302164">
        <w:rPr>
          <w:i/>
          <w:iCs/>
          <w:szCs w:val="26"/>
        </w:rPr>
        <w:t>Zuniga v. Housing Authority</w:t>
      </w:r>
      <w:r w:rsidRPr="00302164">
        <w:rPr>
          <w:szCs w:val="26"/>
        </w:rPr>
        <w:t xml:space="preserve"> (1995) 41</w:t>
      </w:r>
      <w:r w:rsidR="00931164">
        <w:rPr>
          <w:szCs w:val="26"/>
        </w:rPr>
        <w:t> </w:t>
      </w:r>
      <w:r w:rsidRPr="00302164">
        <w:rPr>
          <w:szCs w:val="26"/>
        </w:rPr>
        <w:t xml:space="preserve">Cal.App.4th 82.  There, </w:t>
      </w:r>
      <w:r w:rsidRPr="00302164" w:rsidR="00D41BFE">
        <w:rPr>
          <w:szCs w:val="26"/>
        </w:rPr>
        <w:t>one of the</w:t>
      </w:r>
      <w:r w:rsidRPr="00302164">
        <w:rPr>
          <w:szCs w:val="26"/>
        </w:rPr>
        <w:t xml:space="preserve"> plaintiff</w:t>
      </w:r>
      <w:r w:rsidRPr="00302164" w:rsidR="00D41BFE">
        <w:rPr>
          <w:szCs w:val="26"/>
        </w:rPr>
        <w:t>s</w:t>
      </w:r>
      <w:r w:rsidRPr="00302164">
        <w:rPr>
          <w:szCs w:val="26"/>
        </w:rPr>
        <w:t xml:space="preserve"> had found his residence in a housing project engulfed in flames after emergency personnel were already present and responding to the fire</w:t>
      </w:r>
      <w:r w:rsidRPr="00302164" w:rsidR="0038654D">
        <w:rPr>
          <w:szCs w:val="26"/>
        </w:rPr>
        <w:t>.  The Court of Appeal concluded that</w:t>
      </w:r>
      <w:r w:rsidRPr="00302164">
        <w:rPr>
          <w:szCs w:val="26"/>
        </w:rPr>
        <w:t xml:space="preserve"> his allegations that “he witnessed rescue efforts and futile attempts to extinguish the fire,” saw “the fire was still causing damage, and possibly still causing injury to his many relatives inside,” and saw his daughter’s body carried out of the burning building were enough to satisfy </w:t>
      </w:r>
      <w:r w:rsidRPr="00302164">
        <w:rPr>
          <w:i/>
          <w:iCs/>
          <w:szCs w:val="26"/>
        </w:rPr>
        <w:t>Thing</w:t>
      </w:r>
      <w:r w:rsidRPr="00302164">
        <w:rPr>
          <w:szCs w:val="26"/>
        </w:rPr>
        <w:t>’s contemporaneous observation requirement.  (</w:t>
      </w:r>
      <w:r w:rsidRPr="00302164">
        <w:rPr>
          <w:i/>
          <w:iCs/>
          <w:szCs w:val="26"/>
        </w:rPr>
        <w:t>Zuniga</w:t>
      </w:r>
      <w:r w:rsidRPr="00302164">
        <w:rPr>
          <w:szCs w:val="26"/>
        </w:rPr>
        <w:t>, at p. 103</w:t>
      </w:r>
      <w:r w:rsidRPr="00302164" w:rsidR="00DC322D">
        <w:rPr>
          <w:szCs w:val="26"/>
        </w:rPr>
        <w:t xml:space="preserve">; see </w:t>
      </w:r>
      <w:r w:rsidRPr="00302164" w:rsidR="00DC322D">
        <w:rPr>
          <w:i/>
          <w:iCs/>
          <w:szCs w:val="26"/>
        </w:rPr>
        <w:t>id.</w:t>
      </w:r>
      <w:r w:rsidRPr="00302164" w:rsidR="00DC322D">
        <w:rPr>
          <w:szCs w:val="26"/>
        </w:rPr>
        <w:t xml:space="preserve"> at p. 102</w:t>
      </w:r>
      <w:r w:rsidRPr="00302164">
        <w:rPr>
          <w:szCs w:val="26"/>
        </w:rPr>
        <w:t>.)  The fire</w:t>
      </w:r>
      <w:r w:rsidRPr="00302164" w:rsidR="00B56FB6">
        <w:rPr>
          <w:szCs w:val="26"/>
        </w:rPr>
        <w:t>, as it turned out,</w:t>
      </w:r>
      <w:r w:rsidRPr="00302164">
        <w:rPr>
          <w:szCs w:val="26"/>
        </w:rPr>
        <w:t xml:space="preserve"> had been caused by an act of arson that </w:t>
      </w:r>
      <w:r w:rsidRPr="00302164" w:rsidR="004A407A">
        <w:rPr>
          <w:szCs w:val="26"/>
        </w:rPr>
        <w:t xml:space="preserve">none of the </w:t>
      </w:r>
      <w:r w:rsidRPr="00302164">
        <w:rPr>
          <w:szCs w:val="26"/>
        </w:rPr>
        <w:t>plaintiff</w:t>
      </w:r>
      <w:r w:rsidRPr="00302164" w:rsidR="00D41BFE">
        <w:rPr>
          <w:szCs w:val="26"/>
        </w:rPr>
        <w:t>s</w:t>
      </w:r>
      <w:r w:rsidRPr="00302164">
        <w:rPr>
          <w:szCs w:val="26"/>
        </w:rPr>
        <w:t xml:space="preserve"> </w:t>
      </w:r>
      <w:r w:rsidRPr="00302164" w:rsidR="00B56FB6">
        <w:rPr>
          <w:szCs w:val="26"/>
        </w:rPr>
        <w:t xml:space="preserve">had </w:t>
      </w:r>
      <w:r w:rsidRPr="00302164">
        <w:rPr>
          <w:szCs w:val="26"/>
        </w:rPr>
        <w:t xml:space="preserve">witnessed, but the Court of Appeal was </w:t>
      </w:r>
      <w:r w:rsidRPr="00302164" w:rsidR="00F73383">
        <w:rPr>
          <w:szCs w:val="26"/>
        </w:rPr>
        <w:t xml:space="preserve">nonetheless </w:t>
      </w:r>
      <w:r w:rsidRPr="00302164">
        <w:rPr>
          <w:szCs w:val="26"/>
        </w:rPr>
        <w:t xml:space="preserve">satisfied that </w:t>
      </w:r>
      <w:r w:rsidRPr="00302164" w:rsidR="00D41BFE">
        <w:rPr>
          <w:szCs w:val="26"/>
        </w:rPr>
        <w:t xml:space="preserve">the plaintiff </w:t>
      </w:r>
      <w:r w:rsidRPr="00302164">
        <w:rPr>
          <w:szCs w:val="26"/>
        </w:rPr>
        <w:t xml:space="preserve">had observed the injury-producing event as it unfolded because he alleged that he had seen the fire while it was still raging and likely injuring his relatives.  </w:t>
      </w:r>
      <w:r w:rsidRPr="00302164" w:rsidR="009F53ED">
        <w:rPr>
          <w:szCs w:val="26"/>
        </w:rPr>
        <w:t>(</w:t>
      </w:r>
      <w:r w:rsidRPr="00302164" w:rsidR="009F53ED">
        <w:rPr>
          <w:i/>
          <w:iCs/>
          <w:szCs w:val="26"/>
        </w:rPr>
        <w:t>Id.</w:t>
      </w:r>
      <w:r w:rsidRPr="00302164" w:rsidR="009F53ED">
        <w:rPr>
          <w:szCs w:val="26"/>
        </w:rPr>
        <w:t xml:space="preserve"> at p.</w:t>
      </w:r>
      <w:r w:rsidRPr="00302164" w:rsidR="00FF3158">
        <w:rPr>
          <w:szCs w:val="26"/>
        </w:rPr>
        <w:t> </w:t>
      </w:r>
      <w:r w:rsidRPr="00302164" w:rsidR="009F53ED">
        <w:rPr>
          <w:szCs w:val="26"/>
        </w:rPr>
        <w:t xml:space="preserve">103.)  </w:t>
      </w:r>
      <w:r w:rsidRPr="00302164" w:rsidR="00B94220">
        <w:rPr>
          <w:szCs w:val="26"/>
        </w:rPr>
        <w:t xml:space="preserve">Notwithstanding that the fire was caused by an intentional act of arson, </w:t>
      </w:r>
      <w:r w:rsidRPr="00302164" w:rsidR="007A7056">
        <w:rPr>
          <w:szCs w:val="26"/>
        </w:rPr>
        <w:t>t</w:t>
      </w:r>
      <w:r w:rsidRPr="00302164" w:rsidR="00B94220">
        <w:rPr>
          <w:szCs w:val="26"/>
        </w:rPr>
        <w:t xml:space="preserve">he </w:t>
      </w:r>
      <w:r w:rsidRPr="00302164" w:rsidR="007A7056">
        <w:rPr>
          <w:szCs w:val="26"/>
        </w:rPr>
        <w:t xml:space="preserve">plaintiff </w:t>
      </w:r>
      <w:r w:rsidRPr="00302164" w:rsidR="00B94220">
        <w:rPr>
          <w:szCs w:val="26"/>
        </w:rPr>
        <w:t>was allowed to bring a claim for negligent infliction of emotional distress against the Housing Authority of Los Angeles based on the Housing Authority’s alleged breach of</w:t>
      </w:r>
      <w:r w:rsidRPr="00302164" w:rsidR="007A7056">
        <w:rPr>
          <w:szCs w:val="26"/>
        </w:rPr>
        <w:t xml:space="preserve"> its </w:t>
      </w:r>
      <w:r w:rsidRPr="00302164" w:rsidR="00B94220">
        <w:rPr>
          <w:szCs w:val="26"/>
        </w:rPr>
        <w:t>duty to provide safe public housing.  (</w:t>
      </w:r>
      <w:r w:rsidRPr="00302164" w:rsidR="009F53ED">
        <w:rPr>
          <w:i/>
          <w:iCs/>
          <w:szCs w:val="26"/>
        </w:rPr>
        <w:t xml:space="preserve">Id. </w:t>
      </w:r>
      <w:r w:rsidRPr="00302164" w:rsidR="00B94220">
        <w:rPr>
          <w:szCs w:val="26"/>
        </w:rPr>
        <w:t>at pp. 90–91, 103.)  A</w:t>
      </w:r>
      <w:r w:rsidRPr="00302164" w:rsidR="001F0AE0">
        <w:rPr>
          <w:szCs w:val="26"/>
        </w:rPr>
        <w:t xml:space="preserve">s in </w:t>
      </w:r>
      <w:r w:rsidRPr="00302164" w:rsidR="006F6775">
        <w:rPr>
          <w:i/>
          <w:iCs/>
          <w:szCs w:val="26"/>
        </w:rPr>
        <w:t>Ortiz</w:t>
      </w:r>
      <w:r w:rsidRPr="00302164" w:rsidR="006F6775">
        <w:rPr>
          <w:szCs w:val="26"/>
        </w:rPr>
        <w:t xml:space="preserve">, </w:t>
      </w:r>
      <w:r w:rsidRPr="00302164" w:rsidR="006F6775">
        <w:rPr>
          <w:i/>
          <w:iCs/>
          <w:szCs w:val="26"/>
        </w:rPr>
        <w:t>Wilks</w:t>
      </w:r>
      <w:r w:rsidRPr="00302164" w:rsidR="006F6775">
        <w:rPr>
          <w:szCs w:val="26"/>
        </w:rPr>
        <w:t xml:space="preserve">, and </w:t>
      </w:r>
      <w:r w:rsidRPr="00302164" w:rsidR="006F6775">
        <w:rPr>
          <w:i/>
          <w:iCs/>
          <w:szCs w:val="26"/>
        </w:rPr>
        <w:t>Air Crash</w:t>
      </w:r>
      <w:r w:rsidRPr="00302164" w:rsidR="001F0AE0">
        <w:rPr>
          <w:szCs w:val="26"/>
        </w:rPr>
        <w:t>, what matter</w:t>
      </w:r>
      <w:r w:rsidRPr="00302164" w:rsidR="006F6775">
        <w:rPr>
          <w:szCs w:val="26"/>
        </w:rPr>
        <w:t>ed</w:t>
      </w:r>
      <w:r w:rsidRPr="00302164" w:rsidR="001F0AE0">
        <w:rPr>
          <w:szCs w:val="26"/>
        </w:rPr>
        <w:t xml:space="preserve"> was that the </w:t>
      </w:r>
      <w:r w:rsidRPr="00302164" w:rsidR="00065C0C">
        <w:rPr>
          <w:szCs w:val="26"/>
        </w:rPr>
        <w:t>father</w:t>
      </w:r>
      <w:r w:rsidRPr="00302164" w:rsidR="001F0AE0">
        <w:rPr>
          <w:szCs w:val="26"/>
        </w:rPr>
        <w:t xml:space="preserve"> had perceived the injury-causing event and immediately understood that his </w:t>
      </w:r>
      <w:r w:rsidRPr="00302164" w:rsidR="00110020">
        <w:rPr>
          <w:szCs w:val="26"/>
        </w:rPr>
        <w:t xml:space="preserve">daughter and other </w:t>
      </w:r>
      <w:r w:rsidRPr="00302164" w:rsidR="001F0AE0">
        <w:rPr>
          <w:szCs w:val="26"/>
        </w:rPr>
        <w:t>family members</w:t>
      </w:r>
      <w:r w:rsidRPr="00302164" w:rsidR="00110020">
        <w:rPr>
          <w:szCs w:val="26"/>
        </w:rPr>
        <w:t xml:space="preserve"> </w:t>
      </w:r>
      <w:r w:rsidRPr="00302164" w:rsidR="001F0AE0">
        <w:rPr>
          <w:szCs w:val="26"/>
        </w:rPr>
        <w:t xml:space="preserve">were </w:t>
      </w:r>
      <w:r w:rsidRPr="00302164" w:rsidR="00110020">
        <w:rPr>
          <w:szCs w:val="26"/>
        </w:rPr>
        <w:t>suffering injury</w:t>
      </w:r>
      <w:r w:rsidRPr="00302164" w:rsidR="001F0AE0">
        <w:rPr>
          <w:szCs w:val="26"/>
        </w:rPr>
        <w:t xml:space="preserve">; that he </w:t>
      </w:r>
      <w:r w:rsidRPr="00302164" w:rsidR="007A7056">
        <w:rPr>
          <w:szCs w:val="26"/>
        </w:rPr>
        <w:t xml:space="preserve">may not have known </w:t>
      </w:r>
      <w:r w:rsidRPr="00302164" w:rsidR="001F0AE0">
        <w:rPr>
          <w:szCs w:val="26"/>
        </w:rPr>
        <w:t xml:space="preserve">right away what </w:t>
      </w:r>
      <w:r w:rsidRPr="00302164" w:rsidR="007A7056">
        <w:rPr>
          <w:szCs w:val="26"/>
        </w:rPr>
        <w:t xml:space="preserve">role the Housing Authority played in the fire </w:t>
      </w:r>
      <w:r w:rsidRPr="00302164" w:rsidR="001F0AE0">
        <w:rPr>
          <w:szCs w:val="26"/>
        </w:rPr>
        <w:t xml:space="preserve">did not bar his recovery.  </w:t>
      </w:r>
    </w:p>
    <w:p w:rsidR="00C13F91" w:rsidRPr="00302164" w:rsidP="00302164" w14:paraId="5BA36F58" w14:textId="45222F24">
      <w:pPr>
        <w:tabs>
          <w:tab w:val="left" w:pos="1440"/>
        </w:tabs>
        <w:ind w:firstLine="720"/>
        <w:rPr>
          <w:szCs w:val="26"/>
        </w:rPr>
      </w:pPr>
      <w:r w:rsidRPr="00302164">
        <w:rPr>
          <w:szCs w:val="26"/>
        </w:rPr>
        <w:t xml:space="preserve">In sum, neither </w:t>
      </w:r>
      <w:r w:rsidRPr="00302164">
        <w:rPr>
          <w:i/>
          <w:iCs/>
          <w:szCs w:val="26"/>
        </w:rPr>
        <w:t>Bird</w:t>
      </w:r>
      <w:r w:rsidRPr="00302164">
        <w:rPr>
          <w:szCs w:val="26"/>
        </w:rPr>
        <w:t xml:space="preserve"> nor subsequent cases hav</w:t>
      </w:r>
      <w:r w:rsidRPr="00302164" w:rsidR="001C5BA9">
        <w:rPr>
          <w:szCs w:val="26"/>
        </w:rPr>
        <w:t xml:space="preserve">e </w:t>
      </w:r>
      <w:r w:rsidR="005C7831">
        <w:rPr>
          <w:szCs w:val="26"/>
        </w:rPr>
        <w:t xml:space="preserve">required </w:t>
      </w:r>
      <w:r w:rsidRPr="00302164" w:rsidR="001C5BA9">
        <w:rPr>
          <w:szCs w:val="26"/>
        </w:rPr>
        <w:t xml:space="preserve">contemporaneous awareness of the causal connection between each defendant’s </w:t>
      </w:r>
      <w:r w:rsidRPr="00302164" w:rsidR="00953B7B">
        <w:rPr>
          <w:szCs w:val="26"/>
        </w:rPr>
        <w:t xml:space="preserve">conduct and a victim’s injury. </w:t>
      </w:r>
      <w:r w:rsidR="00A863B2">
        <w:rPr>
          <w:szCs w:val="26"/>
        </w:rPr>
        <w:t xml:space="preserve"> </w:t>
      </w:r>
      <w:r w:rsidRPr="00302164" w:rsidR="00953B7B">
        <w:rPr>
          <w:szCs w:val="26"/>
        </w:rPr>
        <w:t>On the contrary, several post-</w:t>
      </w:r>
      <w:r w:rsidRPr="00302164" w:rsidR="00953B7B">
        <w:rPr>
          <w:i/>
          <w:iCs/>
          <w:szCs w:val="26"/>
        </w:rPr>
        <w:t>Thing</w:t>
      </w:r>
      <w:r w:rsidRPr="00302164" w:rsidR="00953B7B">
        <w:rPr>
          <w:szCs w:val="26"/>
        </w:rPr>
        <w:t xml:space="preserve"> cases have at least implicitly rejected such a requirement by allowing </w:t>
      </w:r>
      <w:r w:rsidR="00643F07">
        <w:rPr>
          <w:szCs w:val="26"/>
        </w:rPr>
        <w:t xml:space="preserve">recovery for </w:t>
      </w:r>
      <w:r w:rsidRPr="00302164" w:rsidR="00953B7B">
        <w:rPr>
          <w:szCs w:val="26"/>
        </w:rPr>
        <w:t xml:space="preserve">plaintiffs who have witnessed </w:t>
      </w:r>
      <w:r w:rsidRPr="00302164" w:rsidR="004F29A6">
        <w:rPr>
          <w:szCs w:val="26"/>
        </w:rPr>
        <w:t xml:space="preserve">injurious </w:t>
      </w:r>
      <w:r w:rsidRPr="00302164" w:rsidR="00953B7B">
        <w:rPr>
          <w:szCs w:val="26"/>
        </w:rPr>
        <w:t xml:space="preserve">explosions, fires, and other </w:t>
      </w:r>
      <w:r w:rsidRPr="00302164" w:rsidR="004F29A6">
        <w:rPr>
          <w:szCs w:val="26"/>
        </w:rPr>
        <w:t xml:space="preserve">similar </w:t>
      </w:r>
      <w:r w:rsidRPr="00302164" w:rsidR="00953B7B">
        <w:rPr>
          <w:szCs w:val="26"/>
        </w:rPr>
        <w:t xml:space="preserve">accidents, even if they could not have been aware at the time </w:t>
      </w:r>
      <w:r w:rsidR="00197270">
        <w:rPr>
          <w:szCs w:val="26"/>
        </w:rPr>
        <w:t>that the defendant</w:t>
      </w:r>
      <w:r w:rsidR="00A571D5">
        <w:rPr>
          <w:szCs w:val="26"/>
        </w:rPr>
        <w:t xml:space="preserve"> </w:t>
      </w:r>
      <w:r w:rsidRPr="00302164" w:rsidR="007A7056">
        <w:rPr>
          <w:szCs w:val="26"/>
        </w:rPr>
        <w:t>had contributed to these disastrous events</w:t>
      </w:r>
      <w:r w:rsidRPr="00302164" w:rsidR="004F29A6">
        <w:rPr>
          <w:szCs w:val="26"/>
        </w:rPr>
        <w:t>.</w:t>
      </w:r>
      <w:r w:rsidR="005C7831">
        <w:rPr>
          <w:szCs w:val="26"/>
        </w:rPr>
        <w:t xml:space="preserve">  The Court of Appeal in this case erred in reading the cases otherwise.</w:t>
      </w:r>
    </w:p>
    <w:p w:rsidR="00C11A8B" w:rsidRPr="00302164" w:rsidP="008F2BB6" w14:paraId="6E55F072" w14:textId="60110729">
      <w:pPr>
        <w:keepNext/>
        <w:tabs>
          <w:tab w:val="left" w:pos="720"/>
        </w:tabs>
        <w:jc w:val="center"/>
        <w:rPr>
          <w:b/>
          <w:bCs/>
          <w:szCs w:val="26"/>
        </w:rPr>
      </w:pPr>
      <w:r w:rsidRPr="00302164">
        <w:rPr>
          <w:b/>
          <w:bCs/>
          <w:szCs w:val="26"/>
        </w:rPr>
        <w:t>C.</w:t>
      </w:r>
    </w:p>
    <w:p w:rsidR="00B07E9A" w:rsidP="00302164" w14:paraId="03C2218C" w14:textId="51E67DB6">
      <w:pPr>
        <w:tabs>
          <w:tab w:val="left" w:pos="1440"/>
        </w:tabs>
        <w:ind w:firstLine="720"/>
        <w:rPr>
          <w:szCs w:val="26"/>
        </w:rPr>
      </w:pPr>
      <w:r>
        <w:rPr>
          <w:szCs w:val="26"/>
        </w:rPr>
        <w:t xml:space="preserve">Recognizing </w:t>
      </w:r>
      <w:r w:rsidR="005C7831">
        <w:rPr>
          <w:szCs w:val="26"/>
        </w:rPr>
        <w:t xml:space="preserve">that we have not previously required </w:t>
      </w:r>
      <w:r w:rsidRPr="00302164" w:rsidR="001049F3">
        <w:rPr>
          <w:szCs w:val="26"/>
        </w:rPr>
        <w:t>contemporaneous awareness of the defendant’s contribution to the injury</w:t>
      </w:r>
      <w:r w:rsidRPr="00302164" w:rsidR="00A75747">
        <w:rPr>
          <w:szCs w:val="26"/>
        </w:rPr>
        <w:t xml:space="preserve">, as distinct from awareness of the </w:t>
      </w:r>
      <w:r w:rsidR="00CD04ED">
        <w:rPr>
          <w:szCs w:val="26"/>
        </w:rPr>
        <w:t>injury-causing event</w:t>
      </w:r>
      <w:r w:rsidR="005C7831">
        <w:rPr>
          <w:szCs w:val="26"/>
        </w:rPr>
        <w:t xml:space="preserve">, </w:t>
      </w:r>
      <w:r>
        <w:rPr>
          <w:szCs w:val="26"/>
        </w:rPr>
        <w:t>the question becomes whether we should impose such a requirement now.  We see no persuasive reason to do so.</w:t>
      </w:r>
    </w:p>
    <w:p w:rsidR="004C334D" w:rsidRPr="00302164" w:rsidP="00302164" w14:paraId="06C9C4D8" w14:textId="4C5CB57E">
      <w:pPr>
        <w:tabs>
          <w:tab w:val="left" w:pos="1440"/>
        </w:tabs>
        <w:ind w:firstLine="720"/>
        <w:rPr>
          <w:szCs w:val="26"/>
        </w:rPr>
      </w:pPr>
      <w:r w:rsidRPr="00302164">
        <w:rPr>
          <w:szCs w:val="26"/>
        </w:rPr>
        <w:t>It i</w:t>
      </w:r>
      <w:r w:rsidRPr="00302164" w:rsidR="00A65C85">
        <w:rPr>
          <w:szCs w:val="26"/>
        </w:rPr>
        <w:t xml:space="preserve">s not difficult to see why the courts in </w:t>
      </w:r>
      <w:r w:rsidRPr="00302164" w:rsidR="00A65C85">
        <w:rPr>
          <w:i/>
          <w:iCs/>
          <w:szCs w:val="26"/>
        </w:rPr>
        <w:t>Ortiz</w:t>
      </w:r>
      <w:r w:rsidRPr="00302164" w:rsidR="00A65C85">
        <w:rPr>
          <w:szCs w:val="26"/>
        </w:rPr>
        <w:t xml:space="preserve">, </w:t>
      </w:r>
      <w:r w:rsidRPr="00302164" w:rsidR="00A65C85">
        <w:rPr>
          <w:i/>
          <w:iCs/>
          <w:szCs w:val="26"/>
        </w:rPr>
        <w:t>Wilks</w:t>
      </w:r>
      <w:r w:rsidRPr="00302164" w:rsidR="00A65C85">
        <w:rPr>
          <w:szCs w:val="26"/>
        </w:rPr>
        <w:t xml:space="preserve">, </w:t>
      </w:r>
      <w:r w:rsidRPr="00302164" w:rsidR="00A65C85">
        <w:rPr>
          <w:i/>
          <w:iCs/>
          <w:szCs w:val="26"/>
        </w:rPr>
        <w:t>Air</w:t>
      </w:r>
      <w:r w:rsidRPr="00302164" w:rsidR="00A65C85">
        <w:rPr>
          <w:szCs w:val="26"/>
        </w:rPr>
        <w:t xml:space="preserve"> </w:t>
      </w:r>
      <w:r w:rsidRPr="00302164" w:rsidR="00A65C85">
        <w:rPr>
          <w:i/>
          <w:iCs/>
          <w:szCs w:val="26"/>
        </w:rPr>
        <w:t>Crash</w:t>
      </w:r>
      <w:r w:rsidRPr="00302164" w:rsidR="00A65C85">
        <w:rPr>
          <w:szCs w:val="26"/>
        </w:rPr>
        <w:t xml:space="preserve">, </w:t>
      </w:r>
      <w:r w:rsidRPr="00302164" w:rsidR="000304FB">
        <w:rPr>
          <w:szCs w:val="26"/>
        </w:rPr>
        <w:t>and</w:t>
      </w:r>
      <w:r w:rsidRPr="00302164" w:rsidR="00A65C85">
        <w:rPr>
          <w:szCs w:val="26"/>
        </w:rPr>
        <w:t xml:space="preserve"> </w:t>
      </w:r>
      <w:r w:rsidRPr="00302164" w:rsidR="00A65C85">
        <w:rPr>
          <w:i/>
          <w:iCs/>
          <w:szCs w:val="26"/>
        </w:rPr>
        <w:t>Zuniga</w:t>
      </w:r>
      <w:r w:rsidRPr="00302164" w:rsidR="00A65C85">
        <w:rPr>
          <w:szCs w:val="26"/>
        </w:rPr>
        <w:t xml:space="preserve"> allowed recovery for negligent infliction of emotional distress even though none of the plaintiffs in those cases claimed to have understood the causal connection between the defendants’ conduct and the injury to their close relatives when they perceived those relatives being injured.  </w:t>
      </w:r>
      <w:r w:rsidRPr="00302164" w:rsidR="00FA1DC3">
        <w:rPr>
          <w:szCs w:val="26"/>
        </w:rPr>
        <w:t xml:space="preserve">Much as in </w:t>
      </w:r>
      <w:r w:rsidRPr="00302164" w:rsidR="00FA1DC3">
        <w:rPr>
          <w:i/>
          <w:iCs/>
          <w:szCs w:val="26"/>
        </w:rPr>
        <w:t>Dillon</w:t>
      </w:r>
      <w:r w:rsidRPr="00302164" w:rsidR="00FA1DC3">
        <w:rPr>
          <w:szCs w:val="26"/>
        </w:rPr>
        <w:t xml:space="preserve">, </w:t>
      </w:r>
      <w:r w:rsidRPr="00302164">
        <w:rPr>
          <w:szCs w:val="26"/>
        </w:rPr>
        <w:t xml:space="preserve">the plaintiffs </w:t>
      </w:r>
      <w:r w:rsidRPr="00302164" w:rsidR="004529B4">
        <w:rPr>
          <w:szCs w:val="26"/>
        </w:rPr>
        <w:t xml:space="preserve">witnessed </w:t>
      </w:r>
      <w:r w:rsidRPr="00302164">
        <w:rPr>
          <w:szCs w:val="26"/>
        </w:rPr>
        <w:t xml:space="preserve">shocking and traumatic </w:t>
      </w:r>
      <w:r w:rsidRPr="00302164" w:rsidR="004529B4">
        <w:rPr>
          <w:szCs w:val="26"/>
        </w:rPr>
        <w:t xml:space="preserve">events </w:t>
      </w:r>
      <w:r w:rsidRPr="00302164" w:rsidR="00141B58">
        <w:rPr>
          <w:szCs w:val="26"/>
        </w:rPr>
        <w:t xml:space="preserve">in which their close </w:t>
      </w:r>
      <w:r w:rsidRPr="00302164" w:rsidR="004529B4">
        <w:rPr>
          <w:szCs w:val="26"/>
        </w:rPr>
        <w:t>relatives</w:t>
      </w:r>
      <w:r w:rsidRPr="00302164" w:rsidR="00141B58">
        <w:rPr>
          <w:szCs w:val="26"/>
        </w:rPr>
        <w:t xml:space="preserve"> were severely injured or killed</w:t>
      </w:r>
      <w:r w:rsidRPr="00302164" w:rsidR="00DC6E9D">
        <w:rPr>
          <w:szCs w:val="26"/>
        </w:rPr>
        <w:t xml:space="preserve">, and </w:t>
      </w:r>
      <w:r w:rsidRPr="00302164" w:rsidR="00D6157E">
        <w:rPr>
          <w:szCs w:val="26"/>
        </w:rPr>
        <w:t xml:space="preserve">they </w:t>
      </w:r>
      <w:r w:rsidRPr="00302164" w:rsidR="00DC6E9D">
        <w:rPr>
          <w:szCs w:val="26"/>
        </w:rPr>
        <w:t xml:space="preserve">foreseeably suffered emotional distress as a result.  </w:t>
      </w:r>
      <w:r w:rsidRPr="00302164" w:rsidR="001E5E01">
        <w:rPr>
          <w:szCs w:val="26"/>
        </w:rPr>
        <w:t>That distress was no less because they may not have</w:t>
      </w:r>
      <w:r w:rsidRPr="00302164" w:rsidR="00A662E3">
        <w:rPr>
          <w:szCs w:val="26"/>
        </w:rPr>
        <w:t>, and perhaps could not have,</w:t>
      </w:r>
      <w:r w:rsidRPr="00302164" w:rsidR="001E5E01">
        <w:rPr>
          <w:szCs w:val="26"/>
        </w:rPr>
        <w:t xml:space="preserve"> understood all the forces that contributed to the events they </w:t>
      </w:r>
      <w:r w:rsidRPr="00302164" w:rsidR="000657B6">
        <w:rPr>
          <w:szCs w:val="26"/>
        </w:rPr>
        <w:t xml:space="preserve">were </w:t>
      </w:r>
      <w:r w:rsidRPr="00302164" w:rsidR="001E5E01">
        <w:rPr>
          <w:szCs w:val="26"/>
        </w:rPr>
        <w:t>witness</w:t>
      </w:r>
      <w:r w:rsidRPr="00302164" w:rsidR="000657B6">
        <w:rPr>
          <w:szCs w:val="26"/>
        </w:rPr>
        <w:t>ing</w:t>
      </w:r>
      <w:r w:rsidRPr="00302164" w:rsidR="001E5E01">
        <w:rPr>
          <w:szCs w:val="26"/>
        </w:rPr>
        <w:t>.</w:t>
      </w:r>
      <w:r w:rsidRPr="00302164" w:rsidR="0025272D">
        <w:rPr>
          <w:szCs w:val="26"/>
        </w:rPr>
        <w:t xml:space="preserve">  </w:t>
      </w:r>
    </w:p>
    <w:p w:rsidR="00681841" w:rsidRPr="00302164" w:rsidP="00302164" w14:paraId="3D3440CF" w14:textId="05270887">
      <w:pPr>
        <w:tabs>
          <w:tab w:val="left" w:pos="1440"/>
        </w:tabs>
        <w:ind w:firstLine="720"/>
        <w:rPr>
          <w:szCs w:val="26"/>
        </w:rPr>
      </w:pPr>
      <w:r w:rsidRPr="00302164">
        <w:rPr>
          <w:szCs w:val="26"/>
        </w:rPr>
        <w:t xml:space="preserve">It is, </w:t>
      </w:r>
      <w:r w:rsidRPr="00302164" w:rsidR="000B132B">
        <w:rPr>
          <w:szCs w:val="26"/>
        </w:rPr>
        <w:t>of course, true that not all forms of emotional trauma associated with harm to a loved one are compensable</w:t>
      </w:r>
      <w:r w:rsidRPr="00302164" w:rsidR="00CF4F31">
        <w:rPr>
          <w:szCs w:val="26"/>
        </w:rPr>
        <w:t xml:space="preserve">.  </w:t>
      </w:r>
      <w:r w:rsidR="00D92662">
        <w:rPr>
          <w:szCs w:val="26"/>
        </w:rPr>
        <w:t>T</w:t>
      </w:r>
      <w:r w:rsidRPr="00302164" w:rsidR="00CF4F31">
        <w:rPr>
          <w:szCs w:val="26"/>
        </w:rPr>
        <w:t>he Court of Appeal correctly noted</w:t>
      </w:r>
      <w:r w:rsidR="00D92662">
        <w:rPr>
          <w:szCs w:val="26"/>
        </w:rPr>
        <w:t xml:space="preserve"> that</w:t>
      </w:r>
      <w:r w:rsidRPr="00302164" w:rsidR="00CF4F31">
        <w:rPr>
          <w:szCs w:val="26"/>
        </w:rPr>
        <w:t xml:space="preserve"> </w:t>
      </w:r>
      <w:r w:rsidRPr="00302164" w:rsidR="00C70BBE">
        <w:rPr>
          <w:szCs w:val="26"/>
        </w:rPr>
        <w:t xml:space="preserve">the plaintiff must have suffered trauma from perceiving “ ‘the injury-producing </w:t>
      </w:r>
      <w:r w:rsidRPr="00302164" w:rsidR="00C70BBE">
        <w:rPr>
          <w:i/>
          <w:iCs/>
          <w:szCs w:val="26"/>
        </w:rPr>
        <w:t>event</w:t>
      </w:r>
      <w:r w:rsidRPr="00302164" w:rsidR="00C70BBE">
        <w:rPr>
          <w:szCs w:val="26"/>
        </w:rPr>
        <w:t xml:space="preserve">, itself’ ” rather than “ ‘ “on viewing or learning about the injurious </w:t>
      </w:r>
      <w:r w:rsidRPr="00302164" w:rsidR="00C70BBE">
        <w:rPr>
          <w:i/>
          <w:iCs/>
          <w:szCs w:val="26"/>
        </w:rPr>
        <w:t>consequences</w:t>
      </w:r>
      <w:r w:rsidRPr="00302164" w:rsidR="00C70BBE">
        <w:rPr>
          <w:szCs w:val="26"/>
        </w:rPr>
        <w:t xml:space="preserve"> of [the defendant’s] conduct.” ’ ”</w:t>
      </w:r>
      <w:r w:rsidRPr="00302164" w:rsidR="003C51F7">
        <w:rPr>
          <w:szCs w:val="26"/>
        </w:rPr>
        <w:t xml:space="preserve"> </w:t>
      </w:r>
      <w:r w:rsidRPr="00302164" w:rsidR="00C70BBE">
        <w:rPr>
          <w:szCs w:val="26"/>
        </w:rPr>
        <w:t xml:space="preserve"> (</w:t>
      </w:r>
      <w:r w:rsidRPr="00302164" w:rsidR="00C70BBE">
        <w:rPr>
          <w:i/>
          <w:iCs/>
          <w:szCs w:val="26"/>
        </w:rPr>
        <w:t>Downey</w:t>
      </w:r>
      <w:r w:rsidRPr="00302164" w:rsidR="00C70BBE">
        <w:rPr>
          <w:szCs w:val="26"/>
        </w:rPr>
        <w:t xml:space="preserve">, </w:t>
      </w:r>
      <w:r w:rsidRPr="00302164" w:rsidR="00C70BBE">
        <w:rPr>
          <w:i/>
          <w:iCs/>
          <w:szCs w:val="26"/>
        </w:rPr>
        <w:t>supra</w:t>
      </w:r>
      <w:r w:rsidRPr="00302164" w:rsidR="00C70BBE">
        <w:rPr>
          <w:szCs w:val="26"/>
        </w:rPr>
        <w:t>, 90</w:t>
      </w:r>
      <w:r w:rsidR="00931164">
        <w:rPr>
          <w:szCs w:val="26"/>
        </w:rPr>
        <w:t> </w:t>
      </w:r>
      <w:r w:rsidRPr="00302164" w:rsidR="00C70BBE">
        <w:rPr>
          <w:szCs w:val="26"/>
        </w:rPr>
        <w:t>Cal.App.5th at p.</w:t>
      </w:r>
      <w:r w:rsidRPr="00302164" w:rsidR="00FF3158">
        <w:rPr>
          <w:szCs w:val="26"/>
        </w:rPr>
        <w:t> </w:t>
      </w:r>
      <w:r w:rsidRPr="00302164" w:rsidR="00C70BBE">
        <w:rPr>
          <w:szCs w:val="26"/>
        </w:rPr>
        <w:t xml:space="preserve">1046, quoting </w:t>
      </w:r>
      <w:r w:rsidRPr="00302164" w:rsidR="00C70BBE">
        <w:rPr>
          <w:i/>
          <w:iCs/>
          <w:szCs w:val="26"/>
        </w:rPr>
        <w:t>Bird</w:t>
      </w:r>
      <w:r w:rsidRPr="00302164" w:rsidR="00C70BBE">
        <w:rPr>
          <w:szCs w:val="26"/>
        </w:rPr>
        <w:t xml:space="preserve">, </w:t>
      </w:r>
      <w:r w:rsidRPr="00302164" w:rsidR="00C70BBE">
        <w:rPr>
          <w:i/>
          <w:iCs/>
          <w:szCs w:val="26"/>
        </w:rPr>
        <w:t>supra</w:t>
      </w:r>
      <w:r w:rsidRPr="00302164" w:rsidR="00C70BBE">
        <w:rPr>
          <w:szCs w:val="26"/>
        </w:rPr>
        <w:t>, 28</w:t>
      </w:r>
      <w:r w:rsidR="00931164">
        <w:rPr>
          <w:szCs w:val="26"/>
        </w:rPr>
        <w:t> </w:t>
      </w:r>
      <w:r w:rsidRPr="00302164" w:rsidR="00C70BBE">
        <w:rPr>
          <w:szCs w:val="26"/>
        </w:rPr>
        <w:t>Cal.4th at p.</w:t>
      </w:r>
      <w:r w:rsidRPr="00302164" w:rsidR="00FF3158">
        <w:rPr>
          <w:szCs w:val="26"/>
        </w:rPr>
        <w:t> </w:t>
      </w:r>
      <w:r w:rsidRPr="00302164" w:rsidR="00C70BBE">
        <w:rPr>
          <w:szCs w:val="26"/>
        </w:rPr>
        <w:t xml:space="preserve">916.)  </w:t>
      </w:r>
      <w:r w:rsidRPr="00302164" w:rsidR="00CF4F31">
        <w:rPr>
          <w:szCs w:val="26"/>
        </w:rPr>
        <w:t xml:space="preserve">But as cases like </w:t>
      </w:r>
      <w:r w:rsidRPr="00302164" w:rsidR="00CF4F31">
        <w:rPr>
          <w:i/>
          <w:iCs/>
          <w:szCs w:val="26"/>
        </w:rPr>
        <w:t>Thing</w:t>
      </w:r>
      <w:r w:rsidRPr="00302164" w:rsidR="00CF4F31">
        <w:rPr>
          <w:szCs w:val="26"/>
        </w:rPr>
        <w:t xml:space="preserve"> make clear, this means </w:t>
      </w:r>
      <w:r w:rsidR="00D92662">
        <w:rPr>
          <w:szCs w:val="26"/>
        </w:rPr>
        <w:t xml:space="preserve">only </w:t>
      </w:r>
      <w:r w:rsidRPr="00302164" w:rsidR="00CF4F31">
        <w:rPr>
          <w:szCs w:val="26"/>
        </w:rPr>
        <w:t>that t</w:t>
      </w:r>
      <w:r w:rsidRPr="00302164" w:rsidR="00AB2ABC">
        <w:rPr>
          <w:szCs w:val="26"/>
        </w:rPr>
        <w:t>he emotional trauma must be the result of directly witnessing and understanding that harm is being done</w:t>
      </w:r>
      <w:r w:rsidR="00A863B2">
        <w:rPr>
          <w:szCs w:val="26"/>
        </w:rPr>
        <w:t> </w:t>
      </w:r>
      <w:r w:rsidR="0024776A">
        <w:rPr>
          <w:szCs w:val="26"/>
        </w:rPr>
        <w:t xml:space="preserve">— </w:t>
      </w:r>
      <w:r w:rsidRPr="00302164" w:rsidR="00AB2ABC">
        <w:rPr>
          <w:szCs w:val="26"/>
        </w:rPr>
        <w:t>not the result of learning of the harm after the fact</w:t>
      </w:r>
      <w:r w:rsidRPr="00302164" w:rsidR="000B132B">
        <w:rPr>
          <w:szCs w:val="26"/>
        </w:rPr>
        <w:t xml:space="preserve">.  </w:t>
      </w:r>
      <w:r w:rsidRPr="00302164" w:rsidR="002675A7">
        <w:rPr>
          <w:szCs w:val="26"/>
        </w:rPr>
        <w:t xml:space="preserve">This is why </w:t>
      </w:r>
      <w:r w:rsidRPr="00302164" w:rsidR="002675A7">
        <w:rPr>
          <w:i/>
          <w:iCs/>
          <w:szCs w:val="26"/>
        </w:rPr>
        <w:t>Dillon</w:t>
      </w:r>
      <w:r w:rsidRPr="00302164" w:rsidR="002675A7">
        <w:rPr>
          <w:szCs w:val="26"/>
        </w:rPr>
        <w:t xml:space="preserve"> </w:t>
      </w:r>
      <w:r w:rsidRPr="00302164" w:rsidR="00625680">
        <w:rPr>
          <w:szCs w:val="26"/>
        </w:rPr>
        <w:t xml:space="preserve">instructed courts to give weight to “[w]hether the shock resulted from a </w:t>
      </w:r>
      <w:r w:rsidRPr="00302164" w:rsidR="00625680">
        <w:rPr>
          <w:i/>
          <w:iCs/>
          <w:szCs w:val="26"/>
        </w:rPr>
        <w:t>direct emotional impact upon plaintiff from the sensory and contemporaneous observance of the accident</w:t>
      </w:r>
      <w:r w:rsidRPr="00302164" w:rsidR="00625680">
        <w:rPr>
          <w:szCs w:val="26"/>
        </w:rPr>
        <w:t>, as contrasted with learning of the accident from others after its occurrence.”  (</w:t>
      </w:r>
      <w:r w:rsidRPr="00302164" w:rsidR="00625680">
        <w:rPr>
          <w:i/>
          <w:iCs/>
          <w:szCs w:val="26"/>
        </w:rPr>
        <w:t>Dillon</w:t>
      </w:r>
      <w:r w:rsidRPr="00302164" w:rsidR="00625680">
        <w:rPr>
          <w:szCs w:val="26"/>
        </w:rPr>
        <w:t xml:space="preserve">, </w:t>
      </w:r>
      <w:r w:rsidRPr="00302164" w:rsidR="00625680">
        <w:rPr>
          <w:i/>
          <w:iCs/>
          <w:szCs w:val="26"/>
        </w:rPr>
        <w:t>supra</w:t>
      </w:r>
      <w:r w:rsidRPr="00302164" w:rsidR="00625680">
        <w:rPr>
          <w:szCs w:val="26"/>
        </w:rPr>
        <w:t>, 68</w:t>
      </w:r>
      <w:r w:rsidR="00F57963">
        <w:rPr>
          <w:szCs w:val="26"/>
        </w:rPr>
        <w:t> </w:t>
      </w:r>
      <w:r w:rsidRPr="00302164" w:rsidR="00625680">
        <w:rPr>
          <w:szCs w:val="26"/>
        </w:rPr>
        <w:t xml:space="preserve">Cal.2d at pp. 740–741, italics added.)  </w:t>
      </w:r>
      <w:r w:rsidR="00D92662">
        <w:rPr>
          <w:szCs w:val="26"/>
        </w:rPr>
        <w:t xml:space="preserve">A </w:t>
      </w:r>
      <w:r w:rsidRPr="00302164" w:rsidR="00CF4F31">
        <w:rPr>
          <w:szCs w:val="26"/>
        </w:rPr>
        <w:t xml:space="preserve">plaintiff </w:t>
      </w:r>
      <w:r w:rsidRPr="00302164" w:rsidR="00880450">
        <w:rPr>
          <w:szCs w:val="26"/>
        </w:rPr>
        <w:t xml:space="preserve">is not merely experiencing “the results” of an injury-causing event when that plaintiff </w:t>
      </w:r>
      <w:r w:rsidRPr="00302164" w:rsidR="00CF4F31">
        <w:rPr>
          <w:szCs w:val="26"/>
        </w:rPr>
        <w:t>witness</w:t>
      </w:r>
      <w:r w:rsidRPr="00302164" w:rsidR="00880450">
        <w:rPr>
          <w:szCs w:val="26"/>
        </w:rPr>
        <w:t>es</w:t>
      </w:r>
      <w:r w:rsidRPr="00302164" w:rsidR="00CF4F31">
        <w:rPr>
          <w:szCs w:val="26"/>
        </w:rPr>
        <w:t xml:space="preserve"> </w:t>
      </w:r>
      <w:r w:rsidRPr="00302164" w:rsidR="00880450">
        <w:rPr>
          <w:szCs w:val="26"/>
        </w:rPr>
        <w:t>an accident or other event that has resulted in severe injury to a loved one</w:t>
      </w:r>
      <w:r w:rsidRPr="00302164" w:rsidR="00CF4F31">
        <w:rPr>
          <w:szCs w:val="26"/>
        </w:rPr>
        <w:t xml:space="preserve">.  </w:t>
      </w:r>
      <w:r w:rsidRPr="00302164" w:rsidR="00880450">
        <w:rPr>
          <w:szCs w:val="26"/>
        </w:rPr>
        <w:t>T</w:t>
      </w:r>
      <w:r w:rsidRPr="00302164" w:rsidR="00FF58E6">
        <w:rPr>
          <w:szCs w:val="26"/>
        </w:rPr>
        <w:t>h</w:t>
      </w:r>
      <w:r w:rsidRPr="00302164" w:rsidR="00880450">
        <w:rPr>
          <w:szCs w:val="26"/>
        </w:rPr>
        <w:t>e</w:t>
      </w:r>
      <w:r w:rsidRPr="00302164" w:rsidR="00FF58E6">
        <w:rPr>
          <w:szCs w:val="26"/>
        </w:rPr>
        <w:t xml:space="preserve"> </w:t>
      </w:r>
      <w:r w:rsidRPr="00302164" w:rsidR="00645FF7">
        <w:rPr>
          <w:szCs w:val="26"/>
        </w:rPr>
        <w:t xml:space="preserve">emotional trauma </w:t>
      </w:r>
      <w:r w:rsidRPr="00302164" w:rsidR="00880450">
        <w:rPr>
          <w:szCs w:val="26"/>
        </w:rPr>
        <w:t xml:space="preserve">that comes from witnessing such an accident </w:t>
      </w:r>
      <w:r w:rsidRPr="00302164" w:rsidR="00645FF7">
        <w:rPr>
          <w:szCs w:val="26"/>
        </w:rPr>
        <w:t xml:space="preserve">exists regardless of whether the plaintiff is aware </w:t>
      </w:r>
      <w:r w:rsidRPr="00302164" w:rsidR="009E1EC6">
        <w:rPr>
          <w:szCs w:val="26"/>
        </w:rPr>
        <w:t xml:space="preserve">at the time of the accident </w:t>
      </w:r>
      <w:r w:rsidRPr="00302164" w:rsidR="00645FF7">
        <w:rPr>
          <w:szCs w:val="26"/>
        </w:rPr>
        <w:t xml:space="preserve">of all the individuals </w:t>
      </w:r>
      <w:r w:rsidR="00DC460B">
        <w:rPr>
          <w:szCs w:val="26"/>
        </w:rPr>
        <w:t>or</w:t>
      </w:r>
      <w:r w:rsidRPr="00302164" w:rsidR="00DC460B">
        <w:rPr>
          <w:szCs w:val="26"/>
        </w:rPr>
        <w:t xml:space="preserve"> </w:t>
      </w:r>
      <w:r w:rsidRPr="00302164" w:rsidR="00645FF7">
        <w:rPr>
          <w:szCs w:val="26"/>
        </w:rPr>
        <w:t xml:space="preserve">entities that have contributed to </w:t>
      </w:r>
      <w:r w:rsidRPr="00302164" w:rsidR="009E1EC6">
        <w:rPr>
          <w:szCs w:val="26"/>
        </w:rPr>
        <w:t xml:space="preserve">the accident </w:t>
      </w:r>
      <w:r w:rsidRPr="00302164" w:rsidR="00645FF7">
        <w:rPr>
          <w:szCs w:val="26"/>
        </w:rPr>
        <w:t xml:space="preserve">through their </w:t>
      </w:r>
      <w:r w:rsidRPr="00302164" w:rsidR="00765B0F">
        <w:rPr>
          <w:szCs w:val="26"/>
        </w:rPr>
        <w:t>conduct</w:t>
      </w:r>
      <w:r w:rsidRPr="00302164">
        <w:rPr>
          <w:szCs w:val="26"/>
        </w:rPr>
        <w:t>.</w:t>
      </w:r>
    </w:p>
    <w:p w:rsidR="000F4301" w:rsidRPr="00302164" w:rsidP="0017160A" w14:paraId="5146FB69" w14:textId="714DA1F1">
      <w:pPr>
        <w:tabs>
          <w:tab w:val="left" w:pos="1440"/>
        </w:tabs>
        <w:ind w:firstLine="720"/>
        <w:rPr>
          <w:szCs w:val="26"/>
        </w:rPr>
      </w:pPr>
      <w:r w:rsidRPr="00302164">
        <w:rPr>
          <w:szCs w:val="26"/>
        </w:rPr>
        <w:t xml:space="preserve">The </w:t>
      </w:r>
      <w:r w:rsidR="00C85097">
        <w:rPr>
          <w:szCs w:val="26"/>
        </w:rPr>
        <w:t>City and the Sevacherians</w:t>
      </w:r>
      <w:r w:rsidRPr="00302164" w:rsidR="00A60423">
        <w:rPr>
          <w:szCs w:val="26"/>
        </w:rPr>
        <w:t xml:space="preserve"> suggest that we should require awareness of the defendant’s contribution to the accident in order to cabin the </w:t>
      </w:r>
      <w:r w:rsidRPr="00302164" w:rsidR="00AE00A1">
        <w:rPr>
          <w:szCs w:val="26"/>
        </w:rPr>
        <w:t xml:space="preserve">potential </w:t>
      </w:r>
      <w:r w:rsidRPr="00302164" w:rsidR="00A60423">
        <w:rPr>
          <w:szCs w:val="26"/>
        </w:rPr>
        <w:t>scope of negligence liability</w:t>
      </w:r>
      <w:r w:rsidRPr="00302164" w:rsidR="00EC452D">
        <w:rPr>
          <w:szCs w:val="26"/>
        </w:rPr>
        <w:t>, particularly in an age when technology makes it possible to perceive more events unfolding in more places than ever before</w:t>
      </w:r>
      <w:r w:rsidRPr="00302164" w:rsidR="00A60423">
        <w:rPr>
          <w:szCs w:val="26"/>
        </w:rPr>
        <w:t>.</w:t>
      </w:r>
      <w:r w:rsidR="00A871CA">
        <w:rPr>
          <w:szCs w:val="26"/>
        </w:rPr>
        <w:t xml:space="preserve">  In support of this requirement, t</w:t>
      </w:r>
      <w:r w:rsidR="00E01E21">
        <w:rPr>
          <w:szCs w:val="26"/>
        </w:rPr>
        <w:t xml:space="preserve">hey </w:t>
      </w:r>
      <w:r w:rsidR="0017160A">
        <w:rPr>
          <w:szCs w:val="26"/>
        </w:rPr>
        <w:t>note that concerns about unlimited liability can “</w:t>
      </w:r>
      <w:r w:rsidRPr="00302164" w:rsidR="00A71694">
        <w:rPr>
          <w:szCs w:val="26"/>
        </w:rPr>
        <w:t>justify restrictions on recovery for emotional distress notwithstanding the sometimes arbitrary result.”  (</w:t>
      </w:r>
      <w:r w:rsidRPr="00302164" w:rsidR="00A71694">
        <w:rPr>
          <w:i/>
          <w:iCs/>
          <w:szCs w:val="26"/>
        </w:rPr>
        <w:t>Thing</w:t>
      </w:r>
      <w:r w:rsidRPr="00302164" w:rsidR="00A71694">
        <w:rPr>
          <w:szCs w:val="26"/>
        </w:rPr>
        <w:t xml:space="preserve">, </w:t>
      </w:r>
      <w:r w:rsidRPr="00302164" w:rsidR="00A71694">
        <w:rPr>
          <w:i/>
          <w:iCs/>
          <w:szCs w:val="26"/>
        </w:rPr>
        <w:t>supra</w:t>
      </w:r>
      <w:r w:rsidRPr="00302164" w:rsidR="00A71694">
        <w:rPr>
          <w:szCs w:val="26"/>
        </w:rPr>
        <w:t xml:space="preserve">, </w:t>
      </w:r>
      <w:r w:rsidRPr="00302164" w:rsidR="00F57963">
        <w:rPr>
          <w:szCs w:val="26"/>
        </w:rPr>
        <w:t>48</w:t>
      </w:r>
      <w:r w:rsidR="00F57963">
        <w:rPr>
          <w:szCs w:val="26"/>
        </w:rPr>
        <w:t> </w:t>
      </w:r>
      <w:r w:rsidRPr="00302164" w:rsidR="00A71694">
        <w:rPr>
          <w:szCs w:val="26"/>
        </w:rPr>
        <w:t>Cal.3d at p. 664</w:t>
      </w:r>
      <w:r w:rsidRPr="00302164" w:rsidR="00AB4C11">
        <w:rPr>
          <w:szCs w:val="26"/>
        </w:rPr>
        <w:t xml:space="preserve">; see also Rest.3d Torts, Liability for Physical and Emotional Harm, </w:t>
      </w:r>
      <w:r w:rsidRPr="00302164" w:rsidR="00D9784D">
        <w:rPr>
          <w:i/>
          <w:iCs/>
          <w:szCs w:val="26"/>
        </w:rPr>
        <w:t>supra</w:t>
      </w:r>
      <w:r w:rsidRPr="00302164" w:rsidR="00D9784D">
        <w:rPr>
          <w:szCs w:val="26"/>
        </w:rPr>
        <w:t xml:space="preserve">, </w:t>
      </w:r>
      <w:r w:rsidRPr="00302164" w:rsidR="00AB4C11">
        <w:rPr>
          <w:szCs w:val="26"/>
        </w:rPr>
        <w:t>§ 48, com. e</w:t>
      </w:r>
      <w:r w:rsidRPr="00302164" w:rsidR="00AF4BB4">
        <w:rPr>
          <w:szCs w:val="26"/>
        </w:rPr>
        <w:t>, p. 202</w:t>
      </w:r>
      <w:r w:rsidRPr="00302164" w:rsidR="00AB4C11">
        <w:rPr>
          <w:szCs w:val="26"/>
        </w:rPr>
        <w:t xml:space="preserve"> [“There is an unavoidable arbitrariness to the line-drawing in this area”]</w:t>
      </w:r>
      <w:r w:rsidRPr="00302164" w:rsidR="00A71694">
        <w:rPr>
          <w:szCs w:val="26"/>
        </w:rPr>
        <w:t xml:space="preserve">.)  </w:t>
      </w:r>
    </w:p>
    <w:p w:rsidR="00F06677" w:rsidP="00302164" w14:paraId="387C0B3D" w14:textId="2C1EC552">
      <w:pPr>
        <w:tabs>
          <w:tab w:val="left" w:pos="1440"/>
        </w:tabs>
        <w:ind w:firstLine="720"/>
        <w:rPr>
          <w:szCs w:val="26"/>
        </w:rPr>
      </w:pPr>
      <w:r w:rsidRPr="00302164">
        <w:rPr>
          <w:szCs w:val="26"/>
        </w:rPr>
        <w:t>O</w:t>
      </w:r>
      <w:r w:rsidRPr="00302164" w:rsidR="00A71694">
        <w:rPr>
          <w:szCs w:val="26"/>
        </w:rPr>
        <w:t>ur task</w:t>
      </w:r>
      <w:r w:rsidRPr="00302164" w:rsidR="007B17FA">
        <w:rPr>
          <w:szCs w:val="26"/>
        </w:rPr>
        <w:t xml:space="preserve"> in identifying appropriate restrictions</w:t>
      </w:r>
      <w:r w:rsidRPr="00302164" w:rsidR="00CA47FE">
        <w:rPr>
          <w:szCs w:val="26"/>
        </w:rPr>
        <w:t>, however,</w:t>
      </w:r>
      <w:r w:rsidRPr="00302164" w:rsidR="00A71694">
        <w:rPr>
          <w:szCs w:val="26"/>
        </w:rPr>
        <w:t xml:space="preserve"> is to “balance the impact of arbitrary lines which deny recovery to some victims whose injury is very real against that of imposing liability out of proportion to culpability for negligent acts</w:t>
      </w:r>
      <w:r w:rsidRPr="00302164">
        <w:rPr>
          <w:szCs w:val="26"/>
        </w:rPr>
        <w:t>,” taking into account “the importance to the administration of justice of clear guidelines under which litigants and trial courts may resolve disputes.”  (</w:t>
      </w:r>
      <w:r w:rsidRPr="00302164" w:rsidR="005D6D0F">
        <w:rPr>
          <w:i/>
          <w:iCs/>
          <w:szCs w:val="26"/>
        </w:rPr>
        <w:t>Thing</w:t>
      </w:r>
      <w:r w:rsidRPr="00302164" w:rsidR="005D6D0F">
        <w:rPr>
          <w:szCs w:val="26"/>
        </w:rPr>
        <w:t xml:space="preserve">, </w:t>
      </w:r>
      <w:r w:rsidRPr="00302164" w:rsidR="005D6D0F">
        <w:rPr>
          <w:i/>
          <w:iCs/>
          <w:szCs w:val="26"/>
        </w:rPr>
        <w:t>supra</w:t>
      </w:r>
      <w:r w:rsidRPr="00302164" w:rsidR="005D6D0F">
        <w:rPr>
          <w:szCs w:val="26"/>
        </w:rPr>
        <w:t xml:space="preserve">, </w:t>
      </w:r>
      <w:r w:rsidRPr="00302164" w:rsidR="00F57963">
        <w:rPr>
          <w:szCs w:val="26"/>
        </w:rPr>
        <w:t>48</w:t>
      </w:r>
      <w:r w:rsidR="00F57963">
        <w:rPr>
          <w:szCs w:val="26"/>
        </w:rPr>
        <w:t> </w:t>
      </w:r>
      <w:r w:rsidRPr="00302164" w:rsidR="005D6D0F">
        <w:rPr>
          <w:szCs w:val="26"/>
        </w:rPr>
        <w:t>Cal.3d at p.</w:t>
      </w:r>
      <w:r w:rsidRPr="00302164" w:rsidR="00FF3158">
        <w:rPr>
          <w:szCs w:val="26"/>
        </w:rPr>
        <w:t> </w:t>
      </w:r>
      <w:r w:rsidRPr="00302164" w:rsidR="005D6D0F">
        <w:rPr>
          <w:szCs w:val="26"/>
        </w:rPr>
        <w:t>664.</w:t>
      </w:r>
      <w:r w:rsidRPr="00302164" w:rsidR="00534A95">
        <w:rPr>
          <w:szCs w:val="26"/>
        </w:rPr>
        <w:t xml:space="preserve">)  </w:t>
      </w:r>
      <w:r w:rsidR="00D70F03">
        <w:rPr>
          <w:szCs w:val="26"/>
        </w:rPr>
        <w:t>We</w:t>
      </w:r>
      <w:r w:rsidRPr="00302164" w:rsidR="00FA4733">
        <w:rPr>
          <w:szCs w:val="26"/>
        </w:rPr>
        <w:t xml:space="preserve"> see no</w:t>
      </w:r>
      <w:r w:rsidRPr="00302164" w:rsidR="002124DA">
        <w:rPr>
          <w:szCs w:val="26"/>
        </w:rPr>
        <w:t xml:space="preserve"> </w:t>
      </w:r>
      <w:r w:rsidRPr="00302164" w:rsidR="00DB292E">
        <w:rPr>
          <w:szCs w:val="26"/>
        </w:rPr>
        <w:t xml:space="preserve">reason </w:t>
      </w:r>
      <w:r w:rsidRPr="00302164" w:rsidR="00CA47FE">
        <w:rPr>
          <w:szCs w:val="26"/>
        </w:rPr>
        <w:t xml:space="preserve">why this balance ought to tip in favor of </w:t>
      </w:r>
      <w:r w:rsidRPr="00302164" w:rsidR="0027529C">
        <w:rPr>
          <w:szCs w:val="26"/>
        </w:rPr>
        <w:t>circumscribing recovery base</w:t>
      </w:r>
      <w:r w:rsidRPr="00302164" w:rsidR="002F1896">
        <w:rPr>
          <w:szCs w:val="26"/>
        </w:rPr>
        <w:t xml:space="preserve">d not on whether the plaintiff has suffered emotional harm from witnessing a loved one being injured, but whether </w:t>
      </w:r>
      <w:r w:rsidR="00F40767">
        <w:rPr>
          <w:szCs w:val="26"/>
        </w:rPr>
        <w:t>the plaintiff</w:t>
      </w:r>
      <w:r w:rsidRPr="00302164" w:rsidR="00F40767">
        <w:rPr>
          <w:szCs w:val="26"/>
        </w:rPr>
        <w:t xml:space="preserve"> </w:t>
      </w:r>
      <w:r w:rsidRPr="00302164" w:rsidR="002F1896">
        <w:rPr>
          <w:szCs w:val="26"/>
        </w:rPr>
        <w:t>is also contemporaneously aware of all those responsible for those injury.</w:t>
      </w:r>
      <w:r w:rsidRPr="00302164" w:rsidR="00FF3158">
        <w:rPr>
          <w:szCs w:val="26"/>
        </w:rPr>
        <w:t xml:space="preserve"> </w:t>
      </w:r>
      <w:r w:rsidRPr="00302164" w:rsidR="004907AE">
        <w:rPr>
          <w:szCs w:val="26"/>
        </w:rPr>
        <w:t xml:space="preserve"> </w:t>
      </w:r>
      <w:r w:rsidRPr="00057338" w:rsidR="00057338">
        <w:rPr>
          <w:szCs w:val="26"/>
        </w:rPr>
        <w:t xml:space="preserve">We can assume along with the City and the Sevacherians that current telecommunications technology has created more scenarios where potential plaintiffs might witness a loved one being injured. </w:t>
      </w:r>
      <w:r w:rsidR="00057338">
        <w:rPr>
          <w:szCs w:val="26"/>
        </w:rPr>
        <w:t xml:space="preserve"> </w:t>
      </w:r>
      <w:r w:rsidRPr="00057338" w:rsidR="00057338">
        <w:rPr>
          <w:szCs w:val="26"/>
        </w:rPr>
        <w:t>But they have not explained how requiring contemporaneous understanding of how each tortfeasor has contributed to the injury is a necessary, fair, or administrable limitation on liability</w:t>
      </w:r>
      <w:r w:rsidR="00057338">
        <w:rPr>
          <w:szCs w:val="26"/>
        </w:rPr>
        <w:t>.</w:t>
      </w:r>
      <w:r>
        <w:rPr>
          <w:rStyle w:val="FootnoteReference"/>
          <w:szCs w:val="26"/>
        </w:rPr>
        <w:footnoteReference w:id="12"/>
      </w:r>
      <w:r w:rsidRPr="00302164" w:rsidR="00F47B9F">
        <w:rPr>
          <w:szCs w:val="26"/>
        </w:rPr>
        <w:t xml:space="preserve">  </w:t>
      </w:r>
      <w:r w:rsidR="009B2D8A">
        <w:rPr>
          <w:szCs w:val="26"/>
        </w:rPr>
        <w:t>Neither the City nor the Sevacherians</w:t>
      </w:r>
      <w:r w:rsidR="00D95138">
        <w:rPr>
          <w:szCs w:val="26"/>
        </w:rPr>
        <w:t xml:space="preserve"> have </w:t>
      </w:r>
      <w:r w:rsidR="009B2D8A">
        <w:rPr>
          <w:szCs w:val="26"/>
        </w:rPr>
        <w:t xml:space="preserve">shown </w:t>
      </w:r>
      <w:r w:rsidR="00D95138">
        <w:rPr>
          <w:szCs w:val="26"/>
        </w:rPr>
        <w:t>that</w:t>
      </w:r>
      <w:r w:rsidR="00BC623F">
        <w:rPr>
          <w:szCs w:val="26"/>
        </w:rPr>
        <w:t xml:space="preserve"> applying </w:t>
      </w:r>
      <w:r w:rsidR="009B2D8A">
        <w:rPr>
          <w:szCs w:val="26"/>
        </w:rPr>
        <w:t xml:space="preserve">the threshold </w:t>
      </w:r>
      <w:r w:rsidR="00BC623F">
        <w:rPr>
          <w:szCs w:val="26"/>
        </w:rPr>
        <w:t xml:space="preserve">awareness </w:t>
      </w:r>
      <w:r w:rsidR="009B2D8A">
        <w:rPr>
          <w:szCs w:val="26"/>
        </w:rPr>
        <w:t>requirement for negligent infliction of emotional distress</w:t>
      </w:r>
      <w:r w:rsidR="00BC623F">
        <w:rPr>
          <w:szCs w:val="26"/>
        </w:rPr>
        <w:t xml:space="preserve">, in the manner it was articulated in </w:t>
      </w:r>
      <w:r w:rsidR="00BC623F">
        <w:rPr>
          <w:i/>
          <w:iCs/>
          <w:szCs w:val="26"/>
        </w:rPr>
        <w:t>Thing</w:t>
      </w:r>
      <w:r w:rsidR="00BC623F">
        <w:rPr>
          <w:szCs w:val="26"/>
        </w:rPr>
        <w:t xml:space="preserve">, is </w:t>
      </w:r>
      <w:r w:rsidR="009B2D8A">
        <w:rPr>
          <w:szCs w:val="26"/>
        </w:rPr>
        <w:t>in</w:t>
      </w:r>
      <w:r w:rsidR="00D95138">
        <w:rPr>
          <w:szCs w:val="26"/>
        </w:rPr>
        <w:t>adequate to prevent “ever widening circles of liability.”  (</w:t>
      </w:r>
      <w:r w:rsidRPr="00622124" w:rsidR="00D95138">
        <w:rPr>
          <w:i/>
          <w:iCs/>
          <w:szCs w:val="26"/>
        </w:rPr>
        <w:t>Thing</w:t>
      </w:r>
      <w:r w:rsidRPr="004E096E" w:rsidR="00D95138">
        <w:rPr>
          <w:szCs w:val="26"/>
        </w:rPr>
        <w:t>, at p.</w:t>
      </w:r>
      <w:r w:rsidR="00646E59">
        <w:rPr>
          <w:szCs w:val="26"/>
        </w:rPr>
        <w:t> </w:t>
      </w:r>
      <w:r w:rsidRPr="004E096E" w:rsidR="00D95138">
        <w:rPr>
          <w:szCs w:val="26"/>
        </w:rPr>
        <w:t>653</w:t>
      </w:r>
      <w:r w:rsidR="00D95138">
        <w:rPr>
          <w:szCs w:val="26"/>
        </w:rPr>
        <w:t>.)</w:t>
      </w:r>
      <w:r w:rsidR="009B2D8A">
        <w:rPr>
          <w:szCs w:val="26"/>
        </w:rPr>
        <w:t xml:space="preserve">  </w:t>
      </w:r>
      <w:r w:rsidR="00BC623F">
        <w:rPr>
          <w:szCs w:val="26"/>
        </w:rPr>
        <w:t xml:space="preserve">We thus decline to </w:t>
      </w:r>
      <w:r w:rsidRPr="00112D75" w:rsidR="00BC623F">
        <w:rPr>
          <w:szCs w:val="26"/>
        </w:rPr>
        <w:t xml:space="preserve">superimpose an additional limitation that would require awareness </w:t>
      </w:r>
      <w:r w:rsidRPr="00112D75" w:rsidR="00C03F5B">
        <w:rPr>
          <w:szCs w:val="26"/>
        </w:rPr>
        <w:t xml:space="preserve">not only of </w:t>
      </w:r>
      <w:r w:rsidRPr="00112D75" w:rsidR="00323787">
        <w:rPr>
          <w:szCs w:val="26"/>
        </w:rPr>
        <w:t>“</w:t>
      </w:r>
      <w:r w:rsidRPr="00112D75" w:rsidR="00112D75">
        <w:rPr>
          <w:szCs w:val="26"/>
        </w:rPr>
        <w:t>the</w:t>
      </w:r>
      <w:r w:rsidRPr="00112D75" w:rsidR="003B7F49">
        <w:rPr>
          <w:szCs w:val="26"/>
        </w:rPr>
        <w:t xml:space="preserve"> injury-producing event</w:t>
      </w:r>
      <w:r w:rsidRPr="00112D75" w:rsidR="00323787">
        <w:rPr>
          <w:szCs w:val="26"/>
        </w:rPr>
        <w:t>” (</w:t>
      </w:r>
      <w:r w:rsidRPr="00112D75" w:rsidR="00323787">
        <w:rPr>
          <w:i/>
          <w:iCs/>
          <w:szCs w:val="26"/>
        </w:rPr>
        <w:t>id.</w:t>
      </w:r>
      <w:r w:rsidRPr="00112D75" w:rsidR="00323787">
        <w:rPr>
          <w:szCs w:val="26"/>
        </w:rPr>
        <w:t xml:space="preserve"> at p.</w:t>
      </w:r>
      <w:r w:rsidR="000B7CA2">
        <w:rPr>
          <w:szCs w:val="26"/>
        </w:rPr>
        <w:t> </w:t>
      </w:r>
      <w:r w:rsidRPr="00112D75" w:rsidR="00112D75">
        <w:rPr>
          <w:szCs w:val="26"/>
        </w:rPr>
        <w:t>666</w:t>
      </w:r>
      <w:r w:rsidRPr="00112D75" w:rsidR="00323787">
        <w:rPr>
          <w:szCs w:val="26"/>
        </w:rPr>
        <w:t>),</w:t>
      </w:r>
      <w:r w:rsidRPr="00112D75" w:rsidR="003B7F49">
        <w:rPr>
          <w:szCs w:val="26"/>
        </w:rPr>
        <w:t xml:space="preserve"> but also of the role the defendants may have played in causing it.</w:t>
      </w:r>
      <w:r>
        <w:rPr>
          <w:rStyle w:val="FootnoteReference"/>
          <w:szCs w:val="26"/>
        </w:rPr>
        <w:footnoteReference w:id="13"/>
      </w:r>
      <w:r w:rsidRPr="00112D75" w:rsidR="009B2D8A">
        <w:rPr>
          <w:szCs w:val="26"/>
        </w:rPr>
        <w:t xml:space="preserve">  </w:t>
      </w:r>
    </w:p>
    <w:p w:rsidR="0027679F" w:rsidP="00FE39A2" w14:paraId="1BDFDCE9" w14:textId="6EC6194F">
      <w:pPr>
        <w:tabs>
          <w:tab w:val="left" w:pos="1440"/>
        </w:tabs>
        <w:ind w:firstLine="720"/>
        <w:rPr>
          <w:szCs w:val="26"/>
        </w:rPr>
      </w:pPr>
      <w:r w:rsidRPr="00302164">
        <w:rPr>
          <w:szCs w:val="26"/>
        </w:rPr>
        <w:t>In sum, we hold the following</w:t>
      </w:r>
      <w:r w:rsidRPr="00302164" w:rsidR="00C70BBE">
        <w:rPr>
          <w:szCs w:val="26"/>
        </w:rPr>
        <w:t xml:space="preserve">:  </w:t>
      </w:r>
      <w:r w:rsidRPr="00302164" w:rsidR="000F4301">
        <w:rPr>
          <w:szCs w:val="26"/>
        </w:rPr>
        <w:t xml:space="preserve">Neither our precedent nor considerations of tort policy support requiring plaintiffs asserting bystander emotional distress claims to show contemporaneous perception of the causal link between the defendant’s conduct and the victim’s injuries.  </w:t>
      </w:r>
      <w:r w:rsidR="00D32047">
        <w:rPr>
          <w:szCs w:val="26"/>
        </w:rPr>
        <w:t xml:space="preserve">Here, </w:t>
      </w:r>
      <w:r w:rsidRPr="00302164" w:rsidR="00D32047">
        <w:rPr>
          <w:szCs w:val="26"/>
        </w:rPr>
        <w:t xml:space="preserve">Downey </w:t>
      </w:r>
      <w:r w:rsidR="006579DC">
        <w:rPr>
          <w:szCs w:val="26"/>
        </w:rPr>
        <w:t xml:space="preserve">has </w:t>
      </w:r>
      <w:r w:rsidR="00D32047">
        <w:rPr>
          <w:szCs w:val="26"/>
        </w:rPr>
        <w:t>allege</w:t>
      </w:r>
      <w:r w:rsidR="006579DC">
        <w:rPr>
          <w:szCs w:val="26"/>
        </w:rPr>
        <w:t>d</w:t>
      </w:r>
      <w:r w:rsidR="00D32047">
        <w:rPr>
          <w:szCs w:val="26"/>
        </w:rPr>
        <w:t xml:space="preserve"> that when she was on the phone with her daughter she </w:t>
      </w:r>
      <w:r w:rsidRPr="00302164" w:rsidR="00D32047">
        <w:rPr>
          <w:szCs w:val="26"/>
        </w:rPr>
        <w:t xml:space="preserve">heard </w:t>
      </w:r>
      <w:r w:rsidR="00D32047">
        <w:rPr>
          <w:szCs w:val="26"/>
        </w:rPr>
        <w:t>metal crashing against metal</w:t>
      </w:r>
      <w:r w:rsidR="000842BB">
        <w:rPr>
          <w:szCs w:val="26"/>
        </w:rPr>
        <w:t>,</w:t>
      </w:r>
      <w:r w:rsidR="00D32047">
        <w:rPr>
          <w:szCs w:val="26"/>
        </w:rPr>
        <w:t xml:space="preserve"> glass shattering</w:t>
      </w:r>
      <w:r w:rsidR="000842BB">
        <w:rPr>
          <w:szCs w:val="26"/>
        </w:rPr>
        <w:t>,</w:t>
      </w:r>
      <w:r w:rsidR="00D32047">
        <w:rPr>
          <w:szCs w:val="26"/>
        </w:rPr>
        <w:t xml:space="preserve"> and tires dragging on asphalt — from which she knew immediately that her daughter had been in a car accident.  Downey </w:t>
      </w:r>
      <w:r w:rsidR="006579DC">
        <w:rPr>
          <w:szCs w:val="26"/>
        </w:rPr>
        <w:t xml:space="preserve">has </w:t>
      </w:r>
      <w:r w:rsidR="00D32047">
        <w:rPr>
          <w:szCs w:val="26"/>
        </w:rPr>
        <w:t>also allege</w:t>
      </w:r>
      <w:r w:rsidR="006579DC">
        <w:rPr>
          <w:szCs w:val="26"/>
        </w:rPr>
        <w:t>d</w:t>
      </w:r>
      <w:r w:rsidR="00D32047">
        <w:rPr>
          <w:szCs w:val="26"/>
        </w:rPr>
        <w:t xml:space="preserve"> that she understood that her daughter was seriously injured because she could no longer hear her after the crash and a stranger who rushed to the scene told her to quiet down so that he could find a pulse. </w:t>
      </w:r>
      <w:r w:rsidR="00057338">
        <w:rPr>
          <w:szCs w:val="26"/>
        </w:rPr>
        <w:t xml:space="preserve"> </w:t>
      </w:r>
      <w:bookmarkStart w:id="2" w:name="_Hlk171942826"/>
      <w:r w:rsidRPr="005D6BB5" w:rsidR="00057338">
        <w:rPr>
          <w:i/>
          <w:iCs/>
          <w:szCs w:val="26"/>
        </w:rPr>
        <w:t>Thing</w:t>
      </w:r>
      <w:r w:rsidR="00993D99">
        <w:rPr>
          <w:szCs w:val="26"/>
        </w:rPr>
        <w:t xml:space="preserve"> does not require</w:t>
      </w:r>
      <w:r w:rsidRPr="00057338" w:rsidR="00057338">
        <w:rPr>
          <w:szCs w:val="26"/>
        </w:rPr>
        <w:t xml:space="preserve"> Downey to allege that she was aware of how the defendants may have contributed to that injury. </w:t>
      </w:r>
      <w:r w:rsidR="000B1C9D">
        <w:rPr>
          <w:szCs w:val="26"/>
        </w:rPr>
        <w:t xml:space="preserve"> </w:t>
      </w:r>
      <w:r w:rsidRPr="00057338" w:rsidR="00057338">
        <w:rPr>
          <w:szCs w:val="26"/>
        </w:rPr>
        <w:t>The Court of Appeal erred in concluding otherwise.</w:t>
      </w:r>
      <w:r w:rsidR="00D32047">
        <w:rPr>
          <w:szCs w:val="26"/>
        </w:rPr>
        <w:t xml:space="preserve"> </w:t>
      </w:r>
      <w:bookmarkEnd w:id="2"/>
    </w:p>
    <w:p w:rsidR="00E8285F" w14:paraId="3ED25C0A" w14:textId="77777777">
      <w:pPr>
        <w:spacing w:after="0" w:line="240" w:lineRule="auto"/>
        <w:jc w:val="left"/>
        <w:rPr>
          <w:b/>
          <w:bCs/>
          <w:szCs w:val="26"/>
        </w:rPr>
      </w:pPr>
      <w:r>
        <w:rPr>
          <w:b/>
          <w:bCs/>
          <w:szCs w:val="26"/>
        </w:rPr>
        <w:br w:type="page"/>
      </w:r>
    </w:p>
    <w:p w:rsidR="0027679F" w:rsidP="00FE39A2" w14:paraId="670328E2" w14:textId="7896734D">
      <w:pPr>
        <w:keepNext/>
        <w:tabs>
          <w:tab w:val="left" w:pos="1440"/>
        </w:tabs>
        <w:jc w:val="center"/>
        <w:rPr>
          <w:szCs w:val="26"/>
        </w:rPr>
      </w:pPr>
      <w:r w:rsidRPr="00302164">
        <w:rPr>
          <w:b/>
          <w:bCs/>
          <w:szCs w:val="26"/>
        </w:rPr>
        <w:t>III.</w:t>
      </w:r>
    </w:p>
    <w:p w:rsidR="00710DDE" w:rsidRPr="00302164" w:rsidP="00FE39A2" w14:paraId="5296DF1A" w14:textId="7BDE925B">
      <w:pPr>
        <w:keepNext/>
        <w:tabs>
          <w:tab w:val="left" w:pos="1440"/>
        </w:tabs>
        <w:ind w:firstLine="720"/>
        <w:rPr>
          <w:szCs w:val="26"/>
        </w:rPr>
      </w:pPr>
      <w:r>
        <w:rPr>
          <w:szCs w:val="26"/>
        </w:rPr>
        <w:t>W</w:t>
      </w:r>
      <w:r w:rsidRPr="00302164" w:rsidR="00CA3191">
        <w:rPr>
          <w:szCs w:val="26"/>
        </w:rPr>
        <w:t xml:space="preserve">e </w:t>
      </w:r>
      <w:r w:rsidRPr="00302164" w:rsidR="00007456">
        <w:rPr>
          <w:szCs w:val="26"/>
        </w:rPr>
        <w:t xml:space="preserve">reverse </w:t>
      </w:r>
      <w:r w:rsidRPr="00302164" w:rsidR="00CA3191">
        <w:rPr>
          <w:szCs w:val="26"/>
        </w:rPr>
        <w:t>the judgment of the Court of Appeal</w:t>
      </w:r>
      <w:r w:rsidRPr="00302164" w:rsidR="003109F2">
        <w:rPr>
          <w:szCs w:val="26"/>
        </w:rPr>
        <w:t xml:space="preserve"> and remand for further proceedings</w:t>
      </w:r>
      <w:r w:rsidRPr="00302164" w:rsidR="003A2F18">
        <w:rPr>
          <w:szCs w:val="26"/>
        </w:rPr>
        <w:t xml:space="preserve">. </w:t>
      </w:r>
    </w:p>
    <w:p w:rsidR="009E128B" w:rsidRPr="00302164" w:rsidP="00FE39A2" w14:paraId="5233B6F8" w14:textId="77777777">
      <w:pPr>
        <w:keepNext/>
        <w:tabs>
          <w:tab w:val="left" w:pos="1440"/>
        </w:tabs>
        <w:ind w:firstLine="720"/>
        <w:rPr>
          <w:szCs w:val="26"/>
        </w:rPr>
      </w:pPr>
    </w:p>
    <w:p w:rsidR="000F5370" w:rsidRPr="00302164" w:rsidP="00FE39A2" w14:paraId="34A0B0BC" w14:textId="3A991096">
      <w:pPr>
        <w:keepNext/>
        <w:tabs>
          <w:tab w:val="left" w:pos="1440"/>
        </w:tabs>
        <w:rPr>
          <w:b/>
          <w:bCs/>
          <w:szCs w:val="26"/>
        </w:rPr>
      </w:pPr>
      <w:r w:rsidRPr="00302164">
        <w:rPr>
          <w:szCs w:val="26"/>
        </w:rPr>
        <w:tab/>
      </w:r>
      <w:r w:rsidRPr="00302164">
        <w:rPr>
          <w:szCs w:val="26"/>
        </w:rPr>
        <w:tab/>
      </w:r>
      <w:r w:rsidRPr="00302164">
        <w:rPr>
          <w:szCs w:val="26"/>
        </w:rPr>
        <w:tab/>
      </w:r>
      <w:r w:rsidRPr="00302164">
        <w:rPr>
          <w:szCs w:val="26"/>
        </w:rPr>
        <w:tab/>
      </w:r>
      <w:r w:rsidRPr="00302164">
        <w:rPr>
          <w:szCs w:val="26"/>
        </w:rPr>
        <w:tab/>
      </w:r>
      <w:r w:rsidR="008F2BB6">
        <w:rPr>
          <w:szCs w:val="26"/>
        </w:rPr>
        <w:t xml:space="preserve">             </w:t>
      </w:r>
      <w:r w:rsidR="009E4180">
        <w:rPr>
          <w:szCs w:val="26"/>
        </w:rPr>
        <w:t xml:space="preserve">  </w:t>
      </w:r>
      <w:r w:rsidR="008F2BB6">
        <w:rPr>
          <w:szCs w:val="26"/>
        </w:rPr>
        <w:t xml:space="preserve">          </w:t>
      </w:r>
      <w:r w:rsidRPr="00302164">
        <w:rPr>
          <w:b/>
          <w:bCs/>
          <w:szCs w:val="26"/>
        </w:rPr>
        <w:t>KRUGER, J.</w:t>
      </w:r>
    </w:p>
    <w:p w:rsidR="00A750A4" w:rsidRPr="001A1941" w:rsidP="00302164" w14:paraId="432BE4A6" w14:textId="3AACE77C">
      <w:pPr>
        <w:tabs>
          <w:tab w:val="left" w:pos="1440"/>
        </w:tabs>
        <w:rPr>
          <w:b/>
          <w:bCs/>
          <w:szCs w:val="26"/>
        </w:rPr>
      </w:pPr>
      <w:r w:rsidRPr="001A1941">
        <w:rPr>
          <w:b/>
          <w:bCs/>
          <w:szCs w:val="26"/>
        </w:rPr>
        <w:t>We Concur:</w:t>
      </w:r>
      <w:bookmarkStart w:id="3" w:name="mainstory"/>
      <w:bookmarkEnd w:id="3"/>
    </w:p>
    <w:p w:rsidR="00BC249D" w:rsidRPr="009C2B99" w:rsidP="009C2B99" w14:paraId="7C25F981" w14:textId="48C73621">
      <w:pPr>
        <w:spacing w:after="0" w:line="240" w:lineRule="auto"/>
        <w:rPr>
          <w:b/>
          <w:bCs/>
          <w:szCs w:val="26"/>
        </w:rPr>
      </w:pPr>
      <w:r w:rsidRPr="009C2B99">
        <w:rPr>
          <w:b/>
          <w:bCs/>
          <w:szCs w:val="26"/>
        </w:rPr>
        <w:t>GUERRERO, C.</w:t>
      </w:r>
      <w:r w:rsidR="00D107AE">
        <w:rPr>
          <w:b/>
          <w:bCs/>
          <w:szCs w:val="26"/>
        </w:rPr>
        <w:t> </w:t>
      </w:r>
      <w:r w:rsidRPr="009C2B99">
        <w:rPr>
          <w:b/>
          <w:bCs/>
          <w:szCs w:val="26"/>
        </w:rPr>
        <w:t>J.</w:t>
      </w:r>
    </w:p>
    <w:p w:rsidR="009C2B99" w:rsidRPr="009C2B99" w:rsidP="009C2B99" w14:paraId="6AC6273F" w14:textId="7CD658B5">
      <w:pPr>
        <w:spacing w:after="0" w:line="240" w:lineRule="auto"/>
        <w:rPr>
          <w:b/>
          <w:bCs/>
          <w:szCs w:val="26"/>
        </w:rPr>
      </w:pPr>
      <w:r w:rsidRPr="009C2B99">
        <w:rPr>
          <w:b/>
          <w:bCs/>
          <w:szCs w:val="26"/>
        </w:rPr>
        <w:t>CORRIGAN, J.</w:t>
      </w:r>
    </w:p>
    <w:p w:rsidR="009C2B99" w:rsidRPr="009C2B99" w:rsidP="009C2B99" w14:paraId="580F4A45" w14:textId="4AD1C5D1">
      <w:pPr>
        <w:spacing w:after="0" w:line="240" w:lineRule="auto"/>
        <w:rPr>
          <w:b/>
          <w:bCs/>
          <w:szCs w:val="26"/>
        </w:rPr>
      </w:pPr>
      <w:r w:rsidRPr="009C2B99">
        <w:rPr>
          <w:b/>
          <w:bCs/>
          <w:szCs w:val="26"/>
        </w:rPr>
        <w:t>LIU, J.</w:t>
      </w:r>
    </w:p>
    <w:p w:rsidR="009C2B99" w:rsidRPr="009C2B99" w:rsidP="009C2B99" w14:paraId="60754C2C" w14:textId="77777777">
      <w:pPr>
        <w:spacing w:after="0" w:line="240" w:lineRule="auto"/>
        <w:rPr>
          <w:b/>
          <w:bCs/>
          <w:szCs w:val="26"/>
        </w:rPr>
      </w:pPr>
      <w:r w:rsidRPr="009C2B99">
        <w:rPr>
          <w:b/>
          <w:bCs/>
          <w:szCs w:val="26"/>
        </w:rPr>
        <w:t>GROBAN, J.</w:t>
      </w:r>
    </w:p>
    <w:p w:rsidR="009C2B99" w:rsidRPr="009C2B99" w:rsidP="009C2B99" w14:paraId="21ADF204" w14:textId="2B39B8DA">
      <w:pPr>
        <w:spacing w:after="0" w:line="240" w:lineRule="auto"/>
        <w:rPr>
          <w:b/>
          <w:bCs/>
          <w:szCs w:val="26"/>
        </w:rPr>
      </w:pPr>
      <w:r w:rsidRPr="009C2B99">
        <w:rPr>
          <w:b/>
          <w:bCs/>
          <w:szCs w:val="26"/>
        </w:rPr>
        <w:t>JENKINS, J.</w:t>
      </w:r>
    </w:p>
    <w:p w:rsidR="009C2B99" w:rsidP="009C2B99" w14:paraId="307970AA" w14:textId="3C4C4219">
      <w:pPr>
        <w:spacing w:after="0" w:line="240" w:lineRule="auto"/>
        <w:rPr>
          <w:b/>
          <w:bCs/>
          <w:szCs w:val="26"/>
        </w:rPr>
      </w:pPr>
      <w:r w:rsidRPr="009C2B99">
        <w:rPr>
          <w:b/>
          <w:bCs/>
          <w:szCs w:val="26"/>
        </w:rPr>
        <w:t>EVANS, J.</w:t>
      </w:r>
    </w:p>
    <w:p w:rsidR="00E27B4B" w:rsidP="009C2B99" w14:paraId="02D103CE" w14:textId="77777777">
      <w:pPr>
        <w:spacing w:after="0" w:line="240" w:lineRule="auto"/>
        <w:rPr>
          <w:b/>
          <w:bCs/>
          <w:szCs w:val="26"/>
        </w:rPr>
        <w:sectPr w:rsidSect="008F2BB6">
          <w:headerReference w:type="even" r:id="rId9"/>
          <w:headerReference w:type="default" r:id="rId10"/>
          <w:footerReference w:type="even" r:id="rId11"/>
          <w:footerReference w:type="default" r:id="rId12"/>
          <w:headerReference w:type="first" r:id="rId13"/>
          <w:footerReference w:type="first" r:id="rId14"/>
          <w:pgSz w:w="12240" w:h="15840"/>
          <w:pgMar w:top="1800" w:right="2160" w:bottom="1440" w:left="2160" w:header="720" w:footer="720" w:gutter="0"/>
          <w:pgNumType w:start="1"/>
          <w:cols w:space="720"/>
          <w:titlePg/>
          <w:docGrid w:linePitch="367"/>
        </w:sectPr>
      </w:pPr>
    </w:p>
    <w:p w:rsidR="00BD43A1" w:rsidRPr="00BD43A1" w:rsidP="00BD43A1" w14:paraId="6BB6C909" w14:textId="77777777">
      <w:pPr>
        <w:spacing w:after="0" w:line="240" w:lineRule="auto"/>
        <w:jc w:val="left"/>
        <w:rPr>
          <w:i/>
          <w:sz w:val="24"/>
          <w:szCs w:val="24"/>
        </w:rPr>
      </w:pPr>
      <w:r w:rsidRPr="00BD43A1">
        <w:rPr>
          <w:i/>
          <w:sz w:val="24"/>
          <w:szCs w:val="24"/>
        </w:rPr>
        <w:t>See next page for addresses and telephone numbers for counsel who argued in Supreme Court.</w:t>
      </w:r>
    </w:p>
    <w:p w:rsidR="00BD43A1" w:rsidRPr="00BD43A1" w:rsidP="00BD43A1" w14:paraId="5E4B419F" w14:textId="77777777">
      <w:pPr>
        <w:spacing w:after="0" w:line="240" w:lineRule="auto"/>
        <w:jc w:val="left"/>
        <w:rPr>
          <w:i/>
          <w:sz w:val="24"/>
          <w:szCs w:val="24"/>
        </w:rPr>
      </w:pPr>
    </w:p>
    <w:p w:rsidR="00BD43A1" w:rsidRPr="00BD43A1" w:rsidP="00BD43A1" w14:paraId="08216B93" w14:textId="77777777">
      <w:pPr>
        <w:spacing w:after="0" w:line="240" w:lineRule="auto"/>
        <w:jc w:val="left"/>
        <w:rPr>
          <w:bCs/>
          <w:sz w:val="24"/>
          <w:szCs w:val="24"/>
        </w:rPr>
      </w:pPr>
      <w:r w:rsidRPr="00BD43A1">
        <w:rPr>
          <w:b/>
          <w:sz w:val="24"/>
          <w:szCs w:val="24"/>
        </w:rPr>
        <w:t xml:space="preserve">Name of Opinion  </w:t>
      </w:r>
      <w:r w:rsidRPr="00BD43A1">
        <w:rPr>
          <w:bCs/>
          <w:sz w:val="24"/>
          <w:szCs w:val="24"/>
        </w:rPr>
        <w:t>Downey v. City of Riverside</w:t>
      </w:r>
    </w:p>
    <w:p w:rsidR="00BD43A1" w:rsidRPr="00BD43A1" w:rsidP="00BD43A1" w14:paraId="05288EB8" w14:textId="77777777">
      <w:pPr>
        <w:spacing w:after="0" w:line="240" w:lineRule="auto"/>
        <w:jc w:val="left"/>
        <w:rPr>
          <w:b/>
          <w:sz w:val="24"/>
          <w:szCs w:val="24"/>
        </w:rPr>
      </w:pPr>
      <w:r w:rsidRPr="00BD43A1">
        <w:rPr>
          <w:b/>
          <w:sz w:val="24"/>
          <w:szCs w:val="24"/>
        </w:rPr>
        <w:t xml:space="preserve">__________________________________________________________ </w:t>
      </w:r>
    </w:p>
    <w:p w:rsidR="00BD43A1" w:rsidRPr="00BD43A1" w:rsidP="00BD43A1" w14:paraId="7FF7D1AD" w14:textId="77777777">
      <w:pPr>
        <w:spacing w:after="0" w:line="240" w:lineRule="auto"/>
        <w:jc w:val="left"/>
        <w:rPr>
          <w:b/>
          <w:sz w:val="24"/>
          <w:szCs w:val="24"/>
        </w:rPr>
      </w:pPr>
    </w:p>
    <w:p w:rsidR="00BD43A1" w:rsidRPr="00BD43A1" w:rsidP="00BD43A1" w14:paraId="6133D9D3" w14:textId="77777777">
      <w:pPr>
        <w:spacing w:after="0" w:line="240" w:lineRule="auto"/>
        <w:jc w:val="left"/>
        <w:rPr>
          <w:sz w:val="24"/>
          <w:szCs w:val="24"/>
        </w:rPr>
      </w:pPr>
      <w:r w:rsidRPr="00BD43A1">
        <w:rPr>
          <w:b/>
          <w:bCs/>
          <w:sz w:val="24"/>
          <w:szCs w:val="24"/>
          <w:u w:val="single"/>
        </w:rPr>
        <w:t>Procedural Posture</w:t>
      </w:r>
      <w:r w:rsidRPr="00BD43A1">
        <w:rPr>
          <w:b/>
          <w:bCs/>
          <w:sz w:val="24"/>
          <w:szCs w:val="24"/>
        </w:rPr>
        <w:t xml:space="preserve"> </w:t>
      </w:r>
      <w:r w:rsidRPr="00BD43A1">
        <w:rPr>
          <w:sz w:val="24"/>
          <w:szCs w:val="24"/>
        </w:rPr>
        <w:t>(see XX below)</w:t>
      </w:r>
    </w:p>
    <w:p w:rsidR="00BD43A1" w:rsidRPr="00BD43A1" w:rsidP="00BD43A1" w14:paraId="1D3856C9" w14:textId="77777777">
      <w:pPr>
        <w:spacing w:after="0" w:line="240" w:lineRule="auto"/>
        <w:jc w:val="left"/>
        <w:rPr>
          <w:sz w:val="24"/>
          <w:szCs w:val="24"/>
        </w:rPr>
      </w:pPr>
      <w:r w:rsidRPr="00BD43A1">
        <w:rPr>
          <w:b/>
          <w:bCs/>
          <w:sz w:val="24"/>
          <w:szCs w:val="24"/>
        </w:rPr>
        <w:t>Original Appeal</w:t>
      </w:r>
      <w:r w:rsidRPr="00BD43A1">
        <w:rPr>
          <w:sz w:val="24"/>
          <w:szCs w:val="24"/>
        </w:rPr>
        <w:t xml:space="preserve"> </w:t>
      </w:r>
    </w:p>
    <w:p w:rsidR="00BD43A1" w:rsidRPr="00BD43A1" w:rsidP="00BD43A1" w14:paraId="15661C69" w14:textId="77777777">
      <w:pPr>
        <w:spacing w:after="0" w:line="240" w:lineRule="auto"/>
        <w:jc w:val="left"/>
        <w:rPr>
          <w:b/>
          <w:bCs/>
          <w:sz w:val="24"/>
          <w:szCs w:val="24"/>
        </w:rPr>
      </w:pPr>
      <w:r w:rsidRPr="00BD43A1">
        <w:rPr>
          <w:b/>
          <w:bCs/>
          <w:sz w:val="24"/>
          <w:szCs w:val="24"/>
        </w:rPr>
        <w:t>Original Proceeding</w:t>
      </w:r>
    </w:p>
    <w:p w:rsidR="00BD43A1" w:rsidRPr="00BD43A1" w:rsidP="00BD43A1" w14:paraId="095CB540" w14:textId="77777777">
      <w:pPr>
        <w:spacing w:after="0" w:line="240" w:lineRule="auto"/>
        <w:jc w:val="left"/>
        <w:rPr>
          <w:sz w:val="24"/>
          <w:szCs w:val="24"/>
        </w:rPr>
      </w:pPr>
      <w:r w:rsidRPr="00BD43A1">
        <w:rPr>
          <w:b/>
          <w:bCs/>
          <w:sz w:val="24"/>
          <w:szCs w:val="24"/>
        </w:rPr>
        <w:t>Review Granted</w:t>
      </w:r>
      <w:r w:rsidRPr="00BD43A1">
        <w:rPr>
          <w:sz w:val="24"/>
          <w:szCs w:val="24"/>
        </w:rPr>
        <w:t xml:space="preserve"> </w:t>
      </w:r>
      <w:r w:rsidRPr="00BD43A1">
        <w:rPr>
          <w:b/>
          <w:bCs/>
          <w:sz w:val="24"/>
          <w:szCs w:val="24"/>
        </w:rPr>
        <w:t xml:space="preserve">(published) </w:t>
      </w:r>
      <w:r w:rsidRPr="00BD43A1">
        <w:rPr>
          <w:sz w:val="24"/>
          <w:szCs w:val="24"/>
        </w:rPr>
        <w:t>XX 90 Cal.App.5th 1033</w:t>
      </w:r>
    </w:p>
    <w:p w:rsidR="00BD43A1" w:rsidRPr="00BD43A1" w:rsidP="00BD43A1" w14:paraId="44A20834" w14:textId="77777777">
      <w:pPr>
        <w:spacing w:after="0" w:line="240" w:lineRule="auto"/>
        <w:jc w:val="left"/>
        <w:rPr>
          <w:sz w:val="24"/>
          <w:szCs w:val="24"/>
        </w:rPr>
      </w:pPr>
      <w:r w:rsidRPr="00BD43A1">
        <w:rPr>
          <w:b/>
          <w:bCs/>
          <w:sz w:val="24"/>
          <w:szCs w:val="24"/>
        </w:rPr>
        <w:t xml:space="preserve">Review Granted (unpublished) </w:t>
      </w:r>
    </w:p>
    <w:p w:rsidR="00BD43A1" w:rsidRPr="00BD43A1" w:rsidP="00BD43A1" w14:paraId="17219653" w14:textId="77777777">
      <w:pPr>
        <w:spacing w:after="0" w:line="240" w:lineRule="auto"/>
        <w:jc w:val="left"/>
        <w:rPr>
          <w:b/>
          <w:bCs/>
          <w:sz w:val="24"/>
          <w:szCs w:val="24"/>
        </w:rPr>
      </w:pPr>
      <w:r w:rsidRPr="00BD43A1">
        <w:rPr>
          <w:b/>
          <w:bCs/>
          <w:sz w:val="24"/>
          <w:szCs w:val="24"/>
        </w:rPr>
        <w:t>Rehearing Granted</w:t>
      </w:r>
    </w:p>
    <w:p w:rsidR="00BD43A1" w:rsidRPr="00BD43A1" w:rsidP="00BD43A1" w14:paraId="7E90A30C" w14:textId="77777777">
      <w:pPr>
        <w:spacing w:after="0" w:line="240" w:lineRule="auto"/>
        <w:jc w:val="left"/>
        <w:rPr>
          <w:b/>
          <w:sz w:val="24"/>
          <w:szCs w:val="24"/>
        </w:rPr>
      </w:pPr>
      <w:r w:rsidRPr="00BD43A1">
        <w:rPr>
          <w:b/>
          <w:sz w:val="24"/>
          <w:szCs w:val="24"/>
        </w:rPr>
        <w:t xml:space="preserve">__________________________________________________________ </w:t>
      </w:r>
    </w:p>
    <w:p w:rsidR="00BD43A1" w:rsidRPr="00BD43A1" w:rsidP="00BD43A1" w14:paraId="0DCC0CB5" w14:textId="77777777">
      <w:pPr>
        <w:spacing w:after="0" w:line="240" w:lineRule="auto"/>
        <w:jc w:val="left"/>
        <w:rPr>
          <w:b/>
          <w:sz w:val="24"/>
          <w:szCs w:val="24"/>
        </w:rPr>
      </w:pPr>
    </w:p>
    <w:p w:rsidR="00BD43A1" w:rsidRPr="00BD43A1" w:rsidP="00BD43A1" w14:paraId="68102D48" w14:textId="77777777">
      <w:pPr>
        <w:spacing w:after="0" w:line="240" w:lineRule="auto"/>
        <w:jc w:val="left"/>
        <w:rPr>
          <w:bCs/>
          <w:sz w:val="24"/>
          <w:szCs w:val="24"/>
        </w:rPr>
      </w:pPr>
      <w:r w:rsidRPr="00BD43A1">
        <w:rPr>
          <w:b/>
          <w:sz w:val="24"/>
          <w:szCs w:val="24"/>
        </w:rPr>
        <w:t>Opinion No.</w:t>
      </w:r>
      <w:r w:rsidRPr="00BD43A1">
        <w:rPr>
          <w:sz w:val="24"/>
          <w:szCs w:val="24"/>
        </w:rPr>
        <w:t xml:space="preserve"> S280322</w:t>
      </w:r>
    </w:p>
    <w:p w:rsidR="00BD43A1" w:rsidRPr="00BD43A1" w:rsidP="00BD43A1" w14:paraId="4FA5FF78" w14:textId="77777777">
      <w:pPr>
        <w:spacing w:after="0" w:line="240" w:lineRule="auto"/>
        <w:jc w:val="left"/>
        <w:rPr>
          <w:bCs/>
          <w:sz w:val="24"/>
          <w:szCs w:val="24"/>
        </w:rPr>
      </w:pPr>
      <w:r w:rsidRPr="00BD43A1">
        <w:rPr>
          <w:b/>
          <w:sz w:val="24"/>
          <w:szCs w:val="24"/>
        </w:rPr>
        <w:t>Date Filed:</w:t>
      </w:r>
      <w:r w:rsidRPr="00BD43A1">
        <w:rPr>
          <w:sz w:val="24"/>
          <w:szCs w:val="24"/>
        </w:rPr>
        <w:t xml:space="preserve">  July 22, 2024</w:t>
      </w:r>
    </w:p>
    <w:p w:rsidR="00BD43A1" w:rsidRPr="00BD43A1" w:rsidP="00BD43A1" w14:paraId="2E46700B" w14:textId="77777777">
      <w:pPr>
        <w:spacing w:after="0" w:line="240" w:lineRule="auto"/>
        <w:jc w:val="left"/>
        <w:rPr>
          <w:b/>
          <w:sz w:val="24"/>
          <w:szCs w:val="24"/>
        </w:rPr>
      </w:pPr>
      <w:r w:rsidRPr="00BD43A1">
        <w:rPr>
          <w:b/>
          <w:sz w:val="24"/>
          <w:szCs w:val="24"/>
        </w:rPr>
        <w:t xml:space="preserve">__________________________________________________________ </w:t>
      </w:r>
    </w:p>
    <w:p w:rsidR="00BD43A1" w:rsidRPr="00BD43A1" w:rsidP="00BD43A1" w14:paraId="5F451A7B" w14:textId="77777777">
      <w:pPr>
        <w:spacing w:after="0" w:line="240" w:lineRule="auto"/>
        <w:jc w:val="left"/>
        <w:rPr>
          <w:b/>
          <w:sz w:val="24"/>
          <w:szCs w:val="24"/>
        </w:rPr>
      </w:pPr>
    </w:p>
    <w:p w:rsidR="00BD43A1" w:rsidRPr="00BD43A1" w:rsidP="00BD43A1" w14:paraId="7915BB45" w14:textId="77777777">
      <w:pPr>
        <w:spacing w:after="0" w:line="240" w:lineRule="auto"/>
        <w:jc w:val="left"/>
        <w:rPr>
          <w:bCs/>
          <w:sz w:val="24"/>
          <w:szCs w:val="24"/>
        </w:rPr>
      </w:pPr>
      <w:r w:rsidRPr="00BD43A1">
        <w:rPr>
          <w:b/>
          <w:sz w:val="24"/>
          <w:szCs w:val="24"/>
        </w:rPr>
        <w:t xml:space="preserve">Court:  </w:t>
      </w:r>
      <w:r w:rsidRPr="00BD43A1">
        <w:rPr>
          <w:bCs/>
          <w:sz w:val="24"/>
          <w:szCs w:val="24"/>
        </w:rPr>
        <w:t>Superior</w:t>
      </w:r>
      <w:r w:rsidRPr="00BD43A1">
        <w:rPr>
          <w:b/>
          <w:sz w:val="24"/>
          <w:szCs w:val="24"/>
        </w:rPr>
        <w:t xml:space="preserve"> </w:t>
      </w:r>
    </w:p>
    <w:p w:rsidR="00BD43A1" w:rsidRPr="00BD43A1" w:rsidP="00BD43A1" w14:paraId="51BE370F" w14:textId="77777777">
      <w:pPr>
        <w:spacing w:after="0" w:line="240" w:lineRule="auto"/>
        <w:jc w:val="left"/>
        <w:rPr>
          <w:bCs/>
          <w:sz w:val="24"/>
          <w:szCs w:val="24"/>
        </w:rPr>
      </w:pPr>
      <w:r w:rsidRPr="00BD43A1">
        <w:rPr>
          <w:b/>
          <w:sz w:val="24"/>
          <w:szCs w:val="24"/>
        </w:rPr>
        <w:t xml:space="preserve">County:  </w:t>
      </w:r>
      <w:r w:rsidRPr="00BD43A1">
        <w:rPr>
          <w:bCs/>
          <w:sz w:val="24"/>
          <w:szCs w:val="24"/>
        </w:rPr>
        <w:t>Riverside</w:t>
      </w:r>
    </w:p>
    <w:p w:rsidR="00BD43A1" w:rsidRPr="00BD43A1" w:rsidP="00BD43A1" w14:paraId="095310FF" w14:textId="77777777">
      <w:pPr>
        <w:spacing w:after="0" w:line="240" w:lineRule="auto"/>
        <w:ind w:left="720" w:hanging="720"/>
        <w:jc w:val="left"/>
        <w:rPr>
          <w:bCs/>
          <w:sz w:val="24"/>
          <w:szCs w:val="24"/>
        </w:rPr>
      </w:pPr>
      <w:r w:rsidRPr="00BD43A1">
        <w:rPr>
          <w:b/>
          <w:sz w:val="24"/>
          <w:szCs w:val="24"/>
        </w:rPr>
        <w:t xml:space="preserve">Judge: </w:t>
      </w:r>
      <w:r w:rsidRPr="00BD43A1">
        <w:rPr>
          <w:bCs/>
          <w:sz w:val="24"/>
          <w:szCs w:val="24"/>
        </w:rPr>
        <w:t xml:space="preserve"> Harold W. Hopp</w:t>
      </w:r>
    </w:p>
    <w:p w:rsidR="00BD43A1" w:rsidRPr="00BD43A1" w:rsidP="00BD43A1" w14:paraId="52BFB23F" w14:textId="77777777">
      <w:pPr>
        <w:spacing w:after="0" w:line="240" w:lineRule="auto"/>
        <w:jc w:val="left"/>
        <w:rPr>
          <w:b/>
          <w:sz w:val="24"/>
          <w:szCs w:val="24"/>
        </w:rPr>
      </w:pPr>
      <w:r w:rsidRPr="00BD43A1">
        <w:rPr>
          <w:b/>
          <w:sz w:val="24"/>
          <w:szCs w:val="24"/>
        </w:rPr>
        <w:t xml:space="preserve">__________________________________________________________  </w:t>
      </w:r>
    </w:p>
    <w:p w:rsidR="00BD43A1" w:rsidRPr="00BD43A1" w:rsidP="00BD43A1" w14:paraId="1F25E9CA" w14:textId="77777777">
      <w:pPr>
        <w:spacing w:after="0" w:line="240" w:lineRule="auto"/>
        <w:jc w:val="left"/>
        <w:rPr>
          <w:b/>
          <w:sz w:val="24"/>
          <w:szCs w:val="24"/>
        </w:rPr>
      </w:pPr>
    </w:p>
    <w:p w:rsidR="00BD43A1" w:rsidRPr="00BD43A1" w:rsidP="00BD43A1" w14:paraId="0C86A821" w14:textId="77777777">
      <w:pPr>
        <w:spacing w:after="0" w:line="240" w:lineRule="auto"/>
        <w:jc w:val="left"/>
        <w:rPr>
          <w:b/>
          <w:sz w:val="24"/>
          <w:szCs w:val="24"/>
        </w:rPr>
      </w:pPr>
      <w:r w:rsidRPr="00BD43A1">
        <w:rPr>
          <w:b/>
          <w:sz w:val="24"/>
          <w:szCs w:val="24"/>
        </w:rPr>
        <w:t>Counsel:</w:t>
      </w:r>
    </w:p>
    <w:p w:rsidR="00BD43A1" w:rsidRPr="00BD43A1" w:rsidP="00BD43A1" w14:paraId="24ECA0E1" w14:textId="77777777">
      <w:pPr>
        <w:spacing w:after="0" w:line="240" w:lineRule="auto"/>
        <w:jc w:val="left"/>
        <w:rPr>
          <w:b/>
          <w:sz w:val="24"/>
          <w:szCs w:val="24"/>
        </w:rPr>
      </w:pPr>
    </w:p>
    <w:p w:rsidR="00BD43A1" w:rsidRPr="00BD43A1" w:rsidP="00BD43A1" w14:paraId="24E495A2" w14:textId="77777777">
      <w:pPr>
        <w:spacing w:after="0" w:line="240" w:lineRule="auto"/>
        <w:jc w:val="left"/>
        <w:rPr>
          <w:color w:val="212121"/>
          <w:sz w:val="24"/>
          <w:szCs w:val="24"/>
          <w:shd w:val="clear" w:color="auto" w:fill="FFFFFF"/>
        </w:rPr>
      </w:pPr>
      <w:r w:rsidRPr="00BD43A1">
        <w:rPr>
          <w:color w:val="212121"/>
          <w:sz w:val="24"/>
          <w:szCs w:val="24"/>
          <w:shd w:val="clear" w:color="auto" w:fill="FFFFFF"/>
        </w:rPr>
        <w:t>Rizio Lipinsky Law Firm, Greg Rizio and Eric I. Ryanen for Plaintiff and Appellant.</w:t>
      </w:r>
    </w:p>
    <w:p w:rsidR="00BD43A1" w:rsidRPr="00BD43A1" w:rsidP="00BD43A1" w14:paraId="704D1CAC" w14:textId="77777777">
      <w:pPr>
        <w:spacing w:after="0" w:line="240" w:lineRule="auto"/>
        <w:jc w:val="left"/>
        <w:rPr>
          <w:color w:val="212121"/>
          <w:sz w:val="24"/>
          <w:szCs w:val="24"/>
          <w:shd w:val="clear" w:color="auto" w:fill="FFFFFF"/>
        </w:rPr>
      </w:pPr>
    </w:p>
    <w:p w:rsidR="00BD43A1" w:rsidRPr="00BD43A1" w:rsidP="00BD43A1" w14:paraId="5951F4DC" w14:textId="77777777">
      <w:pPr>
        <w:spacing w:after="0" w:line="240" w:lineRule="auto"/>
        <w:jc w:val="left"/>
        <w:rPr>
          <w:sz w:val="24"/>
          <w:szCs w:val="24"/>
        </w:rPr>
      </w:pPr>
      <w:r w:rsidRPr="00BD43A1">
        <w:rPr>
          <w:color w:val="212121"/>
          <w:sz w:val="24"/>
          <w:szCs w:val="24"/>
          <w:shd w:val="clear" w:color="auto" w:fill="FFFFFF"/>
        </w:rPr>
        <w:t xml:space="preserve">Phaedra Norton, City Attorney, Michel A. Verska, Cecila Rojas and </w:t>
      </w:r>
      <w:r w:rsidRPr="00BD43A1">
        <w:rPr>
          <w:sz w:val="24"/>
          <w:szCs w:val="24"/>
        </w:rPr>
        <w:t>Edward J. Reid</w:t>
      </w:r>
      <w:r w:rsidRPr="00BD43A1">
        <w:rPr>
          <w:color w:val="212121"/>
          <w:sz w:val="24"/>
          <w:szCs w:val="24"/>
          <w:shd w:val="clear" w:color="auto" w:fill="FFFFFF"/>
        </w:rPr>
        <w:t>, Deputy City Attorneys, for Defendant and Respondent City of Riverside.</w:t>
      </w:r>
    </w:p>
    <w:p w:rsidR="00BD43A1" w:rsidRPr="00BD43A1" w:rsidP="00BD43A1" w14:paraId="382B77DC" w14:textId="77777777">
      <w:pPr>
        <w:spacing w:after="0" w:line="240" w:lineRule="auto"/>
        <w:jc w:val="left"/>
        <w:rPr>
          <w:color w:val="212121"/>
          <w:sz w:val="24"/>
          <w:szCs w:val="24"/>
          <w:shd w:val="clear" w:color="auto" w:fill="FFFFFF"/>
        </w:rPr>
      </w:pPr>
    </w:p>
    <w:p w:rsidR="00BD43A1" w:rsidRPr="00BD43A1" w:rsidP="00BD43A1" w14:paraId="76A207E3" w14:textId="77777777">
      <w:pPr>
        <w:spacing w:after="0" w:line="240" w:lineRule="auto"/>
        <w:jc w:val="left"/>
        <w:rPr>
          <w:color w:val="212121"/>
          <w:sz w:val="24"/>
          <w:szCs w:val="24"/>
          <w:shd w:val="clear" w:color="auto" w:fill="FFFFFF"/>
        </w:rPr>
      </w:pPr>
      <w:r w:rsidRPr="00BD43A1">
        <w:rPr>
          <w:color w:val="212121"/>
          <w:sz w:val="24"/>
          <w:szCs w:val="24"/>
          <w:shd w:val="clear" w:color="auto" w:fill="FFFFFF"/>
        </w:rPr>
        <w:t>CP Law Group, Gary H. Klein, Shelby Kennick; Freeman Mathis &amp; Gary and Christian E. Foy Nagy for Defendants and Respondents Ara and Vahram Sevacherian.</w:t>
      </w:r>
    </w:p>
    <w:p w:rsidR="00BD43A1" w:rsidRPr="00BD43A1" w:rsidP="00BD43A1" w14:paraId="41158EEB" w14:textId="77777777">
      <w:pPr>
        <w:spacing w:after="0" w:line="240" w:lineRule="auto"/>
        <w:jc w:val="left"/>
        <w:rPr>
          <w:color w:val="212121"/>
          <w:sz w:val="24"/>
          <w:szCs w:val="24"/>
          <w:shd w:val="clear" w:color="auto" w:fill="FFFFFF"/>
        </w:rPr>
      </w:pPr>
    </w:p>
    <w:p w:rsidR="00BD43A1" w:rsidRPr="00BD43A1" w:rsidP="00BD43A1" w14:paraId="7318A629" w14:textId="77777777">
      <w:pPr>
        <w:spacing w:after="0" w:line="240" w:lineRule="auto"/>
        <w:jc w:val="left"/>
        <w:rPr>
          <w:color w:val="212121"/>
          <w:sz w:val="24"/>
          <w:szCs w:val="24"/>
          <w:shd w:val="clear" w:color="auto" w:fill="FFFFFF"/>
        </w:rPr>
      </w:pPr>
      <w:r w:rsidRPr="00BD43A1">
        <w:rPr>
          <w:color w:val="212121"/>
          <w:sz w:val="24"/>
          <w:szCs w:val="24"/>
          <w:shd w:val="clear" w:color="auto" w:fill="FFFFFF"/>
        </w:rPr>
        <w:t>Cole Pedroza, Curtis A. Cole and Cassidy C. Davenport for the California Medical Association, the California Dental Association and the California Hospital Association as Amici Curiae on behalf of Defendants and Respondents.</w:t>
      </w:r>
      <w:r w:rsidRPr="00BD43A1">
        <w:rPr>
          <w:color w:val="212121"/>
          <w:sz w:val="24"/>
          <w:szCs w:val="24"/>
          <w:shd w:val="clear" w:color="auto" w:fill="FFFFFF"/>
        </w:rPr>
        <w:br w:type="page"/>
      </w:r>
      <w:r w:rsidRPr="00BD43A1">
        <w:rPr>
          <w:b/>
          <w:sz w:val="24"/>
          <w:szCs w:val="24"/>
        </w:rPr>
        <w:t xml:space="preserve">Counsel who argued in Supreme Court (not intended for publication with opinion): </w:t>
      </w:r>
    </w:p>
    <w:p w:rsidR="00BD43A1" w:rsidRPr="00BD43A1" w:rsidP="00BD43A1" w14:paraId="13AB561A" w14:textId="77777777">
      <w:pPr>
        <w:spacing w:after="0" w:line="240" w:lineRule="auto"/>
        <w:jc w:val="left"/>
        <w:rPr>
          <w:color w:val="212121"/>
          <w:sz w:val="24"/>
          <w:szCs w:val="24"/>
          <w:shd w:val="clear" w:color="auto" w:fill="FFFFFF"/>
        </w:rPr>
      </w:pPr>
    </w:p>
    <w:p w:rsidR="00BD43A1" w:rsidRPr="00BD43A1" w:rsidP="00BD43A1" w14:paraId="2F12E9CE" w14:textId="77777777">
      <w:pPr>
        <w:spacing w:after="0" w:line="240" w:lineRule="auto"/>
        <w:jc w:val="left"/>
        <w:rPr>
          <w:color w:val="212121"/>
          <w:sz w:val="24"/>
          <w:szCs w:val="24"/>
          <w:shd w:val="clear" w:color="auto" w:fill="FFFFFF"/>
        </w:rPr>
      </w:pPr>
      <w:r w:rsidRPr="00BD43A1">
        <w:rPr>
          <w:color w:val="212121"/>
          <w:sz w:val="24"/>
          <w:szCs w:val="24"/>
          <w:shd w:val="clear" w:color="auto" w:fill="FFFFFF"/>
        </w:rPr>
        <w:t>Greg Rizio</w:t>
      </w:r>
    </w:p>
    <w:p w:rsidR="00BD43A1" w:rsidRPr="00BD43A1" w:rsidP="00BD43A1" w14:paraId="03A04CD2" w14:textId="77777777">
      <w:pPr>
        <w:spacing w:after="0" w:line="240" w:lineRule="auto"/>
        <w:jc w:val="left"/>
        <w:rPr>
          <w:color w:val="212121"/>
          <w:sz w:val="24"/>
          <w:szCs w:val="24"/>
          <w:shd w:val="clear" w:color="auto" w:fill="FFFFFF"/>
        </w:rPr>
      </w:pPr>
      <w:r w:rsidRPr="00BD43A1">
        <w:rPr>
          <w:color w:val="212121"/>
          <w:sz w:val="24"/>
          <w:szCs w:val="24"/>
          <w:shd w:val="clear" w:color="auto" w:fill="FFFFFF"/>
        </w:rPr>
        <w:t>Rizio Lipinsky Law Firm PC</w:t>
      </w:r>
    </w:p>
    <w:p w:rsidR="00BD43A1" w:rsidRPr="00BD43A1" w:rsidP="00BD43A1" w14:paraId="37AFC49E" w14:textId="77777777">
      <w:pPr>
        <w:spacing w:after="0" w:line="240" w:lineRule="auto"/>
        <w:jc w:val="left"/>
        <w:rPr>
          <w:sz w:val="24"/>
          <w:szCs w:val="24"/>
        </w:rPr>
      </w:pPr>
      <w:r w:rsidRPr="00BD43A1">
        <w:rPr>
          <w:sz w:val="24"/>
          <w:szCs w:val="24"/>
        </w:rPr>
        <w:t xml:space="preserve">2677 North Main Street, Suite 225 </w:t>
      </w:r>
    </w:p>
    <w:p w:rsidR="00BD43A1" w:rsidRPr="00BD43A1" w:rsidP="00BD43A1" w14:paraId="6D16C14E" w14:textId="77777777">
      <w:pPr>
        <w:spacing w:after="0" w:line="240" w:lineRule="auto"/>
        <w:jc w:val="left"/>
        <w:rPr>
          <w:sz w:val="24"/>
          <w:szCs w:val="24"/>
        </w:rPr>
      </w:pPr>
      <w:r w:rsidRPr="00BD43A1">
        <w:rPr>
          <w:sz w:val="24"/>
          <w:szCs w:val="24"/>
        </w:rPr>
        <w:t>Santa Ana, CA 92705</w:t>
      </w:r>
    </w:p>
    <w:p w:rsidR="00BD43A1" w:rsidRPr="00BD43A1" w:rsidP="00BD43A1" w14:paraId="1D02BA5C" w14:textId="77777777">
      <w:pPr>
        <w:spacing w:after="0" w:line="240" w:lineRule="auto"/>
        <w:jc w:val="left"/>
        <w:rPr>
          <w:sz w:val="24"/>
          <w:szCs w:val="24"/>
        </w:rPr>
      </w:pPr>
      <w:r w:rsidRPr="00BD43A1">
        <w:rPr>
          <w:sz w:val="24"/>
          <w:szCs w:val="24"/>
        </w:rPr>
        <w:t>(714) 547-1234</w:t>
      </w:r>
    </w:p>
    <w:p w:rsidR="00BD43A1" w:rsidRPr="00BD43A1" w:rsidP="00BD43A1" w14:paraId="0CB419FE" w14:textId="77777777">
      <w:pPr>
        <w:spacing w:after="0" w:line="240" w:lineRule="auto"/>
        <w:jc w:val="left"/>
        <w:rPr>
          <w:sz w:val="24"/>
          <w:szCs w:val="24"/>
        </w:rPr>
      </w:pPr>
    </w:p>
    <w:p w:rsidR="00BD43A1" w:rsidRPr="00BD43A1" w:rsidP="00BD43A1" w14:paraId="7455CC15" w14:textId="77777777">
      <w:pPr>
        <w:spacing w:after="0" w:line="240" w:lineRule="auto"/>
        <w:jc w:val="left"/>
        <w:rPr>
          <w:sz w:val="24"/>
          <w:szCs w:val="24"/>
        </w:rPr>
      </w:pPr>
      <w:r w:rsidRPr="00BD43A1">
        <w:rPr>
          <w:sz w:val="24"/>
          <w:szCs w:val="24"/>
        </w:rPr>
        <w:t>Edward J. Reid</w:t>
      </w:r>
    </w:p>
    <w:p w:rsidR="00BD43A1" w:rsidRPr="00BD43A1" w:rsidP="00BD43A1" w14:paraId="1A834548" w14:textId="77777777">
      <w:pPr>
        <w:spacing w:after="0" w:line="240" w:lineRule="auto"/>
        <w:jc w:val="left"/>
        <w:rPr>
          <w:sz w:val="24"/>
          <w:szCs w:val="24"/>
        </w:rPr>
      </w:pPr>
      <w:r w:rsidRPr="00BD43A1">
        <w:rPr>
          <w:sz w:val="24"/>
          <w:szCs w:val="24"/>
        </w:rPr>
        <w:t>Deputy City Attorney</w:t>
      </w:r>
    </w:p>
    <w:p w:rsidR="00BD43A1" w:rsidRPr="00BD43A1" w:rsidP="00BD43A1" w14:paraId="3905942D" w14:textId="77777777">
      <w:pPr>
        <w:spacing w:after="0" w:line="240" w:lineRule="auto"/>
        <w:jc w:val="left"/>
        <w:rPr>
          <w:sz w:val="24"/>
          <w:szCs w:val="24"/>
        </w:rPr>
      </w:pPr>
      <w:r w:rsidRPr="00BD43A1">
        <w:rPr>
          <w:sz w:val="24"/>
          <w:szCs w:val="24"/>
        </w:rPr>
        <w:t>3750 University Avenue, Suite 250</w:t>
      </w:r>
    </w:p>
    <w:p w:rsidR="00BD43A1" w:rsidRPr="00BD43A1" w:rsidP="00BD43A1" w14:paraId="261264F5" w14:textId="77777777">
      <w:pPr>
        <w:spacing w:after="0" w:line="240" w:lineRule="auto"/>
        <w:jc w:val="left"/>
        <w:rPr>
          <w:sz w:val="24"/>
          <w:szCs w:val="24"/>
        </w:rPr>
      </w:pPr>
      <w:r w:rsidRPr="00BD43A1">
        <w:rPr>
          <w:sz w:val="24"/>
          <w:szCs w:val="24"/>
        </w:rPr>
        <w:t>Riverside, CA 92501</w:t>
      </w:r>
    </w:p>
    <w:p w:rsidR="00BD43A1" w:rsidRPr="00BD43A1" w:rsidP="00BD43A1" w14:paraId="2AB7BFFB" w14:textId="77777777">
      <w:pPr>
        <w:spacing w:after="0" w:line="240" w:lineRule="auto"/>
        <w:jc w:val="left"/>
        <w:rPr>
          <w:sz w:val="24"/>
          <w:szCs w:val="24"/>
        </w:rPr>
      </w:pPr>
      <w:r w:rsidRPr="00BD43A1">
        <w:rPr>
          <w:sz w:val="24"/>
          <w:szCs w:val="24"/>
        </w:rPr>
        <w:t>(951) 826-5567</w:t>
      </w:r>
    </w:p>
    <w:p w:rsidR="00BD43A1" w:rsidRPr="00BD43A1" w:rsidP="00BD43A1" w14:paraId="664CC3C4" w14:textId="77777777">
      <w:pPr>
        <w:spacing w:after="0" w:line="240" w:lineRule="auto"/>
        <w:jc w:val="left"/>
        <w:rPr>
          <w:sz w:val="24"/>
          <w:szCs w:val="24"/>
        </w:rPr>
      </w:pPr>
    </w:p>
    <w:p w:rsidR="00BD43A1" w:rsidRPr="00BD43A1" w:rsidP="00BD43A1" w14:paraId="29FF3043" w14:textId="77777777">
      <w:pPr>
        <w:spacing w:after="0" w:line="240" w:lineRule="auto"/>
        <w:jc w:val="left"/>
        <w:rPr>
          <w:color w:val="212121"/>
          <w:sz w:val="24"/>
          <w:szCs w:val="24"/>
          <w:shd w:val="clear" w:color="auto" w:fill="FFFFFF"/>
        </w:rPr>
      </w:pPr>
      <w:r w:rsidRPr="00BD43A1">
        <w:rPr>
          <w:color w:val="212121"/>
          <w:sz w:val="24"/>
          <w:szCs w:val="24"/>
          <w:shd w:val="clear" w:color="auto" w:fill="FFFFFF"/>
        </w:rPr>
        <w:t>Shelby Kennick</w:t>
      </w:r>
    </w:p>
    <w:p w:rsidR="00BD43A1" w:rsidRPr="00BD43A1" w:rsidP="00BD43A1" w14:paraId="3DEB500F" w14:textId="77777777">
      <w:pPr>
        <w:spacing w:after="0" w:line="240" w:lineRule="auto"/>
        <w:jc w:val="left"/>
        <w:rPr>
          <w:color w:val="212121"/>
          <w:sz w:val="24"/>
          <w:szCs w:val="24"/>
          <w:shd w:val="clear" w:color="auto" w:fill="FFFFFF"/>
        </w:rPr>
      </w:pPr>
      <w:r w:rsidRPr="00BD43A1">
        <w:rPr>
          <w:color w:val="212121"/>
          <w:sz w:val="24"/>
          <w:szCs w:val="24"/>
          <w:shd w:val="clear" w:color="auto" w:fill="FFFFFF"/>
        </w:rPr>
        <w:t>CP Law Group</w:t>
      </w:r>
    </w:p>
    <w:p w:rsidR="00BD43A1" w:rsidRPr="00BD43A1" w:rsidP="00BD43A1" w14:paraId="076B2180" w14:textId="77777777">
      <w:pPr>
        <w:spacing w:after="0" w:line="240" w:lineRule="auto"/>
        <w:jc w:val="left"/>
        <w:rPr>
          <w:sz w:val="24"/>
          <w:szCs w:val="24"/>
        </w:rPr>
      </w:pPr>
      <w:r w:rsidRPr="00BD43A1">
        <w:rPr>
          <w:sz w:val="24"/>
          <w:szCs w:val="24"/>
        </w:rPr>
        <w:t>655 North Central Avenue, Suite 1125</w:t>
      </w:r>
    </w:p>
    <w:p w:rsidR="00BD43A1" w:rsidRPr="00BD43A1" w:rsidP="00BD43A1" w14:paraId="33F0DB01" w14:textId="77777777">
      <w:pPr>
        <w:spacing w:after="0" w:line="240" w:lineRule="auto"/>
        <w:jc w:val="left"/>
        <w:rPr>
          <w:sz w:val="24"/>
          <w:szCs w:val="24"/>
        </w:rPr>
      </w:pPr>
      <w:r w:rsidRPr="00BD43A1">
        <w:rPr>
          <w:sz w:val="24"/>
          <w:szCs w:val="24"/>
        </w:rPr>
        <w:t>Glendale, CA 91203</w:t>
      </w:r>
    </w:p>
    <w:p w:rsidR="00BD43A1" w:rsidRPr="00BD43A1" w:rsidP="00BD43A1" w14:paraId="3A0E9559" w14:textId="77777777">
      <w:pPr>
        <w:spacing w:after="0" w:line="240" w:lineRule="auto"/>
        <w:jc w:val="left"/>
        <w:rPr>
          <w:sz w:val="24"/>
          <w:szCs w:val="24"/>
        </w:rPr>
      </w:pPr>
      <w:r w:rsidRPr="00BD43A1">
        <w:rPr>
          <w:sz w:val="24"/>
          <w:szCs w:val="24"/>
        </w:rPr>
        <w:t>(818) 853-5131</w:t>
      </w:r>
    </w:p>
    <w:p w:rsidR="00E27B4B" w:rsidRPr="009C2B99" w:rsidP="009C2B99" w14:paraId="1B5D357F" w14:textId="77777777">
      <w:pPr>
        <w:spacing w:after="0" w:line="240" w:lineRule="auto"/>
        <w:rPr>
          <w:b/>
          <w:bCs/>
          <w:szCs w:val="26"/>
        </w:rPr>
      </w:pPr>
    </w:p>
    <w:sectPr w:rsidSect="00EC2BB8">
      <w:headerReference w:type="even" r:id="rId15"/>
      <w:headerReference w:type="default" r:id="rId16"/>
      <w:footerReference w:type="even" r:id="rId17"/>
      <w:footerReference w:type="default" r:id="rId18"/>
      <w:headerReference w:type="first" r:id="rId19"/>
      <w:footerReference w:type="first" r:id="rId20"/>
      <w:pgSz w:w="12240" w:h="15840"/>
      <w:pgMar w:top="1800" w:right="2160" w:bottom="1440" w:left="2160"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653C90" w14:paraId="2A3689C6" w14:textId="77777777">
      <w:r>
        <w:separator/>
      </w:r>
    </w:p>
  </w:endnote>
  <w:endnote w:type="continuationSeparator" w:id="1">
    <w:p w:rsidR="00653C90" w14:paraId="641E299B" w14:textId="77777777">
      <w:r>
        <w:continuationSeparator/>
      </w:r>
    </w:p>
  </w:endnote>
  <w:endnote w:type="continuationNotice" w:id="2">
    <w:p w:rsidR="00653C90" w14:paraId="4A0A6D9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02164" w14:paraId="71C3FE9F" w14:textId="77777777">
    <w:pPr>
      <w:pStyle w:val="Footer"/>
    </w:pPr>
    <w:r>
      <w:fldChar w:fldCharType="begin"/>
    </w:r>
    <w:r>
      <w:instrText>PAGE</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rPr>
      <w:id w:val="-777793873"/>
      <w:docPartObj>
        <w:docPartGallery w:val="Page Numbers (Bottom of Page)"/>
        <w:docPartUnique/>
      </w:docPartObj>
    </w:sdtPr>
    <w:sdtEndPr>
      <w:rPr>
        <w:rStyle w:val="PageNumber"/>
      </w:rPr>
    </w:sdtEndPr>
    <w:sdtContent>
      <w:p w:rsidR="000D2969" w:rsidP="008F329A" w14:paraId="5CD6325E" w14:textId="112579C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506EA">
          <w:rPr>
            <w:rStyle w:val="PageNumber"/>
            <w:noProof/>
          </w:rPr>
          <w:t>25</w:t>
        </w:r>
        <w:r>
          <w:rPr>
            <w:rStyle w:val="PageNumber"/>
          </w:rPr>
          <w:fldChar w:fldCharType="end"/>
        </w:r>
      </w:p>
    </w:sdtContent>
  </w:sdt>
  <w:p w:rsidR="000D2969" w14:paraId="23B7CA3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03706403"/>
      <w:docPartObj>
        <w:docPartGallery w:val="Page Numbers (Bottom of Page)"/>
        <w:docPartUnique/>
      </w:docPartObj>
    </w:sdtPr>
    <w:sdtEndPr>
      <w:rPr>
        <w:noProof/>
      </w:rPr>
    </w:sdtEndPr>
    <w:sdtContent>
      <w:p w:rsidR="008F2BB6" w14:paraId="534C33FE" w14:textId="7F7CEF3E">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02164" w:rsidP="008F2BB6" w14:paraId="36904197" w14:textId="204F4E20">
    <w:pPr>
      <w:pStyle w:val="Footer"/>
      <w:tabs>
        <w:tab w:val="left" w:pos="6840"/>
      </w:tabs>
    </w:pPr>
    <w:r>
      <w:t>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D43A1" w14:paraId="081A267A"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D43A1" w14:paraId="14585C5E" w14:textId="7777777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D43A1" w14:paraId="1EFC4E4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53C90" w14:paraId="334D1004" w14:textId="77777777">
      <w:r>
        <w:separator/>
      </w:r>
    </w:p>
  </w:footnote>
  <w:footnote w:type="continuationSeparator" w:id="1">
    <w:p w:rsidR="00653C90" w14:paraId="09F40AB5" w14:textId="77777777">
      <w:pPr>
        <w:rPr>
          <w:sz w:val="22"/>
        </w:rPr>
      </w:pPr>
      <w:r>
        <w:continuationSeparator/>
      </w:r>
    </w:p>
  </w:footnote>
  <w:footnote w:type="continuationNotice" w:id="2">
    <w:p w:rsidR="00653C90" w:rsidP="000F5BEA" w14:paraId="53A68C90" w14:textId="77777777">
      <w:pPr>
        <w:ind w:right="8800"/>
        <w:jc w:val="right"/>
        <w:rPr>
          <w:i/>
          <w:sz w:val="20"/>
        </w:rPr>
      </w:pPr>
    </w:p>
  </w:footnote>
  <w:footnote w:id="3">
    <w:p w:rsidR="00677E05" w:rsidRPr="00677E05" w:rsidP="00302164" w14:paraId="13FBDA88" w14:textId="4EF06DC4">
      <w:pPr>
        <w:pStyle w:val="FootnoteText"/>
      </w:pPr>
      <w:r>
        <w:rPr>
          <w:rStyle w:val="FootnoteReference"/>
        </w:rPr>
        <w:footnoteRef/>
      </w:r>
      <w:r>
        <w:t xml:space="preserve"> </w:t>
      </w:r>
      <w:r>
        <w:tab/>
        <w:t>We take the facts from the opinion of the Court of Appeal</w:t>
      </w:r>
      <w:r w:rsidR="00FF0032">
        <w:t>.</w:t>
      </w:r>
      <w:r w:rsidR="00A303C5">
        <w:t xml:space="preserve"> </w:t>
      </w:r>
      <w:r w:rsidR="00337A84">
        <w:t xml:space="preserve"> </w:t>
      </w:r>
      <w:r>
        <w:t>(</w:t>
      </w:r>
      <w:r w:rsidRPr="00977E0B">
        <w:rPr>
          <w:i/>
          <w:iCs/>
        </w:rPr>
        <w:t>Downey v. City of Riverside</w:t>
      </w:r>
      <w:r w:rsidRPr="00677E05">
        <w:t xml:space="preserve"> (2023) 90</w:t>
      </w:r>
      <w:r w:rsidR="0007686B">
        <w:rPr>
          <w:szCs w:val="26"/>
        </w:rPr>
        <w:t> </w:t>
      </w:r>
      <w:r w:rsidRPr="00677E05">
        <w:t>Cal.App.5th 1033, 1040–1043</w:t>
      </w:r>
      <w:r w:rsidR="00C60FC7">
        <w:t xml:space="preserve"> (</w:t>
      </w:r>
      <w:r w:rsidRPr="00801007" w:rsidR="00C60FC7">
        <w:rPr>
          <w:i/>
          <w:iCs/>
        </w:rPr>
        <w:t>Downey</w:t>
      </w:r>
      <w:r w:rsidR="00C60FC7">
        <w:t>)</w:t>
      </w:r>
      <w:r w:rsidR="00FF0032">
        <w:t>.</w:t>
      </w:r>
      <w:r>
        <w:t>)  Like the Court of Appeal, we accept as true the well-pleaded facts in the operative third amended complaint.  (</w:t>
      </w:r>
      <w:r>
        <w:rPr>
          <w:i/>
          <w:iCs/>
        </w:rPr>
        <w:t>Id.</w:t>
      </w:r>
      <w:r>
        <w:t xml:space="preserve"> at p. 1040, citing </w:t>
      </w:r>
      <w:r w:rsidRPr="00677E05">
        <w:rPr>
          <w:i/>
          <w:iCs/>
        </w:rPr>
        <w:t>Zolly v. City of Oakland</w:t>
      </w:r>
      <w:r w:rsidRPr="00677E05">
        <w:t xml:space="preserve"> (2022) 13</w:t>
      </w:r>
      <w:r w:rsidR="00283793">
        <w:t> </w:t>
      </w:r>
      <w:r w:rsidRPr="00677E05">
        <w:t>Cal.5th 780, 786.)</w:t>
      </w:r>
    </w:p>
  </w:footnote>
  <w:footnote w:id="4">
    <w:p w:rsidR="00320F3D" w:rsidP="00302164" w14:paraId="52BF0F20" w14:textId="141EC33F">
      <w:pPr>
        <w:pStyle w:val="FootnoteText"/>
      </w:pPr>
      <w:r>
        <w:rPr>
          <w:rStyle w:val="FootnoteReference"/>
        </w:rPr>
        <w:footnoteRef/>
      </w:r>
      <w:r>
        <w:t xml:space="preserve"> </w:t>
      </w:r>
      <w:r>
        <w:tab/>
        <w:t xml:space="preserve">The majority also held that Downey adequately alleged that she was </w:t>
      </w:r>
      <w:r w:rsidR="009D0B6E">
        <w:t>“</w:t>
      </w:r>
      <w:r>
        <w:t>present</w:t>
      </w:r>
      <w:r w:rsidR="009D0B6E">
        <w:t>”</w:t>
      </w:r>
      <w:r>
        <w:t xml:space="preserve"> at the scene and </w:t>
      </w:r>
      <w:r w:rsidR="00332866">
        <w:t xml:space="preserve">that she </w:t>
      </w:r>
      <w:r>
        <w:t xml:space="preserve">had contemporaneous awareness of </w:t>
      </w:r>
      <w:r w:rsidR="00456F85">
        <w:t xml:space="preserve">both </w:t>
      </w:r>
      <w:r>
        <w:t xml:space="preserve">the accident and the fact that </w:t>
      </w:r>
      <w:r w:rsidR="00C237C7">
        <w:t xml:space="preserve">Vance </w:t>
      </w:r>
      <w:r>
        <w:t>was injured because she heard the accident and its immediate aftermath over the phone.  (</w:t>
      </w:r>
      <w:r w:rsidRPr="00452358">
        <w:rPr>
          <w:i/>
          <w:iCs/>
        </w:rPr>
        <w:t>Downey</w:t>
      </w:r>
      <w:r>
        <w:t xml:space="preserve">, </w:t>
      </w:r>
      <w:r w:rsidRPr="00452358">
        <w:rPr>
          <w:i/>
          <w:iCs/>
        </w:rPr>
        <w:t>supra</w:t>
      </w:r>
      <w:r>
        <w:t xml:space="preserve">, </w:t>
      </w:r>
      <w:r w:rsidRPr="00977E0B">
        <w:t>90</w:t>
      </w:r>
      <w:r w:rsidR="0007686B">
        <w:rPr>
          <w:szCs w:val="26"/>
        </w:rPr>
        <w:t> </w:t>
      </w:r>
      <w:r w:rsidRPr="00977E0B">
        <w:t>Cal.App.5th</w:t>
      </w:r>
      <w:r>
        <w:t xml:space="preserve"> at p. 1052</w:t>
      </w:r>
      <w:r w:rsidR="00986DC5">
        <w:t xml:space="preserve">; see </w:t>
      </w:r>
      <w:r w:rsidRPr="00986DC5" w:rsidR="00986DC5">
        <w:rPr>
          <w:i/>
          <w:iCs/>
        </w:rPr>
        <w:t>id.</w:t>
      </w:r>
      <w:r w:rsidR="00986DC5">
        <w:t xml:space="preserve"> at p. 1053</w:t>
      </w:r>
      <w:r>
        <w:t>.)</w:t>
      </w:r>
      <w:r w:rsidR="00052EAB">
        <w:t xml:space="preserve">  These conclusions have not been challenged here</w:t>
      </w:r>
      <w:r w:rsidR="009D3A69">
        <w:t xml:space="preserve"> and</w:t>
      </w:r>
      <w:r w:rsidR="00945353">
        <w:t xml:space="preserve"> </w:t>
      </w:r>
      <w:r w:rsidR="00052EAB">
        <w:t>we express no view on them.</w:t>
      </w:r>
    </w:p>
  </w:footnote>
  <w:footnote w:id="5">
    <w:p w:rsidR="00644B11" w:rsidP="00302164" w14:paraId="7B61C481" w14:textId="13A2FE24">
      <w:pPr>
        <w:pStyle w:val="FootnoteText"/>
      </w:pPr>
      <w:r>
        <w:rPr>
          <w:rStyle w:val="FootnoteReference"/>
        </w:rPr>
        <w:footnoteRef/>
      </w:r>
      <w:r>
        <w:t xml:space="preserve"> </w:t>
      </w:r>
      <w:r>
        <w:tab/>
      </w:r>
      <w:r w:rsidR="004A16AB">
        <w:t>T</w:t>
      </w:r>
      <w:r w:rsidR="00E76BF1">
        <w:t>he Restatement Third of Torts</w:t>
      </w:r>
      <w:r w:rsidR="004A16AB">
        <w:t xml:space="preserve"> </w:t>
      </w:r>
      <w:r w:rsidR="00E76BF1">
        <w:t xml:space="preserve">credits </w:t>
      </w:r>
      <w:r w:rsidR="00E76BF1">
        <w:rPr>
          <w:i/>
          <w:iCs/>
        </w:rPr>
        <w:t>Dillon</w:t>
      </w:r>
      <w:r w:rsidR="00E76BF1">
        <w:t xml:space="preserve"> as the first case </w:t>
      </w:r>
      <w:r w:rsidR="00BA0077">
        <w:t xml:space="preserve">in the United States </w:t>
      </w:r>
      <w:r w:rsidR="00E76BF1">
        <w:t>to allow close relative bystanders outside the “</w:t>
      </w:r>
      <w:r w:rsidR="00646E59">
        <w:t> ‘</w:t>
      </w:r>
      <w:r w:rsidR="00E76BF1">
        <w:t>zone of danger</w:t>
      </w:r>
      <w:r w:rsidR="00646E59">
        <w:t>’ </w:t>
      </w:r>
      <w:r w:rsidR="00E76BF1">
        <w:t>” to recover emotional distress damages</w:t>
      </w:r>
      <w:r w:rsidR="004A16AB">
        <w:t>, and reports that</w:t>
      </w:r>
      <w:r w:rsidR="00E76BF1">
        <w:t xml:space="preserve"> “[m]ost American courts have now adopted some version of” the </w:t>
      </w:r>
      <w:r w:rsidRPr="00EC3C1E" w:rsidR="00E76BF1">
        <w:rPr>
          <w:i/>
          <w:iCs/>
        </w:rPr>
        <w:t>Dillon</w:t>
      </w:r>
      <w:r w:rsidR="00E76BF1">
        <w:t xml:space="preserve"> rule.  (</w:t>
      </w:r>
      <w:r w:rsidRPr="00F23A82">
        <w:t>Rest</w:t>
      </w:r>
      <w:r>
        <w:t>.3d</w:t>
      </w:r>
      <w:r w:rsidRPr="00F23A82">
        <w:t xml:space="preserve"> Torts</w:t>
      </w:r>
      <w:r>
        <w:t>,</w:t>
      </w:r>
      <w:r w:rsidRPr="00F23A82">
        <w:t xml:space="preserve"> </w:t>
      </w:r>
      <w:r>
        <w:t>Liability for Physical and Emotional Harm, § 48, com. a</w:t>
      </w:r>
      <w:r w:rsidR="001E29EA">
        <w:t>, p.</w:t>
      </w:r>
      <w:r w:rsidR="00337A84">
        <w:t> </w:t>
      </w:r>
      <w:r w:rsidR="001E29EA">
        <w:t>200</w:t>
      </w:r>
      <w:r w:rsidR="0064145D">
        <w:t>.</w:t>
      </w:r>
      <w:r w:rsidR="00E76BF1">
        <w:t>)</w:t>
      </w:r>
      <w:r>
        <w:t xml:space="preserve"> </w:t>
      </w:r>
    </w:p>
  </w:footnote>
  <w:footnote w:id="6">
    <w:p w:rsidR="00324A6D" w:rsidRPr="00F54A94" w:rsidP="00302164" w14:paraId="2F5C8A59" w14:textId="35B95A14">
      <w:pPr>
        <w:pStyle w:val="FootnoteText"/>
      </w:pPr>
      <w:r>
        <w:rPr>
          <w:rStyle w:val="FootnoteReference"/>
        </w:rPr>
        <w:footnoteRef/>
      </w:r>
      <w:r>
        <w:t xml:space="preserve"> </w:t>
      </w:r>
      <w:r>
        <w:tab/>
        <w:t xml:space="preserve">At first, we deemed only mental distress that ripened into physical injury or symptoms compensable, but we later </w:t>
      </w:r>
      <w:r w:rsidR="002E2894">
        <w:t>dispensed with this requirement</w:t>
      </w:r>
      <w:r w:rsidR="00352BD2">
        <w:t xml:space="preserve"> as an illogical anachronism</w:t>
      </w:r>
      <w:r w:rsidR="002E2894">
        <w:t xml:space="preserve">.  </w:t>
      </w:r>
      <w:r w:rsidR="005F57F1">
        <w:t>(</w:t>
      </w:r>
      <w:r w:rsidRPr="00F54A94">
        <w:rPr>
          <w:i/>
          <w:iCs/>
        </w:rPr>
        <w:t>Molien v. Kaiser Foundation Hospitals</w:t>
      </w:r>
      <w:r w:rsidRPr="00F54A94">
        <w:t xml:space="preserve"> (1980) 27</w:t>
      </w:r>
      <w:r w:rsidR="0007686B">
        <w:rPr>
          <w:szCs w:val="26"/>
        </w:rPr>
        <w:t> </w:t>
      </w:r>
      <w:r w:rsidRPr="00F54A94">
        <w:t>Cal.3d 916, 919</w:t>
      </w:r>
      <w:r w:rsidR="005F57F1">
        <w:t xml:space="preserve">.)  </w:t>
      </w:r>
    </w:p>
    <w:p w:rsidR="00324A6D" w14:paraId="3EFF2725" w14:textId="77777777">
      <w:pPr>
        <w:pStyle w:val="FootnoteText"/>
      </w:pPr>
    </w:p>
  </w:footnote>
  <w:footnote w:id="7">
    <w:p w:rsidR="001A7147" w:rsidP="001A7147" w14:paraId="0A6023A2" w14:textId="22BED0E5">
      <w:pPr>
        <w:pStyle w:val="FootnoteText"/>
      </w:pPr>
      <w:r>
        <w:rPr>
          <w:rStyle w:val="FootnoteReference"/>
        </w:rPr>
        <w:footnoteRef/>
      </w:r>
      <w:r>
        <w:t xml:space="preserve"> </w:t>
      </w:r>
      <w:r>
        <w:tab/>
      </w:r>
      <w:r w:rsidR="002E2AB8">
        <w:t xml:space="preserve">In answering the question presented, we emphasize that </w:t>
      </w:r>
      <w:r w:rsidR="002E2AB8">
        <w:rPr>
          <w:i/>
          <w:iCs/>
        </w:rPr>
        <w:t>Thing</w:t>
      </w:r>
      <w:r w:rsidR="002E2AB8">
        <w:t xml:space="preserve">’s requirements pertain to just one element of the negligence claim, which is the scope of the duty that an alleged tortfeasor owes to relatives of a victim who suffer emotional distress upon observing an event that injures the victim.  </w:t>
      </w:r>
      <w:r>
        <w:t xml:space="preserve">A plaintiff who can satisfy </w:t>
      </w:r>
      <w:r w:rsidRPr="00F27F6D">
        <w:rPr>
          <w:i/>
          <w:iCs/>
        </w:rPr>
        <w:t>Thing</w:t>
      </w:r>
      <w:r>
        <w:t>’s requirements will not prevail unless th</w:t>
      </w:r>
      <w:r w:rsidR="00A8171D">
        <w:t>e</w:t>
      </w:r>
      <w:r>
        <w:t xml:space="preserve"> plaintiff prove</w:t>
      </w:r>
      <w:r w:rsidR="00A77AFB">
        <w:t>s</w:t>
      </w:r>
      <w:r>
        <w:t xml:space="preserve"> not only that the defendant owed the plaintiff a duty but also that the defendant’s breach of that duty caused the plaintiff’s damages.  </w:t>
      </w:r>
      <w:r>
        <w:rPr>
          <w:szCs w:val="26"/>
        </w:rPr>
        <w:t xml:space="preserve">Whether Downey can prove all the elements of her negligence claims against the City and the Sevacherians is beyond the scope of </w:t>
      </w:r>
      <w:r w:rsidR="008324FD">
        <w:rPr>
          <w:szCs w:val="26"/>
        </w:rPr>
        <w:t>our opinion, which addresses only</w:t>
      </w:r>
      <w:r w:rsidR="00A77AFB">
        <w:rPr>
          <w:szCs w:val="26"/>
        </w:rPr>
        <w:t xml:space="preserve"> whether Downey’s allegations are sufficient</w:t>
      </w:r>
      <w:r w:rsidR="00C47E71">
        <w:rPr>
          <w:szCs w:val="26"/>
        </w:rPr>
        <w:t xml:space="preserve"> </w:t>
      </w:r>
      <w:r w:rsidR="00A77AFB">
        <w:rPr>
          <w:szCs w:val="26"/>
        </w:rPr>
        <w:t xml:space="preserve">to satisfy </w:t>
      </w:r>
      <w:r w:rsidRPr="00DC7B83" w:rsidR="00A77AFB">
        <w:rPr>
          <w:i/>
          <w:iCs/>
          <w:szCs w:val="26"/>
        </w:rPr>
        <w:t>Thing</w:t>
      </w:r>
      <w:r w:rsidR="00A77AFB">
        <w:rPr>
          <w:szCs w:val="26"/>
        </w:rPr>
        <w:t>’s “</w:t>
      </w:r>
      <w:r w:rsidR="00B46976">
        <w:rPr>
          <w:szCs w:val="26"/>
        </w:rPr>
        <w:t> </w:t>
      </w:r>
      <w:r w:rsidR="006604B4">
        <w:rPr>
          <w:szCs w:val="26"/>
        </w:rPr>
        <w:t>‘</w:t>
      </w:r>
      <w:r w:rsidR="00A77AFB">
        <w:rPr>
          <w:szCs w:val="26"/>
        </w:rPr>
        <w:t>contemporaneous awareness</w:t>
      </w:r>
      <w:r w:rsidR="006604B4">
        <w:rPr>
          <w:szCs w:val="26"/>
        </w:rPr>
        <w:t>’ </w:t>
      </w:r>
      <w:r w:rsidR="00A77AFB">
        <w:rPr>
          <w:szCs w:val="26"/>
        </w:rPr>
        <w:t>” requirement</w:t>
      </w:r>
      <w:r w:rsidRPr="00C47E71" w:rsidR="00C47E71">
        <w:rPr>
          <w:szCs w:val="26"/>
        </w:rPr>
        <w:t xml:space="preserve"> </w:t>
      </w:r>
      <w:r w:rsidR="00C47E71">
        <w:rPr>
          <w:szCs w:val="26"/>
        </w:rPr>
        <w:t>at the pleading stage</w:t>
      </w:r>
      <w:r>
        <w:t xml:space="preserve">.  </w:t>
      </w:r>
      <w:r w:rsidR="005F66DA">
        <w:t>(</w:t>
      </w:r>
      <w:r w:rsidR="005F66DA">
        <w:rPr>
          <w:i/>
          <w:iCs/>
        </w:rPr>
        <w:t>Thing</w:t>
      </w:r>
      <w:r w:rsidR="005F66DA">
        <w:t xml:space="preserve">, </w:t>
      </w:r>
      <w:r w:rsidR="005F66DA">
        <w:rPr>
          <w:i/>
          <w:iCs/>
        </w:rPr>
        <w:t>supra</w:t>
      </w:r>
      <w:r w:rsidR="005F66DA">
        <w:t xml:space="preserve">, </w:t>
      </w:r>
      <w:r w:rsidR="00E50332">
        <w:t>4</w:t>
      </w:r>
      <w:r w:rsidR="005F66DA">
        <w:t>8 Cal.3d at p.</w:t>
      </w:r>
      <w:r w:rsidR="006604B4">
        <w:t xml:space="preserve"> 661, quoting </w:t>
      </w:r>
      <w:r w:rsidRPr="005D6BB5" w:rsidR="006604B4">
        <w:rPr>
          <w:i/>
          <w:iCs/>
        </w:rPr>
        <w:t>Ochoa</w:t>
      </w:r>
      <w:r w:rsidR="006604B4">
        <w:t xml:space="preserve">, </w:t>
      </w:r>
      <w:r w:rsidRPr="005D6BB5" w:rsidR="006604B4">
        <w:rPr>
          <w:i/>
          <w:iCs/>
        </w:rPr>
        <w:t>supra</w:t>
      </w:r>
      <w:r w:rsidR="006604B4">
        <w:t xml:space="preserve">, </w:t>
      </w:r>
      <w:r w:rsidRPr="006604B4" w:rsidR="006604B4">
        <w:t>39 Cal.3d at p.</w:t>
      </w:r>
      <w:r w:rsidR="006604B4">
        <w:t> </w:t>
      </w:r>
      <w:r w:rsidRPr="006604B4" w:rsidR="006604B4">
        <w:t>170</w:t>
      </w:r>
      <w:r w:rsidR="005F66DA">
        <w:t>.)</w:t>
      </w:r>
    </w:p>
  </w:footnote>
  <w:footnote w:id="8">
    <w:p w:rsidR="00EF2931" w:rsidRPr="00EF2931" w:rsidP="00302164" w14:paraId="38DF97F2" w14:textId="7CF668A6">
      <w:pPr>
        <w:pStyle w:val="FootnoteText"/>
      </w:pPr>
      <w:r>
        <w:rPr>
          <w:rStyle w:val="FootnoteReference"/>
        </w:rPr>
        <w:footnoteRef/>
      </w:r>
      <w:r>
        <w:tab/>
        <w:t>We identified and disapproved the lone exception, the pre-</w:t>
      </w:r>
      <w:r>
        <w:rPr>
          <w:i/>
          <w:iCs/>
        </w:rPr>
        <w:t>Thing</w:t>
      </w:r>
      <w:r>
        <w:t xml:space="preserve"> decision in </w:t>
      </w:r>
      <w:r>
        <w:rPr>
          <w:i/>
          <w:iCs/>
        </w:rPr>
        <w:t>Mobaldi v. Regents of University of California</w:t>
      </w:r>
      <w:r w:rsidR="00DC322D">
        <w:t xml:space="preserve">, </w:t>
      </w:r>
      <w:r w:rsidRPr="00DC322D" w:rsidR="00DC322D">
        <w:rPr>
          <w:i/>
          <w:iCs/>
        </w:rPr>
        <w:t>supra</w:t>
      </w:r>
      <w:r w:rsidR="00DC322D">
        <w:t xml:space="preserve">, </w:t>
      </w:r>
      <w:r>
        <w:t xml:space="preserve">55 Cal.App.3d 573.  (See </w:t>
      </w:r>
      <w:r>
        <w:rPr>
          <w:i/>
          <w:iCs/>
        </w:rPr>
        <w:t>Bird</w:t>
      </w:r>
      <w:r>
        <w:t xml:space="preserve">, </w:t>
      </w:r>
      <w:r w:rsidRPr="00DC322D" w:rsidR="00DC322D">
        <w:rPr>
          <w:i/>
          <w:iCs/>
        </w:rPr>
        <w:t>supra</w:t>
      </w:r>
      <w:r w:rsidR="00DC322D">
        <w:t xml:space="preserve">, 28 Cal.4th </w:t>
      </w:r>
      <w:r>
        <w:t>at pp.</w:t>
      </w:r>
      <w:r w:rsidR="00337A84">
        <w:t> </w:t>
      </w:r>
      <w:r>
        <w:t>920–921.)</w:t>
      </w:r>
    </w:p>
  </w:footnote>
  <w:footnote w:id="9">
    <w:p w:rsidR="00C73DCC" w:rsidRPr="00C73DCC" w:rsidP="00302164" w14:paraId="2ED77F0A" w14:textId="156BDDC2">
      <w:pPr>
        <w:pStyle w:val="FootnoteText"/>
      </w:pPr>
      <w:r>
        <w:rPr>
          <w:rStyle w:val="FootnoteReference"/>
        </w:rPr>
        <w:footnoteRef/>
      </w:r>
      <w:r>
        <w:t xml:space="preserve"> </w:t>
      </w:r>
      <w:r>
        <w:tab/>
        <w:t xml:space="preserve">As the Court of Appeal </w:t>
      </w:r>
      <w:r w:rsidR="002E2AB8">
        <w:t xml:space="preserve">majority </w:t>
      </w:r>
      <w:r>
        <w:t xml:space="preserve">here observed, we did clearly recognize in </w:t>
      </w:r>
      <w:r>
        <w:rPr>
          <w:i/>
          <w:iCs/>
        </w:rPr>
        <w:t xml:space="preserve">Bird </w:t>
      </w:r>
      <w:r>
        <w:t>a distinction between “ ‘</w:t>
      </w:r>
      <w:r w:rsidRPr="00CF0127">
        <w:t>awareness of negligence, a legal conclusion, with contemporaneous, understanding awareness of the event as causing harm to the victim</w:t>
      </w:r>
      <w:r>
        <w:t xml:space="preserve">.’ ” </w:t>
      </w:r>
      <w:r w:rsidR="00677EAB">
        <w:t xml:space="preserve"> </w:t>
      </w:r>
      <w:r>
        <w:t>(</w:t>
      </w:r>
      <w:r w:rsidRPr="0054703C">
        <w:rPr>
          <w:i/>
          <w:iCs/>
        </w:rPr>
        <w:t>Downey</w:t>
      </w:r>
      <w:r w:rsidRPr="00CF0127">
        <w:t xml:space="preserve">, </w:t>
      </w:r>
      <w:r w:rsidRPr="0054703C">
        <w:rPr>
          <w:i/>
          <w:iCs/>
        </w:rPr>
        <w:t>supra</w:t>
      </w:r>
      <w:r w:rsidRPr="00CF0127">
        <w:t>, 90 Cal.App.5th at p.</w:t>
      </w:r>
      <w:r w:rsidR="00FB3616">
        <w:t> </w:t>
      </w:r>
      <w:r w:rsidRPr="00CF0127">
        <w:t>1048</w:t>
      </w:r>
      <w:r>
        <w:t xml:space="preserve">, quoting </w:t>
      </w:r>
      <w:r>
        <w:rPr>
          <w:i/>
          <w:iCs/>
        </w:rPr>
        <w:t>Bird</w:t>
      </w:r>
      <w:r>
        <w:t xml:space="preserve">, </w:t>
      </w:r>
      <w:r w:rsidRPr="0054703C">
        <w:rPr>
          <w:i/>
          <w:iCs/>
        </w:rPr>
        <w:t>supra</w:t>
      </w:r>
      <w:r>
        <w:t xml:space="preserve">, </w:t>
      </w:r>
      <w:r w:rsidRPr="00126907">
        <w:t>28 Cal.4th</w:t>
      </w:r>
      <w:r>
        <w:t xml:space="preserve"> at p. 920.)  The Court of Appeal understood</w:t>
      </w:r>
      <w:r>
        <w:rPr>
          <w:i/>
          <w:iCs/>
        </w:rPr>
        <w:t xml:space="preserve"> Bird</w:t>
      </w:r>
      <w:r>
        <w:t xml:space="preserve"> to require awareness of a defendant’s </w:t>
      </w:r>
      <w:r w:rsidRPr="00683CC0">
        <w:rPr>
          <w:i/>
          <w:iCs/>
        </w:rPr>
        <w:t>conduct</w:t>
      </w:r>
      <w:r>
        <w:t xml:space="preserve"> that is negligent as a legal matter, but it did not understand </w:t>
      </w:r>
      <w:r>
        <w:rPr>
          <w:i/>
          <w:iCs/>
        </w:rPr>
        <w:t>Bird</w:t>
      </w:r>
      <w:r>
        <w:t xml:space="preserve"> to require awareness </w:t>
      </w:r>
      <w:r>
        <w:rPr>
          <w:i/>
          <w:iCs/>
        </w:rPr>
        <w:t>that</w:t>
      </w:r>
      <w:r>
        <w:t xml:space="preserve"> the defendant’s conduct is negligent as a legal matter.  (</w:t>
      </w:r>
      <w:r w:rsidRPr="00DB1B0F" w:rsidR="00DB1B0F">
        <w:rPr>
          <w:i/>
          <w:iCs/>
        </w:rPr>
        <w:t>Downey</w:t>
      </w:r>
      <w:r w:rsidR="00DB1B0F">
        <w:t>, at p. 1048.)</w:t>
      </w:r>
    </w:p>
  </w:footnote>
  <w:footnote w:id="10">
    <w:p w:rsidR="00613F45" w:rsidRPr="00DB0780" w:rsidP="00302164" w14:paraId="434AE7BB" w14:textId="75833A3C">
      <w:pPr>
        <w:keepNext/>
        <w:tabs>
          <w:tab w:val="left" w:pos="720"/>
        </w:tabs>
        <w:spacing w:line="300" w:lineRule="exact"/>
        <w:rPr>
          <w:szCs w:val="27"/>
        </w:rPr>
      </w:pPr>
      <w:r w:rsidRPr="00DB0780">
        <w:rPr>
          <w:rStyle w:val="FootnoteReference"/>
          <w:szCs w:val="27"/>
        </w:rPr>
        <w:footnoteRef/>
      </w:r>
      <w:r w:rsidRPr="00DB0780">
        <w:rPr>
          <w:szCs w:val="27"/>
        </w:rPr>
        <w:t xml:space="preserve"> </w:t>
      </w:r>
      <w:r w:rsidRPr="00DB0780">
        <w:rPr>
          <w:szCs w:val="27"/>
        </w:rPr>
        <w:tab/>
      </w:r>
      <w:r w:rsidRPr="005D6BB5">
        <w:rPr>
          <w:szCs w:val="27"/>
        </w:rPr>
        <w:t xml:space="preserve">The </w:t>
      </w:r>
      <w:r w:rsidRPr="005D6BB5">
        <w:rPr>
          <w:i/>
          <w:szCs w:val="27"/>
        </w:rPr>
        <w:t>Fortman</w:t>
      </w:r>
      <w:r w:rsidRPr="005D6BB5">
        <w:rPr>
          <w:szCs w:val="27"/>
        </w:rPr>
        <w:t xml:space="preserve"> court distinguished other scenarios involving product-related injuries where a bystander would immediately perceive the </w:t>
      </w:r>
      <w:r w:rsidRPr="005D6BB5" w:rsidR="00F63013">
        <w:rPr>
          <w:szCs w:val="27"/>
        </w:rPr>
        <w:t xml:space="preserve">event as </w:t>
      </w:r>
      <w:r w:rsidRPr="005D6BB5">
        <w:rPr>
          <w:szCs w:val="27"/>
        </w:rPr>
        <w:t>injury</w:t>
      </w:r>
      <w:r w:rsidRPr="005D6BB5" w:rsidR="00F63013">
        <w:rPr>
          <w:szCs w:val="27"/>
        </w:rPr>
        <w:t>-causing</w:t>
      </w:r>
      <w:r w:rsidRPr="005D6BB5">
        <w:rPr>
          <w:szCs w:val="27"/>
        </w:rPr>
        <w:t>:  “We .</w:t>
      </w:r>
      <w:r w:rsidRPr="005D6BB5" w:rsidR="00FF3158">
        <w:rPr>
          <w:szCs w:val="27"/>
        </w:rPr>
        <w:t> </w:t>
      </w:r>
      <w:r w:rsidRPr="005D6BB5">
        <w:rPr>
          <w:szCs w:val="27"/>
        </w:rPr>
        <w:t>.</w:t>
      </w:r>
      <w:r w:rsidRPr="005D6BB5" w:rsidR="00FF3158">
        <w:rPr>
          <w:szCs w:val="27"/>
        </w:rPr>
        <w:t> </w:t>
      </w:r>
      <w:r w:rsidRPr="005D6BB5">
        <w:rPr>
          <w:szCs w:val="27"/>
        </w:rPr>
        <w:t>. do not purport to hold that a plaintiff could never recover emotional distress damages under the bystander theory of recovery after perceiving a product-related injury.</w:t>
      </w:r>
      <w:r w:rsidRPr="005D6BB5" w:rsidR="00FF3158">
        <w:rPr>
          <w:szCs w:val="27"/>
        </w:rPr>
        <w:t> </w:t>
      </w:r>
      <w:r w:rsidRPr="005D6BB5">
        <w:rPr>
          <w:szCs w:val="27"/>
        </w:rPr>
        <w:t>.</w:t>
      </w:r>
      <w:r w:rsidRPr="005D6BB5" w:rsidR="00FF3158">
        <w:rPr>
          <w:szCs w:val="27"/>
        </w:rPr>
        <w:t> </w:t>
      </w:r>
      <w:r w:rsidRPr="005D6BB5">
        <w:rPr>
          <w:szCs w:val="27"/>
        </w:rPr>
        <w:t>.</w:t>
      </w:r>
      <w:r w:rsidRPr="005D6BB5" w:rsidR="00FF3158">
        <w:rPr>
          <w:szCs w:val="27"/>
        </w:rPr>
        <w:t> </w:t>
      </w:r>
      <w:r w:rsidRPr="005D6BB5">
        <w:rPr>
          <w:szCs w:val="27"/>
        </w:rPr>
        <w:t xml:space="preserve">.  [W]e can envision a number of scenarios in which a bystander plaintiff might recover against a product manufacturer for [negligent infliction of emotional distress].  A plaintiff would satisfy the second </w:t>
      </w:r>
      <w:r w:rsidRPr="005D6BB5">
        <w:rPr>
          <w:i/>
          <w:szCs w:val="27"/>
        </w:rPr>
        <w:t>Thing</w:t>
      </w:r>
      <w:r w:rsidRPr="005D6BB5">
        <w:rPr>
          <w:szCs w:val="27"/>
        </w:rPr>
        <w:t xml:space="preserve"> requirement if he or she were present at a backyard barbecue and observed the defendant’s propane tank connected to the barbecue explode and injure a close relative, or if the plaintiff observed a ladder collapse and injure a close relative.  Such accidents would not be beyond the plaintiff’s contemporaneous, understanding awareness of the event (i.e., product failure) inflicting harm to the victim.  The plaintiff need not know the cause of the propane tank explosion or why the ladder collapsed.”  (</w:t>
      </w:r>
      <w:r w:rsidRPr="005D6BB5">
        <w:rPr>
          <w:i/>
          <w:szCs w:val="27"/>
        </w:rPr>
        <w:t>Fortman</w:t>
      </w:r>
      <w:r w:rsidRPr="005D6BB5">
        <w:rPr>
          <w:szCs w:val="27"/>
        </w:rPr>
        <w:t xml:space="preserve">, </w:t>
      </w:r>
      <w:r w:rsidRPr="005D6BB5" w:rsidR="00493E9C">
        <w:rPr>
          <w:i/>
          <w:szCs w:val="27"/>
        </w:rPr>
        <w:t>supra</w:t>
      </w:r>
      <w:r w:rsidRPr="005D6BB5" w:rsidR="00493E9C">
        <w:rPr>
          <w:szCs w:val="27"/>
        </w:rPr>
        <w:t>, 212</w:t>
      </w:r>
      <w:r w:rsidRPr="00DB0780" w:rsidR="00931164">
        <w:rPr>
          <w:szCs w:val="27"/>
        </w:rPr>
        <w:t> </w:t>
      </w:r>
      <w:r w:rsidRPr="005D6BB5" w:rsidR="00493E9C">
        <w:rPr>
          <w:szCs w:val="27"/>
        </w:rPr>
        <w:t xml:space="preserve">Cal.App.4th </w:t>
      </w:r>
      <w:r w:rsidRPr="005D6BB5">
        <w:rPr>
          <w:szCs w:val="27"/>
        </w:rPr>
        <w:t xml:space="preserve">at p. 844.)  </w:t>
      </w:r>
    </w:p>
  </w:footnote>
  <w:footnote w:id="11">
    <w:p w:rsidR="00133E9C" w:rsidP="00302164" w14:paraId="33EEFD41" w14:textId="03A44C93">
      <w:pPr>
        <w:pStyle w:val="FootnoteText"/>
      </w:pPr>
      <w:r>
        <w:rPr>
          <w:rStyle w:val="FootnoteReference"/>
        </w:rPr>
        <w:footnoteRef/>
      </w:r>
      <w:r>
        <w:t xml:space="preserve"> </w:t>
      </w:r>
      <w:r>
        <w:tab/>
        <w:t>The Court of Appeal also rejected the argument that the plaintiff had not perceived the injury-causing event because she had not perceived “the permanent injury” that her husband had suffered:  oxygen deprivation.  (</w:t>
      </w:r>
      <w:r w:rsidR="00993833">
        <w:rPr>
          <w:i/>
          <w:iCs/>
        </w:rPr>
        <w:t>Ortiz</w:t>
      </w:r>
      <w:r w:rsidR="00993833">
        <w:t xml:space="preserve">, </w:t>
      </w:r>
      <w:r w:rsidRPr="00C70BBE" w:rsidR="00993833">
        <w:rPr>
          <w:i/>
          <w:iCs/>
        </w:rPr>
        <w:t>supra</w:t>
      </w:r>
      <w:r w:rsidR="00993833">
        <w:t>,</w:t>
      </w:r>
      <w:r>
        <w:t xml:space="preserve"> </w:t>
      </w:r>
      <w:r w:rsidRPr="00D52DDE" w:rsidR="00993833">
        <w:t>234</w:t>
      </w:r>
      <w:r w:rsidR="00931164">
        <w:rPr>
          <w:szCs w:val="26"/>
        </w:rPr>
        <w:t> </w:t>
      </w:r>
      <w:r w:rsidRPr="00D52DDE" w:rsidR="00993833">
        <w:t xml:space="preserve">Cal.App.3d </w:t>
      </w:r>
      <w:r>
        <w:t xml:space="preserve">at p. 186.)  The plaintiff satisfied </w:t>
      </w:r>
      <w:r>
        <w:rPr>
          <w:i/>
          <w:iCs/>
        </w:rPr>
        <w:t>Thing</w:t>
      </w:r>
      <w:r>
        <w:t>’s contemporaneous perception requirement because “she was fully aware” that her husband was being injured when she found him:  “</w:t>
      </w:r>
      <w:r w:rsidRPr="00961548">
        <w:t xml:space="preserve">Even if she could not </w:t>
      </w:r>
      <w:r>
        <w:t>‘</w:t>
      </w:r>
      <w:r w:rsidRPr="00961548">
        <w:t>perceive</w:t>
      </w:r>
      <w:r>
        <w:t>’</w:t>
      </w:r>
      <w:r w:rsidRPr="00961548">
        <w:t xml:space="preserve"> the full extent of the damage resulting from oxygen deprivation, she was clearly aware that his body was limp, that blood was running down his arm, and that he did not respond when she spoke to him.</w:t>
      </w:r>
      <w:r>
        <w:t>”  (</w:t>
      </w:r>
      <w:r w:rsidR="00993833">
        <w:rPr>
          <w:i/>
          <w:iCs/>
        </w:rPr>
        <w:t>I</w:t>
      </w:r>
      <w:r w:rsidR="00DC322D">
        <w:rPr>
          <w:i/>
          <w:iCs/>
        </w:rPr>
        <w:t>bid</w:t>
      </w:r>
      <w:r w:rsidR="00993833">
        <w:rPr>
          <w:i/>
          <w:iCs/>
        </w:rPr>
        <w:t>.</w:t>
      </w:r>
      <w:r>
        <w:t xml:space="preserve">)  </w:t>
      </w:r>
    </w:p>
  </w:footnote>
  <w:footnote w:id="12">
    <w:p w:rsidR="00DC2823" w14:paraId="2BB666C8" w14:textId="1CCCACC9">
      <w:pPr>
        <w:pStyle w:val="FootnoteText"/>
      </w:pPr>
      <w:r>
        <w:rPr>
          <w:rStyle w:val="FootnoteReference"/>
        </w:rPr>
        <w:footnoteRef/>
      </w:r>
      <w:r>
        <w:t xml:space="preserve"> </w:t>
      </w:r>
      <w:r>
        <w:tab/>
        <w:t>As we have already noted (see fn.</w:t>
      </w:r>
      <w:r w:rsidR="001B39CB">
        <w:t> </w:t>
      </w:r>
      <w:r w:rsidR="001B39CB">
        <w:fldChar w:fldCharType="begin"/>
      </w:r>
      <w:r w:rsidR="001B39CB">
        <w:instrText xml:space="preserve"> NOTEREF _Ref166584043 \h </w:instrText>
      </w:r>
      <w:r w:rsidR="001B39CB">
        <w:fldChar w:fldCharType="separate"/>
      </w:r>
      <w:r>
        <w:t>2</w:t>
      </w:r>
      <w:r w:rsidR="001B39CB">
        <w:fldChar w:fldCharType="end"/>
      </w:r>
      <w:r>
        <w:t xml:space="preserve">, </w:t>
      </w:r>
      <w:r w:rsidRPr="00D95138">
        <w:rPr>
          <w:i/>
          <w:iCs/>
        </w:rPr>
        <w:t>ante</w:t>
      </w:r>
      <w:r>
        <w:t xml:space="preserve">), the Court of Appeal here concluded that Downey was </w:t>
      </w:r>
      <w:r w:rsidR="000529BF">
        <w:t>“</w:t>
      </w:r>
      <w:r>
        <w:t>present</w:t>
      </w:r>
      <w:r w:rsidR="000529BF">
        <w:t>”</w:t>
      </w:r>
      <w:r>
        <w:t xml:space="preserve"> at the scene of the car crash</w:t>
      </w:r>
      <w:r w:rsidR="000529BF">
        <w:t xml:space="preserve"> because “</w:t>
      </w:r>
      <w:r w:rsidRPr="000529BF" w:rsidR="000529BF">
        <w:t>she contemporaneously sensed auditorily the accident and the fact Vance was injured</w:t>
      </w:r>
      <w:r w:rsidR="006F7A08">
        <w:t>.</w:t>
      </w:r>
      <w:r w:rsidR="000529BF">
        <w:t>”</w:t>
      </w:r>
      <w:r w:rsidRPr="000529BF" w:rsidR="000529BF">
        <w:t xml:space="preserve"> </w:t>
      </w:r>
      <w:r w:rsidR="000B1C9D">
        <w:t xml:space="preserve"> </w:t>
      </w:r>
      <w:r w:rsidR="000529BF">
        <w:t>(</w:t>
      </w:r>
      <w:r w:rsidRPr="00452358" w:rsidR="000529BF">
        <w:rPr>
          <w:i/>
          <w:iCs/>
        </w:rPr>
        <w:t>Downey</w:t>
      </w:r>
      <w:r w:rsidR="000529BF">
        <w:t xml:space="preserve">, </w:t>
      </w:r>
      <w:r w:rsidRPr="00452358" w:rsidR="000529BF">
        <w:rPr>
          <w:i/>
          <w:iCs/>
        </w:rPr>
        <w:t>supra</w:t>
      </w:r>
      <w:r w:rsidR="000529BF">
        <w:t xml:space="preserve">, </w:t>
      </w:r>
      <w:r w:rsidRPr="00977E0B" w:rsidR="000529BF">
        <w:t>90</w:t>
      </w:r>
      <w:r w:rsidR="00931164">
        <w:rPr>
          <w:szCs w:val="26"/>
        </w:rPr>
        <w:t> </w:t>
      </w:r>
      <w:r w:rsidRPr="00977E0B" w:rsidR="000529BF">
        <w:t>Cal.App.5th</w:t>
      </w:r>
      <w:r w:rsidR="000529BF">
        <w:t xml:space="preserve"> at p. 1052</w:t>
      </w:r>
      <w:r w:rsidR="000B1C9D">
        <w:t xml:space="preserve">; see </w:t>
      </w:r>
      <w:r w:rsidRPr="000B1C9D" w:rsidR="000B1C9D">
        <w:rPr>
          <w:i/>
          <w:iCs/>
        </w:rPr>
        <w:t>id.</w:t>
      </w:r>
      <w:r w:rsidR="000B1C9D">
        <w:t xml:space="preserve"> at pp. 1052</w:t>
      </w:r>
      <w:r w:rsidRPr="00302164" w:rsidR="000B1C9D">
        <w:rPr>
          <w:szCs w:val="26"/>
        </w:rPr>
        <w:t>–</w:t>
      </w:r>
      <w:r w:rsidR="000B1C9D">
        <w:t>1053</w:t>
      </w:r>
      <w:r w:rsidR="00B213DF">
        <w:t xml:space="preserve">, citing </w:t>
      </w:r>
      <w:r w:rsidR="00B213DF">
        <w:rPr>
          <w:i/>
          <w:iCs/>
        </w:rPr>
        <w:t>Bird</w:t>
      </w:r>
      <w:r w:rsidR="00B213DF">
        <w:t xml:space="preserve">, </w:t>
      </w:r>
      <w:r w:rsidR="00B213DF">
        <w:rPr>
          <w:i/>
          <w:iCs/>
        </w:rPr>
        <w:t>supra</w:t>
      </w:r>
      <w:r w:rsidR="00B213DF">
        <w:t>, 28 Cal.4th at p. 916 [“</w:t>
      </w:r>
      <w:r w:rsidRPr="005467E4" w:rsidR="00B213DF">
        <w:rPr>
          <w:i/>
          <w:iCs/>
        </w:rPr>
        <w:t>Thing</w:t>
      </w:r>
      <w:r w:rsidR="00B213DF">
        <w:t xml:space="preserve">’s requirement that the plaintiff be contemporaneously </w:t>
      </w:r>
      <w:r w:rsidRPr="000B1C9D" w:rsidR="00B213DF">
        <w:rPr>
          <w:i/>
          <w:iCs/>
        </w:rPr>
        <w:t>aware</w:t>
      </w:r>
      <w:r w:rsidR="00B213DF">
        <w:t xml:space="preserve"> of the injury-producing event has not been interpreted as requiring visual perception of an impact on the victim.  A plaintiff may recover based on an event perceived by other senses so long as the event is contemporaneously understood as causing injury to a close relative”]</w:t>
      </w:r>
      <w:r w:rsidR="006F7A08">
        <w:t>.</w:t>
      </w:r>
      <w:r w:rsidR="000529BF">
        <w:t>)</w:t>
      </w:r>
      <w:r w:rsidR="006F7A08">
        <w:t xml:space="preserve">  N</w:t>
      </w:r>
      <w:r w:rsidR="000529BF">
        <w:t xml:space="preserve">either the City nor the Sevacherians challenge that conclusion here.  </w:t>
      </w:r>
      <w:r w:rsidR="00AE46C7">
        <w:t>Rather, the City and the Sevacherians accept the premise that</w:t>
      </w:r>
      <w:r w:rsidR="006579DC">
        <w:t>, at least</w:t>
      </w:r>
      <w:r w:rsidR="00AE46C7">
        <w:t xml:space="preserve"> in certain cases</w:t>
      </w:r>
      <w:r w:rsidR="006579DC">
        <w:t>,</w:t>
      </w:r>
      <w:r w:rsidR="00AE46C7">
        <w:t xml:space="preserve"> plaintiffs can be </w:t>
      </w:r>
      <w:r w:rsidR="006F7A08">
        <w:t>virtually “</w:t>
      </w:r>
      <w:r w:rsidR="00AE46C7">
        <w:t>present</w:t>
      </w:r>
      <w:r w:rsidR="006F7A08">
        <w:t>”</w:t>
      </w:r>
      <w:r w:rsidR="00AE46C7">
        <w:t xml:space="preserve"> at the injury-producing event.  </w:t>
      </w:r>
      <w:r w:rsidR="004B6E23">
        <w:t>T</w:t>
      </w:r>
      <w:r w:rsidR="00AA0620">
        <w:t>his case does not ask us to examine the soundness of this undisputed premise</w:t>
      </w:r>
      <w:r w:rsidR="004B6E23">
        <w:t xml:space="preserve"> and </w:t>
      </w:r>
      <w:r w:rsidR="00AA0620">
        <w:t xml:space="preserve">we </w:t>
      </w:r>
      <w:r w:rsidR="00333C34">
        <w:t xml:space="preserve">therefore </w:t>
      </w:r>
      <w:r w:rsidR="00AA0620">
        <w:t xml:space="preserve">offer no opinion on </w:t>
      </w:r>
      <w:r w:rsidR="00333C34">
        <w:t>it</w:t>
      </w:r>
      <w:r w:rsidR="00AA0620">
        <w:t xml:space="preserve">.  </w:t>
      </w:r>
    </w:p>
  </w:footnote>
  <w:footnote w:id="13">
    <w:p w:rsidR="009B2D8A" w:rsidRPr="005C2615" w:rsidP="009B2D8A" w14:paraId="576867A8" w14:textId="00A78457">
      <w:pPr>
        <w:pStyle w:val="FootnoteText"/>
      </w:pPr>
      <w:r>
        <w:rPr>
          <w:rStyle w:val="FootnoteReference"/>
        </w:rPr>
        <w:footnoteRef/>
      </w:r>
      <w:r>
        <w:t xml:space="preserve"> </w:t>
      </w:r>
      <w:r>
        <w:tab/>
        <w:t xml:space="preserve">Amici curiae </w:t>
      </w:r>
      <w:r w:rsidRPr="005C2615">
        <w:t xml:space="preserve">California Medical Association, California Dental Association, </w:t>
      </w:r>
      <w:r>
        <w:t>a</w:t>
      </w:r>
      <w:r w:rsidRPr="005C2615">
        <w:t>nd California Hospital Association</w:t>
      </w:r>
      <w:r>
        <w:t xml:space="preserve"> suggest that not requiring a plaintiff bringing a bystander distress claim to understand contemporaneously the causal connection between the defendant’s conduct and the victim’s physical injuries will lead to the “</w:t>
      </w:r>
      <w:r w:rsidR="009904B1">
        <w:t> ‘</w:t>
      </w:r>
      <w:r>
        <w:t>limitless liability</w:t>
      </w:r>
      <w:r w:rsidR="009904B1">
        <w:t>’ </w:t>
      </w:r>
      <w:r>
        <w:t xml:space="preserve">” </w:t>
      </w:r>
      <w:r>
        <w:rPr>
          <w:i/>
          <w:iCs/>
        </w:rPr>
        <w:t>Thing</w:t>
      </w:r>
      <w:r>
        <w:t xml:space="preserve"> sought to avert.  (</w:t>
      </w:r>
      <w:r w:rsidR="009904B1">
        <w:t xml:space="preserve">Quoting </w:t>
      </w:r>
      <w:r w:rsidRPr="00F27F6D">
        <w:rPr>
          <w:i/>
          <w:iCs/>
          <w:szCs w:val="26"/>
        </w:rPr>
        <w:t>Thing</w:t>
      </w:r>
      <w:r w:rsidRPr="004E096E">
        <w:rPr>
          <w:szCs w:val="26"/>
        </w:rPr>
        <w:t xml:space="preserve">, </w:t>
      </w:r>
      <w:r w:rsidRPr="00F27F6D">
        <w:rPr>
          <w:i/>
          <w:iCs/>
          <w:szCs w:val="26"/>
        </w:rPr>
        <w:t>supra</w:t>
      </w:r>
      <w:r w:rsidRPr="004E096E">
        <w:rPr>
          <w:szCs w:val="26"/>
        </w:rPr>
        <w:t>, 48</w:t>
      </w:r>
      <w:r>
        <w:rPr>
          <w:szCs w:val="26"/>
        </w:rPr>
        <w:t> </w:t>
      </w:r>
      <w:r w:rsidRPr="004E096E">
        <w:rPr>
          <w:szCs w:val="26"/>
        </w:rPr>
        <w:t>Cal.3d at p. 6</w:t>
      </w:r>
      <w:r>
        <w:rPr>
          <w:szCs w:val="26"/>
        </w:rPr>
        <w:t xml:space="preserve">64.)  We disagree; </w:t>
      </w:r>
      <w:r w:rsidRPr="00B66760">
        <w:rPr>
          <w:i/>
          <w:iCs/>
          <w:szCs w:val="26"/>
        </w:rPr>
        <w:t>Thing</w:t>
      </w:r>
      <w:r>
        <w:rPr>
          <w:szCs w:val="26"/>
        </w:rPr>
        <w:t xml:space="preserve"> and follow-on cases have never so required and no limitless expansion of liability for emotional distress has ensued.  Moreover, nothing we say today should be interpreted as calling into question our analysis in </w:t>
      </w:r>
      <w:r w:rsidRPr="00B66760">
        <w:rPr>
          <w:i/>
          <w:iCs/>
          <w:szCs w:val="26"/>
        </w:rPr>
        <w:t>Bird</w:t>
      </w:r>
      <w:r>
        <w:rPr>
          <w:szCs w:val="26"/>
        </w:rPr>
        <w:t>, which remains the controlling precedent for negligent infliction of emotional distress claims arising from the provision of deficient medical care to a close relative.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02164" w14:paraId="7B25EB12" w14:textId="77777777">
    <w:pPr>
      <w:pStyle w:val="Header"/>
    </w:pPr>
    <w:r>
      <w:t>TRICOAST BUILDERS, INC. v. FONNEGRA</w:t>
    </w:r>
  </w:p>
  <w:p w:rsidR="00302164" w14:paraId="78B80034" w14:textId="77777777">
    <w:pPr>
      <w:pStyle w:val="Header"/>
    </w:pPr>
    <w:r>
      <w:t>Opinion of the Court by Kruger, J.</w:t>
    </w:r>
  </w:p>
  <w:p w:rsidR="00302164" w14:paraId="45ECD60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02164" w14:paraId="488F88A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02164" w14:paraId="24C5E490" w14:textId="49A5527A">
    <w:pPr>
      <w:pStyle w:val="Header"/>
    </w:pPr>
    <w:r>
      <w:t>DOWNEY v. CITY OF RIVERSIDE</w:t>
    </w:r>
  </w:p>
  <w:p w:rsidR="00302164" w14:paraId="21D43D6F" w14:textId="0CD34C66">
    <w:pPr>
      <w:pStyle w:val="Header"/>
    </w:pPr>
    <w:r>
      <w:t>Opinion of the Court by Kruger</w:t>
    </w:r>
    <w:r w:rsidR="008F2BB6">
      <w:t>, J.</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02164" w14:paraId="26E78BFD"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D43A1" w14:paraId="5C8444F5"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D43A1" w14:paraId="5EA4583E"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D43A1" w14:paraId="4AEA5FC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B74331"/>
    <w:multiLevelType w:val="multilevel"/>
    <w:tmpl w:val="F5FEA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D067499"/>
    <w:multiLevelType w:val="multilevel"/>
    <w:tmpl w:val="53C08248"/>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b w:val="0"/>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40C16EEB"/>
    <w:multiLevelType w:val="multilevel"/>
    <w:tmpl w:val="53C08248"/>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b w:val="0"/>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779715759">
    <w:abstractNumId w:val="2"/>
  </w:num>
  <w:num w:numId="2" w16cid:durableId="1171725434">
    <w:abstractNumId w:val="0"/>
  </w:num>
  <w:num w:numId="3" w16cid:durableId="1276523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intFractionalCharacterWidth/>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CC5"/>
    <w:rsid w:val="00000036"/>
    <w:rsid w:val="000000FF"/>
    <w:rsid w:val="0000014E"/>
    <w:rsid w:val="000007C1"/>
    <w:rsid w:val="00000894"/>
    <w:rsid w:val="000009F0"/>
    <w:rsid w:val="00000B77"/>
    <w:rsid w:val="00000CE7"/>
    <w:rsid w:val="0000264A"/>
    <w:rsid w:val="00002BC4"/>
    <w:rsid w:val="00002D78"/>
    <w:rsid w:val="00002E32"/>
    <w:rsid w:val="00002E42"/>
    <w:rsid w:val="000030FC"/>
    <w:rsid w:val="00003CE5"/>
    <w:rsid w:val="00004486"/>
    <w:rsid w:val="00004742"/>
    <w:rsid w:val="00004CA2"/>
    <w:rsid w:val="00004DF1"/>
    <w:rsid w:val="00004E3D"/>
    <w:rsid w:val="0000504E"/>
    <w:rsid w:val="00005226"/>
    <w:rsid w:val="00005A26"/>
    <w:rsid w:val="00005A56"/>
    <w:rsid w:val="00005ABD"/>
    <w:rsid w:val="00005F2E"/>
    <w:rsid w:val="000060D0"/>
    <w:rsid w:val="00006560"/>
    <w:rsid w:val="0000666E"/>
    <w:rsid w:val="0000686E"/>
    <w:rsid w:val="00006D91"/>
    <w:rsid w:val="00006E87"/>
    <w:rsid w:val="00007006"/>
    <w:rsid w:val="000070BD"/>
    <w:rsid w:val="00007456"/>
    <w:rsid w:val="0000755E"/>
    <w:rsid w:val="00007E38"/>
    <w:rsid w:val="00007E94"/>
    <w:rsid w:val="00010403"/>
    <w:rsid w:val="00010478"/>
    <w:rsid w:val="0001075D"/>
    <w:rsid w:val="00011200"/>
    <w:rsid w:val="00011527"/>
    <w:rsid w:val="000117F6"/>
    <w:rsid w:val="00011962"/>
    <w:rsid w:val="00011D02"/>
    <w:rsid w:val="00011E0D"/>
    <w:rsid w:val="00012155"/>
    <w:rsid w:val="000124DA"/>
    <w:rsid w:val="0001289C"/>
    <w:rsid w:val="0001322B"/>
    <w:rsid w:val="00013F0A"/>
    <w:rsid w:val="00014023"/>
    <w:rsid w:val="00014208"/>
    <w:rsid w:val="000144EB"/>
    <w:rsid w:val="000148E0"/>
    <w:rsid w:val="000148E6"/>
    <w:rsid w:val="00014997"/>
    <w:rsid w:val="00014C80"/>
    <w:rsid w:val="00014E86"/>
    <w:rsid w:val="00015124"/>
    <w:rsid w:val="00015409"/>
    <w:rsid w:val="0001568A"/>
    <w:rsid w:val="00015844"/>
    <w:rsid w:val="00016189"/>
    <w:rsid w:val="0001670D"/>
    <w:rsid w:val="00016D1D"/>
    <w:rsid w:val="00016FD5"/>
    <w:rsid w:val="00017205"/>
    <w:rsid w:val="00017275"/>
    <w:rsid w:val="000174AC"/>
    <w:rsid w:val="00017852"/>
    <w:rsid w:val="000179B3"/>
    <w:rsid w:val="00017D39"/>
    <w:rsid w:val="0002001D"/>
    <w:rsid w:val="000204FC"/>
    <w:rsid w:val="00020A33"/>
    <w:rsid w:val="00020DFC"/>
    <w:rsid w:val="00021101"/>
    <w:rsid w:val="0002129A"/>
    <w:rsid w:val="000218B3"/>
    <w:rsid w:val="00021D93"/>
    <w:rsid w:val="00021DFB"/>
    <w:rsid w:val="00022277"/>
    <w:rsid w:val="00022E01"/>
    <w:rsid w:val="00023354"/>
    <w:rsid w:val="000237D7"/>
    <w:rsid w:val="000238D3"/>
    <w:rsid w:val="00023CF7"/>
    <w:rsid w:val="00023FB6"/>
    <w:rsid w:val="0002404B"/>
    <w:rsid w:val="0002418C"/>
    <w:rsid w:val="00024CAD"/>
    <w:rsid w:val="00024D64"/>
    <w:rsid w:val="0002507C"/>
    <w:rsid w:val="0002529A"/>
    <w:rsid w:val="00025A27"/>
    <w:rsid w:val="00025A2D"/>
    <w:rsid w:val="00025BBF"/>
    <w:rsid w:val="00025C61"/>
    <w:rsid w:val="00025C8D"/>
    <w:rsid w:val="00025F2B"/>
    <w:rsid w:val="00025F96"/>
    <w:rsid w:val="00026220"/>
    <w:rsid w:val="000263CD"/>
    <w:rsid w:val="00026AE0"/>
    <w:rsid w:val="00026BAA"/>
    <w:rsid w:val="00027149"/>
    <w:rsid w:val="000271B6"/>
    <w:rsid w:val="000271DE"/>
    <w:rsid w:val="00027692"/>
    <w:rsid w:val="0002775B"/>
    <w:rsid w:val="000277CF"/>
    <w:rsid w:val="00027835"/>
    <w:rsid w:val="00030490"/>
    <w:rsid w:val="000304FB"/>
    <w:rsid w:val="0003057E"/>
    <w:rsid w:val="00030671"/>
    <w:rsid w:val="000307A8"/>
    <w:rsid w:val="00030B6D"/>
    <w:rsid w:val="00030CCB"/>
    <w:rsid w:val="00030D1E"/>
    <w:rsid w:val="00031115"/>
    <w:rsid w:val="00031480"/>
    <w:rsid w:val="00031F06"/>
    <w:rsid w:val="00031F2B"/>
    <w:rsid w:val="00031F55"/>
    <w:rsid w:val="00031FF5"/>
    <w:rsid w:val="000322F7"/>
    <w:rsid w:val="000329F5"/>
    <w:rsid w:val="00032BD5"/>
    <w:rsid w:val="00032C18"/>
    <w:rsid w:val="00032E74"/>
    <w:rsid w:val="00033341"/>
    <w:rsid w:val="00033A9B"/>
    <w:rsid w:val="00033CF0"/>
    <w:rsid w:val="00033DEB"/>
    <w:rsid w:val="00033E8B"/>
    <w:rsid w:val="00033FD2"/>
    <w:rsid w:val="00034124"/>
    <w:rsid w:val="00034656"/>
    <w:rsid w:val="00034BFB"/>
    <w:rsid w:val="00035324"/>
    <w:rsid w:val="000353EB"/>
    <w:rsid w:val="00035EBC"/>
    <w:rsid w:val="00036276"/>
    <w:rsid w:val="000363D7"/>
    <w:rsid w:val="000364A7"/>
    <w:rsid w:val="000364E2"/>
    <w:rsid w:val="000367E1"/>
    <w:rsid w:val="00036978"/>
    <w:rsid w:val="00036AAE"/>
    <w:rsid w:val="00037021"/>
    <w:rsid w:val="00037185"/>
    <w:rsid w:val="0003741C"/>
    <w:rsid w:val="00040168"/>
    <w:rsid w:val="00040294"/>
    <w:rsid w:val="000404FC"/>
    <w:rsid w:val="000406DB"/>
    <w:rsid w:val="00040E3E"/>
    <w:rsid w:val="00040F82"/>
    <w:rsid w:val="00040F9F"/>
    <w:rsid w:val="0004177C"/>
    <w:rsid w:val="00042007"/>
    <w:rsid w:val="00042C7C"/>
    <w:rsid w:val="00042EB7"/>
    <w:rsid w:val="00042F25"/>
    <w:rsid w:val="00043806"/>
    <w:rsid w:val="0004382E"/>
    <w:rsid w:val="00043B5F"/>
    <w:rsid w:val="000446F2"/>
    <w:rsid w:val="000448F3"/>
    <w:rsid w:val="00044A3A"/>
    <w:rsid w:val="00044B75"/>
    <w:rsid w:val="000450F5"/>
    <w:rsid w:val="00045E91"/>
    <w:rsid w:val="000460DC"/>
    <w:rsid w:val="0004617A"/>
    <w:rsid w:val="000461CE"/>
    <w:rsid w:val="000470C4"/>
    <w:rsid w:val="000472E6"/>
    <w:rsid w:val="000475B3"/>
    <w:rsid w:val="000475B9"/>
    <w:rsid w:val="00047901"/>
    <w:rsid w:val="00047C51"/>
    <w:rsid w:val="00047C7E"/>
    <w:rsid w:val="00050979"/>
    <w:rsid w:val="00050B85"/>
    <w:rsid w:val="00050C10"/>
    <w:rsid w:val="00050C57"/>
    <w:rsid w:val="00050ED1"/>
    <w:rsid w:val="00051087"/>
    <w:rsid w:val="000513A3"/>
    <w:rsid w:val="000513F7"/>
    <w:rsid w:val="0005175A"/>
    <w:rsid w:val="000518E6"/>
    <w:rsid w:val="0005209D"/>
    <w:rsid w:val="00052356"/>
    <w:rsid w:val="0005254F"/>
    <w:rsid w:val="00052604"/>
    <w:rsid w:val="000529BF"/>
    <w:rsid w:val="00052EAB"/>
    <w:rsid w:val="000530E3"/>
    <w:rsid w:val="00053532"/>
    <w:rsid w:val="000539ED"/>
    <w:rsid w:val="00053C25"/>
    <w:rsid w:val="00053C7D"/>
    <w:rsid w:val="00053D0D"/>
    <w:rsid w:val="0005414C"/>
    <w:rsid w:val="000543B4"/>
    <w:rsid w:val="000543EC"/>
    <w:rsid w:val="00054612"/>
    <w:rsid w:val="00054978"/>
    <w:rsid w:val="00054E9C"/>
    <w:rsid w:val="000550C7"/>
    <w:rsid w:val="000555EB"/>
    <w:rsid w:val="00056CFF"/>
    <w:rsid w:val="00056E7F"/>
    <w:rsid w:val="0005721B"/>
    <w:rsid w:val="00057241"/>
    <w:rsid w:val="00057338"/>
    <w:rsid w:val="000573F8"/>
    <w:rsid w:val="00060239"/>
    <w:rsid w:val="00060386"/>
    <w:rsid w:val="000603BE"/>
    <w:rsid w:val="0006042A"/>
    <w:rsid w:val="00060550"/>
    <w:rsid w:val="00060654"/>
    <w:rsid w:val="000611BD"/>
    <w:rsid w:val="00061350"/>
    <w:rsid w:val="0006168C"/>
    <w:rsid w:val="00061F12"/>
    <w:rsid w:val="000620BB"/>
    <w:rsid w:val="00062382"/>
    <w:rsid w:val="000628BC"/>
    <w:rsid w:val="000630E2"/>
    <w:rsid w:val="00064A1C"/>
    <w:rsid w:val="00064BE8"/>
    <w:rsid w:val="00065036"/>
    <w:rsid w:val="000650BC"/>
    <w:rsid w:val="0006579C"/>
    <w:rsid w:val="000657B6"/>
    <w:rsid w:val="00065C0C"/>
    <w:rsid w:val="00065F40"/>
    <w:rsid w:val="00065FAE"/>
    <w:rsid w:val="00066224"/>
    <w:rsid w:val="000662F8"/>
    <w:rsid w:val="00066610"/>
    <w:rsid w:val="00067073"/>
    <w:rsid w:val="0006758B"/>
    <w:rsid w:val="000678AF"/>
    <w:rsid w:val="00067E75"/>
    <w:rsid w:val="0007071F"/>
    <w:rsid w:val="00070E66"/>
    <w:rsid w:val="00070F31"/>
    <w:rsid w:val="000711B4"/>
    <w:rsid w:val="00071520"/>
    <w:rsid w:val="00071B87"/>
    <w:rsid w:val="00071F53"/>
    <w:rsid w:val="000723D6"/>
    <w:rsid w:val="000724A9"/>
    <w:rsid w:val="0007349C"/>
    <w:rsid w:val="00073742"/>
    <w:rsid w:val="00073746"/>
    <w:rsid w:val="000738FF"/>
    <w:rsid w:val="00073902"/>
    <w:rsid w:val="00073F43"/>
    <w:rsid w:val="000740F1"/>
    <w:rsid w:val="0007496B"/>
    <w:rsid w:val="000749FC"/>
    <w:rsid w:val="000750B4"/>
    <w:rsid w:val="00075249"/>
    <w:rsid w:val="000752E8"/>
    <w:rsid w:val="000754FA"/>
    <w:rsid w:val="0007583D"/>
    <w:rsid w:val="00075B74"/>
    <w:rsid w:val="000761E4"/>
    <w:rsid w:val="0007634F"/>
    <w:rsid w:val="0007663D"/>
    <w:rsid w:val="0007686B"/>
    <w:rsid w:val="00076A9D"/>
    <w:rsid w:val="00076C56"/>
    <w:rsid w:val="00076CE4"/>
    <w:rsid w:val="00076E3A"/>
    <w:rsid w:val="00076F58"/>
    <w:rsid w:val="00077187"/>
    <w:rsid w:val="0007750C"/>
    <w:rsid w:val="00077A00"/>
    <w:rsid w:val="00077AA7"/>
    <w:rsid w:val="000802C0"/>
    <w:rsid w:val="0008034A"/>
    <w:rsid w:val="00080CD5"/>
    <w:rsid w:val="00080FCF"/>
    <w:rsid w:val="00080FE7"/>
    <w:rsid w:val="000810D0"/>
    <w:rsid w:val="000812BD"/>
    <w:rsid w:val="000813B7"/>
    <w:rsid w:val="000815E1"/>
    <w:rsid w:val="00081C7C"/>
    <w:rsid w:val="00081DCA"/>
    <w:rsid w:val="0008254D"/>
    <w:rsid w:val="0008282B"/>
    <w:rsid w:val="00082AC8"/>
    <w:rsid w:val="00082CB1"/>
    <w:rsid w:val="00082D13"/>
    <w:rsid w:val="00082D3F"/>
    <w:rsid w:val="0008317C"/>
    <w:rsid w:val="000831B0"/>
    <w:rsid w:val="00083221"/>
    <w:rsid w:val="000833F2"/>
    <w:rsid w:val="00083491"/>
    <w:rsid w:val="00083AF4"/>
    <w:rsid w:val="00083B7C"/>
    <w:rsid w:val="00083BB8"/>
    <w:rsid w:val="00083BC3"/>
    <w:rsid w:val="00084224"/>
    <w:rsid w:val="000842BB"/>
    <w:rsid w:val="00084436"/>
    <w:rsid w:val="0008448B"/>
    <w:rsid w:val="000847E1"/>
    <w:rsid w:val="00084A81"/>
    <w:rsid w:val="00084B2A"/>
    <w:rsid w:val="00084E88"/>
    <w:rsid w:val="00085124"/>
    <w:rsid w:val="0008556E"/>
    <w:rsid w:val="000855D1"/>
    <w:rsid w:val="00085714"/>
    <w:rsid w:val="000861A8"/>
    <w:rsid w:val="00086A18"/>
    <w:rsid w:val="00086C25"/>
    <w:rsid w:val="00086CB4"/>
    <w:rsid w:val="00086CF1"/>
    <w:rsid w:val="000870EC"/>
    <w:rsid w:val="000874F9"/>
    <w:rsid w:val="000875D6"/>
    <w:rsid w:val="00087AAE"/>
    <w:rsid w:val="00090B60"/>
    <w:rsid w:val="00090FB9"/>
    <w:rsid w:val="00090FFC"/>
    <w:rsid w:val="000910D5"/>
    <w:rsid w:val="00091205"/>
    <w:rsid w:val="000912E4"/>
    <w:rsid w:val="0009136E"/>
    <w:rsid w:val="00091A93"/>
    <w:rsid w:val="00091C71"/>
    <w:rsid w:val="00092085"/>
    <w:rsid w:val="000921E5"/>
    <w:rsid w:val="0009220B"/>
    <w:rsid w:val="000926C9"/>
    <w:rsid w:val="00092724"/>
    <w:rsid w:val="0009278C"/>
    <w:rsid w:val="00093114"/>
    <w:rsid w:val="0009352C"/>
    <w:rsid w:val="00093687"/>
    <w:rsid w:val="000936D3"/>
    <w:rsid w:val="00093BD6"/>
    <w:rsid w:val="00094149"/>
    <w:rsid w:val="000947CC"/>
    <w:rsid w:val="00094804"/>
    <w:rsid w:val="00094C8F"/>
    <w:rsid w:val="00094E4A"/>
    <w:rsid w:val="00094EA8"/>
    <w:rsid w:val="000952A9"/>
    <w:rsid w:val="000953D3"/>
    <w:rsid w:val="00095564"/>
    <w:rsid w:val="0009575D"/>
    <w:rsid w:val="00095965"/>
    <w:rsid w:val="00095F95"/>
    <w:rsid w:val="0009617F"/>
    <w:rsid w:val="00096325"/>
    <w:rsid w:val="000963DD"/>
    <w:rsid w:val="00096992"/>
    <w:rsid w:val="00096A17"/>
    <w:rsid w:val="00096AEB"/>
    <w:rsid w:val="00096DC5"/>
    <w:rsid w:val="00097107"/>
    <w:rsid w:val="000974D9"/>
    <w:rsid w:val="00097AFF"/>
    <w:rsid w:val="000A0044"/>
    <w:rsid w:val="000A02A5"/>
    <w:rsid w:val="000A02E0"/>
    <w:rsid w:val="000A043A"/>
    <w:rsid w:val="000A0616"/>
    <w:rsid w:val="000A1424"/>
    <w:rsid w:val="000A2109"/>
    <w:rsid w:val="000A220B"/>
    <w:rsid w:val="000A22A0"/>
    <w:rsid w:val="000A2542"/>
    <w:rsid w:val="000A29DC"/>
    <w:rsid w:val="000A2BBF"/>
    <w:rsid w:val="000A2CD3"/>
    <w:rsid w:val="000A31FC"/>
    <w:rsid w:val="000A3572"/>
    <w:rsid w:val="000A3CEB"/>
    <w:rsid w:val="000A3E06"/>
    <w:rsid w:val="000A3FD3"/>
    <w:rsid w:val="000A414F"/>
    <w:rsid w:val="000A4253"/>
    <w:rsid w:val="000A4562"/>
    <w:rsid w:val="000A45EA"/>
    <w:rsid w:val="000A4B3D"/>
    <w:rsid w:val="000A4D80"/>
    <w:rsid w:val="000A4FDF"/>
    <w:rsid w:val="000A509D"/>
    <w:rsid w:val="000A50BC"/>
    <w:rsid w:val="000A5301"/>
    <w:rsid w:val="000A650C"/>
    <w:rsid w:val="000A68C3"/>
    <w:rsid w:val="000A6B3F"/>
    <w:rsid w:val="000A71A2"/>
    <w:rsid w:val="000A7901"/>
    <w:rsid w:val="000A79AE"/>
    <w:rsid w:val="000A7E5A"/>
    <w:rsid w:val="000B0204"/>
    <w:rsid w:val="000B0C5D"/>
    <w:rsid w:val="000B0CED"/>
    <w:rsid w:val="000B0FB1"/>
    <w:rsid w:val="000B12F9"/>
    <w:rsid w:val="000B132B"/>
    <w:rsid w:val="000B1337"/>
    <w:rsid w:val="000B14D1"/>
    <w:rsid w:val="000B151D"/>
    <w:rsid w:val="000B1AFE"/>
    <w:rsid w:val="000B1C9D"/>
    <w:rsid w:val="000B1DC0"/>
    <w:rsid w:val="000B1FD1"/>
    <w:rsid w:val="000B2A32"/>
    <w:rsid w:val="000B2A66"/>
    <w:rsid w:val="000B2AAE"/>
    <w:rsid w:val="000B348A"/>
    <w:rsid w:val="000B3809"/>
    <w:rsid w:val="000B3832"/>
    <w:rsid w:val="000B3AA7"/>
    <w:rsid w:val="000B3B44"/>
    <w:rsid w:val="000B3D28"/>
    <w:rsid w:val="000B3E7A"/>
    <w:rsid w:val="000B4B0E"/>
    <w:rsid w:val="000B4DA6"/>
    <w:rsid w:val="000B4E16"/>
    <w:rsid w:val="000B4F65"/>
    <w:rsid w:val="000B5351"/>
    <w:rsid w:val="000B5D37"/>
    <w:rsid w:val="000B63B9"/>
    <w:rsid w:val="000B6A60"/>
    <w:rsid w:val="000B6ADA"/>
    <w:rsid w:val="000B6E0E"/>
    <w:rsid w:val="000B6F71"/>
    <w:rsid w:val="000B7138"/>
    <w:rsid w:val="000B735A"/>
    <w:rsid w:val="000B76EE"/>
    <w:rsid w:val="000B7707"/>
    <w:rsid w:val="000B79FD"/>
    <w:rsid w:val="000B7B21"/>
    <w:rsid w:val="000B7CA2"/>
    <w:rsid w:val="000C024D"/>
    <w:rsid w:val="000C0445"/>
    <w:rsid w:val="000C064A"/>
    <w:rsid w:val="000C0AF2"/>
    <w:rsid w:val="000C0D5E"/>
    <w:rsid w:val="000C0F2C"/>
    <w:rsid w:val="000C0FA1"/>
    <w:rsid w:val="000C1244"/>
    <w:rsid w:val="000C1276"/>
    <w:rsid w:val="000C1875"/>
    <w:rsid w:val="000C2AAE"/>
    <w:rsid w:val="000C37CE"/>
    <w:rsid w:val="000C41E9"/>
    <w:rsid w:val="000C465E"/>
    <w:rsid w:val="000C4663"/>
    <w:rsid w:val="000C51CE"/>
    <w:rsid w:val="000C52ED"/>
    <w:rsid w:val="000C552F"/>
    <w:rsid w:val="000C5DF2"/>
    <w:rsid w:val="000C5F03"/>
    <w:rsid w:val="000C640D"/>
    <w:rsid w:val="000C64F2"/>
    <w:rsid w:val="000C67A4"/>
    <w:rsid w:val="000C6CF9"/>
    <w:rsid w:val="000C723B"/>
    <w:rsid w:val="000C727D"/>
    <w:rsid w:val="000C72C3"/>
    <w:rsid w:val="000C732C"/>
    <w:rsid w:val="000C7408"/>
    <w:rsid w:val="000C7819"/>
    <w:rsid w:val="000D0174"/>
    <w:rsid w:val="000D01E8"/>
    <w:rsid w:val="000D046C"/>
    <w:rsid w:val="000D052F"/>
    <w:rsid w:val="000D0E91"/>
    <w:rsid w:val="000D0F49"/>
    <w:rsid w:val="000D1468"/>
    <w:rsid w:val="000D19B7"/>
    <w:rsid w:val="000D1F84"/>
    <w:rsid w:val="000D22DC"/>
    <w:rsid w:val="000D2969"/>
    <w:rsid w:val="000D2EAA"/>
    <w:rsid w:val="000D2F9B"/>
    <w:rsid w:val="000D3547"/>
    <w:rsid w:val="000D387B"/>
    <w:rsid w:val="000D38CC"/>
    <w:rsid w:val="000D3A62"/>
    <w:rsid w:val="000D47D1"/>
    <w:rsid w:val="000D5189"/>
    <w:rsid w:val="000D5214"/>
    <w:rsid w:val="000D5403"/>
    <w:rsid w:val="000D5892"/>
    <w:rsid w:val="000D5E02"/>
    <w:rsid w:val="000D5E9E"/>
    <w:rsid w:val="000D6309"/>
    <w:rsid w:val="000D6527"/>
    <w:rsid w:val="000D676F"/>
    <w:rsid w:val="000D6E67"/>
    <w:rsid w:val="000D75AF"/>
    <w:rsid w:val="000D76E6"/>
    <w:rsid w:val="000D7920"/>
    <w:rsid w:val="000D79B2"/>
    <w:rsid w:val="000E0445"/>
    <w:rsid w:val="000E0572"/>
    <w:rsid w:val="000E06FA"/>
    <w:rsid w:val="000E0724"/>
    <w:rsid w:val="000E0751"/>
    <w:rsid w:val="000E08FB"/>
    <w:rsid w:val="000E0B8C"/>
    <w:rsid w:val="000E0C30"/>
    <w:rsid w:val="000E0C72"/>
    <w:rsid w:val="000E0E12"/>
    <w:rsid w:val="000E169A"/>
    <w:rsid w:val="000E18FB"/>
    <w:rsid w:val="000E1B87"/>
    <w:rsid w:val="000E1DBC"/>
    <w:rsid w:val="000E1EDE"/>
    <w:rsid w:val="000E2047"/>
    <w:rsid w:val="000E2216"/>
    <w:rsid w:val="000E22C0"/>
    <w:rsid w:val="000E2CC0"/>
    <w:rsid w:val="000E3355"/>
    <w:rsid w:val="000E33EB"/>
    <w:rsid w:val="000E3F47"/>
    <w:rsid w:val="000E4163"/>
    <w:rsid w:val="000E4204"/>
    <w:rsid w:val="000E4B94"/>
    <w:rsid w:val="000E4CB5"/>
    <w:rsid w:val="000E4DA2"/>
    <w:rsid w:val="000E50D7"/>
    <w:rsid w:val="000E50F1"/>
    <w:rsid w:val="000E52B0"/>
    <w:rsid w:val="000E540A"/>
    <w:rsid w:val="000E553E"/>
    <w:rsid w:val="000E5CE3"/>
    <w:rsid w:val="000E647D"/>
    <w:rsid w:val="000E6578"/>
    <w:rsid w:val="000E6673"/>
    <w:rsid w:val="000E6712"/>
    <w:rsid w:val="000E6760"/>
    <w:rsid w:val="000E6A5B"/>
    <w:rsid w:val="000E73E5"/>
    <w:rsid w:val="000E7892"/>
    <w:rsid w:val="000E7D08"/>
    <w:rsid w:val="000E7E19"/>
    <w:rsid w:val="000F02A7"/>
    <w:rsid w:val="000F048F"/>
    <w:rsid w:val="000F088C"/>
    <w:rsid w:val="000F0AF1"/>
    <w:rsid w:val="000F0BDB"/>
    <w:rsid w:val="000F0DF0"/>
    <w:rsid w:val="000F0FD4"/>
    <w:rsid w:val="000F101D"/>
    <w:rsid w:val="000F11E0"/>
    <w:rsid w:val="000F14E4"/>
    <w:rsid w:val="000F1584"/>
    <w:rsid w:val="000F1D5A"/>
    <w:rsid w:val="000F1F42"/>
    <w:rsid w:val="000F2805"/>
    <w:rsid w:val="000F29E9"/>
    <w:rsid w:val="000F2ECB"/>
    <w:rsid w:val="000F320C"/>
    <w:rsid w:val="000F3299"/>
    <w:rsid w:val="000F33FB"/>
    <w:rsid w:val="000F367D"/>
    <w:rsid w:val="000F37DB"/>
    <w:rsid w:val="000F3C85"/>
    <w:rsid w:val="000F41B5"/>
    <w:rsid w:val="000F4301"/>
    <w:rsid w:val="000F5211"/>
    <w:rsid w:val="000F5370"/>
    <w:rsid w:val="000F5BEA"/>
    <w:rsid w:val="000F5DE8"/>
    <w:rsid w:val="000F61C7"/>
    <w:rsid w:val="000F639F"/>
    <w:rsid w:val="000F63B6"/>
    <w:rsid w:val="000F6619"/>
    <w:rsid w:val="000F6C64"/>
    <w:rsid w:val="000F748A"/>
    <w:rsid w:val="000F7C64"/>
    <w:rsid w:val="001000B3"/>
    <w:rsid w:val="00100351"/>
    <w:rsid w:val="00100383"/>
    <w:rsid w:val="001003E6"/>
    <w:rsid w:val="00100792"/>
    <w:rsid w:val="00100CA2"/>
    <w:rsid w:val="00101270"/>
    <w:rsid w:val="001015A6"/>
    <w:rsid w:val="00101B87"/>
    <w:rsid w:val="00101BA9"/>
    <w:rsid w:val="00101E7D"/>
    <w:rsid w:val="001020D3"/>
    <w:rsid w:val="00102516"/>
    <w:rsid w:val="00102587"/>
    <w:rsid w:val="0010263D"/>
    <w:rsid w:val="00102979"/>
    <w:rsid w:val="00102A7B"/>
    <w:rsid w:val="00102B6D"/>
    <w:rsid w:val="0010301D"/>
    <w:rsid w:val="0010333C"/>
    <w:rsid w:val="0010373C"/>
    <w:rsid w:val="00103753"/>
    <w:rsid w:val="0010397B"/>
    <w:rsid w:val="001039FB"/>
    <w:rsid w:val="00103A09"/>
    <w:rsid w:val="00103E8D"/>
    <w:rsid w:val="0010411E"/>
    <w:rsid w:val="00104175"/>
    <w:rsid w:val="001044B2"/>
    <w:rsid w:val="00104586"/>
    <w:rsid w:val="001049F3"/>
    <w:rsid w:val="0010511E"/>
    <w:rsid w:val="0010593C"/>
    <w:rsid w:val="00105ABA"/>
    <w:rsid w:val="00105FCD"/>
    <w:rsid w:val="00106273"/>
    <w:rsid w:val="001062CE"/>
    <w:rsid w:val="0010636D"/>
    <w:rsid w:val="00106978"/>
    <w:rsid w:val="00106C4C"/>
    <w:rsid w:val="00106CD4"/>
    <w:rsid w:val="00106D98"/>
    <w:rsid w:val="00107126"/>
    <w:rsid w:val="00107162"/>
    <w:rsid w:val="00107A2A"/>
    <w:rsid w:val="00107A4D"/>
    <w:rsid w:val="00107B18"/>
    <w:rsid w:val="00110020"/>
    <w:rsid w:val="001102A6"/>
    <w:rsid w:val="0011036F"/>
    <w:rsid w:val="00110F40"/>
    <w:rsid w:val="0011131D"/>
    <w:rsid w:val="0011152B"/>
    <w:rsid w:val="001116D5"/>
    <w:rsid w:val="0011199B"/>
    <w:rsid w:val="00111A62"/>
    <w:rsid w:val="00111E79"/>
    <w:rsid w:val="0011216D"/>
    <w:rsid w:val="001121DC"/>
    <w:rsid w:val="001123B1"/>
    <w:rsid w:val="001129E2"/>
    <w:rsid w:val="00112ABF"/>
    <w:rsid w:val="00112D10"/>
    <w:rsid w:val="00112D75"/>
    <w:rsid w:val="00112D9C"/>
    <w:rsid w:val="00112DD6"/>
    <w:rsid w:val="00113176"/>
    <w:rsid w:val="00113711"/>
    <w:rsid w:val="0011371E"/>
    <w:rsid w:val="00113783"/>
    <w:rsid w:val="00113797"/>
    <w:rsid w:val="0011390C"/>
    <w:rsid w:val="00113A30"/>
    <w:rsid w:val="00113BBD"/>
    <w:rsid w:val="0011445E"/>
    <w:rsid w:val="00114619"/>
    <w:rsid w:val="0011520B"/>
    <w:rsid w:val="0011568E"/>
    <w:rsid w:val="00115D4A"/>
    <w:rsid w:val="00115EFC"/>
    <w:rsid w:val="001162D4"/>
    <w:rsid w:val="00116334"/>
    <w:rsid w:val="00116403"/>
    <w:rsid w:val="00116C7C"/>
    <w:rsid w:val="00116CEE"/>
    <w:rsid w:val="00116DE9"/>
    <w:rsid w:val="001171C8"/>
    <w:rsid w:val="001174CF"/>
    <w:rsid w:val="001177EB"/>
    <w:rsid w:val="00117ADC"/>
    <w:rsid w:val="00117E5F"/>
    <w:rsid w:val="001201DC"/>
    <w:rsid w:val="00120336"/>
    <w:rsid w:val="001204A3"/>
    <w:rsid w:val="001205BA"/>
    <w:rsid w:val="00120896"/>
    <w:rsid w:val="00120CA1"/>
    <w:rsid w:val="00120D88"/>
    <w:rsid w:val="00120DC7"/>
    <w:rsid w:val="0012113B"/>
    <w:rsid w:val="00121678"/>
    <w:rsid w:val="00121C3E"/>
    <w:rsid w:val="00121C82"/>
    <w:rsid w:val="00121CAE"/>
    <w:rsid w:val="00122070"/>
    <w:rsid w:val="0012292A"/>
    <w:rsid w:val="00122FD4"/>
    <w:rsid w:val="00123117"/>
    <w:rsid w:val="00123516"/>
    <w:rsid w:val="00123A07"/>
    <w:rsid w:val="00123B7D"/>
    <w:rsid w:val="00123C27"/>
    <w:rsid w:val="00123CC1"/>
    <w:rsid w:val="00123EB3"/>
    <w:rsid w:val="001240DB"/>
    <w:rsid w:val="001246A5"/>
    <w:rsid w:val="001246DE"/>
    <w:rsid w:val="00124746"/>
    <w:rsid w:val="00124749"/>
    <w:rsid w:val="001248DA"/>
    <w:rsid w:val="00124A90"/>
    <w:rsid w:val="00124ABF"/>
    <w:rsid w:val="00124F24"/>
    <w:rsid w:val="001250AE"/>
    <w:rsid w:val="001253A0"/>
    <w:rsid w:val="001253F8"/>
    <w:rsid w:val="001254EC"/>
    <w:rsid w:val="0012551B"/>
    <w:rsid w:val="00126510"/>
    <w:rsid w:val="0012653B"/>
    <w:rsid w:val="00126651"/>
    <w:rsid w:val="00126871"/>
    <w:rsid w:val="00126907"/>
    <w:rsid w:val="00126EF6"/>
    <w:rsid w:val="0012720C"/>
    <w:rsid w:val="0012740D"/>
    <w:rsid w:val="001278C6"/>
    <w:rsid w:val="00127966"/>
    <w:rsid w:val="00127ED2"/>
    <w:rsid w:val="001305A3"/>
    <w:rsid w:val="001305DA"/>
    <w:rsid w:val="00130D49"/>
    <w:rsid w:val="0013167C"/>
    <w:rsid w:val="001316CB"/>
    <w:rsid w:val="00131FBC"/>
    <w:rsid w:val="00132310"/>
    <w:rsid w:val="00132542"/>
    <w:rsid w:val="00132CA1"/>
    <w:rsid w:val="00132D7B"/>
    <w:rsid w:val="00133098"/>
    <w:rsid w:val="0013310B"/>
    <w:rsid w:val="001331DB"/>
    <w:rsid w:val="00133773"/>
    <w:rsid w:val="00133E9C"/>
    <w:rsid w:val="00133EDD"/>
    <w:rsid w:val="001340A7"/>
    <w:rsid w:val="00134556"/>
    <w:rsid w:val="0013477D"/>
    <w:rsid w:val="00134FC2"/>
    <w:rsid w:val="0013516F"/>
    <w:rsid w:val="001355F2"/>
    <w:rsid w:val="0013568F"/>
    <w:rsid w:val="0013584A"/>
    <w:rsid w:val="00135A70"/>
    <w:rsid w:val="00135CAE"/>
    <w:rsid w:val="00135EB8"/>
    <w:rsid w:val="00136465"/>
    <w:rsid w:val="00136476"/>
    <w:rsid w:val="00136CA2"/>
    <w:rsid w:val="001377D2"/>
    <w:rsid w:val="001379F7"/>
    <w:rsid w:val="001400C8"/>
    <w:rsid w:val="001404E2"/>
    <w:rsid w:val="00140550"/>
    <w:rsid w:val="00140712"/>
    <w:rsid w:val="00140852"/>
    <w:rsid w:val="001409B6"/>
    <w:rsid w:val="00141072"/>
    <w:rsid w:val="00141651"/>
    <w:rsid w:val="00141950"/>
    <w:rsid w:val="00141B58"/>
    <w:rsid w:val="00141FD3"/>
    <w:rsid w:val="001425AB"/>
    <w:rsid w:val="0014270E"/>
    <w:rsid w:val="00143329"/>
    <w:rsid w:val="00143564"/>
    <w:rsid w:val="0014357D"/>
    <w:rsid w:val="00143C4E"/>
    <w:rsid w:val="00144226"/>
    <w:rsid w:val="00144710"/>
    <w:rsid w:val="001449DE"/>
    <w:rsid w:val="00144BAE"/>
    <w:rsid w:val="001456AE"/>
    <w:rsid w:val="00145812"/>
    <w:rsid w:val="00145AF3"/>
    <w:rsid w:val="00145C9F"/>
    <w:rsid w:val="00145F57"/>
    <w:rsid w:val="00146523"/>
    <w:rsid w:val="00146D46"/>
    <w:rsid w:val="00146DF0"/>
    <w:rsid w:val="00147257"/>
    <w:rsid w:val="00147431"/>
    <w:rsid w:val="00147636"/>
    <w:rsid w:val="00147938"/>
    <w:rsid w:val="00147AE9"/>
    <w:rsid w:val="00147BD2"/>
    <w:rsid w:val="00147CA9"/>
    <w:rsid w:val="00147FE0"/>
    <w:rsid w:val="001500CF"/>
    <w:rsid w:val="001506FF"/>
    <w:rsid w:val="00150A4D"/>
    <w:rsid w:val="001511E4"/>
    <w:rsid w:val="00151600"/>
    <w:rsid w:val="001518A2"/>
    <w:rsid w:val="00151BB9"/>
    <w:rsid w:val="00151D69"/>
    <w:rsid w:val="00152476"/>
    <w:rsid w:val="00152C74"/>
    <w:rsid w:val="00152E97"/>
    <w:rsid w:val="00152EDE"/>
    <w:rsid w:val="001533C6"/>
    <w:rsid w:val="001533C8"/>
    <w:rsid w:val="001539F1"/>
    <w:rsid w:val="00153B57"/>
    <w:rsid w:val="00154682"/>
    <w:rsid w:val="0015487F"/>
    <w:rsid w:val="00154E79"/>
    <w:rsid w:val="00154ECD"/>
    <w:rsid w:val="00154FD1"/>
    <w:rsid w:val="001552E5"/>
    <w:rsid w:val="0015568A"/>
    <w:rsid w:val="0015581D"/>
    <w:rsid w:val="0015586C"/>
    <w:rsid w:val="00155982"/>
    <w:rsid w:val="00155D8E"/>
    <w:rsid w:val="001562DD"/>
    <w:rsid w:val="001562F0"/>
    <w:rsid w:val="001567FD"/>
    <w:rsid w:val="00156A6F"/>
    <w:rsid w:val="00156CB4"/>
    <w:rsid w:val="00156EBB"/>
    <w:rsid w:val="0015725D"/>
    <w:rsid w:val="001572CE"/>
    <w:rsid w:val="001576E5"/>
    <w:rsid w:val="001577A6"/>
    <w:rsid w:val="00157A5B"/>
    <w:rsid w:val="00157A66"/>
    <w:rsid w:val="001604D2"/>
    <w:rsid w:val="001609D3"/>
    <w:rsid w:val="00160CBA"/>
    <w:rsid w:val="00161104"/>
    <w:rsid w:val="00161533"/>
    <w:rsid w:val="0016167A"/>
    <w:rsid w:val="001618B3"/>
    <w:rsid w:val="00161F61"/>
    <w:rsid w:val="0016272A"/>
    <w:rsid w:val="001637E6"/>
    <w:rsid w:val="00163FDA"/>
    <w:rsid w:val="00165089"/>
    <w:rsid w:val="001659E5"/>
    <w:rsid w:val="00165BF1"/>
    <w:rsid w:val="00165FD1"/>
    <w:rsid w:val="00166402"/>
    <w:rsid w:val="0016650D"/>
    <w:rsid w:val="001667C7"/>
    <w:rsid w:val="00166B67"/>
    <w:rsid w:val="00166F0B"/>
    <w:rsid w:val="00166F71"/>
    <w:rsid w:val="0016702F"/>
    <w:rsid w:val="00167095"/>
    <w:rsid w:val="00167D50"/>
    <w:rsid w:val="00167EE4"/>
    <w:rsid w:val="00167F25"/>
    <w:rsid w:val="0017049B"/>
    <w:rsid w:val="001704A2"/>
    <w:rsid w:val="00170729"/>
    <w:rsid w:val="00170DE1"/>
    <w:rsid w:val="0017160A"/>
    <w:rsid w:val="00171D41"/>
    <w:rsid w:val="00172DFA"/>
    <w:rsid w:val="001734D4"/>
    <w:rsid w:val="001739F9"/>
    <w:rsid w:val="00173EA2"/>
    <w:rsid w:val="00173FDC"/>
    <w:rsid w:val="00174415"/>
    <w:rsid w:val="00174626"/>
    <w:rsid w:val="001746AE"/>
    <w:rsid w:val="001747D9"/>
    <w:rsid w:val="00174884"/>
    <w:rsid w:val="00175308"/>
    <w:rsid w:val="0017564E"/>
    <w:rsid w:val="00175677"/>
    <w:rsid w:val="001756DA"/>
    <w:rsid w:val="00175874"/>
    <w:rsid w:val="00175AF2"/>
    <w:rsid w:val="00175C18"/>
    <w:rsid w:val="001760BB"/>
    <w:rsid w:val="00176178"/>
    <w:rsid w:val="00176198"/>
    <w:rsid w:val="00176722"/>
    <w:rsid w:val="001768B1"/>
    <w:rsid w:val="0017703A"/>
    <w:rsid w:val="001772E3"/>
    <w:rsid w:val="0017791B"/>
    <w:rsid w:val="00177DE7"/>
    <w:rsid w:val="00180143"/>
    <w:rsid w:val="00180C3D"/>
    <w:rsid w:val="00180F3C"/>
    <w:rsid w:val="00180F9D"/>
    <w:rsid w:val="001810DA"/>
    <w:rsid w:val="00181565"/>
    <w:rsid w:val="00181808"/>
    <w:rsid w:val="00182189"/>
    <w:rsid w:val="001823A6"/>
    <w:rsid w:val="00182596"/>
    <w:rsid w:val="0018264E"/>
    <w:rsid w:val="001827B5"/>
    <w:rsid w:val="00182AEF"/>
    <w:rsid w:val="00182C59"/>
    <w:rsid w:val="00182D44"/>
    <w:rsid w:val="001830D0"/>
    <w:rsid w:val="0018358A"/>
    <w:rsid w:val="00183594"/>
    <w:rsid w:val="001840D3"/>
    <w:rsid w:val="00184348"/>
    <w:rsid w:val="001844AC"/>
    <w:rsid w:val="001847A3"/>
    <w:rsid w:val="00184B1B"/>
    <w:rsid w:val="00185032"/>
    <w:rsid w:val="001850AB"/>
    <w:rsid w:val="00185224"/>
    <w:rsid w:val="0018522C"/>
    <w:rsid w:val="0018536F"/>
    <w:rsid w:val="00185547"/>
    <w:rsid w:val="00185763"/>
    <w:rsid w:val="001867E0"/>
    <w:rsid w:val="00187281"/>
    <w:rsid w:val="0018765B"/>
    <w:rsid w:val="00190133"/>
    <w:rsid w:val="001904C7"/>
    <w:rsid w:val="00190525"/>
    <w:rsid w:val="00190690"/>
    <w:rsid w:val="001909B3"/>
    <w:rsid w:val="00190BAF"/>
    <w:rsid w:val="00190BEC"/>
    <w:rsid w:val="00191100"/>
    <w:rsid w:val="001911DF"/>
    <w:rsid w:val="00191801"/>
    <w:rsid w:val="00191B95"/>
    <w:rsid w:val="00191D03"/>
    <w:rsid w:val="00191F75"/>
    <w:rsid w:val="00192029"/>
    <w:rsid w:val="00192106"/>
    <w:rsid w:val="00192230"/>
    <w:rsid w:val="001923B9"/>
    <w:rsid w:val="0019247C"/>
    <w:rsid w:val="0019282E"/>
    <w:rsid w:val="00192E8D"/>
    <w:rsid w:val="0019360A"/>
    <w:rsid w:val="0019383F"/>
    <w:rsid w:val="00193913"/>
    <w:rsid w:val="00193F77"/>
    <w:rsid w:val="0019409C"/>
    <w:rsid w:val="0019412F"/>
    <w:rsid w:val="0019434A"/>
    <w:rsid w:val="001943AA"/>
    <w:rsid w:val="00194400"/>
    <w:rsid w:val="00194698"/>
    <w:rsid w:val="001948F2"/>
    <w:rsid w:val="00194A4D"/>
    <w:rsid w:val="00194EC3"/>
    <w:rsid w:val="001951CE"/>
    <w:rsid w:val="001951E3"/>
    <w:rsid w:val="00195793"/>
    <w:rsid w:val="001957D4"/>
    <w:rsid w:val="00195B4D"/>
    <w:rsid w:val="00195B95"/>
    <w:rsid w:val="00195BFA"/>
    <w:rsid w:val="00195C53"/>
    <w:rsid w:val="00196652"/>
    <w:rsid w:val="001966B1"/>
    <w:rsid w:val="001967EE"/>
    <w:rsid w:val="00197270"/>
    <w:rsid w:val="001976E8"/>
    <w:rsid w:val="00197F0E"/>
    <w:rsid w:val="001A0659"/>
    <w:rsid w:val="001A1941"/>
    <w:rsid w:val="001A1A77"/>
    <w:rsid w:val="001A203B"/>
    <w:rsid w:val="001A2990"/>
    <w:rsid w:val="001A2CF3"/>
    <w:rsid w:val="001A35A2"/>
    <w:rsid w:val="001A3660"/>
    <w:rsid w:val="001A3710"/>
    <w:rsid w:val="001A4465"/>
    <w:rsid w:val="001A4547"/>
    <w:rsid w:val="001A49C2"/>
    <w:rsid w:val="001A4A11"/>
    <w:rsid w:val="001A51F6"/>
    <w:rsid w:val="001A54C6"/>
    <w:rsid w:val="001A592F"/>
    <w:rsid w:val="001A5C21"/>
    <w:rsid w:val="001A5DAA"/>
    <w:rsid w:val="001A60D6"/>
    <w:rsid w:val="001A636A"/>
    <w:rsid w:val="001A6744"/>
    <w:rsid w:val="001A6912"/>
    <w:rsid w:val="001A6A1B"/>
    <w:rsid w:val="001A6B9C"/>
    <w:rsid w:val="001A6D6C"/>
    <w:rsid w:val="001A6D8A"/>
    <w:rsid w:val="001A6DC2"/>
    <w:rsid w:val="001A6E5F"/>
    <w:rsid w:val="001A708E"/>
    <w:rsid w:val="001A70AE"/>
    <w:rsid w:val="001A7147"/>
    <w:rsid w:val="001A71F7"/>
    <w:rsid w:val="001A742B"/>
    <w:rsid w:val="001A7E56"/>
    <w:rsid w:val="001B0020"/>
    <w:rsid w:val="001B02D0"/>
    <w:rsid w:val="001B0F80"/>
    <w:rsid w:val="001B154C"/>
    <w:rsid w:val="001B1AFC"/>
    <w:rsid w:val="001B2493"/>
    <w:rsid w:val="001B2A1F"/>
    <w:rsid w:val="001B2DC7"/>
    <w:rsid w:val="001B307E"/>
    <w:rsid w:val="001B356B"/>
    <w:rsid w:val="001B38DE"/>
    <w:rsid w:val="001B39CB"/>
    <w:rsid w:val="001B3F62"/>
    <w:rsid w:val="001B4029"/>
    <w:rsid w:val="001B410A"/>
    <w:rsid w:val="001B4845"/>
    <w:rsid w:val="001B4DF9"/>
    <w:rsid w:val="001B4EF0"/>
    <w:rsid w:val="001B4F09"/>
    <w:rsid w:val="001B65A9"/>
    <w:rsid w:val="001B679A"/>
    <w:rsid w:val="001B67C8"/>
    <w:rsid w:val="001B6A37"/>
    <w:rsid w:val="001B6A62"/>
    <w:rsid w:val="001B6EB2"/>
    <w:rsid w:val="001B725F"/>
    <w:rsid w:val="001B7849"/>
    <w:rsid w:val="001B7939"/>
    <w:rsid w:val="001B795C"/>
    <w:rsid w:val="001B7E8A"/>
    <w:rsid w:val="001C0156"/>
    <w:rsid w:val="001C045E"/>
    <w:rsid w:val="001C0919"/>
    <w:rsid w:val="001C0ADF"/>
    <w:rsid w:val="001C0B67"/>
    <w:rsid w:val="001C110A"/>
    <w:rsid w:val="001C11C1"/>
    <w:rsid w:val="001C1544"/>
    <w:rsid w:val="001C156F"/>
    <w:rsid w:val="001C1611"/>
    <w:rsid w:val="001C1681"/>
    <w:rsid w:val="001C183D"/>
    <w:rsid w:val="001C1ABD"/>
    <w:rsid w:val="001C1BDF"/>
    <w:rsid w:val="001C1C3A"/>
    <w:rsid w:val="001C25F3"/>
    <w:rsid w:val="001C2700"/>
    <w:rsid w:val="001C28ED"/>
    <w:rsid w:val="001C29B4"/>
    <w:rsid w:val="001C2B54"/>
    <w:rsid w:val="001C313C"/>
    <w:rsid w:val="001C317B"/>
    <w:rsid w:val="001C37E6"/>
    <w:rsid w:val="001C3917"/>
    <w:rsid w:val="001C4254"/>
    <w:rsid w:val="001C4747"/>
    <w:rsid w:val="001C48BC"/>
    <w:rsid w:val="001C4DA5"/>
    <w:rsid w:val="001C4DFD"/>
    <w:rsid w:val="001C4E6C"/>
    <w:rsid w:val="001C518C"/>
    <w:rsid w:val="001C51CC"/>
    <w:rsid w:val="001C523F"/>
    <w:rsid w:val="001C528F"/>
    <w:rsid w:val="001C573A"/>
    <w:rsid w:val="001C59D9"/>
    <w:rsid w:val="001C5BA9"/>
    <w:rsid w:val="001C6119"/>
    <w:rsid w:val="001C6565"/>
    <w:rsid w:val="001C65C5"/>
    <w:rsid w:val="001C67D9"/>
    <w:rsid w:val="001C68D7"/>
    <w:rsid w:val="001C6BC8"/>
    <w:rsid w:val="001C7450"/>
    <w:rsid w:val="001C767D"/>
    <w:rsid w:val="001C7C95"/>
    <w:rsid w:val="001D004F"/>
    <w:rsid w:val="001D05C7"/>
    <w:rsid w:val="001D0976"/>
    <w:rsid w:val="001D0988"/>
    <w:rsid w:val="001D0A09"/>
    <w:rsid w:val="001D0E77"/>
    <w:rsid w:val="001D1851"/>
    <w:rsid w:val="001D19E7"/>
    <w:rsid w:val="001D1B5A"/>
    <w:rsid w:val="001D2591"/>
    <w:rsid w:val="001D2D37"/>
    <w:rsid w:val="001D3065"/>
    <w:rsid w:val="001D306C"/>
    <w:rsid w:val="001D3229"/>
    <w:rsid w:val="001D36B7"/>
    <w:rsid w:val="001D396D"/>
    <w:rsid w:val="001D3A5F"/>
    <w:rsid w:val="001D4090"/>
    <w:rsid w:val="001D418C"/>
    <w:rsid w:val="001D41BF"/>
    <w:rsid w:val="001D41F4"/>
    <w:rsid w:val="001D4C48"/>
    <w:rsid w:val="001D4CD1"/>
    <w:rsid w:val="001D53FD"/>
    <w:rsid w:val="001D5794"/>
    <w:rsid w:val="001D5B2F"/>
    <w:rsid w:val="001D5BF8"/>
    <w:rsid w:val="001D5C43"/>
    <w:rsid w:val="001D5DB1"/>
    <w:rsid w:val="001D60E5"/>
    <w:rsid w:val="001D63AF"/>
    <w:rsid w:val="001D72D2"/>
    <w:rsid w:val="001D7670"/>
    <w:rsid w:val="001E052F"/>
    <w:rsid w:val="001E071B"/>
    <w:rsid w:val="001E10FC"/>
    <w:rsid w:val="001E1CF3"/>
    <w:rsid w:val="001E1F36"/>
    <w:rsid w:val="001E22BF"/>
    <w:rsid w:val="001E2408"/>
    <w:rsid w:val="001E2412"/>
    <w:rsid w:val="001E267F"/>
    <w:rsid w:val="001E2867"/>
    <w:rsid w:val="001E29EA"/>
    <w:rsid w:val="001E3545"/>
    <w:rsid w:val="001E4D58"/>
    <w:rsid w:val="001E4F2D"/>
    <w:rsid w:val="001E518C"/>
    <w:rsid w:val="001E5512"/>
    <w:rsid w:val="001E573C"/>
    <w:rsid w:val="001E58E4"/>
    <w:rsid w:val="001E599D"/>
    <w:rsid w:val="001E5ACE"/>
    <w:rsid w:val="001E5DD4"/>
    <w:rsid w:val="001E5E01"/>
    <w:rsid w:val="001E67A4"/>
    <w:rsid w:val="001E69D9"/>
    <w:rsid w:val="001E76A5"/>
    <w:rsid w:val="001E7E19"/>
    <w:rsid w:val="001F012A"/>
    <w:rsid w:val="001F0394"/>
    <w:rsid w:val="001F03C1"/>
    <w:rsid w:val="001F0755"/>
    <w:rsid w:val="001F0974"/>
    <w:rsid w:val="001F0AE0"/>
    <w:rsid w:val="001F0D21"/>
    <w:rsid w:val="001F0F06"/>
    <w:rsid w:val="001F11B5"/>
    <w:rsid w:val="001F1628"/>
    <w:rsid w:val="001F1A3D"/>
    <w:rsid w:val="001F1D49"/>
    <w:rsid w:val="001F1EE0"/>
    <w:rsid w:val="001F1FEC"/>
    <w:rsid w:val="001F2875"/>
    <w:rsid w:val="001F28F2"/>
    <w:rsid w:val="001F2C6D"/>
    <w:rsid w:val="001F31AD"/>
    <w:rsid w:val="001F3270"/>
    <w:rsid w:val="001F34AD"/>
    <w:rsid w:val="001F36AD"/>
    <w:rsid w:val="001F36C2"/>
    <w:rsid w:val="001F37EB"/>
    <w:rsid w:val="001F38D0"/>
    <w:rsid w:val="001F3AD7"/>
    <w:rsid w:val="001F3EA4"/>
    <w:rsid w:val="001F43D3"/>
    <w:rsid w:val="001F4664"/>
    <w:rsid w:val="001F4839"/>
    <w:rsid w:val="001F49AA"/>
    <w:rsid w:val="001F5695"/>
    <w:rsid w:val="001F5921"/>
    <w:rsid w:val="001F5B4A"/>
    <w:rsid w:val="001F5B95"/>
    <w:rsid w:val="001F5C26"/>
    <w:rsid w:val="001F62C3"/>
    <w:rsid w:val="001F6501"/>
    <w:rsid w:val="001F6A01"/>
    <w:rsid w:val="001F6CCA"/>
    <w:rsid w:val="001F7015"/>
    <w:rsid w:val="001F7227"/>
    <w:rsid w:val="001F7714"/>
    <w:rsid w:val="001F7C44"/>
    <w:rsid w:val="001F7E48"/>
    <w:rsid w:val="00200048"/>
    <w:rsid w:val="00200338"/>
    <w:rsid w:val="0020087E"/>
    <w:rsid w:val="00200A26"/>
    <w:rsid w:val="00200CA0"/>
    <w:rsid w:val="00200F15"/>
    <w:rsid w:val="002012C9"/>
    <w:rsid w:val="00201865"/>
    <w:rsid w:val="00201BC1"/>
    <w:rsid w:val="00201C59"/>
    <w:rsid w:val="00202E56"/>
    <w:rsid w:val="002034CC"/>
    <w:rsid w:val="00203A6D"/>
    <w:rsid w:val="00203CA6"/>
    <w:rsid w:val="00203E90"/>
    <w:rsid w:val="00203F76"/>
    <w:rsid w:val="00203F8D"/>
    <w:rsid w:val="00204052"/>
    <w:rsid w:val="002053D9"/>
    <w:rsid w:val="00205659"/>
    <w:rsid w:val="0020599A"/>
    <w:rsid w:val="00205A30"/>
    <w:rsid w:val="00206331"/>
    <w:rsid w:val="002063D9"/>
    <w:rsid w:val="00206531"/>
    <w:rsid w:val="00206688"/>
    <w:rsid w:val="00206845"/>
    <w:rsid w:val="00206A5A"/>
    <w:rsid w:val="00206BDB"/>
    <w:rsid w:val="00206FC3"/>
    <w:rsid w:val="002072BD"/>
    <w:rsid w:val="002072BE"/>
    <w:rsid w:val="002073FA"/>
    <w:rsid w:val="00207BBB"/>
    <w:rsid w:val="00207D82"/>
    <w:rsid w:val="00210599"/>
    <w:rsid w:val="0021065E"/>
    <w:rsid w:val="00210BB4"/>
    <w:rsid w:val="00211563"/>
    <w:rsid w:val="00211D61"/>
    <w:rsid w:val="00211D7E"/>
    <w:rsid w:val="002120A0"/>
    <w:rsid w:val="002124DA"/>
    <w:rsid w:val="00212576"/>
    <w:rsid w:val="00212716"/>
    <w:rsid w:val="00212823"/>
    <w:rsid w:val="00212DC5"/>
    <w:rsid w:val="002134AE"/>
    <w:rsid w:val="002134AF"/>
    <w:rsid w:val="00213BC9"/>
    <w:rsid w:val="002141BE"/>
    <w:rsid w:val="00214339"/>
    <w:rsid w:val="00214885"/>
    <w:rsid w:val="002150C6"/>
    <w:rsid w:val="00215694"/>
    <w:rsid w:val="0021593A"/>
    <w:rsid w:val="0021672D"/>
    <w:rsid w:val="00216781"/>
    <w:rsid w:val="0021687E"/>
    <w:rsid w:val="00216A4D"/>
    <w:rsid w:val="00216CDC"/>
    <w:rsid w:val="0021721F"/>
    <w:rsid w:val="002174A1"/>
    <w:rsid w:val="002175DE"/>
    <w:rsid w:val="0021761E"/>
    <w:rsid w:val="00217F6D"/>
    <w:rsid w:val="002206A1"/>
    <w:rsid w:val="00220CDF"/>
    <w:rsid w:val="00221A9F"/>
    <w:rsid w:val="00221CA2"/>
    <w:rsid w:val="00221E6A"/>
    <w:rsid w:val="00221EF6"/>
    <w:rsid w:val="00222408"/>
    <w:rsid w:val="002228F9"/>
    <w:rsid w:val="002229BA"/>
    <w:rsid w:val="00222EE9"/>
    <w:rsid w:val="002232FD"/>
    <w:rsid w:val="00223452"/>
    <w:rsid w:val="00223A7F"/>
    <w:rsid w:val="00223E0C"/>
    <w:rsid w:val="00223E44"/>
    <w:rsid w:val="00223FCE"/>
    <w:rsid w:val="0022401D"/>
    <w:rsid w:val="00224654"/>
    <w:rsid w:val="00224CA2"/>
    <w:rsid w:val="00224ED4"/>
    <w:rsid w:val="0022535D"/>
    <w:rsid w:val="002253CB"/>
    <w:rsid w:val="00225672"/>
    <w:rsid w:val="00225A5C"/>
    <w:rsid w:val="00225CFC"/>
    <w:rsid w:val="00226278"/>
    <w:rsid w:val="002262CE"/>
    <w:rsid w:val="00226688"/>
    <w:rsid w:val="00226DA4"/>
    <w:rsid w:val="00227317"/>
    <w:rsid w:val="0022788A"/>
    <w:rsid w:val="00227C58"/>
    <w:rsid w:val="00227F76"/>
    <w:rsid w:val="002305A6"/>
    <w:rsid w:val="00230779"/>
    <w:rsid w:val="002307CC"/>
    <w:rsid w:val="00230B17"/>
    <w:rsid w:val="00230F4E"/>
    <w:rsid w:val="002311F7"/>
    <w:rsid w:val="002315A4"/>
    <w:rsid w:val="00231917"/>
    <w:rsid w:val="0023240F"/>
    <w:rsid w:val="00232496"/>
    <w:rsid w:val="00232D68"/>
    <w:rsid w:val="00233134"/>
    <w:rsid w:val="00233212"/>
    <w:rsid w:val="00233225"/>
    <w:rsid w:val="00233386"/>
    <w:rsid w:val="002337DB"/>
    <w:rsid w:val="002338B8"/>
    <w:rsid w:val="00233CB0"/>
    <w:rsid w:val="00233FB6"/>
    <w:rsid w:val="002342B4"/>
    <w:rsid w:val="002342D2"/>
    <w:rsid w:val="00234742"/>
    <w:rsid w:val="002348F2"/>
    <w:rsid w:val="00234BDD"/>
    <w:rsid w:val="002353E2"/>
    <w:rsid w:val="00235552"/>
    <w:rsid w:val="002358D7"/>
    <w:rsid w:val="00235A61"/>
    <w:rsid w:val="00236C70"/>
    <w:rsid w:val="0023720F"/>
    <w:rsid w:val="0023744A"/>
    <w:rsid w:val="002374F3"/>
    <w:rsid w:val="00237594"/>
    <w:rsid w:val="002377D2"/>
    <w:rsid w:val="00237B22"/>
    <w:rsid w:val="00237BB5"/>
    <w:rsid w:val="00237C89"/>
    <w:rsid w:val="00240093"/>
    <w:rsid w:val="002407DC"/>
    <w:rsid w:val="00240F38"/>
    <w:rsid w:val="00240F7D"/>
    <w:rsid w:val="002421C3"/>
    <w:rsid w:val="00242232"/>
    <w:rsid w:val="00242337"/>
    <w:rsid w:val="0024297F"/>
    <w:rsid w:val="00242DA9"/>
    <w:rsid w:val="002439A4"/>
    <w:rsid w:val="00243A2E"/>
    <w:rsid w:val="00243C8B"/>
    <w:rsid w:val="00244202"/>
    <w:rsid w:val="002445AE"/>
    <w:rsid w:val="002445C9"/>
    <w:rsid w:val="00244637"/>
    <w:rsid w:val="002448D8"/>
    <w:rsid w:val="002449A5"/>
    <w:rsid w:val="00244BC9"/>
    <w:rsid w:val="00244E06"/>
    <w:rsid w:val="00244F87"/>
    <w:rsid w:val="00244FDE"/>
    <w:rsid w:val="002452DC"/>
    <w:rsid w:val="00246226"/>
    <w:rsid w:val="0024647B"/>
    <w:rsid w:val="00246718"/>
    <w:rsid w:val="002467DE"/>
    <w:rsid w:val="0024694F"/>
    <w:rsid w:val="002469EA"/>
    <w:rsid w:val="00246E74"/>
    <w:rsid w:val="002471BA"/>
    <w:rsid w:val="00247353"/>
    <w:rsid w:val="00247538"/>
    <w:rsid w:val="00247710"/>
    <w:rsid w:val="0024776A"/>
    <w:rsid w:val="00247922"/>
    <w:rsid w:val="00247A1B"/>
    <w:rsid w:val="00247D40"/>
    <w:rsid w:val="00250AE1"/>
    <w:rsid w:val="00250BB8"/>
    <w:rsid w:val="00252412"/>
    <w:rsid w:val="00252426"/>
    <w:rsid w:val="0025272D"/>
    <w:rsid w:val="0025280D"/>
    <w:rsid w:val="00252912"/>
    <w:rsid w:val="00252997"/>
    <w:rsid w:val="002529A4"/>
    <w:rsid w:val="00252F4A"/>
    <w:rsid w:val="00253118"/>
    <w:rsid w:val="002532DA"/>
    <w:rsid w:val="00253461"/>
    <w:rsid w:val="0025365F"/>
    <w:rsid w:val="00253B02"/>
    <w:rsid w:val="00254062"/>
    <w:rsid w:val="00254239"/>
    <w:rsid w:val="00254AA4"/>
    <w:rsid w:val="00254B27"/>
    <w:rsid w:val="00254DB0"/>
    <w:rsid w:val="00255030"/>
    <w:rsid w:val="00255A5B"/>
    <w:rsid w:val="00255BB3"/>
    <w:rsid w:val="00255E2E"/>
    <w:rsid w:val="00255F74"/>
    <w:rsid w:val="002563B7"/>
    <w:rsid w:val="002564CA"/>
    <w:rsid w:val="00256A57"/>
    <w:rsid w:val="00256D67"/>
    <w:rsid w:val="00256F5E"/>
    <w:rsid w:val="00257177"/>
    <w:rsid w:val="00257280"/>
    <w:rsid w:val="002576A2"/>
    <w:rsid w:val="00257A26"/>
    <w:rsid w:val="00257A46"/>
    <w:rsid w:val="00257FEF"/>
    <w:rsid w:val="00260565"/>
    <w:rsid w:val="00260979"/>
    <w:rsid w:val="00260FAD"/>
    <w:rsid w:val="002613E3"/>
    <w:rsid w:val="002619D5"/>
    <w:rsid w:val="00261B5F"/>
    <w:rsid w:val="00261C3B"/>
    <w:rsid w:val="00261CAA"/>
    <w:rsid w:val="00261D7E"/>
    <w:rsid w:val="00262207"/>
    <w:rsid w:val="00262DBD"/>
    <w:rsid w:val="00262E95"/>
    <w:rsid w:val="00262F1C"/>
    <w:rsid w:val="00263510"/>
    <w:rsid w:val="0026367E"/>
    <w:rsid w:val="002636AD"/>
    <w:rsid w:val="0026395B"/>
    <w:rsid w:val="00263B0B"/>
    <w:rsid w:val="002643BF"/>
    <w:rsid w:val="0026488A"/>
    <w:rsid w:val="002649E0"/>
    <w:rsid w:val="00264B4F"/>
    <w:rsid w:val="00264DB8"/>
    <w:rsid w:val="0026528C"/>
    <w:rsid w:val="00265351"/>
    <w:rsid w:val="0026540D"/>
    <w:rsid w:val="0026670F"/>
    <w:rsid w:val="00266831"/>
    <w:rsid w:val="00266A57"/>
    <w:rsid w:val="00266A8E"/>
    <w:rsid w:val="00266B40"/>
    <w:rsid w:val="00266B73"/>
    <w:rsid w:val="00266F26"/>
    <w:rsid w:val="00267134"/>
    <w:rsid w:val="0026717C"/>
    <w:rsid w:val="00267594"/>
    <w:rsid w:val="002675A7"/>
    <w:rsid w:val="00267B4F"/>
    <w:rsid w:val="00267C6A"/>
    <w:rsid w:val="00267C9D"/>
    <w:rsid w:val="002707F0"/>
    <w:rsid w:val="002712E3"/>
    <w:rsid w:val="002716C2"/>
    <w:rsid w:val="002717AF"/>
    <w:rsid w:val="00271A66"/>
    <w:rsid w:val="00271A72"/>
    <w:rsid w:val="0027278E"/>
    <w:rsid w:val="00272A8D"/>
    <w:rsid w:val="00272D4F"/>
    <w:rsid w:val="00272F64"/>
    <w:rsid w:val="0027301D"/>
    <w:rsid w:val="0027367C"/>
    <w:rsid w:val="0027386F"/>
    <w:rsid w:val="00273D3E"/>
    <w:rsid w:val="002741DB"/>
    <w:rsid w:val="0027447E"/>
    <w:rsid w:val="00274822"/>
    <w:rsid w:val="0027529C"/>
    <w:rsid w:val="00275540"/>
    <w:rsid w:val="002758A0"/>
    <w:rsid w:val="00275994"/>
    <w:rsid w:val="00275A8D"/>
    <w:rsid w:val="00275CC4"/>
    <w:rsid w:val="0027650D"/>
    <w:rsid w:val="0027679F"/>
    <w:rsid w:val="002767B4"/>
    <w:rsid w:val="00276B07"/>
    <w:rsid w:val="00276B40"/>
    <w:rsid w:val="00276EB9"/>
    <w:rsid w:val="00276F41"/>
    <w:rsid w:val="00277076"/>
    <w:rsid w:val="00277823"/>
    <w:rsid w:val="00277F90"/>
    <w:rsid w:val="0028038B"/>
    <w:rsid w:val="00280576"/>
    <w:rsid w:val="00280A45"/>
    <w:rsid w:val="00280B94"/>
    <w:rsid w:val="002812A0"/>
    <w:rsid w:val="00281325"/>
    <w:rsid w:val="00281527"/>
    <w:rsid w:val="00281A56"/>
    <w:rsid w:val="00281BFB"/>
    <w:rsid w:val="00281C85"/>
    <w:rsid w:val="00281FDC"/>
    <w:rsid w:val="002822FE"/>
    <w:rsid w:val="0028233C"/>
    <w:rsid w:val="0028277B"/>
    <w:rsid w:val="00282C67"/>
    <w:rsid w:val="00282CCB"/>
    <w:rsid w:val="002830C7"/>
    <w:rsid w:val="002835AB"/>
    <w:rsid w:val="002836B9"/>
    <w:rsid w:val="00283793"/>
    <w:rsid w:val="00283846"/>
    <w:rsid w:val="002838C0"/>
    <w:rsid w:val="00283F4D"/>
    <w:rsid w:val="00284004"/>
    <w:rsid w:val="002842C6"/>
    <w:rsid w:val="002849D8"/>
    <w:rsid w:val="002849FB"/>
    <w:rsid w:val="00284E15"/>
    <w:rsid w:val="00285209"/>
    <w:rsid w:val="002854C9"/>
    <w:rsid w:val="00285947"/>
    <w:rsid w:val="00285D6A"/>
    <w:rsid w:val="00285D6C"/>
    <w:rsid w:val="00285DD9"/>
    <w:rsid w:val="002861B6"/>
    <w:rsid w:val="002863D5"/>
    <w:rsid w:val="00286469"/>
    <w:rsid w:val="002864FC"/>
    <w:rsid w:val="002868F2"/>
    <w:rsid w:val="00286AAD"/>
    <w:rsid w:val="00286AEC"/>
    <w:rsid w:val="00286FDC"/>
    <w:rsid w:val="0028763B"/>
    <w:rsid w:val="002878E8"/>
    <w:rsid w:val="0028794C"/>
    <w:rsid w:val="00287ABC"/>
    <w:rsid w:val="0029087C"/>
    <w:rsid w:val="002913E9"/>
    <w:rsid w:val="00291402"/>
    <w:rsid w:val="0029174B"/>
    <w:rsid w:val="002917CC"/>
    <w:rsid w:val="00291836"/>
    <w:rsid w:val="00292154"/>
    <w:rsid w:val="00292BE4"/>
    <w:rsid w:val="00292CB6"/>
    <w:rsid w:val="00294679"/>
    <w:rsid w:val="00294C7A"/>
    <w:rsid w:val="00295062"/>
    <w:rsid w:val="002950DA"/>
    <w:rsid w:val="00295730"/>
    <w:rsid w:val="00295780"/>
    <w:rsid w:val="00295866"/>
    <w:rsid w:val="00295A4A"/>
    <w:rsid w:val="00295DAA"/>
    <w:rsid w:val="00295F8F"/>
    <w:rsid w:val="002963B6"/>
    <w:rsid w:val="00296B53"/>
    <w:rsid w:val="00296CC1"/>
    <w:rsid w:val="00297562"/>
    <w:rsid w:val="00297911"/>
    <w:rsid w:val="002A08F2"/>
    <w:rsid w:val="002A0A8E"/>
    <w:rsid w:val="002A0E88"/>
    <w:rsid w:val="002A1198"/>
    <w:rsid w:val="002A173B"/>
    <w:rsid w:val="002A19BE"/>
    <w:rsid w:val="002A1A9E"/>
    <w:rsid w:val="002A1C8F"/>
    <w:rsid w:val="002A20D8"/>
    <w:rsid w:val="002A2398"/>
    <w:rsid w:val="002A23CC"/>
    <w:rsid w:val="002A27AD"/>
    <w:rsid w:val="002A287E"/>
    <w:rsid w:val="002A2A7D"/>
    <w:rsid w:val="002A32B4"/>
    <w:rsid w:val="002A33AA"/>
    <w:rsid w:val="002A3680"/>
    <w:rsid w:val="002A3C99"/>
    <w:rsid w:val="002A403D"/>
    <w:rsid w:val="002A4183"/>
    <w:rsid w:val="002A4368"/>
    <w:rsid w:val="002A442D"/>
    <w:rsid w:val="002A44D3"/>
    <w:rsid w:val="002A48C9"/>
    <w:rsid w:val="002A4EB9"/>
    <w:rsid w:val="002A4ECF"/>
    <w:rsid w:val="002A4EE3"/>
    <w:rsid w:val="002A5208"/>
    <w:rsid w:val="002A52BA"/>
    <w:rsid w:val="002A5560"/>
    <w:rsid w:val="002A5915"/>
    <w:rsid w:val="002A6023"/>
    <w:rsid w:val="002A656C"/>
    <w:rsid w:val="002A68D9"/>
    <w:rsid w:val="002A6BBF"/>
    <w:rsid w:val="002A7301"/>
    <w:rsid w:val="002A74C8"/>
    <w:rsid w:val="002B05AD"/>
    <w:rsid w:val="002B07B1"/>
    <w:rsid w:val="002B07B7"/>
    <w:rsid w:val="002B0A4D"/>
    <w:rsid w:val="002B0F53"/>
    <w:rsid w:val="002B118D"/>
    <w:rsid w:val="002B180B"/>
    <w:rsid w:val="002B1823"/>
    <w:rsid w:val="002B1BF7"/>
    <w:rsid w:val="002B1C1F"/>
    <w:rsid w:val="002B1C2F"/>
    <w:rsid w:val="002B1D03"/>
    <w:rsid w:val="002B242F"/>
    <w:rsid w:val="002B294D"/>
    <w:rsid w:val="002B2989"/>
    <w:rsid w:val="002B3082"/>
    <w:rsid w:val="002B30A3"/>
    <w:rsid w:val="002B339E"/>
    <w:rsid w:val="002B3776"/>
    <w:rsid w:val="002B39CB"/>
    <w:rsid w:val="002B3CCB"/>
    <w:rsid w:val="002B4127"/>
    <w:rsid w:val="002B432A"/>
    <w:rsid w:val="002B4354"/>
    <w:rsid w:val="002B48E9"/>
    <w:rsid w:val="002B4975"/>
    <w:rsid w:val="002B4B9E"/>
    <w:rsid w:val="002B4E69"/>
    <w:rsid w:val="002B4F31"/>
    <w:rsid w:val="002B4F45"/>
    <w:rsid w:val="002B5312"/>
    <w:rsid w:val="002B5504"/>
    <w:rsid w:val="002B5B93"/>
    <w:rsid w:val="002B5F96"/>
    <w:rsid w:val="002B60AC"/>
    <w:rsid w:val="002B6223"/>
    <w:rsid w:val="002B69E1"/>
    <w:rsid w:val="002B6D13"/>
    <w:rsid w:val="002B7294"/>
    <w:rsid w:val="002B733A"/>
    <w:rsid w:val="002B7714"/>
    <w:rsid w:val="002B7A81"/>
    <w:rsid w:val="002B7F74"/>
    <w:rsid w:val="002C03D2"/>
    <w:rsid w:val="002C0788"/>
    <w:rsid w:val="002C0DB6"/>
    <w:rsid w:val="002C1274"/>
    <w:rsid w:val="002C14FB"/>
    <w:rsid w:val="002C1924"/>
    <w:rsid w:val="002C1CB1"/>
    <w:rsid w:val="002C1CF0"/>
    <w:rsid w:val="002C1FEB"/>
    <w:rsid w:val="002C230F"/>
    <w:rsid w:val="002C29CF"/>
    <w:rsid w:val="002C2C06"/>
    <w:rsid w:val="002C2E23"/>
    <w:rsid w:val="002C2ECF"/>
    <w:rsid w:val="002C3012"/>
    <w:rsid w:val="002C3A3B"/>
    <w:rsid w:val="002C3E1B"/>
    <w:rsid w:val="002C4166"/>
    <w:rsid w:val="002C4375"/>
    <w:rsid w:val="002C491D"/>
    <w:rsid w:val="002C4BEF"/>
    <w:rsid w:val="002C4FC4"/>
    <w:rsid w:val="002C5110"/>
    <w:rsid w:val="002C5116"/>
    <w:rsid w:val="002C549A"/>
    <w:rsid w:val="002C5618"/>
    <w:rsid w:val="002C5947"/>
    <w:rsid w:val="002C60C1"/>
    <w:rsid w:val="002C61BC"/>
    <w:rsid w:val="002C6941"/>
    <w:rsid w:val="002C6CD0"/>
    <w:rsid w:val="002C6CF5"/>
    <w:rsid w:val="002C6E69"/>
    <w:rsid w:val="002C7011"/>
    <w:rsid w:val="002C74CB"/>
    <w:rsid w:val="002C7652"/>
    <w:rsid w:val="002D0410"/>
    <w:rsid w:val="002D069E"/>
    <w:rsid w:val="002D0DFF"/>
    <w:rsid w:val="002D110D"/>
    <w:rsid w:val="002D1338"/>
    <w:rsid w:val="002D1686"/>
    <w:rsid w:val="002D1EDA"/>
    <w:rsid w:val="002D26C5"/>
    <w:rsid w:val="002D2772"/>
    <w:rsid w:val="002D289C"/>
    <w:rsid w:val="002D2DA1"/>
    <w:rsid w:val="002D3281"/>
    <w:rsid w:val="002D3452"/>
    <w:rsid w:val="002D3651"/>
    <w:rsid w:val="002D3957"/>
    <w:rsid w:val="002D3DCF"/>
    <w:rsid w:val="002D3ED9"/>
    <w:rsid w:val="002D42FC"/>
    <w:rsid w:val="002D4747"/>
    <w:rsid w:val="002D55D3"/>
    <w:rsid w:val="002D5690"/>
    <w:rsid w:val="002D593A"/>
    <w:rsid w:val="002D5A6F"/>
    <w:rsid w:val="002D5C95"/>
    <w:rsid w:val="002D6153"/>
    <w:rsid w:val="002D6188"/>
    <w:rsid w:val="002D64CD"/>
    <w:rsid w:val="002D6778"/>
    <w:rsid w:val="002D6AAE"/>
    <w:rsid w:val="002D6D29"/>
    <w:rsid w:val="002D717E"/>
    <w:rsid w:val="002D730D"/>
    <w:rsid w:val="002D740D"/>
    <w:rsid w:val="002D74AD"/>
    <w:rsid w:val="002D7562"/>
    <w:rsid w:val="002D7D3B"/>
    <w:rsid w:val="002E021F"/>
    <w:rsid w:val="002E0221"/>
    <w:rsid w:val="002E0257"/>
    <w:rsid w:val="002E02AF"/>
    <w:rsid w:val="002E07B2"/>
    <w:rsid w:val="002E08B7"/>
    <w:rsid w:val="002E0AE7"/>
    <w:rsid w:val="002E1267"/>
    <w:rsid w:val="002E15A1"/>
    <w:rsid w:val="002E1E76"/>
    <w:rsid w:val="002E1EF6"/>
    <w:rsid w:val="002E20A9"/>
    <w:rsid w:val="002E2442"/>
    <w:rsid w:val="002E2894"/>
    <w:rsid w:val="002E2AB8"/>
    <w:rsid w:val="002E2EFE"/>
    <w:rsid w:val="002E34D5"/>
    <w:rsid w:val="002E3720"/>
    <w:rsid w:val="002E39A5"/>
    <w:rsid w:val="002E3F1C"/>
    <w:rsid w:val="002E4969"/>
    <w:rsid w:val="002E4A9E"/>
    <w:rsid w:val="002E4C06"/>
    <w:rsid w:val="002E4ED8"/>
    <w:rsid w:val="002E5134"/>
    <w:rsid w:val="002E5A0A"/>
    <w:rsid w:val="002E5F61"/>
    <w:rsid w:val="002E6150"/>
    <w:rsid w:val="002E6369"/>
    <w:rsid w:val="002E648B"/>
    <w:rsid w:val="002E6749"/>
    <w:rsid w:val="002E6A62"/>
    <w:rsid w:val="002E701B"/>
    <w:rsid w:val="002E7408"/>
    <w:rsid w:val="002E7995"/>
    <w:rsid w:val="002E7C2F"/>
    <w:rsid w:val="002E7DB3"/>
    <w:rsid w:val="002F019E"/>
    <w:rsid w:val="002F09B8"/>
    <w:rsid w:val="002F0F53"/>
    <w:rsid w:val="002F1896"/>
    <w:rsid w:val="002F195B"/>
    <w:rsid w:val="002F1AF9"/>
    <w:rsid w:val="002F1E9A"/>
    <w:rsid w:val="002F266A"/>
    <w:rsid w:val="002F298E"/>
    <w:rsid w:val="002F3315"/>
    <w:rsid w:val="002F3867"/>
    <w:rsid w:val="002F3BB0"/>
    <w:rsid w:val="002F4082"/>
    <w:rsid w:val="002F4ADA"/>
    <w:rsid w:val="002F4EE4"/>
    <w:rsid w:val="002F505E"/>
    <w:rsid w:val="002F5620"/>
    <w:rsid w:val="002F5792"/>
    <w:rsid w:val="002F5893"/>
    <w:rsid w:val="002F5927"/>
    <w:rsid w:val="002F5B98"/>
    <w:rsid w:val="002F5C6D"/>
    <w:rsid w:val="002F5E1E"/>
    <w:rsid w:val="002F5FB9"/>
    <w:rsid w:val="002F63F3"/>
    <w:rsid w:val="002F678B"/>
    <w:rsid w:val="002F67A0"/>
    <w:rsid w:val="002F6BC1"/>
    <w:rsid w:val="002F6F4C"/>
    <w:rsid w:val="002F6F67"/>
    <w:rsid w:val="002F7748"/>
    <w:rsid w:val="002F792D"/>
    <w:rsid w:val="002F7ACF"/>
    <w:rsid w:val="0030006C"/>
    <w:rsid w:val="003000B4"/>
    <w:rsid w:val="003002FE"/>
    <w:rsid w:val="00300A54"/>
    <w:rsid w:val="00301410"/>
    <w:rsid w:val="003014C4"/>
    <w:rsid w:val="00301544"/>
    <w:rsid w:val="0030175E"/>
    <w:rsid w:val="0030179B"/>
    <w:rsid w:val="00301E64"/>
    <w:rsid w:val="00301FE0"/>
    <w:rsid w:val="00302164"/>
    <w:rsid w:val="00302BDA"/>
    <w:rsid w:val="00302C1D"/>
    <w:rsid w:val="00302DBC"/>
    <w:rsid w:val="00302EDB"/>
    <w:rsid w:val="00302F7D"/>
    <w:rsid w:val="00303298"/>
    <w:rsid w:val="00303444"/>
    <w:rsid w:val="00303500"/>
    <w:rsid w:val="00303555"/>
    <w:rsid w:val="00303A63"/>
    <w:rsid w:val="00303ADA"/>
    <w:rsid w:val="00303BE6"/>
    <w:rsid w:val="00303CDC"/>
    <w:rsid w:val="00303DB5"/>
    <w:rsid w:val="00303E07"/>
    <w:rsid w:val="00303FC6"/>
    <w:rsid w:val="00304470"/>
    <w:rsid w:val="003046F6"/>
    <w:rsid w:val="0030515B"/>
    <w:rsid w:val="0030546B"/>
    <w:rsid w:val="003058FB"/>
    <w:rsid w:val="0030593F"/>
    <w:rsid w:val="0030598B"/>
    <w:rsid w:val="00305FFE"/>
    <w:rsid w:val="003068CE"/>
    <w:rsid w:val="00306AE7"/>
    <w:rsid w:val="003072A5"/>
    <w:rsid w:val="00307302"/>
    <w:rsid w:val="00307566"/>
    <w:rsid w:val="003079DF"/>
    <w:rsid w:val="00307C35"/>
    <w:rsid w:val="00307F4B"/>
    <w:rsid w:val="00307FCF"/>
    <w:rsid w:val="0031017E"/>
    <w:rsid w:val="0031020C"/>
    <w:rsid w:val="003109F2"/>
    <w:rsid w:val="00310AD9"/>
    <w:rsid w:val="0031104C"/>
    <w:rsid w:val="0031163E"/>
    <w:rsid w:val="0031178B"/>
    <w:rsid w:val="00311C7B"/>
    <w:rsid w:val="00312417"/>
    <w:rsid w:val="00312543"/>
    <w:rsid w:val="00312671"/>
    <w:rsid w:val="0031279C"/>
    <w:rsid w:val="00312840"/>
    <w:rsid w:val="00312BC7"/>
    <w:rsid w:val="00312FA4"/>
    <w:rsid w:val="0031344F"/>
    <w:rsid w:val="00313641"/>
    <w:rsid w:val="00314070"/>
    <w:rsid w:val="0031469F"/>
    <w:rsid w:val="00314A40"/>
    <w:rsid w:val="00314B1E"/>
    <w:rsid w:val="00314C37"/>
    <w:rsid w:val="00314C88"/>
    <w:rsid w:val="00315056"/>
    <w:rsid w:val="00315556"/>
    <w:rsid w:val="00315590"/>
    <w:rsid w:val="003158F2"/>
    <w:rsid w:val="00315C7E"/>
    <w:rsid w:val="0031619F"/>
    <w:rsid w:val="003164A6"/>
    <w:rsid w:val="00316609"/>
    <w:rsid w:val="00316B8C"/>
    <w:rsid w:val="00316E2E"/>
    <w:rsid w:val="00317105"/>
    <w:rsid w:val="003172D7"/>
    <w:rsid w:val="003173C0"/>
    <w:rsid w:val="00317596"/>
    <w:rsid w:val="00317AD3"/>
    <w:rsid w:val="00317FB8"/>
    <w:rsid w:val="003202A0"/>
    <w:rsid w:val="0032045D"/>
    <w:rsid w:val="0032048D"/>
    <w:rsid w:val="0032076B"/>
    <w:rsid w:val="00320D0F"/>
    <w:rsid w:val="00320F3D"/>
    <w:rsid w:val="00321595"/>
    <w:rsid w:val="00321696"/>
    <w:rsid w:val="00321E6B"/>
    <w:rsid w:val="00321F6C"/>
    <w:rsid w:val="00321FD9"/>
    <w:rsid w:val="0032255C"/>
    <w:rsid w:val="00322648"/>
    <w:rsid w:val="00322AB5"/>
    <w:rsid w:val="00322BA6"/>
    <w:rsid w:val="00322D94"/>
    <w:rsid w:val="00323268"/>
    <w:rsid w:val="003234D2"/>
    <w:rsid w:val="00323787"/>
    <w:rsid w:val="003239DC"/>
    <w:rsid w:val="00323C78"/>
    <w:rsid w:val="00323EE6"/>
    <w:rsid w:val="00324135"/>
    <w:rsid w:val="00324341"/>
    <w:rsid w:val="003245EA"/>
    <w:rsid w:val="003246A4"/>
    <w:rsid w:val="00324A6D"/>
    <w:rsid w:val="00324C41"/>
    <w:rsid w:val="00325166"/>
    <w:rsid w:val="00325261"/>
    <w:rsid w:val="003252D9"/>
    <w:rsid w:val="00325517"/>
    <w:rsid w:val="00325536"/>
    <w:rsid w:val="003256A4"/>
    <w:rsid w:val="003256AD"/>
    <w:rsid w:val="003258C8"/>
    <w:rsid w:val="00325AE7"/>
    <w:rsid w:val="003266D9"/>
    <w:rsid w:val="00326BD8"/>
    <w:rsid w:val="00326CA8"/>
    <w:rsid w:val="00326D44"/>
    <w:rsid w:val="003276BE"/>
    <w:rsid w:val="003278AB"/>
    <w:rsid w:val="00327ABC"/>
    <w:rsid w:val="00327F84"/>
    <w:rsid w:val="003308E0"/>
    <w:rsid w:val="00330D4D"/>
    <w:rsid w:val="00330DCC"/>
    <w:rsid w:val="00330FF8"/>
    <w:rsid w:val="0033196C"/>
    <w:rsid w:val="00331B39"/>
    <w:rsid w:val="00331B6B"/>
    <w:rsid w:val="0033249E"/>
    <w:rsid w:val="00332866"/>
    <w:rsid w:val="00332924"/>
    <w:rsid w:val="00332928"/>
    <w:rsid w:val="00332B8D"/>
    <w:rsid w:val="00332DF3"/>
    <w:rsid w:val="00332FCF"/>
    <w:rsid w:val="003330B2"/>
    <w:rsid w:val="00333748"/>
    <w:rsid w:val="00333BE8"/>
    <w:rsid w:val="00333C34"/>
    <w:rsid w:val="00333FDC"/>
    <w:rsid w:val="00334116"/>
    <w:rsid w:val="00334124"/>
    <w:rsid w:val="0033443D"/>
    <w:rsid w:val="0033465C"/>
    <w:rsid w:val="00334BC1"/>
    <w:rsid w:val="00334BEE"/>
    <w:rsid w:val="00334C32"/>
    <w:rsid w:val="00334DE7"/>
    <w:rsid w:val="00335107"/>
    <w:rsid w:val="003368AC"/>
    <w:rsid w:val="00336BC6"/>
    <w:rsid w:val="003374D5"/>
    <w:rsid w:val="0033778D"/>
    <w:rsid w:val="003379E6"/>
    <w:rsid w:val="00337A84"/>
    <w:rsid w:val="00337E18"/>
    <w:rsid w:val="003401D7"/>
    <w:rsid w:val="00340449"/>
    <w:rsid w:val="0034086B"/>
    <w:rsid w:val="00341035"/>
    <w:rsid w:val="0034173B"/>
    <w:rsid w:val="0034241C"/>
    <w:rsid w:val="00342495"/>
    <w:rsid w:val="003424E6"/>
    <w:rsid w:val="00342764"/>
    <w:rsid w:val="00342CB0"/>
    <w:rsid w:val="003430A8"/>
    <w:rsid w:val="00343613"/>
    <w:rsid w:val="003440F9"/>
    <w:rsid w:val="00344237"/>
    <w:rsid w:val="0034453A"/>
    <w:rsid w:val="003446A0"/>
    <w:rsid w:val="00345216"/>
    <w:rsid w:val="00345675"/>
    <w:rsid w:val="003459C6"/>
    <w:rsid w:val="00345D4A"/>
    <w:rsid w:val="0034631C"/>
    <w:rsid w:val="0034651A"/>
    <w:rsid w:val="003469ED"/>
    <w:rsid w:val="0034733E"/>
    <w:rsid w:val="0034760A"/>
    <w:rsid w:val="00347E37"/>
    <w:rsid w:val="00347E3C"/>
    <w:rsid w:val="0035020F"/>
    <w:rsid w:val="003506EA"/>
    <w:rsid w:val="003508F1"/>
    <w:rsid w:val="00350DA3"/>
    <w:rsid w:val="00350F45"/>
    <w:rsid w:val="003516EC"/>
    <w:rsid w:val="00351BFA"/>
    <w:rsid w:val="00351C4A"/>
    <w:rsid w:val="00351F41"/>
    <w:rsid w:val="00352209"/>
    <w:rsid w:val="003526D5"/>
    <w:rsid w:val="00352BD2"/>
    <w:rsid w:val="00352E5C"/>
    <w:rsid w:val="00352F51"/>
    <w:rsid w:val="0035388B"/>
    <w:rsid w:val="003538E0"/>
    <w:rsid w:val="0035403D"/>
    <w:rsid w:val="003540F9"/>
    <w:rsid w:val="003542CA"/>
    <w:rsid w:val="0035452A"/>
    <w:rsid w:val="00354828"/>
    <w:rsid w:val="003549C9"/>
    <w:rsid w:val="00354F0F"/>
    <w:rsid w:val="00355B0F"/>
    <w:rsid w:val="00356AFC"/>
    <w:rsid w:val="00356B0A"/>
    <w:rsid w:val="00356FB1"/>
    <w:rsid w:val="003572B9"/>
    <w:rsid w:val="0035750A"/>
    <w:rsid w:val="003575B8"/>
    <w:rsid w:val="0036059A"/>
    <w:rsid w:val="00360757"/>
    <w:rsid w:val="00360D2B"/>
    <w:rsid w:val="00360E3C"/>
    <w:rsid w:val="0036103B"/>
    <w:rsid w:val="0036150C"/>
    <w:rsid w:val="00361C58"/>
    <w:rsid w:val="00361C72"/>
    <w:rsid w:val="0036223C"/>
    <w:rsid w:val="0036235C"/>
    <w:rsid w:val="00362416"/>
    <w:rsid w:val="00362594"/>
    <w:rsid w:val="00362BAF"/>
    <w:rsid w:val="00362C1A"/>
    <w:rsid w:val="00362F56"/>
    <w:rsid w:val="003630AF"/>
    <w:rsid w:val="003632B7"/>
    <w:rsid w:val="003634E8"/>
    <w:rsid w:val="00363505"/>
    <w:rsid w:val="00363DBD"/>
    <w:rsid w:val="00364271"/>
    <w:rsid w:val="003642E9"/>
    <w:rsid w:val="00364510"/>
    <w:rsid w:val="00364E68"/>
    <w:rsid w:val="00365276"/>
    <w:rsid w:val="00365567"/>
    <w:rsid w:val="003658D8"/>
    <w:rsid w:val="00365F5F"/>
    <w:rsid w:val="00366268"/>
    <w:rsid w:val="003664F5"/>
    <w:rsid w:val="00366AC7"/>
    <w:rsid w:val="00367911"/>
    <w:rsid w:val="00367AB7"/>
    <w:rsid w:val="00367E4E"/>
    <w:rsid w:val="0037016F"/>
    <w:rsid w:val="0037020C"/>
    <w:rsid w:val="0037021D"/>
    <w:rsid w:val="00370307"/>
    <w:rsid w:val="003704C5"/>
    <w:rsid w:val="003709E7"/>
    <w:rsid w:val="00371018"/>
    <w:rsid w:val="00371203"/>
    <w:rsid w:val="00371480"/>
    <w:rsid w:val="00371B10"/>
    <w:rsid w:val="00371EA9"/>
    <w:rsid w:val="00371EDF"/>
    <w:rsid w:val="00372104"/>
    <w:rsid w:val="00372577"/>
    <w:rsid w:val="003732E8"/>
    <w:rsid w:val="00373300"/>
    <w:rsid w:val="0037399F"/>
    <w:rsid w:val="00373DA8"/>
    <w:rsid w:val="00373DB3"/>
    <w:rsid w:val="00373EDD"/>
    <w:rsid w:val="0037493C"/>
    <w:rsid w:val="00374997"/>
    <w:rsid w:val="00374AF3"/>
    <w:rsid w:val="00374C18"/>
    <w:rsid w:val="00375118"/>
    <w:rsid w:val="003752F6"/>
    <w:rsid w:val="0037533E"/>
    <w:rsid w:val="00375368"/>
    <w:rsid w:val="0037649D"/>
    <w:rsid w:val="00376615"/>
    <w:rsid w:val="00376835"/>
    <w:rsid w:val="00376AF3"/>
    <w:rsid w:val="00377462"/>
    <w:rsid w:val="003775B8"/>
    <w:rsid w:val="0037768C"/>
    <w:rsid w:val="0038018E"/>
    <w:rsid w:val="00380660"/>
    <w:rsid w:val="003806F4"/>
    <w:rsid w:val="00380783"/>
    <w:rsid w:val="00380B0B"/>
    <w:rsid w:val="00380B42"/>
    <w:rsid w:val="003811C1"/>
    <w:rsid w:val="00381922"/>
    <w:rsid w:val="003822D6"/>
    <w:rsid w:val="0038259D"/>
    <w:rsid w:val="00382814"/>
    <w:rsid w:val="00382A03"/>
    <w:rsid w:val="00382AE6"/>
    <w:rsid w:val="00382B01"/>
    <w:rsid w:val="003830E6"/>
    <w:rsid w:val="00383490"/>
    <w:rsid w:val="0038390F"/>
    <w:rsid w:val="00383C77"/>
    <w:rsid w:val="00383F38"/>
    <w:rsid w:val="00384369"/>
    <w:rsid w:val="0038469A"/>
    <w:rsid w:val="00384978"/>
    <w:rsid w:val="00384B7C"/>
    <w:rsid w:val="0038654D"/>
    <w:rsid w:val="003867F6"/>
    <w:rsid w:val="00386DA7"/>
    <w:rsid w:val="00387552"/>
    <w:rsid w:val="00387720"/>
    <w:rsid w:val="00387B72"/>
    <w:rsid w:val="00387FD7"/>
    <w:rsid w:val="00390275"/>
    <w:rsid w:val="003903AF"/>
    <w:rsid w:val="00390BB9"/>
    <w:rsid w:val="003910A0"/>
    <w:rsid w:val="0039125B"/>
    <w:rsid w:val="003912F4"/>
    <w:rsid w:val="00391345"/>
    <w:rsid w:val="00391387"/>
    <w:rsid w:val="00391AFA"/>
    <w:rsid w:val="00391B2D"/>
    <w:rsid w:val="0039245F"/>
    <w:rsid w:val="003932B0"/>
    <w:rsid w:val="00393415"/>
    <w:rsid w:val="003937E5"/>
    <w:rsid w:val="003939CC"/>
    <w:rsid w:val="00393B43"/>
    <w:rsid w:val="00393D7D"/>
    <w:rsid w:val="00393E03"/>
    <w:rsid w:val="0039401C"/>
    <w:rsid w:val="00394426"/>
    <w:rsid w:val="00394467"/>
    <w:rsid w:val="003945EC"/>
    <w:rsid w:val="003948F8"/>
    <w:rsid w:val="00394933"/>
    <w:rsid w:val="00394949"/>
    <w:rsid w:val="00394995"/>
    <w:rsid w:val="0039517D"/>
    <w:rsid w:val="0039528D"/>
    <w:rsid w:val="00395A52"/>
    <w:rsid w:val="00395A85"/>
    <w:rsid w:val="00395B19"/>
    <w:rsid w:val="00395F78"/>
    <w:rsid w:val="003963CC"/>
    <w:rsid w:val="00396FD2"/>
    <w:rsid w:val="00397E1D"/>
    <w:rsid w:val="00397E8F"/>
    <w:rsid w:val="003A03E0"/>
    <w:rsid w:val="003A04C4"/>
    <w:rsid w:val="003A0809"/>
    <w:rsid w:val="003A0DB3"/>
    <w:rsid w:val="003A10BF"/>
    <w:rsid w:val="003A1508"/>
    <w:rsid w:val="003A167F"/>
    <w:rsid w:val="003A1752"/>
    <w:rsid w:val="003A1775"/>
    <w:rsid w:val="003A18B4"/>
    <w:rsid w:val="003A1B1E"/>
    <w:rsid w:val="003A2015"/>
    <w:rsid w:val="003A20D6"/>
    <w:rsid w:val="003A2577"/>
    <w:rsid w:val="003A28B4"/>
    <w:rsid w:val="003A2D9F"/>
    <w:rsid w:val="003A2EB8"/>
    <w:rsid w:val="003A2F18"/>
    <w:rsid w:val="003A3258"/>
    <w:rsid w:val="003A336D"/>
    <w:rsid w:val="003A33B5"/>
    <w:rsid w:val="003A33D6"/>
    <w:rsid w:val="003A3F22"/>
    <w:rsid w:val="003A469A"/>
    <w:rsid w:val="003A4D29"/>
    <w:rsid w:val="003A4F5B"/>
    <w:rsid w:val="003A51C4"/>
    <w:rsid w:val="003A5754"/>
    <w:rsid w:val="003A5C80"/>
    <w:rsid w:val="003A6250"/>
    <w:rsid w:val="003A6294"/>
    <w:rsid w:val="003A6741"/>
    <w:rsid w:val="003A6BD7"/>
    <w:rsid w:val="003A6E95"/>
    <w:rsid w:val="003A731F"/>
    <w:rsid w:val="003A7527"/>
    <w:rsid w:val="003A768C"/>
    <w:rsid w:val="003A7C78"/>
    <w:rsid w:val="003A7E7D"/>
    <w:rsid w:val="003B0058"/>
    <w:rsid w:val="003B0139"/>
    <w:rsid w:val="003B0377"/>
    <w:rsid w:val="003B07FA"/>
    <w:rsid w:val="003B0B27"/>
    <w:rsid w:val="003B0C4F"/>
    <w:rsid w:val="003B10C1"/>
    <w:rsid w:val="003B11F0"/>
    <w:rsid w:val="003B180E"/>
    <w:rsid w:val="003B19CE"/>
    <w:rsid w:val="003B1A6E"/>
    <w:rsid w:val="003B1B0F"/>
    <w:rsid w:val="003B1CC3"/>
    <w:rsid w:val="003B1E09"/>
    <w:rsid w:val="003B2095"/>
    <w:rsid w:val="003B284C"/>
    <w:rsid w:val="003B2D0F"/>
    <w:rsid w:val="003B2E84"/>
    <w:rsid w:val="003B33D7"/>
    <w:rsid w:val="003B343B"/>
    <w:rsid w:val="003B3B0A"/>
    <w:rsid w:val="003B3BDE"/>
    <w:rsid w:val="003B3E9D"/>
    <w:rsid w:val="003B3FC5"/>
    <w:rsid w:val="003B4044"/>
    <w:rsid w:val="003B4388"/>
    <w:rsid w:val="003B43CA"/>
    <w:rsid w:val="003B45CC"/>
    <w:rsid w:val="003B4665"/>
    <w:rsid w:val="003B5B84"/>
    <w:rsid w:val="003B6308"/>
    <w:rsid w:val="003B69C5"/>
    <w:rsid w:val="003B69EA"/>
    <w:rsid w:val="003B6A1E"/>
    <w:rsid w:val="003B6ADF"/>
    <w:rsid w:val="003B6B92"/>
    <w:rsid w:val="003B6C41"/>
    <w:rsid w:val="003B7560"/>
    <w:rsid w:val="003B766C"/>
    <w:rsid w:val="003B7B3F"/>
    <w:rsid w:val="003B7B82"/>
    <w:rsid w:val="003B7D57"/>
    <w:rsid w:val="003B7E50"/>
    <w:rsid w:val="003B7F49"/>
    <w:rsid w:val="003C0ADD"/>
    <w:rsid w:val="003C0E27"/>
    <w:rsid w:val="003C0FC8"/>
    <w:rsid w:val="003C1F6B"/>
    <w:rsid w:val="003C1FCC"/>
    <w:rsid w:val="003C2C5E"/>
    <w:rsid w:val="003C344E"/>
    <w:rsid w:val="003C3CB9"/>
    <w:rsid w:val="003C4144"/>
    <w:rsid w:val="003C4150"/>
    <w:rsid w:val="003C4329"/>
    <w:rsid w:val="003C45E1"/>
    <w:rsid w:val="003C46E3"/>
    <w:rsid w:val="003C4DBA"/>
    <w:rsid w:val="003C4EEC"/>
    <w:rsid w:val="003C5113"/>
    <w:rsid w:val="003C51F7"/>
    <w:rsid w:val="003C523F"/>
    <w:rsid w:val="003C5571"/>
    <w:rsid w:val="003C59DD"/>
    <w:rsid w:val="003C5A5F"/>
    <w:rsid w:val="003C5CAC"/>
    <w:rsid w:val="003C5D0A"/>
    <w:rsid w:val="003C5EDA"/>
    <w:rsid w:val="003C63B2"/>
    <w:rsid w:val="003C660C"/>
    <w:rsid w:val="003C69BC"/>
    <w:rsid w:val="003C6C5B"/>
    <w:rsid w:val="003C6DFF"/>
    <w:rsid w:val="003C6E2A"/>
    <w:rsid w:val="003C707A"/>
    <w:rsid w:val="003C75E7"/>
    <w:rsid w:val="003C7E5A"/>
    <w:rsid w:val="003C7F94"/>
    <w:rsid w:val="003D0B3F"/>
    <w:rsid w:val="003D0DE0"/>
    <w:rsid w:val="003D1437"/>
    <w:rsid w:val="003D16BA"/>
    <w:rsid w:val="003D1940"/>
    <w:rsid w:val="003D1A7B"/>
    <w:rsid w:val="003D1E54"/>
    <w:rsid w:val="003D219C"/>
    <w:rsid w:val="003D2247"/>
    <w:rsid w:val="003D2DAB"/>
    <w:rsid w:val="003D316B"/>
    <w:rsid w:val="003D31B6"/>
    <w:rsid w:val="003D35FB"/>
    <w:rsid w:val="003D395D"/>
    <w:rsid w:val="003D39AD"/>
    <w:rsid w:val="003D3AD5"/>
    <w:rsid w:val="003D489D"/>
    <w:rsid w:val="003D4B1A"/>
    <w:rsid w:val="003D4DEB"/>
    <w:rsid w:val="003D56AE"/>
    <w:rsid w:val="003D5ABF"/>
    <w:rsid w:val="003D5BE1"/>
    <w:rsid w:val="003D5FB8"/>
    <w:rsid w:val="003D60D2"/>
    <w:rsid w:val="003D6259"/>
    <w:rsid w:val="003D636F"/>
    <w:rsid w:val="003D6839"/>
    <w:rsid w:val="003D6DBA"/>
    <w:rsid w:val="003D72D8"/>
    <w:rsid w:val="003E0214"/>
    <w:rsid w:val="003E0266"/>
    <w:rsid w:val="003E12F6"/>
    <w:rsid w:val="003E151F"/>
    <w:rsid w:val="003E161B"/>
    <w:rsid w:val="003E1855"/>
    <w:rsid w:val="003E1BCB"/>
    <w:rsid w:val="003E1E93"/>
    <w:rsid w:val="003E1EB4"/>
    <w:rsid w:val="003E23C5"/>
    <w:rsid w:val="003E27A1"/>
    <w:rsid w:val="003E2836"/>
    <w:rsid w:val="003E2A52"/>
    <w:rsid w:val="003E2C80"/>
    <w:rsid w:val="003E338D"/>
    <w:rsid w:val="003E3526"/>
    <w:rsid w:val="003E3E8C"/>
    <w:rsid w:val="003E3F20"/>
    <w:rsid w:val="003E419E"/>
    <w:rsid w:val="003E41BF"/>
    <w:rsid w:val="003E4302"/>
    <w:rsid w:val="003E45BB"/>
    <w:rsid w:val="003E4634"/>
    <w:rsid w:val="003E48C8"/>
    <w:rsid w:val="003E4914"/>
    <w:rsid w:val="003E51B3"/>
    <w:rsid w:val="003E56D3"/>
    <w:rsid w:val="003E6039"/>
    <w:rsid w:val="003E6118"/>
    <w:rsid w:val="003E66C8"/>
    <w:rsid w:val="003E6C2A"/>
    <w:rsid w:val="003E6C7E"/>
    <w:rsid w:val="003E6FBC"/>
    <w:rsid w:val="003E7040"/>
    <w:rsid w:val="003E7097"/>
    <w:rsid w:val="003E72A6"/>
    <w:rsid w:val="003E72B0"/>
    <w:rsid w:val="003F0133"/>
    <w:rsid w:val="003F0483"/>
    <w:rsid w:val="003F0563"/>
    <w:rsid w:val="003F075A"/>
    <w:rsid w:val="003F099E"/>
    <w:rsid w:val="003F0E5D"/>
    <w:rsid w:val="003F0E6C"/>
    <w:rsid w:val="003F0EE6"/>
    <w:rsid w:val="003F163F"/>
    <w:rsid w:val="003F1DE5"/>
    <w:rsid w:val="003F2090"/>
    <w:rsid w:val="003F216B"/>
    <w:rsid w:val="003F22AD"/>
    <w:rsid w:val="003F2426"/>
    <w:rsid w:val="003F2835"/>
    <w:rsid w:val="003F2D63"/>
    <w:rsid w:val="003F3358"/>
    <w:rsid w:val="003F3494"/>
    <w:rsid w:val="003F3532"/>
    <w:rsid w:val="003F367C"/>
    <w:rsid w:val="003F36DB"/>
    <w:rsid w:val="003F3E1A"/>
    <w:rsid w:val="003F4B83"/>
    <w:rsid w:val="003F4CB4"/>
    <w:rsid w:val="003F4D5B"/>
    <w:rsid w:val="003F4E4A"/>
    <w:rsid w:val="003F50AE"/>
    <w:rsid w:val="003F5212"/>
    <w:rsid w:val="003F54F3"/>
    <w:rsid w:val="003F5DDA"/>
    <w:rsid w:val="003F6323"/>
    <w:rsid w:val="003F677F"/>
    <w:rsid w:val="003F6E45"/>
    <w:rsid w:val="003F7C1A"/>
    <w:rsid w:val="00400380"/>
    <w:rsid w:val="004003A4"/>
    <w:rsid w:val="0040050D"/>
    <w:rsid w:val="00400596"/>
    <w:rsid w:val="00400816"/>
    <w:rsid w:val="00400B57"/>
    <w:rsid w:val="00401C7D"/>
    <w:rsid w:val="0040228C"/>
    <w:rsid w:val="00402369"/>
    <w:rsid w:val="0040243F"/>
    <w:rsid w:val="004029D7"/>
    <w:rsid w:val="004030E0"/>
    <w:rsid w:val="0040389C"/>
    <w:rsid w:val="00403BD7"/>
    <w:rsid w:val="00403CB0"/>
    <w:rsid w:val="00404036"/>
    <w:rsid w:val="0040462F"/>
    <w:rsid w:val="0040507A"/>
    <w:rsid w:val="0040518C"/>
    <w:rsid w:val="00405409"/>
    <w:rsid w:val="00405FFC"/>
    <w:rsid w:val="004064A5"/>
    <w:rsid w:val="004066CB"/>
    <w:rsid w:val="004067B1"/>
    <w:rsid w:val="00406B75"/>
    <w:rsid w:val="00406E84"/>
    <w:rsid w:val="0040724C"/>
    <w:rsid w:val="00407A89"/>
    <w:rsid w:val="00407BC0"/>
    <w:rsid w:val="00407E3A"/>
    <w:rsid w:val="0041051B"/>
    <w:rsid w:val="00410838"/>
    <w:rsid w:val="00410A6D"/>
    <w:rsid w:val="00410D66"/>
    <w:rsid w:val="00410D8F"/>
    <w:rsid w:val="00410DC9"/>
    <w:rsid w:val="0041147B"/>
    <w:rsid w:val="0041165C"/>
    <w:rsid w:val="00411E49"/>
    <w:rsid w:val="00411F91"/>
    <w:rsid w:val="004120B9"/>
    <w:rsid w:val="00412340"/>
    <w:rsid w:val="004124EF"/>
    <w:rsid w:val="004126A6"/>
    <w:rsid w:val="00412A6B"/>
    <w:rsid w:val="004130F3"/>
    <w:rsid w:val="00413233"/>
    <w:rsid w:val="004142E9"/>
    <w:rsid w:val="00414869"/>
    <w:rsid w:val="004148F0"/>
    <w:rsid w:val="00414A16"/>
    <w:rsid w:val="00414CB9"/>
    <w:rsid w:val="004152B0"/>
    <w:rsid w:val="004158DD"/>
    <w:rsid w:val="00415A50"/>
    <w:rsid w:val="00415BAA"/>
    <w:rsid w:val="00415F47"/>
    <w:rsid w:val="004165A5"/>
    <w:rsid w:val="004165DE"/>
    <w:rsid w:val="00416C6F"/>
    <w:rsid w:val="00417089"/>
    <w:rsid w:val="0041734C"/>
    <w:rsid w:val="00417456"/>
    <w:rsid w:val="004176B9"/>
    <w:rsid w:val="00417ED7"/>
    <w:rsid w:val="00420247"/>
    <w:rsid w:val="0042091B"/>
    <w:rsid w:val="00420ADB"/>
    <w:rsid w:val="004211BD"/>
    <w:rsid w:val="00421DF4"/>
    <w:rsid w:val="00421F32"/>
    <w:rsid w:val="00422116"/>
    <w:rsid w:val="0042234B"/>
    <w:rsid w:val="00422741"/>
    <w:rsid w:val="00422DD5"/>
    <w:rsid w:val="0042373F"/>
    <w:rsid w:val="00423DF8"/>
    <w:rsid w:val="0042422B"/>
    <w:rsid w:val="0042447C"/>
    <w:rsid w:val="00424984"/>
    <w:rsid w:val="00424ECC"/>
    <w:rsid w:val="004251FB"/>
    <w:rsid w:val="00425709"/>
    <w:rsid w:val="00425E85"/>
    <w:rsid w:val="004260AA"/>
    <w:rsid w:val="00426955"/>
    <w:rsid w:val="00427126"/>
    <w:rsid w:val="004275A4"/>
    <w:rsid w:val="004276E3"/>
    <w:rsid w:val="00427B0F"/>
    <w:rsid w:val="00427D66"/>
    <w:rsid w:val="00427EF6"/>
    <w:rsid w:val="00430050"/>
    <w:rsid w:val="00430513"/>
    <w:rsid w:val="004307A6"/>
    <w:rsid w:val="004310B3"/>
    <w:rsid w:val="00431628"/>
    <w:rsid w:val="00431ED9"/>
    <w:rsid w:val="00432146"/>
    <w:rsid w:val="004323D4"/>
    <w:rsid w:val="004326A9"/>
    <w:rsid w:val="004327B5"/>
    <w:rsid w:val="00432889"/>
    <w:rsid w:val="004328D6"/>
    <w:rsid w:val="00432C17"/>
    <w:rsid w:val="00432DC0"/>
    <w:rsid w:val="00432E05"/>
    <w:rsid w:val="0043316B"/>
    <w:rsid w:val="0043398F"/>
    <w:rsid w:val="00434450"/>
    <w:rsid w:val="00434823"/>
    <w:rsid w:val="00434B83"/>
    <w:rsid w:val="00434C03"/>
    <w:rsid w:val="00434E63"/>
    <w:rsid w:val="00434EF1"/>
    <w:rsid w:val="00434FC7"/>
    <w:rsid w:val="00435291"/>
    <w:rsid w:val="004352DC"/>
    <w:rsid w:val="00435A12"/>
    <w:rsid w:val="00435B29"/>
    <w:rsid w:val="00435CCD"/>
    <w:rsid w:val="00435D4F"/>
    <w:rsid w:val="004364FC"/>
    <w:rsid w:val="00436663"/>
    <w:rsid w:val="00436667"/>
    <w:rsid w:val="0043714E"/>
    <w:rsid w:val="00437319"/>
    <w:rsid w:val="0043747D"/>
    <w:rsid w:val="004374AE"/>
    <w:rsid w:val="00437697"/>
    <w:rsid w:val="00437944"/>
    <w:rsid w:val="00440120"/>
    <w:rsid w:val="00440CBE"/>
    <w:rsid w:val="00440DDA"/>
    <w:rsid w:val="00440F1B"/>
    <w:rsid w:val="004418F2"/>
    <w:rsid w:val="00441901"/>
    <w:rsid w:val="0044190B"/>
    <w:rsid w:val="004419FE"/>
    <w:rsid w:val="00441E41"/>
    <w:rsid w:val="00442113"/>
    <w:rsid w:val="00442441"/>
    <w:rsid w:val="00442BD2"/>
    <w:rsid w:val="004435EB"/>
    <w:rsid w:val="00443DE7"/>
    <w:rsid w:val="0044407F"/>
    <w:rsid w:val="004440E7"/>
    <w:rsid w:val="00444215"/>
    <w:rsid w:val="00444330"/>
    <w:rsid w:val="00444410"/>
    <w:rsid w:val="00444F43"/>
    <w:rsid w:val="004450CB"/>
    <w:rsid w:val="004451D7"/>
    <w:rsid w:val="004451F8"/>
    <w:rsid w:val="00445425"/>
    <w:rsid w:val="004455E0"/>
    <w:rsid w:val="0044564A"/>
    <w:rsid w:val="00446073"/>
    <w:rsid w:val="004460F9"/>
    <w:rsid w:val="00446838"/>
    <w:rsid w:val="00446BCD"/>
    <w:rsid w:val="00446DAB"/>
    <w:rsid w:val="00446ED9"/>
    <w:rsid w:val="00447000"/>
    <w:rsid w:val="004475C6"/>
    <w:rsid w:val="00451972"/>
    <w:rsid w:val="00451D40"/>
    <w:rsid w:val="00452358"/>
    <w:rsid w:val="004528CC"/>
    <w:rsid w:val="00452938"/>
    <w:rsid w:val="004529B4"/>
    <w:rsid w:val="00452D5D"/>
    <w:rsid w:val="00452DA2"/>
    <w:rsid w:val="00452E6E"/>
    <w:rsid w:val="00453336"/>
    <w:rsid w:val="00453508"/>
    <w:rsid w:val="004536B9"/>
    <w:rsid w:val="00453809"/>
    <w:rsid w:val="00453E2E"/>
    <w:rsid w:val="0045418E"/>
    <w:rsid w:val="00454959"/>
    <w:rsid w:val="00454DFE"/>
    <w:rsid w:val="00455231"/>
    <w:rsid w:val="00455676"/>
    <w:rsid w:val="00455714"/>
    <w:rsid w:val="004566A4"/>
    <w:rsid w:val="00456A13"/>
    <w:rsid w:val="00456F85"/>
    <w:rsid w:val="00457076"/>
    <w:rsid w:val="00457328"/>
    <w:rsid w:val="004577B5"/>
    <w:rsid w:val="00457A5E"/>
    <w:rsid w:val="00457A5F"/>
    <w:rsid w:val="00457F8F"/>
    <w:rsid w:val="00460889"/>
    <w:rsid w:val="00460D1F"/>
    <w:rsid w:val="00460E42"/>
    <w:rsid w:val="00461669"/>
    <w:rsid w:val="0046175F"/>
    <w:rsid w:val="00461830"/>
    <w:rsid w:val="00461A8E"/>
    <w:rsid w:val="00461E21"/>
    <w:rsid w:val="004629FD"/>
    <w:rsid w:val="0046314C"/>
    <w:rsid w:val="0046320C"/>
    <w:rsid w:val="00463240"/>
    <w:rsid w:val="0046348D"/>
    <w:rsid w:val="004634A8"/>
    <w:rsid w:val="0046386C"/>
    <w:rsid w:val="00463E0E"/>
    <w:rsid w:val="00464A8F"/>
    <w:rsid w:val="00464B4C"/>
    <w:rsid w:val="00464BC4"/>
    <w:rsid w:val="00464C01"/>
    <w:rsid w:val="00464CAC"/>
    <w:rsid w:val="00465287"/>
    <w:rsid w:val="004653C8"/>
    <w:rsid w:val="004654BE"/>
    <w:rsid w:val="00465B9A"/>
    <w:rsid w:val="00465C0C"/>
    <w:rsid w:val="00465DE7"/>
    <w:rsid w:val="00465E8C"/>
    <w:rsid w:val="00465F25"/>
    <w:rsid w:val="00466495"/>
    <w:rsid w:val="00466C46"/>
    <w:rsid w:val="004672E8"/>
    <w:rsid w:val="00467E4F"/>
    <w:rsid w:val="00470178"/>
    <w:rsid w:val="00470240"/>
    <w:rsid w:val="004703B4"/>
    <w:rsid w:val="0047051B"/>
    <w:rsid w:val="00470603"/>
    <w:rsid w:val="00470623"/>
    <w:rsid w:val="0047129D"/>
    <w:rsid w:val="0047166C"/>
    <w:rsid w:val="00471926"/>
    <w:rsid w:val="004719E2"/>
    <w:rsid w:val="00471E8A"/>
    <w:rsid w:val="00472065"/>
    <w:rsid w:val="00472177"/>
    <w:rsid w:val="00472303"/>
    <w:rsid w:val="00472463"/>
    <w:rsid w:val="00472596"/>
    <w:rsid w:val="0047302A"/>
    <w:rsid w:val="00473295"/>
    <w:rsid w:val="00473671"/>
    <w:rsid w:val="004736DA"/>
    <w:rsid w:val="00473823"/>
    <w:rsid w:val="00473E1B"/>
    <w:rsid w:val="00473E83"/>
    <w:rsid w:val="00473FBF"/>
    <w:rsid w:val="004744CA"/>
    <w:rsid w:val="00475142"/>
    <w:rsid w:val="004754D3"/>
    <w:rsid w:val="00475835"/>
    <w:rsid w:val="0047584E"/>
    <w:rsid w:val="00475D0A"/>
    <w:rsid w:val="0047605D"/>
    <w:rsid w:val="0047623B"/>
    <w:rsid w:val="004767BD"/>
    <w:rsid w:val="004767F2"/>
    <w:rsid w:val="00476D8E"/>
    <w:rsid w:val="00477083"/>
    <w:rsid w:val="004770B5"/>
    <w:rsid w:val="004773C6"/>
    <w:rsid w:val="004774E5"/>
    <w:rsid w:val="00477CB4"/>
    <w:rsid w:val="00477DE9"/>
    <w:rsid w:val="00480148"/>
    <w:rsid w:val="004801A3"/>
    <w:rsid w:val="004802B6"/>
    <w:rsid w:val="00480C1A"/>
    <w:rsid w:val="0048137E"/>
    <w:rsid w:val="0048176B"/>
    <w:rsid w:val="00481A4E"/>
    <w:rsid w:val="004823E8"/>
    <w:rsid w:val="00482406"/>
    <w:rsid w:val="00482599"/>
    <w:rsid w:val="004827DB"/>
    <w:rsid w:val="00482C82"/>
    <w:rsid w:val="00483152"/>
    <w:rsid w:val="00483893"/>
    <w:rsid w:val="0048398C"/>
    <w:rsid w:val="00483CAE"/>
    <w:rsid w:val="00483FEC"/>
    <w:rsid w:val="00484090"/>
    <w:rsid w:val="004841A7"/>
    <w:rsid w:val="00484689"/>
    <w:rsid w:val="00484EBB"/>
    <w:rsid w:val="00484F74"/>
    <w:rsid w:val="00485497"/>
    <w:rsid w:val="0048549C"/>
    <w:rsid w:val="00485978"/>
    <w:rsid w:val="00485FB6"/>
    <w:rsid w:val="00486260"/>
    <w:rsid w:val="00486431"/>
    <w:rsid w:val="0048646C"/>
    <w:rsid w:val="004867E5"/>
    <w:rsid w:val="00486D7C"/>
    <w:rsid w:val="00487509"/>
    <w:rsid w:val="004875C2"/>
    <w:rsid w:val="00487904"/>
    <w:rsid w:val="00487DAB"/>
    <w:rsid w:val="004902DB"/>
    <w:rsid w:val="004907AE"/>
    <w:rsid w:val="00490B2E"/>
    <w:rsid w:val="00490C68"/>
    <w:rsid w:val="004911B7"/>
    <w:rsid w:val="0049191A"/>
    <w:rsid w:val="0049202C"/>
    <w:rsid w:val="004920C7"/>
    <w:rsid w:val="0049240E"/>
    <w:rsid w:val="004924A1"/>
    <w:rsid w:val="0049259F"/>
    <w:rsid w:val="004933A3"/>
    <w:rsid w:val="0049350D"/>
    <w:rsid w:val="00493772"/>
    <w:rsid w:val="0049381A"/>
    <w:rsid w:val="00493A47"/>
    <w:rsid w:val="00493A9A"/>
    <w:rsid w:val="00493E9C"/>
    <w:rsid w:val="00494059"/>
    <w:rsid w:val="004945F1"/>
    <w:rsid w:val="004946CE"/>
    <w:rsid w:val="00494891"/>
    <w:rsid w:val="00494C05"/>
    <w:rsid w:val="00494FE5"/>
    <w:rsid w:val="004951DD"/>
    <w:rsid w:val="004954E6"/>
    <w:rsid w:val="004955E4"/>
    <w:rsid w:val="00495C36"/>
    <w:rsid w:val="0049616F"/>
    <w:rsid w:val="00496639"/>
    <w:rsid w:val="00496720"/>
    <w:rsid w:val="00496867"/>
    <w:rsid w:val="00496975"/>
    <w:rsid w:val="004969A0"/>
    <w:rsid w:val="00496E7F"/>
    <w:rsid w:val="00496FE4"/>
    <w:rsid w:val="004972AD"/>
    <w:rsid w:val="004977A4"/>
    <w:rsid w:val="00497DD9"/>
    <w:rsid w:val="004A0263"/>
    <w:rsid w:val="004A0285"/>
    <w:rsid w:val="004A02EF"/>
    <w:rsid w:val="004A049F"/>
    <w:rsid w:val="004A08E7"/>
    <w:rsid w:val="004A0AF8"/>
    <w:rsid w:val="004A0E1C"/>
    <w:rsid w:val="004A0F9E"/>
    <w:rsid w:val="004A1013"/>
    <w:rsid w:val="004A11E0"/>
    <w:rsid w:val="004A16AB"/>
    <w:rsid w:val="004A16F3"/>
    <w:rsid w:val="004A181F"/>
    <w:rsid w:val="004A1BCB"/>
    <w:rsid w:val="004A1CCC"/>
    <w:rsid w:val="004A2560"/>
    <w:rsid w:val="004A25D2"/>
    <w:rsid w:val="004A2613"/>
    <w:rsid w:val="004A38F8"/>
    <w:rsid w:val="004A3ACF"/>
    <w:rsid w:val="004A3B79"/>
    <w:rsid w:val="004A3D1D"/>
    <w:rsid w:val="004A3D31"/>
    <w:rsid w:val="004A3D3D"/>
    <w:rsid w:val="004A407A"/>
    <w:rsid w:val="004A416C"/>
    <w:rsid w:val="004A444C"/>
    <w:rsid w:val="004A4481"/>
    <w:rsid w:val="004A45CE"/>
    <w:rsid w:val="004A47D9"/>
    <w:rsid w:val="004A4AB9"/>
    <w:rsid w:val="004A5033"/>
    <w:rsid w:val="004A5162"/>
    <w:rsid w:val="004A553F"/>
    <w:rsid w:val="004A577F"/>
    <w:rsid w:val="004A5EA5"/>
    <w:rsid w:val="004A6114"/>
    <w:rsid w:val="004A61BB"/>
    <w:rsid w:val="004A635F"/>
    <w:rsid w:val="004A6695"/>
    <w:rsid w:val="004A6710"/>
    <w:rsid w:val="004A674C"/>
    <w:rsid w:val="004A6C79"/>
    <w:rsid w:val="004B0427"/>
    <w:rsid w:val="004B057D"/>
    <w:rsid w:val="004B0737"/>
    <w:rsid w:val="004B0772"/>
    <w:rsid w:val="004B0817"/>
    <w:rsid w:val="004B089D"/>
    <w:rsid w:val="004B1439"/>
    <w:rsid w:val="004B1A30"/>
    <w:rsid w:val="004B1C71"/>
    <w:rsid w:val="004B2AD6"/>
    <w:rsid w:val="004B3061"/>
    <w:rsid w:val="004B30E5"/>
    <w:rsid w:val="004B3194"/>
    <w:rsid w:val="004B339A"/>
    <w:rsid w:val="004B394D"/>
    <w:rsid w:val="004B3BB3"/>
    <w:rsid w:val="004B3D2A"/>
    <w:rsid w:val="004B3F90"/>
    <w:rsid w:val="004B41B0"/>
    <w:rsid w:val="004B4322"/>
    <w:rsid w:val="004B4568"/>
    <w:rsid w:val="004B47EF"/>
    <w:rsid w:val="004B4BFC"/>
    <w:rsid w:val="004B4CE5"/>
    <w:rsid w:val="004B4FAA"/>
    <w:rsid w:val="004B57B0"/>
    <w:rsid w:val="004B597F"/>
    <w:rsid w:val="004B5D1E"/>
    <w:rsid w:val="004B6325"/>
    <w:rsid w:val="004B647E"/>
    <w:rsid w:val="004B6632"/>
    <w:rsid w:val="004B689B"/>
    <w:rsid w:val="004B6E23"/>
    <w:rsid w:val="004B7933"/>
    <w:rsid w:val="004B79D4"/>
    <w:rsid w:val="004C0174"/>
    <w:rsid w:val="004C01C9"/>
    <w:rsid w:val="004C0721"/>
    <w:rsid w:val="004C15C7"/>
    <w:rsid w:val="004C15FC"/>
    <w:rsid w:val="004C17CC"/>
    <w:rsid w:val="004C1814"/>
    <w:rsid w:val="004C1936"/>
    <w:rsid w:val="004C1B0F"/>
    <w:rsid w:val="004C1BCA"/>
    <w:rsid w:val="004C1BE2"/>
    <w:rsid w:val="004C1CB9"/>
    <w:rsid w:val="004C1F42"/>
    <w:rsid w:val="004C2618"/>
    <w:rsid w:val="004C28FD"/>
    <w:rsid w:val="004C2DAD"/>
    <w:rsid w:val="004C2EFB"/>
    <w:rsid w:val="004C307B"/>
    <w:rsid w:val="004C334D"/>
    <w:rsid w:val="004C37E4"/>
    <w:rsid w:val="004C4320"/>
    <w:rsid w:val="004C439D"/>
    <w:rsid w:val="004C44BB"/>
    <w:rsid w:val="004C4A07"/>
    <w:rsid w:val="004C4B6E"/>
    <w:rsid w:val="004C4BEC"/>
    <w:rsid w:val="004C4FD9"/>
    <w:rsid w:val="004C50BF"/>
    <w:rsid w:val="004C54B5"/>
    <w:rsid w:val="004C5595"/>
    <w:rsid w:val="004C57C1"/>
    <w:rsid w:val="004C5809"/>
    <w:rsid w:val="004C591A"/>
    <w:rsid w:val="004C5B6E"/>
    <w:rsid w:val="004C5C40"/>
    <w:rsid w:val="004C659E"/>
    <w:rsid w:val="004C6DA4"/>
    <w:rsid w:val="004C6F5F"/>
    <w:rsid w:val="004C7436"/>
    <w:rsid w:val="004C748E"/>
    <w:rsid w:val="004C752B"/>
    <w:rsid w:val="004D011F"/>
    <w:rsid w:val="004D04D4"/>
    <w:rsid w:val="004D05B3"/>
    <w:rsid w:val="004D0899"/>
    <w:rsid w:val="004D0BF7"/>
    <w:rsid w:val="004D0CD3"/>
    <w:rsid w:val="004D0CF2"/>
    <w:rsid w:val="004D10FD"/>
    <w:rsid w:val="004D12B4"/>
    <w:rsid w:val="004D18C6"/>
    <w:rsid w:val="004D1A41"/>
    <w:rsid w:val="004D1B6E"/>
    <w:rsid w:val="004D1E5D"/>
    <w:rsid w:val="004D1F8E"/>
    <w:rsid w:val="004D26AA"/>
    <w:rsid w:val="004D2C2F"/>
    <w:rsid w:val="004D2C9E"/>
    <w:rsid w:val="004D2E2A"/>
    <w:rsid w:val="004D35F4"/>
    <w:rsid w:val="004D3801"/>
    <w:rsid w:val="004D3DE0"/>
    <w:rsid w:val="004D4077"/>
    <w:rsid w:val="004D41E0"/>
    <w:rsid w:val="004D480B"/>
    <w:rsid w:val="004D49A0"/>
    <w:rsid w:val="004D4D9D"/>
    <w:rsid w:val="004D4DC4"/>
    <w:rsid w:val="004D51F3"/>
    <w:rsid w:val="004D52B3"/>
    <w:rsid w:val="004D5A4A"/>
    <w:rsid w:val="004D5CB4"/>
    <w:rsid w:val="004D5F59"/>
    <w:rsid w:val="004D69D7"/>
    <w:rsid w:val="004D73CE"/>
    <w:rsid w:val="004D756E"/>
    <w:rsid w:val="004D7684"/>
    <w:rsid w:val="004D7908"/>
    <w:rsid w:val="004D7D2B"/>
    <w:rsid w:val="004D7FB1"/>
    <w:rsid w:val="004E022F"/>
    <w:rsid w:val="004E062B"/>
    <w:rsid w:val="004E077C"/>
    <w:rsid w:val="004E096E"/>
    <w:rsid w:val="004E0A09"/>
    <w:rsid w:val="004E1333"/>
    <w:rsid w:val="004E13B8"/>
    <w:rsid w:val="004E1467"/>
    <w:rsid w:val="004E1B34"/>
    <w:rsid w:val="004E1B93"/>
    <w:rsid w:val="004E24F2"/>
    <w:rsid w:val="004E265D"/>
    <w:rsid w:val="004E2A9A"/>
    <w:rsid w:val="004E2D8D"/>
    <w:rsid w:val="004E309D"/>
    <w:rsid w:val="004E3968"/>
    <w:rsid w:val="004E3AB6"/>
    <w:rsid w:val="004E3DD1"/>
    <w:rsid w:val="004E402E"/>
    <w:rsid w:val="004E407D"/>
    <w:rsid w:val="004E4285"/>
    <w:rsid w:val="004E42DE"/>
    <w:rsid w:val="004E4525"/>
    <w:rsid w:val="004E46DE"/>
    <w:rsid w:val="004E48C1"/>
    <w:rsid w:val="004E4B94"/>
    <w:rsid w:val="004E508B"/>
    <w:rsid w:val="004E5132"/>
    <w:rsid w:val="004E5408"/>
    <w:rsid w:val="004E57CA"/>
    <w:rsid w:val="004E57ED"/>
    <w:rsid w:val="004E60E4"/>
    <w:rsid w:val="004E612F"/>
    <w:rsid w:val="004E655D"/>
    <w:rsid w:val="004E6707"/>
    <w:rsid w:val="004E6816"/>
    <w:rsid w:val="004E6B19"/>
    <w:rsid w:val="004E6B5E"/>
    <w:rsid w:val="004E6EFA"/>
    <w:rsid w:val="004E7216"/>
    <w:rsid w:val="004E780D"/>
    <w:rsid w:val="004F025F"/>
    <w:rsid w:val="004F03BC"/>
    <w:rsid w:val="004F05FA"/>
    <w:rsid w:val="004F0924"/>
    <w:rsid w:val="004F0CCF"/>
    <w:rsid w:val="004F0FD9"/>
    <w:rsid w:val="004F1401"/>
    <w:rsid w:val="004F1940"/>
    <w:rsid w:val="004F1FFA"/>
    <w:rsid w:val="004F228C"/>
    <w:rsid w:val="004F2815"/>
    <w:rsid w:val="004F29A6"/>
    <w:rsid w:val="004F2A59"/>
    <w:rsid w:val="004F34C6"/>
    <w:rsid w:val="004F37DC"/>
    <w:rsid w:val="004F386A"/>
    <w:rsid w:val="004F3DA4"/>
    <w:rsid w:val="004F4335"/>
    <w:rsid w:val="004F44C1"/>
    <w:rsid w:val="004F4665"/>
    <w:rsid w:val="004F4744"/>
    <w:rsid w:val="004F4759"/>
    <w:rsid w:val="004F4F14"/>
    <w:rsid w:val="004F4F3C"/>
    <w:rsid w:val="004F524D"/>
    <w:rsid w:val="004F58C5"/>
    <w:rsid w:val="004F5E9A"/>
    <w:rsid w:val="004F617A"/>
    <w:rsid w:val="004F68F7"/>
    <w:rsid w:val="004F6B27"/>
    <w:rsid w:val="004F6C62"/>
    <w:rsid w:val="004F6DC2"/>
    <w:rsid w:val="004F6FD7"/>
    <w:rsid w:val="004F718A"/>
    <w:rsid w:val="004F72D9"/>
    <w:rsid w:val="004F7351"/>
    <w:rsid w:val="004F76F2"/>
    <w:rsid w:val="004F78A3"/>
    <w:rsid w:val="004F7D2B"/>
    <w:rsid w:val="004F7E48"/>
    <w:rsid w:val="00500127"/>
    <w:rsid w:val="00500335"/>
    <w:rsid w:val="0050072A"/>
    <w:rsid w:val="005008FD"/>
    <w:rsid w:val="00500991"/>
    <w:rsid w:val="00500E6E"/>
    <w:rsid w:val="005014B1"/>
    <w:rsid w:val="00501960"/>
    <w:rsid w:val="00501AC7"/>
    <w:rsid w:val="00501DA3"/>
    <w:rsid w:val="00502543"/>
    <w:rsid w:val="00502838"/>
    <w:rsid w:val="00502B55"/>
    <w:rsid w:val="005031C0"/>
    <w:rsid w:val="0050381D"/>
    <w:rsid w:val="00503B0F"/>
    <w:rsid w:val="00503C16"/>
    <w:rsid w:val="00503ECE"/>
    <w:rsid w:val="00503F1D"/>
    <w:rsid w:val="00504394"/>
    <w:rsid w:val="00505266"/>
    <w:rsid w:val="005058C2"/>
    <w:rsid w:val="00505E19"/>
    <w:rsid w:val="00505EA1"/>
    <w:rsid w:val="00506012"/>
    <w:rsid w:val="0050626A"/>
    <w:rsid w:val="00506977"/>
    <w:rsid w:val="0050699C"/>
    <w:rsid w:val="005069F1"/>
    <w:rsid w:val="00506C5D"/>
    <w:rsid w:val="005076AE"/>
    <w:rsid w:val="005076BC"/>
    <w:rsid w:val="005076ED"/>
    <w:rsid w:val="0050777D"/>
    <w:rsid w:val="00507B8D"/>
    <w:rsid w:val="00507BDD"/>
    <w:rsid w:val="00507CE4"/>
    <w:rsid w:val="00507D37"/>
    <w:rsid w:val="00507D56"/>
    <w:rsid w:val="00507FB3"/>
    <w:rsid w:val="00507FB6"/>
    <w:rsid w:val="0051013A"/>
    <w:rsid w:val="005103B2"/>
    <w:rsid w:val="0051050F"/>
    <w:rsid w:val="00510946"/>
    <w:rsid w:val="0051098A"/>
    <w:rsid w:val="00511190"/>
    <w:rsid w:val="0051129C"/>
    <w:rsid w:val="005114DB"/>
    <w:rsid w:val="00511D56"/>
    <w:rsid w:val="00512092"/>
    <w:rsid w:val="005120D8"/>
    <w:rsid w:val="005127AF"/>
    <w:rsid w:val="005135BF"/>
    <w:rsid w:val="0051386E"/>
    <w:rsid w:val="00514276"/>
    <w:rsid w:val="00514854"/>
    <w:rsid w:val="00514A8B"/>
    <w:rsid w:val="00514BE3"/>
    <w:rsid w:val="00514D99"/>
    <w:rsid w:val="005152D3"/>
    <w:rsid w:val="00515608"/>
    <w:rsid w:val="0051596C"/>
    <w:rsid w:val="005159C2"/>
    <w:rsid w:val="00515B85"/>
    <w:rsid w:val="00515CC2"/>
    <w:rsid w:val="00515F76"/>
    <w:rsid w:val="00516255"/>
    <w:rsid w:val="0051654E"/>
    <w:rsid w:val="0051684F"/>
    <w:rsid w:val="00516A65"/>
    <w:rsid w:val="00516E94"/>
    <w:rsid w:val="005172CD"/>
    <w:rsid w:val="00517458"/>
    <w:rsid w:val="0051791F"/>
    <w:rsid w:val="00517C46"/>
    <w:rsid w:val="00517EFB"/>
    <w:rsid w:val="00517F83"/>
    <w:rsid w:val="00520359"/>
    <w:rsid w:val="005204F5"/>
    <w:rsid w:val="00520706"/>
    <w:rsid w:val="005207B4"/>
    <w:rsid w:val="005208B1"/>
    <w:rsid w:val="005208E4"/>
    <w:rsid w:val="005208EE"/>
    <w:rsid w:val="005208F2"/>
    <w:rsid w:val="00520BB3"/>
    <w:rsid w:val="00520DD4"/>
    <w:rsid w:val="00521666"/>
    <w:rsid w:val="00522480"/>
    <w:rsid w:val="00522580"/>
    <w:rsid w:val="00522D51"/>
    <w:rsid w:val="00523124"/>
    <w:rsid w:val="005231DD"/>
    <w:rsid w:val="005233BE"/>
    <w:rsid w:val="0052348D"/>
    <w:rsid w:val="00523AD2"/>
    <w:rsid w:val="00523DF8"/>
    <w:rsid w:val="00524171"/>
    <w:rsid w:val="005241CA"/>
    <w:rsid w:val="00524205"/>
    <w:rsid w:val="00525495"/>
    <w:rsid w:val="005255FC"/>
    <w:rsid w:val="00525692"/>
    <w:rsid w:val="0052569B"/>
    <w:rsid w:val="00525AD8"/>
    <w:rsid w:val="00525BEA"/>
    <w:rsid w:val="00525C73"/>
    <w:rsid w:val="00526116"/>
    <w:rsid w:val="0052635E"/>
    <w:rsid w:val="00526415"/>
    <w:rsid w:val="005265BD"/>
    <w:rsid w:val="00526838"/>
    <w:rsid w:val="005268BC"/>
    <w:rsid w:val="005268FE"/>
    <w:rsid w:val="00526C42"/>
    <w:rsid w:val="00526C6E"/>
    <w:rsid w:val="00526CE6"/>
    <w:rsid w:val="00526DA2"/>
    <w:rsid w:val="00527148"/>
    <w:rsid w:val="005272C5"/>
    <w:rsid w:val="0052783C"/>
    <w:rsid w:val="00527BEB"/>
    <w:rsid w:val="00527C1E"/>
    <w:rsid w:val="00527C49"/>
    <w:rsid w:val="00530280"/>
    <w:rsid w:val="005302BF"/>
    <w:rsid w:val="00530665"/>
    <w:rsid w:val="0053084E"/>
    <w:rsid w:val="00530C22"/>
    <w:rsid w:val="00530C93"/>
    <w:rsid w:val="00530CCF"/>
    <w:rsid w:val="00531141"/>
    <w:rsid w:val="005313E5"/>
    <w:rsid w:val="00531418"/>
    <w:rsid w:val="005317BF"/>
    <w:rsid w:val="00531FDC"/>
    <w:rsid w:val="005327EF"/>
    <w:rsid w:val="00532836"/>
    <w:rsid w:val="00532AAE"/>
    <w:rsid w:val="00532CFB"/>
    <w:rsid w:val="00533722"/>
    <w:rsid w:val="00534800"/>
    <w:rsid w:val="0053497E"/>
    <w:rsid w:val="00534A95"/>
    <w:rsid w:val="00534C59"/>
    <w:rsid w:val="00534ED0"/>
    <w:rsid w:val="005353FF"/>
    <w:rsid w:val="00535494"/>
    <w:rsid w:val="005354E0"/>
    <w:rsid w:val="00535881"/>
    <w:rsid w:val="00535926"/>
    <w:rsid w:val="00536436"/>
    <w:rsid w:val="005365C7"/>
    <w:rsid w:val="005367A8"/>
    <w:rsid w:val="005367F6"/>
    <w:rsid w:val="00536AE5"/>
    <w:rsid w:val="00537090"/>
    <w:rsid w:val="0053731F"/>
    <w:rsid w:val="0053776C"/>
    <w:rsid w:val="005378C6"/>
    <w:rsid w:val="00537A50"/>
    <w:rsid w:val="00537D90"/>
    <w:rsid w:val="005407FD"/>
    <w:rsid w:val="00540D77"/>
    <w:rsid w:val="00540F94"/>
    <w:rsid w:val="00540FDB"/>
    <w:rsid w:val="00541692"/>
    <w:rsid w:val="0054193E"/>
    <w:rsid w:val="0054197C"/>
    <w:rsid w:val="00541C52"/>
    <w:rsid w:val="00541C62"/>
    <w:rsid w:val="0054207C"/>
    <w:rsid w:val="005430F7"/>
    <w:rsid w:val="0054367E"/>
    <w:rsid w:val="00543A41"/>
    <w:rsid w:val="00543D5E"/>
    <w:rsid w:val="00544131"/>
    <w:rsid w:val="00544282"/>
    <w:rsid w:val="00544CB8"/>
    <w:rsid w:val="00544D0E"/>
    <w:rsid w:val="00544EDD"/>
    <w:rsid w:val="00545B9B"/>
    <w:rsid w:val="00545C8B"/>
    <w:rsid w:val="00545DEC"/>
    <w:rsid w:val="00545F6B"/>
    <w:rsid w:val="0054652D"/>
    <w:rsid w:val="005467E4"/>
    <w:rsid w:val="00546872"/>
    <w:rsid w:val="00546DEC"/>
    <w:rsid w:val="0054703C"/>
    <w:rsid w:val="0054709F"/>
    <w:rsid w:val="0054722D"/>
    <w:rsid w:val="00547FA5"/>
    <w:rsid w:val="00550291"/>
    <w:rsid w:val="0055037A"/>
    <w:rsid w:val="00550973"/>
    <w:rsid w:val="005509C2"/>
    <w:rsid w:val="005509DF"/>
    <w:rsid w:val="00550ABB"/>
    <w:rsid w:val="00550CAE"/>
    <w:rsid w:val="0055139E"/>
    <w:rsid w:val="00551653"/>
    <w:rsid w:val="00552227"/>
    <w:rsid w:val="00552660"/>
    <w:rsid w:val="00552824"/>
    <w:rsid w:val="00552A5A"/>
    <w:rsid w:val="00552A82"/>
    <w:rsid w:val="00552DAB"/>
    <w:rsid w:val="00552DC9"/>
    <w:rsid w:val="005534DD"/>
    <w:rsid w:val="005536CE"/>
    <w:rsid w:val="005538EE"/>
    <w:rsid w:val="00553E64"/>
    <w:rsid w:val="0055404E"/>
    <w:rsid w:val="00554526"/>
    <w:rsid w:val="005547BE"/>
    <w:rsid w:val="005548B3"/>
    <w:rsid w:val="00554A46"/>
    <w:rsid w:val="00554B2C"/>
    <w:rsid w:val="00554F1F"/>
    <w:rsid w:val="00555193"/>
    <w:rsid w:val="0055583E"/>
    <w:rsid w:val="0055593D"/>
    <w:rsid w:val="00555E8D"/>
    <w:rsid w:val="0055664D"/>
    <w:rsid w:val="0055679F"/>
    <w:rsid w:val="00556A60"/>
    <w:rsid w:val="00556FAC"/>
    <w:rsid w:val="00556FC8"/>
    <w:rsid w:val="005574BC"/>
    <w:rsid w:val="005574E3"/>
    <w:rsid w:val="00557533"/>
    <w:rsid w:val="005577BA"/>
    <w:rsid w:val="005578CF"/>
    <w:rsid w:val="005579F2"/>
    <w:rsid w:val="00560DD2"/>
    <w:rsid w:val="00561DB0"/>
    <w:rsid w:val="00561F90"/>
    <w:rsid w:val="005625B8"/>
    <w:rsid w:val="00562A2F"/>
    <w:rsid w:val="00562BEF"/>
    <w:rsid w:val="00562DB8"/>
    <w:rsid w:val="0056378A"/>
    <w:rsid w:val="00563B04"/>
    <w:rsid w:val="005643D3"/>
    <w:rsid w:val="00564991"/>
    <w:rsid w:val="00565A23"/>
    <w:rsid w:val="00565A50"/>
    <w:rsid w:val="00565C6F"/>
    <w:rsid w:val="00565F78"/>
    <w:rsid w:val="00565F93"/>
    <w:rsid w:val="00566122"/>
    <w:rsid w:val="0056625F"/>
    <w:rsid w:val="005663AF"/>
    <w:rsid w:val="00566547"/>
    <w:rsid w:val="0056690A"/>
    <w:rsid w:val="005669FC"/>
    <w:rsid w:val="00567097"/>
    <w:rsid w:val="00567458"/>
    <w:rsid w:val="005674FB"/>
    <w:rsid w:val="005701CB"/>
    <w:rsid w:val="00570304"/>
    <w:rsid w:val="0057094C"/>
    <w:rsid w:val="00570ACE"/>
    <w:rsid w:val="00570FB1"/>
    <w:rsid w:val="00571621"/>
    <w:rsid w:val="00571F91"/>
    <w:rsid w:val="005720C4"/>
    <w:rsid w:val="0057229E"/>
    <w:rsid w:val="0057245A"/>
    <w:rsid w:val="00572506"/>
    <w:rsid w:val="00572775"/>
    <w:rsid w:val="00572830"/>
    <w:rsid w:val="00572852"/>
    <w:rsid w:val="005729E1"/>
    <w:rsid w:val="005730AB"/>
    <w:rsid w:val="00573327"/>
    <w:rsid w:val="00573E96"/>
    <w:rsid w:val="005741CC"/>
    <w:rsid w:val="00574273"/>
    <w:rsid w:val="0057440D"/>
    <w:rsid w:val="00574E61"/>
    <w:rsid w:val="00574F45"/>
    <w:rsid w:val="00575380"/>
    <w:rsid w:val="00575623"/>
    <w:rsid w:val="00576158"/>
    <w:rsid w:val="005761AD"/>
    <w:rsid w:val="00576D3E"/>
    <w:rsid w:val="00577059"/>
    <w:rsid w:val="00577292"/>
    <w:rsid w:val="005772DC"/>
    <w:rsid w:val="005802E8"/>
    <w:rsid w:val="00580768"/>
    <w:rsid w:val="005808B2"/>
    <w:rsid w:val="00580B2A"/>
    <w:rsid w:val="00580CE6"/>
    <w:rsid w:val="00580FDC"/>
    <w:rsid w:val="00581222"/>
    <w:rsid w:val="0058135E"/>
    <w:rsid w:val="00581951"/>
    <w:rsid w:val="00581C71"/>
    <w:rsid w:val="00581D7A"/>
    <w:rsid w:val="00581F91"/>
    <w:rsid w:val="005821FF"/>
    <w:rsid w:val="005823BA"/>
    <w:rsid w:val="0058287B"/>
    <w:rsid w:val="00582C98"/>
    <w:rsid w:val="00582CE9"/>
    <w:rsid w:val="00582E6F"/>
    <w:rsid w:val="00583026"/>
    <w:rsid w:val="00583AFD"/>
    <w:rsid w:val="00583CD7"/>
    <w:rsid w:val="00584247"/>
    <w:rsid w:val="0058503D"/>
    <w:rsid w:val="0058507F"/>
    <w:rsid w:val="00585195"/>
    <w:rsid w:val="005852E2"/>
    <w:rsid w:val="00585A87"/>
    <w:rsid w:val="00585E72"/>
    <w:rsid w:val="0058611F"/>
    <w:rsid w:val="0058648A"/>
    <w:rsid w:val="00586B69"/>
    <w:rsid w:val="00587196"/>
    <w:rsid w:val="00587363"/>
    <w:rsid w:val="005878C9"/>
    <w:rsid w:val="00587EA2"/>
    <w:rsid w:val="005902A6"/>
    <w:rsid w:val="0059050F"/>
    <w:rsid w:val="0059075D"/>
    <w:rsid w:val="00590783"/>
    <w:rsid w:val="00590A05"/>
    <w:rsid w:val="00590A19"/>
    <w:rsid w:val="00590AB5"/>
    <w:rsid w:val="00590B37"/>
    <w:rsid w:val="00590EE9"/>
    <w:rsid w:val="00591E00"/>
    <w:rsid w:val="005921AB"/>
    <w:rsid w:val="005924D6"/>
    <w:rsid w:val="00592E38"/>
    <w:rsid w:val="00592FB1"/>
    <w:rsid w:val="0059341D"/>
    <w:rsid w:val="0059344B"/>
    <w:rsid w:val="0059382D"/>
    <w:rsid w:val="00593A99"/>
    <w:rsid w:val="00593CF6"/>
    <w:rsid w:val="00593E22"/>
    <w:rsid w:val="00593FA9"/>
    <w:rsid w:val="00594123"/>
    <w:rsid w:val="0059412E"/>
    <w:rsid w:val="0059476B"/>
    <w:rsid w:val="00594C4C"/>
    <w:rsid w:val="00594DE4"/>
    <w:rsid w:val="00595235"/>
    <w:rsid w:val="00595B5B"/>
    <w:rsid w:val="00595E8C"/>
    <w:rsid w:val="005960D2"/>
    <w:rsid w:val="00596D78"/>
    <w:rsid w:val="00597B01"/>
    <w:rsid w:val="00597EFD"/>
    <w:rsid w:val="005A0704"/>
    <w:rsid w:val="005A0CDD"/>
    <w:rsid w:val="005A0F04"/>
    <w:rsid w:val="005A10B8"/>
    <w:rsid w:val="005A15C8"/>
    <w:rsid w:val="005A1BDD"/>
    <w:rsid w:val="005A1C41"/>
    <w:rsid w:val="005A1EFE"/>
    <w:rsid w:val="005A21D8"/>
    <w:rsid w:val="005A23D5"/>
    <w:rsid w:val="005A26BC"/>
    <w:rsid w:val="005A2B6A"/>
    <w:rsid w:val="005A2EEE"/>
    <w:rsid w:val="005A3164"/>
    <w:rsid w:val="005A392D"/>
    <w:rsid w:val="005A39C4"/>
    <w:rsid w:val="005A3AE9"/>
    <w:rsid w:val="005A3B8B"/>
    <w:rsid w:val="005A3E7C"/>
    <w:rsid w:val="005A3FDD"/>
    <w:rsid w:val="005A442B"/>
    <w:rsid w:val="005A447F"/>
    <w:rsid w:val="005A48A0"/>
    <w:rsid w:val="005A4C42"/>
    <w:rsid w:val="005A4C77"/>
    <w:rsid w:val="005A4C98"/>
    <w:rsid w:val="005A4E2F"/>
    <w:rsid w:val="005A4F4D"/>
    <w:rsid w:val="005A4FFA"/>
    <w:rsid w:val="005A52EB"/>
    <w:rsid w:val="005A54AA"/>
    <w:rsid w:val="005A5D58"/>
    <w:rsid w:val="005A5D65"/>
    <w:rsid w:val="005A5D75"/>
    <w:rsid w:val="005A64B2"/>
    <w:rsid w:val="005A6549"/>
    <w:rsid w:val="005A659F"/>
    <w:rsid w:val="005A68A0"/>
    <w:rsid w:val="005A6A0F"/>
    <w:rsid w:val="005B03DB"/>
    <w:rsid w:val="005B07B5"/>
    <w:rsid w:val="005B0D7E"/>
    <w:rsid w:val="005B1E7D"/>
    <w:rsid w:val="005B1EF8"/>
    <w:rsid w:val="005B2515"/>
    <w:rsid w:val="005B28A8"/>
    <w:rsid w:val="005B2904"/>
    <w:rsid w:val="005B2CFC"/>
    <w:rsid w:val="005B2EA0"/>
    <w:rsid w:val="005B3919"/>
    <w:rsid w:val="005B428F"/>
    <w:rsid w:val="005B4823"/>
    <w:rsid w:val="005B4B59"/>
    <w:rsid w:val="005B4B80"/>
    <w:rsid w:val="005B4E1D"/>
    <w:rsid w:val="005B5171"/>
    <w:rsid w:val="005B5259"/>
    <w:rsid w:val="005B5892"/>
    <w:rsid w:val="005B62D8"/>
    <w:rsid w:val="005B63ED"/>
    <w:rsid w:val="005B6887"/>
    <w:rsid w:val="005B6B12"/>
    <w:rsid w:val="005B6B58"/>
    <w:rsid w:val="005B6F13"/>
    <w:rsid w:val="005B7CEC"/>
    <w:rsid w:val="005C08D2"/>
    <w:rsid w:val="005C09B7"/>
    <w:rsid w:val="005C0A2E"/>
    <w:rsid w:val="005C0CFC"/>
    <w:rsid w:val="005C12D1"/>
    <w:rsid w:val="005C1330"/>
    <w:rsid w:val="005C14DA"/>
    <w:rsid w:val="005C1743"/>
    <w:rsid w:val="005C1C42"/>
    <w:rsid w:val="005C1ED5"/>
    <w:rsid w:val="005C1FD7"/>
    <w:rsid w:val="005C2035"/>
    <w:rsid w:val="005C2615"/>
    <w:rsid w:val="005C2728"/>
    <w:rsid w:val="005C2F1B"/>
    <w:rsid w:val="005C3183"/>
    <w:rsid w:val="005C386B"/>
    <w:rsid w:val="005C3C58"/>
    <w:rsid w:val="005C3E03"/>
    <w:rsid w:val="005C3FC9"/>
    <w:rsid w:val="005C460E"/>
    <w:rsid w:val="005C46D6"/>
    <w:rsid w:val="005C479E"/>
    <w:rsid w:val="005C4C21"/>
    <w:rsid w:val="005C50BA"/>
    <w:rsid w:val="005C58FE"/>
    <w:rsid w:val="005C598F"/>
    <w:rsid w:val="005C5C60"/>
    <w:rsid w:val="005C6218"/>
    <w:rsid w:val="005C6EE6"/>
    <w:rsid w:val="005C7235"/>
    <w:rsid w:val="005C7424"/>
    <w:rsid w:val="005C7831"/>
    <w:rsid w:val="005C79A6"/>
    <w:rsid w:val="005C7A06"/>
    <w:rsid w:val="005C7A30"/>
    <w:rsid w:val="005C7A7C"/>
    <w:rsid w:val="005C7BCD"/>
    <w:rsid w:val="005C7E2A"/>
    <w:rsid w:val="005D0205"/>
    <w:rsid w:val="005D04E5"/>
    <w:rsid w:val="005D1900"/>
    <w:rsid w:val="005D2333"/>
    <w:rsid w:val="005D23E9"/>
    <w:rsid w:val="005D264C"/>
    <w:rsid w:val="005D2885"/>
    <w:rsid w:val="005D2A3D"/>
    <w:rsid w:val="005D2C05"/>
    <w:rsid w:val="005D3078"/>
    <w:rsid w:val="005D38C1"/>
    <w:rsid w:val="005D3BCB"/>
    <w:rsid w:val="005D3F4A"/>
    <w:rsid w:val="005D4561"/>
    <w:rsid w:val="005D463F"/>
    <w:rsid w:val="005D48AF"/>
    <w:rsid w:val="005D51A6"/>
    <w:rsid w:val="005D5203"/>
    <w:rsid w:val="005D54E9"/>
    <w:rsid w:val="005D5C70"/>
    <w:rsid w:val="005D5D8B"/>
    <w:rsid w:val="005D6856"/>
    <w:rsid w:val="005D6AC7"/>
    <w:rsid w:val="005D6BB5"/>
    <w:rsid w:val="005D6BF8"/>
    <w:rsid w:val="005D6D0F"/>
    <w:rsid w:val="005D7381"/>
    <w:rsid w:val="005D7587"/>
    <w:rsid w:val="005D79F3"/>
    <w:rsid w:val="005D7A05"/>
    <w:rsid w:val="005D7B28"/>
    <w:rsid w:val="005D7DF3"/>
    <w:rsid w:val="005D7FD0"/>
    <w:rsid w:val="005E049D"/>
    <w:rsid w:val="005E0B5C"/>
    <w:rsid w:val="005E0D26"/>
    <w:rsid w:val="005E1153"/>
    <w:rsid w:val="005E151E"/>
    <w:rsid w:val="005E17AC"/>
    <w:rsid w:val="005E17D7"/>
    <w:rsid w:val="005E1C9F"/>
    <w:rsid w:val="005E1E4D"/>
    <w:rsid w:val="005E2215"/>
    <w:rsid w:val="005E2517"/>
    <w:rsid w:val="005E29BD"/>
    <w:rsid w:val="005E2A14"/>
    <w:rsid w:val="005E3636"/>
    <w:rsid w:val="005E3B27"/>
    <w:rsid w:val="005E3DB7"/>
    <w:rsid w:val="005E52CC"/>
    <w:rsid w:val="005E52FD"/>
    <w:rsid w:val="005E6261"/>
    <w:rsid w:val="005E6908"/>
    <w:rsid w:val="005E6CA7"/>
    <w:rsid w:val="005E6E39"/>
    <w:rsid w:val="005E71F3"/>
    <w:rsid w:val="005E742B"/>
    <w:rsid w:val="005E7C95"/>
    <w:rsid w:val="005E7E51"/>
    <w:rsid w:val="005E7E61"/>
    <w:rsid w:val="005F0088"/>
    <w:rsid w:val="005F01D7"/>
    <w:rsid w:val="005F04BA"/>
    <w:rsid w:val="005F06C4"/>
    <w:rsid w:val="005F0756"/>
    <w:rsid w:val="005F1040"/>
    <w:rsid w:val="005F11E1"/>
    <w:rsid w:val="005F1CEB"/>
    <w:rsid w:val="005F20F1"/>
    <w:rsid w:val="005F3287"/>
    <w:rsid w:val="005F330C"/>
    <w:rsid w:val="005F3A64"/>
    <w:rsid w:val="005F471C"/>
    <w:rsid w:val="005F49DE"/>
    <w:rsid w:val="005F4F7C"/>
    <w:rsid w:val="005F513D"/>
    <w:rsid w:val="005F5526"/>
    <w:rsid w:val="005F57F1"/>
    <w:rsid w:val="005F5823"/>
    <w:rsid w:val="005F58CA"/>
    <w:rsid w:val="005F5A61"/>
    <w:rsid w:val="005F5A76"/>
    <w:rsid w:val="005F5F84"/>
    <w:rsid w:val="005F5F8F"/>
    <w:rsid w:val="005F63AF"/>
    <w:rsid w:val="005F649F"/>
    <w:rsid w:val="005F66DA"/>
    <w:rsid w:val="005F6778"/>
    <w:rsid w:val="005F68E0"/>
    <w:rsid w:val="005F68F1"/>
    <w:rsid w:val="005F6EF5"/>
    <w:rsid w:val="005F7532"/>
    <w:rsid w:val="005F787A"/>
    <w:rsid w:val="005F7ADE"/>
    <w:rsid w:val="005F7F3B"/>
    <w:rsid w:val="00600292"/>
    <w:rsid w:val="006004BC"/>
    <w:rsid w:val="00600C17"/>
    <w:rsid w:val="00600EDE"/>
    <w:rsid w:val="006016A0"/>
    <w:rsid w:val="006017DB"/>
    <w:rsid w:val="00601D08"/>
    <w:rsid w:val="00601D3D"/>
    <w:rsid w:val="00601F30"/>
    <w:rsid w:val="0060235C"/>
    <w:rsid w:val="006027CF"/>
    <w:rsid w:val="0060280C"/>
    <w:rsid w:val="00602A4A"/>
    <w:rsid w:val="00602A51"/>
    <w:rsid w:val="00602FFB"/>
    <w:rsid w:val="006030E0"/>
    <w:rsid w:val="006032D6"/>
    <w:rsid w:val="00603843"/>
    <w:rsid w:val="006038E4"/>
    <w:rsid w:val="0060467F"/>
    <w:rsid w:val="00605251"/>
    <w:rsid w:val="00605296"/>
    <w:rsid w:val="00605AFE"/>
    <w:rsid w:val="00606415"/>
    <w:rsid w:val="00606B7F"/>
    <w:rsid w:val="00606D3B"/>
    <w:rsid w:val="00606FC7"/>
    <w:rsid w:val="00606FFD"/>
    <w:rsid w:val="0060722B"/>
    <w:rsid w:val="00607350"/>
    <w:rsid w:val="00607488"/>
    <w:rsid w:val="00607A72"/>
    <w:rsid w:val="00610B5D"/>
    <w:rsid w:val="006119B5"/>
    <w:rsid w:val="00611E32"/>
    <w:rsid w:val="00612060"/>
    <w:rsid w:val="00612E9B"/>
    <w:rsid w:val="00613109"/>
    <w:rsid w:val="006131FC"/>
    <w:rsid w:val="0061358C"/>
    <w:rsid w:val="006137C2"/>
    <w:rsid w:val="00613844"/>
    <w:rsid w:val="006138BD"/>
    <w:rsid w:val="00613B8F"/>
    <w:rsid w:val="00613D31"/>
    <w:rsid w:val="00613F24"/>
    <w:rsid w:val="00613F45"/>
    <w:rsid w:val="00614495"/>
    <w:rsid w:val="00614B2E"/>
    <w:rsid w:val="00614E55"/>
    <w:rsid w:val="00614ED4"/>
    <w:rsid w:val="00615340"/>
    <w:rsid w:val="00615348"/>
    <w:rsid w:val="00615424"/>
    <w:rsid w:val="00615455"/>
    <w:rsid w:val="00615643"/>
    <w:rsid w:val="006159BF"/>
    <w:rsid w:val="00615AB1"/>
    <w:rsid w:val="00615FEA"/>
    <w:rsid w:val="006168D7"/>
    <w:rsid w:val="0061712B"/>
    <w:rsid w:val="0061722D"/>
    <w:rsid w:val="006177B2"/>
    <w:rsid w:val="006177DA"/>
    <w:rsid w:val="00617A37"/>
    <w:rsid w:val="00617A8C"/>
    <w:rsid w:val="00617BD2"/>
    <w:rsid w:val="00620444"/>
    <w:rsid w:val="006209D9"/>
    <w:rsid w:val="00620B1A"/>
    <w:rsid w:val="00620BDA"/>
    <w:rsid w:val="00620FC0"/>
    <w:rsid w:val="006210FD"/>
    <w:rsid w:val="006211E3"/>
    <w:rsid w:val="006213F2"/>
    <w:rsid w:val="006215AA"/>
    <w:rsid w:val="00621D6E"/>
    <w:rsid w:val="00622124"/>
    <w:rsid w:val="00622C3D"/>
    <w:rsid w:val="006230B9"/>
    <w:rsid w:val="006230F2"/>
    <w:rsid w:val="0062327A"/>
    <w:rsid w:val="00623854"/>
    <w:rsid w:val="00623925"/>
    <w:rsid w:val="00623984"/>
    <w:rsid w:val="00624495"/>
    <w:rsid w:val="006244E2"/>
    <w:rsid w:val="006246D7"/>
    <w:rsid w:val="0062476A"/>
    <w:rsid w:val="0062497D"/>
    <w:rsid w:val="00625680"/>
    <w:rsid w:val="0062573E"/>
    <w:rsid w:val="006258BE"/>
    <w:rsid w:val="00626424"/>
    <w:rsid w:val="00626492"/>
    <w:rsid w:val="00626C0A"/>
    <w:rsid w:val="006271FE"/>
    <w:rsid w:val="00627A11"/>
    <w:rsid w:val="00627B3E"/>
    <w:rsid w:val="006301CE"/>
    <w:rsid w:val="00630884"/>
    <w:rsid w:val="006308AE"/>
    <w:rsid w:val="00630E82"/>
    <w:rsid w:val="00630F96"/>
    <w:rsid w:val="00631518"/>
    <w:rsid w:val="00631BFE"/>
    <w:rsid w:val="006327DE"/>
    <w:rsid w:val="00632E71"/>
    <w:rsid w:val="00632FCB"/>
    <w:rsid w:val="006337D6"/>
    <w:rsid w:val="00633A9F"/>
    <w:rsid w:val="00633EE0"/>
    <w:rsid w:val="00634105"/>
    <w:rsid w:val="006346A9"/>
    <w:rsid w:val="00634801"/>
    <w:rsid w:val="006349C2"/>
    <w:rsid w:val="006349EA"/>
    <w:rsid w:val="00634D0D"/>
    <w:rsid w:val="00634D68"/>
    <w:rsid w:val="006353E7"/>
    <w:rsid w:val="00635471"/>
    <w:rsid w:val="006356E0"/>
    <w:rsid w:val="00635B2D"/>
    <w:rsid w:val="00635FD8"/>
    <w:rsid w:val="00636903"/>
    <w:rsid w:val="00636EDE"/>
    <w:rsid w:val="006371A0"/>
    <w:rsid w:val="006372FC"/>
    <w:rsid w:val="0063764D"/>
    <w:rsid w:val="0063782A"/>
    <w:rsid w:val="0063792F"/>
    <w:rsid w:val="00637D6C"/>
    <w:rsid w:val="006401A9"/>
    <w:rsid w:val="006401CA"/>
    <w:rsid w:val="00640306"/>
    <w:rsid w:val="0064047B"/>
    <w:rsid w:val="00640DA1"/>
    <w:rsid w:val="00641050"/>
    <w:rsid w:val="00641081"/>
    <w:rsid w:val="006411DF"/>
    <w:rsid w:val="0064145D"/>
    <w:rsid w:val="00641610"/>
    <w:rsid w:val="0064209F"/>
    <w:rsid w:val="00642CBE"/>
    <w:rsid w:val="00643049"/>
    <w:rsid w:val="0064304B"/>
    <w:rsid w:val="006430B9"/>
    <w:rsid w:val="0064310C"/>
    <w:rsid w:val="0064325D"/>
    <w:rsid w:val="006437FE"/>
    <w:rsid w:val="006439CB"/>
    <w:rsid w:val="00643B7D"/>
    <w:rsid w:val="00643D5F"/>
    <w:rsid w:val="00643F07"/>
    <w:rsid w:val="0064405F"/>
    <w:rsid w:val="006440B7"/>
    <w:rsid w:val="00644226"/>
    <w:rsid w:val="006446F0"/>
    <w:rsid w:val="00644B11"/>
    <w:rsid w:val="00644E04"/>
    <w:rsid w:val="00644E6A"/>
    <w:rsid w:val="00644F63"/>
    <w:rsid w:val="0064527B"/>
    <w:rsid w:val="00645650"/>
    <w:rsid w:val="00645F3C"/>
    <w:rsid w:val="00645FF7"/>
    <w:rsid w:val="00646612"/>
    <w:rsid w:val="006468F9"/>
    <w:rsid w:val="00646CE3"/>
    <w:rsid w:val="00646E59"/>
    <w:rsid w:val="00646F5E"/>
    <w:rsid w:val="0064707D"/>
    <w:rsid w:val="0064717D"/>
    <w:rsid w:val="006477D1"/>
    <w:rsid w:val="00647B02"/>
    <w:rsid w:val="00647B2E"/>
    <w:rsid w:val="006505F6"/>
    <w:rsid w:val="0065064C"/>
    <w:rsid w:val="00650B67"/>
    <w:rsid w:val="00650BEE"/>
    <w:rsid w:val="00650CB2"/>
    <w:rsid w:val="00650E0B"/>
    <w:rsid w:val="006510E9"/>
    <w:rsid w:val="006510F5"/>
    <w:rsid w:val="00651A5C"/>
    <w:rsid w:val="00651D01"/>
    <w:rsid w:val="00651D86"/>
    <w:rsid w:val="006524A7"/>
    <w:rsid w:val="006528BD"/>
    <w:rsid w:val="00652A11"/>
    <w:rsid w:val="00652EB3"/>
    <w:rsid w:val="00653435"/>
    <w:rsid w:val="00653914"/>
    <w:rsid w:val="00653C90"/>
    <w:rsid w:val="00653CDE"/>
    <w:rsid w:val="00653D9F"/>
    <w:rsid w:val="00653DF4"/>
    <w:rsid w:val="00653EF4"/>
    <w:rsid w:val="00653F95"/>
    <w:rsid w:val="00654039"/>
    <w:rsid w:val="0065440D"/>
    <w:rsid w:val="006544E9"/>
    <w:rsid w:val="006545CE"/>
    <w:rsid w:val="006548E9"/>
    <w:rsid w:val="00654971"/>
    <w:rsid w:val="0065497A"/>
    <w:rsid w:val="00654993"/>
    <w:rsid w:val="006549DE"/>
    <w:rsid w:val="0065529A"/>
    <w:rsid w:val="006554B5"/>
    <w:rsid w:val="00655C04"/>
    <w:rsid w:val="00655F20"/>
    <w:rsid w:val="00656896"/>
    <w:rsid w:val="006568E1"/>
    <w:rsid w:val="00656CF3"/>
    <w:rsid w:val="0065757C"/>
    <w:rsid w:val="006576B9"/>
    <w:rsid w:val="0065773F"/>
    <w:rsid w:val="00657963"/>
    <w:rsid w:val="006579DC"/>
    <w:rsid w:val="00657CAC"/>
    <w:rsid w:val="00657F85"/>
    <w:rsid w:val="006604B4"/>
    <w:rsid w:val="006605FF"/>
    <w:rsid w:val="00661619"/>
    <w:rsid w:val="00661845"/>
    <w:rsid w:val="00663692"/>
    <w:rsid w:val="00663D46"/>
    <w:rsid w:val="006640DD"/>
    <w:rsid w:val="006642FF"/>
    <w:rsid w:val="00664534"/>
    <w:rsid w:val="00664755"/>
    <w:rsid w:val="006648DD"/>
    <w:rsid w:val="006649E9"/>
    <w:rsid w:val="00664A3F"/>
    <w:rsid w:val="00664CA0"/>
    <w:rsid w:val="0066510E"/>
    <w:rsid w:val="006658CC"/>
    <w:rsid w:val="00665E52"/>
    <w:rsid w:val="00665FE2"/>
    <w:rsid w:val="006663A2"/>
    <w:rsid w:val="00666AB3"/>
    <w:rsid w:val="00666EBF"/>
    <w:rsid w:val="00667647"/>
    <w:rsid w:val="006676E5"/>
    <w:rsid w:val="00667927"/>
    <w:rsid w:val="00667E58"/>
    <w:rsid w:val="00670546"/>
    <w:rsid w:val="00670AB9"/>
    <w:rsid w:val="00670BDF"/>
    <w:rsid w:val="00670C2D"/>
    <w:rsid w:val="00671277"/>
    <w:rsid w:val="00671733"/>
    <w:rsid w:val="00671C54"/>
    <w:rsid w:val="00672081"/>
    <w:rsid w:val="00672437"/>
    <w:rsid w:val="006725A4"/>
    <w:rsid w:val="00672771"/>
    <w:rsid w:val="0067297F"/>
    <w:rsid w:val="006729D6"/>
    <w:rsid w:val="006730F6"/>
    <w:rsid w:val="00673166"/>
    <w:rsid w:val="00673207"/>
    <w:rsid w:val="006733B1"/>
    <w:rsid w:val="006734FD"/>
    <w:rsid w:val="0067379F"/>
    <w:rsid w:val="006737A7"/>
    <w:rsid w:val="00673F0E"/>
    <w:rsid w:val="00673F90"/>
    <w:rsid w:val="00674430"/>
    <w:rsid w:val="006744E6"/>
    <w:rsid w:val="00674785"/>
    <w:rsid w:val="00674804"/>
    <w:rsid w:val="00674A6D"/>
    <w:rsid w:val="00674B0A"/>
    <w:rsid w:val="00674D7E"/>
    <w:rsid w:val="00674ED5"/>
    <w:rsid w:val="0067557F"/>
    <w:rsid w:val="006757F9"/>
    <w:rsid w:val="006759A2"/>
    <w:rsid w:val="00675BE8"/>
    <w:rsid w:val="006762F0"/>
    <w:rsid w:val="00676521"/>
    <w:rsid w:val="00676745"/>
    <w:rsid w:val="006773EA"/>
    <w:rsid w:val="00677505"/>
    <w:rsid w:val="00677AC0"/>
    <w:rsid w:val="00677E05"/>
    <w:rsid w:val="00677EAB"/>
    <w:rsid w:val="0068019C"/>
    <w:rsid w:val="0068135B"/>
    <w:rsid w:val="00681841"/>
    <w:rsid w:val="00681A1E"/>
    <w:rsid w:val="00681A80"/>
    <w:rsid w:val="00681B09"/>
    <w:rsid w:val="00681FD0"/>
    <w:rsid w:val="0068238F"/>
    <w:rsid w:val="00682C6C"/>
    <w:rsid w:val="00682CA0"/>
    <w:rsid w:val="00682CF8"/>
    <w:rsid w:val="00682D1B"/>
    <w:rsid w:val="006836A6"/>
    <w:rsid w:val="00683BFF"/>
    <w:rsid w:val="00683C9A"/>
    <w:rsid w:val="00683CC0"/>
    <w:rsid w:val="00683F62"/>
    <w:rsid w:val="00684107"/>
    <w:rsid w:val="0068410D"/>
    <w:rsid w:val="006846EF"/>
    <w:rsid w:val="00684A29"/>
    <w:rsid w:val="00684F47"/>
    <w:rsid w:val="0068503D"/>
    <w:rsid w:val="00685049"/>
    <w:rsid w:val="00685C82"/>
    <w:rsid w:val="00686139"/>
    <w:rsid w:val="006869C8"/>
    <w:rsid w:val="006869E0"/>
    <w:rsid w:val="00686D51"/>
    <w:rsid w:val="00686E9C"/>
    <w:rsid w:val="00686F1C"/>
    <w:rsid w:val="00686FDF"/>
    <w:rsid w:val="00687B83"/>
    <w:rsid w:val="00687D8D"/>
    <w:rsid w:val="00690553"/>
    <w:rsid w:val="00690596"/>
    <w:rsid w:val="006905AE"/>
    <w:rsid w:val="00690E1C"/>
    <w:rsid w:val="00690F81"/>
    <w:rsid w:val="0069165E"/>
    <w:rsid w:val="00691B0B"/>
    <w:rsid w:val="006921C0"/>
    <w:rsid w:val="0069263A"/>
    <w:rsid w:val="00692AF5"/>
    <w:rsid w:val="00692EBE"/>
    <w:rsid w:val="00692EF8"/>
    <w:rsid w:val="00693254"/>
    <w:rsid w:val="006939C0"/>
    <w:rsid w:val="00693BA3"/>
    <w:rsid w:val="00693BC4"/>
    <w:rsid w:val="006940C5"/>
    <w:rsid w:val="00694711"/>
    <w:rsid w:val="00694AE4"/>
    <w:rsid w:val="00694DA3"/>
    <w:rsid w:val="00695403"/>
    <w:rsid w:val="0069546F"/>
    <w:rsid w:val="006959C3"/>
    <w:rsid w:val="00695A92"/>
    <w:rsid w:val="0069635D"/>
    <w:rsid w:val="0069666C"/>
    <w:rsid w:val="00696855"/>
    <w:rsid w:val="00696972"/>
    <w:rsid w:val="00696FC8"/>
    <w:rsid w:val="00696FE4"/>
    <w:rsid w:val="00697027"/>
    <w:rsid w:val="0069711D"/>
    <w:rsid w:val="00697498"/>
    <w:rsid w:val="006A050B"/>
    <w:rsid w:val="006A086A"/>
    <w:rsid w:val="006A0891"/>
    <w:rsid w:val="006A0D3A"/>
    <w:rsid w:val="006A1AAA"/>
    <w:rsid w:val="006A1D75"/>
    <w:rsid w:val="006A1F3A"/>
    <w:rsid w:val="006A2666"/>
    <w:rsid w:val="006A2929"/>
    <w:rsid w:val="006A3092"/>
    <w:rsid w:val="006A30F5"/>
    <w:rsid w:val="006A3328"/>
    <w:rsid w:val="006A3775"/>
    <w:rsid w:val="006A3846"/>
    <w:rsid w:val="006A3C99"/>
    <w:rsid w:val="006A3D04"/>
    <w:rsid w:val="006A3D9B"/>
    <w:rsid w:val="006A3F0A"/>
    <w:rsid w:val="006A4419"/>
    <w:rsid w:val="006A45E0"/>
    <w:rsid w:val="006A4A27"/>
    <w:rsid w:val="006A4E20"/>
    <w:rsid w:val="006A5224"/>
    <w:rsid w:val="006A58A9"/>
    <w:rsid w:val="006A5A74"/>
    <w:rsid w:val="006A5C97"/>
    <w:rsid w:val="006A5F19"/>
    <w:rsid w:val="006A62FA"/>
    <w:rsid w:val="006A68D8"/>
    <w:rsid w:val="006A68E6"/>
    <w:rsid w:val="006A7402"/>
    <w:rsid w:val="006A7B97"/>
    <w:rsid w:val="006A7D6D"/>
    <w:rsid w:val="006B0018"/>
    <w:rsid w:val="006B0535"/>
    <w:rsid w:val="006B0588"/>
    <w:rsid w:val="006B059B"/>
    <w:rsid w:val="006B082A"/>
    <w:rsid w:val="006B08CB"/>
    <w:rsid w:val="006B0F20"/>
    <w:rsid w:val="006B0FB4"/>
    <w:rsid w:val="006B1041"/>
    <w:rsid w:val="006B22C6"/>
    <w:rsid w:val="006B27A6"/>
    <w:rsid w:val="006B29CF"/>
    <w:rsid w:val="006B2E89"/>
    <w:rsid w:val="006B35F0"/>
    <w:rsid w:val="006B3AB2"/>
    <w:rsid w:val="006B3E64"/>
    <w:rsid w:val="006B4347"/>
    <w:rsid w:val="006B5021"/>
    <w:rsid w:val="006B55A3"/>
    <w:rsid w:val="006B70B0"/>
    <w:rsid w:val="006B730B"/>
    <w:rsid w:val="006B746B"/>
    <w:rsid w:val="006B7637"/>
    <w:rsid w:val="006C054D"/>
    <w:rsid w:val="006C08C1"/>
    <w:rsid w:val="006C08FC"/>
    <w:rsid w:val="006C0922"/>
    <w:rsid w:val="006C0BED"/>
    <w:rsid w:val="006C0FFB"/>
    <w:rsid w:val="006C1073"/>
    <w:rsid w:val="006C1081"/>
    <w:rsid w:val="006C144A"/>
    <w:rsid w:val="006C1542"/>
    <w:rsid w:val="006C2F51"/>
    <w:rsid w:val="006C3143"/>
    <w:rsid w:val="006C38BB"/>
    <w:rsid w:val="006C399C"/>
    <w:rsid w:val="006C3A9C"/>
    <w:rsid w:val="006C40A9"/>
    <w:rsid w:val="006C4260"/>
    <w:rsid w:val="006C49D4"/>
    <w:rsid w:val="006C4A4B"/>
    <w:rsid w:val="006C4FE0"/>
    <w:rsid w:val="006C5084"/>
    <w:rsid w:val="006C54C4"/>
    <w:rsid w:val="006C55B0"/>
    <w:rsid w:val="006C582B"/>
    <w:rsid w:val="006C5A3D"/>
    <w:rsid w:val="006C5BDC"/>
    <w:rsid w:val="006C5E6A"/>
    <w:rsid w:val="006C6101"/>
    <w:rsid w:val="006C6481"/>
    <w:rsid w:val="006C64F9"/>
    <w:rsid w:val="006C670C"/>
    <w:rsid w:val="006C6787"/>
    <w:rsid w:val="006C691D"/>
    <w:rsid w:val="006C6A22"/>
    <w:rsid w:val="006C6D79"/>
    <w:rsid w:val="006C7864"/>
    <w:rsid w:val="006C798B"/>
    <w:rsid w:val="006C7EC5"/>
    <w:rsid w:val="006C7FA6"/>
    <w:rsid w:val="006D01D2"/>
    <w:rsid w:val="006D0756"/>
    <w:rsid w:val="006D0A9A"/>
    <w:rsid w:val="006D10F7"/>
    <w:rsid w:val="006D135A"/>
    <w:rsid w:val="006D149B"/>
    <w:rsid w:val="006D16CD"/>
    <w:rsid w:val="006D172A"/>
    <w:rsid w:val="006D1920"/>
    <w:rsid w:val="006D21D1"/>
    <w:rsid w:val="006D22DD"/>
    <w:rsid w:val="006D28BA"/>
    <w:rsid w:val="006D2C57"/>
    <w:rsid w:val="006D2E54"/>
    <w:rsid w:val="006D31FA"/>
    <w:rsid w:val="006D34F5"/>
    <w:rsid w:val="006D35A0"/>
    <w:rsid w:val="006D35B4"/>
    <w:rsid w:val="006D368A"/>
    <w:rsid w:val="006D3820"/>
    <w:rsid w:val="006D3B5D"/>
    <w:rsid w:val="006D3C90"/>
    <w:rsid w:val="006D4063"/>
    <w:rsid w:val="006D40C0"/>
    <w:rsid w:val="006D487C"/>
    <w:rsid w:val="006D4DE1"/>
    <w:rsid w:val="006D5160"/>
    <w:rsid w:val="006D5698"/>
    <w:rsid w:val="006D5A39"/>
    <w:rsid w:val="006D5B90"/>
    <w:rsid w:val="006D610E"/>
    <w:rsid w:val="006D625C"/>
    <w:rsid w:val="006D62FB"/>
    <w:rsid w:val="006D639D"/>
    <w:rsid w:val="006D640A"/>
    <w:rsid w:val="006D676E"/>
    <w:rsid w:val="006D68E5"/>
    <w:rsid w:val="006D6BDB"/>
    <w:rsid w:val="006D6F9A"/>
    <w:rsid w:val="006D6FBA"/>
    <w:rsid w:val="006D748B"/>
    <w:rsid w:val="006D7948"/>
    <w:rsid w:val="006D7B1A"/>
    <w:rsid w:val="006D7D1B"/>
    <w:rsid w:val="006E0028"/>
    <w:rsid w:val="006E00DC"/>
    <w:rsid w:val="006E0839"/>
    <w:rsid w:val="006E08C1"/>
    <w:rsid w:val="006E0948"/>
    <w:rsid w:val="006E0F10"/>
    <w:rsid w:val="006E0FDA"/>
    <w:rsid w:val="006E10EF"/>
    <w:rsid w:val="006E1109"/>
    <w:rsid w:val="006E1294"/>
    <w:rsid w:val="006E1445"/>
    <w:rsid w:val="006E154F"/>
    <w:rsid w:val="006E1BC9"/>
    <w:rsid w:val="006E2937"/>
    <w:rsid w:val="006E294D"/>
    <w:rsid w:val="006E2B77"/>
    <w:rsid w:val="006E2ED5"/>
    <w:rsid w:val="006E3114"/>
    <w:rsid w:val="006E37E9"/>
    <w:rsid w:val="006E3841"/>
    <w:rsid w:val="006E4174"/>
    <w:rsid w:val="006E43A4"/>
    <w:rsid w:val="006E4409"/>
    <w:rsid w:val="006E46E7"/>
    <w:rsid w:val="006E48D4"/>
    <w:rsid w:val="006E4F30"/>
    <w:rsid w:val="006E4F5C"/>
    <w:rsid w:val="006E57C7"/>
    <w:rsid w:val="006E5921"/>
    <w:rsid w:val="006E5B39"/>
    <w:rsid w:val="006E5FB5"/>
    <w:rsid w:val="006E6164"/>
    <w:rsid w:val="006E6F92"/>
    <w:rsid w:val="006E70A0"/>
    <w:rsid w:val="006E70C2"/>
    <w:rsid w:val="006E76BF"/>
    <w:rsid w:val="006E7AC9"/>
    <w:rsid w:val="006F05B0"/>
    <w:rsid w:val="006F0D1D"/>
    <w:rsid w:val="006F12A0"/>
    <w:rsid w:val="006F17DC"/>
    <w:rsid w:val="006F1B48"/>
    <w:rsid w:val="006F1B4B"/>
    <w:rsid w:val="006F1D23"/>
    <w:rsid w:val="006F26A7"/>
    <w:rsid w:val="006F29D6"/>
    <w:rsid w:val="006F2A26"/>
    <w:rsid w:val="006F2A88"/>
    <w:rsid w:val="006F2FFD"/>
    <w:rsid w:val="006F38E2"/>
    <w:rsid w:val="006F39AE"/>
    <w:rsid w:val="006F3D7A"/>
    <w:rsid w:val="006F3FBF"/>
    <w:rsid w:val="006F4181"/>
    <w:rsid w:val="006F43F7"/>
    <w:rsid w:val="006F4772"/>
    <w:rsid w:val="006F4966"/>
    <w:rsid w:val="006F4B75"/>
    <w:rsid w:val="006F4CE0"/>
    <w:rsid w:val="006F51F4"/>
    <w:rsid w:val="006F530E"/>
    <w:rsid w:val="006F544E"/>
    <w:rsid w:val="006F545B"/>
    <w:rsid w:val="006F5944"/>
    <w:rsid w:val="006F5C9E"/>
    <w:rsid w:val="006F5F69"/>
    <w:rsid w:val="006F6670"/>
    <w:rsid w:val="006F6775"/>
    <w:rsid w:val="006F693B"/>
    <w:rsid w:val="006F6BB9"/>
    <w:rsid w:val="006F6E50"/>
    <w:rsid w:val="006F705A"/>
    <w:rsid w:val="006F7600"/>
    <w:rsid w:val="006F7804"/>
    <w:rsid w:val="006F7A08"/>
    <w:rsid w:val="006F7AF2"/>
    <w:rsid w:val="006F7E8B"/>
    <w:rsid w:val="00700194"/>
    <w:rsid w:val="00700760"/>
    <w:rsid w:val="007007D6"/>
    <w:rsid w:val="00700897"/>
    <w:rsid w:val="0070089D"/>
    <w:rsid w:val="00700903"/>
    <w:rsid w:val="00700D5E"/>
    <w:rsid w:val="007016FF"/>
    <w:rsid w:val="00701732"/>
    <w:rsid w:val="00701BA4"/>
    <w:rsid w:val="00701FA5"/>
    <w:rsid w:val="0070222A"/>
    <w:rsid w:val="00702811"/>
    <w:rsid w:val="00702E8A"/>
    <w:rsid w:val="00702EDA"/>
    <w:rsid w:val="00702F26"/>
    <w:rsid w:val="00702F9B"/>
    <w:rsid w:val="00703AD1"/>
    <w:rsid w:val="00703E57"/>
    <w:rsid w:val="00703E5C"/>
    <w:rsid w:val="007047A4"/>
    <w:rsid w:val="007048A2"/>
    <w:rsid w:val="00705197"/>
    <w:rsid w:val="007052C2"/>
    <w:rsid w:val="0070583F"/>
    <w:rsid w:val="00705919"/>
    <w:rsid w:val="007059EB"/>
    <w:rsid w:val="00705E22"/>
    <w:rsid w:val="00706002"/>
    <w:rsid w:val="00706219"/>
    <w:rsid w:val="007067ED"/>
    <w:rsid w:val="00707624"/>
    <w:rsid w:val="00707C7B"/>
    <w:rsid w:val="00707DE8"/>
    <w:rsid w:val="00710D88"/>
    <w:rsid w:val="00710DDE"/>
    <w:rsid w:val="00711096"/>
    <w:rsid w:val="00711173"/>
    <w:rsid w:val="007117F2"/>
    <w:rsid w:val="007119D0"/>
    <w:rsid w:val="00711AB5"/>
    <w:rsid w:val="00711EEE"/>
    <w:rsid w:val="0071216F"/>
    <w:rsid w:val="00713274"/>
    <w:rsid w:val="00713318"/>
    <w:rsid w:val="0071357D"/>
    <w:rsid w:val="00713C58"/>
    <w:rsid w:val="00713F5C"/>
    <w:rsid w:val="007149BB"/>
    <w:rsid w:val="007150E0"/>
    <w:rsid w:val="0071567B"/>
    <w:rsid w:val="00716007"/>
    <w:rsid w:val="007161A8"/>
    <w:rsid w:val="007161DE"/>
    <w:rsid w:val="0071656D"/>
    <w:rsid w:val="0071685C"/>
    <w:rsid w:val="00716CB3"/>
    <w:rsid w:val="00716EE2"/>
    <w:rsid w:val="00716EFA"/>
    <w:rsid w:val="0071742F"/>
    <w:rsid w:val="0071768C"/>
    <w:rsid w:val="007176CA"/>
    <w:rsid w:val="00717CCC"/>
    <w:rsid w:val="00717F3B"/>
    <w:rsid w:val="00717F84"/>
    <w:rsid w:val="00720874"/>
    <w:rsid w:val="00720A9A"/>
    <w:rsid w:val="00720C37"/>
    <w:rsid w:val="00720C4A"/>
    <w:rsid w:val="00720E73"/>
    <w:rsid w:val="00720F5C"/>
    <w:rsid w:val="0072122E"/>
    <w:rsid w:val="007219A6"/>
    <w:rsid w:val="00721A79"/>
    <w:rsid w:val="00721A9D"/>
    <w:rsid w:val="00721ABB"/>
    <w:rsid w:val="0072218B"/>
    <w:rsid w:val="0072223C"/>
    <w:rsid w:val="00722E0E"/>
    <w:rsid w:val="00722FE2"/>
    <w:rsid w:val="007230D0"/>
    <w:rsid w:val="00723249"/>
    <w:rsid w:val="00723262"/>
    <w:rsid w:val="007237C0"/>
    <w:rsid w:val="00723925"/>
    <w:rsid w:val="00723A78"/>
    <w:rsid w:val="00723B21"/>
    <w:rsid w:val="00723B6B"/>
    <w:rsid w:val="00723D98"/>
    <w:rsid w:val="007240BD"/>
    <w:rsid w:val="007243E5"/>
    <w:rsid w:val="00724E4C"/>
    <w:rsid w:val="00725F4C"/>
    <w:rsid w:val="00726342"/>
    <w:rsid w:val="0072691A"/>
    <w:rsid w:val="00726965"/>
    <w:rsid w:val="00726B91"/>
    <w:rsid w:val="007270DE"/>
    <w:rsid w:val="007271CA"/>
    <w:rsid w:val="00727864"/>
    <w:rsid w:val="00727D4E"/>
    <w:rsid w:val="00727D9C"/>
    <w:rsid w:val="0073015C"/>
    <w:rsid w:val="007304E5"/>
    <w:rsid w:val="00730B9C"/>
    <w:rsid w:val="007314EF"/>
    <w:rsid w:val="00731707"/>
    <w:rsid w:val="00731797"/>
    <w:rsid w:val="00731A49"/>
    <w:rsid w:val="00731CCB"/>
    <w:rsid w:val="00731D17"/>
    <w:rsid w:val="00731E0F"/>
    <w:rsid w:val="00731E8A"/>
    <w:rsid w:val="007320AC"/>
    <w:rsid w:val="007324BD"/>
    <w:rsid w:val="007325F5"/>
    <w:rsid w:val="00732992"/>
    <w:rsid w:val="00732BCE"/>
    <w:rsid w:val="007331E4"/>
    <w:rsid w:val="00733270"/>
    <w:rsid w:val="007335C7"/>
    <w:rsid w:val="0073375B"/>
    <w:rsid w:val="00733968"/>
    <w:rsid w:val="00733C1F"/>
    <w:rsid w:val="00733F20"/>
    <w:rsid w:val="00734172"/>
    <w:rsid w:val="00734173"/>
    <w:rsid w:val="0073420E"/>
    <w:rsid w:val="0073421E"/>
    <w:rsid w:val="00734249"/>
    <w:rsid w:val="007344EC"/>
    <w:rsid w:val="00734BB0"/>
    <w:rsid w:val="007352A9"/>
    <w:rsid w:val="0073551B"/>
    <w:rsid w:val="00735606"/>
    <w:rsid w:val="007359CC"/>
    <w:rsid w:val="00735D6D"/>
    <w:rsid w:val="00735EE7"/>
    <w:rsid w:val="00736223"/>
    <w:rsid w:val="00736783"/>
    <w:rsid w:val="00736BA0"/>
    <w:rsid w:val="00736FEB"/>
    <w:rsid w:val="00737F07"/>
    <w:rsid w:val="00737F56"/>
    <w:rsid w:val="00740006"/>
    <w:rsid w:val="007401F2"/>
    <w:rsid w:val="007402EB"/>
    <w:rsid w:val="007404E3"/>
    <w:rsid w:val="0074052E"/>
    <w:rsid w:val="00740652"/>
    <w:rsid w:val="007407A0"/>
    <w:rsid w:val="0074101C"/>
    <w:rsid w:val="0074140E"/>
    <w:rsid w:val="00741818"/>
    <w:rsid w:val="00742230"/>
    <w:rsid w:val="007422F4"/>
    <w:rsid w:val="00742373"/>
    <w:rsid w:val="007424A4"/>
    <w:rsid w:val="007429D8"/>
    <w:rsid w:val="00742A0C"/>
    <w:rsid w:val="007433CC"/>
    <w:rsid w:val="00743AFB"/>
    <w:rsid w:val="00744458"/>
    <w:rsid w:val="007448D1"/>
    <w:rsid w:val="00745408"/>
    <w:rsid w:val="007454DB"/>
    <w:rsid w:val="007457AE"/>
    <w:rsid w:val="00745B1F"/>
    <w:rsid w:val="00746231"/>
    <w:rsid w:val="00746539"/>
    <w:rsid w:val="0074670A"/>
    <w:rsid w:val="00746818"/>
    <w:rsid w:val="0074684D"/>
    <w:rsid w:val="007470AB"/>
    <w:rsid w:val="00747273"/>
    <w:rsid w:val="007473AC"/>
    <w:rsid w:val="00747653"/>
    <w:rsid w:val="007476B5"/>
    <w:rsid w:val="00747780"/>
    <w:rsid w:val="007477B3"/>
    <w:rsid w:val="00747A94"/>
    <w:rsid w:val="00747C47"/>
    <w:rsid w:val="00747D15"/>
    <w:rsid w:val="00750012"/>
    <w:rsid w:val="0075018E"/>
    <w:rsid w:val="00750215"/>
    <w:rsid w:val="00750248"/>
    <w:rsid w:val="00750BFF"/>
    <w:rsid w:val="00750EBA"/>
    <w:rsid w:val="00750F7A"/>
    <w:rsid w:val="0075106E"/>
    <w:rsid w:val="0075131E"/>
    <w:rsid w:val="007522C2"/>
    <w:rsid w:val="00752753"/>
    <w:rsid w:val="00752768"/>
    <w:rsid w:val="00752968"/>
    <w:rsid w:val="007529A9"/>
    <w:rsid w:val="00752B70"/>
    <w:rsid w:val="00753578"/>
    <w:rsid w:val="007539BB"/>
    <w:rsid w:val="00753B9E"/>
    <w:rsid w:val="00753C48"/>
    <w:rsid w:val="00753C83"/>
    <w:rsid w:val="00753D2D"/>
    <w:rsid w:val="00753D4F"/>
    <w:rsid w:val="0075437E"/>
    <w:rsid w:val="007549A2"/>
    <w:rsid w:val="0075546A"/>
    <w:rsid w:val="007556DB"/>
    <w:rsid w:val="00755A21"/>
    <w:rsid w:val="00755AFD"/>
    <w:rsid w:val="00755CC2"/>
    <w:rsid w:val="00755D30"/>
    <w:rsid w:val="007564B8"/>
    <w:rsid w:val="007564F4"/>
    <w:rsid w:val="00756545"/>
    <w:rsid w:val="00756570"/>
    <w:rsid w:val="00756A40"/>
    <w:rsid w:val="00756B94"/>
    <w:rsid w:val="00756F30"/>
    <w:rsid w:val="00757293"/>
    <w:rsid w:val="00757298"/>
    <w:rsid w:val="0075752C"/>
    <w:rsid w:val="007577E9"/>
    <w:rsid w:val="00757C48"/>
    <w:rsid w:val="007602A2"/>
    <w:rsid w:val="00760753"/>
    <w:rsid w:val="0076091B"/>
    <w:rsid w:val="00760FC1"/>
    <w:rsid w:val="007614DB"/>
    <w:rsid w:val="00761691"/>
    <w:rsid w:val="00761C15"/>
    <w:rsid w:val="00761D0A"/>
    <w:rsid w:val="007621AB"/>
    <w:rsid w:val="00762283"/>
    <w:rsid w:val="00762851"/>
    <w:rsid w:val="0076287F"/>
    <w:rsid w:val="00762982"/>
    <w:rsid w:val="00762AE6"/>
    <w:rsid w:val="00762C16"/>
    <w:rsid w:val="00762E5D"/>
    <w:rsid w:val="0076315B"/>
    <w:rsid w:val="007631A5"/>
    <w:rsid w:val="00763338"/>
    <w:rsid w:val="00763952"/>
    <w:rsid w:val="00763B31"/>
    <w:rsid w:val="00763FC5"/>
    <w:rsid w:val="007641AF"/>
    <w:rsid w:val="0076439C"/>
    <w:rsid w:val="007643ED"/>
    <w:rsid w:val="00765315"/>
    <w:rsid w:val="0076554B"/>
    <w:rsid w:val="00765695"/>
    <w:rsid w:val="007659E3"/>
    <w:rsid w:val="00765A66"/>
    <w:rsid w:val="00765A79"/>
    <w:rsid w:val="00765B0F"/>
    <w:rsid w:val="00765D47"/>
    <w:rsid w:val="00765E02"/>
    <w:rsid w:val="00765E96"/>
    <w:rsid w:val="007668B6"/>
    <w:rsid w:val="00766927"/>
    <w:rsid w:val="00766AA0"/>
    <w:rsid w:val="00767024"/>
    <w:rsid w:val="007672A0"/>
    <w:rsid w:val="00767B33"/>
    <w:rsid w:val="00767D79"/>
    <w:rsid w:val="007705EE"/>
    <w:rsid w:val="007710A8"/>
    <w:rsid w:val="0077114F"/>
    <w:rsid w:val="00771827"/>
    <w:rsid w:val="00772471"/>
    <w:rsid w:val="00772492"/>
    <w:rsid w:val="007727B2"/>
    <w:rsid w:val="007728A2"/>
    <w:rsid w:val="00773030"/>
    <w:rsid w:val="00773149"/>
    <w:rsid w:val="00773203"/>
    <w:rsid w:val="00773A71"/>
    <w:rsid w:val="00773CBC"/>
    <w:rsid w:val="00773DF2"/>
    <w:rsid w:val="007745BB"/>
    <w:rsid w:val="0077464B"/>
    <w:rsid w:val="00774690"/>
    <w:rsid w:val="00774780"/>
    <w:rsid w:val="00774F35"/>
    <w:rsid w:val="00775468"/>
    <w:rsid w:val="007757DF"/>
    <w:rsid w:val="00775903"/>
    <w:rsid w:val="00775AB2"/>
    <w:rsid w:val="00775CF9"/>
    <w:rsid w:val="007762DB"/>
    <w:rsid w:val="00776541"/>
    <w:rsid w:val="007765F2"/>
    <w:rsid w:val="007774A1"/>
    <w:rsid w:val="00777E18"/>
    <w:rsid w:val="0078005F"/>
    <w:rsid w:val="00780166"/>
    <w:rsid w:val="007801EE"/>
    <w:rsid w:val="0078089C"/>
    <w:rsid w:val="007809C6"/>
    <w:rsid w:val="00780AE0"/>
    <w:rsid w:val="00780BEF"/>
    <w:rsid w:val="00780DD3"/>
    <w:rsid w:val="007814A9"/>
    <w:rsid w:val="00781884"/>
    <w:rsid w:val="00781F53"/>
    <w:rsid w:val="007823CE"/>
    <w:rsid w:val="0078245E"/>
    <w:rsid w:val="00782F0E"/>
    <w:rsid w:val="007831DA"/>
    <w:rsid w:val="007837D6"/>
    <w:rsid w:val="00783AA8"/>
    <w:rsid w:val="00783B16"/>
    <w:rsid w:val="00783C14"/>
    <w:rsid w:val="00783ECD"/>
    <w:rsid w:val="00784248"/>
    <w:rsid w:val="00784573"/>
    <w:rsid w:val="00784683"/>
    <w:rsid w:val="007847F5"/>
    <w:rsid w:val="00784D62"/>
    <w:rsid w:val="00784FF9"/>
    <w:rsid w:val="007859AF"/>
    <w:rsid w:val="00785B0C"/>
    <w:rsid w:val="00785EDA"/>
    <w:rsid w:val="0078606E"/>
    <w:rsid w:val="007864E7"/>
    <w:rsid w:val="00786609"/>
    <w:rsid w:val="00786DF5"/>
    <w:rsid w:val="00787140"/>
    <w:rsid w:val="00787370"/>
    <w:rsid w:val="007873B5"/>
    <w:rsid w:val="007878E0"/>
    <w:rsid w:val="00787991"/>
    <w:rsid w:val="0079057F"/>
    <w:rsid w:val="0079068F"/>
    <w:rsid w:val="00790C07"/>
    <w:rsid w:val="00790C84"/>
    <w:rsid w:val="00791207"/>
    <w:rsid w:val="007913C4"/>
    <w:rsid w:val="0079148F"/>
    <w:rsid w:val="00791768"/>
    <w:rsid w:val="00791AC7"/>
    <w:rsid w:val="00791ED4"/>
    <w:rsid w:val="0079213D"/>
    <w:rsid w:val="007926EB"/>
    <w:rsid w:val="007926FF"/>
    <w:rsid w:val="007930B3"/>
    <w:rsid w:val="00793260"/>
    <w:rsid w:val="00793853"/>
    <w:rsid w:val="00793944"/>
    <w:rsid w:val="00793ADF"/>
    <w:rsid w:val="007940C7"/>
    <w:rsid w:val="0079441F"/>
    <w:rsid w:val="0079478F"/>
    <w:rsid w:val="00794954"/>
    <w:rsid w:val="00794BC2"/>
    <w:rsid w:val="00794CD2"/>
    <w:rsid w:val="00795494"/>
    <w:rsid w:val="00795548"/>
    <w:rsid w:val="007957F8"/>
    <w:rsid w:val="00795C14"/>
    <w:rsid w:val="00795DF1"/>
    <w:rsid w:val="00795EB8"/>
    <w:rsid w:val="00796BD7"/>
    <w:rsid w:val="00796D5F"/>
    <w:rsid w:val="00796F7C"/>
    <w:rsid w:val="00797797"/>
    <w:rsid w:val="00797B82"/>
    <w:rsid w:val="007A0205"/>
    <w:rsid w:val="007A0284"/>
    <w:rsid w:val="007A0738"/>
    <w:rsid w:val="007A07B4"/>
    <w:rsid w:val="007A0E8C"/>
    <w:rsid w:val="007A1643"/>
    <w:rsid w:val="007A24E1"/>
    <w:rsid w:val="007A2AD7"/>
    <w:rsid w:val="007A2EE9"/>
    <w:rsid w:val="007A3217"/>
    <w:rsid w:val="007A3397"/>
    <w:rsid w:val="007A383B"/>
    <w:rsid w:val="007A3E63"/>
    <w:rsid w:val="007A400D"/>
    <w:rsid w:val="007A440D"/>
    <w:rsid w:val="007A4422"/>
    <w:rsid w:val="007A459C"/>
    <w:rsid w:val="007A46FC"/>
    <w:rsid w:val="007A51BC"/>
    <w:rsid w:val="007A5911"/>
    <w:rsid w:val="007A614B"/>
    <w:rsid w:val="007A6517"/>
    <w:rsid w:val="007A6799"/>
    <w:rsid w:val="007A6B95"/>
    <w:rsid w:val="007A7056"/>
    <w:rsid w:val="007A743E"/>
    <w:rsid w:val="007A76F9"/>
    <w:rsid w:val="007A7718"/>
    <w:rsid w:val="007A798C"/>
    <w:rsid w:val="007A79CB"/>
    <w:rsid w:val="007A7ADA"/>
    <w:rsid w:val="007A7C4A"/>
    <w:rsid w:val="007A7CE3"/>
    <w:rsid w:val="007B0899"/>
    <w:rsid w:val="007B0ABF"/>
    <w:rsid w:val="007B0E62"/>
    <w:rsid w:val="007B0F40"/>
    <w:rsid w:val="007B11C8"/>
    <w:rsid w:val="007B14AE"/>
    <w:rsid w:val="007B159E"/>
    <w:rsid w:val="007B17FA"/>
    <w:rsid w:val="007B1B62"/>
    <w:rsid w:val="007B1BE1"/>
    <w:rsid w:val="007B2020"/>
    <w:rsid w:val="007B2251"/>
    <w:rsid w:val="007B2346"/>
    <w:rsid w:val="007B284E"/>
    <w:rsid w:val="007B2BFF"/>
    <w:rsid w:val="007B3188"/>
    <w:rsid w:val="007B32AC"/>
    <w:rsid w:val="007B34D8"/>
    <w:rsid w:val="007B3A01"/>
    <w:rsid w:val="007B3B6D"/>
    <w:rsid w:val="007B3CDD"/>
    <w:rsid w:val="007B466F"/>
    <w:rsid w:val="007B4F58"/>
    <w:rsid w:val="007B5027"/>
    <w:rsid w:val="007B534C"/>
    <w:rsid w:val="007B54BC"/>
    <w:rsid w:val="007B54BF"/>
    <w:rsid w:val="007B566F"/>
    <w:rsid w:val="007B5840"/>
    <w:rsid w:val="007B59DC"/>
    <w:rsid w:val="007B5CF4"/>
    <w:rsid w:val="007B5D73"/>
    <w:rsid w:val="007B5DFC"/>
    <w:rsid w:val="007B664A"/>
    <w:rsid w:val="007B6943"/>
    <w:rsid w:val="007B6ACE"/>
    <w:rsid w:val="007B6BE0"/>
    <w:rsid w:val="007B6F1A"/>
    <w:rsid w:val="007B7201"/>
    <w:rsid w:val="007B73FB"/>
    <w:rsid w:val="007B791E"/>
    <w:rsid w:val="007B7BAE"/>
    <w:rsid w:val="007B7C25"/>
    <w:rsid w:val="007B7EEC"/>
    <w:rsid w:val="007C062A"/>
    <w:rsid w:val="007C090D"/>
    <w:rsid w:val="007C0952"/>
    <w:rsid w:val="007C098A"/>
    <w:rsid w:val="007C09C2"/>
    <w:rsid w:val="007C0A11"/>
    <w:rsid w:val="007C0F28"/>
    <w:rsid w:val="007C108B"/>
    <w:rsid w:val="007C13ED"/>
    <w:rsid w:val="007C14EC"/>
    <w:rsid w:val="007C1823"/>
    <w:rsid w:val="007C1D25"/>
    <w:rsid w:val="007C1F31"/>
    <w:rsid w:val="007C2261"/>
    <w:rsid w:val="007C2687"/>
    <w:rsid w:val="007C26D9"/>
    <w:rsid w:val="007C27AF"/>
    <w:rsid w:val="007C2C7A"/>
    <w:rsid w:val="007C2E4B"/>
    <w:rsid w:val="007C32AA"/>
    <w:rsid w:val="007C3377"/>
    <w:rsid w:val="007C371F"/>
    <w:rsid w:val="007C3DE9"/>
    <w:rsid w:val="007C3F1F"/>
    <w:rsid w:val="007C40A6"/>
    <w:rsid w:val="007C48F9"/>
    <w:rsid w:val="007C4D37"/>
    <w:rsid w:val="007C4E36"/>
    <w:rsid w:val="007C50B5"/>
    <w:rsid w:val="007C5279"/>
    <w:rsid w:val="007C5440"/>
    <w:rsid w:val="007C54E4"/>
    <w:rsid w:val="007C54F9"/>
    <w:rsid w:val="007C5502"/>
    <w:rsid w:val="007C57A8"/>
    <w:rsid w:val="007C5B4C"/>
    <w:rsid w:val="007C5BC2"/>
    <w:rsid w:val="007C5E90"/>
    <w:rsid w:val="007C5FAE"/>
    <w:rsid w:val="007C6138"/>
    <w:rsid w:val="007C6170"/>
    <w:rsid w:val="007C61E1"/>
    <w:rsid w:val="007C6618"/>
    <w:rsid w:val="007C68D2"/>
    <w:rsid w:val="007C6992"/>
    <w:rsid w:val="007C6D37"/>
    <w:rsid w:val="007C6F69"/>
    <w:rsid w:val="007C716E"/>
    <w:rsid w:val="007C749B"/>
    <w:rsid w:val="007C75D9"/>
    <w:rsid w:val="007C7819"/>
    <w:rsid w:val="007C7E52"/>
    <w:rsid w:val="007D0648"/>
    <w:rsid w:val="007D0885"/>
    <w:rsid w:val="007D09FA"/>
    <w:rsid w:val="007D1298"/>
    <w:rsid w:val="007D145E"/>
    <w:rsid w:val="007D14ED"/>
    <w:rsid w:val="007D1A1F"/>
    <w:rsid w:val="007D1A2A"/>
    <w:rsid w:val="007D1A3C"/>
    <w:rsid w:val="007D1C7F"/>
    <w:rsid w:val="007D2B43"/>
    <w:rsid w:val="007D2FA7"/>
    <w:rsid w:val="007D33F5"/>
    <w:rsid w:val="007D37DB"/>
    <w:rsid w:val="007D3E97"/>
    <w:rsid w:val="007D3F24"/>
    <w:rsid w:val="007D471B"/>
    <w:rsid w:val="007D4BD7"/>
    <w:rsid w:val="007D4C21"/>
    <w:rsid w:val="007D5027"/>
    <w:rsid w:val="007D54B7"/>
    <w:rsid w:val="007D54D2"/>
    <w:rsid w:val="007D55AE"/>
    <w:rsid w:val="007D5C64"/>
    <w:rsid w:val="007D5E39"/>
    <w:rsid w:val="007D60A5"/>
    <w:rsid w:val="007D65E5"/>
    <w:rsid w:val="007D67A4"/>
    <w:rsid w:val="007D706D"/>
    <w:rsid w:val="007D7070"/>
    <w:rsid w:val="007D794B"/>
    <w:rsid w:val="007D7A57"/>
    <w:rsid w:val="007D7D54"/>
    <w:rsid w:val="007E004A"/>
    <w:rsid w:val="007E05AB"/>
    <w:rsid w:val="007E0B91"/>
    <w:rsid w:val="007E14E9"/>
    <w:rsid w:val="007E183B"/>
    <w:rsid w:val="007E1848"/>
    <w:rsid w:val="007E1936"/>
    <w:rsid w:val="007E1B6F"/>
    <w:rsid w:val="007E1DA1"/>
    <w:rsid w:val="007E1F59"/>
    <w:rsid w:val="007E20F7"/>
    <w:rsid w:val="007E2166"/>
    <w:rsid w:val="007E2202"/>
    <w:rsid w:val="007E2585"/>
    <w:rsid w:val="007E2628"/>
    <w:rsid w:val="007E2899"/>
    <w:rsid w:val="007E2DCC"/>
    <w:rsid w:val="007E3120"/>
    <w:rsid w:val="007E3174"/>
    <w:rsid w:val="007E3305"/>
    <w:rsid w:val="007E36AD"/>
    <w:rsid w:val="007E38DC"/>
    <w:rsid w:val="007E43B9"/>
    <w:rsid w:val="007E472A"/>
    <w:rsid w:val="007E47FD"/>
    <w:rsid w:val="007E53C5"/>
    <w:rsid w:val="007E565D"/>
    <w:rsid w:val="007E593D"/>
    <w:rsid w:val="007E6276"/>
    <w:rsid w:val="007E6EC7"/>
    <w:rsid w:val="007E6FE0"/>
    <w:rsid w:val="007E71CE"/>
    <w:rsid w:val="007E7896"/>
    <w:rsid w:val="007E7AD4"/>
    <w:rsid w:val="007E7E52"/>
    <w:rsid w:val="007F05BE"/>
    <w:rsid w:val="007F07E7"/>
    <w:rsid w:val="007F0882"/>
    <w:rsid w:val="007F0BE1"/>
    <w:rsid w:val="007F0C80"/>
    <w:rsid w:val="007F14EA"/>
    <w:rsid w:val="007F164E"/>
    <w:rsid w:val="007F189C"/>
    <w:rsid w:val="007F1A73"/>
    <w:rsid w:val="007F1BB0"/>
    <w:rsid w:val="007F2033"/>
    <w:rsid w:val="007F2D65"/>
    <w:rsid w:val="007F2E1A"/>
    <w:rsid w:val="007F2F17"/>
    <w:rsid w:val="007F32A8"/>
    <w:rsid w:val="007F371A"/>
    <w:rsid w:val="007F3721"/>
    <w:rsid w:val="007F3CD0"/>
    <w:rsid w:val="007F3FE3"/>
    <w:rsid w:val="007F4349"/>
    <w:rsid w:val="007F57E6"/>
    <w:rsid w:val="007F5D35"/>
    <w:rsid w:val="007F5D98"/>
    <w:rsid w:val="007F6759"/>
    <w:rsid w:val="007F6958"/>
    <w:rsid w:val="007F6CF8"/>
    <w:rsid w:val="007F70E2"/>
    <w:rsid w:val="007F7274"/>
    <w:rsid w:val="007F732A"/>
    <w:rsid w:val="007F7476"/>
    <w:rsid w:val="007F79E5"/>
    <w:rsid w:val="007F7A82"/>
    <w:rsid w:val="007F7BC2"/>
    <w:rsid w:val="0080048D"/>
    <w:rsid w:val="0080060A"/>
    <w:rsid w:val="008008EC"/>
    <w:rsid w:val="00800A18"/>
    <w:rsid w:val="00801007"/>
    <w:rsid w:val="00801066"/>
    <w:rsid w:val="008010A7"/>
    <w:rsid w:val="008010DF"/>
    <w:rsid w:val="0080133F"/>
    <w:rsid w:val="00801460"/>
    <w:rsid w:val="008014DB"/>
    <w:rsid w:val="00801A87"/>
    <w:rsid w:val="00801E9F"/>
    <w:rsid w:val="00802081"/>
    <w:rsid w:val="008026DF"/>
    <w:rsid w:val="00802742"/>
    <w:rsid w:val="008029EB"/>
    <w:rsid w:val="00802BE1"/>
    <w:rsid w:val="00802F3D"/>
    <w:rsid w:val="0080379A"/>
    <w:rsid w:val="00803B24"/>
    <w:rsid w:val="00803C40"/>
    <w:rsid w:val="00803C67"/>
    <w:rsid w:val="00803C88"/>
    <w:rsid w:val="00804981"/>
    <w:rsid w:val="00804A86"/>
    <w:rsid w:val="00804B7C"/>
    <w:rsid w:val="00804D58"/>
    <w:rsid w:val="0080591D"/>
    <w:rsid w:val="00805ADC"/>
    <w:rsid w:val="00805C0B"/>
    <w:rsid w:val="0080622E"/>
    <w:rsid w:val="008064FB"/>
    <w:rsid w:val="00806593"/>
    <w:rsid w:val="008068A2"/>
    <w:rsid w:val="00806935"/>
    <w:rsid w:val="0080699F"/>
    <w:rsid w:val="00806A01"/>
    <w:rsid w:val="00806C79"/>
    <w:rsid w:val="00806D35"/>
    <w:rsid w:val="0080714C"/>
    <w:rsid w:val="00807294"/>
    <w:rsid w:val="00807432"/>
    <w:rsid w:val="00807456"/>
    <w:rsid w:val="00807F3D"/>
    <w:rsid w:val="00810446"/>
    <w:rsid w:val="008104A4"/>
    <w:rsid w:val="00811209"/>
    <w:rsid w:val="008112CE"/>
    <w:rsid w:val="00811856"/>
    <w:rsid w:val="00811969"/>
    <w:rsid w:val="00811CA2"/>
    <w:rsid w:val="00811DFE"/>
    <w:rsid w:val="008120B3"/>
    <w:rsid w:val="0081245F"/>
    <w:rsid w:val="00812A88"/>
    <w:rsid w:val="00812B17"/>
    <w:rsid w:val="00812C55"/>
    <w:rsid w:val="00812DCB"/>
    <w:rsid w:val="00812E09"/>
    <w:rsid w:val="00812E51"/>
    <w:rsid w:val="0081304D"/>
    <w:rsid w:val="008132AA"/>
    <w:rsid w:val="008132F9"/>
    <w:rsid w:val="00813704"/>
    <w:rsid w:val="008142B1"/>
    <w:rsid w:val="008146AB"/>
    <w:rsid w:val="00814B5E"/>
    <w:rsid w:val="00814BE8"/>
    <w:rsid w:val="00814FD7"/>
    <w:rsid w:val="00815D62"/>
    <w:rsid w:val="008163CA"/>
    <w:rsid w:val="0081647F"/>
    <w:rsid w:val="008164BF"/>
    <w:rsid w:val="008164D4"/>
    <w:rsid w:val="00816616"/>
    <w:rsid w:val="00816705"/>
    <w:rsid w:val="00816731"/>
    <w:rsid w:val="00816A48"/>
    <w:rsid w:val="00817356"/>
    <w:rsid w:val="00817788"/>
    <w:rsid w:val="00817852"/>
    <w:rsid w:val="00817A12"/>
    <w:rsid w:val="00817D48"/>
    <w:rsid w:val="00817D8B"/>
    <w:rsid w:val="00820541"/>
    <w:rsid w:val="00820562"/>
    <w:rsid w:val="00820D4F"/>
    <w:rsid w:val="00820F0F"/>
    <w:rsid w:val="0082103B"/>
    <w:rsid w:val="008212D0"/>
    <w:rsid w:val="00821492"/>
    <w:rsid w:val="008215BD"/>
    <w:rsid w:val="008219F6"/>
    <w:rsid w:val="00821BFA"/>
    <w:rsid w:val="00821C6A"/>
    <w:rsid w:val="00821F8D"/>
    <w:rsid w:val="008223C5"/>
    <w:rsid w:val="008223ED"/>
    <w:rsid w:val="0082263D"/>
    <w:rsid w:val="00822FB7"/>
    <w:rsid w:val="00822FF0"/>
    <w:rsid w:val="008231E0"/>
    <w:rsid w:val="00823347"/>
    <w:rsid w:val="008235C0"/>
    <w:rsid w:val="0082393B"/>
    <w:rsid w:val="00823AC9"/>
    <w:rsid w:val="00823AD6"/>
    <w:rsid w:val="00823C07"/>
    <w:rsid w:val="00824437"/>
    <w:rsid w:val="008248B8"/>
    <w:rsid w:val="00824EFC"/>
    <w:rsid w:val="008256FD"/>
    <w:rsid w:val="00825F45"/>
    <w:rsid w:val="0082616E"/>
    <w:rsid w:val="008261AA"/>
    <w:rsid w:val="00826538"/>
    <w:rsid w:val="008268A8"/>
    <w:rsid w:val="008269A3"/>
    <w:rsid w:val="00826DB0"/>
    <w:rsid w:val="00826F8D"/>
    <w:rsid w:val="00826FEB"/>
    <w:rsid w:val="008273AF"/>
    <w:rsid w:val="00827C64"/>
    <w:rsid w:val="00827D00"/>
    <w:rsid w:val="00830481"/>
    <w:rsid w:val="00830AF1"/>
    <w:rsid w:val="00830B7A"/>
    <w:rsid w:val="00830C46"/>
    <w:rsid w:val="00830D87"/>
    <w:rsid w:val="008318CA"/>
    <w:rsid w:val="00831F42"/>
    <w:rsid w:val="00832114"/>
    <w:rsid w:val="00832266"/>
    <w:rsid w:val="008322A4"/>
    <w:rsid w:val="008324AE"/>
    <w:rsid w:val="008324FD"/>
    <w:rsid w:val="008339AF"/>
    <w:rsid w:val="0083426B"/>
    <w:rsid w:val="00834480"/>
    <w:rsid w:val="00834E97"/>
    <w:rsid w:val="008351F5"/>
    <w:rsid w:val="008353AC"/>
    <w:rsid w:val="00835599"/>
    <w:rsid w:val="00835821"/>
    <w:rsid w:val="008358B6"/>
    <w:rsid w:val="00835B86"/>
    <w:rsid w:val="00835B99"/>
    <w:rsid w:val="008364D5"/>
    <w:rsid w:val="00836CA4"/>
    <w:rsid w:val="00837055"/>
    <w:rsid w:val="00837380"/>
    <w:rsid w:val="00837A4D"/>
    <w:rsid w:val="00837C04"/>
    <w:rsid w:val="00840614"/>
    <w:rsid w:val="0084093C"/>
    <w:rsid w:val="00840A42"/>
    <w:rsid w:val="00840D6F"/>
    <w:rsid w:val="0084132D"/>
    <w:rsid w:val="00841865"/>
    <w:rsid w:val="00842289"/>
    <w:rsid w:val="00842645"/>
    <w:rsid w:val="00842A01"/>
    <w:rsid w:val="00842BCF"/>
    <w:rsid w:val="00842F72"/>
    <w:rsid w:val="008436CA"/>
    <w:rsid w:val="00843E11"/>
    <w:rsid w:val="00843F63"/>
    <w:rsid w:val="00844572"/>
    <w:rsid w:val="008446F9"/>
    <w:rsid w:val="008448AB"/>
    <w:rsid w:val="00844965"/>
    <w:rsid w:val="00844E66"/>
    <w:rsid w:val="00846379"/>
    <w:rsid w:val="00846BEB"/>
    <w:rsid w:val="00846D8F"/>
    <w:rsid w:val="00846DE6"/>
    <w:rsid w:val="0084716E"/>
    <w:rsid w:val="008471CC"/>
    <w:rsid w:val="008476A7"/>
    <w:rsid w:val="008476E2"/>
    <w:rsid w:val="008477A9"/>
    <w:rsid w:val="00847BBD"/>
    <w:rsid w:val="00850016"/>
    <w:rsid w:val="008500DF"/>
    <w:rsid w:val="00850BC4"/>
    <w:rsid w:val="00850EA0"/>
    <w:rsid w:val="00850EC4"/>
    <w:rsid w:val="008510C7"/>
    <w:rsid w:val="0085124A"/>
    <w:rsid w:val="008513DC"/>
    <w:rsid w:val="008514F4"/>
    <w:rsid w:val="008519D0"/>
    <w:rsid w:val="00851BC5"/>
    <w:rsid w:val="00851F0B"/>
    <w:rsid w:val="00852039"/>
    <w:rsid w:val="008524A9"/>
    <w:rsid w:val="00852713"/>
    <w:rsid w:val="00852C2B"/>
    <w:rsid w:val="00852CE9"/>
    <w:rsid w:val="0085301C"/>
    <w:rsid w:val="00853657"/>
    <w:rsid w:val="008538FA"/>
    <w:rsid w:val="00853A87"/>
    <w:rsid w:val="00853CC2"/>
    <w:rsid w:val="008546C3"/>
    <w:rsid w:val="008547C6"/>
    <w:rsid w:val="008547ED"/>
    <w:rsid w:val="00854A4C"/>
    <w:rsid w:val="00854B96"/>
    <w:rsid w:val="0085546E"/>
    <w:rsid w:val="0085571B"/>
    <w:rsid w:val="00855B12"/>
    <w:rsid w:val="00855D27"/>
    <w:rsid w:val="00855D58"/>
    <w:rsid w:val="00856507"/>
    <w:rsid w:val="00856678"/>
    <w:rsid w:val="00856692"/>
    <w:rsid w:val="00856708"/>
    <w:rsid w:val="00856899"/>
    <w:rsid w:val="00856B18"/>
    <w:rsid w:val="00856B24"/>
    <w:rsid w:val="00857452"/>
    <w:rsid w:val="008578FE"/>
    <w:rsid w:val="00857BA6"/>
    <w:rsid w:val="00857CF2"/>
    <w:rsid w:val="00857D86"/>
    <w:rsid w:val="008605AE"/>
    <w:rsid w:val="0086074F"/>
    <w:rsid w:val="00860A70"/>
    <w:rsid w:val="00860B71"/>
    <w:rsid w:val="00861148"/>
    <w:rsid w:val="0086122C"/>
    <w:rsid w:val="00861DB2"/>
    <w:rsid w:val="0086205D"/>
    <w:rsid w:val="008622A8"/>
    <w:rsid w:val="008627F0"/>
    <w:rsid w:val="008628F0"/>
    <w:rsid w:val="008629EE"/>
    <w:rsid w:val="00862EFE"/>
    <w:rsid w:val="00863042"/>
    <w:rsid w:val="008632FB"/>
    <w:rsid w:val="008633BB"/>
    <w:rsid w:val="0086343B"/>
    <w:rsid w:val="00863BBE"/>
    <w:rsid w:val="00863F34"/>
    <w:rsid w:val="00863FEA"/>
    <w:rsid w:val="0086404A"/>
    <w:rsid w:val="008645CB"/>
    <w:rsid w:val="008645F7"/>
    <w:rsid w:val="008647B6"/>
    <w:rsid w:val="00864BAE"/>
    <w:rsid w:val="00864BDE"/>
    <w:rsid w:val="00864C78"/>
    <w:rsid w:val="00864EC9"/>
    <w:rsid w:val="008657F2"/>
    <w:rsid w:val="0086593A"/>
    <w:rsid w:val="00865CCA"/>
    <w:rsid w:val="00865F9D"/>
    <w:rsid w:val="0086601F"/>
    <w:rsid w:val="0086655E"/>
    <w:rsid w:val="00866C05"/>
    <w:rsid w:val="00866CE7"/>
    <w:rsid w:val="0086710F"/>
    <w:rsid w:val="008673A9"/>
    <w:rsid w:val="00867841"/>
    <w:rsid w:val="00867D9D"/>
    <w:rsid w:val="0087020B"/>
    <w:rsid w:val="00870B4F"/>
    <w:rsid w:val="0087122B"/>
    <w:rsid w:val="0087138A"/>
    <w:rsid w:val="00871B9E"/>
    <w:rsid w:val="00871D35"/>
    <w:rsid w:val="0087229B"/>
    <w:rsid w:val="0087269E"/>
    <w:rsid w:val="00872904"/>
    <w:rsid w:val="00872C6B"/>
    <w:rsid w:val="0087346E"/>
    <w:rsid w:val="0087349F"/>
    <w:rsid w:val="00873851"/>
    <w:rsid w:val="00873C25"/>
    <w:rsid w:val="0087401C"/>
    <w:rsid w:val="00874558"/>
    <w:rsid w:val="00874589"/>
    <w:rsid w:val="0087460F"/>
    <w:rsid w:val="0087490A"/>
    <w:rsid w:val="00874B2A"/>
    <w:rsid w:val="00874BD7"/>
    <w:rsid w:val="00874C1A"/>
    <w:rsid w:val="00874EAA"/>
    <w:rsid w:val="0087576C"/>
    <w:rsid w:val="00876064"/>
    <w:rsid w:val="00876971"/>
    <w:rsid w:val="00876B09"/>
    <w:rsid w:val="00876DE2"/>
    <w:rsid w:val="00876E74"/>
    <w:rsid w:val="0087701C"/>
    <w:rsid w:val="008773DC"/>
    <w:rsid w:val="00877EAB"/>
    <w:rsid w:val="008800AB"/>
    <w:rsid w:val="00880450"/>
    <w:rsid w:val="008804DA"/>
    <w:rsid w:val="008818D9"/>
    <w:rsid w:val="00881DC4"/>
    <w:rsid w:val="00882021"/>
    <w:rsid w:val="00882B0B"/>
    <w:rsid w:val="00882EDB"/>
    <w:rsid w:val="00883F38"/>
    <w:rsid w:val="008840E0"/>
    <w:rsid w:val="00884437"/>
    <w:rsid w:val="008844A4"/>
    <w:rsid w:val="008849D9"/>
    <w:rsid w:val="00884DEE"/>
    <w:rsid w:val="00884E43"/>
    <w:rsid w:val="008860AA"/>
    <w:rsid w:val="008864B6"/>
    <w:rsid w:val="00886808"/>
    <w:rsid w:val="00886BCD"/>
    <w:rsid w:val="008870F5"/>
    <w:rsid w:val="008900C9"/>
    <w:rsid w:val="0089085C"/>
    <w:rsid w:val="00890E78"/>
    <w:rsid w:val="00890EC5"/>
    <w:rsid w:val="00891112"/>
    <w:rsid w:val="008911AD"/>
    <w:rsid w:val="00891DC6"/>
    <w:rsid w:val="00892043"/>
    <w:rsid w:val="008921CD"/>
    <w:rsid w:val="008924BB"/>
    <w:rsid w:val="0089271D"/>
    <w:rsid w:val="00892787"/>
    <w:rsid w:val="008928D7"/>
    <w:rsid w:val="00892C8C"/>
    <w:rsid w:val="008932E2"/>
    <w:rsid w:val="00894347"/>
    <w:rsid w:val="00894552"/>
    <w:rsid w:val="00894D9A"/>
    <w:rsid w:val="008956EA"/>
    <w:rsid w:val="00895AD2"/>
    <w:rsid w:val="008961BC"/>
    <w:rsid w:val="00896B39"/>
    <w:rsid w:val="0089722C"/>
    <w:rsid w:val="00897231"/>
    <w:rsid w:val="00897580"/>
    <w:rsid w:val="00897D0A"/>
    <w:rsid w:val="008A039C"/>
    <w:rsid w:val="008A07BE"/>
    <w:rsid w:val="008A0857"/>
    <w:rsid w:val="008A0E90"/>
    <w:rsid w:val="008A15DD"/>
    <w:rsid w:val="008A1A2A"/>
    <w:rsid w:val="008A1D00"/>
    <w:rsid w:val="008A2DC8"/>
    <w:rsid w:val="008A2F6D"/>
    <w:rsid w:val="008A2FCF"/>
    <w:rsid w:val="008A31D7"/>
    <w:rsid w:val="008A3227"/>
    <w:rsid w:val="008A34C2"/>
    <w:rsid w:val="008A358B"/>
    <w:rsid w:val="008A35C7"/>
    <w:rsid w:val="008A39D4"/>
    <w:rsid w:val="008A3D42"/>
    <w:rsid w:val="008A3DBE"/>
    <w:rsid w:val="008A4153"/>
    <w:rsid w:val="008A41EA"/>
    <w:rsid w:val="008A458A"/>
    <w:rsid w:val="008A4962"/>
    <w:rsid w:val="008A4BFA"/>
    <w:rsid w:val="008A50E0"/>
    <w:rsid w:val="008A529E"/>
    <w:rsid w:val="008A53B3"/>
    <w:rsid w:val="008A57B3"/>
    <w:rsid w:val="008A5883"/>
    <w:rsid w:val="008A5FE7"/>
    <w:rsid w:val="008A60DE"/>
    <w:rsid w:val="008A63BB"/>
    <w:rsid w:val="008A63FC"/>
    <w:rsid w:val="008A652E"/>
    <w:rsid w:val="008A6843"/>
    <w:rsid w:val="008A6B1D"/>
    <w:rsid w:val="008A6E39"/>
    <w:rsid w:val="008A6E56"/>
    <w:rsid w:val="008A6EC9"/>
    <w:rsid w:val="008A72A2"/>
    <w:rsid w:val="008A7759"/>
    <w:rsid w:val="008A7A09"/>
    <w:rsid w:val="008A7E91"/>
    <w:rsid w:val="008B0222"/>
    <w:rsid w:val="008B1126"/>
    <w:rsid w:val="008B11DE"/>
    <w:rsid w:val="008B1800"/>
    <w:rsid w:val="008B22E4"/>
    <w:rsid w:val="008B25DD"/>
    <w:rsid w:val="008B2A6B"/>
    <w:rsid w:val="008B2A7E"/>
    <w:rsid w:val="008B2D4C"/>
    <w:rsid w:val="008B3412"/>
    <w:rsid w:val="008B351A"/>
    <w:rsid w:val="008B3641"/>
    <w:rsid w:val="008B3703"/>
    <w:rsid w:val="008B38F5"/>
    <w:rsid w:val="008B3938"/>
    <w:rsid w:val="008B3F86"/>
    <w:rsid w:val="008B4426"/>
    <w:rsid w:val="008B4435"/>
    <w:rsid w:val="008B44BE"/>
    <w:rsid w:val="008B4B3B"/>
    <w:rsid w:val="008B504B"/>
    <w:rsid w:val="008B51A3"/>
    <w:rsid w:val="008B5277"/>
    <w:rsid w:val="008B5416"/>
    <w:rsid w:val="008B5771"/>
    <w:rsid w:val="008B5BBD"/>
    <w:rsid w:val="008B5D01"/>
    <w:rsid w:val="008B5E3A"/>
    <w:rsid w:val="008B60C3"/>
    <w:rsid w:val="008B6264"/>
    <w:rsid w:val="008B6299"/>
    <w:rsid w:val="008B64BF"/>
    <w:rsid w:val="008B6A1B"/>
    <w:rsid w:val="008B732A"/>
    <w:rsid w:val="008B7697"/>
    <w:rsid w:val="008B7E55"/>
    <w:rsid w:val="008B7EB9"/>
    <w:rsid w:val="008C02CC"/>
    <w:rsid w:val="008C074E"/>
    <w:rsid w:val="008C0C72"/>
    <w:rsid w:val="008C0D1F"/>
    <w:rsid w:val="008C0DFA"/>
    <w:rsid w:val="008C0EB7"/>
    <w:rsid w:val="008C1299"/>
    <w:rsid w:val="008C1324"/>
    <w:rsid w:val="008C2064"/>
    <w:rsid w:val="008C2692"/>
    <w:rsid w:val="008C2905"/>
    <w:rsid w:val="008C2A4B"/>
    <w:rsid w:val="008C2C00"/>
    <w:rsid w:val="008C2CAF"/>
    <w:rsid w:val="008C2FB6"/>
    <w:rsid w:val="008C3965"/>
    <w:rsid w:val="008C3A48"/>
    <w:rsid w:val="008C3D11"/>
    <w:rsid w:val="008C3D49"/>
    <w:rsid w:val="008C3E30"/>
    <w:rsid w:val="008C3F25"/>
    <w:rsid w:val="008C406A"/>
    <w:rsid w:val="008C4BC4"/>
    <w:rsid w:val="008C4C13"/>
    <w:rsid w:val="008C4F77"/>
    <w:rsid w:val="008C522D"/>
    <w:rsid w:val="008C527D"/>
    <w:rsid w:val="008C550F"/>
    <w:rsid w:val="008C556E"/>
    <w:rsid w:val="008C56FB"/>
    <w:rsid w:val="008C5CE9"/>
    <w:rsid w:val="008C5F9B"/>
    <w:rsid w:val="008C614E"/>
    <w:rsid w:val="008C6428"/>
    <w:rsid w:val="008C6600"/>
    <w:rsid w:val="008C68FC"/>
    <w:rsid w:val="008C7201"/>
    <w:rsid w:val="008C7413"/>
    <w:rsid w:val="008C751D"/>
    <w:rsid w:val="008C7938"/>
    <w:rsid w:val="008C7E0B"/>
    <w:rsid w:val="008C7EFD"/>
    <w:rsid w:val="008D0370"/>
    <w:rsid w:val="008D076B"/>
    <w:rsid w:val="008D0A2A"/>
    <w:rsid w:val="008D0A34"/>
    <w:rsid w:val="008D0E0A"/>
    <w:rsid w:val="008D12F5"/>
    <w:rsid w:val="008D13A9"/>
    <w:rsid w:val="008D165B"/>
    <w:rsid w:val="008D1819"/>
    <w:rsid w:val="008D186F"/>
    <w:rsid w:val="008D195D"/>
    <w:rsid w:val="008D1ADB"/>
    <w:rsid w:val="008D1C63"/>
    <w:rsid w:val="008D20D7"/>
    <w:rsid w:val="008D22CB"/>
    <w:rsid w:val="008D2411"/>
    <w:rsid w:val="008D31FA"/>
    <w:rsid w:val="008D33AF"/>
    <w:rsid w:val="008D37F7"/>
    <w:rsid w:val="008D39F1"/>
    <w:rsid w:val="008D3A8E"/>
    <w:rsid w:val="008D3D53"/>
    <w:rsid w:val="008D40FF"/>
    <w:rsid w:val="008D4399"/>
    <w:rsid w:val="008D4626"/>
    <w:rsid w:val="008D4761"/>
    <w:rsid w:val="008D484E"/>
    <w:rsid w:val="008D4C1F"/>
    <w:rsid w:val="008D4DD3"/>
    <w:rsid w:val="008D5299"/>
    <w:rsid w:val="008D536E"/>
    <w:rsid w:val="008D56D5"/>
    <w:rsid w:val="008D5D12"/>
    <w:rsid w:val="008D5DAF"/>
    <w:rsid w:val="008D6787"/>
    <w:rsid w:val="008D6E76"/>
    <w:rsid w:val="008D70C1"/>
    <w:rsid w:val="008D71C6"/>
    <w:rsid w:val="008D7238"/>
    <w:rsid w:val="008D7259"/>
    <w:rsid w:val="008D7496"/>
    <w:rsid w:val="008D74A3"/>
    <w:rsid w:val="008D7DBD"/>
    <w:rsid w:val="008D7F3F"/>
    <w:rsid w:val="008E0DE9"/>
    <w:rsid w:val="008E0DEF"/>
    <w:rsid w:val="008E0E1C"/>
    <w:rsid w:val="008E0EC6"/>
    <w:rsid w:val="008E0FFB"/>
    <w:rsid w:val="008E101C"/>
    <w:rsid w:val="008E11D2"/>
    <w:rsid w:val="008E204D"/>
    <w:rsid w:val="008E2076"/>
    <w:rsid w:val="008E2152"/>
    <w:rsid w:val="008E2375"/>
    <w:rsid w:val="008E2632"/>
    <w:rsid w:val="008E2947"/>
    <w:rsid w:val="008E29DB"/>
    <w:rsid w:val="008E2D57"/>
    <w:rsid w:val="008E2E3A"/>
    <w:rsid w:val="008E347F"/>
    <w:rsid w:val="008E36D5"/>
    <w:rsid w:val="008E37C6"/>
    <w:rsid w:val="008E3907"/>
    <w:rsid w:val="008E3945"/>
    <w:rsid w:val="008E3B8A"/>
    <w:rsid w:val="008E3E5F"/>
    <w:rsid w:val="008E400D"/>
    <w:rsid w:val="008E44AC"/>
    <w:rsid w:val="008E4BDF"/>
    <w:rsid w:val="008E4C4A"/>
    <w:rsid w:val="008E5289"/>
    <w:rsid w:val="008E58AD"/>
    <w:rsid w:val="008E5B25"/>
    <w:rsid w:val="008E5BA3"/>
    <w:rsid w:val="008E5C3A"/>
    <w:rsid w:val="008E5D80"/>
    <w:rsid w:val="008E5DE5"/>
    <w:rsid w:val="008E5F52"/>
    <w:rsid w:val="008E60E2"/>
    <w:rsid w:val="008E6141"/>
    <w:rsid w:val="008E62DB"/>
    <w:rsid w:val="008E6324"/>
    <w:rsid w:val="008E6572"/>
    <w:rsid w:val="008E65EA"/>
    <w:rsid w:val="008E6A0B"/>
    <w:rsid w:val="008E6A59"/>
    <w:rsid w:val="008E6A5D"/>
    <w:rsid w:val="008E6B34"/>
    <w:rsid w:val="008E7533"/>
    <w:rsid w:val="008E755C"/>
    <w:rsid w:val="008E78EA"/>
    <w:rsid w:val="008E7C75"/>
    <w:rsid w:val="008F00AC"/>
    <w:rsid w:val="008F0256"/>
    <w:rsid w:val="008F04B4"/>
    <w:rsid w:val="008F04D9"/>
    <w:rsid w:val="008F05ED"/>
    <w:rsid w:val="008F10D2"/>
    <w:rsid w:val="008F1168"/>
    <w:rsid w:val="008F147A"/>
    <w:rsid w:val="008F1D6D"/>
    <w:rsid w:val="008F2029"/>
    <w:rsid w:val="008F2BB6"/>
    <w:rsid w:val="008F3026"/>
    <w:rsid w:val="008F329A"/>
    <w:rsid w:val="008F37C0"/>
    <w:rsid w:val="008F3DEB"/>
    <w:rsid w:val="008F46FC"/>
    <w:rsid w:val="008F4A1F"/>
    <w:rsid w:val="008F4E50"/>
    <w:rsid w:val="008F5290"/>
    <w:rsid w:val="008F55D7"/>
    <w:rsid w:val="008F5EE9"/>
    <w:rsid w:val="008F6007"/>
    <w:rsid w:val="008F6133"/>
    <w:rsid w:val="008F63DE"/>
    <w:rsid w:val="008F6747"/>
    <w:rsid w:val="008F6E05"/>
    <w:rsid w:val="008F70CA"/>
    <w:rsid w:val="008F73A3"/>
    <w:rsid w:val="008F79ED"/>
    <w:rsid w:val="008F7E74"/>
    <w:rsid w:val="00900065"/>
    <w:rsid w:val="0090042C"/>
    <w:rsid w:val="0090047E"/>
    <w:rsid w:val="00900545"/>
    <w:rsid w:val="009005A9"/>
    <w:rsid w:val="00900ACD"/>
    <w:rsid w:val="00900BB3"/>
    <w:rsid w:val="009010A3"/>
    <w:rsid w:val="00901749"/>
    <w:rsid w:val="00901E19"/>
    <w:rsid w:val="0090205E"/>
    <w:rsid w:val="00902AA8"/>
    <w:rsid w:val="00903A65"/>
    <w:rsid w:val="00903E5E"/>
    <w:rsid w:val="009042EE"/>
    <w:rsid w:val="009043DE"/>
    <w:rsid w:val="0090451A"/>
    <w:rsid w:val="00904F7B"/>
    <w:rsid w:val="00905667"/>
    <w:rsid w:val="009059B6"/>
    <w:rsid w:val="00905C43"/>
    <w:rsid w:val="00905D50"/>
    <w:rsid w:val="00905E39"/>
    <w:rsid w:val="00905F8F"/>
    <w:rsid w:val="00906609"/>
    <w:rsid w:val="00906AED"/>
    <w:rsid w:val="00906C9A"/>
    <w:rsid w:val="0090741C"/>
    <w:rsid w:val="009077D8"/>
    <w:rsid w:val="00907C67"/>
    <w:rsid w:val="00907D16"/>
    <w:rsid w:val="009103BD"/>
    <w:rsid w:val="0091049E"/>
    <w:rsid w:val="0091069E"/>
    <w:rsid w:val="0091086E"/>
    <w:rsid w:val="009109ED"/>
    <w:rsid w:val="00910E7C"/>
    <w:rsid w:val="00910F3F"/>
    <w:rsid w:val="0091103D"/>
    <w:rsid w:val="00911219"/>
    <w:rsid w:val="0091217E"/>
    <w:rsid w:val="0091257F"/>
    <w:rsid w:val="009125EB"/>
    <w:rsid w:val="009128D2"/>
    <w:rsid w:val="009130ED"/>
    <w:rsid w:val="00913231"/>
    <w:rsid w:val="00913E15"/>
    <w:rsid w:val="00914053"/>
    <w:rsid w:val="009142A3"/>
    <w:rsid w:val="00914706"/>
    <w:rsid w:val="0091516A"/>
    <w:rsid w:val="0091524A"/>
    <w:rsid w:val="009155EC"/>
    <w:rsid w:val="0091575C"/>
    <w:rsid w:val="00915903"/>
    <w:rsid w:val="00915D4F"/>
    <w:rsid w:val="00915F44"/>
    <w:rsid w:val="00916172"/>
    <w:rsid w:val="00916301"/>
    <w:rsid w:val="0091676E"/>
    <w:rsid w:val="00916DDD"/>
    <w:rsid w:val="00916ED4"/>
    <w:rsid w:val="009170B6"/>
    <w:rsid w:val="009171EB"/>
    <w:rsid w:val="00917416"/>
    <w:rsid w:val="009174F8"/>
    <w:rsid w:val="0091760E"/>
    <w:rsid w:val="0091797A"/>
    <w:rsid w:val="00917C10"/>
    <w:rsid w:val="00917E0E"/>
    <w:rsid w:val="00917E16"/>
    <w:rsid w:val="0092008A"/>
    <w:rsid w:val="009207F5"/>
    <w:rsid w:val="009209B7"/>
    <w:rsid w:val="00920D75"/>
    <w:rsid w:val="0092123D"/>
    <w:rsid w:val="00921261"/>
    <w:rsid w:val="009213E4"/>
    <w:rsid w:val="00921611"/>
    <w:rsid w:val="00921AAC"/>
    <w:rsid w:val="00921C8D"/>
    <w:rsid w:val="00921F83"/>
    <w:rsid w:val="0092235A"/>
    <w:rsid w:val="009225D9"/>
    <w:rsid w:val="0092287C"/>
    <w:rsid w:val="009228B6"/>
    <w:rsid w:val="00922973"/>
    <w:rsid w:val="00922D52"/>
    <w:rsid w:val="0092313D"/>
    <w:rsid w:val="009238C2"/>
    <w:rsid w:val="00923D5A"/>
    <w:rsid w:val="00923FE7"/>
    <w:rsid w:val="009241B9"/>
    <w:rsid w:val="0092429A"/>
    <w:rsid w:val="00924808"/>
    <w:rsid w:val="00924AA1"/>
    <w:rsid w:val="00924F45"/>
    <w:rsid w:val="00925135"/>
    <w:rsid w:val="009258AE"/>
    <w:rsid w:val="00925AEF"/>
    <w:rsid w:val="00926150"/>
    <w:rsid w:val="009264D6"/>
    <w:rsid w:val="00927226"/>
    <w:rsid w:val="00927776"/>
    <w:rsid w:val="00927B61"/>
    <w:rsid w:val="00927CC5"/>
    <w:rsid w:val="00927D77"/>
    <w:rsid w:val="009300A4"/>
    <w:rsid w:val="00930590"/>
    <w:rsid w:val="00930660"/>
    <w:rsid w:val="00930ECA"/>
    <w:rsid w:val="00931164"/>
    <w:rsid w:val="009312C7"/>
    <w:rsid w:val="009314EF"/>
    <w:rsid w:val="0093190A"/>
    <w:rsid w:val="00932585"/>
    <w:rsid w:val="00932792"/>
    <w:rsid w:val="00932DBD"/>
    <w:rsid w:val="009330F6"/>
    <w:rsid w:val="0093311F"/>
    <w:rsid w:val="00933318"/>
    <w:rsid w:val="00933387"/>
    <w:rsid w:val="00933765"/>
    <w:rsid w:val="00933AC8"/>
    <w:rsid w:val="00933AD9"/>
    <w:rsid w:val="00933B10"/>
    <w:rsid w:val="00933C5B"/>
    <w:rsid w:val="00933E37"/>
    <w:rsid w:val="00933F4E"/>
    <w:rsid w:val="0093442D"/>
    <w:rsid w:val="00934E13"/>
    <w:rsid w:val="00934E44"/>
    <w:rsid w:val="00935396"/>
    <w:rsid w:val="00935708"/>
    <w:rsid w:val="00935861"/>
    <w:rsid w:val="00935B91"/>
    <w:rsid w:val="00935EF4"/>
    <w:rsid w:val="0093636F"/>
    <w:rsid w:val="00936787"/>
    <w:rsid w:val="0093689C"/>
    <w:rsid w:val="00936939"/>
    <w:rsid w:val="009369C5"/>
    <w:rsid w:val="00936B6F"/>
    <w:rsid w:val="00936DC3"/>
    <w:rsid w:val="00937403"/>
    <w:rsid w:val="0093759D"/>
    <w:rsid w:val="00937D07"/>
    <w:rsid w:val="00937DB8"/>
    <w:rsid w:val="009404EE"/>
    <w:rsid w:val="00940684"/>
    <w:rsid w:val="009409D6"/>
    <w:rsid w:val="00940A00"/>
    <w:rsid w:val="00940A8B"/>
    <w:rsid w:val="00941368"/>
    <w:rsid w:val="00941AFC"/>
    <w:rsid w:val="00941D24"/>
    <w:rsid w:val="00942639"/>
    <w:rsid w:val="00942700"/>
    <w:rsid w:val="0094298E"/>
    <w:rsid w:val="009429C2"/>
    <w:rsid w:val="00942FA3"/>
    <w:rsid w:val="00943396"/>
    <w:rsid w:val="00943538"/>
    <w:rsid w:val="00943565"/>
    <w:rsid w:val="009436ED"/>
    <w:rsid w:val="00943830"/>
    <w:rsid w:val="009441FA"/>
    <w:rsid w:val="009443E7"/>
    <w:rsid w:val="0094440F"/>
    <w:rsid w:val="00944AFA"/>
    <w:rsid w:val="00944E72"/>
    <w:rsid w:val="00944FEE"/>
    <w:rsid w:val="0094507E"/>
    <w:rsid w:val="00945137"/>
    <w:rsid w:val="00945329"/>
    <w:rsid w:val="00945353"/>
    <w:rsid w:val="009456C4"/>
    <w:rsid w:val="009456E9"/>
    <w:rsid w:val="009458B0"/>
    <w:rsid w:val="00945A5B"/>
    <w:rsid w:val="00945CD3"/>
    <w:rsid w:val="0094608C"/>
    <w:rsid w:val="009462EB"/>
    <w:rsid w:val="009466B9"/>
    <w:rsid w:val="00946C8B"/>
    <w:rsid w:val="00946FB3"/>
    <w:rsid w:val="0094709D"/>
    <w:rsid w:val="009472DE"/>
    <w:rsid w:val="009477F6"/>
    <w:rsid w:val="00947A14"/>
    <w:rsid w:val="00947A23"/>
    <w:rsid w:val="00947A8C"/>
    <w:rsid w:val="00947FF9"/>
    <w:rsid w:val="009505F7"/>
    <w:rsid w:val="009508B9"/>
    <w:rsid w:val="00950987"/>
    <w:rsid w:val="00950E0F"/>
    <w:rsid w:val="00951E2B"/>
    <w:rsid w:val="009521B9"/>
    <w:rsid w:val="0095225A"/>
    <w:rsid w:val="0095351B"/>
    <w:rsid w:val="00953523"/>
    <w:rsid w:val="00953B5E"/>
    <w:rsid w:val="00953B7B"/>
    <w:rsid w:val="00954368"/>
    <w:rsid w:val="0095454F"/>
    <w:rsid w:val="0095467D"/>
    <w:rsid w:val="00954834"/>
    <w:rsid w:val="0095486B"/>
    <w:rsid w:val="00954C51"/>
    <w:rsid w:val="00955853"/>
    <w:rsid w:val="00955992"/>
    <w:rsid w:val="00955A78"/>
    <w:rsid w:val="00956015"/>
    <w:rsid w:val="0095615B"/>
    <w:rsid w:val="009575FB"/>
    <w:rsid w:val="0095766D"/>
    <w:rsid w:val="00957A73"/>
    <w:rsid w:val="00957E2E"/>
    <w:rsid w:val="00960708"/>
    <w:rsid w:val="00960C0A"/>
    <w:rsid w:val="00961090"/>
    <w:rsid w:val="0096113B"/>
    <w:rsid w:val="009613DA"/>
    <w:rsid w:val="00961548"/>
    <w:rsid w:val="00961C58"/>
    <w:rsid w:val="00961D12"/>
    <w:rsid w:val="00962227"/>
    <w:rsid w:val="0096227D"/>
    <w:rsid w:val="009624B9"/>
    <w:rsid w:val="00962AB9"/>
    <w:rsid w:val="00962BBE"/>
    <w:rsid w:val="00962C2C"/>
    <w:rsid w:val="00962EB3"/>
    <w:rsid w:val="00962EC1"/>
    <w:rsid w:val="0096300C"/>
    <w:rsid w:val="009633C8"/>
    <w:rsid w:val="00963713"/>
    <w:rsid w:val="00963AAC"/>
    <w:rsid w:val="009651A3"/>
    <w:rsid w:val="00965A1E"/>
    <w:rsid w:val="00965C59"/>
    <w:rsid w:val="00965D48"/>
    <w:rsid w:val="00965F8A"/>
    <w:rsid w:val="00965FD0"/>
    <w:rsid w:val="00966055"/>
    <w:rsid w:val="00966115"/>
    <w:rsid w:val="009663B6"/>
    <w:rsid w:val="00966473"/>
    <w:rsid w:val="00966608"/>
    <w:rsid w:val="0096665A"/>
    <w:rsid w:val="00966DA0"/>
    <w:rsid w:val="00966DDD"/>
    <w:rsid w:val="009671C5"/>
    <w:rsid w:val="00967A14"/>
    <w:rsid w:val="00970082"/>
    <w:rsid w:val="00970126"/>
    <w:rsid w:val="00970138"/>
    <w:rsid w:val="00970181"/>
    <w:rsid w:val="009703A6"/>
    <w:rsid w:val="0097076B"/>
    <w:rsid w:val="009708D9"/>
    <w:rsid w:val="00970987"/>
    <w:rsid w:val="009709D5"/>
    <w:rsid w:val="00970CB0"/>
    <w:rsid w:val="0097103D"/>
    <w:rsid w:val="009711E9"/>
    <w:rsid w:val="00971693"/>
    <w:rsid w:val="009718FD"/>
    <w:rsid w:val="00971948"/>
    <w:rsid w:val="00971C75"/>
    <w:rsid w:val="009720B1"/>
    <w:rsid w:val="009728C4"/>
    <w:rsid w:val="00972E3E"/>
    <w:rsid w:val="00973244"/>
    <w:rsid w:val="00974071"/>
    <w:rsid w:val="0097453B"/>
    <w:rsid w:val="009748DD"/>
    <w:rsid w:val="00974D0B"/>
    <w:rsid w:val="00974EDF"/>
    <w:rsid w:val="0097513F"/>
    <w:rsid w:val="00975497"/>
    <w:rsid w:val="00975498"/>
    <w:rsid w:val="009754E0"/>
    <w:rsid w:val="00975649"/>
    <w:rsid w:val="00975AE7"/>
    <w:rsid w:val="00976052"/>
    <w:rsid w:val="0097633D"/>
    <w:rsid w:val="009763AC"/>
    <w:rsid w:val="00976845"/>
    <w:rsid w:val="009768B1"/>
    <w:rsid w:val="00976D76"/>
    <w:rsid w:val="00976FBD"/>
    <w:rsid w:val="009774C7"/>
    <w:rsid w:val="00977DD7"/>
    <w:rsid w:val="00977E0B"/>
    <w:rsid w:val="00977E6A"/>
    <w:rsid w:val="009807F5"/>
    <w:rsid w:val="0098172D"/>
    <w:rsid w:val="00982691"/>
    <w:rsid w:val="00982E34"/>
    <w:rsid w:val="00982F81"/>
    <w:rsid w:val="0098301A"/>
    <w:rsid w:val="009830FD"/>
    <w:rsid w:val="00983705"/>
    <w:rsid w:val="00983777"/>
    <w:rsid w:val="00983AC5"/>
    <w:rsid w:val="00983B64"/>
    <w:rsid w:val="00984021"/>
    <w:rsid w:val="00984196"/>
    <w:rsid w:val="0098436C"/>
    <w:rsid w:val="00984585"/>
    <w:rsid w:val="0098463F"/>
    <w:rsid w:val="0098563A"/>
    <w:rsid w:val="00985C0A"/>
    <w:rsid w:val="00985DC4"/>
    <w:rsid w:val="00986DC5"/>
    <w:rsid w:val="009870D1"/>
    <w:rsid w:val="00987AA9"/>
    <w:rsid w:val="00987ADD"/>
    <w:rsid w:val="00987B1C"/>
    <w:rsid w:val="00987E72"/>
    <w:rsid w:val="009904B1"/>
    <w:rsid w:val="009905EB"/>
    <w:rsid w:val="0099064E"/>
    <w:rsid w:val="0099066A"/>
    <w:rsid w:val="00990B3B"/>
    <w:rsid w:val="00991212"/>
    <w:rsid w:val="00991295"/>
    <w:rsid w:val="0099193A"/>
    <w:rsid w:val="00991B13"/>
    <w:rsid w:val="00991B51"/>
    <w:rsid w:val="00991CA1"/>
    <w:rsid w:val="00991F66"/>
    <w:rsid w:val="009921D9"/>
    <w:rsid w:val="009922EC"/>
    <w:rsid w:val="0099256F"/>
    <w:rsid w:val="00992BFF"/>
    <w:rsid w:val="00992E3C"/>
    <w:rsid w:val="00992F99"/>
    <w:rsid w:val="00993833"/>
    <w:rsid w:val="00993D99"/>
    <w:rsid w:val="00993F0C"/>
    <w:rsid w:val="00994002"/>
    <w:rsid w:val="0099426C"/>
    <w:rsid w:val="00994395"/>
    <w:rsid w:val="00994559"/>
    <w:rsid w:val="009945F0"/>
    <w:rsid w:val="00994D29"/>
    <w:rsid w:val="00995586"/>
    <w:rsid w:val="009955D8"/>
    <w:rsid w:val="00995E83"/>
    <w:rsid w:val="00995F98"/>
    <w:rsid w:val="0099601B"/>
    <w:rsid w:val="0099614F"/>
    <w:rsid w:val="009962DF"/>
    <w:rsid w:val="0099640E"/>
    <w:rsid w:val="009969B0"/>
    <w:rsid w:val="00996CE2"/>
    <w:rsid w:val="00996E0B"/>
    <w:rsid w:val="00996F4E"/>
    <w:rsid w:val="0099735E"/>
    <w:rsid w:val="009A00F4"/>
    <w:rsid w:val="009A0415"/>
    <w:rsid w:val="009A0722"/>
    <w:rsid w:val="009A0756"/>
    <w:rsid w:val="009A0916"/>
    <w:rsid w:val="009A0BDC"/>
    <w:rsid w:val="009A0C21"/>
    <w:rsid w:val="009A11D1"/>
    <w:rsid w:val="009A188B"/>
    <w:rsid w:val="009A19A8"/>
    <w:rsid w:val="009A1B96"/>
    <w:rsid w:val="009A1D26"/>
    <w:rsid w:val="009A22D3"/>
    <w:rsid w:val="009A280D"/>
    <w:rsid w:val="009A367E"/>
    <w:rsid w:val="009A402A"/>
    <w:rsid w:val="009A44B2"/>
    <w:rsid w:val="009A4674"/>
    <w:rsid w:val="009A47F8"/>
    <w:rsid w:val="009A4C2D"/>
    <w:rsid w:val="009A4EF8"/>
    <w:rsid w:val="009A58C9"/>
    <w:rsid w:val="009A5B93"/>
    <w:rsid w:val="009A624B"/>
    <w:rsid w:val="009A649E"/>
    <w:rsid w:val="009A67D2"/>
    <w:rsid w:val="009A68C2"/>
    <w:rsid w:val="009A6D44"/>
    <w:rsid w:val="009A760B"/>
    <w:rsid w:val="009B0462"/>
    <w:rsid w:val="009B05E6"/>
    <w:rsid w:val="009B068F"/>
    <w:rsid w:val="009B08AA"/>
    <w:rsid w:val="009B0BA1"/>
    <w:rsid w:val="009B0DE6"/>
    <w:rsid w:val="009B0E1D"/>
    <w:rsid w:val="009B188E"/>
    <w:rsid w:val="009B1907"/>
    <w:rsid w:val="009B19A7"/>
    <w:rsid w:val="009B1C8D"/>
    <w:rsid w:val="009B1DB5"/>
    <w:rsid w:val="009B1F02"/>
    <w:rsid w:val="009B2273"/>
    <w:rsid w:val="009B2308"/>
    <w:rsid w:val="009B257C"/>
    <w:rsid w:val="009B2B82"/>
    <w:rsid w:val="009B2D8A"/>
    <w:rsid w:val="009B32AA"/>
    <w:rsid w:val="009B3D92"/>
    <w:rsid w:val="009B3DD7"/>
    <w:rsid w:val="009B4294"/>
    <w:rsid w:val="009B48A3"/>
    <w:rsid w:val="009B4A56"/>
    <w:rsid w:val="009B4BE9"/>
    <w:rsid w:val="009B56E9"/>
    <w:rsid w:val="009B57C8"/>
    <w:rsid w:val="009B58E7"/>
    <w:rsid w:val="009B5953"/>
    <w:rsid w:val="009B5AD6"/>
    <w:rsid w:val="009B5BB4"/>
    <w:rsid w:val="009B5F03"/>
    <w:rsid w:val="009B5FB7"/>
    <w:rsid w:val="009B614C"/>
    <w:rsid w:val="009B6510"/>
    <w:rsid w:val="009B686A"/>
    <w:rsid w:val="009B6D67"/>
    <w:rsid w:val="009B6DFC"/>
    <w:rsid w:val="009B6E38"/>
    <w:rsid w:val="009B6E3A"/>
    <w:rsid w:val="009B6FD9"/>
    <w:rsid w:val="009B7914"/>
    <w:rsid w:val="009B7C70"/>
    <w:rsid w:val="009B7EFC"/>
    <w:rsid w:val="009C04C7"/>
    <w:rsid w:val="009C092B"/>
    <w:rsid w:val="009C0C1A"/>
    <w:rsid w:val="009C124C"/>
    <w:rsid w:val="009C1603"/>
    <w:rsid w:val="009C16DE"/>
    <w:rsid w:val="009C24B1"/>
    <w:rsid w:val="009C250C"/>
    <w:rsid w:val="009C27FD"/>
    <w:rsid w:val="009C2952"/>
    <w:rsid w:val="009C2B99"/>
    <w:rsid w:val="009C3047"/>
    <w:rsid w:val="009C3490"/>
    <w:rsid w:val="009C39A4"/>
    <w:rsid w:val="009C3BE6"/>
    <w:rsid w:val="009C3F10"/>
    <w:rsid w:val="009C461D"/>
    <w:rsid w:val="009C4FCC"/>
    <w:rsid w:val="009C58AB"/>
    <w:rsid w:val="009C5929"/>
    <w:rsid w:val="009C5ABD"/>
    <w:rsid w:val="009C5BDB"/>
    <w:rsid w:val="009C6046"/>
    <w:rsid w:val="009C6565"/>
    <w:rsid w:val="009C6A6F"/>
    <w:rsid w:val="009C70DB"/>
    <w:rsid w:val="009C724D"/>
    <w:rsid w:val="009C79A3"/>
    <w:rsid w:val="009C7BFE"/>
    <w:rsid w:val="009C7EB3"/>
    <w:rsid w:val="009D006A"/>
    <w:rsid w:val="009D0096"/>
    <w:rsid w:val="009D01C8"/>
    <w:rsid w:val="009D03DC"/>
    <w:rsid w:val="009D0491"/>
    <w:rsid w:val="009D095E"/>
    <w:rsid w:val="009D0B6E"/>
    <w:rsid w:val="009D0CAD"/>
    <w:rsid w:val="009D1040"/>
    <w:rsid w:val="009D140D"/>
    <w:rsid w:val="009D1E37"/>
    <w:rsid w:val="009D23A2"/>
    <w:rsid w:val="009D2478"/>
    <w:rsid w:val="009D3109"/>
    <w:rsid w:val="009D3202"/>
    <w:rsid w:val="009D336A"/>
    <w:rsid w:val="009D3831"/>
    <w:rsid w:val="009D3911"/>
    <w:rsid w:val="009D3A69"/>
    <w:rsid w:val="009D4348"/>
    <w:rsid w:val="009D4739"/>
    <w:rsid w:val="009D4740"/>
    <w:rsid w:val="009D4862"/>
    <w:rsid w:val="009D49E3"/>
    <w:rsid w:val="009D4A7D"/>
    <w:rsid w:val="009D4BD9"/>
    <w:rsid w:val="009D4D2E"/>
    <w:rsid w:val="009D5237"/>
    <w:rsid w:val="009D538C"/>
    <w:rsid w:val="009D53E0"/>
    <w:rsid w:val="009D5442"/>
    <w:rsid w:val="009D5B01"/>
    <w:rsid w:val="009D5EBC"/>
    <w:rsid w:val="009D5F92"/>
    <w:rsid w:val="009D64E4"/>
    <w:rsid w:val="009D6794"/>
    <w:rsid w:val="009D6C0A"/>
    <w:rsid w:val="009D6CA9"/>
    <w:rsid w:val="009D745F"/>
    <w:rsid w:val="009D7463"/>
    <w:rsid w:val="009D791F"/>
    <w:rsid w:val="009D7C3C"/>
    <w:rsid w:val="009D7D0D"/>
    <w:rsid w:val="009D7E25"/>
    <w:rsid w:val="009D7E26"/>
    <w:rsid w:val="009E0425"/>
    <w:rsid w:val="009E046A"/>
    <w:rsid w:val="009E0960"/>
    <w:rsid w:val="009E128B"/>
    <w:rsid w:val="009E1783"/>
    <w:rsid w:val="009E1902"/>
    <w:rsid w:val="009E1C0D"/>
    <w:rsid w:val="009E1E1C"/>
    <w:rsid w:val="009E1EC6"/>
    <w:rsid w:val="009E217C"/>
    <w:rsid w:val="009E2935"/>
    <w:rsid w:val="009E2B73"/>
    <w:rsid w:val="009E2D87"/>
    <w:rsid w:val="009E308C"/>
    <w:rsid w:val="009E30BB"/>
    <w:rsid w:val="009E36F7"/>
    <w:rsid w:val="009E3B57"/>
    <w:rsid w:val="009E40B3"/>
    <w:rsid w:val="009E4180"/>
    <w:rsid w:val="009E44F2"/>
    <w:rsid w:val="009E4618"/>
    <w:rsid w:val="009E4791"/>
    <w:rsid w:val="009E4C05"/>
    <w:rsid w:val="009E4E90"/>
    <w:rsid w:val="009E5596"/>
    <w:rsid w:val="009E58C2"/>
    <w:rsid w:val="009E5A93"/>
    <w:rsid w:val="009E5B65"/>
    <w:rsid w:val="009E6314"/>
    <w:rsid w:val="009E6B42"/>
    <w:rsid w:val="009E6D4E"/>
    <w:rsid w:val="009E7001"/>
    <w:rsid w:val="009E7752"/>
    <w:rsid w:val="009F01B5"/>
    <w:rsid w:val="009F028B"/>
    <w:rsid w:val="009F02F6"/>
    <w:rsid w:val="009F067F"/>
    <w:rsid w:val="009F09B8"/>
    <w:rsid w:val="009F0C64"/>
    <w:rsid w:val="009F0C8B"/>
    <w:rsid w:val="009F11D9"/>
    <w:rsid w:val="009F12FC"/>
    <w:rsid w:val="009F14F3"/>
    <w:rsid w:val="009F177C"/>
    <w:rsid w:val="009F18D2"/>
    <w:rsid w:val="009F19D0"/>
    <w:rsid w:val="009F206A"/>
    <w:rsid w:val="009F264B"/>
    <w:rsid w:val="009F27F7"/>
    <w:rsid w:val="009F353B"/>
    <w:rsid w:val="009F3AF8"/>
    <w:rsid w:val="009F3BD7"/>
    <w:rsid w:val="009F3F91"/>
    <w:rsid w:val="009F455B"/>
    <w:rsid w:val="009F47CA"/>
    <w:rsid w:val="009F49EB"/>
    <w:rsid w:val="009F4BEC"/>
    <w:rsid w:val="009F4D00"/>
    <w:rsid w:val="009F53ED"/>
    <w:rsid w:val="009F5C42"/>
    <w:rsid w:val="009F6154"/>
    <w:rsid w:val="009F63F9"/>
    <w:rsid w:val="009F6419"/>
    <w:rsid w:val="009F66CE"/>
    <w:rsid w:val="009F6731"/>
    <w:rsid w:val="009F67C9"/>
    <w:rsid w:val="009F6C00"/>
    <w:rsid w:val="009F6D90"/>
    <w:rsid w:val="009F7256"/>
    <w:rsid w:val="009F73D5"/>
    <w:rsid w:val="009F7638"/>
    <w:rsid w:val="009F7673"/>
    <w:rsid w:val="009F7B7E"/>
    <w:rsid w:val="009F7E43"/>
    <w:rsid w:val="009F7F6B"/>
    <w:rsid w:val="00A00008"/>
    <w:rsid w:val="00A00045"/>
    <w:rsid w:val="00A0010B"/>
    <w:rsid w:val="00A0082A"/>
    <w:rsid w:val="00A01366"/>
    <w:rsid w:val="00A018DD"/>
    <w:rsid w:val="00A023D8"/>
    <w:rsid w:val="00A026EB"/>
    <w:rsid w:val="00A02D31"/>
    <w:rsid w:val="00A030E3"/>
    <w:rsid w:val="00A03363"/>
    <w:rsid w:val="00A03416"/>
    <w:rsid w:val="00A037C1"/>
    <w:rsid w:val="00A03922"/>
    <w:rsid w:val="00A03A1E"/>
    <w:rsid w:val="00A03E8E"/>
    <w:rsid w:val="00A03E91"/>
    <w:rsid w:val="00A043E7"/>
    <w:rsid w:val="00A04A36"/>
    <w:rsid w:val="00A04C9C"/>
    <w:rsid w:val="00A04CA1"/>
    <w:rsid w:val="00A04D20"/>
    <w:rsid w:val="00A05049"/>
    <w:rsid w:val="00A052D9"/>
    <w:rsid w:val="00A0591C"/>
    <w:rsid w:val="00A06328"/>
    <w:rsid w:val="00A064BD"/>
    <w:rsid w:val="00A06672"/>
    <w:rsid w:val="00A0693E"/>
    <w:rsid w:val="00A06BA0"/>
    <w:rsid w:val="00A07831"/>
    <w:rsid w:val="00A07E90"/>
    <w:rsid w:val="00A1018E"/>
    <w:rsid w:val="00A1020C"/>
    <w:rsid w:val="00A1086F"/>
    <w:rsid w:val="00A11B52"/>
    <w:rsid w:val="00A11BE7"/>
    <w:rsid w:val="00A11EFF"/>
    <w:rsid w:val="00A1325D"/>
    <w:rsid w:val="00A13767"/>
    <w:rsid w:val="00A13A87"/>
    <w:rsid w:val="00A14431"/>
    <w:rsid w:val="00A152C0"/>
    <w:rsid w:val="00A152DA"/>
    <w:rsid w:val="00A15461"/>
    <w:rsid w:val="00A155D1"/>
    <w:rsid w:val="00A15875"/>
    <w:rsid w:val="00A15A17"/>
    <w:rsid w:val="00A15A53"/>
    <w:rsid w:val="00A15B1A"/>
    <w:rsid w:val="00A15DA3"/>
    <w:rsid w:val="00A15DB0"/>
    <w:rsid w:val="00A15FB5"/>
    <w:rsid w:val="00A16067"/>
    <w:rsid w:val="00A1608C"/>
    <w:rsid w:val="00A162DC"/>
    <w:rsid w:val="00A16461"/>
    <w:rsid w:val="00A1684A"/>
    <w:rsid w:val="00A16B4C"/>
    <w:rsid w:val="00A16BF3"/>
    <w:rsid w:val="00A16C9E"/>
    <w:rsid w:val="00A16CCE"/>
    <w:rsid w:val="00A16E7A"/>
    <w:rsid w:val="00A17B78"/>
    <w:rsid w:val="00A17E2E"/>
    <w:rsid w:val="00A2041D"/>
    <w:rsid w:val="00A20798"/>
    <w:rsid w:val="00A20B91"/>
    <w:rsid w:val="00A20E2D"/>
    <w:rsid w:val="00A21606"/>
    <w:rsid w:val="00A217E3"/>
    <w:rsid w:val="00A21B9B"/>
    <w:rsid w:val="00A21D27"/>
    <w:rsid w:val="00A21DC2"/>
    <w:rsid w:val="00A227C8"/>
    <w:rsid w:val="00A22D76"/>
    <w:rsid w:val="00A2300D"/>
    <w:rsid w:val="00A2303D"/>
    <w:rsid w:val="00A23449"/>
    <w:rsid w:val="00A2394E"/>
    <w:rsid w:val="00A23BB3"/>
    <w:rsid w:val="00A23DD9"/>
    <w:rsid w:val="00A23E28"/>
    <w:rsid w:val="00A23EF2"/>
    <w:rsid w:val="00A240BE"/>
    <w:rsid w:val="00A24197"/>
    <w:rsid w:val="00A242AE"/>
    <w:rsid w:val="00A2434B"/>
    <w:rsid w:val="00A248A7"/>
    <w:rsid w:val="00A24A31"/>
    <w:rsid w:val="00A24E9A"/>
    <w:rsid w:val="00A253E6"/>
    <w:rsid w:val="00A2579B"/>
    <w:rsid w:val="00A25C1B"/>
    <w:rsid w:val="00A25F72"/>
    <w:rsid w:val="00A26297"/>
    <w:rsid w:val="00A26583"/>
    <w:rsid w:val="00A267A3"/>
    <w:rsid w:val="00A2685B"/>
    <w:rsid w:val="00A26BFC"/>
    <w:rsid w:val="00A26D2D"/>
    <w:rsid w:val="00A27418"/>
    <w:rsid w:val="00A27CE8"/>
    <w:rsid w:val="00A302AA"/>
    <w:rsid w:val="00A303C5"/>
    <w:rsid w:val="00A305EF"/>
    <w:rsid w:val="00A31151"/>
    <w:rsid w:val="00A311AB"/>
    <w:rsid w:val="00A315F8"/>
    <w:rsid w:val="00A31AB9"/>
    <w:rsid w:val="00A31C8F"/>
    <w:rsid w:val="00A3229A"/>
    <w:rsid w:val="00A323DE"/>
    <w:rsid w:val="00A324CB"/>
    <w:rsid w:val="00A324E0"/>
    <w:rsid w:val="00A325A2"/>
    <w:rsid w:val="00A329F7"/>
    <w:rsid w:val="00A32C62"/>
    <w:rsid w:val="00A33B4D"/>
    <w:rsid w:val="00A344F3"/>
    <w:rsid w:val="00A3472F"/>
    <w:rsid w:val="00A34B31"/>
    <w:rsid w:val="00A34C59"/>
    <w:rsid w:val="00A34CFA"/>
    <w:rsid w:val="00A34F79"/>
    <w:rsid w:val="00A35275"/>
    <w:rsid w:val="00A35537"/>
    <w:rsid w:val="00A35956"/>
    <w:rsid w:val="00A35F57"/>
    <w:rsid w:val="00A362C9"/>
    <w:rsid w:val="00A363A6"/>
    <w:rsid w:val="00A3653D"/>
    <w:rsid w:val="00A37074"/>
    <w:rsid w:val="00A37274"/>
    <w:rsid w:val="00A37427"/>
    <w:rsid w:val="00A4012F"/>
    <w:rsid w:val="00A40161"/>
    <w:rsid w:val="00A401C0"/>
    <w:rsid w:val="00A4032E"/>
    <w:rsid w:val="00A406DD"/>
    <w:rsid w:val="00A40A64"/>
    <w:rsid w:val="00A40AC7"/>
    <w:rsid w:val="00A40F06"/>
    <w:rsid w:val="00A410F2"/>
    <w:rsid w:val="00A4124B"/>
    <w:rsid w:val="00A416F6"/>
    <w:rsid w:val="00A419A8"/>
    <w:rsid w:val="00A41BD4"/>
    <w:rsid w:val="00A41DEA"/>
    <w:rsid w:val="00A424D9"/>
    <w:rsid w:val="00A4273D"/>
    <w:rsid w:val="00A42E6E"/>
    <w:rsid w:val="00A431AC"/>
    <w:rsid w:val="00A431AE"/>
    <w:rsid w:val="00A436B0"/>
    <w:rsid w:val="00A43AA2"/>
    <w:rsid w:val="00A43BE9"/>
    <w:rsid w:val="00A4429F"/>
    <w:rsid w:val="00A44483"/>
    <w:rsid w:val="00A4482D"/>
    <w:rsid w:val="00A45D27"/>
    <w:rsid w:val="00A46402"/>
    <w:rsid w:val="00A4684C"/>
    <w:rsid w:val="00A46965"/>
    <w:rsid w:val="00A46F27"/>
    <w:rsid w:val="00A47061"/>
    <w:rsid w:val="00A4710B"/>
    <w:rsid w:val="00A473CB"/>
    <w:rsid w:val="00A47889"/>
    <w:rsid w:val="00A47B35"/>
    <w:rsid w:val="00A47EC3"/>
    <w:rsid w:val="00A47F74"/>
    <w:rsid w:val="00A50094"/>
    <w:rsid w:val="00A5052C"/>
    <w:rsid w:val="00A505BD"/>
    <w:rsid w:val="00A50925"/>
    <w:rsid w:val="00A50CEC"/>
    <w:rsid w:val="00A50EF7"/>
    <w:rsid w:val="00A50F50"/>
    <w:rsid w:val="00A51364"/>
    <w:rsid w:val="00A5163F"/>
    <w:rsid w:val="00A51653"/>
    <w:rsid w:val="00A519CA"/>
    <w:rsid w:val="00A51EA6"/>
    <w:rsid w:val="00A51F4A"/>
    <w:rsid w:val="00A520FF"/>
    <w:rsid w:val="00A52107"/>
    <w:rsid w:val="00A52247"/>
    <w:rsid w:val="00A5269A"/>
    <w:rsid w:val="00A52702"/>
    <w:rsid w:val="00A5280A"/>
    <w:rsid w:val="00A52CAB"/>
    <w:rsid w:val="00A533B7"/>
    <w:rsid w:val="00A5522E"/>
    <w:rsid w:val="00A55429"/>
    <w:rsid w:val="00A556C4"/>
    <w:rsid w:val="00A55D99"/>
    <w:rsid w:val="00A55E75"/>
    <w:rsid w:val="00A56340"/>
    <w:rsid w:val="00A56341"/>
    <w:rsid w:val="00A56C85"/>
    <w:rsid w:val="00A56E50"/>
    <w:rsid w:val="00A56FBA"/>
    <w:rsid w:val="00A56FE8"/>
    <w:rsid w:val="00A5712E"/>
    <w:rsid w:val="00A571D5"/>
    <w:rsid w:val="00A573AD"/>
    <w:rsid w:val="00A5759C"/>
    <w:rsid w:val="00A57A63"/>
    <w:rsid w:val="00A57B4D"/>
    <w:rsid w:val="00A60190"/>
    <w:rsid w:val="00A60295"/>
    <w:rsid w:val="00A60423"/>
    <w:rsid w:val="00A608B2"/>
    <w:rsid w:val="00A60AAF"/>
    <w:rsid w:val="00A60C9D"/>
    <w:rsid w:val="00A60FE3"/>
    <w:rsid w:val="00A61536"/>
    <w:rsid w:val="00A61C0A"/>
    <w:rsid w:val="00A61C46"/>
    <w:rsid w:val="00A62A04"/>
    <w:rsid w:val="00A62C2A"/>
    <w:rsid w:val="00A62C45"/>
    <w:rsid w:val="00A63827"/>
    <w:rsid w:val="00A63C73"/>
    <w:rsid w:val="00A63D2C"/>
    <w:rsid w:val="00A63E62"/>
    <w:rsid w:val="00A643D1"/>
    <w:rsid w:val="00A64483"/>
    <w:rsid w:val="00A649F1"/>
    <w:rsid w:val="00A64A58"/>
    <w:rsid w:val="00A64E20"/>
    <w:rsid w:val="00A64E38"/>
    <w:rsid w:val="00A6555C"/>
    <w:rsid w:val="00A65C85"/>
    <w:rsid w:val="00A6620B"/>
    <w:rsid w:val="00A662E3"/>
    <w:rsid w:val="00A663D5"/>
    <w:rsid w:val="00A663E1"/>
    <w:rsid w:val="00A6651D"/>
    <w:rsid w:val="00A66528"/>
    <w:rsid w:val="00A66631"/>
    <w:rsid w:val="00A66A55"/>
    <w:rsid w:val="00A67647"/>
    <w:rsid w:val="00A678F7"/>
    <w:rsid w:val="00A67954"/>
    <w:rsid w:val="00A67A42"/>
    <w:rsid w:val="00A700F5"/>
    <w:rsid w:val="00A705AA"/>
    <w:rsid w:val="00A70BAD"/>
    <w:rsid w:val="00A70F6B"/>
    <w:rsid w:val="00A711A2"/>
    <w:rsid w:val="00A714C1"/>
    <w:rsid w:val="00A71694"/>
    <w:rsid w:val="00A71845"/>
    <w:rsid w:val="00A7190A"/>
    <w:rsid w:val="00A71DBF"/>
    <w:rsid w:val="00A723D2"/>
    <w:rsid w:val="00A725A2"/>
    <w:rsid w:val="00A7289F"/>
    <w:rsid w:val="00A73050"/>
    <w:rsid w:val="00A731AC"/>
    <w:rsid w:val="00A73566"/>
    <w:rsid w:val="00A73585"/>
    <w:rsid w:val="00A7384F"/>
    <w:rsid w:val="00A7389D"/>
    <w:rsid w:val="00A73A97"/>
    <w:rsid w:val="00A74BDB"/>
    <w:rsid w:val="00A750A4"/>
    <w:rsid w:val="00A753C7"/>
    <w:rsid w:val="00A75562"/>
    <w:rsid w:val="00A75747"/>
    <w:rsid w:val="00A75FA9"/>
    <w:rsid w:val="00A76238"/>
    <w:rsid w:val="00A764D0"/>
    <w:rsid w:val="00A770D9"/>
    <w:rsid w:val="00A7776C"/>
    <w:rsid w:val="00A77AFB"/>
    <w:rsid w:val="00A77C58"/>
    <w:rsid w:val="00A80705"/>
    <w:rsid w:val="00A808C2"/>
    <w:rsid w:val="00A808CB"/>
    <w:rsid w:val="00A80AEA"/>
    <w:rsid w:val="00A81140"/>
    <w:rsid w:val="00A81206"/>
    <w:rsid w:val="00A81335"/>
    <w:rsid w:val="00A8137D"/>
    <w:rsid w:val="00A815FD"/>
    <w:rsid w:val="00A8171D"/>
    <w:rsid w:val="00A821D6"/>
    <w:rsid w:val="00A8270F"/>
    <w:rsid w:val="00A8275F"/>
    <w:rsid w:val="00A82AA1"/>
    <w:rsid w:val="00A82CF9"/>
    <w:rsid w:val="00A83111"/>
    <w:rsid w:val="00A83163"/>
    <w:rsid w:val="00A831BE"/>
    <w:rsid w:val="00A8357D"/>
    <w:rsid w:val="00A83891"/>
    <w:rsid w:val="00A838CB"/>
    <w:rsid w:val="00A83AD4"/>
    <w:rsid w:val="00A83C9E"/>
    <w:rsid w:val="00A83D8F"/>
    <w:rsid w:val="00A83EC9"/>
    <w:rsid w:val="00A83F48"/>
    <w:rsid w:val="00A84579"/>
    <w:rsid w:val="00A8468A"/>
    <w:rsid w:val="00A847C7"/>
    <w:rsid w:val="00A847D0"/>
    <w:rsid w:val="00A84E2E"/>
    <w:rsid w:val="00A851D7"/>
    <w:rsid w:val="00A8533E"/>
    <w:rsid w:val="00A85350"/>
    <w:rsid w:val="00A85BA4"/>
    <w:rsid w:val="00A863B2"/>
    <w:rsid w:val="00A86451"/>
    <w:rsid w:val="00A86764"/>
    <w:rsid w:val="00A867B1"/>
    <w:rsid w:val="00A86F20"/>
    <w:rsid w:val="00A870EE"/>
    <w:rsid w:val="00A871CA"/>
    <w:rsid w:val="00A87848"/>
    <w:rsid w:val="00A878A8"/>
    <w:rsid w:val="00A87A45"/>
    <w:rsid w:val="00A87E83"/>
    <w:rsid w:val="00A90148"/>
    <w:rsid w:val="00A9042B"/>
    <w:rsid w:val="00A910D4"/>
    <w:rsid w:val="00A911B9"/>
    <w:rsid w:val="00A913A1"/>
    <w:rsid w:val="00A91548"/>
    <w:rsid w:val="00A9207D"/>
    <w:rsid w:val="00A923FE"/>
    <w:rsid w:val="00A92421"/>
    <w:rsid w:val="00A92A30"/>
    <w:rsid w:val="00A92CD2"/>
    <w:rsid w:val="00A92EFB"/>
    <w:rsid w:val="00A9307F"/>
    <w:rsid w:val="00A93B5B"/>
    <w:rsid w:val="00A93E27"/>
    <w:rsid w:val="00A94228"/>
    <w:rsid w:val="00A94A88"/>
    <w:rsid w:val="00A95139"/>
    <w:rsid w:val="00A951AD"/>
    <w:rsid w:val="00A95287"/>
    <w:rsid w:val="00A95549"/>
    <w:rsid w:val="00A95F7D"/>
    <w:rsid w:val="00A95F86"/>
    <w:rsid w:val="00A9628F"/>
    <w:rsid w:val="00A963CE"/>
    <w:rsid w:val="00A96507"/>
    <w:rsid w:val="00A96BD8"/>
    <w:rsid w:val="00A96C7B"/>
    <w:rsid w:val="00A96CF4"/>
    <w:rsid w:val="00A96E60"/>
    <w:rsid w:val="00A974A5"/>
    <w:rsid w:val="00A97FB9"/>
    <w:rsid w:val="00A97FC7"/>
    <w:rsid w:val="00AA0354"/>
    <w:rsid w:val="00AA0620"/>
    <w:rsid w:val="00AA0651"/>
    <w:rsid w:val="00AA0D81"/>
    <w:rsid w:val="00AA0EDC"/>
    <w:rsid w:val="00AA20F2"/>
    <w:rsid w:val="00AA236D"/>
    <w:rsid w:val="00AA23DB"/>
    <w:rsid w:val="00AA31FD"/>
    <w:rsid w:val="00AA33E3"/>
    <w:rsid w:val="00AA35EE"/>
    <w:rsid w:val="00AA3644"/>
    <w:rsid w:val="00AA3F0A"/>
    <w:rsid w:val="00AA41E5"/>
    <w:rsid w:val="00AA5075"/>
    <w:rsid w:val="00AA51AA"/>
    <w:rsid w:val="00AA548E"/>
    <w:rsid w:val="00AA58C4"/>
    <w:rsid w:val="00AA58F0"/>
    <w:rsid w:val="00AA590E"/>
    <w:rsid w:val="00AA5A5F"/>
    <w:rsid w:val="00AA5B58"/>
    <w:rsid w:val="00AA5BFC"/>
    <w:rsid w:val="00AA5C18"/>
    <w:rsid w:val="00AA6331"/>
    <w:rsid w:val="00AA660A"/>
    <w:rsid w:val="00AA68F4"/>
    <w:rsid w:val="00AA7224"/>
    <w:rsid w:val="00AA74C7"/>
    <w:rsid w:val="00AA76AE"/>
    <w:rsid w:val="00AA7EED"/>
    <w:rsid w:val="00AB026F"/>
    <w:rsid w:val="00AB02F9"/>
    <w:rsid w:val="00AB035E"/>
    <w:rsid w:val="00AB058A"/>
    <w:rsid w:val="00AB0605"/>
    <w:rsid w:val="00AB0D0B"/>
    <w:rsid w:val="00AB196F"/>
    <w:rsid w:val="00AB1E93"/>
    <w:rsid w:val="00AB2391"/>
    <w:rsid w:val="00AB2ABC"/>
    <w:rsid w:val="00AB2EF0"/>
    <w:rsid w:val="00AB3215"/>
    <w:rsid w:val="00AB387B"/>
    <w:rsid w:val="00AB3ADE"/>
    <w:rsid w:val="00AB3B7A"/>
    <w:rsid w:val="00AB3ED3"/>
    <w:rsid w:val="00AB409A"/>
    <w:rsid w:val="00AB43AC"/>
    <w:rsid w:val="00AB43DC"/>
    <w:rsid w:val="00AB4A52"/>
    <w:rsid w:val="00AB4AC2"/>
    <w:rsid w:val="00AB4BC0"/>
    <w:rsid w:val="00AB4C11"/>
    <w:rsid w:val="00AB4DEA"/>
    <w:rsid w:val="00AB4E5A"/>
    <w:rsid w:val="00AB4F47"/>
    <w:rsid w:val="00AB5251"/>
    <w:rsid w:val="00AB5AD0"/>
    <w:rsid w:val="00AB5B5C"/>
    <w:rsid w:val="00AB5C0A"/>
    <w:rsid w:val="00AB65FE"/>
    <w:rsid w:val="00AB68B4"/>
    <w:rsid w:val="00AB6D42"/>
    <w:rsid w:val="00AB703F"/>
    <w:rsid w:val="00AB7233"/>
    <w:rsid w:val="00AB7264"/>
    <w:rsid w:val="00AC05A0"/>
    <w:rsid w:val="00AC0CE3"/>
    <w:rsid w:val="00AC0EE6"/>
    <w:rsid w:val="00AC133D"/>
    <w:rsid w:val="00AC14CB"/>
    <w:rsid w:val="00AC16A8"/>
    <w:rsid w:val="00AC18B6"/>
    <w:rsid w:val="00AC1E46"/>
    <w:rsid w:val="00AC1F22"/>
    <w:rsid w:val="00AC2011"/>
    <w:rsid w:val="00AC220B"/>
    <w:rsid w:val="00AC241A"/>
    <w:rsid w:val="00AC2648"/>
    <w:rsid w:val="00AC26F9"/>
    <w:rsid w:val="00AC2914"/>
    <w:rsid w:val="00AC2A66"/>
    <w:rsid w:val="00AC2C3C"/>
    <w:rsid w:val="00AC319E"/>
    <w:rsid w:val="00AC3265"/>
    <w:rsid w:val="00AC3433"/>
    <w:rsid w:val="00AC375C"/>
    <w:rsid w:val="00AC3762"/>
    <w:rsid w:val="00AC3B6B"/>
    <w:rsid w:val="00AC41E0"/>
    <w:rsid w:val="00AC4241"/>
    <w:rsid w:val="00AC4C5B"/>
    <w:rsid w:val="00AC527B"/>
    <w:rsid w:val="00AC52B4"/>
    <w:rsid w:val="00AC5547"/>
    <w:rsid w:val="00AC56A6"/>
    <w:rsid w:val="00AC5933"/>
    <w:rsid w:val="00AC5E45"/>
    <w:rsid w:val="00AC60F1"/>
    <w:rsid w:val="00AC616C"/>
    <w:rsid w:val="00AC6524"/>
    <w:rsid w:val="00AC6CB4"/>
    <w:rsid w:val="00AC6FF3"/>
    <w:rsid w:val="00AC727C"/>
    <w:rsid w:val="00AC7D13"/>
    <w:rsid w:val="00AD0285"/>
    <w:rsid w:val="00AD02A4"/>
    <w:rsid w:val="00AD0887"/>
    <w:rsid w:val="00AD1705"/>
    <w:rsid w:val="00AD1C05"/>
    <w:rsid w:val="00AD1C72"/>
    <w:rsid w:val="00AD2404"/>
    <w:rsid w:val="00AD2852"/>
    <w:rsid w:val="00AD289E"/>
    <w:rsid w:val="00AD2CC5"/>
    <w:rsid w:val="00AD2EEC"/>
    <w:rsid w:val="00AD3A22"/>
    <w:rsid w:val="00AD3B76"/>
    <w:rsid w:val="00AD4ED7"/>
    <w:rsid w:val="00AD4EE3"/>
    <w:rsid w:val="00AD57FA"/>
    <w:rsid w:val="00AD5CEF"/>
    <w:rsid w:val="00AD61D1"/>
    <w:rsid w:val="00AD6719"/>
    <w:rsid w:val="00AD6BAC"/>
    <w:rsid w:val="00AD6D4D"/>
    <w:rsid w:val="00AD6E05"/>
    <w:rsid w:val="00AD6E4B"/>
    <w:rsid w:val="00AD6F19"/>
    <w:rsid w:val="00AD72A8"/>
    <w:rsid w:val="00AD7520"/>
    <w:rsid w:val="00AD7BB1"/>
    <w:rsid w:val="00AD7BF9"/>
    <w:rsid w:val="00AD7EF2"/>
    <w:rsid w:val="00AE00A1"/>
    <w:rsid w:val="00AE01D9"/>
    <w:rsid w:val="00AE020A"/>
    <w:rsid w:val="00AE03AC"/>
    <w:rsid w:val="00AE0940"/>
    <w:rsid w:val="00AE0A2D"/>
    <w:rsid w:val="00AE0A5A"/>
    <w:rsid w:val="00AE0B13"/>
    <w:rsid w:val="00AE0CFA"/>
    <w:rsid w:val="00AE1848"/>
    <w:rsid w:val="00AE1EA0"/>
    <w:rsid w:val="00AE2266"/>
    <w:rsid w:val="00AE239E"/>
    <w:rsid w:val="00AE2BF1"/>
    <w:rsid w:val="00AE2CFB"/>
    <w:rsid w:val="00AE2DCC"/>
    <w:rsid w:val="00AE3651"/>
    <w:rsid w:val="00AE3DCB"/>
    <w:rsid w:val="00AE3E4F"/>
    <w:rsid w:val="00AE3ECB"/>
    <w:rsid w:val="00AE46C7"/>
    <w:rsid w:val="00AE47AF"/>
    <w:rsid w:val="00AE488B"/>
    <w:rsid w:val="00AE4B78"/>
    <w:rsid w:val="00AE4E4C"/>
    <w:rsid w:val="00AE58CD"/>
    <w:rsid w:val="00AE5956"/>
    <w:rsid w:val="00AE5D90"/>
    <w:rsid w:val="00AE5E48"/>
    <w:rsid w:val="00AE5EC1"/>
    <w:rsid w:val="00AE642C"/>
    <w:rsid w:val="00AE6653"/>
    <w:rsid w:val="00AE69F1"/>
    <w:rsid w:val="00AE6A51"/>
    <w:rsid w:val="00AE6B4A"/>
    <w:rsid w:val="00AE6E25"/>
    <w:rsid w:val="00AE72F1"/>
    <w:rsid w:val="00AE7325"/>
    <w:rsid w:val="00AE7526"/>
    <w:rsid w:val="00AE7D42"/>
    <w:rsid w:val="00AE7EC8"/>
    <w:rsid w:val="00AF03E8"/>
    <w:rsid w:val="00AF06F3"/>
    <w:rsid w:val="00AF0FF2"/>
    <w:rsid w:val="00AF1348"/>
    <w:rsid w:val="00AF1826"/>
    <w:rsid w:val="00AF1DB1"/>
    <w:rsid w:val="00AF1DF7"/>
    <w:rsid w:val="00AF2312"/>
    <w:rsid w:val="00AF2E7A"/>
    <w:rsid w:val="00AF3023"/>
    <w:rsid w:val="00AF313E"/>
    <w:rsid w:val="00AF373F"/>
    <w:rsid w:val="00AF374B"/>
    <w:rsid w:val="00AF4855"/>
    <w:rsid w:val="00AF49A4"/>
    <w:rsid w:val="00AF4AD2"/>
    <w:rsid w:val="00AF4BB4"/>
    <w:rsid w:val="00AF4C54"/>
    <w:rsid w:val="00AF561F"/>
    <w:rsid w:val="00AF56B2"/>
    <w:rsid w:val="00AF57FF"/>
    <w:rsid w:val="00AF602C"/>
    <w:rsid w:val="00AF6F30"/>
    <w:rsid w:val="00AF705A"/>
    <w:rsid w:val="00AF7193"/>
    <w:rsid w:val="00AF720A"/>
    <w:rsid w:val="00AF7451"/>
    <w:rsid w:val="00AF7588"/>
    <w:rsid w:val="00AF7AF0"/>
    <w:rsid w:val="00B0014E"/>
    <w:rsid w:val="00B00201"/>
    <w:rsid w:val="00B00407"/>
    <w:rsid w:val="00B00CE7"/>
    <w:rsid w:val="00B00ED1"/>
    <w:rsid w:val="00B01070"/>
    <w:rsid w:val="00B0113A"/>
    <w:rsid w:val="00B0128E"/>
    <w:rsid w:val="00B013BC"/>
    <w:rsid w:val="00B013F4"/>
    <w:rsid w:val="00B01551"/>
    <w:rsid w:val="00B01916"/>
    <w:rsid w:val="00B01D35"/>
    <w:rsid w:val="00B021CF"/>
    <w:rsid w:val="00B02372"/>
    <w:rsid w:val="00B0256A"/>
    <w:rsid w:val="00B02AAC"/>
    <w:rsid w:val="00B02F39"/>
    <w:rsid w:val="00B02F5C"/>
    <w:rsid w:val="00B031DE"/>
    <w:rsid w:val="00B0355D"/>
    <w:rsid w:val="00B035BD"/>
    <w:rsid w:val="00B03868"/>
    <w:rsid w:val="00B03BD7"/>
    <w:rsid w:val="00B03BEC"/>
    <w:rsid w:val="00B03C1F"/>
    <w:rsid w:val="00B03DCE"/>
    <w:rsid w:val="00B041FF"/>
    <w:rsid w:val="00B0440E"/>
    <w:rsid w:val="00B046A3"/>
    <w:rsid w:val="00B04971"/>
    <w:rsid w:val="00B04B4E"/>
    <w:rsid w:val="00B04BA1"/>
    <w:rsid w:val="00B04CDB"/>
    <w:rsid w:val="00B04EEF"/>
    <w:rsid w:val="00B053AA"/>
    <w:rsid w:val="00B05F06"/>
    <w:rsid w:val="00B06333"/>
    <w:rsid w:val="00B06F9F"/>
    <w:rsid w:val="00B0717E"/>
    <w:rsid w:val="00B074D0"/>
    <w:rsid w:val="00B07912"/>
    <w:rsid w:val="00B07E9A"/>
    <w:rsid w:val="00B07EB2"/>
    <w:rsid w:val="00B10048"/>
    <w:rsid w:val="00B10167"/>
    <w:rsid w:val="00B104E8"/>
    <w:rsid w:val="00B10D83"/>
    <w:rsid w:val="00B10E89"/>
    <w:rsid w:val="00B10EAA"/>
    <w:rsid w:val="00B110DC"/>
    <w:rsid w:val="00B11266"/>
    <w:rsid w:val="00B115B8"/>
    <w:rsid w:val="00B11FBE"/>
    <w:rsid w:val="00B123F6"/>
    <w:rsid w:val="00B12471"/>
    <w:rsid w:val="00B124CE"/>
    <w:rsid w:val="00B127C1"/>
    <w:rsid w:val="00B12863"/>
    <w:rsid w:val="00B131A5"/>
    <w:rsid w:val="00B13B02"/>
    <w:rsid w:val="00B13DD1"/>
    <w:rsid w:val="00B13DE1"/>
    <w:rsid w:val="00B14226"/>
    <w:rsid w:val="00B1423E"/>
    <w:rsid w:val="00B14432"/>
    <w:rsid w:val="00B14540"/>
    <w:rsid w:val="00B14542"/>
    <w:rsid w:val="00B1480F"/>
    <w:rsid w:val="00B14899"/>
    <w:rsid w:val="00B14927"/>
    <w:rsid w:val="00B14DF2"/>
    <w:rsid w:val="00B15410"/>
    <w:rsid w:val="00B15758"/>
    <w:rsid w:val="00B16A17"/>
    <w:rsid w:val="00B1755E"/>
    <w:rsid w:val="00B17584"/>
    <w:rsid w:val="00B1781D"/>
    <w:rsid w:val="00B179FE"/>
    <w:rsid w:val="00B202A2"/>
    <w:rsid w:val="00B20347"/>
    <w:rsid w:val="00B204A1"/>
    <w:rsid w:val="00B20772"/>
    <w:rsid w:val="00B207AD"/>
    <w:rsid w:val="00B20A9F"/>
    <w:rsid w:val="00B2120D"/>
    <w:rsid w:val="00B213DF"/>
    <w:rsid w:val="00B216DF"/>
    <w:rsid w:val="00B2173F"/>
    <w:rsid w:val="00B21ADC"/>
    <w:rsid w:val="00B21B9A"/>
    <w:rsid w:val="00B21FC6"/>
    <w:rsid w:val="00B22338"/>
    <w:rsid w:val="00B2237A"/>
    <w:rsid w:val="00B2264B"/>
    <w:rsid w:val="00B2265B"/>
    <w:rsid w:val="00B22699"/>
    <w:rsid w:val="00B22927"/>
    <w:rsid w:val="00B22935"/>
    <w:rsid w:val="00B22CD0"/>
    <w:rsid w:val="00B22D8B"/>
    <w:rsid w:val="00B22D94"/>
    <w:rsid w:val="00B231B3"/>
    <w:rsid w:val="00B23604"/>
    <w:rsid w:val="00B237F0"/>
    <w:rsid w:val="00B23A0F"/>
    <w:rsid w:val="00B23BF1"/>
    <w:rsid w:val="00B2442E"/>
    <w:rsid w:val="00B24697"/>
    <w:rsid w:val="00B24B7C"/>
    <w:rsid w:val="00B24B86"/>
    <w:rsid w:val="00B2524B"/>
    <w:rsid w:val="00B2537D"/>
    <w:rsid w:val="00B25527"/>
    <w:rsid w:val="00B25604"/>
    <w:rsid w:val="00B257DC"/>
    <w:rsid w:val="00B26341"/>
    <w:rsid w:val="00B265DA"/>
    <w:rsid w:val="00B2702C"/>
    <w:rsid w:val="00B271A3"/>
    <w:rsid w:val="00B27BB8"/>
    <w:rsid w:val="00B308F0"/>
    <w:rsid w:val="00B30BCF"/>
    <w:rsid w:val="00B311E5"/>
    <w:rsid w:val="00B31527"/>
    <w:rsid w:val="00B31CA8"/>
    <w:rsid w:val="00B32597"/>
    <w:rsid w:val="00B32731"/>
    <w:rsid w:val="00B32767"/>
    <w:rsid w:val="00B330AE"/>
    <w:rsid w:val="00B33590"/>
    <w:rsid w:val="00B33675"/>
    <w:rsid w:val="00B33925"/>
    <w:rsid w:val="00B33F64"/>
    <w:rsid w:val="00B34143"/>
    <w:rsid w:val="00B34968"/>
    <w:rsid w:val="00B3499C"/>
    <w:rsid w:val="00B34CD9"/>
    <w:rsid w:val="00B34DA9"/>
    <w:rsid w:val="00B35106"/>
    <w:rsid w:val="00B3517B"/>
    <w:rsid w:val="00B3525F"/>
    <w:rsid w:val="00B35265"/>
    <w:rsid w:val="00B352CE"/>
    <w:rsid w:val="00B3540F"/>
    <w:rsid w:val="00B3590D"/>
    <w:rsid w:val="00B366A2"/>
    <w:rsid w:val="00B367B2"/>
    <w:rsid w:val="00B36AC5"/>
    <w:rsid w:val="00B36D6E"/>
    <w:rsid w:val="00B36EC1"/>
    <w:rsid w:val="00B36EE2"/>
    <w:rsid w:val="00B36F87"/>
    <w:rsid w:val="00B371E3"/>
    <w:rsid w:val="00B37511"/>
    <w:rsid w:val="00B3765B"/>
    <w:rsid w:val="00B37C49"/>
    <w:rsid w:val="00B4046D"/>
    <w:rsid w:val="00B40A17"/>
    <w:rsid w:val="00B40E9E"/>
    <w:rsid w:val="00B40F74"/>
    <w:rsid w:val="00B41341"/>
    <w:rsid w:val="00B41DB6"/>
    <w:rsid w:val="00B41DD1"/>
    <w:rsid w:val="00B41F6E"/>
    <w:rsid w:val="00B4280E"/>
    <w:rsid w:val="00B42990"/>
    <w:rsid w:val="00B43034"/>
    <w:rsid w:val="00B4391F"/>
    <w:rsid w:val="00B43BB4"/>
    <w:rsid w:val="00B4426E"/>
    <w:rsid w:val="00B449C5"/>
    <w:rsid w:val="00B44C41"/>
    <w:rsid w:val="00B44F05"/>
    <w:rsid w:val="00B4510C"/>
    <w:rsid w:val="00B45139"/>
    <w:rsid w:val="00B451F9"/>
    <w:rsid w:val="00B45D44"/>
    <w:rsid w:val="00B45F4A"/>
    <w:rsid w:val="00B46060"/>
    <w:rsid w:val="00B46400"/>
    <w:rsid w:val="00B4682D"/>
    <w:rsid w:val="00B46976"/>
    <w:rsid w:val="00B46D0A"/>
    <w:rsid w:val="00B4719E"/>
    <w:rsid w:val="00B471FE"/>
    <w:rsid w:val="00B472AE"/>
    <w:rsid w:val="00B472D2"/>
    <w:rsid w:val="00B473DA"/>
    <w:rsid w:val="00B477BB"/>
    <w:rsid w:val="00B47B56"/>
    <w:rsid w:val="00B47F8B"/>
    <w:rsid w:val="00B500BC"/>
    <w:rsid w:val="00B5022C"/>
    <w:rsid w:val="00B515A9"/>
    <w:rsid w:val="00B5172A"/>
    <w:rsid w:val="00B519B1"/>
    <w:rsid w:val="00B519DD"/>
    <w:rsid w:val="00B51D94"/>
    <w:rsid w:val="00B52449"/>
    <w:rsid w:val="00B52575"/>
    <w:rsid w:val="00B52CDC"/>
    <w:rsid w:val="00B53227"/>
    <w:rsid w:val="00B536F5"/>
    <w:rsid w:val="00B53BD1"/>
    <w:rsid w:val="00B53DB8"/>
    <w:rsid w:val="00B54516"/>
    <w:rsid w:val="00B54599"/>
    <w:rsid w:val="00B5469F"/>
    <w:rsid w:val="00B54ED8"/>
    <w:rsid w:val="00B558AB"/>
    <w:rsid w:val="00B55E2B"/>
    <w:rsid w:val="00B5640F"/>
    <w:rsid w:val="00B56C27"/>
    <w:rsid w:val="00B56FB6"/>
    <w:rsid w:val="00B57261"/>
    <w:rsid w:val="00B572C5"/>
    <w:rsid w:val="00B576FA"/>
    <w:rsid w:val="00B57788"/>
    <w:rsid w:val="00B57CC8"/>
    <w:rsid w:val="00B60154"/>
    <w:rsid w:val="00B601B8"/>
    <w:rsid w:val="00B60850"/>
    <w:rsid w:val="00B60C02"/>
    <w:rsid w:val="00B60CDF"/>
    <w:rsid w:val="00B61A21"/>
    <w:rsid w:val="00B62985"/>
    <w:rsid w:val="00B62EBF"/>
    <w:rsid w:val="00B63901"/>
    <w:rsid w:val="00B63C67"/>
    <w:rsid w:val="00B63CF9"/>
    <w:rsid w:val="00B6405C"/>
    <w:rsid w:val="00B64494"/>
    <w:rsid w:val="00B644DE"/>
    <w:rsid w:val="00B6487F"/>
    <w:rsid w:val="00B648F3"/>
    <w:rsid w:val="00B64ABF"/>
    <w:rsid w:val="00B64B9E"/>
    <w:rsid w:val="00B64BE4"/>
    <w:rsid w:val="00B654EA"/>
    <w:rsid w:val="00B65F8A"/>
    <w:rsid w:val="00B660F0"/>
    <w:rsid w:val="00B664D1"/>
    <w:rsid w:val="00B664E9"/>
    <w:rsid w:val="00B66541"/>
    <w:rsid w:val="00B66760"/>
    <w:rsid w:val="00B66763"/>
    <w:rsid w:val="00B66DA5"/>
    <w:rsid w:val="00B66E2B"/>
    <w:rsid w:val="00B66F0F"/>
    <w:rsid w:val="00B67B85"/>
    <w:rsid w:val="00B67BBF"/>
    <w:rsid w:val="00B67CE7"/>
    <w:rsid w:val="00B7065F"/>
    <w:rsid w:val="00B706CC"/>
    <w:rsid w:val="00B71322"/>
    <w:rsid w:val="00B718B3"/>
    <w:rsid w:val="00B7194D"/>
    <w:rsid w:val="00B7197B"/>
    <w:rsid w:val="00B72603"/>
    <w:rsid w:val="00B72C4B"/>
    <w:rsid w:val="00B732AC"/>
    <w:rsid w:val="00B73562"/>
    <w:rsid w:val="00B73DF0"/>
    <w:rsid w:val="00B74042"/>
    <w:rsid w:val="00B74628"/>
    <w:rsid w:val="00B74D35"/>
    <w:rsid w:val="00B74EBC"/>
    <w:rsid w:val="00B750C3"/>
    <w:rsid w:val="00B75240"/>
    <w:rsid w:val="00B754AC"/>
    <w:rsid w:val="00B75A4D"/>
    <w:rsid w:val="00B766BB"/>
    <w:rsid w:val="00B76A34"/>
    <w:rsid w:val="00B76B62"/>
    <w:rsid w:val="00B76CF1"/>
    <w:rsid w:val="00B770EC"/>
    <w:rsid w:val="00B7728C"/>
    <w:rsid w:val="00B7737D"/>
    <w:rsid w:val="00B778FB"/>
    <w:rsid w:val="00B778FF"/>
    <w:rsid w:val="00B77A61"/>
    <w:rsid w:val="00B77B18"/>
    <w:rsid w:val="00B77EEE"/>
    <w:rsid w:val="00B80714"/>
    <w:rsid w:val="00B80C19"/>
    <w:rsid w:val="00B80D1D"/>
    <w:rsid w:val="00B80E23"/>
    <w:rsid w:val="00B80F01"/>
    <w:rsid w:val="00B81043"/>
    <w:rsid w:val="00B817A8"/>
    <w:rsid w:val="00B81992"/>
    <w:rsid w:val="00B820B9"/>
    <w:rsid w:val="00B821A7"/>
    <w:rsid w:val="00B823FA"/>
    <w:rsid w:val="00B8259C"/>
    <w:rsid w:val="00B82DA3"/>
    <w:rsid w:val="00B83085"/>
    <w:rsid w:val="00B83343"/>
    <w:rsid w:val="00B83D96"/>
    <w:rsid w:val="00B83E11"/>
    <w:rsid w:val="00B84179"/>
    <w:rsid w:val="00B843E6"/>
    <w:rsid w:val="00B8498B"/>
    <w:rsid w:val="00B849B2"/>
    <w:rsid w:val="00B856D1"/>
    <w:rsid w:val="00B856FC"/>
    <w:rsid w:val="00B859AC"/>
    <w:rsid w:val="00B85A90"/>
    <w:rsid w:val="00B85C6E"/>
    <w:rsid w:val="00B860C0"/>
    <w:rsid w:val="00B863A7"/>
    <w:rsid w:val="00B86741"/>
    <w:rsid w:val="00B86CB4"/>
    <w:rsid w:val="00B86DFA"/>
    <w:rsid w:val="00B8735F"/>
    <w:rsid w:val="00B8798F"/>
    <w:rsid w:val="00B87A38"/>
    <w:rsid w:val="00B9015C"/>
    <w:rsid w:val="00B902FA"/>
    <w:rsid w:val="00B904C3"/>
    <w:rsid w:val="00B90646"/>
    <w:rsid w:val="00B907EB"/>
    <w:rsid w:val="00B908F8"/>
    <w:rsid w:val="00B90B6B"/>
    <w:rsid w:val="00B91459"/>
    <w:rsid w:val="00B91ADE"/>
    <w:rsid w:val="00B92216"/>
    <w:rsid w:val="00B92315"/>
    <w:rsid w:val="00B927E3"/>
    <w:rsid w:val="00B93480"/>
    <w:rsid w:val="00B93A58"/>
    <w:rsid w:val="00B93CCC"/>
    <w:rsid w:val="00B93D79"/>
    <w:rsid w:val="00B93EE3"/>
    <w:rsid w:val="00B9402B"/>
    <w:rsid w:val="00B94220"/>
    <w:rsid w:val="00B943AA"/>
    <w:rsid w:val="00B949B7"/>
    <w:rsid w:val="00B95083"/>
    <w:rsid w:val="00B9536C"/>
    <w:rsid w:val="00B956C9"/>
    <w:rsid w:val="00B95E05"/>
    <w:rsid w:val="00B95FB7"/>
    <w:rsid w:val="00B96596"/>
    <w:rsid w:val="00B96C7D"/>
    <w:rsid w:val="00B96E1E"/>
    <w:rsid w:val="00B977C8"/>
    <w:rsid w:val="00B97806"/>
    <w:rsid w:val="00BA0077"/>
    <w:rsid w:val="00BA0380"/>
    <w:rsid w:val="00BA069F"/>
    <w:rsid w:val="00BA0AA9"/>
    <w:rsid w:val="00BA11D0"/>
    <w:rsid w:val="00BA1642"/>
    <w:rsid w:val="00BA181B"/>
    <w:rsid w:val="00BA1992"/>
    <w:rsid w:val="00BA1AD2"/>
    <w:rsid w:val="00BA1E79"/>
    <w:rsid w:val="00BA2141"/>
    <w:rsid w:val="00BA22A1"/>
    <w:rsid w:val="00BA26EF"/>
    <w:rsid w:val="00BA292D"/>
    <w:rsid w:val="00BA2BDA"/>
    <w:rsid w:val="00BA2D39"/>
    <w:rsid w:val="00BA30AB"/>
    <w:rsid w:val="00BA354C"/>
    <w:rsid w:val="00BA37A5"/>
    <w:rsid w:val="00BA39F5"/>
    <w:rsid w:val="00BA3B50"/>
    <w:rsid w:val="00BA3C94"/>
    <w:rsid w:val="00BA3DFB"/>
    <w:rsid w:val="00BA419A"/>
    <w:rsid w:val="00BA49C9"/>
    <w:rsid w:val="00BA5869"/>
    <w:rsid w:val="00BA5AC9"/>
    <w:rsid w:val="00BA6443"/>
    <w:rsid w:val="00BA65DD"/>
    <w:rsid w:val="00BA6766"/>
    <w:rsid w:val="00BA6786"/>
    <w:rsid w:val="00BA67E5"/>
    <w:rsid w:val="00BA6B40"/>
    <w:rsid w:val="00BA7B52"/>
    <w:rsid w:val="00BB00A2"/>
    <w:rsid w:val="00BB0260"/>
    <w:rsid w:val="00BB069D"/>
    <w:rsid w:val="00BB0C6C"/>
    <w:rsid w:val="00BB1064"/>
    <w:rsid w:val="00BB11E6"/>
    <w:rsid w:val="00BB1495"/>
    <w:rsid w:val="00BB1E1B"/>
    <w:rsid w:val="00BB1EF2"/>
    <w:rsid w:val="00BB2207"/>
    <w:rsid w:val="00BB2BD6"/>
    <w:rsid w:val="00BB2C41"/>
    <w:rsid w:val="00BB2D1A"/>
    <w:rsid w:val="00BB31AF"/>
    <w:rsid w:val="00BB389E"/>
    <w:rsid w:val="00BB3B2A"/>
    <w:rsid w:val="00BB3BAF"/>
    <w:rsid w:val="00BB3FFD"/>
    <w:rsid w:val="00BB40F8"/>
    <w:rsid w:val="00BB41B1"/>
    <w:rsid w:val="00BB48D0"/>
    <w:rsid w:val="00BB5044"/>
    <w:rsid w:val="00BB5134"/>
    <w:rsid w:val="00BB5200"/>
    <w:rsid w:val="00BB527E"/>
    <w:rsid w:val="00BB53F5"/>
    <w:rsid w:val="00BB5517"/>
    <w:rsid w:val="00BB5637"/>
    <w:rsid w:val="00BB5D9A"/>
    <w:rsid w:val="00BB5F1C"/>
    <w:rsid w:val="00BB6BC8"/>
    <w:rsid w:val="00BB6D78"/>
    <w:rsid w:val="00BB7436"/>
    <w:rsid w:val="00BB78E5"/>
    <w:rsid w:val="00BB7CFF"/>
    <w:rsid w:val="00BB7E07"/>
    <w:rsid w:val="00BC016E"/>
    <w:rsid w:val="00BC027B"/>
    <w:rsid w:val="00BC02E4"/>
    <w:rsid w:val="00BC0C3A"/>
    <w:rsid w:val="00BC0C49"/>
    <w:rsid w:val="00BC0C91"/>
    <w:rsid w:val="00BC106F"/>
    <w:rsid w:val="00BC10DD"/>
    <w:rsid w:val="00BC1113"/>
    <w:rsid w:val="00BC1672"/>
    <w:rsid w:val="00BC167A"/>
    <w:rsid w:val="00BC167D"/>
    <w:rsid w:val="00BC1963"/>
    <w:rsid w:val="00BC1AE1"/>
    <w:rsid w:val="00BC249D"/>
    <w:rsid w:val="00BC2A72"/>
    <w:rsid w:val="00BC2E4C"/>
    <w:rsid w:val="00BC31DB"/>
    <w:rsid w:val="00BC36C5"/>
    <w:rsid w:val="00BC3714"/>
    <w:rsid w:val="00BC3A2A"/>
    <w:rsid w:val="00BC431C"/>
    <w:rsid w:val="00BC4924"/>
    <w:rsid w:val="00BC4995"/>
    <w:rsid w:val="00BC4A0E"/>
    <w:rsid w:val="00BC50D9"/>
    <w:rsid w:val="00BC5D36"/>
    <w:rsid w:val="00BC5DE6"/>
    <w:rsid w:val="00BC5E43"/>
    <w:rsid w:val="00BC623F"/>
    <w:rsid w:val="00BC6427"/>
    <w:rsid w:val="00BC669E"/>
    <w:rsid w:val="00BC6878"/>
    <w:rsid w:val="00BC7208"/>
    <w:rsid w:val="00BC7435"/>
    <w:rsid w:val="00BC75BF"/>
    <w:rsid w:val="00BC7D97"/>
    <w:rsid w:val="00BC7EA3"/>
    <w:rsid w:val="00BD1334"/>
    <w:rsid w:val="00BD2009"/>
    <w:rsid w:val="00BD2B0C"/>
    <w:rsid w:val="00BD319E"/>
    <w:rsid w:val="00BD327A"/>
    <w:rsid w:val="00BD349F"/>
    <w:rsid w:val="00BD3A0C"/>
    <w:rsid w:val="00BD3E14"/>
    <w:rsid w:val="00BD3E56"/>
    <w:rsid w:val="00BD43A1"/>
    <w:rsid w:val="00BD45FE"/>
    <w:rsid w:val="00BD4637"/>
    <w:rsid w:val="00BD4B46"/>
    <w:rsid w:val="00BD50A8"/>
    <w:rsid w:val="00BD5415"/>
    <w:rsid w:val="00BD5523"/>
    <w:rsid w:val="00BD5880"/>
    <w:rsid w:val="00BD5984"/>
    <w:rsid w:val="00BD5997"/>
    <w:rsid w:val="00BD59EA"/>
    <w:rsid w:val="00BD65EC"/>
    <w:rsid w:val="00BD6657"/>
    <w:rsid w:val="00BD6A75"/>
    <w:rsid w:val="00BD6C75"/>
    <w:rsid w:val="00BD6C7E"/>
    <w:rsid w:val="00BD6FBC"/>
    <w:rsid w:val="00BD7524"/>
    <w:rsid w:val="00BD757B"/>
    <w:rsid w:val="00BD76A3"/>
    <w:rsid w:val="00BD7701"/>
    <w:rsid w:val="00BE02F4"/>
    <w:rsid w:val="00BE0508"/>
    <w:rsid w:val="00BE06CD"/>
    <w:rsid w:val="00BE0C09"/>
    <w:rsid w:val="00BE0CC1"/>
    <w:rsid w:val="00BE0DD1"/>
    <w:rsid w:val="00BE10B5"/>
    <w:rsid w:val="00BE1565"/>
    <w:rsid w:val="00BE185E"/>
    <w:rsid w:val="00BE1870"/>
    <w:rsid w:val="00BE227B"/>
    <w:rsid w:val="00BE292B"/>
    <w:rsid w:val="00BE2C80"/>
    <w:rsid w:val="00BE2E5A"/>
    <w:rsid w:val="00BE3AAA"/>
    <w:rsid w:val="00BE3D89"/>
    <w:rsid w:val="00BE3DCB"/>
    <w:rsid w:val="00BE3DFC"/>
    <w:rsid w:val="00BE3F6D"/>
    <w:rsid w:val="00BE4725"/>
    <w:rsid w:val="00BE4F8D"/>
    <w:rsid w:val="00BE4FB3"/>
    <w:rsid w:val="00BE5146"/>
    <w:rsid w:val="00BE5701"/>
    <w:rsid w:val="00BE58F7"/>
    <w:rsid w:val="00BE5FAB"/>
    <w:rsid w:val="00BE6115"/>
    <w:rsid w:val="00BE61F7"/>
    <w:rsid w:val="00BE6532"/>
    <w:rsid w:val="00BE68D2"/>
    <w:rsid w:val="00BE6944"/>
    <w:rsid w:val="00BE69E0"/>
    <w:rsid w:val="00BE6D82"/>
    <w:rsid w:val="00BE7378"/>
    <w:rsid w:val="00BE779B"/>
    <w:rsid w:val="00BE7952"/>
    <w:rsid w:val="00BF00BE"/>
    <w:rsid w:val="00BF0696"/>
    <w:rsid w:val="00BF0ADF"/>
    <w:rsid w:val="00BF0F64"/>
    <w:rsid w:val="00BF0F9E"/>
    <w:rsid w:val="00BF1984"/>
    <w:rsid w:val="00BF1C3B"/>
    <w:rsid w:val="00BF1C75"/>
    <w:rsid w:val="00BF275F"/>
    <w:rsid w:val="00BF293B"/>
    <w:rsid w:val="00BF2A85"/>
    <w:rsid w:val="00BF2D71"/>
    <w:rsid w:val="00BF2F6A"/>
    <w:rsid w:val="00BF32D8"/>
    <w:rsid w:val="00BF38A1"/>
    <w:rsid w:val="00BF3A8F"/>
    <w:rsid w:val="00BF3D89"/>
    <w:rsid w:val="00BF3F75"/>
    <w:rsid w:val="00BF40D1"/>
    <w:rsid w:val="00BF41B7"/>
    <w:rsid w:val="00BF41E7"/>
    <w:rsid w:val="00BF452C"/>
    <w:rsid w:val="00BF4B94"/>
    <w:rsid w:val="00BF4C17"/>
    <w:rsid w:val="00BF4E7F"/>
    <w:rsid w:val="00BF51F6"/>
    <w:rsid w:val="00BF524F"/>
    <w:rsid w:val="00BF55BF"/>
    <w:rsid w:val="00BF5856"/>
    <w:rsid w:val="00BF5866"/>
    <w:rsid w:val="00BF58C4"/>
    <w:rsid w:val="00BF5D10"/>
    <w:rsid w:val="00BF5DA6"/>
    <w:rsid w:val="00BF603E"/>
    <w:rsid w:val="00BF66CC"/>
    <w:rsid w:val="00BF6EEF"/>
    <w:rsid w:val="00BF71C7"/>
    <w:rsid w:val="00BF7A34"/>
    <w:rsid w:val="00C0011D"/>
    <w:rsid w:val="00C006F6"/>
    <w:rsid w:val="00C00826"/>
    <w:rsid w:val="00C00BAA"/>
    <w:rsid w:val="00C0140D"/>
    <w:rsid w:val="00C016E7"/>
    <w:rsid w:val="00C017E0"/>
    <w:rsid w:val="00C01AE1"/>
    <w:rsid w:val="00C01AF4"/>
    <w:rsid w:val="00C02961"/>
    <w:rsid w:val="00C02A3F"/>
    <w:rsid w:val="00C02A84"/>
    <w:rsid w:val="00C02EA5"/>
    <w:rsid w:val="00C02FE2"/>
    <w:rsid w:val="00C0331C"/>
    <w:rsid w:val="00C0345D"/>
    <w:rsid w:val="00C036C5"/>
    <w:rsid w:val="00C03B40"/>
    <w:rsid w:val="00C03E8A"/>
    <w:rsid w:val="00C03F5B"/>
    <w:rsid w:val="00C04555"/>
    <w:rsid w:val="00C04684"/>
    <w:rsid w:val="00C04ADA"/>
    <w:rsid w:val="00C055D2"/>
    <w:rsid w:val="00C059D6"/>
    <w:rsid w:val="00C05E0C"/>
    <w:rsid w:val="00C05EFF"/>
    <w:rsid w:val="00C06068"/>
    <w:rsid w:val="00C0618E"/>
    <w:rsid w:val="00C064AA"/>
    <w:rsid w:val="00C06BB8"/>
    <w:rsid w:val="00C06CB0"/>
    <w:rsid w:val="00C06CCA"/>
    <w:rsid w:val="00C06D69"/>
    <w:rsid w:val="00C06D7A"/>
    <w:rsid w:val="00C077F8"/>
    <w:rsid w:val="00C07E1B"/>
    <w:rsid w:val="00C07FF6"/>
    <w:rsid w:val="00C100EE"/>
    <w:rsid w:val="00C104AD"/>
    <w:rsid w:val="00C10DC4"/>
    <w:rsid w:val="00C10F5B"/>
    <w:rsid w:val="00C110E1"/>
    <w:rsid w:val="00C11145"/>
    <w:rsid w:val="00C11A8B"/>
    <w:rsid w:val="00C11D6B"/>
    <w:rsid w:val="00C11D96"/>
    <w:rsid w:val="00C11DD8"/>
    <w:rsid w:val="00C122AE"/>
    <w:rsid w:val="00C129D8"/>
    <w:rsid w:val="00C12A16"/>
    <w:rsid w:val="00C12CE5"/>
    <w:rsid w:val="00C12D1E"/>
    <w:rsid w:val="00C12D40"/>
    <w:rsid w:val="00C134B2"/>
    <w:rsid w:val="00C13EA4"/>
    <w:rsid w:val="00C13F91"/>
    <w:rsid w:val="00C14195"/>
    <w:rsid w:val="00C14590"/>
    <w:rsid w:val="00C146E1"/>
    <w:rsid w:val="00C14727"/>
    <w:rsid w:val="00C14D0B"/>
    <w:rsid w:val="00C154E7"/>
    <w:rsid w:val="00C155A0"/>
    <w:rsid w:val="00C15962"/>
    <w:rsid w:val="00C15C23"/>
    <w:rsid w:val="00C15F4E"/>
    <w:rsid w:val="00C1631A"/>
    <w:rsid w:val="00C16379"/>
    <w:rsid w:val="00C16425"/>
    <w:rsid w:val="00C16A03"/>
    <w:rsid w:val="00C1721B"/>
    <w:rsid w:val="00C1734B"/>
    <w:rsid w:val="00C1765B"/>
    <w:rsid w:val="00C177FE"/>
    <w:rsid w:val="00C17E21"/>
    <w:rsid w:val="00C20133"/>
    <w:rsid w:val="00C20571"/>
    <w:rsid w:val="00C20991"/>
    <w:rsid w:val="00C20F65"/>
    <w:rsid w:val="00C20FC5"/>
    <w:rsid w:val="00C21399"/>
    <w:rsid w:val="00C21546"/>
    <w:rsid w:val="00C21603"/>
    <w:rsid w:val="00C21730"/>
    <w:rsid w:val="00C21857"/>
    <w:rsid w:val="00C219B3"/>
    <w:rsid w:val="00C21B96"/>
    <w:rsid w:val="00C21C4B"/>
    <w:rsid w:val="00C223D3"/>
    <w:rsid w:val="00C22817"/>
    <w:rsid w:val="00C230C7"/>
    <w:rsid w:val="00C2363E"/>
    <w:rsid w:val="00C237B8"/>
    <w:rsid w:val="00C237C7"/>
    <w:rsid w:val="00C2399C"/>
    <w:rsid w:val="00C23FB9"/>
    <w:rsid w:val="00C2408E"/>
    <w:rsid w:val="00C243AB"/>
    <w:rsid w:val="00C24570"/>
    <w:rsid w:val="00C24DBC"/>
    <w:rsid w:val="00C24DC9"/>
    <w:rsid w:val="00C25692"/>
    <w:rsid w:val="00C26056"/>
    <w:rsid w:val="00C26579"/>
    <w:rsid w:val="00C2658E"/>
    <w:rsid w:val="00C26877"/>
    <w:rsid w:val="00C26910"/>
    <w:rsid w:val="00C27117"/>
    <w:rsid w:val="00C2730B"/>
    <w:rsid w:val="00C2734B"/>
    <w:rsid w:val="00C276B2"/>
    <w:rsid w:val="00C27759"/>
    <w:rsid w:val="00C27858"/>
    <w:rsid w:val="00C27CD1"/>
    <w:rsid w:val="00C27DE0"/>
    <w:rsid w:val="00C27F0E"/>
    <w:rsid w:val="00C27F75"/>
    <w:rsid w:val="00C30051"/>
    <w:rsid w:val="00C30246"/>
    <w:rsid w:val="00C3037D"/>
    <w:rsid w:val="00C306AF"/>
    <w:rsid w:val="00C307BC"/>
    <w:rsid w:val="00C30812"/>
    <w:rsid w:val="00C30CB7"/>
    <w:rsid w:val="00C314B0"/>
    <w:rsid w:val="00C3152D"/>
    <w:rsid w:val="00C31740"/>
    <w:rsid w:val="00C31897"/>
    <w:rsid w:val="00C31D10"/>
    <w:rsid w:val="00C31D1B"/>
    <w:rsid w:val="00C31FBD"/>
    <w:rsid w:val="00C327D9"/>
    <w:rsid w:val="00C32FD1"/>
    <w:rsid w:val="00C330E5"/>
    <w:rsid w:val="00C3361B"/>
    <w:rsid w:val="00C3366D"/>
    <w:rsid w:val="00C33A76"/>
    <w:rsid w:val="00C33BF0"/>
    <w:rsid w:val="00C33D79"/>
    <w:rsid w:val="00C33FA4"/>
    <w:rsid w:val="00C34085"/>
    <w:rsid w:val="00C3432D"/>
    <w:rsid w:val="00C34573"/>
    <w:rsid w:val="00C349CA"/>
    <w:rsid w:val="00C34C26"/>
    <w:rsid w:val="00C351E6"/>
    <w:rsid w:val="00C35418"/>
    <w:rsid w:val="00C35642"/>
    <w:rsid w:val="00C36274"/>
    <w:rsid w:val="00C362F6"/>
    <w:rsid w:val="00C36D59"/>
    <w:rsid w:val="00C373E1"/>
    <w:rsid w:val="00C37ACC"/>
    <w:rsid w:val="00C37CFD"/>
    <w:rsid w:val="00C4006E"/>
    <w:rsid w:val="00C40759"/>
    <w:rsid w:val="00C4099A"/>
    <w:rsid w:val="00C40B76"/>
    <w:rsid w:val="00C41597"/>
    <w:rsid w:val="00C4166C"/>
    <w:rsid w:val="00C41BB7"/>
    <w:rsid w:val="00C420FA"/>
    <w:rsid w:val="00C4226D"/>
    <w:rsid w:val="00C424E3"/>
    <w:rsid w:val="00C42589"/>
    <w:rsid w:val="00C42C86"/>
    <w:rsid w:val="00C42CA4"/>
    <w:rsid w:val="00C42DA9"/>
    <w:rsid w:val="00C4379D"/>
    <w:rsid w:val="00C43D67"/>
    <w:rsid w:val="00C43F12"/>
    <w:rsid w:val="00C446EA"/>
    <w:rsid w:val="00C44981"/>
    <w:rsid w:val="00C44C1F"/>
    <w:rsid w:val="00C44E07"/>
    <w:rsid w:val="00C451D3"/>
    <w:rsid w:val="00C45834"/>
    <w:rsid w:val="00C4598A"/>
    <w:rsid w:val="00C469C2"/>
    <w:rsid w:val="00C46ABE"/>
    <w:rsid w:val="00C46E1D"/>
    <w:rsid w:val="00C46F4D"/>
    <w:rsid w:val="00C47277"/>
    <w:rsid w:val="00C47AA9"/>
    <w:rsid w:val="00C47CB3"/>
    <w:rsid w:val="00C47D31"/>
    <w:rsid w:val="00C47D8E"/>
    <w:rsid w:val="00C47E71"/>
    <w:rsid w:val="00C502BA"/>
    <w:rsid w:val="00C50BB8"/>
    <w:rsid w:val="00C50F07"/>
    <w:rsid w:val="00C52351"/>
    <w:rsid w:val="00C52DA7"/>
    <w:rsid w:val="00C53558"/>
    <w:rsid w:val="00C53AA7"/>
    <w:rsid w:val="00C53B38"/>
    <w:rsid w:val="00C53B7C"/>
    <w:rsid w:val="00C541F0"/>
    <w:rsid w:val="00C54355"/>
    <w:rsid w:val="00C5442E"/>
    <w:rsid w:val="00C544CC"/>
    <w:rsid w:val="00C546F7"/>
    <w:rsid w:val="00C54949"/>
    <w:rsid w:val="00C54F40"/>
    <w:rsid w:val="00C5502F"/>
    <w:rsid w:val="00C5503F"/>
    <w:rsid w:val="00C5606D"/>
    <w:rsid w:val="00C56DE4"/>
    <w:rsid w:val="00C57049"/>
    <w:rsid w:val="00C5711D"/>
    <w:rsid w:val="00C573C5"/>
    <w:rsid w:val="00C602B1"/>
    <w:rsid w:val="00C60ADF"/>
    <w:rsid w:val="00C60CE3"/>
    <w:rsid w:val="00C60DD5"/>
    <w:rsid w:val="00C60FC7"/>
    <w:rsid w:val="00C615EA"/>
    <w:rsid w:val="00C61696"/>
    <w:rsid w:val="00C61817"/>
    <w:rsid w:val="00C61AA3"/>
    <w:rsid w:val="00C61E3C"/>
    <w:rsid w:val="00C6200E"/>
    <w:rsid w:val="00C63B3A"/>
    <w:rsid w:val="00C64472"/>
    <w:rsid w:val="00C648EB"/>
    <w:rsid w:val="00C64917"/>
    <w:rsid w:val="00C6494D"/>
    <w:rsid w:val="00C65317"/>
    <w:rsid w:val="00C654A3"/>
    <w:rsid w:val="00C65A93"/>
    <w:rsid w:val="00C6673E"/>
    <w:rsid w:val="00C66D62"/>
    <w:rsid w:val="00C66E2F"/>
    <w:rsid w:val="00C672A9"/>
    <w:rsid w:val="00C67A5E"/>
    <w:rsid w:val="00C67C24"/>
    <w:rsid w:val="00C67DA0"/>
    <w:rsid w:val="00C67E7F"/>
    <w:rsid w:val="00C7020A"/>
    <w:rsid w:val="00C70415"/>
    <w:rsid w:val="00C70613"/>
    <w:rsid w:val="00C7073E"/>
    <w:rsid w:val="00C708A0"/>
    <w:rsid w:val="00C708BA"/>
    <w:rsid w:val="00C70BBE"/>
    <w:rsid w:val="00C70C11"/>
    <w:rsid w:val="00C70F85"/>
    <w:rsid w:val="00C71222"/>
    <w:rsid w:val="00C713DF"/>
    <w:rsid w:val="00C71552"/>
    <w:rsid w:val="00C71ADC"/>
    <w:rsid w:val="00C7216C"/>
    <w:rsid w:val="00C724F1"/>
    <w:rsid w:val="00C726A0"/>
    <w:rsid w:val="00C72C2B"/>
    <w:rsid w:val="00C72C4A"/>
    <w:rsid w:val="00C72E25"/>
    <w:rsid w:val="00C733A6"/>
    <w:rsid w:val="00C73894"/>
    <w:rsid w:val="00C73DAF"/>
    <w:rsid w:val="00C73DCC"/>
    <w:rsid w:val="00C73EB8"/>
    <w:rsid w:val="00C740AA"/>
    <w:rsid w:val="00C74FAB"/>
    <w:rsid w:val="00C7533B"/>
    <w:rsid w:val="00C756FD"/>
    <w:rsid w:val="00C75804"/>
    <w:rsid w:val="00C7596F"/>
    <w:rsid w:val="00C765D2"/>
    <w:rsid w:val="00C766E9"/>
    <w:rsid w:val="00C76AB7"/>
    <w:rsid w:val="00C76BEF"/>
    <w:rsid w:val="00C76CD5"/>
    <w:rsid w:val="00C77104"/>
    <w:rsid w:val="00C7725D"/>
    <w:rsid w:val="00C77B0F"/>
    <w:rsid w:val="00C80084"/>
    <w:rsid w:val="00C803BC"/>
    <w:rsid w:val="00C807CC"/>
    <w:rsid w:val="00C80C94"/>
    <w:rsid w:val="00C8149D"/>
    <w:rsid w:val="00C81B4A"/>
    <w:rsid w:val="00C81D91"/>
    <w:rsid w:val="00C81D9C"/>
    <w:rsid w:val="00C81F03"/>
    <w:rsid w:val="00C82431"/>
    <w:rsid w:val="00C82C70"/>
    <w:rsid w:val="00C82E86"/>
    <w:rsid w:val="00C82EA3"/>
    <w:rsid w:val="00C82FC4"/>
    <w:rsid w:val="00C830A5"/>
    <w:rsid w:val="00C83616"/>
    <w:rsid w:val="00C83640"/>
    <w:rsid w:val="00C83A6B"/>
    <w:rsid w:val="00C83A7C"/>
    <w:rsid w:val="00C84106"/>
    <w:rsid w:val="00C8432A"/>
    <w:rsid w:val="00C844CD"/>
    <w:rsid w:val="00C84524"/>
    <w:rsid w:val="00C846C1"/>
    <w:rsid w:val="00C8497C"/>
    <w:rsid w:val="00C84EEE"/>
    <w:rsid w:val="00C85035"/>
    <w:rsid w:val="00C85097"/>
    <w:rsid w:val="00C85441"/>
    <w:rsid w:val="00C85562"/>
    <w:rsid w:val="00C855E4"/>
    <w:rsid w:val="00C8591E"/>
    <w:rsid w:val="00C86B19"/>
    <w:rsid w:val="00C86E61"/>
    <w:rsid w:val="00C870DF"/>
    <w:rsid w:val="00C875C4"/>
    <w:rsid w:val="00C8775F"/>
    <w:rsid w:val="00C87C2A"/>
    <w:rsid w:val="00C87D1A"/>
    <w:rsid w:val="00C9035C"/>
    <w:rsid w:val="00C907E8"/>
    <w:rsid w:val="00C909F2"/>
    <w:rsid w:val="00C909F9"/>
    <w:rsid w:val="00C91A23"/>
    <w:rsid w:val="00C91CC0"/>
    <w:rsid w:val="00C91E47"/>
    <w:rsid w:val="00C92050"/>
    <w:rsid w:val="00C92079"/>
    <w:rsid w:val="00C922CE"/>
    <w:rsid w:val="00C92512"/>
    <w:rsid w:val="00C926F2"/>
    <w:rsid w:val="00C92ABC"/>
    <w:rsid w:val="00C9330B"/>
    <w:rsid w:val="00C93D64"/>
    <w:rsid w:val="00C93EF7"/>
    <w:rsid w:val="00C94469"/>
    <w:rsid w:val="00C9487C"/>
    <w:rsid w:val="00C94D71"/>
    <w:rsid w:val="00C94EF8"/>
    <w:rsid w:val="00C94F97"/>
    <w:rsid w:val="00C94FBE"/>
    <w:rsid w:val="00C9596A"/>
    <w:rsid w:val="00C95B02"/>
    <w:rsid w:val="00C963E7"/>
    <w:rsid w:val="00C968A6"/>
    <w:rsid w:val="00C969DD"/>
    <w:rsid w:val="00C96DB6"/>
    <w:rsid w:val="00C97191"/>
    <w:rsid w:val="00C97465"/>
    <w:rsid w:val="00C976FB"/>
    <w:rsid w:val="00C9782B"/>
    <w:rsid w:val="00C97B4F"/>
    <w:rsid w:val="00C97E23"/>
    <w:rsid w:val="00CA0311"/>
    <w:rsid w:val="00CA0524"/>
    <w:rsid w:val="00CA0707"/>
    <w:rsid w:val="00CA0C33"/>
    <w:rsid w:val="00CA0E97"/>
    <w:rsid w:val="00CA0F74"/>
    <w:rsid w:val="00CA10A1"/>
    <w:rsid w:val="00CA120B"/>
    <w:rsid w:val="00CA1630"/>
    <w:rsid w:val="00CA16F3"/>
    <w:rsid w:val="00CA1D90"/>
    <w:rsid w:val="00CA1DED"/>
    <w:rsid w:val="00CA2394"/>
    <w:rsid w:val="00CA2401"/>
    <w:rsid w:val="00CA2C85"/>
    <w:rsid w:val="00CA3191"/>
    <w:rsid w:val="00CA355B"/>
    <w:rsid w:val="00CA3C1C"/>
    <w:rsid w:val="00CA3C1E"/>
    <w:rsid w:val="00CA4434"/>
    <w:rsid w:val="00CA457D"/>
    <w:rsid w:val="00CA46E5"/>
    <w:rsid w:val="00CA47FE"/>
    <w:rsid w:val="00CA4AD8"/>
    <w:rsid w:val="00CA4AE7"/>
    <w:rsid w:val="00CA4B35"/>
    <w:rsid w:val="00CA4D45"/>
    <w:rsid w:val="00CA4E21"/>
    <w:rsid w:val="00CA541B"/>
    <w:rsid w:val="00CA590C"/>
    <w:rsid w:val="00CA5964"/>
    <w:rsid w:val="00CA5E47"/>
    <w:rsid w:val="00CA6149"/>
    <w:rsid w:val="00CA6ECD"/>
    <w:rsid w:val="00CA70E1"/>
    <w:rsid w:val="00CA724D"/>
    <w:rsid w:val="00CA7496"/>
    <w:rsid w:val="00CA7823"/>
    <w:rsid w:val="00CA7D04"/>
    <w:rsid w:val="00CA7DC3"/>
    <w:rsid w:val="00CA7DF9"/>
    <w:rsid w:val="00CA7F4D"/>
    <w:rsid w:val="00CB031E"/>
    <w:rsid w:val="00CB03EB"/>
    <w:rsid w:val="00CB0413"/>
    <w:rsid w:val="00CB0892"/>
    <w:rsid w:val="00CB0963"/>
    <w:rsid w:val="00CB12AD"/>
    <w:rsid w:val="00CB16B2"/>
    <w:rsid w:val="00CB17D0"/>
    <w:rsid w:val="00CB187D"/>
    <w:rsid w:val="00CB19E7"/>
    <w:rsid w:val="00CB2032"/>
    <w:rsid w:val="00CB2094"/>
    <w:rsid w:val="00CB218C"/>
    <w:rsid w:val="00CB22B3"/>
    <w:rsid w:val="00CB26AA"/>
    <w:rsid w:val="00CB31C7"/>
    <w:rsid w:val="00CB3580"/>
    <w:rsid w:val="00CB39D6"/>
    <w:rsid w:val="00CB3A33"/>
    <w:rsid w:val="00CB3C1F"/>
    <w:rsid w:val="00CB3F65"/>
    <w:rsid w:val="00CB48E5"/>
    <w:rsid w:val="00CB4DDC"/>
    <w:rsid w:val="00CB4E41"/>
    <w:rsid w:val="00CB4E5A"/>
    <w:rsid w:val="00CB4F30"/>
    <w:rsid w:val="00CB506F"/>
    <w:rsid w:val="00CB5184"/>
    <w:rsid w:val="00CB5602"/>
    <w:rsid w:val="00CB5CFB"/>
    <w:rsid w:val="00CB5DCE"/>
    <w:rsid w:val="00CB5E75"/>
    <w:rsid w:val="00CB64D9"/>
    <w:rsid w:val="00CB661B"/>
    <w:rsid w:val="00CB6644"/>
    <w:rsid w:val="00CB6C46"/>
    <w:rsid w:val="00CB6F25"/>
    <w:rsid w:val="00CB73EF"/>
    <w:rsid w:val="00CB77CE"/>
    <w:rsid w:val="00CB79A9"/>
    <w:rsid w:val="00CB79F6"/>
    <w:rsid w:val="00CB7A7D"/>
    <w:rsid w:val="00CB7A8F"/>
    <w:rsid w:val="00CB7AD2"/>
    <w:rsid w:val="00CB7DE6"/>
    <w:rsid w:val="00CC0392"/>
    <w:rsid w:val="00CC0A25"/>
    <w:rsid w:val="00CC0E8C"/>
    <w:rsid w:val="00CC148F"/>
    <w:rsid w:val="00CC14D9"/>
    <w:rsid w:val="00CC1792"/>
    <w:rsid w:val="00CC17F7"/>
    <w:rsid w:val="00CC182B"/>
    <w:rsid w:val="00CC183B"/>
    <w:rsid w:val="00CC1D5D"/>
    <w:rsid w:val="00CC220E"/>
    <w:rsid w:val="00CC22D3"/>
    <w:rsid w:val="00CC24F9"/>
    <w:rsid w:val="00CC26D3"/>
    <w:rsid w:val="00CC2AEA"/>
    <w:rsid w:val="00CC36D5"/>
    <w:rsid w:val="00CC41EF"/>
    <w:rsid w:val="00CC426F"/>
    <w:rsid w:val="00CC42AC"/>
    <w:rsid w:val="00CC47F9"/>
    <w:rsid w:val="00CC4888"/>
    <w:rsid w:val="00CC48A7"/>
    <w:rsid w:val="00CC4C13"/>
    <w:rsid w:val="00CC4D49"/>
    <w:rsid w:val="00CC57A4"/>
    <w:rsid w:val="00CC5CBB"/>
    <w:rsid w:val="00CC5DF4"/>
    <w:rsid w:val="00CC6257"/>
    <w:rsid w:val="00CC708B"/>
    <w:rsid w:val="00CC7744"/>
    <w:rsid w:val="00CC785D"/>
    <w:rsid w:val="00CC78CB"/>
    <w:rsid w:val="00CC78CD"/>
    <w:rsid w:val="00CC7B61"/>
    <w:rsid w:val="00CC7D91"/>
    <w:rsid w:val="00CC7E81"/>
    <w:rsid w:val="00CD01ED"/>
    <w:rsid w:val="00CD02A4"/>
    <w:rsid w:val="00CD02E7"/>
    <w:rsid w:val="00CD02F8"/>
    <w:rsid w:val="00CD04ED"/>
    <w:rsid w:val="00CD0769"/>
    <w:rsid w:val="00CD1423"/>
    <w:rsid w:val="00CD1590"/>
    <w:rsid w:val="00CD19F4"/>
    <w:rsid w:val="00CD1BA9"/>
    <w:rsid w:val="00CD1CD0"/>
    <w:rsid w:val="00CD1D24"/>
    <w:rsid w:val="00CD1D71"/>
    <w:rsid w:val="00CD2374"/>
    <w:rsid w:val="00CD25EC"/>
    <w:rsid w:val="00CD26A7"/>
    <w:rsid w:val="00CD334E"/>
    <w:rsid w:val="00CD35D6"/>
    <w:rsid w:val="00CD3B78"/>
    <w:rsid w:val="00CD412E"/>
    <w:rsid w:val="00CD4646"/>
    <w:rsid w:val="00CD467A"/>
    <w:rsid w:val="00CD4FED"/>
    <w:rsid w:val="00CD5032"/>
    <w:rsid w:val="00CD58C6"/>
    <w:rsid w:val="00CD5A19"/>
    <w:rsid w:val="00CD5B11"/>
    <w:rsid w:val="00CD5FEF"/>
    <w:rsid w:val="00CD6101"/>
    <w:rsid w:val="00CD638F"/>
    <w:rsid w:val="00CD671D"/>
    <w:rsid w:val="00CD6A05"/>
    <w:rsid w:val="00CD6EF0"/>
    <w:rsid w:val="00CD76B8"/>
    <w:rsid w:val="00CD7DE7"/>
    <w:rsid w:val="00CE0A01"/>
    <w:rsid w:val="00CE0A06"/>
    <w:rsid w:val="00CE0F7C"/>
    <w:rsid w:val="00CE12F6"/>
    <w:rsid w:val="00CE13FA"/>
    <w:rsid w:val="00CE179A"/>
    <w:rsid w:val="00CE180A"/>
    <w:rsid w:val="00CE1BD6"/>
    <w:rsid w:val="00CE2BE3"/>
    <w:rsid w:val="00CE2FD6"/>
    <w:rsid w:val="00CE35D8"/>
    <w:rsid w:val="00CE3A5E"/>
    <w:rsid w:val="00CE3B8F"/>
    <w:rsid w:val="00CE3D3F"/>
    <w:rsid w:val="00CE4125"/>
    <w:rsid w:val="00CE43E2"/>
    <w:rsid w:val="00CE45FA"/>
    <w:rsid w:val="00CE479A"/>
    <w:rsid w:val="00CE4925"/>
    <w:rsid w:val="00CE49AB"/>
    <w:rsid w:val="00CE53AC"/>
    <w:rsid w:val="00CE561A"/>
    <w:rsid w:val="00CE5772"/>
    <w:rsid w:val="00CE641F"/>
    <w:rsid w:val="00CE6A59"/>
    <w:rsid w:val="00CE7169"/>
    <w:rsid w:val="00CE7B59"/>
    <w:rsid w:val="00CE7E82"/>
    <w:rsid w:val="00CE7F33"/>
    <w:rsid w:val="00CF0127"/>
    <w:rsid w:val="00CF02DA"/>
    <w:rsid w:val="00CF0434"/>
    <w:rsid w:val="00CF0518"/>
    <w:rsid w:val="00CF0742"/>
    <w:rsid w:val="00CF08BC"/>
    <w:rsid w:val="00CF0B9C"/>
    <w:rsid w:val="00CF1037"/>
    <w:rsid w:val="00CF127F"/>
    <w:rsid w:val="00CF13B9"/>
    <w:rsid w:val="00CF1488"/>
    <w:rsid w:val="00CF16CB"/>
    <w:rsid w:val="00CF178E"/>
    <w:rsid w:val="00CF1E46"/>
    <w:rsid w:val="00CF1EE3"/>
    <w:rsid w:val="00CF252E"/>
    <w:rsid w:val="00CF2660"/>
    <w:rsid w:val="00CF2877"/>
    <w:rsid w:val="00CF34E1"/>
    <w:rsid w:val="00CF3576"/>
    <w:rsid w:val="00CF3986"/>
    <w:rsid w:val="00CF3DC0"/>
    <w:rsid w:val="00CF3DF4"/>
    <w:rsid w:val="00CF3F99"/>
    <w:rsid w:val="00CF429A"/>
    <w:rsid w:val="00CF4709"/>
    <w:rsid w:val="00CF4782"/>
    <w:rsid w:val="00CF4F31"/>
    <w:rsid w:val="00CF52FF"/>
    <w:rsid w:val="00CF5523"/>
    <w:rsid w:val="00CF573A"/>
    <w:rsid w:val="00CF5849"/>
    <w:rsid w:val="00CF5869"/>
    <w:rsid w:val="00CF6022"/>
    <w:rsid w:val="00CF6390"/>
    <w:rsid w:val="00CF6610"/>
    <w:rsid w:val="00CF6CAC"/>
    <w:rsid w:val="00CF6F5A"/>
    <w:rsid w:val="00CF74B8"/>
    <w:rsid w:val="00CF75CD"/>
    <w:rsid w:val="00CF7A08"/>
    <w:rsid w:val="00CF7E72"/>
    <w:rsid w:val="00D00C62"/>
    <w:rsid w:val="00D010CC"/>
    <w:rsid w:val="00D01156"/>
    <w:rsid w:val="00D01271"/>
    <w:rsid w:val="00D012E0"/>
    <w:rsid w:val="00D01D90"/>
    <w:rsid w:val="00D01DC1"/>
    <w:rsid w:val="00D02487"/>
    <w:rsid w:val="00D029DA"/>
    <w:rsid w:val="00D02BCF"/>
    <w:rsid w:val="00D02D07"/>
    <w:rsid w:val="00D02DAA"/>
    <w:rsid w:val="00D02FCB"/>
    <w:rsid w:val="00D03017"/>
    <w:rsid w:val="00D03251"/>
    <w:rsid w:val="00D03299"/>
    <w:rsid w:val="00D03416"/>
    <w:rsid w:val="00D03571"/>
    <w:rsid w:val="00D03CAC"/>
    <w:rsid w:val="00D03CE2"/>
    <w:rsid w:val="00D04EB8"/>
    <w:rsid w:val="00D05B27"/>
    <w:rsid w:val="00D05D50"/>
    <w:rsid w:val="00D061CA"/>
    <w:rsid w:val="00D062E2"/>
    <w:rsid w:val="00D06359"/>
    <w:rsid w:val="00D065AB"/>
    <w:rsid w:val="00D06CC3"/>
    <w:rsid w:val="00D06CE5"/>
    <w:rsid w:val="00D06D98"/>
    <w:rsid w:val="00D0742E"/>
    <w:rsid w:val="00D079D7"/>
    <w:rsid w:val="00D07A18"/>
    <w:rsid w:val="00D07AA1"/>
    <w:rsid w:val="00D07E0F"/>
    <w:rsid w:val="00D10016"/>
    <w:rsid w:val="00D102EC"/>
    <w:rsid w:val="00D107AE"/>
    <w:rsid w:val="00D10D17"/>
    <w:rsid w:val="00D113A5"/>
    <w:rsid w:val="00D12084"/>
    <w:rsid w:val="00D12351"/>
    <w:rsid w:val="00D12647"/>
    <w:rsid w:val="00D12E63"/>
    <w:rsid w:val="00D13914"/>
    <w:rsid w:val="00D13A6F"/>
    <w:rsid w:val="00D13D02"/>
    <w:rsid w:val="00D13DC9"/>
    <w:rsid w:val="00D13E11"/>
    <w:rsid w:val="00D14060"/>
    <w:rsid w:val="00D1439F"/>
    <w:rsid w:val="00D14554"/>
    <w:rsid w:val="00D148AC"/>
    <w:rsid w:val="00D14CC0"/>
    <w:rsid w:val="00D14ECA"/>
    <w:rsid w:val="00D1538C"/>
    <w:rsid w:val="00D155B7"/>
    <w:rsid w:val="00D15768"/>
    <w:rsid w:val="00D158FE"/>
    <w:rsid w:val="00D16125"/>
    <w:rsid w:val="00D1674F"/>
    <w:rsid w:val="00D16875"/>
    <w:rsid w:val="00D1691A"/>
    <w:rsid w:val="00D16B45"/>
    <w:rsid w:val="00D170EA"/>
    <w:rsid w:val="00D17E1B"/>
    <w:rsid w:val="00D2044C"/>
    <w:rsid w:val="00D207BA"/>
    <w:rsid w:val="00D20827"/>
    <w:rsid w:val="00D208E1"/>
    <w:rsid w:val="00D20994"/>
    <w:rsid w:val="00D20BE0"/>
    <w:rsid w:val="00D20C5C"/>
    <w:rsid w:val="00D20DAF"/>
    <w:rsid w:val="00D20E2C"/>
    <w:rsid w:val="00D2106E"/>
    <w:rsid w:val="00D21302"/>
    <w:rsid w:val="00D21319"/>
    <w:rsid w:val="00D2132D"/>
    <w:rsid w:val="00D21486"/>
    <w:rsid w:val="00D219AC"/>
    <w:rsid w:val="00D220FE"/>
    <w:rsid w:val="00D227FF"/>
    <w:rsid w:val="00D22829"/>
    <w:rsid w:val="00D22949"/>
    <w:rsid w:val="00D22AE8"/>
    <w:rsid w:val="00D24B1C"/>
    <w:rsid w:val="00D24CB4"/>
    <w:rsid w:val="00D24DCF"/>
    <w:rsid w:val="00D250D7"/>
    <w:rsid w:val="00D25120"/>
    <w:rsid w:val="00D252E9"/>
    <w:rsid w:val="00D25485"/>
    <w:rsid w:val="00D257FB"/>
    <w:rsid w:val="00D2585D"/>
    <w:rsid w:val="00D25AAD"/>
    <w:rsid w:val="00D25F35"/>
    <w:rsid w:val="00D2639F"/>
    <w:rsid w:val="00D2699C"/>
    <w:rsid w:val="00D26CF2"/>
    <w:rsid w:val="00D26E81"/>
    <w:rsid w:val="00D27392"/>
    <w:rsid w:val="00D278CA"/>
    <w:rsid w:val="00D27DD2"/>
    <w:rsid w:val="00D27FD9"/>
    <w:rsid w:val="00D3024E"/>
    <w:rsid w:val="00D30509"/>
    <w:rsid w:val="00D30917"/>
    <w:rsid w:val="00D30E78"/>
    <w:rsid w:val="00D310AC"/>
    <w:rsid w:val="00D314A8"/>
    <w:rsid w:val="00D317E2"/>
    <w:rsid w:val="00D3188C"/>
    <w:rsid w:val="00D3197D"/>
    <w:rsid w:val="00D32047"/>
    <w:rsid w:val="00D320F5"/>
    <w:rsid w:val="00D323B9"/>
    <w:rsid w:val="00D3263D"/>
    <w:rsid w:val="00D3263E"/>
    <w:rsid w:val="00D327D1"/>
    <w:rsid w:val="00D328B6"/>
    <w:rsid w:val="00D3378C"/>
    <w:rsid w:val="00D33A58"/>
    <w:rsid w:val="00D33D29"/>
    <w:rsid w:val="00D342DA"/>
    <w:rsid w:val="00D34353"/>
    <w:rsid w:val="00D348FE"/>
    <w:rsid w:val="00D35158"/>
    <w:rsid w:val="00D35560"/>
    <w:rsid w:val="00D35C44"/>
    <w:rsid w:val="00D35FC7"/>
    <w:rsid w:val="00D3626F"/>
    <w:rsid w:val="00D362E2"/>
    <w:rsid w:val="00D36440"/>
    <w:rsid w:val="00D3660D"/>
    <w:rsid w:val="00D3743B"/>
    <w:rsid w:val="00D3790E"/>
    <w:rsid w:val="00D37CFD"/>
    <w:rsid w:val="00D402DD"/>
    <w:rsid w:val="00D40885"/>
    <w:rsid w:val="00D40E34"/>
    <w:rsid w:val="00D40FC9"/>
    <w:rsid w:val="00D41BFE"/>
    <w:rsid w:val="00D41C6C"/>
    <w:rsid w:val="00D41CAE"/>
    <w:rsid w:val="00D42119"/>
    <w:rsid w:val="00D42316"/>
    <w:rsid w:val="00D42801"/>
    <w:rsid w:val="00D4294C"/>
    <w:rsid w:val="00D42B25"/>
    <w:rsid w:val="00D42DC6"/>
    <w:rsid w:val="00D4306F"/>
    <w:rsid w:val="00D4358E"/>
    <w:rsid w:val="00D4359C"/>
    <w:rsid w:val="00D435CB"/>
    <w:rsid w:val="00D43809"/>
    <w:rsid w:val="00D43AE9"/>
    <w:rsid w:val="00D43DF6"/>
    <w:rsid w:val="00D441E5"/>
    <w:rsid w:val="00D4425B"/>
    <w:rsid w:val="00D445BC"/>
    <w:rsid w:val="00D4485F"/>
    <w:rsid w:val="00D44BB7"/>
    <w:rsid w:val="00D4502A"/>
    <w:rsid w:val="00D45722"/>
    <w:rsid w:val="00D466E4"/>
    <w:rsid w:val="00D46B81"/>
    <w:rsid w:val="00D46D13"/>
    <w:rsid w:val="00D47726"/>
    <w:rsid w:val="00D47A5D"/>
    <w:rsid w:val="00D50379"/>
    <w:rsid w:val="00D5060F"/>
    <w:rsid w:val="00D5070F"/>
    <w:rsid w:val="00D5074A"/>
    <w:rsid w:val="00D508CA"/>
    <w:rsid w:val="00D50A6F"/>
    <w:rsid w:val="00D50C7A"/>
    <w:rsid w:val="00D50F6E"/>
    <w:rsid w:val="00D511C2"/>
    <w:rsid w:val="00D51885"/>
    <w:rsid w:val="00D51B8C"/>
    <w:rsid w:val="00D52CB0"/>
    <w:rsid w:val="00D52DDE"/>
    <w:rsid w:val="00D52FF1"/>
    <w:rsid w:val="00D531CB"/>
    <w:rsid w:val="00D533BD"/>
    <w:rsid w:val="00D5378D"/>
    <w:rsid w:val="00D53BF8"/>
    <w:rsid w:val="00D53D62"/>
    <w:rsid w:val="00D53DFD"/>
    <w:rsid w:val="00D53FF7"/>
    <w:rsid w:val="00D54583"/>
    <w:rsid w:val="00D547FD"/>
    <w:rsid w:val="00D54C51"/>
    <w:rsid w:val="00D54EC2"/>
    <w:rsid w:val="00D556E7"/>
    <w:rsid w:val="00D55BEC"/>
    <w:rsid w:val="00D561BE"/>
    <w:rsid w:val="00D56B6A"/>
    <w:rsid w:val="00D573D3"/>
    <w:rsid w:val="00D574AE"/>
    <w:rsid w:val="00D57A8B"/>
    <w:rsid w:val="00D57AB0"/>
    <w:rsid w:val="00D57CEF"/>
    <w:rsid w:val="00D57F61"/>
    <w:rsid w:val="00D606CE"/>
    <w:rsid w:val="00D60701"/>
    <w:rsid w:val="00D607E9"/>
    <w:rsid w:val="00D608EC"/>
    <w:rsid w:val="00D60FA7"/>
    <w:rsid w:val="00D614CA"/>
    <w:rsid w:val="00D6157E"/>
    <w:rsid w:val="00D61B06"/>
    <w:rsid w:val="00D61D69"/>
    <w:rsid w:val="00D61E11"/>
    <w:rsid w:val="00D62022"/>
    <w:rsid w:val="00D62324"/>
    <w:rsid w:val="00D6246E"/>
    <w:rsid w:val="00D62B10"/>
    <w:rsid w:val="00D633DC"/>
    <w:rsid w:val="00D638B2"/>
    <w:rsid w:val="00D63BC0"/>
    <w:rsid w:val="00D63E60"/>
    <w:rsid w:val="00D6465B"/>
    <w:rsid w:val="00D646CD"/>
    <w:rsid w:val="00D64778"/>
    <w:rsid w:val="00D649BB"/>
    <w:rsid w:val="00D65216"/>
    <w:rsid w:val="00D653AE"/>
    <w:rsid w:val="00D659E2"/>
    <w:rsid w:val="00D65B65"/>
    <w:rsid w:val="00D65BDE"/>
    <w:rsid w:val="00D65FF0"/>
    <w:rsid w:val="00D664FE"/>
    <w:rsid w:val="00D66C26"/>
    <w:rsid w:val="00D66DFE"/>
    <w:rsid w:val="00D67114"/>
    <w:rsid w:val="00D6724E"/>
    <w:rsid w:val="00D7058F"/>
    <w:rsid w:val="00D70B20"/>
    <w:rsid w:val="00D70F03"/>
    <w:rsid w:val="00D71A66"/>
    <w:rsid w:val="00D71F38"/>
    <w:rsid w:val="00D721D2"/>
    <w:rsid w:val="00D725AD"/>
    <w:rsid w:val="00D729B9"/>
    <w:rsid w:val="00D72E36"/>
    <w:rsid w:val="00D73015"/>
    <w:rsid w:val="00D73285"/>
    <w:rsid w:val="00D7365F"/>
    <w:rsid w:val="00D7388F"/>
    <w:rsid w:val="00D73C8D"/>
    <w:rsid w:val="00D73CE8"/>
    <w:rsid w:val="00D73D01"/>
    <w:rsid w:val="00D73DCC"/>
    <w:rsid w:val="00D73DD7"/>
    <w:rsid w:val="00D74401"/>
    <w:rsid w:val="00D7472E"/>
    <w:rsid w:val="00D747B7"/>
    <w:rsid w:val="00D74DEB"/>
    <w:rsid w:val="00D7568F"/>
    <w:rsid w:val="00D75B6C"/>
    <w:rsid w:val="00D76251"/>
    <w:rsid w:val="00D7629A"/>
    <w:rsid w:val="00D76C1F"/>
    <w:rsid w:val="00D76D5D"/>
    <w:rsid w:val="00D76E95"/>
    <w:rsid w:val="00D77380"/>
    <w:rsid w:val="00D77493"/>
    <w:rsid w:val="00D77723"/>
    <w:rsid w:val="00D778A2"/>
    <w:rsid w:val="00D779C5"/>
    <w:rsid w:val="00D77F45"/>
    <w:rsid w:val="00D80008"/>
    <w:rsid w:val="00D80503"/>
    <w:rsid w:val="00D80D4B"/>
    <w:rsid w:val="00D80E6C"/>
    <w:rsid w:val="00D81287"/>
    <w:rsid w:val="00D814C5"/>
    <w:rsid w:val="00D818AE"/>
    <w:rsid w:val="00D81AC1"/>
    <w:rsid w:val="00D81C17"/>
    <w:rsid w:val="00D81F35"/>
    <w:rsid w:val="00D822D6"/>
    <w:rsid w:val="00D82311"/>
    <w:rsid w:val="00D824AE"/>
    <w:rsid w:val="00D82732"/>
    <w:rsid w:val="00D82C03"/>
    <w:rsid w:val="00D835A0"/>
    <w:rsid w:val="00D83820"/>
    <w:rsid w:val="00D83958"/>
    <w:rsid w:val="00D839DB"/>
    <w:rsid w:val="00D83C2C"/>
    <w:rsid w:val="00D83CF5"/>
    <w:rsid w:val="00D83D85"/>
    <w:rsid w:val="00D83DA4"/>
    <w:rsid w:val="00D84069"/>
    <w:rsid w:val="00D842A2"/>
    <w:rsid w:val="00D84639"/>
    <w:rsid w:val="00D84EB2"/>
    <w:rsid w:val="00D84F33"/>
    <w:rsid w:val="00D85883"/>
    <w:rsid w:val="00D85983"/>
    <w:rsid w:val="00D85992"/>
    <w:rsid w:val="00D85EFE"/>
    <w:rsid w:val="00D85FB7"/>
    <w:rsid w:val="00D85FFD"/>
    <w:rsid w:val="00D86099"/>
    <w:rsid w:val="00D86641"/>
    <w:rsid w:val="00D86A5E"/>
    <w:rsid w:val="00D87047"/>
    <w:rsid w:val="00D875D4"/>
    <w:rsid w:val="00D877F0"/>
    <w:rsid w:val="00D87861"/>
    <w:rsid w:val="00D87BC7"/>
    <w:rsid w:val="00D90045"/>
    <w:rsid w:val="00D900F6"/>
    <w:rsid w:val="00D90151"/>
    <w:rsid w:val="00D901D9"/>
    <w:rsid w:val="00D90498"/>
    <w:rsid w:val="00D905ED"/>
    <w:rsid w:val="00D906EB"/>
    <w:rsid w:val="00D90A02"/>
    <w:rsid w:val="00D90B74"/>
    <w:rsid w:val="00D90CA6"/>
    <w:rsid w:val="00D90F7F"/>
    <w:rsid w:val="00D91129"/>
    <w:rsid w:val="00D91273"/>
    <w:rsid w:val="00D914A8"/>
    <w:rsid w:val="00D918D6"/>
    <w:rsid w:val="00D91BCA"/>
    <w:rsid w:val="00D9254B"/>
    <w:rsid w:val="00D92662"/>
    <w:rsid w:val="00D92785"/>
    <w:rsid w:val="00D9284F"/>
    <w:rsid w:val="00D92A8D"/>
    <w:rsid w:val="00D92CC3"/>
    <w:rsid w:val="00D9366A"/>
    <w:rsid w:val="00D93EA2"/>
    <w:rsid w:val="00D9405D"/>
    <w:rsid w:val="00D94367"/>
    <w:rsid w:val="00D94601"/>
    <w:rsid w:val="00D94D6C"/>
    <w:rsid w:val="00D94DF8"/>
    <w:rsid w:val="00D95050"/>
    <w:rsid w:val="00D9510C"/>
    <w:rsid w:val="00D95138"/>
    <w:rsid w:val="00D955BB"/>
    <w:rsid w:val="00D95718"/>
    <w:rsid w:val="00D95968"/>
    <w:rsid w:val="00D963B4"/>
    <w:rsid w:val="00D96684"/>
    <w:rsid w:val="00D975B3"/>
    <w:rsid w:val="00D9784A"/>
    <w:rsid w:val="00D9784D"/>
    <w:rsid w:val="00D97881"/>
    <w:rsid w:val="00D97AB3"/>
    <w:rsid w:val="00D97CD4"/>
    <w:rsid w:val="00DA0049"/>
    <w:rsid w:val="00DA0820"/>
    <w:rsid w:val="00DA0999"/>
    <w:rsid w:val="00DA09CC"/>
    <w:rsid w:val="00DA0DCF"/>
    <w:rsid w:val="00DA0E37"/>
    <w:rsid w:val="00DA136F"/>
    <w:rsid w:val="00DA189E"/>
    <w:rsid w:val="00DA19C4"/>
    <w:rsid w:val="00DA19EF"/>
    <w:rsid w:val="00DA1D3A"/>
    <w:rsid w:val="00DA1F7C"/>
    <w:rsid w:val="00DA1FA4"/>
    <w:rsid w:val="00DA22B2"/>
    <w:rsid w:val="00DA24F6"/>
    <w:rsid w:val="00DA26D6"/>
    <w:rsid w:val="00DA2EE5"/>
    <w:rsid w:val="00DA2F17"/>
    <w:rsid w:val="00DA31B2"/>
    <w:rsid w:val="00DA3526"/>
    <w:rsid w:val="00DA3627"/>
    <w:rsid w:val="00DA36F9"/>
    <w:rsid w:val="00DA3880"/>
    <w:rsid w:val="00DA3BB6"/>
    <w:rsid w:val="00DA3DE9"/>
    <w:rsid w:val="00DA3F28"/>
    <w:rsid w:val="00DA44CE"/>
    <w:rsid w:val="00DA49F3"/>
    <w:rsid w:val="00DA52E1"/>
    <w:rsid w:val="00DA5BED"/>
    <w:rsid w:val="00DA5E20"/>
    <w:rsid w:val="00DA60D2"/>
    <w:rsid w:val="00DA61D5"/>
    <w:rsid w:val="00DA6BE5"/>
    <w:rsid w:val="00DA70E2"/>
    <w:rsid w:val="00DA752C"/>
    <w:rsid w:val="00DA757D"/>
    <w:rsid w:val="00DA763D"/>
    <w:rsid w:val="00DA799F"/>
    <w:rsid w:val="00DA7AE2"/>
    <w:rsid w:val="00DA7CA4"/>
    <w:rsid w:val="00DB0403"/>
    <w:rsid w:val="00DB0780"/>
    <w:rsid w:val="00DB0943"/>
    <w:rsid w:val="00DB0AB7"/>
    <w:rsid w:val="00DB0DB2"/>
    <w:rsid w:val="00DB11D8"/>
    <w:rsid w:val="00DB1595"/>
    <w:rsid w:val="00DB159D"/>
    <w:rsid w:val="00DB15CA"/>
    <w:rsid w:val="00DB15E6"/>
    <w:rsid w:val="00DB174B"/>
    <w:rsid w:val="00DB1B0F"/>
    <w:rsid w:val="00DB1C9B"/>
    <w:rsid w:val="00DB1CBC"/>
    <w:rsid w:val="00DB2127"/>
    <w:rsid w:val="00DB2426"/>
    <w:rsid w:val="00DB292E"/>
    <w:rsid w:val="00DB2BB7"/>
    <w:rsid w:val="00DB2C67"/>
    <w:rsid w:val="00DB2D72"/>
    <w:rsid w:val="00DB2F20"/>
    <w:rsid w:val="00DB3078"/>
    <w:rsid w:val="00DB36AD"/>
    <w:rsid w:val="00DB39E0"/>
    <w:rsid w:val="00DB3F98"/>
    <w:rsid w:val="00DB4235"/>
    <w:rsid w:val="00DB426C"/>
    <w:rsid w:val="00DB4BDA"/>
    <w:rsid w:val="00DB4C7C"/>
    <w:rsid w:val="00DB4FD9"/>
    <w:rsid w:val="00DB56FC"/>
    <w:rsid w:val="00DB57BC"/>
    <w:rsid w:val="00DB5FF1"/>
    <w:rsid w:val="00DB6006"/>
    <w:rsid w:val="00DB6064"/>
    <w:rsid w:val="00DB6263"/>
    <w:rsid w:val="00DB6D66"/>
    <w:rsid w:val="00DB74D6"/>
    <w:rsid w:val="00DB76FA"/>
    <w:rsid w:val="00DB7C88"/>
    <w:rsid w:val="00DC048C"/>
    <w:rsid w:val="00DC05B5"/>
    <w:rsid w:val="00DC05FF"/>
    <w:rsid w:val="00DC08CF"/>
    <w:rsid w:val="00DC08E0"/>
    <w:rsid w:val="00DC0A02"/>
    <w:rsid w:val="00DC0A07"/>
    <w:rsid w:val="00DC0A47"/>
    <w:rsid w:val="00DC0A99"/>
    <w:rsid w:val="00DC1CD6"/>
    <w:rsid w:val="00DC20B2"/>
    <w:rsid w:val="00DC22B3"/>
    <w:rsid w:val="00DC2823"/>
    <w:rsid w:val="00DC2A24"/>
    <w:rsid w:val="00DC2D65"/>
    <w:rsid w:val="00DC322D"/>
    <w:rsid w:val="00DC3276"/>
    <w:rsid w:val="00DC3717"/>
    <w:rsid w:val="00DC398F"/>
    <w:rsid w:val="00DC3A52"/>
    <w:rsid w:val="00DC3D34"/>
    <w:rsid w:val="00DC4038"/>
    <w:rsid w:val="00DC449D"/>
    <w:rsid w:val="00DC460B"/>
    <w:rsid w:val="00DC4DE4"/>
    <w:rsid w:val="00DC505F"/>
    <w:rsid w:val="00DC50A5"/>
    <w:rsid w:val="00DC5EC2"/>
    <w:rsid w:val="00DC5F2A"/>
    <w:rsid w:val="00DC5FEC"/>
    <w:rsid w:val="00DC602F"/>
    <w:rsid w:val="00DC647C"/>
    <w:rsid w:val="00DC662D"/>
    <w:rsid w:val="00DC66E5"/>
    <w:rsid w:val="00DC6712"/>
    <w:rsid w:val="00DC6946"/>
    <w:rsid w:val="00DC6C3B"/>
    <w:rsid w:val="00DC6E9D"/>
    <w:rsid w:val="00DC6F84"/>
    <w:rsid w:val="00DC7200"/>
    <w:rsid w:val="00DC7540"/>
    <w:rsid w:val="00DC75C3"/>
    <w:rsid w:val="00DC7A5F"/>
    <w:rsid w:val="00DC7B83"/>
    <w:rsid w:val="00DC7C56"/>
    <w:rsid w:val="00DC7CD3"/>
    <w:rsid w:val="00DD0AC3"/>
    <w:rsid w:val="00DD0BA1"/>
    <w:rsid w:val="00DD0E51"/>
    <w:rsid w:val="00DD174B"/>
    <w:rsid w:val="00DD2151"/>
    <w:rsid w:val="00DD2A4F"/>
    <w:rsid w:val="00DD2E56"/>
    <w:rsid w:val="00DD3145"/>
    <w:rsid w:val="00DD331B"/>
    <w:rsid w:val="00DD3928"/>
    <w:rsid w:val="00DD3B37"/>
    <w:rsid w:val="00DD3CF6"/>
    <w:rsid w:val="00DD4260"/>
    <w:rsid w:val="00DD470C"/>
    <w:rsid w:val="00DD482D"/>
    <w:rsid w:val="00DD5CF6"/>
    <w:rsid w:val="00DD5E79"/>
    <w:rsid w:val="00DD64A0"/>
    <w:rsid w:val="00DD656C"/>
    <w:rsid w:val="00DD6C37"/>
    <w:rsid w:val="00DD6D6E"/>
    <w:rsid w:val="00DD7516"/>
    <w:rsid w:val="00DD7883"/>
    <w:rsid w:val="00DD7941"/>
    <w:rsid w:val="00DD79E1"/>
    <w:rsid w:val="00DD7BBF"/>
    <w:rsid w:val="00DD7D0C"/>
    <w:rsid w:val="00DD7D14"/>
    <w:rsid w:val="00DE0027"/>
    <w:rsid w:val="00DE0966"/>
    <w:rsid w:val="00DE122D"/>
    <w:rsid w:val="00DE124E"/>
    <w:rsid w:val="00DE1270"/>
    <w:rsid w:val="00DE1382"/>
    <w:rsid w:val="00DE173B"/>
    <w:rsid w:val="00DE2789"/>
    <w:rsid w:val="00DE2CC5"/>
    <w:rsid w:val="00DE2ED6"/>
    <w:rsid w:val="00DE3098"/>
    <w:rsid w:val="00DE38E2"/>
    <w:rsid w:val="00DE38FD"/>
    <w:rsid w:val="00DE3BD1"/>
    <w:rsid w:val="00DE4CA3"/>
    <w:rsid w:val="00DE5BCB"/>
    <w:rsid w:val="00DE5E90"/>
    <w:rsid w:val="00DE63DD"/>
    <w:rsid w:val="00DE69CC"/>
    <w:rsid w:val="00DE729F"/>
    <w:rsid w:val="00DE7566"/>
    <w:rsid w:val="00DE7C79"/>
    <w:rsid w:val="00DF025D"/>
    <w:rsid w:val="00DF0993"/>
    <w:rsid w:val="00DF09C5"/>
    <w:rsid w:val="00DF0ABB"/>
    <w:rsid w:val="00DF0F81"/>
    <w:rsid w:val="00DF1442"/>
    <w:rsid w:val="00DF14A3"/>
    <w:rsid w:val="00DF14FC"/>
    <w:rsid w:val="00DF159B"/>
    <w:rsid w:val="00DF1891"/>
    <w:rsid w:val="00DF1CB9"/>
    <w:rsid w:val="00DF1F07"/>
    <w:rsid w:val="00DF20BD"/>
    <w:rsid w:val="00DF2149"/>
    <w:rsid w:val="00DF2401"/>
    <w:rsid w:val="00DF29D1"/>
    <w:rsid w:val="00DF2B9A"/>
    <w:rsid w:val="00DF2E4F"/>
    <w:rsid w:val="00DF2FF0"/>
    <w:rsid w:val="00DF3685"/>
    <w:rsid w:val="00DF392E"/>
    <w:rsid w:val="00DF3C81"/>
    <w:rsid w:val="00DF3CE6"/>
    <w:rsid w:val="00DF3D36"/>
    <w:rsid w:val="00DF4048"/>
    <w:rsid w:val="00DF4268"/>
    <w:rsid w:val="00DF42D3"/>
    <w:rsid w:val="00DF4885"/>
    <w:rsid w:val="00DF49BC"/>
    <w:rsid w:val="00DF4A25"/>
    <w:rsid w:val="00DF567A"/>
    <w:rsid w:val="00DF570D"/>
    <w:rsid w:val="00DF5A05"/>
    <w:rsid w:val="00DF6277"/>
    <w:rsid w:val="00DF66D5"/>
    <w:rsid w:val="00DF683E"/>
    <w:rsid w:val="00DF6965"/>
    <w:rsid w:val="00DF6C63"/>
    <w:rsid w:val="00DF6E77"/>
    <w:rsid w:val="00DF73C5"/>
    <w:rsid w:val="00DF7D37"/>
    <w:rsid w:val="00DF7E07"/>
    <w:rsid w:val="00E00693"/>
    <w:rsid w:val="00E00B16"/>
    <w:rsid w:val="00E011DC"/>
    <w:rsid w:val="00E01363"/>
    <w:rsid w:val="00E01B33"/>
    <w:rsid w:val="00E01C66"/>
    <w:rsid w:val="00E01E21"/>
    <w:rsid w:val="00E01EE6"/>
    <w:rsid w:val="00E022A9"/>
    <w:rsid w:val="00E029EC"/>
    <w:rsid w:val="00E02FC5"/>
    <w:rsid w:val="00E0321E"/>
    <w:rsid w:val="00E032B7"/>
    <w:rsid w:val="00E0370F"/>
    <w:rsid w:val="00E03AD0"/>
    <w:rsid w:val="00E041E6"/>
    <w:rsid w:val="00E0424B"/>
    <w:rsid w:val="00E044AB"/>
    <w:rsid w:val="00E04FA1"/>
    <w:rsid w:val="00E05584"/>
    <w:rsid w:val="00E056C8"/>
    <w:rsid w:val="00E05DCE"/>
    <w:rsid w:val="00E0615A"/>
    <w:rsid w:val="00E061E4"/>
    <w:rsid w:val="00E065B7"/>
    <w:rsid w:val="00E067AA"/>
    <w:rsid w:val="00E06D7B"/>
    <w:rsid w:val="00E06F8D"/>
    <w:rsid w:val="00E071B7"/>
    <w:rsid w:val="00E074BB"/>
    <w:rsid w:val="00E076B6"/>
    <w:rsid w:val="00E0771C"/>
    <w:rsid w:val="00E07F3C"/>
    <w:rsid w:val="00E10188"/>
    <w:rsid w:val="00E10444"/>
    <w:rsid w:val="00E106C0"/>
    <w:rsid w:val="00E10B3F"/>
    <w:rsid w:val="00E11144"/>
    <w:rsid w:val="00E111EB"/>
    <w:rsid w:val="00E1126E"/>
    <w:rsid w:val="00E112D1"/>
    <w:rsid w:val="00E11709"/>
    <w:rsid w:val="00E123EE"/>
    <w:rsid w:val="00E12803"/>
    <w:rsid w:val="00E12F43"/>
    <w:rsid w:val="00E133C4"/>
    <w:rsid w:val="00E1367A"/>
    <w:rsid w:val="00E13713"/>
    <w:rsid w:val="00E13826"/>
    <w:rsid w:val="00E13A2A"/>
    <w:rsid w:val="00E13C1C"/>
    <w:rsid w:val="00E13F05"/>
    <w:rsid w:val="00E1464B"/>
    <w:rsid w:val="00E148A4"/>
    <w:rsid w:val="00E14AB4"/>
    <w:rsid w:val="00E151D3"/>
    <w:rsid w:val="00E15239"/>
    <w:rsid w:val="00E1526C"/>
    <w:rsid w:val="00E15285"/>
    <w:rsid w:val="00E15488"/>
    <w:rsid w:val="00E1595F"/>
    <w:rsid w:val="00E1597D"/>
    <w:rsid w:val="00E159D4"/>
    <w:rsid w:val="00E15AA6"/>
    <w:rsid w:val="00E16138"/>
    <w:rsid w:val="00E163CB"/>
    <w:rsid w:val="00E16E81"/>
    <w:rsid w:val="00E16F3B"/>
    <w:rsid w:val="00E174C3"/>
    <w:rsid w:val="00E17CE6"/>
    <w:rsid w:val="00E17D2E"/>
    <w:rsid w:val="00E20461"/>
    <w:rsid w:val="00E204C5"/>
    <w:rsid w:val="00E20614"/>
    <w:rsid w:val="00E20784"/>
    <w:rsid w:val="00E20791"/>
    <w:rsid w:val="00E20A83"/>
    <w:rsid w:val="00E20DD2"/>
    <w:rsid w:val="00E21193"/>
    <w:rsid w:val="00E21EC8"/>
    <w:rsid w:val="00E21EE3"/>
    <w:rsid w:val="00E22594"/>
    <w:rsid w:val="00E22D3A"/>
    <w:rsid w:val="00E22DA9"/>
    <w:rsid w:val="00E23011"/>
    <w:rsid w:val="00E234B8"/>
    <w:rsid w:val="00E2367B"/>
    <w:rsid w:val="00E2370A"/>
    <w:rsid w:val="00E237D2"/>
    <w:rsid w:val="00E239E3"/>
    <w:rsid w:val="00E239F3"/>
    <w:rsid w:val="00E243B0"/>
    <w:rsid w:val="00E24707"/>
    <w:rsid w:val="00E25505"/>
    <w:rsid w:val="00E25F41"/>
    <w:rsid w:val="00E26BCC"/>
    <w:rsid w:val="00E27294"/>
    <w:rsid w:val="00E272A9"/>
    <w:rsid w:val="00E274AC"/>
    <w:rsid w:val="00E2752B"/>
    <w:rsid w:val="00E27B4B"/>
    <w:rsid w:val="00E3048C"/>
    <w:rsid w:val="00E3056E"/>
    <w:rsid w:val="00E3067C"/>
    <w:rsid w:val="00E315D6"/>
    <w:rsid w:val="00E31664"/>
    <w:rsid w:val="00E3194A"/>
    <w:rsid w:val="00E319CA"/>
    <w:rsid w:val="00E31BDD"/>
    <w:rsid w:val="00E31D42"/>
    <w:rsid w:val="00E31D60"/>
    <w:rsid w:val="00E321AD"/>
    <w:rsid w:val="00E32308"/>
    <w:rsid w:val="00E327AA"/>
    <w:rsid w:val="00E32BBE"/>
    <w:rsid w:val="00E32E8E"/>
    <w:rsid w:val="00E336E9"/>
    <w:rsid w:val="00E33E75"/>
    <w:rsid w:val="00E33EF7"/>
    <w:rsid w:val="00E3439B"/>
    <w:rsid w:val="00E34435"/>
    <w:rsid w:val="00E34CE0"/>
    <w:rsid w:val="00E34F84"/>
    <w:rsid w:val="00E35165"/>
    <w:rsid w:val="00E35415"/>
    <w:rsid w:val="00E35727"/>
    <w:rsid w:val="00E358DA"/>
    <w:rsid w:val="00E35B20"/>
    <w:rsid w:val="00E35CD9"/>
    <w:rsid w:val="00E35FE8"/>
    <w:rsid w:val="00E36131"/>
    <w:rsid w:val="00E369FC"/>
    <w:rsid w:val="00E36CB5"/>
    <w:rsid w:val="00E37017"/>
    <w:rsid w:val="00E3707B"/>
    <w:rsid w:val="00E37262"/>
    <w:rsid w:val="00E37B45"/>
    <w:rsid w:val="00E40391"/>
    <w:rsid w:val="00E404A5"/>
    <w:rsid w:val="00E40509"/>
    <w:rsid w:val="00E4078D"/>
    <w:rsid w:val="00E40DD5"/>
    <w:rsid w:val="00E416C5"/>
    <w:rsid w:val="00E41B99"/>
    <w:rsid w:val="00E41DD9"/>
    <w:rsid w:val="00E425B1"/>
    <w:rsid w:val="00E4304B"/>
    <w:rsid w:val="00E430AD"/>
    <w:rsid w:val="00E4331B"/>
    <w:rsid w:val="00E43466"/>
    <w:rsid w:val="00E43B97"/>
    <w:rsid w:val="00E43DC6"/>
    <w:rsid w:val="00E440E5"/>
    <w:rsid w:val="00E44303"/>
    <w:rsid w:val="00E448C5"/>
    <w:rsid w:val="00E44960"/>
    <w:rsid w:val="00E44F1E"/>
    <w:rsid w:val="00E459F6"/>
    <w:rsid w:val="00E45A44"/>
    <w:rsid w:val="00E45E44"/>
    <w:rsid w:val="00E4630C"/>
    <w:rsid w:val="00E464FE"/>
    <w:rsid w:val="00E4650F"/>
    <w:rsid w:val="00E46591"/>
    <w:rsid w:val="00E46823"/>
    <w:rsid w:val="00E46870"/>
    <w:rsid w:val="00E46875"/>
    <w:rsid w:val="00E46AD5"/>
    <w:rsid w:val="00E46E07"/>
    <w:rsid w:val="00E473B4"/>
    <w:rsid w:val="00E477DC"/>
    <w:rsid w:val="00E47A79"/>
    <w:rsid w:val="00E47F76"/>
    <w:rsid w:val="00E50217"/>
    <w:rsid w:val="00E50332"/>
    <w:rsid w:val="00E50962"/>
    <w:rsid w:val="00E50B53"/>
    <w:rsid w:val="00E50C60"/>
    <w:rsid w:val="00E50C9A"/>
    <w:rsid w:val="00E50D5C"/>
    <w:rsid w:val="00E5116A"/>
    <w:rsid w:val="00E51553"/>
    <w:rsid w:val="00E517D8"/>
    <w:rsid w:val="00E51FC4"/>
    <w:rsid w:val="00E51FFA"/>
    <w:rsid w:val="00E520EE"/>
    <w:rsid w:val="00E529B5"/>
    <w:rsid w:val="00E52B51"/>
    <w:rsid w:val="00E533B8"/>
    <w:rsid w:val="00E5378C"/>
    <w:rsid w:val="00E537E8"/>
    <w:rsid w:val="00E53919"/>
    <w:rsid w:val="00E53ABF"/>
    <w:rsid w:val="00E54286"/>
    <w:rsid w:val="00E54333"/>
    <w:rsid w:val="00E544BF"/>
    <w:rsid w:val="00E54DB9"/>
    <w:rsid w:val="00E55248"/>
    <w:rsid w:val="00E553FD"/>
    <w:rsid w:val="00E55B1D"/>
    <w:rsid w:val="00E55D16"/>
    <w:rsid w:val="00E5609D"/>
    <w:rsid w:val="00E561BF"/>
    <w:rsid w:val="00E5624C"/>
    <w:rsid w:val="00E566C8"/>
    <w:rsid w:val="00E56C31"/>
    <w:rsid w:val="00E57017"/>
    <w:rsid w:val="00E570AB"/>
    <w:rsid w:val="00E5717E"/>
    <w:rsid w:val="00E572F9"/>
    <w:rsid w:val="00E576C7"/>
    <w:rsid w:val="00E60497"/>
    <w:rsid w:val="00E6056C"/>
    <w:rsid w:val="00E60AEE"/>
    <w:rsid w:val="00E60EB2"/>
    <w:rsid w:val="00E6130C"/>
    <w:rsid w:val="00E61BAB"/>
    <w:rsid w:val="00E61BF3"/>
    <w:rsid w:val="00E62680"/>
    <w:rsid w:val="00E62C11"/>
    <w:rsid w:val="00E62D9C"/>
    <w:rsid w:val="00E62DCF"/>
    <w:rsid w:val="00E62E40"/>
    <w:rsid w:val="00E62FF6"/>
    <w:rsid w:val="00E63298"/>
    <w:rsid w:val="00E63389"/>
    <w:rsid w:val="00E6385B"/>
    <w:rsid w:val="00E63B7D"/>
    <w:rsid w:val="00E64203"/>
    <w:rsid w:val="00E643C5"/>
    <w:rsid w:val="00E6465A"/>
    <w:rsid w:val="00E64712"/>
    <w:rsid w:val="00E64D0F"/>
    <w:rsid w:val="00E6502F"/>
    <w:rsid w:val="00E65087"/>
    <w:rsid w:val="00E653F1"/>
    <w:rsid w:val="00E65F7A"/>
    <w:rsid w:val="00E65FFE"/>
    <w:rsid w:val="00E6635E"/>
    <w:rsid w:val="00E666B5"/>
    <w:rsid w:val="00E66B76"/>
    <w:rsid w:val="00E66CB1"/>
    <w:rsid w:val="00E66CD7"/>
    <w:rsid w:val="00E66E32"/>
    <w:rsid w:val="00E6739E"/>
    <w:rsid w:val="00E6741E"/>
    <w:rsid w:val="00E67881"/>
    <w:rsid w:val="00E67C6C"/>
    <w:rsid w:val="00E67D51"/>
    <w:rsid w:val="00E67FEF"/>
    <w:rsid w:val="00E7105D"/>
    <w:rsid w:val="00E71741"/>
    <w:rsid w:val="00E71B78"/>
    <w:rsid w:val="00E71DA0"/>
    <w:rsid w:val="00E721D1"/>
    <w:rsid w:val="00E7255A"/>
    <w:rsid w:val="00E72952"/>
    <w:rsid w:val="00E72D9E"/>
    <w:rsid w:val="00E72F6D"/>
    <w:rsid w:val="00E7325F"/>
    <w:rsid w:val="00E732EB"/>
    <w:rsid w:val="00E73456"/>
    <w:rsid w:val="00E73729"/>
    <w:rsid w:val="00E738E7"/>
    <w:rsid w:val="00E742C6"/>
    <w:rsid w:val="00E742F3"/>
    <w:rsid w:val="00E74835"/>
    <w:rsid w:val="00E74C8A"/>
    <w:rsid w:val="00E7571B"/>
    <w:rsid w:val="00E757C5"/>
    <w:rsid w:val="00E7621A"/>
    <w:rsid w:val="00E76599"/>
    <w:rsid w:val="00E7666E"/>
    <w:rsid w:val="00E768E0"/>
    <w:rsid w:val="00E76A83"/>
    <w:rsid w:val="00E76BF1"/>
    <w:rsid w:val="00E76DB8"/>
    <w:rsid w:val="00E7712E"/>
    <w:rsid w:val="00E77742"/>
    <w:rsid w:val="00E77E93"/>
    <w:rsid w:val="00E804FA"/>
    <w:rsid w:val="00E80778"/>
    <w:rsid w:val="00E8079F"/>
    <w:rsid w:val="00E807C8"/>
    <w:rsid w:val="00E80EE7"/>
    <w:rsid w:val="00E8131E"/>
    <w:rsid w:val="00E8150F"/>
    <w:rsid w:val="00E8162B"/>
    <w:rsid w:val="00E81968"/>
    <w:rsid w:val="00E81E14"/>
    <w:rsid w:val="00E82083"/>
    <w:rsid w:val="00E8238F"/>
    <w:rsid w:val="00E8285F"/>
    <w:rsid w:val="00E828D3"/>
    <w:rsid w:val="00E82920"/>
    <w:rsid w:val="00E82C8B"/>
    <w:rsid w:val="00E82DE6"/>
    <w:rsid w:val="00E82E4D"/>
    <w:rsid w:val="00E82F41"/>
    <w:rsid w:val="00E83383"/>
    <w:rsid w:val="00E83419"/>
    <w:rsid w:val="00E8361B"/>
    <w:rsid w:val="00E83964"/>
    <w:rsid w:val="00E84658"/>
    <w:rsid w:val="00E84A77"/>
    <w:rsid w:val="00E84C39"/>
    <w:rsid w:val="00E850F7"/>
    <w:rsid w:val="00E851BF"/>
    <w:rsid w:val="00E85422"/>
    <w:rsid w:val="00E8543E"/>
    <w:rsid w:val="00E8561D"/>
    <w:rsid w:val="00E8597F"/>
    <w:rsid w:val="00E85DF6"/>
    <w:rsid w:val="00E85FE1"/>
    <w:rsid w:val="00E8622C"/>
    <w:rsid w:val="00E8679D"/>
    <w:rsid w:val="00E86DC5"/>
    <w:rsid w:val="00E871B9"/>
    <w:rsid w:val="00E87202"/>
    <w:rsid w:val="00E87B05"/>
    <w:rsid w:val="00E87E93"/>
    <w:rsid w:val="00E87FFC"/>
    <w:rsid w:val="00E90833"/>
    <w:rsid w:val="00E90D1B"/>
    <w:rsid w:val="00E914E6"/>
    <w:rsid w:val="00E9189D"/>
    <w:rsid w:val="00E91A96"/>
    <w:rsid w:val="00E91E29"/>
    <w:rsid w:val="00E91E98"/>
    <w:rsid w:val="00E92837"/>
    <w:rsid w:val="00E92A4A"/>
    <w:rsid w:val="00E92AD0"/>
    <w:rsid w:val="00E92CA6"/>
    <w:rsid w:val="00E92FD2"/>
    <w:rsid w:val="00E9334E"/>
    <w:rsid w:val="00E93428"/>
    <w:rsid w:val="00E936F0"/>
    <w:rsid w:val="00E93D62"/>
    <w:rsid w:val="00E93FCD"/>
    <w:rsid w:val="00E944F0"/>
    <w:rsid w:val="00E94570"/>
    <w:rsid w:val="00E94995"/>
    <w:rsid w:val="00E94EB0"/>
    <w:rsid w:val="00E95715"/>
    <w:rsid w:val="00E95A5F"/>
    <w:rsid w:val="00E95D66"/>
    <w:rsid w:val="00E95F08"/>
    <w:rsid w:val="00E96A11"/>
    <w:rsid w:val="00E96BB7"/>
    <w:rsid w:val="00E97246"/>
    <w:rsid w:val="00E976C8"/>
    <w:rsid w:val="00E97BDF"/>
    <w:rsid w:val="00E97E3A"/>
    <w:rsid w:val="00EA02E2"/>
    <w:rsid w:val="00EA033E"/>
    <w:rsid w:val="00EA0F6D"/>
    <w:rsid w:val="00EA1207"/>
    <w:rsid w:val="00EA1A62"/>
    <w:rsid w:val="00EA1DAE"/>
    <w:rsid w:val="00EA20DF"/>
    <w:rsid w:val="00EA2457"/>
    <w:rsid w:val="00EA2EEA"/>
    <w:rsid w:val="00EA2FFE"/>
    <w:rsid w:val="00EA3410"/>
    <w:rsid w:val="00EA3DD2"/>
    <w:rsid w:val="00EA42F3"/>
    <w:rsid w:val="00EA4316"/>
    <w:rsid w:val="00EA4837"/>
    <w:rsid w:val="00EA4CC3"/>
    <w:rsid w:val="00EA5B41"/>
    <w:rsid w:val="00EA5C49"/>
    <w:rsid w:val="00EA5CA8"/>
    <w:rsid w:val="00EA5EF1"/>
    <w:rsid w:val="00EA6602"/>
    <w:rsid w:val="00EA6CCF"/>
    <w:rsid w:val="00EA6F51"/>
    <w:rsid w:val="00EA702C"/>
    <w:rsid w:val="00EA7409"/>
    <w:rsid w:val="00EA755C"/>
    <w:rsid w:val="00EA7EED"/>
    <w:rsid w:val="00EB0373"/>
    <w:rsid w:val="00EB039B"/>
    <w:rsid w:val="00EB0428"/>
    <w:rsid w:val="00EB04AA"/>
    <w:rsid w:val="00EB0E95"/>
    <w:rsid w:val="00EB0F08"/>
    <w:rsid w:val="00EB0FC1"/>
    <w:rsid w:val="00EB13B1"/>
    <w:rsid w:val="00EB1458"/>
    <w:rsid w:val="00EB172F"/>
    <w:rsid w:val="00EB1D5E"/>
    <w:rsid w:val="00EB22F9"/>
    <w:rsid w:val="00EB2625"/>
    <w:rsid w:val="00EB32C3"/>
    <w:rsid w:val="00EB32FA"/>
    <w:rsid w:val="00EB344C"/>
    <w:rsid w:val="00EB3DFE"/>
    <w:rsid w:val="00EB46D1"/>
    <w:rsid w:val="00EB4B0F"/>
    <w:rsid w:val="00EB4FA3"/>
    <w:rsid w:val="00EB50A6"/>
    <w:rsid w:val="00EB5C98"/>
    <w:rsid w:val="00EB5DC6"/>
    <w:rsid w:val="00EB65AF"/>
    <w:rsid w:val="00EB6C3D"/>
    <w:rsid w:val="00EB70BF"/>
    <w:rsid w:val="00EB71B1"/>
    <w:rsid w:val="00EB71F2"/>
    <w:rsid w:val="00EB7375"/>
    <w:rsid w:val="00EB76F7"/>
    <w:rsid w:val="00EB79DB"/>
    <w:rsid w:val="00EB79F3"/>
    <w:rsid w:val="00EC00A5"/>
    <w:rsid w:val="00EC0168"/>
    <w:rsid w:val="00EC0B60"/>
    <w:rsid w:val="00EC0CD6"/>
    <w:rsid w:val="00EC0F60"/>
    <w:rsid w:val="00EC10F0"/>
    <w:rsid w:val="00EC142B"/>
    <w:rsid w:val="00EC1797"/>
    <w:rsid w:val="00EC1921"/>
    <w:rsid w:val="00EC19ED"/>
    <w:rsid w:val="00EC1E7B"/>
    <w:rsid w:val="00EC218A"/>
    <w:rsid w:val="00EC2355"/>
    <w:rsid w:val="00EC2AA0"/>
    <w:rsid w:val="00EC2E99"/>
    <w:rsid w:val="00EC2EBD"/>
    <w:rsid w:val="00EC31A3"/>
    <w:rsid w:val="00EC3398"/>
    <w:rsid w:val="00EC33B4"/>
    <w:rsid w:val="00EC3550"/>
    <w:rsid w:val="00EC38E1"/>
    <w:rsid w:val="00EC3C1E"/>
    <w:rsid w:val="00EC3EEA"/>
    <w:rsid w:val="00EC41B2"/>
    <w:rsid w:val="00EC452D"/>
    <w:rsid w:val="00EC4704"/>
    <w:rsid w:val="00EC4CC3"/>
    <w:rsid w:val="00EC4E1A"/>
    <w:rsid w:val="00EC54E6"/>
    <w:rsid w:val="00EC54FB"/>
    <w:rsid w:val="00EC5590"/>
    <w:rsid w:val="00EC5CD6"/>
    <w:rsid w:val="00EC6004"/>
    <w:rsid w:val="00EC6227"/>
    <w:rsid w:val="00EC6405"/>
    <w:rsid w:val="00EC665B"/>
    <w:rsid w:val="00EC682B"/>
    <w:rsid w:val="00EC688E"/>
    <w:rsid w:val="00EC7410"/>
    <w:rsid w:val="00EC74C2"/>
    <w:rsid w:val="00EC760B"/>
    <w:rsid w:val="00EC763C"/>
    <w:rsid w:val="00EC7A7F"/>
    <w:rsid w:val="00EC7B05"/>
    <w:rsid w:val="00EC7F7F"/>
    <w:rsid w:val="00ED0080"/>
    <w:rsid w:val="00ED0145"/>
    <w:rsid w:val="00ED02A0"/>
    <w:rsid w:val="00ED03AD"/>
    <w:rsid w:val="00ED1012"/>
    <w:rsid w:val="00ED1397"/>
    <w:rsid w:val="00ED164A"/>
    <w:rsid w:val="00ED2867"/>
    <w:rsid w:val="00ED295E"/>
    <w:rsid w:val="00ED303B"/>
    <w:rsid w:val="00ED3394"/>
    <w:rsid w:val="00ED39D8"/>
    <w:rsid w:val="00ED4ADD"/>
    <w:rsid w:val="00ED4CC6"/>
    <w:rsid w:val="00ED4DFD"/>
    <w:rsid w:val="00ED4FD8"/>
    <w:rsid w:val="00ED50CD"/>
    <w:rsid w:val="00ED5498"/>
    <w:rsid w:val="00ED55E4"/>
    <w:rsid w:val="00ED5602"/>
    <w:rsid w:val="00ED57FA"/>
    <w:rsid w:val="00ED597F"/>
    <w:rsid w:val="00ED5FA2"/>
    <w:rsid w:val="00ED66DA"/>
    <w:rsid w:val="00ED6CAC"/>
    <w:rsid w:val="00ED6D68"/>
    <w:rsid w:val="00ED6DDE"/>
    <w:rsid w:val="00ED72FE"/>
    <w:rsid w:val="00ED7756"/>
    <w:rsid w:val="00EE0A5F"/>
    <w:rsid w:val="00EE0EAC"/>
    <w:rsid w:val="00EE0F8E"/>
    <w:rsid w:val="00EE1311"/>
    <w:rsid w:val="00EE150F"/>
    <w:rsid w:val="00EE154A"/>
    <w:rsid w:val="00EE1847"/>
    <w:rsid w:val="00EE1A6C"/>
    <w:rsid w:val="00EE2050"/>
    <w:rsid w:val="00EE2152"/>
    <w:rsid w:val="00EE2503"/>
    <w:rsid w:val="00EE25C5"/>
    <w:rsid w:val="00EE26B7"/>
    <w:rsid w:val="00EE32FB"/>
    <w:rsid w:val="00EE3433"/>
    <w:rsid w:val="00EE3754"/>
    <w:rsid w:val="00EE3DBB"/>
    <w:rsid w:val="00EE40BA"/>
    <w:rsid w:val="00EE42E7"/>
    <w:rsid w:val="00EE44E0"/>
    <w:rsid w:val="00EE4608"/>
    <w:rsid w:val="00EE461E"/>
    <w:rsid w:val="00EE474B"/>
    <w:rsid w:val="00EE4D74"/>
    <w:rsid w:val="00EE4E5B"/>
    <w:rsid w:val="00EE554A"/>
    <w:rsid w:val="00EE5680"/>
    <w:rsid w:val="00EE595F"/>
    <w:rsid w:val="00EE59EF"/>
    <w:rsid w:val="00EE5AFD"/>
    <w:rsid w:val="00EE61E2"/>
    <w:rsid w:val="00EE64E8"/>
    <w:rsid w:val="00EE67CF"/>
    <w:rsid w:val="00EE6EC1"/>
    <w:rsid w:val="00EE7120"/>
    <w:rsid w:val="00EE7192"/>
    <w:rsid w:val="00EE7C68"/>
    <w:rsid w:val="00EE7D99"/>
    <w:rsid w:val="00EE7DC8"/>
    <w:rsid w:val="00EE7F24"/>
    <w:rsid w:val="00EE7FA9"/>
    <w:rsid w:val="00EF038B"/>
    <w:rsid w:val="00EF0B69"/>
    <w:rsid w:val="00EF0D0F"/>
    <w:rsid w:val="00EF1661"/>
    <w:rsid w:val="00EF18D9"/>
    <w:rsid w:val="00EF1A90"/>
    <w:rsid w:val="00EF229D"/>
    <w:rsid w:val="00EF2488"/>
    <w:rsid w:val="00EF2931"/>
    <w:rsid w:val="00EF2F34"/>
    <w:rsid w:val="00EF34E1"/>
    <w:rsid w:val="00EF3574"/>
    <w:rsid w:val="00EF3F4C"/>
    <w:rsid w:val="00EF40FF"/>
    <w:rsid w:val="00EF4339"/>
    <w:rsid w:val="00EF4564"/>
    <w:rsid w:val="00EF4822"/>
    <w:rsid w:val="00EF48D6"/>
    <w:rsid w:val="00EF4AB2"/>
    <w:rsid w:val="00EF4E2E"/>
    <w:rsid w:val="00EF51C4"/>
    <w:rsid w:val="00EF5332"/>
    <w:rsid w:val="00EF5486"/>
    <w:rsid w:val="00EF57FC"/>
    <w:rsid w:val="00EF58AE"/>
    <w:rsid w:val="00EF5AD9"/>
    <w:rsid w:val="00EF5EC0"/>
    <w:rsid w:val="00EF5EF5"/>
    <w:rsid w:val="00EF60C6"/>
    <w:rsid w:val="00EF6206"/>
    <w:rsid w:val="00EF6550"/>
    <w:rsid w:val="00EF66D5"/>
    <w:rsid w:val="00EF6FB7"/>
    <w:rsid w:val="00EF71E9"/>
    <w:rsid w:val="00EF758C"/>
    <w:rsid w:val="00F00251"/>
    <w:rsid w:val="00F0083A"/>
    <w:rsid w:val="00F00856"/>
    <w:rsid w:val="00F00F3D"/>
    <w:rsid w:val="00F01AC2"/>
    <w:rsid w:val="00F01C90"/>
    <w:rsid w:val="00F02042"/>
    <w:rsid w:val="00F02119"/>
    <w:rsid w:val="00F0239C"/>
    <w:rsid w:val="00F02A38"/>
    <w:rsid w:val="00F02AEE"/>
    <w:rsid w:val="00F02CDC"/>
    <w:rsid w:val="00F02F28"/>
    <w:rsid w:val="00F030A0"/>
    <w:rsid w:val="00F032EE"/>
    <w:rsid w:val="00F03880"/>
    <w:rsid w:val="00F03892"/>
    <w:rsid w:val="00F03E90"/>
    <w:rsid w:val="00F03FBB"/>
    <w:rsid w:val="00F044EC"/>
    <w:rsid w:val="00F05117"/>
    <w:rsid w:val="00F05211"/>
    <w:rsid w:val="00F05272"/>
    <w:rsid w:val="00F05715"/>
    <w:rsid w:val="00F05A72"/>
    <w:rsid w:val="00F05BD9"/>
    <w:rsid w:val="00F05DDE"/>
    <w:rsid w:val="00F0615F"/>
    <w:rsid w:val="00F06677"/>
    <w:rsid w:val="00F06C6F"/>
    <w:rsid w:val="00F071ED"/>
    <w:rsid w:val="00F0729B"/>
    <w:rsid w:val="00F073C7"/>
    <w:rsid w:val="00F07C6B"/>
    <w:rsid w:val="00F07F98"/>
    <w:rsid w:val="00F100F7"/>
    <w:rsid w:val="00F1056E"/>
    <w:rsid w:val="00F10640"/>
    <w:rsid w:val="00F10752"/>
    <w:rsid w:val="00F10773"/>
    <w:rsid w:val="00F107FA"/>
    <w:rsid w:val="00F10A7F"/>
    <w:rsid w:val="00F10B6A"/>
    <w:rsid w:val="00F11038"/>
    <w:rsid w:val="00F11193"/>
    <w:rsid w:val="00F11837"/>
    <w:rsid w:val="00F11900"/>
    <w:rsid w:val="00F11A0F"/>
    <w:rsid w:val="00F11FE9"/>
    <w:rsid w:val="00F12612"/>
    <w:rsid w:val="00F12912"/>
    <w:rsid w:val="00F12A18"/>
    <w:rsid w:val="00F12B0B"/>
    <w:rsid w:val="00F12B18"/>
    <w:rsid w:val="00F12BB9"/>
    <w:rsid w:val="00F13026"/>
    <w:rsid w:val="00F13401"/>
    <w:rsid w:val="00F13546"/>
    <w:rsid w:val="00F13A69"/>
    <w:rsid w:val="00F13FE8"/>
    <w:rsid w:val="00F14773"/>
    <w:rsid w:val="00F14789"/>
    <w:rsid w:val="00F147DC"/>
    <w:rsid w:val="00F148A4"/>
    <w:rsid w:val="00F148F8"/>
    <w:rsid w:val="00F14A3E"/>
    <w:rsid w:val="00F14C0F"/>
    <w:rsid w:val="00F14E41"/>
    <w:rsid w:val="00F14EBC"/>
    <w:rsid w:val="00F14EF6"/>
    <w:rsid w:val="00F14F29"/>
    <w:rsid w:val="00F1510B"/>
    <w:rsid w:val="00F152BE"/>
    <w:rsid w:val="00F15685"/>
    <w:rsid w:val="00F1585F"/>
    <w:rsid w:val="00F15DB2"/>
    <w:rsid w:val="00F162F4"/>
    <w:rsid w:val="00F16590"/>
    <w:rsid w:val="00F1681F"/>
    <w:rsid w:val="00F16C15"/>
    <w:rsid w:val="00F16EAF"/>
    <w:rsid w:val="00F1762E"/>
    <w:rsid w:val="00F17B01"/>
    <w:rsid w:val="00F17B9E"/>
    <w:rsid w:val="00F203BD"/>
    <w:rsid w:val="00F205EE"/>
    <w:rsid w:val="00F20BC9"/>
    <w:rsid w:val="00F20F98"/>
    <w:rsid w:val="00F218B3"/>
    <w:rsid w:val="00F21BCD"/>
    <w:rsid w:val="00F21DAB"/>
    <w:rsid w:val="00F22025"/>
    <w:rsid w:val="00F2297C"/>
    <w:rsid w:val="00F22E30"/>
    <w:rsid w:val="00F22EDB"/>
    <w:rsid w:val="00F23058"/>
    <w:rsid w:val="00F23106"/>
    <w:rsid w:val="00F232C1"/>
    <w:rsid w:val="00F2381C"/>
    <w:rsid w:val="00F23901"/>
    <w:rsid w:val="00F2392E"/>
    <w:rsid w:val="00F23960"/>
    <w:rsid w:val="00F23A82"/>
    <w:rsid w:val="00F23BC2"/>
    <w:rsid w:val="00F2444A"/>
    <w:rsid w:val="00F2460C"/>
    <w:rsid w:val="00F2475A"/>
    <w:rsid w:val="00F24B18"/>
    <w:rsid w:val="00F24E4F"/>
    <w:rsid w:val="00F258E9"/>
    <w:rsid w:val="00F25F24"/>
    <w:rsid w:val="00F263B4"/>
    <w:rsid w:val="00F26823"/>
    <w:rsid w:val="00F26943"/>
    <w:rsid w:val="00F269A0"/>
    <w:rsid w:val="00F26ADB"/>
    <w:rsid w:val="00F26B99"/>
    <w:rsid w:val="00F26DBC"/>
    <w:rsid w:val="00F27322"/>
    <w:rsid w:val="00F274F6"/>
    <w:rsid w:val="00F27662"/>
    <w:rsid w:val="00F27F01"/>
    <w:rsid w:val="00F27F31"/>
    <w:rsid w:val="00F27F6D"/>
    <w:rsid w:val="00F3043C"/>
    <w:rsid w:val="00F307F6"/>
    <w:rsid w:val="00F30985"/>
    <w:rsid w:val="00F30AF1"/>
    <w:rsid w:val="00F30DD3"/>
    <w:rsid w:val="00F30E53"/>
    <w:rsid w:val="00F311D9"/>
    <w:rsid w:val="00F313FD"/>
    <w:rsid w:val="00F31CEB"/>
    <w:rsid w:val="00F31E73"/>
    <w:rsid w:val="00F33228"/>
    <w:rsid w:val="00F33858"/>
    <w:rsid w:val="00F3435C"/>
    <w:rsid w:val="00F34396"/>
    <w:rsid w:val="00F34431"/>
    <w:rsid w:val="00F34A5B"/>
    <w:rsid w:val="00F34C08"/>
    <w:rsid w:val="00F34E16"/>
    <w:rsid w:val="00F34FC8"/>
    <w:rsid w:val="00F35292"/>
    <w:rsid w:val="00F358DF"/>
    <w:rsid w:val="00F35A19"/>
    <w:rsid w:val="00F35DC2"/>
    <w:rsid w:val="00F36574"/>
    <w:rsid w:val="00F3671A"/>
    <w:rsid w:val="00F36755"/>
    <w:rsid w:val="00F36963"/>
    <w:rsid w:val="00F36999"/>
    <w:rsid w:val="00F36F32"/>
    <w:rsid w:val="00F3747A"/>
    <w:rsid w:val="00F37A83"/>
    <w:rsid w:val="00F37B92"/>
    <w:rsid w:val="00F40767"/>
    <w:rsid w:val="00F40939"/>
    <w:rsid w:val="00F40D87"/>
    <w:rsid w:val="00F40FF2"/>
    <w:rsid w:val="00F41185"/>
    <w:rsid w:val="00F41254"/>
    <w:rsid w:val="00F416BF"/>
    <w:rsid w:val="00F41910"/>
    <w:rsid w:val="00F42192"/>
    <w:rsid w:val="00F425EC"/>
    <w:rsid w:val="00F4275E"/>
    <w:rsid w:val="00F42797"/>
    <w:rsid w:val="00F42A24"/>
    <w:rsid w:val="00F42DBF"/>
    <w:rsid w:val="00F430F9"/>
    <w:rsid w:val="00F43189"/>
    <w:rsid w:val="00F4398A"/>
    <w:rsid w:val="00F43B1B"/>
    <w:rsid w:val="00F44094"/>
    <w:rsid w:val="00F45445"/>
    <w:rsid w:val="00F454F5"/>
    <w:rsid w:val="00F456C4"/>
    <w:rsid w:val="00F45812"/>
    <w:rsid w:val="00F4609B"/>
    <w:rsid w:val="00F466E0"/>
    <w:rsid w:val="00F47348"/>
    <w:rsid w:val="00F47AB4"/>
    <w:rsid w:val="00F47B9F"/>
    <w:rsid w:val="00F47C25"/>
    <w:rsid w:val="00F47DF5"/>
    <w:rsid w:val="00F502A1"/>
    <w:rsid w:val="00F505CE"/>
    <w:rsid w:val="00F510C6"/>
    <w:rsid w:val="00F514D2"/>
    <w:rsid w:val="00F516D4"/>
    <w:rsid w:val="00F519C9"/>
    <w:rsid w:val="00F51B22"/>
    <w:rsid w:val="00F51DF9"/>
    <w:rsid w:val="00F51E4A"/>
    <w:rsid w:val="00F520B7"/>
    <w:rsid w:val="00F52184"/>
    <w:rsid w:val="00F525B0"/>
    <w:rsid w:val="00F52648"/>
    <w:rsid w:val="00F52694"/>
    <w:rsid w:val="00F52799"/>
    <w:rsid w:val="00F52CFB"/>
    <w:rsid w:val="00F535D8"/>
    <w:rsid w:val="00F53A43"/>
    <w:rsid w:val="00F53BB0"/>
    <w:rsid w:val="00F53F7E"/>
    <w:rsid w:val="00F53FCC"/>
    <w:rsid w:val="00F54755"/>
    <w:rsid w:val="00F548A5"/>
    <w:rsid w:val="00F54A94"/>
    <w:rsid w:val="00F54C83"/>
    <w:rsid w:val="00F54EEA"/>
    <w:rsid w:val="00F55670"/>
    <w:rsid w:val="00F56120"/>
    <w:rsid w:val="00F56537"/>
    <w:rsid w:val="00F566A3"/>
    <w:rsid w:val="00F56CCE"/>
    <w:rsid w:val="00F56CDB"/>
    <w:rsid w:val="00F5741A"/>
    <w:rsid w:val="00F57781"/>
    <w:rsid w:val="00F578E3"/>
    <w:rsid w:val="00F57963"/>
    <w:rsid w:val="00F60490"/>
    <w:rsid w:val="00F604EB"/>
    <w:rsid w:val="00F60529"/>
    <w:rsid w:val="00F60887"/>
    <w:rsid w:val="00F60923"/>
    <w:rsid w:val="00F60CEB"/>
    <w:rsid w:val="00F61893"/>
    <w:rsid w:val="00F61912"/>
    <w:rsid w:val="00F61B97"/>
    <w:rsid w:val="00F61E69"/>
    <w:rsid w:val="00F62019"/>
    <w:rsid w:val="00F624A9"/>
    <w:rsid w:val="00F62550"/>
    <w:rsid w:val="00F62724"/>
    <w:rsid w:val="00F62B37"/>
    <w:rsid w:val="00F63013"/>
    <w:rsid w:val="00F63060"/>
    <w:rsid w:val="00F634E9"/>
    <w:rsid w:val="00F635C4"/>
    <w:rsid w:val="00F6365A"/>
    <w:rsid w:val="00F63843"/>
    <w:rsid w:val="00F6384C"/>
    <w:rsid w:val="00F6387C"/>
    <w:rsid w:val="00F63AFA"/>
    <w:rsid w:val="00F63B4B"/>
    <w:rsid w:val="00F63EB4"/>
    <w:rsid w:val="00F64377"/>
    <w:rsid w:val="00F64754"/>
    <w:rsid w:val="00F64E3F"/>
    <w:rsid w:val="00F64F37"/>
    <w:rsid w:val="00F65990"/>
    <w:rsid w:val="00F661DA"/>
    <w:rsid w:val="00F66430"/>
    <w:rsid w:val="00F66497"/>
    <w:rsid w:val="00F669D1"/>
    <w:rsid w:val="00F669E2"/>
    <w:rsid w:val="00F66A91"/>
    <w:rsid w:val="00F66B89"/>
    <w:rsid w:val="00F6771D"/>
    <w:rsid w:val="00F67784"/>
    <w:rsid w:val="00F67941"/>
    <w:rsid w:val="00F6796C"/>
    <w:rsid w:val="00F67AD1"/>
    <w:rsid w:val="00F70167"/>
    <w:rsid w:val="00F7058B"/>
    <w:rsid w:val="00F70671"/>
    <w:rsid w:val="00F706CD"/>
    <w:rsid w:val="00F70778"/>
    <w:rsid w:val="00F70AE0"/>
    <w:rsid w:val="00F70FDD"/>
    <w:rsid w:val="00F710F9"/>
    <w:rsid w:val="00F71478"/>
    <w:rsid w:val="00F71800"/>
    <w:rsid w:val="00F7199A"/>
    <w:rsid w:val="00F7224B"/>
    <w:rsid w:val="00F7232A"/>
    <w:rsid w:val="00F724A5"/>
    <w:rsid w:val="00F72512"/>
    <w:rsid w:val="00F7257C"/>
    <w:rsid w:val="00F7259A"/>
    <w:rsid w:val="00F72922"/>
    <w:rsid w:val="00F73229"/>
    <w:rsid w:val="00F73383"/>
    <w:rsid w:val="00F733BE"/>
    <w:rsid w:val="00F73400"/>
    <w:rsid w:val="00F7343C"/>
    <w:rsid w:val="00F73769"/>
    <w:rsid w:val="00F73917"/>
    <w:rsid w:val="00F743B5"/>
    <w:rsid w:val="00F74ABF"/>
    <w:rsid w:val="00F74B86"/>
    <w:rsid w:val="00F753D9"/>
    <w:rsid w:val="00F758F5"/>
    <w:rsid w:val="00F75DDA"/>
    <w:rsid w:val="00F75DFB"/>
    <w:rsid w:val="00F75E7C"/>
    <w:rsid w:val="00F7601C"/>
    <w:rsid w:val="00F76412"/>
    <w:rsid w:val="00F76630"/>
    <w:rsid w:val="00F7697C"/>
    <w:rsid w:val="00F76BFC"/>
    <w:rsid w:val="00F775FF"/>
    <w:rsid w:val="00F77A2B"/>
    <w:rsid w:val="00F77C7E"/>
    <w:rsid w:val="00F80B8B"/>
    <w:rsid w:val="00F81304"/>
    <w:rsid w:val="00F8144A"/>
    <w:rsid w:val="00F81605"/>
    <w:rsid w:val="00F81E4B"/>
    <w:rsid w:val="00F82C58"/>
    <w:rsid w:val="00F8316B"/>
    <w:rsid w:val="00F83472"/>
    <w:rsid w:val="00F83574"/>
    <w:rsid w:val="00F8388A"/>
    <w:rsid w:val="00F83B3F"/>
    <w:rsid w:val="00F83C3B"/>
    <w:rsid w:val="00F83E12"/>
    <w:rsid w:val="00F84262"/>
    <w:rsid w:val="00F843D7"/>
    <w:rsid w:val="00F84646"/>
    <w:rsid w:val="00F84B76"/>
    <w:rsid w:val="00F84C24"/>
    <w:rsid w:val="00F84C87"/>
    <w:rsid w:val="00F8508F"/>
    <w:rsid w:val="00F8589B"/>
    <w:rsid w:val="00F85C2A"/>
    <w:rsid w:val="00F863C2"/>
    <w:rsid w:val="00F866BB"/>
    <w:rsid w:val="00F86B2F"/>
    <w:rsid w:val="00F86E6C"/>
    <w:rsid w:val="00F87829"/>
    <w:rsid w:val="00F87938"/>
    <w:rsid w:val="00F87B44"/>
    <w:rsid w:val="00F87BE6"/>
    <w:rsid w:val="00F87DCB"/>
    <w:rsid w:val="00F902F6"/>
    <w:rsid w:val="00F9031D"/>
    <w:rsid w:val="00F90389"/>
    <w:rsid w:val="00F9100B"/>
    <w:rsid w:val="00F91101"/>
    <w:rsid w:val="00F9162B"/>
    <w:rsid w:val="00F91776"/>
    <w:rsid w:val="00F91DD2"/>
    <w:rsid w:val="00F9243E"/>
    <w:rsid w:val="00F92FE7"/>
    <w:rsid w:val="00F937AA"/>
    <w:rsid w:val="00F94028"/>
    <w:rsid w:val="00F94258"/>
    <w:rsid w:val="00F94565"/>
    <w:rsid w:val="00F94927"/>
    <w:rsid w:val="00F94A24"/>
    <w:rsid w:val="00F94BEF"/>
    <w:rsid w:val="00F95718"/>
    <w:rsid w:val="00F95BA5"/>
    <w:rsid w:val="00F95DD1"/>
    <w:rsid w:val="00F95E9F"/>
    <w:rsid w:val="00F96421"/>
    <w:rsid w:val="00F968ED"/>
    <w:rsid w:val="00F96989"/>
    <w:rsid w:val="00F96D8D"/>
    <w:rsid w:val="00F96EA0"/>
    <w:rsid w:val="00F971A9"/>
    <w:rsid w:val="00F971C5"/>
    <w:rsid w:val="00F973A7"/>
    <w:rsid w:val="00F973C3"/>
    <w:rsid w:val="00F97471"/>
    <w:rsid w:val="00F97B59"/>
    <w:rsid w:val="00F97D53"/>
    <w:rsid w:val="00FA08C9"/>
    <w:rsid w:val="00FA0B93"/>
    <w:rsid w:val="00FA0E08"/>
    <w:rsid w:val="00FA1046"/>
    <w:rsid w:val="00FA14B5"/>
    <w:rsid w:val="00FA1841"/>
    <w:rsid w:val="00FA1977"/>
    <w:rsid w:val="00FA19B8"/>
    <w:rsid w:val="00FA1AE5"/>
    <w:rsid w:val="00FA1DC3"/>
    <w:rsid w:val="00FA2671"/>
    <w:rsid w:val="00FA26F5"/>
    <w:rsid w:val="00FA2799"/>
    <w:rsid w:val="00FA2888"/>
    <w:rsid w:val="00FA2C58"/>
    <w:rsid w:val="00FA2E22"/>
    <w:rsid w:val="00FA30FB"/>
    <w:rsid w:val="00FA31C3"/>
    <w:rsid w:val="00FA3273"/>
    <w:rsid w:val="00FA3669"/>
    <w:rsid w:val="00FA3B58"/>
    <w:rsid w:val="00FA3C47"/>
    <w:rsid w:val="00FA3EAE"/>
    <w:rsid w:val="00FA40FC"/>
    <w:rsid w:val="00FA428C"/>
    <w:rsid w:val="00FA45AC"/>
    <w:rsid w:val="00FA4733"/>
    <w:rsid w:val="00FA4D10"/>
    <w:rsid w:val="00FA5088"/>
    <w:rsid w:val="00FA512D"/>
    <w:rsid w:val="00FA527F"/>
    <w:rsid w:val="00FA5753"/>
    <w:rsid w:val="00FA5CB0"/>
    <w:rsid w:val="00FA5F4F"/>
    <w:rsid w:val="00FA6713"/>
    <w:rsid w:val="00FA6806"/>
    <w:rsid w:val="00FA6AF7"/>
    <w:rsid w:val="00FA6EFD"/>
    <w:rsid w:val="00FA6F67"/>
    <w:rsid w:val="00FA6FFE"/>
    <w:rsid w:val="00FA70A0"/>
    <w:rsid w:val="00FA734D"/>
    <w:rsid w:val="00FA7422"/>
    <w:rsid w:val="00FA7A9F"/>
    <w:rsid w:val="00FB005B"/>
    <w:rsid w:val="00FB0C97"/>
    <w:rsid w:val="00FB1008"/>
    <w:rsid w:val="00FB185E"/>
    <w:rsid w:val="00FB1F4F"/>
    <w:rsid w:val="00FB2104"/>
    <w:rsid w:val="00FB243E"/>
    <w:rsid w:val="00FB28EF"/>
    <w:rsid w:val="00FB2921"/>
    <w:rsid w:val="00FB3369"/>
    <w:rsid w:val="00FB339B"/>
    <w:rsid w:val="00FB3616"/>
    <w:rsid w:val="00FB371D"/>
    <w:rsid w:val="00FB38B4"/>
    <w:rsid w:val="00FB3B57"/>
    <w:rsid w:val="00FB43E6"/>
    <w:rsid w:val="00FB5B4F"/>
    <w:rsid w:val="00FB5E44"/>
    <w:rsid w:val="00FB693C"/>
    <w:rsid w:val="00FB6DC9"/>
    <w:rsid w:val="00FB74CA"/>
    <w:rsid w:val="00FB79CC"/>
    <w:rsid w:val="00FB7D57"/>
    <w:rsid w:val="00FB7E3F"/>
    <w:rsid w:val="00FC0673"/>
    <w:rsid w:val="00FC09F6"/>
    <w:rsid w:val="00FC0C16"/>
    <w:rsid w:val="00FC13C3"/>
    <w:rsid w:val="00FC1756"/>
    <w:rsid w:val="00FC18C7"/>
    <w:rsid w:val="00FC1FD4"/>
    <w:rsid w:val="00FC2C11"/>
    <w:rsid w:val="00FC39D8"/>
    <w:rsid w:val="00FC3C43"/>
    <w:rsid w:val="00FC3DD7"/>
    <w:rsid w:val="00FC40C2"/>
    <w:rsid w:val="00FC43C9"/>
    <w:rsid w:val="00FC4A02"/>
    <w:rsid w:val="00FC4C80"/>
    <w:rsid w:val="00FC4E2B"/>
    <w:rsid w:val="00FC53D4"/>
    <w:rsid w:val="00FC594C"/>
    <w:rsid w:val="00FC61A8"/>
    <w:rsid w:val="00FC67A6"/>
    <w:rsid w:val="00FC6E4E"/>
    <w:rsid w:val="00FC6F42"/>
    <w:rsid w:val="00FC6FD7"/>
    <w:rsid w:val="00FC735D"/>
    <w:rsid w:val="00FC758E"/>
    <w:rsid w:val="00FC75DF"/>
    <w:rsid w:val="00FD00B0"/>
    <w:rsid w:val="00FD01A3"/>
    <w:rsid w:val="00FD0BAC"/>
    <w:rsid w:val="00FD1027"/>
    <w:rsid w:val="00FD112E"/>
    <w:rsid w:val="00FD1218"/>
    <w:rsid w:val="00FD124F"/>
    <w:rsid w:val="00FD1266"/>
    <w:rsid w:val="00FD1642"/>
    <w:rsid w:val="00FD1882"/>
    <w:rsid w:val="00FD1A31"/>
    <w:rsid w:val="00FD20A1"/>
    <w:rsid w:val="00FD2378"/>
    <w:rsid w:val="00FD260F"/>
    <w:rsid w:val="00FD2B6C"/>
    <w:rsid w:val="00FD2BF9"/>
    <w:rsid w:val="00FD3704"/>
    <w:rsid w:val="00FD3A74"/>
    <w:rsid w:val="00FD3A8B"/>
    <w:rsid w:val="00FD3C01"/>
    <w:rsid w:val="00FD43B4"/>
    <w:rsid w:val="00FD4CFA"/>
    <w:rsid w:val="00FD5121"/>
    <w:rsid w:val="00FD588D"/>
    <w:rsid w:val="00FD5AE8"/>
    <w:rsid w:val="00FD5BED"/>
    <w:rsid w:val="00FD5E24"/>
    <w:rsid w:val="00FD61DF"/>
    <w:rsid w:val="00FD6457"/>
    <w:rsid w:val="00FD6660"/>
    <w:rsid w:val="00FD6D6C"/>
    <w:rsid w:val="00FD6E43"/>
    <w:rsid w:val="00FD79AA"/>
    <w:rsid w:val="00FD7AAC"/>
    <w:rsid w:val="00FD7D51"/>
    <w:rsid w:val="00FE013D"/>
    <w:rsid w:val="00FE10FC"/>
    <w:rsid w:val="00FE1246"/>
    <w:rsid w:val="00FE13FD"/>
    <w:rsid w:val="00FE16DF"/>
    <w:rsid w:val="00FE17EB"/>
    <w:rsid w:val="00FE19D3"/>
    <w:rsid w:val="00FE1A5A"/>
    <w:rsid w:val="00FE1D23"/>
    <w:rsid w:val="00FE1E97"/>
    <w:rsid w:val="00FE219B"/>
    <w:rsid w:val="00FE2C21"/>
    <w:rsid w:val="00FE34C4"/>
    <w:rsid w:val="00FE36C3"/>
    <w:rsid w:val="00FE37F2"/>
    <w:rsid w:val="00FE39A2"/>
    <w:rsid w:val="00FE3E04"/>
    <w:rsid w:val="00FE4AD7"/>
    <w:rsid w:val="00FE4D92"/>
    <w:rsid w:val="00FE4FC3"/>
    <w:rsid w:val="00FE50CD"/>
    <w:rsid w:val="00FE5336"/>
    <w:rsid w:val="00FE54E8"/>
    <w:rsid w:val="00FE561B"/>
    <w:rsid w:val="00FE56F2"/>
    <w:rsid w:val="00FE5B96"/>
    <w:rsid w:val="00FE5D92"/>
    <w:rsid w:val="00FE6220"/>
    <w:rsid w:val="00FE6467"/>
    <w:rsid w:val="00FE67A4"/>
    <w:rsid w:val="00FE67DA"/>
    <w:rsid w:val="00FE6B67"/>
    <w:rsid w:val="00FE7527"/>
    <w:rsid w:val="00FE7626"/>
    <w:rsid w:val="00FE7670"/>
    <w:rsid w:val="00FE7694"/>
    <w:rsid w:val="00FE7754"/>
    <w:rsid w:val="00FE78DB"/>
    <w:rsid w:val="00FE7D59"/>
    <w:rsid w:val="00FF0032"/>
    <w:rsid w:val="00FF0058"/>
    <w:rsid w:val="00FF0318"/>
    <w:rsid w:val="00FF03BF"/>
    <w:rsid w:val="00FF0745"/>
    <w:rsid w:val="00FF0C25"/>
    <w:rsid w:val="00FF0F6C"/>
    <w:rsid w:val="00FF110C"/>
    <w:rsid w:val="00FF11F6"/>
    <w:rsid w:val="00FF16BE"/>
    <w:rsid w:val="00FF1B6C"/>
    <w:rsid w:val="00FF1F24"/>
    <w:rsid w:val="00FF2338"/>
    <w:rsid w:val="00FF2524"/>
    <w:rsid w:val="00FF26D7"/>
    <w:rsid w:val="00FF2970"/>
    <w:rsid w:val="00FF2C00"/>
    <w:rsid w:val="00FF3158"/>
    <w:rsid w:val="00FF368A"/>
    <w:rsid w:val="00FF3A06"/>
    <w:rsid w:val="00FF3B28"/>
    <w:rsid w:val="00FF3D59"/>
    <w:rsid w:val="00FF45CC"/>
    <w:rsid w:val="00FF4643"/>
    <w:rsid w:val="00FF46D2"/>
    <w:rsid w:val="00FF4CED"/>
    <w:rsid w:val="00FF502A"/>
    <w:rsid w:val="00FF54BB"/>
    <w:rsid w:val="00FF5624"/>
    <w:rsid w:val="00FF58E6"/>
    <w:rsid w:val="00FF5F0E"/>
    <w:rsid w:val="00FF600A"/>
    <w:rsid w:val="00FF613F"/>
    <w:rsid w:val="00FF6519"/>
    <w:rsid w:val="00FF6A5B"/>
    <w:rsid w:val="00FF7725"/>
    <w:rsid w:val="00FF7921"/>
    <w:rsid w:val="00FF79FF"/>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1C624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212121"/>
        <w:sz w:val="26"/>
        <w:szCs w:val="26"/>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2164"/>
    <w:pPr>
      <w:spacing w:after="100" w:line="400" w:lineRule="exact"/>
      <w:jc w:val="both"/>
    </w:pPr>
    <w:rPr>
      <w:rFonts w:ascii="Century Schoolbook" w:hAnsi="Century Schoolbook"/>
      <w:color w:val="auto"/>
      <w:sz w:val="27"/>
      <w:szCs w:val="20"/>
    </w:rPr>
  </w:style>
  <w:style w:type="paragraph" w:styleId="Heading1">
    <w:name w:val="heading 1"/>
    <w:basedOn w:val="Normal"/>
    <w:next w:val="Normal"/>
    <w:qFormat/>
    <w:rsid w:val="00302164"/>
    <w:pPr>
      <w:keepNext/>
      <w:spacing w:before="140" w:line="240" w:lineRule="atLeast"/>
      <w:jc w:val="center"/>
      <w:outlineLvl w:val="0"/>
    </w:pPr>
    <w:rPr>
      <w:b/>
      <w:smallCaps/>
    </w:rPr>
  </w:style>
  <w:style w:type="paragraph" w:styleId="Heading2">
    <w:name w:val="heading 2"/>
    <w:basedOn w:val="Normal"/>
    <w:next w:val="Normal"/>
    <w:qFormat/>
    <w:rsid w:val="00302164"/>
    <w:pPr>
      <w:keepNext/>
      <w:tabs>
        <w:tab w:val="left" w:pos="1152"/>
      </w:tabs>
      <w:spacing w:before="140" w:line="240" w:lineRule="atLeast"/>
      <w:ind w:left="1152" w:hanging="432"/>
      <w:jc w:val="left"/>
      <w:outlineLvl w:val="1"/>
    </w:pPr>
    <w:rPr>
      <w:b/>
    </w:rPr>
  </w:style>
  <w:style w:type="paragraph" w:styleId="Heading3">
    <w:name w:val="heading 3"/>
    <w:basedOn w:val="Normal"/>
    <w:next w:val="NormalIndent"/>
    <w:qFormat/>
    <w:rsid w:val="00302164"/>
    <w:pPr>
      <w:keepNext/>
      <w:tabs>
        <w:tab w:val="left" w:pos="1584"/>
      </w:tabs>
      <w:spacing w:before="140" w:line="240" w:lineRule="atLeast"/>
      <w:ind w:left="1584" w:hanging="432"/>
      <w:jc w:val="left"/>
      <w:outlineLvl w:val="2"/>
    </w:pPr>
    <w:rPr>
      <w:i/>
    </w:rPr>
  </w:style>
  <w:style w:type="paragraph" w:styleId="Heading4">
    <w:name w:val="heading 4"/>
    <w:basedOn w:val="Normal"/>
    <w:rsid w:val="00302164"/>
    <w:pPr>
      <w:keepNext/>
      <w:tabs>
        <w:tab w:val="left" w:pos="2016"/>
      </w:tabs>
      <w:spacing w:before="140" w:line="240" w:lineRule="atLeast"/>
      <w:ind w:left="2016" w:hanging="432"/>
      <w:jc w:val="left"/>
      <w:outlineLvl w:val="3"/>
    </w:pPr>
    <w:rPr>
      <w:i/>
    </w:rPr>
  </w:style>
  <w:style w:type="paragraph" w:styleId="Heading5">
    <w:name w:val="heading 5"/>
    <w:basedOn w:val="Normal"/>
    <w:rsid w:val="00302164"/>
    <w:pPr>
      <w:keepNext/>
      <w:tabs>
        <w:tab w:val="left" w:pos="2448"/>
      </w:tabs>
      <w:spacing w:before="140" w:line="240" w:lineRule="atLeast"/>
      <w:ind w:left="2448" w:hanging="432"/>
      <w:jc w:val="left"/>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rsid w:val="00302164"/>
    <w:pPr>
      <w:ind w:left="720"/>
    </w:pPr>
  </w:style>
  <w:style w:type="paragraph" w:styleId="Footer">
    <w:name w:val="footer"/>
    <w:basedOn w:val="Normal"/>
    <w:link w:val="FooterChar"/>
    <w:uiPriority w:val="99"/>
    <w:qFormat/>
    <w:rsid w:val="00302164"/>
    <w:pPr>
      <w:tabs>
        <w:tab w:val="center" w:pos="3960"/>
        <w:tab w:val="right" w:pos="10080"/>
      </w:tabs>
      <w:spacing w:after="0" w:line="240" w:lineRule="auto"/>
      <w:jc w:val="center"/>
    </w:pPr>
    <w:rPr>
      <w:sz w:val="22"/>
    </w:rPr>
  </w:style>
  <w:style w:type="paragraph" w:styleId="Header">
    <w:name w:val="header"/>
    <w:basedOn w:val="Normal"/>
    <w:link w:val="HeaderChar"/>
    <w:qFormat/>
    <w:rsid w:val="00302164"/>
    <w:pPr>
      <w:tabs>
        <w:tab w:val="center" w:pos="3960"/>
        <w:tab w:val="right" w:pos="10080"/>
      </w:tabs>
      <w:spacing w:after="80" w:line="240" w:lineRule="auto"/>
      <w:jc w:val="center"/>
    </w:pPr>
    <w:rPr>
      <w:sz w:val="22"/>
    </w:rPr>
  </w:style>
  <w:style w:type="character" w:styleId="FootnoteReference">
    <w:name w:val="footnote reference"/>
    <w:basedOn w:val="DefaultParagraphFont"/>
    <w:rsid w:val="00302164"/>
    <w:rPr>
      <w:rFonts w:ascii="Century Schoolbook" w:hAnsi="Century Schoolbook"/>
      <w:b/>
      <w:i w:val="0"/>
      <w:position w:val="4"/>
      <w:sz w:val="27"/>
      <w:vertAlign w:val="superscript"/>
    </w:rPr>
  </w:style>
  <w:style w:type="paragraph" w:styleId="FootnoteText">
    <w:name w:val="footnote text"/>
    <w:basedOn w:val="Normal"/>
    <w:link w:val="FootnoteTextChar"/>
    <w:rsid w:val="00302164"/>
    <w:pPr>
      <w:spacing w:line="300" w:lineRule="exact"/>
    </w:pPr>
  </w:style>
  <w:style w:type="paragraph" w:customStyle="1" w:styleId="Title1">
    <w:name w:val="Title1"/>
    <w:basedOn w:val="Normal"/>
    <w:rsid w:val="00302164"/>
    <w:pPr>
      <w:tabs>
        <w:tab w:val="left" w:pos="5760"/>
        <w:tab w:val="left" w:pos="6480"/>
      </w:tabs>
      <w:spacing w:line="240" w:lineRule="atLeast"/>
    </w:pPr>
  </w:style>
  <w:style w:type="paragraph" w:customStyle="1" w:styleId="Recommend">
    <w:name w:val="Recommend"/>
    <w:basedOn w:val="Normal"/>
    <w:rsid w:val="00302164"/>
  </w:style>
  <w:style w:type="paragraph" w:customStyle="1" w:styleId="Summary">
    <w:name w:val="Summary"/>
    <w:basedOn w:val="Normal"/>
    <w:rsid w:val="00302164"/>
    <w:pPr>
      <w:ind w:left="2160" w:hanging="2160"/>
    </w:pPr>
  </w:style>
  <w:style w:type="paragraph" w:customStyle="1" w:styleId="Text">
    <w:name w:val="Text"/>
    <w:basedOn w:val="Normal"/>
    <w:rsid w:val="00302164"/>
    <w:pPr>
      <w:tabs>
        <w:tab w:val="left" w:pos="720"/>
        <w:tab w:val="left" w:pos="1440"/>
        <w:tab w:val="left" w:pos="2160"/>
        <w:tab w:val="center" w:pos="4320"/>
      </w:tabs>
      <w:spacing w:line="480" w:lineRule="atLeast"/>
      <w:ind w:firstLine="540"/>
    </w:pPr>
  </w:style>
  <w:style w:type="paragraph" w:styleId="Date">
    <w:name w:val="Date"/>
    <w:basedOn w:val="Normal"/>
    <w:semiHidden/>
    <w:rsid w:val="00302164"/>
    <w:pPr>
      <w:jc w:val="right"/>
    </w:pPr>
  </w:style>
  <w:style w:type="character" w:styleId="PageNumber">
    <w:name w:val="page number"/>
    <w:basedOn w:val="DefaultParagraphFont"/>
    <w:semiHidden/>
    <w:rsid w:val="00302164"/>
  </w:style>
  <w:style w:type="paragraph" w:customStyle="1" w:styleId="subject">
    <w:name w:val="subject"/>
    <w:basedOn w:val="Normal"/>
    <w:rsid w:val="00302164"/>
    <w:pPr>
      <w:tabs>
        <w:tab w:val="left" w:pos="1008"/>
      </w:tabs>
      <w:ind w:left="990" w:hanging="990"/>
    </w:pPr>
    <w:rPr>
      <w:b/>
    </w:rPr>
  </w:style>
  <w:style w:type="paragraph" w:customStyle="1" w:styleId="Titles">
    <w:name w:val="Titles"/>
    <w:basedOn w:val="Normal"/>
    <w:rsid w:val="00302164"/>
    <w:pPr>
      <w:tabs>
        <w:tab w:val="left" w:pos="2160"/>
      </w:tabs>
      <w:ind w:left="2160" w:hanging="2160"/>
    </w:pPr>
    <w:rPr>
      <w:b/>
    </w:rPr>
  </w:style>
  <w:style w:type="paragraph" w:styleId="TOAHeading">
    <w:name w:val="toa heading"/>
    <w:basedOn w:val="Normal"/>
    <w:next w:val="Normal"/>
    <w:semiHidden/>
    <w:rsid w:val="00302164"/>
    <w:pPr>
      <w:spacing w:before="120"/>
    </w:pPr>
    <w:rPr>
      <w:b/>
    </w:rPr>
  </w:style>
  <w:style w:type="paragraph" w:styleId="TOC1">
    <w:name w:val="toc 1"/>
    <w:basedOn w:val="Normal"/>
    <w:next w:val="Normal"/>
    <w:autoRedefine/>
    <w:semiHidden/>
    <w:rsid w:val="00302164"/>
  </w:style>
  <w:style w:type="paragraph" w:styleId="TOC2">
    <w:name w:val="toc 2"/>
    <w:basedOn w:val="Normal"/>
    <w:next w:val="Normal"/>
    <w:autoRedefine/>
    <w:semiHidden/>
    <w:rsid w:val="00302164"/>
    <w:pPr>
      <w:ind w:left="259"/>
    </w:pPr>
  </w:style>
  <w:style w:type="paragraph" w:styleId="TOC3">
    <w:name w:val="toc 3"/>
    <w:basedOn w:val="Normal"/>
    <w:next w:val="Normal"/>
    <w:autoRedefine/>
    <w:semiHidden/>
    <w:rsid w:val="00302164"/>
    <w:pPr>
      <w:ind w:left="520"/>
    </w:pPr>
  </w:style>
  <w:style w:type="paragraph" w:styleId="TOC4">
    <w:name w:val="toc 4"/>
    <w:basedOn w:val="Normal"/>
    <w:next w:val="Normal"/>
    <w:autoRedefine/>
    <w:semiHidden/>
    <w:rsid w:val="00302164"/>
    <w:pPr>
      <w:ind w:left="780"/>
    </w:pPr>
  </w:style>
  <w:style w:type="paragraph" w:styleId="TOC5">
    <w:name w:val="toc 5"/>
    <w:basedOn w:val="Normal"/>
    <w:next w:val="Normal"/>
    <w:autoRedefine/>
    <w:semiHidden/>
    <w:rsid w:val="00302164"/>
    <w:pPr>
      <w:ind w:left="1040"/>
    </w:pPr>
  </w:style>
  <w:style w:type="paragraph" w:styleId="TOC6">
    <w:name w:val="toc 6"/>
    <w:basedOn w:val="Normal"/>
    <w:next w:val="Normal"/>
    <w:autoRedefine/>
    <w:semiHidden/>
    <w:rsid w:val="00302164"/>
    <w:pPr>
      <w:ind w:left="1300"/>
    </w:pPr>
  </w:style>
  <w:style w:type="paragraph" w:styleId="TOC7">
    <w:name w:val="toc 7"/>
    <w:basedOn w:val="Normal"/>
    <w:next w:val="Normal"/>
    <w:autoRedefine/>
    <w:semiHidden/>
    <w:rsid w:val="00302164"/>
    <w:pPr>
      <w:ind w:left="1560"/>
    </w:pPr>
  </w:style>
  <w:style w:type="paragraph" w:styleId="TOC8">
    <w:name w:val="toc 8"/>
    <w:basedOn w:val="Normal"/>
    <w:next w:val="Normal"/>
    <w:autoRedefine/>
    <w:semiHidden/>
    <w:rsid w:val="00302164"/>
    <w:pPr>
      <w:ind w:left="1820"/>
    </w:pPr>
  </w:style>
  <w:style w:type="paragraph" w:styleId="TOC9">
    <w:name w:val="toc 9"/>
    <w:basedOn w:val="Normal"/>
    <w:next w:val="Normal"/>
    <w:autoRedefine/>
    <w:semiHidden/>
    <w:rsid w:val="00302164"/>
    <w:pPr>
      <w:ind w:left="2080"/>
    </w:pPr>
  </w:style>
  <w:style w:type="paragraph" w:customStyle="1" w:styleId="Contents">
    <w:name w:val="Contents"/>
    <w:basedOn w:val="Normal"/>
    <w:rsid w:val="00302164"/>
    <w:pPr>
      <w:jc w:val="center"/>
    </w:pPr>
    <w:rPr>
      <w:b/>
      <w:spacing w:val="100"/>
    </w:rPr>
  </w:style>
  <w:style w:type="paragraph" w:styleId="BalloonText">
    <w:name w:val="Balloon Text"/>
    <w:basedOn w:val="Normal"/>
    <w:link w:val="BalloonTextChar"/>
    <w:uiPriority w:val="99"/>
    <w:semiHidden/>
    <w:unhideWhenUsed/>
    <w:rsid w:val="008E0FFB"/>
    <w:rPr>
      <w:color w:val="212121"/>
      <w:sz w:val="18"/>
      <w:szCs w:val="18"/>
    </w:rPr>
  </w:style>
  <w:style w:type="character" w:customStyle="1" w:styleId="BalloonTextChar">
    <w:name w:val="Balloon Text Char"/>
    <w:basedOn w:val="DefaultParagraphFont"/>
    <w:link w:val="BalloonText"/>
    <w:uiPriority w:val="99"/>
    <w:semiHidden/>
    <w:rsid w:val="008E0FFB"/>
    <w:rPr>
      <w:sz w:val="18"/>
      <w:szCs w:val="18"/>
    </w:rPr>
  </w:style>
  <w:style w:type="paragraph" w:styleId="NormalWeb">
    <w:name w:val="Normal (Web)"/>
    <w:basedOn w:val="Normal"/>
    <w:uiPriority w:val="99"/>
    <w:unhideWhenUsed/>
    <w:rsid w:val="000D79B2"/>
    <w:pPr>
      <w:spacing w:before="100" w:beforeAutospacing="1" w:afterAutospacing="1"/>
    </w:pPr>
    <w:rPr>
      <w:color w:val="212121"/>
      <w:szCs w:val="26"/>
    </w:rPr>
  </w:style>
  <w:style w:type="character" w:styleId="Hyperlink">
    <w:name w:val="Hyperlink"/>
    <w:basedOn w:val="DefaultParagraphFont"/>
    <w:uiPriority w:val="99"/>
    <w:unhideWhenUsed/>
    <w:rsid w:val="000A0044"/>
    <w:rPr>
      <w:color w:val="0000FF"/>
      <w:u w:val="single"/>
    </w:rPr>
  </w:style>
  <w:style w:type="character" w:customStyle="1" w:styleId="apple-converted-space">
    <w:name w:val="apple-converted-space"/>
    <w:basedOn w:val="DefaultParagraphFont"/>
    <w:rsid w:val="00005F2E"/>
  </w:style>
  <w:style w:type="character" w:styleId="CommentReference">
    <w:name w:val="annotation reference"/>
    <w:basedOn w:val="DefaultParagraphFont"/>
    <w:uiPriority w:val="99"/>
    <w:semiHidden/>
    <w:unhideWhenUsed/>
    <w:rsid w:val="001D41BF"/>
    <w:rPr>
      <w:sz w:val="16"/>
      <w:szCs w:val="16"/>
    </w:rPr>
  </w:style>
  <w:style w:type="paragraph" w:styleId="CommentText">
    <w:name w:val="annotation text"/>
    <w:basedOn w:val="Normal"/>
    <w:link w:val="CommentTextChar"/>
    <w:uiPriority w:val="99"/>
    <w:unhideWhenUsed/>
    <w:rsid w:val="001D41BF"/>
    <w:rPr>
      <w:sz w:val="20"/>
    </w:rPr>
  </w:style>
  <w:style w:type="character" w:customStyle="1" w:styleId="CommentTextChar">
    <w:name w:val="Comment Text Char"/>
    <w:basedOn w:val="DefaultParagraphFont"/>
    <w:link w:val="CommentText"/>
    <w:uiPriority w:val="99"/>
    <w:rsid w:val="001D41BF"/>
    <w:rPr>
      <w:color w:val="auto"/>
      <w:sz w:val="20"/>
      <w:szCs w:val="20"/>
      <w:lang w:eastAsia="zh-CN"/>
    </w:rPr>
  </w:style>
  <w:style w:type="paragraph" w:styleId="CommentSubject">
    <w:name w:val="annotation subject"/>
    <w:basedOn w:val="CommentText"/>
    <w:next w:val="CommentText"/>
    <w:link w:val="CommentSubjectChar"/>
    <w:uiPriority w:val="99"/>
    <w:semiHidden/>
    <w:unhideWhenUsed/>
    <w:rsid w:val="001D41BF"/>
    <w:rPr>
      <w:b/>
      <w:bCs/>
    </w:rPr>
  </w:style>
  <w:style w:type="character" w:customStyle="1" w:styleId="CommentSubjectChar">
    <w:name w:val="Comment Subject Char"/>
    <w:basedOn w:val="CommentTextChar"/>
    <w:link w:val="CommentSubject"/>
    <w:uiPriority w:val="99"/>
    <w:semiHidden/>
    <w:rsid w:val="001D41BF"/>
    <w:rPr>
      <w:b/>
      <w:bCs/>
      <w:color w:val="auto"/>
      <w:sz w:val="20"/>
      <w:szCs w:val="20"/>
      <w:lang w:eastAsia="zh-CN"/>
    </w:rPr>
  </w:style>
  <w:style w:type="paragraph" w:styleId="Revision">
    <w:name w:val="Revision"/>
    <w:hidden/>
    <w:uiPriority w:val="99"/>
    <w:semiHidden/>
    <w:rsid w:val="004566A4"/>
    <w:rPr>
      <w:color w:val="auto"/>
      <w:sz w:val="24"/>
      <w:szCs w:val="24"/>
      <w:lang w:eastAsia="zh-CN"/>
    </w:rPr>
  </w:style>
  <w:style w:type="character" w:customStyle="1" w:styleId="FootnoteTextChar">
    <w:name w:val="Footnote Text Char"/>
    <w:basedOn w:val="DefaultParagraphFont"/>
    <w:link w:val="FootnoteText"/>
    <w:rsid w:val="000C0F2C"/>
    <w:rPr>
      <w:rFonts w:ascii="Century Schoolbook" w:hAnsi="Century Schoolbook"/>
      <w:color w:val="auto"/>
      <w:sz w:val="27"/>
      <w:szCs w:val="20"/>
    </w:rPr>
  </w:style>
  <w:style w:type="character" w:styleId="UnresolvedMention">
    <w:name w:val="Unresolved Mention"/>
    <w:basedOn w:val="DefaultParagraphFont"/>
    <w:uiPriority w:val="99"/>
    <w:semiHidden/>
    <w:unhideWhenUsed/>
    <w:rsid w:val="00565C6F"/>
    <w:rPr>
      <w:color w:val="605E5C"/>
      <w:shd w:val="clear" w:color="auto" w:fill="E1DFDD"/>
    </w:rPr>
  </w:style>
  <w:style w:type="character" w:styleId="FollowedHyperlink">
    <w:name w:val="FollowedHyperlink"/>
    <w:basedOn w:val="DefaultParagraphFont"/>
    <w:uiPriority w:val="99"/>
    <w:semiHidden/>
    <w:unhideWhenUsed/>
    <w:rsid w:val="00565C6F"/>
    <w:rPr>
      <w:color w:val="800080" w:themeColor="followedHyperlink"/>
      <w:u w:val="single"/>
    </w:rPr>
  </w:style>
  <w:style w:type="paragraph" w:styleId="ListParagraph">
    <w:name w:val="List Paragraph"/>
    <w:basedOn w:val="Normal"/>
    <w:uiPriority w:val="34"/>
    <w:qFormat/>
    <w:rsid w:val="00733968"/>
    <w:pPr>
      <w:ind w:left="720"/>
      <w:contextualSpacing/>
    </w:pPr>
  </w:style>
  <w:style w:type="character" w:customStyle="1" w:styleId="cohl">
    <w:name w:val="co_hl"/>
    <w:basedOn w:val="DefaultParagraphFont"/>
    <w:rsid w:val="00B3540F"/>
  </w:style>
  <w:style w:type="character" w:styleId="Emphasis">
    <w:name w:val="Emphasis"/>
    <w:basedOn w:val="DefaultParagraphFont"/>
    <w:uiPriority w:val="20"/>
    <w:qFormat/>
    <w:rsid w:val="00B71322"/>
    <w:rPr>
      <w:i/>
      <w:iCs/>
    </w:rPr>
  </w:style>
  <w:style w:type="character" w:customStyle="1" w:styleId="FooterChar">
    <w:name w:val="Footer Char"/>
    <w:basedOn w:val="DefaultParagraphFont"/>
    <w:link w:val="Footer"/>
    <w:uiPriority w:val="99"/>
    <w:rsid w:val="003506EA"/>
    <w:rPr>
      <w:rFonts w:ascii="Century Schoolbook" w:hAnsi="Century Schoolbook"/>
      <w:color w:val="auto"/>
      <w:sz w:val="22"/>
      <w:szCs w:val="20"/>
    </w:rPr>
  </w:style>
  <w:style w:type="character" w:customStyle="1" w:styleId="costarpage">
    <w:name w:val="co_starpage"/>
    <w:basedOn w:val="DefaultParagraphFont"/>
    <w:rsid w:val="00412A6B"/>
  </w:style>
  <w:style w:type="paragraph" w:styleId="BodyText">
    <w:name w:val="Body Text"/>
    <w:basedOn w:val="Normal"/>
    <w:link w:val="BodyTextChar"/>
    <w:qFormat/>
    <w:rsid w:val="00302164"/>
  </w:style>
  <w:style w:type="character" w:customStyle="1" w:styleId="BodyTextChar">
    <w:name w:val="Body Text Char"/>
    <w:basedOn w:val="DefaultParagraphFont"/>
    <w:link w:val="BodyText"/>
    <w:rsid w:val="00302164"/>
    <w:rPr>
      <w:rFonts w:ascii="Century Schoolbook" w:hAnsi="Century Schoolbook"/>
      <w:color w:val="auto"/>
      <w:sz w:val="27"/>
      <w:szCs w:val="20"/>
    </w:rPr>
  </w:style>
  <w:style w:type="character" w:customStyle="1" w:styleId="HeaderChar">
    <w:name w:val="Header Char"/>
    <w:basedOn w:val="DefaultParagraphFont"/>
    <w:link w:val="Header"/>
    <w:rsid w:val="00302164"/>
    <w:rPr>
      <w:rFonts w:ascii="Century Schoolbook" w:hAnsi="Century Schoolbook"/>
      <w:color w:val="auto"/>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3.xml" /><Relationship Id="rId11" Type="http://schemas.openxmlformats.org/officeDocument/2006/relationships/footer" Target="footer2.xml" /><Relationship Id="rId12" Type="http://schemas.openxmlformats.org/officeDocument/2006/relationships/footer" Target="footer3.xml" /><Relationship Id="rId13" Type="http://schemas.openxmlformats.org/officeDocument/2006/relationships/header" Target="header4.xml" /><Relationship Id="rId14" Type="http://schemas.openxmlformats.org/officeDocument/2006/relationships/footer" Target="footer4.xml" /><Relationship Id="rId15" Type="http://schemas.openxmlformats.org/officeDocument/2006/relationships/header" Target="header5.xml" /><Relationship Id="rId16" Type="http://schemas.openxmlformats.org/officeDocument/2006/relationships/header" Target="header6.xml" /><Relationship Id="rId17" Type="http://schemas.openxmlformats.org/officeDocument/2006/relationships/footer" Target="footer5.xml" /><Relationship Id="rId18" Type="http://schemas.openxmlformats.org/officeDocument/2006/relationships/footer" Target="footer6.xml" /><Relationship Id="rId19" Type="http://schemas.openxmlformats.org/officeDocument/2006/relationships/header" Target="header7.xml" /><Relationship Id="rId2" Type="http://schemas.openxmlformats.org/officeDocument/2006/relationships/endnotes" Target="endnotes.xml" /><Relationship Id="rId20" Type="http://schemas.openxmlformats.org/officeDocument/2006/relationships/footer" Target="footer7.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C9049-8CC2-4AA5-952A-1A6C8534F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7256</Words>
  <Characters>41365</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2024-07-22T15:30:30Z</dcterms:created>
  <dcterms:modified xsi:type="dcterms:W3CDTF">2024-07-22T15:30:30Z</dcterms:modified>
</cp:coreProperties>
</file>