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75BFB" w:rsidRPr="004479C6" w:rsidP="00DC104D" w14:paraId="553BED81" w14:textId="77777777">
      <w:pPr>
        <w:tabs>
          <w:tab w:val="left" w:pos="1440"/>
          <w:tab w:val="left" w:pos="4680"/>
          <w:tab w:val="center" w:pos="7200"/>
        </w:tabs>
        <w:spacing w:after="0"/>
        <w:jc w:val="center"/>
        <w:rPr>
          <w:sz w:val="36"/>
        </w:rPr>
      </w:pPr>
      <w:bookmarkStart w:id="0" w:name="MarkDocLoc"/>
      <w:bookmarkEnd w:id="0"/>
      <w:r w:rsidRPr="004479C6">
        <w:rPr>
          <w:b/>
          <w:sz w:val="36"/>
        </w:rPr>
        <w:t>IN THE SUPREME COURT OF CALIFORNIA</w:t>
      </w:r>
    </w:p>
    <w:p w:rsidR="00DC104D" w:rsidRPr="004479C6" w:rsidP="00DC104D" w14:paraId="553BED82" w14:textId="77777777">
      <w:pPr>
        <w:tabs>
          <w:tab w:val="left" w:pos="1440"/>
          <w:tab w:val="left" w:pos="4680"/>
          <w:tab w:val="center" w:pos="7200"/>
        </w:tabs>
        <w:spacing w:after="0"/>
        <w:jc w:val="center"/>
      </w:pPr>
    </w:p>
    <w:p w:rsidR="00DC104D" w:rsidRPr="004479C6" w:rsidP="00DC104D" w14:paraId="553BED83" w14:textId="77777777">
      <w:pPr>
        <w:tabs>
          <w:tab w:val="left" w:pos="1440"/>
          <w:tab w:val="left" w:pos="4680"/>
          <w:tab w:val="center" w:pos="7200"/>
        </w:tabs>
        <w:spacing w:after="0"/>
        <w:jc w:val="center"/>
      </w:pPr>
      <w:r w:rsidRPr="004479C6">
        <w:t>MAKE UC A GOOD NEIGHBOR et al.,</w:t>
      </w:r>
    </w:p>
    <w:p w:rsidR="00DC104D" w:rsidRPr="004479C6" w:rsidP="00DC104D" w14:paraId="553BED84" w14:textId="77777777">
      <w:pPr>
        <w:tabs>
          <w:tab w:val="left" w:pos="1440"/>
          <w:tab w:val="left" w:pos="4680"/>
          <w:tab w:val="center" w:pos="7200"/>
        </w:tabs>
        <w:spacing w:after="0"/>
        <w:jc w:val="center"/>
      </w:pPr>
      <w:r w:rsidRPr="004479C6">
        <w:t>Plaintiffs and Appellants,</w:t>
      </w:r>
    </w:p>
    <w:p w:rsidR="00DC104D" w:rsidRPr="004479C6" w:rsidP="00DC104D" w14:paraId="553BED85" w14:textId="77777777">
      <w:pPr>
        <w:tabs>
          <w:tab w:val="left" w:pos="1440"/>
          <w:tab w:val="left" w:pos="4680"/>
          <w:tab w:val="center" w:pos="7200"/>
        </w:tabs>
        <w:spacing w:after="0"/>
        <w:jc w:val="center"/>
      </w:pPr>
      <w:r w:rsidRPr="004479C6">
        <w:t>v.</w:t>
      </w:r>
    </w:p>
    <w:p w:rsidR="00DC104D" w:rsidRPr="004479C6" w:rsidP="00DC104D" w14:paraId="553BED86" w14:textId="77777777">
      <w:pPr>
        <w:tabs>
          <w:tab w:val="left" w:pos="1440"/>
          <w:tab w:val="left" w:pos="4680"/>
          <w:tab w:val="center" w:pos="7200"/>
        </w:tabs>
        <w:spacing w:after="0"/>
        <w:jc w:val="center"/>
      </w:pPr>
      <w:r>
        <w:t xml:space="preserve">THE </w:t>
      </w:r>
      <w:r w:rsidRPr="004479C6">
        <w:t>REGENTS OF THE UNIVERSITY OF CALIFORNIA et al.,</w:t>
      </w:r>
    </w:p>
    <w:p w:rsidR="00DC104D" w:rsidRPr="004479C6" w:rsidP="00DC104D" w14:paraId="553BED87" w14:textId="77777777">
      <w:pPr>
        <w:tabs>
          <w:tab w:val="left" w:pos="1440"/>
          <w:tab w:val="left" w:pos="4680"/>
          <w:tab w:val="center" w:pos="7200"/>
        </w:tabs>
        <w:spacing w:after="0"/>
        <w:jc w:val="center"/>
      </w:pPr>
      <w:r w:rsidRPr="004479C6">
        <w:t>Defendants and Respondents;</w:t>
      </w:r>
    </w:p>
    <w:p w:rsidR="004B5AA6" w:rsidRPr="004479C6" w:rsidP="00DC104D" w14:paraId="553BED89" w14:textId="77777777">
      <w:pPr>
        <w:tabs>
          <w:tab w:val="left" w:pos="1440"/>
          <w:tab w:val="left" w:pos="4680"/>
          <w:tab w:val="center" w:pos="7200"/>
        </w:tabs>
        <w:spacing w:after="0"/>
        <w:jc w:val="center"/>
      </w:pPr>
      <w:r w:rsidRPr="004479C6">
        <w:t>RESOURCES FOR COMMUNITY DEVELOPMENT,</w:t>
      </w:r>
    </w:p>
    <w:p w:rsidR="00F94472" w:rsidRPr="004479C6" w:rsidP="00DC104D" w14:paraId="553BED8A" w14:textId="77777777">
      <w:pPr>
        <w:tabs>
          <w:tab w:val="left" w:pos="1440"/>
          <w:tab w:val="left" w:pos="4680"/>
          <w:tab w:val="center" w:pos="7200"/>
        </w:tabs>
        <w:spacing w:after="0"/>
        <w:jc w:val="center"/>
      </w:pPr>
      <w:r w:rsidRPr="004479C6">
        <w:t>Real Party in Interest.</w:t>
      </w:r>
    </w:p>
    <w:p w:rsidR="00DC104D" w:rsidRPr="004479C6" w:rsidP="00DC104D" w14:paraId="553BED8B" w14:textId="77777777">
      <w:pPr>
        <w:tabs>
          <w:tab w:val="left" w:pos="1440"/>
          <w:tab w:val="left" w:pos="4680"/>
          <w:tab w:val="center" w:pos="7200"/>
        </w:tabs>
        <w:spacing w:after="0"/>
        <w:jc w:val="center"/>
      </w:pPr>
    </w:p>
    <w:p w:rsidR="00DC104D" w:rsidRPr="004479C6" w:rsidP="00DC104D" w14:paraId="553BED8C" w14:textId="77777777">
      <w:pPr>
        <w:tabs>
          <w:tab w:val="left" w:pos="1440"/>
          <w:tab w:val="left" w:pos="4680"/>
          <w:tab w:val="center" w:pos="7200"/>
        </w:tabs>
        <w:spacing w:after="0"/>
        <w:jc w:val="center"/>
      </w:pPr>
      <w:r w:rsidRPr="004479C6">
        <w:t>S279242</w:t>
      </w:r>
    </w:p>
    <w:p w:rsidR="00DC104D" w:rsidRPr="004479C6" w:rsidP="00DC104D" w14:paraId="553BED8D" w14:textId="77777777">
      <w:pPr>
        <w:tabs>
          <w:tab w:val="left" w:pos="1440"/>
          <w:tab w:val="left" w:pos="4680"/>
          <w:tab w:val="center" w:pos="7200"/>
        </w:tabs>
        <w:spacing w:after="0"/>
        <w:jc w:val="center"/>
      </w:pPr>
    </w:p>
    <w:p w:rsidR="00DC104D" w:rsidRPr="004479C6" w:rsidP="00DC104D" w14:paraId="553BED8E" w14:textId="77777777">
      <w:pPr>
        <w:tabs>
          <w:tab w:val="left" w:pos="1440"/>
          <w:tab w:val="left" w:pos="4680"/>
          <w:tab w:val="center" w:pos="7200"/>
        </w:tabs>
        <w:spacing w:after="0"/>
        <w:jc w:val="center"/>
      </w:pPr>
      <w:r w:rsidRPr="004479C6">
        <w:t>First Appellate District, Division Five</w:t>
      </w:r>
    </w:p>
    <w:p w:rsidR="00DC104D" w:rsidRPr="004479C6" w:rsidP="00DC104D" w14:paraId="553BED8F" w14:textId="77777777">
      <w:pPr>
        <w:tabs>
          <w:tab w:val="left" w:pos="1440"/>
          <w:tab w:val="left" w:pos="4680"/>
          <w:tab w:val="center" w:pos="7200"/>
        </w:tabs>
        <w:spacing w:after="0"/>
        <w:jc w:val="center"/>
      </w:pPr>
      <w:r w:rsidRPr="004479C6">
        <w:t>A165451</w:t>
      </w:r>
    </w:p>
    <w:p w:rsidR="00DC104D" w:rsidRPr="004479C6" w:rsidP="00DC104D" w14:paraId="553BED90" w14:textId="77777777">
      <w:pPr>
        <w:tabs>
          <w:tab w:val="left" w:pos="1440"/>
          <w:tab w:val="left" w:pos="4680"/>
          <w:tab w:val="center" w:pos="7200"/>
        </w:tabs>
        <w:spacing w:after="0"/>
        <w:jc w:val="center"/>
      </w:pPr>
    </w:p>
    <w:p w:rsidR="00DC104D" w:rsidRPr="004479C6" w:rsidP="00DC104D" w14:paraId="553BED91" w14:textId="77777777">
      <w:pPr>
        <w:tabs>
          <w:tab w:val="left" w:pos="1440"/>
          <w:tab w:val="left" w:pos="4680"/>
          <w:tab w:val="center" w:pos="7200"/>
        </w:tabs>
        <w:spacing w:after="0"/>
        <w:jc w:val="center"/>
      </w:pPr>
      <w:r w:rsidRPr="004479C6">
        <w:t>Alameda County Superior Court</w:t>
      </w:r>
    </w:p>
    <w:p w:rsidR="00DC104D" w:rsidRPr="004479C6" w:rsidP="00DC104D" w14:paraId="553BED92" w14:textId="77777777">
      <w:pPr>
        <w:tabs>
          <w:tab w:val="left" w:pos="1440"/>
          <w:tab w:val="left" w:pos="4680"/>
          <w:tab w:val="center" w:pos="7200"/>
        </w:tabs>
        <w:spacing w:after="0"/>
        <w:jc w:val="center"/>
      </w:pPr>
      <w:r w:rsidRPr="004479C6">
        <w:t>RG21110142</w:t>
      </w:r>
    </w:p>
    <w:p w:rsidR="00DC104D" w:rsidRPr="004479C6" w:rsidP="00DC104D" w14:paraId="553BED93" w14:textId="77777777">
      <w:pPr>
        <w:pBdr>
          <w:bottom w:val="single" w:sz="4" w:space="1" w:color="auto"/>
        </w:pBdr>
        <w:tabs>
          <w:tab w:val="left" w:pos="1440"/>
          <w:tab w:val="left" w:pos="4680"/>
          <w:tab w:val="center" w:pos="7200"/>
        </w:tabs>
        <w:spacing w:after="0"/>
        <w:jc w:val="center"/>
      </w:pPr>
    </w:p>
    <w:p w:rsidR="00DC104D" w:rsidRPr="004479C6" w:rsidP="00DC104D" w14:paraId="553BED94" w14:textId="77777777">
      <w:pPr>
        <w:tabs>
          <w:tab w:val="left" w:pos="1440"/>
          <w:tab w:val="left" w:pos="4680"/>
          <w:tab w:val="center" w:pos="7200"/>
        </w:tabs>
        <w:spacing w:after="0"/>
        <w:jc w:val="center"/>
      </w:pPr>
    </w:p>
    <w:p w:rsidR="00DC104D" w:rsidRPr="004479C6" w:rsidP="00DC104D" w14:paraId="553BED95" w14:textId="77777777">
      <w:pPr>
        <w:tabs>
          <w:tab w:val="left" w:pos="1440"/>
          <w:tab w:val="left" w:pos="4680"/>
          <w:tab w:val="center" w:pos="7200"/>
        </w:tabs>
        <w:spacing w:after="0"/>
        <w:jc w:val="center"/>
      </w:pPr>
      <w:r>
        <w:t>June 6</w:t>
      </w:r>
      <w:r w:rsidRPr="004479C6">
        <w:t>, 2024</w:t>
      </w:r>
    </w:p>
    <w:p w:rsidR="00DC104D" w:rsidRPr="004479C6" w:rsidP="00DC104D" w14:paraId="553BED96" w14:textId="77777777">
      <w:pPr>
        <w:tabs>
          <w:tab w:val="left" w:pos="1440"/>
          <w:tab w:val="left" w:pos="4680"/>
          <w:tab w:val="center" w:pos="7200"/>
        </w:tabs>
        <w:spacing w:after="0"/>
        <w:jc w:val="center"/>
      </w:pPr>
    </w:p>
    <w:p w:rsidR="00DC104D" w:rsidRPr="004479C6" w:rsidP="00DC104D" w14:paraId="553BED97" w14:textId="77777777">
      <w:pPr>
        <w:tabs>
          <w:tab w:val="left" w:pos="1440"/>
          <w:tab w:val="left" w:pos="4680"/>
          <w:tab w:val="center" w:pos="7200"/>
        </w:tabs>
        <w:spacing w:after="0"/>
        <w:jc w:val="left"/>
      </w:pPr>
      <w:r w:rsidRPr="004479C6">
        <w:t xml:space="preserve">Chief Justice Guerrero authored the opinion of the Court, in which </w:t>
      </w:r>
      <w:r w:rsidR="00D37FE9">
        <w:t>Justices Corrigan, Liu, Kruger, Groban, Jenkins, and Evans</w:t>
      </w:r>
      <w:r w:rsidRPr="004479C6">
        <w:t xml:space="preserve"> concurred.</w:t>
      </w:r>
    </w:p>
    <w:p w:rsidR="00DC104D" w:rsidRPr="004479C6" w:rsidP="00DC104D" w14:paraId="553BED98" w14:textId="77777777">
      <w:pPr>
        <w:pBdr>
          <w:bottom w:val="single" w:sz="4" w:space="1" w:color="auto"/>
        </w:pBdr>
        <w:tabs>
          <w:tab w:val="left" w:pos="1440"/>
          <w:tab w:val="left" w:pos="4680"/>
          <w:tab w:val="center" w:pos="7200"/>
        </w:tabs>
        <w:spacing w:line="240" w:lineRule="atLeast"/>
        <w:jc w:val="left"/>
      </w:pPr>
      <w:bookmarkStart w:id="1" w:name="Return"/>
      <w:bookmarkEnd w:id="1"/>
    </w:p>
    <w:p w:rsidR="00DC104D" w:rsidRPr="004479C6" w:rsidP="00925A22" w14:paraId="553BED99" w14:textId="77777777">
      <w:pPr>
        <w:tabs>
          <w:tab w:val="left" w:pos="1440"/>
          <w:tab w:val="left" w:pos="4680"/>
          <w:tab w:val="center" w:pos="7200"/>
        </w:tabs>
        <w:spacing w:line="240" w:lineRule="atLeast"/>
        <w:sectPr w:rsidSect="00B14877">
          <w:headerReference w:type="default" r:id="rId6"/>
          <w:footerReference w:type="default" r:id="rId7"/>
          <w:pgSz w:w="12240" w:h="15840"/>
          <w:pgMar w:top="1800" w:right="2160" w:bottom="1440" w:left="2160" w:header="720" w:footer="720" w:gutter="0"/>
          <w:cols w:space="720"/>
          <w:titlePg/>
          <w:docGrid w:linePitch="367"/>
        </w:sectPr>
      </w:pPr>
    </w:p>
    <w:p w:rsidR="00DC104D" w:rsidRPr="004479C6" w:rsidP="00DC104D" w14:paraId="553BED9A" w14:textId="77777777">
      <w:pPr>
        <w:tabs>
          <w:tab w:val="left" w:pos="1440"/>
          <w:tab w:val="left" w:pos="4680"/>
          <w:tab w:val="center" w:pos="7200"/>
        </w:tabs>
        <w:jc w:val="center"/>
      </w:pPr>
      <w:r w:rsidRPr="004479C6">
        <w:t xml:space="preserve">MAKE UC A GOOD NEIGHBOR v. </w:t>
      </w:r>
      <w:r w:rsidR="00642608">
        <w:t xml:space="preserve">THE </w:t>
      </w:r>
      <w:r w:rsidRPr="004479C6">
        <w:t xml:space="preserve">REGENTS OF </w:t>
      </w:r>
      <w:r w:rsidR="001E3D39">
        <w:t xml:space="preserve">THE </w:t>
      </w:r>
      <w:r w:rsidRPr="004479C6">
        <w:t>UNIVERSITY OF CALIFORNIA</w:t>
      </w:r>
    </w:p>
    <w:p w:rsidR="00DC104D" w:rsidRPr="004479C6" w:rsidP="00DC104D" w14:paraId="553BED9B" w14:textId="77777777">
      <w:pPr>
        <w:tabs>
          <w:tab w:val="left" w:pos="1440"/>
          <w:tab w:val="left" w:pos="4680"/>
          <w:tab w:val="center" w:pos="7200"/>
        </w:tabs>
        <w:jc w:val="center"/>
      </w:pPr>
      <w:r w:rsidRPr="004479C6">
        <w:t>S279242</w:t>
      </w:r>
    </w:p>
    <w:p w:rsidR="00DC104D" w:rsidRPr="004479C6" w:rsidP="00DC104D" w14:paraId="553BED9C" w14:textId="77777777">
      <w:pPr>
        <w:tabs>
          <w:tab w:val="left" w:pos="1440"/>
          <w:tab w:val="left" w:pos="4680"/>
          <w:tab w:val="center" w:pos="7200"/>
        </w:tabs>
        <w:jc w:val="center"/>
      </w:pPr>
    </w:p>
    <w:p w:rsidR="00DC104D" w:rsidRPr="004479C6" w:rsidP="00DC104D" w14:paraId="553BED9D" w14:textId="77777777">
      <w:pPr>
        <w:tabs>
          <w:tab w:val="left" w:pos="1440"/>
          <w:tab w:val="left" w:pos="4680"/>
          <w:tab w:val="center" w:pos="7200"/>
        </w:tabs>
        <w:jc w:val="center"/>
      </w:pPr>
      <w:r w:rsidRPr="004479C6">
        <w:t>Opinion of the Court by Guerrero, C. J.</w:t>
      </w:r>
    </w:p>
    <w:p w:rsidR="00DC104D" w:rsidRPr="004479C6" w:rsidP="00DC104D" w14:paraId="553BED9E" w14:textId="77777777">
      <w:pPr>
        <w:tabs>
          <w:tab w:val="left" w:pos="1440"/>
          <w:tab w:val="left" w:pos="4680"/>
          <w:tab w:val="center" w:pos="7200"/>
        </w:tabs>
        <w:jc w:val="center"/>
      </w:pPr>
    </w:p>
    <w:p w:rsidR="005F549E" w:rsidRPr="004479C6" w:rsidP="00DC104D" w14:paraId="553BED9F" w14:textId="77777777">
      <w:pPr>
        <w:ind w:firstLine="720"/>
        <w:rPr>
          <w:rFonts w:cstheme="minorHAnsi"/>
          <w:szCs w:val="26"/>
        </w:rPr>
      </w:pPr>
      <w:r w:rsidRPr="004479C6">
        <w:t>The University of California</w:t>
      </w:r>
      <w:r w:rsidRPr="004479C6">
        <w:rPr>
          <w:szCs w:val="26"/>
        </w:rPr>
        <w:t xml:space="preserve">, Berkeley (UC Berkeley) provides student housing to the lowest percentage of students </w:t>
      </w:r>
      <w:r w:rsidRPr="004479C6" w:rsidR="0066617A">
        <w:rPr>
          <w:szCs w:val="26"/>
        </w:rPr>
        <w:t>at</w:t>
      </w:r>
      <w:r w:rsidRPr="004479C6" w:rsidR="003F7F00">
        <w:rPr>
          <w:szCs w:val="26"/>
        </w:rPr>
        <w:t xml:space="preserve"> any </w:t>
      </w:r>
      <w:r w:rsidRPr="004479C6">
        <w:rPr>
          <w:szCs w:val="26"/>
        </w:rPr>
        <w:t xml:space="preserve">University of California campus in the state.  In response to concerns </w:t>
      </w:r>
      <w:r w:rsidRPr="004479C6">
        <w:t xml:space="preserve">regarding housing insecurity, and in </w:t>
      </w:r>
      <w:r w:rsidRPr="004479C6" w:rsidR="005171C2">
        <w:t xml:space="preserve">light </w:t>
      </w:r>
      <w:r w:rsidRPr="004479C6">
        <w:t xml:space="preserve">of the Bay Area’s regional housing crisis, UC Berkeley </w:t>
      </w:r>
      <w:r w:rsidRPr="004479C6" w:rsidR="00B4415B">
        <w:t xml:space="preserve">proposes to build </w:t>
      </w:r>
      <w:r w:rsidRPr="004479C6" w:rsidR="00B4415B">
        <w:rPr>
          <w:szCs w:val="26"/>
        </w:rPr>
        <w:t>a housing project on a site called People’s Park near the campus.</w:t>
      </w:r>
      <w:r w:rsidRPr="004479C6" w:rsidR="00B4415B">
        <w:rPr>
          <w:rFonts w:eastAsiaTheme="majorEastAsia"/>
          <w:szCs w:val="26"/>
        </w:rPr>
        <w:t xml:space="preserve">  The project </w:t>
      </w:r>
      <w:r w:rsidRPr="004479C6" w:rsidR="00A633A7">
        <w:rPr>
          <w:rFonts w:eastAsiaTheme="majorEastAsia"/>
          <w:szCs w:val="26"/>
        </w:rPr>
        <w:t xml:space="preserve">has </w:t>
      </w:r>
      <w:r w:rsidRPr="004479C6" w:rsidR="00B4415B">
        <w:rPr>
          <w:rFonts w:eastAsiaTheme="majorEastAsia"/>
          <w:szCs w:val="26"/>
        </w:rPr>
        <w:t>generated opposition</w:t>
      </w:r>
      <w:r w:rsidRPr="004479C6" w:rsidR="00FE19E7">
        <w:rPr>
          <w:rFonts w:eastAsiaTheme="majorEastAsia"/>
          <w:szCs w:val="26"/>
        </w:rPr>
        <w:t>.  P</w:t>
      </w:r>
      <w:r w:rsidRPr="004479C6" w:rsidR="00B4415B">
        <w:rPr>
          <w:rFonts w:eastAsiaTheme="majorEastAsia"/>
          <w:szCs w:val="26"/>
        </w:rPr>
        <w:t>roject opponents challeng</w:t>
      </w:r>
      <w:r w:rsidRPr="004479C6" w:rsidR="00FE19E7">
        <w:rPr>
          <w:rFonts w:eastAsiaTheme="majorEastAsia"/>
          <w:szCs w:val="26"/>
        </w:rPr>
        <w:t>e</w:t>
      </w:r>
      <w:r w:rsidRPr="004479C6" w:rsidR="00B4415B">
        <w:rPr>
          <w:rFonts w:eastAsiaTheme="majorEastAsia"/>
          <w:szCs w:val="26"/>
        </w:rPr>
        <w:t xml:space="preserve"> </w:t>
      </w:r>
      <w:r w:rsidRPr="004479C6" w:rsidR="00B4415B">
        <w:rPr>
          <w:szCs w:val="26"/>
        </w:rPr>
        <w:t>the certification of an environmental impact report (EIR) that evaluates both the specific housing project at People’s Park and a broader plan to guide long-term physical development at UC Berkeley.</w:t>
      </w:r>
      <w:r>
        <w:rPr>
          <w:rStyle w:val="FootnoteReference"/>
          <w:szCs w:val="26"/>
        </w:rPr>
        <w:footnoteReference w:id="3"/>
      </w:r>
      <w:r w:rsidRPr="004479C6" w:rsidR="00B4415B">
        <w:rPr>
          <w:szCs w:val="26"/>
        </w:rPr>
        <w:t xml:space="preserve">  </w:t>
      </w:r>
      <w:r w:rsidRPr="004479C6" w:rsidR="00467F73">
        <w:rPr>
          <w:rFonts w:cstheme="minorHAnsi"/>
          <w:szCs w:val="26"/>
        </w:rPr>
        <w:t xml:space="preserve">Plaintiffs </w:t>
      </w:r>
      <w:r w:rsidRPr="004479C6" w:rsidR="00B4415B">
        <w:rPr>
          <w:rFonts w:cstheme="minorHAnsi"/>
          <w:szCs w:val="26"/>
        </w:rPr>
        <w:t xml:space="preserve">Make UC a Good Neighbor and People’s Park Historic District Advocacy Group (collectively, Good Neighbor) contend </w:t>
      </w:r>
      <w:r w:rsidRPr="004479C6" w:rsidR="00FE19E7">
        <w:rPr>
          <w:rFonts w:cstheme="minorHAnsi"/>
          <w:szCs w:val="26"/>
        </w:rPr>
        <w:t>the EIR fail</w:t>
      </w:r>
      <w:r w:rsidRPr="004479C6" w:rsidR="00991C1F">
        <w:rPr>
          <w:rFonts w:cstheme="minorHAnsi"/>
          <w:szCs w:val="26"/>
        </w:rPr>
        <w:t>s</w:t>
      </w:r>
      <w:r w:rsidRPr="004479C6" w:rsidR="00FE19E7">
        <w:rPr>
          <w:rFonts w:cstheme="minorHAnsi"/>
          <w:szCs w:val="26"/>
        </w:rPr>
        <w:t xml:space="preserve"> to consider the environmental impacts caused by “student-generated noise” such as “vocal noise from house parties and from late-night pedestrians.”  They further contend the EIR failed to adequately consider alternatives to the People’s Park location. </w:t>
      </w:r>
      <w:r w:rsidRPr="004479C6" w:rsidR="00803292">
        <w:rPr>
          <w:rFonts w:cstheme="minorHAnsi"/>
          <w:szCs w:val="26"/>
        </w:rPr>
        <w:t xml:space="preserve"> The Court of Appeal agreed with Good Neighbor on these points.</w:t>
      </w:r>
    </w:p>
    <w:p w:rsidR="00803292" w:rsidRPr="004479C6" w:rsidP="00DC104D" w14:paraId="553BEDA0" w14:textId="77777777">
      <w:pPr>
        <w:ind w:firstLine="720"/>
        <w:rPr>
          <w:szCs w:val="26"/>
        </w:rPr>
      </w:pPr>
      <w:r w:rsidRPr="004479C6">
        <w:t xml:space="preserve">We granted review of the Court of Appeal’s decision </w:t>
      </w:r>
      <w:r w:rsidRPr="004479C6">
        <w:rPr>
          <w:szCs w:val="26"/>
        </w:rPr>
        <w:t xml:space="preserve">that the EIR was faulty because it: </w:t>
      </w:r>
      <w:r w:rsidRPr="004479C6" w:rsidR="00467F73">
        <w:rPr>
          <w:szCs w:val="26"/>
        </w:rPr>
        <w:t xml:space="preserve"> </w:t>
      </w:r>
      <w:r w:rsidRPr="004479C6">
        <w:rPr>
          <w:szCs w:val="26"/>
        </w:rPr>
        <w:t>(1) “failed to assess potential noise impacts from loud student parties in residential neighborhoods near the campus,” and (2) “failed to justify the decision not to consider alternative locations to the People’s Park project.”  (</w:t>
      </w:r>
      <w:bookmarkStart w:id="3" w:name="dabmci_edc16edb0a5d472b972b45dfc03f8291"/>
      <w:r w:rsidRPr="004479C6">
        <w:rPr>
          <w:i/>
          <w:iCs/>
          <w:szCs w:val="26"/>
        </w:rPr>
        <w:t>Make UC A Good Neighbor v. Regents of University of California</w:t>
      </w:r>
      <w:r w:rsidRPr="004479C6">
        <w:rPr>
          <w:szCs w:val="26"/>
        </w:rPr>
        <w:t xml:space="preserve"> (2023) 88 Cal.App.5th 656, 665 (</w:t>
      </w:r>
      <w:r w:rsidRPr="004479C6">
        <w:rPr>
          <w:i/>
          <w:iCs/>
          <w:szCs w:val="26"/>
        </w:rPr>
        <w:t>Make UC</w:t>
      </w:r>
      <w:r w:rsidRPr="004479C6">
        <w:rPr>
          <w:szCs w:val="26"/>
        </w:rPr>
        <w:t>)</w:t>
      </w:r>
      <w:bookmarkEnd w:id="3"/>
      <w:r w:rsidRPr="004479C6">
        <w:rPr>
          <w:szCs w:val="26"/>
        </w:rPr>
        <w:t>.)</w:t>
      </w:r>
    </w:p>
    <w:p w:rsidR="00CE5316" w:rsidRPr="004479C6" w:rsidP="00DC104D" w14:paraId="553BEDA1" w14:textId="77777777">
      <w:pPr>
        <w:ind w:firstLine="720"/>
        <w:rPr>
          <w:rFonts w:cstheme="minorHAnsi"/>
          <w:szCs w:val="26"/>
        </w:rPr>
      </w:pPr>
      <w:r w:rsidRPr="004479C6">
        <w:rPr>
          <w:szCs w:val="26"/>
        </w:rPr>
        <w:t xml:space="preserve">After we granted review, on September 7, 2023, the Legislature passed </w:t>
      </w:r>
      <w:bookmarkStart w:id="4" w:name="dabmci_64a9ce06e28d4d209b3ea153c8463d0c"/>
      <w:r w:rsidRPr="004479C6">
        <w:rPr>
          <w:szCs w:val="26"/>
        </w:rPr>
        <w:t>Assembly Bill No. 1307</w:t>
      </w:r>
      <w:bookmarkEnd w:id="4"/>
      <w:r w:rsidRPr="004479C6">
        <w:rPr>
          <w:szCs w:val="26"/>
        </w:rPr>
        <w:t xml:space="preserve"> (2023–2024 Reg. Sess.) (</w:t>
      </w:r>
      <w:bookmarkStart w:id="5" w:name="dabmci_a41793b42bc6491a9a2171f2490b4a81"/>
      <w:r w:rsidRPr="004479C6">
        <w:rPr>
          <w:szCs w:val="26"/>
        </w:rPr>
        <w:t>Assembly Bill 1307</w:t>
      </w:r>
      <w:bookmarkEnd w:id="5"/>
      <w:r w:rsidRPr="004479C6">
        <w:rPr>
          <w:szCs w:val="26"/>
        </w:rPr>
        <w:t xml:space="preserve">) as urgency legislation, effective immediately.  </w:t>
      </w:r>
      <w:bookmarkStart w:id="6" w:name="dabmci_3bd0aaced21b44b6a60cd22cc12b8196"/>
      <w:r w:rsidRPr="004479C6">
        <w:rPr>
          <w:szCs w:val="26"/>
        </w:rPr>
        <w:t xml:space="preserve">Assembly Bill </w:t>
      </w:r>
      <w:r w:rsidRPr="004479C6">
        <w:t>1307</w:t>
      </w:r>
      <w:bookmarkEnd w:id="6"/>
      <w:r w:rsidRPr="004479C6">
        <w:t xml:space="preserve"> added sections </w:t>
      </w:r>
      <w:r w:rsidRPr="004479C6">
        <w:rPr>
          <w:rFonts w:cstheme="minorHAnsi"/>
          <w:szCs w:val="26"/>
        </w:rPr>
        <w:t>21085 and 21085.2</w:t>
      </w:r>
      <w:r w:rsidRPr="004479C6" w:rsidR="00126EAE">
        <w:rPr>
          <w:rFonts w:cstheme="minorHAnsi"/>
          <w:szCs w:val="26"/>
        </w:rPr>
        <w:t xml:space="preserve"> </w:t>
      </w:r>
      <w:r w:rsidRPr="004479C6">
        <w:rPr>
          <w:rFonts w:cstheme="minorHAnsi"/>
          <w:szCs w:val="26"/>
        </w:rPr>
        <w:t xml:space="preserve">to the Public Resources Code.  </w:t>
      </w:r>
      <w:r w:rsidRPr="004479C6" w:rsidR="0071534E">
        <w:rPr>
          <w:rFonts w:cstheme="minorHAnsi"/>
          <w:szCs w:val="26"/>
        </w:rPr>
        <w:t xml:space="preserve">As summarized by the </w:t>
      </w:r>
      <w:r w:rsidRPr="004479C6" w:rsidR="00D87B04">
        <w:rPr>
          <w:rFonts w:cstheme="minorHAnsi"/>
          <w:szCs w:val="26"/>
        </w:rPr>
        <w:t>Legislative Counsel,</w:t>
      </w:r>
      <w:r w:rsidRPr="004479C6" w:rsidR="00DF6501">
        <w:rPr>
          <w:rFonts w:cstheme="minorHAnsi"/>
          <w:szCs w:val="26"/>
        </w:rPr>
        <w:t xml:space="preserve"> the new law</w:t>
      </w:r>
      <w:r w:rsidRPr="004479C6" w:rsidR="00D87B04">
        <w:rPr>
          <w:rFonts w:cstheme="minorHAnsi"/>
          <w:szCs w:val="26"/>
        </w:rPr>
        <w:t xml:space="preserve"> </w:t>
      </w:r>
      <w:r w:rsidRPr="004479C6" w:rsidR="005E2232">
        <w:rPr>
          <w:rFonts w:cstheme="minorHAnsi"/>
          <w:szCs w:val="26"/>
        </w:rPr>
        <w:t>provides</w:t>
      </w:r>
      <w:r w:rsidRPr="004479C6" w:rsidR="00AD6C47">
        <w:rPr>
          <w:rFonts w:cstheme="minorHAnsi"/>
          <w:szCs w:val="26"/>
        </w:rPr>
        <w:t xml:space="preserve"> that</w:t>
      </w:r>
      <w:r w:rsidRPr="004479C6" w:rsidR="00DA4FE7">
        <w:rPr>
          <w:rFonts w:cstheme="minorHAnsi"/>
          <w:szCs w:val="26"/>
        </w:rPr>
        <w:t xml:space="preserve">: </w:t>
      </w:r>
      <w:r w:rsidRPr="004479C6" w:rsidR="0000524F">
        <w:rPr>
          <w:rFonts w:cstheme="minorHAnsi"/>
          <w:szCs w:val="26"/>
        </w:rPr>
        <w:t xml:space="preserve"> </w:t>
      </w:r>
      <w:r w:rsidRPr="004479C6" w:rsidR="00DA4FE7">
        <w:rPr>
          <w:rFonts w:cstheme="minorHAnsi"/>
          <w:szCs w:val="26"/>
        </w:rPr>
        <w:t>(1)</w:t>
      </w:r>
      <w:r w:rsidRPr="004479C6" w:rsidR="0000524F">
        <w:rPr>
          <w:rFonts w:cstheme="minorHAnsi"/>
          <w:szCs w:val="26"/>
        </w:rPr>
        <w:t> </w:t>
      </w:r>
      <w:r w:rsidRPr="004479C6" w:rsidR="00D87B04">
        <w:rPr>
          <w:rFonts w:cstheme="minorHAnsi"/>
          <w:szCs w:val="26"/>
        </w:rPr>
        <w:t>“the effects of noise generated by project occupants and their guests on human beings is not a significant effect on the environment for residential projects for purposes of CEQA”</w:t>
      </w:r>
      <w:r w:rsidRPr="004479C6" w:rsidR="00467F73">
        <w:rPr>
          <w:rFonts w:cstheme="minorHAnsi"/>
          <w:szCs w:val="26"/>
        </w:rPr>
        <w:t>;</w:t>
      </w:r>
      <w:r w:rsidRPr="004479C6" w:rsidR="00D87B04">
        <w:rPr>
          <w:rFonts w:cstheme="minorHAnsi"/>
          <w:szCs w:val="26"/>
        </w:rPr>
        <w:t xml:space="preserve"> and</w:t>
      </w:r>
      <w:r w:rsidRPr="004479C6" w:rsidR="00DA4FE7">
        <w:rPr>
          <w:rFonts w:cstheme="minorHAnsi"/>
          <w:szCs w:val="26"/>
        </w:rPr>
        <w:t xml:space="preserve"> (2)</w:t>
      </w:r>
      <w:r w:rsidRPr="004479C6" w:rsidR="0000524F">
        <w:rPr>
          <w:rFonts w:cstheme="minorHAnsi"/>
          <w:szCs w:val="26"/>
        </w:rPr>
        <w:t> </w:t>
      </w:r>
      <w:r w:rsidRPr="004479C6" w:rsidR="00D87B04">
        <w:rPr>
          <w:rFonts w:cstheme="minorHAnsi"/>
          <w:szCs w:val="26"/>
        </w:rPr>
        <w:t>“institutions of public higher education, in an EIR for a residential or mixed-use housing project, are not required to consider alternatives to the location of the proposed project if certain requirements are met.”  (Legis. Counsel’s Dig., Assem. Bill No. 1307 (2023–2024 Reg. Sess.).)</w:t>
      </w:r>
    </w:p>
    <w:p w:rsidR="00FC6502" w:rsidRPr="004479C6" w:rsidP="00DC104D" w14:paraId="553BEDA2" w14:textId="77777777">
      <w:pPr>
        <w:ind w:firstLine="720"/>
        <w:rPr>
          <w:rFonts w:cstheme="minorHAnsi"/>
          <w:szCs w:val="26"/>
        </w:rPr>
      </w:pPr>
      <w:r w:rsidRPr="004479C6">
        <w:rPr>
          <w:rFonts w:cstheme="minorHAnsi"/>
          <w:szCs w:val="26"/>
        </w:rPr>
        <w:t xml:space="preserve">The new law has narrowed the scope of the issues necessary for </w:t>
      </w:r>
      <w:r w:rsidRPr="004479C6" w:rsidR="00D9102F">
        <w:rPr>
          <w:rFonts w:cstheme="minorHAnsi"/>
          <w:szCs w:val="26"/>
        </w:rPr>
        <w:t>this Court</w:t>
      </w:r>
      <w:r w:rsidRPr="004479C6">
        <w:rPr>
          <w:rFonts w:cstheme="minorHAnsi"/>
          <w:szCs w:val="26"/>
        </w:rPr>
        <w:t xml:space="preserve"> to resolve.  </w:t>
      </w:r>
      <w:r w:rsidRPr="004479C6" w:rsidR="0034541A">
        <w:rPr>
          <w:rFonts w:cstheme="minorHAnsi"/>
          <w:szCs w:val="26"/>
        </w:rPr>
        <w:t>Good Neighbor</w:t>
      </w:r>
      <w:r w:rsidRPr="004479C6" w:rsidR="00E66A44">
        <w:rPr>
          <w:rFonts w:cstheme="minorHAnsi"/>
          <w:szCs w:val="26"/>
        </w:rPr>
        <w:t xml:space="preserve"> concede</w:t>
      </w:r>
      <w:r w:rsidRPr="004479C6">
        <w:rPr>
          <w:rFonts w:cstheme="minorHAnsi"/>
          <w:szCs w:val="26"/>
        </w:rPr>
        <w:t>s</w:t>
      </w:r>
      <w:r w:rsidRPr="004479C6" w:rsidR="00E66A44">
        <w:rPr>
          <w:rFonts w:cstheme="minorHAnsi"/>
          <w:szCs w:val="26"/>
        </w:rPr>
        <w:t xml:space="preserve"> that </w:t>
      </w:r>
      <w:bookmarkStart w:id="7" w:name="dabmci_cd59ec48f6ee4ca8bbd9a0db3a92a0fd"/>
      <w:r w:rsidRPr="004479C6" w:rsidR="00D63F16">
        <w:rPr>
          <w:rFonts w:cstheme="minorHAnsi"/>
          <w:szCs w:val="26"/>
        </w:rPr>
        <w:t>Assembly Bill 1307</w:t>
      </w:r>
      <w:bookmarkEnd w:id="7"/>
      <w:r w:rsidRPr="004479C6" w:rsidR="00E66A44">
        <w:rPr>
          <w:rFonts w:cstheme="minorHAnsi"/>
          <w:szCs w:val="26"/>
        </w:rPr>
        <w:t xml:space="preserve"> applies to our consideration</w:t>
      </w:r>
      <w:r w:rsidRPr="004479C6" w:rsidR="00D04598">
        <w:rPr>
          <w:rFonts w:cstheme="minorHAnsi"/>
          <w:szCs w:val="26"/>
        </w:rPr>
        <w:t xml:space="preserve"> of the case</w:t>
      </w:r>
      <w:r w:rsidRPr="004479C6" w:rsidR="00977884">
        <w:rPr>
          <w:rFonts w:cstheme="minorHAnsi"/>
          <w:szCs w:val="26"/>
        </w:rPr>
        <w:t xml:space="preserve">.  Good Neighbor further concedes </w:t>
      </w:r>
      <w:r w:rsidRPr="004479C6" w:rsidR="00695483">
        <w:rPr>
          <w:rFonts w:cstheme="minorHAnsi"/>
          <w:szCs w:val="26"/>
        </w:rPr>
        <w:t xml:space="preserve">that the new law </w:t>
      </w:r>
      <w:r w:rsidRPr="004479C6" w:rsidR="0094154A">
        <w:rPr>
          <w:rFonts w:cstheme="minorHAnsi"/>
          <w:szCs w:val="26"/>
        </w:rPr>
        <w:t xml:space="preserve">makes clear that </w:t>
      </w:r>
      <w:r w:rsidRPr="004479C6" w:rsidR="001C1855">
        <w:rPr>
          <w:rFonts w:cstheme="minorHAnsi"/>
          <w:szCs w:val="26"/>
        </w:rPr>
        <w:t>the EIR</w:t>
      </w:r>
      <w:r w:rsidRPr="004479C6" w:rsidR="00B41F02">
        <w:rPr>
          <w:rFonts w:cstheme="minorHAnsi"/>
          <w:szCs w:val="26"/>
        </w:rPr>
        <w:t>,</w:t>
      </w:r>
      <w:r w:rsidRPr="004479C6" w:rsidR="001C1855">
        <w:rPr>
          <w:rFonts w:cstheme="minorHAnsi"/>
          <w:szCs w:val="26"/>
        </w:rPr>
        <w:t xml:space="preserve"> insofar as it evaluate</w:t>
      </w:r>
      <w:r w:rsidRPr="004479C6" w:rsidR="00451A60">
        <w:rPr>
          <w:rFonts w:cstheme="minorHAnsi"/>
          <w:szCs w:val="26"/>
        </w:rPr>
        <w:t>s</w:t>
      </w:r>
      <w:r w:rsidRPr="004479C6" w:rsidR="001C1855">
        <w:rPr>
          <w:rFonts w:cstheme="minorHAnsi"/>
          <w:szCs w:val="26"/>
        </w:rPr>
        <w:t xml:space="preserve"> </w:t>
      </w:r>
      <w:r w:rsidRPr="004479C6" w:rsidR="0000513E">
        <w:rPr>
          <w:rFonts w:cstheme="minorHAnsi"/>
          <w:szCs w:val="26"/>
        </w:rPr>
        <w:t>the People’s Park housing project</w:t>
      </w:r>
      <w:r w:rsidRPr="004479C6" w:rsidR="008C32EF">
        <w:rPr>
          <w:rFonts w:cstheme="minorHAnsi"/>
          <w:szCs w:val="26"/>
        </w:rPr>
        <w:t>,</w:t>
      </w:r>
      <w:r w:rsidRPr="004479C6" w:rsidR="001C1855">
        <w:rPr>
          <w:rFonts w:cstheme="minorHAnsi"/>
          <w:szCs w:val="26"/>
        </w:rPr>
        <w:t xml:space="preserve"> </w:t>
      </w:r>
      <w:r w:rsidRPr="004479C6" w:rsidR="00B427CF">
        <w:rPr>
          <w:rFonts w:cstheme="minorHAnsi"/>
          <w:szCs w:val="26"/>
        </w:rPr>
        <w:t>i</w:t>
      </w:r>
      <w:r w:rsidRPr="004479C6" w:rsidR="0018348F">
        <w:rPr>
          <w:rFonts w:cstheme="minorHAnsi"/>
          <w:szCs w:val="26"/>
        </w:rPr>
        <w:t>s not required to examine</w:t>
      </w:r>
      <w:r w:rsidRPr="004479C6" w:rsidR="00B41F02">
        <w:rPr>
          <w:rFonts w:cstheme="minorHAnsi"/>
          <w:szCs w:val="26"/>
        </w:rPr>
        <w:t xml:space="preserve"> </w:t>
      </w:r>
      <w:r w:rsidRPr="004479C6" w:rsidR="002A0210">
        <w:rPr>
          <w:rFonts w:cstheme="minorHAnsi"/>
          <w:szCs w:val="26"/>
        </w:rPr>
        <w:t>“</w:t>
      </w:r>
      <w:r w:rsidRPr="004479C6" w:rsidR="0094154A">
        <w:rPr>
          <w:rFonts w:cstheme="minorHAnsi"/>
          <w:szCs w:val="26"/>
        </w:rPr>
        <w:t xml:space="preserve">social </w:t>
      </w:r>
      <w:r w:rsidRPr="004479C6" w:rsidR="008F08B5">
        <w:rPr>
          <w:rFonts w:cstheme="minorHAnsi"/>
          <w:szCs w:val="26"/>
        </w:rPr>
        <w:t>noise</w:t>
      </w:r>
      <w:r w:rsidRPr="004479C6" w:rsidR="002A0210">
        <w:rPr>
          <w:rFonts w:cstheme="minorHAnsi"/>
          <w:szCs w:val="26"/>
        </w:rPr>
        <w:t>”</w:t>
      </w:r>
      <w:r>
        <w:rPr>
          <w:rStyle w:val="FootnoteReference"/>
          <w:rFonts w:cstheme="minorHAnsi"/>
          <w:szCs w:val="26"/>
        </w:rPr>
        <w:footnoteReference w:id="4"/>
      </w:r>
      <w:r w:rsidRPr="004479C6" w:rsidR="008F08B5">
        <w:rPr>
          <w:rFonts w:cstheme="minorHAnsi"/>
          <w:szCs w:val="26"/>
        </w:rPr>
        <w:t xml:space="preserve"> </w:t>
      </w:r>
      <w:r w:rsidRPr="004479C6" w:rsidR="00F67C61">
        <w:rPr>
          <w:rFonts w:cstheme="minorHAnsi"/>
          <w:szCs w:val="26"/>
        </w:rPr>
        <w:t xml:space="preserve">or </w:t>
      </w:r>
      <w:r w:rsidRPr="004479C6" w:rsidR="00B41F02">
        <w:rPr>
          <w:rFonts w:cstheme="minorHAnsi"/>
          <w:szCs w:val="26"/>
        </w:rPr>
        <w:t xml:space="preserve">potential </w:t>
      </w:r>
      <w:r w:rsidRPr="004479C6" w:rsidR="00F67C61">
        <w:rPr>
          <w:rFonts w:cstheme="minorHAnsi"/>
          <w:szCs w:val="26"/>
        </w:rPr>
        <w:t>alternative locations</w:t>
      </w:r>
      <w:r w:rsidRPr="004479C6">
        <w:rPr>
          <w:rFonts w:cstheme="minorHAnsi"/>
          <w:szCs w:val="26"/>
        </w:rPr>
        <w:t xml:space="preserve"> to People’s Park</w:t>
      </w:r>
      <w:r w:rsidRPr="004479C6" w:rsidR="002A2495">
        <w:rPr>
          <w:rFonts w:cstheme="minorHAnsi"/>
          <w:szCs w:val="26"/>
        </w:rPr>
        <w:t xml:space="preserve">. </w:t>
      </w:r>
      <w:r w:rsidRPr="004479C6" w:rsidR="008A1C26">
        <w:rPr>
          <w:rFonts w:cstheme="minorHAnsi"/>
          <w:szCs w:val="26"/>
        </w:rPr>
        <w:t xml:space="preserve"> However, Good Neighbor contends that its </w:t>
      </w:r>
      <w:r w:rsidRPr="004479C6" w:rsidR="00D6420A">
        <w:rPr>
          <w:rFonts w:cstheme="minorHAnsi"/>
          <w:szCs w:val="26"/>
        </w:rPr>
        <w:t xml:space="preserve">social noise </w:t>
      </w:r>
      <w:r w:rsidRPr="004479C6" w:rsidR="00216D5B">
        <w:rPr>
          <w:rFonts w:cstheme="minorHAnsi"/>
          <w:szCs w:val="26"/>
        </w:rPr>
        <w:t xml:space="preserve">claim as </w:t>
      </w:r>
      <w:r w:rsidRPr="004479C6" w:rsidR="00B25B85">
        <w:rPr>
          <w:rFonts w:cstheme="minorHAnsi"/>
          <w:szCs w:val="26"/>
        </w:rPr>
        <w:t>to the adequacy of the</w:t>
      </w:r>
      <w:r w:rsidRPr="004479C6" w:rsidR="00216D5B">
        <w:rPr>
          <w:rFonts w:cstheme="minorHAnsi"/>
          <w:szCs w:val="26"/>
        </w:rPr>
        <w:t xml:space="preserve"> </w:t>
      </w:r>
      <w:r w:rsidRPr="004479C6" w:rsidR="000C52C5">
        <w:rPr>
          <w:rFonts w:cstheme="minorHAnsi"/>
          <w:szCs w:val="26"/>
        </w:rPr>
        <w:t>EIR’</w:t>
      </w:r>
      <w:r w:rsidRPr="004479C6" w:rsidR="00216D5B">
        <w:rPr>
          <w:rFonts w:cstheme="minorHAnsi"/>
          <w:szCs w:val="26"/>
        </w:rPr>
        <w:t>s</w:t>
      </w:r>
      <w:r w:rsidRPr="004479C6" w:rsidR="002A0210">
        <w:rPr>
          <w:rFonts w:cstheme="minorHAnsi"/>
          <w:szCs w:val="26"/>
        </w:rPr>
        <w:t xml:space="preserve"> </w:t>
      </w:r>
      <w:r w:rsidRPr="004479C6" w:rsidR="00216D5B">
        <w:rPr>
          <w:rFonts w:cstheme="minorHAnsi"/>
          <w:szCs w:val="26"/>
        </w:rPr>
        <w:t xml:space="preserve">evaluation of the </w:t>
      </w:r>
      <w:r w:rsidRPr="004479C6" w:rsidR="002A0210">
        <w:rPr>
          <w:rFonts w:cstheme="minorHAnsi"/>
          <w:szCs w:val="26"/>
        </w:rPr>
        <w:t xml:space="preserve">plan </w:t>
      </w:r>
      <w:r w:rsidRPr="004479C6" w:rsidR="002D66B7">
        <w:rPr>
          <w:rFonts w:cstheme="minorHAnsi"/>
          <w:szCs w:val="26"/>
        </w:rPr>
        <w:t xml:space="preserve">to guide </w:t>
      </w:r>
      <w:r w:rsidRPr="004479C6" w:rsidR="00533DA7">
        <w:rPr>
          <w:rFonts w:cstheme="minorHAnsi"/>
          <w:szCs w:val="26"/>
        </w:rPr>
        <w:t xml:space="preserve">long-term </w:t>
      </w:r>
      <w:r w:rsidRPr="004479C6" w:rsidR="002D66B7">
        <w:rPr>
          <w:rFonts w:cstheme="minorHAnsi"/>
          <w:szCs w:val="26"/>
        </w:rPr>
        <w:t xml:space="preserve">physical development </w:t>
      </w:r>
      <w:r w:rsidRPr="004479C6" w:rsidR="002A0210">
        <w:rPr>
          <w:rFonts w:cstheme="minorHAnsi"/>
          <w:szCs w:val="26"/>
        </w:rPr>
        <w:t>remains viable</w:t>
      </w:r>
      <w:r w:rsidRPr="004479C6" w:rsidR="00A57641">
        <w:rPr>
          <w:rFonts w:cstheme="minorHAnsi"/>
          <w:szCs w:val="26"/>
        </w:rPr>
        <w:t xml:space="preserve"> </w:t>
      </w:r>
      <w:r w:rsidRPr="004479C6" w:rsidR="002A0210">
        <w:rPr>
          <w:rFonts w:cstheme="minorHAnsi"/>
          <w:szCs w:val="26"/>
        </w:rPr>
        <w:t xml:space="preserve">because the new law </w:t>
      </w:r>
      <w:r w:rsidRPr="004479C6" w:rsidR="00D16655">
        <w:rPr>
          <w:rFonts w:cstheme="minorHAnsi"/>
          <w:szCs w:val="26"/>
        </w:rPr>
        <w:t xml:space="preserve">“exempts only ‘residential projects’ from CEQA analysis,” and </w:t>
      </w:r>
      <w:r w:rsidRPr="004479C6">
        <w:rPr>
          <w:rFonts w:cstheme="minorHAnsi"/>
          <w:szCs w:val="26"/>
        </w:rPr>
        <w:t xml:space="preserve">Good Neighbor </w:t>
      </w:r>
      <w:r w:rsidRPr="004479C6" w:rsidR="002559C9">
        <w:rPr>
          <w:rFonts w:cstheme="minorHAnsi"/>
          <w:szCs w:val="26"/>
        </w:rPr>
        <w:t xml:space="preserve">maintains </w:t>
      </w:r>
      <w:r w:rsidRPr="004479C6">
        <w:rPr>
          <w:rFonts w:cstheme="minorHAnsi"/>
          <w:szCs w:val="26"/>
        </w:rPr>
        <w:t xml:space="preserve">that </w:t>
      </w:r>
      <w:r w:rsidRPr="004479C6" w:rsidR="00A57641">
        <w:rPr>
          <w:rFonts w:cstheme="minorHAnsi"/>
          <w:szCs w:val="26"/>
        </w:rPr>
        <w:t>the development plan</w:t>
      </w:r>
      <w:r w:rsidRPr="004479C6" w:rsidR="005171C2">
        <w:rPr>
          <w:rFonts w:cstheme="minorHAnsi"/>
          <w:szCs w:val="26"/>
        </w:rPr>
        <w:t xml:space="preserve"> — including its asserted projected enrollment-driven population increase — </w:t>
      </w:r>
      <w:r w:rsidRPr="004479C6" w:rsidR="007D6E1F">
        <w:rPr>
          <w:rFonts w:cstheme="minorHAnsi"/>
          <w:szCs w:val="26"/>
        </w:rPr>
        <w:t>“is not a ‘residential project’ ”</w:t>
      </w:r>
      <w:r w:rsidRPr="004479C6">
        <w:rPr>
          <w:rFonts w:cstheme="minorHAnsi"/>
          <w:szCs w:val="26"/>
        </w:rPr>
        <w:t xml:space="preserve"> within the meaning of the new law.</w:t>
      </w:r>
      <w:r w:rsidRPr="004479C6" w:rsidR="006B1C4D">
        <w:rPr>
          <w:rFonts w:cstheme="minorHAnsi"/>
          <w:szCs w:val="26"/>
        </w:rPr>
        <w:t xml:space="preserve">  As to its alternative locations argument, Good Neighbor asks us to consider</w:t>
      </w:r>
      <w:r w:rsidRPr="004479C6" w:rsidR="00015C04">
        <w:rPr>
          <w:rFonts w:cstheme="minorHAnsi"/>
          <w:szCs w:val="26"/>
        </w:rPr>
        <w:t xml:space="preserve"> </w:t>
      </w:r>
      <w:r w:rsidRPr="004479C6" w:rsidR="00097610">
        <w:rPr>
          <w:szCs w:val="26"/>
        </w:rPr>
        <w:t>its</w:t>
      </w:r>
      <w:r w:rsidRPr="004479C6" w:rsidR="00766A55">
        <w:rPr>
          <w:szCs w:val="26"/>
        </w:rPr>
        <w:t xml:space="preserve"> </w:t>
      </w:r>
      <w:r w:rsidRPr="004479C6" w:rsidR="007D0B38">
        <w:rPr>
          <w:szCs w:val="26"/>
        </w:rPr>
        <w:t>claim with respect to</w:t>
      </w:r>
      <w:r w:rsidRPr="004479C6" w:rsidR="00766A55">
        <w:rPr>
          <w:szCs w:val="26"/>
        </w:rPr>
        <w:t xml:space="preserve"> housing projects that the Regents</w:t>
      </w:r>
      <w:r w:rsidR="00E64E90">
        <w:rPr>
          <w:szCs w:val="26"/>
        </w:rPr>
        <w:t xml:space="preserve"> of the University of California (Regents)</w:t>
      </w:r>
      <w:r w:rsidRPr="004479C6" w:rsidR="00766A55">
        <w:rPr>
          <w:szCs w:val="26"/>
        </w:rPr>
        <w:t xml:space="preserve"> might carry out </w:t>
      </w:r>
      <w:r w:rsidRPr="004479C6" w:rsidR="007D0B38">
        <w:rPr>
          <w:szCs w:val="26"/>
        </w:rPr>
        <w:t xml:space="preserve">in the future </w:t>
      </w:r>
      <w:r w:rsidRPr="004479C6" w:rsidR="00766A55">
        <w:rPr>
          <w:szCs w:val="26"/>
        </w:rPr>
        <w:t xml:space="preserve">pursuant to the </w:t>
      </w:r>
      <w:r w:rsidRPr="004479C6" w:rsidR="005B4B4F">
        <w:rPr>
          <w:szCs w:val="26"/>
        </w:rPr>
        <w:t>development pla</w:t>
      </w:r>
      <w:r w:rsidRPr="004479C6" w:rsidR="00097610">
        <w:rPr>
          <w:szCs w:val="26"/>
        </w:rPr>
        <w:t>n</w:t>
      </w:r>
      <w:r w:rsidRPr="004479C6" w:rsidR="00766A55">
        <w:rPr>
          <w:szCs w:val="26"/>
        </w:rPr>
        <w:t xml:space="preserve">.  </w:t>
      </w:r>
    </w:p>
    <w:p w:rsidR="00CE5316" w:rsidRPr="004479C6" w:rsidP="00DC104D" w14:paraId="553BEDA3" w14:textId="77777777">
      <w:pPr>
        <w:ind w:firstLine="720"/>
      </w:pPr>
      <w:r w:rsidRPr="004479C6">
        <w:rPr>
          <w:rFonts w:cstheme="minorHAnsi"/>
          <w:szCs w:val="26"/>
        </w:rPr>
        <w:t>We</w:t>
      </w:r>
      <w:r w:rsidRPr="004479C6" w:rsidR="00126EAE">
        <w:rPr>
          <w:rFonts w:cstheme="minorHAnsi"/>
          <w:szCs w:val="26"/>
        </w:rPr>
        <w:t xml:space="preserve"> conclude that, based on the new law, none of Good Neighbor’s claims has merit</w:t>
      </w:r>
      <w:r w:rsidRPr="004479C6" w:rsidR="00704A0D">
        <w:rPr>
          <w:rFonts w:cstheme="minorHAnsi"/>
          <w:szCs w:val="26"/>
        </w:rPr>
        <w:t xml:space="preserve"> and </w:t>
      </w:r>
      <w:r w:rsidRPr="004479C6" w:rsidR="005171C2">
        <w:t xml:space="preserve">we accordingly reverse the Court of Appeal’s judgment.  </w:t>
      </w:r>
      <w:r w:rsidRPr="004479C6" w:rsidR="005171C2">
        <w:rPr>
          <w:rFonts w:cstheme="minorHAnsi"/>
          <w:szCs w:val="26"/>
        </w:rPr>
        <w:t xml:space="preserve">We hold that the new law applies to both the People’s Park housing project and </w:t>
      </w:r>
      <w:r w:rsidRPr="004479C6" w:rsidR="005171C2">
        <w:t xml:space="preserve">the development plan, and the EIR is not inadequate for having failed to study the potential noisiness of future students at UC Berkeley in connection with this project.  We </w:t>
      </w:r>
      <w:r w:rsidRPr="004479C6" w:rsidR="00704A0D">
        <w:rPr>
          <w:rFonts w:cstheme="minorHAnsi"/>
          <w:szCs w:val="26"/>
        </w:rPr>
        <w:t xml:space="preserve">decline to consider </w:t>
      </w:r>
      <w:r w:rsidRPr="004479C6" w:rsidR="00175C7E">
        <w:rPr>
          <w:rFonts w:cstheme="minorHAnsi"/>
          <w:szCs w:val="26"/>
        </w:rPr>
        <w:t xml:space="preserve">Good Neighbor’s </w:t>
      </w:r>
      <w:r w:rsidRPr="004479C6" w:rsidR="00544C96">
        <w:rPr>
          <w:rFonts w:cstheme="minorHAnsi"/>
          <w:szCs w:val="26"/>
        </w:rPr>
        <w:t>alternative</w:t>
      </w:r>
      <w:r w:rsidRPr="004479C6" w:rsidR="00470D56">
        <w:rPr>
          <w:rFonts w:cstheme="minorHAnsi"/>
          <w:szCs w:val="26"/>
        </w:rPr>
        <w:t xml:space="preserve"> </w:t>
      </w:r>
      <w:r w:rsidRPr="004479C6" w:rsidR="00544C96">
        <w:rPr>
          <w:rFonts w:cstheme="minorHAnsi"/>
          <w:szCs w:val="26"/>
        </w:rPr>
        <w:t xml:space="preserve">locations argument </w:t>
      </w:r>
      <w:r w:rsidRPr="004479C6" w:rsidR="00C415D6">
        <w:rPr>
          <w:rFonts w:cstheme="minorHAnsi"/>
          <w:szCs w:val="26"/>
        </w:rPr>
        <w:t>with respect to potential future housing projects</w:t>
      </w:r>
      <w:r w:rsidRPr="004479C6" w:rsidR="005171C2">
        <w:rPr>
          <w:rFonts w:cstheme="minorHAnsi"/>
          <w:szCs w:val="26"/>
        </w:rPr>
        <w:t xml:space="preserve"> which are simply not before us</w:t>
      </w:r>
      <w:r w:rsidRPr="004479C6" w:rsidR="00126EAE">
        <w:rPr>
          <w:rFonts w:cstheme="minorHAnsi"/>
          <w:szCs w:val="26"/>
        </w:rPr>
        <w:t xml:space="preserve">.  </w:t>
      </w:r>
      <w:r w:rsidRPr="004479C6" w:rsidR="0072625E">
        <w:rPr>
          <w:rFonts w:cstheme="minorHAnsi"/>
          <w:szCs w:val="26"/>
        </w:rPr>
        <w:t>In short, as all parties have effectively acknowledged, this lawsuit poses no obstacle to the development of the People’s Park housing project.</w:t>
      </w:r>
    </w:p>
    <w:p w:rsidR="00FB2D76" w:rsidRPr="004479C6" w:rsidP="00824937" w14:paraId="553BEDA4" w14:textId="77777777">
      <w:pPr>
        <w:pStyle w:val="Heading1"/>
        <w:spacing w:line="400" w:lineRule="exact"/>
      </w:pPr>
      <w:r w:rsidRPr="004479C6">
        <w:t>I.</w:t>
      </w:r>
    </w:p>
    <w:p w:rsidR="002042A1" w:rsidRPr="004479C6" w:rsidP="00824937" w14:paraId="553BEDA5" w14:textId="77777777">
      <w:pPr>
        <w:pStyle w:val="Heading2"/>
        <w:tabs>
          <w:tab w:val="clear" w:pos="1152"/>
        </w:tabs>
        <w:spacing w:line="400" w:lineRule="exact"/>
        <w:ind w:left="0" w:firstLine="0"/>
        <w:jc w:val="center"/>
      </w:pPr>
      <w:r w:rsidRPr="004479C6">
        <w:t>A.</w:t>
      </w:r>
    </w:p>
    <w:p w:rsidR="00CE5316" w:rsidRPr="004479C6" w:rsidP="00DC104D" w14:paraId="553BEDA6" w14:textId="77777777">
      <w:pPr>
        <w:ind w:firstLine="720"/>
      </w:pPr>
      <w:r w:rsidRPr="004479C6">
        <w:t xml:space="preserve">Each University of California campus periodically develops a </w:t>
      </w:r>
      <w:r w:rsidRPr="004479C6" w:rsidR="009258AC">
        <w:t xml:space="preserve">planning document referred to as a </w:t>
      </w:r>
      <w:r w:rsidRPr="004479C6">
        <w:t xml:space="preserve">Long Range Development Plan </w:t>
      </w:r>
      <w:r w:rsidRPr="004479C6" w:rsidR="00366091">
        <w:t>(</w:t>
      </w:r>
      <w:r w:rsidRPr="004479C6" w:rsidR="002B5254">
        <w:t>LRDP</w:t>
      </w:r>
      <w:r w:rsidRPr="004479C6" w:rsidR="00366091">
        <w:t xml:space="preserve">) </w:t>
      </w:r>
      <w:r w:rsidRPr="004479C6" w:rsidR="00F939FF">
        <w:t>to guide</w:t>
      </w:r>
      <w:r w:rsidRPr="004479C6" w:rsidR="00A66C90">
        <w:t xml:space="preserve"> </w:t>
      </w:r>
      <w:r w:rsidRPr="004479C6" w:rsidR="00F939FF">
        <w:t>“</w:t>
      </w:r>
      <w:r w:rsidRPr="004479C6">
        <w:t>physical development, including land use designations, the location of buildings, and infrastructure systems, for an established time horizon.</w:t>
      </w:r>
      <w:r w:rsidRPr="004479C6" w:rsidR="000B0798">
        <w:t xml:space="preserve">” </w:t>
      </w:r>
      <w:r w:rsidRPr="004479C6" w:rsidR="009258AC">
        <w:t xml:space="preserve"> </w:t>
      </w:r>
      <w:r w:rsidRPr="004479C6" w:rsidR="000B0798">
        <w:t>(</w:t>
      </w:r>
      <w:r w:rsidRPr="004479C6">
        <w:t>Ed. Code,</w:t>
      </w:r>
      <w:r w:rsidRPr="004479C6" w:rsidR="000B0798">
        <w:t xml:space="preserve"> </w:t>
      </w:r>
      <w:r w:rsidRPr="004479C6" w:rsidR="0065282C">
        <w:t>§ </w:t>
      </w:r>
      <w:r w:rsidRPr="004479C6">
        <w:t>67504</w:t>
      </w:r>
      <w:r w:rsidRPr="004479C6" w:rsidR="00D37597">
        <w:t>, subd. (a)(1)</w:t>
      </w:r>
      <w:r w:rsidRPr="004479C6" w:rsidR="000B0798">
        <w:t>.)</w:t>
      </w:r>
      <w:r w:rsidRPr="004479C6" w:rsidR="00F939FF">
        <w:t xml:space="preserve">  </w:t>
      </w:r>
      <w:r w:rsidRPr="004479C6" w:rsidR="007A1B04">
        <w:t>I</w:t>
      </w:r>
      <w:r w:rsidRPr="004479C6" w:rsidR="00B92765">
        <w:t xml:space="preserve">n </w:t>
      </w:r>
      <w:r w:rsidRPr="004479C6" w:rsidR="001042C1">
        <w:t xml:space="preserve">July </w:t>
      </w:r>
      <w:r w:rsidRPr="004479C6" w:rsidR="00B92765">
        <w:t xml:space="preserve">2021, </w:t>
      </w:r>
      <w:r w:rsidRPr="004479C6" w:rsidR="006257BD">
        <w:t>the Regents</w:t>
      </w:r>
      <w:r w:rsidRPr="004479C6" w:rsidR="00F2121F">
        <w:t xml:space="preserve"> </w:t>
      </w:r>
      <w:r w:rsidRPr="004479C6" w:rsidR="001042C1">
        <w:t xml:space="preserve">approved </w:t>
      </w:r>
      <w:r w:rsidRPr="004479C6" w:rsidR="00366091">
        <w:t xml:space="preserve">the </w:t>
      </w:r>
      <w:r w:rsidRPr="004479C6" w:rsidR="002B5254">
        <w:t>LRDP</w:t>
      </w:r>
      <w:r w:rsidRPr="004479C6" w:rsidR="00B35D4B">
        <w:t xml:space="preserve"> at issue in this case (</w:t>
      </w:r>
      <w:r w:rsidRPr="004479C6" w:rsidR="00366091">
        <w:t xml:space="preserve">2021 </w:t>
      </w:r>
      <w:r w:rsidRPr="004479C6" w:rsidR="002B5254">
        <w:t>LRDP</w:t>
      </w:r>
      <w:r w:rsidRPr="004479C6" w:rsidR="00B35D4B">
        <w:t>)</w:t>
      </w:r>
      <w:r w:rsidRPr="004479C6" w:rsidR="001042C1">
        <w:t xml:space="preserve">. </w:t>
      </w:r>
      <w:r w:rsidRPr="004479C6" w:rsidR="00F41FC4">
        <w:t xml:space="preserve"> </w:t>
      </w:r>
      <w:r w:rsidRPr="004479C6" w:rsidR="001B4DCF">
        <w:t xml:space="preserve">The </w:t>
      </w:r>
      <w:r w:rsidRPr="004479C6" w:rsidR="00F64AF0">
        <w:t xml:space="preserve">2021 </w:t>
      </w:r>
      <w:r w:rsidRPr="004479C6" w:rsidR="002B5254">
        <w:t>LRDP</w:t>
      </w:r>
      <w:r w:rsidRPr="004479C6" w:rsidR="001B4DCF">
        <w:t xml:space="preserve"> identifies</w:t>
      </w:r>
      <w:r w:rsidRPr="004479C6" w:rsidR="00F64AF0">
        <w:t xml:space="preserve"> </w:t>
      </w:r>
      <w:r w:rsidRPr="004479C6" w:rsidR="00A34E8D">
        <w:t>UC</w:t>
      </w:r>
      <w:r w:rsidRPr="004479C6" w:rsidR="0065282C">
        <w:t> </w:t>
      </w:r>
      <w:r w:rsidRPr="004479C6" w:rsidR="00A34E8D">
        <w:t>Berkeley’s</w:t>
      </w:r>
      <w:r w:rsidRPr="004479C6" w:rsidR="001B4DCF">
        <w:t xml:space="preserve"> </w:t>
      </w:r>
      <w:r w:rsidRPr="004479C6" w:rsidR="00F64AF0">
        <w:t xml:space="preserve">campus </w:t>
      </w:r>
      <w:r w:rsidRPr="004479C6" w:rsidR="001B4DCF">
        <w:t>space, housing, and parking needs</w:t>
      </w:r>
      <w:r w:rsidRPr="004479C6" w:rsidR="00533691">
        <w:t>;</w:t>
      </w:r>
      <w:r w:rsidRPr="004479C6" w:rsidR="00F64AF0">
        <w:t xml:space="preserve"> </w:t>
      </w:r>
      <w:r w:rsidRPr="004479C6" w:rsidR="001B4DCF">
        <w:t xml:space="preserve">and </w:t>
      </w:r>
      <w:r w:rsidRPr="004479C6" w:rsidR="00872A62">
        <w:t xml:space="preserve">it </w:t>
      </w:r>
      <w:r w:rsidRPr="004479C6" w:rsidR="001B4DCF">
        <w:t xml:space="preserve">describes the land use, open space, mobility, and infrastructure systems </w:t>
      </w:r>
      <w:r w:rsidRPr="004479C6" w:rsidR="004B0D19">
        <w:t>needed to</w:t>
      </w:r>
      <w:r w:rsidRPr="004479C6" w:rsidR="001B4DCF">
        <w:t xml:space="preserve"> support campus development.</w:t>
      </w:r>
    </w:p>
    <w:p w:rsidR="00A3199C" w:rsidRPr="004479C6" w:rsidP="00DC104D" w14:paraId="553BEDA7" w14:textId="77777777">
      <w:pPr>
        <w:ind w:firstLine="720"/>
      </w:pPr>
      <w:r w:rsidRPr="004479C6">
        <w:t xml:space="preserve">The 2021 </w:t>
      </w:r>
      <w:r w:rsidRPr="004479C6" w:rsidR="002B5254">
        <w:t>LRDP</w:t>
      </w:r>
      <w:r w:rsidRPr="004479C6">
        <w:t xml:space="preserve"> estimates future population levels at the university for planning purposes, but it “do</w:t>
      </w:r>
      <w:r w:rsidRPr="004479C6" w:rsidR="00D37597">
        <w:t>[</w:t>
      </w:r>
      <w:r w:rsidRPr="004479C6">
        <w:t>es</w:t>
      </w:r>
      <w:r w:rsidRPr="004479C6" w:rsidR="00D37597">
        <w:t>]</w:t>
      </w:r>
      <w:r w:rsidRPr="004479C6">
        <w:t xml:space="preserve"> not mandate or commit UC Berkeley to any specific level of student enrollment or overall growth.”</w:t>
      </w:r>
      <w:r w:rsidRPr="004479C6" w:rsidR="00412D3F">
        <w:t xml:space="preserve">  </w:t>
      </w:r>
      <w:r w:rsidRPr="004479C6" w:rsidR="00BE5FBC">
        <w:t>For the horizon year of 2036</w:t>
      </w:r>
      <w:r w:rsidRPr="004479C6" w:rsidR="001615F7">
        <w:t>–</w:t>
      </w:r>
      <w:r w:rsidRPr="004479C6" w:rsidR="00BE5FBC">
        <w:t xml:space="preserve">2037, the </w:t>
      </w:r>
      <w:r w:rsidRPr="004479C6" w:rsidR="00125F02">
        <w:t xml:space="preserve">2021 </w:t>
      </w:r>
      <w:r w:rsidRPr="004479C6" w:rsidR="00EE64D6">
        <w:t>LRDP</w:t>
      </w:r>
      <w:r w:rsidRPr="004479C6" w:rsidR="005C0A8A">
        <w:t xml:space="preserve"> estimates</w:t>
      </w:r>
      <w:r w:rsidRPr="004479C6" w:rsidR="004F488E">
        <w:t xml:space="preserve"> </w:t>
      </w:r>
      <w:r w:rsidRPr="004479C6" w:rsidR="004A30F5">
        <w:t>a</w:t>
      </w:r>
      <w:r w:rsidRPr="004479C6" w:rsidR="004F488E">
        <w:t xml:space="preserve"> total </w:t>
      </w:r>
      <w:r w:rsidRPr="004479C6" w:rsidR="00DA71D9">
        <w:t xml:space="preserve">campus </w:t>
      </w:r>
      <w:r w:rsidRPr="004479C6" w:rsidR="004F488E">
        <w:t>population</w:t>
      </w:r>
      <w:r w:rsidRPr="004479C6" w:rsidR="00967068">
        <w:t xml:space="preserve"> of 67,200</w:t>
      </w:r>
      <w:r w:rsidRPr="004479C6" w:rsidR="00FF68E4">
        <w:t>.</w:t>
      </w:r>
      <w:r w:rsidRPr="004479C6" w:rsidR="00967068">
        <w:t xml:space="preserve"> </w:t>
      </w:r>
      <w:r w:rsidRPr="004479C6" w:rsidR="00412D3F">
        <w:t xml:space="preserve"> T</w:t>
      </w:r>
      <w:r w:rsidRPr="004479C6" w:rsidR="00FF68E4">
        <w:t xml:space="preserve">his </w:t>
      </w:r>
      <w:r w:rsidRPr="004479C6" w:rsidR="00967068">
        <w:t>estimate</w:t>
      </w:r>
      <w:r w:rsidRPr="004479C6" w:rsidR="00944C5B">
        <w:t xml:space="preserve"> </w:t>
      </w:r>
      <w:r w:rsidRPr="004479C6" w:rsidR="00FF68E4">
        <w:t>represent</w:t>
      </w:r>
      <w:r w:rsidRPr="004479C6" w:rsidR="00566F2E">
        <w:t>s</w:t>
      </w:r>
      <w:r w:rsidRPr="004479C6" w:rsidR="00FF68E4">
        <w:t xml:space="preserve"> an</w:t>
      </w:r>
      <w:r w:rsidRPr="004479C6" w:rsidR="004A30F5">
        <w:t xml:space="preserve"> increase of </w:t>
      </w:r>
      <w:r w:rsidRPr="004479C6" w:rsidR="004028E1">
        <w:t xml:space="preserve">12,070 </w:t>
      </w:r>
      <w:r w:rsidRPr="004479C6" w:rsidR="00A66C90">
        <w:t xml:space="preserve">individuals </w:t>
      </w:r>
      <w:r w:rsidRPr="004479C6" w:rsidR="004028E1">
        <w:t xml:space="preserve">over the “current population” </w:t>
      </w:r>
      <w:r w:rsidRPr="004479C6" w:rsidR="00412D3F">
        <w:t xml:space="preserve">of 55,130 </w:t>
      </w:r>
      <w:r w:rsidRPr="004479C6" w:rsidR="004028E1">
        <w:t>for the 2018</w:t>
      </w:r>
      <w:r w:rsidRPr="004479C6" w:rsidR="001615F7">
        <w:t>–</w:t>
      </w:r>
      <w:r w:rsidRPr="004479C6" w:rsidR="004028E1">
        <w:t>2019 year</w:t>
      </w:r>
      <w:r w:rsidRPr="004479C6" w:rsidR="00FF68E4">
        <w:t xml:space="preserve">, including </w:t>
      </w:r>
      <w:r w:rsidRPr="004479C6" w:rsidR="0094372F">
        <w:t>i</w:t>
      </w:r>
      <w:r w:rsidRPr="004479C6" w:rsidR="00FF68E4">
        <w:t>ncrease</w:t>
      </w:r>
      <w:r w:rsidRPr="004479C6" w:rsidR="0094372F">
        <w:t>s</w:t>
      </w:r>
      <w:r w:rsidRPr="004479C6" w:rsidR="00FF68E4">
        <w:t xml:space="preserve"> of 8,490 students and </w:t>
      </w:r>
      <w:r w:rsidRPr="004479C6" w:rsidR="00060150">
        <w:t xml:space="preserve">3,580 faculty </w:t>
      </w:r>
      <w:r w:rsidRPr="004479C6" w:rsidR="00814352">
        <w:t>and</w:t>
      </w:r>
      <w:r w:rsidRPr="004479C6" w:rsidR="00060150">
        <w:t xml:space="preserve"> staff. </w:t>
      </w:r>
    </w:p>
    <w:p w:rsidR="004C086B" w:rsidRPr="004479C6" w:rsidP="00DC104D" w14:paraId="553BEDA8" w14:textId="77777777">
      <w:pPr>
        <w:ind w:firstLine="720"/>
      </w:pPr>
      <w:r w:rsidRPr="004479C6">
        <w:t xml:space="preserve">One of the </w:t>
      </w:r>
      <w:r w:rsidRPr="004479C6" w:rsidR="005F42E7">
        <w:t xml:space="preserve">2021 </w:t>
      </w:r>
      <w:r w:rsidRPr="004479C6" w:rsidR="002B5254">
        <w:t>LRDP</w:t>
      </w:r>
      <w:r w:rsidRPr="004479C6">
        <w:t>’s goals is to “</w:t>
      </w:r>
      <w:r w:rsidRPr="004479C6" w:rsidR="00A01504">
        <w:t xml:space="preserve">[i]mprove the existing housing stock and construct new student beds and </w:t>
      </w:r>
      <w:r w:rsidRPr="004479C6">
        <w:t xml:space="preserve">faculty housing units in support of the Chancellor’s Housing </w:t>
      </w:r>
      <w:r w:rsidRPr="004479C6" w:rsidR="00623B92">
        <w:t>Initiative</w:t>
      </w:r>
      <w:r w:rsidRPr="004479C6">
        <w:t>.”</w:t>
      </w:r>
      <w:r>
        <w:rPr>
          <w:rStyle w:val="FootnoteReference"/>
        </w:rPr>
        <w:footnoteReference w:id="5"/>
      </w:r>
      <w:r w:rsidRPr="004479C6">
        <w:t xml:space="preserve">  To that end, the </w:t>
      </w:r>
      <w:r w:rsidRPr="004479C6" w:rsidR="00125F02">
        <w:t xml:space="preserve">2021 </w:t>
      </w:r>
      <w:r w:rsidRPr="004479C6" w:rsidR="002B5254">
        <w:t>LRDP</w:t>
      </w:r>
      <w:r w:rsidRPr="004479C6">
        <w:t xml:space="preserve"> plans</w:t>
      </w:r>
      <w:r w:rsidRPr="004479C6" w:rsidR="00C95A92">
        <w:t xml:space="preserve"> for the add</w:t>
      </w:r>
      <w:r w:rsidRPr="004479C6" w:rsidR="00F54C16">
        <w:t>i</w:t>
      </w:r>
      <w:r w:rsidRPr="004479C6" w:rsidR="00C95A92">
        <w:t>tion</w:t>
      </w:r>
      <w:r w:rsidRPr="004479C6" w:rsidR="00F54C16">
        <w:t xml:space="preserve"> of 11,730 new </w:t>
      </w:r>
      <w:r w:rsidRPr="004479C6" w:rsidR="00330730">
        <w:t xml:space="preserve">student </w:t>
      </w:r>
      <w:r w:rsidRPr="004479C6" w:rsidR="00F54C16">
        <w:rPr>
          <w:szCs w:val="26"/>
        </w:rPr>
        <w:t>beds</w:t>
      </w:r>
      <w:r w:rsidRPr="004479C6" w:rsidR="00E46B18">
        <w:rPr>
          <w:szCs w:val="26"/>
        </w:rPr>
        <w:t xml:space="preserve"> </w:t>
      </w:r>
      <w:r w:rsidRPr="004479C6" w:rsidR="00351A80">
        <w:rPr>
          <w:szCs w:val="26"/>
        </w:rPr>
        <w:t xml:space="preserve">to be </w:t>
      </w:r>
      <w:r w:rsidRPr="004479C6" w:rsidR="009835B5">
        <w:rPr>
          <w:szCs w:val="26"/>
        </w:rPr>
        <w:t>“</w:t>
      </w:r>
      <w:r w:rsidRPr="004479C6" w:rsidR="00E46B18">
        <w:rPr>
          <w:szCs w:val="26"/>
        </w:rPr>
        <w:t>implemented</w:t>
      </w:r>
      <w:r w:rsidRPr="004479C6" w:rsidR="00E46B18">
        <w:t xml:space="preserve"> incrementally over the long term as resources become available for individual capital projects</w:t>
      </w:r>
      <w:r w:rsidRPr="004479C6" w:rsidR="00351A80">
        <w:t>.”</w:t>
      </w:r>
      <w:r>
        <w:rPr>
          <w:rStyle w:val="FootnoteReference"/>
        </w:rPr>
        <w:footnoteReference w:id="6"/>
      </w:r>
    </w:p>
    <w:p w:rsidR="00D86F25" w:rsidRPr="004479C6" w:rsidP="00DC104D" w14:paraId="553BEDA9" w14:textId="77777777">
      <w:pPr>
        <w:ind w:firstLine="720"/>
      </w:pPr>
      <w:r w:rsidRPr="004479C6">
        <w:t xml:space="preserve">In September 2021, the Regents approved a plan for the specific </w:t>
      </w:r>
      <w:r w:rsidRPr="004479C6" w:rsidR="005063A2">
        <w:t>re</w:t>
      </w:r>
      <w:r w:rsidRPr="004479C6">
        <w:t>development project at issue here — Housing Project No. 2</w:t>
      </w:r>
      <w:r w:rsidRPr="004479C6" w:rsidR="00D14A69">
        <w:t> </w:t>
      </w:r>
      <w:r w:rsidRPr="004479C6">
        <w:t>— which sought to redevelop a site near the UC Berkeley campus known as People’s Park.</w:t>
      </w:r>
      <w:r>
        <w:rPr>
          <w:rStyle w:val="FootnoteReference"/>
        </w:rPr>
        <w:footnoteReference w:id="7"/>
      </w:r>
      <w:r w:rsidRPr="004479C6">
        <w:t xml:space="preserve">  The proposed project includes three primary components: </w:t>
      </w:r>
      <w:r w:rsidRPr="004479C6" w:rsidR="00D14A69">
        <w:t xml:space="preserve"> </w:t>
      </w:r>
      <w:r w:rsidRPr="004479C6">
        <w:t>(1)</w:t>
      </w:r>
      <w:r w:rsidRPr="004479C6" w:rsidR="00485062">
        <w:t xml:space="preserve"> </w:t>
      </w:r>
      <w:r w:rsidRPr="004479C6">
        <w:t>student housing; (2)</w:t>
      </w:r>
      <w:r w:rsidRPr="004479C6" w:rsidR="00D14A69">
        <w:t> </w:t>
      </w:r>
      <w:r w:rsidRPr="004479C6">
        <w:t>preservation and revitalization of green space open to the public; and (3) affordable and permanent supportive housing to be developed by a nonprofit partner.</w:t>
      </w:r>
      <w:r>
        <w:rPr>
          <w:rStyle w:val="FootnoteReference"/>
        </w:rPr>
        <w:footnoteReference w:id="8"/>
      </w:r>
      <w:r w:rsidRPr="004479C6">
        <w:t xml:space="preserve">  When complete, Housing Project No.</w:t>
      </w:r>
      <w:r w:rsidRPr="004479C6" w:rsidR="00D14A69">
        <w:t> </w:t>
      </w:r>
      <w:r w:rsidRPr="004479C6">
        <w:t xml:space="preserve">2 </w:t>
      </w:r>
      <w:r w:rsidRPr="004479C6" w:rsidR="00622734">
        <w:t>is projected to</w:t>
      </w:r>
      <w:r w:rsidRPr="004479C6">
        <w:t xml:space="preserve"> add 1,113 student beds, 1.7 acres of open landscape, and 125 affordable and supportive housing beds</w:t>
      </w:r>
      <w:r w:rsidRPr="004479C6" w:rsidR="00814352">
        <w:t xml:space="preserve"> (housing for lower-income or formerly homeless individuals</w:t>
      </w:r>
      <w:r w:rsidRPr="004479C6" w:rsidR="00FA7B89">
        <w:t xml:space="preserve"> not affiliated with the university</w:t>
      </w:r>
      <w:r w:rsidRPr="004479C6" w:rsidR="00814352">
        <w:t>)</w:t>
      </w:r>
      <w:r w:rsidRPr="004479C6">
        <w:t>.</w:t>
      </w:r>
    </w:p>
    <w:p w:rsidR="00E93EA3" w:rsidRPr="004479C6" w:rsidP="00DC104D" w14:paraId="553BEDAA" w14:textId="77777777">
      <w:pPr>
        <w:ind w:firstLine="720"/>
      </w:pPr>
      <w:r w:rsidRPr="004479C6">
        <w:t xml:space="preserve">In the summer of 2021, the Regents certified an EIR </w:t>
      </w:r>
      <w:r w:rsidRPr="004479C6" w:rsidR="00136D64">
        <w:t xml:space="preserve">(the 2021 EIR) </w:t>
      </w:r>
      <w:r w:rsidRPr="004479C6">
        <w:t>that included both a “program” EIR (CEQA Guidelines, § 15168)</w:t>
      </w:r>
      <w:r>
        <w:rPr>
          <w:rStyle w:val="FootnoteReference"/>
        </w:rPr>
        <w:footnoteReference w:id="9"/>
      </w:r>
      <w:r w:rsidRPr="004479C6">
        <w:t xml:space="preserve"> designed to identify and assess potential environmental impacts from the approval and implementation of the 2021 LRDP,</w:t>
      </w:r>
      <w:r>
        <w:rPr>
          <w:rStyle w:val="FootnoteReference"/>
        </w:rPr>
        <w:footnoteReference w:id="10"/>
      </w:r>
      <w:r w:rsidRPr="004479C6">
        <w:t xml:space="preserve"> and a “project” EIR (CEQA Guidelines, § 15161)</w:t>
      </w:r>
      <w:r>
        <w:rPr>
          <w:rStyle w:val="FootnoteReference"/>
        </w:rPr>
        <w:footnoteReference w:id="11"/>
      </w:r>
      <w:r w:rsidRPr="004479C6">
        <w:t xml:space="preserve"> designed to evaluate the implementation of two specific development projects</w:t>
      </w:r>
      <w:r w:rsidRPr="004479C6" w:rsidR="00C8389E">
        <w:t xml:space="preserve">, </w:t>
      </w:r>
      <w:r w:rsidRPr="004479C6" w:rsidR="00622734">
        <w:t>one of which is Housing Project No.</w:t>
      </w:r>
      <w:r w:rsidRPr="004479C6" w:rsidR="00D14A69">
        <w:t> </w:t>
      </w:r>
      <w:r w:rsidRPr="004479C6" w:rsidR="00622734">
        <w:t>2</w:t>
      </w:r>
      <w:r w:rsidRPr="004479C6" w:rsidR="00403BD4">
        <w:t>.</w:t>
      </w:r>
    </w:p>
    <w:p w:rsidR="00B04F30" w:rsidRPr="004479C6" w:rsidP="00336C1C" w14:paraId="553BEDAB" w14:textId="77777777">
      <w:pPr>
        <w:pStyle w:val="Heading2"/>
        <w:tabs>
          <w:tab w:val="clear" w:pos="1152"/>
        </w:tabs>
        <w:spacing w:line="400" w:lineRule="exact"/>
        <w:ind w:left="0" w:firstLine="0"/>
        <w:jc w:val="center"/>
      </w:pPr>
      <w:r w:rsidRPr="004479C6">
        <w:t>B.</w:t>
      </w:r>
    </w:p>
    <w:p w:rsidR="0030042E" w:rsidRPr="004479C6" w:rsidP="00DC104D" w14:paraId="553BEDAC" w14:textId="77777777">
      <w:pPr>
        <w:ind w:firstLine="720"/>
      </w:pPr>
      <w:r w:rsidRPr="004479C6">
        <w:t xml:space="preserve">In October 2021, Good Neighbor filed </w:t>
      </w:r>
      <w:r w:rsidRPr="004479C6" w:rsidR="007A1AA1">
        <w:t xml:space="preserve">the operative </w:t>
      </w:r>
      <w:r w:rsidRPr="004479C6">
        <w:t>petition for writ of mandate</w:t>
      </w:r>
      <w:r w:rsidRPr="004479C6" w:rsidR="00991B45">
        <w:t xml:space="preserve"> against </w:t>
      </w:r>
      <w:r w:rsidRPr="004479C6">
        <w:t>the Regents</w:t>
      </w:r>
      <w:r w:rsidRPr="004479C6" w:rsidR="00B56F7F">
        <w:t xml:space="preserve">, the </w:t>
      </w:r>
      <w:r w:rsidRPr="004479C6" w:rsidR="003B7EE3">
        <w:t>p</w:t>
      </w:r>
      <w:r w:rsidRPr="004479C6" w:rsidR="00B56F7F">
        <w:t xml:space="preserve">resident of </w:t>
      </w:r>
      <w:r w:rsidRPr="004479C6" w:rsidR="003B7EE3">
        <w:t xml:space="preserve">UC </w:t>
      </w:r>
      <w:r w:rsidRPr="004479C6" w:rsidR="00B56F7F">
        <w:t xml:space="preserve">Berkeley, and the Chancellor of </w:t>
      </w:r>
      <w:r w:rsidRPr="004479C6" w:rsidR="00E165A3">
        <w:t xml:space="preserve">UC </w:t>
      </w:r>
      <w:r w:rsidRPr="004479C6" w:rsidR="00B56F7F">
        <w:t>Berkeley</w:t>
      </w:r>
      <w:r w:rsidRPr="004479C6" w:rsidR="00AB0836">
        <w:t xml:space="preserve"> </w:t>
      </w:r>
      <w:r w:rsidRPr="004479C6" w:rsidR="00991B45">
        <w:t xml:space="preserve">(collectively, </w:t>
      </w:r>
      <w:r w:rsidRPr="004479C6" w:rsidR="000C2B58">
        <w:t>respondents</w:t>
      </w:r>
      <w:r w:rsidRPr="004479C6" w:rsidR="00991B45">
        <w:t>)</w:t>
      </w:r>
      <w:r w:rsidRPr="004479C6" w:rsidR="005E65DC">
        <w:t>; it</w:t>
      </w:r>
      <w:r w:rsidRPr="004479C6" w:rsidR="000C2B58">
        <w:t xml:space="preserve"> </w:t>
      </w:r>
      <w:r w:rsidRPr="004479C6" w:rsidR="007969C1">
        <w:t>nam</w:t>
      </w:r>
      <w:r w:rsidRPr="004479C6" w:rsidR="002042A1">
        <w:t>ed</w:t>
      </w:r>
      <w:r w:rsidRPr="004479C6" w:rsidR="007969C1">
        <w:t xml:space="preserve"> </w:t>
      </w:r>
      <w:r w:rsidRPr="004479C6" w:rsidR="000C2B58">
        <w:t>RCD</w:t>
      </w:r>
      <w:r w:rsidRPr="004479C6" w:rsidR="00450017">
        <w:t xml:space="preserve"> </w:t>
      </w:r>
      <w:r w:rsidRPr="004479C6" w:rsidR="000C2B58">
        <w:t>as a real party in interest</w:t>
      </w:r>
      <w:r w:rsidRPr="004479C6">
        <w:t xml:space="preserve">. </w:t>
      </w:r>
      <w:r w:rsidRPr="004479C6" w:rsidR="00C50DEB">
        <w:t xml:space="preserve"> </w:t>
      </w:r>
      <w:r w:rsidRPr="004479C6" w:rsidR="00ED500A">
        <w:t xml:space="preserve">Good Neighbor </w:t>
      </w:r>
      <w:r w:rsidRPr="004479C6">
        <w:t>allege</w:t>
      </w:r>
      <w:r w:rsidRPr="004479C6" w:rsidR="0033747C">
        <w:t xml:space="preserve">d </w:t>
      </w:r>
      <w:r w:rsidRPr="004479C6" w:rsidR="00A25CBD">
        <w:t xml:space="preserve">that the </w:t>
      </w:r>
      <w:r w:rsidRPr="004479C6" w:rsidR="00B3673A">
        <w:t>2021 EIR “fails to lawfully assess or mitigate the Project’s</w:t>
      </w:r>
      <w:r w:rsidRPr="004479C6" w:rsidR="00705C97">
        <w:rPr>
          <w:vertAlign w:val="superscript"/>
        </w:rPr>
        <w:t>[</w:t>
      </w:r>
      <w:r>
        <w:rPr>
          <w:rStyle w:val="FootnoteReference"/>
        </w:rPr>
        <w:footnoteReference w:id="12"/>
      </w:r>
      <w:r w:rsidRPr="004479C6" w:rsidR="00705C97">
        <w:rPr>
          <w:vertAlign w:val="superscript"/>
        </w:rPr>
        <w:t>]</w:t>
      </w:r>
      <w:r w:rsidRPr="004479C6" w:rsidR="00B3673A">
        <w:t xml:space="preserve"> effects on noise pollution</w:t>
      </w:r>
      <w:r w:rsidRPr="004479C6" w:rsidR="00705C97">
        <w:t>,</w:t>
      </w:r>
      <w:r w:rsidRPr="004479C6" w:rsidR="00B3673A">
        <w:t>”</w:t>
      </w:r>
      <w:r w:rsidRPr="004479C6" w:rsidR="00705C97">
        <w:t xml:space="preserve"> and</w:t>
      </w:r>
      <w:r w:rsidRPr="004479C6" w:rsidR="00B3673A">
        <w:t xml:space="preserve"> </w:t>
      </w:r>
      <w:r w:rsidRPr="004479C6" w:rsidR="003D291F">
        <w:t>“[f]ails to analyze a range of reasonable alternatives.”</w:t>
      </w:r>
      <w:r w:rsidRPr="004479C6" w:rsidR="007857C2">
        <w:t xml:space="preserve"> </w:t>
      </w:r>
      <w:r w:rsidRPr="004479C6" w:rsidR="00002F17">
        <w:t xml:space="preserve"> </w:t>
      </w:r>
      <w:r w:rsidRPr="004479C6" w:rsidR="008D0275">
        <w:t xml:space="preserve">The writ petition </w:t>
      </w:r>
      <w:r w:rsidRPr="004479C6">
        <w:t>ask</w:t>
      </w:r>
      <w:r w:rsidRPr="004479C6" w:rsidR="0033747C">
        <w:t>ed</w:t>
      </w:r>
      <w:r w:rsidRPr="004479C6">
        <w:t xml:space="preserve"> the </w:t>
      </w:r>
      <w:r w:rsidRPr="004479C6" w:rsidR="008873FA">
        <w:t xml:space="preserve">trial </w:t>
      </w:r>
      <w:r w:rsidRPr="004479C6">
        <w:t xml:space="preserve">court to void the approvals of the </w:t>
      </w:r>
      <w:r w:rsidRPr="004479C6" w:rsidR="005E1E3B">
        <w:t xml:space="preserve">2021 </w:t>
      </w:r>
      <w:r w:rsidRPr="004479C6" w:rsidR="00EE64D6">
        <w:t>LRDP</w:t>
      </w:r>
      <w:r w:rsidRPr="004479C6">
        <w:t xml:space="preserve"> and </w:t>
      </w:r>
      <w:r w:rsidRPr="004479C6" w:rsidR="009D144D">
        <w:t>Housing Project No.</w:t>
      </w:r>
      <w:r w:rsidRPr="004479C6" w:rsidR="007D3A1D">
        <w:t> </w:t>
      </w:r>
      <w:r w:rsidRPr="004479C6" w:rsidR="009D144D">
        <w:t>2</w:t>
      </w:r>
      <w:r w:rsidRPr="004479C6" w:rsidR="005E1E3B">
        <w:t xml:space="preserve"> and</w:t>
      </w:r>
      <w:r w:rsidRPr="004479C6" w:rsidR="00622734">
        <w:t xml:space="preserve"> </w:t>
      </w:r>
      <w:r w:rsidRPr="004479C6" w:rsidR="00DE52A0">
        <w:t xml:space="preserve">to </w:t>
      </w:r>
      <w:r w:rsidRPr="004479C6" w:rsidR="00622734">
        <w:t xml:space="preserve">void </w:t>
      </w:r>
      <w:r w:rsidRPr="004479C6">
        <w:t xml:space="preserve">the certification of the </w:t>
      </w:r>
      <w:r w:rsidRPr="004479C6" w:rsidR="005E1E3B">
        <w:t xml:space="preserve">2021 </w:t>
      </w:r>
      <w:r w:rsidRPr="004479C6">
        <w:t>EIR.</w:t>
      </w:r>
    </w:p>
    <w:p w:rsidR="00F325A4" w:rsidRPr="004479C6" w:rsidP="00DC104D" w14:paraId="553BEDAD" w14:textId="77777777">
      <w:pPr>
        <w:ind w:firstLine="720"/>
      </w:pPr>
      <w:r w:rsidRPr="004479C6">
        <w:t xml:space="preserve">In a supporting brief, Good Neighbor argued </w:t>
      </w:r>
      <w:r w:rsidRPr="004479C6" w:rsidR="00104A95">
        <w:t xml:space="preserve">the </w:t>
      </w:r>
      <w:r w:rsidRPr="004479C6" w:rsidR="007317B8">
        <w:t xml:space="preserve">2021 EIR’s </w:t>
      </w:r>
      <w:r w:rsidRPr="004479C6" w:rsidR="00104A95">
        <w:t>analysis of s</w:t>
      </w:r>
      <w:r w:rsidRPr="004479C6" w:rsidR="00394FC6">
        <w:t>ocial noise</w:t>
      </w:r>
      <w:r w:rsidRPr="004479C6" w:rsidR="00410647">
        <w:t xml:space="preserve"> </w:t>
      </w:r>
      <w:r w:rsidRPr="004479C6" w:rsidR="00394FC6">
        <w:t>was inadequate</w:t>
      </w:r>
      <w:r w:rsidRPr="004479C6" w:rsidR="00EA0C04">
        <w:t xml:space="preserve"> </w:t>
      </w:r>
      <w:r w:rsidRPr="004479C6" w:rsidR="00AA0BD9">
        <w:t xml:space="preserve">because it </w:t>
      </w:r>
      <w:r w:rsidRPr="004479C6" w:rsidR="003719C1">
        <w:t xml:space="preserve">failed to adequately study </w:t>
      </w:r>
      <w:r w:rsidRPr="004479C6" w:rsidR="006405E1">
        <w:t>“student party and pedestrian noise disturbances</w:t>
      </w:r>
      <w:r w:rsidRPr="004479C6" w:rsidR="00477762">
        <w:t>.</w:t>
      </w:r>
      <w:r w:rsidRPr="004479C6" w:rsidR="006405E1">
        <w:t xml:space="preserve">” </w:t>
      </w:r>
      <w:r w:rsidRPr="004479C6" w:rsidR="00C17DF7">
        <w:t xml:space="preserve"> Good Neighbor cited </w:t>
      </w:r>
      <w:r w:rsidRPr="004479C6" w:rsidR="00E624B5">
        <w:t>a report from a noise expert who opined</w:t>
      </w:r>
      <w:r w:rsidRPr="004479C6" w:rsidR="00F122E8">
        <w:t xml:space="preserve"> both</w:t>
      </w:r>
      <w:r w:rsidRPr="004479C6" w:rsidR="00E624B5">
        <w:t xml:space="preserve"> that “vocal noise from house parties and from late-night pedestrians will exceed the residential Exterior Noise Limits adopted by the </w:t>
      </w:r>
      <w:r w:rsidRPr="004479C6" w:rsidR="00693501">
        <w:t>[2021]</w:t>
      </w:r>
      <w:r w:rsidRPr="004479C6" w:rsidR="001107B2">
        <w:t xml:space="preserve"> </w:t>
      </w:r>
      <w:r w:rsidRPr="004479C6" w:rsidR="00E624B5">
        <w:t>EIR as a threshold of significance</w:t>
      </w:r>
      <w:r w:rsidRPr="004479C6" w:rsidR="00693501">
        <w:t>,”</w:t>
      </w:r>
      <w:r>
        <w:rPr>
          <w:rStyle w:val="FootnoteReference"/>
        </w:rPr>
        <w:footnoteReference w:id="13"/>
      </w:r>
      <w:r w:rsidRPr="004479C6" w:rsidR="00693501">
        <w:t xml:space="preserve"> and that </w:t>
      </w:r>
      <w:r w:rsidRPr="004479C6" w:rsidR="00F122E8">
        <w:t xml:space="preserve">“there is no effective physical or regulatory mitigation to avoid these increased incidences of significant impacts from late night drunken pedestrians or unruly student parties.”  </w:t>
      </w:r>
      <w:r w:rsidRPr="004479C6" w:rsidR="00D441A6">
        <w:t xml:space="preserve">Good Neighbor noted that the noise expert relied on </w:t>
      </w:r>
      <w:r w:rsidRPr="004479C6" w:rsidR="00C920B2">
        <w:t>a</w:t>
      </w:r>
      <w:r w:rsidRPr="004479C6" w:rsidR="00D441A6">
        <w:t xml:space="preserve"> history of noise complaints and </w:t>
      </w:r>
      <w:r w:rsidRPr="004479C6" w:rsidR="00F32E0C">
        <w:t xml:space="preserve">failed </w:t>
      </w:r>
      <w:r w:rsidRPr="004479C6" w:rsidR="00D441A6">
        <w:t>abatement efforts document</w:t>
      </w:r>
      <w:r w:rsidRPr="004479C6" w:rsidR="00C920B2">
        <w:t>ed</w:t>
      </w:r>
      <w:r w:rsidRPr="004479C6" w:rsidR="00D441A6">
        <w:t xml:space="preserve"> </w:t>
      </w:r>
      <w:r w:rsidRPr="004479C6" w:rsidR="00675694">
        <w:t xml:space="preserve">in a letter </w:t>
      </w:r>
      <w:r w:rsidRPr="004479C6" w:rsidR="00D441A6">
        <w:t xml:space="preserve">by a leader </w:t>
      </w:r>
      <w:r w:rsidRPr="004479C6" w:rsidR="00622E5B">
        <w:t>of</w:t>
      </w:r>
      <w:r w:rsidRPr="004479C6" w:rsidR="006365B9">
        <w:t xml:space="preserve"> </w:t>
      </w:r>
      <w:r w:rsidRPr="004479C6" w:rsidR="00985A83">
        <w:t>a</w:t>
      </w:r>
      <w:r w:rsidRPr="004479C6" w:rsidR="00FB510D">
        <w:t xml:space="preserve"> </w:t>
      </w:r>
      <w:r w:rsidR="003B1FD9">
        <w:t>program funded by UC Berkeley</w:t>
      </w:r>
      <w:r w:rsidRPr="004479C6" w:rsidR="00985A83">
        <w:t xml:space="preserve"> called Happy Neighbors</w:t>
      </w:r>
      <w:r w:rsidRPr="004479C6" w:rsidR="006365B9">
        <w:t>.</w:t>
      </w:r>
      <w:r w:rsidRPr="004479C6" w:rsidR="00DE2809">
        <w:t xml:space="preserve"> </w:t>
      </w:r>
      <w:r w:rsidRPr="004479C6" w:rsidR="00984922">
        <w:t xml:space="preserve"> </w:t>
      </w:r>
      <w:r w:rsidRPr="004479C6" w:rsidR="00C920B2">
        <w:t xml:space="preserve">Good Neighbor </w:t>
      </w:r>
      <w:r w:rsidRPr="004479C6" w:rsidR="00440C45">
        <w:t xml:space="preserve">also </w:t>
      </w:r>
      <w:r w:rsidRPr="004479C6" w:rsidR="00C920B2">
        <w:t>argued</w:t>
      </w:r>
      <w:r w:rsidRPr="004479C6" w:rsidR="00440C45">
        <w:t xml:space="preserve"> that the</w:t>
      </w:r>
      <w:r w:rsidRPr="004479C6" w:rsidR="00F0076D">
        <w:t xml:space="preserve"> 2021 EIR was </w:t>
      </w:r>
      <w:r w:rsidRPr="004479C6" w:rsidR="00A84003">
        <w:t xml:space="preserve">deficient for failing to study </w:t>
      </w:r>
      <w:r w:rsidRPr="004479C6" w:rsidR="00CC38D3">
        <w:t>alternative locations for Housing Project No.</w:t>
      </w:r>
      <w:r w:rsidRPr="004479C6" w:rsidR="00531D73">
        <w:t> </w:t>
      </w:r>
      <w:r w:rsidRPr="004479C6" w:rsidR="00CC38D3">
        <w:t>2.</w:t>
      </w:r>
    </w:p>
    <w:p w:rsidR="004D4C3D" w:rsidRPr="004479C6" w:rsidP="00DC104D" w14:paraId="553BEDAE" w14:textId="77777777">
      <w:pPr>
        <w:ind w:firstLine="720"/>
      </w:pPr>
      <w:r w:rsidRPr="004479C6">
        <w:t>In opposition to</w:t>
      </w:r>
      <w:r w:rsidRPr="004479C6" w:rsidR="004953E6">
        <w:t xml:space="preserve"> Good Neighbor’s social noise c</w:t>
      </w:r>
      <w:r w:rsidRPr="004479C6" w:rsidR="003F5A0F">
        <w:t xml:space="preserve">laim, </w:t>
      </w:r>
      <w:r w:rsidR="00E83BC6">
        <w:t xml:space="preserve">respondents </w:t>
      </w:r>
      <w:r w:rsidRPr="004479C6" w:rsidR="003F5A0F">
        <w:t xml:space="preserve">and RCD argued that Good Neighbor failed to cite any legal authority for the proposition </w:t>
      </w:r>
      <w:r w:rsidRPr="004479C6" w:rsidR="00813960">
        <w:t xml:space="preserve">that </w:t>
      </w:r>
      <w:r w:rsidRPr="004479C6" w:rsidR="009E5E5F">
        <w:t xml:space="preserve">the </w:t>
      </w:r>
      <w:r w:rsidRPr="004479C6" w:rsidR="00BF76D5">
        <w:t>Regents</w:t>
      </w:r>
      <w:r w:rsidRPr="004479C6" w:rsidR="00813960">
        <w:t xml:space="preserve"> were required to study such impacts</w:t>
      </w:r>
      <w:r w:rsidRPr="004479C6" w:rsidR="00B94581">
        <w:t>,</w:t>
      </w:r>
      <w:r w:rsidRPr="004479C6" w:rsidR="00813960">
        <w:t xml:space="preserve"> and </w:t>
      </w:r>
      <w:r w:rsidRPr="004479C6" w:rsidR="004060BB">
        <w:t xml:space="preserve">they </w:t>
      </w:r>
      <w:r w:rsidRPr="004479C6" w:rsidR="00B94581">
        <w:t xml:space="preserve">maintained </w:t>
      </w:r>
      <w:r w:rsidRPr="004479C6" w:rsidR="00813960">
        <w:t>that</w:t>
      </w:r>
      <w:r w:rsidRPr="004479C6" w:rsidR="004060BB">
        <w:t xml:space="preserve"> no such authority </w:t>
      </w:r>
      <w:r w:rsidRPr="004479C6" w:rsidR="00813960">
        <w:t>exist</w:t>
      </w:r>
      <w:r w:rsidRPr="004479C6" w:rsidR="00FB510D">
        <w:t>ed</w:t>
      </w:r>
      <w:r w:rsidRPr="004479C6" w:rsidR="00813960">
        <w:t xml:space="preserve">.  </w:t>
      </w:r>
      <w:r w:rsidRPr="004479C6" w:rsidR="009E5E5F">
        <w:t>The</w:t>
      </w:r>
      <w:r w:rsidRPr="004479C6" w:rsidR="00DE4688">
        <w:t>y</w:t>
      </w:r>
      <w:r w:rsidRPr="004479C6" w:rsidR="00813960">
        <w:t xml:space="preserve"> further </w:t>
      </w:r>
      <w:r w:rsidRPr="004479C6" w:rsidR="006A3513">
        <w:t>contend</w:t>
      </w:r>
      <w:r w:rsidRPr="004479C6" w:rsidR="00813960">
        <w:t xml:space="preserve">ed that Good </w:t>
      </w:r>
      <w:r w:rsidRPr="004479C6" w:rsidR="002A144F">
        <w:t xml:space="preserve">Neighbor’s “argument assumes, without evidence, that additional students would generate substantial late night noise impacts simply because they are students,” and that </w:t>
      </w:r>
      <w:r w:rsidRPr="004479C6" w:rsidR="003739B2">
        <w:t>Good Neighbor’s</w:t>
      </w:r>
      <w:r w:rsidRPr="004479C6" w:rsidR="002A144F">
        <w:t xml:space="preserve"> </w:t>
      </w:r>
      <w:r w:rsidRPr="004479C6" w:rsidR="003739B2">
        <w:t xml:space="preserve">supporting </w:t>
      </w:r>
      <w:r w:rsidRPr="004479C6" w:rsidR="0021477F">
        <w:t xml:space="preserve">letters from </w:t>
      </w:r>
      <w:r w:rsidRPr="004479C6" w:rsidR="003739B2">
        <w:t>the</w:t>
      </w:r>
      <w:r w:rsidRPr="004479C6" w:rsidR="0021477F">
        <w:t xml:space="preserve"> </w:t>
      </w:r>
      <w:r w:rsidRPr="004479C6" w:rsidR="00C43706">
        <w:t xml:space="preserve">noise expert and </w:t>
      </w:r>
      <w:r w:rsidRPr="004479C6" w:rsidR="0021477F">
        <w:t xml:space="preserve">the leader of the </w:t>
      </w:r>
      <w:r w:rsidRPr="004479C6" w:rsidR="00C43706">
        <w:t xml:space="preserve">Happy Neighbors </w:t>
      </w:r>
      <w:r w:rsidRPr="004479C6" w:rsidR="0021477F">
        <w:t xml:space="preserve">organization were “based upon speculation” rather than substantial evidence. </w:t>
      </w:r>
      <w:r w:rsidRPr="004479C6">
        <w:t xml:space="preserve"> </w:t>
      </w:r>
      <w:r w:rsidR="00E83BC6">
        <w:t>Respondents</w:t>
      </w:r>
      <w:r w:rsidRPr="004479C6" w:rsidR="009F5224">
        <w:t xml:space="preserve"> and RCD also argued that they were not required to </w:t>
      </w:r>
      <w:r w:rsidRPr="004479C6" w:rsidR="00A42DFC">
        <w:t>analyze infeasible off-site project location alternatives to Housing Project No.</w:t>
      </w:r>
      <w:r w:rsidRPr="004479C6" w:rsidR="007D3A1D">
        <w:t> </w:t>
      </w:r>
      <w:r w:rsidRPr="004479C6" w:rsidR="00A42DFC">
        <w:t>2.</w:t>
      </w:r>
    </w:p>
    <w:p w:rsidR="00B04F30" w:rsidRPr="004479C6" w:rsidP="00DC104D" w14:paraId="553BEDAF" w14:textId="77777777">
      <w:pPr>
        <w:ind w:firstLine="720"/>
      </w:pPr>
      <w:r w:rsidRPr="004479C6">
        <w:t xml:space="preserve">The trial court </w:t>
      </w:r>
      <w:r w:rsidRPr="004479C6" w:rsidR="00997F5F">
        <w:t xml:space="preserve">denied the petition. </w:t>
      </w:r>
      <w:r w:rsidRPr="004479C6" w:rsidR="00D63A6D">
        <w:t xml:space="preserve"> </w:t>
      </w:r>
      <w:r w:rsidRPr="004479C6" w:rsidR="00E70D05">
        <w:t xml:space="preserve">With respect to </w:t>
      </w:r>
      <w:r w:rsidRPr="004479C6" w:rsidR="00220FB0">
        <w:t>Good Neighbor’s</w:t>
      </w:r>
      <w:r w:rsidRPr="004479C6" w:rsidR="00E70D05">
        <w:t xml:space="preserve"> social noise c</w:t>
      </w:r>
      <w:r w:rsidRPr="004479C6" w:rsidR="00220FB0">
        <w:t>laim</w:t>
      </w:r>
      <w:r w:rsidRPr="004479C6" w:rsidR="00E70D05">
        <w:t xml:space="preserve">, the court found that </w:t>
      </w:r>
      <w:r w:rsidRPr="004479C6" w:rsidR="00D65519">
        <w:t xml:space="preserve">comment letters from the noise expert and the </w:t>
      </w:r>
      <w:r w:rsidRPr="004479C6" w:rsidR="00985A83">
        <w:t>leader</w:t>
      </w:r>
      <w:r w:rsidRPr="004479C6" w:rsidR="00723B44">
        <w:t xml:space="preserve"> of Happy Neighbors</w:t>
      </w:r>
      <w:r w:rsidRPr="004479C6" w:rsidR="00985A83">
        <w:t xml:space="preserve"> </w:t>
      </w:r>
      <w:r w:rsidRPr="004479C6" w:rsidR="0032450F">
        <w:t xml:space="preserve">were unpersuasive </w:t>
      </w:r>
      <w:r w:rsidRPr="004479C6" w:rsidR="000C1795">
        <w:t xml:space="preserve">because they were “based upon speculation.”  </w:t>
      </w:r>
      <w:r w:rsidRPr="004479C6" w:rsidR="00B135E2">
        <w:t xml:space="preserve">As to the </w:t>
      </w:r>
      <w:r w:rsidRPr="004479C6" w:rsidR="00C41C62">
        <w:t>Regents’ alleged failure to consider alternatives</w:t>
      </w:r>
      <w:r w:rsidRPr="004479C6" w:rsidR="00B135E2">
        <w:t xml:space="preserve"> </w:t>
      </w:r>
      <w:r w:rsidRPr="004479C6" w:rsidR="00C41C62">
        <w:t>to Housing Project No. 2</w:t>
      </w:r>
      <w:r w:rsidRPr="004479C6" w:rsidR="00673B19">
        <w:t>, t</w:t>
      </w:r>
      <w:r w:rsidRPr="004479C6" w:rsidR="000B003B">
        <w:t>h</w:t>
      </w:r>
      <w:r w:rsidRPr="004479C6" w:rsidR="002034B4">
        <w:t xml:space="preserve">e </w:t>
      </w:r>
      <w:r w:rsidRPr="004479C6" w:rsidR="000B003B">
        <w:t xml:space="preserve">court </w:t>
      </w:r>
      <w:r w:rsidRPr="004479C6" w:rsidR="003763C0">
        <w:t>determined</w:t>
      </w:r>
      <w:r w:rsidRPr="004479C6" w:rsidR="00673B19">
        <w:t xml:space="preserve"> that the Regents</w:t>
      </w:r>
      <w:r w:rsidRPr="004479C6" w:rsidR="003B3849">
        <w:t>’</w:t>
      </w:r>
      <w:r w:rsidRPr="004479C6" w:rsidR="004A5083">
        <w:t xml:space="preserve"> </w:t>
      </w:r>
      <w:r w:rsidRPr="004479C6" w:rsidR="00673B19">
        <w:t xml:space="preserve">“determination to not consider off-site alternatives </w:t>
      </w:r>
      <w:r w:rsidRPr="004479C6" w:rsidR="00622734">
        <w:t>[was]</w:t>
      </w:r>
      <w:r w:rsidRPr="004479C6" w:rsidR="00673B19">
        <w:t xml:space="preserve"> not a violation of CEQA as off-site development would not satisfy most of the project objectives, nor avoid or substantially lessen the significant effects of the People’s Park project.”</w:t>
      </w:r>
    </w:p>
    <w:p w:rsidR="00AA0BD9" w:rsidRPr="004479C6" w:rsidP="00DC104D" w14:paraId="553BEDB0" w14:textId="77777777">
      <w:pPr>
        <w:ind w:firstLine="720"/>
      </w:pPr>
      <w:r w:rsidRPr="004479C6">
        <w:t xml:space="preserve">The </w:t>
      </w:r>
      <w:r w:rsidRPr="004479C6">
        <w:rPr>
          <w:i/>
          <w:iCs/>
        </w:rPr>
        <w:t>Make UC</w:t>
      </w:r>
      <w:r w:rsidRPr="004479C6">
        <w:t xml:space="preserve"> court reversed the trial court’s judgment and remanded the matter with directions that the trial court vacate its order and judgment denying Good Neighbor’s petition for writ of mandate.  (</w:t>
      </w:r>
      <w:bookmarkStart w:id="10" w:name="dabmci_137a1a40f876445fa9821c7e74872294"/>
      <w:r w:rsidRPr="004479C6">
        <w:rPr>
          <w:i/>
          <w:iCs/>
        </w:rPr>
        <w:t>Make UC</w:t>
      </w:r>
      <w:r w:rsidRPr="004479C6">
        <w:t xml:space="preserve">, </w:t>
      </w:r>
      <w:r w:rsidRPr="004479C6">
        <w:rPr>
          <w:i/>
          <w:iCs/>
        </w:rPr>
        <w:t>supra</w:t>
      </w:r>
      <w:r w:rsidRPr="004479C6">
        <w:t>, 88 Cal.App.5th at p. 695</w:t>
      </w:r>
      <w:bookmarkEnd w:id="10"/>
      <w:r w:rsidRPr="004479C6">
        <w:t>.)  The Court of Appeal further directed that the trial court enter a modified judgment consistent with the appellate court’s conclusions that the 2021 EIR was inadequate because it failed to study social noise impacts and because it failed to consider potential alternatives to Housing Project No. 2.  (</w:t>
      </w:r>
      <w:bookmarkStart w:id="11" w:name="dabmci_63d49b701c3e4a0dacd68d4bf2cff82c"/>
      <w:r w:rsidRPr="004479C6">
        <w:rPr>
          <w:i/>
          <w:iCs/>
        </w:rPr>
        <w:t>Ibid</w:t>
      </w:r>
      <w:r w:rsidRPr="004479C6">
        <w:t>.</w:t>
      </w:r>
      <w:bookmarkEnd w:id="11"/>
      <w:r w:rsidRPr="004479C6">
        <w:t>)</w:t>
      </w:r>
    </w:p>
    <w:p w:rsidR="00553DE3" w:rsidRPr="004479C6" w:rsidP="00DC104D" w14:paraId="553BEDB1" w14:textId="77777777">
      <w:pPr>
        <w:ind w:firstLine="720"/>
      </w:pPr>
      <w:r w:rsidRPr="004479C6">
        <w:t>With respect to noise</w:t>
      </w:r>
      <w:r w:rsidRPr="004479C6" w:rsidR="00002F17">
        <w:t xml:space="preserve"> impacts</w:t>
      </w:r>
      <w:r w:rsidRPr="004479C6">
        <w:t xml:space="preserve">, </w:t>
      </w:r>
      <w:r w:rsidRPr="004479C6" w:rsidR="00393D84">
        <w:t xml:space="preserve">the </w:t>
      </w:r>
      <w:r w:rsidRPr="004479C6" w:rsidR="00393D84">
        <w:rPr>
          <w:i/>
          <w:iCs/>
        </w:rPr>
        <w:t>Make UC</w:t>
      </w:r>
      <w:r w:rsidRPr="004479C6" w:rsidR="00393D84">
        <w:t xml:space="preserve"> court agreed with Good Neighbor that</w:t>
      </w:r>
      <w:r w:rsidRPr="004479C6" w:rsidR="008522EE">
        <w:t xml:space="preserve">, </w:t>
      </w:r>
      <w:r w:rsidRPr="004479C6" w:rsidR="00393D84">
        <w:t xml:space="preserve">as to both </w:t>
      </w:r>
      <w:r w:rsidRPr="004479C6" w:rsidR="005008DB">
        <w:t xml:space="preserve">the </w:t>
      </w:r>
      <w:r w:rsidRPr="004479C6" w:rsidR="00393D84">
        <w:t>2021 LRDP and Housing Project No.</w:t>
      </w:r>
      <w:r w:rsidRPr="004479C6" w:rsidR="009E6B1E">
        <w:t> </w:t>
      </w:r>
      <w:r w:rsidRPr="004479C6" w:rsidR="00393D84">
        <w:t>2</w:t>
      </w:r>
      <w:r w:rsidRPr="004479C6" w:rsidR="005008DB">
        <w:t>,</w:t>
      </w:r>
      <w:r w:rsidRPr="004479C6" w:rsidR="00622734">
        <w:t xml:space="preserve"> </w:t>
      </w:r>
      <w:r w:rsidRPr="004479C6" w:rsidR="005008DB">
        <w:t>“</w:t>
      </w:r>
      <w:r w:rsidRPr="004479C6" w:rsidR="00393D84">
        <w:t xml:space="preserve">the EIR failed to analyze potential noise impacts from loud student parties in residential areas near the campus.” </w:t>
      </w:r>
      <w:r w:rsidRPr="004479C6" w:rsidR="0094472D">
        <w:t xml:space="preserve"> </w:t>
      </w:r>
      <w:r w:rsidRPr="004479C6" w:rsidR="00393D84">
        <w:t>(</w:t>
      </w:r>
      <w:bookmarkStart w:id="12" w:name="dabmci_804feeb8cb9f4df0ac8a10c0ceba2e03"/>
      <w:r w:rsidRPr="004479C6" w:rsidR="000E1A08">
        <w:rPr>
          <w:i/>
          <w:iCs/>
        </w:rPr>
        <w:t>Make UC</w:t>
      </w:r>
      <w:r w:rsidRPr="004479C6" w:rsidR="000E1A08">
        <w:t xml:space="preserve">, </w:t>
      </w:r>
      <w:r w:rsidRPr="004479C6" w:rsidR="000E1A08">
        <w:rPr>
          <w:i/>
          <w:iCs/>
        </w:rPr>
        <w:t>supra</w:t>
      </w:r>
      <w:r w:rsidRPr="004479C6" w:rsidR="000E1A08">
        <w:t>, 88</w:t>
      </w:r>
      <w:r w:rsidRPr="004479C6" w:rsidR="00E76FDC">
        <w:t> </w:t>
      </w:r>
      <w:r w:rsidRPr="004479C6" w:rsidR="000E1A08">
        <w:t xml:space="preserve">Cal.App.5th </w:t>
      </w:r>
      <w:r w:rsidRPr="004479C6" w:rsidR="00393D84">
        <w:t>at p.</w:t>
      </w:r>
      <w:r w:rsidRPr="004479C6" w:rsidR="00E76FDC">
        <w:t> </w:t>
      </w:r>
      <w:r w:rsidRPr="004479C6" w:rsidR="00393D84">
        <w:t>685</w:t>
      </w:r>
      <w:bookmarkEnd w:id="12"/>
      <w:r w:rsidRPr="004479C6" w:rsidR="00393D84">
        <w:t xml:space="preserve">.) </w:t>
      </w:r>
      <w:r w:rsidRPr="004479C6" w:rsidR="00F746FD">
        <w:t xml:space="preserve"> </w:t>
      </w:r>
      <w:r w:rsidRPr="004479C6" w:rsidR="00B10BDD">
        <w:t xml:space="preserve">After noting that </w:t>
      </w:r>
      <w:r w:rsidRPr="004479C6" w:rsidR="0045538C">
        <w:t xml:space="preserve">“CEQA includes </w:t>
      </w:r>
      <w:r w:rsidRPr="004479C6" w:rsidR="00992113">
        <w:t>‘</w:t>
      </w:r>
      <w:r w:rsidRPr="004479C6" w:rsidR="0045538C">
        <w:t>noise</w:t>
      </w:r>
      <w:r w:rsidRPr="004479C6" w:rsidR="00992113">
        <w:t>’</w:t>
      </w:r>
      <w:r w:rsidRPr="004479C6" w:rsidR="0045538C">
        <w:t xml:space="preserve"> as part of the </w:t>
      </w:r>
      <w:r w:rsidRPr="004479C6" w:rsidR="00467F73">
        <w:t>‘ </w:t>
      </w:r>
      <w:r w:rsidRPr="004479C6" w:rsidR="0045538C">
        <w:t>“[e]nvironment</w:t>
      </w:r>
      <w:r w:rsidRPr="004479C6" w:rsidR="00467F73">
        <w:t>” </w:t>
      </w:r>
      <w:r w:rsidRPr="004479C6" w:rsidR="0045538C">
        <w:t>’</w:t>
      </w:r>
      <w:r w:rsidRPr="004479C6" w:rsidR="00E76FDC">
        <w:t> </w:t>
      </w:r>
      <w:r w:rsidRPr="004479C6" w:rsidR="0045538C">
        <w:t>” (</w:t>
      </w:r>
      <w:bookmarkStart w:id="13" w:name="dabmci_b5c701c3a9b14319876e7c62cc0c7bc7"/>
      <w:r w:rsidRPr="004479C6" w:rsidR="00CE6C24">
        <w:rPr>
          <w:i/>
          <w:iCs/>
        </w:rPr>
        <w:t>i</w:t>
      </w:r>
      <w:r w:rsidRPr="004479C6" w:rsidR="00E14E7B">
        <w:rPr>
          <w:i/>
          <w:iCs/>
        </w:rPr>
        <w:t>bid</w:t>
      </w:r>
      <w:bookmarkEnd w:id="13"/>
      <w:r w:rsidRPr="004479C6" w:rsidR="00E14E7B">
        <w:t xml:space="preserve">., quoting </w:t>
      </w:r>
      <w:r w:rsidRPr="004479C6" w:rsidR="0045538C">
        <w:t>§§</w:t>
      </w:r>
      <w:r w:rsidRPr="004479C6" w:rsidR="00987101">
        <w:t> </w:t>
      </w:r>
      <w:r w:rsidRPr="004479C6" w:rsidR="0045538C">
        <w:t>21060.5, 21068)</w:t>
      </w:r>
      <w:r w:rsidRPr="004479C6" w:rsidR="00FF144A">
        <w:t>,</w:t>
      </w:r>
      <w:r w:rsidRPr="004479C6" w:rsidR="0045538C">
        <w:t xml:space="preserve"> </w:t>
      </w:r>
      <w:r w:rsidRPr="004479C6" w:rsidR="00E14E7B">
        <w:t>and observing that “[t]</w:t>
      </w:r>
      <w:r w:rsidRPr="004479C6" w:rsidR="0045538C">
        <w:t>he Legislature has declared that it is the state</w:t>
      </w:r>
      <w:r w:rsidRPr="004479C6" w:rsidR="00EE6962">
        <w:t>’</w:t>
      </w:r>
      <w:r w:rsidRPr="004479C6" w:rsidR="0045538C">
        <w:t xml:space="preserve">s policy to </w:t>
      </w:r>
      <w:r w:rsidRPr="004479C6" w:rsidR="0063326F">
        <w:t>‘</w:t>
      </w:r>
      <w:r w:rsidRPr="004479C6" w:rsidR="0045538C">
        <w:t>[t]ake all action necessary to provide the people of this state with</w:t>
      </w:r>
      <w:r w:rsidRPr="004479C6" w:rsidR="00744743">
        <w:t> </w:t>
      </w:r>
      <w:r w:rsidRPr="004479C6" w:rsidR="0045538C">
        <w:t>.</w:t>
      </w:r>
      <w:r w:rsidRPr="004479C6" w:rsidR="00987101">
        <w:t> </w:t>
      </w:r>
      <w:r w:rsidRPr="004479C6" w:rsidR="0045538C">
        <w:t>.</w:t>
      </w:r>
      <w:r w:rsidRPr="004479C6" w:rsidR="00987101">
        <w:t> </w:t>
      </w:r>
      <w:r w:rsidRPr="004479C6" w:rsidR="0045538C">
        <w:t>. freedom from excessive noise</w:t>
      </w:r>
      <w:r w:rsidRPr="00B37079" w:rsidR="0063326F">
        <w:t>’ </w:t>
      </w:r>
      <w:r w:rsidRPr="00B37079" w:rsidR="0045538C">
        <w:t>” (</w:t>
      </w:r>
      <w:r w:rsidRPr="004479C6" w:rsidR="00811550">
        <w:rPr>
          <w:i/>
          <w:iCs/>
        </w:rPr>
        <w:t>Make UC</w:t>
      </w:r>
      <w:r w:rsidRPr="004479C6" w:rsidR="0045538C">
        <w:t>,</w:t>
      </w:r>
      <w:r w:rsidRPr="004479C6" w:rsidR="00811550">
        <w:t xml:space="preserve"> </w:t>
      </w:r>
      <w:bookmarkStart w:id="14" w:name="dabmci_449fdbced53c41c1836a87e6bbaa6ede"/>
      <w:r w:rsidRPr="004479C6" w:rsidR="00811550">
        <w:t>at p.</w:t>
      </w:r>
      <w:r w:rsidRPr="004479C6" w:rsidR="00987101">
        <w:t> </w:t>
      </w:r>
      <w:r w:rsidRPr="004479C6" w:rsidR="00811550">
        <w:t>685</w:t>
      </w:r>
      <w:bookmarkEnd w:id="14"/>
      <w:r w:rsidRPr="004479C6" w:rsidR="00811550">
        <w:t>, quoting</w:t>
      </w:r>
      <w:r w:rsidRPr="004479C6" w:rsidR="0045538C">
        <w:t xml:space="preserve"> §</w:t>
      </w:r>
      <w:r w:rsidRPr="004479C6" w:rsidR="00785CAA">
        <w:t> </w:t>
      </w:r>
      <w:r w:rsidRPr="004479C6" w:rsidR="0045538C">
        <w:t>21001, subd.</w:t>
      </w:r>
      <w:r w:rsidRPr="004479C6" w:rsidR="00987101">
        <w:t> </w:t>
      </w:r>
      <w:r w:rsidRPr="004479C6" w:rsidR="0045538C">
        <w:t>(b)</w:t>
      </w:r>
      <w:r w:rsidRPr="004479C6" w:rsidR="00811550">
        <w:t>), t</w:t>
      </w:r>
      <w:r w:rsidRPr="004479C6">
        <w:t xml:space="preserve">he </w:t>
      </w:r>
      <w:r w:rsidRPr="004479C6">
        <w:rPr>
          <w:i/>
          <w:iCs/>
        </w:rPr>
        <w:t>Make UC</w:t>
      </w:r>
      <w:r w:rsidRPr="004479C6">
        <w:t xml:space="preserve"> court </w:t>
      </w:r>
      <w:r w:rsidRPr="004479C6" w:rsidR="00B10BDD">
        <w:t>explain</w:t>
      </w:r>
      <w:r w:rsidRPr="004479C6" w:rsidR="00992113">
        <w:t>ed</w:t>
      </w:r>
      <w:r w:rsidRPr="004479C6">
        <w:t xml:space="preserve"> </w:t>
      </w:r>
      <w:r w:rsidRPr="004479C6" w:rsidR="00B10BDD">
        <w:t>that “CEQA applies to the type of noise at issue here</w:t>
      </w:r>
      <w:r w:rsidRPr="004479C6" w:rsidR="005A43F6">
        <w:t> </w:t>
      </w:r>
      <w:r w:rsidRPr="004479C6" w:rsidR="00B10BDD">
        <w:t>—</w:t>
      </w:r>
      <w:r w:rsidRPr="004479C6" w:rsidR="00A815E4">
        <w:t xml:space="preserve"> </w:t>
      </w:r>
      <w:r w:rsidRPr="004479C6" w:rsidR="00B10BDD">
        <w:t>crowds of people talking, laughing, shouting, and playing music that disturbs neighboring residents”</w:t>
      </w:r>
      <w:r w:rsidRPr="004479C6" w:rsidR="00EE6962">
        <w:t xml:space="preserve"> </w:t>
      </w:r>
      <w:r w:rsidRPr="004479C6" w:rsidR="00B10BDD">
        <w:t>(</w:t>
      </w:r>
      <w:r w:rsidRPr="00B37079" w:rsidR="002F00AE">
        <w:rPr>
          <w:i/>
          <w:iCs/>
        </w:rPr>
        <w:t>Make</w:t>
      </w:r>
      <w:r w:rsidRPr="004479C6" w:rsidR="002F00AE">
        <w:rPr>
          <w:i/>
          <w:iCs/>
        </w:rPr>
        <w:t xml:space="preserve"> UC</w:t>
      </w:r>
      <w:r w:rsidRPr="004479C6" w:rsidR="002F00AE">
        <w:t xml:space="preserve">, </w:t>
      </w:r>
      <w:bookmarkStart w:id="15" w:name="dabmci_ef052072ec0b4c69b82aac6f6f8d23db"/>
      <w:r w:rsidRPr="004479C6" w:rsidR="002F00AE">
        <w:t>at p. 685</w:t>
      </w:r>
      <w:bookmarkEnd w:id="15"/>
      <w:r w:rsidRPr="004479C6" w:rsidR="00B10BDD">
        <w:t>)</w:t>
      </w:r>
      <w:r w:rsidRPr="004479C6" w:rsidR="00624343">
        <w:t>.</w:t>
      </w:r>
    </w:p>
    <w:p w:rsidR="0006790C" w:rsidRPr="004479C6" w:rsidP="00DC104D" w14:paraId="553BEDB2" w14:textId="77777777">
      <w:pPr>
        <w:ind w:firstLine="720"/>
      </w:pPr>
      <w:r w:rsidRPr="004479C6">
        <w:t xml:space="preserve">The </w:t>
      </w:r>
      <w:r w:rsidRPr="004479C6">
        <w:rPr>
          <w:i/>
          <w:iCs/>
        </w:rPr>
        <w:t>Make UC</w:t>
      </w:r>
      <w:r w:rsidRPr="004479C6">
        <w:t xml:space="preserve"> court rejected</w:t>
      </w:r>
      <w:r w:rsidRPr="004479C6" w:rsidR="000E28D9">
        <w:t xml:space="preserve"> </w:t>
      </w:r>
      <w:r w:rsidRPr="004479C6" w:rsidR="008231F4">
        <w:t>argument</w:t>
      </w:r>
      <w:r w:rsidRPr="004479C6" w:rsidR="0037715D">
        <w:t>s</w:t>
      </w:r>
      <w:r w:rsidRPr="004479C6" w:rsidR="008231F4">
        <w:t xml:space="preserve"> that </w:t>
      </w:r>
      <w:r w:rsidRPr="004479C6" w:rsidR="00F81FBA">
        <w:t xml:space="preserve">Good Neighbor’s </w:t>
      </w:r>
      <w:r w:rsidRPr="004479C6" w:rsidR="00BA5AEF">
        <w:t xml:space="preserve">noise </w:t>
      </w:r>
      <w:r w:rsidRPr="004479C6" w:rsidR="00002F17">
        <w:t xml:space="preserve">impact </w:t>
      </w:r>
      <w:r w:rsidRPr="004479C6" w:rsidR="00BA5AEF">
        <w:t>claim</w:t>
      </w:r>
      <w:r w:rsidRPr="004479C6" w:rsidR="00F81FBA">
        <w:t xml:space="preserve"> was based on “</w:t>
      </w:r>
      <w:r w:rsidRPr="004479C6" w:rsidR="00763EEE">
        <w:t>opinion</w:t>
      </w:r>
      <w:r w:rsidRPr="004479C6" w:rsidR="0063326F">
        <w:t>s</w:t>
      </w:r>
      <w:r w:rsidRPr="004479C6" w:rsidR="00763EEE">
        <w:t xml:space="preserve"> and </w:t>
      </w:r>
      <w:r w:rsidRPr="004479C6" w:rsidR="00F81FBA">
        <w:t xml:space="preserve">speculation that reflect an antistudent bias” and </w:t>
      </w:r>
      <w:r w:rsidRPr="004479C6" w:rsidR="004C0ADF">
        <w:t xml:space="preserve">“stereotypes,” </w:t>
      </w:r>
      <w:r w:rsidRPr="004479C6">
        <w:t>and</w:t>
      </w:r>
      <w:r w:rsidRPr="004479C6" w:rsidR="000075A8">
        <w:t xml:space="preserve"> </w:t>
      </w:r>
      <w:r w:rsidRPr="004479C6" w:rsidR="00C62704">
        <w:t>determined</w:t>
      </w:r>
      <w:r w:rsidRPr="004479C6" w:rsidR="005053CD">
        <w:t xml:space="preserve"> that</w:t>
      </w:r>
      <w:r w:rsidRPr="004479C6" w:rsidR="0037715D">
        <w:t>,</w:t>
      </w:r>
      <w:r w:rsidRPr="004479C6" w:rsidR="00F54716">
        <w:t xml:space="preserve"> </w:t>
      </w:r>
      <w:r w:rsidRPr="004479C6" w:rsidR="0037715D">
        <w:t>“</w:t>
      </w:r>
      <w:r w:rsidRPr="004479C6" w:rsidR="005053CD">
        <w:t>[g]</w:t>
      </w:r>
      <w:r w:rsidRPr="004479C6" w:rsidR="00F54716">
        <w:t>iven the long track record of loud student parties that violate the city</w:t>
      </w:r>
      <w:r w:rsidRPr="004479C6" w:rsidR="00E458F5">
        <w:t>’</w:t>
      </w:r>
      <w:r w:rsidRPr="004479C6" w:rsidR="00F54716">
        <w:t>s noise ordinances (the threshold for significance), there is a reasonable possibility that adding thousands more students to these same residential neighborhoods would make the problem worse</w:t>
      </w:r>
      <w:r w:rsidRPr="004479C6" w:rsidR="00904CAF">
        <w:t xml:space="preserve">.” </w:t>
      </w:r>
      <w:r w:rsidRPr="004479C6" w:rsidR="007B6245">
        <w:t xml:space="preserve"> (</w:t>
      </w:r>
      <w:bookmarkStart w:id="16" w:name="dabmci_5132240a9af8425d92f4135d9c3b80c7"/>
      <w:r w:rsidRPr="004479C6" w:rsidR="005A43F6">
        <w:rPr>
          <w:i/>
          <w:iCs/>
        </w:rPr>
        <w:t>Make UC</w:t>
      </w:r>
      <w:r w:rsidRPr="004479C6" w:rsidR="005A43F6">
        <w:t xml:space="preserve">, </w:t>
      </w:r>
      <w:r w:rsidRPr="004479C6" w:rsidR="005A43F6">
        <w:rPr>
          <w:i/>
          <w:iCs/>
        </w:rPr>
        <w:t>supra</w:t>
      </w:r>
      <w:r w:rsidRPr="004479C6" w:rsidR="005A43F6">
        <w:t>, 88</w:t>
      </w:r>
      <w:r w:rsidRPr="004479C6" w:rsidR="006F54DD">
        <w:t> </w:t>
      </w:r>
      <w:r w:rsidRPr="004479C6" w:rsidR="005A43F6">
        <w:t xml:space="preserve">Cal.App.5th </w:t>
      </w:r>
      <w:r w:rsidRPr="004479C6" w:rsidR="007B6245">
        <w:t>at</w:t>
      </w:r>
      <w:r w:rsidRPr="004479C6" w:rsidR="00FF144A">
        <w:t xml:space="preserve"> </w:t>
      </w:r>
      <w:r w:rsidRPr="004479C6" w:rsidR="00FD287B">
        <w:t>p</w:t>
      </w:r>
      <w:r w:rsidRPr="004479C6" w:rsidR="007B6245">
        <w:t>p.</w:t>
      </w:r>
      <w:r w:rsidRPr="004479C6" w:rsidR="00FF144A">
        <w:t> </w:t>
      </w:r>
      <w:r w:rsidRPr="004479C6" w:rsidR="007B6245">
        <w:t xml:space="preserve">687, 688, </w:t>
      </w:r>
      <w:r w:rsidRPr="004479C6" w:rsidR="00FD287B">
        <w:t>689</w:t>
      </w:r>
      <w:bookmarkEnd w:id="16"/>
      <w:r w:rsidRPr="004479C6" w:rsidR="00FD287B">
        <w:t xml:space="preserve">.) </w:t>
      </w:r>
      <w:r w:rsidRPr="004479C6" w:rsidR="00886367">
        <w:t xml:space="preserve"> </w:t>
      </w:r>
      <w:r w:rsidRPr="004479C6" w:rsidR="001B0A6D">
        <w:t xml:space="preserve">Thus, the </w:t>
      </w:r>
      <w:r w:rsidRPr="004479C6" w:rsidR="001B0A6D">
        <w:rPr>
          <w:i/>
          <w:iCs/>
        </w:rPr>
        <w:t>Make UC</w:t>
      </w:r>
      <w:r w:rsidRPr="004479C6" w:rsidR="001B0A6D">
        <w:t xml:space="preserve"> court concluded</w:t>
      </w:r>
      <w:r w:rsidRPr="004479C6" w:rsidR="00C62704">
        <w:t xml:space="preserve">, </w:t>
      </w:r>
      <w:r w:rsidRPr="004479C6">
        <w:t>“The Regents must analyze the potential noise impacts relating to loud student parties.”</w:t>
      </w:r>
      <w:r w:rsidRPr="004479C6" w:rsidR="00A843CB">
        <w:t xml:space="preserve">  (</w:t>
      </w:r>
      <w:bookmarkStart w:id="17" w:name="dabmci_be15e74fe18d4af3a8b558e6b45823da"/>
      <w:r w:rsidRPr="004479C6" w:rsidR="00A843CB">
        <w:rPr>
          <w:i/>
          <w:iCs/>
        </w:rPr>
        <w:t>Id</w:t>
      </w:r>
      <w:r w:rsidRPr="004479C6" w:rsidR="00A843CB">
        <w:t>. at p.</w:t>
      </w:r>
      <w:r w:rsidRPr="004479C6" w:rsidR="00987101">
        <w:t> </w:t>
      </w:r>
      <w:r w:rsidRPr="004479C6" w:rsidR="00A843CB">
        <w:t>690</w:t>
      </w:r>
      <w:bookmarkEnd w:id="17"/>
      <w:r w:rsidRPr="004479C6" w:rsidR="00A843CB">
        <w:t>.)</w:t>
      </w:r>
    </w:p>
    <w:p w:rsidR="0077437B" w:rsidRPr="004479C6" w:rsidP="00DC104D" w14:paraId="553BEDB3" w14:textId="77777777">
      <w:pPr>
        <w:ind w:firstLine="720"/>
      </w:pPr>
      <w:r w:rsidRPr="004479C6">
        <w:t xml:space="preserve">The </w:t>
      </w:r>
      <w:r w:rsidRPr="004479C6">
        <w:rPr>
          <w:i/>
          <w:iCs/>
        </w:rPr>
        <w:t>Make UC</w:t>
      </w:r>
      <w:r w:rsidRPr="004479C6">
        <w:t xml:space="preserve"> court also </w:t>
      </w:r>
      <w:r w:rsidRPr="004479C6" w:rsidR="000E1A08">
        <w:t xml:space="preserve">concluded that the 2021 EIR “failed to consider and analyze a reasonable range of alternatives” to Housing Project No. 2. </w:t>
      </w:r>
      <w:r w:rsidRPr="004479C6" w:rsidR="00F55258">
        <w:t xml:space="preserve"> </w:t>
      </w:r>
      <w:r w:rsidRPr="004479C6" w:rsidR="000E1A08">
        <w:t>(</w:t>
      </w:r>
      <w:bookmarkStart w:id="18" w:name="dabmci_56935e3e48da4f968cc84f52ae6e0ab7"/>
      <w:r w:rsidRPr="004479C6" w:rsidR="000E1A08">
        <w:rPr>
          <w:i/>
          <w:iCs/>
        </w:rPr>
        <w:t>Make UC</w:t>
      </w:r>
      <w:r w:rsidRPr="004479C6" w:rsidR="000E1A08">
        <w:t xml:space="preserve">, </w:t>
      </w:r>
      <w:r w:rsidRPr="004479C6" w:rsidR="000E1A08">
        <w:rPr>
          <w:i/>
          <w:iCs/>
        </w:rPr>
        <w:t>supra</w:t>
      </w:r>
      <w:r w:rsidRPr="004479C6" w:rsidR="000E1A08">
        <w:t>, 88</w:t>
      </w:r>
      <w:r w:rsidRPr="004479C6" w:rsidR="00785CAA">
        <w:t> </w:t>
      </w:r>
      <w:r w:rsidRPr="004479C6" w:rsidR="000E1A08">
        <w:t>Cal.App.5th at p.</w:t>
      </w:r>
      <w:r w:rsidRPr="004479C6" w:rsidR="00EC6739">
        <w:t> </w:t>
      </w:r>
      <w:r w:rsidRPr="004479C6" w:rsidR="000E1A08">
        <w:t>677</w:t>
      </w:r>
      <w:bookmarkEnd w:id="18"/>
      <w:r w:rsidRPr="004479C6" w:rsidR="000E1A08">
        <w:t>.)</w:t>
      </w:r>
      <w:r w:rsidRPr="004479C6" w:rsidR="00EA00A9">
        <w:t xml:space="preserve">  </w:t>
      </w:r>
      <w:r w:rsidRPr="004479C6" w:rsidR="00743091">
        <w:t xml:space="preserve">While the </w:t>
      </w:r>
      <w:r w:rsidRPr="004479C6" w:rsidR="00743091">
        <w:rPr>
          <w:i/>
          <w:iCs/>
        </w:rPr>
        <w:t>Make UC</w:t>
      </w:r>
      <w:r w:rsidRPr="004479C6" w:rsidR="00743091">
        <w:t xml:space="preserve"> court explained that it </w:t>
      </w:r>
      <w:r w:rsidRPr="004479C6" w:rsidR="006F2B40">
        <w:t xml:space="preserve">did “not </w:t>
      </w:r>
      <w:r w:rsidRPr="004479C6" w:rsidR="00743091">
        <w:t>hold the Regents must necessarily study an alternative site or sites for the People</w:t>
      </w:r>
      <w:r w:rsidRPr="004479C6" w:rsidR="003C272B">
        <w:t>’</w:t>
      </w:r>
      <w:r w:rsidRPr="004479C6" w:rsidR="00743091">
        <w:t>s Park project</w:t>
      </w:r>
      <w:r w:rsidRPr="004479C6" w:rsidR="006F2B40">
        <w:t xml:space="preserve">,” the court concluded </w:t>
      </w:r>
      <w:r w:rsidRPr="004479C6" w:rsidR="00C84A9A">
        <w:t>that “absent a viable explanation for declining to consider alternative locations, the range of alternatives in the [2021] EIR was unreasonable.”</w:t>
      </w:r>
      <w:r w:rsidRPr="004479C6" w:rsidR="00EA00A9">
        <w:t xml:space="preserve"> </w:t>
      </w:r>
      <w:r w:rsidRPr="004479C6" w:rsidR="00C84A9A">
        <w:t xml:space="preserve"> (</w:t>
      </w:r>
      <w:bookmarkStart w:id="19" w:name="dabmci_9e277f799c234eaf8fa3d5042dd41d27"/>
      <w:r w:rsidRPr="004479C6" w:rsidR="00C84A9A">
        <w:rPr>
          <w:i/>
          <w:iCs/>
        </w:rPr>
        <w:t>Id</w:t>
      </w:r>
      <w:r w:rsidRPr="004479C6" w:rsidR="00C84A9A">
        <w:t>. at p</w:t>
      </w:r>
      <w:r w:rsidRPr="004479C6" w:rsidR="00B27387">
        <w:t>p</w:t>
      </w:r>
      <w:r w:rsidRPr="004479C6" w:rsidR="00C84A9A">
        <w:t>.</w:t>
      </w:r>
      <w:r w:rsidRPr="004479C6" w:rsidR="00EC6739">
        <w:t> </w:t>
      </w:r>
      <w:r w:rsidRPr="004479C6" w:rsidR="00B27387">
        <w:t xml:space="preserve">676, </w:t>
      </w:r>
      <w:r w:rsidRPr="004479C6" w:rsidR="00C84A9A">
        <w:t>683</w:t>
      </w:r>
      <w:bookmarkEnd w:id="19"/>
      <w:r w:rsidRPr="004479C6" w:rsidR="00C84A9A">
        <w:t>.)</w:t>
      </w:r>
    </w:p>
    <w:p w:rsidR="009B3D3D" w:rsidRPr="004479C6" w:rsidP="00BF127B" w14:paraId="553BEDB4" w14:textId="77777777">
      <w:pPr>
        <w:pStyle w:val="Heading2"/>
        <w:tabs>
          <w:tab w:val="clear" w:pos="1152"/>
        </w:tabs>
        <w:spacing w:line="400" w:lineRule="exact"/>
        <w:ind w:left="0" w:firstLine="0"/>
        <w:jc w:val="center"/>
      </w:pPr>
      <w:r w:rsidRPr="004479C6">
        <w:t>C</w:t>
      </w:r>
      <w:r w:rsidRPr="004479C6" w:rsidR="00CE6CC0">
        <w:t>.</w:t>
      </w:r>
    </w:p>
    <w:p w:rsidR="004950E1" w:rsidP="00DC104D" w14:paraId="553BEDB5" w14:textId="77777777">
      <w:pPr>
        <w:ind w:firstLine="720"/>
      </w:pPr>
      <w:r>
        <w:t>Respondents and Good Neighbor</w:t>
      </w:r>
      <w:r w:rsidRPr="004479C6" w:rsidR="0072625E">
        <w:t xml:space="preserve"> petitioned this Court to review different aspects of the Court of Appeal’s decision.</w:t>
      </w:r>
    </w:p>
    <w:p w:rsidR="0072625E" w:rsidRPr="004479C6" w:rsidP="00DC104D" w14:paraId="553BEDB6" w14:textId="77777777">
      <w:pPr>
        <w:ind w:firstLine="720"/>
      </w:pPr>
      <w:r w:rsidRPr="004479C6">
        <w:rPr>
          <w:rFonts w:cstheme="minorHAnsi"/>
          <w:szCs w:val="26"/>
        </w:rPr>
        <w:t xml:space="preserve">We denied </w:t>
      </w:r>
      <w:r w:rsidRPr="004479C6">
        <w:t xml:space="preserve">Good Neighbor’s petition for review, asking whether CEQA “permit[s] the EIR to omit analysis of a lower enrollment and population growth alternative.”  Good Neighbor argued that the </w:t>
      </w:r>
      <w:r w:rsidRPr="004479C6">
        <w:rPr>
          <w:i/>
          <w:iCs/>
        </w:rPr>
        <w:t>Make UC</w:t>
      </w:r>
      <w:r w:rsidRPr="004479C6">
        <w:t xml:space="preserve"> court erred in concluding “that the LRDP’s campus enrollment and population plan is not part of the LRDP ‘project,’ ” and contended that UC Berkeley was required to “mitigate significant off-campus impacts related to campus growth and development.”  </w:t>
      </w:r>
    </w:p>
    <w:p w:rsidR="00FB2D76" w:rsidRPr="004479C6" w:rsidP="00DC104D" w14:paraId="553BEDB7" w14:textId="77777777">
      <w:pPr>
        <w:ind w:firstLine="720"/>
        <w:rPr>
          <w:rFonts w:cstheme="minorHAnsi"/>
          <w:szCs w:val="26"/>
        </w:rPr>
      </w:pPr>
      <w:r w:rsidRPr="004479C6">
        <w:t>We g</w:t>
      </w:r>
      <w:r w:rsidRPr="004479C6" w:rsidR="00CE6CC0">
        <w:t>rant</w:t>
      </w:r>
      <w:r w:rsidRPr="004479C6" w:rsidR="00ED2DF6">
        <w:t>ed</w:t>
      </w:r>
      <w:r w:rsidRPr="004479C6" w:rsidR="00CE6CC0">
        <w:t xml:space="preserve"> </w:t>
      </w:r>
      <w:r w:rsidR="005F4BC5">
        <w:t>respondents’</w:t>
      </w:r>
      <w:r w:rsidRPr="004479C6" w:rsidR="0072625E">
        <w:t xml:space="preserve"> petition for </w:t>
      </w:r>
      <w:r w:rsidRPr="004479C6">
        <w:t>r</w:t>
      </w:r>
      <w:r w:rsidRPr="004479C6" w:rsidR="00CE6CC0">
        <w:t>eview</w:t>
      </w:r>
      <w:r w:rsidRPr="004479C6">
        <w:t xml:space="preserve"> to consider the </w:t>
      </w:r>
      <w:r w:rsidRPr="004479C6">
        <w:rPr>
          <w:i/>
          <w:iCs/>
        </w:rPr>
        <w:t>Make UC</w:t>
      </w:r>
      <w:r w:rsidRPr="004479C6">
        <w:t xml:space="preserve"> court’s determinations that the 2021 EIR improperly failed to analyze the environmental impact of social noise </w:t>
      </w:r>
      <w:r w:rsidRPr="004479C6" w:rsidR="005171C2">
        <w:t xml:space="preserve">from students </w:t>
      </w:r>
      <w:r w:rsidRPr="004479C6">
        <w:t xml:space="preserve">and failed to properly consider alternative locations for Housing Project No. 2.  </w:t>
      </w:r>
      <w:r w:rsidRPr="004479C6" w:rsidR="00531D73">
        <w:t xml:space="preserve">While the appeal was pending in this court, the Legislature passed </w:t>
      </w:r>
      <w:r w:rsidRPr="004479C6" w:rsidR="0072625E">
        <w:t xml:space="preserve">a new law that impacts our review of these issues — </w:t>
      </w:r>
      <w:bookmarkStart w:id="20" w:name="dabmci_20c33dcc3fa24978ba9a978578b096a1"/>
      <w:r w:rsidRPr="004479C6" w:rsidR="00531D73">
        <w:rPr>
          <w:rFonts w:cstheme="minorHAnsi"/>
          <w:szCs w:val="26"/>
        </w:rPr>
        <w:t>Assembly</w:t>
      </w:r>
      <w:r w:rsidRPr="004479C6" w:rsidR="0072625E">
        <w:rPr>
          <w:rFonts w:cstheme="minorHAnsi"/>
          <w:szCs w:val="26"/>
        </w:rPr>
        <w:t xml:space="preserve"> </w:t>
      </w:r>
      <w:r w:rsidRPr="004479C6" w:rsidR="00531D73">
        <w:rPr>
          <w:rFonts w:cstheme="minorHAnsi"/>
          <w:szCs w:val="26"/>
        </w:rPr>
        <w:t>Bill 1307</w:t>
      </w:r>
      <w:bookmarkEnd w:id="20"/>
      <w:r w:rsidRPr="004479C6" w:rsidR="00A77CCC">
        <w:rPr>
          <w:rFonts w:cstheme="minorHAnsi"/>
          <w:szCs w:val="26"/>
        </w:rPr>
        <w:t>,</w:t>
      </w:r>
      <w:r w:rsidRPr="004479C6" w:rsidR="00531D73">
        <w:rPr>
          <w:rFonts w:cstheme="minorHAnsi"/>
          <w:szCs w:val="26"/>
        </w:rPr>
        <w:t xml:space="preserve"> which added two new sections to the Public Resources Code </w:t>
      </w:r>
      <w:r w:rsidRPr="004479C6" w:rsidR="00763EEE">
        <w:rPr>
          <w:rFonts w:cstheme="minorHAnsi"/>
          <w:szCs w:val="26"/>
        </w:rPr>
        <w:t xml:space="preserve">that are </w:t>
      </w:r>
      <w:r w:rsidRPr="004479C6" w:rsidR="00531D73">
        <w:rPr>
          <w:rFonts w:cstheme="minorHAnsi"/>
          <w:szCs w:val="26"/>
        </w:rPr>
        <w:t>discussed below</w:t>
      </w:r>
      <w:r w:rsidRPr="004479C6" w:rsidR="0072625E">
        <w:rPr>
          <w:rFonts w:cstheme="minorHAnsi"/>
          <w:szCs w:val="26"/>
        </w:rPr>
        <w:t>.</w:t>
      </w:r>
    </w:p>
    <w:p w:rsidR="00A77CCC" w:rsidRPr="004479C6" w:rsidP="00BF127B" w14:paraId="553BEDB8" w14:textId="77777777">
      <w:pPr>
        <w:pStyle w:val="Heading1"/>
        <w:spacing w:line="240" w:lineRule="exact"/>
      </w:pPr>
      <w:r w:rsidRPr="004479C6">
        <w:t>II.</w:t>
      </w:r>
    </w:p>
    <w:p w:rsidR="00DD0C9F" w:rsidRPr="004479C6" w:rsidP="00BF127B" w14:paraId="553BEDB9" w14:textId="77777777">
      <w:pPr>
        <w:pStyle w:val="Heading2"/>
        <w:tabs>
          <w:tab w:val="clear" w:pos="1152"/>
        </w:tabs>
        <w:spacing w:line="240" w:lineRule="exact"/>
        <w:ind w:left="0" w:firstLine="0"/>
        <w:jc w:val="center"/>
      </w:pPr>
      <w:r w:rsidRPr="004479C6">
        <w:t>A.</w:t>
      </w:r>
    </w:p>
    <w:p w:rsidR="00E659CF" w:rsidRPr="004479C6" w:rsidP="00DC104D" w14:paraId="553BEDBA" w14:textId="77777777">
      <w:pPr>
        <w:ind w:firstLine="720"/>
      </w:pPr>
      <w:r w:rsidRPr="004479C6">
        <w:rPr>
          <w:szCs w:val="26"/>
        </w:rPr>
        <w:t xml:space="preserve">“ ‘CEQA embodies a central state policy to require state and local governmental entities to perform their duties </w:t>
      </w:r>
      <w:r w:rsidRPr="004479C6" w:rsidR="00467F73">
        <w:rPr>
          <w:szCs w:val="26"/>
        </w:rPr>
        <w:t>“</w:t>
      </w:r>
      <w:r w:rsidRPr="004479C6">
        <w:rPr>
          <w:szCs w:val="26"/>
        </w:rPr>
        <w:t>so that major consideration is given to preventing environmental damage.</w:t>
      </w:r>
      <w:r w:rsidRPr="004479C6" w:rsidR="00467F73">
        <w:rPr>
          <w:szCs w:val="26"/>
        </w:rPr>
        <w:t>”</w:t>
      </w:r>
      <w:r w:rsidRPr="004479C6">
        <w:rPr>
          <w:szCs w:val="26"/>
        </w:rPr>
        <w:t xml:space="preserve">  [Citations.]  [¶]  CEQA prescribes how governmental decisions will be made when public entities, including the state itself, are charged with approving, funding — or themselves undertaking — a project with significant effects on the environment.’ ”  (</w:t>
      </w:r>
      <w:bookmarkStart w:id="21" w:name="dabmci_5b41296e1f9a4e9d81eafdbed09fe69f"/>
      <w:r w:rsidRPr="004479C6">
        <w:rPr>
          <w:i/>
          <w:iCs/>
          <w:szCs w:val="26"/>
        </w:rPr>
        <w:t>County of Butte v. Department of Water Resources</w:t>
      </w:r>
      <w:r w:rsidRPr="004479C6">
        <w:rPr>
          <w:szCs w:val="26"/>
        </w:rPr>
        <w:t xml:space="preserve"> (2022) 13 Cal.5th 612, 626</w:t>
      </w:r>
      <w:bookmarkEnd w:id="21"/>
      <w:r w:rsidRPr="004479C6">
        <w:rPr>
          <w:szCs w:val="26"/>
        </w:rPr>
        <w:t>.)  “If, after performing an initial study, the agency responsible for CEQA compliance . . . finds substantial evidence that a project may have a significant environmental impact, the agency must prepare and certify an EIR before approving or proceeding with the project.”  (</w:t>
      </w:r>
      <w:bookmarkStart w:id="22" w:name="dabmci_40eb50f0508f47418a2e9a9c406f6133"/>
      <w:r w:rsidRPr="004479C6">
        <w:rPr>
          <w:i/>
          <w:iCs/>
          <w:szCs w:val="26"/>
        </w:rPr>
        <w:t>Id</w:t>
      </w:r>
      <w:r w:rsidRPr="004479C6">
        <w:rPr>
          <w:szCs w:val="26"/>
        </w:rPr>
        <w:t>. at p. 627</w:t>
      </w:r>
      <w:bookmarkEnd w:id="22"/>
      <w:r w:rsidRPr="004479C6">
        <w:rPr>
          <w:szCs w:val="26"/>
        </w:rPr>
        <w:t>.)</w:t>
      </w:r>
    </w:p>
    <w:p w:rsidR="00E659CF" w:rsidRPr="004479C6" w:rsidP="00DC104D" w14:paraId="553BEDBB" w14:textId="77777777">
      <w:pPr>
        <w:ind w:firstLine="720"/>
        <w:rPr>
          <w:szCs w:val="26"/>
        </w:rPr>
      </w:pPr>
      <w:r w:rsidRPr="004479C6">
        <w:rPr>
          <w:szCs w:val="26"/>
        </w:rPr>
        <w:t>However, “no matter how important its original purpose, CEQA remains a legislative act, subject to legislative limitation and legislative amendment.”  (</w:t>
      </w:r>
      <w:bookmarkStart w:id="23" w:name="dabmci_d96df4013dcd416c96e20555bf8c6792"/>
      <w:r w:rsidRPr="004479C6">
        <w:rPr>
          <w:i/>
          <w:iCs/>
          <w:szCs w:val="26"/>
        </w:rPr>
        <w:t>Napa Valley Wine Train, Inc. v. Public Utilities Com.</w:t>
      </w:r>
      <w:r w:rsidRPr="004479C6">
        <w:rPr>
          <w:szCs w:val="26"/>
        </w:rPr>
        <w:t xml:space="preserve"> (1990) 50</w:t>
      </w:r>
      <w:r w:rsidRPr="004479C6" w:rsidR="00922AC5">
        <w:rPr>
          <w:szCs w:val="26"/>
        </w:rPr>
        <w:t> </w:t>
      </w:r>
      <w:r w:rsidRPr="004479C6">
        <w:rPr>
          <w:szCs w:val="26"/>
        </w:rPr>
        <w:t>Cal.3d 370, 376</w:t>
      </w:r>
      <w:bookmarkEnd w:id="23"/>
      <w:r w:rsidRPr="004479C6">
        <w:rPr>
          <w:szCs w:val="26"/>
        </w:rPr>
        <w:t>.)  The Legislature may, for example, determine that a particular aspect of a project shall not constitute a “significant effect on the environment.”  (§ 21085; see, e.g., §§ 21081.3</w:t>
      </w:r>
      <w:r w:rsidRPr="004479C6" w:rsidR="0063326F">
        <w:rPr>
          <w:szCs w:val="26"/>
        </w:rPr>
        <w:t>, subd. (a)</w:t>
      </w:r>
      <w:r w:rsidRPr="004479C6">
        <w:rPr>
          <w:szCs w:val="26"/>
        </w:rPr>
        <w:t xml:space="preserve"> [specifying that certain “aesthetic effects shall not be considered significant effects on the environment”], 21099, subd</w:t>
      </w:r>
      <w:r w:rsidR="00F1352F">
        <w:rPr>
          <w:szCs w:val="26"/>
        </w:rPr>
        <w:t>s</w:t>
      </w:r>
      <w:r w:rsidRPr="004479C6">
        <w:rPr>
          <w:szCs w:val="26"/>
        </w:rPr>
        <w:t>. (b)(2) [specifying that under certain circumstances “automobile delay, as described solely by level of service or similar measures of vehicular capacity or traffic congestion, shall not be considered a significant impact on the environment”], (d)(1) [specifying that “</w:t>
      </w:r>
      <w:r w:rsidRPr="004479C6" w:rsidR="0063326F">
        <w:rPr>
          <w:szCs w:val="26"/>
        </w:rPr>
        <w:t>[</w:t>
      </w:r>
      <w:r w:rsidRPr="004479C6">
        <w:rPr>
          <w:szCs w:val="26"/>
        </w:rPr>
        <w:t>a</w:t>
      </w:r>
      <w:r w:rsidRPr="004479C6" w:rsidR="0063326F">
        <w:rPr>
          <w:szCs w:val="26"/>
        </w:rPr>
        <w:t>]</w:t>
      </w:r>
      <w:r w:rsidRPr="004479C6">
        <w:rPr>
          <w:szCs w:val="26"/>
        </w:rPr>
        <w:t>esthetic and parking impacts of a residential, mixed-use residential, or employment center project on an infill site within a transit priority area shall not be considered significant impacts on the environment”].)</w:t>
      </w:r>
    </w:p>
    <w:p w:rsidR="003955CB" w:rsidRPr="004479C6" w:rsidP="00DC104D" w14:paraId="553BEDBC" w14:textId="77777777">
      <w:pPr>
        <w:ind w:firstLine="720"/>
      </w:pPr>
      <w:r w:rsidRPr="004479C6">
        <w:rPr>
          <w:szCs w:val="26"/>
        </w:rPr>
        <w:t xml:space="preserve">This case requires </w:t>
      </w:r>
      <w:r w:rsidRPr="004479C6" w:rsidR="00763EEE">
        <w:rPr>
          <w:szCs w:val="26"/>
        </w:rPr>
        <w:t xml:space="preserve">us to </w:t>
      </w:r>
      <w:r w:rsidRPr="004479C6">
        <w:rPr>
          <w:szCs w:val="26"/>
        </w:rPr>
        <w:t xml:space="preserve">consider the meaning of the Legislature’s limitation as to the applicability of CEQA contained in sections 21085 and 21085.2. </w:t>
      </w:r>
      <w:r w:rsidRPr="004479C6" w:rsidR="00FE4F2B">
        <w:rPr>
          <w:szCs w:val="26"/>
        </w:rPr>
        <w:t xml:space="preserve"> </w:t>
      </w:r>
      <w:r w:rsidRPr="004479C6" w:rsidR="00FE4F2B">
        <w:t xml:space="preserve">Section 21085 provides:  “For purposes of [CEQA], for residential projects, the effects of noise generated by project occupants and their guests on human beings is not a significant effect on the environment.”  </w:t>
      </w:r>
      <w:r w:rsidRPr="004479C6">
        <w:t>Section 21085.2, subdivision (b) provides:  “Notwithstanding any other law or regulation, institutions of public higher education shall not be required, in an environmental impact report prepared for a residential or mixed-use housing project, to consider alternatives to the location of the residential or mixed-use housing project if both of the following requirements are met:  [¶]  (1) The residential or mixe</w:t>
      </w:r>
      <w:r w:rsidRPr="004479C6" w:rsidR="00B04D37">
        <w:t>d-</w:t>
      </w:r>
      <w:r w:rsidRPr="004479C6">
        <w:t>use housing project is located on a site that is no more than five acres and is substantially surrounded by qualified urban uses.  [¶]  (2) The residential or mixed-use housing project has already been evaluated in the environmental impact report for the most recent long-range development plan for the applicable campus.”</w:t>
      </w:r>
      <w:r>
        <w:rPr>
          <w:rStyle w:val="FootnoteReference"/>
        </w:rPr>
        <w:footnoteReference w:id="14"/>
      </w:r>
    </w:p>
    <w:p w:rsidR="00E659CF" w:rsidRPr="004479C6" w:rsidP="00DC104D" w14:paraId="553BEDBD" w14:textId="77777777">
      <w:pPr>
        <w:ind w:firstLine="720"/>
      </w:pPr>
      <w:r w:rsidRPr="004479C6">
        <w:t>“Statutory interpretation is ‘an issue of law, which we review de novo.’ ”  (</w:t>
      </w:r>
      <w:bookmarkStart w:id="24" w:name="dabmci_0d55a29c2c3d49e5865a9c555faa3e0e"/>
      <w:r w:rsidRPr="004479C6">
        <w:rPr>
          <w:i/>
          <w:iCs/>
        </w:rPr>
        <w:t>Union of Medical Marijuana Patients, Inc. v. City of San Diego</w:t>
      </w:r>
      <w:r w:rsidRPr="004479C6">
        <w:t xml:space="preserve"> (2019) 7</w:t>
      </w:r>
      <w:r w:rsidRPr="004479C6" w:rsidR="00937ADD">
        <w:t> </w:t>
      </w:r>
      <w:r w:rsidRPr="004479C6">
        <w:t>Cal.5th 1171, 1183</w:t>
      </w:r>
      <w:bookmarkEnd w:id="24"/>
      <w:r w:rsidRPr="004479C6">
        <w:t xml:space="preserve"> (</w:t>
      </w:r>
      <w:r w:rsidRPr="004479C6">
        <w:rPr>
          <w:i/>
          <w:iCs/>
        </w:rPr>
        <w:t>Union of Medical Marijuana Patients</w:t>
      </w:r>
      <w:r w:rsidRPr="004479C6">
        <w:t xml:space="preserve">).) </w:t>
      </w:r>
      <w:r w:rsidRPr="004479C6" w:rsidR="003955CB">
        <w:t xml:space="preserve"> </w:t>
      </w:r>
      <w:r w:rsidRPr="004479C6">
        <w:t>“Our overriding purpose in construing a provision of CEQA, as with any statute, is ‘to adopt the construction that best gives effect to the Legislature’s intended purpose.’  [Citation.]  In determining that intended purpose, we follow ‘[s]ettled principles.’  [Citation.]  ‘We consider first the words of a statute, as the most reliable indicator of legislative intent.’  [Citation.]  In doing so, we give the words ‘their usual and ordinary meaning,’ viewed in the context of the statute as a whole.  [Citation.]  As part of this process, ‘ “ ‘[every] statute should be construed with reference to the whole system of law of which it is a part so that all may be harmonized and have effect.’ ” ’ ”  (</w:t>
      </w:r>
      <w:bookmarkStart w:id="25" w:name="dabmci_363418d5c1e8484684d5f77bb619706b"/>
      <w:r w:rsidRPr="004479C6" w:rsidR="00467F73">
        <w:rPr>
          <w:i/>
          <w:iCs/>
        </w:rPr>
        <w:t>Id</w:t>
      </w:r>
      <w:r w:rsidRPr="004479C6" w:rsidR="00467F73">
        <w:t>.</w:t>
      </w:r>
      <w:r w:rsidRPr="004479C6">
        <w:t xml:space="preserve"> at pp. 1183–1184</w:t>
      </w:r>
      <w:bookmarkEnd w:id="25"/>
      <w:r w:rsidRPr="004479C6">
        <w:t>.)</w:t>
      </w:r>
    </w:p>
    <w:p w:rsidR="00E659CF" w:rsidRPr="004479C6" w:rsidP="00DC104D" w14:paraId="553BEDBE" w14:textId="77777777">
      <w:pPr>
        <w:ind w:firstLine="720"/>
      </w:pPr>
      <w:r w:rsidRPr="004479C6">
        <w:t>“When the language of a statute is ambiguous — that is, when the words of the statute are susceptible to more than one reasonable meaning, given their usual and ordinary meaning and considered in the context of the statute as a whole — we consult other indicia of the Legislature’s intent, including such extrinsic aids as legislative history and public policy.  [Citation</w:t>
      </w:r>
      <w:r w:rsidRPr="004479C6" w:rsidR="0063326F">
        <w:t>s</w:t>
      </w:r>
      <w:r w:rsidRPr="004479C6">
        <w:t>.]  If there is no ambiguity, ‘ “ ‘ “we presume the Legislature meant what it said and the plain meaning of the statute governs.” ’ ” ’ ”  (</w:t>
      </w:r>
      <w:bookmarkStart w:id="26" w:name="dabmci_e4a65e1c021047ebb8cb7677bbb7193c"/>
      <w:r w:rsidRPr="004479C6">
        <w:rPr>
          <w:i/>
          <w:iCs/>
        </w:rPr>
        <w:t>Union of Medical Marijuana Patients</w:t>
      </w:r>
      <w:r w:rsidRPr="004479C6">
        <w:t xml:space="preserve">, </w:t>
      </w:r>
      <w:r w:rsidRPr="004479C6">
        <w:rPr>
          <w:i/>
          <w:iCs/>
          <w:szCs w:val="26"/>
        </w:rPr>
        <w:t>supra</w:t>
      </w:r>
      <w:r w:rsidRPr="004479C6">
        <w:t>, 7 Cal.5th at p. 1184</w:t>
      </w:r>
      <w:bookmarkEnd w:id="26"/>
      <w:r w:rsidRPr="004479C6">
        <w:t>.)</w:t>
      </w:r>
    </w:p>
    <w:p w:rsidR="00FE4F2B" w:rsidRPr="004479C6" w:rsidP="00DC104D" w14:paraId="553BEDBF" w14:textId="77777777">
      <w:pPr>
        <w:ind w:firstLine="720"/>
      </w:pPr>
      <w:r w:rsidRPr="004479C6">
        <w:t>“In addition to these general precepts, a more specific principle is directly applicable when</w:t>
      </w:r>
      <w:r w:rsidR="00B23BF0">
        <w:t xml:space="preserve"> </w:t>
      </w:r>
      <w:r w:rsidRPr="004479C6">
        <w:t>. . . the Legislature undertakes to amend a statute which has been the subject of judicial construction.  In such a case it is presumed that the Legislature was fully cognizant of such construction, and when substantial changes are made in the statutory language it is usually inferred that the lawmakers intended to alter the law in those particulars affected by such changes.”  (</w:t>
      </w:r>
      <w:bookmarkStart w:id="27" w:name="dabmci_65fa5b840af44540b26002ffa8fda597"/>
      <w:r w:rsidRPr="004479C6">
        <w:rPr>
          <w:i/>
          <w:iCs/>
        </w:rPr>
        <w:t>Palos Verdes Faculty Assn. v. Palos Verdes Peninsula Unified Sch. Dist.</w:t>
      </w:r>
      <w:r w:rsidRPr="004479C6">
        <w:t xml:space="preserve"> (1978) 21 Cal.3d 650, 659 (</w:t>
      </w:r>
      <w:r w:rsidRPr="004479C6">
        <w:rPr>
          <w:i/>
          <w:iCs/>
        </w:rPr>
        <w:t>Palos Verdes</w:t>
      </w:r>
      <w:r w:rsidRPr="004479C6">
        <w:t>)</w:t>
      </w:r>
      <w:bookmarkEnd w:id="27"/>
      <w:r w:rsidRPr="004479C6">
        <w:t>.)</w:t>
      </w:r>
    </w:p>
    <w:p w:rsidR="000B18FF" w:rsidRPr="004479C6" w:rsidP="00DC104D" w14:paraId="553BEDC0" w14:textId="77777777">
      <w:pPr>
        <w:ind w:firstLine="720"/>
      </w:pPr>
      <w:r w:rsidRPr="004479C6">
        <w:t xml:space="preserve">In mandamus proceedings, </w:t>
      </w:r>
      <w:r w:rsidRPr="004479C6" w:rsidR="0072625E">
        <w:t xml:space="preserve">a reviewing court applies </w:t>
      </w:r>
      <w:r w:rsidRPr="004479C6">
        <w:t xml:space="preserve">the law that is current at the time of judgment in the </w:t>
      </w:r>
      <w:r w:rsidRPr="004479C6" w:rsidR="00520072">
        <w:t>reviewing</w:t>
      </w:r>
      <w:r w:rsidRPr="004479C6">
        <w:t xml:space="preserve"> court</w:t>
      </w:r>
      <w:r w:rsidRPr="004479C6" w:rsidR="00C54017">
        <w:t>.</w:t>
      </w:r>
      <w:r w:rsidRPr="004479C6" w:rsidR="00520072">
        <w:t xml:space="preserve"> </w:t>
      </w:r>
      <w:r w:rsidRPr="004479C6" w:rsidR="00D530CF">
        <w:t xml:space="preserve"> </w:t>
      </w:r>
      <w:r w:rsidRPr="004479C6" w:rsidR="00C54017">
        <w:t>(</w:t>
      </w:r>
      <w:bookmarkStart w:id="28" w:name="dabmci_84e89c0124774cd78ab0597f5b7dd5be"/>
      <w:r w:rsidRPr="004479C6" w:rsidR="00C54017">
        <w:rPr>
          <w:i/>
          <w:iCs/>
        </w:rPr>
        <w:t>Citizens for Positive Growth &amp; Preservation v. City of Sacramento</w:t>
      </w:r>
      <w:r w:rsidRPr="004479C6" w:rsidR="00C54017">
        <w:t xml:space="preserve"> (2019) 43 Cal.App.5th 609, 626</w:t>
      </w:r>
      <w:r w:rsidRPr="004479C6" w:rsidR="004B3DE4">
        <w:t xml:space="preserve"> (</w:t>
      </w:r>
      <w:r w:rsidRPr="004479C6" w:rsidR="004B3DE4">
        <w:rPr>
          <w:i/>
          <w:iCs/>
        </w:rPr>
        <w:t>Citizens for Positive Growth</w:t>
      </w:r>
      <w:r w:rsidRPr="004479C6" w:rsidR="00D37656">
        <w:t>)</w:t>
      </w:r>
      <w:bookmarkEnd w:id="28"/>
      <w:r w:rsidRPr="004479C6" w:rsidR="00002155">
        <w:t xml:space="preserve">; </w:t>
      </w:r>
      <w:r w:rsidRPr="004479C6" w:rsidR="000F01B0">
        <w:t>see</w:t>
      </w:r>
      <w:r w:rsidRPr="004479C6" w:rsidR="00002155">
        <w:t xml:space="preserve"> </w:t>
      </w:r>
      <w:bookmarkStart w:id="29" w:name="dabmci_25f9bccf42ac4ccb89550307a091e06d"/>
      <w:r w:rsidRPr="004479C6">
        <w:rPr>
          <w:i/>
          <w:iCs/>
        </w:rPr>
        <w:t>Callie v. Board of Supervisors</w:t>
      </w:r>
      <w:r w:rsidRPr="004479C6">
        <w:t xml:space="preserve"> (1969) 1</w:t>
      </w:r>
      <w:r w:rsidRPr="004479C6" w:rsidR="00D530CF">
        <w:t> </w:t>
      </w:r>
      <w:r w:rsidRPr="004479C6">
        <w:t>Cal.App.3d 13, 19</w:t>
      </w:r>
      <w:bookmarkEnd w:id="29"/>
      <w:r w:rsidRPr="004479C6" w:rsidR="00002155">
        <w:t xml:space="preserve"> </w:t>
      </w:r>
      <w:r w:rsidRPr="004479C6" w:rsidR="000226E0">
        <w:t>[</w:t>
      </w:r>
      <w:r w:rsidRPr="004479C6" w:rsidR="001B6BFE">
        <w:t xml:space="preserve">applying this principle with respect to </w:t>
      </w:r>
      <w:r w:rsidRPr="004479C6" w:rsidR="00FA52DD">
        <w:t xml:space="preserve">injunction proceedings </w:t>
      </w:r>
      <w:r w:rsidRPr="004479C6" w:rsidR="00A23294">
        <w:t>because</w:t>
      </w:r>
      <w:r w:rsidRPr="004479C6" w:rsidR="00FA52DD">
        <w:t xml:space="preserve"> </w:t>
      </w:r>
      <w:r w:rsidRPr="004479C6" w:rsidR="00A14D26">
        <w:t>“</w:t>
      </w:r>
      <w:r w:rsidRPr="004479C6" w:rsidR="00675779">
        <w:t> </w:t>
      </w:r>
      <w:r w:rsidRPr="004479C6" w:rsidR="001213A8">
        <w:t>‘</w:t>
      </w:r>
      <w:r w:rsidRPr="004479C6" w:rsidR="00A14D26">
        <w:t xml:space="preserve">[r]elief by injunction operates in </w:t>
      </w:r>
      <w:r w:rsidRPr="004479C6" w:rsidR="00D530CF">
        <w:t>f</w:t>
      </w:r>
      <w:r w:rsidRPr="004479C6" w:rsidR="00EE50B2">
        <w:t>utur</w:t>
      </w:r>
      <w:r w:rsidRPr="004479C6" w:rsidR="00D530CF">
        <w:t>o</w:t>
      </w:r>
      <w:r w:rsidRPr="004479C6" w:rsidR="001213A8">
        <w:t>’ </w:t>
      </w:r>
      <w:r w:rsidRPr="004479C6" w:rsidR="00A14D26">
        <w:t xml:space="preserve">” </w:t>
      </w:r>
      <w:r w:rsidRPr="004479C6" w:rsidR="001E6C9D">
        <w:t xml:space="preserve">and </w:t>
      </w:r>
      <w:r w:rsidRPr="004479C6" w:rsidR="008B6F74">
        <w:t xml:space="preserve">observing </w:t>
      </w:r>
      <w:r w:rsidRPr="004479C6" w:rsidR="001B7FA3">
        <w:t xml:space="preserve">that </w:t>
      </w:r>
      <w:r w:rsidRPr="004479C6" w:rsidR="00A14D26">
        <w:t>“[t]he same equitable considerations also have been applied in the case of mandamus proceedings”].</w:t>
      </w:r>
      <w:r w:rsidRPr="004479C6" w:rsidR="000F01B0">
        <w:t>)</w:t>
      </w:r>
    </w:p>
    <w:p w:rsidR="0022637A" w:rsidRPr="004479C6" w:rsidP="00BF127B" w14:paraId="553BEDC1" w14:textId="77777777">
      <w:pPr>
        <w:pStyle w:val="Heading2"/>
        <w:tabs>
          <w:tab w:val="clear" w:pos="1152"/>
        </w:tabs>
        <w:spacing w:line="240" w:lineRule="exact"/>
        <w:ind w:left="0" w:firstLine="0"/>
        <w:jc w:val="center"/>
      </w:pPr>
      <w:r w:rsidRPr="004479C6">
        <w:t>B.</w:t>
      </w:r>
    </w:p>
    <w:p w:rsidR="0022637A" w:rsidRPr="004479C6" w:rsidP="00DC104D" w14:paraId="553BEDC2" w14:textId="77777777">
      <w:pPr>
        <w:ind w:firstLine="720"/>
        <w:rPr>
          <w:rFonts w:cstheme="minorHAnsi"/>
          <w:szCs w:val="26"/>
        </w:rPr>
      </w:pPr>
      <w:r w:rsidRPr="004479C6">
        <w:rPr>
          <w:rFonts w:cstheme="minorHAnsi"/>
          <w:szCs w:val="26"/>
        </w:rPr>
        <w:t xml:space="preserve">Good Neighbor concedes that </w:t>
      </w:r>
      <w:bookmarkStart w:id="30" w:name="dabmci_c312073dab3746ea8604ac8e641d71ff"/>
      <w:r w:rsidRPr="004479C6">
        <w:rPr>
          <w:rFonts w:cstheme="minorHAnsi"/>
          <w:szCs w:val="26"/>
        </w:rPr>
        <w:t>Assembly Bill 1307</w:t>
      </w:r>
      <w:bookmarkEnd w:id="30"/>
      <w:r w:rsidRPr="004479C6">
        <w:rPr>
          <w:rFonts w:cstheme="minorHAnsi"/>
          <w:szCs w:val="26"/>
        </w:rPr>
        <w:t xml:space="preserve"> resolves significant aspects of </w:t>
      </w:r>
      <w:r w:rsidRPr="004479C6" w:rsidR="00014C77">
        <w:rPr>
          <w:rFonts w:cstheme="minorHAnsi"/>
          <w:szCs w:val="26"/>
        </w:rPr>
        <w:t xml:space="preserve">its claims — both with respect to </w:t>
      </w:r>
      <w:r w:rsidRPr="004479C6" w:rsidR="0010001D">
        <w:rPr>
          <w:rFonts w:cstheme="minorHAnsi"/>
          <w:szCs w:val="26"/>
        </w:rPr>
        <w:t xml:space="preserve">the 2021 EIR’s analysis of </w:t>
      </w:r>
      <w:r w:rsidRPr="004479C6" w:rsidR="00014C77">
        <w:rPr>
          <w:rFonts w:cstheme="minorHAnsi"/>
          <w:szCs w:val="26"/>
        </w:rPr>
        <w:t>social noise impacts and</w:t>
      </w:r>
      <w:r w:rsidRPr="004479C6" w:rsidR="0010001D">
        <w:rPr>
          <w:rFonts w:cstheme="minorHAnsi"/>
          <w:szCs w:val="26"/>
        </w:rPr>
        <w:t xml:space="preserve"> its consideration of alternative locations to Housing Project No. 2.  </w:t>
      </w:r>
    </w:p>
    <w:p w:rsidR="00AE2ACD" w:rsidRPr="004479C6" w:rsidP="00DC104D" w14:paraId="553BEDC3" w14:textId="77777777">
      <w:pPr>
        <w:ind w:firstLine="720"/>
      </w:pPr>
      <w:r w:rsidRPr="004479C6">
        <w:t>With respect to social noise impacts,</w:t>
      </w:r>
      <w:r w:rsidRPr="004479C6" w:rsidR="00496408">
        <w:t xml:space="preserve"> Good Neighbor concedes that section 21085 “prevents [a] court from requiring project-level CEQA analysis of the effects of ‘social noise’ associated with Housing Project [No.] 2 as sited in People’s Park.”</w:t>
      </w:r>
    </w:p>
    <w:p w:rsidR="003F3A7F" w:rsidRPr="004479C6" w:rsidP="00DC104D" w14:paraId="553BEDC4" w14:textId="77777777">
      <w:pPr>
        <w:ind w:firstLine="720"/>
      </w:pPr>
      <w:r w:rsidRPr="004479C6">
        <w:t>Regarding the need to consider alternative locations</w:t>
      </w:r>
      <w:r w:rsidRPr="004479C6" w:rsidR="00496408">
        <w:t xml:space="preserve">, </w:t>
      </w:r>
      <w:r w:rsidRPr="004479C6" w:rsidR="0001297B">
        <w:t xml:space="preserve">Good </w:t>
      </w:r>
      <w:r w:rsidRPr="004479C6">
        <w:t>Neighbor concedes that Housing Project No. 2 “meets the criteria specified in new</w:t>
      </w:r>
      <w:r w:rsidR="00D423AF">
        <w:t xml:space="preserve"> </w:t>
      </w:r>
      <w:r w:rsidRPr="004479C6">
        <w:t xml:space="preserve">. . . section 21085.2 for exemption from further CEQA review” and </w:t>
      </w:r>
      <w:r w:rsidRPr="004479C6" w:rsidR="00293876">
        <w:t xml:space="preserve">that </w:t>
      </w:r>
      <w:r w:rsidRPr="004479C6">
        <w:t>“[t]he housing exemption for institutions of public higher education</w:t>
      </w:r>
      <w:r w:rsidR="00D423AF">
        <w:t xml:space="preserve"> </w:t>
      </w:r>
      <w:r w:rsidRPr="004479C6">
        <w:t>. . . specifically intended to preclude judicial action requiring additional alternative sites CEQA review for Housing Project No. 2 as proposed in People’s Park.”</w:t>
      </w:r>
    </w:p>
    <w:p w:rsidR="003F3A7F" w:rsidRPr="004479C6" w:rsidP="00DC104D" w14:paraId="553BEDC5" w14:textId="77777777">
      <w:pPr>
        <w:ind w:firstLine="720"/>
      </w:pPr>
      <w:r w:rsidRPr="004479C6">
        <w:t>Nonetheless, Good Neighbor contends a portion of its claim regarding social noise impacts remains viable</w:t>
      </w:r>
      <w:r w:rsidRPr="004479C6" w:rsidR="00F425A5">
        <w:t> — n</w:t>
      </w:r>
      <w:r w:rsidRPr="004479C6">
        <w:t xml:space="preserve">amely, </w:t>
      </w:r>
      <w:r w:rsidRPr="004479C6" w:rsidR="00F425A5">
        <w:t xml:space="preserve">the portion relating to </w:t>
      </w:r>
      <w:r w:rsidRPr="004479C6" w:rsidR="00C54A04">
        <w:t xml:space="preserve">the </w:t>
      </w:r>
      <w:r w:rsidRPr="004479C6" w:rsidR="00763EEE">
        <w:t xml:space="preserve">2021 </w:t>
      </w:r>
      <w:r w:rsidRPr="004479C6" w:rsidR="00A51597">
        <w:t>LRDP</w:t>
      </w:r>
      <w:r w:rsidR="00BE6182">
        <w:t>,</w:t>
      </w:r>
      <w:r w:rsidRPr="004479C6" w:rsidR="005171C2">
        <w:t xml:space="preserve"> </w:t>
      </w:r>
      <w:r w:rsidR="00320BFF">
        <w:t xml:space="preserve">including </w:t>
      </w:r>
      <w:r w:rsidRPr="004479C6" w:rsidR="005171C2">
        <w:t>the enrollment-driven population plan it asserts is encompassed within the 2021 LRDP</w:t>
      </w:r>
      <w:r w:rsidRPr="004479C6" w:rsidR="00A51597">
        <w:t xml:space="preserve">.  </w:t>
      </w:r>
      <w:r w:rsidRPr="004479C6">
        <w:t xml:space="preserve">Good Neighbor further contends that, although its argument regarding the need to consider alternatives to Housing Project No. 2 is “moot,” this Court should </w:t>
      </w:r>
      <w:r w:rsidRPr="004479C6" w:rsidR="00A51597">
        <w:t xml:space="preserve">decide the claim because it raises issues of broad public interest that are likely to recur.  </w:t>
      </w:r>
      <w:r w:rsidRPr="004479C6" w:rsidR="00B233AC">
        <w:t>We discuss these claims in turn.</w:t>
      </w:r>
    </w:p>
    <w:p w:rsidR="0022637A" w:rsidRPr="004479C6" w:rsidP="009B7C85" w14:paraId="553BEDC6" w14:textId="77777777">
      <w:pPr>
        <w:pStyle w:val="Heading2"/>
        <w:tabs>
          <w:tab w:val="clear" w:pos="1152"/>
        </w:tabs>
        <w:spacing w:line="240" w:lineRule="exact"/>
        <w:ind w:left="0" w:firstLine="0"/>
        <w:jc w:val="center"/>
      </w:pPr>
      <w:r w:rsidRPr="004479C6">
        <w:t>C.</w:t>
      </w:r>
    </w:p>
    <w:p w:rsidR="0069164B" w:rsidRPr="004479C6" w:rsidP="00DC104D" w14:paraId="553BEDC7" w14:textId="77777777">
      <w:pPr>
        <w:ind w:firstLine="720"/>
      </w:pPr>
      <w:r w:rsidRPr="004479C6">
        <w:t xml:space="preserve">As an initial matter, we accept Good Neighbor’s concession that section 21085 precludes “project-level CEQA analysis of the effects of ‘social noise’ associated with Housing Project [No.] 2 as sited in People’s Park.”  Good Neighbor argued below that </w:t>
      </w:r>
      <w:r w:rsidRPr="004479C6" w:rsidR="000B7C2F">
        <w:t xml:space="preserve">the EIR’s analysis of the impacts of “student-generated noise” was inadequate.  </w:t>
      </w:r>
      <w:r w:rsidRPr="004479C6">
        <w:t>But s</w:t>
      </w:r>
      <w:r w:rsidRPr="004479C6" w:rsidR="001109D8">
        <w:t>ection 21085 clearly states that “[f]or purposes of [CEQA], for residential projects, the effects of noise generated by project occupants and their guests on human beings is not a significant effect on the environment.”</w:t>
      </w:r>
    </w:p>
    <w:p w:rsidR="001109D8" w:rsidRPr="004479C6" w:rsidP="00DC104D" w14:paraId="553BEDC8" w14:textId="77777777">
      <w:pPr>
        <w:ind w:firstLine="720"/>
      </w:pPr>
      <w:r w:rsidRPr="004479C6">
        <w:t xml:space="preserve">Because </w:t>
      </w:r>
      <w:r w:rsidRPr="004479C6" w:rsidR="00C86430">
        <w:t>Good Neighbor does not dispute</w:t>
      </w:r>
      <w:r w:rsidRPr="004479C6" w:rsidR="0069164B">
        <w:t xml:space="preserve"> </w:t>
      </w:r>
      <w:r w:rsidRPr="004479C6" w:rsidR="000E28D9">
        <w:t xml:space="preserve">either </w:t>
      </w:r>
      <w:r w:rsidRPr="004479C6" w:rsidR="0069164B">
        <w:t>that Housing Project No. 2 is a “residential project</w:t>
      </w:r>
      <w:r w:rsidRPr="004479C6" w:rsidR="00C456FB">
        <w:t>[]</w:t>
      </w:r>
      <w:r w:rsidRPr="004479C6" w:rsidR="0069164B">
        <w:t xml:space="preserve">” within the meaning of section 21085, </w:t>
      </w:r>
      <w:r w:rsidRPr="004479C6" w:rsidR="000E28D9">
        <w:t xml:space="preserve">or that </w:t>
      </w:r>
      <w:r w:rsidRPr="004479C6">
        <w:t>this statute governs our consideration of the merits of the social noise claim on appeal (</w:t>
      </w:r>
      <w:bookmarkStart w:id="31" w:name="dabmci_58094c07cde34f6e97edc5d72f887b02"/>
      <w:r w:rsidRPr="004479C6">
        <w:rPr>
          <w:i/>
          <w:iCs/>
        </w:rPr>
        <w:t>Citizens for Positive Growth</w:t>
      </w:r>
      <w:r w:rsidRPr="004479C6">
        <w:t xml:space="preserve">, </w:t>
      </w:r>
      <w:r w:rsidRPr="004479C6">
        <w:rPr>
          <w:i/>
          <w:iCs/>
        </w:rPr>
        <w:t>supra</w:t>
      </w:r>
      <w:r w:rsidRPr="004479C6">
        <w:t>, 43 Cal.App.5th at p. 626</w:t>
      </w:r>
      <w:bookmarkEnd w:id="31"/>
      <w:r w:rsidRPr="004479C6">
        <w:t xml:space="preserve">), </w:t>
      </w:r>
      <w:r w:rsidRPr="004479C6" w:rsidR="0069164B">
        <w:t xml:space="preserve">Good Neighbor’s social noise claim with respect to Housing Project No. 2 necessarily fails.  </w:t>
      </w:r>
      <w:r w:rsidRPr="004479C6">
        <w:t>It cannot be said that the 2021 EIR is inadequate for having failed to study the effects of social</w:t>
      </w:r>
      <w:r w:rsidRPr="004479C6" w:rsidR="00EE50B2">
        <w:t xml:space="preserve"> </w:t>
      </w:r>
      <w:r w:rsidRPr="004479C6">
        <w:t xml:space="preserve">noise </w:t>
      </w:r>
      <w:r w:rsidRPr="004479C6" w:rsidR="0069164B">
        <w:t xml:space="preserve">associated with </w:t>
      </w:r>
      <w:r w:rsidRPr="004479C6">
        <w:t xml:space="preserve">Housing Project No. 2, when no such analysis is required under section 21085.  </w:t>
      </w:r>
      <w:r w:rsidRPr="004479C6" w:rsidR="0069164B">
        <w:t>The alleged environmental impacts of “n</w:t>
      </w:r>
      <w:r w:rsidRPr="004479C6">
        <w:t>oise generated by project occupants and their guests on human beings</w:t>
      </w:r>
      <w:r w:rsidRPr="004479C6" w:rsidR="0069164B">
        <w:t>” at th</w:t>
      </w:r>
      <w:r w:rsidRPr="004479C6" w:rsidR="009415DA">
        <w:t xml:space="preserve">e proposed </w:t>
      </w:r>
      <w:r w:rsidRPr="004479C6" w:rsidR="0069164B">
        <w:t xml:space="preserve">new housing project </w:t>
      </w:r>
      <w:r w:rsidRPr="004479C6" w:rsidR="001C0AFE">
        <w:t xml:space="preserve">located </w:t>
      </w:r>
      <w:r w:rsidRPr="004479C6" w:rsidR="0069164B">
        <w:t>at People’s Park are not subject to review under CEQA.</w:t>
      </w:r>
      <w:r w:rsidRPr="004479C6" w:rsidR="009415DA">
        <w:t xml:space="preserve">  (§ 21085.)  </w:t>
      </w:r>
    </w:p>
    <w:p w:rsidR="008F360E" w:rsidRPr="004479C6" w:rsidP="00DC104D" w14:paraId="553BEDC9" w14:textId="77777777">
      <w:pPr>
        <w:ind w:firstLine="720"/>
      </w:pPr>
      <w:r w:rsidRPr="004479C6">
        <w:t xml:space="preserve">What remains for us to decide is Good Neighbor’s claim that the 2021 EIR is nonetheless deficient for failing to adequately consider the environmental impacts of social noise resulting more broadly from </w:t>
      </w:r>
      <w:r w:rsidRPr="004479C6" w:rsidR="00E17CEC">
        <w:t>the</w:t>
      </w:r>
      <w:r w:rsidRPr="004479C6">
        <w:t xml:space="preserve"> </w:t>
      </w:r>
      <w:r w:rsidRPr="004479C6" w:rsidR="00BF0D4E">
        <w:t xml:space="preserve">2021 </w:t>
      </w:r>
      <w:r w:rsidRPr="004479C6">
        <w:t xml:space="preserve">LRDP — </w:t>
      </w:r>
      <w:r w:rsidRPr="004479C6" w:rsidR="00EC08AF">
        <w:t>the</w:t>
      </w:r>
      <w:r w:rsidRPr="004479C6">
        <w:t xml:space="preserve"> long-range plan </w:t>
      </w:r>
      <w:r w:rsidRPr="004479C6" w:rsidR="00EC08AF">
        <w:t>that</w:t>
      </w:r>
      <w:r w:rsidRPr="004479C6">
        <w:t xml:space="preserve"> governs physical development </w:t>
      </w:r>
      <w:r w:rsidRPr="004479C6" w:rsidR="00E044F1">
        <w:t xml:space="preserve">at UC Berkeley </w:t>
      </w:r>
      <w:r w:rsidRPr="004479C6">
        <w:t>through the horizon year of 2036–2037.</w:t>
      </w:r>
      <w:r>
        <w:rPr>
          <w:rStyle w:val="FootnoteReference"/>
        </w:rPr>
        <w:footnoteReference w:id="15"/>
      </w:r>
      <w:r w:rsidRPr="004479C6">
        <w:t xml:space="preserve">  </w:t>
      </w:r>
    </w:p>
    <w:p w:rsidR="00C502A0" w:rsidRPr="004479C6" w:rsidP="00DC104D" w14:paraId="553BEDCA" w14:textId="77777777">
      <w:pPr>
        <w:ind w:firstLine="720"/>
      </w:pPr>
      <w:r w:rsidRPr="004479C6">
        <w:t xml:space="preserve">According to Good Neighbor, </w:t>
      </w:r>
      <w:r w:rsidRPr="004479C6" w:rsidR="0059338B">
        <w:t xml:space="preserve">one reason </w:t>
      </w:r>
      <w:r w:rsidRPr="004479C6" w:rsidR="00A02389">
        <w:t xml:space="preserve">this claim remains viable </w:t>
      </w:r>
      <w:r w:rsidRPr="004479C6" w:rsidR="00D91F8A">
        <w:t xml:space="preserve">is </w:t>
      </w:r>
      <w:r w:rsidRPr="004479C6" w:rsidR="00A02389">
        <w:t xml:space="preserve">because the </w:t>
      </w:r>
      <w:r w:rsidRPr="004479C6" w:rsidR="00BF0D4E">
        <w:t xml:space="preserve">2021 </w:t>
      </w:r>
      <w:r w:rsidRPr="004479C6" w:rsidR="00A02389">
        <w:t xml:space="preserve">LRDP does not constitute a “residential project[]” within the meaning of section 21085.  </w:t>
      </w:r>
      <w:r w:rsidRPr="004479C6">
        <w:t>Although the term “residential projects” is not defined for purposes of section 21085, section 21065 defines a “</w:t>
      </w:r>
      <w:r w:rsidRPr="004479C6" w:rsidR="004006BA">
        <w:t> ‘[</w:t>
      </w:r>
      <w:r w:rsidRPr="004479C6">
        <w:t>p</w:t>
      </w:r>
      <w:r w:rsidRPr="004479C6" w:rsidR="004006BA">
        <w:t>]</w:t>
      </w:r>
      <w:r w:rsidRPr="004479C6">
        <w:t>roject</w:t>
      </w:r>
      <w:r w:rsidRPr="004479C6" w:rsidR="004006BA">
        <w:t>’ </w:t>
      </w:r>
      <w:r w:rsidRPr="004479C6">
        <w:t>” as “an activity which may cause either a direct physical change in the environment, or a reasonably foreseeable indirect physical change in the environment,” when carried out directly or indirectly by a public agency under specified circumstances.  Given that section 21060 mandates that section 21065’s definition of project shall “govern the construction” of CEQA (§ 21060), “we must assume that in using the defined term ‘project’ in section [21085], the Legislature intended it to bear the definition assigned in section 21065.”  (</w:t>
      </w:r>
      <w:bookmarkStart w:id="32" w:name="dabmci_5fcf9e20a6a04223a9de2bd1614dad5a"/>
      <w:r w:rsidRPr="004479C6">
        <w:rPr>
          <w:i/>
          <w:iCs/>
        </w:rPr>
        <w:t>Union of Medical Marijuana Patients</w:t>
      </w:r>
      <w:r w:rsidRPr="004479C6">
        <w:t xml:space="preserve">, </w:t>
      </w:r>
      <w:r w:rsidRPr="004479C6">
        <w:rPr>
          <w:i/>
          <w:iCs/>
        </w:rPr>
        <w:t>supra</w:t>
      </w:r>
      <w:r w:rsidRPr="004479C6">
        <w:t>, 7 Cal.5th at p. 1191</w:t>
      </w:r>
      <w:bookmarkEnd w:id="32"/>
      <w:r w:rsidRPr="004479C6">
        <w:t xml:space="preserve">; see </w:t>
      </w:r>
      <w:bookmarkStart w:id="33" w:name="dabmci_0bfb614027124b54b72385909dc9f8d4"/>
      <w:r w:rsidRPr="004479C6">
        <w:rPr>
          <w:i/>
          <w:iCs/>
        </w:rPr>
        <w:t>ibid</w:t>
      </w:r>
      <w:r w:rsidRPr="004479C6">
        <w:t>.</w:t>
      </w:r>
      <w:bookmarkEnd w:id="33"/>
      <w:r w:rsidRPr="004479C6">
        <w:t xml:space="preserve"> [Legislature’s “use of the defined term ‘project,’ rather than a generic term such as ‘activity,’ suggests that the Legislature intended to incorporate the defined concept”].)</w:t>
      </w:r>
      <w:r>
        <w:rPr>
          <w:rStyle w:val="FootnoteReference"/>
        </w:rPr>
        <w:footnoteReference w:id="16"/>
      </w:r>
    </w:p>
    <w:p w:rsidR="00CE5316" w:rsidRPr="004479C6" w:rsidP="00762A63" w14:paraId="553BEDCB" w14:textId="77777777">
      <w:pPr>
        <w:ind w:firstLine="720"/>
      </w:pPr>
      <w:r w:rsidRPr="004479C6">
        <w:t xml:space="preserve">Unlike the term “project,” </w:t>
      </w:r>
      <w:r w:rsidRPr="004479C6" w:rsidR="007F6128">
        <w:t xml:space="preserve">the term “residential” is </w:t>
      </w:r>
      <w:r w:rsidRPr="004479C6" w:rsidR="00844397">
        <w:t xml:space="preserve">not </w:t>
      </w:r>
      <w:r w:rsidRPr="004479C6" w:rsidR="00CA193F">
        <w:t>statutorily defined</w:t>
      </w:r>
      <w:r w:rsidRPr="004479C6" w:rsidR="00982D6D">
        <w:t xml:space="preserve"> within CEQA</w:t>
      </w:r>
      <w:r w:rsidRPr="004479C6">
        <w:t>.  W</w:t>
      </w:r>
      <w:r w:rsidRPr="004479C6" w:rsidR="00CA193F">
        <w:t xml:space="preserve">e </w:t>
      </w:r>
      <w:r w:rsidRPr="004479C6">
        <w:t xml:space="preserve">therefore </w:t>
      </w:r>
      <w:r w:rsidRPr="004479C6" w:rsidR="00CA193F">
        <w:t>presume that the Legislature intended for it to have its “ordinary meaning</w:t>
      </w:r>
      <w:r w:rsidRPr="004479C6" w:rsidR="00437232">
        <w:t xml:space="preserve">.”  </w:t>
      </w:r>
      <w:r w:rsidRPr="004479C6" w:rsidR="00BB3687">
        <w:t>(</w:t>
      </w:r>
      <w:bookmarkStart w:id="39" w:name="dabmci_5ee5b0c49e594d7baa2177710de0d14a"/>
      <w:r w:rsidRPr="004479C6" w:rsidR="00BB3687">
        <w:rPr>
          <w:i/>
          <w:iCs/>
        </w:rPr>
        <w:t>In re N.R.</w:t>
      </w:r>
      <w:r w:rsidRPr="004479C6" w:rsidR="00BB3687">
        <w:t xml:space="preserve"> (2023) </w:t>
      </w:r>
      <w:r w:rsidRPr="004479C6" w:rsidR="00C456FB">
        <w:t xml:space="preserve">15 </w:t>
      </w:r>
      <w:r w:rsidRPr="004479C6" w:rsidR="00BB3687">
        <w:t xml:space="preserve">Cal.5th </w:t>
      </w:r>
      <w:r w:rsidRPr="004479C6" w:rsidR="00C456FB">
        <w:t>520, 539</w:t>
      </w:r>
      <w:bookmarkEnd w:id="39"/>
      <w:r w:rsidRPr="004479C6" w:rsidR="00DB22F3">
        <w:t xml:space="preserve"> </w:t>
      </w:r>
      <w:r w:rsidRPr="004479C6" w:rsidR="00BB3687">
        <w:t>[“The Legislature</w:t>
      </w:r>
      <w:r w:rsidRPr="004479C6" w:rsidR="00F81B0F">
        <w:t>’</w:t>
      </w:r>
      <w:r w:rsidRPr="004479C6" w:rsidR="00BB3687">
        <w:t>s failure to define [</w:t>
      </w:r>
      <w:r w:rsidRPr="004479C6" w:rsidR="00117AB0">
        <w:t xml:space="preserve">a </w:t>
      </w:r>
      <w:r w:rsidRPr="004479C6" w:rsidR="00BB3687">
        <w:t>term] suggests that legislators intended for this term to bear its ordinary meaning in this context”</w:t>
      </w:r>
      <w:r w:rsidRPr="004479C6" w:rsidR="00DB22F3">
        <w:t>].)</w:t>
      </w:r>
      <w:r w:rsidRPr="004479C6" w:rsidR="00B748B1">
        <w:t xml:space="preserve"> </w:t>
      </w:r>
      <w:r w:rsidRPr="004479C6" w:rsidR="00437232">
        <w:t xml:space="preserve"> And we take the ordinary meaning of “residential” to mean “</w:t>
      </w:r>
      <w:r w:rsidRPr="004479C6" w:rsidR="00B748B1">
        <w:t>of or relating to residence or residences</w:t>
      </w:r>
      <w:r w:rsidRPr="004479C6" w:rsidR="00437232">
        <w:t xml:space="preserve">.” </w:t>
      </w:r>
      <w:r w:rsidRPr="004479C6" w:rsidR="00E326E2">
        <w:t xml:space="preserve"> </w:t>
      </w:r>
      <w:r w:rsidRPr="004479C6" w:rsidR="00437232">
        <w:t>(</w:t>
      </w:r>
      <w:r w:rsidRPr="004479C6" w:rsidR="008A353A">
        <w:t>Merriam-Webster Dict. Online</w:t>
      </w:r>
      <w:r w:rsidRPr="004479C6" w:rsidR="00E326E2">
        <w:t xml:space="preserve"> (202</w:t>
      </w:r>
      <w:r w:rsidRPr="004479C6" w:rsidR="0004737C">
        <w:t>4</w:t>
      </w:r>
      <w:r w:rsidRPr="004479C6" w:rsidR="00E326E2">
        <w:t>)</w:t>
      </w:r>
      <w:r w:rsidRPr="004479C6" w:rsidR="008A353A">
        <w:t xml:space="preserve"> &lt;</w:t>
      </w:r>
      <w:r w:rsidRPr="004479C6" w:rsidR="00E60DCC">
        <w:t>https://www.merriam-webster.com/dictionary/</w:t>
      </w:r>
      <w:r w:rsidRPr="004479C6" w:rsidR="00EE50B2">
        <w:t>R</w:t>
      </w:r>
      <w:r w:rsidRPr="004479C6" w:rsidR="00E60DCC">
        <w:t>esidential</w:t>
      </w:r>
      <w:r w:rsidRPr="004479C6" w:rsidR="001D6503">
        <w:t>&gt;</w:t>
      </w:r>
      <w:r w:rsidRPr="004479C6" w:rsidR="008A353A">
        <w:t xml:space="preserve"> [as of </w:t>
      </w:r>
      <w:r w:rsidR="00EF24BC">
        <w:t>June 6</w:t>
      </w:r>
      <w:r w:rsidR="007F6E33">
        <w:t>, 2024</w:t>
      </w:r>
      <w:r w:rsidRPr="004479C6" w:rsidR="008A353A">
        <w:t>]</w:t>
      </w:r>
      <w:r w:rsidRPr="004479C6" w:rsidR="00FC288D">
        <w:t>;</w:t>
      </w:r>
      <w:r>
        <w:rPr>
          <w:rStyle w:val="FootnoteReference"/>
        </w:rPr>
        <w:footnoteReference w:id="17"/>
      </w:r>
      <w:r w:rsidRPr="004479C6" w:rsidR="00FC288D">
        <w:t xml:space="preserve"> see </w:t>
      </w:r>
      <w:bookmarkStart w:id="40" w:name="dabmci_34457b57620544a98fcb031797e09bec"/>
      <w:r w:rsidRPr="004479C6" w:rsidR="00FC288D">
        <w:rPr>
          <w:i/>
          <w:iCs/>
        </w:rPr>
        <w:t>In re N.R.</w:t>
      </w:r>
      <w:r w:rsidRPr="004479C6" w:rsidR="00FC288D">
        <w:t>, at p.</w:t>
      </w:r>
      <w:r w:rsidRPr="004479C6" w:rsidR="00C456FB">
        <w:t> 540</w:t>
      </w:r>
      <w:bookmarkEnd w:id="40"/>
      <w:r w:rsidRPr="004479C6" w:rsidR="00FC288D">
        <w:t xml:space="preserve"> [</w:t>
      </w:r>
      <w:r w:rsidRPr="004479C6" w:rsidR="003F25B3">
        <w:t>dictionary definitions may be helpful in ascertaining the ordinary meaning of words</w:t>
      </w:r>
      <w:r w:rsidRPr="004479C6" w:rsidR="00FC288D">
        <w:t>].)</w:t>
      </w:r>
      <w:r w:rsidRPr="004479C6" w:rsidR="003F25B3">
        <w:t xml:space="preserve">  </w:t>
      </w:r>
      <w:r w:rsidRPr="004479C6" w:rsidR="00644CB5">
        <w:t xml:space="preserve">Thus, </w:t>
      </w:r>
      <w:r w:rsidRPr="004479C6" w:rsidR="00321A38">
        <w:t>considering</w:t>
      </w:r>
      <w:r w:rsidRPr="004479C6" w:rsidR="003007F4">
        <w:t xml:space="preserve"> </w:t>
      </w:r>
      <w:r w:rsidRPr="004479C6" w:rsidR="00277EA8">
        <w:t xml:space="preserve">the individual </w:t>
      </w:r>
      <w:r w:rsidRPr="004479C6" w:rsidR="00455C16">
        <w:t xml:space="preserve">terms </w:t>
      </w:r>
      <w:r w:rsidRPr="004479C6" w:rsidR="00F77D84">
        <w:t>“</w:t>
      </w:r>
      <w:r w:rsidRPr="004479C6" w:rsidR="00455C16">
        <w:t>residential</w:t>
      </w:r>
      <w:r w:rsidRPr="004479C6" w:rsidR="00F77D84">
        <w:t>”</w:t>
      </w:r>
      <w:r w:rsidRPr="004479C6" w:rsidR="00455C16">
        <w:t xml:space="preserve"> and </w:t>
      </w:r>
      <w:r w:rsidRPr="004479C6" w:rsidR="00D746B7">
        <w:t>“</w:t>
      </w:r>
      <w:r w:rsidRPr="004479C6" w:rsidR="00455C16">
        <w:t>projects</w:t>
      </w:r>
      <w:r w:rsidRPr="004479C6" w:rsidR="00F77D84">
        <w:t>”</w:t>
      </w:r>
      <w:r w:rsidRPr="004479C6" w:rsidR="00455C16">
        <w:t xml:space="preserve"> </w:t>
      </w:r>
      <w:r w:rsidRPr="004479C6" w:rsidR="003007F4">
        <w:t>together</w:t>
      </w:r>
      <w:r w:rsidRPr="004479C6" w:rsidR="00427AB9">
        <w:t xml:space="preserve">, the </w:t>
      </w:r>
      <w:r w:rsidRPr="004479C6" w:rsidR="00FD5BD5">
        <w:t xml:space="preserve">Legislature’s use of </w:t>
      </w:r>
      <w:r w:rsidRPr="004479C6" w:rsidR="009A5C57">
        <w:t xml:space="preserve">the </w:t>
      </w:r>
      <w:r w:rsidRPr="004479C6" w:rsidR="00427AB9">
        <w:t>collective term “residential projects” in section</w:t>
      </w:r>
      <w:r w:rsidRPr="004479C6" w:rsidR="00BC0B2A">
        <w:t xml:space="preserve"> 21085 suggests </w:t>
      </w:r>
      <w:r w:rsidRPr="004479C6" w:rsidR="00644CB5">
        <w:t xml:space="preserve">that </w:t>
      </w:r>
      <w:r w:rsidRPr="004479C6" w:rsidR="003007F4">
        <w:t xml:space="preserve">the statute </w:t>
      </w:r>
      <w:r w:rsidRPr="004479C6" w:rsidR="007E2026">
        <w:t xml:space="preserve">applies </w:t>
      </w:r>
      <w:r w:rsidRPr="004479C6" w:rsidR="003007F4">
        <w:t xml:space="preserve">to </w:t>
      </w:r>
      <w:r w:rsidRPr="004479C6" w:rsidR="00FD5BD5">
        <w:t xml:space="preserve">public </w:t>
      </w:r>
      <w:r w:rsidRPr="004479C6" w:rsidR="003007F4">
        <w:t xml:space="preserve">agency </w:t>
      </w:r>
      <w:r w:rsidRPr="004479C6" w:rsidR="00FD741A">
        <w:t>activities that</w:t>
      </w:r>
      <w:r w:rsidRPr="004479C6" w:rsidR="00EE50B2">
        <w:t xml:space="preserve"> </w:t>
      </w:r>
      <w:r w:rsidRPr="004479C6" w:rsidR="00277EA8">
        <w:t>relat</w:t>
      </w:r>
      <w:r w:rsidRPr="004479C6" w:rsidR="001E3986">
        <w:t>e</w:t>
      </w:r>
      <w:r w:rsidRPr="004479C6" w:rsidR="00277EA8">
        <w:t xml:space="preserve"> to residence or residences that </w:t>
      </w:r>
      <w:r w:rsidRPr="004479C6" w:rsidR="00FD741A">
        <w:t>may have a significant effect on the environment</w:t>
      </w:r>
      <w:r w:rsidRPr="004479C6" w:rsidR="00277EA8">
        <w:t>.</w:t>
      </w:r>
    </w:p>
    <w:p w:rsidR="00CE5316" w:rsidRPr="004479C6" w:rsidP="00DC104D" w14:paraId="553BEDCC" w14:textId="77777777">
      <w:pPr>
        <w:ind w:firstLine="720"/>
      </w:pPr>
      <w:r w:rsidRPr="004479C6">
        <w:t xml:space="preserve">Contrary to Good Neighbor’s assertion that the meaning </w:t>
      </w:r>
      <w:r w:rsidRPr="004479C6" w:rsidR="0001353D">
        <w:t>of the term “residential projects” in section 21085 is plain</w:t>
      </w:r>
      <w:r w:rsidRPr="004479C6" w:rsidR="00C456FB">
        <w:t>,</w:t>
      </w:r>
      <w:r w:rsidRPr="004479C6">
        <w:t xml:space="preserve"> </w:t>
      </w:r>
      <w:r w:rsidRPr="004479C6" w:rsidR="003A19A3">
        <w:t xml:space="preserve">we conclude that, </w:t>
      </w:r>
      <w:r w:rsidRPr="004479C6">
        <w:t xml:space="preserve">even when applying the above construction, the term </w:t>
      </w:r>
      <w:r w:rsidRPr="004479C6" w:rsidR="0001353D">
        <w:t xml:space="preserve">may have </w:t>
      </w:r>
      <w:r w:rsidRPr="004479C6" w:rsidR="006506BD">
        <w:t>different</w:t>
      </w:r>
      <w:r w:rsidRPr="004479C6" w:rsidR="0001353D">
        <w:t xml:space="preserve"> meanings</w:t>
      </w:r>
      <w:r w:rsidRPr="004479C6">
        <w:t xml:space="preserve">.  </w:t>
      </w:r>
      <w:r w:rsidRPr="004479C6" w:rsidR="00795989">
        <w:t>As used in th</w:t>
      </w:r>
      <w:r w:rsidRPr="004479C6" w:rsidR="001C5B5F">
        <w:t xml:space="preserve">e </w:t>
      </w:r>
      <w:r w:rsidRPr="004479C6" w:rsidR="00795989">
        <w:t xml:space="preserve">statute, </w:t>
      </w:r>
      <w:r w:rsidRPr="004479C6" w:rsidR="004C3D42">
        <w:t>the term</w:t>
      </w:r>
      <w:r w:rsidRPr="004479C6" w:rsidR="00E206DF">
        <w:t xml:space="preserve"> </w:t>
      </w:r>
      <w:r w:rsidRPr="004479C6" w:rsidR="00DE0FF6">
        <w:t>might</w:t>
      </w:r>
      <w:r w:rsidRPr="004479C6" w:rsidR="007F7AB9">
        <w:t xml:space="preserve"> narrowly </w:t>
      </w:r>
      <w:r w:rsidRPr="004479C6" w:rsidR="005106AC">
        <w:t>refer to</w:t>
      </w:r>
      <w:r w:rsidRPr="004479C6" w:rsidR="00E206DF">
        <w:t xml:space="preserve"> </w:t>
      </w:r>
      <w:r w:rsidRPr="004479C6" w:rsidR="00F87086">
        <w:t>plan</w:t>
      </w:r>
      <w:r w:rsidRPr="004479C6" w:rsidR="00E206DF">
        <w:t>s</w:t>
      </w:r>
      <w:r w:rsidRPr="004479C6" w:rsidR="007F7AB9">
        <w:t xml:space="preserve"> to add residential units to a specific location</w:t>
      </w:r>
      <w:r w:rsidRPr="004479C6" w:rsidR="00BB1117">
        <w:t>.</w:t>
      </w:r>
      <w:r w:rsidRPr="004479C6" w:rsidR="000C642A">
        <w:t xml:space="preserve"> </w:t>
      </w:r>
      <w:r w:rsidRPr="004479C6" w:rsidR="00BB1117">
        <w:t xml:space="preserve"> </w:t>
      </w:r>
      <w:r w:rsidRPr="004479C6" w:rsidR="009D1DDB">
        <w:t>(</w:t>
      </w:r>
      <w:r w:rsidRPr="004479C6" w:rsidR="00BB1117">
        <w:t>S</w:t>
      </w:r>
      <w:r w:rsidRPr="004479C6" w:rsidR="009D1DDB">
        <w:t xml:space="preserve">ee, e.g., </w:t>
      </w:r>
      <w:bookmarkStart w:id="41" w:name="dabmci_cd04b35a73424693810b47031c3029e4"/>
      <w:r w:rsidRPr="004479C6" w:rsidR="006909B8">
        <w:rPr>
          <w:i/>
          <w:iCs/>
        </w:rPr>
        <w:t>City of Goleta v. Superior Court</w:t>
      </w:r>
      <w:r w:rsidRPr="004479C6" w:rsidR="006909B8">
        <w:t xml:space="preserve"> (2006) 40</w:t>
      </w:r>
      <w:r w:rsidRPr="004479C6" w:rsidR="00137899">
        <w:t> </w:t>
      </w:r>
      <w:r w:rsidRPr="004479C6" w:rsidR="006909B8">
        <w:t>Cal.4th 270, 274</w:t>
      </w:r>
      <w:bookmarkEnd w:id="41"/>
      <w:r w:rsidRPr="004479C6" w:rsidR="0046276A">
        <w:t xml:space="preserve"> </w:t>
      </w:r>
      <w:r w:rsidRPr="004479C6" w:rsidR="006909B8">
        <w:t>[</w:t>
      </w:r>
      <w:r w:rsidRPr="004479C6" w:rsidR="00211131">
        <w:t xml:space="preserve">developer </w:t>
      </w:r>
      <w:r w:rsidRPr="004479C6" w:rsidR="006909B8">
        <w:t>“submitted a vesting tentative subdivision map to the County for a multiunit residential project within [City’s] proposed boundaries</w:t>
      </w:r>
      <w:r w:rsidRPr="004479C6" w:rsidR="00C456FB">
        <w:t>”</w:t>
      </w:r>
      <w:r w:rsidRPr="004479C6" w:rsidR="006909B8">
        <w:t>]</w:t>
      </w:r>
      <w:r w:rsidRPr="004479C6" w:rsidR="00211131">
        <w:t>.</w:t>
      </w:r>
      <w:r w:rsidRPr="004479C6" w:rsidR="0046276A">
        <w:t>)</w:t>
      </w:r>
      <w:r w:rsidRPr="004479C6" w:rsidR="007F7AB9">
        <w:t xml:space="preserve"> </w:t>
      </w:r>
      <w:r w:rsidRPr="004479C6" w:rsidR="00211131">
        <w:t xml:space="preserve"> O</w:t>
      </w:r>
      <w:r w:rsidRPr="004479C6" w:rsidR="007F7AB9">
        <w:t xml:space="preserve">r </w:t>
      </w:r>
      <w:r w:rsidRPr="004479C6" w:rsidR="007472CF">
        <w:t xml:space="preserve">the </w:t>
      </w:r>
      <w:r w:rsidRPr="004479C6" w:rsidR="002E228B">
        <w:t>term</w:t>
      </w:r>
      <w:r w:rsidRPr="004479C6" w:rsidR="007F7AB9">
        <w:t xml:space="preserve"> might more broadly refer to lan</w:t>
      </w:r>
      <w:r w:rsidRPr="004479C6" w:rsidR="0009658F">
        <w:t xml:space="preserve">d use planning </w:t>
      </w:r>
      <w:r w:rsidRPr="004479C6" w:rsidR="00E17CEC">
        <w:t>to the extent it concerns</w:t>
      </w:r>
      <w:r w:rsidRPr="004479C6" w:rsidR="00124790">
        <w:t xml:space="preserve"> </w:t>
      </w:r>
      <w:r w:rsidRPr="004479C6" w:rsidR="001A109B">
        <w:t xml:space="preserve">residential </w:t>
      </w:r>
      <w:r w:rsidRPr="004479C6" w:rsidR="00DD4A2F">
        <w:t>development</w:t>
      </w:r>
      <w:r w:rsidRPr="004479C6" w:rsidR="00211131">
        <w:t>.</w:t>
      </w:r>
      <w:r w:rsidRPr="004479C6" w:rsidR="000C642A">
        <w:t xml:space="preserve"> </w:t>
      </w:r>
      <w:r w:rsidRPr="004479C6" w:rsidR="00211131">
        <w:t xml:space="preserve"> </w:t>
      </w:r>
      <w:r w:rsidRPr="004479C6" w:rsidR="00CF0019">
        <w:t>(</w:t>
      </w:r>
      <w:r w:rsidRPr="004479C6" w:rsidR="00211131">
        <w:t>S</w:t>
      </w:r>
      <w:r w:rsidRPr="004479C6" w:rsidR="00CF0019">
        <w:t>ee</w:t>
      </w:r>
      <w:r w:rsidRPr="004479C6" w:rsidR="00C12FE4">
        <w:t>, e.g</w:t>
      </w:r>
      <w:r w:rsidRPr="004479C6" w:rsidR="00B3163C">
        <w:t>.</w:t>
      </w:r>
      <w:r w:rsidRPr="004479C6" w:rsidR="00C12FE4">
        <w:t>,</w:t>
      </w:r>
      <w:r w:rsidRPr="004479C6" w:rsidR="00CF0019">
        <w:t xml:space="preserve"> </w:t>
      </w:r>
      <w:r w:rsidRPr="004479C6" w:rsidR="00C649D5">
        <w:t>CEQA G</w:t>
      </w:r>
      <w:r w:rsidRPr="004479C6" w:rsidR="00CF0019">
        <w:t xml:space="preserve">uidelines, </w:t>
      </w:r>
      <w:r w:rsidRPr="004479C6" w:rsidR="00E200AD">
        <w:t>§ 15182</w:t>
      </w:r>
      <w:r w:rsidRPr="004479C6" w:rsidR="00C12FE4">
        <w:t>, subd. (c)(1)</w:t>
      </w:r>
      <w:r w:rsidRPr="004479C6" w:rsidR="0056797B">
        <w:t xml:space="preserve"> [“</w:t>
      </w:r>
      <w:r w:rsidRPr="004479C6" w:rsidR="00662A01">
        <w:t>Residential projects covered by this section include but are not limited to land subdivisions, zoning changes, and residential planned unit developments”]</w:t>
      </w:r>
      <w:r w:rsidRPr="004479C6" w:rsidR="00F3081E">
        <w:t>.</w:t>
      </w:r>
      <w:r w:rsidRPr="004479C6" w:rsidR="00662A01">
        <w:t>)</w:t>
      </w:r>
      <w:r w:rsidRPr="004479C6" w:rsidR="001C5B5F">
        <w:t xml:space="preserve"> </w:t>
      </w:r>
      <w:r w:rsidRPr="004479C6" w:rsidR="00F3081E">
        <w:t xml:space="preserve"> </w:t>
      </w:r>
      <w:r w:rsidRPr="004479C6" w:rsidR="00E25202">
        <w:t>Section 21085’s</w:t>
      </w:r>
      <w:r w:rsidRPr="004479C6" w:rsidR="001C5B5F">
        <w:t xml:space="preserve"> brevity</w:t>
      </w:r>
      <w:r w:rsidRPr="004479C6" w:rsidR="00137899">
        <w:t> </w:t>
      </w:r>
      <w:r w:rsidRPr="004479C6" w:rsidR="00AC05F5">
        <w:t xml:space="preserve">— </w:t>
      </w:r>
      <w:r w:rsidRPr="004479C6" w:rsidR="001C5B5F">
        <w:t>consisting of a single sentence</w:t>
      </w:r>
      <w:r w:rsidRPr="004479C6" w:rsidR="00137899">
        <w:t> </w:t>
      </w:r>
      <w:r w:rsidRPr="004479C6" w:rsidR="00AC05F5">
        <w:t xml:space="preserve">— </w:t>
      </w:r>
      <w:r w:rsidRPr="004479C6" w:rsidR="001C5B5F">
        <w:t xml:space="preserve">provides limited </w:t>
      </w:r>
      <w:r w:rsidRPr="004479C6" w:rsidR="00D63AAB">
        <w:t xml:space="preserve">contextual clues as to the </w:t>
      </w:r>
      <w:r w:rsidRPr="004479C6" w:rsidR="00571935">
        <w:t xml:space="preserve">breadth </w:t>
      </w:r>
      <w:r w:rsidRPr="004479C6" w:rsidR="008E3795">
        <w:t xml:space="preserve">the Legislature intended to ascribe </w:t>
      </w:r>
      <w:r w:rsidRPr="004479C6" w:rsidR="00596B81">
        <w:t>to</w:t>
      </w:r>
      <w:r w:rsidRPr="004479C6" w:rsidR="00571935">
        <w:t xml:space="preserve"> the term</w:t>
      </w:r>
      <w:r w:rsidRPr="004479C6" w:rsidR="0061748C">
        <w:t>.</w:t>
      </w:r>
    </w:p>
    <w:p w:rsidR="00CE5316" w:rsidRPr="004479C6" w:rsidP="00DC104D" w14:paraId="553BEDCD" w14:textId="77777777">
      <w:pPr>
        <w:ind w:firstLine="720"/>
        <w:rPr>
          <w:szCs w:val="26"/>
        </w:rPr>
      </w:pPr>
      <w:r w:rsidRPr="004479C6">
        <w:rPr>
          <w:szCs w:val="26"/>
        </w:rPr>
        <w:t xml:space="preserve">Advancing </w:t>
      </w:r>
      <w:r w:rsidRPr="004479C6" w:rsidR="00DF5302">
        <w:rPr>
          <w:szCs w:val="26"/>
        </w:rPr>
        <w:t>a narrower interpretation, Good Neighbor argues that</w:t>
      </w:r>
      <w:r w:rsidRPr="004479C6" w:rsidR="0033212A">
        <w:rPr>
          <w:szCs w:val="26"/>
        </w:rPr>
        <w:t xml:space="preserve"> </w:t>
      </w:r>
      <w:r w:rsidRPr="004479C6" w:rsidR="0060020F">
        <w:rPr>
          <w:szCs w:val="26"/>
        </w:rPr>
        <w:t>“</w:t>
      </w:r>
      <w:r w:rsidRPr="004479C6" w:rsidR="0033212A">
        <w:rPr>
          <w:szCs w:val="26"/>
        </w:rPr>
        <w:t>[t]</w:t>
      </w:r>
      <w:r w:rsidRPr="004479C6" w:rsidR="0060020F">
        <w:rPr>
          <w:szCs w:val="26"/>
        </w:rPr>
        <w:t>he Legislature could have amended CEQA to provide that ‘</w:t>
      </w:r>
      <w:r w:rsidRPr="004479C6" w:rsidR="0060020F">
        <w:rPr>
          <w:i/>
          <w:iCs/>
          <w:szCs w:val="26"/>
        </w:rPr>
        <w:t>for LRDPs</w:t>
      </w:r>
      <w:r w:rsidRPr="004479C6" w:rsidR="0060020F">
        <w:rPr>
          <w:szCs w:val="26"/>
        </w:rPr>
        <w:t xml:space="preserve">, noise generated </w:t>
      </w:r>
      <w:r w:rsidRPr="004479C6" w:rsidR="0060020F">
        <w:rPr>
          <w:i/>
          <w:iCs/>
          <w:szCs w:val="26"/>
        </w:rPr>
        <w:t>by LRDP population plans</w:t>
      </w:r>
      <w:r w:rsidRPr="004479C6" w:rsidR="0060020F">
        <w:rPr>
          <w:szCs w:val="26"/>
        </w:rPr>
        <w:t xml:space="preserve"> is not a significant effect on the environment,’ but it did not.”</w:t>
      </w:r>
      <w:r w:rsidRPr="004479C6" w:rsidR="00D419A7">
        <w:rPr>
          <w:szCs w:val="26"/>
        </w:rPr>
        <w:t xml:space="preserve"> </w:t>
      </w:r>
      <w:r w:rsidRPr="004479C6" w:rsidR="0060020F">
        <w:rPr>
          <w:szCs w:val="26"/>
        </w:rPr>
        <w:t xml:space="preserve"> </w:t>
      </w:r>
      <w:r w:rsidRPr="004479C6" w:rsidR="003371AA">
        <w:rPr>
          <w:szCs w:val="26"/>
        </w:rPr>
        <w:t>(I</w:t>
      </w:r>
      <w:r w:rsidRPr="004479C6" w:rsidR="0060020F">
        <w:rPr>
          <w:szCs w:val="26"/>
        </w:rPr>
        <w:t>talics added.</w:t>
      </w:r>
      <w:r w:rsidRPr="004479C6" w:rsidR="003371AA">
        <w:rPr>
          <w:szCs w:val="26"/>
        </w:rPr>
        <w:t>)</w:t>
      </w:r>
      <w:r w:rsidRPr="004479C6" w:rsidR="00D419A7">
        <w:rPr>
          <w:szCs w:val="26"/>
        </w:rPr>
        <w:t xml:space="preserve"> </w:t>
      </w:r>
      <w:r w:rsidRPr="004479C6" w:rsidR="003F140C">
        <w:rPr>
          <w:szCs w:val="26"/>
        </w:rPr>
        <w:t xml:space="preserve"> </w:t>
      </w:r>
      <w:r w:rsidRPr="004479C6" w:rsidR="002A30A7">
        <w:rPr>
          <w:szCs w:val="26"/>
        </w:rPr>
        <w:t xml:space="preserve">This argument is unpersuasive.  </w:t>
      </w:r>
      <w:r w:rsidRPr="004479C6" w:rsidR="001F7A81">
        <w:rPr>
          <w:szCs w:val="26"/>
        </w:rPr>
        <w:t>T</w:t>
      </w:r>
      <w:r w:rsidRPr="004479C6" w:rsidR="00987924">
        <w:rPr>
          <w:szCs w:val="26"/>
        </w:rPr>
        <w:t xml:space="preserve">hat the Legislature could have specifically referred to LRDPs does not answer the question of whether </w:t>
      </w:r>
      <w:r w:rsidRPr="004479C6" w:rsidR="00F12335">
        <w:rPr>
          <w:szCs w:val="26"/>
        </w:rPr>
        <w:t xml:space="preserve">an LRDP </w:t>
      </w:r>
      <w:r w:rsidRPr="004479C6" w:rsidR="00732591">
        <w:rPr>
          <w:szCs w:val="26"/>
        </w:rPr>
        <w:t>is</w:t>
      </w:r>
      <w:r w:rsidRPr="004479C6" w:rsidR="00003281">
        <w:rPr>
          <w:szCs w:val="26"/>
        </w:rPr>
        <w:t xml:space="preserve"> </w:t>
      </w:r>
      <w:r w:rsidRPr="004479C6" w:rsidR="00F12335">
        <w:rPr>
          <w:szCs w:val="26"/>
        </w:rPr>
        <w:t xml:space="preserve">within the scope of </w:t>
      </w:r>
      <w:r w:rsidRPr="004479C6" w:rsidR="0033212A">
        <w:rPr>
          <w:szCs w:val="26"/>
        </w:rPr>
        <w:t xml:space="preserve">the different term — </w:t>
      </w:r>
      <w:r w:rsidRPr="004479C6" w:rsidR="00003281">
        <w:rPr>
          <w:szCs w:val="26"/>
        </w:rPr>
        <w:t>namely</w:t>
      </w:r>
      <w:r w:rsidRPr="004479C6" w:rsidR="0033212A">
        <w:rPr>
          <w:szCs w:val="26"/>
        </w:rPr>
        <w:t xml:space="preserve">, </w:t>
      </w:r>
      <w:r w:rsidRPr="004479C6" w:rsidR="00F12335">
        <w:rPr>
          <w:szCs w:val="26"/>
        </w:rPr>
        <w:t>“residential projects”</w:t>
      </w:r>
      <w:r w:rsidRPr="004479C6" w:rsidR="007F27CA">
        <w:rPr>
          <w:szCs w:val="26"/>
        </w:rPr>
        <w:t xml:space="preserve"> </w:t>
      </w:r>
      <w:r w:rsidRPr="004479C6" w:rsidR="00E43D3F">
        <w:rPr>
          <w:szCs w:val="26"/>
        </w:rPr>
        <w:t>(§ 21085)</w:t>
      </w:r>
      <w:r w:rsidRPr="004479C6" w:rsidR="0033212A">
        <w:rPr>
          <w:szCs w:val="26"/>
        </w:rPr>
        <w:t> — which the Legislature chose to use.</w:t>
      </w:r>
      <w:r w:rsidRPr="004479C6" w:rsidR="00D94E65">
        <w:rPr>
          <w:szCs w:val="26"/>
        </w:rPr>
        <w:t xml:space="preserve">  Good Neighbor</w:t>
      </w:r>
      <w:r w:rsidRPr="004479C6" w:rsidR="00A851A7">
        <w:rPr>
          <w:szCs w:val="26"/>
        </w:rPr>
        <w:t xml:space="preserve">’s invocation of </w:t>
      </w:r>
      <w:r w:rsidRPr="004479C6" w:rsidR="00D94E65">
        <w:rPr>
          <w:szCs w:val="26"/>
        </w:rPr>
        <w:t xml:space="preserve">the </w:t>
      </w:r>
      <w:r w:rsidRPr="004479C6" w:rsidR="00971F3A">
        <w:rPr>
          <w:szCs w:val="26"/>
        </w:rPr>
        <w:t>canon</w:t>
      </w:r>
      <w:r w:rsidRPr="004479C6" w:rsidR="00D94E65">
        <w:rPr>
          <w:szCs w:val="26"/>
        </w:rPr>
        <w:t xml:space="preserve"> of statutory construction, </w:t>
      </w:r>
      <w:r w:rsidRPr="004479C6" w:rsidR="00D94E65">
        <w:rPr>
          <w:i/>
          <w:iCs/>
          <w:szCs w:val="26"/>
        </w:rPr>
        <w:t>expressio unius est exclusio alterius</w:t>
      </w:r>
      <w:r w:rsidRPr="004479C6" w:rsidR="00D94E65">
        <w:rPr>
          <w:szCs w:val="26"/>
        </w:rPr>
        <w:t xml:space="preserve">, </w:t>
      </w:r>
      <w:r w:rsidRPr="004479C6" w:rsidR="006E574A">
        <w:rPr>
          <w:szCs w:val="26"/>
        </w:rPr>
        <w:t>pursuant to which “the explicit mention of some things in a text may imply other matters not similarly addressed are excluded”</w:t>
      </w:r>
      <w:r w:rsidRPr="004479C6" w:rsidR="00285031">
        <w:rPr>
          <w:szCs w:val="26"/>
        </w:rPr>
        <w:t xml:space="preserve"> (</w:t>
      </w:r>
      <w:bookmarkStart w:id="42" w:name="dabmci_3796bb5f7f314cca94de813c93b4a256"/>
      <w:r w:rsidRPr="004479C6" w:rsidR="006E574A">
        <w:rPr>
          <w:i/>
          <w:iCs/>
          <w:szCs w:val="26"/>
        </w:rPr>
        <w:t>Howard Jarvis Taxpayers Assn. v. Padilla</w:t>
      </w:r>
      <w:r w:rsidRPr="004479C6" w:rsidR="006E574A">
        <w:rPr>
          <w:szCs w:val="26"/>
        </w:rPr>
        <w:t xml:space="preserve"> (2016) 62</w:t>
      </w:r>
      <w:r w:rsidRPr="004479C6" w:rsidR="0033212A">
        <w:rPr>
          <w:szCs w:val="26"/>
        </w:rPr>
        <w:t> </w:t>
      </w:r>
      <w:r w:rsidRPr="004479C6" w:rsidR="006E574A">
        <w:rPr>
          <w:szCs w:val="26"/>
        </w:rPr>
        <w:t>Cal.4th 486, 514</w:t>
      </w:r>
      <w:bookmarkEnd w:id="42"/>
      <w:r w:rsidRPr="004479C6" w:rsidR="00285031">
        <w:rPr>
          <w:szCs w:val="26"/>
        </w:rPr>
        <w:t>)</w:t>
      </w:r>
      <w:r w:rsidRPr="004479C6" w:rsidR="003C0790">
        <w:rPr>
          <w:szCs w:val="26"/>
        </w:rPr>
        <w:t xml:space="preserve">, does not advance its claim here because </w:t>
      </w:r>
      <w:r w:rsidRPr="004479C6" w:rsidR="000306D2">
        <w:rPr>
          <w:szCs w:val="26"/>
        </w:rPr>
        <w:t xml:space="preserve">Good Neighbor has </w:t>
      </w:r>
      <w:r w:rsidRPr="004479C6" w:rsidR="00400641">
        <w:rPr>
          <w:szCs w:val="26"/>
        </w:rPr>
        <w:t xml:space="preserve">failed to </w:t>
      </w:r>
      <w:r w:rsidRPr="004479C6" w:rsidR="000306D2">
        <w:rPr>
          <w:szCs w:val="26"/>
        </w:rPr>
        <w:t>establis</w:t>
      </w:r>
      <w:r w:rsidRPr="004479C6" w:rsidR="00400641">
        <w:rPr>
          <w:szCs w:val="26"/>
        </w:rPr>
        <w:t>h</w:t>
      </w:r>
      <w:r w:rsidRPr="004479C6" w:rsidR="000306D2">
        <w:rPr>
          <w:szCs w:val="26"/>
        </w:rPr>
        <w:t xml:space="preserve"> that the 2021 LRDP is </w:t>
      </w:r>
      <w:r w:rsidRPr="004479C6" w:rsidR="000E63AD">
        <w:rPr>
          <w:szCs w:val="26"/>
        </w:rPr>
        <w:t>outside</w:t>
      </w:r>
      <w:r w:rsidRPr="004479C6" w:rsidR="000306D2">
        <w:rPr>
          <w:szCs w:val="26"/>
        </w:rPr>
        <w:t xml:space="preserve"> the scope of </w:t>
      </w:r>
      <w:r w:rsidRPr="004479C6" w:rsidR="002F27F8">
        <w:rPr>
          <w:szCs w:val="26"/>
        </w:rPr>
        <w:t>section 21085’s</w:t>
      </w:r>
      <w:r w:rsidRPr="004479C6" w:rsidR="000306D2">
        <w:rPr>
          <w:szCs w:val="26"/>
        </w:rPr>
        <w:t xml:space="preserve"> reference to </w:t>
      </w:r>
      <w:r w:rsidRPr="004479C6" w:rsidR="002F27F8">
        <w:rPr>
          <w:szCs w:val="26"/>
        </w:rPr>
        <w:t>“residential projects.”</w:t>
      </w:r>
      <w:r w:rsidRPr="004479C6" w:rsidR="0033212A">
        <w:rPr>
          <w:szCs w:val="26"/>
        </w:rPr>
        <w:t xml:space="preserve"> </w:t>
      </w:r>
      <w:r w:rsidRPr="004479C6" w:rsidR="009E338F">
        <w:rPr>
          <w:szCs w:val="26"/>
        </w:rPr>
        <w:t xml:space="preserve"> </w:t>
      </w:r>
    </w:p>
    <w:p w:rsidR="00CE5316" w:rsidRPr="004479C6" w:rsidP="00DC104D" w14:paraId="553BEDCE" w14:textId="77777777">
      <w:pPr>
        <w:ind w:firstLine="720"/>
      </w:pPr>
      <w:r w:rsidRPr="004479C6">
        <w:rPr>
          <w:szCs w:val="26"/>
        </w:rPr>
        <w:t>A</w:t>
      </w:r>
      <w:r w:rsidRPr="004479C6" w:rsidR="005B3EC0">
        <w:rPr>
          <w:szCs w:val="26"/>
        </w:rPr>
        <w:t xml:space="preserve"> broader interpretation of “residential projects” </w:t>
      </w:r>
      <w:r w:rsidRPr="004479C6" w:rsidR="00C0244D">
        <w:rPr>
          <w:szCs w:val="26"/>
        </w:rPr>
        <w:t>(§ 21085)</w:t>
      </w:r>
      <w:r w:rsidRPr="004479C6">
        <w:rPr>
          <w:szCs w:val="26"/>
        </w:rPr>
        <w:t xml:space="preserve"> — one that </w:t>
      </w:r>
      <w:r w:rsidRPr="004479C6" w:rsidR="008A47AF">
        <w:rPr>
          <w:szCs w:val="26"/>
        </w:rPr>
        <w:t>encompass</w:t>
      </w:r>
      <w:r w:rsidRPr="004479C6">
        <w:rPr>
          <w:szCs w:val="26"/>
        </w:rPr>
        <w:t>es</w:t>
      </w:r>
      <w:r w:rsidRPr="004479C6" w:rsidR="008A47AF">
        <w:rPr>
          <w:szCs w:val="26"/>
        </w:rPr>
        <w:t xml:space="preserve"> </w:t>
      </w:r>
      <w:r w:rsidRPr="004479C6" w:rsidR="008A47AF">
        <w:t xml:space="preserve">land use planning </w:t>
      </w:r>
      <w:r w:rsidRPr="004479C6" w:rsidR="00E17CEC">
        <w:t>to the extent it concerns</w:t>
      </w:r>
      <w:r w:rsidRPr="004479C6" w:rsidR="008A47AF">
        <w:t xml:space="preserve"> residential</w:t>
      </w:r>
      <w:r w:rsidRPr="004479C6" w:rsidR="00166D24">
        <w:t xml:space="preserve"> </w:t>
      </w:r>
      <w:r w:rsidRPr="004479C6" w:rsidR="008A47AF">
        <w:t>development</w:t>
      </w:r>
      <w:r w:rsidRPr="004479C6">
        <w:t xml:space="preserve"> — </w:t>
      </w:r>
      <w:r w:rsidRPr="004479C6" w:rsidR="00AA7CCA">
        <w:t xml:space="preserve">appears to </w:t>
      </w:r>
      <w:r w:rsidRPr="004479C6" w:rsidR="00526CFF">
        <w:t>better</w:t>
      </w:r>
      <w:r w:rsidRPr="004479C6">
        <w:t xml:space="preserve"> </w:t>
      </w:r>
      <w:r w:rsidRPr="004479C6" w:rsidR="00526CFF">
        <w:t xml:space="preserve">correspond with the </w:t>
      </w:r>
      <w:r w:rsidRPr="004479C6" w:rsidR="00737100">
        <w:t>Legislature’s</w:t>
      </w:r>
      <w:r w:rsidRPr="004479C6" w:rsidR="00526CFF">
        <w:t xml:space="preserve"> </w:t>
      </w:r>
      <w:r w:rsidRPr="004479C6" w:rsidR="00B9061C">
        <w:t>intent</w:t>
      </w:r>
      <w:r w:rsidRPr="004479C6" w:rsidR="00CD3138">
        <w:t xml:space="preserve"> to </w:t>
      </w:r>
      <w:r w:rsidRPr="004479C6" w:rsidR="004201B4">
        <w:t xml:space="preserve">specify the type of noise that does not constitute a significant effect on the environment, namely that emanating from </w:t>
      </w:r>
      <w:r w:rsidRPr="004479C6" w:rsidR="00C06B1B">
        <w:t>“</w:t>
      </w:r>
      <w:r w:rsidRPr="004479C6" w:rsidR="004201B4">
        <w:t>project occupants and their guests.</w:t>
      </w:r>
      <w:r w:rsidRPr="004479C6" w:rsidR="00C06B1B">
        <w:t xml:space="preserve">” </w:t>
      </w:r>
      <w:r w:rsidRPr="004479C6" w:rsidR="004201B4">
        <w:t xml:space="preserve"> </w:t>
      </w:r>
      <w:r w:rsidRPr="004479C6" w:rsidR="00C06B1B">
        <w:rPr>
          <w:szCs w:val="26"/>
        </w:rPr>
        <w:t>(§ 21085</w:t>
      </w:r>
      <w:r w:rsidRPr="004479C6" w:rsidR="00683724">
        <w:rPr>
          <w:szCs w:val="26"/>
        </w:rPr>
        <w:t>.</w:t>
      </w:r>
      <w:r w:rsidRPr="004479C6" w:rsidR="00C06B1B">
        <w:rPr>
          <w:szCs w:val="26"/>
        </w:rPr>
        <w:t>)</w:t>
      </w:r>
      <w:r w:rsidRPr="004479C6" w:rsidR="00163338">
        <w:rPr>
          <w:szCs w:val="26"/>
        </w:rPr>
        <w:t xml:space="preserve"> </w:t>
      </w:r>
      <w:r w:rsidRPr="004479C6" w:rsidR="00FC6B73">
        <w:rPr>
          <w:szCs w:val="26"/>
        </w:rPr>
        <w:t xml:space="preserve"> </w:t>
      </w:r>
      <w:r w:rsidRPr="004479C6" w:rsidR="001D7685">
        <w:t>In addition, b</w:t>
      </w:r>
      <w:r w:rsidRPr="004479C6" w:rsidR="00163338">
        <w:t xml:space="preserve">y referring to “residential projects” </w:t>
      </w:r>
      <w:r w:rsidRPr="004479C6" w:rsidR="0097569E">
        <w:t xml:space="preserve">rather than LRDPs </w:t>
      </w:r>
      <w:r w:rsidRPr="004479C6" w:rsidR="00163338">
        <w:t xml:space="preserve">in section 21085, the Legislature </w:t>
      </w:r>
      <w:r w:rsidRPr="004479C6" w:rsidR="00A851A7">
        <w:t xml:space="preserve">appears to have </w:t>
      </w:r>
      <w:r w:rsidRPr="004479C6" w:rsidR="00163338">
        <w:t xml:space="preserve">left open the possibility that </w:t>
      </w:r>
      <w:r w:rsidRPr="004479C6" w:rsidR="00F17A68">
        <w:t xml:space="preserve">certain </w:t>
      </w:r>
      <w:r w:rsidRPr="004479C6" w:rsidR="00D91902">
        <w:t xml:space="preserve">noise </w:t>
      </w:r>
      <w:r w:rsidRPr="004479C6" w:rsidR="00F17A68">
        <w:t xml:space="preserve">impacts </w:t>
      </w:r>
      <w:r w:rsidRPr="004479C6" w:rsidR="00D91902">
        <w:t xml:space="preserve">from a </w:t>
      </w:r>
      <w:r w:rsidRPr="004479C6">
        <w:t>nonresidential project (e.g., a stadium</w:t>
      </w:r>
      <w:r w:rsidRPr="004479C6" w:rsidR="005171C2">
        <w:t>, entertainment venue,</w:t>
      </w:r>
      <w:r w:rsidRPr="004479C6">
        <w:t xml:space="preserve"> or commercial center) </w:t>
      </w:r>
      <w:r w:rsidRPr="004479C6" w:rsidR="00CE1810">
        <w:t>planned for in an LRDP</w:t>
      </w:r>
      <w:r w:rsidRPr="004479C6" w:rsidR="00163338">
        <w:t xml:space="preserve"> </w:t>
      </w:r>
      <w:r w:rsidRPr="004479C6" w:rsidR="00C867D5">
        <w:t>might constitute a significant effect on the environment.</w:t>
      </w:r>
      <w:r>
        <w:rPr>
          <w:rStyle w:val="FootnoteReference"/>
        </w:rPr>
        <w:footnoteReference w:id="18"/>
      </w:r>
      <w:r w:rsidRPr="004479C6" w:rsidR="000B6789">
        <w:t xml:space="preserve">  </w:t>
      </w:r>
    </w:p>
    <w:p w:rsidR="00A92D85" w:rsidRPr="004479C6" w:rsidP="00DC104D" w14:paraId="553BEDCF" w14:textId="77777777">
      <w:pPr>
        <w:ind w:firstLine="720"/>
      </w:pPr>
      <w:r w:rsidRPr="004479C6">
        <w:rPr>
          <w:szCs w:val="26"/>
        </w:rPr>
        <w:t xml:space="preserve">Ultimately, after </w:t>
      </w:r>
      <w:r w:rsidRPr="004479C6" w:rsidR="00AB5E13">
        <w:rPr>
          <w:szCs w:val="26"/>
        </w:rPr>
        <w:t xml:space="preserve">considering the text and statutory context </w:t>
      </w:r>
      <w:r w:rsidRPr="004479C6" w:rsidR="00FF76EF">
        <w:t xml:space="preserve">of </w:t>
      </w:r>
      <w:r w:rsidRPr="004479C6" w:rsidR="00E428DE">
        <w:t xml:space="preserve">the term </w:t>
      </w:r>
      <w:r w:rsidRPr="004479C6" w:rsidR="00FF76EF">
        <w:t xml:space="preserve">“residential </w:t>
      </w:r>
      <w:r w:rsidRPr="004479C6" w:rsidR="008C7B99">
        <w:t>projects</w:t>
      </w:r>
      <w:r w:rsidRPr="004479C6" w:rsidR="00FF76EF">
        <w:t>”</w:t>
      </w:r>
      <w:r w:rsidRPr="004479C6" w:rsidR="0043041F">
        <w:t xml:space="preserve"> </w:t>
      </w:r>
      <w:r w:rsidRPr="004479C6" w:rsidR="00AA294E">
        <w:t xml:space="preserve">in section </w:t>
      </w:r>
      <w:r w:rsidRPr="004479C6" w:rsidR="0043041F">
        <w:t>21085,</w:t>
      </w:r>
      <w:r w:rsidRPr="004479C6" w:rsidR="009A6E4A">
        <w:t xml:space="preserve"> </w:t>
      </w:r>
      <w:r w:rsidRPr="004479C6" w:rsidR="00612578">
        <w:t xml:space="preserve">we </w:t>
      </w:r>
      <w:r w:rsidRPr="004479C6" w:rsidR="005A29AC">
        <w:t xml:space="preserve">conclude </w:t>
      </w:r>
      <w:r w:rsidRPr="004479C6" w:rsidR="0044186B">
        <w:t xml:space="preserve">the </w:t>
      </w:r>
      <w:r w:rsidRPr="004479C6" w:rsidR="00374AC2">
        <w:t>term</w:t>
      </w:r>
      <w:r w:rsidRPr="004479C6" w:rsidR="005A29AC">
        <w:t xml:space="preserve"> is </w:t>
      </w:r>
      <w:r w:rsidRPr="004479C6" w:rsidR="00DC206D">
        <w:t>ambiguous</w:t>
      </w:r>
      <w:r w:rsidRPr="004479C6" w:rsidR="00F97CA0">
        <w:t>.</w:t>
      </w:r>
      <w:r w:rsidRPr="004479C6" w:rsidR="00033FAE">
        <w:t xml:space="preserve">  </w:t>
      </w:r>
      <w:r w:rsidRPr="004479C6" w:rsidR="00261D0F">
        <w:t>The statute’s</w:t>
      </w:r>
      <w:r w:rsidRPr="004479C6" w:rsidR="00837661">
        <w:t xml:space="preserve"> reference to “residential projects” could either </w:t>
      </w:r>
      <w:r w:rsidRPr="004479C6" w:rsidR="00FF6C4E">
        <w:t xml:space="preserve">refer </w:t>
      </w:r>
      <w:r w:rsidRPr="004479C6" w:rsidR="00837661">
        <w:t xml:space="preserve">narrowly to </w:t>
      </w:r>
      <w:r w:rsidRPr="004479C6" w:rsidR="00B67C4E">
        <w:t>plans</w:t>
      </w:r>
      <w:r w:rsidRPr="004479C6" w:rsidR="00837661">
        <w:t xml:space="preserve"> to add residential units to a specific location</w:t>
      </w:r>
      <w:r w:rsidRPr="004479C6" w:rsidR="00A70252">
        <w:t>,</w:t>
      </w:r>
      <w:r w:rsidRPr="004479C6" w:rsidR="00837661">
        <w:t xml:space="preserve"> </w:t>
      </w:r>
      <w:r w:rsidRPr="004479C6" w:rsidR="00F321A4">
        <w:t xml:space="preserve">or more broadly to </w:t>
      </w:r>
      <w:r w:rsidRPr="004479C6" w:rsidR="00837661">
        <w:t xml:space="preserve">land use planning </w:t>
      </w:r>
      <w:r w:rsidRPr="004479C6" w:rsidR="003F140C">
        <w:t>to the extent it concerns</w:t>
      </w:r>
      <w:r w:rsidRPr="004479C6" w:rsidR="00837661">
        <w:t xml:space="preserve"> residential development</w:t>
      </w:r>
      <w:r w:rsidRPr="004479C6" w:rsidR="00F321A4">
        <w:t>.</w:t>
      </w:r>
      <w:r w:rsidRPr="004479C6" w:rsidR="00AD68A3">
        <w:t xml:space="preserve">  </w:t>
      </w:r>
      <w:r w:rsidRPr="004479C6">
        <w:t>We therefore consider “</w:t>
      </w:r>
      <w:r w:rsidRPr="004479C6" w:rsidR="003371AA">
        <w:t> ‘ “ ‘ “</w:t>
      </w:r>
      <w:r w:rsidRPr="004479C6" w:rsidR="00DE2E2B">
        <w:t>the statute</w:t>
      </w:r>
      <w:r w:rsidRPr="004479C6" w:rsidR="00C339B9">
        <w:t>’</w:t>
      </w:r>
      <w:r w:rsidRPr="004479C6" w:rsidR="00DE2E2B">
        <w:t>s purpose, legislative history, and public policy</w:t>
      </w:r>
      <w:r w:rsidRPr="004479C6" w:rsidR="003371AA">
        <w:t>” ’ ” </w:t>
      </w:r>
      <w:r w:rsidRPr="004479C6" w:rsidR="00DE2E2B">
        <w:t>’</w:t>
      </w:r>
      <w:r w:rsidRPr="004479C6">
        <w:t> ”</w:t>
      </w:r>
      <w:r w:rsidRPr="004479C6" w:rsidR="00C339B9">
        <w:t xml:space="preserve"> (</w:t>
      </w:r>
      <w:bookmarkStart w:id="43" w:name="dabmci_da7df4bc4ff7461480826264103d6081"/>
      <w:r w:rsidRPr="004479C6" w:rsidR="00DE2E2B">
        <w:rPr>
          <w:i/>
          <w:iCs/>
        </w:rPr>
        <w:t>Smith v. LoanMe, Inc.</w:t>
      </w:r>
      <w:r w:rsidRPr="004479C6" w:rsidR="00DE2E2B">
        <w:t xml:space="preserve"> (2021) 11</w:t>
      </w:r>
      <w:r w:rsidRPr="004479C6" w:rsidR="00F17A68">
        <w:t> </w:t>
      </w:r>
      <w:r w:rsidRPr="004479C6" w:rsidR="00DE2E2B">
        <w:t>Cal.5th 183, 190</w:t>
      </w:r>
      <w:r w:rsidRPr="004479C6" w:rsidR="00EC6993">
        <w:t xml:space="preserve"> (</w:t>
      </w:r>
      <w:r w:rsidRPr="004479C6" w:rsidR="00EC6993">
        <w:rPr>
          <w:i/>
          <w:iCs/>
        </w:rPr>
        <w:t>Smith</w:t>
      </w:r>
      <w:r w:rsidRPr="004479C6" w:rsidR="00EC6993">
        <w:t>)</w:t>
      </w:r>
      <w:bookmarkEnd w:id="43"/>
      <w:r w:rsidRPr="004479C6" w:rsidR="00530FEE">
        <w:t>)</w:t>
      </w:r>
      <w:r w:rsidRPr="004479C6" w:rsidR="00025DBD">
        <w:t xml:space="preserve"> to discern </w:t>
      </w:r>
      <w:r w:rsidRPr="004479C6" w:rsidR="00A851A7">
        <w:t xml:space="preserve">its </w:t>
      </w:r>
      <w:r w:rsidRPr="004479C6" w:rsidR="00025DBD">
        <w:t>meaning.</w:t>
      </w:r>
    </w:p>
    <w:p w:rsidR="00306675" w:rsidRPr="004479C6" w:rsidP="00DC104D" w14:paraId="553BEDD0" w14:textId="77777777">
      <w:pPr>
        <w:ind w:firstLine="720"/>
      </w:pPr>
      <w:r w:rsidRPr="004479C6">
        <w:t xml:space="preserve">It is unnecessary for us to conclusively define the scope of the meaning of “residential projects” in section 21085.  </w:t>
      </w:r>
      <w:r w:rsidRPr="004479C6" w:rsidR="0067304E">
        <w:t>Even assuming the 2021 LRDP is</w:t>
      </w:r>
      <w:r w:rsidRPr="004479C6" w:rsidR="00E23F53">
        <w:t xml:space="preserve"> not</w:t>
      </w:r>
      <w:r w:rsidRPr="004479C6" w:rsidR="0067304E">
        <w:t xml:space="preserve"> </w:t>
      </w:r>
      <w:r w:rsidRPr="004479C6" w:rsidR="00E23F53">
        <w:t xml:space="preserve">a </w:t>
      </w:r>
      <w:r w:rsidRPr="004479C6" w:rsidR="00F00C4E">
        <w:t>plan to add residential units to a specific location</w:t>
      </w:r>
      <w:r w:rsidRPr="004479C6" w:rsidR="008D0396">
        <w:t>,</w:t>
      </w:r>
      <w:r>
        <w:rPr>
          <w:rStyle w:val="FootnoteReference"/>
        </w:rPr>
        <w:footnoteReference w:id="19"/>
      </w:r>
      <w:r w:rsidRPr="004479C6" w:rsidR="00853B58">
        <w:t xml:space="preserve"> </w:t>
      </w:r>
      <w:r w:rsidRPr="004479C6" w:rsidR="00162EA0">
        <w:t>t</w:t>
      </w:r>
      <w:r w:rsidRPr="004479C6" w:rsidR="00033FAE">
        <w:t>he statute’s purpose</w:t>
      </w:r>
      <w:r w:rsidRPr="004479C6" w:rsidR="004E554E">
        <w:t>,</w:t>
      </w:r>
      <w:r w:rsidRPr="004479C6" w:rsidR="00033FAE">
        <w:t xml:space="preserve"> </w:t>
      </w:r>
      <w:r w:rsidRPr="004479C6" w:rsidR="00507551">
        <w:t xml:space="preserve">as revealed in its </w:t>
      </w:r>
      <w:r w:rsidRPr="004479C6" w:rsidR="00D84666">
        <w:t>legislative history</w:t>
      </w:r>
      <w:r w:rsidRPr="004479C6" w:rsidR="004E554E">
        <w:t>,</w:t>
      </w:r>
      <w:r w:rsidRPr="004479C6" w:rsidR="00D84666">
        <w:t xml:space="preserve"> </w:t>
      </w:r>
      <w:r w:rsidRPr="004479C6" w:rsidR="0028721B">
        <w:t>m</w:t>
      </w:r>
      <w:r w:rsidRPr="004479C6" w:rsidR="00920340">
        <w:t>akes clear that</w:t>
      </w:r>
      <w:r w:rsidRPr="004479C6" w:rsidR="00D84666">
        <w:t xml:space="preserve"> </w:t>
      </w:r>
      <w:r w:rsidRPr="004479C6" w:rsidR="005657F0">
        <w:t>the term should be interpreted broadly enough to encompass</w:t>
      </w:r>
      <w:r w:rsidRPr="004479C6" w:rsidR="00D84666">
        <w:t xml:space="preserve"> </w:t>
      </w:r>
      <w:r w:rsidRPr="004479C6" w:rsidR="003A51D2">
        <w:t>th</w:t>
      </w:r>
      <w:r w:rsidRPr="004479C6" w:rsidR="00C6247B">
        <w:t xml:space="preserve">ose portions of the </w:t>
      </w:r>
      <w:r w:rsidRPr="004479C6" w:rsidR="003A51D2">
        <w:t xml:space="preserve">2021 </w:t>
      </w:r>
      <w:r w:rsidRPr="004479C6" w:rsidR="00EE64D6">
        <w:t>LRDP</w:t>
      </w:r>
      <w:r w:rsidRPr="004479C6" w:rsidR="003A51D2">
        <w:t xml:space="preserve"> </w:t>
      </w:r>
      <w:r w:rsidRPr="004479C6" w:rsidR="00C6247B">
        <w:t>at issue in</w:t>
      </w:r>
      <w:r w:rsidRPr="004479C6" w:rsidR="003A51D2">
        <w:t xml:space="preserve"> this case. </w:t>
      </w:r>
      <w:r w:rsidRPr="004479C6" w:rsidR="00C339B9">
        <w:t xml:space="preserve"> </w:t>
      </w:r>
      <w:r w:rsidRPr="004479C6" w:rsidR="00D57332">
        <w:t xml:space="preserve">(See </w:t>
      </w:r>
      <w:r w:rsidRPr="004479C6" w:rsidR="00CB73B0">
        <w:t xml:space="preserve">2A </w:t>
      </w:r>
      <w:r w:rsidRPr="004479C6" w:rsidR="00E94C4A">
        <w:t>Singer</w:t>
      </w:r>
      <w:r w:rsidRPr="004479C6" w:rsidR="00DB67EC">
        <w:t xml:space="preserve"> &amp; Singer</w:t>
      </w:r>
      <w:r w:rsidRPr="004479C6" w:rsidR="00CB56E5">
        <w:t xml:space="preserve">, </w:t>
      </w:r>
      <w:r w:rsidRPr="004479C6" w:rsidR="00DD5D53">
        <w:t xml:space="preserve">Statutes and </w:t>
      </w:r>
      <w:r w:rsidRPr="004479C6" w:rsidR="00CB56E5">
        <w:t>Statutory Construction (7th</w:t>
      </w:r>
      <w:r w:rsidRPr="004479C6" w:rsidR="00AA1469">
        <w:t>.</w:t>
      </w:r>
      <w:r w:rsidRPr="004479C6" w:rsidR="00CB56E5">
        <w:t xml:space="preserve"> </w:t>
      </w:r>
      <w:r w:rsidRPr="004479C6" w:rsidR="00AA1469">
        <w:t>e</w:t>
      </w:r>
      <w:r w:rsidRPr="004479C6" w:rsidR="00CB56E5">
        <w:t>d</w:t>
      </w:r>
      <w:r w:rsidRPr="004479C6" w:rsidR="00AA1469">
        <w:t>.</w:t>
      </w:r>
      <w:r w:rsidRPr="004479C6" w:rsidR="00056183">
        <w:t xml:space="preserve"> 20</w:t>
      </w:r>
      <w:r w:rsidRPr="004479C6" w:rsidR="00AA1469">
        <w:t>23</w:t>
      </w:r>
      <w:r w:rsidRPr="004479C6" w:rsidR="00CB56E5">
        <w:t>)</w:t>
      </w:r>
      <w:r w:rsidRPr="004479C6" w:rsidR="00E34194">
        <w:t xml:space="preserve"> §</w:t>
      </w:r>
      <w:r w:rsidRPr="004479C6" w:rsidR="00DA3737">
        <w:t> </w:t>
      </w:r>
      <w:r w:rsidRPr="004479C6" w:rsidR="00E34194">
        <w:t xml:space="preserve">48:3 </w:t>
      </w:r>
      <w:r w:rsidRPr="004479C6" w:rsidR="00CB56E5">
        <w:t>[</w:t>
      </w:r>
      <w:r w:rsidRPr="004479C6" w:rsidR="003806F1">
        <w:t>“Courts look to a statute</w:t>
      </w:r>
      <w:r w:rsidRPr="004479C6" w:rsidR="00323EE8">
        <w:t>’</w:t>
      </w:r>
      <w:r w:rsidRPr="004479C6" w:rsidR="003806F1">
        <w:t>s contemporary history and historical background as aids to interpretation,” to “</w:t>
      </w:r>
      <w:r w:rsidRPr="004479C6" w:rsidR="00E76538">
        <w:t>i</w:t>
      </w:r>
      <w:r w:rsidRPr="004479C6" w:rsidR="003806F1">
        <w:t>lluminate the circumstances under which an act was passed, the mischief at which it was aimed, and the statute’s ‘object’ or ‘purpose’ ”</w:t>
      </w:r>
      <w:r w:rsidRPr="004479C6" w:rsidR="00B5122E">
        <w:t>],</w:t>
      </w:r>
      <w:r w:rsidRPr="004479C6" w:rsidR="003806F1">
        <w:t xml:space="preserve"> </w:t>
      </w:r>
      <w:r w:rsidRPr="004479C6" w:rsidR="00C456FB">
        <w:t xml:space="preserve">fns. </w:t>
      </w:r>
      <w:r w:rsidRPr="004479C6" w:rsidR="003806F1">
        <w:t>omitted</w:t>
      </w:r>
      <w:r w:rsidRPr="004479C6" w:rsidR="003E52F8">
        <w:t xml:space="preserve">; </w:t>
      </w:r>
      <w:r w:rsidRPr="004479C6" w:rsidR="004F48EF">
        <w:t xml:space="preserve">see, </w:t>
      </w:r>
      <w:r w:rsidRPr="004479C6" w:rsidR="003E52F8">
        <w:t xml:space="preserve">e.g., </w:t>
      </w:r>
      <w:bookmarkStart w:id="44" w:name="dabmci_485b0f4cd7b94823bb8e6361f102a50a"/>
      <w:r w:rsidRPr="004479C6" w:rsidR="00F8348E">
        <w:rPr>
          <w:i/>
          <w:iCs/>
        </w:rPr>
        <w:t>Delaney v. Baker</w:t>
      </w:r>
      <w:r w:rsidRPr="004479C6" w:rsidR="00F8348E">
        <w:t xml:space="preserve"> (1999) 20</w:t>
      </w:r>
      <w:r w:rsidRPr="004479C6" w:rsidR="00B5122E">
        <w:t> </w:t>
      </w:r>
      <w:r w:rsidRPr="004479C6" w:rsidR="00F8348E">
        <w:t>Cal.4th 23, 41</w:t>
      </w:r>
      <w:bookmarkEnd w:id="44"/>
      <w:r w:rsidRPr="004479C6" w:rsidR="0012034A">
        <w:t xml:space="preserve"> [noting that the meaning of </w:t>
      </w:r>
      <w:r w:rsidRPr="004479C6" w:rsidR="00EB607E">
        <w:t xml:space="preserve">a </w:t>
      </w:r>
      <w:r w:rsidRPr="004479C6" w:rsidR="0040681B">
        <w:t xml:space="preserve">statutory </w:t>
      </w:r>
      <w:r w:rsidRPr="004479C6" w:rsidR="0012034A">
        <w:t xml:space="preserve">phrase </w:t>
      </w:r>
      <w:r w:rsidRPr="004479C6" w:rsidR="002500D1">
        <w:t xml:space="preserve">may </w:t>
      </w:r>
      <w:r w:rsidRPr="004479C6" w:rsidR="0012034A">
        <w:t>depend upon the legislative history and underlying purpose of the statute</w:t>
      </w:r>
      <w:r w:rsidRPr="004479C6" w:rsidR="00EB607E">
        <w:t xml:space="preserve"> in which the phrase is used</w:t>
      </w:r>
      <w:r w:rsidRPr="004479C6" w:rsidR="0040681B">
        <w:t>].)</w:t>
      </w:r>
      <w:r w:rsidRPr="004479C6" w:rsidR="00570D2F">
        <w:t xml:space="preserve"> </w:t>
      </w:r>
      <w:r w:rsidRPr="004479C6" w:rsidR="00CE0D86">
        <w:t xml:space="preserve"> </w:t>
      </w:r>
    </w:p>
    <w:p w:rsidR="00405D5D" w:rsidRPr="004479C6" w:rsidP="00DC104D" w14:paraId="553BEDD1" w14:textId="77777777">
      <w:pPr>
        <w:ind w:firstLine="720"/>
        <w:rPr>
          <w:szCs w:val="26"/>
        </w:rPr>
      </w:pPr>
      <w:r w:rsidRPr="004479C6">
        <w:t>T</w:t>
      </w:r>
      <w:r w:rsidRPr="004479C6" w:rsidR="00570D2F">
        <w:rPr>
          <w:szCs w:val="26"/>
        </w:rPr>
        <w:t xml:space="preserve">he legislative history of </w:t>
      </w:r>
      <w:bookmarkStart w:id="45" w:name="dabmci_2faab705908a4f0cad701ac3a5f59e40"/>
      <w:r w:rsidRPr="004479C6" w:rsidR="00570D2F">
        <w:rPr>
          <w:szCs w:val="26"/>
        </w:rPr>
        <w:t>Assembly Bill 1307</w:t>
      </w:r>
      <w:bookmarkEnd w:id="45"/>
      <w:r w:rsidRPr="004479C6" w:rsidR="00570D2F">
        <w:rPr>
          <w:szCs w:val="26"/>
        </w:rPr>
        <w:t xml:space="preserve"> overwhelming</w:t>
      </w:r>
      <w:r w:rsidRPr="004479C6" w:rsidR="00382906">
        <w:rPr>
          <w:szCs w:val="26"/>
        </w:rPr>
        <w:t>ly</w:t>
      </w:r>
      <w:r w:rsidRPr="004479C6" w:rsidR="00570D2F">
        <w:rPr>
          <w:szCs w:val="26"/>
        </w:rPr>
        <w:t xml:space="preserve"> establishes that the Legislature enacted the new law to abrogate the </w:t>
      </w:r>
      <w:r w:rsidRPr="004479C6" w:rsidR="00570D2F">
        <w:rPr>
          <w:i/>
          <w:iCs/>
          <w:szCs w:val="26"/>
        </w:rPr>
        <w:t>Make UC</w:t>
      </w:r>
      <w:r w:rsidRPr="004479C6" w:rsidR="00570D2F">
        <w:rPr>
          <w:szCs w:val="26"/>
        </w:rPr>
        <w:t xml:space="preserve"> decision.  </w:t>
      </w:r>
      <w:r w:rsidRPr="004479C6" w:rsidR="003F140C">
        <w:rPr>
          <w:szCs w:val="26"/>
        </w:rPr>
        <w:t>T</w:t>
      </w:r>
      <w:r w:rsidRPr="004479C6" w:rsidR="002474F5">
        <w:t>h</w:t>
      </w:r>
      <w:r w:rsidRPr="004479C6" w:rsidR="00CE0D86">
        <w:t>is critical fact guide</w:t>
      </w:r>
      <w:r w:rsidRPr="004479C6" w:rsidR="003F140C">
        <w:t>s</w:t>
      </w:r>
      <w:r w:rsidRPr="004479C6" w:rsidR="002B058C">
        <w:t xml:space="preserve"> </w:t>
      </w:r>
      <w:r w:rsidRPr="004479C6" w:rsidR="00857082">
        <w:t>our interpretation of the term “residential projects” in section 21085</w:t>
      </w:r>
      <w:r w:rsidRPr="004479C6" w:rsidR="002B058C">
        <w:t>.</w:t>
      </w:r>
      <w:r w:rsidRPr="004479C6">
        <w:t xml:space="preserve">  </w:t>
      </w:r>
      <w:r w:rsidRPr="004479C6">
        <w:rPr>
          <w:szCs w:val="26"/>
        </w:rPr>
        <w:t>T</w:t>
      </w:r>
      <w:r w:rsidRPr="004479C6" w:rsidR="00E178A3">
        <w:t xml:space="preserve">he legislative history is replete with references to the </w:t>
      </w:r>
      <w:r w:rsidRPr="004479C6" w:rsidR="00E178A3">
        <w:rPr>
          <w:i/>
          <w:iCs/>
        </w:rPr>
        <w:t>Make UC</w:t>
      </w:r>
      <w:r w:rsidRPr="004479C6" w:rsidR="00E178A3">
        <w:t xml:space="preserve"> decision.</w:t>
      </w:r>
      <w:r>
        <w:rPr>
          <w:rStyle w:val="FootnoteReference"/>
        </w:rPr>
        <w:footnoteReference w:id="20"/>
      </w:r>
      <w:r w:rsidRPr="004479C6" w:rsidR="00E178A3">
        <w:t xml:space="preserve">  </w:t>
      </w:r>
      <w:r w:rsidRPr="004479C6">
        <w:t xml:space="preserve">And it is quite clear </w:t>
      </w:r>
      <w:r w:rsidRPr="004479C6" w:rsidR="00432A77">
        <w:t>that</w:t>
      </w:r>
      <w:r w:rsidRPr="004479C6" w:rsidR="00CB08BF">
        <w:t>, in enacting section 21085,</w:t>
      </w:r>
      <w:r w:rsidRPr="004479C6" w:rsidR="00432A77">
        <w:t xml:space="preserve"> the </w:t>
      </w:r>
      <w:r w:rsidRPr="004479C6" w:rsidR="00EC41FC">
        <w:t xml:space="preserve">Legislature was focused on </w:t>
      </w:r>
      <w:r w:rsidRPr="004479C6" w:rsidR="009C0DBC">
        <w:t xml:space="preserve">rejecting </w:t>
      </w:r>
      <w:r w:rsidRPr="004479C6" w:rsidR="004E56EB">
        <w:t>the</w:t>
      </w:r>
      <w:r w:rsidRPr="004479C6" w:rsidR="009C0DBC">
        <w:t xml:space="preserve"> </w:t>
      </w:r>
      <w:r w:rsidRPr="004479C6">
        <w:rPr>
          <w:i/>
          <w:iCs/>
        </w:rPr>
        <w:t>Make UC</w:t>
      </w:r>
      <w:r w:rsidRPr="004479C6">
        <w:t xml:space="preserve"> court’s </w:t>
      </w:r>
      <w:r w:rsidRPr="004479C6" w:rsidR="009C0DBC">
        <w:t>central</w:t>
      </w:r>
      <w:r w:rsidRPr="004479C6" w:rsidR="004E56EB">
        <w:t xml:space="preserve"> underlying</w:t>
      </w:r>
      <w:r w:rsidRPr="004479C6" w:rsidR="009C0DBC">
        <w:t xml:space="preserve"> </w:t>
      </w:r>
      <w:r w:rsidRPr="004479C6" w:rsidR="00202200">
        <w:t>conclusion</w:t>
      </w:r>
      <w:r w:rsidRPr="004479C6" w:rsidR="009C0DBC">
        <w:t xml:space="preserve"> that </w:t>
      </w:r>
      <w:r w:rsidRPr="004479C6" w:rsidR="00CB08BF">
        <w:t>social noise from residential users</w:t>
      </w:r>
      <w:r w:rsidRPr="004479C6" w:rsidR="009C0DBC">
        <w:t xml:space="preserve"> </w:t>
      </w:r>
      <w:r w:rsidRPr="004479C6" w:rsidR="004E56EB">
        <w:t xml:space="preserve">may </w:t>
      </w:r>
      <w:r w:rsidRPr="004479C6" w:rsidR="009C0DBC">
        <w:t xml:space="preserve">constitute a </w:t>
      </w:r>
      <w:r w:rsidRPr="004479C6" w:rsidR="004B6F6F">
        <w:t>significant effect on the environment</w:t>
      </w:r>
      <w:r w:rsidRPr="004479C6" w:rsidR="00C84425">
        <w:t xml:space="preserve">.  </w:t>
      </w:r>
      <w:r w:rsidRPr="004479C6" w:rsidR="004103A4">
        <w:t>(</w:t>
      </w:r>
      <w:r w:rsidRPr="004479C6" w:rsidR="000C767A">
        <w:t xml:space="preserve">Compare </w:t>
      </w:r>
      <w:bookmarkStart w:id="50" w:name="dabmci_728baf7e0d374abcaeb660268129f119"/>
      <w:r w:rsidRPr="004479C6" w:rsidR="000C767A">
        <w:rPr>
          <w:i/>
          <w:iCs/>
        </w:rPr>
        <w:t>Make UC</w:t>
      </w:r>
      <w:r w:rsidRPr="004479C6" w:rsidR="00F22BDA">
        <w:t xml:space="preserve">, </w:t>
      </w:r>
      <w:r w:rsidRPr="004479C6" w:rsidR="00544C1F">
        <w:rPr>
          <w:i/>
          <w:iCs/>
        </w:rPr>
        <w:t>supra</w:t>
      </w:r>
      <w:r w:rsidRPr="004479C6" w:rsidR="00544C1F">
        <w:t xml:space="preserve">, 88 Cal.App.5th </w:t>
      </w:r>
      <w:r w:rsidRPr="004479C6" w:rsidR="00F22BDA">
        <w:t>at p. 685</w:t>
      </w:r>
      <w:bookmarkEnd w:id="50"/>
      <w:r w:rsidRPr="004479C6" w:rsidR="00544C1F">
        <w:t xml:space="preserve"> [</w:t>
      </w:r>
      <w:r w:rsidRPr="004479C6" w:rsidR="00F22BDA">
        <w:t>“CEQA applies to the type of noise at issue here —</w:t>
      </w:r>
      <w:r w:rsidRPr="004479C6" w:rsidR="00133F88">
        <w:t xml:space="preserve"> </w:t>
      </w:r>
      <w:r w:rsidRPr="004479C6" w:rsidR="00F22BDA">
        <w:t>crowds of people talking, laughing, shouting, and playing music that disturbs neighboring residents”</w:t>
      </w:r>
      <w:r w:rsidRPr="004479C6" w:rsidR="00544C1F">
        <w:t>]</w:t>
      </w:r>
      <w:r w:rsidRPr="004479C6" w:rsidR="00F22BDA">
        <w:t xml:space="preserve"> </w:t>
      </w:r>
      <w:r w:rsidRPr="004479C6" w:rsidR="000C767A">
        <w:t xml:space="preserve">with </w:t>
      </w:r>
      <w:r w:rsidRPr="004479C6" w:rsidR="001B0D58">
        <w:t>Sen. Com. on Environmental Quality, Analysis of Assem. Bill No. 1307</w:t>
      </w:r>
      <w:r w:rsidRPr="004479C6" w:rsidR="00783CAF">
        <w:t xml:space="preserve">, </w:t>
      </w:r>
      <w:bookmarkStart w:id="51" w:name="dabmci_7688cd7843294085a04473c08b41b0b4"/>
      <w:r w:rsidRPr="004479C6" w:rsidR="00783CAF">
        <w:rPr>
          <w:i/>
          <w:iCs/>
        </w:rPr>
        <w:t>supra</w:t>
      </w:r>
      <w:r w:rsidRPr="004479C6" w:rsidR="00783CAF">
        <w:t>,</w:t>
      </w:r>
      <w:r w:rsidRPr="004479C6" w:rsidR="001B0D58">
        <w:t xml:space="preserve"> p.</w:t>
      </w:r>
      <w:r w:rsidRPr="004479C6" w:rsidR="00133F88">
        <w:t> </w:t>
      </w:r>
      <w:r w:rsidRPr="004479C6" w:rsidR="00E5142B">
        <w:t>1</w:t>
      </w:r>
      <w:bookmarkEnd w:id="51"/>
      <w:r w:rsidRPr="004479C6" w:rsidR="00E5142B">
        <w:t xml:space="preserve"> </w:t>
      </w:r>
      <w:r w:rsidRPr="004479C6" w:rsidR="004103A4">
        <w:rPr>
          <w:szCs w:val="26"/>
        </w:rPr>
        <w:t>[broadly stating that the bill “</w:t>
      </w:r>
      <w:r w:rsidRPr="004479C6" w:rsidR="004103A4">
        <w:t xml:space="preserve">specifies that noise from residents does not constitute a significant environmental effect under the California Environmental Quality Act”].)  </w:t>
      </w:r>
      <w:r w:rsidRPr="004479C6" w:rsidR="00C84425">
        <w:t xml:space="preserve">For example, </w:t>
      </w:r>
      <w:bookmarkStart w:id="52" w:name="dabmci_8f15aaa64abb42e587b8160d8ebf0732"/>
      <w:r w:rsidRPr="004479C6" w:rsidR="00946BEF">
        <w:rPr>
          <w:szCs w:val="26"/>
        </w:rPr>
        <w:t>Assembly Bill 1307</w:t>
      </w:r>
      <w:bookmarkEnd w:id="52"/>
      <w:r w:rsidRPr="004479C6" w:rsidR="00946BEF">
        <w:rPr>
          <w:szCs w:val="26"/>
        </w:rPr>
        <w:t xml:space="preserve">’s author explained that one purpose of the bill was </w:t>
      </w:r>
      <w:r w:rsidRPr="004479C6" w:rsidR="00036E98">
        <w:rPr>
          <w:szCs w:val="26"/>
        </w:rPr>
        <w:t xml:space="preserve">to </w:t>
      </w:r>
      <w:r w:rsidR="007546B2">
        <w:rPr>
          <w:szCs w:val="26"/>
        </w:rPr>
        <w:t>“</w:t>
      </w:r>
      <w:r w:rsidRPr="004479C6" w:rsidR="00036E98">
        <w:rPr>
          <w:szCs w:val="26"/>
        </w:rPr>
        <w:t>r</w:t>
      </w:r>
      <w:r w:rsidRPr="004479C6" w:rsidR="00DE2D1C">
        <w:rPr>
          <w:szCs w:val="26"/>
        </w:rPr>
        <w:t>e</w:t>
      </w:r>
      <w:r w:rsidRPr="004479C6" w:rsidR="00036E98">
        <w:rPr>
          <w:szCs w:val="26"/>
        </w:rPr>
        <w:t>move the potential for litigants to challenge residential development</w:t>
      </w:r>
      <w:r w:rsidRPr="004479C6" w:rsidR="00DE2D1C">
        <w:rPr>
          <w:szCs w:val="26"/>
        </w:rPr>
        <w:t xml:space="preserve"> based on the spec</w:t>
      </w:r>
      <w:r w:rsidRPr="004479C6" w:rsidR="00672BCC">
        <w:rPr>
          <w:szCs w:val="26"/>
        </w:rPr>
        <w:t>ulation</w:t>
      </w:r>
      <w:r w:rsidRPr="004479C6" w:rsidR="00DE2D1C">
        <w:rPr>
          <w:szCs w:val="26"/>
        </w:rPr>
        <w:t xml:space="preserve"> that the new residents will create unwanted noise</w:t>
      </w:r>
      <w:r w:rsidR="007546B2">
        <w:rPr>
          <w:szCs w:val="26"/>
        </w:rPr>
        <w:t>s</w:t>
      </w:r>
      <w:r w:rsidRPr="004479C6" w:rsidR="00672BCC">
        <w:rPr>
          <w:szCs w:val="26"/>
        </w:rPr>
        <w:t>,</w:t>
      </w:r>
      <w:r w:rsidRPr="004479C6" w:rsidR="00DE2D1C">
        <w:rPr>
          <w:szCs w:val="26"/>
        </w:rPr>
        <w:t>”</w:t>
      </w:r>
      <w:r w:rsidRPr="004479C6" w:rsidR="00036E98">
        <w:rPr>
          <w:szCs w:val="26"/>
        </w:rPr>
        <w:t xml:space="preserve"> </w:t>
      </w:r>
      <w:r w:rsidRPr="004479C6" w:rsidR="005171C2">
        <w:rPr>
          <w:szCs w:val="26"/>
        </w:rPr>
        <w:t xml:space="preserve">concluding instead </w:t>
      </w:r>
      <w:r w:rsidRPr="004479C6" w:rsidR="00946BEF">
        <w:rPr>
          <w:szCs w:val="26"/>
        </w:rPr>
        <w:t>“that minor and intermittent noise nuisances, such as from unamplified human voices, be addressed through local nuisance ordinances and not via CEQA.”  (</w:t>
      </w:r>
      <w:r w:rsidRPr="004479C6" w:rsidR="00C456FB">
        <w:t xml:space="preserve">Sen. Com. on Environmental Quality, Analysis of Assem. Bill No. 1307, </w:t>
      </w:r>
      <w:bookmarkStart w:id="53" w:name="dabmci_e74994cf91c249a0b6ee8764ce48e5de"/>
      <w:r w:rsidRPr="004479C6" w:rsidR="00C456FB">
        <w:rPr>
          <w:i/>
          <w:iCs/>
        </w:rPr>
        <w:t>supra</w:t>
      </w:r>
      <w:r w:rsidRPr="004479C6" w:rsidR="00C456FB">
        <w:t>,</w:t>
      </w:r>
      <w:r w:rsidRPr="004479C6" w:rsidR="00BD2BE5">
        <w:rPr>
          <w:szCs w:val="26"/>
        </w:rPr>
        <w:t xml:space="preserve"> p.</w:t>
      </w:r>
      <w:r w:rsidRPr="004479C6" w:rsidR="00133F88">
        <w:rPr>
          <w:szCs w:val="26"/>
        </w:rPr>
        <w:t> </w:t>
      </w:r>
      <w:r w:rsidRPr="004479C6" w:rsidR="00A9123B">
        <w:rPr>
          <w:szCs w:val="26"/>
        </w:rPr>
        <w:t>3</w:t>
      </w:r>
      <w:bookmarkEnd w:id="53"/>
      <w:r w:rsidRPr="004479C6" w:rsidR="00853E03">
        <w:rPr>
          <w:szCs w:val="26"/>
        </w:rPr>
        <w:t>.)</w:t>
      </w:r>
      <w:r>
        <w:rPr>
          <w:rStyle w:val="FootnoteReference"/>
          <w:szCs w:val="26"/>
        </w:rPr>
        <w:footnoteReference w:id="21"/>
      </w:r>
      <w:r w:rsidRPr="004479C6" w:rsidR="00853E03">
        <w:rPr>
          <w:szCs w:val="26"/>
        </w:rPr>
        <w:t xml:space="preserve">  </w:t>
      </w:r>
    </w:p>
    <w:p w:rsidR="00CE5316" w:rsidRPr="004479C6" w:rsidP="00DC104D" w14:paraId="553BEDD2" w14:textId="77777777">
      <w:pPr>
        <w:ind w:firstLine="720"/>
      </w:pPr>
      <w:r w:rsidRPr="004479C6">
        <w:rPr>
          <w:szCs w:val="26"/>
        </w:rPr>
        <w:t>T</w:t>
      </w:r>
      <w:r w:rsidRPr="004479C6" w:rsidR="00057035">
        <w:rPr>
          <w:szCs w:val="26"/>
        </w:rPr>
        <w:t>he Legislature</w:t>
      </w:r>
      <w:r w:rsidRPr="004479C6" w:rsidR="007546B2">
        <w:rPr>
          <w:szCs w:val="26"/>
        </w:rPr>
        <w:t>’</w:t>
      </w:r>
      <w:r w:rsidRPr="004479C6" w:rsidR="00057035">
        <w:rPr>
          <w:szCs w:val="26"/>
        </w:rPr>
        <w:t>s intent</w:t>
      </w:r>
      <w:r w:rsidRPr="004479C6" w:rsidR="007546B2">
        <w:rPr>
          <w:szCs w:val="26"/>
        </w:rPr>
        <w:t xml:space="preserve"> </w:t>
      </w:r>
      <w:r w:rsidRPr="004479C6" w:rsidR="00507454">
        <w:rPr>
          <w:szCs w:val="26"/>
        </w:rPr>
        <w:t xml:space="preserve">to provide </w:t>
      </w:r>
      <w:r w:rsidRPr="004479C6" w:rsidR="00057035">
        <w:rPr>
          <w:szCs w:val="26"/>
        </w:rPr>
        <w:t>t</w:t>
      </w:r>
      <w:r w:rsidRPr="004479C6" w:rsidR="00097F5E">
        <w:rPr>
          <w:szCs w:val="26"/>
        </w:rPr>
        <w:t xml:space="preserve">hat </w:t>
      </w:r>
      <w:r w:rsidRPr="004479C6" w:rsidR="006A05E8">
        <w:rPr>
          <w:szCs w:val="26"/>
        </w:rPr>
        <w:t xml:space="preserve">social </w:t>
      </w:r>
      <w:r w:rsidRPr="004479C6" w:rsidR="00097F5E">
        <w:rPr>
          <w:szCs w:val="26"/>
        </w:rPr>
        <w:t xml:space="preserve">noise </w:t>
      </w:r>
      <w:r w:rsidRPr="004479C6" w:rsidR="00F12CFB">
        <w:rPr>
          <w:szCs w:val="26"/>
        </w:rPr>
        <w:t>does</w:t>
      </w:r>
      <w:r w:rsidRPr="004479C6" w:rsidR="00097F5E">
        <w:rPr>
          <w:szCs w:val="26"/>
        </w:rPr>
        <w:t xml:space="preserve"> not </w:t>
      </w:r>
      <w:r w:rsidRPr="004479C6" w:rsidR="00F12CFB">
        <w:rPr>
          <w:szCs w:val="26"/>
        </w:rPr>
        <w:t xml:space="preserve">constitute </w:t>
      </w:r>
      <w:r w:rsidRPr="004479C6" w:rsidR="00097F5E">
        <w:rPr>
          <w:szCs w:val="26"/>
        </w:rPr>
        <w:t>a significant impact on the environment</w:t>
      </w:r>
      <w:r w:rsidRPr="004479C6">
        <w:rPr>
          <w:szCs w:val="26"/>
        </w:rPr>
        <w:t xml:space="preserve"> </w:t>
      </w:r>
      <w:r w:rsidRPr="004479C6" w:rsidR="003F140C">
        <w:rPr>
          <w:szCs w:val="26"/>
        </w:rPr>
        <w:t xml:space="preserve">for residential projects </w:t>
      </w:r>
      <w:r w:rsidRPr="004479C6">
        <w:rPr>
          <w:szCs w:val="26"/>
        </w:rPr>
        <w:t xml:space="preserve">is </w:t>
      </w:r>
      <w:r w:rsidRPr="004479C6" w:rsidR="00D71A3D">
        <w:rPr>
          <w:szCs w:val="26"/>
        </w:rPr>
        <w:t>directly c</w:t>
      </w:r>
      <w:r w:rsidRPr="004479C6" w:rsidR="00FC1CDF">
        <w:rPr>
          <w:szCs w:val="26"/>
        </w:rPr>
        <w:t xml:space="preserve">ontrary to </w:t>
      </w:r>
      <w:r w:rsidRPr="004479C6" w:rsidR="003F6E70">
        <w:rPr>
          <w:szCs w:val="26"/>
        </w:rPr>
        <w:t xml:space="preserve">the </w:t>
      </w:r>
      <w:r w:rsidRPr="004479C6" w:rsidR="003F6E70">
        <w:rPr>
          <w:i/>
          <w:iCs/>
          <w:szCs w:val="26"/>
        </w:rPr>
        <w:t>Make UC</w:t>
      </w:r>
      <w:r w:rsidRPr="004479C6" w:rsidR="003C565F">
        <w:rPr>
          <w:szCs w:val="26"/>
        </w:rPr>
        <w:t xml:space="preserve"> court’</w:t>
      </w:r>
      <w:r w:rsidRPr="004479C6" w:rsidR="003F6E70">
        <w:rPr>
          <w:szCs w:val="26"/>
        </w:rPr>
        <w:t xml:space="preserve">s conclusion </w:t>
      </w:r>
      <w:r w:rsidRPr="004479C6" w:rsidR="00863FD8">
        <w:rPr>
          <w:szCs w:val="26"/>
        </w:rPr>
        <w:t>that the 2021 EIR was inadequate for having fail</w:t>
      </w:r>
      <w:r w:rsidRPr="004479C6" w:rsidR="00E55E73">
        <w:rPr>
          <w:szCs w:val="26"/>
        </w:rPr>
        <w:t>ed</w:t>
      </w:r>
      <w:r w:rsidRPr="004479C6" w:rsidR="00863FD8">
        <w:rPr>
          <w:szCs w:val="26"/>
        </w:rPr>
        <w:t xml:space="preserve"> to study </w:t>
      </w:r>
      <w:r w:rsidRPr="004479C6" w:rsidR="00282163">
        <w:rPr>
          <w:szCs w:val="26"/>
        </w:rPr>
        <w:t>such</w:t>
      </w:r>
      <w:r w:rsidRPr="004479C6" w:rsidR="00863FD8">
        <w:rPr>
          <w:szCs w:val="26"/>
        </w:rPr>
        <w:t xml:space="preserve"> noise</w:t>
      </w:r>
      <w:r w:rsidRPr="004479C6" w:rsidR="00025DBD">
        <w:rPr>
          <w:szCs w:val="26"/>
        </w:rPr>
        <w:t xml:space="preserve"> impacts</w:t>
      </w:r>
      <w:r w:rsidRPr="004479C6" w:rsidR="00097F5E">
        <w:rPr>
          <w:szCs w:val="26"/>
        </w:rPr>
        <w:t>.</w:t>
      </w:r>
      <w:r w:rsidRPr="004479C6" w:rsidR="000F05DB">
        <w:rPr>
          <w:szCs w:val="26"/>
        </w:rPr>
        <w:t xml:space="preserve"> </w:t>
      </w:r>
      <w:r w:rsidRPr="004479C6" w:rsidR="009148B1">
        <w:rPr>
          <w:szCs w:val="26"/>
        </w:rPr>
        <w:t xml:space="preserve"> </w:t>
      </w:r>
      <w:r w:rsidRPr="004479C6" w:rsidR="000F05DB">
        <w:rPr>
          <w:szCs w:val="26"/>
        </w:rPr>
        <w:t>(See</w:t>
      </w:r>
      <w:r w:rsidRPr="004479C6" w:rsidR="003224F3">
        <w:rPr>
          <w:szCs w:val="26"/>
        </w:rPr>
        <w:t>, e.g.,</w:t>
      </w:r>
      <w:r w:rsidRPr="004479C6" w:rsidR="003562C6">
        <w:rPr>
          <w:szCs w:val="26"/>
        </w:rPr>
        <w:t xml:space="preserve"> </w:t>
      </w:r>
      <w:r w:rsidRPr="004479C6" w:rsidR="003371AA">
        <w:rPr>
          <w:szCs w:val="26"/>
        </w:rPr>
        <w:t xml:space="preserve">Sen. </w:t>
      </w:r>
      <w:r w:rsidRPr="004479C6" w:rsidR="003562C6">
        <w:t xml:space="preserve">Rules Com., Off. of Sen. Floor Analyses, Analysis of Assem. Bill No. 1307, </w:t>
      </w:r>
      <w:r w:rsidRPr="004479C6" w:rsidR="003562C6">
        <w:rPr>
          <w:i/>
          <w:iCs/>
        </w:rPr>
        <w:t>supra</w:t>
      </w:r>
      <w:r w:rsidRPr="004479C6" w:rsidR="003562C6">
        <w:t xml:space="preserve">, </w:t>
      </w:r>
      <w:r w:rsidRPr="004479C6" w:rsidR="00C8257F">
        <w:t>p.</w:t>
      </w:r>
      <w:r w:rsidRPr="004479C6" w:rsidR="00133F88">
        <w:t> </w:t>
      </w:r>
      <w:r w:rsidRPr="004479C6" w:rsidR="00C8257F">
        <w:t>7</w:t>
      </w:r>
      <w:r w:rsidRPr="004479C6" w:rsidR="000F05DB">
        <w:rPr>
          <w:szCs w:val="26"/>
        </w:rPr>
        <w:t xml:space="preserve"> </w:t>
      </w:r>
      <w:r w:rsidRPr="004479C6" w:rsidR="00AC4FCC">
        <w:rPr>
          <w:szCs w:val="26"/>
        </w:rPr>
        <w:t xml:space="preserve">[stating that the </w:t>
      </w:r>
      <w:r w:rsidRPr="004479C6" w:rsidR="00946BEF">
        <w:rPr>
          <w:i/>
          <w:iCs/>
          <w:szCs w:val="26"/>
        </w:rPr>
        <w:t>Make UC</w:t>
      </w:r>
      <w:r w:rsidRPr="004479C6" w:rsidR="00946BEF">
        <w:rPr>
          <w:szCs w:val="26"/>
        </w:rPr>
        <w:t xml:space="preserve"> court established a “new precedent that noise from residents in projects should be an environmental factor considered under CEQA</w:t>
      </w:r>
      <w:r w:rsidRPr="004479C6" w:rsidR="00AF2EB8">
        <w:rPr>
          <w:szCs w:val="26"/>
        </w:rPr>
        <w:t>,</w:t>
      </w:r>
      <w:r w:rsidRPr="004479C6" w:rsidR="00946BEF">
        <w:rPr>
          <w:szCs w:val="26"/>
        </w:rPr>
        <w:t>”</w:t>
      </w:r>
      <w:r w:rsidRPr="004479C6" w:rsidR="00495364">
        <w:rPr>
          <w:szCs w:val="26"/>
        </w:rPr>
        <w:t xml:space="preserve"> </w:t>
      </w:r>
      <w:r w:rsidRPr="004479C6" w:rsidR="00AF2EB8">
        <w:rPr>
          <w:szCs w:val="26"/>
        </w:rPr>
        <w:t>but</w:t>
      </w:r>
      <w:r w:rsidRPr="004479C6" w:rsidR="00495364">
        <w:rPr>
          <w:szCs w:val="26"/>
        </w:rPr>
        <w:t xml:space="preserve"> </w:t>
      </w:r>
      <w:r w:rsidRPr="004479C6" w:rsidR="00D7415F">
        <w:rPr>
          <w:szCs w:val="26"/>
        </w:rPr>
        <w:t xml:space="preserve">rejecting </w:t>
      </w:r>
      <w:r w:rsidRPr="004479C6" w:rsidR="00311D4D">
        <w:rPr>
          <w:szCs w:val="26"/>
        </w:rPr>
        <w:t>such</w:t>
      </w:r>
      <w:r w:rsidRPr="004479C6" w:rsidR="00D7415F">
        <w:rPr>
          <w:szCs w:val="26"/>
        </w:rPr>
        <w:t xml:space="preserve"> reasoning because</w:t>
      </w:r>
      <w:r w:rsidRPr="004479C6" w:rsidR="003460FD">
        <w:rPr>
          <w:szCs w:val="26"/>
        </w:rPr>
        <w:t xml:space="preserve"> </w:t>
      </w:r>
      <w:r w:rsidRPr="004479C6" w:rsidR="00B9765B">
        <w:t>“</w:t>
      </w:r>
      <w:r w:rsidRPr="004479C6" w:rsidR="006D32D2">
        <w:t>CEQA does not need to be expanded to include noises from residents (or residents suspected of being inherently noisy), as there are already mechanisms in place to get noisy neighbors to quiet down”</w:t>
      </w:r>
      <w:r w:rsidRPr="004479C6" w:rsidR="00D7415F">
        <w:t>].)</w:t>
      </w:r>
      <w:r w:rsidRPr="004479C6" w:rsidR="00D520FA">
        <w:t xml:space="preserve"> </w:t>
      </w:r>
      <w:r w:rsidRPr="004479C6" w:rsidR="00F109EB">
        <w:t xml:space="preserve"> </w:t>
      </w:r>
      <w:r w:rsidRPr="004479C6" w:rsidR="00833979">
        <w:t>Indeed, the Legislature describe</w:t>
      </w:r>
      <w:r w:rsidRPr="004479C6" w:rsidR="005B729F">
        <w:t>d</w:t>
      </w:r>
      <w:r w:rsidRPr="004479C6" w:rsidR="00833979">
        <w:t xml:space="preserve"> as “</w:t>
      </w:r>
      <w:r w:rsidRPr="004479C6" w:rsidR="0022422E">
        <w:rPr>
          <w:szCs w:val="26"/>
        </w:rPr>
        <w:t xml:space="preserve">alarming” </w:t>
      </w:r>
      <w:r w:rsidRPr="004479C6" w:rsidR="00946BEF">
        <w:rPr>
          <w:szCs w:val="26"/>
        </w:rPr>
        <w:t xml:space="preserve">the </w:t>
      </w:r>
      <w:r w:rsidRPr="004479C6" w:rsidR="00946BEF">
        <w:rPr>
          <w:i/>
          <w:iCs/>
          <w:szCs w:val="26"/>
        </w:rPr>
        <w:t>Make UC</w:t>
      </w:r>
      <w:r w:rsidRPr="004479C6" w:rsidR="00946BEF">
        <w:rPr>
          <w:szCs w:val="26"/>
        </w:rPr>
        <w:t xml:space="preserve"> court’s reasoning that social noise should be considered because “</w:t>
      </w:r>
      <w:r w:rsidRPr="004479C6" w:rsidR="00946BEF">
        <w:rPr>
          <w:i/>
          <w:iCs/>
          <w:szCs w:val="26"/>
        </w:rPr>
        <w:t xml:space="preserve">students </w:t>
      </w:r>
      <w:r w:rsidRPr="004479C6" w:rsidR="00946BEF">
        <w:rPr>
          <w:szCs w:val="26"/>
        </w:rPr>
        <w:t>are noisy and more likely to party than other people</w:t>
      </w:r>
      <w:r w:rsidRPr="004479C6" w:rsidR="00C4238A">
        <w:rPr>
          <w:szCs w:val="26"/>
        </w:rPr>
        <w:t>.</w:t>
      </w:r>
      <w:r w:rsidRPr="004479C6" w:rsidR="00946BEF">
        <w:rPr>
          <w:szCs w:val="26"/>
        </w:rPr>
        <w:t xml:space="preserve">”  </w:t>
      </w:r>
      <w:r w:rsidRPr="004479C6" w:rsidR="008A7AA4">
        <w:rPr>
          <w:szCs w:val="26"/>
        </w:rPr>
        <w:t>(</w:t>
      </w:r>
      <w:r w:rsidRPr="004479C6" w:rsidR="003371AA">
        <w:rPr>
          <w:szCs w:val="26"/>
        </w:rPr>
        <w:t xml:space="preserve">Sen. </w:t>
      </w:r>
      <w:r w:rsidRPr="004479C6" w:rsidR="00C375F4">
        <w:t xml:space="preserve">Rules Com., Off. of Sen. Floor Analyses, Analysis of Assem. Bill No. 1307, </w:t>
      </w:r>
      <w:r w:rsidRPr="004479C6" w:rsidR="00C375F4">
        <w:rPr>
          <w:i/>
          <w:iCs/>
        </w:rPr>
        <w:t>supra</w:t>
      </w:r>
      <w:r w:rsidRPr="004479C6" w:rsidR="00C375F4">
        <w:t>, p.</w:t>
      </w:r>
      <w:r w:rsidRPr="004479C6" w:rsidR="00526B3D">
        <w:t> </w:t>
      </w:r>
      <w:r w:rsidRPr="004479C6" w:rsidR="00C375F4">
        <w:t>7</w:t>
      </w:r>
      <w:r w:rsidRPr="004479C6" w:rsidR="00C375F4">
        <w:rPr>
          <w:szCs w:val="26"/>
        </w:rPr>
        <w:t>.)</w:t>
      </w:r>
    </w:p>
    <w:p w:rsidR="00CE5316" w:rsidRPr="004479C6" w:rsidP="00DC104D" w14:paraId="553BEDD3" w14:textId="77777777">
      <w:pPr>
        <w:ind w:firstLine="720"/>
      </w:pPr>
      <w:r w:rsidRPr="004479C6">
        <w:t xml:space="preserve">This clear </w:t>
      </w:r>
      <w:r w:rsidRPr="004479C6" w:rsidR="00C456FB">
        <w:t xml:space="preserve">legislative </w:t>
      </w:r>
      <w:r w:rsidRPr="004479C6">
        <w:t xml:space="preserve">intent to </w:t>
      </w:r>
      <w:r w:rsidRPr="004479C6" w:rsidR="00CB71DC">
        <w:rPr>
          <w:szCs w:val="26"/>
        </w:rPr>
        <w:t xml:space="preserve">abrogate the </w:t>
      </w:r>
      <w:r w:rsidRPr="004479C6" w:rsidR="00CB71DC">
        <w:rPr>
          <w:i/>
          <w:iCs/>
          <w:szCs w:val="26"/>
        </w:rPr>
        <w:t xml:space="preserve">Make UC </w:t>
      </w:r>
      <w:r w:rsidRPr="004479C6" w:rsidR="00CB71DC">
        <w:rPr>
          <w:szCs w:val="26"/>
        </w:rPr>
        <w:t xml:space="preserve">court’s </w:t>
      </w:r>
      <w:r w:rsidRPr="004479C6" w:rsidR="00540BCF">
        <w:rPr>
          <w:szCs w:val="26"/>
        </w:rPr>
        <w:t xml:space="preserve">interpretation of CEQA as mandating a consideration of </w:t>
      </w:r>
      <w:r w:rsidRPr="004479C6" w:rsidR="00CB71DC">
        <w:rPr>
          <w:szCs w:val="26"/>
        </w:rPr>
        <w:t>social noise</w:t>
      </w:r>
      <w:r w:rsidRPr="004479C6">
        <w:rPr>
          <w:szCs w:val="26"/>
        </w:rPr>
        <w:t xml:space="preserve"> </w:t>
      </w:r>
      <w:r w:rsidRPr="004479C6" w:rsidR="005171C2">
        <w:rPr>
          <w:szCs w:val="26"/>
        </w:rPr>
        <w:t xml:space="preserve">in this manner </w:t>
      </w:r>
      <w:r w:rsidRPr="004479C6" w:rsidR="001124CC">
        <w:rPr>
          <w:szCs w:val="26"/>
        </w:rPr>
        <w:t>strongly</w:t>
      </w:r>
      <w:r w:rsidRPr="004479C6" w:rsidR="00FA541E">
        <w:rPr>
          <w:szCs w:val="26"/>
        </w:rPr>
        <w:t xml:space="preserve"> </w:t>
      </w:r>
      <w:r w:rsidRPr="004479C6" w:rsidR="00F2094C">
        <w:rPr>
          <w:szCs w:val="26"/>
        </w:rPr>
        <w:t>supports the conclus</w:t>
      </w:r>
      <w:r w:rsidRPr="004479C6" w:rsidR="00C67D5F">
        <w:rPr>
          <w:szCs w:val="26"/>
        </w:rPr>
        <w:t>ion</w:t>
      </w:r>
      <w:r w:rsidRPr="004479C6" w:rsidR="00840AB1">
        <w:rPr>
          <w:szCs w:val="26"/>
        </w:rPr>
        <w:t xml:space="preserve"> </w:t>
      </w:r>
      <w:r w:rsidRPr="004479C6" w:rsidR="00833979">
        <w:rPr>
          <w:szCs w:val="26"/>
        </w:rPr>
        <w:t xml:space="preserve">that </w:t>
      </w:r>
      <w:r w:rsidRPr="004479C6" w:rsidR="00840AB1">
        <w:rPr>
          <w:szCs w:val="26"/>
        </w:rPr>
        <w:t xml:space="preserve">the Legislature </w:t>
      </w:r>
      <w:r w:rsidRPr="004479C6" w:rsidR="00650B84">
        <w:rPr>
          <w:szCs w:val="26"/>
        </w:rPr>
        <w:t xml:space="preserve">intended for section </w:t>
      </w:r>
      <w:r w:rsidRPr="004479C6" w:rsidR="00C456FB">
        <w:rPr>
          <w:szCs w:val="26"/>
        </w:rPr>
        <w:t xml:space="preserve">21085 </w:t>
      </w:r>
      <w:r w:rsidRPr="004479C6" w:rsidR="00650B84">
        <w:rPr>
          <w:szCs w:val="26"/>
        </w:rPr>
        <w:t xml:space="preserve">to apply to the 2021 EIR’s evaluation of the </w:t>
      </w:r>
      <w:r w:rsidRPr="004479C6" w:rsidR="00157F48">
        <w:rPr>
          <w:szCs w:val="26"/>
        </w:rPr>
        <w:t xml:space="preserve">residential aspects of </w:t>
      </w:r>
      <w:r w:rsidRPr="004479C6" w:rsidR="00F45A5F">
        <w:rPr>
          <w:szCs w:val="26"/>
        </w:rPr>
        <w:t xml:space="preserve">the </w:t>
      </w:r>
      <w:r w:rsidRPr="004479C6" w:rsidR="00650B84">
        <w:rPr>
          <w:szCs w:val="26"/>
        </w:rPr>
        <w:t xml:space="preserve">2021 LRDP. </w:t>
      </w:r>
      <w:r w:rsidRPr="004479C6" w:rsidR="00E75D6A">
        <w:rPr>
          <w:szCs w:val="26"/>
        </w:rPr>
        <w:t xml:space="preserve"> </w:t>
      </w:r>
      <w:r w:rsidRPr="004479C6" w:rsidR="00E75D6A">
        <w:t xml:space="preserve">(See </w:t>
      </w:r>
      <w:bookmarkStart w:id="58" w:name="dabmci_821ad7d093914983b24df35b396172b7"/>
      <w:r w:rsidRPr="004479C6" w:rsidR="00E75D6A">
        <w:rPr>
          <w:i/>
          <w:iCs/>
        </w:rPr>
        <w:t>Palos Verdes</w:t>
      </w:r>
      <w:r w:rsidRPr="004479C6" w:rsidR="00E75D6A">
        <w:t>,</w:t>
      </w:r>
      <w:r w:rsidRPr="004479C6" w:rsidR="00E75D6A">
        <w:rPr>
          <w:i/>
          <w:iCs/>
        </w:rPr>
        <w:t xml:space="preserve"> supra</w:t>
      </w:r>
      <w:r w:rsidRPr="004479C6" w:rsidR="00E75D6A">
        <w:t>, 21</w:t>
      </w:r>
      <w:r w:rsidRPr="004479C6" w:rsidR="00C94497">
        <w:t> </w:t>
      </w:r>
      <w:r w:rsidRPr="004479C6" w:rsidR="00E75D6A">
        <w:t>Cal.3d at p.</w:t>
      </w:r>
      <w:r w:rsidRPr="004479C6" w:rsidR="00C94497">
        <w:t> </w:t>
      </w:r>
      <w:r w:rsidRPr="004479C6" w:rsidR="00E75D6A">
        <w:t>659</w:t>
      </w:r>
      <w:bookmarkEnd w:id="58"/>
      <w:r w:rsidRPr="004479C6" w:rsidR="00E75D6A">
        <w:t xml:space="preserve"> [</w:t>
      </w:r>
      <w:r w:rsidRPr="004479C6" w:rsidR="008610B3">
        <w:t>stating that</w:t>
      </w:r>
      <w:r w:rsidRPr="004479C6" w:rsidR="00B04B13">
        <w:t xml:space="preserve"> </w:t>
      </w:r>
      <w:r w:rsidRPr="004479C6" w:rsidR="004670EF">
        <w:t xml:space="preserve">when </w:t>
      </w:r>
      <w:r w:rsidRPr="004479C6" w:rsidR="00ED66C6">
        <w:t xml:space="preserve">the Legislature </w:t>
      </w:r>
      <w:r w:rsidRPr="004479C6" w:rsidR="00D026CE">
        <w:t xml:space="preserve">substantially </w:t>
      </w:r>
      <w:r w:rsidRPr="004479C6" w:rsidR="00ED66C6">
        <w:t>amend</w:t>
      </w:r>
      <w:r w:rsidRPr="004479C6" w:rsidR="008610B3">
        <w:t xml:space="preserve">s </w:t>
      </w:r>
      <w:r w:rsidRPr="004479C6" w:rsidR="00ED66C6">
        <w:t xml:space="preserve">a statute </w:t>
      </w:r>
      <w:r w:rsidRPr="004479C6" w:rsidR="008610B3">
        <w:t>that</w:t>
      </w:r>
      <w:r w:rsidRPr="004479C6" w:rsidR="00ED66C6">
        <w:t xml:space="preserve"> has </w:t>
      </w:r>
      <w:r w:rsidRPr="004479C6" w:rsidR="008610B3">
        <w:t xml:space="preserve">previously </w:t>
      </w:r>
      <w:r w:rsidRPr="004479C6" w:rsidR="00ED66C6">
        <w:t>been judicial</w:t>
      </w:r>
      <w:r w:rsidR="00377F3C">
        <w:t>ly</w:t>
      </w:r>
      <w:r w:rsidRPr="004479C6" w:rsidR="00ED66C6">
        <w:t xml:space="preserve"> constru</w:t>
      </w:r>
      <w:r w:rsidRPr="004479C6" w:rsidR="00E7045B">
        <w:t>ed,</w:t>
      </w:r>
      <w:r w:rsidRPr="004479C6" w:rsidR="006062A4">
        <w:t xml:space="preserve"> </w:t>
      </w:r>
      <w:r w:rsidRPr="004479C6" w:rsidR="00ED66C6">
        <w:t xml:space="preserve">it is usually inferred that the </w:t>
      </w:r>
      <w:r w:rsidRPr="004479C6" w:rsidR="00E7045B">
        <w:t>Legislature</w:t>
      </w:r>
      <w:r w:rsidRPr="004479C6" w:rsidR="00ED66C6">
        <w:t xml:space="preserve"> intended to </w:t>
      </w:r>
      <w:r w:rsidRPr="004479C6" w:rsidR="00E7045B">
        <w:t>change</w:t>
      </w:r>
      <w:r w:rsidRPr="004479C6" w:rsidR="00ED66C6">
        <w:t xml:space="preserve"> the law].)</w:t>
      </w:r>
    </w:p>
    <w:p w:rsidR="000C377D" w:rsidRPr="004479C6" w:rsidP="00DC104D" w14:paraId="553BEDD4" w14:textId="77777777">
      <w:pPr>
        <w:ind w:firstLine="720"/>
      </w:pPr>
      <w:r w:rsidRPr="004479C6">
        <w:t xml:space="preserve">Good Neighbor advances a different interpretation — one that applies section 21085 </w:t>
      </w:r>
      <w:r w:rsidRPr="004479C6" w:rsidR="003B5F47">
        <w:t xml:space="preserve">solely </w:t>
      </w:r>
      <w:r w:rsidRPr="004479C6">
        <w:t xml:space="preserve">to the 2021 EIR’s evaluation of </w:t>
      </w:r>
      <w:r w:rsidRPr="00E00861">
        <w:t>Housing</w:t>
      </w:r>
      <w:r w:rsidRPr="00B02B8A">
        <w:t xml:space="preserve"> </w:t>
      </w:r>
      <w:r w:rsidRPr="00E00861">
        <w:t>Project No. 2</w:t>
      </w:r>
      <w:r w:rsidRPr="004479C6" w:rsidR="00530FEE">
        <w:t>,</w:t>
      </w:r>
      <w:r w:rsidRPr="004479C6">
        <w:t xml:space="preserve"> but </w:t>
      </w:r>
      <w:r w:rsidRPr="004479C6" w:rsidR="00530FEE">
        <w:t>not</w:t>
      </w:r>
      <w:r w:rsidRPr="004479C6" w:rsidR="003B5F47">
        <w:t xml:space="preserve"> </w:t>
      </w:r>
      <w:r w:rsidRPr="004479C6" w:rsidR="002C1651">
        <w:t xml:space="preserve">to </w:t>
      </w:r>
      <w:r w:rsidRPr="004479C6" w:rsidR="003B5F47">
        <w:t>any portion of</w:t>
      </w:r>
      <w:r w:rsidRPr="004479C6" w:rsidR="00530FEE">
        <w:t xml:space="preserve"> the 2021 EIR’s evaluation of the </w:t>
      </w:r>
      <w:r w:rsidRPr="00E00861">
        <w:t>2021 LRDP</w:t>
      </w:r>
      <w:r w:rsidRPr="004479C6">
        <w:t xml:space="preserve">.  But we find nothing </w:t>
      </w:r>
      <w:r w:rsidRPr="004479C6">
        <w:rPr>
          <w:szCs w:val="26"/>
        </w:rPr>
        <w:t xml:space="preserve">in the legislative history of </w:t>
      </w:r>
      <w:bookmarkStart w:id="59" w:name="dabmci_90fbbb743aaf46f587a1e415b8489942"/>
      <w:r w:rsidRPr="004479C6">
        <w:rPr>
          <w:szCs w:val="26"/>
        </w:rPr>
        <w:t>Assembly Bill 1307</w:t>
      </w:r>
      <w:bookmarkEnd w:id="59"/>
      <w:r w:rsidRPr="004479C6">
        <w:rPr>
          <w:szCs w:val="26"/>
        </w:rPr>
        <w:t xml:space="preserve"> suggesting the Legislature intended to limit application of section 21085 in this manner.  </w:t>
      </w:r>
      <w:r w:rsidRPr="004479C6">
        <w:t xml:space="preserve">(See </w:t>
      </w:r>
      <w:bookmarkStart w:id="60" w:name="dabmci_0567979803704c98aa6c08b1d6309bf7"/>
      <w:r w:rsidRPr="004479C6">
        <w:rPr>
          <w:i/>
          <w:iCs/>
        </w:rPr>
        <w:t>Winn</w:t>
      </w:r>
      <w:r w:rsidRPr="004479C6" w:rsidR="00C456FB">
        <w:rPr>
          <w:i/>
          <w:iCs/>
        </w:rPr>
        <w:t xml:space="preserve"> v. Pioneer Medical Group, Inc.</w:t>
      </w:r>
      <w:r w:rsidRPr="004479C6" w:rsidR="00C456FB">
        <w:t xml:space="preserve"> (2016)</w:t>
      </w:r>
      <w:r w:rsidRPr="004479C6">
        <w:t xml:space="preserve"> 63 Cal.4th</w:t>
      </w:r>
      <w:r w:rsidRPr="004479C6" w:rsidR="00C456FB">
        <w:t xml:space="preserve"> 148,</w:t>
      </w:r>
      <w:r w:rsidRPr="004479C6">
        <w:t> 163</w:t>
      </w:r>
      <w:bookmarkEnd w:id="60"/>
      <w:r w:rsidRPr="004479C6">
        <w:t xml:space="preserve"> [“</w:t>
      </w:r>
      <w:r w:rsidRPr="004479C6" w:rsidR="003371AA">
        <w:t> ‘</w:t>
      </w:r>
      <w:r w:rsidRPr="004479C6">
        <w:t xml:space="preserve">the </w:t>
      </w:r>
      <w:r w:rsidRPr="004479C6">
        <w:rPr>
          <w:i/>
          <w:iCs/>
        </w:rPr>
        <w:t>absence</w:t>
      </w:r>
      <w:r w:rsidRPr="004479C6">
        <w:t xml:space="preserve"> of legislative history [can] be of significance in deciphering legislative intent</w:t>
      </w:r>
      <w:r w:rsidRPr="004479C6" w:rsidR="003371AA">
        <w:t>’ </w:t>
      </w:r>
      <w:r w:rsidRPr="004479C6">
        <w:t xml:space="preserve">”]; </w:t>
      </w:r>
      <w:bookmarkStart w:id="61" w:name="dabmci_be06fff701f648168d5c558dabd6c7ca"/>
      <w:r w:rsidRPr="004479C6">
        <w:rPr>
          <w:i/>
          <w:iCs/>
        </w:rPr>
        <w:t>In re N.R.</w:t>
      </w:r>
      <w:r w:rsidRPr="004479C6">
        <w:t xml:space="preserve">, </w:t>
      </w:r>
      <w:r w:rsidRPr="004479C6">
        <w:rPr>
          <w:i/>
          <w:iCs/>
        </w:rPr>
        <w:t>supra</w:t>
      </w:r>
      <w:r w:rsidRPr="004479C6">
        <w:t xml:space="preserve">, </w:t>
      </w:r>
      <w:r w:rsidRPr="004479C6" w:rsidR="00C456FB">
        <w:t xml:space="preserve">15 </w:t>
      </w:r>
      <w:r w:rsidRPr="004479C6">
        <w:t>Cal.5th at p. </w:t>
      </w:r>
      <w:r w:rsidRPr="004479C6" w:rsidR="00C456FB">
        <w:t>546</w:t>
      </w:r>
      <w:bookmarkEnd w:id="61"/>
      <w:r w:rsidRPr="004479C6">
        <w:t xml:space="preserve"> [same].)</w:t>
      </w:r>
      <w:r w:rsidRPr="004479C6">
        <w:rPr>
          <w:szCs w:val="26"/>
        </w:rPr>
        <w:t xml:space="preserve"> </w:t>
      </w:r>
      <w:r w:rsidRPr="004479C6" w:rsidR="00530FEE">
        <w:rPr>
          <w:szCs w:val="26"/>
        </w:rPr>
        <w:t xml:space="preserve"> </w:t>
      </w:r>
      <w:r w:rsidRPr="004479C6" w:rsidR="00A41F6B">
        <w:rPr>
          <w:szCs w:val="26"/>
        </w:rPr>
        <w:t>The absence of such legislative history</w:t>
      </w:r>
      <w:r w:rsidRPr="004479C6" w:rsidR="00E66949">
        <w:rPr>
          <w:szCs w:val="26"/>
        </w:rPr>
        <w:t xml:space="preserve"> is particularly </w:t>
      </w:r>
      <w:r w:rsidRPr="004479C6" w:rsidR="00025DBD">
        <w:rPr>
          <w:szCs w:val="26"/>
        </w:rPr>
        <w:t>instructive</w:t>
      </w:r>
      <w:r w:rsidRPr="004479C6" w:rsidR="00E66949">
        <w:rPr>
          <w:szCs w:val="26"/>
        </w:rPr>
        <w:t xml:space="preserve"> </w:t>
      </w:r>
      <w:r w:rsidRPr="004479C6" w:rsidR="004B5050">
        <w:rPr>
          <w:szCs w:val="26"/>
        </w:rPr>
        <w:t xml:space="preserve">because </w:t>
      </w:r>
      <w:r w:rsidRPr="004479C6" w:rsidR="00FC7239">
        <w:rPr>
          <w:szCs w:val="26"/>
        </w:rPr>
        <w:t xml:space="preserve">the Legislature was aware </w:t>
      </w:r>
      <w:r w:rsidRPr="004479C6" w:rsidR="004B5050">
        <w:rPr>
          <w:szCs w:val="26"/>
        </w:rPr>
        <w:t xml:space="preserve">that </w:t>
      </w:r>
      <w:r w:rsidRPr="004479C6" w:rsidR="00BE6B23">
        <w:rPr>
          <w:szCs w:val="26"/>
        </w:rPr>
        <w:t xml:space="preserve">the </w:t>
      </w:r>
      <w:r w:rsidRPr="004479C6" w:rsidR="003916D0">
        <w:rPr>
          <w:szCs w:val="26"/>
        </w:rPr>
        <w:t xml:space="preserve">2021 EIR evaluated </w:t>
      </w:r>
      <w:r w:rsidRPr="004479C6" w:rsidR="003916D0">
        <w:rPr>
          <w:i/>
          <w:iCs/>
          <w:szCs w:val="26"/>
        </w:rPr>
        <w:t>both</w:t>
      </w:r>
      <w:r w:rsidRPr="004479C6" w:rsidR="003916D0">
        <w:rPr>
          <w:szCs w:val="26"/>
        </w:rPr>
        <w:t xml:space="preserve"> the </w:t>
      </w:r>
      <w:r w:rsidRPr="004479C6" w:rsidR="00FB56FA">
        <w:rPr>
          <w:szCs w:val="26"/>
        </w:rPr>
        <w:t xml:space="preserve">2021 </w:t>
      </w:r>
      <w:r w:rsidRPr="004479C6" w:rsidR="00BE6B23">
        <w:rPr>
          <w:szCs w:val="26"/>
        </w:rPr>
        <w:t>LRDP and Housing Project No.</w:t>
      </w:r>
      <w:r w:rsidRPr="004479C6" w:rsidR="004B5050">
        <w:rPr>
          <w:szCs w:val="26"/>
        </w:rPr>
        <w:t> </w:t>
      </w:r>
      <w:r w:rsidRPr="004479C6" w:rsidR="00BE6B23">
        <w:rPr>
          <w:szCs w:val="26"/>
        </w:rPr>
        <w:t>2</w:t>
      </w:r>
      <w:r w:rsidRPr="004479C6" w:rsidR="004B5050">
        <w:rPr>
          <w:szCs w:val="26"/>
        </w:rPr>
        <w:t>,</w:t>
      </w:r>
      <w:r w:rsidRPr="004479C6" w:rsidR="00BE6B23">
        <w:rPr>
          <w:szCs w:val="26"/>
        </w:rPr>
        <w:t xml:space="preserve"> </w:t>
      </w:r>
      <w:r w:rsidRPr="004479C6" w:rsidR="006B1FA3">
        <w:rPr>
          <w:szCs w:val="26"/>
        </w:rPr>
        <w:t xml:space="preserve">and </w:t>
      </w:r>
      <w:r w:rsidRPr="004479C6" w:rsidR="00B05129">
        <w:rPr>
          <w:szCs w:val="26"/>
        </w:rPr>
        <w:t xml:space="preserve">that </w:t>
      </w:r>
      <w:r w:rsidRPr="004479C6" w:rsidR="004B5050">
        <w:rPr>
          <w:szCs w:val="26"/>
        </w:rPr>
        <w:t xml:space="preserve">both were </w:t>
      </w:r>
      <w:r w:rsidRPr="004479C6" w:rsidR="006B1FA3">
        <w:rPr>
          <w:szCs w:val="26"/>
        </w:rPr>
        <w:t xml:space="preserve">at issue in </w:t>
      </w:r>
      <w:r w:rsidRPr="004479C6" w:rsidR="006B1FA3">
        <w:rPr>
          <w:i/>
          <w:iCs/>
          <w:szCs w:val="26"/>
        </w:rPr>
        <w:t>Make UC</w:t>
      </w:r>
      <w:r w:rsidRPr="004479C6" w:rsidR="006B1FA3">
        <w:rPr>
          <w:szCs w:val="26"/>
        </w:rPr>
        <w:t xml:space="preserve">. </w:t>
      </w:r>
      <w:r w:rsidRPr="004479C6" w:rsidR="004F2690">
        <w:rPr>
          <w:szCs w:val="26"/>
        </w:rPr>
        <w:t xml:space="preserve"> (See</w:t>
      </w:r>
      <w:r w:rsidRPr="004479C6" w:rsidR="00621B64">
        <w:rPr>
          <w:szCs w:val="26"/>
        </w:rPr>
        <w:t xml:space="preserve"> </w:t>
      </w:r>
      <w:r w:rsidRPr="004479C6" w:rsidR="008B3E0F">
        <w:t xml:space="preserve">Sen. Com. on </w:t>
      </w:r>
      <w:r w:rsidRPr="004479C6" w:rsidR="00621B64">
        <w:t>Housing</w:t>
      </w:r>
      <w:r w:rsidRPr="004479C6" w:rsidR="008B3E0F">
        <w:t xml:space="preserve">, Analysis of Assem. Bill No. 1307 (2023–2024 Reg. Sess.) as amended </w:t>
      </w:r>
      <w:r w:rsidRPr="004479C6" w:rsidR="0022138F">
        <w:t>Jun</w:t>
      </w:r>
      <w:r w:rsidRPr="004479C6" w:rsidR="00C456FB">
        <w:t>e</w:t>
      </w:r>
      <w:r w:rsidRPr="004479C6" w:rsidR="00E96441">
        <w:t> </w:t>
      </w:r>
      <w:r w:rsidRPr="004479C6" w:rsidR="0022138F">
        <w:t>26</w:t>
      </w:r>
      <w:r w:rsidRPr="004479C6" w:rsidR="008B3E0F">
        <w:t>, 2023, p</w:t>
      </w:r>
      <w:r w:rsidRPr="004479C6" w:rsidR="0022138F">
        <w:t>.</w:t>
      </w:r>
      <w:r w:rsidRPr="004479C6" w:rsidR="00E96441">
        <w:t> </w:t>
      </w:r>
      <w:r w:rsidRPr="004479C6" w:rsidR="0022138F">
        <w:t>5</w:t>
      </w:r>
      <w:r w:rsidRPr="004479C6" w:rsidR="008B3E0F">
        <w:rPr>
          <w:szCs w:val="26"/>
        </w:rPr>
        <w:t xml:space="preserve"> </w:t>
      </w:r>
      <w:r w:rsidRPr="004479C6" w:rsidR="004F2690">
        <w:rPr>
          <w:szCs w:val="26"/>
        </w:rPr>
        <w:t xml:space="preserve">[describing </w:t>
      </w:r>
      <w:r w:rsidRPr="004479C6" w:rsidR="004F2690">
        <w:rPr>
          <w:i/>
          <w:iCs/>
          <w:szCs w:val="26"/>
        </w:rPr>
        <w:t>Make UC</w:t>
      </w:r>
      <w:r w:rsidRPr="004479C6" w:rsidR="004F2690">
        <w:rPr>
          <w:szCs w:val="26"/>
        </w:rPr>
        <w:t xml:space="preserve"> and </w:t>
      </w:r>
      <w:r w:rsidRPr="004479C6" w:rsidR="00C81003">
        <w:rPr>
          <w:szCs w:val="26"/>
        </w:rPr>
        <w:t>not</w:t>
      </w:r>
      <w:r w:rsidRPr="004479C6" w:rsidR="00FB56FA">
        <w:rPr>
          <w:szCs w:val="26"/>
        </w:rPr>
        <w:t>ing</w:t>
      </w:r>
      <w:r w:rsidRPr="004479C6" w:rsidR="00C81003">
        <w:rPr>
          <w:szCs w:val="26"/>
        </w:rPr>
        <w:t xml:space="preserve"> that “</w:t>
      </w:r>
      <w:r w:rsidRPr="004479C6" w:rsidR="00C81003">
        <w:t>UC</w:t>
      </w:r>
      <w:r w:rsidRPr="004479C6" w:rsidR="00C92334">
        <w:t> </w:t>
      </w:r>
      <w:r w:rsidRPr="004479C6" w:rsidR="00C81003">
        <w:t xml:space="preserve">Berkeley analyzed the </w:t>
      </w:r>
      <w:r w:rsidRPr="004479C6" w:rsidR="00EF346E">
        <w:t xml:space="preserve">[2021] </w:t>
      </w:r>
      <w:r w:rsidRPr="004479C6" w:rsidR="00C81003">
        <w:t>LRDP and the People’s Park project together in a single EIR”</w:t>
      </w:r>
      <w:r w:rsidRPr="004479C6" w:rsidR="00FB56FA">
        <w:t>].)</w:t>
      </w:r>
      <w:r w:rsidRPr="004479C6" w:rsidR="009A63D8">
        <w:t xml:space="preserve">  </w:t>
      </w:r>
    </w:p>
    <w:p w:rsidR="00A50333" w:rsidRPr="004479C6" w:rsidP="00DC104D" w14:paraId="553BEDD5" w14:textId="77777777">
      <w:pPr>
        <w:ind w:firstLine="720"/>
        <w:rPr>
          <w:szCs w:val="26"/>
        </w:rPr>
      </w:pPr>
      <w:r w:rsidRPr="004479C6">
        <w:t xml:space="preserve">We further conclude it would </w:t>
      </w:r>
      <w:r w:rsidRPr="004479C6">
        <w:rPr>
          <w:szCs w:val="26"/>
        </w:rPr>
        <w:t xml:space="preserve">have been reasonable for the Legislature to have considered the 2021 LRDP to be a “residential project[]” (§ 21085), at least with respect to that portion of the 2021 LRDP challenged in this case.  The 2021 EIR, the </w:t>
      </w:r>
      <w:r w:rsidRPr="004479C6">
        <w:rPr>
          <w:i/>
          <w:iCs/>
          <w:szCs w:val="26"/>
        </w:rPr>
        <w:t>Make UC</w:t>
      </w:r>
      <w:r w:rsidRPr="004479C6">
        <w:rPr>
          <w:szCs w:val="26"/>
        </w:rPr>
        <w:t xml:space="preserve"> court, and the legislative history of </w:t>
      </w:r>
      <w:bookmarkStart w:id="62" w:name="dabmci_f0d85b8ed9364018a0522f2a74ee6aa4"/>
      <w:r w:rsidRPr="004479C6">
        <w:rPr>
          <w:szCs w:val="26"/>
        </w:rPr>
        <w:t>Assembly Bill 1307</w:t>
      </w:r>
      <w:bookmarkEnd w:id="62"/>
      <w:r w:rsidRPr="004479C6">
        <w:rPr>
          <w:szCs w:val="26"/>
        </w:rPr>
        <w:t xml:space="preserve"> all describe</w:t>
      </w:r>
      <w:r w:rsidRPr="004479C6" w:rsidR="00E65B1D">
        <w:rPr>
          <w:szCs w:val="26"/>
        </w:rPr>
        <w:t>d</w:t>
      </w:r>
      <w:r w:rsidRPr="004479C6">
        <w:rPr>
          <w:szCs w:val="26"/>
        </w:rPr>
        <w:t xml:space="preserve"> the 2021 LRDP in a way that logically correlates with the meaning of a residential project.  </w:t>
      </w:r>
    </w:p>
    <w:p w:rsidR="00B53B78" w:rsidRPr="004479C6" w:rsidP="00DC104D" w14:paraId="553BEDD6" w14:textId="77777777">
      <w:pPr>
        <w:ind w:firstLine="720"/>
      </w:pPr>
      <w:r w:rsidRPr="004479C6">
        <w:rPr>
          <w:szCs w:val="26"/>
        </w:rPr>
        <w:t>Specifically</w:t>
      </w:r>
      <w:r w:rsidRPr="004479C6" w:rsidR="00E65B1D">
        <w:rPr>
          <w:szCs w:val="26"/>
        </w:rPr>
        <w:t>,</w:t>
      </w:r>
      <w:r w:rsidRPr="004479C6">
        <w:rPr>
          <w:szCs w:val="26"/>
        </w:rPr>
        <w:t xml:space="preserve"> the 2021 EIR described the 2021 LRDP by noting that its “proposed development program includes . . . approximately 11,073 student beds and 549 faculty and staff beds,” and that it plans for a campus population of “48,200 students and 19,000 faculty and staff in the</w:t>
      </w:r>
      <w:r w:rsidRPr="004479C6" w:rsidR="001D6503">
        <w:rPr>
          <w:szCs w:val="26"/>
        </w:rPr>
        <w:t> . . .</w:t>
      </w:r>
      <w:r w:rsidRPr="004479C6">
        <w:rPr>
          <w:szCs w:val="26"/>
        </w:rPr>
        <w:t xml:space="preserve"> 2036–37 academic year.”</w:t>
      </w:r>
    </w:p>
    <w:p w:rsidR="00B53B78" w:rsidRPr="004479C6" w:rsidP="00DC104D" w14:paraId="553BEDD7" w14:textId="77777777">
      <w:pPr>
        <w:ind w:firstLine="720"/>
      </w:pPr>
      <w:r w:rsidRPr="004479C6">
        <w:rPr>
          <w:szCs w:val="26"/>
        </w:rPr>
        <w:t xml:space="preserve">Similarly, </w:t>
      </w:r>
      <w:r w:rsidRPr="004479C6">
        <w:t xml:space="preserve">the </w:t>
      </w:r>
      <w:r w:rsidRPr="004479C6">
        <w:rPr>
          <w:i/>
          <w:iCs/>
        </w:rPr>
        <w:t>Make UC</w:t>
      </w:r>
      <w:r w:rsidRPr="004479C6">
        <w:t xml:space="preserve"> court described the 2021 LRDP as follows:  “The 2021 plan encompasses a general strategy for meeting the housing goals identified in the chancellor’s initiative.  The university anticipates (but is not committed to) constructing up to 11,731 net new beds to accommodate a projected increase in the campus population (students, faculty, and staff) of up to 13,902 new residents.  In addition, the plan projects that another 8,173 students, faculty and staff will be added to the population by the 2036–2037 academic year who will not be provided with university housing.”  (</w:t>
      </w:r>
      <w:bookmarkStart w:id="63" w:name="dabmci_ca6a66c7a2d241ca8b5e610d07dbc3e2"/>
      <w:r w:rsidRPr="004479C6">
        <w:rPr>
          <w:i/>
          <w:iCs/>
        </w:rPr>
        <w:t>Make UC</w:t>
      </w:r>
      <w:r w:rsidRPr="004479C6">
        <w:t xml:space="preserve">, </w:t>
      </w:r>
      <w:r w:rsidRPr="004479C6">
        <w:rPr>
          <w:i/>
          <w:iCs/>
        </w:rPr>
        <w:t>supra</w:t>
      </w:r>
      <w:r w:rsidRPr="004479C6">
        <w:t>, 88 Cal.App.5th at p. 666</w:t>
      </w:r>
      <w:bookmarkEnd w:id="63"/>
      <w:r w:rsidRPr="004479C6">
        <w:t>.)</w:t>
      </w:r>
    </w:p>
    <w:p w:rsidR="00B53B78" w:rsidRPr="004479C6" w:rsidP="00DC104D" w14:paraId="553BEDD8" w14:textId="77777777">
      <w:pPr>
        <w:ind w:firstLine="720"/>
      </w:pPr>
      <w:r w:rsidRPr="004479C6">
        <w:t xml:space="preserve">The legislative history of </w:t>
      </w:r>
      <w:bookmarkStart w:id="64" w:name="dabmci_ba5c4e8197894fb6978c067f1cfa9fb6"/>
      <w:r w:rsidRPr="004479C6">
        <w:t>Assembly Bill 1307</w:t>
      </w:r>
      <w:bookmarkEnd w:id="64"/>
      <w:r w:rsidRPr="004479C6">
        <w:t xml:space="preserve"> also</w:t>
      </w:r>
      <w:r w:rsidRPr="004479C6" w:rsidR="007546B2">
        <w:t xml:space="preserve"> </w:t>
      </w:r>
      <w:r w:rsidRPr="004479C6">
        <w:t>indicates that the Legislature was aware of the residential aspect of the 2021 LRDP</w:t>
      </w:r>
      <w:r w:rsidRPr="004479C6" w:rsidR="005B729F">
        <w:t>.  On</w:t>
      </w:r>
      <w:r w:rsidRPr="004479C6">
        <w:t>e committee analysis describ</w:t>
      </w:r>
      <w:r w:rsidRPr="004479C6" w:rsidR="005B729F">
        <w:t>ed</w:t>
      </w:r>
      <w:r w:rsidRPr="004479C6">
        <w:t xml:space="preserve"> the 2021 LRDP as follows:  “</w:t>
      </w:r>
      <w:r w:rsidRPr="0042276B">
        <w:t>Each UC is required to adopt an LRDP, which is a high level planning document that helps guide decision[s] on land and infrastructure developments.  An LRDP . . . functions as a combination programmatic EIR and general land use plan.  UC Berkeley provides housing for only 23% of its students, which is by far the lowest of any UC.  Enrollments have outpaced student housing development.  The prior LRDP, adopted in 2005, called for the construction of 2,600 beds through 2021, which was 10,000 beds short of the projected enrollment increase.  The university only produced 1,119 of those bed</w:t>
      </w:r>
      <w:r w:rsidRPr="0042276B" w:rsidR="001D6503">
        <w:t>[</w:t>
      </w:r>
      <w:r w:rsidRPr="0042276B">
        <w:t>s</w:t>
      </w:r>
      <w:r w:rsidRPr="0042276B" w:rsidR="001D6503">
        <w:t>]</w:t>
      </w:r>
      <w:r w:rsidRPr="0042276B">
        <w:t>, while simultaneously increasing enrollment beyond what was planned for in the LRDP.  The most recent LRDP, adopted in 2021, proposes to build 11,731 beds</w:t>
      </w:r>
      <w:r w:rsidRPr="004479C6">
        <w:t xml:space="preserve">.”  (Sen. Com. on Housing, Analysis of Assem. Bill No. 1307, </w:t>
      </w:r>
      <w:r w:rsidRPr="004479C6">
        <w:rPr>
          <w:i/>
          <w:iCs/>
        </w:rPr>
        <w:t>supra</w:t>
      </w:r>
      <w:r w:rsidRPr="004479C6">
        <w:t>, pp.</w:t>
      </w:r>
      <w:r w:rsidRPr="004479C6" w:rsidR="002460A3">
        <w:t> </w:t>
      </w:r>
      <w:r w:rsidRPr="004479C6">
        <w:t xml:space="preserve">4–5.) </w:t>
      </w:r>
      <w:r w:rsidRPr="004479C6">
        <w:rPr>
          <w:szCs w:val="26"/>
        </w:rPr>
        <w:t xml:space="preserve"> </w:t>
      </w:r>
    </w:p>
    <w:p w:rsidR="00CE5316" w:rsidRPr="004479C6" w:rsidP="00DC104D" w14:paraId="553BEDD9" w14:textId="77777777">
      <w:pPr>
        <w:ind w:firstLine="720"/>
        <w:rPr>
          <w:szCs w:val="26"/>
        </w:rPr>
      </w:pPr>
      <w:r w:rsidRPr="004479C6">
        <w:rPr>
          <w:szCs w:val="26"/>
        </w:rPr>
        <w:t>All t</w:t>
      </w:r>
      <w:r w:rsidRPr="004479C6" w:rsidR="00A50333">
        <w:rPr>
          <w:szCs w:val="26"/>
        </w:rPr>
        <w:t xml:space="preserve">hese descriptions of the 2021 LRDP as a document designed to plan for an </w:t>
      </w:r>
      <w:r w:rsidRPr="004479C6">
        <w:t>increase in the number of housing units and residents</w:t>
      </w:r>
      <w:r w:rsidRPr="004479C6">
        <w:rPr>
          <w:szCs w:val="26"/>
        </w:rPr>
        <w:t xml:space="preserve"> </w:t>
      </w:r>
      <w:r w:rsidRPr="004479C6" w:rsidR="00A50333">
        <w:rPr>
          <w:szCs w:val="26"/>
        </w:rPr>
        <w:t>to the UC Berkeley campus area support the conclusion that the Legislature intended the term “residential projects” to apply to those portions of the 2021 LRDP at issue here.</w:t>
      </w:r>
    </w:p>
    <w:p w:rsidR="00267B5A" w:rsidRPr="004479C6" w:rsidP="00267B5A" w14:paraId="553BEDDA" w14:textId="77777777">
      <w:pPr>
        <w:ind w:firstLine="720"/>
      </w:pPr>
      <w:r w:rsidRPr="004479C6">
        <w:t>Public policy considerations lead to the same conclusion.  W</w:t>
      </w:r>
      <w:r w:rsidRPr="004479C6" w:rsidR="004D16A1">
        <w:t xml:space="preserve">e need not wade into the contentious </w:t>
      </w:r>
      <w:r w:rsidRPr="004479C6" w:rsidR="00CB560E">
        <w:t xml:space="preserve">public debate surrounding the implementation of </w:t>
      </w:r>
      <w:r w:rsidRPr="004479C6" w:rsidR="001E08B6">
        <w:t>Housing Project No.</w:t>
      </w:r>
      <w:r w:rsidRPr="004479C6" w:rsidR="005B4A6C">
        <w:t> </w:t>
      </w:r>
      <w:r w:rsidRPr="004479C6" w:rsidR="001E08B6">
        <w:t>2 and the 2021 LRDP</w:t>
      </w:r>
      <w:r w:rsidRPr="004479C6">
        <w:t xml:space="preserve">.  </w:t>
      </w:r>
      <w:r w:rsidRPr="004479C6" w:rsidR="0027613D">
        <w:t xml:space="preserve">Nonetheless, as was true with the </w:t>
      </w:r>
      <w:r w:rsidRPr="004479C6" w:rsidR="0027613D">
        <w:rPr>
          <w:i/>
          <w:iCs/>
        </w:rPr>
        <w:t>Make UC</w:t>
      </w:r>
      <w:r w:rsidRPr="004479C6" w:rsidR="0027613D">
        <w:t xml:space="preserve"> court, “[w]e are, of course, aware of the public interest in this case . . . and the broader public debate about legal obstacles to housing construction.”  (</w:t>
      </w:r>
      <w:bookmarkStart w:id="65" w:name="dabmci_248c17e8947a4bdd9f7373448a5f30f1"/>
      <w:r w:rsidRPr="004479C6" w:rsidR="0027613D">
        <w:rPr>
          <w:i/>
          <w:iCs/>
        </w:rPr>
        <w:t>Make UC</w:t>
      </w:r>
      <w:r w:rsidRPr="004479C6" w:rsidR="0027613D">
        <w:t xml:space="preserve">, </w:t>
      </w:r>
      <w:r w:rsidRPr="004479C6" w:rsidR="0027613D">
        <w:rPr>
          <w:i/>
          <w:iCs/>
        </w:rPr>
        <w:t>supra</w:t>
      </w:r>
      <w:r w:rsidRPr="004479C6" w:rsidR="0027613D">
        <w:t>, 88 Cal.App.5th at p. 665</w:t>
      </w:r>
      <w:bookmarkEnd w:id="65"/>
      <w:r w:rsidRPr="004479C6" w:rsidR="0027613D">
        <w:t xml:space="preserve">.)  Given this context, we find it untenable that the </w:t>
      </w:r>
      <w:r w:rsidRPr="004479C6" w:rsidR="007458AC">
        <w:t xml:space="preserve">Legislature </w:t>
      </w:r>
      <w:r w:rsidRPr="004479C6" w:rsidR="0027613D">
        <w:t xml:space="preserve">would preclude the consideration of social noise impacts under CEQA only for </w:t>
      </w:r>
      <w:r w:rsidRPr="004479C6" w:rsidR="007458AC">
        <w:t xml:space="preserve">projects designed to add residential units to a specific location </w:t>
      </w:r>
      <w:r w:rsidRPr="004479C6" w:rsidR="00C9731B">
        <w:t>(such as Housing Project No.</w:t>
      </w:r>
      <w:r w:rsidRPr="004479C6" w:rsidR="0027613D">
        <w:t> </w:t>
      </w:r>
      <w:r w:rsidRPr="004479C6" w:rsidR="00C9731B">
        <w:t xml:space="preserve">2) </w:t>
      </w:r>
      <w:r w:rsidRPr="004479C6" w:rsidR="007458AC">
        <w:t>whil</w:t>
      </w:r>
      <w:r w:rsidRPr="004479C6" w:rsidR="00C9731B">
        <w:t xml:space="preserve">e </w:t>
      </w:r>
      <w:r w:rsidRPr="004479C6" w:rsidR="00291A3A">
        <w:t xml:space="preserve">potentially </w:t>
      </w:r>
      <w:r w:rsidRPr="004479C6" w:rsidR="007458AC">
        <w:t>requir</w:t>
      </w:r>
      <w:r w:rsidRPr="004479C6" w:rsidR="00C9731B">
        <w:t>ing</w:t>
      </w:r>
      <w:r w:rsidRPr="004479C6" w:rsidR="007458AC">
        <w:t xml:space="preserve"> </w:t>
      </w:r>
      <w:r w:rsidRPr="004479C6" w:rsidR="005B4A6C">
        <w:t xml:space="preserve">the same </w:t>
      </w:r>
      <w:r w:rsidRPr="004479C6" w:rsidR="007458AC">
        <w:t>an</w:t>
      </w:r>
      <w:r w:rsidRPr="004479C6" w:rsidR="00C9731B">
        <w:t xml:space="preserve">alysis </w:t>
      </w:r>
      <w:r w:rsidRPr="004479C6" w:rsidR="0027613D">
        <w:t xml:space="preserve">of social noise </w:t>
      </w:r>
      <w:r w:rsidRPr="004479C6" w:rsidR="001008B1">
        <w:t xml:space="preserve">when an agency </w:t>
      </w:r>
      <w:r w:rsidRPr="004479C6" w:rsidR="007458AC">
        <w:t>makes broader land use planning decisions</w:t>
      </w:r>
      <w:r w:rsidRPr="004479C6" w:rsidR="00C9731B">
        <w:t xml:space="preserve"> (such as the 2021 LRDP)</w:t>
      </w:r>
      <w:r w:rsidRPr="004479C6" w:rsidR="006760E0">
        <w:t xml:space="preserve"> that encompass </w:t>
      </w:r>
      <w:r w:rsidRPr="004479C6" w:rsidR="0027613D">
        <w:t xml:space="preserve">the specific </w:t>
      </w:r>
      <w:r w:rsidRPr="004479C6" w:rsidR="006760E0">
        <w:t>projects</w:t>
      </w:r>
      <w:r w:rsidRPr="004479C6" w:rsidR="00C9731B">
        <w:t>.</w:t>
      </w:r>
      <w:r w:rsidRPr="004479C6" w:rsidR="001008B1">
        <w:t xml:space="preserve">  If anything, </w:t>
      </w:r>
      <w:r w:rsidRPr="004479C6" w:rsidR="00552214">
        <w:t>an agency</w:t>
      </w:r>
      <w:r w:rsidRPr="004479C6" w:rsidR="00A21A8A">
        <w:t>’s</w:t>
      </w:r>
      <w:r w:rsidRPr="004479C6" w:rsidR="00552214">
        <w:t xml:space="preserve"> broader land use planning decisions</w:t>
      </w:r>
      <w:r w:rsidRPr="004479C6" w:rsidR="00A21A8A">
        <w:t xml:space="preserve"> have less direct </w:t>
      </w:r>
      <w:r w:rsidRPr="004479C6" w:rsidR="006C3FF7">
        <w:t xml:space="preserve">connection to the production of social noise than an agency’s </w:t>
      </w:r>
      <w:r w:rsidRPr="004479C6" w:rsidR="00336134">
        <w:t xml:space="preserve">specific </w:t>
      </w:r>
      <w:r w:rsidRPr="004479C6" w:rsidR="00A01664">
        <w:t xml:space="preserve">project </w:t>
      </w:r>
      <w:r w:rsidRPr="004479C6" w:rsidR="006C3FF7">
        <w:t>add</w:t>
      </w:r>
      <w:r w:rsidRPr="004479C6" w:rsidR="0027613D">
        <w:t>ing</w:t>
      </w:r>
      <w:r w:rsidRPr="004479C6" w:rsidR="006C3FF7">
        <w:t xml:space="preserve"> residential units to a specific location.  </w:t>
      </w:r>
      <w:r w:rsidRPr="004479C6" w:rsidR="0027613D">
        <w:t xml:space="preserve">We see nothing in section 21085’s purpose, legislative history, or public policy that </w:t>
      </w:r>
      <w:r w:rsidRPr="004479C6" w:rsidR="006C3FF7">
        <w:t xml:space="preserve">would </w:t>
      </w:r>
      <w:r w:rsidRPr="004479C6" w:rsidR="0027613D">
        <w:t xml:space="preserve">support such an </w:t>
      </w:r>
      <w:r w:rsidRPr="004479C6" w:rsidR="00336134">
        <w:t xml:space="preserve">anomalous </w:t>
      </w:r>
      <w:r w:rsidRPr="004479C6" w:rsidR="0027613D">
        <w:t>result</w:t>
      </w:r>
      <w:r w:rsidRPr="004479C6" w:rsidR="00CA5BEC">
        <w:t xml:space="preserve"> by limiting the statute’s application to Housing Project No. 2 only</w:t>
      </w:r>
      <w:r w:rsidRPr="004479C6" w:rsidR="0027613D">
        <w:t>.</w:t>
      </w:r>
    </w:p>
    <w:p w:rsidR="00801674" w:rsidRPr="004479C6" w:rsidP="00267B5A" w14:paraId="553BEDDB" w14:textId="77777777">
      <w:pPr>
        <w:ind w:firstLine="720"/>
      </w:pPr>
      <w:r w:rsidRPr="004479C6">
        <w:t>Good Neighbor</w:t>
      </w:r>
      <w:r w:rsidRPr="004479C6" w:rsidR="00230994">
        <w:t xml:space="preserve"> also </w:t>
      </w:r>
      <w:r w:rsidRPr="004479C6" w:rsidR="0041151E">
        <w:t>focuses on the social noise impacts it contends are “caused by all of the students included in the LRDP’s projected enro</w:t>
      </w:r>
      <w:r w:rsidR="00CD7327">
        <w:t>l</w:t>
      </w:r>
      <w:r w:rsidRPr="004479C6" w:rsidR="0041151E">
        <w:t>lment-driven population increase</w:t>
      </w:r>
      <w:r w:rsidR="00C17C52">
        <w:t>,</w:t>
      </w:r>
      <w:r w:rsidRPr="004479C6" w:rsidR="0041151E">
        <w:t>”</w:t>
      </w:r>
      <w:r w:rsidR="007E496C">
        <w:t xml:space="preserve"> in its supplemental answer brief.</w:t>
      </w:r>
      <w:r w:rsidRPr="004479C6" w:rsidR="0041151E">
        <w:t xml:space="preserve">  Good Neighbor reasons that the enrollment-driven population increase —</w:t>
      </w:r>
      <w:r w:rsidR="00166373">
        <w:t xml:space="preserve"> </w:t>
      </w:r>
      <w:r w:rsidRPr="004479C6" w:rsidR="0041151E">
        <w:t xml:space="preserve">which forms a part of the LRDP at issue and which will bring thousands of new students to the campus — is not a residential project and thus must be evaluated for social noise impacts whether such students are housed in </w:t>
      </w:r>
      <w:bookmarkStart w:id="66" w:name="dabmci_cddd93ec411c4b56aa8ee53f57c4ada6"/>
      <w:r w:rsidRPr="004479C6" w:rsidR="0041151E">
        <w:t>UC</w:t>
      </w:r>
      <w:bookmarkEnd w:id="66"/>
      <w:r w:rsidRPr="004479C6" w:rsidR="0041151E">
        <w:t xml:space="preserve"> Berkeley residential projects or not.  </w:t>
      </w:r>
    </w:p>
    <w:p w:rsidR="00801674" w:rsidRPr="004479C6" w:rsidP="00267B5A" w14:paraId="553BEDDC" w14:textId="77777777">
      <w:pPr>
        <w:ind w:firstLine="720"/>
      </w:pPr>
      <w:r w:rsidRPr="004479C6">
        <w:t xml:space="preserve">This argument is at odds with the Court of Appeal’s holding regarding the limited purpose and scope of the LRDP.  The </w:t>
      </w:r>
      <w:r w:rsidRPr="004479C6">
        <w:rPr>
          <w:i/>
          <w:iCs/>
        </w:rPr>
        <w:t>Make UC</w:t>
      </w:r>
      <w:r w:rsidRPr="004479C6">
        <w:t xml:space="preserve"> court held that these enrollment-driven population increases were not part of the 2021 LRDP, and therefore the 2021 EIR was not deficient for “failing to analyze an alternative to the development plan that would limit student enrollment.”  (</w:t>
      </w:r>
      <w:bookmarkStart w:id="67" w:name="dabmci_6646bb2802894bd4a0d5b9562891220e"/>
      <w:r w:rsidRPr="004479C6">
        <w:rPr>
          <w:i/>
          <w:iCs/>
        </w:rPr>
        <w:t>Make UC</w:t>
      </w:r>
      <w:r w:rsidRPr="004479C6">
        <w:t>,</w:t>
      </w:r>
      <w:r w:rsidRPr="004479C6">
        <w:rPr>
          <w:i/>
          <w:iCs/>
        </w:rPr>
        <w:t xml:space="preserve"> supra</w:t>
      </w:r>
      <w:r w:rsidRPr="004479C6">
        <w:t>,</w:t>
      </w:r>
      <w:r w:rsidRPr="004479C6">
        <w:rPr>
          <w:i/>
          <w:iCs/>
        </w:rPr>
        <w:t xml:space="preserve"> </w:t>
      </w:r>
      <w:r w:rsidRPr="004479C6">
        <w:t>88 Cal.App.5th at p. 668</w:t>
      </w:r>
      <w:bookmarkEnd w:id="67"/>
      <w:r w:rsidRPr="004479C6">
        <w:t xml:space="preserve">; </w:t>
      </w:r>
      <w:r w:rsidRPr="00E00861">
        <w:t>see</w:t>
      </w:r>
      <w:r w:rsidRPr="004479C6">
        <w:rPr>
          <w:i/>
          <w:iCs/>
        </w:rPr>
        <w:t xml:space="preserve"> </w:t>
      </w:r>
      <w:bookmarkStart w:id="68" w:name="dabmci_da6e9850541f428d89c7dccd3246d15e"/>
      <w:r w:rsidRPr="004479C6">
        <w:rPr>
          <w:i/>
          <w:iCs/>
        </w:rPr>
        <w:t>id</w:t>
      </w:r>
      <w:r w:rsidRPr="004479C6">
        <w:t>. at pp. 672–675</w:t>
      </w:r>
      <w:bookmarkEnd w:id="68"/>
      <w:r w:rsidRPr="004479C6">
        <w:t>.)  It reasoned that “the process for setting enrollment levels in the UC system is complicated, with multiple players, interests, and trade-offs,” and that the LRDP “deliberately keeps separate the complex annual process for setting student enrollment levels.”  (</w:t>
      </w:r>
      <w:bookmarkStart w:id="69" w:name="dabmci_0099c15b9e7146278396f2e97a4c0fe5"/>
      <w:r w:rsidRPr="004479C6">
        <w:rPr>
          <w:i/>
          <w:iCs/>
        </w:rPr>
        <w:t>Id</w:t>
      </w:r>
      <w:r w:rsidRPr="004479C6">
        <w:t>. at pp. 671, 672</w:t>
      </w:r>
      <w:bookmarkEnd w:id="69"/>
      <w:r w:rsidRPr="004479C6">
        <w:t xml:space="preserve">.)  </w:t>
      </w:r>
      <w:r w:rsidRPr="004479C6" w:rsidR="00267B5A">
        <w:t xml:space="preserve">As the </w:t>
      </w:r>
      <w:r w:rsidRPr="004479C6" w:rsidR="00267B5A">
        <w:rPr>
          <w:i/>
          <w:iCs/>
        </w:rPr>
        <w:t>Make UC</w:t>
      </w:r>
      <w:r w:rsidRPr="004479C6" w:rsidR="00267B5A">
        <w:t xml:space="preserve"> court </w:t>
      </w:r>
      <w:r w:rsidRPr="004479C6">
        <w:t>further explained</w:t>
      </w:r>
      <w:r w:rsidRPr="004479C6" w:rsidR="00267B5A">
        <w:t>, “the Regents adopted a program EIR for a limited, high-level land use plan and made a reasoned decision to exclude the enrollment process from the scope of the project.”  (</w:t>
      </w:r>
      <w:bookmarkStart w:id="70" w:name="dabmci_95d1fa32b67344509adc08962e4d4d06"/>
      <w:r w:rsidRPr="004479C6">
        <w:rPr>
          <w:i/>
          <w:iCs/>
        </w:rPr>
        <w:t>Id</w:t>
      </w:r>
      <w:r w:rsidRPr="004479C6">
        <w:t>.</w:t>
      </w:r>
      <w:r w:rsidRPr="004479C6" w:rsidR="00267B5A">
        <w:t xml:space="preserve"> at p. 673</w:t>
      </w:r>
      <w:bookmarkEnd w:id="70"/>
      <w:r w:rsidRPr="004479C6" w:rsidR="00267B5A">
        <w:t xml:space="preserve">.)  </w:t>
      </w:r>
      <w:r w:rsidRPr="004479C6">
        <w:t xml:space="preserve">We denied Good Neighbor’s petition seeking review of the </w:t>
      </w:r>
      <w:r w:rsidRPr="004479C6" w:rsidR="00267B5A">
        <w:rPr>
          <w:i/>
          <w:iCs/>
        </w:rPr>
        <w:t>Make UC</w:t>
      </w:r>
      <w:r w:rsidRPr="004479C6" w:rsidR="00267B5A">
        <w:t xml:space="preserve"> court’s conclusion that the 2021 LRDP is not an enrollment-driven population plan</w:t>
      </w:r>
      <w:r w:rsidRPr="004479C6">
        <w:t xml:space="preserve">, and so </w:t>
      </w:r>
      <w:r w:rsidRPr="004479C6" w:rsidR="00267B5A">
        <w:t>Good Neighbor’s</w:t>
      </w:r>
      <w:r w:rsidRPr="004479C6">
        <w:t xml:space="preserve"> arguments focused on this issue are not before us.</w:t>
      </w:r>
    </w:p>
    <w:p w:rsidR="00EE33B4" w:rsidRPr="004479C6" w:rsidP="00267B5A" w14:paraId="553BEDDD" w14:textId="77777777">
      <w:pPr>
        <w:ind w:firstLine="720"/>
      </w:pPr>
      <w:r w:rsidRPr="004479C6">
        <w:t xml:space="preserve">Further, the Legislature could have reasonably determined that there was no need to specify in section 21085 that CEQA does not require an agency to study social noise related to an increase in campus population recounted in an LRDP because, as the </w:t>
      </w:r>
      <w:r w:rsidRPr="004479C6">
        <w:rPr>
          <w:i/>
          <w:iCs/>
        </w:rPr>
        <w:t>Make UC</w:t>
      </w:r>
      <w:r w:rsidRPr="004479C6">
        <w:t xml:space="preserve"> court also noted, in a recent amendment to the statute, “the Legislature exempted enrollment and enrollment increases from the definition of a project under CEQA.”  (</w:t>
      </w:r>
      <w:bookmarkStart w:id="71" w:name="dabmci_e35e5c57e5a740d4819ffac7c991067c"/>
      <w:r w:rsidRPr="004479C6">
        <w:rPr>
          <w:i/>
          <w:iCs/>
        </w:rPr>
        <w:t>Make UC</w:t>
      </w:r>
      <w:r w:rsidRPr="004479C6">
        <w:t>,</w:t>
      </w:r>
      <w:r w:rsidRPr="00302BED" w:rsidR="00F7469E">
        <w:t xml:space="preserve"> </w:t>
      </w:r>
      <w:r w:rsidRPr="005267AC" w:rsidR="00F7469E">
        <w:rPr>
          <w:i/>
          <w:iCs/>
        </w:rPr>
        <w:t>supra</w:t>
      </w:r>
      <w:r w:rsidR="00F7469E">
        <w:t>,</w:t>
      </w:r>
      <w:r w:rsidRPr="004479C6">
        <w:rPr>
          <w:i/>
          <w:iCs/>
        </w:rPr>
        <w:t xml:space="preserve"> </w:t>
      </w:r>
      <w:r w:rsidR="005267AC">
        <w:t xml:space="preserve">88 Cal.App.5th </w:t>
      </w:r>
      <w:r w:rsidRPr="004479C6">
        <w:t>at p.</w:t>
      </w:r>
      <w:r w:rsidRPr="004479C6" w:rsidR="00681083">
        <w:t> </w:t>
      </w:r>
      <w:r w:rsidRPr="004479C6">
        <w:t>676</w:t>
      </w:r>
      <w:bookmarkEnd w:id="71"/>
      <w:r w:rsidRPr="004479C6">
        <w:t>, citing Sen. Bill No. 118 (2021–2022 Reg. Sess.), Stats. 2022, ch. 10, § 1, eff. Mar</w:t>
      </w:r>
      <w:r w:rsidRPr="004479C6" w:rsidR="0088305C">
        <w:t>.</w:t>
      </w:r>
      <w:r w:rsidRPr="004479C6" w:rsidR="00DD0C9F">
        <w:t> </w:t>
      </w:r>
      <w:r w:rsidRPr="004479C6">
        <w:t>14, 2022; § 21080.09, subd. (d).)</w:t>
      </w:r>
    </w:p>
    <w:p w:rsidR="00C21F99" w:rsidRPr="004479C6" w:rsidP="00DC104D" w14:paraId="553BEDDE" w14:textId="77777777">
      <w:pPr>
        <w:ind w:firstLine="720"/>
        <w:rPr>
          <w:szCs w:val="26"/>
        </w:rPr>
      </w:pPr>
      <w:r w:rsidRPr="004479C6">
        <w:t>Finally</w:t>
      </w:r>
      <w:r w:rsidRPr="004479C6" w:rsidR="00A36378">
        <w:t>,</w:t>
      </w:r>
      <w:r w:rsidRPr="004479C6" w:rsidR="00937C64">
        <w:t xml:space="preserve"> </w:t>
      </w:r>
      <w:r w:rsidRPr="004479C6" w:rsidR="00FD0DD2">
        <w:t>we reject as unsound</w:t>
      </w:r>
      <w:r w:rsidRPr="004479C6" w:rsidR="005643FC">
        <w:t xml:space="preserve"> Good Neighbor’s argument </w:t>
      </w:r>
      <w:r w:rsidRPr="004479C6" w:rsidR="00E625B5">
        <w:t>that the new legislation “implicitly affirms</w:t>
      </w:r>
      <w:r w:rsidR="00ED0BDA">
        <w:t xml:space="preserve"> </w:t>
      </w:r>
      <w:r w:rsidRPr="004479C6" w:rsidR="001D6503">
        <w:t>. . .</w:t>
      </w:r>
      <w:r w:rsidRPr="004479C6" w:rsidR="00E625B5">
        <w:t xml:space="preserve"> the </w:t>
      </w:r>
      <w:r w:rsidRPr="004479C6" w:rsidR="001D6503">
        <w:t>[</w:t>
      </w:r>
      <w:r w:rsidRPr="004479C6" w:rsidR="00C76636">
        <w:rPr>
          <w:i/>
          <w:iCs/>
        </w:rPr>
        <w:t>Make UC</w:t>
      </w:r>
      <w:r w:rsidRPr="004479C6" w:rsidR="00C76636">
        <w:t xml:space="preserve"> court’s</w:t>
      </w:r>
      <w:r w:rsidRPr="004479C6" w:rsidR="001D6503">
        <w:t>]</w:t>
      </w:r>
      <w:r w:rsidRPr="004479C6" w:rsidR="00E625B5">
        <w:t xml:space="preserve"> ruling</w:t>
      </w:r>
      <w:r w:rsidRPr="004479C6" w:rsidR="00BF35A4">
        <w:t>” by failing to specify the statute’s potential application to the 2021 LRDP.  (Italics omitted.)</w:t>
      </w:r>
      <w:r w:rsidRPr="004479C6" w:rsidR="00305A3C">
        <w:t xml:space="preserve">  </w:t>
      </w:r>
      <w:r w:rsidRPr="004479C6" w:rsidR="00BF35A4">
        <w:rPr>
          <w:szCs w:val="26"/>
        </w:rPr>
        <w:t xml:space="preserve">Drawing such a negative inference </w:t>
      </w:r>
      <w:r w:rsidRPr="004479C6" w:rsidR="00191835">
        <w:rPr>
          <w:szCs w:val="26"/>
        </w:rPr>
        <w:t>is</w:t>
      </w:r>
      <w:r w:rsidRPr="004479C6" w:rsidR="00BF35A4">
        <w:rPr>
          <w:szCs w:val="26"/>
        </w:rPr>
        <w:t xml:space="preserve"> unwarranted given that </w:t>
      </w:r>
      <w:r w:rsidRPr="004479C6" w:rsidR="002D636A">
        <w:rPr>
          <w:szCs w:val="26"/>
        </w:rPr>
        <w:t xml:space="preserve">the </w:t>
      </w:r>
      <w:r w:rsidRPr="004479C6" w:rsidR="00396356">
        <w:rPr>
          <w:szCs w:val="26"/>
        </w:rPr>
        <w:t xml:space="preserve">portions of the </w:t>
      </w:r>
      <w:r w:rsidRPr="004479C6" w:rsidR="002D636A">
        <w:rPr>
          <w:szCs w:val="26"/>
        </w:rPr>
        <w:t xml:space="preserve">2021 LRDP </w:t>
      </w:r>
      <w:r w:rsidRPr="004479C6" w:rsidR="00396356">
        <w:rPr>
          <w:szCs w:val="26"/>
        </w:rPr>
        <w:t>at issue in this case are</w:t>
      </w:r>
      <w:r w:rsidRPr="004479C6" w:rsidR="00FC4DF6">
        <w:rPr>
          <w:szCs w:val="26"/>
        </w:rPr>
        <w:t xml:space="preserve"> reasonably </w:t>
      </w:r>
      <w:r w:rsidRPr="004479C6" w:rsidR="002D636A">
        <w:rPr>
          <w:szCs w:val="26"/>
        </w:rPr>
        <w:t xml:space="preserve">characterized </w:t>
      </w:r>
      <w:r w:rsidRPr="004479C6" w:rsidR="0088305C">
        <w:rPr>
          <w:szCs w:val="26"/>
        </w:rPr>
        <w:t xml:space="preserve">as </w:t>
      </w:r>
      <w:r w:rsidRPr="004479C6" w:rsidR="002D636A">
        <w:rPr>
          <w:szCs w:val="26"/>
        </w:rPr>
        <w:t xml:space="preserve">a </w:t>
      </w:r>
      <w:r w:rsidRPr="004479C6" w:rsidR="009D10F1">
        <w:rPr>
          <w:szCs w:val="26"/>
        </w:rPr>
        <w:t>“</w:t>
      </w:r>
      <w:r w:rsidRPr="004479C6" w:rsidR="002D636A">
        <w:rPr>
          <w:szCs w:val="26"/>
        </w:rPr>
        <w:t>residential project</w:t>
      </w:r>
      <w:r w:rsidRPr="004479C6" w:rsidR="009D10F1">
        <w:rPr>
          <w:szCs w:val="26"/>
        </w:rPr>
        <w:t>[]” (§ 21085)</w:t>
      </w:r>
      <w:r w:rsidRPr="004479C6" w:rsidR="00FC4DF6">
        <w:rPr>
          <w:szCs w:val="26"/>
        </w:rPr>
        <w:t>.  A</w:t>
      </w:r>
      <w:r w:rsidRPr="004479C6" w:rsidR="002D636A">
        <w:rPr>
          <w:szCs w:val="26"/>
        </w:rPr>
        <w:t xml:space="preserve">nd </w:t>
      </w:r>
      <w:r w:rsidRPr="004479C6" w:rsidR="004D6F2A">
        <w:rPr>
          <w:szCs w:val="26"/>
        </w:rPr>
        <w:t>such an inference</w:t>
      </w:r>
      <w:r w:rsidRPr="004479C6" w:rsidR="00BF35A4">
        <w:rPr>
          <w:szCs w:val="26"/>
        </w:rPr>
        <w:t xml:space="preserve"> </w:t>
      </w:r>
      <w:r w:rsidRPr="004479C6" w:rsidR="00FC4DF6">
        <w:rPr>
          <w:szCs w:val="26"/>
        </w:rPr>
        <w:t xml:space="preserve">would </w:t>
      </w:r>
      <w:r w:rsidRPr="004479C6" w:rsidR="007C047D">
        <w:rPr>
          <w:szCs w:val="26"/>
        </w:rPr>
        <w:t>stand in</w:t>
      </w:r>
      <w:r w:rsidRPr="004479C6" w:rsidR="00BF35A4">
        <w:rPr>
          <w:szCs w:val="26"/>
        </w:rPr>
        <w:t xml:space="preserve"> stark tension with the legislative history </w:t>
      </w:r>
      <w:r w:rsidRPr="004479C6" w:rsidR="00FC4DF6">
        <w:rPr>
          <w:szCs w:val="26"/>
        </w:rPr>
        <w:t xml:space="preserve">discussed </w:t>
      </w:r>
      <w:r w:rsidRPr="004479C6" w:rsidR="00BF35A4">
        <w:rPr>
          <w:szCs w:val="26"/>
        </w:rPr>
        <w:t xml:space="preserve">above </w:t>
      </w:r>
      <w:r w:rsidRPr="004479C6" w:rsidR="0088305C">
        <w:rPr>
          <w:szCs w:val="26"/>
        </w:rPr>
        <w:t xml:space="preserve">that found </w:t>
      </w:r>
      <w:r w:rsidRPr="004479C6" w:rsidR="00BF35A4">
        <w:rPr>
          <w:szCs w:val="26"/>
        </w:rPr>
        <w:t xml:space="preserve">the </w:t>
      </w:r>
      <w:r w:rsidRPr="004479C6" w:rsidR="00BF35A4">
        <w:rPr>
          <w:i/>
          <w:iCs/>
          <w:szCs w:val="26"/>
        </w:rPr>
        <w:t>Make UC</w:t>
      </w:r>
      <w:r w:rsidRPr="004479C6" w:rsidR="00BF35A4">
        <w:rPr>
          <w:szCs w:val="26"/>
        </w:rPr>
        <w:t xml:space="preserve"> court</w:t>
      </w:r>
      <w:r w:rsidRPr="004479C6" w:rsidR="00FC4DF6">
        <w:rPr>
          <w:szCs w:val="26"/>
        </w:rPr>
        <w:t xml:space="preserve">’s </w:t>
      </w:r>
      <w:r w:rsidRPr="004479C6" w:rsidR="005171C2">
        <w:rPr>
          <w:szCs w:val="26"/>
        </w:rPr>
        <w:t>holding</w:t>
      </w:r>
      <w:r w:rsidRPr="004479C6" w:rsidR="00BF35A4">
        <w:rPr>
          <w:szCs w:val="26"/>
        </w:rPr>
        <w:t xml:space="preserve"> </w:t>
      </w:r>
      <w:r w:rsidRPr="004479C6" w:rsidR="00FC4DF6">
        <w:rPr>
          <w:szCs w:val="26"/>
        </w:rPr>
        <w:t xml:space="preserve">regarding the environmental impacts of social noise from students and their guests to be </w:t>
      </w:r>
      <w:r w:rsidRPr="004479C6" w:rsidR="00BF35A4">
        <w:rPr>
          <w:szCs w:val="26"/>
        </w:rPr>
        <w:t>“alarming.”  (</w:t>
      </w:r>
      <w:r w:rsidRPr="004479C6" w:rsidR="001D6503">
        <w:rPr>
          <w:szCs w:val="26"/>
        </w:rPr>
        <w:t xml:space="preserve">Sen. </w:t>
      </w:r>
      <w:r w:rsidRPr="004479C6" w:rsidR="00BF7217">
        <w:t xml:space="preserve">Rules Com., Off. of Sen. Floor Analyses, Analysis of Assem. Bill No. 1307, </w:t>
      </w:r>
      <w:r w:rsidRPr="004479C6" w:rsidR="00BF7217">
        <w:rPr>
          <w:i/>
          <w:iCs/>
        </w:rPr>
        <w:t>supra</w:t>
      </w:r>
      <w:r w:rsidRPr="004479C6" w:rsidR="00BF7217">
        <w:t>, p.</w:t>
      </w:r>
      <w:r w:rsidRPr="004479C6" w:rsidR="00307336">
        <w:t> </w:t>
      </w:r>
      <w:r w:rsidRPr="004479C6" w:rsidR="00BF7217">
        <w:t>7</w:t>
      </w:r>
      <w:r w:rsidRPr="004479C6" w:rsidR="00BF35A4">
        <w:rPr>
          <w:szCs w:val="26"/>
        </w:rPr>
        <w:t>.)</w:t>
      </w:r>
    </w:p>
    <w:p w:rsidR="00CE5316" w:rsidRPr="004479C6" w:rsidP="00DC104D" w14:paraId="553BEDDF" w14:textId="77777777">
      <w:pPr>
        <w:ind w:firstLine="720"/>
      </w:pPr>
      <w:r w:rsidRPr="004479C6">
        <w:t>In sum, g</w:t>
      </w:r>
      <w:r w:rsidRPr="004479C6" w:rsidR="003A3F51">
        <w:t>iven</w:t>
      </w:r>
      <w:r w:rsidRPr="004479C6" w:rsidR="00C21F99">
        <w:t xml:space="preserve"> the Legislature’s enactment of section 21085, </w:t>
      </w:r>
      <w:r w:rsidRPr="004479C6" w:rsidR="00B3589B">
        <w:t>we conclude t</w:t>
      </w:r>
      <w:r w:rsidRPr="004479C6" w:rsidR="00CB0B08">
        <w:t xml:space="preserve">he </w:t>
      </w:r>
      <w:r w:rsidRPr="004479C6" w:rsidR="00AA37DA">
        <w:t>2021 EIR was</w:t>
      </w:r>
      <w:r w:rsidRPr="004479C6" w:rsidR="00CB0B08">
        <w:t xml:space="preserve"> not </w:t>
      </w:r>
      <w:r w:rsidRPr="004479C6" w:rsidR="00A41F6B">
        <w:t xml:space="preserve">inadequate for failing to </w:t>
      </w:r>
      <w:r w:rsidRPr="004479C6" w:rsidR="00CB0B08">
        <w:t xml:space="preserve">have </w:t>
      </w:r>
      <w:r w:rsidRPr="004479C6" w:rsidR="00AA37DA">
        <w:t xml:space="preserve">considered whether </w:t>
      </w:r>
      <w:r w:rsidRPr="004479C6" w:rsidR="003D596C">
        <w:t xml:space="preserve">the impacts of </w:t>
      </w:r>
      <w:r w:rsidRPr="004479C6" w:rsidR="00E066D3">
        <w:t xml:space="preserve">social noise </w:t>
      </w:r>
      <w:r w:rsidRPr="004479C6" w:rsidR="00541719">
        <w:t xml:space="preserve">on </w:t>
      </w:r>
      <w:r w:rsidRPr="004479C6" w:rsidR="001749CC">
        <w:t xml:space="preserve">neighboring </w:t>
      </w:r>
      <w:r w:rsidRPr="004479C6" w:rsidR="00541719">
        <w:t xml:space="preserve">residents </w:t>
      </w:r>
      <w:r w:rsidRPr="004479C6" w:rsidR="00CB0B08">
        <w:t>potential</w:t>
      </w:r>
      <w:r w:rsidRPr="004479C6" w:rsidR="003D596C">
        <w:t xml:space="preserve">ly caused by </w:t>
      </w:r>
      <w:r w:rsidRPr="004479C6" w:rsidR="00CB0B08">
        <w:t xml:space="preserve">future students </w:t>
      </w:r>
      <w:r w:rsidRPr="004479C6" w:rsidR="009826E4">
        <w:t xml:space="preserve">at UC Berkeley </w:t>
      </w:r>
      <w:r w:rsidRPr="004479C6" w:rsidR="008E192C">
        <w:t xml:space="preserve">constituted a significant effect on the environment </w:t>
      </w:r>
      <w:r w:rsidRPr="004479C6" w:rsidR="00B53131">
        <w:t>with respect to</w:t>
      </w:r>
      <w:r w:rsidRPr="004479C6" w:rsidR="008645B2">
        <w:t xml:space="preserve"> </w:t>
      </w:r>
      <w:r w:rsidRPr="004479C6" w:rsidR="002B1737">
        <w:t xml:space="preserve">either </w:t>
      </w:r>
      <w:r w:rsidRPr="004479C6" w:rsidR="008645B2">
        <w:t>Housing Project No.</w:t>
      </w:r>
      <w:r w:rsidRPr="004479C6" w:rsidR="00FC4DF6">
        <w:t> </w:t>
      </w:r>
      <w:r w:rsidRPr="004479C6" w:rsidR="008645B2">
        <w:t xml:space="preserve">2 </w:t>
      </w:r>
      <w:r w:rsidRPr="004479C6" w:rsidR="002B1737">
        <w:t xml:space="preserve">or </w:t>
      </w:r>
      <w:r w:rsidRPr="004479C6" w:rsidR="008645B2">
        <w:t xml:space="preserve">the </w:t>
      </w:r>
      <w:r w:rsidRPr="004479C6" w:rsidR="0011447E">
        <w:t xml:space="preserve">residential aspects of the </w:t>
      </w:r>
      <w:r w:rsidRPr="004479C6" w:rsidR="008645B2">
        <w:t xml:space="preserve">2021 </w:t>
      </w:r>
      <w:r w:rsidRPr="004479C6" w:rsidR="00EE64D6">
        <w:t>LRDP</w:t>
      </w:r>
      <w:r w:rsidRPr="004479C6" w:rsidR="002B1737">
        <w:t xml:space="preserve">.  The </w:t>
      </w:r>
      <w:r w:rsidRPr="004479C6" w:rsidR="002B1737">
        <w:rPr>
          <w:i/>
          <w:iCs/>
        </w:rPr>
        <w:t>Make UC</w:t>
      </w:r>
      <w:r w:rsidRPr="004479C6" w:rsidR="002B1737">
        <w:t xml:space="preserve"> court’s contrary holding</w:t>
      </w:r>
      <w:r w:rsidRPr="004479C6" w:rsidR="00B53131">
        <w:t>s</w:t>
      </w:r>
      <w:r w:rsidRPr="004479C6" w:rsidR="002B1737">
        <w:t xml:space="preserve"> must be reversed in the wake of the enactment</w:t>
      </w:r>
      <w:r w:rsidRPr="004479C6" w:rsidR="00C21F99">
        <w:t xml:space="preserve"> of </w:t>
      </w:r>
      <w:bookmarkStart w:id="72" w:name="dabmci_8b87a6efa5994c239abd8fc93cdd8461"/>
      <w:r w:rsidRPr="004479C6" w:rsidR="002C7741">
        <w:t>Assembly Bill 1307</w:t>
      </w:r>
      <w:bookmarkEnd w:id="72"/>
      <w:r w:rsidRPr="004479C6" w:rsidR="00C21F99">
        <w:t>.</w:t>
      </w:r>
    </w:p>
    <w:p w:rsidR="001E5446" w:rsidRPr="004479C6" w:rsidP="00E00861" w14:paraId="553BEDE0" w14:textId="77777777">
      <w:pPr>
        <w:pStyle w:val="Heading2"/>
        <w:tabs>
          <w:tab w:val="clear" w:pos="1152"/>
        </w:tabs>
        <w:spacing w:line="240" w:lineRule="exact"/>
        <w:ind w:left="0" w:firstLine="0"/>
        <w:jc w:val="center"/>
      </w:pPr>
      <w:r w:rsidRPr="004479C6">
        <w:t>D.</w:t>
      </w:r>
    </w:p>
    <w:p w:rsidR="00D93D31" w:rsidRPr="004479C6" w:rsidP="00DC104D" w14:paraId="553BEDE1" w14:textId="77777777">
      <w:pPr>
        <w:ind w:firstLine="720"/>
      </w:pPr>
      <w:r w:rsidRPr="004479C6">
        <w:t xml:space="preserve">The </w:t>
      </w:r>
      <w:r w:rsidRPr="004479C6">
        <w:rPr>
          <w:i/>
          <w:iCs/>
        </w:rPr>
        <w:t>Make UC</w:t>
      </w:r>
      <w:r w:rsidRPr="004479C6">
        <w:t xml:space="preserve"> court concluded that the 2021 EIR was faulty for having “failed to justify the decision not to consider alternative locations to the People’s Park </w:t>
      </w:r>
      <w:r w:rsidRPr="004479C6" w:rsidR="00C456FB">
        <w:t>p</w:t>
      </w:r>
      <w:r w:rsidRPr="004479C6">
        <w:t>roject.”  (</w:t>
      </w:r>
      <w:bookmarkStart w:id="73" w:name="dabmci_98c4b7c07d7445bd8c98997b0d087750"/>
      <w:r w:rsidRPr="004479C6">
        <w:rPr>
          <w:i/>
          <w:iCs/>
        </w:rPr>
        <w:t>Make UC</w:t>
      </w:r>
      <w:r w:rsidRPr="004479C6">
        <w:t xml:space="preserve">, </w:t>
      </w:r>
      <w:r w:rsidRPr="004479C6">
        <w:rPr>
          <w:i/>
          <w:iCs/>
        </w:rPr>
        <w:t>supra</w:t>
      </w:r>
      <w:r w:rsidRPr="004479C6">
        <w:t>, 88 Cal.App.5th at p. 665</w:t>
      </w:r>
      <w:bookmarkEnd w:id="73"/>
      <w:r w:rsidRPr="004479C6">
        <w:t>.)</w:t>
      </w:r>
    </w:p>
    <w:p w:rsidR="00D93D31" w:rsidRPr="004479C6" w:rsidP="00DC104D" w14:paraId="553BEDE2" w14:textId="77777777">
      <w:pPr>
        <w:ind w:firstLine="720"/>
      </w:pPr>
      <w:r w:rsidRPr="004479C6">
        <w:t xml:space="preserve">As previously noted, </w:t>
      </w:r>
      <w:bookmarkStart w:id="74" w:name="dabmci_e69eefd2e36944f0a9bffd569c578076"/>
      <w:r w:rsidRPr="004479C6">
        <w:t>Assembly Bill 1307</w:t>
      </w:r>
      <w:bookmarkEnd w:id="74"/>
      <w:r w:rsidRPr="004479C6">
        <w:t xml:space="preserve"> added new section 21085.2, which specifies that public universities “shall not be required, in an environmental impact report prepared for a residential or mixed-use housing project, to consider alternatives to the location of the residential or mixed-use housing project” when certain criteria are met.  (§ 21085.2, subd. (b).)  </w:t>
      </w:r>
      <w:r w:rsidRPr="004479C6" w:rsidR="000422D7">
        <w:t>Good Neighbor concedes that Housing Project No. 2</w:t>
      </w:r>
      <w:r w:rsidRPr="004479C6" w:rsidR="0022178C">
        <w:t xml:space="preserve"> </w:t>
      </w:r>
      <w:r w:rsidRPr="004479C6" w:rsidR="000422D7">
        <w:t xml:space="preserve">meets </w:t>
      </w:r>
      <w:r w:rsidRPr="004479C6" w:rsidR="0022178C">
        <w:t xml:space="preserve">section 21085.2’s </w:t>
      </w:r>
      <w:r w:rsidRPr="004479C6" w:rsidR="000422D7">
        <w:t>criteria</w:t>
      </w:r>
      <w:r w:rsidRPr="004479C6" w:rsidR="00757058">
        <w:t xml:space="preserve">. </w:t>
      </w:r>
      <w:r w:rsidRPr="004479C6" w:rsidR="0088305C">
        <w:t xml:space="preserve"> </w:t>
      </w:r>
      <w:r w:rsidRPr="004479C6" w:rsidR="00A37A97">
        <w:t>We accept Good Neighbor’s concession</w:t>
      </w:r>
      <w:r w:rsidRPr="004479C6" w:rsidR="00E0503A">
        <w:t xml:space="preserve">.  </w:t>
      </w:r>
      <w:r w:rsidRPr="004479C6" w:rsidR="00E0503A">
        <w:rPr>
          <w:szCs w:val="26"/>
        </w:rPr>
        <w:t>Further</w:t>
      </w:r>
      <w:r w:rsidRPr="004479C6" w:rsidR="00601BF3">
        <w:rPr>
          <w:szCs w:val="26"/>
        </w:rPr>
        <w:t xml:space="preserve">, </w:t>
      </w:r>
      <w:r w:rsidRPr="004479C6" w:rsidR="00306E6E">
        <w:rPr>
          <w:szCs w:val="26"/>
        </w:rPr>
        <w:t>because of</w:t>
      </w:r>
      <w:r w:rsidRPr="004479C6" w:rsidR="00A44B69">
        <w:rPr>
          <w:szCs w:val="26"/>
        </w:rPr>
        <w:t xml:space="preserve"> section 21085.2’s application to Housing Project No. 2, </w:t>
      </w:r>
      <w:r w:rsidRPr="004479C6" w:rsidR="00A44B69">
        <w:t xml:space="preserve">the Regents “shall not be required . . . to consider alternatives to the location of” </w:t>
      </w:r>
      <w:r w:rsidRPr="004479C6" w:rsidR="001A52D0">
        <w:t>(§ 21085.2</w:t>
      </w:r>
      <w:r w:rsidR="007546B2">
        <w:t>, subd. (b)</w:t>
      </w:r>
      <w:r w:rsidRPr="004479C6" w:rsidR="001A52D0">
        <w:t xml:space="preserve">) </w:t>
      </w:r>
      <w:r w:rsidRPr="004479C6" w:rsidR="00A44B69">
        <w:t>the proposed new housing at People’s Park</w:t>
      </w:r>
      <w:r w:rsidRPr="004479C6" w:rsidR="001A52D0">
        <w:t xml:space="preserve">, </w:t>
      </w:r>
      <w:r w:rsidRPr="004479C6" w:rsidR="00601BF3">
        <w:t xml:space="preserve">and </w:t>
      </w:r>
      <w:r w:rsidRPr="004479C6" w:rsidR="001A52D0">
        <w:t>t</w:t>
      </w:r>
      <w:r w:rsidRPr="004479C6" w:rsidR="00A44B69">
        <w:t xml:space="preserve">he 2021 EIR is not inadequate for having failed to consider alternative locations for </w:t>
      </w:r>
      <w:r w:rsidRPr="004479C6" w:rsidR="00DD0C9F">
        <w:t>this project</w:t>
      </w:r>
      <w:r w:rsidRPr="004479C6" w:rsidR="00A44B69">
        <w:t>.</w:t>
      </w:r>
    </w:p>
    <w:p w:rsidR="00241281" w:rsidRPr="004479C6" w:rsidP="00241281" w14:paraId="553BEDE3" w14:textId="77777777">
      <w:pPr>
        <w:ind w:firstLine="720"/>
        <w:rPr>
          <w:szCs w:val="26"/>
        </w:rPr>
      </w:pPr>
      <w:r w:rsidRPr="004479C6">
        <w:t xml:space="preserve">In deciding this issue, we reject Good Neighbor’s framing of the question as one involving mootness.  Specifically, Good Neighbor contends that section 21085.2 “moots” its alternative sites claim, but we should nonetheless </w:t>
      </w:r>
      <w:r w:rsidRPr="004479C6">
        <w:rPr>
          <w:szCs w:val="26"/>
        </w:rPr>
        <w:t>“decide Good Neighbor’s claim because . . . it raises issues of broad public interest that are likely to recur.”  According to Good Neighbor, we should consider how section</w:t>
      </w:r>
      <w:r w:rsidRPr="004479C6" w:rsidR="0072625E">
        <w:rPr>
          <w:szCs w:val="26"/>
        </w:rPr>
        <w:t xml:space="preserve"> </w:t>
      </w:r>
      <w:r w:rsidRPr="004479C6">
        <w:rPr>
          <w:szCs w:val="26"/>
        </w:rPr>
        <w:t xml:space="preserve">21085.2 might apply to future housing projects that the Regents might carry out pursuant to the 2021 LRDP and we “should not allow [the Regents] to evade review of this claim by obtaining passage of a statute that moots the claim.”  </w:t>
      </w:r>
    </w:p>
    <w:p w:rsidR="000F6CCF" w:rsidRPr="004479C6" w:rsidP="00241281" w14:paraId="553BEDE4" w14:textId="77777777">
      <w:pPr>
        <w:ind w:firstLine="720"/>
      </w:pPr>
      <w:r w:rsidRPr="004479C6">
        <w:rPr>
          <w:szCs w:val="26"/>
        </w:rPr>
        <w:t xml:space="preserve">The mootness doctrine has no application here.  </w:t>
      </w:r>
      <w:r w:rsidRPr="004479C6">
        <w:t xml:space="preserve">“A case becomes moot when events </w:t>
      </w:r>
      <w:r w:rsidRPr="004479C6" w:rsidR="001314E8">
        <w:t>‘ “</w:t>
      </w:r>
      <w:r w:rsidRPr="004479C6">
        <w:t xml:space="preserve">render[] it impossible for [a] court, </w:t>
      </w:r>
      <w:r w:rsidRPr="004479C6">
        <w:rPr>
          <w:i/>
          <w:iCs/>
        </w:rPr>
        <w:t>if it should decide the case in favor of plaintiff</w:t>
      </w:r>
      <w:r w:rsidRPr="004479C6">
        <w:t>, to grant him any effect[ive] relief.</w:t>
      </w:r>
      <w:r w:rsidRPr="004479C6" w:rsidR="001314E8">
        <w:t>” ’ ”</w:t>
      </w:r>
      <w:r w:rsidRPr="004479C6">
        <w:t xml:space="preserve">  (</w:t>
      </w:r>
      <w:bookmarkStart w:id="75" w:name="dabmci_f70a54b253c74fed8bc0367953498f12"/>
      <w:r w:rsidRPr="004479C6">
        <w:rPr>
          <w:i/>
          <w:iCs/>
        </w:rPr>
        <w:t>In re D.P.</w:t>
      </w:r>
      <w:r w:rsidRPr="004479C6">
        <w:t xml:space="preserve"> (2023) 14</w:t>
      </w:r>
      <w:r w:rsidRPr="004479C6" w:rsidR="00391143">
        <w:t> </w:t>
      </w:r>
      <w:r w:rsidRPr="004479C6">
        <w:t>Cal.5th 266, 276</w:t>
      </w:r>
      <w:bookmarkEnd w:id="75"/>
      <w:r w:rsidRPr="004479C6" w:rsidR="00D33D50">
        <w:t>, italics added</w:t>
      </w:r>
      <w:r w:rsidRPr="004479C6" w:rsidR="00313687">
        <w:t>.)  That</w:t>
      </w:r>
      <w:r w:rsidRPr="004479C6" w:rsidR="003E6A6E">
        <w:t xml:space="preserve"> has not occurred here</w:t>
      </w:r>
      <w:r w:rsidRPr="004479C6" w:rsidR="00313687">
        <w:t>.</w:t>
      </w:r>
      <w:r w:rsidRPr="004479C6" w:rsidR="004E46E4">
        <w:t xml:space="preserve"> </w:t>
      </w:r>
      <w:r w:rsidRPr="004479C6" w:rsidR="008258E3">
        <w:t xml:space="preserve"> </w:t>
      </w:r>
      <w:r w:rsidRPr="004479C6" w:rsidR="004E46E4">
        <w:t xml:space="preserve">Section 21085.2 does not make it impossible for a court to </w:t>
      </w:r>
      <w:r w:rsidRPr="004479C6" w:rsidR="00771444">
        <w:t xml:space="preserve">provide Good Neighbor relief </w:t>
      </w:r>
      <w:r w:rsidRPr="004479C6" w:rsidR="00C54421">
        <w:t>if</w:t>
      </w:r>
      <w:r w:rsidRPr="004479C6" w:rsidR="00771444">
        <w:t xml:space="preserve"> it</w:t>
      </w:r>
      <w:r w:rsidRPr="004479C6" w:rsidR="00C54421">
        <w:t xml:space="preserve"> were</w:t>
      </w:r>
      <w:r w:rsidRPr="004479C6" w:rsidR="00771444">
        <w:t xml:space="preserve"> </w:t>
      </w:r>
      <w:r w:rsidRPr="004479C6" w:rsidR="00C54421">
        <w:t xml:space="preserve">to </w:t>
      </w:r>
      <w:r w:rsidRPr="004479C6" w:rsidR="00771444">
        <w:t>decide the case</w:t>
      </w:r>
      <w:r w:rsidRPr="004479C6" w:rsidR="00750F9A">
        <w:t xml:space="preserve"> in</w:t>
      </w:r>
      <w:r w:rsidRPr="004479C6" w:rsidR="00771444">
        <w:t xml:space="preserve"> Good Neighbor</w:t>
      </w:r>
      <w:r w:rsidRPr="004479C6" w:rsidR="00E539CC">
        <w:t>’s favor</w:t>
      </w:r>
      <w:r w:rsidRPr="004479C6" w:rsidR="00771444">
        <w:t>.</w:t>
      </w:r>
      <w:r w:rsidRPr="004479C6" w:rsidR="00402FBA">
        <w:t xml:space="preserve">  </w:t>
      </w:r>
      <w:r w:rsidRPr="004479C6" w:rsidR="001D3D08">
        <w:t>Instead, section 21085.2 makes clear that Good Neighbor is not entitle</w:t>
      </w:r>
      <w:r w:rsidRPr="004479C6" w:rsidR="00080764">
        <w:t xml:space="preserve">d to relief.  </w:t>
      </w:r>
      <w:r w:rsidRPr="004479C6" w:rsidR="00970C0F">
        <w:t>Stated differently</w:t>
      </w:r>
      <w:r w:rsidRPr="004479C6" w:rsidR="0017066C">
        <w:t xml:space="preserve">, the recent legislation does not moot the case; it determines who </w:t>
      </w:r>
      <w:r w:rsidRPr="004479C6" w:rsidR="003A425B">
        <w:t>prevails</w:t>
      </w:r>
      <w:r w:rsidRPr="004479C6" w:rsidR="0017066C">
        <w:t>.</w:t>
      </w:r>
      <w:r w:rsidRPr="004479C6">
        <w:t xml:space="preserve">  </w:t>
      </w:r>
    </w:p>
    <w:p w:rsidR="00241281" w:rsidRPr="004479C6" w:rsidP="00DC104D" w14:paraId="553BEDE5" w14:textId="77777777">
      <w:pPr>
        <w:ind w:firstLine="720"/>
        <w:rPr>
          <w:szCs w:val="26"/>
        </w:rPr>
      </w:pPr>
      <w:r w:rsidRPr="004479C6">
        <w:rPr>
          <w:szCs w:val="26"/>
        </w:rPr>
        <w:t xml:space="preserve">We further reject </w:t>
      </w:r>
      <w:r w:rsidRPr="004479C6" w:rsidR="003A4A2E">
        <w:rPr>
          <w:szCs w:val="26"/>
        </w:rPr>
        <w:t xml:space="preserve">Good Neighbor’s request that we consider the potential application of the new statute to </w:t>
      </w:r>
      <w:r w:rsidRPr="004479C6" w:rsidR="00025859">
        <w:rPr>
          <w:i/>
          <w:iCs/>
          <w:szCs w:val="26"/>
        </w:rPr>
        <w:t>future projects</w:t>
      </w:r>
      <w:r w:rsidRPr="004479C6">
        <w:rPr>
          <w:szCs w:val="26"/>
        </w:rPr>
        <w:t xml:space="preserve"> on the ground that it is </w:t>
      </w:r>
      <w:r w:rsidRPr="004479C6" w:rsidR="003A4A2E">
        <w:rPr>
          <w:szCs w:val="26"/>
        </w:rPr>
        <w:t xml:space="preserve">not encompassed within </w:t>
      </w:r>
      <w:r w:rsidRPr="004479C6" w:rsidR="00E16686">
        <w:rPr>
          <w:szCs w:val="26"/>
        </w:rPr>
        <w:t xml:space="preserve">the </w:t>
      </w:r>
      <w:r w:rsidRPr="004479C6" w:rsidR="00742BCF">
        <w:rPr>
          <w:szCs w:val="26"/>
        </w:rPr>
        <w:t xml:space="preserve">applicable </w:t>
      </w:r>
      <w:r w:rsidRPr="004479C6" w:rsidR="003A4A2E">
        <w:rPr>
          <w:szCs w:val="26"/>
        </w:rPr>
        <w:t xml:space="preserve">issue </w:t>
      </w:r>
      <w:r w:rsidRPr="004479C6" w:rsidR="00EC1F0C">
        <w:rPr>
          <w:szCs w:val="26"/>
        </w:rPr>
        <w:t xml:space="preserve">raised in </w:t>
      </w:r>
      <w:r w:rsidR="00E8047D">
        <w:rPr>
          <w:szCs w:val="26"/>
        </w:rPr>
        <w:t>respondent</w:t>
      </w:r>
      <w:r w:rsidRPr="004479C6" w:rsidR="00EC1F0C">
        <w:rPr>
          <w:szCs w:val="26"/>
        </w:rPr>
        <w:t>s’ petition for review</w:t>
      </w:r>
      <w:r w:rsidRPr="004479C6" w:rsidR="003A4A2E">
        <w:rPr>
          <w:szCs w:val="26"/>
        </w:rPr>
        <w:t xml:space="preserve">, which is whether the EIR “failed to justify the decision not to consider alternative locations to the </w:t>
      </w:r>
      <w:r w:rsidRPr="004479C6" w:rsidR="003A4A2E">
        <w:rPr>
          <w:i/>
          <w:iCs/>
          <w:szCs w:val="26"/>
        </w:rPr>
        <w:t>People’s Park project</w:t>
      </w:r>
      <w:r w:rsidRPr="004479C6" w:rsidR="003A4A2E">
        <w:rPr>
          <w:szCs w:val="26"/>
        </w:rPr>
        <w:t>.”  (</w:t>
      </w:r>
      <w:bookmarkStart w:id="76" w:name="dabmci_9b9b7cc0e29a4705826b76bbbd7507a2"/>
      <w:r w:rsidRPr="004479C6" w:rsidR="003A4A2E">
        <w:rPr>
          <w:i/>
          <w:iCs/>
          <w:szCs w:val="26"/>
        </w:rPr>
        <w:t>Make UC</w:t>
      </w:r>
      <w:r w:rsidRPr="004479C6" w:rsidR="003A4A2E">
        <w:rPr>
          <w:szCs w:val="26"/>
        </w:rPr>
        <w:t xml:space="preserve">, </w:t>
      </w:r>
      <w:r w:rsidRPr="004479C6" w:rsidR="003A4A2E">
        <w:rPr>
          <w:i/>
          <w:iCs/>
          <w:szCs w:val="26"/>
        </w:rPr>
        <w:t>supra</w:t>
      </w:r>
      <w:r w:rsidRPr="004479C6" w:rsidR="003A4A2E">
        <w:rPr>
          <w:szCs w:val="26"/>
        </w:rPr>
        <w:t>, 88 Cal.App.5th at p. 665</w:t>
      </w:r>
      <w:bookmarkEnd w:id="76"/>
      <w:r w:rsidRPr="004479C6" w:rsidR="003A4A2E">
        <w:rPr>
          <w:szCs w:val="26"/>
        </w:rPr>
        <w:t>, italics added</w:t>
      </w:r>
      <w:r w:rsidRPr="004479C6">
        <w:rPr>
          <w:szCs w:val="26"/>
        </w:rPr>
        <w:t>.</w:t>
      </w:r>
      <w:r w:rsidRPr="004479C6" w:rsidR="003A4A2E">
        <w:rPr>
          <w:szCs w:val="26"/>
        </w:rPr>
        <w:t xml:space="preserve">) </w:t>
      </w:r>
      <w:r w:rsidRPr="004479C6" w:rsidR="0088305C">
        <w:rPr>
          <w:szCs w:val="26"/>
        </w:rPr>
        <w:t xml:space="preserve"> </w:t>
      </w:r>
      <w:r w:rsidRPr="004479C6">
        <w:rPr>
          <w:szCs w:val="26"/>
        </w:rPr>
        <w:t xml:space="preserve">As noted, Good Neighbor concedes that the People’s Park project “meets the criteria specified </w:t>
      </w:r>
      <w:r w:rsidRPr="004479C6">
        <w:t>in new</w:t>
      </w:r>
      <w:r w:rsidR="004002B2">
        <w:t xml:space="preserve"> </w:t>
      </w:r>
      <w:r w:rsidRPr="004479C6">
        <w:t>. . . section 21085.2 for exemption from further CEQA review.”  The question of how section 21</w:t>
      </w:r>
      <w:r w:rsidRPr="004479C6" w:rsidR="0072625E">
        <w:t>0</w:t>
      </w:r>
      <w:r w:rsidRPr="004479C6">
        <w:t xml:space="preserve">85.2 might apply to future housing projects — other than the People’s Park project — is simply not before us and we do not render advisory opinions on such issues.  </w:t>
      </w:r>
    </w:p>
    <w:p w:rsidR="002B735F" w:rsidRPr="004479C6" w:rsidP="00E00861" w14:paraId="553BEDE6" w14:textId="77777777">
      <w:pPr>
        <w:pStyle w:val="Heading1"/>
        <w:spacing w:line="240" w:lineRule="exact"/>
      </w:pPr>
      <w:r w:rsidRPr="004479C6">
        <w:t>I</w:t>
      </w:r>
      <w:r w:rsidRPr="004479C6" w:rsidR="002E3223">
        <w:t>II</w:t>
      </w:r>
      <w:r w:rsidRPr="004479C6">
        <w:t>.</w:t>
      </w:r>
    </w:p>
    <w:p w:rsidR="00C30E79" w:rsidRPr="004479C6" w:rsidP="003A76CD" w14:paraId="553BEDE7" w14:textId="77777777">
      <w:pPr>
        <w:keepNext/>
        <w:ind w:firstLine="720"/>
      </w:pPr>
      <w:r w:rsidRPr="004479C6">
        <w:t>W</w:t>
      </w:r>
      <w:r w:rsidRPr="004479C6" w:rsidR="002D38DA">
        <w:t>e reverse t</w:t>
      </w:r>
      <w:r w:rsidRPr="004479C6" w:rsidR="002B735F">
        <w:t xml:space="preserve">he judgment of the Court of Appeal in favor of Good Neighbor and </w:t>
      </w:r>
      <w:r w:rsidRPr="004479C6" w:rsidR="004A35B6">
        <w:t xml:space="preserve">we </w:t>
      </w:r>
      <w:r w:rsidRPr="004479C6" w:rsidR="002B735F">
        <w:t xml:space="preserve">remand the matter to the Court of Appeal with directions to remand the </w:t>
      </w:r>
      <w:r w:rsidRPr="004479C6" w:rsidR="00231498">
        <w:t>case</w:t>
      </w:r>
      <w:r w:rsidRPr="004479C6" w:rsidR="002B735F">
        <w:t xml:space="preserve"> to the trial court</w:t>
      </w:r>
      <w:r w:rsidRPr="004479C6" w:rsidR="00D86D0F">
        <w:t xml:space="preserve"> to</w:t>
      </w:r>
      <w:r w:rsidRPr="004479C6" w:rsidR="002B735F">
        <w:t xml:space="preserve"> enter a judgment </w:t>
      </w:r>
      <w:r w:rsidRPr="004479C6" w:rsidR="00AD307D">
        <w:t xml:space="preserve">on the merits of Good Neighbor’s writ petition </w:t>
      </w:r>
      <w:r w:rsidRPr="004479C6" w:rsidR="002B735F">
        <w:t xml:space="preserve">in favor of </w:t>
      </w:r>
      <w:r w:rsidRPr="004479C6" w:rsidR="00CC72DE">
        <w:t>respondents</w:t>
      </w:r>
      <w:r w:rsidRPr="004479C6">
        <w:t>.</w:t>
      </w:r>
    </w:p>
    <w:p w:rsidR="005E7A1D" w:rsidRPr="004479C6" w:rsidP="003A76CD" w14:paraId="553BEDE8" w14:textId="77777777">
      <w:pPr>
        <w:keepNext/>
        <w:keepLines/>
        <w:spacing w:before="600"/>
        <w:jc w:val="right"/>
        <w:rPr>
          <w:b/>
          <w:bCs/>
        </w:rPr>
      </w:pPr>
      <w:r w:rsidRPr="004479C6">
        <w:rPr>
          <w:b/>
          <w:bCs/>
        </w:rPr>
        <w:t>GUERRERO, C. J</w:t>
      </w:r>
      <w:bookmarkStart w:id="77" w:name="mainstory"/>
      <w:bookmarkEnd w:id="77"/>
      <w:r w:rsidRPr="004479C6" w:rsidR="007404A3">
        <w:rPr>
          <w:b/>
          <w:bCs/>
        </w:rPr>
        <w:t>.</w:t>
      </w:r>
    </w:p>
    <w:p w:rsidR="00124EDA" w:rsidRPr="004479C6" w:rsidP="003A76CD" w14:paraId="553BEDE9" w14:textId="77777777">
      <w:pPr>
        <w:keepNext/>
        <w:keepLines/>
        <w:spacing w:before="600"/>
        <w:jc w:val="left"/>
      </w:pPr>
      <w:r w:rsidRPr="004479C6">
        <w:rPr>
          <w:b/>
          <w:bCs/>
        </w:rPr>
        <w:t>We Concur:</w:t>
      </w:r>
    </w:p>
    <w:p w:rsidR="00BC351B" w:rsidRPr="00077BAA" w:rsidP="003A76CD" w14:paraId="553BEDEA" w14:textId="77777777">
      <w:pPr>
        <w:keepNext/>
        <w:spacing w:after="0" w:line="240" w:lineRule="auto"/>
        <w:rPr>
          <w:b/>
          <w:lang w:val="it-IT"/>
        </w:rPr>
      </w:pPr>
      <w:r w:rsidRPr="00077BAA">
        <w:rPr>
          <w:b/>
          <w:lang w:val="it-IT"/>
        </w:rPr>
        <w:t>CORRIGAN, J.</w:t>
      </w:r>
    </w:p>
    <w:p w:rsidR="00BC351B" w:rsidP="00BC351B" w14:paraId="553BEDEB" w14:textId="77777777">
      <w:pPr>
        <w:spacing w:after="0" w:line="240" w:lineRule="auto"/>
        <w:jc w:val="left"/>
        <w:rPr>
          <w:b/>
        </w:rPr>
      </w:pPr>
      <w:r>
        <w:rPr>
          <w:b/>
        </w:rPr>
        <w:t>LIU</w:t>
      </w:r>
      <w:r w:rsidRPr="00077BAA">
        <w:rPr>
          <w:b/>
        </w:rPr>
        <w:t>, J.</w:t>
      </w:r>
    </w:p>
    <w:p w:rsidR="00BC351B" w:rsidRPr="00077BAA" w:rsidP="00BC351B" w14:paraId="553BEDEC" w14:textId="77777777">
      <w:pPr>
        <w:spacing w:after="0" w:line="240" w:lineRule="auto"/>
        <w:jc w:val="left"/>
        <w:rPr>
          <w:b/>
        </w:rPr>
      </w:pPr>
      <w:r>
        <w:rPr>
          <w:b/>
        </w:rPr>
        <w:t>KRUGER, J.</w:t>
      </w:r>
    </w:p>
    <w:p w:rsidR="00BC351B" w:rsidRPr="00077BAA" w:rsidP="00BC351B" w14:paraId="553BEDED" w14:textId="77777777">
      <w:pPr>
        <w:spacing w:after="0" w:line="240" w:lineRule="auto"/>
        <w:jc w:val="left"/>
        <w:rPr>
          <w:b/>
          <w:lang w:val="it-IT"/>
        </w:rPr>
      </w:pPr>
      <w:r>
        <w:rPr>
          <w:b/>
          <w:lang w:val="it-IT"/>
        </w:rPr>
        <w:t>GROBAN, J.</w:t>
      </w:r>
    </w:p>
    <w:p w:rsidR="00BC351B" w:rsidP="00BC351B" w14:paraId="553BEDEE" w14:textId="77777777">
      <w:pPr>
        <w:spacing w:after="0" w:line="240" w:lineRule="auto"/>
        <w:jc w:val="left"/>
        <w:rPr>
          <w:b/>
        </w:rPr>
      </w:pPr>
      <w:r w:rsidRPr="00077BAA">
        <w:rPr>
          <w:b/>
        </w:rPr>
        <w:t>JENKINS, J.</w:t>
      </w:r>
    </w:p>
    <w:p w:rsidR="00BC351B" w:rsidP="00BC351B" w14:paraId="553BEDEF" w14:textId="77777777">
      <w:pPr>
        <w:spacing w:after="0" w:line="240" w:lineRule="auto"/>
        <w:jc w:val="left"/>
        <w:rPr>
          <w:b/>
        </w:rPr>
      </w:pPr>
      <w:r>
        <w:rPr>
          <w:b/>
        </w:rPr>
        <w:t>EVANS, J.</w:t>
      </w:r>
    </w:p>
    <w:p w:rsidR="00767EBC" w:rsidP="0096543B" w14:paraId="1AC2E1A8" w14:textId="77777777">
      <w:pPr>
        <w:widowControl w:val="0"/>
        <w:sectPr w:rsidSect="00B14877">
          <w:footerReference w:type="first" r:id="rId8"/>
          <w:pgSz w:w="12240" w:h="15840"/>
          <w:pgMar w:top="1800" w:right="2160" w:bottom="1440" w:left="2160" w:header="720" w:footer="720" w:gutter="0"/>
          <w:pgNumType w:start="1"/>
          <w:cols w:space="720"/>
          <w:titlePg/>
          <w:docGrid w:linePitch="367"/>
        </w:sectPr>
      </w:pPr>
    </w:p>
    <w:p w:rsidR="00B10218" w:rsidRPr="00B10218" w:rsidP="00B10218" w14:paraId="12AB6318" w14:textId="77777777">
      <w:pPr>
        <w:spacing w:after="0" w:line="240" w:lineRule="auto"/>
        <w:jc w:val="left"/>
        <w:rPr>
          <w:i/>
          <w:sz w:val="24"/>
          <w:szCs w:val="24"/>
        </w:rPr>
      </w:pPr>
      <w:r w:rsidRPr="00B10218">
        <w:rPr>
          <w:i/>
          <w:sz w:val="24"/>
          <w:szCs w:val="24"/>
        </w:rPr>
        <w:t>See next page for addresses and telephone numbers for counsel who argued in Supreme Court.</w:t>
      </w:r>
    </w:p>
    <w:p w:rsidR="00B10218" w:rsidRPr="00B10218" w:rsidP="00B10218" w14:paraId="54053D80" w14:textId="77777777">
      <w:pPr>
        <w:spacing w:after="0" w:line="240" w:lineRule="auto"/>
        <w:jc w:val="left"/>
        <w:rPr>
          <w:i/>
          <w:sz w:val="24"/>
          <w:szCs w:val="24"/>
        </w:rPr>
      </w:pPr>
    </w:p>
    <w:p w:rsidR="00B10218" w:rsidRPr="00B10218" w:rsidP="00B10218" w14:paraId="681530AA" w14:textId="77777777">
      <w:pPr>
        <w:spacing w:after="0" w:line="240" w:lineRule="auto"/>
        <w:jc w:val="left"/>
        <w:rPr>
          <w:bCs/>
          <w:sz w:val="24"/>
          <w:szCs w:val="24"/>
        </w:rPr>
      </w:pPr>
      <w:r w:rsidRPr="00B10218">
        <w:rPr>
          <w:b/>
          <w:sz w:val="24"/>
          <w:szCs w:val="24"/>
        </w:rPr>
        <w:t xml:space="preserve">Name of Opinion  </w:t>
      </w:r>
      <w:r w:rsidRPr="00B10218">
        <w:rPr>
          <w:bCs/>
          <w:sz w:val="24"/>
          <w:szCs w:val="24"/>
        </w:rPr>
        <w:t>Make UC A Good Neighbor v. Regents of University of California</w:t>
      </w:r>
    </w:p>
    <w:p w:rsidR="00B10218" w:rsidRPr="00B10218" w:rsidP="00B10218" w14:paraId="0FF8C972" w14:textId="77777777">
      <w:pPr>
        <w:spacing w:after="0" w:line="240" w:lineRule="auto"/>
        <w:jc w:val="left"/>
        <w:rPr>
          <w:b/>
          <w:sz w:val="24"/>
          <w:szCs w:val="24"/>
        </w:rPr>
      </w:pPr>
      <w:r w:rsidRPr="00B10218">
        <w:rPr>
          <w:b/>
          <w:sz w:val="24"/>
          <w:szCs w:val="24"/>
        </w:rPr>
        <w:t xml:space="preserve">__________________________________________________________ </w:t>
      </w:r>
    </w:p>
    <w:p w:rsidR="00B10218" w:rsidRPr="00B10218" w:rsidP="00B10218" w14:paraId="5654CC2A" w14:textId="77777777">
      <w:pPr>
        <w:spacing w:after="0" w:line="240" w:lineRule="auto"/>
        <w:jc w:val="left"/>
        <w:rPr>
          <w:b/>
          <w:sz w:val="24"/>
          <w:szCs w:val="24"/>
        </w:rPr>
      </w:pPr>
    </w:p>
    <w:p w:rsidR="00B10218" w:rsidRPr="00B10218" w:rsidP="00B10218" w14:paraId="0E29587A" w14:textId="77777777">
      <w:pPr>
        <w:spacing w:after="0" w:line="240" w:lineRule="auto"/>
        <w:jc w:val="left"/>
        <w:rPr>
          <w:sz w:val="24"/>
          <w:szCs w:val="24"/>
        </w:rPr>
      </w:pPr>
      <w:r w:rsidRPr="00B10218">
        <w:rPr>
          <w:b/>
          <w:bCs/>
          <w:sz w:val="24"/>
          <w:szCs w:val="24"/>
          <w:u w:val="single"/>
        </w:rPr>
        <w:t>Procedural Posture</w:t>
      </w:r>
      <w:r w:rsidRPr="00B10218">
        <w:rPr>
          <w:b/>
          <w:bCs/>
          <w:sz w:val="24"/>
          <w:szCs w:val="24"/>
        </w:rPr>
        <w:t xml:space="preserve"> </w:t>
      </w:r>
      <w:r w:rsidRPr="00B10218">
        <w:rPr>
          <w:sz w:val="24"/>
          <w:szCs w:val="24"/>
        </w:rPr>
        <w:t>(see XX below)</w:t>
      </w:r>
    </w:p>
    <w:p w:rsidR="00B10218" w:rsidRPr="00B10218" w:rsidP="00B10218" w14:paraId="63340567" w14:textId="77777777">
      <w:pPr>
        <w:spacing w:after="0" w:line="240" w:lineRule="auto"/>
        <w:jc w:val="left"/>
        <w:rPr>
          <w:sz w:val="24"/>
          <w:szCs w:val="24"/>
        </w:rPr>
      </w:pPr>
      <w:r w:rsidRPr="00B10218">
        <w:rPr>
          <w:b/>
          <w:bCs/>
          <w:sz w:val="24"/>
          <w:szCs w:val="24"/>
        </w:rPr>
        <w:t>Original Appeal</w:t>
      </w:r>
      <w:r w:rsidRPr="00B10218">
        <w:rPr>
          <w:sz w:val="24"/>
          <w:szCs w:val="24"/>
        </w:rPr>
        <w:t xml:space="preserve"> </w:t>
      </w:r>
    </w:p>
    <w:p w:rsidR="00B10218" w:rsidRPr="00B10218" w:rsidP="00B10218" w14:paraId="5DC02C63" w14:textId="77777777">
      <w:pPr>
        <w:spacing w:after="0" w:line="240" w:lineRule="auto"/>
        <w:jc w:val="left"/>
        <w:rPr>
          <w:b/>
          <w:bCs/>
          <w:sz w:val="24"/>
          <w:szCs w:val="24"/>
        </w:rPr>
      </w:pPr>
      <w:r w:rsidRPr="00B10218">
        <w:rPr>
          <w:b/>
          <w:bCs/>
          <w:sz w:val="24"/>
          <w:szCs w:val="24"/>
        </w:rPr>
        <w:t>Original Proceeding</w:t>
      </w:r>
    </w:p>
    <w:p w:rsidR="00B10218" w:rsidRPr="00B10218" w:rsidP="00B10218" w14:paraId="3073C85A" w14:textId="77777777">
      <w:pPr>
        <w:spacing w:after="0" w:line="240" w:lineRule="auto"/>
        <w:jc w:val="left"/>
        <w:rPr>
          <w:sz w:val="24"/>
          <w:szCs w:val="24"/>
        </w:rPr>
      </w:pPr>
      <w:r w:rsidRPr="00B10218">
        <w:rPr>
          <w:b/>
          <w:bCs/>
          <w:sz w:val="24"/>
          <w:szCs w:val="24"/>
        </w:rPr>
        <w:t>Review Granted</w:t>
      </w:r>
      <w:r w:rsidRPr="00B10218">
        <w:rPr>
          <w:sz w:val="24"/>
          <w:szCs w:val="24"/>
        </w:rPr>
        <w:t xml:space="preserve"> </w:t>
      </w:r>
      <w:r w:rsidRPr="00B10218">
        <w:rPr>
          <w:b/>
          <w:bCs/>
          <w:sz w:val="24"/>
          <w:szCs w:val="24"/>
        </w:rPr>
        <w:t xml:space="preserve">(published) </w:t>
      </w:r>
      <w:r w:rsidRPr="00B10218">
        <w:rPr>
          <w:sz w:val="24"/>
          <w:szCs w:val="24"/>
        </w:rPr>
        <w:t xml:space="preserve">XX 88 Cal.App.5th 656 </w:t>
      </w:r>
    </w:p>
    <w:p w:rsidR="00B10218" w:rsidRPr="00B10218" w:rsidP="00B10218" w14:paraId="64D9FE3C" w14:textId="77777777">
      <w:pPr>
        <w:spacing w:after="0" w:line="240" w:lineRule="auto"/>
        <w:jc w:val="left"/>
        <w:rPr>
          <w:sz w:val="24"/>
          <w:szCs w:val="24"/>
        </w:rPr>
      </w:pPr>
      <w:r w:rsidRPr="00B10218">
        <w:rPr>
          <w:b/>
          <w:bCs/>
          <w:sz w:val="24"/>
          <w:szCs w:val="24"/>
        </w:rPr>
        <w:t xml:space="preserve">Review Granted (unpublished) </w:t>
      </w:r>
    </w:p>
    <w:p w:rsidR="00B10218" w:rsidRPr="00B10218" w:rsidP="00B10218" w14:paraId="19FB1FF6" w14:textId="77777777">
      <w:pPr>
        <w:spacing w:after="0" w:line="240" w:lineRule="auto"/>
        <w:jc w:val="left"/>
        <w:rPr>
          <w:b/>
          <w:bCs/>
          <w:sz w:val="24"/>
          <w:szCs w:val="24"/>
        </w:rPr>
      </w:pPr>
      <w:r w:rsidRPr="00B10218">
        <w:rPr>
          <w:b/>
          <w:bCs/>
          <w:sz w:val="24"/>
          <w:szCs w:val="24"/>
        </w:rPr>
        <w:t>Rehearing Granted</w:t>
      </w:r>
    </w:p>
    <w:p w:rsidR="00B10218" w:rsidRPr="00B10218" w:rsidP="00B10218" w14:paraId="5205E3E0" w14:textId="77777777">
      <w:pPr>
        <w:spacing w:after="0" w:line="240" w:lineRule="auto"/>
        <w:jc w:val="left"/>
        <w:rPr>
          <w:b/>
          <w:sz w:val="24"/>
          <w:szCs w:val="24"/>
        </w:rPr>
      </w:pPr>
      <w:r w:rsidRPr="00B10218">
        <w:rPr>
          <w:b/>
          <w:sz w:val="24"/>
          <w:szCs w:val="24"/>
        </w:rPr>
        <w:t xml:space="preserve">__________________________________________________________ </w:t>
      </w:r>
    </w:p>
    <w:p w:rsidR="00B10218" w:rsidRPr="00B10218" w:rsidP="00B10218" w14:paraId="4703FB77" w14:textId="77777777">
      <w:pPr>
        <w:spacing w:after="0" w:line="240" w:lineRule="auto"/>
        <w:jc w:val="left"/>
        <w:rPr>
          <w:b/>
          <w:sz w:val="24"/>
          <w:szCs w:val="24"/>
        </w:rPr>
      </w:pPr>
    </w:p>
    <w:p w:rsidR="00B10218" w:rsidRPr="00B10218" w:rsidP="00B10218" w14:paraId="7ED2DE11" w14:textId="77777777">
      <w:pPr>
        <w:spacing w:after="0" w:line="240" w:lineRule="auto"/>
        <w:jc w:val="left"/>
        <w:rPr>
          <w:bCs/>
          <w:sz w:val="24"/>
          <w:szCs w:val="24"/>
        </w:rPr>
      </w:pPr>
      <w:r w:rsidRPr="00B10218">
        <w:rPr>
          <w:b/>
          <w:sz w:val="24"/>
          <w:szCs w:val="24"/>
        </w:rPr>
        <w:t>Opinion No.</w:t>
      </w:r>
      <w:r w:rsidRPr="00B10218">
        <w:rPr>
          <w:sz w:val="24"/>
          <w:szCs w:val="24"/>
        </w:rPr>
        <w:t xml:space="preserve"> S279242</w:t>
      </w:r>
    </w:p>
    <w:p w:rsidR="00B10218" w:rsidRPr="00B10218" w:rsidP="00B10218" w14:paraId="7A9E2A35" w14:textId="77777777">
      <w:pPr>
        <w:spacing w:after="0" w:line="240" w:lineRule="auto"/>
        <w:jc w:val="left"/>
        <w:rPr>
          <w:bCs/>
          <w:sz w:val="24"/>
          <w:szCs w:val="24"/>
        </w:rPr>
      </w:pPr>
      <w:r w:rsidRPr="00B10218">
        <w:rPr>
          <w:b/>
          <w:sz w:val="24"/>
          <w:szCs w:val="24"/>
        </w:rPr>
        <w:t>Date Filed:</w:t>
      </w:r>
      <w:r w:rsidRPr="00B10218">
        <w:rPr>
          <w:sz w:val="24"/>
          <w:szCs w:val="24"/>
        </w:rPr>
        <w:t xml:space="preserve">  June 6, 2024</w:t>
      </w:r>
    </w:p>
    <w:p w:rsidR="00B10218" w:rsidRPr="00B10218" w:rsidP="00B10218" w14:paraId="20C63329" w14:textId="77777777">
      <w:pPr>
        <w:spacing w:after="0" w:line="240" w:lineRule="auto"/>
        <w:jc w:val="left"/>
        <w:rPr>
          <w:b/>
          <w:sz w:val="24"/>
          <w:szCs w:val="24"/>
        </w:rPr>
      </w:pPr>
      <w:r w:rsidRPr="00B10218">
        <w:rPr>
          <w:b/>
          <w:sz w:val="24"/>
          <w:szCs w:val="24"/>
        </w:rPr>
        <w:t xml:space="preserve">__________________________________________________________ </w:t>
      </w:r>
    </w:p>
    <w:p w:rsidR="00B10218" w:rsidRPr="00B10218" w:rsidP="00B10218" w14:paraId="6EA561C4" w14:textId="77777777">
      <w:pPr>
        <w:spacing w:after="0" w:line="240" w:lineRule="auto"/>
        <w:jc w:val="left"/>
        <w:rPr>
          <w:b/>
          <w:sz w:val="24"/>
          <w:szCs w:val="24"/>
        </w:rPr>
      </w:pPr>
    </w:p>
    <w:p w:rsidR="00B10218" w:rsidRPr="00B10218" w:rsidP="00B10218" w14:paraId="59A48D0B" w14:textId="77777777">
      <w:pPr>
        <w:spacing w:after="0" w:line="240" w:lineRule="auto"/>
        <w:jc w:val="left"/>
        <w:rPr>
          <w:bCs/>
          <w:sz w:val="24"/>
          <w:szCs w:val="24"/>
        </w:rPr>
      </w:pPr>
      <w:r w:rsidRPr="00B10218">
        <w:rPr>
          <w:b/>
          <w:sz w:val="24"/>
          <w:szCs w:val="24"/>
        </w:rPr>
        <w:t xml:space="preserve">Court:  </w:t>
      </w:r>
      <w:r w:rsidRPr="00B10218">
        <w:rPr>
          <w:bCs/>
          <w:sz w:val="24"/>
          <w:szCs w:val="24"/>
        </w:rPr>
        <w:t>Superior</w:t>
      </w:r>
      <w:r w:rsidRPr="00B10218">
        <w:rPr>
          <w:b/>
          <w:sz w:val="24"/>
          <w:szCs w:val="24"/>
        </w:rPr>
        <w:t xml:space="preserve"> </w:t>
      </w:r>
    </w:p>
    <w:p w:rsidR="00B10218" w:rsidRPr="00B10218" w:rsidP="00B10218" w14:paraId="18C3CE1E" w14:textId="77777777">
      <w:pPr>
        <w:spacing w:after="0" w:line="240" w:lineRule="auto"/>
        <w:jc w:val="left"/>
        <w:rPr>
          <w:bCs/>
          <w:sz w:val="24"/>
          <w:szCs w:val="24"/>
        </w:rPr>
      </w:pPr>
      <w:r w:rsidRPr="00B10218">
        <w:rPr>
          <w:b/>
          <w:sz w:val="24"/>
          <w:szCs w:val="24"/>
        </w:rPr>
        <w:t xml:space="preserve">County:  </w:t>
      </w:r>
      <w:r w:rsidRPr="00B10218">
        <w:rPr>
          <w:bCs/>
          <w:sz w:val="24"/>
          <w:szCs w:val="24"/>
        </w:rPr>
        <w:t>Alameda</w:t>
      </w:r>
    </w:p>
    <w:p w:rsidR="00B10218" w:rsidRPr="00B10218" w:rsidP="00B10218" w14:paraId="2AC716B0" w14:textId="77777777">
      <w:pPr>
        <w:spacing w:after="0" w:line="240" w:lineRule="auto"/>
        <w:ind w:left="720" w:hanging="720"/>
        <w:jc w:val="left"/>
        <w:rPr>
          <w:bCs/>
          <w:sz w:val="24"/>
          <w:szCs w:val="24"/>
        </w:rPr>
      </w:pPr>
      <w:r w:rsidRPr="00B10218">
        <w:rPr>
          <w:b/>
          <w:sz w:val="24"/>
          <w:szCs w:val="24"/>
        </w:rPr>
        <w:t xml:space="preserve">Judge: </w:t>
      </w:r>
      <w:r w:rsidRPr="00B10218">
        <w:rPr>
          <w:bCs/>
          <w:sz w:val="24"/>
          <w:szCs w:val="24"/>
        </w:rPr>
        <w:t xml:space="preserve"> Frank Roesch</w:t>
      </w:r>
    </w:p>
    <w:p w:rsidR="00B10218" w:rsidRPr="00B10218" w:rsidP="00B10218" w14:paraId="32BE23D9" w14:textId="77777777">
      <w:pPr>
        <w:spacing w:after="0" w:line="240" w:lineRule="auto"/>
        <w:jc w:val="left"/>
        <w:rPr>
          <w:b/>
          <w:sz w:val="24"/>
          <w:szCs w:val="24"/>
        </w:rPr>
      </w:pPr>
      <w:r w:rsidRPr="00B10218">
        <w:rPr>
          <w:b/>
          <w:sz w:val="24"/>
          <w:szCs w:val="24"/>
        </w:rPr>
        <w:t xml:space="preserve">__________________________________________________________  </w:t>
      </w:r>
    </w:p>
    <w:p w:rsidR="00B10218" w:rsidRPr="00B10218" w:rsidP="00B10218" w14:paraId="4372015E" w14:textId="77777777">
      <w:pPr>
        <w:spacing w:after="0" w:line="240" w:lineRule="auto"/>
        <w:jc w:val="left"/>
        <w:rPr>
          <w:b/>
          <w:sz w:val="24"/>
          <w:szCs w:val="24"/>
        </w:rPr>
      </w:pPr>
    </w:p>
    <w:p w:rsidR="00B10218" w:rsidRPr="00B10218" w:rsidP="00B10218" w14:paraId="07AB3C35" w14:textId="77777777">
      <w:pPr>
        <w:spacing w:after="0" w:line="240" w:lineRule="auto"/>
        <w:jc w:val="left"/>
        <w:rPr>
          <w:b/>
          <w:sz w:val="24"/>
          <w:szCs w:val="24"/>
        </w:rPr>
      </w:pPr>
      <w:r w:rsidRPr="00B10218">
        <w:rPr>
          <w:b/>
          <w:sz w:val="24"/>
          <w:szCs w:val="24"/>
        </w:rPr>
        <w:t>Counsel:</w:t>
      </w:r>
    </w:p>
    <w:p w:rsidR="00B10218" w:rsidRPr="00B10218" w:rsidP="00B10218" w14:paraId="4F31748D" w14:textId="77777777">
      <w:pPr>
        <w:spacing w:after="0" w:line="240" w:lineRule="auto"/>
        <w:jc w:val="left"/>
        <w:rPr>
          <w:b/>
          <w:sz w:val="24"/>
          <w:szCs w:val="24"/>
        </w:rPr>
      </w:pPr>
    </w:p>
    <w:p w:rsidR="00B10218" w:rsidRPr="00B10218" w:rsidP="00B10218" w14:paraId="37512103"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Law Offices of Thomas N. Lippe, Thomas N. Lippe; Soluri Meserve, Patrick M. Soluri, Osha R. Meserve and James C. Crowder for Plaintiffs and Appellants.</w:t>
      </w:r>
    </w:p>
    <w:p w:rsidR="00B10218" w:rsidRPr="00B10218" w:rsidP="00B10218" w14:paraId="3E6C371F" w14:textId="77777777">
      <w:pPr>
        <w:spacing w:after="0" w:line="240" w:lineRule="auto"/>
        <w:jc w:val="left"/>
        <w:rPr>
          <w:color w:val="212121"/>
          <w:sz w:val="24"/>
          <w:szCs w:val="24"/>
          <w:shd w:val="clear" w:color="auto" w:fill="FFFFFF"/>
        </w:rPr>
      </w:pPr>
    </w:p>
    <w:p w:rsidR="00B10218" w:rsidRPr="00B10218" w:rsidP="00B10218" w14:paraId="588B8198"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The Sohagi Law Group, Nicole H. Gordon, Margaret M. Sohagi, Mark J.G. Desrosiers; Lubin Olson &amp; Niewiadomski, Charles R. Olson, Philip J. Sciranka; Charles F. Robinson, Rhonda S. Goldstein, Katharine S. Essick, Alison L. Krumbein; David M. Robinson; Horvitz &amp; Levy, Beth J. Jay, Jeremy B. Rosen, Mitchell C. Tilner and H. Thomas Watson for Defendants and Respondents.</w:t>
      </w:r>
    </w:p>
    <w:p w:rsidR="00B10218" w:rsidRPr="00B10218" w:rsidP="00B10218" w14:paraId="7AF77C2E" w14:textId="77777777">
      <w:pPr>
        <w:spacing w:after="0" w:line="240" w:lineRule="auto"/>
        <w:jc w:val="left"/>
        <w:rPr>
          <w:color w:val="212121"/>
          <w:sz w:val="24"/>
          <w:szCs w:val="24"/>
          <w:shd w:val="clear" w:color="auto" w:fill="FFFFFF"/>
        </w:rPr>
      </w:pPr>
    </w:p>
    <w:p w:rsidR="00B10218" w:rsidRPr="00B10218" w:rsidP="00B10218" w14:paraId="0363FA5C"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Farimah Faiz Brown, City Attorney, for the City of Berkeley as Amicus Curiae on behalf of Defendants and Respondents.</w:t>
      </w:r>
    </w:p>
    <w:p w:rsidR="00B10218" w:rsidRPr="00B10218" w:rsidP="00B10218" w14:paraId="2D884276" w14:textId="77777777">
      <w:pPr>
        <w:spacing w:after="0" w:line="240" w:lineRule="auto"/>
        <w:jc w:val="left"/>
        <w:rPr>
          <w:color w:val="212121"/>
          <w:sz w:val="24"/>
          <w:szCs w:val="24"/>
          <w:shd w:val="clear" w:color="auto" w:fill="FFFFFF"/>
        </w:rPr>
      </w:pPr>
    </w:p>
    <w:p w:rsidR="00B10218" w:rsidRPr="00B10218" w:rsidP="00B10218" w14:paraId="5F6A74B1"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Holland &amp; Knight and Jennifer L. Hernandez for The Two Hundred for Homeownership as Amicus Curiae on behalf of Defendants and Respondents.</w:t>
      </w:r>
    </w:p>
    <w:p w:rsidR="00B10218" w:rsidRPr="00B10218" w:rsidP="00B10218" w14:paraId="120BA39D"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Downey Brand, Kathryn Oehlschlager and Breana M. Inoshita for the League of California Cities and the California State Association of Counties as Amici Curiae on behalf of Defendants and Respondents.</w:t>
      </w:r>
    </w:p>
    <w:p w:rsidR="00B10218" w:rsidRPr="00B10218" w:rsidP="00B10218" w14:paraId="6390746E" w14:textId="77777777">
      <w:pPr>
        <w:spacing w:after="0" w:line="240" w:lineRule="auto"/>
        <w:jc w:val="left"/>
        <w:rPr>
          <w:color w:val="212121"/>
          <w:sz w:val="24"/>
          <w:szCs w:val="24"/>
          <w:shd w:val="clear" w:color="auto" w:fill="FFFFFF"/>
        </w:rPr>
      </w:pPr>
    </w:p>
    <w:p w:rsidR="00B10218" w:rsidRPr="00B10218" w:rsidP="00B10218" w14:paraId="37CF9B38"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Buchalter, Douglas C. Straus and Alicia Cristina Guerra for Real Party in Interest Resources for Community Development.</w:t>
      </w:r>
      <w:r w:rsidRPr="00B10218">
        <w:rPr>
          <w:color w:val="212121"/>
          <w:sz w:val="24"/>
          <w:szCs w:val="24"/>
          <w:shd w:val="clear" w:color="auto" w:fill="FFFFFF"/>
        </w:rPr>
        <w:br w:type="page"/>
      </w:r>
      <w:r w:rsidRPr="00B10218">
        <w:rPr>
          <w:b/>
          <w:sz w:val="24"/>
          <w:szCs w:val="24"/>
        </w:rPr>
        <w:t xml:space="preserve">Counsel who argued in Supreme Court (not intended for publication with opinion): </w:t>
      </w:r>
    </w:p>
    <w:p w:rsidR="00B10218" w:rsidRPr="00B10218" w:rsidP="00B10218" w14:paraId="32828577" w14:textId="77777777">
      <w:pPr>
        <w:spacing w:after="0" w:line="240" w:lineRule="auto"/>
        <w:jc w:val="left"/>
        <w:rPr>
          <w:sz w:val="24"/>
          <w:szCs w:val="24"/>
        </w:rPr>
      </w:pPr>
    </w:p>
    <w:p w:rsidR="00B10218" w:rsidRPr="00B10218" w:rsidP="00B10218" w14:paraId="54470311"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Thomas N. Lippe</w:t>
      </w:r>
    </w:p>
    <w:p w:rsidR="00B10218" w:rsidRPr="00B10218" w:rsidP="00B10218" w14:paraId="434D7F0A"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Law Offices of Thomas N. Lippe, APC</w:t>
      </w:r>
    </w:p>
    <w:p w:rsidR="00B10218" w:rsidRPr="00B10218" w:rsidP="00B10218" w14:paraId="0F0F70A3"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50 California Street, Suite 1500</w:t>
      </w:r>
    </w:p>
    <w:p w:rsidR="00B10218" w:rsidRPr="00B10218" w:rsidP="00B10218" w14:paraId="5E60D410"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San Francisco, CA 94111</w:t>
      </w:r>
    </w:p>
    <w:p w:rsidR="00B10218" w:rsidRPr="00B10218" w:rsidP="00B10218" w14:paraId="43B44227"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(415) 777-5604</w:t>
      </w:r>
    </w:p>
    <w:p w:rsidR="00B10218" w:rsidRPr="00B10218" w:rsidP="00B10218" w14:paraId="755AB1EC" w14:textId="77777777">
      <w:pPr>
        <w:spacing w:after="0" w:line="240" w:lineRule="auto"/>
        <w:jc w:val="left"/>
        <w:rPr>
          <w:color w:val="212121"/>
          <w:sz w:val="24"/>
          <w:szCs w:val="24"/>
          <w:shd w:val="clear" w:color="auto" w:fill="FFFFFF"/>
        </w:rPr>
      </w:pPr>
    </w:p>
    <w:p w:rsidR="00B10218" w:rsidRPr="00B10218" w:rsidP="00B10218" w14:paraId="3368B02F"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Nicole H. Gordon</w:t>
      </w:r>
    </w:p>
    <w:p w:rsidR="00B10218" w:rsidRPr="00B10218" w:rsidP="00B10218" w14:paraId="523BC1E1"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The Sohagi Law Group, PLC</w:t>
      </w:r>
    </w:p>
    <w:p w:rsidR="00B10218" w:rsidRPr="00B10218" w:rsidP="00B10218" w14:paraId="5989C787"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11999 San Vicente Boulevard, Suite 150</w:t>
      </w:r>
    </w:p>
    <w:p w:rsidR="00B10218" w:rsidRPr="00B10218" w:rsidP="00B10218" w14:paraId="15B86A60" w14:textId="77777777">
      <w:pPr>
        <w:spacing w:after="0" w:line="240" w:lineRule="auto"/>
        <w:jc w:val="left"/>
        <w:rPr>
          <w:color w:val="212121"/>
          <w:sz w:val="24"/>
          <w:szCs w:val="24"/>
          <w:shd w:val="clear" w:color="auto" w:fill="FFFFFF"/>
        </w:rPr>
      </w:pPr>
      <w:r w:rsidRPr="00B10218">
        <w:rPr>
          <w:color w:val="212121"/>
          <w:sz w:val="24"/>
          <w:szCs w:val="24"/>
          <w:shd w:val="clear" w:color="auto" w:fill="FFFFFF"/>
        </w:rPr>
        <w:t>Los Angeles, CA 90049</w:t>
      </w:r>
    </w:p>
    <w:p w:rsidR="00B10218" w:rsidRPr="00B10218" w:rsidP="00B10218" w14:paraId="5ED5A0AB" w14:textId="77777777">
      <w:pPr>
        <w:spacing w:after="0" w:line="240" w:lineRule="auto"/>
        <w:jc w:val="left"/>
        <w:rPr>
          <w:sz w:val="24"/>
          <w:szCs w:val="24"/>
        </w:rPr>
      </w:pPr>
      <w:r w:rsidRPr="00B10218">
        <w:rPr>
          <w:color w:val="212121"/>
          <w:sz w:val="24"/>
          <w:szCs w:val="24"/>
          <w:shd w:val="clear" w:color="auto" w:fill="FFFFFF"/>
        </w:rPr>
        <w:t>(310) 475-5700</w:t>
      </w:r>
    </w:p>
    <w:p w:rsidR="00C86378" w:rsidRPr="004479C6" w:rsidP="0096543B" w14:paraId="553BEDF0" w14:textId="77777777">
      <w:pPr>
        <w:widowControl w:val="0"/>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3766833"/>
      <w:docPartObj>
        <w:docPartGallery w:val="Page Numbers (Bottom of Page)"/>
        <w:docPartUnique/>
      </w:docPartObj>
    </w:sdtPr>
    <w:sdtEndPr>
      <w:rPr>
        <w:noProof/>
      </w:rPr>
    </w:sdtEndPr>
    <w:sdtContent>
      <w:p w:rsidR="00056548" w:rsidP="00231D47" w14:paraId="553BEDF7"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04D" w14:paraId="553BEDF8"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18" w:rsidP="00231D47" w14:paraId="3BE275C5" w14:textId="32A4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E54" w14:paraId="553BEDF1" w14:textId="77777777">
      <w:r>
        <w:separator/>
      </w:r>
    </w:p>
  </w:footnote>
  <w:footnote w:type="continuationSeparator" w:id="1">
    <w:p w:rsidR="00BB2E54" w14:paraId="553BEDF2" w14:textId="77777777">
      <w:pPr>
        <w:rPr>
          <w:sz w:val="22"/>
        </w:rPr>
      </w:pPr>
      <w:r>
        <w:continuationSeparator/>
      </w:r>
    </w:p>
  </w:footnote>
  <w:footnote w:type="continuationNotice" w:id="2">
    <w:p w:rsidR="00BB2E54" w:rsidRPr="00297155" w:rsidP="00297155" w14:paraId="553BEDF3" w14:textId="77777777">
      <w:pPr>
        <w:pStyle w:val="Footer"/>
      </w:pPr>
    </w:p>
  </w:footnote>
  <w:footnote w:id="3">
    <w:p w:rsidR="00B4415B" w:rsidRPr="00A57F79" w:rsidP="00DC104D" w14:paraId="553BEDF9" w14:textId="77777777">
      <w:pPr>
        <w:pStyle w:val="FootnoteText"/>
      </w:pPr>
      <w:r w:rsidRPr="00A57F79">
        <w:rPr>
          <w:rStyle w:val="FootnoteReference"/>
        </w:rPr>
        <w:footnoteRef/>
      </w:r>
      <w:r w:rsidRPr="00A57F79">
        <w:t xml:space="preserve"> </w:t>
      </w:r>
      <w:r w:rsidRPr="00A57F79">
        <w:tab/>
        <w:t>The EIR was prepared pursuant to the California Environmental Quality Act (CEQA) (</w:t>
      </w:r>
      <w:bookmarkStart w:id="2" w:name="dabmci_ada4945701e14db081badfad369141b6"/>
      <w:r w:rsidRPr="00A57F79">
        <w:t>Pub. Res</w:t>
      </w:r>
      <w:r w:rsidR="00467F73">
        <w:t>ources</w:t>
      </w:r>
      <w:r w:rsidRPr="00A57F79">
        <w:t xml:space="preserve"> Code, § 21000</w:t>
      </w:r>
      <w:bookmarkEnd w:id="2"/>
      <w:r w:rsidRPr="00A57F79">
        <w:t xml:space="preserve"> et seq.).  All subsequent statutory references are to the Public Resources Code unless otherwise indicated.</w:t>
      </w:r>
    </w:p>
  </w:footnote>
  <w:footnote w:id="4">
    <w:p w:rsidR="00261F6B" w:rsidRPr="00A57F79" w:rsidP="00DC104D" w14:paraId="553BEDFA" w14:textId="77777777">
      <w:pPr>
        <w:pStyle w:val="FootnoteText"/>
      </w:pPr>
      <w:r w:rsidRPr="00A57F79">
        <w:rPr>
          <w:rStyle w:val="FootnoteReference"/>
        </w:rPr>
        <w:footnoteRef/>
      </w:r>
      <w:r w:rsidRPr="00A57F79">
        <w:t xml:space="preserve"> </w:t>
      </w:r>
      <w:r w:rsidRPr="00A57F79">
        <w:tab/>
      </w:r>
      <w:r w:rsidR="0001743D">
        <w:t>We</w:t>
      </w:r>
      <w:r w:rsidRPr="00A57F79">
        <w:t xml:space="preserve"> understand Good Neighbor to use the term “social noise” to refer to noise generated by </w:t>
      </w:r>
      <w:r w:rsidRPr="00A57F79" w:rsidR="00BE6451">
        <w:t xml:space="preserve">human voices </w:t>
      </w:r>
      <w:r w:rsidRPr="00A57F79" w:rsidR="00AE5554">
        <w:t>during</w:t>
      </w:r>
      <w:r w:rsidRPr="00A57F79" w:rsidR="00486F93">
        <w:t xml:space="preserve"> social interactions,</w:t>
      </w:r>
      <w:r w:rsidRPr="00A57F79" w:rsidR="009148C4">
        <w:t xml:space="preserve"> </w:t>
      </w:r>
      <w:r w:rsidRPr="00A57F79" w:rsidR="00BB72C0">
        <w:t xml:space="preserve">and </w:t>
      </w:r>
      <w:r w:rsidR="0001743D">
        <w:t>we</w:t>
      </w:r>
      <w:r w:rsidRPr="00A57F79" w:rsidR="009148C4">
        <w:t xml:space="preserve"> </w:t>
      </w:r>
      <w:r w:rsidRPr="00A57F79" w:rsidR="00BB72C0">
        <w:t xml:space="preserve">use </w:t>
      </w:r>
      <w:r w:rsidRPr="00A57F79" w:rsidR="009148C4">
        <w:t>the term</w:t>
      </w:r>
      <w:r w:rsidRPr="00A57F79" w:rsidR="00BB72C0">
        <w:t xml:space="preserve"> in that fashion throughout this </w:t>
      </w:r>
      <w:r w:rsidR="009626B1">
        <w:t>opinion</w:t>
      </w:r>
      <w:r w:rsidRPr="00A57F79" w:rsidR="00BB72C0">
        <w:t xml:space="preserve">. </w:t>
      </w:r>
    </w:p>
  </w:footnote>
  <w:footnote w:id="5">
    <w:p w:rsidR="004C086B" w:rsidRPr="00A57F79" w:rsidP="00DC104D" w14:paraId="553BEDFB" w14:textId="77777777">
      <w:pPr>
        <w:pStyle w:val="FootnoteText"/>
      </w:pPr>
      <w:r w:rsidRPr="00A57F79">
        <w:rPr>
          <w:rStyle w:val="FootnoteReference"/>
        </w:rPr>
        <w:footnoteRef/>
      </w:r>
      <w:r w:rsidRPr="00A57F79">
        <w:t xml:space="preserve"> </w:t>
      </w:r>
      <w:r w:rsidRPr="00A57F79" w:rsidR="000637CA">
        <w:tab/>
        <w:t xml:space="preserve">The </w:t>
      </w:r>
      <w:r w:rsidRPr="00A57F79" w:rsidR="00E4480C">
        <w:t xml:space="preserve">2021 </w:t>
      </w:r>
      <w:r w:rsidRPr="00A57F79" w:rsidR="002B5254">
        <w:t>LRDP</w:t>
      </w:r>
      <w:r w:rsidRPr="00A57F79" w:rsidR="000637CA">
        <w:t xml:space="preserve"> explains that </w:t>
      </w:r>
      <w:r w:rsidRPr="00A57F79" w:rsidR="00B0690F">
        <w:t>t</w:t>
      </w:r>
      <w:r w:rsidRPr="00A57F79" w:rsidR="000637CA">
        <w:t>he Chancellor’s Housing Initiative</w:t>
      </w:r>
      <w:r w:rsidRPr="00A57F79" w:rsidR="00292D9F">
        <w:t xml:space="preserve"> </w:t>
      </w:r>
      <w:r w:rsidRPr="00A57F79" w:rsidR="000100E0">
        <w:t>establishes a goal of providing “</w:t>
      </w:r>
      <w:r w:rsidRPr="00A57F79" w:rsidR="000637CA">
        <w:t xml:space="preserve">two years of housing for entering freshmen; one year for entering transfer students; one year for entering graduate students; and up to </w:t>
      </w:r>
      <w:r w:rsidRPr="00A57F79" w:rsidR="00C25F2A">
        <w:t>[six]</w:t>
      </w:r>
      <w:r w:rsidRPr="00A57F79" w:rsidR="000637CA">
        <w:t xml:space="preserve"> years for untenured faculty.”</w:t>
      </w:r>
    </w:p>
  </w:footnote>
  <w:footnote w:id="6">
    <w:p w:rsidR="002A32AB" w:rsidRPr="00A57F79" w:rsidP="00DC104D" w14:paraId="553BEDFC" w14:textId="77777777">
      <w:pPr>
        <w:pStyle w:val="FootnoteText"/>
      </w:pPr>
      <w:r w:rsidRPr="00A57F79">
        <w:rPr>
          <w:rStyle w:val="FootnoteReference"/>
        </w:rPr>
        <w:footnoteRef/>
      </w:r>
      <w:r w:rsidRPr="00A57F79">
        <w:t xml:space="preserve"> </w:t>
      </w:r>
      <w:r w:rsidRPr="00A57F79" w:rsidR="00696C70">
        <w:tab/>
      </w:r>
      <w:r w:rsidRPr="00A57F79">
        <w:t>By way of comparison, the 2021 LRDP notes that UC</w:t>
      </w:r>
      <w:r w:rsidR="00334F1E">
        <w:t> </w:t>
      </w:r>
      <w:r w:rsidRPr="00A57F79">
        <w:t>Berkeley had constructed approximately 1,100 beds of student housing under the prior LRDP</w:t>
      </w:r>
      <w:r w:rsidRPr="00A57F79" w:rsidR="00A66C90">
        <w:t>, which was adopted in 2005</w:t>
      </w:r>
      <w:r w:rsidRPr="00A57F79">
        <w:t xml:space="preserve">. </w:t>
      </w:r>
    </w:p>
  </w:footnote>
  <w:footnote w:id="7">
    <w:p w:rsidR="00241281" w14:paraId="553BEDFD" w14:textId="77777777">
      <w:pPr>
        <w:pStyle w:val="FootnoteText"/>
      </w:pPr>
      <w:r>
        <w:rPr>
          <w:rStyle w:val="FootnoteReference"/>
        </w:rPr>
        <w:footnoteRef/>
      </w:r>
      <w:r>
        <w:t xml:space="preserve"> </w:t>
      </w:r>
      <w:r>
        <w:tab/>
        <w:t>Because the record contains references to both Housing Project No. 2 and the People’s Park project, we use the terms interchangeably.</w:t>
      </w:r>
    </w:p>
  </w:footnote>
  <w:footnote w:id="8">
    <w:p w:rsidR="00D86F25" w:rsidRPr="00A57F79" w:rsidP="00DC104D" w14:paraId="553BEDFE" w14:textId="77777777">
      <w:pPr>
        <w:pStyle w:val="FootnoteText"/>
      </w:pPr>
      <w:r w:rsidRPr="00A57F79">
        <w:rPr>
          <w:rStyle w:val="FootnoteReference"/>
        </w:rPr>
        <w:footnoteRef/>
      </w:r>
      <w:r w:rsidRPr="00A57F79">
        <w:t xml:space="preserve"> </w:t>
      </w:r>
      <w:r w:rsidRPr="00A57F79">
        <w:tab/>
        <w:t xml:space="preserve">Real party in interest, Resources for Community Development (RCD), is the nonprofit partner. </w:t>
      </w:r>
    </w:p>
  </w:footnote>
  <w:footnote w:id="9">
    <w:p w:rsidR="00E93EA3" w:rsidRPr="00A57F79" w:rsidP="00DC104D" w14:paraId="553BEDFF" w14:textId="77777777">
      <w:pPr>
        <w:pStyle w:val="FootnoteText"/>
      </w:pPr>
      <w:r w:rsidRPr="00A57F79">
        <w:rPr>
          <w:rStyle w:val="FootnoteReference"/>
        </w:rPr>
        <w:footnoteRef/>
      </w:r>
      <w:r w:rsidRPr="00A57F79">
        <w:t xml:space="preserve"> </w:t>
      </w:r>
      <w:r w:rsidRPr="00A57F79">
        <w:tab/>
        <w:t>All references to “CEQA Guidelines” are to the administrative guidelines for the implementation of CEQA.  (</w:t>
      </w:r>
      <w:bookmarkStart w:id="8" w:name="dabmci_421745f71854491ab2c88decff40c353"/>
      <w:r w:rsidRPr="00A57F79">
        <w:t>Cal. Code Regs., tit. 14, §</w:t>
      </w:r>
      <w:r w:rsidR="00922AC5">
        <w:t> </w:t>
      </w:r>
      <w:r w:rsidRPr="00A57F79">
        <w:t>15000</w:t>
      </w:r>
      <w:bookmarkEnd w:id="8"/>
      <w:r w:rsidRPr="00A57F79">
        <w:t xml:space="preserve"> et seq.)</w:t>
      </w:r>
      <w:r w:rsidRPr="00A57F79" w:rsidR="005E65DC">
        <w:t xml:space="preserve">  </w:t>
      </w:r>
      <w:r w:rsidRPr="00A57F79">
        <w:t>A “program” EIR allows an agency to “first analyze[] ‘general matters contained in a broader [initial] EIR . . . with later EIRs . . . [analyzing] narrow projects.’ ”  (</w:t>
      </w:r>
      <w:bookmarkStart w:id="9" w:name="dabmci_f486bbad3f9c41c1975c5a891c36e73d"/>
      <w:r w:rsidRPr="00A57F79">
        <w:rPr>
          <w:i/>
          <w:iCs/>
        </w:rPr>
        <w:t>Friends of College of San Mateo Gardens v. San Mateo County Community College Dist.</w:t>
      </w:r>
      <w:r w:rsidRPr="00A57F79">
        <w:t xml:space="preserve"> (2016) 1 Cal.5th 937, 960</w:t>
      </w:r>
      <w:bookmarkEnd w:id="9"/>
      <w:r w:rsidRPr="00A57F79">
        <w:t>.)</w:t>
      </w:r>
    </w:p>
  </w:footnote>
  <w:footnote w:id="10">
    <w:p w:rsidR="00E93EA3" w:rsidRPr="00A57F79" w:rsidP="00DC104D" w14:paraId="553BEE00" w14:textId="77777777">
      <w:pPr>
        <w:pStyle w:val="FootnoteText"/>
      </w:pPr>
      <w:r w:rsidRPr="00A57F79">
        <w:rPr>
          <w:rStyle w:val="FootnoteReference"/>
        </w:rPr>
        <w:footnoteRef/>
      </w:r>
      <w:r w:rsidRPr="00A57F79">
        <w:t xml:space="preserve"> </w:t>
      </w:r>
      <w:r w:rsidRPr="00A57F79">
        <w:tab/>
        <w:t>Section 21080.09, subdivision (b) provides in relevant part, “[T]he approval of a long-range development plan [is] subject to this division and require[s] the preparation of an environmental impact report.”  The statute’s reference to “this division” refers to CEQA.  (§ 21080.09</w:t>
      </w:r>
      <w:r w:rsidR="00763440">
        <w:t>, subd. (b)</w:t>
      </w:r>
      <w:r w:rsidRPr="00A57F79">
        <w:t>; see § 21050 [“This division shall be known and may be cited as the California Environmental Quality Act”].)</w:t>
      </w:r>
    </w:p>
  </w:footnote>
  <w:footnote w:id="11">
    <w:p w:rsidR="00E93EA3" w:rsidRPr="00A57F79" w:rsidP="00DC104D" w14:paraId="553BEE01" w14:textId="77777777">
      <w:pPr>
        <w:pStyle w:val="FootnoteText"/>
      </w:pPr>
      <w:r w:rsidRPr="00A57F79">
        <w:rPr>
          <w:rStyle w:val="FootnoteReference"/>
        </w:rPr>
        <w:footnoteRef/>
      </w:r>
      <w:r w:rsidRPr="00A57F79">
        <w:t xml:space="preserve"> </w:t>
      </w:r>
      <w:r w:rsidRPr="00A57F79">
        <w:tab/>
        <w:t>A “project” EIR focuses “primarily on the changes in the environment that would result from the development project,” and “examine[s] all phases of the project including planning, construction, and operation.”  (CEQA Guidelines, § 15161.)</w:t>
      </w:r>
    </w:p>
  </w:footnote>
  <w:footnote w:id="12">
    <w:p w:rsidR="00067557" w:rsidRPr="00A57F79" w:rsidP="00DC104D" w14:paraId="553BEE02" w14:textId="77777777">
      <w:pPr>
        <w:pStyle w:val="FootnoteText"/>
      </w:pPr>
      <w:r w:rsidRPr="00A57F79">
        <w:rPr>
          <w:rStyle w:val="FootnoteReference"/>
        </w:rPr>
        <w:footnoteRef/>
      </w:r>
      <w:r w:rsidRPr="00A57F79">
        <w:t xml:space="preserve"> </w:t>
      </w:r>
      <w:r w:rsidRPr="00A57F79">
        <w:tab/>
        <w:t xml:space="preserve">The writ petition </w:t>
      </w:r>
      <w:r w:rsidRPr="00A57F79" w:rsidR="00024B1B">
        <w:t>uses</w:t>
      </w:r>
      <w:r w:rsidRPr="00A57F79">
        <w:t xml:space="preserve"> </w:t>
      </w:r>
      <w:r w:rsidRPr="00A57F79" w:rsidR="00024B1B">
        <w:t xml:space="preserve">the term “Project” to include the </w:t>
      </w:r>
      <w:r w:rsidRPr="00A57F79" w:rsidR="00FB510D">
        <w:t xml:space="preserve">2021 </w:t>
      </w:r>
      <w:r w:rsidRPr="00A57F79" w:rsidR="00024B1B">
        <w:t>LRDP and Housing Project No. 2.</w:t>
      </w:r>
    </w:p>
  </w:footnote>
  <w:footnote w:id="13">
    <w:p w:rsidR="00A04FEE" w:rsidRPr="00A57F79" w:rsidP="00DC104D" w14:paraId="553BEE03" w14:textId="77777777">
      <w:pPr>
        <w:pStyle w:val="FootnoteText"/>
      </w:pPr>
      <w:r w:rsidRPr="00A57F79">
        <w:rPr>
          <w:rStyle w:val="FootnoteReference"/>
        </w:rPr>
        <w:footnoteRef/>
      </w:r>
      <w:r w:rsidRPr="00A57F79">
        <w:t xml:space="preserve"> </w:t>
      </w:r>
      <w:r w:rsidRPr="00A57F79">
        <w:tab/>
      </w:r>
      <w:r w:rsidRPr="00A57F79" w:rsidR="00FC6DD3">
        <w:t>“</w:t>
      </w:r>
      <w:r w:rsidRPr="00A57F79" w:rsidR="00623831">
        <w:t xml:space="preserve">A threshold of significance is an identifiable quantitative, qualitative or performance level of a particular environmental effect, noncompliance with which means the effect will normally be determined to be significant by the agency and compliance with which means the effect normally will be determined to be less than significant.”  </w:t>
      </w:r>
      <w:r w:rsidRPr="00A57F79" w:rsidR="00FC6DD3">
        <w:t>(CEQA Guidelines, §</w:t>
      </w:r>
      <w:r w:rsidR="00922AC5">
        <w:t> </w:t>
      </w:r>
      <w:r w:rsidRPr="00A57F79" w:rsidR="00FC6DD3">
        <w:t>15064.7, subd. (a).)</w:t>
      </w:r>
    </w:p>
  </w:footnote>
  <w:footnote w:id="14">
    <w:p w:rsidR="0072625E" w:rsidRPr="00A57F79" w:rsidP="00BE6182" w14:paraId="553BEE04" w14:textId="77777777">
      <w:pPr>
        <w:pStyle w:val="FootnoteText"/>
      </w:pPr>
      <w:r w:rsidRPr="00A57F79">
        <w:rPr>
          <w:rStyle w:val="FootnoteReference"/>
        </w:rPr>
        <w:footnoteRef/>
      </w:r>
      <w:r w:rsidRPr="00A57F79">
        <w:t xml:space="preserve"> </w:t>
      </w:r>
      <w:r w:rsidRPr="00A57F79">
        <w:tab/>
        <w:t>Section 21085.2</w:t>
      </w:r>
      <w:r w:rsidR="00355CD0">
        <w:t>, subdivision (a)</w:t>
      </w:r>
      <w:r w:rsidRPr="00A57F79">
        <w:t xml:space="preserve"> provides:</w:t>
      </w:r>
      <w:r>
        <w:t xml:space="preserve"> </w:t>
      </w:r>
      <w:r w:rsidRPr="00A57F79">
        <w:t xml:space="preserve"> “For purposes of this section, the following definitions apply:  [¶]  (1) ‘Long-range development plan’ means a physical development and land use plan to meet the academic and institutional objectives for a particular campus or medical center of public higher education.  [¶]  (2) ‘Public higher education’ means the institutions described in subdivision (a) of Section 66010 of the Education Code.  [¶]  (3) ‘Residential or mixed-use housing project’ means a project consisting of residential uses only or a mix of residential and nonresidential uses, with at least two-thirds of the square footage of the development designated for residential uses.  [¶]  (4) ‘Substantially surrounded’ means at least 75 percent of the perimeter of the project site adjoins, or is separated only by an improved public right-of-way from, parcels that are developed with qualified urban uses.</w:t>
      </w:r>
      <w:r w:rsidR="00355CD0">
        <w:t>”</w:t>
      </w:r>
    </w:p>
  </w:footnote>
  <w:footnote w:id="15">
    <w:p w:rsidR="00FA16D1" w:rsidP="00FA16D1" w14:paraId="553BEE05" w14:textId="77777777">
      <w:pPr>
        <w:pStyle w:val="FootnoteText"/>
      </w:pPr>
      <w:r>
        <w:rPr>
          <w:rStyle w:val="FootnoteReference"/>
        </w:rPr>
        <w:footnoteRef/>
      </w:r>
      <w:r>
        <w:t xml:space="preserve"> </w:t>
      </w:r>
      <w:r>
        <w:tab/>
      </w:r>
      <w:r w:rsidR="00B800BE">
        <w:t xml:space="preserve">Aside from its </w:t>
      </w:r>
      <w:r w:rsidRPr="00A47636" w:rsidR="00B800BE">
        <w:rPr>
          <w:i/>
          <w:iCs/>
        </w:rPr>
        <w:t>social</w:t>
      </w:r>
      <w:r w:rsidR="00B800BE">
        <w:t xml:space="preserve"> noise claim, </w:t>
      </w:r>
      <w:r>
        <w:t xml:space="preserve">Good Neighbor does not contend that the </w:t>
      </w:r>
      <w:r w:rsidR="00E17CEC">
        <w:t xml:space="preserve">2021 </w:t>
      </w:r>
      <w:r>
        <w:t xml:space="preserve">EIR was deficient </w:t>
      </w:r>
      <w:r w:rsidR="009B7C85">
        <w:t xml:space="preserve">in </w:t>
      </w:r>
      <w:r w:rsidR="00B800BE">
        <w:t>any other aspect of its</w:t>
      </w:r>
      <w:r>
        <w:t xml:space="preserve"> </w:t>
      </w:r>
      <w:r w:rsidR="00405AD2">
        <w:t xml:space="preserve">environmental </w:t>
      </w:r>
      <w:r>
        <w:t xml:space="preserve">analysis </w:t>
      </w:r>
      <w:r w:rsidR="00405AD2">
        <w:t>of noise</w:t>
      </w:r>
      <w:r>
        <w:t xml:space="preserve">, either with respect to Housing Project No. 2 or the LRDP.  </w:t>
      </w:r>
      <w:r w:rsidR="00BA37DF">
        <w:t>We note that b</w:t>
      </w:r>
      <w:r w:rsidR="00645792">
        <w:t xml:space="preserve">oth the draft and final </w:t>
      </w:r>
      <w:r w:rsidR="00E17CEC">
        <w:t xml:space="preserve">version of the 2021 </w:t>
      </w:r>
      <w:r w:rsidR="00645792">
        <w:t>EIR</w:t>
      </w:r>
      <w:r w:rsidR="00E17CEC">
        <w:t xml:space="preserve"> </w:t>
      </w:r>
      <w:r w:rsidR="00645792">
        <w:t xml:space="preserve">contain </w:t>
      </w:r>
      <w:r w:rsidR="00D81860">
        <w:t xml:space="preserve">a </w:t>
      </w:r>
      <w:r w:rsidRPr="00053119">
        <w:t>detailed analys</w:t>
      </w:r>
      <w:r w:rsidR="00D81860">
        <w:t>i</w:t>
      </w:r>
      <w:r w:rsidRPr="00053119">
        <w:t>s of anticipated noise</w:t>
      </w:r>
      <w:r w:rsidR="00C77372">
        <w:t xml:space="preserve">, including that </w:t>
      </w:r>
      <w:r w:rsidRPr="00053119">
        <w:t>generated by construction and traffic</w:t>
      </w:r>
      <w:r w:rsidR="00457E22">
        <w:t xml:space="preserve"> with respect to both Housing Project No.</w:t>
      </w:r>
      <w:r w:rsidR="00CC342E">
        <w:t> </w:t>
      </w:r>
      <w:r w:rsidR="00457E22">
        <w:t>2 and the LRDP</w:t>
      </w:r>
      <w:r w:rsidR="00645792">
        <w:t>.</w:t>
      </w:r>
      <w:r w:rsidRPr="00053119">
        <w:t xml:space="preserve"> </w:t>
      </w:r>
      <w:r w:rsidR="00F642FD">
        <w:t xml:space="preserve"> </w:t>
      </w:r>
      <w:r w:rsidR="005171C2">
        <w:t>Public comments were also received, considered, and responded to during the environmental analysis of these noise impacts.</w:t>
      </w:r>
    </w:p>
  </w:footnote>
  <w:footnote w:id="16">
    <w:p w:rsidR="00491CFD" w:rsidRPr="00A57F79" w:rsidP="00DC104D" w14:paraId="553BEE06" w14:textId="77777777">
      <w:pPr>
        <w:pStyle w:val="FootnoteText"/>
      </w:pPr>
      <w:r w:rsidRPr="00A57F79">
        <w:rPr>
          <w:rStyle w:val="FootnoteReference"/>
        </w:rPr>
        <w:footnoteRef/>
      </w:r>
      <w:r w:rsidRPr="00A57F79">
        <w:t xml:space="preserve"> </w:t>
      </w:r>
      <w:r w:rsidRPr="00A57F79">
        <w:tab/>
      </w:r>
      <w:r w:rsidRPr="00A57F79" w:rsidR="000E47C6">
        <w:t>We have</w:t>
      </w:r>
      <w:r w:rsidRPr="00A57F79">
        <w:t xml:space="preserve"> </w:t>
      </w:r>
      <w:r w:rsidRPr="00A57F79" w:rsidR="000E47C6">
        <w:t xml:space="preserve">explained </w:t>
      </w:r>
      <w:r w:rsidRPr="00A57F79">
        <w:t xml:space="preserve">that section 21060 makes certain statutory definitions provided in CEQA binding on courts:  “ ‘ “If the Legislature has provided an express definition of a term, that definition ordinarily is binding on the courts.” ’  [Citation.]  As a corollary of this principle, ‘[t]erms defined by the statute in which they are found will be presumed to have been used in the sense of the definition.’  [Citation.]  In the case of CEQA, this judicial presumption is legislatively mandated.  Section 21060 expressly states that CEQA’s definitions ‘govern the construction of this division.’ ”  </w:t>
      </w:r>
      <w:r w:rsidRPr="00A57F79" w:rsidR="000E47C6">
        <w:t>(</w:t>
      </w:r>
      <w:bookmarkStart w:id="34" w:name="dabmci_9ea4fd2dc7a14c818083822c1429d845"/>
      <w:r w:rsidRPr="00A57F79" w:rsidR="000E47C6">
        <w:rPr>
          <w:i/>
          <w:iCs/>
        </w:rPr>
        <w:t>Union of Medical Marijuana Patients</w:t>
      </w:r>
      <w:r w:rsidRPr="00A57F79" w:rsidR="000E47C6">
        <w:t>,</w:t>
      </w:r>
      <w:r w:rsidRPr="00A57F79" w:rsidR="000E47C6">
        <w:rPr>
          <w:i/>
          <w:iCs/>
        </w:rPr>
        <w:t xml:space="preserve"> supra</w:t>
      </w:r>
      <w:r w:rsidRPr="00A57F79" w:rsidR="000E47C6">
        <w:t>, 7 Cal.5th at p.</w:t>
      </w:r>
      <w:r w:rsidR="004006BA">
        <w:t> </w:t>
      </w:r>
      <w:r w:rsidRPr="00A57F79" w:rsidR="000E47C6">
        <w:t>1191</w:t>
      </w:r>
      <w:bookmarkEnd w:id="34"/>
      <w:r w:rsidRPr="00A57F79" w:rsidR="000E47C6">
        <w:t xml:space="preserve">.)  </w:t>
      </w:r>
    </w:p>
    <w:p w:rsidR="00491CFD" w:rsidRPr="00A57F79" w:rsidP="00DC104D" w14:paraId="553BEE07" w14:textId="77777777">
      <w:pPr>
        <w:pStyle w:val="FootnoteText"/>
        <w:ind w:firstLine="720"/>
      </w:pPr>
      <w:r w:rsidRPr="00A57F79">
        <w:t xml:space="preserve">By contrast, while Good Neighbor notes that the Legislature provided a definition for “ ‘[r]esidential or mixed-use housing project’ ” in section 21085.2 governing the consideration of </w:t>
      </w:r>
      <w:r w:rsidRPr="00A57F79" w:rsidR="00A851A7">
        <w:t xml:space="preserve">certain </w:t>
      </w:r>
      <w:r w:rsidRPr="00A57F79">
        <w:t>alternatives (</w:t>
      </w:r>
      <w:bookmarkStart w:id="35" w:name="dabmci_84d2867764304ed393263e0697e12c4e"/>
      <w:r w:rsidRPr="00A57F79">
        <w:rPr>
          <w:i/>
          <w:iCs/>
        </w:rPr>
        <w:t>id</w:t>
      </w:r>
      <w:r w:rsidRPr="00A57F79">
        <w:t>.,</w:t>
      </w:r>
      <w:bookmarkEnd w:id="35"/>
      <w:r w:rsidRPr="00A57F79">
        <w:t xml:space="preserve"> subd. (a)(3)), the Legislature specified that this definition applies only “[f]or purposes of this section” — that is, section 21085.2.  (</w:t>
      </w:r>
      <w:bookmarkStart w:id="36" w:name="dabmci_e216ffac8429482a8e9fd66e9b7dbcbf"/>
      <w:r w:rsidRPr="00A57F79">
        <w:rPr>
          <w:i/>
          <w:iCs/>
        </w:rPr>
        <w:t>Id</w:t>
      </w:r>
      <w:r w:rsidRPr="00A57F79">
        <w:t>.,</w:t>
      </w:r>
      <w:bookmarkEnd w:id="36"/>
      <w:r w:rsidRPr="00A57F79">
        <w:t xml:space="preserve"> subd. (a).)  Under these circumstances, we decline to apply section 21085.2’s definition of “ ‘[r]esidential or mixed-use housing project’ ” to section</w:t>
      </w:r>
      <w:r w:rsidR="00EF24BC">
        <w:t> </w:t>
      </w:r>
      <w:r w:rsidRPr="00A57F79">
        <w:t xml:space="preserve">21085’s use of the term “residential projects.”  (See, e.g., </w:t>
      </w:r>
      <w:bookmarkStart w:id="37" w:name="dabmci_775afe60682a48d4b825b25182b16aeb"/>
      <w:r w:rsidRPr="00A57F79">
        <w:rPr>
          <w:i/>
          <w:iCs/>
        </w:rPr>
        <w:t>Skidgel v. California Unemployment Ins. Appeals Bd.</w:t>
      </w:r>
      <w:r w:rsidRPr="00A57F79">
        <w:t xml:space="preserve"> (2021) 12 Cal.5th 1, 23</w:t>
      </w:r>
      <w:bookmarkEnd w:id="37"/>
      <w:r w:rsidRPr="00A57F79">
        <w:t xml:space="preserve"> [declining to apply statutory definition from one section of a statutory scheme to another section where “[n]othing suggests</w:t>
      </w:r>
      <w:r w:rsidR="00D423AF">
        <w:t> </w:t>
      </w:r>
      <w:r w:rsidRPr="00A57F79">
        <w:t xml:space="preserve">. . . the Legislature intended or understood that it would” apply in such a fashion].)  As we recognized in </w:t>
      </w:r>
      <w:bookmarkStart w:id="38" w:name="dabmci_0eaac8093c7a47edba55e4ae47f66bbb"/>
      <w:r w:rsidRPr="00A57F79">
        <w:rPr>
          <w:i/>
          <w:iCs/>
        </w:rPr>
        <w:t>People v. Leal</w:t>
      </w:r>
      <w:r w:rsidRPr="00A57F79">
        <w:t xml:space="preserve"> (2004) 33 Cal.4th 999, 1007</w:t>
      </w:r>
      <w:bookmarkEnd w:id="38"/>
      <w:r w:rsidRPr="00A57F79">
        <w:t>, a statutory definition that “begins with the phrase, ‘[a]s used in this section,’</w:t>
      </w:r>
      <w:r w:rsidR="00D423AF">
        <w:t xml:space="preserve"> </w:t>
      </w:r>
      <w:r w:rsidRPr="00A57F79">
        <w:t>. . . belies any legislative intent to apply the definition[]” outside of the specified section.</w:t>
      </w:r>
      <w:r w:rsidRPr="00A57F79" w:rsidR="00AE291A">
        <w:t xml:space="preserve">  </w:t>
      </w:r>
    </w:p>
  </w:footnote>
  <w:footnote w:id="17">
    <w:p w:rsidR="001D6503" w:rsidP="00DC104D" w14:paraId="553BEE08" w14:textId="77777777">
      <w:pPr>
        <w:pStyle w:val="FootnoteText"/>
      </w:pPr>
      <w:r>
        <w:rPr>
          <w:rStyle w:val="FootnoteReference"/>
        </w:rPr>
        <w:footnoteRef/>
      </w:r>
      <w:r>
        <w:t xml:space="preserve"> </w:t>
      </w:r>
      <w:r>
        <w:tab/>
      </w:r>
      <w:r>
        <w:rPr>
          <w:szCs w:val="26"/>
        </w:rPr>
        <w:t>All internet citations in this opinion are archived by year, docket number and case name at &lt;http://www.courts.ca.gov/</w:t>
      </w:r>
      <w:r w:rsidR="00DC670A">
        <w:rPr>
          <w:szCs w:val="26"/>
        </w:rPr>
        <w:t xml:space="preserve"> </w:t>
      </w:r>
      <w:r>
        <w:rPr>
          <w:szCs w:val="26"/>
        </w:rPr>
        <w:t>38324.htm&gt;.</w:t>
      </w:r>
    </w:p>
  </w:footnote>
  <w:footnote w:id="18">
    <w:p w:rsidR="00175C85" w:rsidP="004069F0" w14:paraId="553BEE09" w14:textId="77777777">
      <w:pPr>
        <w:spacing w:line="240" w:lineRule="auto"/>
      </w:pPr>
      <w:r>
        <w:rPr>
          <w:rStyle w:val="FootnoteReference"/>
        </w:rPr>
        <w:footnoteRef/>
      </w:r>
      <w:r>
        <w:t xml:space="preserve"> </w:t>
      </w:r>
      <w:r w:rsidR="004069F0">
        <w:tab/>
      </w:r>
      <w:r w:rsidR="005171C2">
        <w:t>W</w:t>
      </w:r>
      <w:r w:rsidR="004069F0">
        <w:t xml:space="preserve">e </w:t>
      </w:r>
      <w:r w:rsidR="005171C2">
        <w:t xml:space="preserve">have no occasion to </w:t>
      </w:r>
      <w:r w:rsidRPr="00854629" w:rsidR="004069F0">
        <w:t xml:space="preserve">consider whether social noise impacts from nonresidential </w:t>
      </w:r>
      <w:r w:rsidR="005171C2">
        <w:t xml:space="preserve">aspects of </w:t>
      </w:r>
      <w:r w:rsidRPr="00854629" w:rsidR="004069F0">
        <w:t>an LRDP might constitute a significant effect on the environment</w:t>
      </w:r>
      <w:r w:rsidR="004069F0">
        <w:t xml:space="preserve"> in the wake of the enactment of section 21085.</w:t>
      </w:r>
    </w:p>
  </w:footnote>
  <w:footnote w:id="19">
    <w:p w:rsidR="00425BFF" w:rsidRPr="00A57F79" w:rsidP="00DC104D" w14:paraId="553BEE0A" w14:textId="77777777">
      <w:pPr>
        <w:pStyle w:val="FootnoteText"/>
      </w:pPr>
      <w:r w:rsidRPr="00A57F79">
        <w:rPr>
          <w:rStyle w:val="FootnoteReference"/>
        </w:rPr>
        <w:footnoteRef/>
      </w:r>
      <w:r w:rsidRPr="00A57F79">
        <w:t xml:space="preserve"> </w:t>
      </w:r>
      <w:r w:rsidRPr="00A57F79">
        <w:tab/>
        <w:t>However, the 2021 LRDP d</w:t>
      </w:r>
      <w:r w:rsidRPr="00A57F79" w:rsidR="00551A60">
        <w:t xml:space="preserve">oes include a map </w:t>
      </w:r>
      <w:r w:rsidRPr="00A57F79">
        <w:t>ident</w:t>
      </w:r>
      <w:r w:rsidRPr="00A57F79" w:rsidR="00551A60">
        <w:t>ifying</w:t>
      </w:r>
      <w:r w:rsidRPr="00A57F79">
        <w:t xml:space="preserve"> specific sites for potential development, including the </w:t>
      </w:r>
      <w:r w:rsidRPr="00A57F79" w:rsidR="003653DF">
        <w:t xml:space="preserve">People’s Park site </w:t>
      </w:r>
      <w:r w:rsidRPr="00A57F79" w:rsidR="003A19A3">
        <w:t xml:space="preserve">on which </w:t>
      </w:r>
      <w:r w:rsidRPr="00A57F79" w:rsidR="003653DF">
        <w:t>Housing Project No.</w:t>
      </w:r>
      <w:r w:rsidRPr="00A57F79" w:rsidR="00025DBD">
        <w:t> </w:t>
      </w:r>
      <w:r w:rsidRPr="00A57F79" w:rsidR="003653DF">
        <w:t>2</w:t>
      </w:r>
      <w:r w:rsidRPr="00A57F79" w:rsidR="003A19A3">
        <w:t xml:space="preserve"> is planned to be built</w:t>
      </w:r>
      <w:r w:rsidRPr="00A57F79" w:rsidR="003653DF">
        <w:t>.</w:t>
      </w:r>
      <w:r w:rsidRPr="00A57F79">
        <w:t xml:space="preserve"> </w:t>
      </w:r>
    </w:p>
  </w:footnote>
  <w:footnote w:id="20">
    <w:p w:rsidR="00306675" w:rsidRPr="00A57F79" w:rsidP="00DC104D" w14:paraId="553BEE0B" w14:textId="77777777">
      <w:pPr>
        <w:pStyle w:val="FootnoteText"/>
      </w:pPr>
      <w:r w:rsidRPr="00A57F79">
        <w:rPr>
          <w:rStyle w:val="FootnoteReference"/>
        </w:rPr>
        <w:footnoteRef/>
      </w:r>
      <w:r w:rsidRPr="00A57F79">
        <w:t xml:space="preserve"> </w:t>
      </w:r>
      <w:r w:rsidRPr="00A57F79">
        <w:tab/>
        <w:t>See, e.g., Assem</w:t>
      </w:r>
      <w:r w:rsidR="00C456FB">
        <w:t>bly</w:t>
      </w:r>
      <w:r w:rsidRPr="00A57F79">
        <w:t xml:space="preserve"> Com</w:t>
      </w:r>
      <w:r w:rsidR="00C456FB">
        <w:t>mittee</w:t>
      </w:r>
      <w:r w:rsidRPr="00A57F79">
        <w:t xml:space="preserve"> on Natural Resources, Rep</w:t>
      </w:r>
      <w:r w:rsidR="00C456FB">
        <w:t>ort</w:t>
      </w:r>
      <w:r w:rsidRPr="00A57F79">
        <w:t xml:space="preserve"> on </w:t>
      </w:r>
      <w:bookmarkStart w:id="46" w:name="dabmci_5dda5eccc0e04278bdd58d9332a6b716"/>
      <w:r w:rsidRPr="00A57F79">
        <w:t>Assem</w:t>
      </w:r>
      <w:r w:rsidR="00C456FB">
        <w:t>bly</w:t>
      </w:r>
      <w:r w:rsidRPr="00A57F79">
        <w:t xml:space="preserve"> Bill No. 1307</w:t>
      </w:r>
      <w:bookmarkEnd w:id="46"/>
      <w:r w:rsidRPr="00A57F79">
        <w:t xml:space="preserve"> (2023–2024 Reg. Sess.) as amended Mar</w:t>
      </w:r>
      <w:r w:rsidR="002F0BD4">
        <w:t>ch</w:t>
      </w:r>
      <w:r w:rsidRPr="00A57F79">
        <w:t> 16, 2023, p</w:t>
      </w:r>
      <w:r w:rsidR="00C456FB">
        <w:t>age</w:t>
      </w:r>
      <w:r w:rsidRPr="00A57F79">
        <w:t> 2; Assem</w:t>
      </w:r>
      <w:r w:rsidR="00C456FB">
        <w:t>bly</w:t>
      </w:r>
      <w:r w:rsidRPr="00A57F79">
        <w:t xml:space="preserve"> Com</w:t>
      </w:r>
      <w:r w:rsidR="00C456FB">
        <w:t>mittee</w:t>
      </w:r>
      <w:r w:rsidRPr="00A57F79">
        <w:t xml:space="preserve"> on Appropriations, Rep</w:t>
      </w:r>
      <w:r w:rsidR="00C456FB">
        <w:t>ort</w:t>
      </w:r>
      <w:r w:rsidRPr="00A57F79">
        <w:t xml:space="preserve"> on </w:t>
      </w:r>
      <w:bookmarkStart w:id="47" w:name="dabmci_f136572c86dc44169436239520694d2a"/>
      <w:r w:rsidRPr="00A57F79">
        <w:t>Assem</w:t>
      </w:r>
      <w:r w:rsidR="00C456FB">
        <w:t>bly</w:t>
      </w:r>
      <w:r w:rsidRPr="00A57F79">
        <w:t xml:space="preserve"> Bill No. 1307</w:t>
      </w:r>
      <w:bookmarkEnd w:id="47"/>
      <w:r w:rsidRPr="00A57F79">
        <w:t xml:space="preserve"> (2023–2024 Reg. Sess.) as amended Mar</w:t>
      </w:r>
      <w:r w:rsidR="00273AAC">
        <w:t>c</w:t>
      </w:r>
      <w:r w:rsidR="002F0BD4">
        <w:t>h</w:t>
      </w:r>
      <w:r w:rsidRPr="00A57F79">
        <w:t> 16, 2023, p</w:t>
      </w:r>
      <w:r w:rsidR="00C456FB">
        <w:t>age</w:t>
      </w:r>
      <w:r w:rsidRPr="00A57F79">
        <w:t> 2; Sen</w:t>
      </w:r>
      <w:r w:rsidR="00C456FB">
        <w:t>ate</w:t>
      </w:r>
      <w:r w:rsidRPr="00A57F79">
        <w:t xml:space="preserve"> Com</w:t>
      </w:r>
      <w:r w:rsidR="00C456FB">
        <w:t>mittee</w:t>
      </w:r>
      <w:r w:rsidRPr="00A57F79">
        <w:t xml:space="preserve"> on Environmental Quality, Analysis of </w:t>
      </w:r>
      <w:bookmarkStart w:id="48" w:name="dabmci_16fef5f2c7c74254a5112a394c6cbd05"/>
      <w:r w:rsidRPr="00A57F79">
        <w:t>Assem</w:t>
      </w:r>
      <w:r w:rsidR="00C456FB">
        <w:t>bly</w:t>
      </w:r>
      <w:r w:rsidRPr="00A57F79">
        <w:t xml:space="preserve"> Bill No. 1307</w:t>
      </w:r>
      <w:bookmarkEnd w:id="48"/>
      <w:r w:rsidRPr="00A57F79">
        <w:t xml:space="preserve"> (2023–2024 Reg. Sess.) as amended May 18, 2023, p</w:t>
      </w:r>
      <w:r w:rsidR="00C456FB">
        <w:t>ages</w:t>
      </w:r>
      <w:r w:rsidRPr="00A57F79">
        <w:t> 2–3; Sen</w:t>
      </w:r>
      <w:r w:rsidR="00C456FB">
        <w:t>ate</w:t>
      </w:r>
      <w:r w:rsidRPr="00A57F79">
        <w:t xml:space="preserve"> Rules Com</w:t>
      </w:r>
      <w:r w:rsidR="00C456FB">
        <w:t>mittee</w:t>
      </w:r>
      <w:r w:rsidRPr="00A57F79">
        <w:t>, Off</w:t>
      </w:r>
      <w:r w:rsidR="00C456FB">
        <w:t>ice</w:t>
      </w:r>
      <w:r w:rsidRPr="00A57F79">
        <w:t xml:space="preserve"> of Sen</w:t>
      </w:r>
      <w:r w:rsidR="00C456FB">
        <w:t>ate</w:t>
      </w:r>
      <w:r w:rsidRPr="00A57F79">
        <w:t xml:space="preserve"> Floor Analyses, Analysis of </w:t>
      </w:r>
      <w:bookmarkStart w:id="49" w:name="dabmci_a3d97c3037c34bb1bb3c2524fbef061a"/>
      <w:r w:rsidRPr="00A57F79">
        <w:t>Assem</w:t>
      </w:r>
      <w:r w:rsidR="00C456FB">
        <w:t>bly</w:t>
      </w:r>
      <w:r w:rsidRPr="00A57F79">
        <w:t xml:space="preserve"> Bill No. 1307</w:t>
      </w:r>
      <w:bookmarkEnd w:id="49"/>
      <w:r w:rsidRPr="00A57F79">
        <w:t xml:space="preserve"> (2023–2024 Reg. Sess.) as amended Jun</w:t>
      </w:r>
      <w:r w:rsidR="00C456FB">
        <w:t>e</w:t>
      </w:r>
      <w:r w:rsidRPr="00A57F79">
        <w:t> </w:t>
      </w:r>
      <w:r w:rsidRPr="00A57F79" w:rsidR="003371AA">
        <w:t>2</w:t>
      </w:r>
      <w:r w:rsidR="003371AA">
        <w:t>6</w:t>
      </w:r>
      <w:r w:rsidRPr="00A57F79">
        <w:t>, 2023, p</w:t>
      </w:r>
      <w:r w:rsidR="00C456FB">
        <w:t>ages</w:t>
      </w:r>
      <w:r w:rsidRPr="00A57F79">
        <w:t> 5, 7, 9.</w:t>
      </w:r>
    </w:p>
  </w:footnote>
  <w:footnote w:id="21">
    <w:p w:rsidR="00736ABD" w:rsidRPr="00A57F79" w:rsidP="00DC104D" w14:paraId="553BEE0C" w14:textId="77777777">
      <w:pPr>
        <w:pStyle w:val="FootnoteText"/>
      </w:pPr>
      <w:r w:rsidRPr="00A57F79">
        <w:rPr>
          <w:rStyle w:val="FootnoteReference"/>
        </w:rPr>
        <w:footnoteRef/>
      </w:r>
      <w:r w:rsidRPr="00A57F79">
        <w:t xml:space="preserve"> </w:t>
      </w:r>
      <w:r w:rsidRPr="00A57F79" w:rsidR="00883843">
        <w:tab/>
      </w:r>
      <w:r w:rsidRPr="00A57F79">
        <w:rPr>
          <w:szCs w:val="26"/>
        </w:rPr>
        <w:t>Good Neighbor argues that this statement, which is repeated throughout several committee reports as the bill author’s statement</w:t>
      </w:r>
      <w:r w:rsidR="00C456FB">
        <w:rPr>
          <w:szCs w:val="26"/>
        </w:rPr>
        <w:t>,</w:t>
      </w:r>
      <w:r w:rsidRPr="00A57F79">
        <w:rPr>
          <w:szCs w:val="26"/>
        </w:rPr>
        <w:t xml:space="preserve"> “is not relevant to, much less dispositive of, the Court’s construction of new CEQA section 21085, because ‘statements of an individual legislator, including the author of a bill, are generally not considered in construing a statute, as the court’s task is to ascertain the intent of the Legislature as a whole in adopting a piece of legislation.’ ”  (Quoting </w:t>
      </w:r>
      <w:bookmarkStart w:id="54" w:name="dabmci_da5b6ae6a35348c6b11bb00090b05583"/>
      <w:r w:rsidRPr="00A57F79">
        <w:rPr>
          <w:i/>
          <w:iCs/>
          <w:szCs w:val="26"/>
        </w:rPr>
        <w:t xml:space="preserve">Quintano v. Mercury Casualty Co. </w:t>
      </w:r>
      <w:r w:rsidRPr="00A57F79">
        <w:rPr>
          <w:szCs w:val="26"/>
        </w:rPr>
        <w:t>(1995) 11</w:t>
      </w:r>
      <w:r w:rsidRPr="00A57F79" w:rsidR="00133F88">
        <w:rPr>
          <w:szCs w:val="26"/>
        </w:rPr>
        <w:t> </w:t>
      </w:r>
      <w:r w:rsidRPr="00A57F79">
        <w:rPr>
          <w:szCs w:val="26"/>
        </w:rPr>
        <w:t>Cal.4th 1049, 1062</w:t>
      </w:r>
      <w:bookmarkEnd w:id="54"/>
      <w:r w:rsidRPr="00A57F79">
        <w:rPr>
          <w:szCs w:val="26"/>
        </w:rPr>
        <w:t xml:space="preserve">.) </w:t>
      </w:r>
      <w:r w:rsidRPr="00A57F79" w:rsidR="0041308F">
        <w:rPr>
          <w:szCs w:val="26"/>
        </w:rPr>
        <w:t xml:space="preserve"> </w:t>
      </w:r>
      <w:r w:rsidRPr="00A57F79">
        <w:rPr>
          <w:szCs w:val="26"/>
        </w:rPr>
        <w:t>The contention is without merit.  “Where, as here, the author’s statements are part of committee materials</w:t>
      </w:r>
      <w:r w:rsidRPr="00A57F79" w:rsidR="003A17D0">
        <w:rPr>
          <w:szCs w:val="26"/>
        </w:rPr>
        <w:t> </w:t>
      </w:r>
      <w:r w:rsidRPr="00A57F79">
        <w:rPr>
          <w:szCs w:val="26"/>
        </w:rPr>
        <w:t>—</w:t>
      </w:r>
      <w:r w:rsidRPr="00A57F79" w:rsidR="00133F88">
        <w:rPr>
          <w:szCs w:val="26"/>
        </w:rPr>
        <w:t xml:space="preserve"> </w:t>
      </w:r>
      <w:r w:rsidRPr="00A57F79">
        <w:rPr>
          <w:szCs w:val="26"/>
        </w:rPr>
        <w:t>and are therefore relayed not merely as personal views, but instead as part of the Legislature’s consideration of the bill</w:t>
      </w:r>
      <w:r w:rsidRPr="00A57F79" w:rsidR="00133F88">
        <w:rPr>
          <w:szCs w:val="26"/>
        </w:rPr>
        <w:t> </w:t>
      </w:r>
      <w:r w:rsidRPr="00A57F79">
        <w:rPr>
          <w:szCs w:val="26"/>
        </w:rPr>
        <w:t>— they can serve as salient reflections of legislative purpose.”  (</w:t>
      </w:r>
      <w:bookmarkStart w:id="55" w:name="dabmci_dec94dd4526148ae8fb9932a80e820b1"/>
      <w:r w:rsidRPr="00A57F79">
        <w:rPr>
          <w:i/>
          <w:iCs/>
          <w:szCs w:val="26"/>
        </w:rPr>
        <w:t>McHugh v. Protective Life Ins. Co.</w:t>
      </w:r>
      <w:r w:rsidRPr="00A57F79">
        <w:rPr>
          <w:szCs w:val="26"/>
        </w:rPr>
        <w:t xml:space="preserve"> (2021) 12</w:t>
      </w:r>
      <w:r w:rsidRPr="00A57F79" w:rsidR="00AF612F">
        <w:rPr>
          <w:szCs w:val="26"/>
        </w:rPr>
        <w:t> </w:t>
      </w:r>
      <w:r w:rsidRPr="00A57F79">
        <w:rPr>
          <w:szCs w:val="26"/>
        </w:rPr>
        <w:t>Cal.5th 213, 241</w:t>
      </w:r>
      <w:bookmarkEnd w:id="55"/>
      <w:r w:rsidRPr="00A57F79">
        <w:rPr>
          <w:szCs w:val="26"/>
        </w:rPr>
        <w:t>.)  In interpreting legislation, this court has frequently relied on a statement of the bill’s author when such statement is contained in committee materials.  (See</w:t>
      </w:r>
      <w:r w:rsidRPr="00A57F79" w:rsidR="00001273">
        <w:rPr>
          <w:szCs w:val="26"/>
        </w:rPr>
        <w:t>,</w:t>
      </w:r>
      <w:r w:rsidRPr="00A57F79">
        <w:rPr>
          <w:szCs w:val="26"/>
        </w:rPr>
        <w:t xml:space="preserve"> e.g., </w:t>
      </w:r>
      <w:bookmarkStart w:id="56" w:name="dabmci_5228b1e6efe946aeae87a07555032140"/>
      <w:r w:rsidRPr="00A57F79">
        <w:rPr>
          <w:i/>
          <w:iCs/>
          <w:szCs w:val="26"/>
        </w:rPr>
        <w:t>People v. Braden</w:t>
      </w:r>
      <w:r w:rsidRPr="00A57F79">
        <w:rPr>
          <w:szCs w:val="26"/>
        </w:rPr>
        <w:t xml:space="preserve"> (2023) 14</w:t>
      </w:r>
      <w:r w:rsidRPr="00A57F79" w:rsidR="00AF612F">
        <w:rPr>
          <w:szCs w:val="26"/>
        </w:rPr>
        <w:t> </w:t>
      </w:r>
      <w:r w:rsidRPr="00A57F79">
        <w:rPr>
          <w:szCs w:val="26"/>
        </w:rPr>
        <w:t>Cal.5th 791, 820</w:t>
      </w:r>
      <w:bookmarkEnd w:id="56"/>
      <w:r w:rsidRPr="00A57F79">
        <w:rPr>
          <w:szCs w:val="26"/>
        </w:rPr>
        <w:t xml:space="preserve">; </w:t>
      </w:r>
      <w:bookmarkStart w:id="57" w:name="dabmci_5f1003e3935b4c4ca056664ee964704a"/>
      <w:r w:rsidRPr="00A57F79">
        <w:rPr>
          <w:i/>
          <w:iCs/>
          <w:szCs w:val="26"/>
        </w:rPr>
        <w:t>Smith</w:t>
      </w:r>
      <w:r w:rsidRPr="00997055">
        <w:rPr>
          <w:szCs w:val="26"/>
        </w:rPr>
        <w:t>,</w:t>
      </w:r>
      <w:r w:rsidRPr="00A57F79">
        <w:rPr>
          <w:i/>
          <w:iCs/>
          <w:szCs w:val="26"/>
        </w:rPr>
        <w:t xml:space="preserve"> supra</w:t>
      </w:r>
      <w:r w:rsidRPr="00997055">
        <w:rPr>
          <w:szCs w:val="26"/>
        </w:rPr>
        <w:t>,</w:t>
      </w:r>
      <w:r w:rsidRPr="00A57F79">
        <w:rPr>
          <w:i/>
          <w:iCs/>
          <w:szCs w:val="26"/>
        </w:rPr>
        <w:t xml:space="preserve"> </w:t>
      </w:r>
      <w:r w:rsidRPr="00A57F79">
        <w:rPr>
          <w:szCs w:val="26"/>
        </w:rPr>
        <w:t>11</w:t>
      </w:r>
      <w:r w:rsidRPr="00A57F79" w:rsidR="00AF612F">
        <w:rPr>
          <w:szCs w:val="26"/>
        </w:rPr>
        <w:t> </w:t>
      </w:r>
      <w:r w:rsidRPr="00A57F79">
        <w:rPr>
          <w:szCs w:val="26"/>
        </w:rPr>
        <w:t>Cal.5th at p.</w:t>
      </w:r>
      <w:r w:rsidRPr="00A57F79" w:rsidR="00AF612F">
        <w:rPr>
          <w:szCs w:val="26"/>
        </w:rPr>
        <w:t> </w:t>
      </w:r>
      <w:r w:rsidRPr="00A57F79">
        <w:rPr>
          <w:szCs w:val="26"/>
        </w:rPr>
        <w:t>197</w:t>
      </w:r>
      <w:bookmarkEnd w:id="57"/>
      <w:r w:rsidRPr="00A57F79">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04D" w14:paraId="553BEDF4" w14:textId="77777777">
    <w:pPr>
      <w:pStyle w:val="Header"/>
    </w:pPr>
    <w:r>
      <w:t xml:space="preserve">MAKE UC A GOOD NEIGHBOR v. </w:t>
    </w:r>
    <w:r w:rsidR="00642608">
      <w:t xml:space="preserve">THE </w:t>
    </w:r>
    <w:r>
      <w:t xml:space="preserve">REGENTS OF </w:t>
    </w:r>
    <w:r w:rsidR="001E3D39">
      <w:t xml:space="preserve">THE </w:t>
    </w:r>
    <w:r>
      <w:t>UNIVERSITY OF CALIFORNIA</w:t>
    </w:r>
  </w:p>
  <w:p w:rsidR="00DC104D" w14:paraId="553BEDF5" w14:textId="77777777">
    <w:pPr>
      <w:pStyle w:val="Header"/>
    </w:pPr>
    <w:r>
      <w:t>Opinion of the Court by Guerrero, C. J.</w:t>
    </w:r>
  </w:p>
  <w:p w:rsidR="00DC104D" w14:paraId="553BED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18" w:rsidRPr="00B10218" w:rsidP="00B10218" w14:paraId="628DC1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02386F"/>
    <w:multiLevelType w:val="hybridMultilevel"/>
    <w:tmpl w:val="514080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79"/>
    <w:rsid w:val="0000047C"/>
    <w:rsid w:val="000007E4"/>
    <w:rsid w:val="00001139"/>
    <w:rsid w:val="00001273"/>
    <w:rsid w:val="00001F39"/>
    <w:rsid w:val="0000207A"/>
    <w:rsid w:val="00002155"/>
    <w:rsid w:val="00002C46"/>
    <w:rsid w:val="00002F17"/>
    <w:rsid w:val="00003281"/>
    <w:rsid w:val="000036A0"/>
    <w:rsid w:val="00003730"/>
    <w:rsid w:val="00004D5E"/>
    <w:rsid w:val="00004F7D"/>
    <w:rsid w:val="0000513E"/>
    <w:rsid w:val="000051F7"/>
    <w:rsid w:val="0000524F"/>
    <w:rsid w:val="00005410"/>
    <w:rsid w:val="00005DDB"/>
    <w:rsid w:val="00006815"/>
    <w:rsid w:val="0000691C"/>
    <w:rsid w:val="000069E1"/>
    <w:rsid w:val="00006EEB"/>
    <w:rsid w:val="000075A8"/>
    <w:rsid w:val="000079CD"/>
    <w:rsid w:val="000100E0"/>
    <w:rsid w:val="00010E4C"/>
    <w:rsid w:val="000110F3"/>
    <w:rsid w:val="00011147"/>
    <w:rsid w:val="00011375"/>
    <w:rsid w:val="00011D02"/>
    <w:rsid w:val="00012201"/>
    <w:rsid w:val="00012597"/>
    <w:rsid w:val="00012708"/>
    <w:rsid w:val="0001297B"/>
    <w:rsid w:val="00012A71"/>
    <w:rsid w:val="00012E34"/>
    <w:rsid w:val="0001353D"/>
    <w:rsid w:val="00013D4C"/>
    <w:rsid w:val="00014C77"/>
    <w:rsid w:val="00015637"/>
    <w:rsid w:val="0001564A"/>
    <w:rsid w:val="0001583E"/>
    <w:rsid w:val="00015C04"/>
    <w:rsid w:val="000164E7"/>
    <w:rsid w:val="00016612"/>
    <w:rsid w:val="000167C1"/>
    <w:rsid w:val="00016D74"/>
    <w:rsid w:val="00016E78"/>
    <w:rsid w:val="000171AB"/>
    <w:rsid w:val="000173CA"/>
    <w:rsid w:val="0001743D"/>
    <w:rsid w:val="00017742"/>
    <w:rsid w:val="00017AB3"/>
    <w:rsid w:val="000200B5"/>
    <w:rsid w:val="00020651"/>
    <w:rsid w:val="000207C3"/>
    <w:rsid w:val="00020C94"/>
    <w:rsid w:val="000214B2"/>
    <w:rsid w:val="00021642"/>
    <w:rsid w:val="000220F6"/>
    <w:rsid w:val="0002210F"/>
    <w:rsid w:val="000226E0"/>
    <w:rsid w:val="00022768"/>
    <w:rsid w:val="00022E26"/>
    <w:rsid w:val="000239FE"/>
    <w:rsid w:val="00023C7F"/>
    <w:rsid w:val="00023F0F"/>
    <w:rsid w:val="000240EB"/>
    <w:rsid w:val="0002416B"/>
    <w:rsid w:val="000243A7"/>
    <w:rsid w:val="0002479F"/>
    <w:rsid w:val="00024AF5"/>
    <w:rsid w:val="00024B1B"/>
    <w:rsid w:val="00024DC3"/>
    <w:rsid w:val="00025373"/>
    <w:rsid w:val="00025859"/>
    <w:rsid w:val="000258B6"/>
    <w:rsid w:val="00025DBD"/>
    <w:rsid w:val="0002600C"/>
    <w:rsid w:val="000260C3"/>
    <w:rsid w:val="00026E2D"/>
    <w:rsid w:val="000271C4"/>
    <w:rsid w:val="000279BD"/>
    <w:rsid w:val="00030274"/>
    <w:rsid w:val="000306D2"/>
    <w:rsid w:val="00030A26"/>
    <w:rsid w:val="00031341"/>
    <w:rsid w:val="00031ECC"/>
    <w:rsid w:val="0003219A"/>
    <w:rsid w:val="0003240E"/>
    <w:rsid w:val="0003367A"/>
    <w:rsid w:val="00033817"/>
    <w:rsid w:val="00033E60"/>
    <w:rsid w:val="00033FAE"/>
    <w:rsid w:val="00034018"/>
    <w:rsid w:val="00034E45"/>
    <w:rsid w:val="000364FE"/>
    <w:rsid w:val="00036BB7"/>
    <w:rsid w:val="00036C9F"/>
    <w:rsid w:val="00036E98"/>
    <w:rsid w:val="00037606"/>
    <w:rsid w:val="000403B2"/>
    <w:rsid w:val="0004047A"/>
    <w:rsid w:val="0004088C"/>
    <w:rsid w:val="00040F92"/>
    <w:rsid w:val="0004112A"/>
    <w:rsid w:val="00041290"/>
    <w:rsid w:val="0004165A"/>
    <w:rsid w:val="00041DAF"/>
    <w:rsid w:val="000422D7"/>
    <w:rsid w:val="00042541"/>
    <w:rsid w:val="0004263A"/>
    <w:rsid w:val="00042DBA"/>
    <w:rsid w:val="00042E78"/>
    <w:rsid w:val="00043184"/>
    <w:rsid w:val="0004384F"/>
    <w:rsid w:val="0004424E"/>
    <w:rsid w:val="0004451B"/>
    <w:rsid w:val="000445FD"/>
    <w:rsid w:val="000447CF"/>
    <w:rsid w:val="00044E0C"/>
    <w:rsid w:val="000451D0"/>
    <w:rsid w:val="00045BA1"/>
    <w:rsid w:val="00046746"/>
    <w:rsid w:val="00046889"/>
    <w:rsid w:val="000469A7"/>
    <w:rsid w:val="00046DAD"/>
    <w:rsid w:val="00046E45"/>
    <w:rsid w:val="0004737C"/>
    <w:rsid w:val="0004792C"/>
    <w:rsid w:val="0005022E"/>
    <w:rsid w:val="000508D7"/>
    <w:rsid w:val="000515C1"/>
    <w:rsid w:val="000519AC"/>
    <w:rsid w:val="00051C26"/>
    <w:rsid w:val="00053119"/>
    <w:rsid w:val="00053D1D"/>
    <w:rsid w:val="000544C5"/>
    <w:rsid w:val="00054BB9"/>
    <w:rsid w:val="0005516E"/>
    <w:rsid w:val="000553D7"/>
    <w:rsid w:val="00055C98"/>
    <w:rsid w:val="00056183"/>
    <w:rsid w:val="00056548"/>
    <w:rsid w:val="000566BC"/>
    <w:rsid w:val="00056965"/>
    <w:rsid w:val="00056D34"/>
    <w:rsid w:val="00057035"/>
    <w:rsid w:val="00057095"/>
    <w:rsid w:val="00057473"/>
    <w:rsid w:val="0005747D"/>
    <w:rsid w:val="00057567"/>
    <w:rsid w:val="00057A49"/>
    <w:rsid w:val="00057CF6"/>
    <w:rsid w:val="00060150"/>
    <w:rsid w:val="00060325"/>
    <w:rsid w:val="000610D3"/>
    <w:rsid w:val="000610EF"/>
    <w:rsid w:val="00061177"/>
    <w:rsid w:val="000616E2"/>
    <w:rsid w:val="00061FE8"/>
    <w:rsid w:val="000625AE"/>
    <w:rsid w:val="0006284E"/>
    <w:rsid w:val="00062AE7"/>
    <w:rsid w:val="00062C64"/>
    <w:rsid w:val="0006328F"/>
    <w:rsid w:val="000632B0"/>
    <w:rsid w:val="0006348E"/>
    <w:rsid w:val="000637CA"/>
    <w:rsid w:val="00063871"/>
    <w:rsid w:val="00063F13"/>
    <w:rsid w:val="00064483"/>
    <w:rsid w:val="000646A1"/>
    <w:rsid w:val="00064B71"/>
    <w:rsid w:val="00064BB0"/>
    <w:rsid w:val="00065954"/>
    <w:rsid w:val="00065989"/>
    <w:rsid w:val="00065D54"/>
    <w:rsid w:val="00065D83"/>
    <w:rsid w:val="0006709A"/>
    <w:rsid w:val="00067415"/>
    <w:rsid w:val="00067557"/>
    <w:rsid w:val="0006766C"/>
    <w:rsid w:val="0006790C"/>
    <w:rsid w:val="000703AB"/>
    <w:rsid w:val="00070D00"/>
    <w:rsid w:val="0007197A"/>
    <w:rsid w:val="00071B5D"/>
    <w:rsid w:val="00071CFF"/>
    <w:rsid w:val="00073EEA"/>
    <w:rsid w:val="00074220"/>
    <w:rsid w:val="00074286"/>
    <w:rsid w:val="0007473A"/>
    <w:rsid w:val="00074B56"/>
    <w:rsid w:val="00074F04"/>
    <w:rsid w:val="00075504"/>
    <w:rsid w:val="000766E9"/>
    <w:rsid w:val="000770E3"/>
    <w:rsid w:val="000773F5"/>
    <w:rsid w:val="0007742B"/>
    <w:rsid w:val="000777D1"/>
    <w:rsid w:val="00077BAA"/>
    <w:rsid w:val="00080072"/>
    <w:rsid w:val="00080246"/>
    <w:rsid w:val="00080764"/>
    <w:rsid w:val="00080B61"/>
    <w:rsid w:val="00080E25"/>
    <w:rsid w:val="000811F7"/>
    <w:rsid w:val="00081282"/>
    <w:rsid w:val="000812D6"/>
    <w:rsid w:val="000814C1"/>
    <w:rsid w:val="000815E0"/>
    <w:rsid w:val="00081A01"/>
    <w:rsid w:val="00081C92"/>
    <w:rsid w:val="00081DAE"/>
    <w:rsid w:val="00081F44"/>
    <w:rsid w:val="0008213C"/>
    <w:rsid w:val="000822CA"/>
    <w:rsid w:val="0008266C"/>
    <w:rsid w:val="00082CFC"/>
    <w:rsid w:val="00082F7E"/>
    <w:rsid w:val="0008318E"/>
    <w:rsid w:val="000835EC"/>
    <w:rsid w:val="00083B39"/>
    <w:rsid w:val="00083C66"/>
    <w:rsid w:val="000844FE"/>
    <w:rsid w:val="00085549"/>
    <w:rsid w:val="00085569"/>
    <w:rsid w:val="00085D8E"/>
    <w:rsid w:val="00086499"/>
    <w:rsid w:val="00087576"/>
    <w:rsid w:val="0008796D"/>
    <w:rsid w:val="00087ACB"/>
    <w:rsid w:val="00090BD8"/>
    <w:rsid w:val="00090D55"/>
    <w:rsid w:val="00091734"/>
    <w:rsid w:val="00091AA1"/>
    <w:rsid w:val="00091BCE"/>
    <w:rsid w:val="000921A9"/>
    <w:rsid w:val="0009258B"/>
    <w:rsid w:val="000926F7"/>
    <w:rsid w:val="000929AB"/>
    <w:rsid w:val="00092A97"/>
    <w:rsid w:val="00092AD1"/>
    <w:rsid w:val="0009303D"/>
    <w:rsid w:val="00093AFC"/>
    <w:rsid w:val="00094144"/>
    <w:rsid w:val="000943B6"/>
    <w:rsid w:val="000943DF"/>
    <w:rsid w:val="0009476F"/>
    <w:rsid w:val="000947F6"/>
    <w:rsid w:val="000950E9"/>
    <w:rsid w:val="0009512B"/>
    <w:rsid w:val="000952CD"/>
    <w:rsid w:val="000956DD"/>
    <w:rsid w:val="000961CF"/>
    <w:rsid w:val="00096213"/>
    <w:rsid w:val="0009658F"/>
    <w:rsid w:val="00096B36"/>
    <w:rsid w:val="00096D78"/>
    <w:rsid w:val="00096E04"/>
    <w:rsid w:val="00096EA9"/>
    <w:rsid w:val="00097610"/>
    <w:rsid w:val="000976C7"/>
    <w:rsid w:val="00097BCE"/>
    <w:rsid w:val="00097BD2"/>
    <w:rsid w:val="00097BE4"/>
    <w:rsid w:val="00097E26"/>
    <w:rsid w:val="00097F5E"/>
    <w:rsid w:val="000A0745"/>
    <w:rsid w:val="000A0C02"/>
    <w:rsid w:val="000A0D84"/>
    <w:rsid w:val="000A10D7"/>
    <w:rsid w:val="000A16F1"/>
    <w:rsid w:val="000A1930"/>
    <w:rsid w:val="000A1D1E"/>
    <w:rsid w:val="000A1D84"/>
    <w:rsid w:val="000A1EF2"/>
    <w:rsid w:val="000A1F3A"/>
    <w:rsid w:val="000A2458"/>
    <w:rsid w:val="000A24E5"/>
    <w:rsid w:val="000A37FA"/>
    <w:rsid w:val="000A3ABA"/>
    <w:rsid w:val="000A459B"/>
    <w:rsid w:val="000A4632"/>
    <w:rsid w:val="000A46E3"/>
    <w:rsid w:val="000A52B6"/>
    <w:rsid w:val="000A5757"/>
    <w:rsid w:val="000A665D"/>
    <w:rsid w:val="000A6707"/>
    <w:rsid w:val="000A689B"/>
    <w:rsid w:val="000A76C3"/>
    <w:rsid w:val="000A785F"/>
    <w:rsid w:val="000A78EE"/>
    <w:rsid w:val="000A798F"/>
    <w:rsid w:val="000B003B"/>
    <w:rsid w:val="000B0168"/>
    <w:rsid w:val="000B0714"/>
    <w:rsid w:val="000B0798"/>
    <w:rsid w:val="000B0D21"/>
    <w:rsid w:val="000B1211"/>
    <w:rsid w:val="000B1699"/>
    <w:rsid w:val="000B1760"/>
    <w:rsid w:val="000B18FF"/>
    <w:rsid w:val="000B278D"/>
    <w:rsid w:val="000B2EBA"/>
    <w:rsid w:val="000B31AB"/>
    <w:rsid w:val="000B32F8"/>
    <w:rsid w:val="000B44BA"/>
    <w:rsid w:val="000B4AB4"/>
    <w:rsid w:val="000B5641"/>
    <w:rsid w:val="000B6789"/>
    <w:rsid w:val="000B7250"/>
    <w:rsid w:val="000B73B7"/>
    <w:rsid w:val="000B743A"/>
    <w:rsid w:val="000B7487"/>
    <w:rsid w:val="000B74CC"/>
    <w:rsid w:val="000B785B"/>
    <w:rsid w:val="000B7861"/>
    <w:rsid w:val="000B7864"/>
    <w:rsid w:val="000B7C2F"/>
    <w:rsid w:val="000B7C61"/>
    <w:rsid w:val="000B7FB6"/>
    <w:rsid w:val="000C1158"/>
    <w:rsid w:val="000C150B"/>
    <w:rsid w:val="000C1795"/>
    <w:rsid w:val="000C1A1B"/>
    <w:rsid w:val="000C1A5F"/>
    <w:rsid w:val="000C2334"/>
    <w:rsid w:val="000C249C"/>
    <w:rsid w:val="000C2B58"/>
    <w:rsid w:val="000C377D"/>
    <w:rsid w:val="000C4A47"/>
    <w:rsid w:val="000C5059"/>
    <w:rsid w:val="000C5248"/>
    <w:rsid w:val="000C52C5"/>
    <w:rsid w:val="000C5BA8"/>
    <w:rsid w:val="000C5E23"/>
    <w:rsid w:val="000C6244"/>
    <w:rsid w:val="000C642A"/>
    <w:rsid w:val="000C6A33"/>
    <w:rsid w:val="000C6D38"/>
    <w:rsid w:val="000C71FE"/>
    <w:rsid w:val="000C743E"/>
    <w:rsid w:val="000C767A"/>
    <w:rsid w:val="000C789F"/>
    <w:rsid w:val="000C78BE"/>
    <w:rsid w:val="000D001E"/>
    <w:rsid w:val="000D0303"/>
    <w:rsid w:val="000D051E"/>
    <w:rsid w:val="000D0665"/>
    <w:rsid w:val="000D073F"/>
    <w:rsid w:val="000D09EA"/>
    <w:rsid w:val="000D0D7E"/>
    <w:rsid w:val="000D0DFA"/>
    <w:rsid w:val="000D0ED0"/>
    <w:rsid w:val="000D1322"/>
    <w:rsid w:val="000D2090"/>
    <w:rsid w:val="000D2186"/>
    <w:rsid w:val="000D2B94"/>
    <w:rsid w:val="000D30D4"/>
    <w:rsid w:val="000D320E"/>
    <w:rsid w:val="000D328C"/>
    <w:rsid w:val="000D3417"/>
    <w:rsid w:val="000D4194"/>
    <w:rsid w:val="000D475E"/>
    <w:rsid w:val="000D4AA0"/>
    <w:rsid w:val="000D4ED7"/>
    <w:rsid w:val="000D5596"/>
    <w:rsid w:val="000D6059"/>
    <w:rsid w:val="000D67D2"/>
    <w:rsid w:val="000D6B32"/>
    <w:rsid w:val="000D6D87"/>
    <w:rsid w:val="000D6E3F"/>
    <w:rsid w:val="000D789D"/>
    <w:rsid w:val="000E01D3"/>
    <w:rsid w:val="000E02A6"/>
    <w:rsid w:val="000E0C79"/>
    <w:rsid w:val="000E0F6A"/>
    <w:rsid w:val="000E13DC"/>
    <w:rsid w:val="000E143B"/>
    <w:rsid w:val="000E1A08"/>
    <w:rsid w:val="000E1B6F"/>
    <w:rsid w:val="000E1D65"/>
    <w:rsid w:val="000E1D8E"/>
    <w:rsid w:val="000E1F0A"/>
    <w:rsid w:val="000E2357"/>
    <w:rsid w:val="000E28AF"/>
    <w:rsid w:val="000E28D9"/>
    <w:rsid w:val="000E35E4"/>
    <w:rsid w:val="000E3737"/>
    <w:rsid w:val="000E47C6"/>
    <w:rsid w:val="000E48B3"/>
    <w:rsid w:val="000E48EB"/>
    <w:rsid w:val="000E4F08"/>
    <w:rsid w:val="000E5A42"/>
    <w:rsid w:val="000E6033"/>
    <w:rsid w:val="000E631A"/>
    <w:rsid w:val="000E63AD"/>
    <w:rsid w:val="000E6FE0"/>
    <w:rsid w:val="000E70EE"/>
    <w:rsid w:val="000E75FF"/>
    <w:rsid w:val="000E780C"/>
    <w:rsid w:val="000E791D"/>
    <w:rsid w:val="000F018B"/>
    <w:rsid w:val="000F01B0"/>
    <w:rsid w:val="000F04EE"/>
    <w:rsid w:val="000F05DB"/>
    <w:rsid w:val="000F074A"/>
    <w:rsid w:val="000F0FDF"/>
    <w:rsid w:val="000F140C"/>
    <w:rsid w:val="000F1647"/>
    <w:rsid w:val="000F1965"/>
    <w:rsid w:val="000F1C07"/>
    <w:rsid w:val="000F23F1"/>
    <w:rsid w:val="000F2CE1"/>
    <w:rsid w:val="000F2D4E"/>
    <w:rsid w:val="000F315B"/>
    <w:rsid w:val="000F443C"/>
    <w:rsid w:val="000F4679"/>
    <w:rsid w:val="000F4FAF"/>
    <w:rsid w:val="000F52BF"/>
    <w:rsid w:val="000F56FF"/>
    <w:rsid w:val="000F5B9B"/>
    <w:rsid w:val="000F638C"/>
    <w:rsid w:val="000F6CCF"/>
    <w:rsid w:val="000F7BCC"/>
    <w:rsid w:val="0010001D"/>
    <w:rsid w:val="001002C4"/>
    <w:rsid w:val="001003BD"/>
    <w:rsid w:val="001008B1"/>
    <w:rsid w:val="00101141"/>
    <w:rsid w:val="001011DC"/>
    <w:rsid w:val="00101684"/>
    <w:rsid w:val="001022FD"/>
    <w:rsid w:val="00102620"/>
    <w:rsid w:val="00102851"/>
    <w:rsid w:val="001028EB"/>
    <w:rsid w:val="00103027"/>
    <w:rsid w:val="001030F1"/>
    <w:rsid w:val="00103330"/>
    <w:rsid w:val="001038D6"/>
    <w:rsid w:val="00103DCE"/>
    <w:rsid w:val="001042C1"/>
    <w:rsid w:val="00104A05"/>
    <w:rsid w:val="00104A95"/>
    <w:rsid w:val="00104DE3"/>
    <w:rsid w:val="00104F6F"/>
    <w:rsid w:val="001052A0"/>
    <w:rsid w:val="00105630"/>
    <w:rsid w:val="00105BC6"/>
    <w:rsid w:val="00105EBB"/>
    <w:rsid w:val="00106E26"/>
    <w:rsid w:val="0010703E"/>
    <w:rsid w:val="001073AE"/>
    <w:rsid w:val="001074D8"/>
    <w:rsid w:val="00107A9A"/>
    <w:rsid w:val="00110131"/>
    <w:rsid w:val="001101F9"/>
    <w:rsid w:val="001107B2"/>
    <w:rsid w:val="001109D8"/>
    <w:rsid w:val="00111C1E"/>
    <w:rsid w:val="00111DC2"/>
    <w:rsid w:val="00111ED1"/>
    <w:rsid w:val="001124CC"/>
    <w:rsid w:val="00112691"/>
    <w:rsid w:val="00112C07"/>
    <w:rsid w:val="00112C54"/>
    <w:rsid w:val="00113897"/>
    <w:rsid w:val="0011447E"/>
    <w:rsid w:val="00114CFA"/>
    <w:rsid w:val="0011558B"/>
    <w:rsid w:val="001155C0"/>
    <w:rsid w:val="00115776"/>
    <w:rsid w:val="00115B82"/>
    <w:rsid w:val="0011602A"/>
    <w:rsid w:val="001174C2"/>
    <w:rsid w:val="00117992"/>
    <w:rsid w:val="00117AB0"/>
    <w:rsid w:val="0012034A"/>
    <w:rsid w:val="001205F2"/>
    <w:rsid w:val="00120C35"/>
    <w:rsid w:val="00120F33"/>
    <w:rsid w:val="00121242"/>
    <w:rsid w:val="001213A6"/>
    <w:rsid w:val="001213A8"/>
    <w:rsid w:val="00121425"/>
    <w:rsid w:val="001217EC"/>
    <w:rsid w:val="00121E82"/>
    <w:rsid w:val="00121F8D"/>
    <w:rsid w:val="00121FEA"/>
    <w:rsid w:val="00122100"/>
    <w:rsid w:val="0012284F"/>
    <w:rsid w:val="00122DC8"/>
    <w:rsid w:val="00123828"/>
    <w:rsid w:val="00123955"/>
    <w:rsid w:val="00123D3F"/>
    <w:rsid w:val="00124209"/>
    <w:rsid w:val="00124790"/>
    <w:rsid w:val="001247E2"/>
    <w:rsid w:val="00124AF4"/>
    <w:rsid w:val="00124CF8"/>
    <w:rsid w:val="00124EC0"/>
    <w:rsid w:val="00124EDA"/>
    <w:rsid w:val="00125463"/>
    <w:rsid w:val="001259EE"/>
    <w:rsid w:val="001259FF"/>
    <w:rsid w:val="00125A67"/>
    <w:rsid w:val="00125D1A"/>
    <w:rsid w:val="00125DC6"/>
    <w:rsid w:val="00125ED0"/>
    <w:rsid w:val="00125F02"/>
    <w:rsid w:val="00125F32"/>
    <w:rsid w:val="00126487"/>
    <w:rsid w:val="00126EAE"/>
    <w:rsid w:val="0012703C"/>
    <w:rsid w:val="00130091"/>
    <w:rsid w:val="0013016B"/>
    <w:rsid w:val="00130A6F"/>
    <w:rsid w:val="00130D9C"/>
    <w:rsid w:val="00131227"/>
    <w:rsid w:val="001314DE"/>
    <w:rsid w:val="001314E8"/>
    <w:rsid w:val="0013240E"/>
    <w:rsid w:val="00133EB2"/>
    <w:rsid w:val="00133F86"/>
    <w:rsid w:val="00133F88"/>
    <w:rsid w:val="00134945"/>
    <w:rsid w:val="0013502E"/>
    <w:rsid w:val="001359E0"/>
    <w:rsid w:val="00135CA3"/>
    <w:rsid w:val="00135E41"/>
    <w:rsid w:val="0013630B"/>
    <w:rsid w:val="0013671D"/>
    <w:rsid w:val="00136D64"/>
    <w:rsid w:val="001371D8"/>
    <w:rsid w:val="00137899"/>
    <w:rsid w:val="00137947"/>
    <w:rsid w:val="00137B2A"/>
    <w:rsid w:val="00137D42"/>
    <w:rsid w:val="00137E6E"/>
    <w:rsid w:val="0014044D"/>
    <w:rsid w:val="00140743"/>
    <w:rsid w:val="0014075D"/>
    <w:rsid w:val="00140A8E"/>
    <w:rsid w:val="00140F98"/>
    <w:rsid w:val="001413B0"/>
    <w:rsid w:val="0014143E"/>
    <w:rsid w:val="00141666"/>
    <w:rsid w:val="00141EF9"/>
    <w:rsid w:val="00141FC9"/>
    <w:rsid w:val="00142039"/>
    <w:rsid w:val="0014254B"/>
    <w:rsid w:val="001425C4"/>
    <w:rsid w:val="00142DC5"/>
    <w:rsid w:val="00142EF3"/>
    <w:rsid w:val="00143003"/>
    <w:rsid w:val="0014368D"/>
    <w:rsid w:val="00143DF5"/>
    <w:rsid w:val="00143F2D"/>
    <w:rsid w:val="001441DC"/>
    <w:rsid w:val="0014472D"/>
    <w:rsid w:val="001450C6"/>
    <w:rsid w:val="0014560B"/>
    <w:rsid w:val="001456DD"/>
    <w:rsid w:val="00145FEF"/>
    <w:rsid w:val="00146005"/>
    <w:rsid w:val="00146174"/>
    <w:rsid w:val="00146BB9"/>
    <w:rsid w:val="00146F28"/>
    <w:rsid w:val="00147262"/>
    <w:rsid w:val="001472D7"/>
    <w:rsid w:val="00147D01"/>
    <w:rsid w:val="00147FF1"/>
    <w:rsid w:val="00150146"/>
    <w:rsid w:val="001501D5"/>
    <w:rsid w:val="00150619"/>
    <w:rsid w:val="001509B1"/>
    <w:rsid w:val="00151196"/>
    <w:rsid w:val="001512C7"/>
    <w:rsid w:val="00151984"/>
    <w:rsid w:val="00151A54"/>
    <w:rsid w:val="001521F9"/>
    <w:rsid w:val="001525D3"/>
    <w:rsid w:val="00152A97"/>
    <w:rsid w:val="00152AEA"/>
    <w:rsid w:val="00153032"/>
    <w:rsid w:val="001539FA"/>
    <w:rsid w:val="00153D14"/>
    <w:rsid w:val="00154815"/>
    <w:rsid w:val="00154ACF"/>
    <w:rsid w:val="00154BA8"/>
    <w:rsid w:val="00154C4D"/>
    <w:rsid w:val="00154FB7"/>
    <w:rsid w:val="00155171"/>
    <w:rsid w:val="00155212"/>
    <w:rsid w:val="001559EB"/>
    <w:rsid w:val="00155BB9"/>
    <w:rsid w:val="00156558"/>
    <w:rsid w:val="00157451"/>
    <w:rsid w:val="00157CBE"/>
    <w:rsid w:val="00157F48"/>
    <w:rsid w:val="0016049B"/>
    <w:rsid w:val="00160F4C"/>
    <w:rsid w:val="001615F7"/>
    <w:rsid w:val="00161BDE"/>
    <w:rsid w:val="00161F00"/>
    <w:rsid w:val="001621FB"/>
    <w:rsid w:val="00162CFA"/>
    <w:rsid w:val="00162E81"/>
    <w:rsid w:val="00162EA0"/>
    <w:rsid w:val="00163268"/>
    <w:rsid w:val="00163338"/>
    <w:rsid w:val="001633CC"/>
    <w:rsid w:val="00163DD1"/>
    <w:rsid w:val="00164790"/>
    <w:rsid w:val="0016490D"/>
    <w:rsid w:val="00165648"/>
    <w:rsid w:val="00165C2C"/>
    <w:rsid w:val="0016617D"/>
    <w:rsid w:val="00166373"/>
    <w:rsid w:val="00166D24"/>
    <w:rsid w:val="00166F9D"/>
    <w:rsid w:val="00167498"/>
    <w:rsid w:val="001678B1"/>
    <w:rsid w:val="00167EEE"/>
    <w:rsid w:val="0017025B"/>
    <w:rsid w:val="001704C1"/>
    <w:rsid w:val="0017052B"/>
    <w:rsid w:val="0017066C"/>
    <w:rsid w:val="00170BAF"/>
    <w:rsid w:val="00171355"/>
    <w:rsid w:val="00171CAC"/>
    <w:rsid w:val="00172BB7"/>
    <w:rsid w:val="00172C14"/>
    <w:rsid w:val="00173025"/>
    <w:rsid w:val="0017338B"/>
    <w:rsid w:val="00173C8F"/>
    <w:rsid w:val="00173D75"/>
    <w:rsid w:val="001741ED"/>
    <w:rsid w:val="00174356"/>
    <w:rsid w:val="001745A8"/>
    <w:rsid w:val="001749CC"/>
    <w:rsid w:val="00175768"/>
    <w:rsid w:val="00175C7E"/>
    <w:rsid w:val="00175C85"/>
    <w:rsid w:val="00175F88"/>
    <w:rsid w:val="001767D6"/>
    <w:rsid w:val="00176B72"/>
    <w:rsid w:val="00176DB3"/>
    <w:rsid w:val="001772DA"/>
    <w:rsid w:val="00180295"/>
    <w:rsid w:val="00180E9E"/>
    <w:rsid w:val="00181480"/>
    <w:rsid w:val="00181713"/>
    <w:rsid w:val="001819CB"/>
    <w:rsid w:val="001825D7"/>
    <w:rsid w:val="00182931"/>
    <w:rsid w:val="00182F1A"/>
    <w:rsid w:val="0018334B"/>
    <w:rsid w:val="0018348F"/>
    <w:rsid w:val="0018418D"/>
    <w:rsid w:val="00184C0A"/>
    <w:rsid w:val="00184C30"/>
    <w:rsid w:val="00184DBE"/>
    <w:rsid w:val="00184FAD"/>
    <w:rsid w:val="00185AA7"/>
    <w:rsid w:val="00185B27"/>
    <w:rsid w:val="001864DF"/>
    <w:rsid w:val="0018781C"/>
    <w:rsid w:val="00187EC3"/>
    <w:rsid w:val="00187F5D"/>
    <w:rsid w:val="00187FEE"/>
    <w:rsid w:val="00190827"/>
    <w:rsid w:val="00190D2B"/>
    <w:rsid w:val="001913D7"/>
    <w:rsid w:val="00191835"/>
    <w:rsid w:val="00191F24"/>
    <w:rsid w:val="001921B0"/>
    <w:rsid w:val="0019223E"/>
    <w:rsid w:val="00192565"/>
    <w:rsid w:val="00192CAB"/>
    <w:rsid w:val="00193ACF"/>
    <w:rsid w:val="00194473"/>
    <w:rsid w:val="00194C25"/>
    <w:rsid w:val="00194C97"/>
    <w:rsid w:val="00194C9C"/>
    <w:rsid w:val="00194E90"/>
    <w:rsid w:val="001952FE"/>
    <w:rsid w:val="00195860"/>
    <w:rsid w:val="0019596D"/>
    <w:rsid w:val="00195A75"/>
    <w:rsid w:val="0019643A"/>
    <w:rsid w:val="00196975"/>
    <w:rsid w:val="00196D04"/>
    <w:rsid w:val="00196D0D"/>
    <w:rsid w:val="001975A9"/>
    <w:rsid w:val="00197A79"/>
    <w:rsid w:val="00197E2E"/>
    <w:rsid w:val="001A0030"/>
    <w:rsid w:val="001A0219"/>
    <w:rsid w:val="001A0655"/>
    <w:rsid w:val="001A0ACE"/>
    <w:rsid w:val="001A0B09"/>
    <w:rsid w:val="001A0BDA"/>
    <w:rsid w:val="001A0DC7"/>
    <w:rsid w:val="001A1084"/>
    <w:rsid w:val="001A1098"/>
    <w:rsid w:val="001A109B"/>
    <w:rsid w:val="001A180B"/>
    <w:rsid w:val="001A19CB"/>
    <w:rsid w:val="001A1BD5"/>
    <w:rsid w:val="001A1F97"/>
    <w:rsid w:val="001A2617"/>
    <w:rsid w:val="001A2818"/>
    <w:rsid w:val="001A2ABA"/>
    <w:rsid w:val="001A2BBC"/>
    <w:rsid w:val="001A2C0B"/>
    <w:rsid w:val="001A2E18"/>
    <w:rsid w:val="001A314D"/>
    <w:rsid w:val="001A3325"/>
    <w:rsid w:val="001A36F7"/>
    <w:rsid w:val="001A4510"/>
    <w:rsid w:val="001A4F66"/>
    <w:rsid w:val="001A52D0"/>
    <w:rsid w:val="001A54A0"/>
    <w:rsid w:val="001A6950"/>
    <w:rsid w:val="001A6CFE"/>
    <w:rsid w:val="001A6FE0"/>
    <w:rsid w:val="001A74F4"/>
    <w:rsid w:val="001A7ACA"/>
    <w:rsid w:val="001B0318"/>
    <w:rsid w:val="001B0911"/>
    <w:rsid w:val="001B0A6D"/>
    <w:rsid w:val="001B0C84"/>
    <w:rsid w:val="001B0D58"/>
    <w:rsid w:val="001B13CA"/>
    <w:rsid w:val="001B1781"/>
    <w:rsid w:val="001B202C"/>
    <w:rsid w:val="001B20E5"/>
    <w:rsid w:val="001B28B2"/>
    <w:rsid w:val="001B2D04"/>
    <w:rsid w:val="001B2F0D"/>
    <w:rsid w:val="001B3041"/>
    <w:rsid w:val="001B3727"/>
    <w:rsid w:val="001B387E"/>
    <w:rsid w:val="001B38C8"/>
    <w:rsid w:val="001B4013"/>
    <w:rsid w:val="001B45E4"/>
    <w:rsid w:val="001B4BD8"/>
    <w:rsid w:val="001B4DCF"/>
    <w:rsid w:val="001B543F"/>
    <w:rsid w:val="001B5485"/>
    <w:rsid w:val="001B69C6"/>
    <w:rsid w:val="001B6BFE"/>
    <w:rsid w:val="001B6C19"/>
    <w:rsid w:val="001B6D1C"/>
    <w:rsid w:val="001B72F8"/>
    <w:rsid w:val="001B741C"/>
    <w:rsid w:val="001B7627"/>
    <w:rsid w:val="001B76EE"/>
    <w:rsid w:val="001B7FA3"/>
    <w:rsid w:val="001C04AF"/>
    <w:rsid w:val="001C0AFE"/>
    <w:rsid w:val="001C0E31"/>
    <w:rsid w:val="001C180D"/>
    <w:rsid w:val="001C1855"/>
    <w:rsid w:val="001C196C"/>
    <w:rsid w:val="001C1F3D"/>
    <w:rsid w:val="001C27AE"/>
    <w:rsid w:val="001C2D4A"/>
    <w:rsid w:val="001C30B3"/>
    <w:rsid w:val="001C357E"/>
    <w:rsid w:val="001C4000"/>
    <w:rsid w:val="001C4292"/>
    <w:rsid w:val="001C4CE7"/>
    <w:rsid w:val="001C4E31"/>
    <w:rsid w:val="001C5AC5"/>
    <w:rsid w:val="001C5B5F"/>
    <w:rsid w:val="001C6E2A"/>
    <w:rsid w:val="001C7673"/>
    <w:rsid w:val="001C7DCA"/>
    <w:rsid w:val="001C7DD9"/>
    <w:rsid w:val="001C7FA1"/>
    <w:rsid w:val="001D0419"/>
    <w:rsid w:val="001D05A4"/>
    <w:rsid w:val="001D1834"/>
    <w:rsid w:val="001D1F2E"/>
    <w:rsid w:val="001D2AC5"/>
    <w:rsid w:val="001D2CBE"/>
    <w:rsid w:val="001D2F40"/>
    <w:rsid w:val="001D31EB"/>
    <w:rsid w:val="001D355E"/>
    <w:rsid w:val="001D3D08"/>
    <w:rsid w:val="001D3E85"/>
    <w:rsid w:val="001D3F95"/>
    <w:rsid w:val="001D4B9B"/>
    <w:rsid w:val="001D4F0C"/>
    <w:rsid w:val="001D5347"/>
    <w:rsid w:val="001D5567"/>
    <w:rsid w:val="001D5993"/>
    <w:rsid w:val="001D5BF9"/>
    <w:rsid w:val="001D5C17"/>
    <w:rsid w:val="001D5E03"/>
    <w:rsid w:val="001D5E0E"/>
    <w:rsid w:val="001D5E99"/>
    <w:rsid w:val="001D5FB6"/>
    <w:rsid w:val="001D605E"/>
    <w:rsid w:val="001D60FE"/>
    <w:rsid w:val="001D6503"/>
    <w:rsid w:val="001D6672"/>
    <w:rsid w:val="001D7136"/>
    <w:rsid w:val="001D7685"/>
    <w:rsid w:val="001D7865"/>
    <w:rsid w:val="001E01D1"/>
    <w:rsid w:val="001E07F3"/>
    <w:rsid w:val="001E08B6"/>
    <w:rsid w:val="001E1190"/>
    <w:rsid w:val="001E11D2"/>
    <w:rsid w:val="001E126B"/>
    <w:rsid w:val="001E13F4"/>
    <w:rsid w:val="001E15B0"/>
    <w:rsid w:val="001E2097"/>
    <w:rsid w:val="001E2642"/>
    <w:rsid w:val="001E29F2"/>
    <w:rsid w:val="001E3665"/>
    <w:rsid w:val="001E3986"/>
    <w:rsid w:val="001E3C83"/>
    <w:rsid w:val="001E3C9A"/>
    <w:rsid w:val="001E3D39"/>
    <w:rsid w:val="001E43AA"/>
    <w:rsid w:val="001E4D31"/>
    <w:rsid w:val="001E5446"/>
    <w:rsid w:val="001E55C5"/>
    <w:rsid w:val="001E5768"/>
    <w:rsid w:val="001E58F9"/>
    <w:rsid w:val="001E5D1F"/>
    <w:rsid w:val="001E6189"/>
    <w:rsid w:val="001E66E4"/>
    <w:rsid w:val="001E6C9D"/>
    <w:rsid w:val="001E6E61"/>
    <w:rsid w:val="001E7096"/>
    <w:rsid w:val="001E70D2"/>
    <w:rsid w:val="001E7105"/>
    <w:rsid w:val="001E7BBA"/>
    <w:rsid w:val="001E7F54"/>
    <w:rsid w:val="001E7FFD"/>
    <w:rsid w:val="001F0044"/>
    <w:rsid w:val="001F0BFA"/>
    <w:rsid w:val="001F1062"/>
    <w:rsid w:val="001F1989"/>
    <w:rsid w:val="001F1CD5"/>
    <w:rsid w:val="001F208D"/>
    <w:rsid w:val="001F234C"/>
    <w:rsid w:val="001F2BCC"/>
    <w:rsid w:val="001F3B71"/>
    <w:rsid w:val="001F461B"/>
    <w:rsid w:val="001F4B7A"/>
    <w:rsid w:val="001F4C19"/>
    <w:rsid w:val="001F5612"/>
    <w:rsid w:val="001F5896"/>
    <w:rsid w:val="001F6076"/>
    <w:rsid w:val="001F63CB"/>
    <w:rsid w:val="001F6F5E"/>
    <w:rsid w:val="001F7098"/>
    <w:rsid w:val="001F754D"/>
    <w:rsid w:val="001F7A81"/>
    <w:rsid w:val="00200553"/>
    <w:rsid w:val="00200E67"/>
    <w:rsid w:val="00201839"/>
    <w:rsid w:val="00201A26"/>
    <w:rsid w:val="00202200"/>
    <w:rsid w:val="002023B7"/>
    <w:rsid w:val="00202DAF"/>
    <w:rsid w:val="0020305A"/>
    <w:rsid w:val="002034B4"/>
    <w:rsid w:val="00203511"/>
    <w:rsid w:val="00203E1E"/>
    <w:rsid w:val="002042A1"/>
    <w:rsid w:val="00204562"/>
    <w:rsid w:val="00204755"/>
    <w:rsid w:val="002050BA"/>
    <w:rsid w:val="00205450"/>
    <w:rsid w:val="0020549F"/>
    <w:rsid w:val="002056C6"/>
    <w:rsid w:val="00206A4F"/>
    <w:rsid w:val="00206E6B"/>
    <w:rsid w:val="00211131"/>
    <w:rsid w:val="002115A6"/>
    <w:rsid w:val="002119EE"/>
    <w:rsid w:val="00211BC2"/>
    <w:rsid w:val="00212E68"/>
    <w:rsid w:val="00212E7E"/>
    <w:rsid w:val="00213387"/>
    <w:rsid w:val="00213466"/>
    <w:rsid w:val="002135A8"/>
    <w:rsid w:val="002143A3"/>
    <w:rsid w:val="002146F8"/>
    <w:rsid w:val="0021477F"/>
    <w:rsid w:val="00215134"/>
    <w:rsid w:val="00215149"/>
    <w:rsid w:val="00215552"/>
    <w:rsid w:val="00215739"/>
    <w:rsid w:val="00216784"/>
    <w:rsid w:val="00216D5B"/>
    <w:rsid w:val="00217435"/>
    <w:rsid w:val="00217885"/>
    <w:rsid w:val="00217AD6"/>
    <w:rsid w:val="00220C94"/>
    <w:rsid w:val="00220DDD"/>
    <w:rsid w:val="00220FB0"/>
    <w:rsid w:val="0022138F"/>
    <w:rsid w:val="00221466"/>
    <w:rsid w:val="0022178C"/>
    <w:rsid w:val="00222522"/>
    <w:rsid w:val="002229CD"/>
    <w:rsid w:val="00222D15"/>
    <w:rsid w:val="002233AF"/>
    <w:rsid w:val="0022393C"/>
    <w:rsid w:val="00223A4B"/>
    <w:rsid w:val="00223C8F"/>
    <w:rsid w:val="00223FF2"/>
    <w:rsid w:val="00224091"/>
    <w:rsid w:val="0022422E"/>
    <w:rsid w:val="002242A6"/>
    <w:rsid w:val="00225478"/>
    <w:rsid w:val="00225493"/>
    <w:rsid w:val="0022637A"/>
    <w:rsid w:val="0022656F"/>
    <w:rsid w:val="00226653"/>
    <w:rsid w:val="00227AD7"/>
    <w:rsid w:val="00227FB9"/>
    <w:rsid w:val="0023006D"/>
    <w:rsid w:val="00230302"/>
    <w:rsid w:val="0023031D"/>
    <w:rsid w:val="0023075C"/>
    <w:rsid w:val="00230994"/>
    <w:rsid w:val="00230BBF"/>
    <w:rsid w:val="00230F30"/>
    <w:rsid w:val="0023133E"/>
    <w:rsid w:val="00231498"/>
    <w:rsid w:val="00231843"/>
    <w:rsid w:val="0023195A"/>
    <w:rsid w:val="00231AB0"/>
    <w:rsid w:val="00231D47"/>
    <w:rsid w:val="00231E11"/>
    <w:rsid w:val="002330C5"/>
    <w:rsid w:val="00233C49"/>
    <w:rsid w:val="002340F3"/>
    <w:rsid w:val="002346DD"/>
    <w:rsid w:val="002347C0"/>
    <w:rsid w:val="00234EAA"/>
    <w:rsid w:val="00234F23"/>
    <w:rsid w:val="0023516E"/>
    <w:rsid w:val="00235C0B"/>
    <w:rsid w:val="00235D3F"/>
    <w:rsid w:val="00235DB6"/>
    <w:rsid w:val="0023636C"/>
    <w:rsid w:val="00236A3C"/>
    <w:rsid w:val="0023744E"/>
    <w:rsid w:val="002378BB"/>
    <w:rsid w:val="002378CF"/>
    <w:rsid w:val="00237FF1"/>
    <w:rsid w:val="00240252"/>
    <w:rsid w:val="002402BB"/>
    <w:rsid w:val="00241281"/>
    <w:rsid w:val="0024147B"/>
    <w:rsid w:val="002416DF"/>
    <w:rsid w:val="002417B0"/>
    <w:rsid w:val="00241838"/>
    <w:rsid w:val="0024192E"/>
    <w:rsid w:val="00241E96"/>
    <w:rsid w:val="0024223B"/>
    <w:rsid w:val="00242C22"/>
    <w:rsid w:val="00243390"/>
    <w:rsid w:val="00243767"/>
    <w:rsid w:val="0024463D"/>
    <w:rsid w:val="00244BAB"/>
    <w:rsid w:val="00244C63"/>
    <w:rsid w:val="00245116"/>
    <w:rsid w:val="002452ED"/>
    <w:rsid w:val="0024586F"/>
    <w:rsid w:val="00245A34"/>
    <w:rsid w:val="00245AEA"/>
    <w:rsid w:val="002460A3"/>
    <w:rsid w:val="00246163"/>
    <w:rsid w:val="00246242"/>
    <w:rsid w:val="00246A31"/>
    <w:rsid w:val="00246B5D"/>
    <w:rsid w:val="00246D5A"/>
    <w:rsid w:val="00246EE6"/>
    <w:rsid w:val="002473AC"/>
    <w:rsid w:val="002474F5"/>
    <w:rsid w:val="002479E7"/>
    <w:rsid w:val="002500D1"/>
    <w:rsid w:val="00250565"/>
    <w:rsid w:val="00250743"/>
    <w:rsid w:val="00250FDC"/>
    <w:rsid w:val="002521A7"/>
    <w:rsid w:val="00252214"/>
    <w:rsid w:val="00252636"/>
    <w:rsid w:val="002526FE"/>
    <w:rsid w:val="00252705"/>
    <w:rsid w:val="00252BDD"/>
    <w:rsid w:val="00252D24"/>
    <w:rsid w:val="0025319D"/>
    <w:rsid w:val="00253696"/>
    <w:rsid w:val="00253734"/>
    <w:rsid w:val="002538C7"/>
    <w:rsid w:val="002539F4"/>
    <w:rsid w:val="00253AE3"/>
    <w:rsid w:val="00254620"/>
    <w:rsid w:val="00254DDC"/>
    <w:rsid w:val="00254E56"/>
    <w:rsid w:val="00254E6C"/>
    <w:rsid w:val="0025533E"/>
    <w:rsid w:val="002556DD"/>
    <w:rsid w:val="002559C9"/>
    <w:rsid w:val="00255D7F"/>
    <w:rsid w:val="0025632B"/>
    <w:rsid w:val="002575EE"/>
    <w:rsid w:val="0025786A"/>
    <w:rsid w:val="00257E7C"/>
    <w:rsid w:val="002603C4"/>
    <w:rsid w:val="00260491"/>
    <w:rsid w:val="0026092D"/>
    <w:rsid w:val="00260B4C"/>
    <w:rsid w:val="00260FC5"/>
    <w:rsid w:val="0026121D"/>
    <w:rsid w:val="002614F8"/>
    <w:rsid w:val="00261CDF"/>
    <w:rsid w:val="00261D0F"/>
    <w:rsid w:val="00261D22"/>
    <w:rsid w:val="00261D9D"/>
    <w:rsid w:val="00261EAD"/>
    <w:rsid w:val="00261ED4"/>
    <w:rsid w:val="00261F6B"/>
    <w:rsid w:val="00262054"/>
    <w:rsid w:val="002624F4"/>
    <w:rsid w:val="00262711"/>
    <w:rsid w:val="0026278E"/>
    <w:rsid w:val="002629EB"/>
    <w:rsid w:val="002654F8"/>
    <w:rsid w:val="00265604"/>
    <w:rsid w:val="00265CD9"/>
    <w:rsid w:val="00265FA2"/>
    <w:rsid w:val="00266081"/>
    <w:rsid w:val="0026623E"/>
    <w:rsid w:val="00266E54"/>
    <w:rsid w:val="00266EAC"/>
    <w:rsid w:val="00266F99"/>
    <w:rsid w:val="00267B5A"/>
    <w:rsid w:val="00270D0C"/>
    <w:rsid w:val="00270E07"/>
    <w:rsid w:val="00271251"/>
    <w:rsid w:val="002712D1"/>
    <w:rsid w:val="00271799"/>
    <w:rsid w:val="00271CF2"/>
    <w:rsid w:val="002726E2"/>
    <w:rsid w:val="00272BFA"/>
    <w:rsid w:val="00273265"/>
    <w:rsid w:val="002733E9"/>
    <w:rsid w:val="00273AAC"/>
    <w:rsid w:val="00273C30"/>
    <w:rsid w:val="00273E20"/>
    <w:rsid w:val="002741C9"/>
    <w:rsid w:val="0027453E"/>
    <w:rsid w:val="00274CD3"/>
    <w:rsid w:val="00275462"/>
    <w:rsid w:val="00275518"/>
    <w:rsid w:val="002755AA"/>
    <w:rsid w:val="00275ED0"/>
    <w:rsid w:val="0027613D"/>
    <w:rsid w:val="0027639B"/>
    <w:rsid w:val="00276966"/>
    <w:rsid w:val="00276E11"/>
    <w:rsid w:val="002771C6"/>
    <w:rsid w:val="0027775F"/>
    <w:rsid w:val="00277978"/>
    <w:rsid w:val="00277A0A"/>
    <w:rsid w:val="00277CEC"/>
    <w:rsid w:val="00277EA8"/>
    <w:rsid w:val="0028149B"/>
    <w:rsid w:val="00281671"/>
    <w:rsid w:val="00281F42"/>
    <w:rsid w:val="00282163"/>
    <w:rsid w:val="002821BD"/>
    <w:rsid w:val="00282408"/>
    <w:rsid w:val="0028265C"/>
    <w:rsid w:val="002832C3"/>
    <w:rsid w:val="0028384D"/>
    <w:rsid w:val="00283D48"/>
    <w:rsid w:val="002843ED"/>
    <w:rsid w:val="00284DA2"/>
    <w:rsid w:val="00285031"/>
    <w:rsid w:val="002850D3"/>
    <w:rsid w:val="00285310"/>
    <w:rsid w:val="002853EA"/>
    <w:rsid w:val="0028587C"/>
    <w:rsid w:val="002858C3"/>
    <w:rsid w:val="002864C5"/>
    <w:rsid w:val="00286511"/>
    <w:rsid w:val="0028661D"/>
    <w:rsid w:val="0028685F"/>
    <w:rsid w:val="00286884"/>
    <w:rsid w:val="00286B01"/>
    <w:rsid w:val="00286C9A"/>
    <w:rsid w:val="0028721B"/>
    <w:rsid w:val="0028725B"/>
    <w:rsid w:val="002873E6"/>
    <w:rsid w:val="00287C3E"/>
    <w:rsid w:val="00290B3F"/>
    <w:rsid w:val="0029110C"/>
    <w:rsid w:val="002918AF"/>
    <w:rsid w:val="00291A3A"/>
    <w:rsid w:val="00291BE9"/>
    <w:rsid w:val="00291E41"/>
    <w:rsid w:val="0029211B"/>
    <w:rsid w:val="00292367"/>
    <w:rsid w:val="002923D4"/>
    <w:rsid w:val="002924B7"/>
    <w:rsid w:val="00292C2D"/>
    <w:rsid w:val="00292D9F"/>
    <w:rsid w:val="00293876"/>
    <w:rsid w:val="00293CB1"/>
    <w:rsid w:val="00293CF9"/>
    <w:rsid w:val="002949E0"/>
    <w:rsid w:val="00294DC3"/>
    <w:rsid w:val="00294E62"/>
    <w:rsid w:val="00294E9A"/>
    <w:rsid w:val="0029511C"/>
    <w:rsid w:val="002952E3"/>
    <w:rsid w:val="00296A5C"/>
    <w:rsid w:val="00297155"/>
    <w:rsid w:val="00297A0C"/>
    <w:rsid w:val="00297AC5"/>
    <w:rsid w:val="00297C12"/>
    <w:rsid w:val="00297EB9"/>
    <w:rsid w:val="00297EE1"/>
    <w:rsid w:val="002A0210"/>
    <w:rsid w:val="002A03AF"/>
    <w:rsid w:val="002A04EC"/>
    <w:rsid w:val="002A11E3"/>
    <w:rsid w:val="002A144F"/>
    <w:rsid w:val="002A1851"/>
    <w:rsid w:val="002A2011"/>
    <w:rsid w:val="002A2495"/>
    <w:rsid w:val="002A30A7"/>
    <w:rsid w:val="002A32AB"/>
    <w:rsid w:val="002A32F2"/>
    <w:rsid w:val="002A362A"/>
    <w:rsid w:val="002A415B"/>
    <w:rsid w:val="002A452D"/>
    <w:rsid w:val="002A4780"/>
    <w:rsid w:val="002A48DA"/>
    <w:rsid w:val="002A4965"/>
    <w:rsid w:val="002A49CE"/>
    <w:rsid w:val="002A5072"/>
    <w:rsid w:val="002A50ED"/>
    <w:rsid w:val="002A54A7"/>
    <w:rsid w:val="002A5B6E"/>
    <w:rsid w:val="002A5CE1"/>
    <w:rsid w:val="002A63B8"/>
    <w:rsid w:val="002A650F"/>
    <w:rsid w:val="002A66A8"/>
    <w:rsid w:val="002A67E7"/>
    <w:rsid w:val="002A6C71"/>
    <w:rsid w:val="002A6E0F"/>
    <w:rsid w:val="002A7625"/>
    <w:rsid w:val="002A7840"/>
    <w:rsid w:val="002A7A87"/>
    <w:rsid w:val="002B04E1"/>
    <w:rsid w:val="002B058C"/>
    <w:rsid w:val="002B05CA"/>
    <w:rsid w:val="002B05F6"/>
    <w:rsid w:val="002B1737"/>
    <w:rsid w:val="002B1912"/>
    <w:rsid w:val="002B1CD3"/>
    <w:rsid w:val="002B1D26"/>
    <w:rsid w:val="002B200A"/>
    <w:rsid w:val="002B26B7"/>
    <w:rsid w:val="002B29D6"/>
    <w:rsid w:val="002B3099"/>
    <w:rsid w:val="002B4016"/>
    <w:rsid w:val="002B46B2"/>
    <w:rsid w:val="002B51EA"/>
    <w:rsid w:val="002B5254"/>
    <w:rsid w:val="002B5698"/>
    <w:rsid w:val="002B585C"/>
    <w:rsid w:val="002B5DCD"/>
    <w:rsid w:val="002B5F57"/>
    <w:rsid w:val="002B6235"/>
    <w:rsid w:val="002B6458"/>
    <w:rsid w:val="002B6FD4"/>
    <w:rsid w:val="002B706B"/>
    <w:rsid w:val="002B735F"/>
    <w:rsid w:val="002B7719"/>
    <w:rsid w:val="002B77D1"/>
    <w:rsid w:val="002B7A42"/>
    <w:rsid w:val="002B7B64"/>
    <w:rsid w:val="002B7C9B"/>
    <w:rsid w:val="002C0696"/>
    <w:rsid w:val="002C06B9"/>
    <w:rsid w:val="002C074B"/>
    <w:rsid w:val="002C0942"/>
    <w:rsid w:val="002C0DC4"/>
    <w:rsid w:val="002C139C"/>
    <w:rsid w:val="002C159A"/>
    <w:rsid w:val="002C1651"/>
    <w:rsid w:val="002C18B7"/>
    <w:rsid w:val="002C2359"/>
    <w:rsid w:val="002C259C"/>
    <w:rsid w:val="002C314A"/>
    <w:rsid w:val="002C327A"/>
    <w:rsid w:val="002C3371"/>
    <w:rsid w:val="002C399E"/>
    <w:rsid w:val="002C3EF5"/>
    <w:rsid w:val="002C4098"/>
    <w:rsid w:val="002C413D"/>
    <w:rsid w:val="002C41D6"/>
    <w:rsid w:val="002C4B13"/>
    <w:rsid w:val="002C4DF2"/>
    <w:rsid w:val="002C53C5"/>
    <w:rsid w:val="002C5933"/>
    <w:rsid w:val="002C59BC"/>
    <w:rsid w:val="002C657D"/>
    <w:rsid w:val="002C6BF9"/>
    <w:rsid w:val="002C6E5A"/>
    <w:rsid w:val="002C6F21"/>
    <w:rsid w:val="002C7091"/>
    <w:rsid w:val="002C716E"/>
    <w:rsid w:val="002C7741"/>
    <w:rsid w:val="002C79FF"/>
    <w:rsid w:val="002C7EC0"/>
    <w:rsid w:val="002D024E"/>
    <w:rsid w:val="002D1447"/>
    <w:rsid w:val="002D1ED7"/>
    <w:rsid w:val="002D254E"/>
    <w:rsid w:val="002D3241"/>
    <w:rsid w:val="002D35BF"/>
    <w:rsid w:val="002D3609"/>
    <w:rsid w:val="002D38DA"/>
    <w:rsid w:val="002D3CB2"/>
    <w:rsid w:val="002D3E14"/>
    <w:rsid w:val="002D4182"/>
    <w:rsid w:val="002D4462"/>
    <w:rsid w:val="002D4FF8"/>
    <w:rsid w:val="002D58DD"/>
    <w:rsid w:val="002D5963"/>
    <w:rsid w:val="002D6002"/>
    <w:rsid w:val="002D636A"/>
    <w:rsid w:val="002D638B"/>
    <w:rsid w:val="002D646B"/>
    <w:rsid w:val="002D64F2"/>
    <w:rsid w:val="002D66B7"/>
    <w:rsid w:val="002D6700"/>
    <w:rsid w:val="002D6BA1"/>
    <w:rsid w:val="002D6BFA"/>
    <w:rsid w:val="002D6DE6"/>
    <w:rsid w:val="002D762C"/>
    <w:rsid w:val="002D7641"/>
    <w:rsid w:val="002D797F"/>
    <w:rsid w:val="002E0BC7"/>
    <w:rsid w:val="002E0C0C"/>
    <w:rsid w:val="002E0F39"/>
    <w:rsid w:val="002E1097"/>
    <w:rsid w:val="002E1B41"/>
    <w:rsid w:val="002E1BB0"/>
    <w:rsid w:val="002E1E3B"/>
    <w:rsid w:val="002E228B"/>
    <w:rsid w:val="002E2990"/>
    <w:rsid w:val="002E3171"/>
    <w:rsid w:val="002E3223"/>
    <w:rsid w:val="002E3915"/>
    <w:rsid w:val="002E3F77"/>
    <w:rsid w:val="002E3F81"/>
    <w:rsid w:val="002E42F9"/>
    <w:rsid w:val="002E4440"/>
    <w:rsid w:val="002E50AB"/>
    <w:rsid w:val="002E51B6"/>
    <w:rsid w:val="002E56A4"/>
    <w:rsid w:val="002E56D7"/>
    <w:rsid w:val="002E5AB4"/>
    <w:rsid w:val="002E5DC0"/>
    <w:rsid w:val="002E631A"/>
    <w:rsid w:val="002E66E5"/>
    <w:rsid w:val="002E6C69"/>
    <w:rsid w:val="002E6FFD"/>
    <w:rsid w:val="002E7E08"/>
    <w:rsid w:val="002F00AE"/>
    <w:rsid w:val="002F00E7"/>
    <w:rsid w:val="002F016E"/>
    <w:rsid w:val="002F020B"/>
    <w:rsid w:val="002F06D1"/>
    <w:rsid w:val="002F078E"/>
    <w:rsid w:val="002F09D9"/>
    <w:rsid w:val="002F0B61"/>
    <w:rsid w:val="002F0B98"/>
    <w:rsid w:val="002F0BD4"/>
    <w:rsid w:val="002F0F30"/>
    <w:rsid w:val="002F11A2"/>
    <w:rsid w:val="002F167A"/>
    <w:rsid w:val="002F1A27"/>
    <w:rsid w:val="002F1BA1"/>
    <w:rsid w:val="002F1C24"/>
    <w:rsid w:val="002F1DF1"/>
    <w:rsid w:val="002F244D"/>
    <w:rsid w:val="002F255C"/>
    <w:rsid w:val="002F26F3"/>
    <w:rsid w:val="002F27F8"/>
    <w:rsid w:val="002F3750"/>
    <w:rsid w:val="002F3A56"/>
    <w:rsid w:val="002F3D64"/>
    <w:rsid w:val="002F443B"/>
    <w:rsid w:val="002F4672"/>
    <w:rsid w:val="002F4989"/>
    <w:rsid w:val="002F4B2C"/>
    <w:rsid w:val="002F69DE"/>
    <w:rsid w:val="002F6BBF"/>
    <w:rsid w:val="002F73E7"/>
    <w:rsid w:val="002F7847"/>
    <w:rsid w:val="003000AF"/>
    <w:rsid w:val="003000E5"/>
    <w:rsid w:val="0030042E"/>
    <w:rsid w:val="0030045C"/>
    <w:rsid w:val="003004F3"/>
    <w:rsid w:val="003007CD"/>
    <w:rsid w:val="003007F4"/>
    <w:rsid w:val="00301050"/>
    <w:rsid w:val="0030147F"/>
    <w:rsid w:val="003014AD"/>
    <w:rsid w:val="003018D1"/>
    <w:rsid w:val="00301CBF"/>
    <w:rsid w:val="00301F35"/>
    <w:rsid w:val="003020BB"/>
    <w:rsid w:val="00302150"/>
    <w:rsid w:val="003021B8"/>
    <w:rsid w:val="003025CE"/>
    <w:rsid w:val="0030293D"/>
    <w:rsid w:val="00302BED"/>
    <w:rsid w:val="0030307E"/>
    <w:rsid w:val="0030326A"/>
    <w:rsid w:val="00303456"/>
    <w:rsid w:val="00303EDE"/>
    <w:rsid w:val="00303FE1"/>
    <w:rsid w:val="00304525"/>
    <w:rsid w:val="003045EF"/>
    <w:rsid w:val="00304ABC"/>
    <w:rsid w:val="00304FD6"/>
    <w:rsid w:val="003055DD"/>
    <w:rsid w:val="00305652"/>
    <w:rsid w:val="00305A3C"/>
    <w:rsid w:val="00306675"/>
    <w:rsid w:val="00306E6E"/>
    <w:rsid w:val="003071E1"/>
    <w:rsid w:val="0030720A"/>
    <w:rsid w:val="00307323"/>
    <w:rsid w:val="00307336"/>
    <w:rsid w:val="0030784E"/>
    <w:rsid w:val="00307938"/>
    <w:rsid w:val="003079C9"/>
    <w:rsid w:val="00307BB3"/>
    <w:rsid w:val="0031027C"/>
    <w:rsid w:val="00310534"/>
    <w:rsid w:val="00310A8E"/>
    <w:rsid w:val="00310C8C"/>
    <w:rsid w:val="003110B9"/>
    <w:rsid w:val="00311241"/>
    <w:rsid w:val="0031176D"/>
    <w:rsid w:val="003117E9"/>
    <w:rsid w:val="00311BBE"/>
    <w:rsid w:val="00311D4D"/>
    <w:rsid w:val="003124FD"/>
    <w:rsid w:val="00313335"/>
    <w:rsid w:val="00313542"/>
    <w:rsid w:val="00313687"/>
    <w:rsid w:val="003138E4"/>
    <w:rsid w:val="00313B8E"/>
    <w:rsid w:val="0031408D"/>
    <w:rsid w:val="003144DB"/>
    <w:rsid w:val="00314514"/>
    <w:rsid w:val="00314900"/>
    <w:rsid w:val="00314960"/>
    <w:rsid w:val="003151A4"/>
    <w:rsid w:val="0031523A"/>
    <w:rsid w:val="0031530D"/>
    <w:rsid w:val="0031557F"/>
    <w:rsid w:val="003155D3"/>
    <w:rsid w:val="0031566C"/>
    <w:rsid w:val="003159BE"/>
    <w:rsid w:val="00315EE0"/>
    <w:rsid w:val="0031672C"/>
    <w:rsid w:val="0031751D"/>
    <w:rsid w:val="00317523"/>
    <w:rsid w:val="0031755E"/>
    <w:rsid w:val="003175FA"/>
    <w:rsid w:val="00320BFF"/>
    <w:rsid w:val="003216E5"/>
    <w:rsid w:val="00321A38"/>
    <w:rsid w:val="003224F3"/>
    <w:rsid w:val="00322740"/>
    <w:rsid w:val="003232F8"/>
    <w:rsid w:val="003236FB"/>
    <w:rsid w:val="00323844"/>
    <w:rsid w:val="003238A6"/>
    <w:rsid w:val="00323EE8"/>
    <w:rsid w:val="003241A3"/>
    <w:rsid w:val="0032450F"/>
    <w:rsid w:val="003248EF"/>
    <w:rsid w:val="00324E47"/>
    <w:rsid w:val="003255F9"/>
    <w:rsid w:val="00325B26"/>
    <w:rsid w:val="00325B78"/>
    <w:rsid w:val="003261EC"/>
    <w:rsid w:val="00326583"/>
    <w:rsid w:val="00326C43"/>
    <w:rsid w:val="003273AE"/>
    <w:rsid w:val="003278D4"/>
    <w:rsid w:val="00330730"/>
    <w:rsid w:val="00330B5B"/>
    <w:rsid w:val="00330D92"/>
    <w:rsid w:val="0033104E"/>
    <w:rsid w:val="00331B25"/>
    <w:rsid w:val="00331ED7"/>
    <w:rsid w:val="00331F19"/>
    <w:rsid w:val="0033212A"/>
    <w:rsid w:val="00332ACD"/>
    <w:rsid w:val="00332FC3"/>
    <w:rsid w:val="00333177"/>
    <w:rsid w:val="003333FE"/>
    <w:rsid w:val="00333DA0"/>
    <w:rsid w:val="00334514"/>
    <w:rsid w:val="00334CA9"/>
    <w:rsid w:val="00334F1E"/>
    <w:rsid w:val="003351EA"/>
    <w:rsid w:val="003354FB"/>
    <w:rsid w:val="00336134"/>
    <w:rsid w:val="00336A58"/>
    <w:rsid w:val="00336BF0"/>
    <w:rsid w:val="00336C1C"/>
    <w:rsid w:val="003371AA"/>
    <w:rsid w:val="0033747C"/>
    <w:rsid w:val="00337ECC"/>
    <w:rsid w:val="00340273"/>
    <w:rsid w:val="00340340"/>
    <w:rsid w:val="003405CB"/>
    <w:rsid w:val="00340623"/>
    <w:rsid w:val="00340969"/>
    <w:rsid w:val="003418C2"/>
    <w:rsid w:val="00341A00"/>
    <w:rsid w:val="00341DAE"/>
    <w:rsid w:val="00341F51"/>
    <w:rsid w:val="0034269D"/>
    <w:rsid w:val="00342ACA"/>
    <w:rsid w:val="00343940"/>
    <w:rsid w:val="00343A44"/>
    <w:rsid w:val="00343A97"/>
    <w:rsid w:val="00344335"/>
    <w:rsid w:val="0034439C"/>
    <w:rsid w:val="00344798"/>
    <w:rsid w:val="00344891"/>
    <w:rsid w:val="00344AD0"/>
    <w:rsid w:val="00345102"/>
    <w:rsid w:val="003452CA"/>
    <w:rsid w:val="0034541A"/>
    <w:rsid w:val="003460FD"/>
    <w:rsid w:val="0034696B"/>
    <w:rsid w:val="00346B68"/>
    <w:rsid w:val="0034746D"/>
    <w:rsid w:val="003474FF"/>
    <w:rsid w:val="00347667"/>
    <w:rsid w:val="00347727"/>
    <w:rsid w:val="00347DDF"/>
    <w:rsid w:val="00347E91"/>
    <w:rsid w:val="003500B9"/>
    <w:rsid w:val="00350729"/>
    <w:rsid w:val="003507BB"/>
    <w:rsid w:val="00350FF9"/>
    <w:rsid w:val="003517E7"/>
    <w:rsid w:val="003519CD"/>
    <w:rsid w:val="00351A65"/>
    <w:rsid w:val="00351A80"/>
    <w:rsid w:val="00351EA4"/>
    <w:rsid w:val="0035262F"/>
    <w:rsid w:val="00353624"/>
    <w:rsid w:val="00353C4D"/>
    <w:rsid w:val="003540FC"/>
    <w:rsid w:val="00354B3D"/>
    <w:rsid w:val="00354E6D"/>
    <w:rsid w:val="0035565C"/>
    <w:rsid w:val="00355937"/>
    <w:rsid w:val="00355B10"/>
    <w:rsid w:val="00355CD0"/>
    <w:rsid w:val="003562C6"/>
    <w:rsid w:val="0035633E"/>
    <w:rsid w:val="003573D3"/>
    <w:rsid w:val="0035755B"/>
    <w:rsid w:val="00357638"/>
    <w:rsid w:val="00357FBC"/>
    <w:rsid w:val="00360371"/>
    <w:rsid w:val="003605F0"/>
    <w:rsid w:val="00360B17"/>
    <w:rsid w:val="00361393"/>
    <w:rsid w:val="0036175F"/>
    <w:rsid w:val="00361F67"/>
    <w:rsid w:val="0036200B"/>
    <w:rsid w:val="00362F26"/>
    <w:rsid w:val="0036398B"/>
    <w:rsid w:val="00363C61"/>
    <w:rsid w:val="003649F6"/>
    <w:rsid w:val="00364BB5"/>
    <w:rsid w:val="003653DF"/>
    <w:rsid w:val="00365504"/>
    <w:rsid w:val="00365A97"/>
    <w:rsid w:val="00365AFA"/>
    <w:rsid w:val="00366091"/>
    <w:rsid w:val="003666EB"/>
    <w:rsid w:val="003671ED"/>
    <w:rsid w:val="003672AB"/>
    <w:rsid w:val="00367439"/>
    <w:rsid w:val="00367450"/>
    <w:rsid w:val="00367495"/>
    <w:rsid w:val="00367769"/>
    <w:rsid w:val="00367988"/>
    <w:rsid w:val="00367E0F"/>
    <w:rsid w:val="003709EA"/>
    <w:rsid w:val="00371510"/>
    <w:rsid w:val="00371863"/>
    <w:rsid w:val="003718E7"/>
    <w:rsid w:val="003719C1"/>
    <w:rsid w:val="00371BDE"/>
    <w:rsid w:val="00371BE8"/>
    <w:rsid w:val="00371C4C"/>
    <w:rsid w:val="00373191"/>
    <w:rsid w:val="003733D9"/>
    <w:rsid w:val="003735D8"/>
    <w:rsid w:val="003739B2"/>
    <w:rsid w:val="00374552"/>
    <w:rsid w:val="00374AC2"/>
    <w:rsid w:val="00374B15"/>
    <w:rsid w:val="00375A0F"/>
    <w:rsid w:val="00375B0A"/>
    <w:rsid w:val="00376178"/>
    <w:rsid w:val="003763C0"/>
    <w:rsid w:val="0037647C"/>
    <w:rsid w:val="003766C8"/>
    <w:rsid w:val="00376DC3"/>
    <w:rsid w:val="0037715D"/>
    <w:rsid w:val="00377F3C"/>
    <w:rsid w:val="0038035A"/>
    <w:rsid w:val="003806F1"/>
    <w:rsid w:val="00380BAA"/>
    <w:rsid w:val="00381272"/>
    <w:rsid w:val="00381EA8"/>
    <w:rsid w:val="00381FB4"/>
    <w:rsid w:val="0038249A"/>
    <w:rsid w:val="00382906"/>
    <w:rsid w:val="0038298F"/>
    <w:rsid w:val="00382C7D"/>
    <w:rsid w:val="00382D6E"/>
    <w:rsid w:val="00383223"/>
    <w:rsid w:val="0038378D"/>
    <w:rsid w:val="003839D1"/>
    <w:rsid w:val="00383E46"/>
    <w:rsid w:val="00384551"/>
    <w:rsid w:val="003845F4"/>
    <w:rsid w:val="00384D5E"/>
    <w:rsid w:val="00385152"/>
    <w:rsid w:val="003851CA"/>
    <w:rsid w:val="0038534D"/>
    <w:rsid w:val="003858CE"/>
    <w:rsid w:val="003858F9"/>
    <w:rsid w:val="00385A50"/>
    <w:rsid w:val="00385A9C"/>
    <w:rsid w:val="00385BD8"/>
    <w:rsid w:val="00385FB3"/>
    <w:rsid w:val="00386E2B"/>
    <w:rsid w:val="00387106"/>
    <w:rsid w:val="00390AE9"/>
    <w:rsid w:val="00390E60"/>
    <w:rsid w:val="00391143"/>
    <w:rsid w:val="003916D0"/>
    <w:rsid w:val="00391D77"/>
    <w:rsid w:val="00391E15"/>
    <w:rsid w:val="00392441"/>
    <w:rsid w:val="0039257F"/>
    <w:rsid w:val="0039278A"/>
    <w:rsid w:val="00392967"/>
    <w:rsid w:val="00392A4F"/>
    <w:rsid w:val="00392B81"/>
    <w:rsid w:val="00393228"/>
    <w:rsid w:val="0039326F"/>
    <w:rsid w:val="00393567"/>
    <w:rsid w:val="00393C49"/>
    <w:rsid w:val="00393D84"/>
    <w:rsid w:val="003948F0"/>
    <w:rsid w:val="00394929"/>
    <w:rsid w:val="00394FC6"/>
    <w:rsid w:val="00395319"/>
    <w:rsid w:val="003955CB"/>
    <w:rsid w:val="003955EC"/>
    <w:rsid w:val="00395A90"/>
    <w:rsid w:val="00396356"/>
    <w:rsid w:val="00396756"/>
    <w:rsid w:val="003973EC"/>
    <w:rsid w:val="003974CB"/>
    <w:rsid w:val="00397A85"/>
    <w:rsid w:val="003A0136"/>
    <w:rsid w:val="003A0EB2"/>
    <w:rsid w:val="003A0FFB"/>
    <w:rsid w:val="003A11BD"/>
    <w:rsid w:val="003A12B5"/>
    <w:rsid w:val="003A1329"/>
    <w:rsid w:val="003A16DD"/>
    <w:rsid w:val="003A17D0"/>
    <w:rsid w:val="003A17FE"/>
    <w:rsid w:val="003A19A3"/>
    <w:rsid w:val="003A1F04"/>
    <w:rsid w:val="003A1F76"/>
    <w:rsid w:val="003A21A4"/>
    <w:rsid w:val="003A23C0"/>
    <w:rsid w:val="003A2489"/>
    <w:rsid w:val="003A2800"/>
    <w:rsid w:val="003A3252"/>
    <w:rsid w:val="003A386A"/>
    <w:rsid w:val="003A388A"/>
    <w:rsid w:val="003A3BED"/>
    <w:rsid w:val="003A3F51"/>
    <w:rsid w:val="003A4090"/>
    <w:rsid w:val="003A423C"/>
    <w:rsid w:val="003A425B"/>
    <w:rsid w:val="003A44EC"/>
    <w:rsid w:val="003A468D"/>
    <w:rsid w:val="003A4896"/>
    <w:rsid w:val="003A4A2E"/>
    <w:rsid w:val="003A4C00"/>
    <w:rsid w:val="003A4C22"/>
    <w:rsid w:val="003A4D47"/>
    <w:rsid w:val="003A4DCD"/>
    <w:rsid w:val="003A51D2"/>
    <w:rsid w:val="003A5352"/>
    <w:rsid w:val="003A5429"/>
    <w:rsid w:val="003A5750"/>
    <w:rsid w:val="003A57CF"/>
    <w:rsid w:val="003A599D"/>
    <w:rsid w:val="003A5F07"/>
    <w:rsid w:val="003A65FE"/>
    <w:rsid w:val="003A6615"/>
    <w:rsid w:val="003A6DB6"/>
    <w:rsid w:val="003A7209"/>
    <w:rsid w:val="003A76CD"/>
    <w:rsid w:val="003A7704"/>
    <w:rsid w:val="003A794F"/>
    <w:rsid w:val="003B0083"/>
    <w:rsid w:val="003B01B2"/>
    <w:rsid w:val="003B01EE"/>
    <w:rsid w:val="003B030D"/>
    <w:rsid w:val="003B0C99"/>
    <w:rsid w:val="003B1046"/>
    <w:rsid w:val="003B1AAD"/>
    <w:rsid w:val="003B1AD1"/>
    <w:rsid w:val="003B1C82"/>
    <w:rsid w:val="003B1DDB"/>
    <w:rsid w:val="003B1E6F"/>
    <w:rsid w:val="003B1FD9"/>
    <w:rsid w:val="003B222B"/>
    <w:rsid w:val="003B24A7"/>
    <w:rsid w:val="003B2681"/>
    <w:rsid w:val="003B2F70"/>
    <w:rsid w:val="003B31A3"/>
    <w:rsid w:val="003B3849"/>
    <w:rsid w:val="003B443C"/>
    <w:rsid w:val="003B4514"/>
    <w:rsid w:val="003B46EF"/>
    <w:rsid w:val="003B4AF7"/>
    <w:rsid w:val="003B4BFB"/>
    <w:rsid w:val="003B4F14"/>
    <w:rsid w:val="003B514E"/>
    <w:rsid w:val="003B53E7"/>
    <w:rsid w:val="003B56AE"/>
    <w:rsid w:val="003B5C18"/>
    <w:rsid w:val="003B5F47"/>
    <w:rsid w:val="003B618E"/>
    <w:rsid w:val="003B638D"/>
    <w:rsid w:val="003B6B3B"/>
    <w:rsid w:val="003B6C42"/>
    <w:rsid w:val="003B7C6D"/>
    <w:rsid w:val="003B7ED3"/>
    <w:rsid w:val="003B7EE3"/>
    <w:rsid w:val="003B7F00"/>
    <w:rsid w:val="003B7F88"/>
    <w:rsid w:val="003C02B5"/>
    <w:rsid w:val="003C04C7"/>
    <w:rsid w:val="003C0790"/>
    <w:rsid w:val="003C104F"/>
    <w:rsid w:val="003C1159"/>
    <w:rsid w:val="003C13C3"/>
    <w:rsid w:val="003C196D"/>
    <w:rsid w:val="003C19DF"/>
    <w:rsid w:val="003C1D37"/>
    <w:rsid w:val="003C1FB0"/>
    <w:rsid w:val="003C226C"/>
    <w:rsid w:val="003C272B"/>
    <w:rsid w:val="003C2CAF"/>
    <w:rsid w:val="003C2E20"/>
    <w:rsid w:val="003C3BD3"/>
    <w:rsid w:val="003C3C75"/>
    <w:rsid w:val="003C434E"/>
    <w:rsid w:val="003C529F"/>
    <w:rsid w:val="003C52FD"/>
    <w:rsid w:val="003C565F"/>
    <w:rsid w:val="003C575D"/>
    <w:rsid w:val="003C5F4E"/>
    <w:rsid w:val="003C6179"/>
    <w:rsid w:val="003C66B3"/>
    <w:rsid w:val="003C68BB"/>
    <w:rsid w:val="003C6B3B"/>
    <w:rsid w:val="003C6FEE"/>
    <w:rsid w:val="003C70D5"/>
    <w:rsid w:val="003C726D"/>
    <w:rsid w:val="003C7303"/>
    <w:rsid w:val="003C75BB"/>
    <w:rsid w:val="003D0850"/>
    <w:rsid w:val="003D1495"/>
    <w:rsid w:val="003D16A3"/>
    <w:rsid w:val="003D17AE"/>
    <w:rsid w:val="003D200D"/>
    <w:rsid w:val="003D291F"/>
    <w:rsid w:val="003D2C33"/>
    <w:rsid w:val="003D2D1B"/>
    <w:rsid w:val="003D2DB3"/>
    <w:rsid w:val="003D3BC2"/>
    <w:rsid w:val="003D3FAF"/>
    <w:rsid w:val="003D43B5"/>
    <w:rsid w:val="003D46DC"/>
    <w:rsid w:val="003D478A"/>
    <w:rsid w:val="003D4BCF"/>
    <w:rsid w:val="003D4F8B"/>
    <w:rsid w:val="003D53AB"/>
    <w:rsid w:val="003D596C"/>
    <w:rsid w:val="003D6384"/>
    <w:rsid w:val="003D6438"/>
    <w:rsid w:val="003D655F"/>
    <w:rsid w:val="003D663A"/>
    <w:rsid w:val="003D6FC6"/>
    <w:rsid w:val="003D74DE"/>
    <w:rsid w:val="003D7D61"/>
    <w:rsid w:val="003D7D91"/>
    <w:rsid w:val="003E057C"/>
    <w:rsid w:val="003E06F0"/>
    <w:rsid w:val="003E0DE5"/>
    <w:rsid w:val="003E15F1"/>
    <w:rsid w:val="003E1BEC"/>
    <w:rsid w:val="003E1F95"/>
    <w:rsid w:val="003E1FB7"/>
    <w:rsid w:val="003E2044"/>
    <w:rsid w:val="003E2178"/>
    <w:rsid w:val="003E2B36"/>
    <w:rsid w:val="003E2D6A"/>
    <w:rsid w:val="003E3404"/>
    <w:rsid w:val="003E38D2"/>
    <w:rsid w:val="003E3C23"/>
    <w:rsid w:val="003E42BA"/>
    <w:rsid w:val="003E4378"/>
    <w:rsid w:val="003E4637"/>
    <w:rsid w:val="003E4FB0"/>
    <w:rsid w:val="003E52F8"/>
    <w:rsid w:val="003E5774"/>
    <w:rsid w:val="003E5A36"/>
    <w:rsid w:val="003E5A67"/>
    <w:rsid w:val="003E5CE6"/>
    <w:rsid w:val="003E661A"/>
    <w:rsid w:val="003E6A6E"/>
    <w:rsid w:val="003E6FC3"/>
    <w:rsid w:val="003E7408"/>
    <w:rsid w:val="003E75EC"/>
    <w:rsid w:val="003E7F55"/>
    <w:rsid w:val="003F04A9"/>
    <w:rsid w:val="003F058A"/>
    <w:rsid w:val="003F140C"/>
    <w:rsid w:val="003F1631"/>
    <w:rsid w:val="003F1643"/>
    <w:rsid w:val="003F182A"/>
    <w:rsid w:val="003F1B82"/>
    <w:rsid w:val="003F1D8A"/>
    <w:rsid w:val="003F25B3"/>
    <w:rsid w:val="003F2935"/>
    <w:rsid w:val="003F3365"/>
    <w:rsid w:val="003F336D"/>
    <w:rsid w:val="003F348F"/>
    <w:rsid w:val="003F3512"/>
    <w:rsid w:val="003F3578"/>
    <w:rsid w:val="003F3A7F"/>
    <w:rsid w:val="003F3AE4"/>
    <w:rsid w:val="003F3FA6"/>
    <w:rsid w:val="003F442F"/>
    <w:rsid w:val="003F450C"/>
    <w:rsid w:val="003F46BB"/>
    <w:rsid w:val="003F4BCE"/>
    <w:rsid w:val="003F4C8E"/>
    <w:rsid w:val="003F54D9"/>
    <w:rsid w:val="003F5A0F"/>
    <w:rsid w:val="003F6E70"/>
    <w:rsid w:val="003F753E"/>
    <w:rsid w:val="003F76C0"/>
    <w:rsid w:val="003F7EB4"/>
    <w:rsid w:val="003F7F00"/>
    <w:rsid w:val="004002B2"/>
    <w:rsid w:val="0040036E"/>
    <w:rsid w:val="00400641"/>
    <w:rsid w:val="004006BA"/>
    <w:rsid w:val="00400E48"/>
    <w:rsid w:val="00400E53"/>
    <w:rsid w:val="00400E89"/>
    <w:rsid w:val="00400EBA"/>
    <w:rsid w:val="00400F9C"/>
    <w:rsid w:val="004014BE"/>
    <w:rsid w:val="004015E0"/>
    <w:rsid w:val="00401E68"/>
    <w:rsid w:val="0040204D"/>
    <w:rsid w:val="00402467"/>
    <w:rsid w:val="00402603"/>
    <w:rsid w:val="004028E1"/>
    <w:rsid w:val="00402DE5"/>
    <w:rsid w:val="00402FBA"/>
    <w:rsid w:val="00403108"/>
    <w:rsid w:val="004035BD"/>
    <w:rsid w:val="004037CC"/>
    <w:rsid w:val="0040386A"/>
    <w:rsid w:val="004039B0"/>
    <w:rsid w:val="00403BD4"/>
    <w:rsid w:val="00403F8A"/>
    <w:rsid w:val="0040427F"/>
    <w:rsid w:val="00404601"/>
    <w:rsid w:val="00404AC1"/>
    <w:rsid w:val="00404E25"/>
    <w:rsid w:val="0040501A"/>
    <w:rsid w:val="00405AD2"/>
    <w:rsid w:val="00405B3F"/>
    <w:rsid w:val="00405C78"/>
    <w:rsid w:val="00405D5D"/>
    <w:rsid w:val="004060BB"/>
    <w:rsid w:val="00406164"/>
    <w:rsid w:val="00406381"/>
    <w:rsid w:val="0040672B"/>
    <w:rsid w:val="0040681B"/>
    <w:rsid w:val="004068F1"/>
    <w:rsid w:val="004069F0"/>
    <w:rsid w:val="00406A4A"/>
    <w:rsid w:val="00406ABB"/>
    <w:rsid w:val="00406C03"/>
    <w:rsid w:val="00406ED2"/>
    <w:rsid w:val="00406F33"/>
    <w:rsid w:val="00407240"/>
    <w:rsid w:val="0040760A"/>
    <w:rsid w:val="00407744"/>
    <w:rsid w:val="00407967"/>
    <w:rsid w:val="00407A3A"/>
    <w:rsid w:val="00407CEA"/>
    <w:rsid w:val="00407D4C"/>
    <w:rsid w:val="00407D9E"/>
    <w:rsid w:val="0041013B"/>
    <w:rsid w:val="004102BA"/>
    <w:rsid w:val="004103A4"/>
    <w:rsid w:val="00410647"/>
    <w:rsid w:val="00410B71"/>
    <w:rsid w:val="00410E5B"/>
    <w:rsid w:val="004111E1"/>
    <w:rsid w:val="0041151E"/>
    <w:rsid w:val="00411650"/>
    <w:rsid w:val="00411EE2"/>
    <w:rsid w:val="00412B42"/>
    <w:rsid w:val="00412D3F"/>
    <w:rsid w:val="0041308F"/>
    <w:rsid w:val="00413C41"/>
    <w:rsid w:val="00413E67"/>
    <w:rsid w:val="00413FEA"/>
    <w:rsid w:val="004144C7"/>
    <w:rsid w:val="00414895"/>
    <w:rsid w:val="00414968"/>
    <w:rsid w:val="00414D95"/>
    <w:rsid w:val="00414E96"/>
    <w:rsid w:val="00415609"/>
    <w:rsid w:val="004156A3"/>
    <w:rsid w:val="004167E7"/>
    <w:rsid w:val="0041743D"/>
    <w:rsid w:val="004176B6"/>
    <w:rsid w:val="004178D4"/>
    <w:rsid w:val="00417E5D"/>
    <w:rsid w:val="00420146"/>
    <w:rsid w:val="0042019F"/>
    <w:rsid w:val="004201B4"/>
    <w:rsid w:val="00420234"/>
    <w:rsid w:val="00420385"/>
    <w:rsid w:val="004204D6"/>
    <w:rsid w:val="00420522"/>
    <w:rsid w:val="00420713"/>
    <w:rsid w:val="00421183"/>
    <w:rsid w:val="004211AF"/>
    <w:rsid w:val="00421BBD"/>
    <w:rsid w:val="00421D97"/>
    <w:rsid w:val="0042276B"/>
    <w:rsid w:val="00422883"/>
    <w:rsid w:val="00422D16"/>
    <w:rsid w:val="00424295"/>
    <w:rsid w:val="004244F9"/>
    <w:rsid w:val="00424ADF"/>
    <w:rsid w:val="00424D65"/>
    <w:rsid w:val="004254AD"/>
    <w:rsid w:val="004257A6"/>
    <w:rsid w:val="00425BD8"/>
    <w:rsid w:val="00425BFF"/>
    <w:rsid w:val="00425EDF"/>
    <w:rsid w:val="0042734F"/>
    <w:rsid w:val="004275C9"/>
    <w:rsid w:val="00427AB9"/>
    <w:rsid w:val="00427E5F"/>
    <w:rsid w:val="0043041F"/>
    <w:rsid w:val="00430674"/>
    <w:rsid w:val="0043084E"/>
    <w:rsid w:val="004317CA"/>
    <w:rsid w:val="00431939"/>
    <w:rsid w:val="00431BFD"/>
    <w:rsid w:val="00431F9F"/>
    <w:rsid w:val="0043297A"/>
    <w:rsid w:val="00432A77"/>
    <w:rsid w:val="00432BF6"/>
    <w:rsid w:val="00432D1E"/>
    <w:rsid w:val="004334BE"/>
    <w:rsid w:val="00433718"/>
    <w:rsid w:val="0043378E"/>
    <w:rsid w:val="004338B7"/>
    <w:rsid w:val="00433F7B"/>
    <w:rsid w:val="004342AF"/>
    <w:rsid w:val="0043444C"/>
    <w:rsid w:val="00434F55"/>
    <w:rsid w:val="00435AEC"/>
    <w:rsid w:val="00435C7E"/>
    <w:rsid w:val="00435EE9"/>
    <w:rsid w:val="004367F8"/>
    <w:rsid w:val="004368FD"/>
    <w:rsid w:val="00436AFD"/>
    <w:rsid w:val="00436B8B"/>
    <w:rsid w:val="00436BBC"/>
    <w:rsid w:val="00436ECE"/>
    <w:rsid w:val="00436F13"/>
    <w:rsid w:val="00437232"/>
    <w:rsid w:val="00437299"/>
    <w:rsid w:val="00437500"/>
    <w:rsid w:val="0044001A"/>
    <w:rsid w:val="0044081D"/>
    <w:rsid w:val="00440834"/>
    <w:rsid w:val="00440C45"/>
    <w:rsid w:val="0044139F"/>
    <w:rsid w:val="0044186B"/>
    <w:rsid w:val="00441887"/>
    <w:rsid w:val="00441C3A"/>
    <w:rsid w:val="00441FAE"/>
    <w:rsid w:val="004423BF"/>
    <w:rsid w:val="00442B6A"/>
    <w:rsid w:val="00442C53"/>
    <w:rsid w:val="00443A3B"/>
    <w:rsid w:val="00444508"/>
    <w:rsid w:val="0044491D"/>
    <w:rsid w:val="00445493"/>
    <w:rsid w:val="00445BF2"/>
    <w:rsid w:val="00445D9B"/>
    <w:rsid w:val="00445E72"/>
    <w:rsid w:val="00446896"/>
    <w:rsid w:val="004471BE"/>
    <w:rsid w:val="004475AA"/>
    <w:rsid w:val="004479C6"/>
    <w:rsid w:val="00450017"/>
    <w:rsid w:val="00450069"/>
    <w:rsid w:val="004500E5"/>
    <w:rsid w:val="0045015D"/>
    <w:rsid w:val="004511FF"/>
    <w:rsid w:val="0045158A"/>
    <w:rsid w:val="00451A60"/>
    <w:rsid w:val="00451D46"/>
    <w:rsid w:val="00451D5A"/>
    <w:rsid w:val="00451E85"/>
    <w:rsid w:val="00452820"/>
    <w:rsid w:val="00452FA7"/>
    <w:rsid w:val="00453C85"/>
    <w:rsid w:val="00453DB5"/>
    <w:rsid w:val="0045426B"/>
    <w:rsid w:val="00454D65"/>
    <w:rsid w:val="004551A6"/>
    <w:rsid w:val="004552C7"/>
    <w:rsid w:val="0045538C"/>
    <w:rsid w:val="00455669"/>
    <w:rsid w:val="00455991"/>
    <w:rsid w:val="00455C16"/>
    <w:rsid w:val="00456F07"/>
    <w:rsid w:val="00457346"/>
    <w:rsid w:val="00457775"/>
    <w:rsid w:val="004577D6"/>
    <w:rsid w:val="00457D5D"/>
    <w:rsid w:val="00457E22"/>
    <w:rsid w:val="00460178"/>
    <w:rsid w:val="00460260"/>
    <w:rsid w:val="004602D0"/>
    <w:rsid w:val="00460472"/>
    <w:rsid w:val="00460B09"/>
    <w:rsid w:val="00460D4C"/>
    <w:rsid w:val="00461384"/>
    <w:rsid w:val="004616F2"/>
    <w:rsid w:val="00461A72"/>
    <w:rsid w:val="0046276A"/>
    <w:rsid w:val="00462974"/>
    <w:rsid w:val="00462CA4"/>
    <w:rsid w:val="00462D4E"/>
    <w:rsid w:val="00463574"/>
    <w:rsid w:val="00464009"/>
    <w:rsid w:val="00464C3E"/>
    <w:rsid w:val="00464E2C"/>
    <w:rsid w:val="004651CF"/>
    <w:rsid w:val="0046534B"/>
    <w:rsid w:val="0046547D"/>
    <w:rsid w:val="0046564C"/>
    <w:rsid w:val="00465E5B"/>
    <w:rsid w:val="004667AB"/>
    <w:rsid w:val="00466B98"/>
    <w:rsid w:val="00466F53"/>
    <w:rsid w:val="004670DC"/>
    <w:rsid w:val="004670EF"/>
    <w:rsid w:val="004675A7"/>
    <w:rsid w:val="00467959"/>
    <w:rsid w:val="00467B1D"/>
    <w:rsid w:val="00467F73"/>
    <w:rsid w:val="0047038C"/>
    <w:rsid w:val="004704E0"/>
    <w:rsid w:val="00470BE3"/>
    <w:rsid w:val="00470D56"/>
    <w:rsid w:val="004710F6"/>
    <w:rsid w:val="00471FBE"/>
    <w:rsid w:val="004724CE"/>
    <w:rsid w:val="004727B7"/>
    <w:rsid w:val="004728E1"/>
    <w:rsid w:val="00473106"/>
    <w:rsid w:val="00473BF3"/>
    <w:rsid w:val="00474B7D"/>
    <w:rsid w:val="00474C81"/>
    <w:rsid w:val="004752B7"/>
    <w:rsid w:val="0047578D"/>
    <w:rsid w:val="004762C5"/>
    <w:rsid w:val="00476700"/>
    <w:rsid w:val="0047686D"/>
    <w:rsid w:val="00476F62"/>
    <w:rsid w:val="00476FC1"/>
    <w:rsid w:val="00477315"/>
    <w:rsid w:val="00477762"/>
    <w:rsid w:val="00477820"/>
    <w:rsid w:val="00477A93"/>
    <w:rsid w:val="00477AD2"/>
    <w:rsid w:val="00477DA0"/>
    <w:rsid w:val="00480178"/>
    <w:rsid w:val="00480849"/>
    <w:rsid w:val="004812EE"/>
    <w:rsid w:val="00481749"/>
    <w:rsid w:val="004818BC"/>
    <w:rsid w:val="00481B36"/>
    <w:rsid w:val="00482137"/>
    <w:rsid w:val="00482764"/>
    <w:rsid w:val="00482A4D"/>
    <w:rsid w:val="00483557"/>
    <w:rsid w:val="00483686"/>
    <w:rsid w:val="0048388B"/>
    <w:rsid w:val="00484187"/>
    <w:rsid w:val="00484548"/>
    <w:rsid w:val="00485062"/>
    <w:rsid w:val="0048509D"/>
    <w:rsid w:val="004850A9"/>
    <w:rsid w:val="004854E0"/>
    <w:rsid w:val="00485625"/>
    <w:rsid w:val="0048649A"/>
    <w:rsid w:val="00486E7B"/>
    <w:rsid w:val="00486F93"/>
    <w:rsid w:val="0048714A"/>
    <w:rsid w:val="004871A8"/>
    <w:rsid w:val="004871F8"/>
    <w:rsid w:val="004872CD"/>
    <w:rsid w:val="004875FD"/>
    <w:rsid w:val="0048782E"/>
    <w:rsid w:val="00487F29"/>
    <w:rsid w:val="004902F6"/>
    <w:rsid w:val="00490677"/>
    <w:rsid w:val="00490A4B"/>
    <w:rsid w:val="00490C78"/>
    <w:rsid w:val="004912BC"/>
    <w:rsid w:val="00491591"/>
    <w:rsid w:val="00491CFD"/>
    <w:rsid w:val="00491DC7"/>
    <w:rsid w:val="004928CB"/>
    <w:rsid w:val="00493F0E"/>
    <w:rsid w:val="00494384"/>
    <w:rsid w:val="00494503"/>
    <w:rsid w:val="00494B6D"/>
    <w:rsid w:val="004950E1"/>
    <w:rsid w:val="00495364"/>
    <w:rsid w:val="004953E6"/>
    <w:rsid w:val="0049563B"/>
    <w:rsid w:val="00496408"/>
    <w:rsid w:val="00496494"/>
    <w:rsid w:val="00496526"/>
    <w:rsid w:val="004965EE"/>
    <w:rsid w:val="00496BF0"/>
    <w:rsid w:val="00496D15"/>
    <w:rsid w:val="00497488"/>
    <w:rsid w:val="004974E7"/>
    <w:rsid w:val="004975EA"/>
    <w:rsid w:val="004978C9"/>
    <w:rsid w:val="00497C8C"/>
    <w:rsid w:val="004A04A1"/>
    <w:rsid w:val="004A07B1"/>
    <w:rsid w:val="004A0D9A"/>
    <w:rsid w:val="004A0E96"/>
    <w:rsid w:val="004A13CE"/>
    <w:rsid w:val="004A1565"/>
    <w:rsid w:val="004A19A6"/>
    <w:rsid w:val="004A1C96"/>
    <w:rsid w:val="004A1D48"/>
    <w:rsid w:val="004A1F63"/>
    <w:rsid w:val="004A23C5"/>
    <w:rsid w:val="004A2664"/>
    <w:rsid w:val="004A27EE"/>
    <w:rsid w:val="004A2DCE"/>
    <w:rsid w:val="004A30F5"/>
    <w:rsid w:val="004A35B6"/>
    <w:rsid w:val="004A3B14"/>
    <w:rsid w:val="004A41CD"/>
    <w:rsid w:val="004A42F9"/>
    <w:rsid w:val="004A4712"/>
    <w:rsid w:val="004A4AF2"/>
    <w:rsid w:val="004A4E98"/>
    <w:rsid w:val="004A5083"/>
    <w:rsid w:val="004A5438"/>
    <w:rsid w:val="004A6503"/>
    <w:rsid w:val="004A6A4B"/>
    <w:rsid w:val="004A73D9"/>
    <w:rsid w:val="004A7514"/>
    <w:rsid w:val="004A77D7"/>
    <w:rsid w:val="004A79E3"/>
    <w:rsid w:val="004A7CFD"/>
    <w:rsid w:val="004A7E18"/>
    <w:rsid w:val="004B0D19"/>
    <w:rsid w:val="004B0DA1"/>
    <w:rsid w:val="004B0DD6"/>
    <w:rsid w:val="004B0EDA"/>
    <w:rsid w:val="004B135D"/>
    <w:rsid w:val="004B1DC5"/>
    <w:rsid w:val="004B25C5"/>
    <w:rsid w:val="004B263F"/>
    <w:rsid w:val="004B2B03"/>
    <w:rsid w:val="004B3184"/>
    <w:rsid w:val="004B32EB"/>
    <w:rsid w:val="004B345B"/>
    <w:rsid w:val="004B3559"/>
    <w:rsid w:val="004B3593"/>
    <w:rsid w:val="004B363C"/>
    <w:rsid w:val="004B38F3"/>
    <w:rsid w:val="004B3DE4"/>
    <w:rsid w:val="004B41D5"/>
    <w:rsid w:val="004B4724"/>
    <w:rsid w:val="004B4B06"/>
    <w:rsid w:val="004B4DC4"/>
    <w:rsid w:val="004B4FD8"/>
    <w:rsid w:val="004B5050"/>
    <w:rsid w:val="004B522E"/>
    <w:rsid w:val="004B5307"/>
    <w:rsid w:val="004B5557"/>
    <w:rsid w:val="004B5AA6"/>
    <w:rsid w:val="004B5C39"/>
    <w:rsid w:val="004B5F43"/>
    <w:rsid w:val="004B64E9"/>
    <w:rsid w:val="004B6B93"/>
    <w:rsid w:val="004B6F6F"/>
    <w:rsid w:val="004B70D5"/>
    <w:rsid w:val="004B729B"/>
    <w:rsid w:val="004B738C"/>
    <w:rsid w:val="004B75E9"/>
    <w:rsid w:val="004B7B68"/>
    <w:rsid w:val="004B7C02"/>
    <w:rsid w:val="004C00A6"/>
    <w:rsid w:val="004C086B"/>
    <w:rsid w:val="004C0901"/>
    <w:rsid w:val="004C0ADF"/>
    <w:rsid w:val="004C0B70"/>
    <w:rsid w:val="004C0C47"/>
    <w:rsid w:val="004C1A78"/>
    <w:rsid w:val="004C1D8B"/>
    <w:rsid w:val="004C1EB8"/>
    <w:rsid w:val="004C22BC"/>
    <w:rsid w:val="004C276A"/>
    <w:rsid w:val="004C291E"/>
    <w:rsid w:val="004C2A2D"/>
    <w:rsid w:val="004C2D75"/>
    <w:rsid w:val="004C3173"/>
    <w:rsid w:val="004C3263"/>
    <w:rsid w:val="004C338D"/>
    <w:rsid w:val="004C38F6"/>
    <w:rsid w:val="004C3D42"/>
    <w:rsid w:val="004C3EE4"/>
    <w:rsid w:val="004C50A6"/>
    <w:rsid w:val="004C5179"/>
    <w:rsid w:val="004C5199"/>
    <w:rsid w:val="004C55FF"/>
    <w:rsid w:val="004C57ED"/>
    <w:rsid w:val="004C693D"/>
    <w:rsid w:val="004C73E6"/>
    <w:rsid w:val="004C7768"/>
    <w:rsid w:val="004C797E"/>
    <w:rsid w:val="004C79E0"/>
    <w:rsid w:val="004C7CCC"/>
    <w:rsid w:val="004D039C"/>
    <w:rsid w:val="004D08F6"/>
    <w:rsid w:val="004D10A7"/>
    <w:rsid w:val="004D16A1"/>
    <w:rsid w:val="004D204D"/>
    <w:rsid w:val="004D236E"/>
    <w:rsid w:val="004D2785"/>
    <w:rsid w:val="004D2A49"/>
    <w:rsid w:val="004D2C2D"/>
    <w:rsid w:val="004D2E74"/>
    <w:rsid w:val="004D369B"/>
    <w:rsid w:val="004D3799"/>
    <w:rsid w:val="004D37E1"/>
    <w:rsid w:val="004D3829"/>
    <w:rsid w:val="004D3AFD"/>
    <w:rsid w:val="004D4728"/>
    <w:rsid w:val="004D4C07"/>
    <w:rsid w:val="004D4C3D"/>
    <w:rsid w:val="004D4D0C"/>
    <w:rsid w:val="004D577B"/>
    <w:rsid w:val="004D5D8D"/>
    <w:rsid w:val="004D5DE7"/>
    <w:rsid w:val="004D6410"/>
    <w:rsid w:val="004D6588"/>
    <w:rsid w:val="004D68F8"/>
    <w:rsid w:val="004D6CF8"/>
    <w:rsid w:val="004D6F2A"/>
    <w:rsid w:val="004D7223"/>
    <w:rsid w:val="004D76B0"/>
    <w:rsid w:val="004D76B9"/>
    <w:rsid w:val="004D76D9"/>
    <w:rsid w:val="004D7B0A"/>
    <w:rsid w:val="004D7DD9"/>
    <w:rsid w:val="004E06C6"/>
    <w:rsid w:val="004E092E"/>
    <w:rsid w:val="004E0BB9"/>
    <w:rsid w:val="004E0D70"/>
    <w:rsid w:val="004E105A"/>
    <w:rsid w:val="004E1257"/>
    <w:rsid w:val="004E186C"/>
    <w:rsid w:val="004E1DDC"/>
    <w:rsid w:val="004E1E68"/>
    <w:rsid w:val="004E2899"/>
    <w:rsid w:val="004E2D0E"/>
    <w:rsid w:val="004E311A"/>
    <w:rsid w:val="004E355A"/>
    <w:rsid w:val="004E3ADE"/>
    <w:rsid w:val="004E46E4"/>
    <w:rsid w:val="004E4E70"/>
    <w:rsid w:val="004E5428"/>
    <w:rsid w:val="004E554E"/>
    <w:rsid w:val="004E56EB"/>
    <w:rsid w:val="004E597A"/>
    <w:rsid w:val="004E6368"/>
    <w:rsid w:val="004E663C"/>
    <w:rsid w:val="004E67F5"/>
    <w:rsid w:val="004E6D22"/>
    <w:rsid w:val="004E6D57"/>
    <w:rsid w:val="004E6E6D"/>
    <w:rsid w:val="004E6FF1"/>
    <w:rsid w:val="004E7152"/>
    <w:rsid w:val="004E7872"/>
    <w:rsid w:val="004E78DF"/>
    <w:rsid w:val="004E7E0C"/>
    <w:rsid w:val="004F00AE"/>
    <w:rsid w:val="004F084A"/>
    <w:rsid w:val="004F0855"/>
    <w:rsid w:val="004F0988"/>
    <w:rsid w:val="004F104A"/>
    <w:rsid w:val="004F12AC"/>
    <w:rsid w:val="004F19D8"/>
    <w:rsid w:val="004F1A91"/>
    <w:rsid w:val="004F1F86"/>
    <w:rsid w:val="004F247C"/>
    <w:rsid w:val="004F2690"/>
    <w:rsid w:val="004F2B5B"/>
    <w:rsid w:val="004F2D83"/>
    <w:rsid w:val="004F2F6D"/>
    <w:rsid w:val="004F2F9A"/>
    <w:rsid w:val="004F2FE3"/>
    <w:rsid w:val="004F31E0"/>
    <w:rsid w:val="004F3E22"/>
    <w:rsid w:val="004F406A"/>
    <w:rsid w:val="004F44E2"/>
    <w:rsid w:val="004F46F4"/>
    <w:rsid w:val="004F488E"/>
    <w:rsid w:val="004F48EF"/>
    <w:rsid w:val="004F5635"/>
    <w:rsid w:val="004F6B0C"/>
    <w:rsid w:val="004F6FFE"/>
    <w:rsid w:val="004F7099"/>
    <w:rsid w:val="004F7263"/>
    <w:rsid w:val="004F74D7"/>
    <w:rsid w:val="004F7764"/>
    <w:rsid w:val="004F7A7F"/>
    <w:rsid w:val="004F7B9F"/>
    <w:rsid w:val="005008DB"/>
    <w:rsid w:val="0050144B"/>
    <w:rsid w:val="00501831"/>
    <w:rsid w:val="00501C0B"/>
    <w:rsid w:val="00501E64"/>
    <w:rsid w:val="00502CE8"/>
    <w:rsid w:val="00502F85"/>
    <w:rsid w:val="00503C81"/>
    <w:rsid w:val="00504201"/>
    <w:rsid w:val="0050421D"/>
    <w:rsid w:val="00504287"/>
    <w:rsid w:val="00504290"/>
    <w:rsid w:val="0050481C"/>
    <w:rsid w:val="00504C57"/>
    <w:rsid w:val="00504E90"/>
    <w:rsid w:val="005053CD"/>
    <w:rsid w:val="0050561F"/>
    <w:rsid w:val="005057EE"/>
    <w:rsid w:val="00505BD4"/>
    <w:rsid w:val="00506032"/>
    <w:rsid w:val="005063A2"/>
    <w:rsid w:val="00506585"/>
    <w:rsid w:val="0050698B"/>
    <w:rsid w:val="00506B5E"/>
    <w:rsid w:val="005072AF"/>
    <w:rsid w:val="00507454"/>
    <w:rsid w:val="00507551"/>
    <w:rsid w:val="0050778B"/>
    <w:rsid w:val="005077A6"/>
    <w:rsid w:val="00507974"/>
    <w:rsid w:val="00507E67"/>
    <w:rsid w:val="0051012C"/>
    <w:rsid w:val="005106AC"/>
    <w:rsid w:val="005109D0"/>
    <w:rsid w:val="00510E59"/>
    <w:rsid w:val="005110A5"/>
    <w:rsid w:val="00511292"/>
    <w:rsid w:val="005117CA"/>
    <w:rsid w:val="00511B98"/>
    <w:rsid w:val="00512476"/>
    <w:rsid w:val="0051259D"/>
    <w:rsid w:val="0051268F"/>
    <w:rsid w:val="00513521"/>
    <w:rsid w:val="005138B8"/>
    <w:rsid w:val="00513DA3"/>
    <w:rsid w:val="00514791"/>
    <w:rsid w:val="00514BC8"/>
    <w:rsid w:val="00514BFD"/>
    <w:rsid w:val="00514DB9"/>
    <w:rsid w:val="00515790"/>
    <w:rsid w:val="005170B6"/>
    <w:rsid w:val="005171C2"/>
    <w:rsid w:val="005178D0"/>
    <w:rsid w:val="00520072"/>
    <w:rsid w:val="005201AD"/>
    <w:rsid w:val="00520340"/>
    <w:rsid w:val="005213CE"/>
    <w:rsid w:val="00521B10"/>
    <w:rsid w:val="00522677"/>
    <w:rsid w:val="00522A73"/>
    <w:rsid w:val="00523F09"/>
    <w:rsid w:val="00523FA1"/>
    <w:rsid w:val="0052432A"/>
    <w:rsid w:val="005243B9"/>
    <w:rsid w:val="00524BFD"/>
    <w:rsid w:val="00524F20"/>
    <w:rsid w:val="0052573D"/>
    <w:rsid w:val="00525C93"/>
    <w:rsid w:val="00525E31"/>
    <w:rsid w:val="00525F31"/>
    <w:rsid w:val="0052628A"/>
    <w:rsid w:val="005267AC"/>
    <w:rsid w:val="00526B3D"/>
    <w:rsid w:val="00526CFF"/>
    <w:rsid w:val="00526DF6"/>
    <w:rsid w:val="0052716C"/>
    <w:rsid w:val="0053083E"/>
    <w:rsid w:val="00530FEE"/>
    <w:rsid w:val="005310A2"/>
    <w:rsid w:val="005313ED"/>
    <w:rsid w:val="00531580"/>
    <w:rsid w:val="00531753"/>
    <w:rsid w:val="00531D73"/>
    <w:rsid w:val="00531E1F"/>
    <w:rsid w:val="005328B0"/>
    <w:rsid w:val="00533233"/>
    <w:rsid w:val="00533674"/>
    <w:rsid w:val="00533691"/>
    <w:rsid w:val="005337FF"/>
    <w:rsid w:val="00533DA7"/>
    <w:rsid w:val="00534ECA"/>
    <w:rsid w:val="00535198"/>
    <w:rsid w:val="005352CA"/>
    <w:rsid w:val="00536228"/>
    <w:rsid w:val="00536791"/>
    <w:rsid w:val="00536D8B"/>
    <w:rsid w:val="00536DB8"/>
    <w:rsid w:val="0053726B"/>
    <w:rsid w:val="00537B71"/>
    <w:rsid w:val="005407C1"/>
    <w:rsid w:val="005408C8"/>
    <w:rsid w:val="00540BCF"/>
    <w:rsid w:val="005414B2"/>
    <w:rsid w:val="00541683"/>
    <w:rsid w:val="00541719"/>
    <w:rsid w:val="00541A60"/>
    <w:rsid w:val="005421DF"/>
    <w:rsid w:val="0054227D"/>
    <w:rsid w:val="00542467"/>
    <w:rsid w:val="005427BF"/>
    <w:rsid w:val="00542DD2"/>
    <w:rsid w:val="00543014"/>
    <w:rsid w:val="00543733"/>
    <w:rsid w:val="005437E9"/>
    <w:rsid w:val="00543B9E"/>
    <w:rsid w:val="00544773"/>
    <w:rsid w:val="00544C1F"/>
    <w:rsid w:val="00544C96"/>
    <w:rsid w:val="00544E93"/>
    <w:rsid w:val="00545977"/>
    <w:rsid w:val="00545A53"/>
    <w:rsid w:val="00545C12"/>
    <w:rsid w:val="00545C30"/>
    <w:rsid w:val="00546269"/>
    <w:rsid w:val="00546B02"/>
    <w:rsid w:val="00547B28"/>
    <w:rsid w:val="00547CEA"/>
    <w:rsid w:val="00547F42"/>
    <w:rsid w:val="005503AF"/>
    <w:rsid w:val="0055091F"/>
    <w:rsid w:val="00550AE5"/>
    <w:rsid w:val="00550B56"/>
    <w:rsid w:val="00550C95"/>
    <w:rsid w:val="00550CDA"/>
    <w:rsid w:val="00551215"/>
    <w:rsid w:val="00551A60"/>
    <w:rsid w:val="00551D9B"/>
    <w:rsid w:val="00552104"/>
    <w:rsid w:val="00552214"/>
    <w:rsid w:val="005529F6"/>
    <w:rsid w:val="00552F67"/>
    <w:rsid w:val="00553D4E"/>
    <w:rsid w:val="00553DE3"/>
    <w:rsid w:val="00554C47"/>
    <w:rsid w:val="00554D16"/>
    <w:rsid w:val="005557BC"/>
    <w:rsid w:val="0055581D"/>
    <w:rsid w:val="00555B02"/>
    <w:rsid w:val="00555BAF"/>
    <w:rsid w:val="00555E1D"/>
    <w:rsid w:val="00556E85"/>
    <w:rsid w:val="00556EA9"/>
    <w:rsid w:val="005574D9"/>
    <w:rsid w:val="00557A87"/>
    <w:rsid w:val="00560254"/>
    <w:rsid w:val="005606BE"/>
    <w:rsid w:val="00560961"/>
    <w:rsid w:val="00561313"/>
    <w:rsid w:val="00561BA8"/>
    <w:rsid w:val="00561D8E"/>
    <w:rsid w:val="00561E36"/>
    <w:rsid w:val="00562444"/>
    <w:rsid w:val="00562543"/>
    <w:rsid w:val="00562EA2"/>
    <w:rsid w:val="005630D6"/>
    <w:rsid w:val="00563604"/>
    <w:rsid w:val="0056373A"/>
    <w:rsid w:val="00563BCE"/>
    <w:rsid w:val="00563C7C"/>
    <w:rsid w:val="00563D1C"/>
    <w:rsid w:val="005643FC"/>
    <w:rsid w:val="0056516E"/>
    <w:rsid w:val="0056528E"/>
    <w:rsid w:val="005654AC"/>
    <w:rsid w:val="005657F0"/>
    <w:rsid w:val="00565919"/>
    <w:rsid w:val="00566EF7"/>
    <w:rsid w:val="00566F2E"/>
    <w:rsid w:val="00567767"/>
    <w:rsid w:val="0056797B"/>
    <w:rsid w:val="00567B45"/>
    <w:rsid w:val="0057022B"/>
    <w:rsid w:val="005705CE"/>
    <w:rsid w:val="005709DC"/>
    <w:rsid w:val="00570D2F"/>
    <w:rsid w:val="00571619"/>
    <w:rsid w:val="00571935"/>
    <w:rsid w:val="00571C25"/>
    <w:rsid w:val="00572056"/>
    <w:rsid w:val="005720A6"/>
    <w:rsid w:val="0057284F"/>
    <w:rsid w:val="00572B69"/>
    <w:rsid w:val="00573A4A"/>
    <w:rsid w:val="00573C94"/>
    <w:rsid w:val="00573D0A"/>
    <w:rsid w:val="005740A3"/>
    <w:rsid w:val="00574196"/>
    <w:rsid w:val="00574288"/>
    <w:rsid w:val="00574898"/>
    <w:rsid w:val="00574E6A"/>
    <w:rsid w:val="00574FBB"/>
    <w:rsid w:val="00575140"/>
    <w:rsid w:val="00575377"/>
    <w:rsid w:val="005754B6"/>
    <w:rsid w:val="005754EA"/>
    <w:rsid w:val="00575A2A"/>
    <w:rsid w:val="00576051"/>
    <w:rsid w:val="0057654C"/>
    <w:rsid w:val="00576861"/>
    <w:rsid w:val="00576B3C"/>
    <w:rsid w:val="00576DCE"/>
    <w:rsid w:val="005771DD"/>
    <w:rsid w:val="00580026"/>
    <w:rsid w:val="00580CCA"/>
    <w:rsid w:val="00580E54"/>
    <w:rsid w:val="0058132F"/>
    <w:rsid w:val="00581406"/>
    <w:rsid w:val="0058145F"/>
    <w:rsid w:val="00581E2E"/>
    <w:rsid w:val="00581E52"/>
    <w:rsid w:val="00582789"/>
    <w:rsid w:val="00582866"/>
    <w:rsid w:val="00582930"/>
    <w:rsid w:val="00582D86"/>
    <w:rsid w:val="00582F8D"/>
    <w:rsid w:val="00583B77"/>
    <w:rsid w:val="00583EFC"/>
    <w:rsid w:val="00583FFF"/>
    <w:rsid w:val="0058405A"/>
    <w:rsid w:val="005848BB"/>
    <w:rsid w:val="00584A91"/>
    <w:rsid w:val="00585092"/>
    <w:rsid w:val="005851AA"/>
    <w:rsid w:val="0058585C"/>
    <w:rsid w:val="005859A9"/>
    <w:rsid w:val="00585B90"/>
    <w:rsid w:val="0058609D"/>
    <w:rsid w:val="00586251"/>
    <w:rsid w:val="00586943"/>
    <w:rsid w:val="005869C9"/>
    <w:rsid w:val="00586A66"/>
    <w:rsid w:val="00586DBB"/>
    <w:rsid w:val="00586FC4"/>
    <w:rsid w:val="0058703C"/>
    <w:rsid w:val="00587094"/>
    <w:rsid w:val="00587123"/>
    <w:rsid w:val="005872CA"/>
    <w:rsid w:val="00587506"/>
    <w:rsid w:val="005878D3"/>
    <w:rsid w:val="00587F65"/>
    <w:rsid w:val="00587FB4"/>
    <w:rsid w:val="005904A8"/>
    <w:rsid w:val="00590884"/>
    <w:rsid w:val="00590F00"/>
    <w:rsid w:val="005915DA"/>
    <w:rsid w:val="0059197C"/>
    <w:rsid w:val="00591EE4"/>
    <w:rsid w:val="00592092"/>
    <w:rsid w:val="005920D6"/>
    <w:rsid w:val="00592300"/>
    <w:rsid w:val="00592440"/>
    <w:rsid w:val="00592770"/>
    <w:rsid w:val="005927AA"/>
    <w:rsid w:val="0059285E"/>
    <w:rsid w:val="00592C4F"/>
    <w:rsid w:val="0059338B"/>
    <w:rsid w:val="00593488"/>
    <w:rsid w:val="00593B4F"/>
    <w:rsid w:val="00593BF3"/>
    <w:rsid w:val="00593DD5"/>
    <w:rsid w:val="00593DDF"/>
    <w:rsid w:val="00593EAE"/>
    <w:rsid w:val="00594649"/>
    <w:rsid w:val="00594C40"/>
    <w:rsid w:val="005961FF"/>
    <w:rsid w:val="005963A4"/>
    <w:rsid w:val="005963CC"/>
    <w:rsid w:val="00596B81"/>
    <w:rsid w:val="00596E13"/>
    <w:rsid w:val="005976B0"/>
    <w:rsid w:val="0059775F"/>
    <w:rsid w:val="0059776D"/>
    <w:rsid w:val="00597788"/>
    <w:rsid w:val="005A0C00"/>
    <w:rsid w:val="005A126F"/>
    <w:rsid w:val="005A2222"/>
    <w:rsid w:val="005A238B"/>
    <w:rsid w:val="005A29AC"/>
    <w:rsid w:val="005A2DF6"/>
    <w:rsid w:val="005A35BB"/>
    <w:rsid w:val="005A3782"/>
    <w:rsid w:val="005A43F6"/>
    <w:rsid w:val="005A480B"/>
    <w:rsid w:val="005A4820"/>
    <w:rsid w:val="005A4906"/>
    <w:rsid w:val="005A4B25"/>
    <w:rsid w:val="005A4DAF"/>
    <w:rsid w:val="005A528D"/>
    <w:rsid w:val="005A533E"/>
    <w:rsid w:val="005A53E4"/>
    <w:rsid w:val="005A5711"/>
    <w:rsid w:val="005A5B4F"/>
    <w:rsid w:val="005A5EF5"/>
    <w:rsid w:val="005A6C53"/>
    <w:rsid w:val="005A708C"/>
    <w:rsid w:val="005A7CCF"/>
    <w:rsid w:val="005B039B"/>
    <w:rsid w:val="005B03FB"/>
    <w:rsid w:val="005B0F08"/>
    <w:rsid w:val="005B2A78"/>
    <w:rsid w:val="005B2BD9"/>
    <w:rsid w:val="005B30A6"/>
    <w:rsid w:val="005B367C"/>
    <w:rsid w:val="005B3B0E"/>
    <w:rsid w:val="005B3EC0"/>
    <w:rsid w:val="005B4481"/>
    <w:rsid w:val="005B4A6C"/>
    <w:rsid w:val="005B4B3C"/>
    <w:rsid w:val="005B4B4F"/>
    <w:rsid w:val="005B4FAB"/>
    <w:rsid w:val="005B5275"/>
    <w:rsid w:val="005B55B4"/>
    <w:rsid w:val="005B5768"/>
    <w:rsid w:val="005B57D5"/>
    <w:rsid w:val="005B6BA2"/>
    <w:rsid w:val="005B720C"/>
    <w:rsid w:val="005B729F"/>
    <w:rsid w:val="005B7362"/>
    <w:rsid w:val="005C023E"/>
    <w:rsid w:val="005C044B"/>
    <w:rsid w:val="005C0A8A"/>
    <w:rsid w:val="005C0AA5"/>
    <w:rsid w:val="005C13DB"/>
    <w:rsid w:val="005C14FC"/>
    <w:rsid w:val="005C1943"/>
    <w:rsid w:val="005C1E5C"/>
    <w:rsid w:val="005C24D7"/>
    <w:rsid w:val="005C25E8"/>
    <w:rsid w:val="005C2633"/>
    <w:rsid w:val="005C2BF2"/>
    <w:rsid w:val="005C2BFD"/>
    <w:rsid w:val="005C2CB4"/>
    <w:rsid w:val="005C3565"/>
    <w:rsid w:val="005C3CA2"/>
    <w:rsid w:val="005C3FE1"/>
    <w:rsid w:val="005C4171"/>
    <w:rsid w:val="005C44C6"/>
    <w:rsid w:val="005C4AE1"/>
    <w:rsid w:val="005C4E94"/>
    <w:rsid w:val="005C58E2"/>
    <w:rsid w:val="005C5E8E"/>
    <w:rsid w:val="005C5F7E"/>
    <w:rsid w:val="005C6590"/>
    <w:rsid w:val="005C7C69"/>
    <w:rsid w:val="005C7F81"/>
    <w:rsid w:val="005D0621"/>
    <w:rsid w:val="005D0E2F"/>
    <w:rsid w:val="005D1131"/>
    <w:rsid w:val="005D136F"/>
    <w:rsid w:val="005D19C2"/>
    <w:rsid w:val="005D219B"/>
    <w:rsid w:val="005D276F"/>
    <w:rsid w:val="005D2C65"/>
    <w:rsid w:val="005D2CCC"/>
    <w:rsid w:val="005D335E"/>
    <w:rsid w:val="005D36F2"/>
    <w:rsid w:val="005D3B4D"/>
    <w:rsid w:val="005D3D99"/>
    <w:rsid w:val="005D4558"/>
    <w:rsid w:val="005D4740"/>
    <w:rsid w:val="005D4D71"/>
    <w:rsid w:val="005D551C"/>
    <w:rsid w:val="005D55C3"/>
    <w:rsid w:val="005D58B6"/>
    <w:rsid w:val="005D60FB"/>
    <w:rsid w:val="005D616F"/>
    <w:rsid w:val="005D6A83"/>
    <w:rsid w:val="005D72C3"/>
    <w:rsid w:val="005D75D3"/>
    <w:rsid w:val="005D766F"/>
    <w:rsid w:val="005D7ED1"/>
    <w:rsid w:val="005E0209"/>
    <w:rsid w:val="005E0321"/>
    <w:rsid w:val="005E129B"/>
    <w:rsid w:val="005E16BE"/>
    <w:rsid w:val="005E1DDB"/>
    <w:rsid w:val="005E1E3B"/>
    <w:rsid w:val="005E21DB"/>
    <w:rsid w:val="005E2208"/>
    <w:rsid w:val="005E2232"/>
    <w:rsid w:val="005E3E81"/>
    <w:rsid w:val="005E3FED"/>
    <w:rsid w:val="005E41E7"/>
    <w:rsid w:val="005E4256"/>
    <w:rsid w:val="005E4C6A"/>
    <w:rsid w:val="005E5378"/>
    <w:rsid w:val="005E6027"/>
    <w:rsid w:val="005E6357"/>
    <w:rsid w:val="005E64FD"/>
    <w:rsid w:val="005E65DC"/>
    <w:rsid w:val="005E6874"/>
    <w:rsid w:val="005E6D01"/>
    <w:rsid w:val="005E70F4"/>
    <w:rsid w:val="005E7815"/>
    <w:rsid w:val="005E7A1D"/>
    <w:rsid w:val="005F00AB"/>
    <w:rsid w:val="005F0207"/>
    <w:rsid w:val="005F0B77"/>
    <w:rsid w:val="005F0FD6"/>
    <w:rsid w:val="005F10AB"/>
    <w:rsid w:val="005F1825"/>
    <w:rsid w:val="005F1B4F"/>
    <w:rsid w:val="005F2198"/>
    <w:rsid w:val="005F23E6"/>
    <w:rsid w:val="005F2440"/>
    <w:rsid w:val="005F386B"/>
    <w:rsid w:val="005F3BC0"/>
    <w:rsid w:val="005F3BC6"/>
    <w:rsid w:val="005F42E7"/>
    <w:rsid w:val="005F4390"/>
    <w:rsid w:val="005F450C"/>
    <w:rsid w:val="005F4904"/>
    <w:rsid w:val="005F496B"/>
    <w:rsid w:val="005F4BC5"/>
    <w:rsid w:val="005F4EA6"/>
    <w:rsid w:val="005F53B8"/>
    <w:rsid w:val="005F549E"/>
    <w:rsid w:val="005F5545"/>
    <w:rsid w:val="005F5A29"/>
    <w:rsid w:val="005F6788"/>
    <w:rsid w:val="005F6CA3"/>
    <w:rsid w:val="005F6F1F"/>
    <w:rsid w:val="005F6FFE"/>
    <w:rsid w:val="005F705E"/>
    <w:rsid w:val="005F77CA"/>
    <w:rsid w:val="005F784A"/>
    <w:rsid w:val="0060020F"/>
    <w:rsid w:val="0060086E"/>
    <w:rsid w:val="00600E8F"/>
    <w:rsid w:val="00600F4A"/>
    <w:rsid w:val="006010D8"/>
    <w:rsid w:val="0060116D"/>
    <w:rsid w:val="006012C1"/>
    <w:rsid w:val="006013B9"/>
    <w:rsid w:val="00601601"/>
    <w:rsid w:val="00601BF3"/>
    <w:rsid w:val="0060216C"/>
    <w:rsid w:val="00602BDA"/>
    <w:rsid w:val="00603317"/>
    <w:rsid w:val="00603E12"/>
    <w:rsid w:val="006043C9"/>
    <w:rsid w:val="0060440E"/>
    <w:rsid w:val="006044F3"/>
    <w:rsid w:val="00604525"/>
    <w:rsid w:val="006052F4"/>
    <w:rsid w:val="00605CEE"/>
    <w:rsid w:val="00605D39"/>
    <w:rsid w:val="00606152"/>
    <w:rsid w:val="006062A4"/>
    <w:rsid w:val="006064F4"/>
    <w:rsid w:val="0060661D"/>
    <w:rsid w:val="0060684C"/>
    <w:rsid w:val="00606A46"/>
    <w:rsid w:val="00607253"/>
    <w:rsid w:val="00607541"/>
    <w:rsid w:val="00607FF2"/>
    <w:rsid w:val="006103A8"/>
    <w:rsid w:val="0061052C"/>
    <w:rsid w:val="00612358"/>
    <w:rsid w:val="006124CA"/>
    <w:rsid w:val="00612578"/>
    <w:rsid w:val="006129A2"/>
    <w:rsid w:val="00612CEA"/>
    <w:rsid w:val="00613EF7"/>
    <w:rsid w:val="00613F2E"/>
    <w:rsid w:val="0061434C"/>
    <w:rsid w:val="006144E8"/>
    <w:rsid w:val="00614674"/>
    <w:rsid w:val="006147FD"/>
    <w:rsid w:val="00614828"/>
    <w:rsid w:val="006149B8"/>
    <w:rsid w:val="00614AC4"/>
    <w:rsid w:val="006152A8"/>
    <w:rsid w:val="006153D6"/>
    <w:rsid w:val="00615476"/>
    <w:rsid w:val="006155E4"/>
    <w:rsid w:val="006156D6"/>
    <w:rsid w:val="00615C91"/>
    <w:rsid w:val="00615CC5"/>
    <w:rsid w:val="00615E07"/>
    <w:rsid w:val="00616482"/>
    <w:rsid w:val="006164BB"/>
    <w:rsid w:val="0061667E"/>
    <w:rsid w:val="0061697C"/>
    <w:rsid w:val="00617119"/>
    <w:rsid w:val="0061713E"/>
    <w:rsid w:val="0061748C"/>
    <w:rsid w:val="00620633"/>
    <w:rsid w:val="00620A48"/>
    <w:rsid w:val="00620DE8"/>
    <w:rsid w:val="00620E9B"/>
    <w:rsid w:val="0062147F"/>
    <w:rsid w:val="006214AC"/>
    <w:rsid w:val="006214CC"/>
    <w:rsid w:val="006218D4"/>
    <w:rsid w:val="0062197A"/>
    <w:rsid w:val="00621AB7"/>
    <w:rsid w:val="00621B1D"/>
    <w:rsid w:val="00621B64"/>
    <w:rsid w:val="00622279"/>
    <w:rsid w:val="00622734"/>
    <w:rsid w:val="00622E5B"/>
    <w:rsid w:val="00623831"/>
    <w:rsid w:val="006238CF"/>
    <w:rsid w:val="00623B92"/>
    <w:rsid w:val="00624343"/>
    <w:rsid w:val="00624E60"/>
    <w:rsid w:val="006255E5"/>
    <w:rsid w:val="006257BD"/>
    <w:rsid w:val="00625991"/>
    <w:rsid w:val="006259E1"/>
    <w:rsid w:val="00625D37"/>
    <w:rsid w:val="00625E72"/>
    <w:rsid w:val="00625FF2"/>
    <w:rsid w:val="00627426"/>
    <w:rsid w:val="00627D11"/>
    <w:rsid w:val="00630122"/>
    <w:rsid w:val="006303D9"/>
    <w:rsid w:val="006307C5"/>
    <w:rsid w:val="0063095E"/>
    <w:rsid w:val="006316D3"/>
    <w:rsid w:val="00631D2A"/>
    <w:rsid w:val="00631F69"/>
    <w:rsid w:val="0063302D"/>
    <w:rsid w:val="00633132"/>
    <w:rsid w:val="0063326F"/>
    <w:rsid w:val="00633519"/>
    <w:rsid w:val="006335AE"/>
    <w:rsid w:val="00634033"/>
    <w:rsid w:val="006340A3"/>
    <w:rsid w:val="00634379"/>
    <w:rsid w:val="00634E82"/>
    <w:rsid w:val="00634F98"/>
    <w:rsid w:val="006351B1"/>
    <w:rsid w:val="006351BC"/>
    <w:rsid w:val="006352D2"/>
    <w:rsid w:val="00635525"/>
    <w:rsid w:val="006355E3"/>
    <w:rsid w:val="00635673"/>
    <w:rsid w:val="00635692"/>
    <w:rsid w:val="006362F4"/>
    <w:rsid w:val="0063630C"/>
    <w:rsid w:val="00636471"/>
    <w:rsid w:val="006365B9"/>
    <w:rsid w:val="00636A0A"/>
    <w:rsid w:val="00637015"/>
    <w:rsid w:val="00637562"/>
    <w:rsid w:val="00637FD8"/>
    <w:rsid w:val="006405E1"/>
    <w:rsid w:val="006407ED"/>
    <w:rsid w:val="00640844"/>
    <w:rsid w:val="00641169"/>
    <w:rsid w:val="00641805"/>
    <w:rsid w:val="006419C3"/>
    <w:rsid w:val="00641A27"/>
    <w:rsid w:val="00642608"/>
    <w:rsid w:val="00643936"/>
    <w:rsid w:val="006439C4"/>
    <w:rsid w:val="00643ACD"/>
    <w:rsid w:val="00643C92"/>
    <w:rsid w:val="00644107"/>
    <w:rsid w:val="0064425D"/>
    <w:rsid w:val="00644610"/>
    <w:rsid w:val="00644693"/>
    <w:rsid w:val="00644B12"/>
    <w:rsid w:val="00644CB5"/>
    <w:rsid w:val="00645792"/>
    <w:rsid w:val="00646E13"/>
    <w:rsid w:val="00647731"/>
    <w:rsid w:val="006478EB"/>
    <w:rsid w:val="00647928"/>
    <w:rsid w:val="00647BFF"/>
    <w:rsid w:val="00647FAA"/>
    <w:rsid w:val="006506BD"/>
    <w:rsid w:val="00650803"/>
    <w:rsid w:val="00650B84"/>
    <w:rsid w:val="00650C2F"/>
    <w:rsid w:val="00650D5E"/>
    <w:rsid w:val="00651610"/>
    <w:rsid w:val="006517DB"/>
    <w:rsid w:val="00652450"/>
    <w:rsid w:val="00652816"/>
    <w:rsid w:val="0065282C"/>
    <w:rsid w:val="00652B27"/>
    <w:rsid w:val="00652E5C"/>
    <w:rsid w:val="00653070"/>
    <w:rsid w:val="00654249"/>
    <w:rsid w:val="00654398"/>
    <w:rsid w:val="006543AC"/>
    <w:rsid w:val="006546FB"/>
    <w:rsid w:val="006546FC"/>
    <w:rsid w:val="00654942"/>
    <w:rsid w:val="00654CD8"/>
    <w:rsid w:val="00654D5D"/>
    <w:rsid w:val="00654E4F"/>
    <w:rsid w:val="0065516F"/>
    <w:rsid w:val="006556A1"/>
    <w:rsid w:val="00655BF3"/>
    <w:rsid w:val="00656190"/>
    <w:rsid w:val="00656C58"/>
    <w:rsid w:val="00656CB3"/>
    <w:rsid w:val="00657108"/>
    <w:rsid w:val="0065730C"/>
    <w:rsid w:val="0065746A"/>
    <w:rsid w:val="00657EDA"/>
    <w:rsid w:val="0066034D"/>
    <w:rsid w:val="00660823"/>
    <w:rsid w:val="00660BAB"/>
    <w:rsid w:val="00660D4B"/>
    <w:rsid w:val="00660F40"/>
    <w:rsid w:val="006610F7"/>
    <w:rsid w:val="00662357"/>
    <w:rsid w:val="006625E7"/>
    <w:rsid w:val="006626C1"/>
    <w:rsid w:val="00662951"/>
    <w:rsid w:val="00662A01"/>
    <w:rsid w:val="00663631"/>
    <w:rsid w:val="00663CDB"/>
    <w:rsid w:val="00664851"/>
    <w:rsid w:val="00664F35"/>
    <w:rsid w:val="0066617A"/>
    <w:rsid w:val="0066641A"/>
    <w:rsid w:val="00666615"/>
    <w:rsid w:val="006666CA"/>
    <w:rsid w:val="006668A2"/>
    <w:rsid w:val="00666BA4"/>
    <w:rsid w:val="00667490"/>
    <w:rsid w:val="006676A9"/>
    <w:rsid w:val="0067044F"/>
    <w:rsid w:val="00670963"/>
    <w:rsid w:val="00670F18"/>
    <w:rsid w:val="0067106B"/>
    <w:rsid w:val="00671AC7"/>
    <w:rsid w:val="00672845"/>
    <w:rsid w:val="00672949"/>
    <w:rsid w:val="00672BCC"/>
    <w:rsid w:val="0067304E"/>
    <w:rsid w:val="00673149"/>
    <w:rsid w:val="006734D6"/>
    <w:rsid w:val="00673B19"/>
    <w:rsid w:val="00673D8E"/>
    <w:rsid w:val="00674406"/>
    <w:rsid w:val="006746A6"/>
    <w:rsid w:val="0067483B"/>
    <w:rsid w:val="00675694"/>
    <w:rsid w:val="00675779"/>
    <w:rsid w:val="00675BBF"/>
    <w:rsid w:val="00675EB7"/>
    <w:rsid w:val="006760E0"/>
    <w:rsid w:val="00676151"/>
    <w:rsid w:val="00676218"/>
    <w:rsid w:val="006764B5"/>
    <w:rsid w:val="00676C2A"/>
    <w:rsid w:val="00676FF6"/>
    <w:rsid w:val="00677486"/>
    <w:rsid w:val="0067795A"/>
    <w:rsid w:val="00677D09"/>
    <w:rsid w:val="0068031F"/>
    <w:rsid w:val="0068042C"/>
    <w:rsid w:val="0068058F"/>
    <w:rsid w:val="006808EC"/>
    <w:rsid w:val="00680B74"/>
    <w:rsid w:val="00681083"/>
    <w:rsid w:val="006816F1"/>
    <w:rsid w:val="00681B2D"/>
    <w:rsid w:val="00682504"/>
    <w:rsid w:val="0068268A"/>
    <w:rsid w:val="00682893"/>
    <w:rsid w:val="006831F3"/>
    <w:rsid w:val="0068346F"/>
    <w:rsid w:val="00683724"/>
    <w:rsid w:val="00683B27"/>
    <w:rsid w:val="00683D30"/>
    <w:rsid w:val="00683E67"/>
    <w:rsid w:val="006843F2"/>
    <w:rsid w:val="006851E3"/>
    <w:rsid w:val="0068532C"/>
    <w:rsid w:val="00685654"/>
    <w:rsid w:val="00685970"/>
    <w:rsid w:val="00685F50"/>
    <w:rsid w:val="0068603C"/>
    <w:rsid w:val="00686314"/>
    <w:rsid w:val="00686635"/>
    <w:rsid w:val="00686BCD"/>
    <w:rsid w:val="00687194"/>
    <w:rsid w:val="0068760D"/>
    <w:rsid w:val="00687A5B"/>
    <w:rsid w:val="00687B26"/>
    <w:rsid w:val="00690245"/>
    <w:rsid w:val="0069044B"/>
    <w:rsid w:val="0069082F"/>
    <w:rsid w:val="006909B8"/>
    <w:rsid w:val="00690CAA"/>
    <w:rsid w:val="0069132C"/>
    <w:rsid w:val="00691617"/>
    <w:rsid w:val="0069164B"/>
    <w:rsid w:val="0069169C"/>
    <w:rsid w:val="006919D3"/>
    <w:rsid w:val="006924F5"/>
    <w:rsid w:val="00692696"/>
    <w:rsid w:val="00693501"/>
    <w:rsid w:val="0069383E"/>
    <w:rsid w:val="006939B6"/>
    <w:rsid w:val="00693CB6"/>
    <w:rsid w:val="00694F93"/>
    <w:rsid w:val="006952E6"/>
    <w:rsid w:val="00695483"/>
    <w:rsid w:val="006957C6"/>
    <w:rsid w:val="00695AF1"/>
    <w:rsid w:val="00695B43"/>
    <w:rsid w:val="00696C70"/>
    <w:rsid w:val="00697284"/>
    <w:rsid w:val="006A0488"/>
    <w:rsid w:val="006A05E8"/>
    <w:rsid w:val="006A05F0"/>
    <w:rsid w:val="006A0DF2"/>
    <w:rsid w:val="006A1507"/>
    <w:rsid w:val="006A1876"/>
    <w:rsid w:val="006A1CCD"/>
    <w:rsid w:val="006A1CE0"/>
    <w:rsid w:val="006A25B7"/>
    <w:rsid w:val="006A2820"/>
    <w:rsid w:val="006A28A6"/>
    <w:rsid w:val="006A29CC"/>
    <w:rsid w:val="006A30C4"/>
    <w:rsid w:val="006A3513"/>
    <w:rsid w:val="006A3800"/>
    <w:rsid w:val="006A3C12"/>
    <w:rsid w:val="006A3E9C"/>
    <w:rsid w:val="006A4D40"/>
    <w:rsid w:val="006A4ECC"/>
    <w:rsid w:val="006A4FD3"/>
    <w:rsid w:val="006A52D5"/>
    <w:rsid w:val="006A5948"/>
    <w:rsid w:val="006A59A8"/>
    <w:rsid w:val="006A619E"/>
    <w:rsid w:val="006A6706"/>
    <w:rsid w:val="006A6772"/>
    <w:rsid w:val="006A6B71"/>
    <w:rsid w:val="006A75F6"/>
    <w:rsid w:val="006A792B"/>
    <w:rsid w:val="006A7ECB"/>
    <w:rsid w:val="006A7F8E"/>
    <w:rsid w:val="006B0161"/>
    <w:rsid w:val="006B039A"/>
    <w:rsid w:val="006B04DE"/>
    <w:rsid w:val="006B0F3C"/>
    <w:rsid w:val="006B1C4D"/>
    <w:rsid w:val="006B1C85"/>
    <w:rsid w:val="006B1FA3"/>
    <w:rsid w:val="006B2943"/>
    <w:rsid w:val="006B2BA7"/>
    <w:rsid w:val="006B3756"/>
    <w:rsid w:val="006B4157"/>
    <w:rsid w:val="006B430F"/>
    <w:rsid w:val="006B435B"/>
    <w:rsid w:val="006B46B7"/>
    <w:rsid w:val="006B4D86"/>
    <w:rsid w:val="006B57FF"/>
    <w:rsid w:val="006B60A3"/>
    <w:rsid w:val="006B72D3"/>
    <w:rsid w:val="006B74D3"/>
    <w:rsid w:val="006B7C9C"/>
    <w:rsid w:val="006C0300"/>
    <w:rsid w:val="006C04DE"/>
    <w:rsid w:val="006C0BCB"/>
    <w:rsid w:val="006C1057"/>
    <w:rsid w:val="006C14C7"/>
    <w:rsid w:val="006C1662"/>
    <w:rsid w:val="006C2E56"/>
    <w:rsid w:val="006C3071"/>
    <w:rsid w:val="006C3231"/>
    <w:rsid w:val="006C32A7"/>
    <w:rsid w:val="006C332E"/>
    <w:rsid w:val="006C3A77"/>
    <w:rsid w:val="006C3F31"/>
    <w:rsid w:val="006C3FF7"/>
    <w:rsid w:val="006C447A"/>
    <w:rsid w:val="006C4520"/>
    <w:rsid w:val="006C4AF7"/>
    <w:rsid w:val="006C4C12"/>
    <w:rsid w:val="006C5399"/>
    <w:rsid w:val="006C5BA6"/>
    <w:rsid w:val="006C5BB6"/>
    <w:rsid w:val="006C6016"/>
    <w:rsid w:val="006C6052"/>
    <w:rsid w:val="006C61C3"/>
    <w:rsid w:val="006C62C1"/>
    <w:rsid w:val="006C6671"/>
    <w:rsid w:val="006C6722"/>
    <w:rsid w:val="006C6A02"/>
    <w:rsid w:val="006C6F61"/>
    <w:rsid w:val="006C6F9A"/>
    <w:rsid w:val="006C6FC4"/>
    <w:rsid w:val="006C7009"/>
    <w:rsid w:val="006C702B"/>
    <w:rsid w:val="006C729E"/>
    <w:rsid w:val="006C782F"/>
    <w:rsid w:val="006C7CE7"/>
    <w:rsid w:val="006D1245"/>
    <w:rsid w:val="006D1566"/>
    <w:rsid w:val="006D1746"/>
    <w:rsid w:val="006D1CE7"/>
    <w:rsid w:val="006D2054"/>
    <w:rsid w:val="006D260C"/>
    <w:rsid w:val="006D2778"/>
    <w:rsid w:val="006D285D"/>
    <w:rsid w:val="006D2D39"/>
    <w:rsid w:val="006D3210"/>
    <w:rsid w:val="006D32D2"/>
    <w:rsid w:val="006D3414"/>
    <w:rsid w:val="006D3821"/>
    <w:rsid w:val="006D403D"/>
    <w:rsid w:val="006D41F1"/>
    <w:rsid w:val="006D45A3"/>
    <w:rsid w:val="006D46FE"/>
    <w:rsid w:val="006D475F"/>
    <w:rsid w:val="006D4EAE"/>
    <w:rsid w:val="006D5770"/>
    <w:rsid w:val="006D62A6"/>
    <w:rsid w:val="006D6368"/>
    <w:rsid w:val="006D648A"/>
    <w:rsid w:val="006D6AB8"/>
    <w:rsid w:val="006D6BE5"/>
    <w:rsid w:val="006D73EA"/>
    <w:rsid w:val="006D762D"/>
    <w:rsid w:val="006D7DF0"/>
    <w:rsid w:val="006E0873"/>
    <w:rsid w:val="006E0F6E"/>
    <w:rsid w:val="006E122A"/>
    <w:rsid w:val="006E12FB"/>
    <w:rsid w:val="006E14D3"/>
    <w:rsid w:val="006E1B04"/>
    <w:rsid w:val="006E1EA0"/>
    <w:rsid w:val="006E26C1"/>
    <w:rsid w:val="006E2B30"/>
    <w:rsid w:val="006E39F6"/>
    <w:rsid w:val="006E3A37"/>
    <w:rsid w:val="006E3FC2"/>
    <w:rsid w:val="006E427D"/>
    <w:rsid w:val="006E42E8"/>
    <w:rsid w:val="006E4A99"/>
    <w:rsid w:val="006E4BBA"/>
    <w:rsid w:val="006E4FFF"/>
    <w:rsid w:val="006E5619"/>
    <w:rsid w:val="006E5744"/>
    <w:rsid w:val="006E574A"/>
    <w:rsid w:val="006E5EBA"/>
    <w:rsid w:val="006E61DA"/>
    <w:rsid w:val="006E637C"/>
    <w:rsid w:val="006E6494"/>
    <w:rsid w:val="006E65A2"/>
    <w:rsid w:val="006E78FF"/>
    <w:rsid w:val="006E7EA4"/>
    <w:rsid w:val="006E7F3B"/>
    <w:rsid w:val="006E7F6A"/>
    <w:rsid w:val="006E7FF4"/>
    <w:rsid w:val="006F00E4"/>
    <w:rsid w:val="006F0A77"/>
    <w:rsid w:val="006F25DB"/>
    <w:rsid w:val="006F291B"/>
    <w:rsid w:val="006F2A11"/>
    <w:rsid w:val="006F2B40"/>
    <w:rsid w:val="006F374C"/>
    <w:rsid w:val="006F3B74"/>
    <w:rsid w:val="006F3DAA"/>
    <w:rsid w:val="006F3E34"/>
    <w:rsid w:val="006F4A7B"/>
    <w:rsid w:val="006F516D"/>
    <w:rsid w:val="006F544C"/>
    <w:rsid w:val="006F54DD"/>
    <w:rsid w:val="006F57BB"/>
    <w:rsid w:val="006F57D2"/>
    <w:rsid w:val="006F5AD1"/>
    <w:rsid w:val="006F5C95"/>
    <w:rsid w:val="006F5D9B"/>
    <w:rsid w:val="006F5DC9"/>
    <w:rsid w:val="006F6E68"/>
    <w:rsid w:val="006F70B8"/>
    <w:rsid w:val="007002BC"/>
    <w:rsid w:val="007007C7"/>
    <w:rsid w:val="00700959"/>
    <w:rsid w:val="00700AD5"/>
    <w:rsid w:val="00700ED8"/>
    <w:rsid w:val="0070194A"/>
    <w:rsid w:val="007019D7"/>
    <w:rsid w:val="00701AD0"/>
    <w:rsid w:val="00701B8B"/>
    <w:rsid w:val="0070218F"/>
    <w:rsid w:val="007037A2"/>
    <w:rsid w:val="00703F8F"/>
    <w:rsid w:val="00704022"/>
    <w:rsid w:val="0070480B"/>
    <w:rsid w:val="00704A0D"/>
    <w:rsid w:val="007054E3"/>
    <w:rsid w:val="00705687"/>
    <w:rsid w:val="0070572A"/>
    <w:rsid w:val="00705768"/>
    <w:rsid w:val="0070582C"/>
    <w:rsid w:val="007059DB"/>
    <w:rsid w:val="00705C97"/>
    <w:rsid w:val="00705F31"/>
    <w:rsid w:val="0070636F"/>
    <w:rsid w:val="007066DD"/>
    <w:rsid w:val="00706A91"/>
    <w:rsid w:val="00706E9C"/>
    <w:rsid w:val="00707848"/>
    <w:rsid w:val="00707A8B"/>
    <w:rsid w:val="00707D40"/>
    <w:rsid w:val="00710608"/>
    <w:rsid w:val="00710671"/>
    <w:rsid w:val="00710C45"/>
    <w:rsid w:val="00710EA7"/>
    <w:rsid w:val="00711669"/>
    <w:rsid w:val="007116DB"/>
    <w:rsid w:val="007118FF"/>
    <w:rsid w:val="00711970"/>
    <w:rsid w:val="007122C7"/>
    <w:rsid w:val="007124AD"/>
    <w:rsid w:val="00712794"/>
    <w:rsid w:val="007128C7"/>
    <w:rsid w:val="00712C25"/>
    <w:rsid w:val="00713CAF"/>
    <w:rsid w:val="00713D99"/>
    <w:rsid w:val="00713EB9"/>
    <w:rsid w:val="00714339"/>
    <w:rsid w:val="00714F39"/>
    <w:rsid w:val="00714F5D"/>
    <w:rsid w:val="00714FB6"/>
    <w:rsid w:val="0071534E"/>
    <w:rsid w:val="00715B6D"/>
    <w:rsid w:val="00715D31"/>
    <w:rsid w:val="0071758B"/>
    <w:rsid w:val="007175F2"/>
    <w:rsid w:val="0071789A"/>
    <w:rsid w:val="007179AA"/>
    <w:rsid w:val="00720193"/>
    <w:rsid w:val="00720CAE"/>
    <w:rsid w:val="00720FE4"/>
    <w:rsid w:val="00721E92"/>
    <w:rsid w:val="00722081"/>
    <w:rsid w:val="00722BB8"/>
    <w:rsid w:val="00723A09"/>
    <w:rsid w:val="00723B44"/>
    <w:rsid w:val="0072441D"/>
    <w:rsid w:val="007249A3"/>
    <w:rsid w:val="007254B1"/>
    <w:rsid w:val="00725A6E"/>
    <w:rsid w:val="00725E4F"/>
    <w:rsid w:val="0072625E"/>
    <w:rsid w:val="00726A0A"/>
    <w:rsid w:val="00726D0D"/>
    <w:rsid w:val="00726D18"/>
    <w:rsid w:val="00727536"/>
    <w:rsid w:val="00730295"/>
    <w:rsid w:val="00730314"/>
    <w:rsid w:val="007304CD"/>
    <w:rsid w:val="00730D10"/>
    <w:rsid w:val="007315D8"/>
    <w:rsid w:val="007317B8"/>
    <w:rsid w:val="007323D7"/>
    <w:rsid w:val="00732591"/>
    <w:rsid w:val="00732777"/>
    <w:rsid w:val="00732E55"/>
    <w:rsid w:val="00732EF7"/>
    <w:rsid w:val="00732F12"/>
    <w:rsid w:val="00733234"/>
    <w:rsid w:val="0073350B"/>
    <w:rsid w:val="00733D9C"/>
    <w:rsid w:val="00733DEE"/>
    <w:rsid w:val="00734087"/>
    <w:rsid w:val="0073447C"/>
    <w:rsid w:val="00734732"/>
    <w:rsid w:val="00734A35"/>
    <w:rsid w:val="00734D76"/>
    <w:rsid w:val="00734F8C"/>
    <w:rsid w:val="0073658B"/>
    <w:rsid w:val="00736ABD"/>
    <w:rsid w:val="00736B34"/>
    <w:rsid w:val="00736BB9"/>
    <w:rsid w:val="00737100"/>
    <w:rsid w:val="007371F3"/>
    <w:rsid w:val="00737526"/>
    <w:rsid w:val="0073764A"/>
    <w:rsid w:val="00737831"/>
    <w:rsid w:val="00737FB0"/>
    <w:rsid w:val="007404A3"/>
    <w:rsid w:val="007405EC"/>
    <w:rsid w:val="007407D0"/>
    <w:rsid w:val="00740ACB"/>
    <w:rsid w:val="00740F95"/>
    <w:rsid w:val="00741D35"/>
    <w:rsid w:val="0074231E"/>
    <w:rsid w:val="007423B6"/>
    <w:rsid w:val="00742BCF"/>
    <w:rsid w:val="00742D79"/>
    <w:rsid w:val="00742EE6"/>
    <w:rsid w:val="00743091"/>
    <w:rsid w:val="00743659"/>
    <w:rsid w:val="0074384A"/>
    <w:rsid w:val="00743B17"/>
    <w:rsid w:val="00743D80"/>
    <w:rsid w:val="00744143"/>
    <w:rsid w:val="00744641"/>
    <w:rsid w:val="00744743"/>
    <w:rsid w:val="0074483D"/>
    <w:rsid w:val="00744E32"/>
    <w:rsid w:val="00744F67"/>
    <w:rsid w:val="00745541"/>
    <w:rsid w:val="007458AC"/>
    <w:rsid w:val="00745DF2"/>
    <w:rsid w:val="00745EA3"/>
    <w:rsid w:val="0074655A"/>
    <w:rsid w:val="00746EB0"/>
    <w:rsid w:val="007471D5"/>
    <w:rsid w:val="007472CF"/>
    <w:rsid w:val="00747721"/>
    <w:rsid w:val="00747838"/>
    <w:rsid w:val="00750054"/>
    <w:rsid w:val="007500B7"/>
    <w:rsid w:val="00750185"/>
    <w:rsid w:val="007509F9"/>
    <w:rsid w:val="00750F9A"/>
    <w:rsid w:val="007511C6"/>
    <w:rsid w:val="007511EE"/>
    <w:rsid w:val="007512A0"/>
    <w:rsid w:val="00752640"/>
    <w:rsid w:val="00752C7C"/>
    <w:rsid w:val="00752E46"/>
    <w:rsid w:val="00753893"/>
    <w:rsid w:val="00753991"/>
    <w:rsid w:val="00753E3A"/>
    <w:rsid w:val="007546B2"/>
    <w:rsid w:val="00754994"/>
    <w:rsid w:val="00754A0B"/>
    <w:rsid w:val="00754CF8"/>
    <w:rsid w:val="00755758"/>
    <w:rsid w:val="0075646D"/>
    <w:rsid w:val="0075683E"/>
    <w:rsid w:val="00756925"/>
    <w:rsid w:val="00756AB4"/>
    <w:rsid w:val="00756BE8"/>
    <w:rsid w:val="00756C29"/>
    <w:rsid w:val="00756EA7"/>
    <w:rsid w:val="00757058"/>
    <w:rsid w:val="007576D3"/>
    <w:rsid w:val="00757AEC"/>
    <w:rsid w:val="007600A3"/>
    <w:rsid w:val="007600B7"/>
    <w:rsid w:val="00760828"/>
    <w:rsid w:val="00760EA4"/>
    <w:rsid w:val="00761A2C"/>
    <w:rsid w:val="00761A8B"/>
    <w:rsid w:val="00761DAD"/>
    <w:rsid w:val="00762894"/>
    <w:rsid w:val="00762A63"/>
    <w:rsid w:val="00762B3D"/>
    <w:rsid w:val="00762DD2"/>
    <w:rsid w:val="00763440"/>
    <w:rsid w:val="00763686"/>
    <w:rsid w:val="007636D7"/>
    <w:rsid w:val="00763BB7"/>
    <w:rsid w:val="00763D42"/>
    <w:rsid w:val="00763DBE"/>
    <w:rsid w:val="00763EEE"/>
    <w:rsid w:val="007640E3"/>
    <w:rsid w:val="007643AC"/>
    <w:rsid w:val="007645B5"/>
    <w:rsid w:val="00764D4D"/>
    <w:rsid w:val="00764FA1"/>
    <w:rsid w:val="007652B8"/>
    <w:rsid w:val="007652D3"/>
    <w:rsid w:val="0076631F"/>
    <w:rsid w:val="00766A55"/>
    <w:rsid w:val="00766B11"/>
    <w:rsid w:val="00767105"/>
    <w:rsid w:val="00767318"/>
    <w:rsid w:val="00767397"/>
    <w:rsid w:val="00767EBC"/>
    <w:rsid w:val="00770906"/>
    <w:rsid w:val="00770C8E"/>
    <w:rsid w:val="007711D4"/>
    <w:rsid w:val="00771444"/>
    <w:rsid w:val="007719CD"/>
    <w:rsid w:val="00772AC6"/>
    <w:rsid w:val="00772C78"/>
    <w:rsid w:val="00772E65"/>
    <w:rsid w:val="00773050"/>
    <w:rsid w:val="00773104"/>
    <w:rsid w:val="00774197"/>
    <w:rsid w:val="0077426D"/>
    <w:rsid w:val="0077437B"/>
    <w:rsid w:val="0077440C"/>
    <w:rsid w:val="00774FA1"/>
    <w:rsid w:val="00775B73"/>
    <w:rsid w:val="00775B84"/>
    <w:rsid w:val="00775EF6"/>
    <w:rsid w:val="0077667E"/>
    <w:rsid w:val="007770F7"/>
    <w:rsid w:val="00777504"/>
    <w:rsid w:val="00777570"/>
    <w:rsid w:val="0077764D"/>
    <w:rsid w:val="00777779"/>
    <w:rsid w:val="00777A5F"/>
    <w:rsid w:val="007801AC"/>
    <w:rsid w:val="007803F5"/>
    <w:rsid w:val="007810E1"/>
    <w:rsid w:val="00781267"/>
    <w:rsid w:val="007824F3"/>
    <w:rsid w:val="00783105"/>
    <w:rsid w:val="0078339D"/>
    <w:rsid w:val="007834A4"/>
    <w:rsid w:val="00783CAF"/>
    <w:rsid w:val="00783EC6"/>
    <w:rsid w:val="007857C2"/>
    <w:rsid w:val="00785CAA"/>
    <w:rsid w:val="00786036"/>
    <w:rsid w:val="00786454"/>
    <w:rsid w:val="00786AEF"/>
    <w:rsid w:val="00786B02"/>
    <w:rsid w:val="00786ED7"/>
    <w:rsid w:val="00787028"/>
    <w:rsid w:val="00787345"/>
    <w:rsid w:val="00787369"/>
    <w:rsid w:val="0078748B"/>
    <w:rsid w:val="00787716"/>
    <w:rsid w:val="007904AB"/>
    <w:rsid w:val="007905CE"/>
    <w:rsid w:val="00790795"/>
    <w:rsid w:val="00790AC4"/>
    <w:rsid w:val="00790B4C"/>
    <w:rsid w:val="00790E63"/>
    <w:rsid w:val="0079103C"/>
    <w:rsid w:val="007917AE"/>
    <w:rsid w:val="007917AF"/>
    <w:rsid w:val="00791D74"/>
    <w:rsid w:val="00792529"/>
    <w:rsid w:val="0079259F"/>
    <w:rsid w:val="00792601"/>
    <w:rsid w:val="00792AB5"/>
    <w:rsid w:val="00792BBA"/>
    <w:rsid w:val="0079314F"/>
    <w:rsid w:val="0079347B"/>
    <w:rsid w:val="007936C8"/>
    <w:rsid w:val="00793700"/>
    <w:rsid w:val="007943CF"/>
    <w:rsid w:val="0079464D"/>
    <w:rsid w:val="007948A7"/>
    <w:rsid w:val="0079502A"/>
    <w:rsid w:val="007951D6"/>
    <w:rsid w:val="00795989"/>
    <w:rsid w:val="007959F0"/>
    <w:rsid w:val="00796055"/>
    <w:rsid w:val="0079621B"/>
    <w:rsid w:val="007968EF"/>
    <w:rsid w:val="007969C1"/>
    <w:rsid w:val="00796DFA"/>
    <w:rsid w:val="00796F52"/>
    <w:rsid w:val="00796FC2"/>
    <w:rsid w:val="0079707D"/>
    <w:rsid w:val="00797093"/>
    <w:rsid w:val="007975B7"/>
    <w:rsid w:val="00797A4C"/>
    <w:rsid w:val="00797AA8"/>
    <w:rsid w:val="007A0A76"/>
    <w:rsid w:val="007A0B70"/>
    <w:rsid w:val="007A0C77"/>
    <w:rsid w:val="007A1851"/>
    <w:rsid w:val="007A1AA1"/>
    <w:rsid w:val="007A1B04"/>
    <w:rsid w:val="007A1B1F"/>
    <w:rsid w:val="007A2967"/>
    <w:rsid w:val="007A2A63"/>
    <w:rsid w:val="007A2EDF"/>
    <w:rsid w:val="007A3F1E"/>
    <w:rsid w:val="007A5032"/>
    <w:rsid w:val="007A5053"/>
    <w:rsid w:val="007A59A9"/>
    <w:rsid w:val="007A5A00"/>
    <w:rsid w:val="007A5C6A"/>
    <w:rsid w:val="007A6220"/>
    <w:rsid w:val="007A62FD"/>
    <w:rsid w:val="007A66DA"/>
    <w:rsid w:val="007A6C4A"/>
    <w:rsid w:val="007A70E3"/>
    <w:rsid w:val="007A7554"/>
    <w:rsid w:val="007A7949"/>
    <w:rsid w:val="007A7E6F"/>
    <w:rsid w:val="007B0AD1"/>
    <w:rsid w:val="007B18D7"/>
    <w:rsid w:val="007B1988"/>
    <w:rsid w:val="007B1ACD"/>
    <w:rsid w:val="007B215E"/>
    <w:rsid w:val="007B2E46"/>
    <w:rsid w:val="007B2F0C"/>
    <w:rsid w:val="007B34F5"/>
    <w:rsid w:val="007B36E4"/>
    <w:rsid w:val="007B3BD6"/>
    <w:rsid w:val="007B3DD8"/>
    <w:rsid w:val="007B3E6E"/>
    <w:rsid w:val="007B4C83"/>
    <w:rsid w:val="007B55BE"/>
    <w:rsid w:val="007B5809"/>
    <w:rsid w:val="007B5878"/>
    <w:rsid w:val="007B5BA3"/>
    <w:rsid w:val="007B5F41"/>
    <w:rsid w:val="007B5FF7"/>
    <w:rsid w:val="007B6245"/>
    <w:rsid w:val="007B6DB7"/>
    <w:rsid w:val="007B72C3"/>
    <w:rsid w:val="007B7606"/>
    <w:rsid w:val="007C0109"/>
    <w:rsid w:val="007C047D"/>
    <w:rsid w:val="007C060E"/>
    <w:rsid w:val="007C0AAA"/>
    <w:rsid w:val="007C1218"/>
    <w:rsid w:val="007C17F5"/>
    <w:rsid w:val="007C1AB3"/>
    <w:rsid w:val="007C2A05"/>
    <w:rsid w:val="007C2B77"/>
    <w:rsid w:val="007C2FF5"/>
    <w:rsid w:val="007C514A"/>
    <w:rsid w:val="007C527D"/>
    <w:rsid w:val="007C52A3"/>
    <w:rsid w:val="007C5924"/>
    <w:rsid w:val="007C6499"/>
    <w:rsid w:val="007C67C9"/>
    <w:rsid w:val="007C6A36"/>
    <w:rsid w:val="007C6B47"/>
    <w:rsid w:val="007C6FCF"/>
    <w:rsid w:val="007C724E"/>
    <w:rsid w:val="007C7584"/>
    <w:rsid w:val="007C758F"/>
    <w:rsid w:val="007D059F"/>
    <w:rsid w:val="007D0B38"/>
    <w:rsid w:val="007D0DAD"/>
    <w:rsid w:val="007D127E"/>
    <w:rsid w:val="007D2BDA"/>
    <w:rsid w:val="007D2DD8"/>
    <w:rsid w:val="007D2FB4"/>
    <w:rsid w:val="007D30D7"/>
    <w:rsid w:val="007D3151"/>
    <w:rsid w:val="007D31B6"/>
    <w:rsid w:val="007D3530"/>
    <w:rsid w:val="007D37E8"/>
    <w:rsid w:val="007D3A1D"/>
    <w:rsid w:val="007D4362"/>
    <w:rsid w:val="007D4518"/>
    <w:rsid w:val="007D4A96"/>
    <w:rsid w:val="007D5DE9"/>
    <w:rsid w:val="007D69AD"/>
    <w:rsid w:val="007D6C5A"/>
    <w:rsid w:val="007D6D4B"/>
    <w:rsid w:val="007D6E1F"/>
    <w:rsid w:val="007D7F90"/>
    <w:rsid w:val="007E013E"/>
    <w:rsid w:val="007E07E9"/>
    <w:rsid w:val="007E1616"/>
    <w:rsid w:val="007E1718"/>
    <w:rsid w:val="007E1789"/>
    <w:rsid w:val="007E17A5"/>
    <w:rsid w:val="007E1FAF"/>
    <w:rsid w:val="007E2026"/>
    <w:rsid w:val="007E263D"/>
    <w:rsid w:val="007E2B39"/>
    <w:rsid w:val="007E36A0"/>
    <w:rsid w:val="007E3B44"/>
    <w:rsid w:val="007E3FE5"/>
    <w:rsid w:val="007E496C"/>
    <w:rsid w:val="007E4D8D"/>
    <w:rsid w:val="007E4E5C"/>
    <w:rsid w:val="007E4E6E"/>
    <w:rsid w:val="007E513E"/>
    <w:rsid w:val="007E53AF"/>
    <w:rsid w:val="007E5A1F"/>
    <w:rsid w:val="007E5BB3"/>
    <w:rsid w:val="007E5CFB"/>
    <w:rsid w:val="007E6111"/>
    <w:rsid w:val="007E616F"/>
    <w:rsid w:val="007E6852"/>
    <w:rsid w:val="007E6A20"/>
    <w:rsid w:val="007E6B97"/>
    <w:rsid w:val="007E702A"/>
    <w:rsid w:val="007E764D"/>
    <w:rsid w:val="007E7761"/>
    <w:rsid w:val="007E7CED"/>
    <w:rsid w:val="007E7E21"/>
    <w:rsid w:val="007F0FCB"/>
    <w:rsid w:val="007F1D7E"/>
    <w:rsid w:val="007F21AE"/>
    <w:rsid w:val="007F247D"/>
    <w:rsid w:val="007F27CA"/>
    <w:rsid w:val="007F2B77"/>
    <w:rsid w:val="007F322D"/>
    <w:rsid w:val="007F34D4"/>
    <w:rsid w:val="007F351C"/>
    <w:rsid w:val="007F376A"/>
    <w:rsid w:val="007F44D1"/>
    <w:rsid w:val="007F4975"/>
    <w:rsid w:val="007F4D11"/>
    <w:rsid w:val="007F5803"/>
    <w:rsid w:val="007F58A9"/>
    <w:rsid w:val="007F5994"/>
    <w:rsid w:val="007F5D63"/>
    <w:rsid w:val="007F5EEF"/>
    <w:rsid w:val="007F6128"/>
    <w:rsid w:val="007F632E"/>
    <w:rsid w:val="007F669F"/>
    <w:rsid w:val="007F679F"/>
    <w:rsid w:val="007F6E33"/>
    <w:rsid w:val="007F73E0"/>
    <w:rsid w:val="007F7515"/>
    <w:rsid w:val="007F7AB9"/>
    <w:rsid w:val="007F7C6B"/>
    <w:rsid w:val="007F7D6D"/>
    <w:rsid w:val="007F7DB6"/>
    <w:rsid w:val="007F7EA5"/>
    <w:rsid w:val="0080002E"/>
    <w:rsid w:val="008003A3"/>
    <w:rsid w:val="0080077B"/>
    <w:rsid w:val="00800E05"/>
    <w:rsid w:val="00801674"/>
    <w:rsid w:val="00801702"/>
    <w:rsid w:val="008020F3"/>
    <w:rsid w:val="00802241"/>
    <w:rsid w:val="00802335"/>
    <w:rsid w:val="00802BD3"/>
    <w:rsid w:val="00802F20"/>
    <w:rsid w:val="0080313C"/>
    <w:rsid w:val="00803292"/>
    <w:rsid w:val="00803A7F"/>
    <w:rsid w:val="008041E0"/>
    <w:rsid w:val="008044C6"/>
    <w:rsid w:val="00804706"/>
    <w:rsid w:val="00804744"/>
    <w:rsid w:val="0080495C"/>
    <w:rsid w:val="00804C76"/>
    <w:rsid w:val="00804F84"/>
    <w:rsid w:val="00805291"/>
    <w:rsid w:val="008056D0"/>
    <w:rsid w:val="00805A60"/>
    <w:rsid w:val="00806694"/>
    <w:rsid w:val="0080669F"/>
    <w:rsid w:val="00806CAF"/>
    <w:rsid w:val="00806D3B"/>
    <w:rsid w:val="00807284"/>
    <w:rsid w:val="00807632"/>
    <w:rsid w:val="00807C80"/>
    <w:rsid w:val="00810387"/>
    <w:rsid w:val="00810488"/>
    <w:rsid w:val="008105BF"/>
    <w:rsid w:val="008106BA"/>
    <w:rsid w:val="00810718"/>
    <w:rsid w:val="00810D79"/>
    <w:rsid w:val="00810EBE"/>
    <w:rsid w:val="00811277"/>
    <w:rsid w:val="00811550"/>
    <w:rsid w:val="00811F90"/>
    <w:rsid w:val="00811FCD"/>
    <w:rsid w:val="008122A6"/>
    <w:rsid w:val="00812742"/>
    <w:rsid w:val="00812DD9"/>
    <w:rsid w:val="008138ED"/>
    <w:rsid w:val="00813960"/>
    <w:rsid w:val="00813C60"/>
    <w:rsid w:val="00814199"/>
    <w:rsid w:val="00814352"/>
    <w:rsid w:val="00814696"/>
    <w:rsid w:val="00814A9A"/>
    <w:rsid w:val="00814CFC"/>
    <w:rsid w:val="008158A6"/>
    <w:rsid w:val="00815C35"/>
    <w:rsid w:val="008175E3"/>
    <w:rsid w:val="00817920"/>
    <w:rsid w:val="00817BCB"/>
    <w:rsid w:val="00817E7D"/>
    <w:rsid w:val="00817FCB"/>
    <w:rsid w:val="00820B37"/>
    <w:rsid w:val="00820BE6"/>
    <w:rsid w:val="00820C09"/>
    <w:rsid w:val="00821764"/>
    <w:rsid w:val="008219DD"/>
    <w:rsid w:val="00821A6E"/>
    <w:rsid w:val="0082226F"/>
    <w:rsid w:val="00822349"/>
    <w:rsid w:val="008223FF"/>
    <w:rsid w:val="00822986"/>
    <w:rsid w:val="00822B05"/>
    <w:rsid w:val="008231F4"/>
    <w:rsid w:val="00823259"/>
    <w:rsid w:val="00823F81"/>
    <w:rsid w:val="00824937"/>
    <w:rsid w:val="00824D1C"/>
    <w:rsid w:val="00824E77"/>
    <w:rsid w:val="0082556F"/>
    <w:rsid w:val="00825765"/>
    <w:rsid w:val="008258E3"/>
    <w:rsid w:val="00825A74"/>
    <w:rsid w:val="0082684F"/>
    <w:rsid w:val="00826E84"/>
    <w:rsid w:val="0082727B"/>
    <w:rsid w:val="00827D1B"/>
    <w:rsid w:val="00827DBA"/>
    <w:rsid w:val="00830012"/>
    <w:rsid w:val="00831521"/>
    <w:rsid w:val="00831D5D"/>
    <w:rsid w:val="008321EE"/>
    <w:rsid w:val="008322A9"/>
    <w:rsid w:val="008322B0"/>
    <w:rsid w:val="00832D31"/>
    <w:rsid w:val="00833979"/>
    <w:rsid w:val="00833ED5"/>
    <w:rsid w:val="00834AD3"/>
    <w:rsid w:val="008350BA"/>
    <w:rsid w:val="00835466"/>
    <w:rsid w:val="00835643"/>
    <w:rsid w:val="008356BD"/>
    <w:rsid w:val="00835E94"/>
    <w:rsid w:val="00836172"/>
    <w:rsid w:val="0083735C"/>
    <w:rsid w:val="00837661"/>
    <w:rsid w:val="00837C96"/>
    <w:rsid w:val="008408BA"/>
    <w:rsid w:val="008408F4"/>
    <w:rsid w:val="00840AB1"/>
    <w:rsid w:val="00840F04"/>
    <w:rsid w:val="008414A4"/>
    <w:rsid w:val="0084159D"/>
    <w:rsid w:val="0084161A"/>
    <w:rsid w:val="00841C95"/>
    <w:rsid w:val="00841EF1"/>
    <w:rsid w:val="00842267"/>
    <w:rsid w:val="00842BE0"/>
    <w:rsid w:val="00842C88"/>
    <w:rsid w:val="0084398A"/>
    <w:rsid w:val="00843CFD"/>
    <w:rsid w:val="00843D36"/>
    <w:rsid w:val="00843D7D"/>
    <w:rsid w:val="00843D89"/>
    <w:rsid w:val="00844397"/>
    <w:rsid w:val="00844570"/>
    <w:rsid w:val="008446E0"/>
    <w:rsid w:val="00844C8C"/>
    <w:rsid w:val="00845776"/>
    <w:rsid w:val="00845CA5"/>
    <w:rsid w:val="008476E1"/>
    <w:rsid w:val="00850006"/>
    <w:rsid w:val="008505E3"/>
    <w:rsid w:val="00850728"/>
    <w:rsid w:val="00850943"/>
    <w:rsid w:val="008519E2"/>
    <w:rsid w:val="00851BEE"/>
    <w:rsid w:val="008522EE"/>
    <w:rsid w:val="00852717"/>
    <w:rsid w:val="008529CE"/>
    <w:rsid w:val="00852A8D"/>
    <w:rsid w:val="008534F2"/>
    <w:rsid w:val="008535E0"/>
    <w:rsid w:val="00853821"/>
    <w:rsid w:val="00853B58"/>
    <w:rsid w:val="00853E03"/>
    <w:rsid w:val="00854629"/>
    <w:rsid w:val="008548F3"/>
    <w:rsid w:val="008548F8"/>
    <w:rsid w:val="00854BE1"/>
    <w:rsid w:val="00855594"/>
    <w:rsid w:val="00855C9B"/>
    <w:rsid w:val="00855FD0"/>
    <w:rsid w:val="00856520"/>
    <w:rsid w:val="00856608"/>
    <w:rsid w:val="00856DFC"/>
    <w:rsid w:val="00857082"/>
    <w:rsid w:val="008573CF"/>
    <w:rsid w:val="00857533"/>
    <w:rsid w:val="00857996"/>
    <w:rsid w:val="00857B18"/>
    <w:rsid w:val="00857E13"/>
    <w:rsid w:val="00857E7C"/>
    <w:rsid w:val="00857E92"/>
    <w:rsid w:val="00860336"/>
    <w:rsid w:val="0086070C"/>
    <w:rsid w:val="0086092A"/>
    <w:rsid w:val="008610B3"/>
    <w:rsid w:val="008617B0"/>
    <w:rsid w:val="00861B40"/>
    <w:rsid w:val="00861DD2"/>
    <w:rsid w:val="00861F1A"/>
    <w:rsid w:val="0086239B"/>
    <w:rsid w:val="00862491"/>
    <w:rsid w:val="00862A97"/>
    <w:rsid w:val="00862CB7"/>
    <w:rsid w:val="008631D5"/>
    <w:rsid w:val="00863500"/>
    <w:rsid w:val="00863B19"/>
    <w:rsid w:val="00863EC4"/>
    <w:rsid w:val="00863FD8"/>
    <w:rsid w:val="0086409F"/>
    <w:rsid w:val="008641C6"/>
    <w:rsid w:val="008645B2"/>
    <w:rsid w:val="00864E68"/>
    <w:rsid w:val="00865058"/>
    <w:rsid w:val="00865CF8"/>
    <w:rsid w:val="00866163"/>
    <w:rsid w:val="008661CD"/>
    <w:rsid w:val="00867031"/>
    <w:rsid w:val="00867194"/>
    <w:rsid w:val="00867664"/>
    <w:rsid w:val="00870226"/>
    <w:rsid w:val="0087045D"/>
    <w:rsid w:val="008708F2"/>
    <w:rsid w:val="00871FC1"/>
    <w:rsid w:val="008720BB"/>
    <w:rsid w:val="0087236B"/>
    <w:rsid w:val="00872A62"/>
    <w:rsid w:val="008730B4"/>
    <w:rsid w:val="00873A86"/>
    <w:rsid w:val="0087450B"/>
    <w:rsid w:val="0087520F"/>
    <w:rsid w:val="00875491"/>
    <w:rsid w:val="0087557F"/>
    <w:rsid w:val="00875B76"/>
    <w:rsid w:val="00875BFB"/>
    <w:rsid w:val="00875EFD"/>
    <w:rsid w:val="00876995"/>
    <w:rsid w:val="00876C48"/>
    <w:rsid w:val="00876EF0"/>
    <w:rsid w:val="00876FD1"/>
    <w:rsid w:val="008773AF"/>
    <w:rsid w:val="008773C7"/>
    <w:rsid w:val="00877599"/>
    <w:rsid w:val="008776CE"/>
    <w:rsid w:val="00877A9B"/>
    <w:rsid w:val="00877BCB"/>
    <w:rsid w:val="008802F2"/>
    <w:rsid w:val="00880A00"/>
    <w:rsid w:val="00880F0F"/>
    <w:rsid w:val="00881C60"/>
    <w:rsid w:val="008825B8"/>
    <w:rsid w:val="00882E07"/>
    <w:rsid w:val="0088305C"/>
    <w:rsid w:val="008832EA"/>
    <w:rsid w:val="00883316"/>
    <w:rsid w:val="008833DB"/>
    <w:rsid w:val="00883843"/>
    <w:rsid w:val="008840AF"/>
    <w:rsid w:val="008840FE"/>
    <w:rsid w:val="008841E7"/>
    <w:rsid w:val="00884752"/>
    <w:rsid w:val="00885175"/>
    <w:rsid w:val="008857D0"/>
    <w:rsid w:val="00886367"/>
    <w:rsid w:val="00887134"/>
    <w:rsid w:val="008871E7"/>
    <w:rsid w:val="008873FA"/>
    <w:rsid w:val="0088753D"/>
    <w:rsid w:val="00887B04"/>
    <w:rsid w:val="00887B45"/>
    <w:rsid w:val="00887C0D"/>
    <w:rsid w:val="00887D6B"/>
    <w:rsid w:val="00890A92"/>
    <w:rsid w:val="00890C88"/>
    <w:rsid w:val="00890E7C"/>
    <w:rsid w:val="00890EBF"/>
    <w:rsid w:val="008914A4"/>
    <w:rsid w:val="00891E6D"/>
    <w:rsid w:val="00891F24"/>
    <w:rsid w:val="0089267E"/>
    <w:rsid w:val="00892895"/>
    <w:rsid w:val="00892944"/>
    <w:rsid w:val="00892CDF"/>
    <w:rsid w:val="008934B2"/>
    <w:rsid w:val="0089394D"/>
    <w:rsid w:val="00893B58"/>
    <w:rsid w:val="00893B8A"/>
    <w:rsid w:val="00893BC8"/>
    <w:rsid w:val="0089535E"/>
    <w:rsid w:val="008956E2"/>
    <w:rsid w:val="00895812"/>
    <w:rsid w:val="00895BD8"/>
    <w:rsid w:val="00895FFE"/>
    <w:rsid w:val="00896482"/>
    <w:rsid w:val="0089691D"/>
    <w:rsid w:val="00896987"/>
    <w:rsid w:val="00896B0B"/>
    <w:rsid w:val="008970C4"/>
    <w:rsid w:val="00897225"/>
    <w:rsid w:val="008973EA"/>
    <w:rsid w:val="00897462"/>
    <w:rsid w:val="0089768C"/>
    <w:rsid w:val="008977E3"/>
    <w:rsid w:val="00897EF6"/>
    <w:rsid w:val="008A0A72"/>
    <w:rsid w:val="008A13D9"/>
    <w:rsid w:val="008A1723"/>
    <w:rsid w:val="008A19C5"/>
    <w:rsid w:val="008A1C26"/>
    <w:rsid w:val="008A205F"/>
    <w:rsid w:val="008A219D"/>
    <w:rsid w:val="008A21E0"/>
    <w:rsid w:val="008A252F"/>
    <w:rsid w:val="008A2579"/>
    <w:rsid w:val="008A3026"/>
    <w:rsid w:val="008A30A3"/>
    <w:rsid w:val="008A353A"/>
    <w:rsid w:val="008A3CFD"/>
    <w:rsid w:val="008A3DBD"/>
    <w:rsid w:val="008A440C"/>
    <w:rsid w:val="008A47AF"/>
    <w:rsid w:val="008A4AD6"/>
    <w:rsid w:val="008A534A"/>
    <w:rsid w:val="008A5844"/>
    <w:rsid w:val="008A5A71"/>
    <w:rsid w:val="008A71D6"/>
    <w:rsid w:val="008A720A"/>
    <w:rsid w:val="008A72B8"/>
    <w:rsid w:val="008A7AA4"/>
    <w:rsid w:val="008A7B05"/>
    <w:rsid w:val="008A7BFA"/>
    <w:rsid w:val="008A7DB0"/>
    <w:rsid w:val="008B0291"/>
    <w:rsid w:val="008B0594"/>
    <w:rsid w:val="008B091A"/>
    <w:rsid w:val="008B0FBA"/>
    <w:rsid w:val="008B1366"/>
    <w:rsid w:val="008B1374"/>
    <w:rsid w:val="008B2354"/>
    <w:rsid w:val="008B31AA"/>
    <w:rsid w:val="008B34A9"/>
    <w:rsid w:val="008B3A58"/>
    <w:rsid w:val="008B3E0F"/>
    <w:rsid w:val="008B4388"/>
    <w:rsid w:val="008B4AEF"/>
    <w:rsid w:val="008B4B55"/>
    <w:rsid w:val="008B4C93"/>
    <w:rsid w:val="008B50EC"/>
    <w:rsid w:val="008B50FD"/>
    <w:rsid w:val="008B5107"/>
    <w:rsid w:val="008B52BA"/>
    <w:rsid w:val="008B551B"/>
    <w:rsid w:val="008B5CBB"/>
    <w:rsid w:val="008B5D41"/>
    <w:rsid w:val="008B5D85"/>
    <w:rsid w:val="008B5DAC"/>
    <w:rsid w:val="008B6346"/>
    <w:rsid w:val="008B6F74"/>
    <w:rsid w:val="008B742D"/>
    <w:rsid w:val="008B77D0"/>
    <w:rsid w:val="008B7BA1"/>
    <w:rsid w:val="008B7DFB"/>
    <w:rsid w:val="008C0C15"/>
    <w:rsid w:val="008C0C23"/>
    <w:rsid w:val="008C0F57"/>
    <w:rsid w:val="008C115C"/>
    <w:rsid w:val="008C23D0"/>
    <w:rsid w:val="008C32EF"/>
    <w:rsid w:val="008C34DA"/>
    <w:rsid w:val="008C3D91"/>
    <w:rsid w:val="008C3FB0"/>
    <w:rsid w:val="008C4542"/>
    <w:rsid w:val="008C4870"/>
    <w:rsid w:val="008C56F8"/>
    <w:rsid w:val="008C57AD"/>
    <w:rsid w:val="008C5F00"/>
    <w:rsid w:val="008C639C"/>
    <w:rsid w:val="008C6D73"/>
    <w:rsid w:val="008C6DC7"/>
    <w:rsid w:val="008C79A5"/>
    <w:rsid w:val="008C7B99"/>
    <w:rsid w:val="008C7BEA"/>
    <w:rsid w:val="008C7CCA"/>
    <w:rsid w:val="008D0275"/>
    <w:rsid w:val="008D0396"/>
    <w:rsid w:val="008D0DB3"/>
    <w:rsid w:val="008D15AD"/>
    <w:rsid w:val="008D16C9"/>
    <w:rsid w:val="008D1BFA"/>
    <w:rsid w:val="008D1D05"/>
    <w:rsid w:val="008D269E"/>
    <w:rsid w:val="008D2A74"/>
    <w:rsid w:val="008D2CE7"/>
    <w:rsid w:val="008D34B9"/>
    <w:rsid w:val="008D35A7"/>
    <w:rsid w:val="008D39CE"/>
    <w:rsid w:val="008D3A41"/>
    <w:rsid w:val="008D478E"/>
    <w:rsid w:val="008D4D2D"/>
    <w:rsid w:val="008D54A8"/>
    <w:rsid w:val="008D5A8E"/>
    <w:rsid w:val="008D61E6"/>
    <w:rsid w:val="008D638B"/>
    <w:rsid w:val="008D6CC4"/>
    <w:rsid w:val="008D762E"/>
    <w:rsid w:val="008D77AE"/>
    <w:rsid w:val="008E01B2"/>
    <w:rsid w:val="008E03C6"/>
    <w:rsid w:val="008E0774"/>
    <w:rsid w:val="008E0785"/>
    <w:rsid w:val="008E0A2A"/>
    <w:rsid w:val="008E1372"/>
    <w:rsid w:val="008E15E9"/>
    <w:rsid w:val="008E1797"/>
    <w:rsid w:val="008E192C"/>
    <w:rsid w:val="008E1A15"/>
    <w:rsid w:val="008E1F4D"/>
    <w:rsid w:val="008E22E9"/>
    <w:rsid w:val="008E2428"/>
    <w:rsid w:val="008E2D6B"/>
    <w:rsid w:val="008E3795"/>
    <w:rsid w:val="008E39E5"/>
    <w:rsid w:val="008E39F2"/>
    <w:rsid w:val="008E3A0F"/>
    <w:rsid w:val="008E3A9E"/>
    <w:rsid w:val="008E3B17"/>
    <w:rsid w:val="008E3C4E"/>
    <w:rsid w:val="008E5890"/>
    <w:rsid w:val="008E5D62"/>
    <w:rsid w:val="008E5FAF"/>
    <w:rsid w:val="008E6B45"/>
    <w:rsid w:val="008E6D96"/>
    <w:rsid w:val="008E6F8A"/>
    <w:rsid w:val="008E70E1"/>
    <w:rsid w:val="008E74C4"/>
    <w:rsid w:val="008E7C24"/>
    <w:rsid w:val="008F08B5"/>
    <w:rsid w:val="008F09B2"/>
    <w:rsid w:val="008F0F01"/>
    <w:rsid w:val="008F0F37"/>
    <w:rsid w:val="008F2146"/>
    <w:rsid w:val="008F21CB"/>
    <w:rsid w:val="008F2233"/>
    <w:rsid w:val="008F2484"/>
    <w:rsid w:val="008F27B5"/>
    <w:rsid w:val="008F2E94"/>
    <w:rsid w:val="008F2EBE"/>
    <w:rsid w:val="008F2F36"/>
    <w:rsid w:val="008F360E"/>
    <w:rsid w:val="008F37C7"/>
    <w:rsid w:val="008F38A8"/>
    <w:rsid w:val="008F3F80"/>
    <w:rsid w:val="008F4164"/>
    <w:rsid w:val="008F4819"/>
    <w:rsid w:val="008F49A4"/>
    <w:rsid w:val="008F4E95"/>
    <w:rsid w:val="008F5DF8"/>
    <w:rsid w:val="008F5F3E"/>
    <w:rsid w:val="008F6019"/>
    <w:rsid w:val="008F6160"/>
    <w:rsid w:val="008F6296"/>
    <w:rsid w:val="008F63EA"/>
    <w:rsid w:val="008F69EF"/>
    <w:rsid w:val="008F6CE6"/>
    <w:rsid w:val="008F6E68"/>
    <w:rsid w:val="008F6F23"/>
    <w:rsid w:val="008F701D"/>
    <w:rsid w:val="008F72A9"/>
    <w:rsid w:val="0090028A"/>
    <w:rsid w:val="00900C36"/>
    <w:rsid w:val="009011D7"/>
    <w:rsid w:val="009012E6"/>
    <w:rsid w:val="00901A4E"/>
    <w:rsid w:val="00901A83"/>
    <w:rsid w:val="00901C17"/>
    <w:rsid w:val="009022CE"/>
    <w:rsid w:val="0090352C"/>
    <w:rsid w:val="0090394A"/>
    <w:rsid w:val="00904813"/>
    <w:rsid w:val="00904CAF"/>
    <w:rsid w:val="00904E6F"/>
    <w:rsid w:val="0090539C"/>
    <w:rsid w:val="009056A4"/>
    <w:rsid w:val="009056CA"/>
    <w:rsid w:val="0090575B"/>
    <w:rsid w:val="009058E9"/>
    <w:rsid w:val="00905CC5"/>
    <w:rsid w:val="00905D4A"/>
    <w:rsid w:val="00905F5D"/>
    <w:rsid w:val="0090650B"/>
    <w:rsid w:val="00906A7A"/>
    <w:rsid w:val="00906CBB"/>
    <w:rsid w:val="00907AD6"/>
    <w:rsid w:val="00910429"/>
    <w:rsid w:val="009105CF"/>
    <w:rsid w:val="0091075F"/>
    <w:rsid w:val="00910A4B"/>
    <w:rsid w:val="00910ADD"/>
    <w:rsid w:val="00910D59"/>
    <w:rsid w:val="009112B5"/>
    <w:rsid w:val="009117CF"/>
    <w:rsid w:val="00911BF3"/>
    <w:rsid w:val="00911CCA"/>
    <w:rsid w:val="00912644"/>
    <w:rsid w:val="00912979"/>
    <w:rsid w:val="009138E5"/>
    <w:rsid w:val="00913C85"/>
    <w:rsid w:val="00913FBB"/>
    <w:rsid w:val="009148B1"/>
    <w:rsid w:val="009148C4"/>
    <w:rsid w:val="00914A10"/>
    <w:rsid w:val="00914B65"/>
    <w:rsid w:val="009150F1"/>
    <w:rsid w:val="0091549E"/>
    <w:rsid w:val="00915BD6"/>
    <w:rsid w:val="00915FFF"/>
    <w:rsid w:val="009162BC"/>
    <w:rsid w:val="00916306"/>
    <w:rsid w:val="0091669A"/>
    <w:rsid w:val="009168DE"/>
    <w:rsid w:val="00916B3D"/>
    <w:rsid w:val="009170BE"/>
    <w:rsid w:val="00917287"/>
    <w:rsid w:val="00917945"/>
    <w:rsid w:val="00917BDB"/>
    <w:rsid w:val="009201ED"/>
    <w:rsid w:val="00920340"/>
    <w:rsid w:val="00920735"/>
    <w:rsid w:val="009209BB"/>
    <w:rsid w:val="00921E03"/>
    <w:rsid w:val="00922AC5"/>
    <w:rsid w:val="009237DA"/>
    <w:rsid w:val="00923EF1"/>
    <w:rsid w:val="00925208"/>
    <w:rsid w:val="009252AE"/>
    <w:rsid w:val="00925328"/>
    <w:rsid w:val="00925337"/>
    <w:rsid w:val="009253E2"/>
    <w:rsid w:val="009256E0"/>
    <w:rsid w:val="009258AC"/>
    <w:rsid w:val="00925A22"/>
    <w:rsid w:val="00925C21"/>
    <w:rsid w:val="0092659C"/>
    <w:rsid w:val="009265C8"/>
    <w:rsid w:val="00926E1C"/>
    <w:rsid w:val="009275D3"/>
    <w:rsid w:val="009276CB"/>
    <w:rsid w:val="00927896"/>
    <w:rsid w:val="00927CDF"/>
    <w:rsid w:val="009309BF"/>
    <w:rsid w:val="00930EBA"/>
    <w:rsid w:val="00930F8E"/>
    <w:rsid w:val="00931087"/>
    <w:rsid w:val="009310B6"/>
    <w:rsid w:val="00931349"/>
    <w:rsid w:val="00932865"/>
    <w:rsid w:val="00932BCC"/>
    <w:rsid w:val="00932D2A"/>
    <w:rsid w:val="00933175"/>
    <w:rsid w:val="0093326F"/>
    <w:rsid w:val="009336CA"/>
    <w:rsid w:val="009337E7"/>
    <w:rsid w:val="00934173"/>
    <w:rsid w:val="00934474"/>
    <w:rsid w:val="00934936"/>
    <w:rsid w:val="00935E23"/>
    <w:rsid w:val="009360DC"/>
    <w:rsid w:val="009362D1"/>
    <w:rsid w:val="00936E79"/>
    <w:rsid w:val="009373D6"/>
    <w:rsid w:val="00937461"/>
    <w:rsid w:val="0093776D"/>
    <w:rsid w:val="00937862"/>
    <w:rsid w:val="00937ADD"/>
    <w:rsid w:val="00937B40"/>
    <w:rsid w:val="00937C64"/>
    <w:rsid w:val="00937CF6"/>
    <w:rsid w:val="00940BB3"/>
    <w:rsid w:val="00940ECB"/>
    <w:rsid w:val="0094154A"/>
    <w:rsid w:val="009415DA"/>
    <w:rsid w:val="00941982"/>
    <w:rsid w:val="00941C99"/>
    <w:rsid w:val="00942E62"/>
    <w:rsid w:val="00942F7B"/>
    <w:rsid w:val="009431AD"/>
    <w:rsid w:val="0094372F"/>
    <w:rsid w:val="00943A46"/>
    <w:rsid w:val="00943BF5"/>
    <w:rsid w:val="00943DB6"/>
    <w:rsid w:val="00943F14"/>
    <w:rsid w:val="00943F7E"/>
    <w:rsid w:val="0094472D"/>
    <w:rsid w:val="00944C5B"/>
    <w:rsid w:val="009452AB"/>
    <w:rsid w:val="0094576A"/>
    <w:rsid w:val="00945966"/>
    <w:rsid w:val="0094610A"/>
    <w:rsid w:val="009465F4"/>
    <w:rsid w:val="0094691D"/>
    <w:rsid w:val="00946BEF"/>
    <w:rsid w:val="00946D46"/>
    <w:rsid w:val="00946FAA"/>
    <w:rsid w:val="009474EB"/>
    <w:rsid w:val="0095076A"/>
    <w:rsid w:val="0095085C"/>
    <w:rsid w:val="00950A1B"/>
    <w:rsid w:val="00950C24"/>
    <w:rsid w:val="0095110A"/>
    <w:rsid w:val="00951387"/>
    <w:rsid w:val="0095159B"/>
    <w:rsid w:val="009516FD"/>
    <w:rsid w:val="009518D3"/>
    <w:rsid w:val="00951A40"/>
    <w:rsid w:val="00951C47"/>
    <w:rsid w:val="00952E0C"/>
    <w:rsid w:val="00952E47"/>
    <w:rsid w:val="00952F06"/>
    <w:rsid w:val="009531AD"/>
    <w:rsid w:val="00953D36"/>
    <w:rsid w:val="00953EEA"/>
    <w:rsid w:val="009547DA"/>
    <w:rsid w:val="009547E5"/>
    <w:rsid w:val="0095486C"/>
    <w:rsid w:val="00954BAF"/>
    <w:rsid w:val="00954BF8"/>
    <w:rsid w:val="00954E1F"/>
    <w:rsid w:val="00954E23"/>
    <w:rsid w:val="00954E67"/>
    <w:rsid w:val="00955D91"/>
    <w:rsid w:val="00955E41"/>
    <w:rsid w:val="0095619D"/>
    <w:rsid w:val="00956371"/>
    <w:rsid w:val="00956C5C"/>
    <w:rsid w:val="009570CB"/>
    <w:rsid w:val="009571AC"/>
    <w:rsid w:val="00957366"/>
    <w:rsid w:val="00957725"/>
    <w:rsid w:val="00960621"/>
    <w:rsid w:val="00960A30"/>
    <w:rsid w:val="00960D32"/>
    <w:rsid w:val="0096249D"/>
    <w:rsid w:val="009626B1"/>
    <w:rsid w:val="00962BD5"/>
    <w:rsid w:val="00963122"/>
    <w:rsid w:val="009644FE"/>
    <w:rsid w:val="00965252"/>
    <w:rsid w:val="0096543B"/>
    <w:rsid w:val="009658F8"/>
    <w:rsid w:val="0096599D"/>
    <w:rsid w:val="00965F6D"/>
    <w:rsid w:val="00966A25"/>
    <w:rsid w:val="00966A6D"/>
    <w:rsid w:val="00967068"/>
    <w:rsid w:val="00967B4C"/>
    <w:rsid w:val="00967E85"/>
    <w:rsid w:val="00970C0F"/>
    <w:rsid w:val="00970C47"/>
    <w:rsid w:val="00970CF7"/>
    <w:rsid w:val="00970E8D"/>
    <w:rsid w:val="009718CB"/>
    <w:rsid w:val="00971B94"/>
    <w:rsid w:val="00971DC3"/>
    <w:rsid w:val="00971F3A"/>
    <w:rsid w:val="0097289B"/>
    <w:rsid w:val="00972EEB"/>
    <w:rsid w:val="00972F62"/>
    <w:rsid w:val="00972F7C"/>
    <w:rsid w:val="00972FCA"/>
    <w:rsid w:val="00973370"/>
    <w:rsid w:val="00973D90"/>
    <w:rsid w:val="00974545"/>
    <w:rsid w:val="00974F49"/>
    <w:rsid w:val="0097503F"/>
    <w:rsid w:val="009755BB"/>
    <w:rsid w:val="0097569E"/>
    <w:rsid w:val="009759FB"/>
    <w:rsid w:val="00975A8E"/>
    <w:rsid w:val="00976E6F"/>
    <w:rsid w:val="00977884"/>
    <w:rsid w:val="00977FC8"/>
    <w:rsid w:val="0098015F"/>
    <w:rsid w:val="0098052D"/>
    <w:rsid w:val="00981A90"/>
    <w:rsid w:val="009822C1"/>
    <w:rsid w:val="00982642"/>
    <w:rsid w:val="009826E4"/>
    <w:rsid w:val="00982D6D"/>
    <w:rsid w:val="00982D8F"/>
    <w:rsid w:val="00982E90"/>
    <w:rsid w:val="00983472"/>
    <w:rsid w:val="0098356F"/>
    <w:rsid w:val="009835B5"/>
    <w:rsid w:val="00983D54"/>
    <w:rsid w:val="0098405F"/>
    <w:rsid w:val="009841B5"/>
    <w:rsid w:val="00984922"/>
    <w:rsid w:val="00984A41"/>
    <w:rsid w:val="00985A83"/>
    <w:rsid w:val="00985AD5"/>
    <w:rsid w:val="00985B07"/>
    <w:rsid w:val="00985E88"/>
    <w:rsid w:val="00987101"/>
    <w:rsid w:val="00987161"/>
    <w:rsid w:val="00987924"/>
    <w:rsid w:val="00987BE9"/>
    <w:rsid w:val="00990425"/>
    <w:rsid w:val="00990C53"/>
    <w:rsid w:val="00990E13"/>
    <w:rsid w:val="009910D9"/>
    <w:rsid w:val="009911D9"/>
    <w:rsid w:val="00991856"/>
    <w:rsid w:val="0099186B"/>
    <w:rsid w:val="00991B45"/>
    <w:rsid w:val="00991C1F"/>
    <w:rsid w:val="0099210B"/>
    <w:rsid w:val="00992113"/>
    <w:rsid w:val="009922B9"/>
    <w:rsid w:val="009922E6"/>
    <w:rsid w:val="009926D3"/>
    <w:rsid w:val="00992A1B"/>
    <w:rsid w:val="00992ABF"/>
    <w:rsid w:val="00992C79"/>
    <w:rsid w:val="00993402"/>
    <w:rsid w:val="00993685"/>
    <w:rsid w:val="009938C9"/>
    <w:rsid w:val="00993A48"/>
    <w:rsid w:val="00993AFA"/>
    <w:rsid w:val="009940A4"/>
    <w:rsid w:val="00994167"/>
    <w:rsid w:val="00994559"/>
    <w:rsid w:val="0099474D"/>
    <w:rsid w:val="00994884"/>
    <w:rsid w:val="00994B22"/>
    <w:rsid w:val="00994BC1"/>
    <w:rsid w:val="00994CFA"/>
    <w:rsid w:val="00994F86"/>
    <w:rsid w:val="00995BDD"/>
    <w:rsid w:val="0099666B"/>
    <w:rsid w:val="00996962"/>
    <w:rsid w:val="00996C0A"/>
    <w:rsid w:val="00996D7C"/>
    <w:rsid w:val="00997055"/>
    <w:rsid w:val="0099707D"/>
    <w:rsid w:val="00997287"/>
    <w:rsid w:val="00997B93"/>
    <w:rsid w:val="00997F5F"/>
    <w:rsid w:val="009A03B3"/>
    <w:rsid w:val="009A06E7"/>
    <w:rsid w:val="009A06EE"/>
    <w:rsid w:val="009A07B5"/>
    <w:rsid w:val="009A0F17"/>
    <w:rsid w:val="009A13AF"/>
    <w:rsid w:val="009A14B3"/>
    <w:rsid w:val="009A1795"/>
    <w:rsid w:val="009A18A8"/>
    <w:rsid w:val="009A1940"/>
    <w:rsid w:val="009A20E1"/>
    <w:rsid w:val="009A235C"/>
    <w:rsid w:val="009A28C8"/>
    <w:rsid w:val="009A2F07"/>
    <w:rsid w:val="009A3374"/>
    <w:rsid w:val="009A338C"/>
    <w:rsid w:val="009A3ABF"/>
    <w:rsid w:val="009A3DC0"/>
    <w:rsid w:val="009A3FBE"/>
    <w:rsid w:val="009A4046"/>
    <w:rsid w:val="009A4651"/>
    <w:rsid w:val="009A4F7D"/>
    <w:rsid w:val="009A5114"/>
    <w:rsid w:val="009A5479"/>
    <w:rsid w:val="009A55EF"/>
    <w:rsid w:val="009A562A"/>
    <w:rsid w:val="009A56ED"/>
    <w:rsid w:val="009A5896"/>
    <w:rsid w:val="009A5C57"/>
    <w:rsid w:val="009A5E02"/>
    <w:rsid w:val="009A63D8"/>
    <w:rsid w:val="009A64BA"/>
    <w:rsid w:val="009A65C8"/>
    <w:rsid w:val="009A6C6B"/>
    <w:rsid w:val="009A6E4A"/>
    <w:rsid w:val="009A704F"/>
    <w:rsid w:val="009A7F46"/>
    <w:rsid w:val="009B0D0B"/>
    <w:rsid w:val="009B0ED8"/>
    <w:rsid w:val="009B1F33"/>
    <w:rsid w:val="009B2960"/>
    <w:rsid w:val="009B2A37"/>
    <w:rsid w:val="009B2F1A"/>
    <w:rsid w:val="009B3080"/>
    <w:rsid w:val="009B33C3"/>
    <w:rsid w:val="009B3510"/>
    <w:rsid w:val="009B36BD"/>
    <w:rsid w:val="009B3710"/>
    <w:rsid w:val="009B3D3D"/>
    <w:rsid w:val="009B45EE"/>
    <w:rsid w:val="009B4907"/>
    <w:rsid w:val="009B4F44"/>
    <w:rsid w:val="009B51D5"/>
    <w:rsid w:val="009B5615"/>
    <w:rsid w:val="009B5B8C"/>
    <w:rsid w:val="009B5CF6"/>
    <w:rsid w:val="009B5F35"/>
    <w:rsid w:val="009B667A"/>
    <w:rsid w:val="009B6EAC"/>
    <w:rsid w:val="009B6FE5"/>
    <w:rsid w:val="009B7BA3"/>
    <w:rsid w:val="009B7C85"/>
    <w:rsid w:val="009C062C"/>
    <w:rsid w:val="009C096C"/>
    <w:rsid w:val="009C0CE0"/>
    <w:rsid w:val="009C0DBC"/>
    <w:rsid w:val="009C14FE"/>
    <w:rsid w:val="009C2007"/>
    <w:rsid w:val="009C21A3"/>
    <w:rsid w:val="009C2227"/>
    <w:rsid w:val="009C2F9E"/>
    <w:rsid w:val="009C3BD0"/>
    <w:rsid w:val="009C4600"/>
    <w:rsid w:val="009C469A"/>
    <w:rsid w:val="009C48A1"/>
    <w:rsid w:val="009C4CEE"/>
    <w:rsid w:val="009C4ED8"/>
    <w:rsid w:val="009C524A"/>
    <w:rsid w:val="009C53A7"/>
    <w:rsid w:val="009C54F6"/>
    <w:rsid w:val="009C59D7"/>
    <w:rsid w:val="009C6553"/>
    <w:rsid w:val="009C6C85"/>
    <w:rsid w:val="009C6DA0"/>
    <w:rsid w:val="009C6FFC"/>
    <w:rsid w:val="009C70D7"/>
    <w:rsid w:val="009C73A8"/>
    <w:rsid w:val="009C7453"/>
    <w:rsid w:val="009C77EB"/>
    <w:rsid w:val="009C7C74"/>
    <w:rsid w:val="009D10A6"/>
    <w:rsid w:val="009D10F1"/>
    <w:rsid w:val="009D1221"/>
    <w:rsid w:val="009D144D"/>
    <w:rsid w:val="009D169A"/>
    <w:rsid w:val="009D1C44"/>
    <w:rsid w:val="009D1DDB"/>
    <w:rsid w:val="009D2B10"/>
    <w:rsid w:val="009D2C9D"/>
    <w:rsid w:val="009D2D70"/>
    <w:rsid w:val="009D3303"/>
    <w:rsid w:val="009D37ED"/>
    <w:rsid w:val="009D3AFB"/>
    <w:rsid w:val="009D3E8E"/>
    <w:rsid w:val="009D403A"/>
    <w:rsid w:val="009D420D"/>
    <w:rsid w:val="009D4805"/>
    <w:rsid w:val="009D480D"/>
    <w:rsid w:val="009D4A5D"/>
    <w:rsid w:val="009D4C95"/>
    <w:rsid w:val="009D528E"/>
    <w:rsid w:val="009D5312"/>
    <w:rsid w:val="009D531B"/>
    <w:rsid w:val="009D546D"/>
    <w:rsid w:val="009D5C36"/>
    <w:rsid w:val="009D5F3F"/>
    <w:rsid w:val="009D6071"/>
    <w:rsid w:val="009D7025"/>
    <w:rsid w:val="009D70DB"/>
    <w:rsid w:val="009D71FA"/>
    <w:rsid w:val="009D7648"/>
    <w:rsid w:val="009D7F1D"/>
    <w:rsid w:val="009E092D"/>
    <w:rsid w:val="009E09F1"/>
    <w:rsid w:val="009E0AF2"/>
    <w:rsid w:val="009E0B94"/>
    <w:rsid w:val="009E0EDB"/>
    <w:rsid w:val="009E16F5"/>
    <w:rsid w:val="009E1C36"/>
    <w:rsid w:val="009E20B2"/>
    <w:rsid w:val="009E22BE"/>
    <w:rsid w:val="009E24A1"/>
    <w:rsid w:val="009E253A"/>
    <w:rsid w:val="009E270B"/>
    <w:rsid w:val="009E2A92"/>
    <w:rsid w:val="009E2B9F"/>
    <w:rsid w:val="009E338F"/>
    <w:rsid w:val="009E351D"/>
    <w:rsid w:val="009E3A65"/>
    <w:rsid w:val="009E3C2D"/>
    <w:rsid w:val="009E44AE"/>
    <w:rsid w:val="009E451E"/>
    <w:rsid w:val="009E4E52"/>
    <w:rsid w:val="009E50E4"/>
    <w:rsid w:val="009E556D"/>
    <w:rsid w:val="009E5A35"/>
    <w:rsid w:val="009E5E5F"/>
    <w:rsid w:val="009E6B1E"/>
    <w:rsid w:val="009E717E"/>
    <w:rsid w:val="009E7D68"/>
    <w:rsid w:val="009E7EFD"/>
    <w:rsid w:val="009F1377"/>
    <w:rsid w:val="009F18FD"/>
    <w:rsid w:val="009F228E"/>
    <w:rsid w:val="009F2B4E"/>
    <w:rsid w:val="009F2F60"/>
    <w:rsid w:val="009F3436"/>
    <w:rsid w:val="009F389E"/>
    <w:rsid w:val="009F391D"/>
    <w:rsid w:val="009F3C59"/>
    <w:rsid w:val="009F3C6E"/>
    <w:rsid w:val="009F4869"/>
    <w:rsid w:val="009F4AB5"/>
    <w:rsid w:val="009F5224"/>
    <w:rsid w:val="009F5413"/>
    <w:rsid w:val="009F5C58"/>
    <w:rsid w:val="009F5F6B"/>
    <w:rsid w:val="009F61FD"/>
    <w:rsid w:val="009F6C19"/>
    <w:rsid w:val="009F7036"/>
    <w:rsid w:val="009F730B"/>
    <w:rsid w:val="009F7641"/>
    <w:rsid w:val="009F7A25"/>
    <w:rsid w:val="009F7AE2"/>
    <w:rsid w:val="009F7D96"/>
    <w:rsid w:val="00A0043E"/>
    <w:rsid w:val="00A00624"/>
    <w:rsid w:val="00A00DE1"/>
    <w:rsid w:val="00A01441"/>
    <w:rsid w:val="00A01504"/>
    <w:rsid w:val="00A01664"/>
    <w:rsid w:val="00A01702"/>
    <w:rsid w:val="00A0172F"/>
    <w:rsid w:val="00A018B5"/>
    <w:rsid w:val="00A019A7"/>
    <w:rsid w:val="00A0233D"/>
    <w:rsid w:val="00A02389"/>
    <w:rsid w:val="00A0281B"/>
    <w:rsid w:val="00A02ED8"/>
    <w:rsid w:val="00A03244"/>
    <w:rsid w:val="00A03396"/>
    <w:rsid w:val="00A034D8"/>
    <w:rsid w:val="00A0388A"/>
    <w:rsid w:val="00A04371"/>
    <w:rsid w:val="00A04DC3"/>
    <w:rsid w:val="00A04FEE"/>
    <w:rsid w:val="00A051B9"/>
    <w:rsid w:val="00A0524E"/>
    <w:rsid w:val="00A05F5D"/>
    <w:rsid w:val="00A060BB"/>
    <w:rsid w:val="00A067A5"/>
    <w:rsid w:val="00A067D8"/>
    <w:rsid w:val="00A068DA"/>
    <w:rsid w:val="00A06F34"/>
    <w:rsid w:val="00A07173"/>
    <w:rsid w:val="00A104D8"/>
    <w:rsid w:val="00A10A42"/>
    <w:rsid w:val="00A11043"/>
    <w:rsid w:val="00A118C3"/>
    <w:rsid w:val="00A11C1B"/>
    <w:rsid w:val="00A11D0E"/>
    <w:rsid w:val="00A125D6"/>
    <w:rsid w:val="00A127C9"/>
    <w:rsid w:val="00A12B3E"/>
    <w:rsid w:val="00A1301E"/>
    <w:rsid w:val="00A13872"/>
    <w:rsid w:val="00A13B89"/>
    <w:rsid w:val="00A1476C"/>
    <w:rsid w:val="00A14B89"/>
    <w:rsid w:val="00A14D26"/>
    <w:rsid w:val="00A1545B"/>
    <w:rsid w:val="00A15652"/>
    <w:rsid w:val="00A15770"/>
    <w:rsid w:val="00A15777"/>
    <w:rsid w:val="00A15951"/>
    <w:rsid w:val="00A15D17"/>
    <w:rsid w:val="00A15D6C"/>
    <w:rsid w:val="00A16542"/>
    <w:rsid w:val="00A165DF"/>
    <w:rsid w:val="00A16992"/>
    <w:rsid w:val="00A16EDC"/>
    <w:rsid w:val="00A16F96"/>
    <w:rsid w:val="00A1742F"/>
    <w:rsid w:val="00A177DF"/>
    <w:rsid w:val="00A178C6"/>
    <w:rsid w:val="00A17C39"/>
    <w:rsid w:val="00A20D5E"/>
    <w:rsid w:val="00A20EAC"/>
    <w:rsid w:val="00A21A8A"/>
    <w:rsid w:val="00A21BF9"/>
    <w:rsid w:val="00A21FC8"/>
    <w:rsid w:val="00A22462"/>
    <w:rsid w:val="00A22B38"/>
    <w:rsid w:val="00A22B52"/>
    <w:rsid w:val="00A22D58"/>
    <w:rsid w:val="00A2302B"/>
    <w:rsid w:val="00A2309F"/>
    <w:rsid w:val="00A23294"/>
    <w:rsid w:val="00A238E1"/>
    <w:rsid w:val="00A24768"/>
    <w:rsid w:val="00A24BC5"/>
    <w:rsid w:val="00A24D5B"/>
    <w:rsid w:val="00A24E9A"/>
    <w:rsid w:val="00A251CF"/>
    <w:rsid w:val="00A25822"/>
    <w:rsid w:val="00A25CBD"/>
    <w:rsid w:val="00A25FC3"/>
    <w:rsid w:val="00A2642F"/>
    <w:rsid w:val="00A270EB"/>
    <w:rsid w:val="00A2729B"/>
    <w:rsid w:val="00A278A7"/>
    <w:rsid w:val="00A27B8F"/>
    <w:rsid w:val="00A27E9E"/>
    <w:rsid w:val="00A30199"/>
    <w:rsid w:val="00A3199C"/>
    <w:rsid w:val="00A31B4A"/>
    <w:rsid w:val="00A32266"/>
    <w:rsid w:val="00A32B60"/>
    <w:rsid w:val="00A32EF3"/>
    <w:rsid w:val="00A331BB"/>
    <w:rsid w:val="00A3343C"/>
    <w:rsid w:val="00A3369E"/>
    <w:rsid w:val="00A33753"/>
    <w:rsid w:val="00A337A6"/>
    <w:rsid w:val="00A34963"/>
    <w:rsid w:val="00A34E8D"/>
    <w:rsid w:val="00A35045"/>
    <w:rsid w:val="00A35890"/>
    <w:rsid w:val="00A35B9D"/>
    <w:rsid w:val="00A35DB1"/>
    <w:rsid w:val="00A36378"/>
    <w:rsid w:val="00A36409"/>
    <w:rsid w:val="00A36C35"/>
    <w:rsid w:val="00A36FEA"/>
    <w:rsid w:val="00A3764C"/>
    <w:rsid w:val="00A37A97"/>
    <w:rsid w:val="00A37FAF"/>
    <w:rsid w:val="00A41206"/>
    <w:rsid w:val="00A41BC4"/>
    <w:rsid w:val="00A41F6B"/>
    <w:rsid w:val="00A41FF9"/>
    <w:rsid w:val="00A4236D"/>
    <w:rsid w:val="00A42722"/>
    <w:rsid w:val="00A42DFC"/>
    <w:rsid w:val="00A431CA"/>
    <w:rsid w:val="00A43610"/>
    <w:rsid w:val="00A436A5"/>
    <w:rsid w:val="00A437F4"/>
    <w:rsid w:val="00A43FE9"/>
    <w:rsid w:val="00A44558"/>
    <w:rsid w:val="00A4469B"/>
    <w:rsid w:val="00A447B1"/>
    <w:rsid w:val="00A44B69"/>
    <w:rsid w:val="00A458DA"/>
    <w:rsid w:val="00A45DC3"/>
    <w:rsid w:val="00A4683A"/>
    <w:rsid w:val="00A47147"/>
    <w:rsid w:val="00A47636"/>
    <w:rsid w:val="00A476A3"/>
    <w:rsid w:val="00A476DE"/>
    <w:rsid w:val="00A4781D"/>
    <w:rsid w:val="00A479D4"/>
    <w:rsid w:val="00A47A0D"/>
    <w:rsid w:val="00A47EA8"/>
    <w:rsid w:val="00A50251"/>
    <w:rsid w:val="00A50272"/>
    <w:rsid w:val="00A50333"/>
    <w:rsid w:val="00A50606"/>
    <w:rsid w:val="00A50D37"/>
    <w:rsid w:val="00A51026"/>
    <w:rsid w:val="00A51597"/>
    <w:rsid w:val="00A519E3"/>
    <w:rsid w:val="00A51F80"/>
    <w:rsid w:val="00A5213E"/>
    <w:rsid w:val="00A5297C"/>
    <w:rsid w:val="00A52CBA"/>
    <w:rsid w:val="00A53C6C"/>
    <w:rsid w:val="00A5417F"/>
    <w:rsid w:val="00A541B8"/>
    <w:rsid w:val="00A5469A"/>
    <w:rsid w:val="00A54C64"/>
    <w:rsid w:val="00A5589F"/>
    <w:rsid w:val="00A55E90"/>
    <w:rsid w:val="00A561E4"/>
    <w:rsid w:val="00A5632E"/>
    <w:rsid w:val="00A565DA"/>
    <w:rsid w:val="00A57520"/>
    <w:rsid w:val="00A57641"/>
    <w:rsid w:val="00A57F79"/>
    <w:rsid w:val="00A57F91"/>
    <w:rsid w:val="00A6033A"/>
    <w:rsid w:val="00A606EE"/>
    <w:rsid w:val="00A60FCE"/>
    <w:rsid w:val="00A612D5"/>
    <w:rsid w:val="00A613FC"/>
    <w:rsid w:val="00A61594"/>
    <w:rsid w:val="00A616D8"/>
    <w:rsid w:val="00A61753"/>
    <w:rsid w:val="00A61BE5"/>
    <w:rsid w:val="00A6224C"/>
    <w:rsid w:val="00A6291A"/>
    <w:rsid w:val="00A633A7"/>
    <w:rsid w:val="00A6431B"/>
    <w:rsid w:val="00A64D9B"/>
    <w:rsid w:val="00A64E30"/>
    <w:rsid w:val="00A65F5D"/>
    <w:rsid w:val="00A661E7"/>
    <w:rsid w:val="00A66785"/>
    <w:rsid w:val="00A66C90"/>
    <w:rsid w:val="00A66D4C"/>
    <w:rsid w:val="00A66DAB"/>
    <w:rsid w:val="00A6704B"/>
    <w:rsid w:val="00A67163"/>
    <w:rsid w:val="00A6716E"/>
    <w:rsid w:val="00A6737E"/>
    <w:rsid w:val="00A67630"/>
    <w:rsid w:val="00A67D2B"/>
    <w:rsid w:val="00A67FE2"/>
    <w:rsid w:val="00A701F4"/>
    <w:rsid w:val="00A7020D"/>
    <w:rsid w:val="00A70252"/>
    <w:rsid w:val="00A7049D"/>
    <w:rsid w:val="00A70869"/>
    <w:rsid w:val="00A71115"/>
    <w:rsid w:val="00A7116C"/>
    <w:rsid w:val="00A718A9"/>
    <w:rsid w:val="00A71C9D"/>
    <w:rsid w:val="00A71F8B"/>
    <w:rsid w:val="00A72299"/>
    <w:rsid w:val="00A72C91"/>
    <w:rsid w:val="00A72CCF"/>
    <w:rsid w:val="00A7344E"/>
    <w:rsid w:val="00A74BD5"/>
    <w:rsid w:val="00A7619B"/>
    <w:rsid w:val="00A76613"/>
    <w:rsid w:val="00A775AF"/>
    <w:rsid w:val="00A77BC5"/>
    <w:rsid w:val="00A77CCC"/>
    <w:rsid w:val="00A80539"/>
    <w:rsid w:val="00A80733"/>
    <w:rsid w:val="00A80B8F"/>
    <w:rsid w:val="00A80CB7"/>
    <w:rsid w:val="00A812FE"/>
    <w:rsid w:val="00A815E4"/>
    <w:rsid w:val="00A821D8"/>
    <w:rsid w:val="00A8237A"/>
    <w:rsid w:val="00A824CE"/>
    <w:rsid w:val="00A8328B"/>
    <w:rsid w:val="00A833B4"/>
    <w:rsid w:val="00A836FF"/>
    <w:rsid w:val="00A83CB1"/>
    <w:rsid w:val="00A84003"/>
    <w:rsid w:val="00A843CB"/>
    <w:rsid w:val="00A84495"/>
    <w:rsid w:val="00A84B12"/>
    <w:rsid w:val="00A851A7"/>
    <w:rsid w:val="00A85229"/>
    <w:rsid w:val="00A853D0"/>
    <w:rsid w:val="00A85D9D"/>
    <w:rsid w:val="00A85E58"/>
    <w:rsid w:val="00A86DAF"/>
    <w:rsid w:val="00A872A8"/>
    <w:rsid w:val="00A87D90"/>
    <w:rsid w:val="00A87F29"/>
    <w:rsid w:val="00A87F78"/>
    <w:rsid w:val="00A90547"/>
    <w:rsid w:val="00A90A46"/>
    <w:rsid w:val="00A90AA7"/>
    <w:rsid w:val="00A90B6A"/>
    <w:rsid w:val="00A90E36"/>
    <w:rsid w:val="00A91109"/>
    <w:rsid w:val="00A9123B"/>
    <w:rsid w:val="00A912EA"/>
    <w:rsid w:val="00A915F7"/>
    <w:rsid w:val="00A9175C"/>
    <w:rsid w:val="00A91AA5"/>
    <w:rsid w:val="00A92593"/>
    <w:rsid w:val="00A929CE"/>
    <w:rsid w:val="00A92C5D"/>
    <w:rsid w:val="00A92D85"/>
    <w:rsid w:val="00A93AD4"/>
    <w:rsid w:val="00A94A8E"/>
    <w:rsid w:val="00A94AC5"/>
    <w:rsid w:val="00A94D5B"/>
    <w:rsid w:val="00A95C2C"/>
    <w:rsid w:val="00A95D91"/>
    <w:rsid w:val="00A96B58"/>
    <w:rsid w:val="00A97513"/>
    <w:rsid w:val="00AA02D0"/>
    <w:rsid w:val="00AA05F2"/>
    <w:rsid w:val="00AA0A57"/>
    <w:rsid w:val="00AA0BD9"/>
    <w:rsid w:val="00AA1469"/>
    <w:rsid w:val="00AA1E2E"/>
    <w:rsid w:val="00AA1E95"/>
    <w:rsid w:val="00AA28C0"/>
    <w:rsid w:val="00AA294E"/>
    <w:rsid w:val="00AA36D8"/>
    <w:rsid w:val="00AA37DA"/>
    <w:rsid w:val="00AA38C3"/>
    <w:rsid w:val="00AA390F"/>
    <w:rsid w:val="00AA39CC"/>
    <w:rsid w:val="00AA5044"/>
    <w:rsid w:val="00AA5594"/>
    <w:rsid w:val="00AA5928"/>
    <w:rsid w:val="00AA5F8E"/>
    <w:rsid w:val="00AA60EE"/>
    <w:rsid w:val="00AA616F"/>
    <w:rsid w:val="00AA6624"/>
    <w:rsid w:val="00AA747F"/>
    <w:rsid w:val="00AA7480"/>
    <w:rsid w:val="00AA7584"/>
    <w:rsid w:val="00AA777F"/>
    <w:rsid w:val="00AA7798"/>
    <w:rsid w:val="00AA7CCA"/>
    <w:rsid w:val="00AA7DC7"/>
    <w:rsid w:val="00AA7FF2"/>
    <w:rsid w:val="00AB0338"/>
    <w:rsid w:val="00AB0836"/>
    <w:rsid w:val="00AB0B60"/>
    <w:rsid w:val="00AB101E"/>
    <w:rsid w:val="00AB1254"/>
    <w:rsid w:val="00AB12E7"/>
    <w:rsid w:val="00AB150C"/>
    <w:rsid w:val="00AB1B83"/>
    <w:rsid w:val="00AB2480"/>
    <w:rsid w:val="00AB2AEC"/>
    <w:rsid w:val="00AB355D"/>
    <w:rsid w:val="00AB3E28"/>
    <w:rsid w:val="00AB40B8"/>
    <w:rsid w:val="00AB4822"/>
    <w:rsid w:val="00AB4995"/>
    <w:rsid w:val="00AB4AA6"/>
    <w:rsid w:val="00AB4DE2"/>
    <w:rsid w:val="00AB5E13"/>
    <w:rsid w:val="00AB64E6"/>
    <w:rsid w:val="00AB662B"/>
    <w:rsid w:val="00AB6949"/>
    <w:rsid w:val="00AB726F"/>
    <w:rsid w:val="00AB7D30"/>
    <w:rsid w:val="00AC05F5"/>
    <w:rsid w:val="00AC0733"/>
    <w:rsid w:val="00AC09B9"/>
    <w:rsid w:val="00AC0BA6"/>
    <w:rsid w:val="00AC0EED"/>
    <w:rsid w:val="00AC2380"/>
    <w:rsid w:val="00AC2A65"/>
    <w:rsid w:val="00AC2EA9"/>
    <w:rsid w:val="00AC3639"/>
    <w:rsid w:val="00AC3720"/>
    <w:rsid w:val="00AC3BAC"/>
    <w:rsid w:val="00AC48FF"/>
    <w:rsid w:val="00AC49E1"/>
    <w:rsid w:val="00AC4A72"/>
    <w:rsid w:val="00AC4C5F"/>
    <w:rsid w:val="00AC4FBE"/>
    <w:rsid w:val="00AC4FCC"/>
    <w:rsid w:val="00AC5786"/>
    <w:rsid w:val="00AC6002"/>
    <w:rsid w:val="00AC66BE"/>
    <w:rsid w:val="00AC6775"/>
    <w:rsid w:val="00AC6A58"/>
    <w:rsid w:val="00AC6C48"/>
    <w:rsid w:val="00AC6FC7"/>
    <w:rsid w:val="00AC6FD9"/>
    <w:rsid w:val="00AC7EA1"/>
    <w:rsid w:val="00AC7EA6"/>
    <w:rsid w:val="00AD0B59"/>
    <w:rsid w:val="00AD11AE"/>
    <w:rsid w:val="00AD14BB"/>
    <w:rsid w:val="00AD1C49"/>
    <w:rsid w:val="00AD1D8B"/>
    <w:rsid w:val="00AD25B0"/>
    <w:rsid w:val="00AD2EAE"/>
    <w:rsid w:val="00AD2F7C"/>
    <w:rsid w:val="00AD307D"/>
    <w:rsid w:val="00AD3488"/>
    <w:rsid w:val="00AD4448"/>
    <w:rsid w:val="00AD45A4"/>
    <w:rsid w:val="00AD45FF"/>
    <w:rsid w:val="00AD4F6D"/>
    <w:rsid w:val="00AD52CF"/>
    <w:rsid w:val="00AD55C9"/>
    <w:rsid w:val="00AD5F19"/>
    <w:rsid w:val="00AD68A3"/>
    <w:rsid w:val="00AD6C47"/>
    <w:rsid w:val="00AD788A"/>
    <w:rsid w:val="00AD7C89"/>
    <w:rsid w:val="00AD7D56"/>
    <w:rsid w:val="00AE0814"/>
    <w:rsid w:val="00AE1081"/>
    <w:rsid w:val="00AE13A6"/>
    <w:rsid w:val="00AE1622"/>
    <w:rsid w:val="00AE1632"/>
    <w:rsid w:val="00AE16E2"/>
    <w:rsid w:val="00AE1754"/>
    <w:rsid w:val="00AE1A46"/>
    <w:rsid w:val="00AE1C1B"/>
    <w:rsid w:val="00AE1F30"/>
    <w:rsid w:val="00AE2215"/>
    <w:rsid w:val="00AE291A"/>
    <w:rsid w:val="00AE29D8"/>
    <w:rsid w:val="00AE2ACD"/>
    <w:rsid w:val="00AE4016"/>
    <w:rsid w:val="00AE40BC"/>
    <w:rsid w:val="00AE489D"/>
    <w:rsid w:val="00AE4960"/>
    <w:rsid w:val="00AE4B68"/>
    <w:rsid w:val="00AE4F2A"/>
    <w:rsid w:val="00AE4F67"/>
    <w:rsid w:val="00AE4FAA"/>
    <w:rsid w:val="00AE5064"/>
    <w:rsid w:val="00AE53A3"/>
    <w:rsid w:val="00AE5554"/>
    <w:rsid w:val="00AE573A"/>
    <w:rsid w:val="00AE65BF"/>
    <w:rsid w:val="00AE6B7C"/>
    <w:rsid w:val="00AE6DD7"/>
    <w:rsid w:val="00AE6F93"/>
    <w:rsid w:val="00AE7092"/>
    <w:rsid w:val="00AE72A1"/>
    <w:rsid w:val="00AE77D5"/>
    <w:rsid w:val="00AE7817"/>
    <w:rsid w:val="00AE792D"/>
    <w:rsid w:val="00AE7F2B"/>
    <w:rsid w:val="00AE7F56"/>
    <w:rsid w:val="00AF11CB"/>
    <w:rsid w:val="00AF1684"/>
    <w:rsid w:val="00AF267B"/>
    <w:rsid w:val="00AF299F"/>
    <w:rsid w:val="00AF2E7E"/>
    <w:rsid w:val="00AF2EB8"/>
    <w:rsid w:val="00AF2FB5"/>
    <w:rsid w:val="00AF3AD0"/>
    <w:rsid w:val="00AF4920"/>
    <w:rsid w:val="00AF4C6E"/>
    <w:rsid w:val="00AF4DD7"/>
    <w:rsid w:val="00AF54C5"/>
    <w:rsid w:val="00AF55B5"/>
    <w:rsid w:val="00AF612F"/>
    <w:rsid w:val="00AF647A"/>
    <w:rsid w:val="00AF6C8F"/>
    <w:rsid w:val="00AF6CB5"/>
    <w:rsid w:val="00AF7844"/>
    <w:rsid w:val="00AF7A28"/>
    <w:rsid w:val="00AF7A57"/>
    <w:rsid w:val="00AF7CF9"/>
    <w:rsid w:val="00B004CD"/>
    <w:rsid w:val="00B00D08"/>
    <w:rsid w:val="00B01405"/>
    <w:rsid w:val="00B01DC9"/>
    <w:rsid w:val="00B0220C"/>
    <w:rsid w:val="00B02B8A"/>
    <w:rsid w:val="00B02D06"/>
    <w:rsid w:val="00B02F30"/>
    <w:rsid w:val="00B032B9"/>
    <w:rsid w:val="00B03AFF"/>
    <w:rsid w:val="00B03B66"/>
    <w:rsid w:val="00B04089"/>
    <w:rsid w:val="00B04169"/>
    <w:rsid w:val="00B04B13"/>
    <w:rsid w:val="00B04CCB"/>
    <w:rsid w:val="00B04D0B"/>
    <w:rsid w:val="00B04D37"/>
    <w:rsid w:val="00B04F30"/>
    <w:rsid w:val="00B04FA1"/>
    <w:rsid w:val="00B0510D"/>
    <w:rsid w:val="00B05129"/>
    <w:rsid w:val="00B06185"/>
    <w:rsid w:val="00B06216"/>
    <w:rsid w:val="00B0690F"/>
    <w:rsid w:val="00B071DD"/>
    <w:rsid w:val="00B077DB"/>
    <w:rsid w:val="00B078EE"/>
    <w:rsid w:val="00B07B7B"/>
    <w:rsid w:val="00B10218"/>
    <w:rsid w:val="00B10604"/>
    <w:rsid w:val="00B10810"/>
    <w:rsid w:val="00B10BDD"/>
    <w:rsid w:val="00B10BEB"/>
    <w:rsid w:val="00B11AE0"/>
    <w:rsid w:val="00B126C0"/>
    <w:rsid w:val="00B12EB8"/>
    <w:rsid w:val="00B135E2"/>
    <w:rsid w:val="00B13D92"/>
    <w:rsid w:val="00B13F71"/>
    <w:rsid w:val="00B140D1"/>
    <w:rsid w:val="00B143BF"/>
    <w:rsid w:val="00B143DB"/>
    <w:rsid w:val="00B145A6"/>
    <w:rsid w:val="00B145C3"/>
    <w:rsid w:val="00B14877"/>
    <w:rsid w:val="00B1499B"/>
    <w:rsid w:val="00B14D7D"/>
    <w:rsid w:val="00B1583C"/>
    <w:rsid w:val="00B15D2B"/>
    <w:rsid w:val="00B1629B"/>
    <w:rsid w:val="00B16583"/>
    <w:rsid w:val="00B17927"/>
    <w:rsid w:val="00B179D8"/>
    <w:rsid w:val="00B17D83"/>
    <w:rsid w:val="00B17DAD"/>
    <w:rsid w:val="00B17EF3"/>
    <w:rsid w:val="00B20662"/>
    <w:rsid w:val="00B206C9"/>
    <w:rsid w:val="00B20AB6"/>
    <w:rsid w:val="00B20AFD"/>
    <w:rsid w:val="00B217F8"/>
    <w:rsid w:val="00B21927"/>
    <w:rsid w:val="00B21A0F"/>
    <w:rsid w:val="00B2264B"/>
    <w:rsid w:val="00B2295A"/>
    <w:rsid w:val="00B22CCF"/>
    <w:rsid w:val="00B22EF9"/>
    <w:rsid w:val="00B22FE7"/>
    <w:rsid w:val="00B23067"/>
    <w:rsid w:val="00B23219"/>
    <w:rsid w:val="00B233AC"/>
    <w:rsid w:val="00B234A9"/>
    <w:rsid w:val="00B234AA"/>
    <w:rsid w:val="00B234C0"/>
    <w:rsid w:val="00B236DF"/>
    <w:rsid w:val="00B23731"/>
    <w:rsid w:val="00B237D7"/>
    <w:rsid w:val="00B23A8D"/>
    <w:rsid w:val="00B23BF0"/>
    <w:rsid w:val="00B23E2E"/>
    <w:rsid w:val="00B2427D"/>
    <w:rsid w:val="00B24A94"/>
    <w:rsid w:val="00B24AEE"/>
    <w:rsid w:val="00B24DA8"/>
    <w:rsid w:val="00B24ECA"/>
    <w:rsid w:val="00B25B85"/>
    <w:rsid w:val="00B26393"/>
    <w:rsid w:val="00B26410"/>
    <w:rsid w:val="00B2655C"/>
    <w:rsid w:val="00B26745"/>
    <w:rsid w:val="00B27387"/>
    <w:rsid w:val="00B277B6"/>
    <w:rsid w:val="00B3007A"/>
    <w:rsid w:val="00B309AE"/>
    <w:rsid w:val="00B309B6"/>
    <w:rsid w:val="00B30ABE"/>
    <w:rsid w:val="00B30D64"/>
    <w:rsid w:val="00B30DEB"/>
    <w:rsid w:val="00B3163C"/>
    <w:rsid w:val="00B32191"/>
    <w:rsid w:val="00B32305"/>
    <w:rsid w:val="00B32991"/>
    <w:rsid w:val="00B32A47"/>
    <w:rsid w:val="00B32EA5"/>
    <w:rsid w:val="00B33296"/>
    <w:rsid w:val="00B334DB"/>
    <w:rsid w:val="00B336BE"/>
    <w:rsid w:val="00B33B70"/>
    <w:rsid w:val="00B33E1E"/>
    <w:rsid w:val="00B343C3"/>
    <w:rsid w:val="00B35286"/>
    <w:rsid w:val="00B35733"/>
    <w:rsid w:val="00B3589B"/>
    <w:rsid w:val="00B359DC"/>
    <w:rsid w:val="00B35C24"/>
    <w:rsid w:val="00B35D4B"/>
    <w:rsid w:val="00B35EBA"/>
    <w:rsid w:val="00B360BB"/>
    <w:rsid w:val="00B36324"/>
    <w:rsid w:val="00B3642C"/>
    <w:rsid w:val="00B3673A"/>
    <w:rsid w:val="00B36D57"/>
    <w:rsid w:val="00B37079"/>
    <w:rsid w:val="00B3739D"/>
    <w:rsid w:val="00B377BA"/>
    <w:rsid w:val="00B37B69"/>
    <w:rsid w:val="00B37C01"/>
    <w:rsid w:val="00B37C49"/>
    <w:rsid w:val="00B40308"/>
    <w:rsid w:val="00B4072D"/>
    <w:rsid w:val="00B40AD9"/>
    <w:rsid w:val="00B40B2A"/>
    <w:rsid w:val="00B41D25"/>
    <w:rsid w:val="00B41F02"/>
    <w:rsid w:val="00B423D3"/>
    <w:rsid w:val="00B424DA"/>
    <w:rsid w:val="00B427CF"/>
    <w:rsid w:val="00B4285D"/>
    <w:rsid w:val="00B42C67"/>
    <w:rsid w:val="00B42D73"/>
    <w:rsid w:val="00B434AA"/>
    <w:rsid w:val="00B43D96"/>
    <w:rsid w:val="00B43F39"/>
    <w:rsid w:val="00B4415B"/>
    <w:rsid w:val="00B44FA2"/>
    <w:rsid w:val="00B45247"/>
    <w:rsid w:val="00B4575E"/>
    <w:rsid w:val="00B45AD9"/>
    <w:rsid w:val="00B46140"/>
    <w:rsid w:val="00B4632D"/>
    <w:rsid w:val="00B4656F"/>
    <w:rsid w:val="00B4661D"/>
    <w:rsid w:val="00B466CC"/>
    <w:rsid w:val="00B46E00"/>
    <w:rsid w:val="00B47359"/>
    <w:rsid w:val="00B47C17"/>
    <w:rsid w:val="00B47E21"/>
    <w:rsid w:val="00B5122E"/>
    <w:rsid w:val="00B517E9"/>
    <w:rsid w:val="00B51E18"/>
    <w:rsid w:val="00B52391"/>
    <w:rsid w:val="00B525F5"/>
    <w:rsid w:val="00B529C1"/>
    <w:rsid w:val="00B52B61"/>
    <w:rsid w:val="00B52BDB"/>
    <w:rsid w:val="00B53131"/>
    <w:rsid w:val="00B537C6"/>
    <w:rsid w:val="00B53B78"/>
    <w:rsid w:val="00B53CFB"/>
    <w:rsid w:val="00B54AD4"/>
    <w:rsid w:val="00B54AF8"/>
    <w:rsid w:val="00B54B09"/>
    <w:rsid w:val="00B54CE5"/>
    <w:rsid w:val="00B54F4B"/>
    <w:rsid w:val="00B55608"/>
    <w:rsid w:val="00B5561F"/>
    <w:rsid w:val="00B562A5"/>
    <w:rsid w:val="00B562C3"/>
    <w:rsid w:val="00B56B6F"/>
    <w:rsid w:val="00B56F2E"/>
    <w:rsid w:val="00B56F7F"/>
    <w:rsid w:val="00B57292"/>
    <w:rsid w:val="00B57747"/>
    <w:rsid w:val="00B60A09"/>
    <w:rsid w:val="00B612A7"/>
    <w:rsid w:val="00B61D9A"/>
    <w:rsid w:val="00B62102"/>
    <w:rsid w:val="00B62335"/>
    <w:rsid w:val="00B62A4E"/>
    <w:rsid w:val="00B62E4C"/>
    <w:rsid w:val="00B63760"/>
    <w:rsid w:val="00B638C4"/>
    <w:rsid w:val="00B639DE"/>
    <w:rsid w:val="00B6422B"/>
    <w:rsid w:val="00B64411"/>
    <w:rsid w:val="00B648FC"/>
    <w:rsid w:val="00B64A10"/>
    <w:rsid w:val="00B6517C"/>
    <w:rsid w:val="00B652B1"/>
    <w:rsid w:val="00B65AB9"/>
    <w:rsid w:val="00B669B2"/>
    <w:rsid w:val="00B66F24"/>
    <w:rsid w:val="00B671FA"/>
    <w:rsid w:val="00B67A58"/>
    <w:rsid w:val="00B67B1E"/>
    <w:rsid w:val="00B67C4E"/>
    <w:rsid w:val="00B67C86"/>
    <w:rsid w:val="00B67D9A"/>
    <w:rsid w:val="00B67E6D"/>
    <w:rsid w:val="00B7019C"/>
    <w:rsid w:val="00B70328"/>
    <w:rsid w:val="00B70CCC"/>
    <w:rsid w:val="00B716D4"/>
    <w:rsid w:val="00B71847"/>
    <w:rsid w:val="00B7204E"/>
    <w:rsid w:val="00B72CB2"/>
    <w:rsid w:val="00B73896"/>
    <w:rsid w:val="00B73D32"/>
    <w:rsid w:val="00B748B1"/>
    <w:rsid w:val="00B748BB"/>
    <w:rsid w:val="00B748E5"/>
    <w:rsid w:val="00B7630D"/>
    <w:rsid w:val="00B76EB8"/>
    <w:rsid w:val="00B76F86"/>
    <w:rsid w:val="00B76FB3"/>
    <w:rsid w:val="00B770E5"/>
    <w:rsid w:val="00B776A4"/>
    <w:rsid w:val="00B800BE"/>
    <w:rsid w:val="00B80368"/>
    <w:rsid w:val="00B8043D"/>
    <w:rsid w:val="00B80E0C"/>
    <w:rsid w:val="00B812AD"/>
    <w:rsid w:val="00B81580"/>
    <w:rsid w:val="00B815ED"/>
    <w:rsid w:val="00B817B2"/>
    <w:rsid w:val="00B81AC1"/>
    <w:rsid w:val="00B82520"/>
    <w:rsid w:val="00B82658"/>
    <w:rsid w:val="00B82B47"/>
    <w:rsid w:val="00B832F0"/>
    <w:rsid w:val="00B8349E"/>
    <w:rsid w:val="00B83BC9"/>
    <w:rsid w:val="00B8436C"/>
    <w:rsid w:val="00B84EAE"/>
    <w:rsid w:val="00B85C96"/>
    <w:rsid w:val="00B86A16"/>
    <w:rsid w:val="00B86CC0"/>
    <w:rsid w:val="00B86FF9"/>
    <w:rsid w:val="00B8751F"/>
    <w:rsid w:val="00B87C9C"/>
    <w:rsid w:val="00B87DC9"/>
    <w:rsid w:val="00B87E94"/>
    <w:rsid w:val="00B90504"/>
    <w:rsid w:val="00B9061C"/>
    <w:rsid w:val="00B90D7F"/>
    <w:rsid w:val="00B91436"/>
    <w:rsid w:val="00B917A9"/>
    <w:rsid w:val="00B9223A"/>
    <w:rsid w:val="00B92765"/>
    <w:rsid w:val="00B92B8C"/>
    <w:rsid w:val="00B92D88"/>
    <w:rsid w:val="00B9331C"/>
    <w:rsid w:val="00B94581"/>
    <w:rsid w:val="00B94672"/>
    <w:rsid w:val="00B94C2A"/>
    <w:rsid w:val="00B94F4D"/>
    <w:rsid w:val="00B95174"/>
    <w:rsid w:val="00B95639"/>
    <w:rsid w:val="00B958C9"/>
    <w:rsid w:val="00B95953"/>
    <w:rsid w:val="00B95EB9"/>
    <w:rsid w:val="00B962C8"/>
    <w:rsid w:val="00B96B0D"/>
    <w:rsid w:val="00B96BB0"/>
    <w:rsid w:val="00B96DC5"/>
    <w:rsid w:val="00B9729E"/>
    <w:rsid w:val="00B97354"/>
    <w:rsid w:val="00B9765B"/>
    <w:rsid w:val="00B97772"/>
    <w:rsid w:val="00B97CDC"/>
    <w:rsid w:val="00B97FD4"/>
    <w:rsid w:val="00BA01D9"/>
    <w:rsid w:val="00BA0853"/>
    <w:rsid w:val="00BA0865"/>
    <w:rsid w:val="00BA0E08"/>
    <w:rsid w:val="00BA175E"/>
    <w:rsid w:val="00BA17DC"/>
    <w:rsid w:val="00BA181A"/>
    <w:rsid w:val="00BA1D75"/>
    <w:rsid w:val="00BA1E7B"/>
    <w:rsid w:val="00BA2AE2"/>
    <w:rsid w:val="00BA2CDC"/>
    <w:rsid w:val="00BA332A"/>
    <w:rsid w:val="00BA37DF"/>
    <w:rsid w:val="00BA397D"/>
    <w:rsid w:val="00BA39DF"/>
    <w:rsid w:val="00BA3BE0"/>
    <w:rsid w:val="00BA49C1"/>
    <w:rsid w:val="00BA5528"/>
    <w:rsid w:val="00BA555D"/>
    <w:rsid w:val="00BA5AEF"/>
    <w:rsid w:val="00BA5B65"/>
    <w:rsid w:val="00BA5E83"/>
    <w:rsid w:val="00BA633D"/>
    <w:rsid w:val="00BA68D5"/>
    <w:rsid w:val="00BA6DEB"/>
    <w:rsid w:val="00BA71E0"/>
    <w:rsid w:val="00BB0C66"/>
    <w:rsid w:val="00BB0D02"/>
    <w:rsid w:val="00BB0F10"/>
    <w:rsid w:val="00BB1117"/>
    <w:rsid w:val="00BB11CB"/>
    <w:rsid w:val="00BB1BBE"/>
    <w:rsid w:val="00BB2BC6"/>
    <w:rsid w:val="00BB2D6A"/>
    <w:rsid w:val="00BB2E54"/>
    <w:rsid w:val="00BB2F36"/>
    <w:rsid w:val="00BB31A3"/>
    <w:rsid w:val="00BB3687"/>
    <w:rsid w:val="00BB40CD"/>
    <w:rsid w:val="00BB4612"/>
    <w:rsid w:val="00BB4D60"/>
    <w:rsid w:val="00BB4E94"/>
    <w:rsid w:val="00BB50BE"/>
    <w:rsid w:val="00BB52F8"/>
    <w:rsid w:val="00BB589A"/>
    <w:rsid w:val="00BB5BE7"/>
    <w:rsid w:val="00BB601A"/>
    <w:rsid w:val="00BB62DD"/>
    <w:rsid w:val="00BB6326"/>
    <w:rsid w:val="00BB636C"/>
    <w:rsid w:val="00BB666C"/>
    <w:rsid w:val="00BB69CD"/>
    <w:rsid w:val="00BB6C66"/>
    <w:rsid w:val="00BB72C0"/>
    <w:rsid w:val="00BB7BA8"/>
    <w:rsid w:val="00BC0A9A"/>
    <w:rsid w:val="00BC0AC1"/>
    <w:rsid w:val="00BC0AD9"/>
    <w:rsid w:val="00BC0B2A"/>
    <w:rsid w:val="00BC0BC0"/>
    <w:rsid w:val="00BC0D6F"/>
    <w:rsid w:val="00BC0E81"/>
    <w:rsid w:val="00BC0FBB"/>
    <w:rsid w:val="00BC18F5"/>
    <w:rsid w:val="00BC1B57"/>
    <w:rsid w:val="00BC1E18"/>
    <w:rsid w:val="00BC2111"/>
    <w:rsid w:val="00BC2824"/>
    <w:rsid w:val="00BC2B5E"/>
    <w:rsid w:val="00BC351B"/>
    <w:rsid w:val="00BC396B"/>
    <w:rsid w:val="00BC3FEF"/>
    <w:rsid w:val="00BC4040"/>
    <w:rsid w:val="00BC466C"/>
    <w:rsid w:val="00BC4C8A"/>
    <w:rsid w:val="00BC4CD5"/>
    <w:rsid w:val="00BC4F93"/>
    <w:rsid w:val="00BC57C3"/>
    <w:rsid w:val="00BC588C"/>
    <w:rsid w:val="00BC59A1"/>
    <w:rsid w:val="00BC66B1"/>
    <w:rsid w:val="00BC6945"/>
    <w:rsid w:val="00BC6CDE"/>
    <w:rsid w:val="00BC6F68"/>
    <w:rsid w:val="00BC791D"/>
    <w:rsid w:val="00BC7B25"/>
    <w:rsid w:val="00BC7C6F"/>
    <w:rsid w:val="00BD0236"/>
    <w:rsid w:val="00BD0F77"/>
    <w:rsid w:val="00BD115A"/>
    <w:rsid w:val="00BD242B"/>
    <w:rsid w:val="00BD2447"/>
    <w:rsid w:val="00BD2BE5"/>
    <w:rsid w:val="00BD30DD"/>
    <w:rsid w:val="00BD3E2D"/>
    <w:rsid w:val="00BD4380"/>
    <w:rsid w:val="00BD448D"/>
    <w:rsid w:val="00BD4BDD"/>
    <w:rsid w:val="00BD4E38"/>
    <w:rsid w:val="00BD50AA"/>
    <w:rsid w:val="00BD519A"/>
    <w:rsid w:val="00BD530B"/>
    <w:rsid w:val="00BD547B"/>
    <w:rsid w:val="00BD57C0"/>
    <w:rsid w:val="00BD59D6"/>
    <w:rsid w:val="00BD5D9C"/>
    <w:rsid w:val="00BD5DBA"/>
    <w:rsid w:val="00BD63D2"/>
    <w:rsid w:val="00BD6C20"/>
    <w:rsid w:val="00BD71FA"/>
    <w:rsid w:val="00BD7D91"/>
    <w:rsid w:val="00BE0226"/>
    <w:rsid w:val="00BE0919"/>
    <w:rsid w:val="00BE2234"/>
    <w:rsid w:val="00BE2302"/>
    <w:rsid w:val="00BE2639"/>
    <w:rsid w:val="00BE2662"/>
    <w:rsid w:val="00BE2C63"/>
    <w:rsid w:val="00BE2D61"/>
    <w:rsid w:val="00BE2EA5"/>
    <w:rsid w:val="00BE2FF3"/>
    <w:rsid w:val="00BE36B7"/>
    <w:rsid w:val="00BE3FA1"/>
    <w:rsid w:val="00BE4352"/>
    <w:rsid w:val="00BE46A5"/>
    <w:rsid w:val="00BE4FEC"/>
    <w:rsid w:val="00BE511F"/>
    <w:rsid w:val="00BE57B4"/>
    <w:rsid w:val="00BE5855"/>
    <w:rsid w:val="00BE5F61"/>
    <w:rsid w:val="00BE5FBC"/>
    <w:rsid w:val="00BE6182"/>
    <w:rsid w:val="00BE61A4"/>
    <w:rsid w:val="00BE6451"/>
    <w:rsid w:val="00BE6878"/>
    <w:rsid w:val="00BE6955"/>
    <w:rsid w:val="00BE6A8D"/>
    <w:rsid w:val="00BE6B23"/>
    <w:rsid w:val="00BE74CD"/>
    <w:rsid w:val="00BE793E"/>
    <w:rsid w:val="00BE7B13"/>
    <w:rsid w:val="00BE7CB7"/>
    <w:rsid w:val="00BE7FA2"/>
    <w:rsid w:val="00BF0350"/>
    <w:rsid w:val="00BF035A"/>
    <w:rsid w:val="00BF05C1"/>
    <w:rsid w:val="00BF09B9"/>
    <w:rsid w:val="00BF0AFD"/>
    <w:rsid w:val="00BF0C13"/>
    <w:rsid w:val="00BF0D4E"/>
    <w:rsid w:val="00BF0FF0"/>
    <w:rsid w:val="00BF127B"/>
    <w:rsid w:val="00BF16E1"/>
    <w:rsid w:val="00BF19D1"/>
    <w:rsid w:val="00BF1A5A"/>
    <w:rsid w:val="00BF1E4A"/>
    <w:rsid w:val="00BF2732"/>
    <w:rsid w:val="00BF320A"/>
    <w:rsid w:val="00BF33C2"/>
    <w:rsid w:val="00BF34F4"/>
    <w:rsid w:val="00BF35A4"/>
    <w:rsid w:val="00BF4B8E"/>
    <w:rsid w:val="00BF631D"/>
    <w:rsid w:val="00BF6B84"/>
    <w:rsid w:val="00BF6F11"/>
    <w:rsid w:val="00BF7205"/>
    <w:rsid w:val="00BF7217"/>
    <w:rsid w:val="00BF757C"/>
    <w:rsid w:val="00BF76D5"/>
    <w:rsid w:val="00BF7C66"/>
    <w:rsid w:val="00C00306"/>
    <w:rsid w:val="00C007E4"/>
    <w:rsid w:val="00C00C06"/>
    <w:rsid w:val="00C01119"/>
    <w:rsid w:val="00C016D5"/>
    <w:rsid w:val="00C01A63"/>
    <w:rsid w:val="00C01F4F"/>
    <w:rsid w:val="00C01FB6"/>
    <w:rsid w:val="00C0244D"/>
    <w:rsid w:val="00C0292B"/>
    <w:rsid w:val="00C02A8E"/>
    <w:rsid w:val="00C02F75"/>
    <w:rsid w:val="00C03455"/>
    <w:rsid w:val="00C03710"/>
    <w:rsid w:val="00C04205"/>
    <w:rsid w:val="00C04282"/>
    <w:rsid w:val="00C043BD"/>
    <w:rsid w:val="00C044AC"/>
    <w:rsid w:val="00C05A13"/>
    <w:rsid w:val="00C05C0F"/>
    <w:rsid w:val="00C05D93"/>
    <w:rsid w:val="00C0610E"/>
    <w:rsid w:val="00C0611F"/>
    <w:rsid w:val="00C06319"/>
    <w:rsid w:val="00C0646C"/>
    <w:rsid w:val="00C06B0D"/>
    <w:rsid w:val="00C06B1B"/>
    <w:rsid w:val="00C077EF"/>
    <w:rsid w:val="00C07D5C"/>
    <w:rsid w:val="00C07EB8"/>
    <w:rsid w:val="00C07F35"/>
    <w:rsid w:val="00C10087"/>
    <w:rsid w:val="00C101EC"/>
    <w:rsid w:val="00C10E9F"/>
    <w:rsid w:val="00C1104F"/>
    <w:rsid w:val="00C11B3D"/>
    <w:rsid w:val="00C11CAF"/>
    <w:rsid w:val="00C122B0"/>
    <w:rsid w:val="00C12851"/>
    <w:rsid w:val="00C12D7D"/>
    <w:rsid w:val="00C12F48"/>
    <w:rsid w:val="00C12FE4"/>
    <w:rsid w:val="00C13030"/>
    <w:rsid w:val="00C131E6"/>
    <w:rsid w:val="00C135DC"/>
    <w:rsid w:val="00C13946"/>
    <w:rsid w:val="00C13DD9"/>
    <w:rsid w:val="00C13DFA"/>
    <w:rsid w:val="00C14267"/>
    <w:rsid w:val="00C143BD"/>
    <w:rsid w:val="00C14BC9"/>
    <w:rsid w:val="00C14EDB"/>
    <w:rsid w:val="00C1519B"/>
    <w:rsid w:val="00C15AB2"/>
    <w:rsid w:val="00C15E63"/>
    <w:rsid w:val="00C15FA1"/>
    <w:rsid w:val="00C15FE3"/>
    <w:rsid w:val="00C1600F"/>
    <w:rsid w:val="00C16392"/>
    <w:rsid w:val="00C16762"/>
    <w:rsid w:val="00C168D7"/>
    <w:rsid w:val="00C16BBA"/>
    <w:rsid w:val="00C16C52"/>
    <w:rsid w:val="00C16DF4"/>
    <w:rsid w:val="00C16E48"/>
    <w:rsid w:val="00C17171"/>
    <w:rsid w:val="00C1737C"/>
    <w:rsid w:val="00C17C52"/>
    <w:rsid w:val="00C17DF7"/>
    <w:rsid w:val="00C2011F"/>
    <w:rsid w:val="00C208C3"/>
    <w:rsid w:val="00C21691"/>
    <w:rsid w:val="00C21DA7"/>
    <w:rsid w:val="00C21F99"/>
    <w:rsid w:val="00C2221F"/>
    <w:rsid w:val="00C2254E"/>
    <w:rsid w:val="00C226F0"/>
    <w:rsid w:val="00C229A4"/>
    <w:rsid w:val="00C22A07"/>
    <w:rsid w:val="00C22E6D"/>
    <w:rsid w:val="00C2378F"/>
    <w:rsid w:val="00C23A58"/>
    <w:rsid w:val="00C23DBD"/>
    <w:rsid w:val="00C2439A"/>
    <w:rsid w:val="00C24C13"/>
    <w:rsid w:val="00C25114"/>
    <w:rsid w:val="00C25299"/>
    <w:rsid w:val="00C252D6"/>
    <w:rsid w:val="00C253C0"/>
    <w:rsid w:val="00C259F1"/>
    <w:rsid w:val="00C25ABE"/>
    <w:rsid w:val="00C25B27"/>
    <w:rsid w:val="00C25EF1"/>
    <w:rsid w:val="00C25F2A"/>
    <w:rsid w:val="00C26250"/>
    <w:rsid w:val="00C26CEA"/>
    <w:rsid w:val="00C2703D"/>
    <w:rsid w:val="00C273D4"/>
    <w:rsid w:val="00C274AD"/>
    <w:rsid w:val="00C278DF"/>
    <w:rsid w:val="00C27927"/>
    <w:rsid w:val="00C27D81"/>
    <w:rsid w:val="00C30533"/>
    <w:rsid w:val="00C30E79"/>
    <w:rsid w:val="00C316B3"/>
    <w:rsid w:val="00C316E4"/>
    <w:rsid w:val="00C31A8E"/>
    <w:rsid w:val="00C32636"/>
    <w:rsid w:val="00C3276D"/>
    <w:rsid w:val="00C327CB"/>
    <w:rsid w:val="00C330E8"/>
    <w:rsid w:val="00C33210"/>
    <w:rsid w:val="00C334DF"/>
    <w:rsid w:val="00C3371F"/>
    <w:rsid w:val="00C3394D"/>
    <w:rsid w:val="00C339B9"/>
    <w:rsid w:val="00C33B3A"/>
    <w:rsid w:val="00C33BB4"/>
    <w:rsid w:val="00C341C1"/>
    <w:rsid w:val="00C347F0"/>
    <w:rsid w:val="00C348BA"/>
    <w:rsid w:val="00C3494F"/>
    <w:rsid w:val="00C34E06"/>
    <w:rsid w:val="00C364A7"/>
    <w:rsid w:val="00C36FC1"/>
    <w:rsid w:val="00C37039"/>
    <w:rsid w:val="00C3715C"/>
    <w:rsid w:val="00C375F4"/>
    <w:rsid w:val="00C37B1E"/>
    <w:rsid w:val="00C37D75"/>
    <w:rsid w:val="00C37E93"/>
    <w:rsid w:val="00C37F05"/>
    <w:rsid w:val="00C4002C"/>
    <w:rsid w:val="00C407BB"/>
    <w:rsid w:val="00C40DD5"/>
    <w:rsid w:val="00C41249"/>
    <w:rsid w:val="00C415BB"/>
    <w:rsid w:val="00C415D6"/>
    <w:rsid w:val="00C41685"/>
    <w:rsid w:val="00C417C4"/>
    <w:rsid w:val="00C41964"/>
    <w:rsid w:val="00C41BA7"/>
    <w:rsid w:val="00C41C56"/>
    <w:rsid w:val="00C41C62"/>
    <w:rsid w:val="00C4238A"/>
    <w:rsid w:val="00C426ED"/>
    <w:rsid w:val="00C42D1A"/>
    <w:rsid w:val="00C42F35"/>
    <w:rsid w:val="00C43318"/>
    <w:rsid w:val="00C43706"/>
    <w:rsid w:val="00C43B52"/>
    <w:rsid w:val="00C44523"/>
    <w:rsid w:val="00C4467C"/>
    <w:rsid w:val="00C446F6"/>
    <w:rsid w:val="00C44C4A"/>
    <w:rsid w:val="00C456FB"/>
    <w:rsid w:val="00C459AB"/>
    <w:rsid w:val="00C45D6B"/>
    <w:rsid w:val="00C466AA"/>
    <w:rsid w:val="00C467A9"/>
    <w:rsid w:val="00C46CC2"/>
    <w:rsid w:val="00C46EAC"/>
    <w:rsid w:val="00C4775F"/>
    <w:rsid w:val="00C47DE2"/>
    <w:rsid w:val="00C502A0"/>
    <w:rsid w:val="00C50B9D"/>
    <w:rsid w:val="00C50DEB"/>
    <w:rsid w:val="00C51774"/>
    <w:rsid w:val="00C51783"/>
    <w:rsid w:val="00C5180A"/>
    <w:rsid w:val="00C51DA5"/>
    <w:rsid w:val="00C526BD"/>
    <w:rsid w:val="00C5363F"/>
    <w:rsid w:val="00C53AC3"/>
    <w:rsid w:val="00C53BB3"/>
    <w:rsid w:val="00C53C55"/>
    <w:rsid w:val="00C53CC9"/>
    <w:rsid w:val="00C53EE2"/>
    <w:rsid w:val="00C54017"/>
    <w:rsid w:val="00C54421"/>
    <w:rsid w:val="00C54549"/>
    <w:rsid w:val="00C547C1"/>
    <w:rsid w:val="00C548B3"/>
    <w:rsid w:val="00C54A04"/>
    <w:rsid w:val="00C54A19"/>
    <w:rsid w:val="00C54C4A"/>
    <w:rsid w:val="00C54E3D"/>
    <w:rsid w:val="00C55246"/>
    <w:rsid w:val="00C55816"/>
    <w:rsid w:val="00C560E7"/>
    <w:rsid w:val="00C57C75"/>
    <w:rsid w:val="00C60812"/>
    <w:rsid w:val="00C60B62"/>
    <w:rsid w:val="00C60CCC"/>
    <w:rsid w:val="00C60E0A"/>
    <w:rsid w:val="00C61403"/>
    <w:rsid w:val="00C622DD"/>
    <w:rsid w:val="00C6247B"/>
    <w:rsid w:val="00C62513"/>
    <w:rsid w:val="00C62704"/>
    <w:rsid w:val="00C62BB6"/>
    <w:rsid w:val="00C634F2"/>
    <w:rsid w:val="00C63E0B"/>
    <w:rsid w:val="00C649D5"/>
    <w:rsid w:val="00C64E1D"/>
    <w:rsid w:val="00C6512B"/>
    <w:rsid w:val="00C66C9C"/>
    <w:rsid w:val="00C66D38"/>
    <w:rsid w:val="00C66E36"/>
    <w:rsid w:val="00C67CD6"/>
    <w:rsid w:val="00C67D5F"/>
    <w:rsid w:val="00C7023D"/>
    <w:rsid w:val="00C70AB5"/>
    <w:rsid w:val="00C71159"/>
    <w:rsid w:val="00C7228A"/>
    <w:rsid w:val="00C724AE"/>
    <w:rsid w:val="00C726CF"/>
    <w:rsid w:val="00C72B28"/>
    <w:rsid w:val="00C7339C"/>
    <w:rsid w:val="00C73BE7"/>
    <w:rsid w:val="00C73D17"/>
    <w:rsid w:val="00C73DDF"/>
    <w:rsid w:val="00C740CA"/>
    <w:rsid w:val="00C74213"/>
    <w:rsid w:val="00C7479B"/>
    <w:rsid w:val="00C74A97"/>
    <w:rsid w:val="00C74B00"/>
    <w:rsid w:val="00C753AB"/>
    <w:rsid w:val="00C7573F"/>
    <w:rsid w:val="00C75B7E"/>
    <w:rsid w:val="00C75C8A"/>
    <w:rsid w:val="00C7607F"/>
    <w:rsid w:val="00C76636"/>
    <w:rsid w:val="00C772A4"/>
    <w:rsid w:val="00C77372"/>
    <w:rsid w:val="00C7796B"/>
    <w:rsid w:val="00C77CC5"/>
    <w:rsid w:val="00C77DBB"/>
    <w:rsid w:val="00C77EB1"/>
    <w:rsid w:val="00C80335"/>
    <w:rsid w:val="00C80386"/>
    <w:rsid w:val="00C80895"/>
    <w:rsid w:val="00C809DA"/>
    <w:rsid w:val="00C81003"/>
    <w:rsid w:val="00C81242"/>
    <w:rsid w:val="00C81684"/>
    <w:rsid w:val="00C820B9"/>
    <w:rsid w:val="00C8257F"/>
    <w:rsid w:val="00C82781"/>
    <w:rsid w:val="00C8389E"/>
    <w:rsid w:val="00C83B3C"/>
    <w:rsid w:val="00C8408A"/>
    <w:rsid w:val="00C84425"/>
    <w:rsid w:val="00C84A9A"/>
    <w:rsid w:val="00C84D03"/>
    <w:rsid w:val="00C852A8"/>
    <w:rsid w:val="00C85BF8"/>
    <w:rsid w:val="00C85E90"/>
    <w:rsid w:val="00C85EAF"/>
    <w:rsid w:val="00C86378"/>
    <w:rsid w:val="00C86397"/>
    <w:rsid w:val="00C86430"/>
    <w:rsid w:val="00C8654D"/>
    <w:rsid w:val="00C867D5"/>
    <w:rsid w:val="00C873ED"/>
    <w:rsid w:val="00C877E3"/>
    <w:rsid w:val="00C87D2A"/>
    <w:rsid w:val="00C90A62"/>
    <w:rsid w:val="00C911F4"/>
    <w:rsid w:val="00C920B2"/>
    <w:rsid w:val="00C92334"/>
    <w:rsid w:val="00C9274A"/>
    <w:rsid w:val="00C9279D"/>
    <w:rsid w:val="00C927AD"/>
    <w:rsid w:val="00C92B7C"/>
    <w:rsid w:val="00C93692"/>
    <w:rsid w:val="00C93912"/>
    <w:rsid w:val="00C93B2E"/>
    <w:rsid w:val="00C93F69"/>
    <w:rsid w:val="00C94497"/>
    <w:rsid w:val="00C959D1"/>
    <w:rsid w:val="00C95A92"/>
    <w:rsid w:val="00C96F52"/>
    <w:rsid w:val="00C9731B"/>
    <w:rsid w:val="00C974BA"/>
    <w:rsid w:val="00C97745"/>
    <w:rsid w:val="00C979E5"/>
    <w:rsid w:val="00CA02DE"/>
    <w:rsid w:val="00CA0A3E"/>
    <w:rsid w:val="00CA0A93"/>
    <w:rsid w:val="00CA0C26"/>
    <w:rsid w:val="00CA0C9C"/>
    <w:rsid w:val="00CA0EEF"/>
    <w:rsid w:val="00CA0FB0"/>
    <w:rsid w:val="00CA10FE"/>
    <w:rsid w:val="00CA11C8"/>
    <w:rsid w:val="00CA13D5"/>
    <w:rsid w:val="00CA1828"/>
    <w:rsid w:val="00CA193F"/>
    <w:rsid w:val="00CA1DE5"/>
    <w:rsid w:val="00CA1F56"/>
    <w:rsid w:val="00CA21A8"/>
    <w:rsid w:val="00CA2693"/>
    <w:rsid w:val="00CA2C13"/>
    <w:rsid w:val="00CA2CF5"/>
    <w:rsid w:val="00CA34EB"/>
    <w:rsid w:val="00CA380B"/>
    <w:rsid w:val="00CA3BE4"/>
    <w:rsid w:val="00CA4566"/>
    <w:rsid w:val="00CA4701"/>
    <w:rsid w:val="00CA47D8"/>
    <w:rsid w:val="00CA4D93"/>
    <w:rsid w:val="00CA5417"/>
    <w:rsid w:val="00CA555D"/>
    <w:rsid w:val="00CA5626"/>
    <w:rsid w:val="00CA5896"/>
    <w:rsid w:val="00CA5B5A"/>
    <w:rsid w:val="00CA5B82"/>
    <w:rsid w:val="00CA5BEC"/>
    <w:rsid w:val="00CA5DA1"/>
    <w:rsid w:val="00CA602F"/>
    <w:rsid w:val="00CA65CB"/>
    <w:rsid w:val="00CA69AA"/>
    <w:rsid w:val="00CA6EFC"/>
    <w:rsid w:val="00CA730E"/>
    <w:rsid w:val="00CA78A2"/>
    <w:rsid w:val="00CA7A0A"/>
    <w:rsid w:val="00CA7C0C"/>
    <w:rsid w:val="00CB08BF"/>
    <w:rsid w:val="00CB095D"/>
    <w:rsid w:val="00CB0B08"/>
    <w:rsid w:val="00CB0B6C"/>
    <w:rsid w:val="00CB0C61"/>
    <w:rsid w:val="00CB16B7"/>
    <w:rsid w:val="00CB1928"/>
    <w:rsid w:val="00CB212A"/>
    <w:rsid w:val="00CB213B"/>
    <w:rsid w:val="00CB285F"/>
    <w:rsid w:val="00CB2E4F"/>
    <w:rsid w:val="00CB3770"/>
    <w:rsid w:val="00CB3CFB"/>
    <w:rsid w:val="00CB4189"/>
    <w:rsid w:val="00CB4319"/>
    <w:rsid w:val="00CB4428"/>
    <w:rsid w:val="00CB4744"/>
    <w:rsid w:val="00CB4781"/>
    <w:rsid w:val="00CB4B59"/>
    <w:rsid w:val="00CB4B68"/>
    <w:rsid w:val="00CB560E"/>
    <w:rsid w:val="00CB56E5"/>
    <w:rsid w:val="00CB5A2B"/>
    <w:rsid w:val="00CB5A4D"/>
    <w:rsid w:val="00CB71DC"/>
    <w:rsid w:val="00CB72FC"/>
    <w:rsid w:val="00CB73B0"/>
    <w:rsid w:val="00CB7949"/>
    <w:rsid w:val="00CB7CEC"/>
    <w:rsid w:val="00CC091E"/>
    <w:rsid w:val="00CC0B8D"/>
    <w:rsid w:val="00CC0D09"/>
    <w:rsid w:val="00CC1380"/>
    <w:rsid w:val="00CC16DA"/>
    <w:rsid w:val="00CC23F2"/>
    <w:rsid w:val="00CC270A"/>
    <w:rsid w:val="00CC2B5E"/>
    <w:rsid w:val="00CC2BFF"/>
    <w:rsid w:val="00CC342E"/>
    <w:rsid w:val="00CC38D3"/>
    <w:rsid w:val="00CC3AE9"/>
    <w:rsid w:val="00CC3CC2"/>
    <w:rsid w:val="00CC413C"/>
    <w:rsid w:val="00CC4750"/>
    <w:rsid w:val="00CC482A"/>
    <w:rsid w:val="00CC4A7C"/>
    <w:rsid w:val="00CC4C29"/>
    <w:rsid w:val="00CC55C3"/>
    <w:rsid w:val="00CC578C"/>
    <w:rsid w:val="00CC589C"/>
    <w:rsid w:val="00CC65CB"/>
    <w:rsid w:val="00CC6BF0"/>
    <w:rsid w:val="00CC72DE"/>
    <w:rsid w:val="00CD015A"/>
    <w:rsid w:val="00CD0DE6"/>
    <w:rsid w:val="00CD18AF"/>
    <w:rsid w:val="00CD192C"/>
    <w:rsid w:val="00CD1DBE"/>
    <w:rsid w:val="00CD2824"/>
    <w:rsid w:val="00CD3138"/>
    <w:rsid w:val="00CD36AF"/>
    <w:rsid w:val="00CD3951"/>
    <w:rsid w:val="00CD3AAF"/>
    <w:rsid w:val="00CD3BB2"/>
    <w:rsid w:val="00CD3DB1"/>
    <w:rsid w:val="00CD47B0"/>
    <w:rsid w:val="00CD482C"/>
    <w:rsid w:val="00CD4ADA"/>
    <w:rsid w:val="00CD53F0"/>
    <w:rsid w:val="00CD5B8E"/>
    <w:rsid w:val="00CD602F"/>
    <w:rsid w:val="00CD63E2"/>
    <w:rsid w:val="00CD6BE0"/>
    <w:rsid w:val="00CD7327"/>
    <w:rsid w:val="00CE0D86"/>
    <w:rsid w:val="00CE1246"/>
    <w:rsid w:val="00CE1810"/>
    <w:rsid w:val="00CE19E6"/>
    <w:rsid w:val="00CE1CF7"/>
    <w:rsid w:val="00CE256A"/>
    <w:rsid w:val="00CE2D8C"/>
    <w:rsid w:val="00CE2E01"/>
    <w:rsid w:val="00CE2EA2"/>
    <w:rsid w:val="00CE3019"/>
    <w:rsid w:val="00CE3378"/>
    <w:rsid w:val="00CE3E49"/>
    <w:rsid w:val="00CE43B6"/>
    <w:rsid w:val="00CE4D5A"/>
    <w:rsid w:val="00CE5107"/>
    <w:rsid w:val="00CE5212"/>
    <w:rsid w:val="00CE5316"/>
    <w:rsid w:val="00CE5581"/>
    <w:rsid w:val="00CE5707"/>
    <w:rsid w:val="00CE598E"/>
    <w:rsid w:val="00CE5D93"/>
    <w:rsid w:val="00CE6265"/>
    <w:rsid w:val="00CE6C24"/>
    <w:rsid w:val="00CE6CC0"/>
    <w:rsid w:val="00CE73DC"/>
    <w:rsid w:val="00CE74C9"/>
    <w:rsid w:val="00CE7C6B"/>
    <w:rsid w:val="00CF0019"/>
    <w:rsid w:val="00CF04EA"/>
    <w:rsid w:val="00CF0644"/>
    <w:rsid w:val="00CF0761"/>
    <w:rsid w:val="00CF0A30"/>
    <w:rsid w:val="00CF15A1"/>
    <w:rsid w:val="00CF1710"/>
    <w:rsid w:val="00CF1C92"/>
    <w:rsid w:val="00CF23CA"/>
    <w:rsid w:val="00CF2891"/>
    <w:rsid w:val="00CF2C93"/>
    <w:rsid w:val="00CF33B3"/>
    <w:rsid w:val="00CF3494"/>
    <w:rsid w:val="00CF36D5"/>
    <w:rsid w:val="00CF3A53"/>
    <w:rsid w:val="00CF3B7C"/>
    <w:rsid w:val="00CF4E53"/>
    <w:rsid w:val="00CF519B"/>
    <w:rsid w:val="00CF53AE"/>
    <w:rsid w:val="00CF53FF"/>
    <w:rsid w:val="00CF5563"/>
    <w:rsid w:val="00CF5614"/>
    <w:rsid w:val="00CF584F"/>
    <w:rsid w:val="00CF5A41"/>
    <w:rsid w:val="00CF5BFC"/>
    <w:rsid w:val="00CF5E9A"/>
    <w:rsid w:val="00CF631D"/>
    <w:rsid w:val="00CF6436"/>
    <w:rsid w:val="00CF6670"/>
    <w:rsid w:val="00CF6AD4"/>
    <w:rsid w:val="00CF6B50"/>
    <w:rsid w:val="00CF6D8F"/>
    <w:rsid w:val="00CF74DC"/>
    <w:rsid w:val="00CF75D0"/>
    <w:rsid w:val="00CF7B4F"/>
    <w:rsid w:val="00CF7DE8"/>
    <w:rsid w:val="00CF7E9A"/>
    <w:rsid w:val="00CF7F16"/>
    <w:rsid w:val="00D00E41"/>
    <w:rsid w:val="00D014FE"/>
    <w:rsid w:val="00D0157D"/>
    <w:rsid w:val="00D0189C"/>
    <w:rsid w:val="00D01AEC"/>
    <w:rsid w:val="00D02388"/>
    <w:rsid w:val="00D026CE"/>
    <w:rsid w:val="00D026E8"/>
    <w:rsid w:val="00D0278A"/>
    <w:rsid w:val="00D02A17"/>
    <w:rsid w:val="00D02C95"/>
    <w:rsid w:val="00D02EEF"/>
    <w:rsid w:val="00D0315C"/>
    <w:rsid w:val="00D03294"/>
    <w:rsid w:val="00D037D5"/>
    <w:rsid w:val="00D04598"/>
    <w:rsid w:val="00D056AE"/>
    <w:rsid w:val="00D057F5"/>
    <w:rsid w:val="00D05B37"/>
    <w:rsid w:val="00D06239"/>
    <w:rsid w:val="00D063D0"/>
    <w:rsid w:val="00D064BB"/>
    <w:rsid w:val="00D0744A"/>
    <w:rsid w:val="00D07483"/>
    <w:rsid w:val="00D07D61"/>
    <w:rsid w:val="00D1010B"/>
    <w:rsid w:val="00D103DB"/>
    <w:rsid w:val="00D10FD3"/>
    <w:rsid w:val="00D1103B"/>
    <w:rsid w:val="00D1129E"/>
    <w:rsid w:val="00D11383"/>
    <w:rsid w:val="00D11501"/>
    <w:rsid w:val="00D11596"/>
    <w:rsid w:val="00D11666"/>
    <w:rsid w:val="00D1212B"/>
    <w:rsid w:val="00D1222C"/>
    <w:rsid w:val="00D12675"/>
    <w:rsid w:val="00D12BF9"/>
    <w:rsid w:val="00D1388F"/>
    <w:rsid w:val="00D14199"/>
    <w:rsid w:val="00D143AA"/>
    <w:rsid w:val="00D1441B"/>
    <w:rsid w:val="00D1459A"/>
    <w:rsid w:val="00D14747"/>
    <w:rsid w:val="00D149E5"/>
    <w:rsid w:val="00D14A69"/>
    <w:rsid w:val="00D14A75"/>
    <w:rsid w:val="00D14EEC"/>
    <w:rsid w:val="00D1601C"/>
    <w:rsid w:val="00D163E4"/>
    <w:rsid w:val="00D16514"/>
    <w:rsid w:val="00D16633"/>
    <w:rsid w:val="00D16655"/>
    <w:rsid w:val="00D169D9"/>
    <w:rsid w:val="00D16F96"/>
    <w:rsid w:val="00D16FBE"/>
    <w:rsid w:val="00D17034"/>
    <w:rsid w:val="00D170EF"/>
    <w:rsid w:val="00D1750C"/>
    <w:rsid w:val="00D1792E"/>
    <w:rsid w:val="00D17C3E"/>
    <w:rsid w:val="00D17C88"/>
    <w:rsid w:val="00D20036"/>
    <w:rsid w:val="00D20159"/>
    <w:rsid w:val="00D20249"/>
    <w:rsid w:val="00D21597"/>
    <w:rsid w:val="00D2174F"/>
    <w:rsid w:val="00D21C9D"/>
    <w:rsid w:val="00D21CAA"/>
    <w:rsid w:val="00D21F12"/>
    <w:rsid w:val="00D22312"/>
    <w:rsid w:val="00D22758"/>
    <w:rsid w:val="00D22A1A"/>
    <w:rsid w:val="00D22A47"/>
    <w:rsid w:val="00D230C9"/>
    <w:rsid w:val="00D23A40"/>
    <w:rsid w:val="00D23C93"/>
    <w:rsid w:val="00D241F4"/>
    <w:rsid w:val="00D24307"/>
    <w:rsid w:val="00D2495D"/>
    <w:rsid w:val="00D255B7"/>
    <w:rsid w:val="00D25986"/>
    <w:rsid w:val="00D26B74"/>
    <w:rsid w:val="00D26D29"/>
    <w:rsid w:val="00D270C5"/>
    <w:rsid w:val="00D27791"/>
    <w:rsid w:val="00D279B5"/>
    <w:rsid w:val="00D27FA3"/>
    <w:rsid w:val="00D303BF"/>
    <w:rsid w:val="00D3043D"/>
    <w:rsid w:val="00D30D2A"/>
    <w:rsid w:val="00D3130C"/>
    <w:rsid w:val="00D31538"/>
    <w:rsid w:val="00D3182B"/>
    <w:rsid w:val="00D31C27"/>
    <w:rsid w:val="00D3206B"/>
    <w:rsid w:val="00D32083"/>
    <w:rsid w:val="00D3225C"/>
    <w:rsid w:val="00D3296E"/>
    <w:rsid w:val="00D32EA9"/>
    <w:rsid w:val="00D33D39"/>
    <w:rsid w:val="00D33D50"/>
    <w:rsid w:val="00D33EB9"/>
    <w:rsid w:val="00D33F69"/>
    <w:rsid w:val="00D33FC2"/>
    <w:rsid w:val="00D347E3"/>
    <w:rsid w:val="00D34901"/>
    <w:rsid w:val="00D34B23"/>
    <w:rsid w:val="00D34D43"/>
    <w:rsid w:val="00D351A2"/>
    <w:rsid w:val="00D3531D"/>
    <w:rsid w:val="00D354E1"/>
    <w:rsid w:val="00D35870"/>
    <w:rsid w:val="00D361A7"/>
    <w:rsid w:val="00D367AC"/>
    <w:rsid w:val="00D36DAB"/>
    <w:rsid w:val="00D370E3"/>
    <w:rsid w:val="00D37597"/>
    <w:rsid w:val="00D375AA"/>
    <w:rsid w:val="00D37656"/>
    <w:rsid w:val="00D37FE9"/>
    <w:rsid w:val="00D4048D"/>
    <w:rsid w:val="00D40BEA"/>
    <w:rsid w:val="00D40C88"/>
    <w:rsid w:val="00D40EB8"/>
    <w:rsid w:val="00D40FE9"/>
    <w:rsid w:val="00D412F8"/>
    <w:rsid w:val="00D419A7"/>
    <w:rsid w:val="00D41DCB"/>
    <w:rsid w:val="00D41E1D"/>
    <w:rsid w:val="00D421D5"/>
    <w:rsid w:val="00D423AF"/>
    <w:rsid w:val="00D42751"/>
    <w:rsid w:val="00D42902"/>
    <w:rsid w:val="00D42B16"/>
    <w:rsid w:val="00D434C7"/>
    <w:rsid w:val="00D43A62"/>
    <w:rsid w:val="00D43D10"/>
    <w:rsid w:val="00D43DB8"/>
    <w:rsid w:val="00D441A6"/>
    <w:rsid w:val="00D4427F"/>
    <w:rsid w:val="00D44B87"/>
    <w:rsid w:val="00D44C68"/>
    <w:rsid w:val="00D45210"/>
    <w:rsid w:val="00D45534"/>
    <w:rsid w:val="00D4577F"/>
    <w:rsid w:val="00D45782"/>
    <w:rsid w:val="00D458DB"/>
    <w:rsid w:val="00D45EC2"/>
    <w:rsid w:val="00D45F87"/>
    <w:rsid w:val="00D47799"/>
    <w:rsid w:val="00D47EDB"/>
    <w:rsid w:val="00D5050E"/>
    <w:rsid w:val="00D510C6"/>
    <w:rsid w:val="00D512D1"/>
    <w:rsid w:val="00D51A90"/>
    <w:rsid w:val="00D51BBA"/>
    <w:rsid w:val="00D51C46"/>
    <w:rsid w:val="00D51D33"/>
    <w:rsid w:val="00D51D5F"/>
    <w:rsid w:val="00D51E9C"/>
    <w:rsid w:val="00D520FA"/>
    <w:rsid w:val="00D52508"/>
    <w:rsid w:val="00D530CF"/>
    <w:rsid w:val="00D53256"/>
    <w:rsid w:val="00D5327D"/>
    <w:rsid w:val="00D54627"/>
    <w:rsid w:val="00D54B77"/>
    <w:rsid w:val="00D55114"/>
    <w:rsid w:val="00D55E7C"/>
    <w:rsid w:val="00D57332"/>
    <w:rsid w:val="00D574FF"/>
    <w:rsid w:val="00D576A8"/>
    <w:rsid w:val="00D57AAA"/>
    <w:rsid w:val="00D57BC5"/>
    <w:rsid w:val="00D57D0C"/>
    <w:rsid w:val="00D613C8"/>
    <w:rsid w:val="00D616C8"/>
    <w:rsid w:val="00D61709"/>
    <w:rsid w:val="00D61AF7"/>
    <w:rsid w:val="00D61D0A"/>
    <w:rsid w:val="00D61DF5"/>
    <w:rsid w:val="00D620A7"/>
    <w:rsid w:val="00D622D1"/>
    <w:rsid w:val="00D6274D"/>
    <w:rsid w:val="00D62B4E"/>
    <w:rsid w:val="00D635FE"/>
    <w:rsid w:val="00D63916"/>
    <w:rsid w:val="00D63943"/>
    <w:rsid w:val="00D63A6D"/>
    <w:rsid w:val="00D63AAB"/>
    <w:rsid w:val="00D63C35"/>
    <w:rsid w:val="00D63F16"/>
    <w:rsid w:val="00D64006"/>
    <w:rsid w:val="00D640D6"/>
    <w:rsid w:val="00D641AC"/>
    <w:rsid w:val="00D6420A"/>
    <w:rsid w:val="00D64992"/>
    <w:rsid w:val="00D64E96"/>
    <w:rsid w:val="00D64EAE"/>
    <w:rsid w:val="00D65519"/>
    <w:rsid w:val="00D657D1"/>
    <w:rsid w:val="00D65E67"/>
    <w:rsid w:val="00D662BC"/>
    <w:rsid w:val="00D664F0"/>
    <w:rsid w:val="00D66B9A"/>
    <w:rsid w:val="00D6700C"/>
    <w:rsid w:val="00D6753E"/>
    <w:rsid w:val="00D67807"/>
    <w:rsid w:val="00D678B8"/>
    <w:rsid w:val="00D67A37"/>
    <w:rsid w:val="00D67C14"/>
    <w:rsid w:val="00D70023"/>
    <w:rsid w:val="00D707FC"/>
    <w:rsid w:val="00D70988"/>
    <w:rsid w:val="00D7107E"/>
    <w:rsid w:val="00D714D6"/>
    <w:rsid w:val="00D71A3D"/>
    <w:rsid w:val="00D71EB3"/>
    <w:rsid w:val="00D727DD"/>
    <w:rsid w:val="00D72B0F"/>
    <w:rsid w:val="00D72BB4"/>
    <w:rsid w:val="00D73448"/>
    <w:rsid w:val="00D737D4"/>
    <w:rsid w:val="00D73993"/>
    <w:rsid w:val="00D7415F"/>
    <w:rsid w:val="00D74314"/>
    <w:rsid w:val="00D7440D"/>
    <w:rsid w:val="00D746B7"/>
    <w:rsid w:val="00D74EA7"/>
    <w:rsid w:val="00D74F7C"/>
    <w:rsid w:val="00D74FD9"/>
    <w:rsid w:val="00D750F6"/>
    <w:rsid w:val="00D7590B"/>
    <w:rsid w:val="00D75D89"/>
    <w:rsid w:val="00D7605D"/>
    <w:rsid w:val="00D76709"/>
    <w:rsid w:val="00D76FFE"/>
    <w:rsid w:val="00D77372"/>
    <w:rsid w:val="00D774D2"/>
    <w:rsid w:val="00D7780F"/>
    <w:rsid w:val="00D77A7F"/>
    <w:rsid w:val="00D800F1"/>
    <w:rsid w:val="00D80AD2"/>
    <w:rsid w:val="00D80EAF"/>
    <w:rsid w:val="00D81534"/>
    <w:rsid w:val="00D81827"/>
    <w:rsid w:val="00D81860"/>
    <w:rsid w:val="00D81ABD"/>
    <w:rsid w:val="00D81DEB"/>
    <w:rsid w:val="00D81E77"/>
    <w:rsid w:val="00D828FC"/>
    <w:rsid w:val="00D82EC8"/>
    <w:rsid w:val="00D83468"/>
    <w:rsid w:val="00D844A1"/>
    <w:rsid w:val="00D84666"/>
    <w:rsid w:val="00D84DFA"/>
    <w:rsid w:val="00D85691"/>
    <w:rsid w:val="00D85AAE"/>
    <w:rsid w:val="00D85C5A"/>
    <w:rsid w:val="00D866C4"/>
    <w:rsid w:val="00D86788"/>
    <w:rsid w:val="00D86817"/>
    <w:rsid w:val="00D868F7"/>
    <w:rsid w:val="00D869C9"/>
    <w:rsid w:val="00D86D0F"/>
    <w:rsid w:val="00D86F25"/>
    <w:rsid w:val="00D8700B"/>
    <w:rsid w:val="00D874EC"/>
    <w:rsid w:val="00D879D3"/>
    <w:rsid w:val="00D87B04"/>
    <w:rsid w:val="00D87E61"/>
    <w:rsid w:val="00D90535"/>
    <w:rsid w:val="00D90A1B"/>
    <w:rsid w:val="00D90E0D"/>
    <w:rsid w:val="00D9102F"/>
    <w:rsid w:val="00D912FA"/>
    <w:rsid w:val="00D91468"/>
    <w:rsid w:val="00D91902"/>
    <w:rsid w:val="00D91F8A"/>
    <w:rsid w:val="00D92613"/>
    <w:rsid w:val="00D92B0B"/>
    <w:rsid w:val="00D92CEB"/>
    <w:rsid w:val="00D9304C"/>
    <w:rsid w:val="00D93595"/>
    <w:rsid w:val="00D93BF6"/>
    <w:rsid w:val="00D93D31"/>
    <w:rsid w:val="00D94060"/>
    <w:rsid w:val="00D94E65"/>
    <w:rsid w:val="00D95444"/>
    <w:rsid w:val="00D9566B"/>
    <w:rsid w:val="00D958A6"/>
    <w:rsid w:val="00D9663D"/>
    <w:rsid w:val="00D9667E"/>
    <w:rsid w:val="00D96A1F"/>
    <w:rsid w:val="00D96C79"/>
    <w:rsid w:val="00D979F6"/>
    <w:rsid w:val="00DA0BD3"/>
    <w:rsid w:val="00DA0D14"/>
    <w:rsid w:val="00DA11C8"/>
    <w:rsid w:val="00DA1200"/>
    <w:rsid w:val="00DA1212"/>
    <w:rsid w:val="00DA18E1"/>
    <w:rsid w:val="00DA1943"/>
    <w:rsid w:val="00DA1A45"/>
    <w:rsid w:val="00DA1B97"/>
    <w:rsid w:val="00DA1DF0"/>
    <w:rsid w:val="00DA2196"/>
    <w:rsid w:val="00DA22BE"/>
    <w:rsid w:val="00DA26BA"/>
    <w:rsid w:val="00DA2859"/>
    <w:rsid w:val="00DA28CB"/>
    <w:rsid w:val="00DA29C7"/>
    <w:rsid w:val="00DA2B04"/>
    <w:rsid w:val="00DA2E2B"/>
    <w:rsid w:val="00DA319A"/>
    <w:rsid w:val="00DA3737"/>
    <w:rsid w:val="00DA3B44"/>
    <w:rsid w:val="00DA4983"/>
    <w:rsid w:val="00DA4B3E"/>
    <w:rsid w:val="00DA4C94"/>
    <w:rsid w:val="00DA4D73"/>
    <w:rsid w:val="00DA4FE7"/>
    <w:rsid w:val="00DA56A8"/>
    <w:rsid w:val="00DA5877"/>
    <w:rsid w:val="00DA596B"/>
    <w:rsid w:val="00DA6516"/>
    <w:rsid w:val="00DA6BDC"/>
    <w:rsid w:val="00DA71D9"/>
    <w:rsid w:val="00DA73BE"/>
    <w:rsid w:val="00DA7455"/>
    <w:rsid w:val="00DA7B6F"/>
    <w:rsid w:val="00DA7FAF"/>
    <w:rsid w:val="00DB0073"/>
    <w:rsid w:val="00DB02AB"/>
    <w:rsid w:val="00DB0B3A"/>
    <w:rsid w:val="00DB0D73"/>
    <w:rsid w:val="00DB0E12"/>
    <w:rsid w:val="00DB0FB4"/>
    <w:rsid w:val="00DB100D"/>
    <w:rsid w:val="00DB1781"/>
    <w:rsid w:val="00DB2017"/>
    <w:rsid w:val="00DB20B8"/>
    <w:rsid w:val="00DB22F3"/>
    <w:rsid w:val="00DB2734"/>
    <w:rsid w:val="00DB2F30"/>
    <w:rsid w:val="00DB32B2"/>
    <w:rsid w:val="00DB46E2"/>
    <w:rsid w:val="00DB46F2"/>
    <w:rsid w:val="00DB4C23"/>
    <w:rsid w:val="00DB4F1E"/>
    <w:rsid w:val="00DB4FBA"/>
    <w:rsid w:val="00DB4FC2"/>
    <w:rsid w:val="00DB5378"/>
    <w:rsid w:val="00DB5883"/>
    <w:rsid w:val="00DB5953"/>
    <w:rsid w:val="00DB5BA4"/>
    <w:rsid w:val="00DB6125"/>
    <w:rsid w:val="00DB63E3"/>
    <w:rsid w:val="00DB67EC"/>
    <w:rsid w:val="00DB6A68"/>
    <w:rsid w:val="00DB6B1A"/>
    <w:rsid w:val="00DB6D5C"/>
    <w:rsid w:val="00DB6E95"/>
    <w:rsid w:val="00DB6FB9"/>
    <w:rsid w:val="00DB7E5C"/>
    <w:rsid w:val="00DC0047"/>
    <w:rsid w:val="00DC01D6"/>
    <w:rsid w:val="00DC104D"/>
    <w:rsid w:val="00DC11DA"/>
    <w:rsid w:val="00DC16F1"/>
    <w:rsid w:val="00DC19ED"/>
    <w:rsid w:val="00DC1B20"/>
    <w:rsid w:val="00DC1D4F"/>
    <w:rsid w:val="00DC206D"/>
    <w:rsid w:val="00DC21F3"/>
    <w:rsid w:val="00DC2414"/>
    <w:rsid w:val="00DC27DD"/>
    <w:rsid w:val="00DC2AE8"/>
    <w:rsid w:val="00DC2B85"/>
    <w:rsid w:val="00DC2EE1"/>
    <w:rsid w:val="00DC32C9"/>
    <w:rsid w:val="00DC38F4"/>
    <w:rsid w:val="00DC451D"/>
    <w:rsid w:val="00DC505E"/>
    <w:rsid w:val="00DC5097"/>
    <w:rsid w:val="00DC5EBC"/>
    <w:rsid w:val="00DC670A"/>
    <w:rsid w:val="00DC6929"/>
    <w:rsid w:val="00DC6ACC"/>
    <w:rsid w:val="00DC6AE8"/>
    <w:rsid w:val="00DC6D2D"/>
    <w:rsid w:val="00DC6F44"/>
    <w:rsid w:val="00DC706A"/>
    <w:rsid w:val="00DC73A8"/>
    <w:rsid w:val="00DC74B4"/>
    <w:rsid w:val="00DC75F0"/>
    <w:rsid w:val="00DC7B38"/>
    <w:rsid w:val="00DC7F37"/>
    <w:rsid w:val="00DD026C"/>
    <w:rsid w:val="00DD04E4"/>
    <w:rsid w:val="00DD093C"/>
    <w:rsid w:val="00DD0C9F"/>
    <w:rsid w:val="00DD0FA4"/>
    <w:rsid w:val="00DD1068"/>
    <w:rsid w:val="00DD136F"/>
    <w:rsid w:val="00DD1ADF"/>
    <w:rsid w:val="00DD1D59"/>
    <w:rsid w:val="00DD1E1E"/>
    <w:rsid w:val="00DD24D7"/>
    <w:rsid w:val="00DD38F1"/>
    <w:rsid w:val="00DD399F"/>
    <w:rsid w:val="00DD44ED"/>
    <w:rsid w:val="00DD4500"/>
    <w:rsid w:val="00DD4A2F"/>
    <w:rsid w:val="00DD54CD"/>
    <w:rsid w:val="00DD5C75"/>
    <w:rsid w:val="00DD5D53"/>
    <w:rsid w:val="00DD5D75"/>
    <w:rsid w:val="00DD6429"/>
    <w:rsid w:val="00DD67FB"/>
    <w:rsid w:val="00DD6A3C"/>
    <w:rsid w:val="00DD6CEF"/>
    <w:rsid w:val="00DD7102"/>
    <w:rsid w:val="00DD7548"/>
    <w:rsid w:val="00DD7D5C"/>
    <w:rsid w:val="00DD7E16"/>
    <w:rsid w:val="00DE042E"/>
    <w:rsid w:val="00DE045D"/>
    <w:rsid w:val="00DE07A8"/>
    <w:rsid w:val="00DE0844"/>
    <w:rsid w:val="00DE0F18"/>
    <w:rsid w:val="00DE0FF6"/>
    <w:rsid w:val="00DE11AD"/>
    <w:rsid w:val="00DE17D5"/>
    <w:rsid w:val="00DE1A1E"/>
    <w:rsid w:val="00DE26AD"/>
    <w:rsid w:val="00DE270D"/>
    <w:rsid w:val="00DE273B"/>
    <w:rsid w:val="00DE2809"/>
    <w:rsid w:val="00DE2981"/>
    <w:rsid w:val="00DE2D1C"/>
    <w:rsid w:val="00DE2E2B"/>
    <w:rsid w:val="00DE2EB0"/>
    <w:rsid w:val="00DE30D7"/>
    <w:rsid w:val="00DE3622"/>
    <w:rsid w:val="00DE3E0C"/>
    <w:rsid w:val="00DE4169"/>
    <w:rsid w:val="00DE4688"/>
    <w:rsid w:val="00DE4A0D"/>
    <w:rsid w:val="00DE52A0"/>
    <w:rsid w:val="00DE56DD"/>
    <w:rsid w:val="00DE5B2B"/>
    <w:rsid w:val="00DE5D61"/>
    <w:rsid w:val="00DE6410"/>
    <w:rsid w:val="00DE67C4"/>
    <w:rsid w:val="00DE71B3"/>
    <w:rsid w:val="00DE72D9"/>
    <w:rsid w:val="00DE7330"/>
    <w:rsid w:val="00DE7420"/>
    <w:rsid w:val="00DE763E"/>
    <w:rsid w:val="00DE764B"/>
    <w:rsid w:val="00DF19CF"/>
    <w:rsid w:val="00DF261E"/>
    <w:rsid w:val="00DF2EE3"/>
    <w:rsid w:val="00DF418A"/>
    <w:rsid w:val="00DF465F"/>
    <w:rsid w:val="00DF4901"/>
    <w:rsid w:val="00DF4C28"/>
    <w:rsid w:val="00DF4FD7"/>
    <w:rsid w:val="00DF519F"/>
    <w:rsid w:val="00DF5302"/>
    <w:rsid w:val="00DF596E"/>
    <w:rsid w:val="00DF5A25"/>
    <w:rsid w:val="00DF5E92"/>
    <w:rsid w:val="00DF600D"/>
    <w:rsid w:val="00DF63F2"/>
    <w:rsid w:val="00DF6501"/>
    <w:rsid w:val="00DF6E1C"/>
    <w:rsid w:val="00DF6F25"/>
    <w:rsid w:val="00DF6FF1"/>
    <w:rsid w:val="00DF7C71"/>
    <w:rsid w:val="00DF7D15"/>
    <w:rsid w:val="00E001C2"/>
    <w:rsid w:val="00E00861"/>
    <w:rsid w:val="00E00DF1"/>
    <w:rsid w:val="00E00F31"/>
    <w:rsid w:val="00E01749"/>
    <w:rsid w:val="00E01EB7"/>
    <w:rsid w:val="00E02229"/>
    <w:rsid w:val="00E0223C"/>
    <w:rsid w:val="00E02255"/>
    <w:rsid w:val="00E02824"/>
    <w:rsid w:val="00E03729"/>
    <w:rsid w:val="00E044F1"/>
    <w:rsid w:val="00E04BF6"/>
    <w:rsid w:val="00E04EF4"/>
    <w:rsid w:val="00E0503A"/>
    <w:rsid w:val="00E066D3"/>
    <w:rsid w:val="00E0686B"/>
    <w:rsid w:val="00E068DE"/>
    <w:rsid w:val="00E070C9"/>
    <w:rsid w:val="00E078FC"/>
    <w:rsid w:val="00E07990"/>
    <w:rsid w:val="00E10BF8"/>
    <w:rsid w:val="00E10D02"/>
    <w:rsid w:val="00E115D3"/>
    <w:rsid w:val="00E115F7"/>
    <w:rsid w:val="00E117F7"/>
    <w:rsid w:val="00E11BD2"/>
    <w:rsid w:val="00E11D13"/>
    <w:rsid w:val="00E1251B"/>
    <w:rsid w:val="00E12677"/>
    <w:rsid w:val="00E12C6D"/>
    <w:rsid w:val="00E12E06"/>
    <w:rsid w:val="00E12E2E"/>
    <w:rsid w:val="00E1333B"/>
    <w:rsid w:val="00E1374F"/>
    <w:rsid w:val="00E1418D"/>
    <w:rsid w:val="00E14878"/>
    <w:rsid w:val="00E14D67"/>
    <w:rsid w:val="00E14E7B"/>
    <w:rsid w:val="00E14F4A"/>
    <w:rsid w:val="00E155EF"/>
    <w:rsid w:val="00E15CBE"/>
    <w:rsid w:val="00E15E0D"/>
    <w:rsid w:val="00E160CB"/>
    <w:rsid w:val="00E1654A"/>
    <w:rsid w:val="00E165A3"/>
    <w:rsid w:val="00E16686"/>
    <w:rsid w:val="00E166B3"/>
    <w:rsid w:val="00E16C67"/>
    <w:rsid w:val="00E16DAB"/>
    <w:rsid w:val="00E1719F"/>
    <w:rsid w:val="00E1744F"/>
    <w:rsid w:val="00E178A3"/>
    <w:rsid w:val="00E17994"/>
    <w:rsid w:val="00E17CEC"/>
    <w:rsid w:val="00E200AD"/>
    <w:rsid w:val="00E2032C"/>
    <w:rsid w:val="00E20629"/>
    <w:rsid w:val="00E20677"/>
    <w:rsid w:val="00E206DF"/>
    <w:rsid w:val="00E20AD1"/>
    <w:rsid w:val="00E20FA0"/>
    <w:rsid w:val="00E21140"/>
    <w:rsid w:val="00E211C7"/>
    <w:rsid w:val="00E2183C"/>
    <w:rsid w:val="00E2184A"/>
    <w:rsid w:val="00E218E1"/>
    <w:rsid w:val="00E21E78"/>
    <w:rsid w:val="00E2252D"/>
    <w:rsid w:val="00E22C2B"/>
    <w:rsid w:val="00E22C47"/>
    <w:rsid w:val="00E22F0F"/>
    <w:rsid w:val="00E230FA"/>
    <w:rsid w:val="00E23433"/>
    <w:rsid w:val="00E235A3"/>
    <w:rsid w:val="00E239EC"/>
    <w:rsid w:val="00E23F53"/>
    <w:rsid w:val="00E2457D"/>
    <w:rsid w:val="00E24EB1"/>
    <w:rsid w:val="00E25202"/>
    <w:rsid w:val="00E25607"/>
    <w:rsid w:val="00E263CF"/>
    <w:rsid w:val="00E268C4"/>
    <w:rsid w:val="00E26B8D"/>
    <w:rsid w:val="00E26BEB"/>
    <w:rsid w:val="00E26C13"/>
    <w:rsid w:val="00E26E57"/>
    <w:rsid w:val="00E2741C"/>
    <w:rsid w:val="00E276CC"/>
    <w:rsid w:val="00E27B21"/>
    <w:rsid w:val="00E3120D"/>
    <w:rsid w:val="00E3155E"/>
    <w:rsid w:val="00E31FC1"/>
    <w:rsid w:val="00E320A5"/>
    <w:rsid w:val="00E326E2"/>
    <w:rsid w:val="00E3289B"/>
    <w:rsid w:val="00E33213"/>
    <w:rsid w:val="00E33272"/>
    <w:rsid w:val="00E3359B"/>
    <w:rsid w:val="00E33766"/>
    <w:rsid w:val="00E3389C"/>
    <w:rsid w:val="00E33BA0"/>
    <w:rsid w:val="00E340FB"/>
    <w:rsid w:val="00E34194"/>
    <w:rsid w:val="00E342F5"/>
    <w:rsid w:val="00E34A0E"/>
    <w:rsid w:val="00E34DB5"/>
    <w:rsid w:val="00E3507C"/>
    <w:rsid w:val="00E351B9"/>
    <w:rsid w:val="00E354A2"/>
    <w:rsid w:val="00E3567B"/>
    <w:rsid w:val="00E357DE"/>
    <w:rsid w:val="00E357F9"/>
    <w:rsid w:val="00E35CF2"/>
    <w:rsid w:val="00E35FD3"/>
    <w:rsid w:val="00E365BB"/>
    <w:rsid w:val="00E36647"/>
    <w:rsid w:val="00E36957"/>
    <w:rsid w:val="00E3700A"/>
    <w:rsid w:val="00E37029"/>
    <w:rsid w:val="00E3764D"/>
    <w:rsid w:val="00E376E9"/>
    <w:rsid w:val="00E3777B"/>
    <w:rsid w:val="00E37804"/>
    <w:rsid w:val="00E37FDB"/>
    <w:rsid w:val="00E40127"/>
    <w:rsid w:val="00E4016D"/>
    <w:rsid w:val="00E40630"/>
    <w:rsid w:val="00E406CF"/>
    <w:rsid w:val="00E40955"/>
    <w:rsid w:val="00E40EC0"/>
    <w:rsid w:val="00E41B52"/>
    <w:rsid w:val="00E41B55"/>
    <w:rsid w:val="00E41C73"/>
    <w:rsid w:val="00E4229F"/>
    <w:rsid w:val="00E428DE"/>
    <w:rsid w:val="00E4356B"/>
    <w:rsid w:val="00E435CD"/>
    <w:rsid w:val="00E43D3F"/>
    <w:rsid w:val="00E447B0"/>
    <w:rsid w:val="00E4480C"/>
    <w:rsid w:val="00E44D9A"/>
    <w:rsid w:val="00E4519A"/>
    <w:rsid w:val="00E45302"/>
    <w:rsid w:val="00E455B8"/>
    <w:rsid w:val="00E458F5"/>
    <w:rsid w:val="00E45AB3"/>
    <w:rsid w:val="00E460CC"/>
    <w:rsid w:val="00E46376"/>
    <w:rsid w:val="00E46A29"/>
    <w:rsid w:val="00E46B18"/>
    <w:rsid w:val="00E46BA7"/>
    <w:rsid w:val="00E46CE3"/>
    <w:rsid w:val="00E47659"/>
    <w:rsid w:val="00E47857"/>
    <w:rsid w:val="00E5076E"/>
    <w:rsid w:val="00E50890"/>
    <w:rsid w:val="00E508F5"/>
    <w:rsid w:val="00E50922"/>
    <w:rsid w:val="00E50BAA"/>
    <w:rsid w:val="00E51015"/>
    <w:rsid w:val="00E510F0"/>
    <w:rsid w:val="00E5142B"/>
    <w:rsid w:val="00E5150B"/>
    <w:rsid w:val="00E51579"/>
    <w:rsid w:val="00E518D1"/>
    <w:rsid w:val="00E51C69"/>
    <w:rsid w:val="00E52BC8"/>
    <w:rsid w:val="00E52EB3"/>
    <w:rsid w:val="00E530C5"/>
    <w:rsid w:val="00E53592"/>
    <w:rsid w:val="00E539CC"/>
    <w:rsid w:val="00E540A4"/>
    <w:rsid w:val="00E540EC"/>
    <w:rsid w:val="00E541ED"/>
    <w:rsid w:val="00E546E3"/>
    <w:rsid w:val="00E54C34"/>
    <w:rsid w:val="00E54DC6"/>
    <w:rsid w:val="00E54E1D"/>
    <w:rsid w:val="00E551BD"/>
    <w:rsid w:val="00E55311"/>
    <w:rsid w:val="00E55CE2"/>
    <w:rsid w:val="00E55E4B"/>
    <w:rsid w:val="00E55E73"/>
    <w:rsid w:val="00E55EEB"/>
    <w:rsid w:val="00E561AE"/>
    <w:rsid w:val="00E563D6"/>
    <w:rsid w:val="00E57B3C"/>
    <w:rsid w:val="00E6012D"/>
    <w:rsid w:val="00E6014C"/>
    <w:rsid w:val="00E60A6F"/>
    <w:rsid w:val="00E60DCC"/>
    <w:rsid w:val="00E61134"/>
    <w:rsid w:val="00E61156"/>
    <w:rsid w:val="00E61812"/>
    <w:rsid w:val="00E624B5"/>
    <w:rsid w:val="00E625B5"/>
    <w:rsid w:val="00E629B9"/>
    <w:rsid w:val="00E6361D"/>
    <w:rsid w:val="00E63A36"/>
    <w:rsid w:val="00E63DD7"/>
    <w:rsid w:val="00E63E4F"/>
    <w:rsid w:val="00E6422D"/>
    <w:rsid w:val="00E64D8A"/>
    <w:rsid w:val="00E64E90"/>
    <w:rsid w:val="00E6571C"/>
    <w:rsid w:val="00E659CF"/>
    <w:rsid w:val="00E65B1D"/>
    <w:rsid w:val="00E65CB0"/>
    <w:rsid w:val="00E65F14"/>
    <w:rsid w:val="00E6607E"/>
    <w:rsid w:val="00E665E8"/>
    <w:rsid w:val="00E66750"/>
    <w:rsid w:val="00E668CC"/>
    <w:rsid w:val="00E66949"/>
    <w:rsid w:val="00E66A44"/>
    <w:rsid w:val="00E66AAF"/>
    <w:rsid w:val="00E673D2"/>
    <w:rsid w:val="00E67702"/>
    <w:rsid w:val="00E67AC8"/>
    <w:rsid w:val="00E67D4B"/>
    <w:rsid w:val="00E701AE"/>
    <w:rsid w:val="00E7045B"/>
    <w:rsid w:val="00E70751"/>
    <w:rsid w:val="00E70A9B"/>
    <w:rsid w:val="00E70D05"/>
    <w:rsid w:val="00E711BC"/>
    <w:rsid w:val="00E714DF"/>
    <w:rsid w:val="00E71874"/>
    <w:rsid w:val="00E71C29"/>
    <w:rsid w:val="00E725C2"/>
    <w:rsid w:val="00E725D0"/>
    <w:rsid w:val="00E73048"/>
    <w:rsid w:val="00E731D6"/>
    <w:rsid w:val="00E7331B"/>
    <w:rsid w:val="00E73934"/>
    <w:rsid w:val="00E743D6"/>
    <w:rsid w:val="00E74A5B"/>
    <w:rsid w:val="00E74A84"/>
    <w:rsid w:val="00E74B87"/>
    <w:rsid w:val="00E7587F"/>
    <w:rsid w:val="00E75885"/>
    <w:rsid w:val="00E75D6A"/>
    <w:rsid w:val="00E75DA4"/>
    <w:rsid w:val="00E760A4"/>
    <w:rsid w:val="00E76278"/>
    <w:rsid w:val="00E76538"/>
    <w:rsid w:val="00E76991"/>
    <w:rsid w:val="00E76B86"/>
    <w:rsid w:val="00E76BEA"/>
    <w:rsid w:val="00E76FDC"/>
    <w:rsid w:val="00E77596"/>
    <w:rsid w:val="00E77851"/>
    <w:rsid w:val="00E77B1B"/>
    <w:rsid w:val="00E77B4F"/>
    <w:rsid w:val="00E8047D"/>
    <w:rsid w:val="00E8052B"/>
    <w:rsid w:val="00E807FF"/>
    <w:rsid w:val="00E81795"/>
    <w:rsid w:val="00E8193F"/>
    <w:rsid w:val="00E81E0D"/>
    <w:rsid w:val="00E81E32"/>
    <w:rsid w:val="00E821AB"/>
    <w:rsid w:val="00E82497"/>
    <w:rsid w:val="00E82731"/>
    <w:rsid w:val="00E82E64"/>
    <w:rsid w:val="00E83104"/>
    <w:rsid w:val="00E833A4"/>
    <w:rsid w:val="00E839D0"/>
    <w:rsid w:val="00E83BC6"/>
    <w:rsid w:val="00E83F26"/>
    <w:rsid w:val="00E84096"/>
    <w:rsid w:val="00E840DC"/>
    <w:rsid w:val="00E84599"/>
    <w:rsid w:val="00E845EF"/>
    <w:rsid w:val="00E846CC"/>
    <w:rsid w:val="00E84900"/>
    <w:rsid w:val="00E853A5"/>
    <w:rsid w:val="00E8561F"/>
    <w:rsid w:val="00E86645"/>
    <w:rsid w:val="00E86777"/>
    <w:rsid w:val="00E86D8B"/>
    <w:rsid w:val="00E87076"/>
    <w:rsid w:val="00E87454"/>
    <w:rsid w:val="00E878F6"/>
    <w:rsid w:val="00E87A00"/>
    <w:rsid w:val="00E87A05"/>
    <w:rsid w:val="00E909A5"/>
    <w:rsid w:val="00E90BD2"/>
    <w:rsid w:val="00E90F2B"/>
    <w:rsid w:val="00E91068"/>
    <w:rsid w:val="00E91378"/>
    <w:rsid w:val="00E91D2F"/>
    <w:rsid w:val="00E92021"/>
    <w:rsid w:val="00E9283A"/>
    <w:rsid w:val="00E92D22"/>
    <w:rsid w:val="00E93219"/>
    <w:rsid w:val="00E93BB0"/>
    <w:rsid w:val="00E93EA3"/>
    <w:rsid w:val="00E941B4"/>
    <w:rsid w:val="00E945EB"/>
    <w:rsid w:val="00E945F5"/>
    <w:rsid w:val="00E947A2"/>
    <w:rsid w:val="00E9490A"/>
    <w:rsid w:val="00E94C4A"/>
    <w:rsid w:val="00E950DD"/>
    <w:rsid w:val="00E95400"/>
    <w:rsid w:val="00E9567E"/>
    <w:rsid w:val="00E958F5"/>
    <w:rsid w:val="00E960BA"/>
    <w:rsid w:val="00E96441"/>
    <w:rsid w:val="00E96EC5"/>
    <w:rsid w:val="00E97082"/>
    <w:rsid w:val="00E97D69"/>
    <w:rsid w:val="00EA005E"/>
    <w:rsid w:val="00EA00A9"/>
    <w:rsid w:val="00EA0508"/>
    <w:rsid w:val="00EA07F4"/>
    <w:rsid w:val="00EA0C04"/>
    <w:rsid w:val="00EA0FFE"/>
    <w:rsid w:val="00EA194B"/>
    <w:rsid w:val="00EA19E0"/>
    <w:rsid w:val="00EA2134"/>
    <w:rsid w:val="00EA257B"/>
    <w:rsid w:val="00EA2C50"/>
    <w:rsid w:val="00EA2C69"/>
    <w:rsid w:val="00EA30A3"/>
    <w:rsid w:val="00EA3474"/>
    <w:rsid w:val="00EA36FC"/>
    <w:rsid w:val="00EA399C"/>
    <w:rsid w:val="00EA3D40"/>
    <w:rsid w:val="00EA476E"/>
    <w:rsid w:val="00EA4806"/>
    <w:rsid w:val="00EA4A7F"/>
    <w:rsid w:val="00EA532F"/>
    <w:rsid w:val="00EA59F0"/>
    <w:rsid w:val="00EA60D4"/>
    <w:rsid w:val="00EA692B"/>
    <w:rsid w:val="00EA6B1B"/>
    <w:rsid w:val="00EA6B89"/>
    <w:rsid w:val="00EA6E89"/>
    <w:rsid w:val="00EA717B"/>
    <w:rsid w:val="00EA7204"/>
    <w:rsid w:val="00EA7CD3"/>
    <w:rsid w:val="00EB0308"/>
    <w:rsid w:val="00EB12EC"/>
    <w:rsid w:val="00EB1845"/>
    <w:rsid w:val="00EB2383"/>
    <w:rsid w:val="00EB3099"/>
    <w:rsid w:val="00EB32D0"/>
    <w:rsid w:val="00EB3336"/>
    <w:rsid w:val="00EB33CC"/>
    <w:rsid w:val="00EB36C5"/>
    <w:rsid w:val="00EB4083"/>
    <w:rsid w:val="00EB48AE"/>
    <w:rsid w:val="00EB545E"/>
    <w:rsid w:val="00EB5B30"/>
    <w:rsid w:val="00EB607E"/>
    <w:rsid w:val="00EB60AA"/>
    <w:rsid w:val="00EB62E1"/>
    <w:rsid w:val="00EB6BFE"/>
    <w:rsid w:val="00EB6CD6"/>
    <w:rsid w:val="00EB6DF9"/>
    <w:rsid w:val="00EB7131"/>
    <w:rsid w:val="00EB7E45"/>
    <w:rsid w:val="00EC01F3"/>
    <w:rsid w:val="00EC08AF"/>
    <w:rsid w:val="00EC09EA"/>
    <w:rsid w:val="00EC14F2"/>
    <w:rsid w:val="00EC1554"/>
    <w:rsid w:val="00EC1F0C"/>
    <w:rsid w:val="00EC2206"/>
    <w:rsid w:val="00EC2432"/>
    <w:rsid w:val="00EC2C2F"/>
    <w:rsid w:val="00EC2F3E"/>
    <w:rsid w:val="00EC32B6"/>
    <w:rsid w:val="00EC371B"/>
    <w:rsid w:val="00EC3873"/>
    <w:rsid w:val="00EC3C77"/>
    <w:rsid w:val="00EC3DB6"/>
    <w:rsid w:val="00EC3FA9"/>
    <w:rsid w:val="00EC41FC"/>
    <w:rsid w:val="00EC46A5"/>
    <w:rsid w:val="00EC4AFF"/>
    <w:rsid w:val="00EC4B23"/>
    <w:rsid w:val="00EC4BCB"/>
    <w:rsid w:val="00EC5A9E"/>
    <w:rsid w:val="00EC5BC7"/>
    <w:rsid w:val="00EC5CD7"/>
    <w:rsid w:val="00EC5D62"/>
    <w:rsid w:val="00EC6372"/>
    <w:rsid w:val="00EC6739"/>
    <w:rsid w:val="00EC6993"/>
    <w:rsid w:val="00EC75B5"/>
    <w:rsid w:val="00ED0BDA"/>
    <w:rsid w:val="00ED10DF"/>
    <w:rsid w:val="00ED16CC"/>
    <w:rsid w:val="00ED195F"/>
    <w:rsid w:val="00ED1C99"/>
    <w:rsid w:val="00ED2332"/>
    <w:rsid w:val="00ED255B"/>
    <w:rsid w:val="00ED2A20"/>
    <w:rsid w:val="00ED2A87"/>
    <w:rsid w:val="00ED2DF6"/>
    <w:rsid w:val="00ED334C"/>
    <w:rsid w:val="00ED3F39"/>
    <w:rsid w:val="00ED414B"/>
    <w:rsid w:val="00ED4831"/>
    <w:rsid w:val="00ED4A51"/>
    <w:rsid w:val="00ED500A"/>
    <w:rsid w:val="00ED5567"/>
    <w:rsid w:val="00ED55E4"/>
    <w:rsid w:val="00ED58B3"/>
    <w:rsid w:val="00ED59E5"/>
    <w:rsid w:val="00ED5B47"/>
    <w:rsid w:val="00ED5F05"/>
    <w:rsid w:val="00ED66C6"/>
    <w:rsid w:val="00ED6DEA"/>
    <w:rsid w:val="00ED7379"/>
    <w:rsid w:val="00ED74B7"/>
    <w:rsid w:val="00ED75BB"/>
    <w:rsid w:val="00EE098C"/>
    <w:rsid w:val="00EE113D"/>
    <w:rsid w:val="00EE1405"/>
    <w:rsid w:val="00EE1E9C"/>
    <w:rsid w:val="00EE2018"/>
    <w:rsid w:val="00EE2048"/>
    <w:rsid w:val="00EE259C"/>
    <w:rsid w:val="00EE2662"/>
    <w:rsid w:val="00EE2A4A"/>
    <w:rsid w:val="00EE2AD1"/>
    <w:rsid w:val="00EE2BC0"/>
    <w:rsid w:val="00EE2DA2"/>
    <w:rsid w:val="00EE2E13"/>
    <w:rsid w:val="00EE2F3E"/>
    <w:rsid w:val="00EE33B4"/>
    <w:rsid w:val="00EE353C"/>
    <w:rsid w:val="00EE3585"/>
    <w:rsid w:val="00EE3741"/>
    <w:rsid w:val="00EE38E3"/>
    <w:rsid w:val="00EE3EFD"/>
    <w:rsid w:val="00EE446B"/>
    <w:rsid w:val="00EE486F"/>
    <w:rsid w:val="00EE4A87"/>
    <w:rsid w:val="00EE4E8F"/>
    <w:rsid w:val="00EE4ED4"/>
    <w:rsid w:val="00EE50B2"/>
    <w:rsid w:val="00EE56F8"/>
    <w:rsid w:val="00EE587F"/>
    <w:rsid w:val="00EE5DDF"/>
    <w:rsid w:val="00EE64D6"/>
    <w:rsid w:val="00EE6962"/>
    <w:rsid w:val="00EE6A0E"/>
    <w:rsid w:val="00EE715A"/>
    <w:rsid w:val="00EF0216"/>
    <w:rsid w:val="00EF0352"/>
    <w:rsid w:val="00EF03BA"/>
    <w:rsid w:val="00EF0AEF"/>
    <w:rsid w:val="00EF147B"/>
    <w:rsid w:val="00EF15C3"/>
    <w:rsid w:val="00EF1B12"/>
    <w:rsid w:val="00EF230F"/>
    <w:rsid w:val="00EF24BC"/>
    <w:rsid w:val="00EF29E7"/>
    <w:rsid w:val="00EF346E"/>
    <w:rsid w:val="00EF35D5"/>
    <w:rsid w:val="00EF407A"/>
    <w:rsid w:val="00EF422F"/>
    <w:rsid w:val="00EF4592"/>
    <w:rsid w:val="00EF4DBB"/>
    <w:rsid w:val="00EF4F40"/>
    <w:rsid w:val="00EF5306"/>
    <w:rsid w:val="00EF57DA"/>
    <w:rsid w:val="00EF58DF"/>
    <w:rsid w:val="00EF59E9"/>
    <w:rsid w:val="00EF5B54"/>
    <w:rsid w:val="00EF5B7E"/>
    <w:rsid w:val="00EF5E81"/>
    <w:rsid w:val="00EF5E8D"/>
    <w:rsid w:val="00EF6214"/>
    <w:rsid w:val="00EF6266"/>
    <w:rsid w:val="00EF62A1"/>
    <w:rsid w:val="00EF644A"/>
    <w:rsid w:val="00EF6797"/>
    <w:rsid w:val="00EF71E7"/>
    <w:rsid w:val="00EF73BB"/>
    <w:rsid w:val="00EF7CFF"/>
    <w:rsid w:val="00EF7FD3"/>
    <w:rsid w:val="00F00023"/>
    <w:rsid w:val="00F0018E"/>
    <w:rsid w:val="00F00724"/>
    <w:rsid w:val="00F0076D"/>
    <w:rsid w:val="00F00A91"/>
    <w:rsid w:val="00F00BBD"/>
    <w:rsid w:val="00F00BE8"/>
    <w:rsid w:val="00F00C4E"/>
    <w:rsid w:val="00F0103C"/>
    <w:rsid w:val="00F01CFE"/>
    <w:rsid w:val="00F02F48"/>
    <w:rsid w:val="00F02F71"/>
    <w:rsid w:val="00F0302D"/>
    <w:rsid w:val="00F033C8"/>
    <w:rsid w:val="00F0350E"/>
    <w:rsid w:val="00F039D8"/>
    <w:rsid w:val="00F03C94"/>
    <w:rsid w:val="00F03CDD"/>
    <w:rsid w:val="00F03F83"/>
    <w:rsid w:val="00F04029"/>
    <w:rsid w:val="00F040C1"/>
    <w:rsid w:val="00F042C0"/>
    <w:rsid w:val="00F04944"/>
    <w:rsid w:val="00F04CEF"/>
    <w:rsid w:val="00F057DF"/>
    <w:rsid w:val="00F05B0C"/>
    <w:rsid w:val="00F0638E"/>
    <w:rsid w:val="00F06DEA"/>
    <w:rsid w:val="00F07362"/>
    <w:rsid w:val="00F0799C"/>
    <w:rsid w:val="00F07C74"/>
    <w:rsid w:val="00F10159"/>
    <w:rsid w:val="00F1015A"/>
    <w:rsid w:val="00F10837"/>
    <w:rsid w:val="00F109D4"/>
    <w:rsid w:val="00F109EB"/>
    <w:rsid w:val="00F110CE"/>
    <w:rsid w:val="00F112B5"/>
    <w:rsid w:val="00F116B6"/>
    <w:rsid w:val="00F118AB"/>
    <w:rsid w:val="00F11C72"/>
    <w:rsid w:val="00F11E41"/>
    <w:rsid w:val="00F1228D"/>
    <w:rsid w:val="00F122E8"/>
    <w:rsid w:val="00F12335"/>
    <w:rsid w:val="00F1269D"/>
    <w:rsid w:val="00F12933"/>
    <w:rsid w:val="00F12CFB"/>
    <w:rsid w:val="00F12DE0"/>
    <w:rsid w:val="00F1352F"/>
    <w:rsid w:val="00F13C1C"/>
    <w:rsid w:val="00F1439E"/>
    <w:rsid w:val="00F14BA3"/>
    <w:rsid w:val="00F14BFF"/>
    <w:rsid w:val="00F14F33"/>
    <w:rsid w:val="00F151E9"/>
    <w:rsid w:val="00F155D1"/>
    <w:rsid w:val="00F15A02"/>
    <w:rsid w:val="00F1603B"/>
    <w:rsid w:val="00F162FD"/>
    <w:rsid w:val="00F16A2B"/>
    <w:rsid w:val="00F16CF5"/>
    <w:rsid w:val="00F17830"/>
    <w:rsid w:val="00F17A68"/>
    <w:rsid w:val="00F17B81"/>
    <w:rsid w:val="00F17BF2"/>
    <w:rsid w:val="00F200C2"/>
    <w:rsid w:val="00F2047A"/>
    <w:rsid w:val="00F2062C"/>
    <w:rsid w:val="00F2094C"/>
    <w:rsid w:val="00F20F14"/>
    <w:rsid w:val="00F2121F"/>
    <w:rsid w:val="00F215D7"/>
    <w:rsid w:val="00F2199C"/>
    <w:rsid w:val="00F21C36"/>
    <w:rsid w:val="00F22964"/>
    <w:rsid w:val="00F2299B"/>
    <w:rsid w:val="00F22BDA"/>
    <w:rsid w:val="00F22E6F"/>
    <w:rsid w:val="00F2390A"/>
    <w:rsid w:val="00F23CC3"/>
    <w:rsid w:val="00F246C7"/>
    <w:rsid w:val="00F2491D"/>
    <w:rsid w:val="00F24FE0"/>
    <w:rsid w:val="00F253E9"/>
    <w:rsid w:val="00F256AE"/>
    <w:rsid w:val="00F25842"/>
    <w:rsid w:val="00F25AA1"/>
    <w:rsid w:val="00F25DAD"/>
    <w:rsid w:val="00F26533"/>
    <w:rsid w:val="00F26DDF"/>
    <w:rsid w:val="00F2744D"/>
    <w:rsid w:val="00F279E2"/>
    <w:rsid w:val="00F27E6E"/>
    <w:rsid w:val="00F30453"/>
    <w:rsid w:val="00F3081E"/>
    <w:rsid w:val="00F31825"/>
    <w:rsid w:val="00F31E00"/>
    <w:rsid w:val="00F31F84"/>
    <w:rsid w:val="00F321A4"/>
    <w:rsid w:val="00F32261"/>
    <w:rsid w:val="00F32420"/>
    <w:rsid w:val="00F325A4"/>
    <w:rsid w:val="00F32AF7"/>
    <w:rsid w:val="00F32E0C"/>
    <w:rsid w:val="00F3331D"/>
    <w:rsid w:val="00F345AD"/>
    <w:rsid w:val="00F349DF"/>
    <w:rsid w:val="00F35977"/>
    <w:rsid w:val="00F35EE0"/>
    <w:rsid w:val="00F36076"/>
    <w:rsid w:val="00F3740B"/>
    <w:rsid w:val="00F37B64"/>
    <w:rsid w:val="00F37CD2"/>
    <w:rsid w:val="00F40853"/>
    <w:rsid w:val="00F41267"/>
    <w:rsid w:val="00F4144C"/>
    <w:rsid w:val="00F4158A"/>
    <w:rsid w:val="00F41A27"/>
    <w:rsid w:val="00F41F37"/>
    <w:rsid w:val="00F41FC4"/>
    <w:rsid w:val="00F422FF"/>
    <w:rsid w:val="00F425A5"/>
    <w:rsid w:val="00F425C1"/>
    <w:rsid w:val="00F4288B"/>
    <w:rsid w:val="00F4324A"/>
    <w:rsid w:val="00F434EE"/>
    <w:rsid w:val="00F43588"/>
    <w:rsid w:val="00F436AB"/>
    <w:rsid w:val="00F43993"/>
    <w:rsid w:val="00F43B79"/>
    <w:rsid w:val="00F4429F"/>
    <w:rsid w:val="00F44799"/>
    <w:rsid w:val="00F449A8"/>
    <w:rsid w:val="00F44EA6"/>
    <w:rsid w:val="00F45167"/>
    <w:rsid w:val="00F45A5F"/>
    <w:rsid w:val="00F45C58"/>
    <w:rsid w:val="00F46617"/>
    <w:rsid w:val="00F46629"/>
    <w:rsid w:val="00F468BF"/>
    <w:rsid w:val="00F46CE8"/>
    <w:rsid w:val="00F47715"/>
    <w:rsid w:val="00F5000A"/>
    <w:rsid w:val="00F50586"/>
    <w:rsid w:val="00F5058B"/>
    <w:rsid w:val="00F50E30"/>
    <w:rsid w:val="00F511B3"/>
    <w:rsid w:val="00F51359"/>
    <w:rsid w:val="00F51587"/>
    <w:rsid w:val="00F5171C"/>
    <w:rsid w:val="00F52D18"/>
    <w:rsid w:val="00F52F6D"/>
    <w:rsid w:val="00F5300E"/>
    <w:rsid w:val="00F53168"/>
    <w:rsid w:val="00F5322F"/>
    <w:rsid w:val="00F5333D"/>
    <w:rsid w:val="00F54009"/>
    <w:rsid w:val="00F541C3"/>
    <w:rsid w:val="00F545B7"/>
    <w:rsid w:val="00F54716"/>
    <w:rsid w:val="00F54A90"/>
    <w:rsid w:val="00F54C16"/>
    <w:rsid w:val="00F55258"/>
    <w:rsid w:val="00F55C6C"/>
    <w:rsid w:val="00F572F6"/>
    <w:rsid w:val="00F57878"/>
    <w:rsid w:val="00F57BCA"/>
    <w:rsid w:val="00F57EA9"/>
    <w:rsid w:val="00F613B6"/>
    <w:rsid w:val="00F61698"/>
    <w:rsid w:val="00F62160"/>
    <w:rsid w:val="00F62CC7"/>
    <w:rsid w:val="00F6320D"/>
    <w:rsid w:val="00F6322D"/>
    <w:rsid w:val="00F634BC"/>
    <w:rsid w:val="00F640F8"/>
    <w:rsid w:val="00F642FD"/>
    <w:rsid w:val="00F643D5"/>
    <w:rsid w:val="00F6488E"/>
    <w:rsid w:val="00F64AF0"/>
    <w:rsid w:val="00F64BEE"/>
    <w:rsid w:val="00F64C0A"/>
    <w:rsid w:val="00F64E18"/>
    <w:rsid w:val="00F64F14"/>
    <w:rsid w:val="00F64F64"/>
    <w:rsid w:val="00F65175"/>
    <w:rsid w:val="00F65B2C"/>
    <w:rsid w:val="00F65CEF"/>
    <w:rsid w:val="00F66071"/>
    <w:rsid w:val="00F66136"/>
    <w:rsid w:val="00F66861"/>
    <w:rsid w:val="00F66BF2"/>
    <w:rsid w:val="00F6740C"/>
    <w:rsid w:val="00F67C3F"/>
    <w:rsid w:val="00F67C61"/>
    <w:rsid w:val="00F7055D"/>
    <w:rsid w:val="00F705E0"/>
    <w:rsid w:val="00F70BC4"/>
    <w:rsid w:val="00F7126B"/>
    <w:rsid w:val="00F712DB"/>
    <w:rsid w:val="00F71317"/>
    <w:rsid w:val="00F717C4"/>
    <w:rsid w:val="00F71873"/>
    <w:rsid w:val="00F71D06"/>
    <w:rsid w:val="00F725E5"/>
    <w:rsid w:val="00F72AA4"/>
    <w:rsid w:val="00F7359C"/>
    <w:rsid w:val="00F73659"/>
    <w:rsid w:val="00F737D6"/>
    <w:rsid w:val="00F73CD5"/>
    <w:rsid w:val="00F740A7"/>
    <w:rsid w:val="00F7469E"/>
    <w:rsid w:val="00F746FD"/>
    <w:rsid w:val="00F74966"/>
    <w:rsid w:val="00F75303"/>
    <w:rsid w:val="00F754BA"/>
    <w:rsid w:val="00F754D5"/>
    <w:rsid w:val="00F7587E"/>
    <w:rsid w:val="00F75A79"/>
    <w:rsid w:val="00F760B6"/>
    <w:rsid w:val="00F76116"/>
    <w:rsid w:val="00F772DC"/>
    <w:rsid w:val="00F779AB"/>
    <w:rsid w:val="00F77D7E"/>
    <w:rsid w:val="00F77D84"/>
    <w:rsid w:val="00F80038"/>
    <w:rsid w:val="00F8014D"/>
    <w:rsid w:val="00F801A0"/>
    <w:rsid w:val="00F80424"/>
    <w:rsid w:val="00F807C4"/>
    <w:rsid w:val="00F80F08"/>
    <w:rsid w:val="00F8107A"/>
    <w:rsid w:val="00F818D5"/>
    <w:rsid w:val="00F81953"/>
    <w:rsid w:val="00F81B0F"/>
    <w:rsid w:val="00F81C8E"/>
    <w:rsid w:val="00F81F50"/>
    <w:rsid w:val="00F81FBA"/>
    <w:rsid w:val="00F82AF0"/>
    <w:rsid w:val="00F83221"/>
    <w:rsid w:val="00F8348E"/>
    <w:rsid w:val="00F835E6"/>
    <w:rsid w:val="00F83FCB"/>
    <w:rsid w:val="00F84327"/>
    <w:rsid w:val="00F845CE"/>
    <w:rsid w:val="00F84620"/>
    <w:rsid w:val="00F85965"/>
    <w:rsid w:val="00F8598D"/>
    <w:rsid w:val="00F861C8"/>
    <w:rsid w:val="00F86633"/>
    <w:rsid w:val="00F8673E"/>
    <w:rsid w:val="00F86805"/>
    <w:rsid w:val="00F86BE1"/>
    <w:rsid w:val="00F87086"/>
    <w:rsid w:val="00F870D7"/>
    <w:rsid w:val="00F8751B"/>
    <w:rsid w:val="00F878DC"/>
    <w:rsid w:val="00F87AB1"/>
    <w:rsid w:val="00F90018"/>
    <w:rsid w:val="00F90312"/>
    <w:rsid w:val="00F90318"/>
    <w:rsid w:val="00F9055E"/>
    <w:rsid w:val="00F9088E"/>
    <w:rsid w:val="00F908C8"/>
    <w:rsid w:val="00F908FD"/>
    <w:rsid w:val="00F90A5A"/>
    <w:rsid w:val="00F90E26"/>
    <w:rsid w:val="00F918A8"/>
    <w:rsid w:val="00F919AB"/>
    <w:rsid w:val="00F91E36"/>
    <w:rsid w:val="00F921D9"/>
    <w:rsid w:val="00F925A0"/>
    <w:rsid w:val="00F92659"/>
    <w:rsid w:val="00F93068"/>
    <w:rsid w:val="00F930D2"/>
    <w:rsid w:val="00F939FF"/>
    <w:rsid w:val="00F93F4B"/>
    <w:rsid w:val="00F9425F"/>
    <w:rsid w:val="00F94472"/>
    <w:rsid w:val="00F94523"/>
    <w:rsid w:val="00F94AAF"/>
    <w:rsid w:val="00F94ACD"/>
    <w:rsid w:val="00F94F6F"/>
    <w:rsid w:val="00F953FA"/>
    <w:rsid w:val="00F95CCB"/>
    <w:rsid w:val="00F960B5"/>
    <w:rsid w:val="00F96243"/>
    <w:rsid w:val="00F97BC4"/>
    <w:rsid w:val="00F97C34"/>
    <w:rsid w:val="00F97CA0"/>
    <w:rsid w:val="00FA01E8"/>
    <w:rsid w:val="00FA16D1"/>
    <w:rsid w:val="00FA1929"/>
    <w:rsid w:val="00FA1BE9"/>
    <w:rsid w:val="00FA23FC"/>
    <w:rsid w:val="00FA27AD"/>
    <w:rsid w:val="00FA2FFD"/>
    <w:rsid w:val="00FA3104"/>
    <w:rsid w:val="00FA38E2"/>
    <w:rsid w:val="00FA3A0A"/>
    <w:rsid w:val="00FA3CBD"/>
    <w:rsid w:val="00FA490B"/>
    <w:rsid w:val="00FA5286"/>
    <w:rsid w:val="00FA52DD"/>
    <w:rsid w:val="00FA541E"/>
    <w:rsid w:val="00FA54E0"/>
    <w:rsid w:val="00FA5D06"/>
    <w:rsid w:val="00FA5DB0"/>
    <w:rsid w:val="00FA5ECA"/>
    <w:rsid w:val="00FA5F3E"/>
    <w:rsid w:val="00FA6283"/>
    <w:rsid w:val="00FA672B"/>
    <w:rsid w:val="00FA6869"/>
    <w:rsid w:val="00FA70DF"/>
    <w:rsid w:val="00FA7268"/>
    <w:rsid w:val="00FA72AF"/>
    <w:rsid w:val="00FA7604"/>
    <w:rsid w:val="00FA7A7B"/>
    <w:rsid w:val="00FA7B79"/>
    <w:rsid w:val="00FA7B89"/>
    <w:rsid w:val="00FB0FC9"/>
    <w:rsid w:val="00FB1121"/>
    <w:rsid w:val="00FB149C"/>
    <w:rsid w:val="00FB2654"/>
    <w:rsid w:val="00FB2962"/>
    <w:rsid w:val="00FB2D76"/>
    <w:rsid w:val="00FB2F5D"/>
    <w:rsid w:val="00FB361E"/>
    <w:rsid w:val="00FB380C"/>
    <w:rsid w:val="00FB3EB8"/>
    <w:rsid w:val="00FB451E"/>
    <w:rsid w:val="00FB4FCE"/>
    <w:rsid w:val="00FB510D"/>
    <w:rsid w:val="00FB51B9"/>
    <w:rsid w:val="00FB533E"/>
    <w:rsid w:val="00FB56FA"/>
    <w:rsid w:val="00FB577F"/>
    <w:rsid w:val="00FB5932"/>
    <w:rsid w:val="00FB5966"/>
    <w:rsid w:val="00FB5AB3"/>
    <w:rsid w:val="00FB5B14"/>
    <w:rsid w:val="00FB5F77"/>
    <w:rsid w:val="00FB61BD"/>
    <w:rsid w:val="00FB6935"/>
    <w:rsid w:val="00FB6A21"/>
    <w:rsid w:val="00FC013E"/>
    <w:rsid w:val="00FC0F05"/>
    <w:rsid w:val="00FC0FF6"/>
    <w:rsid w:val="00FC14FC"/>
    <w:rsid w:val="00FC17C2"/>
    <w:rsid w:val="00FC1CDF"/>
    <w:rsid w:val="00FC2777"/>
    <w:rsid w:val="00FC288D"/>
    <w:rsid w:val="00FC348F"/>
    <w:rsid w:val="00FC37F4"/>
    <w:rsid w:val="00FC38CA"/>
    <w:rsid w:val="00FC3DC8"/>
    <w:rsid w:val="00FC4171"/>
    <w:rsid w:val="00FC4AC1"/>
    <w:rsid w:val="00FC4B62"/>
    <w:rsid w:val="00FC4DF6"/>
    <w:rsid w:val="00FC56DE"/>
    <w:rsid w:val="00FC5EE8"/>
    <w:rsid w:val="00FC6502"/>
    <w:rsid w:val="00FC65F5"/>
    <w:rsid w:val="00FC6649"/>
    <w:rsid w:val="00FC6B73"/>
    <w:rsid w:val="00FC6DBC"/>
    <w:rsid w:val="00FC6DD3"/>
    <w:rsid w:val="00FC7079"/>
    <w:rsid w:val="00FC7239"/>
    <w:rsid w:val="00FC72A1"/>
    <w:rsid w:val="00FC76E4"/>
    <w:rsid w:val="00FC7AF2"/>
    <w:rsid w:val="00FC7EBD"/>
    <w:rsid w:val="00FD0CD1"/>
    <w:rsid w:val="00FD0DD2"/>
    <w:rsid w:val="00FD0E43"/>
    <w:rsid w:val="00FD0F44"/>
    <w:rsid w:val="00FD14DC"/>
    <w:rsid w:val="00FD1BDB"/>
    <w:rsid w:val="00FD1DFD"/>
    <w:rsid w:val="00FD1F57"/>
    <w:rsid w:val="00FD287B"/>
    <w:rsid w:val="00FD2899"/>
    <w:rsid w:val="00FD2BEF"/>
    <w:rsid w:val="00FD2E35"/>
    <w:rsid w:val="00FD46EA"/>
    <w:rsid w:val="00FD4B23"/>
    <w:rsid w:val="00FD4C7C"/>
    <w:rsid w:val="00FD53C2"/>
    <w:rsid w:val="00FD546C"/>
    <w:rsid w:val="00FD54F8"/>
    <w:rsid w:val="00FD5BD5"/>
    <w:rsid w:val="00FD5D13"/>
    <w:rsid w:val="00FD5E0C"/>
    <w:rsid w:val="00FD62A1"/>
    <w:rsid w:val="00FD70E3"/>
    <w:rsid w:val="00FD741A"/>
    <w:rsid w:val="00FD7578"/>
    <w:rsid w:val="00FD77DB"/>
    <w:rsid w:val="00FD7E31"/>
    <w:rsid w:val="00FE0301"/>
    <w:rsid w:val="00FE06FA"/>
    <w:rsid w:val="00FE0D00"/>
    <w:rsid w:val="00FE0F3F"/>
    <w:rsid w:val="00FE0F51"/>
    <w:rsid w:val="00FE19E7"/>
    <w:rsid w:val="00FE435F"/>
    <w:rsid w:val="00FE46EA"/>
    <w:rsid w:val="00FE478B"/>
    <w:rsid w:val="00FE4BAD"/>
    <w:rsid w:val="00FE4E4E"/>
    <w:rsid w:val="00FE4F2B"/>
    <w:rsid w:val="00FE51AD"/>
    <w:rsid w:val="00FE55B4"/>
    <w:rsid w:val="00FE58DC"/>
    <w:rsid w:val="00FE5E14"/>
    <w:rsid w:val="00FE5F69"/>
    <w:rsid w:val="00FE6944"/>
    <w:rsid w:val="00FE6D40"/>
    <w:rsid w:val="00FE6F52"/>
    <w:rsid w:val="00FE7093"/>
    <w:rsid w:val="00FE7A62"/>
    <w:rsid w:val="00FE7BAF"/>
    <w:rsid w:val="00FE7E10"/>
    <w:rsid w:val="00FF0113"/>
    <w:rsid w:val="00FF0924"/>
    <w:rsid w:val="00FF0C6E"/>
    <w:rsid w:val="00FF0D78"/>
    <w:rsid w:val="00FF0DC0"/>
    <w:rsid w:val="00FF0E5D"/>
    <w:rsid w:val="00FF1322"/>
    <w:rsid w:val="00FF144A"/>
    <w:rsid w:val="00FF15F3"/>
    <w:rsid w:val="00FF1C05"/>
    <w:rsid w:val="00FF203D"/>
    <w:rsid w:val="00FF2823"/>
    <w:rsid w:val="00FF2A1E"/>
    <w:rsid w:val="00FF2D0F"/>
    <w:rsid w:val="00FF2F57"/>
    <w:rsid w:val="00FF3808"/>
    <w:rsid w:val="00FF3F7E"/>
    <w:rsid w:val="00FF4538"/>
    <w:rsid w:val="00FF4DBF"/>
    <w:rsid w:val="00FF4F69"/>
    <w:rsid w:val="00FF5280"/>
    <w:rsid w:val="00FF563E"/>
    <w:rsid w:val="00FF566B"/>
    <w:rsid w:val="00FF60E6"/>
    <w:rsid w:val="00FF6899"/>
    <w:rsid w:val="00FF68E4"/>
    <w:rsid w:val="00FF6C4E"/>
    <w:rsid w:val="00FF731F"/>
    <w:rsid w:val="00FF7403"/>
    <w:rsid w:val="00FF75B7"/>
    <w:rsid w:val="00FF76EF"/>
    <w:rsid w:val="2A16DE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4D"/>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C104D"/>
    <w:pPr>
      <w:keepNext/>
      <w:spacing w:before="140" w:line="240" w:lineRule="atLeast"/>
      <w:jc w:val="center"/>
      <w:outlineLvl w:val="0"/>
    </w:pPr>
    <w:rPr>
      <w:b/>
      <w:smallCaps/>
    </w:rPr>
  </w:style>
  <w:style w:type="paragraph" w:styleId="Heading2">
    <w:name w:val="heading 2"/>
    <w:basedOn w:val="Normal"/>
    <w:next w:val="Normal"/>
    <w:qFormat/>
    <w:rsid w:val="00DC104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DC104D"/>
    <w:pPr>
      <w:keepNext/>
      <w:tabs>
        <w:tab w:val="left" w:pos="1584"/>
      </w:tabs>
      <w:spacing w:before="140" w:line="240" w:lineRule="atLeast"/>
      <w:ind w:left="1584" w:hanging="432"/>
      <w:jc w:val="left"/>
      <w:outlineLvl w:val="2"/>
    </w:pPr>
    <w:rPr>
      <w:i/>
    </w:rPr>
  </w:style>
  <w:style w:type="paragraph" w:styleId="Heading4">
    <w:name w:val="heading 4"/>
    <w:basedOn w:val="Normal"/>
    <w:rsid w:val="00DC104D"/>
    <w:pPr>
      <w:keepNext/>
      <w:tabs>
        <w:tab w:val="left" w:pos="2016"/>
      </w:tabs>
      <w:spacing w:before="140" w:line="240" w:lineRule="atLeast"/>
      <w:ind w:left="2016" w:hanging="432"/>
      <w:jc w:val="left"/>
      <w:outlineLvl w:val="3"/>
    </w:pPr>
    <w:rPr>
      <w:i/>
    </w:rPr>
  </w:style>
  <w:style w:type="paragraph" w:styleId="Heading5">
    <w:name w:val="heading 5"/>
    <w:basedOn w:val="Normal"/>
    <w:rsid w:val="00DC104D"/>
    <w:pPr>
      <w:keepNext/>
      <w:tabs>
        <w:tab w:val="left" w:pos="2448"/>
      </w:tabs>
      <w:spacing w:before="140" w:line="240" w:lineRule="atLeast"/>
      <w:ind w:left="2448" w:hanging="432"/>
      <w:jc w:val="left"/>
      <w:outlineLvl w:val="4"/>
    </w:pPr>
    <w:rPr>
      <w:i/>
    </w:rPr>
  </w:style>
  <w:style w:type="paragraph" w:styleId="Heading7">
    <w:name w:val="heading 7"/>
    <w:basedOn w:val="Normal"/>
    <w:next w:val="Normal"/>
    <w:link w:val="Heading7Char"/>
    <w:uiPriority w:val="9"/>
    <w:semiHidden/>
    <w:unhideWhenUsed/>
    <w:qFormat/>
    <w:rsid w:val="00E67AC8"/>
    <w:pPr>
      <w:spacing w:before="240" w:after="60"/>
      <w:outlineLvl w:val="6"/>
    </w:pPr>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C104D"/>
    <w:pPr>
      <w:ind w:left="720"/>
    </w:pPr>
  </w:style>
  <w:style w:type="paragraph" w:styleId="Footer">
    <w:name w:val="footer"/>
    <w:basedOn w:val="Normal"/>
    <w:link w:val="FooterChar"/>
    <w:qFormat/>
    <w:rsid w:val="00DC104D"/>
    <w:pPr>
      <w:tabs>
        <w:tab w:val="center" w:pos="3960"/>
        <w:tab w:val="right" w:pos="10080"/>
      </w:tabs>
      <w:spacing w:after="0" w:line="240" w:lineRule="auto"/>
      <w:jc w:val="center"/>
    </w:pPr>
    <w:rPr>
      <w:sz w:val="22"/>
    </w:rPr>
  </w:style>
  <w:style w:type="paragraph" w:styleId="Header">
    <w:name w:val="header"/>
    <w:basedOn w:val="Normal"/>
    <w:qFormat/>
    <w:rsid w:val="00DC104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C104D"/>
    <w:rPr>
      <w:rFonts w:ascii="Century Schoolbook" w:hAnsi="Century Schoolbook"/>
      <w:b/>
      <w:i w:val="0"/>
      <w:position w:val="4"/>
      <w:sz w:val="27"/>
      <w:vertAlign w:val="superscript"/>
    </w:rPr>
  </w:style>
  <w:style w:type="paragraph" w:styleId="FootnoteText">
    <w:name w:val="footnote text"/>
    <w:basedOn w:val="Normal"/>
    <w:link w:val="FootnoteTextChar"/>
    <w:rsid w:val="00DC104D"/>
    <w:pPr>
      <w:spacing w:line="300" w:lineRule="exact"/>
    </w:pPr>
  </w:style>
  <w:style w:type="paragraph" w:customStyle="1" w:styleId="Title1">
    <w:name w:val="Title1"/>
    <w:basedOn w:val="Normal"/>
    <w:rsid w:val="00DC104D"/>
    <w:pPr>
      <w:tabs>
        <w:tab w:val="left" w:pos="5760"/>
        <w:tab w:val="left" w:pos="6480"/>
      </w:tabs>
      <w:spacing w:line="240" w:lineRule="atLeast"/>
    </w:pPr>
  </w:style>
  <w:style w:type="paragraph" w:customStyle="1" w:styleId="Recommend">
    <w:name w:val="Recommend"/>
    <w:basedOn w:val="Normal"/>
    <w:rsid w:val="00DC104D"/>
  </w:style>
  <w:style w:type="paragraph" w:customStyle="1" w:styleId="Summary">
    <w:name w:val="Summary"/>
    <w:basedOn w:val="Normal"/>
    <w:rsid w:val="00DC104D"/>
    <w:pPr>
      <w:ind w:left="2160" w:hanging="2160"/>
    </w:pPr>
  </w:style>
  <w:style w:type="paragraph" w:customStyle="1" w:styleId="Text">
    <w:name w:val="Text"/>
    <w:basedOn w:val="Normal"/>
    <w:rsid w:val="00DC104D"/>
    <w:pPr>
      <w:tabs>
        <w:tab w:val="left" w:pos="720"/>
        <w:tab w:val="left" w:pos="1440"/>
        <w:tab w:val="left" w:pos="2160"/>
        <w:tab w:val="center" w:pos="4320"/>
      </w:tabs>
      <w:spacing w:line="480" w:lineRule="atLeast"/>
      <w:ind w:firstLine="540"/>
    </w:pPr>
  </w:style>
  <w:style w:type="paragraph" w:styleId="Date">
    <w:name w:val="Date"/>
    <w:basedOn w:val="Normal"/>
    <w:semiHidden/>
    <w:rsid w:val="00DC104D"/>
    <w:pPr>
      <w:jc w:val="right"/>
    </w:pPr>
  </w:style>
  <w:style w:type="character" w:styleId="PageNumber">
    <w:name w:val="page number"/>
    <w:basedOn w:val="DefaultParagraphFont"/>
    <w:semiHidden/>
    <w:rsid w:val="00DC104D"/>
  </w:style>
  <w:style w:type="paragraph" w:customStyle="1" w:styleId="subject">
    <w:name w:val="subject"/>
    <w:basedOn w:val="Normal"/>
    <w:rsid w:val="00DC104D"/>
    <w:pPr>
      <w:tabs>
        <w:tab w:val="left" w:pos="1008"/>
      </w:tabs>
      <w:ind w:left="990" w:hanging="990"/>
    </w:pPr>
    <w:rPr>
      <w:b/>
    </w:rPr>
  </w:style>
  <w:style w:type="paragraph" w:customStyle="1" w:styleId="Titles">
    <w:name w:val="Titles"/>
    <w:basedOn w:val="Normal"/>
    <w:rsid w:val="00DC104D"/>
    <w:pPr>
      <w:tabs>
        <w:tab w:val="left" w:pos="2160"/>
      </w:tabs>
      <w:ind w:left="2160" w:hanging="2160"/>
    </w:pPr>
    <w:rPr>
      <w:b/>
    </w:rPr>
  </w:style>
  <w:style w:type="paragraph" w:styleId="TOAHeading">
    <w:name w:val="toa heading"/>
    <w:basedOn w:val="Normal"/>
    <w:next w:val="Normal"/>
    <w:semiHidden/>
    <w:rsid w:val="00DC104D"/>
    <w:pPr>
      <w:spacing w:before="120"/>
    </w:pPr>
    <w:rPr>
      <w:b/>
    </w:rPr>
  </w:style>
  <w:style w:type="paragraph" w:styleId="TOC1">
    <w:name w:val="toc 1"/>
    <w:basedOn w:val="Normal"/>
    <w:next w:val="Normal"/>
    <w:autoRedefine/>
    <w:rsid w:val="00DC104D"/>
  </w:style>
  <w:style w:type="paragraph" w:styleId="TOC2">
    <w:name w:val="toc 2"/>
    <w:basedOn w:val="Normal"/>
    <w:next w:val="Normal"/>
    <w:autoRedefine/>
    <w:rsid w:val="00DC104D"/>
    <w:pPr>
      <w:ind w:left="259"/>
    </w:pPr>
  </w:style>
  <w:style w:type="paragraph" w:styleId="TOC3">
    <w:name w:val="toc 3"/>
    <w:basedOn w:val="Normal"/>
    <w:next w:val="Normal"/>
    <w:autoRedefine/>
    <w:rsid w:val="00DC104D"/>
    <w:pPr>
      <w:ind w:left="520"/>
    </w:pPr>
  </w:style>
  <w:style w:type="paragraph" w:styleId="TOC4">
    <w:name w:val="toc 4"/>
    <w:basedOn w:val="Normal"/>
    <w:next w:val="Normal"/>
    <w:autoRedefine/>
    <w:rsid w:val="00DC104D"/>
    <w:pPr>
      <w:ind w:left="780"/>
    </w:pPr>
  </w:style>
  <w:style w:type="paragraph" w:styleId="TOC5">
    <w:name w:val="toc 5"/>
    <w:basedOn w:val="Normal"/>
    <w:next w:val="Normal"/>
    <w:autoRedefine/>
    <w:semiHidden/>
    <w:rsid w:val="00DC104D"/>
    <w:pPr>
      <w:ind w:left="1040"/>
    </w:pPr>
  </w:style>
  <w:style w:type="paragraph" w:styleId="TOC6">
    <w:name w:val="toc 6"/>
    <w:basedOn w:val="Normal"/>
    <w:next w:val="Normal"/>
    <w:autoRedefine/>
    <w:semiHidden/>
    <w:rsid w:val="00DC104D"/>
    <w:pPr>
      <w:ind w:left="1300"/>
    </w:pPr>
  </w:style>
  <w:style w:type="paragraph" w:styleId="TOC7">
    <w:name w:val="toc 7"/>
    <w:basedOn w:val="Normal"/>
    <w:next w:val="Normal"/>
    <w:autoRedefine/>
    <w:semiHidden/>
    <w:rsid w:val="00DC104D"/>
    <w:pPr>
      <w:ind w:left="1560"/>
    </w:pPr>
  </w:style>
  <w:style w:type="paragraph" w:styleId="TOC8">
    <w:name w:val="toc 8"/>
    <w:basedOn w:val="Normal"/>
    <w:next w:val="Normal"/>
    <w:autoRedefine/>
    <w:semiHidden/>
    <w:rsid w:val="00DC104D"/>
    <w:pPr>
      <w:ind w:left="1820"/>
    </w:pPr>
  </w:style>
  <w:style w:type="paragraph" w:styleId="TOC9">
    <w:name w:val="toc 9"/>
    <w:basedOn w:val="Normal"/>
    <w:next w:val="Normal"/>
    <w:autoRedefine/>
    <w:semiHidden/>
    <w:rsid w:val="00DC104D"/>
    <w:pPr>
      <w:ind w:left="2080"/>
    </w:pPr>
  </w:style>
  <w:style w:type="paragraph" w:customStyle="1" w:styleId="Contents">
    <w:name w:val="Contents"/>
    <w:basedOn w:val="Normal"/>
    <w:rsid w:val="00DC104D"/>
    <w:pPr>
      <w:jc w:val="center"/>
    </w:pPr>
    <w:rPr>
      <w:b/>
      <w:spacing w:val="100"/>
    </w:rPr>
  </w:style>
  <w:style w:type="character" w:customStyle="1" w:styleId="FootnoteTextChar">
    <w:name w:val="Footnote Text Char"/>
    <w:basedOn w:val="DefaultParagraphFont"/>
    <w:link w:val="FootnoteText"/>
    <w:rsid w:val="00CF0761"/>
    <w:rPr>
      <w:rFonts w:ascii="Century Schoolbook" w:hAnsi="Century Schoolbook"/>
      <w:sz w:val="27"/>
    </w:rPr>
  </w:style>
  <w:style w:type="character" w:customStyle="1" w:styleId="Heading1Char">
    <w:name w:val="Heading 1 Char"/>
    <w:basedOn w:val="DefaultParagraphFont"/>
    <w:link w:val="Heading1"/>
    <w:rsid w:val="00FB2D76"/>
    <w:rPr>
      <w:rFonts w:ascii="Century Schoolbook" w:hAnsi="Century Schoolbook"/>
      <w:b/>
      <w:smallCaps/>
      <w:sz w:val="27"/>
    </w:rPr>
  </w:style>
  <w:style w:type="character" w:customStyle="1" w:styleId="Heading3Char">
    <w:name w:val="Heading 3 Char"/>
    <w:basedOn w:val="DefaultParagraphFont"/>
    <w:link w:val="Heading3"/>
    <w:rsid w:val="00B95953"/>
    <w:rPr>
      <w:rFonts w:ascii="Century Schoolbook" w:hAnsi="Century Schoolbook"/>
      <w:i/>
      <w:sz w:val="27"/>
    </w:rPr>
  </w:style>
  <w:style w:type="character" w:styleId="Hyperlink">
    <w:name w:val="Hyperlink"/>
    <w:basedOn w:val="DefaultParagraphFont"/>
    <w:uiPriority w:val="99"/>
    <w:unhideWhenUsed/>
    <w:rsid w:val="002B7A42"/>
    <w:rPr>
      <w:color w:val="0000FF" w:themeColor="hyperlink"/>
      <w:u w:val="single"/>
    </w:rPr>
  </w:style>
  <w:style w:type="character" w:customStyle="1" w:styleId="UnresolvedMention1">
    <w:name w:val="Unresolved Mention1"/>
    <w:basedOn w:val="DefaultParagraphFont"/>
    <w:uiPriority w:val="99"/>
    <w:semiHidden/>
    <w:unhideWhenUsed/>
    <w:rsid w:val="002B7A42"/>
    <w:rPr>
      <w:color w:val="605E5C"/>
      <w:shd w:val="clear" w:color="auto" w:fill="E1DFDD"/>
    </w:rPr>
  </w:style>
  <w:style w:type="paragraph" w:customStyle="1" w:styleId="Style2">
    <w:name w:val="Style2"/>
    <w:basedOn w:val="Normal"/>
    <w:qFormat/>
    <w:rsid w:val="00215739"/>
    <w:rPr>
      <w:rFonts w:asciiTheme="minorHAnsi" w:eastAsiaTheme="minorHAnsi" w:hAnsiTheme="minorHAnsi"/>
      <w:i/>
      <w:szCs w:val="24"/>
    </w:rPr>
  </w:style>
  <w:style w:type="paragraph" w:customStyle="1" w:styleId="Style4">
    <w:name w:val="Style4"/>
    <w:basedOn w:val="Normal"/>
    <w:qFormat/>
    <w:rsid w:val="00215739"/>
    <w:pPr>
      <w:keepNext/>
      <w:keepLines/>
      <w:spacing w:before="40"/>
      <w:outlineLvl w:val="4"/>
    </w:pPr>
    <w:rPr>
      <w:rFonts w:eastAsiaTheme="majorEastAsia" w:cstheme="majorBidi"/>
      <w:i/>
      <w:szCs w:val="24"/>
    </w:rPr>
  </w:style>
  <w:style w:type="paragraph" w:styleId="TOCHeading">
    <w:name w:val="TOC Heading"/>
    <w:basedOn w:val="Heading1"/>
    <w:next w:val="Normal"/>
    <w:uiPriority w:val="39"/>
    <w:unhideWhenUsed/>
    <w:qFormat/>
    <w:rsid w:val="002E3223"/>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Revision">
    <w:name w:val="Revision"/>
    <w:hidden/>
    <w:uiPriority w:val="99"/>
    <w:semiHidden/>
    <w:rsid w:val="00420146"/>
    <w:rPr>
      <w:sz w:val="26"/>
    </w:rPr>
  </w:style>
  <w:style w:type="character" w:styleId="CommentReference">
    <w:name w:val="annotation reference"/>
    <w:basedOn w:val="DefaultParagraphFont"/>
    <w:uiPriority w:val="99"/>
    <w:semiHidden/>
    <w:unhideWhenUsed/>
    <w:rsid w:val="00080246"/>
    <w:rPr>
      <w:sz w:val="16"/>
      <w:szCs w:val="16"/>
    </w:rPr>
  </w:style>
  <w:style w:type="paragraph" w:styleId="CommentText">
    <w:name w:val="annotation text"/>
    <w:basedOn w:val="Normal"/>
    <w:link w:val="CommentTextChar"/>
    <w:uiPriority w:val="99"/>
    <w:unhideWhenUsed/>
    <w:rsid w:val="00080246"/>
    <w:rPr>
      <w:sz w:val="20"/>
    </w:rPr>
  </w:style>
  <w:style w:type="character" w:customStyle="1" w:styleId="CommentTextChar">
    <w:name w:val="Comment Text Char"/>
    <w:basedOn w:val="DefaultParagraphFont"/>
    <w:link w:val="CommentText"/>
    <w:uiPriority w:val="99"/>
    <w:rsid w:val="00080246"/>
  </w:style>
  <w:style w:type="paragraph" w:styleId="CommentSubject">
    <w:name w:val="annotation subject"/>
    <w:basedOn w:val="CommentText"/>
    <w:next w:val="CommentText"/>
    <w:link w:val="CommentSubjectChar"/>
    <w:uiPriority w:val="99"/>
    <w:semiHidden/>
    <w:unhideWhenUsed/>
    <w:rsid w:val="00080246"/>
    <w:rPr>
      <w:b/>
      <w:bCs/>
    </w:rPr>
  </w:style>
  <w:style w:type="character" w:customStyle="1" w:styleId="CommentSubjectChar">
    <w:name w:val="Comment Subject Char"/>
    <w:basedOn w:val="CommentTextChar"/>
    <w:link w:val="CommentSubject"/>
    <w:uiPriority w:val="99"/>
    <w:semiHidden/>
    <w:rsid w:val="00080246"/>
    <w:rPr>
      <w:b/>
      <w:bCs/>
    </w:rPr>
  </w:style>
  <w:style w:type="paragraph" w:styleId="ListParagraph">
    <w:name w:val="List Paragraph"/>
    <w:basedOn w:val="Normal"/>
    <w:uiPriority w:val="34"/>
    <w:qFormat/>
    <w:rsid w:val="00797093"/>
    <w:pPr>
      <w:ind w:left="720"/>
      <w:contextualSpacing/>
    </w:pPr>
  </w:style>
  <w:style w:type="paragraph" w:styleId="Title">
    <w:name w:val="Title"/>
    <w:basedOn w:val="Normal"/>
    <w:next w:val="Normal"/>
    <w:link w:val="TitleChar"/>
    <w:uiPriority w:val="10"/>
    <w:qFormat/>
    <w:rsid w:val="004F77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7764"/>
    <w:rPr>
      <w:rFonts w:asciiTheme="majorHAnsi" w:eastAsiaTheme="majorEastAsia" w:hAnsiTheme="majorHAnsi"/>
      <w:b/>
      <w:bCs/>
      <w:kern w:val="28"/>
      <w:sz w:val="32"/>
      <w:szCs w:val="32"/>
    </w:rPr>
  </w:style>
  <w:style w:type="paragraph" w:styleId="PlainText">
    <w:name w:val="Plain Text"/>
    <w:basedOn w:val="Normal"/>
    <w:link w:val="PlainTextChar"/>
    <w:uiPriority w:val="99"/>
    <w:semiHidden/>
    <w:unhideWhenUsed/>
    <w:rsid w:val="00DA28CB"/>
    <w:rPr>
      <w:rFonts w:ascii="Consolas" w:hAnsi="Consolas"/>
      <w:sz w:val="21"/>
      <w:szCs w:val="21"/>
    </w:rPr>
  </w:style>
  <w:style w:type="character" w:customStyle="1" w:styleId="PlainTextChar">
    <w:name w:val="Plain Text Char"/>
    <w:basedOn w:val="DefaultParagraphFont"/>
    <w:link w:val="PlainText"/>
    <w:uiPriority w:val="99"/>
    <w:semiHidden/>
    <w:rsid w:val="00DA28CB"/>
    <w:rPr>
      <w:rFonts w:ascii="Consolas" w:hAnsi="Consolas"/>
      <w:sz w:val="21"/>
      <w:szCs w:val="21"/>
    </w:rPr>
  </w:style>
  <w:style w:type="character" w:customStyle="1" w:styleId="FooterChar">
    <w:name w:val="Footer Char"/>
    <w:basedOn w:val="DefaultParagraphFont"/>
    <w:link w:val="Footer"/>
    <w:rsid w:val="00056548"/>
    <w:rPr>
      <w:rFonts w:ascii="Century Schoolbook" w:hAnsi="Century Schoolbook"/>
      <w:sz w:val="22"/>
    </w:rPr>
  </w:style>
  <w:style w:type="character" w:customStyle="1" w:styleId="Heading7Char">
    <w:name w:val="Heading 7 Char"/>
    <w:basedOn w:val="DefaultParagraphFont"/>
    <w:link w:val="Heading7"/>
    <w:uiPriority w:val="9"/>
    <w:semiHidden/>
    <w:rsid w:val="00E67AC8"/>
    <w:rPr>
      <w:rFonts w:asciiTheme="minorHAnsi" w:eastAsiaTheme="minorHAnsi" w:hAnsiTheme="minorHAnsi"/>
      <w:sz w:val="24"/>
      <w:szCs w:val="24"/>
    </w:rPr>
  </w:style>
  <w:style w:type="paragraph" w:styleId="BodyText">
    <w:name w:val="Body Text"/>
    <w:basedOn w:val="Normal"/>
    <w:link w:val="BodyTextChar"/>
    <w:qFormat/>
    <w:rsid w:val="00DC104D"/>
  </w:style>
  <w:style w:type="character" w:customStyle="1" w:styleId="BodyTextChar">
    <w:name w:val="Body Text Char"/>
    <w:basedOn w:val="DefaultParagraphFont"/>
    <w:link w:val="BodyText"/>
    <w:rsid w:val="00DC104D"/>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BDCA-DACF-47EB-AC64-913248AF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2024-06-06T16:24:13Z</dcterms:created>
  <dcterms:modified xsi:type="dcterms:W3CDTF">2024-06-06T16:24:13Z</dcterms:modified>
</cp:coreProperties>
</file>