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400DD7" w:rsidP="00A9236E" w14:paraId="22B02F88" w14:textId="615066C8">
      <w:pPr>
        <w:spacing w:after="0"/>
        <w:jc w:val="center"/>
        <w:rPr>
          <w:sz w:val="36"/>
        </w:rPr>
      </w:pPr>
      <w:bookmarkStart w:id="0" w:name="MarkDocLoc"/>
      <w:bookmarkEnd w:id="0"/>
      <w:r>
        <w:rPr>
          <w:b/>
          <w:sz w:val="36"/>
        </w:rPr>
        <w:t>IN THE SUPREME COURT OF CALIFORNIA</w:t>
      </w:r>
    </w:p>
    <w:p w:rsidR="00916187" w:rsidP="00A9236E" w14:paraId="1273A9E5" w14:textId="77777777">
      <w:pPr>
        <w:spacing w:after="0"/>
        <w:jc w:val="center"/>
      </w:pPr>
    </w:p>
    <w:p w:rsidR="00AD6330" w:rsidP="00A9236E" w14:paraId="30BFB28B" w14:textId="45314FA5">
      <w:pPr>
        <w:spacing w:after="0"/>
        <w:jc w:val="center"/>
      </w:pPr>
      <w:r>
        <w:t>THE PEOPLE,</w:t>
      </w:r>
    </w:p>
    <w:p w:rsidR="00AD6330" w:rsidP="00A9236E" w14:paraId="360C6B15" w14:textId="47922297">
      <w:pPr>
        <w:spacing w:after="0"/>
        <w:jc w:val="center"/>
      </w:pPr>
      <w:r>
        <w:t>Plaintiff and Respondent</w:t>
      </w:r>
      <w:r w:rsidR="00916187">
        <w:t>,</w:t>
      </w:r>
    </w:p>
    <w:p w:rsidR="00AD6330" w:rsidP="00A9236E" w14:paraId="3B07937A" w14:textId="2CB176BA">
      <w:pPr>
        <w:spacing w:after="0"/>
        <w:jc w:val="center"/>
      </w:pPr>
      <w:r>
        <w:t>v.</w:t>
      </w:r>
    </w:p>
    <w:p w:rsidR="00AD6330" w:rsidP="00A9236E" w14:paraId="2A69C1F7" w14:textId="0C987861">
      <w:pPr>
        <w:spacing w:after="0"/>
        <w:jc w:val="center"/>
      </w:pPr>
      <w:r>
        <w:t>MAURICE WALKER,</w:t>
      </w:r>
    </w:p>
    <w:p w:rsidR="00AD6330" w:rsidP="00A9236E" w14:paraId="2F0BC0FB" w14:textId="70B649AB">
      <w:pPr>
        <w:spacing w:after="0"/>
        <w:jc w:val="center"/>
      </w:pPr>
      <w:r>
        <w:t>Defendant and Appellant.</w:t>
      </w:r>
    </w:p>
    <w:p w:rsidR="00AD6330" w:rsidP="00A9236E" w14:paraId="1268CD19" w14:textId="77777777">
      <w:pPr>
        <w:spacing w:after="0"/>
        <w:jc w:val="center"/>
      </w:pPr>
    </w:p>
    <w:p w:rsidR="00AD6330" w:rsidP="00A9236E" w14:paraId="2733C3ED" w14:textId="07F01DA3">
      <w:pPr>
        <w:spacing w:after="0"/>
        <w:jc w:val="center"/>
      </w:pPr>
      <w:r>
        <w:t>S278309</w:t>
      </w:r>
    </w:p>
    <w:p w:rsidR="00AD6330" w:rsidP="00A9236E" w14:paraId="2008A951" w14:textId="77777777">
      <w:pPr>
        <w:spacing w:after="0"/>
        <w:jc w:val="center"/>
      </w:pPr>
    </w:p>
    <w:p w:rsidR="00AD6330" w:rsidP="00A9236E" w14:paraId="495672E1" w14:textId="1481EF4B">
      <w:pPr>
        <w:spacing w:after="0"/>
        <w:jc w:val="center"/>
      </w:pPr>
      <w:r>
        <w:t>Second Appellate District, Division Two</w:t>
      </w:r>
    </w:p>
    <w:p w:rsidR="00AD6330" w:rsidP="00A9236E" w14:paraId="58EF8202" w14:textId="2B2FAA87">
      <w:pPr>
        <w:spacing w:after="0"/>
        <w:jc w:val="center"/>
      </w:pPr>
      <w:r>
        <w:t>B319961</w:t>
      </w:r>
    </w:p>
    <w:p w:rsidR="00AD6330" w:rsidP="00A9236E" w14:paraId="7F87B06F" w14:textId="77777777">
      <w:pPr>
        <w:spacing w:after="0"/>
        <w:jc w:val="center"/>
      </w:pPr>
    </w:p>
    <w:p w:rsidR="00AD6330" w:rsidP="00A9236E" w14:paraId="7B781F32" w14:textId="32798649">
      <w:pPr>
        <w:spacing w:after="0"/>
        <w:jc w:val="center"/>
      </w:pPr>
      <w:r>
        <w:t>Los Angeles County Superior Court</w:t>
      </w:r>
    </w:p>
    <w:p w:rsidR="00AD6330" w:rsidP="00A9236E" w14:paraId="05C09497" w14:textId="01CC7F19">
      <w:pPr>
        <w:spacing w:after="0"/>
        <w:jc w:val="center"/>
      </w:pPr>
      <w:r>
        <w:t>BA398731</w:t>
      </w:r>
    </w:p>
    <w:p w:rsidR="00AD6330" w:rsidP="00AD6330" w14:paraId="277BA775" w14:textId="77777777">
      <w:pPr>
        <w:pBdr>
          <w:bottom w:val="single" w:sz="4" w:space="1" w:color="auto"/>
        </w:pBdr>
        <w:spacing w:after="0"/>
        <w:jc w:val="center"/>
      </w:pPr>
    </w:p>
    <w:p w:rsidR="00AD6330" w:rsidP="00A9236E" w14:paraId="57DD7F7F" w14:textId="77777777">
      <w:pPr>
        <w:spacing w:after="0"/>
        <w:jc w:val="center"/>
      </w:pPr>
    </w:p>
    <w:p w:rsidR="00AD6330" w:rsidP="00A9236E" w14:paraId="7950F487" w14:textId="2F3E56BA">
      <w:pPr>
        <w:spacing w:after="0"/>
        <w:jc w:val="center"/>
      </w:pPr>
      <w:r>
        <w:t>August 1</w:t>
      </w:r>
      <w:r w:rsidR="00BB0673">
        <w:t>5</w:t>
      </w:r>
      <w:r>
        <w:t>, 2024</w:t>
      </w:r>
    </w:p>
    <w:p w:rsidR="00AD6330" w:rsidP="00A9236E" w14:paraId="1903A990" w14:textId="77777777">
      <w:pPr>
        <w:spacing w:after="0"/>
        <w:jc w:val="center"/>
      </w:pPr>
    </w:p>
    <w:p w:rsidR="00AD6330" w:rsidP="00A9236E" w14:paraId="7E73F488" w14:textId="72135E59">
      <w:pPr>
        <w:spacing w:after="0"/>
        <w:jc w:val="left"/>
      </w:pPr>
      <w:r>
        <w:t>Justice Groban authored the opinion of t</w:t>
      </w:r>
      <w:r w:rsidR="00916187">
        <w:t>he</w:t>
      </w:r>
      <w:r>
        <w:t xml:space="preserve"> </w:t>
      </w:r>
      <w:r w:rsidR="00916187">
        <w:t>C</w:t>
      </w:r>
      <w:r>
        <w:t>ourt</w:t>
      </w:r>
      <w:r w:rsidR="00916187">
        <w:t>,</w:t>
      </w:r>
      <w:r>
        <w:t xml:space="preserve"> in which </w:t>
      </w:r>
      <w:r w:rsidR="00BB0673">
        <w:rPr>
          <w:szCs w:val="27"/>
        </w:rPr>
        <w:t>Chief Justice Guerrero and Justices Liu, Kruger, Jenkins,</w:t>
      </w:r>
      <w:r w:rsidR="00BB0673">
        <w:t xml:space="preserve"> and </w:t>
      </w:r>
      <w:r w:rsidR="00BB0673">
        <w:rPr>
          <w:szCs w:val="27"/>
        </w:rPr>
        <w:t>Evans</w:t>
      </w:r>
      <w:r w:rsidRPr="00A25E48" w:rsidR="00BB0673">
        <w:t xml:space="preserve"> </w:t>
      </w:r>
      <w:r>
        <w:t>concurred.</w:t>
      </w:r>
    </w:p>
    <w:p w:rsidR="00BB0673" w:rsidP="00A9236E" w14:paraId="02B09BC3" w14:textId="77777777">
      <w:pPr>
        <w:spacing w:after="0"/>
        <w:jc w:val="left"/>
      </w:pPr>
    </w:p>
    <w:p w:rsidR="00AD6330" w:rsidP="00BB0673" w14:paraId="333C1091" w14:textId="6B742F32">
      <w:pPr>
        <w:spacing w:after="0"/>
        <w:jc w:val="left"/>
      </w:pPr>
      <w:r>
        <w:t>Justice Corrigan filed a concurring opinion.</w:t>
      </w:r>
    </w:p>
    <w:p w:rsidR="00AD6330" w:rsidRPr="00AD6330" w:rsidP="00A9236E" w14:paraId="19537CA1" w14:textId="77777777">
      <w:pPr>
        <w:pBdr>
          <w:bottom w:val="single" w:sz="4" w:space="1" w:color="auto"/>
        </w:pBdr>
        <w:jc w:val="left"/>
      </w:pPr>
      <w:bookmarkStart w:id="1" w:name="Return"/>
      <w:bookmarkEnd w:id="1"/>
    </w:p>
    <w:p w:rsidR="00AD6330" w14:paraId="1793DDC9" w14:textId="77777777">
      <w:pPr>
        <w:sectPr w:rsidSect="00A9236E">
          <w:headerReference w:type="default" r:id="rId7"/>
          <w:footerReference w:type="default" r:id="rId8"/>
          <w:headerReference w:type="first" r:id="rId9"/>
          <w:pgSz w:w="12240" w:h="15840"/>
          <w:pgMar w:top="1800" w:right="2160" w:bottom="1440" w:left="2160" w:header="720" w:footer="720" w:gutter="0"/>
          <w:cols w:space="720"/>
          <w:titlePg/>
          <w:docGrid w:linePitch="367"/>
        </w:sectPr>
      </w:pPr>
    </w:p>
    <w:p w:rsidR="00AD6330" w:rsidP="00AD6330" w14:paraId="59848331" w14:textId="5AF87A57">
      <w:pPr>
        <w:jc w:val="center"/>
      </w:pPr>
      <w:r>
        <w:t>PEOPLE v</w:t>
      </w:r>
      <w:r w:rsidR="00916187">
        <w:t>. WALKER</w:t>
      </w:r>
      <w:r>
        <w:t xml:space="preserve"> </w:t>
      </w:r>
    </w:p>
    <w:p w:rsidR="00AD6330" w:rsidP="00AD6330" w14:paraId="3AEBE717" w14:textId="070D370C">
      <w:pPr>
        <w:jc w:val="center"/>
      </w:pPr>
      <w:r>
        <w:t>S278309</w:t>
      </w:r>
    </w:p>
    <w:p w:rsidR="00AD6330" w:rsidP="00AD6330" w14:paraId="6CB5F959" w14:textId="77777777">
      <w:pPr>
        <w:jc w:val="center"/>
      </w:pPr>
    </w:p>
    <w:p w:rsidR="00AD6330" w:rsidP="00AD6330" w14:paraId="5551CDEE" w14:textId="3E560039">
      <w:pPr>
        <w:jc w:val="center"/>
      </w:pPr>
      <w:r>
        <w:t>Opinion of the Court by Groban, J.</w:t>
      </w:r>
    </w:p>
    <w:p w:rsidR="00AD6330" w:rsidRPr="00AD6330" w:rsidP="00A9236E" w14:paraId="0D876912" w14:textId="77777777">
      <w:pPr>
        <w:jc w:val="center"/>
      </w:pPr>
    </w:p>
    <w:p w:rsidR="00FA5560" w:rsidRPr="00AD6330" w:rsidP="00A9236E" w14:paraId="0B9B3294" w14:textId="08211DDB">
      <w:pPr>
        <w:rPr>
          <w:szCs w:val="26"/>
        </w:rPr>
      </w:pPr>
      <w:bookmarkStart w:id="2" w:name="mainstory"/>
      <w:bookmarkEnd w:id="2"/>
      <w:r>
        <w:rPr>
          <w:b/>
          <w:caps/>
        </w:rPr>
        <w:tab/>
      </w:r>
      <w:r w:rsidRPr="00AD6330" w:rsidR="009A5F4F">
        <w:t>Penal Code</w:t>
      </w:r>
      <w:r>
        <w:rPr>
          <w:rStyle w:val="FootnoteReference"/>
        </w:rPr>
        <w:footnoteReference w:id="3"/>
      </w:r>
      <w:r w:rsidRPr="00AD6330" w:rsidR="009A5F4F">
        <w:t xml:space="preserve"> </w:t>
      </w:r>
      <w:r w:rsidRPr="00AD6330" w:rsidR="009A5F4F">
        <w:rPr>
          <w:szCs w:val="26"/>
        </w:rPr>
        <w:t xml:space="preserve">section 1385, subdivision (c)(2), as </w:t>
      </w:r>
      <w:r w:rsidRPr="00AD6330" w:rsidR="009B1281">
        <w:rPr>
          <w:szCs w:val="26"/>
        </w:rPr>
        <w:t>added</w:t>
      </w:r>
      <w:r w:rsidRPr="00AD6330" w:rsidR="009A5F4F">
        <w:rPr>
          <w:szCs w:val="26"/>
        </w:rPr>
        <w:t xml:space="preserve"> by Senate Bill No. 81 (Stats. 2021, ch. 721</w:t>
      </w:r>
      <w:r w:rsidR="00F95806">
        <w:rPr>
          <w:szCs w:val="26"/>
        </w:rPr>
        <w:t>, §</w:t>
      </w:r>
      <w:r w:rsidR="006456D6">
        <w:rPr>
          <w:szCs w:val="26"/>
        </w:rPr>
        <w:t xml:space="preserve"> </w:t>
      </w:r>
      <w:r w:rsidR="00F95806">
        <w:rPr>
          <w:szCs w:val="26"/>
        </w:rPr>
        <w:t>1</w:t>
      </w:r>
      <w:r w:rsidRPr="00AD6330" w:rsidR="009A5F4F">
        <w:rPr>
          <w:szCs w:val="26"/>
        </w:rPr>
        <w:t>)</w:t>
      </w:r>
      <w:r w:rsidRPr="00AD6330" w:rsidR="009B1281">
        <w:rPr>
          <w:szCs w:val="26"/>
        </w:rPr>
        <w:t xml:space="preserve">, provides that a </w:t>
      </w:r>
      <w:r w:rsidRPr="00AD6330" w:rsidR="0080382E">
        <w:rPr>
          <w:szCs w:val="26"/>
        </w:rPr>
        <w:t xml:space="preserve">sentencing </w:t>
      </w:r>
      <w:r w:rsidRPr="00AD6330" w:rsidR="009A5F4F">
        <w:rPr>
          <w:szCs w:val="26"/>
        </w:rPr>
        <w:t>court “</w:t>
      </w:r>
      <w:r w:rsidR="00DE0725">
        <w:rPr>
          <w:szCs w:val="26"/>
        </w:rPr>
        <w:t>[i]n</w:t>
      </w:r>
      <w:r w:rsidRPr="00AD6330" w:rsidR="009B1281">
        <w:rPr>
          <w:szCs w:val="26"/>
        </w:rPr>
        <w:t xml:space="preserve"> exercising its discretion</w:t>
      </w:r>
      <w:r w:rsidR="000D60B2">
        <w:rPr>
          <w:szCs w:val="26"/>
        </w:rPr>
        <w:t>”</w:t>
      </w:r>
      <w:r w:rsidRPr="00AD6330" w:rsidR="009B1281">
        <w:rPr>
          <w:szCs w:val="26"/>
        </w:rPr>
        <w:t xml:space="preserve"> to dismiss a</w:t>
      </w:r>
      <w:r w:rsidRPr="00AD6330" w:rsidR="001A79CE">
        <w:rPr>
          <w:szCs w:val="26"/>
        </w:rPr>
        <w:t xml:space="preserve"> sentencing</w:t>
      </w:r>
      <w:r w:rsidRPr="00AD6330" w:rsidR="009B1281">
        <w:rPr>
          <w:szCs w:val="26"/>
        </w:rPr>
        <w:t xml:space="preserve"> enhancement </w:t>
      </w:r>
      <w:r w:rsidR="000D60B2">
        <w:rPr>
          <w:szCs w:val="26"/>
        </w:rPr>
        <w:t>“</w:t>
      </w:r>
      <w:r w:rsidRPr="00AD6330" w:rsidR="009B1281">
        <w:rPr>
          <w:szCs w:val="26"/>
        </w:rPr>
        <w:t xml:space="preserve">shall consider and </w:t>
      </w:r>
      <w:r w:rsidRPr="00AD6330" w:rsidR="009A5F4F">
        <w:rPr>
          <w:szCs w:val="26"/>
        </w:rPr>
        <w:t>afford great weight</w:t>
      </w:r>
      <w:r w:rsidRPr="00AD6330" w:rsidR="0080382E">
        <w:rPr>
          <w:szCs w:val="26"/>
        </w:rPr>
        <w:t xml:space="preserve"> to evidence offered by the defendant to prove</w:t>
      </w:r>
      <w:r w:rsidRPr="00AD6330" w:rsidR="009A5F4F">
        <w:rPr>
          <w:szCs w:val="26"/>
        </w:rPr>
        <w:t xml:space="preserve">” </w:t>
      </w:r>
      <w:r w:rsidRPr="00AD6330" w:rsidR="00C06306">
        <w:rPr>
          <w:szCs w:val="26"/>
        </w:rPr>
        <w:t xml:space="preserve">certain </w:t>
      </w:r>
      <w:r w:rsidRPr="00AD6330" w:rsidR="009A5F4F">
        <w:rPr>
          <w:szCs w:val="26"/>
        </w:rPr>
        <w:t>enumerated mitigating circumstances</w:t>
      </w:r>
      <w:r w:rsidR="00FE4F35">
        <w:rPr>
          <w:szCs w:val="26"/>
        </w:rPr>
        <w:t>,</w:t>
      </w:r>
      <w:r w:rsidRPr="00AD6330" w:rsidR="009A5F4F">
        <w:rPr>
          <w:szCs w:val="26"/>
        </w:rPr>
        <w:t xml:space="preserve"> </w:t>
      </w:r>
      <w:r w:rsidRPr="00AD6330" w:rsidR="0080382E">
        <w:rPr>
          <w:szCs w:val="26"/>
        </w:rPr>
        <w:t xml:space="preserve">and </w:t>
      </w:r>
      <w:r w:rsidRPr="00AD6330" w:rsidR="009B1281">
        <w:rPr>
          <w:szCs w:val="26"/>
        </w:rPr>
        <w:t>“</w:t>
      </w:r>
      <w:r w:rsidRPr="00AD6330" w:rsidR="00BC19AA">
        <w:rPr>
          <w:szCs w:val="26"/>
        </w:rPr>
        <w:t>[p]roof of t</w:t>
      </w:r>
      <w:r w:rsidRPr="00AD6330" w:rsidR="00BC19AA">
        <w:rPr>
          <w:color w:val="212121"/>
          <w:szCs w:val="26"/>
          <w:shd w:val="clear" w:color="auto" w:fill="FFFFFF"/>
        </w:rPr>
        <w:t>he presence of one or more of these circumstances weighs greatly in favor of dismissing the enhancement,</w:t>
      </w:r>
      <w:r w:rsidRPr="00A9236E" w:rsidR="00BC19AA">
        <w:rPr>
          <w:color w:val="212121"/>
          <w:szCs w:val="27"/>
          <w:shd w:val="clear" w:color="auto" w:fill="FFFFFF"/>
        </w:rPr>
        <w:t xml:space="preserve"> </w:t>
      </w:r>
      <w:r w:rsidRPr="00AD6330" w:rsidR="009B1281">
        <w:rPr>
          <w:szCs w:val="26"/>
        </w:rPr>
        <w:t xml:space="preserve">unless the court finds that dismissal of the enhancement would endanger public safety.”  The </w:t>
      </w:r>
      <w:r w:rsidR="008F0F64">
        <w:rPr>
          <w:szCs w:val="26"/>
        </w:rPr>
        <w:t xml:space="preserve">Second District </w:t>
      </w:r>
      <w:r w:rsidRPr="00AD6330" w:rsidR="009B1281">
        <w:rPr>
          <w:szCs w:val="26"/>
        </w:rPr>
        <w:t xml:space="preserve">Court of Appeal </w:t>
      </w:r>
      <w:r w:rsidRPr="00AD6330" w:rsidR="00BD2181">
        <w:rPr>
          <w:szCs w:val="26"/>
        </w:rPr>
        <w:t xml:space="preserve">below </w:t>
      </w:r>
      <w:r w:rsidRPr="00AD6330" w:rsidR="009B1281">
        <w:rPr>
          <w:szCs w:val="26"/>
        </w:rPr>
        <w:t>“conclude[d] that</w:t>
      </w:r>
      <w:r w:rsidRPr="00AD6330" w:rsidR="00C06306">
        <w:rPr>
          <w:szCs w:val="26"/>
        </w:rPr>
        <w:t xml:space="preserve"> </w:t>
      </w:r>
      <w:r w:rsidRPr="00AD6330" w:rsidR="009B1281">
        <w:rPr>
          <w:szCs w:val="26"/>
        </w:rPr>
        <w:t xml:space="preserve">section 1385’s mandate to ‘afford great weight’ to mitigating circumstances </w:t>
      </w:r>
      <w:r w:rsidRPr="00AD6330" w:rsidR="00BD5748">
        <w:rPr>
          <w:szCs w:val="26"/>
        </w:rPr>
        <w:t>erects</w:t>
      </w:r>
      <w:r w:rsidRPr="00AD6330" w:rsidR="00020AB3">
        <w:rPr>
          <w:szCs w:val="26"/>
        </w:rPr>
        <w:t xml:space="preserve"> </w:t>
      </w:r>
      <w:r w:rsidRPr="00AD6330" w:rsidR="009B1281">
        <w:rPr>
          <w:szCs w:val="26"/>
        </w:rPr>
        <w:t>a</w:t>
      </w:r>
      <w:r w:rsidRPr="00AD6330" w:rsidR="00C06306">
        <w:rPr>
          <w:szCs w:val="26"/>
        </w:rPr>
        <w:t xml:space="preserve"> </w:t>
      </w:r>
      <w:r w:rsidRPr="00AD6330" w:rsidR="009B1281">
        <w:rPr>
          <w:szCs w:val="26"/>
        </w:rPr>
        <w:t xml:space="preserve">rebuttable presumption that obligates a court to dismiss the enhancement </w:t>
      </w:r>
      <w:r w:rsidRPr="00AD6330" w:rsidR="009B1281">
        <w:rPr>
          <w:i/>
          <w:iCs/>
          <w:szCs w:val="26"/>
        </w:rPr>
        <w:t>unless</w:t>
      </w:r>
      <w:r w:rsidRPr="00AD6330" w:rsidR="009B1281">
        <w:rPr>
          <w:szCs w:val="26"/>
        </w:rPr>
        <w:t xml:space="preserve"> the court finds that dismissal of that enhancement</w:t>
      </w:r>
      <w:r w:rsidRPr="00AD6330" w:rsidR="00BF3DBE">
        <w:rPr>
          <w:szCs w:val="26"/>
        </w:rPr>
        <w:t xml:space="preserve"> . . . </w:t>
      </w:r>
      <w:r w:rsidRPr="00AD6330" w:rsidR="009B1281">
        <w:rPr>
          <w:szCs w:val="26"/>
        </w:rPr>
        <w:t>would endanger public safety.”  (</w:t>
      </w:r>
      <w:r w:rsidRPr="00AD6330" w:rsidR="009B1281">
        <w:rPr>
          <w:i/>
          <w:iCs/>
          <w:szCs w:val="26"/>
        </w:rPr>
        <w:t xml:space="preserve">People v. Walker </w:t>
      </w:r>
      <w:r w:rsidRPr="00AD6330" w:rsidR="009B1281">
        <w:rPr>
          <w:szCs w:val="26"/>
        </w:rPr>
        <w:t>(2022) 86</w:t>
      </w:r>
      <w:r w:rsidRPr="00AD6330" w:rsidR="00C06306">
        <w:rPr>
          <w:szCs w:val="26"/>
        </w:rPr>
        <w:t> </w:t>
      </w:r>
      <w:r w:rsidRPr="00AD6330" w:rsidR="009B1281">
        <w:rPr>
          <w:szCs w:val="26"/>
        </w:rPr>
        <w:t>Cal.App.5th 386, 391</w:t>
      </w:r>
      <w:r w:rsidRPr="00AD6330" w:rsidR="00BD5748">
        <w:rPr>
          <w:szCs w:val="26"/>
        </w:rPr>
        <w:t>, italics added</w:t>
      </w:r>
      <w:r w:rsidRPr="00AD6330" w:rsidR="00B823EC">
        <w:rPr>
          <w:szCs w:val="26"/>
        </w:rPr>
        <w:t xml:space="preserve"> (</w:t>
      </w:r>
      <w:r w:rsidRPr="00AD6330" w:rsidR="00B823EC">
        <w:rPr>
          <w:i/>
          <w:iCs/>
          <w:szCs w:val="26"/>
        </w:rPr>
        <w:t>Walker</w:t>
      </w:r>
      <w:r w:rsidRPr="00AD6330" w:rsidR="00B823EC">
        <w:rPr>
          <w:szCs w:val="26"/>
        </w:rPr>
        <w:t>)</w:t>
      </w:r>
      <w:r w:rsidRPr="00AD6330" w:rsidR="009B1281">
        <w:rPr>
          <w:szCs w:val="26"/>
        </w:rPr>
        <w:t>.)  The Sixth District subsequently disagreed</w:t>
      </w:r>
      <w:r w:rsidRPr="00AD6330" w:rsidR="00B823EC">
        <w:rPr>
          <w:szCs w:val="26"/>
        </w:rPr>
        <w:t>, concluding instead that section 1385</w:t>
      </w:r>
      <w:r w:rsidRPr="00AD6330" w:rsidR="00BD2181">
        <w:rPr>
          <w:szCs w:val="26"/>
        </w:rPr>
        <w:t xml:space="preserve">, subdivision </w:t>
      </w:r>
      <w:r w:rsidRPr="00AD6330" w:rsidR="00B823EC">
        <w:rPr>
          <w:szCs w:val="26"/>
        </w:rPr>
        <w:t>(c)(2</w:t>
      </w:r>
      <w:r w:rsidRPr="00A9236E" w:rsidR="00EC69B6">
        <w:rPr>
          <w:color w:val="000000"/>
          <w:szCs w:val="24"/>
        </w:rPr>
        <w:t xml:space="preserve">) </w:t>
      </w:r>
      <w:r w:rsidRPr="00AD6330" w:rsidR="00EC69B6">
        <w:rPr>
          <w:szCs w:val="26"/>
        </w:rPr>
        <w:t xml:space="preserve">does not preclude a trial court from </w:t>
      </w:r>
      <w:r w:rsidRPr="00AD6330" w:rsidR="00565646">
        <w:rPr>
          <w:szCs w:val="26"/>
        </w:rPr>
        <w:t xml:space="preserve">relying on </w:t>
      </w:r>
      <w:r w:rsidRPr="00AD6330" w:rsidR="00EC69B6">
        <w:rPr>
          <w:szCs w:val="26"/>
        </w:rPr>
        <w:t xml:space="preserve">countervailing </w:t>
      </w:r>
      <w:r w:rsidRPr="00AD6330" w:rsidR="00C02E3F">
        <w:rPr>
          <w:szCs w:val="26"/>
        </w:rPr>
        <w:t xml:space="preserve">aggravating </w:t>
      </w:r>
      <w:r w:rsidRPr="00AD6330" w:rsidR="00EC69B6">
        <w:rPr>
          <w:szCs w:val="26"/>
        </w:rPr>
        <w:t>factors</w:t>
      </w:r>
      <w:r w:rsidRPr="00AD6330" w:rsidR="00541A17">
        <w:rPr>
          <w:szCs w:val="26"/>
        </w:rPr>
        <w:t>,</w:t>
      </w:r>
      <w:r w:rsidRPr="00AD6330" w:rsidR="00565646">
        <w:rPr>
          <w:szCs w:val="26"/>
        </w:rPr>
        <w:t xml:space="preserve"> </w:t>
      </w:r>
      <w:r w:rsidRPr="00AD6330" w:rsidR="00541A17">
        <w:rPr>
          <w:szCs w:val="26"/>
        </w:rPr>
        <w:t>apart from</w:t>
      </w:r>
      <w:r w:rsidRPr="00AD6330" w:rsidR="00BF3DBE">
        <w:rPr>
          <w:szCs w:val="26"/>
        </w:rPr>
        <w:t xml:space="preserve"> a</w:t>
      </w:r>
      <w:r w:rsidRPr="00AD6330" w:rsidR="00EC69B6">
        <w:rPr>
          <w:szCs w:val="26"/>
        </w:rPr>
        <w:t xml:space="preserve"> </w:t>
      </w:r>
      <w:r w:rsidRPr="00AD6330" w:rsidR="00BF3DBE">
        <w:rPr>
          <w:szCs w:val="26"/>
        </w:rPr>
        <w:t xml:space="preserve">danger </w:t>
      </w:r>
      <w:r w:rsidRPr="00AD6330" w:rsidR="00C02E3F">
        <w:rPr>
          <w:szCs w:val="26"/>
        </w:rPr>
        <w:t>to public safety</w:t>
      </w:r>
      <w:r w:rsidRPr="00AD6330" w:rsidR="00541A17">
        <w:rPr>
          <w:szCs w:val="26"/>
        </w:rPr>
        <w:t xml:space="preserve">, </w:t>
      </w:r>
      <w:r w:rsidRPr="00AD6330" w:rsidR="00C02E3F">
        <w:rPr>
          <w:szCs w:val="26"/>
        </w:rPr>
        <w:t xml:space="preserve">to </w:t>
      </w:r>
      <w:r w:rsidRPr="00AD6330" w:rsidR="00541A17">
        <w:rPr>
          <w:szCs w:val="26"/>
        </w:rPr>
        <w:t xml:space="preserve">uphold an </w:t>
      </w:r>
      <w:r w:rsidRPr="00AD6330" w:rsidR="00EC69B6">
        <w:rPr>
          <w:szCs w:val="26"/>
        </w:rPr>
        <w:t>enhancement</w:t>
      </w:r>
      <w:r w:rsidR="008F0F64">
        <w:rPr>
          <w:szCs w:val="26"/>
        </w:rPr>
        <w:t>,</w:t>
      </w:r>
      <w:r w:rsidRPr="00AD6330" w:rsidR="00541A17">
        <w:rPr>
          <w:szCs w:val="26"/>
        </w:rPr>
        <w:t xml:space="preserve"> despite the presence of one or more mitigating circumstances</w:t>
      </w:r>
      <w:r w:rsidRPr="00AD6330" w:rsidR="00C02E3F">
        <w:rPr>
          <w:szCs w:val="26"/>
        </w:rPr>
        <w:t>.</w:t>
      </w:r>
      <w:r w:rsidRPr="00AD6330" w:rsidR="00BF3DBE">
        <w:rPr>
          <w:szCs w:val="26"/>
        </w:rPr>
        <w:t xml:space="preserve">  </w:t>
      </w:r>
      <w:r w:rsidRPr="00AD6330" w:rsidR="00B823EC">
        <w:rPr>
          <w:szCs w:val="26"/>
        </w:rPr>
        <w:t xml:space="preserve">(See </w:t>
      </w:r>
      <w:r w:rsidRPr="00AD6330" w:rsidR="00B823EC">
        <w:rPr>
          <w:i/>
          <w:iCs/>
          <w:szCs w:val="26"/>
        </w:rPr>
        <w:t xml:space="preserve">People v. Ortiz </w:t>
      </w:r>
      <w:r w:rsidRPr="00AD6330" w:rsidR="00B823EC">
        <w:rPr>
          <w:szCs w:val="26"/>
        </w:rPr>
        <w:t>(2023) 87</w:t>
      </w:r>
      <w:r w:rsidRPr="00AD6330" w:rsidR="00C06306">
        <w:rPr>
          <w:szCs w:val="26"/>
        </w:rPr>
        <w:t> </w:t>
      </w:r>
      <w:r w:rsidRPr="00AD6330" w:rsidR="00B823EC">
        <w:rPr>
          <w:szCs w:val="26"/>
        </w:rPr>
        <w:t>Cal.App.5th 1087, 1098</w:t>
      </w:r>
      <w:r w:rsidRPr="00AD6330" w:rsidR="00493DB5">
        <w:rPr>
          <w:szCs w:val="26"/>
        </w:rPr>
        <w:t xml:space="preserve"> (</w:t>
      </w:r>
      <w:r w:rsidRPr="00AD6330" w:rsidR="00493DB5">
        <w:rPr>
          <w:i/>
          <w:iCs/>
          <w:szCs w:val="26"/>
        </w:rPr>
        <w:t>Ortiz</w:t>
      </w:r>
      <w:r w:rsidRPr="00AD6330" w:rsidR="00493DB5">
        <w:rPr>
          <w:szCs w:val="26"/>
        </w:rPr>
        <w:t>)</w:t>
      </w:r>
      <w:r w:rsidRPr="00AD6330" w:rsidR="00B823EC">
        <w:rPr>
          <w:szCs w:val="26"/>
        </w:rPr>
        <w:t>.)</w:t>
      </w:r>
      <w:r>
        <w:rPr>
          <w:rStyle w:val="FootnoteReference"/>
        </w:rPr>
        <w:footnoteReference w:id="4"/>
      </w:r>
      <w:r w:rsidRPr="00AD6330" w:rsidR="005454C4">
        <w:rPr>
          <w:szCs w:val="26"/>
        </w:rPr>
        <w:t xml:space="preserve">  </w:t>
      </w:r>
      <w:r w:rsidRPr="00AD6330" w:rsidR="00E44814">
        <w:rPr>
          <w:szCs w:val="26"/>
        </w:rPr>
        <w:t xml:space="preserve">More specifically, </w:t>
      </w:r>
      <w:r w:rsidR="00424734">
        <w:rPr>
          <w:szCs w:val="26"/>
        </w:rPr>
        <w:t xml:space="preserve">it found that </w:t>
      </w:r>
      <w:r w:rsidRPr="00AD6330" w:rsidR="00E44814">
        <w:rPr>
          <w:szCs w:val="26"/>
        </w:rPr>
        <w:t>a</w:t>
      </w:r>
      <w:r w:rsidRPr="00AD6330" w:rsidR="005454C4">
        <w:rPr>
          <w:szCs w:val="26"/>
        </w:rPr>
        <w:t xml:space="preserve">bsent a finding that dismissal would endanger public safety, a court is required to engage “in a holistic balancing </w:t>
      </w:r>
      <w:r w:rsidRPr="00AD6330" w:rsidR="005454C4">
        <w:rPr>
          <w:i/>
          <w:iCs/>
          <w:szCs w:val="26"/>
        </w:rPr>
        <w:t>with special emphasis</w:t>
      </w:r>
      <w:r w:rsidRPr="00AD6330" w:rsidR="005454C4">
        <w:rPr>
          <w:szCs w:val="26"/>
        </w:rPr>
        <w:t xml:space="preserve"> on the [nine] enumerated mitigating factors</w:t>
      </w:r>
      <w:r w:rsidR="005627AD">
        <w:rPr>
          <w:szCs w:val="26"/>
        </w:rPr>
        <w:t>,</w:t>
      </w:r>
      <w:r w:rsidRPr="00AD6330" w:rsidR="005454C4">
        <w:rPr>
          <w:szCs w:val="26"/>
        </w:rPr>
        <w:t xml:space="preserve">” </w:t>
      </w:r>
      <w:r w:rsidR="005627AD">
        <w:rPr>
          <w:szCs w:val="26"/>
        </w:rPr>
        <w:t xml:space="preserve">in which </w:t>
      </w:r>
      <w:r w:rsidR="0084579A">
        <w:rPr>
          <w:szCs w:val="26"/>
        </w:rPr>
        <w:t>th</w:t>
      </w:r>
      <w:r w:rsidR="009805EB">
        <w:rPr>
          <w:szCs w:val="26"/>
        </w:rPr>
        <w:t>ose</w:t>
      </w:r>
      <w:r w:rsidR="0084579A">
        <w:rPr>
          <w:szCs w:val="26"/>
        </w:rPr>
        <w:t xml:space="preserve"> </w:t>
      </w:r>
      <w:r w:rsidR="00135747">
        <w:rPr>
          <w:szCs w:val="26"/>
        </w:rPr>
        <w:t>mitigating factors weigh “strongly in favor of .</w:t>
      </w:r>
      <w:r w:rsidR="005B2345">
        <w:rPr>
          <w:szCs w:val="26"/>
        </w:rPr>
        <w:t> </w:t>
      </w:r>
      <w:r w:rsidR="00135747">
        <w:rPr>
          <w:szCs w:val="26"/>
        </w:rPr>
        <w:t>.</w:t>
      </w:r>
      <w:r w:rsidR="005B2345">
        <w:rPr>
          <w:szCs w:val="26"/>
        </w:rPr>
        <w:t> </w:t>
      </w:r>
      <w:r w:rsidR="00135747">
        <w:rPr>
          <w:szCs w:val="26"/>
        </w:rPr>
        <w:t>. dismissal.”</w:t>
      </w:r>
      <w:r w:rsidRPr="00AD6330" w:rsidR="00135747">
        <w:rPr>
          <w:szCs w:val="26"/>
        </w:rPr>
        <w:t xml:space="preserve"> </w:t>
      </w:r>
      <w:r w:rsidRPr="00AD6330" w:rsidR="005454C4">
        <w:rPr>
          <w:szCs w:val="26"/>
        </w:rPr>
        <w:t xml:space="preserve"> (</w:t>
      </w:r>
      <w:r w:rsidRPr="00AD6330" w:rsidR="005454C4">
        <w:rPr>
          <w:i/>
          <w:iCs/>
          <w:szCs w:val="26"/>
        </w:rPr>
        <w:t>Id.</w:t>
      </w:r>
      <w:r w:rsidRPr="00AD6330" w:rsidR="005454C4">
        <w:rPr>
          <w:szCs w:val="26"/>
        </w:rPr>
        <w:t xml:space="preserve"> at p. 1096, italics added.)</w:t>
      </w:r>
      <w:r w:rsidRPr="00A9236E" w:rsidR="005454C4">
        <w:rPr>
          <w:rFonts w:cs="CenturySchoolbook"/>
          <w:szCs w:val="26"/>
        </w:rPr>
        <w:t xml:space="preserve">  </w:t>
      </w:r>
      <w:r w:rsidRPr="00AD6330" w:rsidR="00B823EC">
        <w:rPr>
          <w:szCs w:val="26"/>
        </w:rPr>
        <w:t>We granted review to resolve th</w:t>
      </w:r>
      <w:r w:rsidRPr="00AD6330" w:rsidR="00C451B9">
        <w:rPr>
          <w:szCs w:val="26"/>
        </w:rPr>
        <w:t>is</w:t>
      </w:r>
      <w:r w:rsidRPr="00AD6330" w:rsidR="00B823EC">
        <w:rPr>
          <w:szCs w:val="26"/>
        </w:rPr>
        <w:t xml:space="preserve"> conflict. </w:t>
      </w:r>
      <w:r w:rsidRPr="00AD6330" w:rsidR="00493DB5">
        <w:rPr>
          <w:szCs w:val="26"/>
        </w:rPr>
        <w:t xml:space="preserve"> </w:t>
      </w:r>
    </w:p>
    <w:p w:rsidR="00A87107" w:rsidRPr="00AD6330" w:rsidP="00A9236E" w14:paraId="4AC6D903" w14:textId="4F267091">
      <w:pPr>
        <w:ind w:firstLine="720"/>
        <w:rPr>
          <w:szCs w:val="26"/>
        </w:rPr>
      </w:pPr>
      <w:r w:rsidRPr="00AD6330">
        <w:rPr>
          <w:szCs w:val="26"/>
        </w:rPr>
        <w:t xml:space="preserve">Both parties now agree that the Court of Appeal </w:t>
      </w:r>
      <w:r w:rsidRPr="00AD6330" w:rsidR="00CE5928">
        <w:rPr>
          <w:szCs w:val="26"/>
        </w:rPr>
        <w:t xml:space="preserve">below </w:t>
      </w:r>
      <w:r w:rsidRPr="00AD6330">
        <w:rPr>
          <w:szCs w:val="26"/>
        </w:rPr>
        <w:t>misinterpreted section 1385</w:t>
      </w:r>
      <w:r w:rsidRPr="00AD6330" w:rsidR="008D13B2">
        <w:rPr>
          <w:szCs w:val="26"/>
        </w:rPr>
        <w:t xml:space="preserve">, subdivision </w:t>
      </w:r>
      <w:r w:rsidRPr="00AD6330">
        <w:rPr>
          <w:szCs w:val="26"/>
        </w:rPr>
        <w:t xml:space="preserve">(c)(2)’s “great weight” </w:t>
      </w:r>
      <w:r w:rsidRPr="00AD6330" w:rsidR="00AA47DD">
        <w:rPr>
          <w:szCs w:val="26"/>
        </w:rPr>
        <w:t>language</w:t>
      </w:r>
      <w:r w:rsidRPr="00AD6330" w:rsidR="000B78D3">
        <w:rPr>
          <w:szCs w:val="26"/>
        </w:rPr>
        <w:t xml:space="preserve"> as </w:t>
      </w:r>
      <w:r w:rsidRPr="00AD6330" w:rsidR="00D45EDE">
        <w:rPr>
          <w:szCs w:val="26"/>
        </w:rPr>
        <w:t xml:space="preserve">imposing </w:t>
      </w:r>
      <w:r w:rsidRPr="00AD6330" w:rsidR="000B78D3">
        <w:rPr>
          <w:szCs w:val="26"/>
        </w:rPr>
        <w:t>a rebuttable presumption</w:t>
      </w:r>
      <w:r w:rsidRPr="00AD6330">
        <w:rPr>
          <w:szCs w:val="26"/>
        </w:rPr>
        <w:t xml:space="preserve">, but they diverge on the proper construction of </w:t>
      </w:r>
      <w:r w:rsidRPr="00AD6330" w:rsidR="003937D4">
        <w:rPr>
          <w:szCs w:val="26"/>
        </w:rPr>
        <w:t>that phrasing</w:t>
      </w:r>
      <w:r w:rsidRPr="00AD6330" w:rsidR="00D45EDE">
        <w:rPr>
          <w:szCs w:val="26"/>
        </w:rPr>
        <w:t xml:space="preserve"> </w:t>
      </w:r>
      <w:r w:rsidRPr="00AD6330" w:rsidR="00CE5928">
        <w:rPr>
          <w:szCs w:val="26"/>
        </w:rPr>
        <w:t xml:space="preserve">and its </w:t>
      </w:r>
      <w:r w:rsidRPr="00AD6330" w:rsidR="007D12D4">
        <w:rPr>
          <w:szCs w:val="26"/>
        </w:rPr>
        <w:t xml:space="preserve">impact </w:t>
      </w:r>
      <w:r w:rsidRPr="00AD6330" w:rsidR="00CE5928">
        <w:rPr>
          <w:szCs w:val="26"/>
        </w:rPr>
        <w:t xml:space="preserve">on a trial court’s </w:t>
      </w:r>
      <w:r w:rsidRPr="00AD6330" w:rsidR="00633EFB">
        <w:rPr>
          <w:szCs w:val="26"/>
        </w:rPr>
        <w:t xml:space="preserve">authority </w:t>
      </w:r>
      <w:r w:rsidRPr="00AD6330" w:rsidR="002A0273">
        <w:rPr>
          <w:szCs w:val="26"/>
        </w:rPr>
        <w:t>under section 1385</w:t>
      </w:r>
      <w:r w:rsidRPr="00AD6330" w:rsidR="00961B07">
        <w:rPr>
          <w:szCs w:val="26"/>
        </w:rPr>
        <w:t>, subdivision (c)</w:t>
      </w:r>
      <w:r w:rsidRPr="00AD6330">
        <w:rPr>
          <w:szCs w:val="26"/>
        </w:rPr>
        <w:t xml:space="preserve">.  </w:t>
      </w:r>
      <w:r w:rsidRPr="00AD6330" w:rsidR="005454C4">
        <w:rPr>
          <w:szCs w:val="26"/>
        </w:rPr>
        <w:t>We conclude that the plain language of</w:t>
      </w:r>
      <w:r w:rsidRPr="00AD6330" w:rsidR="001B6CFC">
        <w:rPr>
          <w:szCs w:val="26"/>
        </w:rPr>
        <w:t xml:space="preserve"> section 1385, subdivision (c)(2) </w:t>
      </w:r>
      <w:r w:rsidRPr="00AD6330" w:rsidR="005454C4">
        <w:rPr>
          <w:szCs w:val="26"/>
        </w:rPr>
        <w:t>contemplates that a trial court will exercise its sentencing discretion in a manner consistent with</w:t>
      </w:r>
      <w:r w:rsidRPr="00AD6330" w:rsidR="001B6CFC">
        <w:rPr>
          <w:szCs w:val="26"/>
        </w:rPr>
        <w:t xml:space="preserve"> </w:t>
      </w:r>
      <w:r w:rsidRPr="00AD6330" w:rsidR="00E44814">
        <w:rPr>
          <w:szCs w:val="26"/>
        </w:rPr>
        <w:t xml:space="preserve">the </w:t>
      </w:r>
      <w:r w:rsidRPr="00AD6330" w:rsidR="00EC69B6">
        <w:rPr>
          <w:i/>
          <w:iCs/>
          <w:szCs w:val="26"/>
        </w:rPr>
        <w:t>Ortiz</w:t>
      </w:r>
      <w:r w:rsidRPr="00AD6330" w:rsidR="00E44814">
        <w:rPr>
          <w:i/>
          <w:iCs/>
          <w:szCs w:val="26"/>
        </w:rPr>
        <w:t xml:space="preserve"> </w:t>
      </w:r>
      <w:r w:rsidRPr="00AD6330" w:rsidR="00E44814">
        <w:rPr>
          <w:szCs w:val="26"/>
        </w:rPr>
        <w:t xml:space="preserve">court’s </w:t>
      </w:r>
      <w:r w:rsidR="0030758C">
        <w:rPr>
          <w:szCs w:val="26"/>
        </w:rPr>
        <w:t>understanding</w:t>
      </w:r>
      <w:r w:rsidRPr="00AD6330" w:rsidR="001B6CFC">
        <w:rPr>
          <w:szCs w:val="26"/>
        </w:rPr>
        <w:t xml:space="preserve">.  </w:t>
      </w:r>
      <w:r w:rsidRPr="00AD6330">
        <w:rPr>
          <w:szCs w:val="26"/>
        </w:rPr>
        <w:t xml:space="preserve">Specifically, </w:t>
      </w:r>
      <w:r w:rsidRPr="00AD6330" w:rsidR="004547A6">
        <w:rPr>
          <w:szCs w:val="26"/>
        </w:rPr>
        <w:t xml:space="preserve">absent a finding that dismissal would endanger public safety, </w:t>
      </w:r>
      <w:r w:rsidR="00B16CE5">
        <w:rPr>
          <w:szCs w:val="26"/>
        </w:rPr>
        <w:t xml:space="preserve">a </w:t>
      </w:r>
      <w:r w:rsidRPr="00AD6330" w:rsidR="007445A6">
        <w:t>court retain</w:t>
      </w:r>
      <w:r w:rsidR="00C97253">
        <w:t>s</w:t>
      </w:r>
      <w:r w:rsidRPr="00AD6330" w:rsidR="007445A6">
        <w:t xml:space="preserve"> the discretion to impose or dismiss enhancements provided that </w:t>
      </w:r>
      <w:r w:rsidR="00794C7D">
        <w:t>it</w:t>
      </w:r>
      <w:r w:rsidRPr="00AD6330" w:rsidR="007445A6">
        <w:t xml:space="preserve"> </w:t>
      </w:r>
      <w:r w:rsidR="002A54B8">
        <w:t>assigns significant value</w:t>
      </w:r>
      <w:r w:rsidRPr="00AD6330" w:rsidR="007445A6">
        <w:t xml:space="preserve"> to the enumerated mitigating circumstances when they are present</w:t>
      </w:r>
      <w:r w:rsidRPr="00AD6330" w:rsidR="00A735CC">
        <w:t xml:space="preserve">.  </w:t>
      </w:r>
      <w:r w:rsidR="00644950">
        <w:t>(</w:t>
      </w:r>
      <w:r w:rsidR="002A54B8">
        <w:t xml:space="preserve">See </w:t>
      </w:r>
      <w:r w:rsidRPr="00644950" w:rsidR="00644950">
        <w:rPr>
          <w:i/>
          <w:iCs/>
        </w:rPr>
        <w:t>Ortiz</w:t>
      </w:r>
      <w:r w:rsidR="00644950">
        <w:t xml:space="preserve">, </w:t>
      </w:r>
      <w:r w:rsidRPr="00644950" w:rsidR="00644950">
        <w:rPr>
          <w:i/>
          <w:iCs/>
        </w:rPr>
        <w:t>supra</w:t>
      </w:r>
      <w:r w:rsidR="00644950">
        <w:t>, 87</w:t>
      </w:r>
      <w:r w:rsidR="005B2345">
        <w:t> </w:t>
      </w:r>
      <w:r w:rsidR="00644950">
        <w:t xml:space="preserve">Cal.App.5th at p. 1098.)  </w:t>
      </w:r>
      <w:r w:rsidRPr="00644950" w:rsidR="00C94DBB">
        <w:rPr>
          <w:szCs w:val="26"/>
        </w:rPr>
        <w:t>In</w:t>
      </w:r>
      <w:r w:rsidRPr="00AD6330" w:rsidR="00C94DBB">
        <w:rPr>
          <w:szCs w:val="26"/>
        </w:rPr>
        <w:t xml:space="preserve"> other words, if </w:t>
      </w:r>
      <w:r w:rsidR="003B7A8B">
        <w:rPr>
          <w:szCs w:val="26"/>
        </w:rPr>
        <w:t>the court does not find</w:t>
      </w:r>
      <w:r w:rsidRPr="00AD6330" w:rsidR="00C94DBB">
        <w:rPr>
          <w:szCs w:val="26"/>
        </w:rPr>
        <w:t xml:space="preserve"> that dismissal would endanger public safety, </w:t>
      </w:r>
      <w:r w:rsidRPr="00AD6330" w:rsidR="00A735CC">
        <w:rPr>
          <w:szCs w:val="26"/>
        </w:rPr>
        <w:t xml:space="preserve">the presence of an enumerated mitigating circumstance will generally </w:t>
      </w:r>
      <w:r w:rsidR="005B2345">
        <w:rPr>
          <w:szCs w:val="26"/>
        </w:rPr>
        <w:t>result in</w:t>
      </w:r>
      <w:r w:rsidRPr="00AD6330" w:rsidR="00A94779">
        <w:rPr>
          <w:szCs w:val="26"/>
        </w:rPr>
        <w:t xml:space="preserve"> </w:t>
      </w:r>
      <w:r w:rsidRPr="00AD6330" w:rsidR="00A735CC">
        <w:rPr>
          <w:szCs w:val="26"/>
        </w:rPr>
        <w:t>the dismissal of an enhancement unless</w:t>
      </w:r>
      <w:r w:rsidRPr="00AD6330" w:rsidR="00A735CC">
        <w:rPr>
          <w:b/>
          <w:bCs/>
          <w:szCs w:val="26"/>
        </w:rPr>
        <w:t xml:space="preserve"> </w:t>
      </w:r>
      <w:r w:rsidRPr="00AD6330" w:rsidR="00A735CC">
        <w:t xml:space="preserve">the sentencing court finds substantial, credible evidence </w:t>
      </w:r>
      <w:r w:rsidR="00A94779">
        <w:t xml:space="preserve">of countervailing factors </w:t>
      </w:r>
      <w:r w:rsidRPr="00AD6330" w:rsidR="00A735CC">
        <w:rPr>
          <w:szCs w:val="26"/>
        </w:rPr>
        <w:t>that “</w:t>
      </w:r>
      <w:r w:rsidR="00A94779">
        <w:rPr>
          <w:szCs w:val="26"/>
        </w:rPr>
        <w:t xml:space="preserve">may nonetheless </w:t>
      </w:r>
      <w:r w:rsidRPr="00AD6330" w:rsidR="00A735CC">
        <w:rPr>
          <w:szCs w:val="26"/>
        </w:rPr>
        <w:t>neutralize even the great weight of the mitigating circumstance, such that dismissal of the enhancement is not in furtherance of justice.”  (</w:t>
      </w:r>
      <w:r w:rsidR="00644950">
        <w:rPr>
          <w:i/>
          <w:iCs/>
          <w:szCs w:val="26"/>
        </w:rPr>
        <w:t>Ibid</w:t>
      </w:r>
      <w:r w:rsidRPr="00AD6330" w:rsidR="00A735CC">
        <w:rPr>
          <w:szCs w:val="26"/>
        </w:rPr>
        <w:t xml:space="preserve">.)  </w:t>
      </w:r>
      <w:r w:rsidRPr="00AD6330" w:rsidR="00A666BF">
        <w:rPr>
          <w:szCs w:val="26"/>
        </w:rPr>
        <w:t xml:space="preserve">Nevertheless, since the Court of Appeal </w:t>
      </w:r>
      <w:bookmarkStart w:id="3" w:name="_Hlk158036464"/>
      <w:r w:rsidRPr="00AD6330" w:rsidR="008110A3">
        <w:rPr>
          <w:szCs w:val="26"/>
        </w:rPr>
        <w:t>up</w:t>
      </w:r>
      <w:r w:rsidRPr="00AD6330" w:rsidR="008110A3">
        <w:t xml:space="preserve">held the trial court’s </w:t>
      </w:r>
      <w:r w:rsidRPr="00AD6330" w:rsidR="00BA2386">
        <w:t>refusal to dismiss defendant’s enhancement</w:t>
      </w:r>
      <w:r w:rsidRPr="00AD6330" w:rsidR="008110A3">
        <w:t xml:space="preserve"> </w:t>
      </w:r>
      <w:r w:rsidRPr="00AD6330" w:rsidR="00240851">
        <w:t>under</w:t>
      </w:r>
      <w:r w:rsidRPr="00AD6330" w:rsidR="00EA7AD3">
        <w:t xml:space="preserve"> </w:t>
      </w:r>
      <w:r w:rsidRPr="00AD6330" w:rsidR="00537253">
        <w:t>a</w:t>
      </w:r>
      <w:r w:rsidRPr="00AD6330" w:rsidR="008110A3">
        <w:t xml:space="preserve"> presumption in favor of dismissal</w:t>
      </w:r>
      <w:r w:rsidRPr="00AD6330" w:rsidR="009A4934">
        <w:t xml:space="preserve"> that could only be overcome by a finding that dismissal endangered public safety</w:t>
      </w:r>
      <w:r w:rsidRPr="00AD6330" w:rsidR="008110A3">
        <w:t xml:space="preserve">, defendant fails to persuade </w:t>
      </w:r>
      <w:r w:rsidR="0041712F">
        <w:t xml:space="preserve">us </w:t>
      </w:r>
      <w:r w:rsidRPr="00AD6330" w:rsidR="00633EFB">
        <w:t xml:space="preserve">that </w:t>
      </w:r>
      <w:r w:rsidRPr="00AD6330" w:rsidR="008110A3">
        <w:t>he is entitled to any relief</w:t>
      </w:r>
      <w:r w:rsidRPr="00AD6330" w:rsidR="00D45EDE">
        <w:t xml:space="preserve"> under our </w:t>
      </w:r>
      <w:r w:rsidRPr="00AD6330" w:rsidR="002E379B">
        <w:t>less restrictive</w:t>
      </w:r>
      <w:r w:rsidRPr="00AD6330" w:rsidR="00D45EDE">
        <w:t xml:space="preserve"> interpretation of </w:t>
      </w:r>
      <w:r w:rsidRPr="00AD6330" w:rsidR="00EA7AD3">
        <w:t xml:space="preserve">a trial court’s authority </w:t>
      </w:r>
      <w:r w:rsidRPr="00AD6330" w:rsidR="00633EFB">
        <w:t xml:space="preserve">pursuant to </w:t>
      </w:r>
      <w:r w:rsidRPr="00AD6330" w:rsidR="00D45EDE">
        <w:t>section 1385, subdivision (c)(2)</w:t>
      </w:r>
      <w:r w:rsidRPr="00AD6330" w:rsidR="00D83E6A">
        <w:t>.</w:t>
      </w:r>
      <w:r w:rsidRPr="00AD6330" w:rsidR="008110A3">
        <w:t xml:space="preserve">  </w:t>
      </w:r>
      <w:bookmarkEnd w:id="3"/>
      <w:r w:rsidRPr="00AD6330" w:rsidR="00633EFB">
        <w:rPr>
          <w:szCs w:val="26"/>
        </w:rPr>
        <w:t>W</w:t>
      </w:r>
      <w:r w:rsidRPr="00AD6330" w:rsidR="00A666BF">
        <w:rPr>
          <w:szCs w:val="26"/>
        </w:rPr>
        <w:t xml:space="preserve">e </w:t>
      </w:r>
      <w:r w:rsidRPr="00AD6330" w:rsidR="00633EFB">
        <w:rPr>
          <w:szCs w:val="26"/>
        </w:rPr>
        <w:t xml:space="preserve">therefore </w:t>
      </w:r>
      <w:r w:rsidRPr="00AD6330" w:rsidR="00A666BF">
        <w:rPr>
          <w:szCs w:val="26"/>
        </w:rPr>
        <w:t xml:space="preserve">affirm </w:t>
      </w:r>
      <w:r w:rsidRPr="00AD6330" w:rsidR="00F435AF">
        <w:rPr>
          <w:szCs w:val="26"/>
        </w:rPr>
        <w:t>the judgment of the Court of Appeal.</w:t>
      </w:r>
    </w:p>
    <w:p w:rsidR="003F747A" w:rsidRPr="00AD6330" w:rsidP="00AD6330" w14:paraId="0EB2D030" w14:textId="722B4C35">
      <w:pPr>
        <w:pStyle w:val="Heading1"/>
        <w:numPr>
          <w:ilvl w:val="0"/>
          <w:numId w:val="1"/>
        </w:numPr>
        <w:rPr>
          <w:szCs w:val="26"/>
        </w:rPr>
      </w:pPr>
      <w:r w:rsidRPr="00AD6330">
        <w:rPr>
          <w:szCs w:val="26"/>
        </w:rPr>
        <w:t>Facts and Procedural History</w:t>
      </w:r>
    </w:p>
    <w:p w:rsidR="0069522F" w:rsidRPr="00AD6330" w:rsidP="00A9236E" w14:paraId="02177795" w14:textId="7E0CB1AC">
      <w:pPr>
        <w:ind w:firstLine="720"/>
        <w:rPr>
          <w:szCs w:val="26"/>
        </w:rPr>
      </w:pPr>
      <w:r w:rsidRPr="00AD6330">
        <w:rPr>
          <w:szCs w:val="26"/>
        </w:rPr>
        <w:t xml:space="preserve">In June 2012, defendant </w:t>
      </w:r>
      <w:r w:rsidRPr="00AD6330" w:rsidR="00E03562">
        <w:rPr>
          <w:szCs w:val="26"/>
        </w:rPr>
        <w:t xml:space="preserve">Maurice Walker </w:t>
      </w:r>
      <w:r w:rsidRPr="00AD6330" w:rsidR="006841BF">
        <w:rPr>
          <w:szCs w:val="26"/>
        </w:rPr>
        <w:t xml:space="preserve">blocked a woman’s path as she left her </w:t>
      </w:r>
      <w:r w:rsidRPr="00AD6330" w:rsidR="00BE3C3A">
        <w:rPr>
          <w:szCs w:val="26"/>
        </w:rPr>
        <w:t xml:space="preserve">Los Angeles </w:t>
      </w:r>
      <w:r w:rsidRPr="00AD6330" w:rsidR="006841BF">
        <w:rPr>
          <w:szCs w:val="26"/>
        </w:rPr>
        <w:t>apartment</w:t>
      </w:r>
      <w:r w:rsidRPr="00AD6330">
        <w:rPr>
          <w:szCs w:val="26"/>
        </w:rPr>
        <w:t xml:space="preserve">.  </w:t>
      </w:r>
      <w:r w:rsidRPr="00AD6330" w:rsidR="006841BF">
        <w:rPr>
          <w:szCs w:val="26"/>
        </w:rPr>
        <w:t>The pair began to argue and defendant struck the woman in the mouth with his elbo</w:t>
      </w:r>
      <w:r w:rsidRPr="00AD6330" w:rsidR="00495065">
        <w:rPr>
          <w:szCs w:val="26"/>
        </w:rPr>
        <w:t>w</w:t>
      </w:r>
      <w:r w:rsidRPr="00AD6330" w:rsidR="006841BF">
        <w:rPr>
          <w:szCs w:val="26"/>
        </w:rPr>
        <w:t xml:space="preserve">.  When </w:t>
      </w:r>
      <w:r w:rsidRPr="00AD6330" w:rsidR="00390D94">
        <w:rPr>
          <w:szCs w:val="26"/>
        </w:rPr>
        <w:t xml:space="preserve">a </w:t>
      </w:r>
      <w:r w:rsidRPr="00AD6330" w:rsidR="00495065">
        <w:rPr>
          <w:szCs w:val="26"/>
        </w:rPr>
        <w:t>7</w:t>
      </w:r>
      <w:r w:rsidRPr="00AD6330" w:rsidR="00390D94">
        <w:rPr>
          <w:szCs w:val="26"/>
        </w:rPr>
        <w:t>8</w:t>
      </w:r>
      <w:r w:rsidRPr="00AD6330" w:rsidR="00495065">
        <w:rPr>
          <w:szCs w:val="26"/>
        </w:rPr>
        <w:t>-year-old</w:t>
      </w:r>
      <w:r w:rsidRPr="00AD6330" w:rsidR="006841BF">
        <w:rPr>
          <w:szCs w:val="26"/>
        </w:rPr>
        <w:t xml:space="preserve"> man tried to intervene, defendant stabbed him in the arm with a knife.  </w:t>
      </w:r>
      <w:r w:rsidRPr="00AD6330" w:rsidR="000B78D3">
        <w:rPr>
          <w:szCs w:val="26"/>
        </w:rPr>
        <w:t>(</w:t>
      </w:r>
      <w:r w:rsidRPr="00AD6330" w:rsidR="000B1C43">
        <w:rPr>
          <w:i/>
          <w:iCs/>
          <w:szCs w:val="26"/>
        </w:rPr>
        <w:t>Walker</w:t>
      </w:r>
      <w:r w:rsidRPr="00AD6330" w:rsidR="000B1C43">
        <w:rPr>
          <w:szCs w:val="26"/>
        </w:rPr>
        <w:t xml:space="preserve">, </w:t>
      </w:r>
      <w:r w:rsidRPr="00AD6330" w:rsidR="000B1C43">
        <w:rPr>
          <w:i/>
          <w:iCs/>
          <w:szCs w:val="26"/>
        </w:rPr>
        <w:t>supra</w:t>
      </w:r>
      <w:r w:rsidRPr="00AD6330" w:rsidR="000B1C43">
        <w:rPr>
          <w:szCs w:val="26"/>
        </w:rPr>
        <w:t xml:space="preserve">, </w:t>
      </w:r>
      <w:r w:rsidRPr="00AD6330" w:rsidR="00ED3233">
        <w:rPr>
          <w:szCs w:val="26"/>
        </w:rPr>
        <w:t>86 </w:t>
      </w:r>
      <w:r w:rsidRPr="00AD6330" w:rsidR="000B1C43">
        <w:rPr>
          <w:szCs w:val="26"/>
        </w:rPr>
        <w:t>Cal.App.5th at p.</w:t>
      </w:r>
      <w:r w:rsidRPr="00AD6330" w:rsidR="000D63EC">
        <w:rPr>
          <w:szCs w:val="26"/>
        </w:rPr>
        <w:t> </w:t>
      </w:r>
      <w:r w:rsidRPr="00AD6330" w:rsidR="000B1C43">
        <w:rPr>
          <w:szCs w:val="26"/>
        </w:rPr>
        <w:t>392.</w:t>
      </w:r>
      <w:r w:rsidRPr="00AD6330" w:rsidR="000B78D3">
        <w:rPr>
          <w:szCs w:val="26"/>
        </w:rPr>
        <w:t>)</w:t>
      </w:r>
    </w:p>
    <w:p w:rsidR="00BE3C3A" w:rsidRPr="00AD6330" w:rsidP="00A9236E" w14:paraId="4FD52652" w14:textId="29E1FF40">
      <w:pPr>
        <w:pStyle w:val="Text"/>
        <w:spacing w:line="400" w:lineRule="exact"/>
        <w:ind w:firstLine="720"/>
        <w:rPr>
          <w:szCs w:val="26"/>
        </w:rPr>
      </w:pPr>
      <w:r w:rsidRPr="00AD6330">
        <w:rPr>
          <w:szCs w:val="26"/>
        </w:rPr>
        <w:t xml:space="preserve">Defendant was convicted of assault with a deadly weapon (§ 245, subd. (a)(1)), elder abuse (§ 368, subd. (b)(1)), and misdemeanor battery (§ 242).  The jury also found true </w:t>
      </w:r>
      <w:r w:rsidRPr="00AD6330" w:rsidR="002E379B">
        <w:rPr>
          <w:szCs w:val="26"/>
        </w:rPr>
        <w:t xml:space="preserve">enhancement </w:t>
      </w:r>
      <w:r w:rsidRPr="00AD6330">
        <w:rPr>
          <w:szCs w:val="26"/>
        </w:rPr>
        <w:t xml:space="preserve">allegations that defendant personally used a deadly weapon (§ 12022, subd. (b)(1)) and personally inflicted great bodily injury on a person 70 years of age or older (§ 12022.7, subd. (c)).  </w:t>
      </w:r>
      <w:r w:rsidRPr="00AD6330" w:rsidR="00BD2181">
        <w:rPr>
          <w:szCs w:val="26"/>
        </w:rPr>
        <w:t>Defendant admitted that he had</w:t>
      </w:r>
      <w:r w:rsidRPr="00AD6330">
        <w:rPr>
          <w:szCs w:val="26"/>
        </w:rPr>
        <w:t xml:space="preserve"> suffered two prior strike convictions (§§ 667, subds. (b)</w:t>
      </w:r>
      <w:r w:rsidRPr="00AD6330" w:rsidR="000B78D3">
        <w:rPr>
          <w:szCs w:val="26"/>
        </w:rPr>
        <w:t>–</w:t>
      </w:r>
      <w:r w:rsidRPr="00AD6330">
        <w:rPr>
          <w:szCs w:val="26"/>
        </w:rPr>
        <w:t>(i)</w:t>
      </w:r>
      <w:r w:rsidR="00D5626C">
        <w:rPr>
          <w:szCs w:val="26"/>
        </w:rPr>
        <w:t xml:space="preserve"> </w:t>
      </w:r>
      <w:r w:rsidR="0082732F">
        <w:rPr>
          <w:szCs w:val="26"/>
        </w:rPr>
        <w:t>&amp;</w:t>
      </w:r>
      <w:r w:rsidR="00D5626C">
        <w:rPr>
          <w:szCs w:val="26"/>
        </w:rPr>
        <w:t xml:space="preserve"> </w:t>
      </w:r>
      <w:r w:rsidRPr="00AD6330">
        <w:rPr>
          <w:szCs w:val="26"/>
        </w:rPr>
        <w:t>1170.12, subds. (a)</w:t>
      </w:r>
      <w:r w:rsidRPr="00AD6330" w:rsidR="000B78D3">
        <w:rPr>
          <w:szCs w:val="26"/>
        </w:rPr>
        <w:t>–</w:t>
      </w:r>
      <w:r w:rsidRPr="00AD6330">
        <w:rPr>
          <w:szCs w:val="26"/>
        </w:rPr>
        <w:t xml:space="preserve">(d)), </w:t>
      </w:r>
      <w:r w:rsidRPr="00AD6330" w:rsidR="000D63EC">
        <w:rPr>
          <w:szCs w:val="26"/>
        </w:rPr>
        <w:t xml:space="preserve">as well as </w:t>
      </w:r>
      <w:r w:rsidRPr="00AD6330">
        <w:rPr>
          <w:szCs w:val="26"/>
        </w:rPr>
        <w:t xml:space="preserve">a prior serious felony conviction (§ 667, subd. (a)(1)), and </w:t>
      </w:r>
      <w:r w:rsidR="00D5626C">
        <w:rPr>
          <w:szCs w:val="26"/>
        </w:rPr>
        <w:t xml:space="preserve">he </w:t>
      </w:r>
      <w:r w:rsidRPr="00AD6330" w:rsidR="003A78CB">
        <w:rPr>
          <w:szCs w:val="26"/>
        </w:rPr>
        <w:t xml:space="preserve">had </w:t>
      </w:r>
      <w:r w:rsidRPr="00AD6330">
        <w:rPr>
          <w:szCs w:val="26"/>
        </w:rPr>
        <w:t>served two prior prison terms</w:t>
      </w:r>
      <w:r w:rsidRPr="00AD6330" w:rsidR="003A78CB">
        <w:rPr>
          <w:szCs w:val="26"/>
        </w:rPr>
        <w:t xml:space="preserve"> </w:t>
      </w:r>
      <w:r w:rsidRPr="00AD6330">
        <w:rPr>
          <w:szCs w:val="26"/>
        </w:rPr>
        <w:t xml:space="preserve">(§ 667.5, subd. (b)).  </w:t>
      </w:r>
    </w:p>
    <w:p w:rsidR="00BE3C3A" w:rsidRPr="00AD6330" w:rsidP="00A9236E" w14:paraId="161AA58E" w14:textId="1145FC79">
      <w:pPr>
        <w:pStyle w:val="Text"/>
        <w:spacing w:line="400" w:lineRule="exact"/>
        <w:ind w:firstLine="720"/>
        <w:rPr>
          <w:szCs w:val="26"/>
        </w:rPr>
      </w:pPr>
      <w:r w:rsidRPr="00AD6330">
        <w:rPr>
          <w:szCs w:val="26"/>
        </w:rPr>
        <w:t xml:space="preserve">In November 2012, </w:t>
      </w:r>
      <w:r w:rsidRPr="00AD6330" w:rsidR="004C22C2">
        <w:rPr>
          <w:szCs w:val="26"/>
        </w:rPr>
        <w:t xml:space="preserve">after dismissing one of defendant’s two strikes, </w:t>
      </w:r>
      <w:r w:rsidRPr="00AD6330">
        <w:rPr>
          <w:szCs w:val="26"/>
        </w:rPr>
        <w:t>the trial court sentenced defendant to an aggregate determinate term of 20 years in prison</w:t>
      </w:r>
      <w:r w:rsidRPr="00AD6330" w:rsidR="00565646">
        <w:rPr>
          <w:szCs w:val="26"/>
        </w:rPr>
        <w:t>.  The sentence consisted</w:t>
      </w:r>
      <w:r w:rsidRPr="00AD6330">
        <w:rPr>
          <w:szCs w:val="26"/>
        </w:rPr>
        <w:t xml:space="preserve"> of the upper term of four years (doubled to eight years under the Three Strikes law) for assault with a deadly weapon, consecutive to five years for the great bodily injury enhancement, five years for the prior serious felony enhancement, </w:t>
      </w:r>
      <w:r w:rsidRPr="00AD6330" w:rsidR="00390D94">
        <w:rPr>
          <w:szCs w:val="26"/>
        </w:rPr>
        <w:t>and</w:t>
      </w:r>
      <w:r w:rsidRPr="00AD6330">
        <w:rPr>
          <w:szCs w:val="26"/>
        </w:rPr>
        <w:t xml:space="preserve"> one year each for the two prior prison term enhancements.  </w:t>
      </w:r>
      <w:r w:rsidRPr="00AD6330" w:rsidR="0066040B">
        <w:rPr>
          <w:szCs w:val="26"/>
        </w:rPr>
        <w:t>T</w:t>
      </w:r>
      <w:r w:rsidRPr="00AD6330" w:rsidR="00390D94">
        <w:rPr>
          <w:szCs w:val="26"/>
        </w:rPr>
        <w:t xml:space="preserve">he Court of Appeal </w:t>
      </w:r>
      <w:r w:rsidRPr="00AD6330">
        <w:rPr>
          <w:szCs w:val="26"/>
        </w:rPr>
        <w:t xml:space="preserve">affirmed the judgment </w:t>
      </w:r>
      <w:r w:rsidRPr="00AD6330" w:rsidR="00390D94">
        <w:rPr>
          <w:szCs w:val="26"/>
        </w:rPr>
        <w:t xml:space="preserve">and sentence. </w:t>
      </w:r>
      <w:r w:rsidRPr="00AD6330">
        <w:rPr>
          <w:szCs w:val="26"/>
        </w:rPr>
        <w:t xml:space="preserve"> (</w:t>
      </w:r>
      <w:r w:rsidRPr="00AD6330">
        <w:rPr>
          <w:i/>
          <w:iCs/>
          <w:szCs w:val="26"/>
        </w:rPr>
        <w:t>People v. Walker</w:t>
      </w:r>
      <w:r w:rsidRPr="00AD6330">
        <w:rPr>
          <w:szCs w:val="26"/>
        </w:rPr>
        <w:t xml:space="preserve"> (Feb. 24, 2014, B245405) </w:t>
      </w:r>
      <w:r w:rsidR="00927F62">
        <w:rPr>
          <w:szCs w:val="26"/>
        </w:rPr>
        <w:t>[</w:t>
      </w:r>
      <w:r w:rsidRPr="00AD6330">
        <w:rPr>
          <w:szCs w:val="26"/>
        </w:rPr>
        <w:t>nonpub. opn.</w:t>
      </w:r>
      <w:r w:rsidR="00927F62">
        <w:rPr>
          <w:szCs w:val="26"/>
        </w:rPr>
        <w:t>].</w:t>
      </w:r>
      <w:r w:rsidRPr="00AD6330" w:rsidR="003A78CB">
        <w:rPr>
          <w:szCs w:val="26"/>
        </w:rPr>
        <w:t>)</w:t>
      </w:r>
    </w:p>
    <w:p w:rsidR="00BA384B" w:rsidRPr="00AD6330" w:rsidP="00A9236E" w14:paraId="20DC15DC" w14:textId="41E736A6">
      <w:pPr>
        <w:pStyle w:val="Text"/>
        <w:spacing w:line="400" w:lineRule="exact"/>
        <w:ind w:firstLine="720"/>
        <w:rPr>
          <w:szCs w:val="26"/>
        </w:rPr>
      </w:pPr>
      <w:r w:rsidRPr="00AD6330">
        <w:rPr>
          <w:szCs w:val="26"/>
        </w:rPr>
        <w:t xml:space="preserve">In a 2017 habeas proceeding, the trial court struck one of defendant’s prior prison term enhancements, reducing his sentence to 19 years.  </w:t>
      </w:r>
    </w:p>
    <w:p w:rsidR="00BE3C3A" w:rsidRPr="00AD6330" w:rsidP="00A9236E" w14:paraId="1E72ED34" w14:textId="1427DDD7">
      <w:pPr>
        <w:pStyle w:val="Text"/>
        <w:spacing w:line="400" w:lineRule="exact"/>
        <w:ind w:firstLine="720"/>
        <w:rPr>
          <w:szCs w:val="26"/>
        </w:rPr>
      </w:pPr>
      <w:r w:rsidRPr="00AD6330">
        <w:rPr>
          <w:szCs w:val="26"/>
        </w:rPr>
        <w:t>In a</w:t>
      </w:r>
      <w:r w:rsidR="000E0F36">
        <w:rPr>
          <w:szCs w:val="26"/>
        </w:rPr>
        <w:t xml:space="preserve"> separate</w:t>
      </w:r>
      <w:r w:rsidRPr="00AD6330">
        <w:rPr>
          <w:szCs w:val="26"/>
        </w:rPr>
        <w:t xml:space="preserve"> </w:t>
      </w:r>
      <w:r w:rsidRPr="00AD6330" w:rsidR="00E86F28">
        <w:rPr>
          <w:szCs w:val="26"/>
        </w:rPr>
        <w:t>2018</w:t>
      </w:r>
      <w:r w:rsidRPr="00AD6330">
        <w:rPr>
          <w:szCs w:val="26"/>
        </w:rPr>
        <w:t xml:space="preserve"> habeas proceeding, </w:t>
      </w:r>
      <w:r w:rsidRPr="00AD6330" w:rsidR="00CC73DA">
        <w:rPr>
          <w:szCs w:val="26"/>
        </w:rPr>
        <w:t>defendant successfully sought relief from his</w:t>
      </w:r>
      <w:r w:rsidRPr="00AD6330">
        <w:rPr>
          <w:szCs w:val="26"/>
        </w:rPr>
        <w:t xml:space="preserve"> </w:t>
      </w:r>
      <w:r w:rsidRPr="00AD6330" w:rsidR="00777194">
        <w:rPr>
          <w:szCs w:val="26"/>
        </w:rPr>
        <w:t xml:space="preserve">only remaining </w:t>
      </w:r>
      <w:r w:rsidRPr="00AD6330">
        <w:rPr>
          <w:szCs w:val="26"/>
        </w:rPr>
        <w:t xml:space="preserve">prior prison term </w:t>
      </w:r>
      <w:r w:rsidRPr="00AD6330" w:rsidR="00777194">
        <w:rPr>
          <w:szCs w:val="26"/>
        </w:rPr>
        <w:t>enhancement</w:t>
      </w:r>
      <w:r w:rsidR="000E0F36">
        <w:rPr>
          <w:szCs w:val="26"/>
        </w:rPr>
        <w:t>,</w:t>
      </w:r>
      <w:r w:rsidRPr="00AD6330" w:rsidR="00777194">
        <w:rPr>
          <w:szCs w:val="26"/>
        </w:rPr>
        <w:t xml:space="preserve"> </w:t>
      </w:r>
      <w:r w:rsidRPr="00AD6330" w:rsidR="00CC73DA">
        <w:rPr>
          <w:szCs w:val="26"/>
        </w:rPr>
        <w:t xml:space="preserve">and the matter was </w:t>
      </w:r>
      <w:r w:rsidRPr="00AD6330" w:rsidR="00C75119">
        <w:rPr>
          <w:szCs w:val="26"/>
        </w:rPr>
        <w:t>remanded</w:t>
      </w:r>
      <w:r w:rsidRPr="00AD6330" w:rsidR="00BA384B">
        <w:rPr>
          <w:szCs w:val="26"/>
        </w:rPr>
        <w:t xml:space="preserve"> for</w:t>
      </w:r>
      <w:r w:rsidRPr="00AD6330" w:rsidR="00CC73DA">
        <w:rPr>
          <w:szCs w:val="26"/>
        </w:rPr>
        <w:t xml:space="preserve"> the trial court to consider “whether to conduct a full resentencing.”  (</w:t>
      </w:r>
      <w:r w:rsidRPr="00AD6330" w:rsidR="00CC73DA">
        <w:rPr>
          <w:i/>
          <w:iCs/>
          <w:szCs w:val="26"/>
        </w:rPr>
        <w:t>People v. Walker</w:t>
      </w:r>
      <w:r w:rsidRPr="00AD6330" w:rsidR="00CC73DA">
        <w:rPr>
          <w:szCs w:val="26"/>
        </w:rPr>
        <w:t xml:space="preserve"> (2021) </w:t>
      </w:r>
      <w:r w:rsidRPr="00AD6330" w:rsidR="00541A17">
        <w:rPr>
          <w:szCs w:val="26"/>
        </w:rPr>
        <w:t>67 </w:t>
      </w:r>
      <w:r w:rsidRPr="00AD6330" w:rsidR="00CC73DA">
        <w:rPr>
          <w:szCs w:val="26"/>
        </w:rPr>
        <w:t>Cal.App.5th 198</w:t>
      </w:r>
      <w:r w:rsidRPr="00AD6330" w:rsidR="00ED3233">
        <w:rPr>
          <w:szCs w:val="26"/>
        </w:rPr>
        <w:t xml:space="preserve">, 208; see </w:t>
      </w:r>
      <w:r w:rsidRPr="00AD6330" w:rsidR="00ED3233">
        <w:rPr>
          <w:i/>
          <w:iCs/>
          <w:szCs w:val="26"/>
        </w:rPr>
        <w:t xml:space="preserve">id. </w:t>
      </w:r>
      <w:r w:rsidRPr="00AD6330" w:rsidR="00ED3233">
        <w:rPr>
          <w:szCs w:val="26"/>
        </w:rPr>
        <w:t>at p</w:t>
      </w:r>
      <w:r w:rsidRPr="00AD6330" w:rsidR="00541A17">
        <w:rPr>
          <w:szCs w:val="26"/>
        </w:rPr>
        <w:t>. </w:t>
      </w:r>
      <w:r w:rsidRPr="00AD6330" w:rsidR="00ED3233">
        <w:rPr>
          <w:szCs w:val="26"/>
        </w:rPr>
        <w:t xml:space="preserve">204 [citing our opinion in </w:t>
      </w:r>
      <w:r w:rsidRPr="00AD6330" w:rsidR="00806D9C">
        <w:rPr>
          <w:i/>
          <w:iCs/>
          <w:szCs w:val="26"/>
        </w:rPr>
        <w:t xml:space="preserve">People v. </w:t>
      </w:r>
      <w:r w:rsidRPr="00AD6330" w:rsidR="00ED3233">
        <w:rPr>
          <w:i/>
          <w:iCs/>
          <w:szCs w:val="26"/>
        </w:rPr>
        <w:t>Buycks</w:t>
      </w:r>
      <w:r w:rsidRPr="00AD6330" w:rsidR="00806D9C">
        <w:rPr>
          <w:i/>
          <w:iCs/>
          <w:szCs w:val="26"/>
        </w:rPr>
        <w:t xml:space="preserve"> </w:t>
      </w:r>
      <w:r w:rsidRPr="00AD6330" w:rsidR="00806D9C">
        <w:rPr>
          <w:szCs w:val="26"/>
        </w:rPr>
        <w:t xml:space="preserve">(2018) </w:t>
      </w:r>
      <w:r w:rsidRPr="00AD6330" w:rsidR="00ED3233">
        <w:rPr>
          <w:szCs w:val="26"/>
        </w:rPr>
        <w:t>5</w:t>
      </w:r>
      <w:r w:rsidRPr="00AD6330" w:rsidR="00806D9C">
        <w:rPr>
          <w:szCs w:val="26"/>
        </w:rPr>
        <w:t> </w:t>
      </w:r>
      <w:r w:rsidRPr="00AD6330" w:rsidR="00ED3233">
        <w:rPr>
          <w:szCs w:val="26"/>
        </w:rPr>
        <w:t xml:space="preserve">Cal.5th </w:t>
      </w:r>
      <w:r w:rsidRPr="00AD6330" w:rsidR="00806D9C">
        <w:rPr>
          <w:szCs w:val="26"/>
        </w:rPr>
        <w:t xml:space="preserve">857, </w:t>
      </w:r>
      <w:r w:rsidRPr="00AD6330" w:rsidR="00ED3233">
        <w:rPr>
          <w:szCs w:val="26"/>
        </w:rPr>
        <w:t>893</w:t>
      </w:r>
      <w:r w:rsidRPr="00AD6330" w:rsidR="00806D9C">
        <w:rPr>
          <w:szCs w:val="26"/>
        </w:rPr>
        <w:t xml:space="preserve"> for its statements regarding the “full resentencing” rule].) </w:t>
      </w:r>
      <w:r w:rsidRPr="00AD6330" w:rsidR="00CC73DA">
        <w:rPr>
          <w:szCs w:val="26"/>
        </w:rPr>
        <w:t xml:space="preserve"> While th</w:t>
      </w:r>
      <w:r w:rsidRPr="00AD6330" w:rsidR="003C1117">
        <w:rPr>
          <w:szCs w:val="26"/>
        </w:rPr>
        <w:t>at</w:t>
      </w:r>
      <w:r w:rsidRPr="00AD6330" w:rsidR="00CC73DA">
        <w:rPr>
          <w:szCs w:val="26"/>
        </w:rPr>
        <w:t xml:space="preserve"> matter was </w:t>
      </w:r>
      <w:r w:rsidRPr="00AD6330" w:rsidR="003C1117">
        <w:rPr>
          <w:szCs w:val="26"/>
        </w:rPr>
        <w:t xml:space="preserve">still </w:t>
      </w:r>
      <w:r w:rsidRPr="00AD6330" w:rsidR="00CC73DA">
        <w:rPr>
          <w:szCs w:val="26"/>
        </w:rPr>
        <w:t>pending</w:t>
      </w:r>
      <w:r w:rsidRPr="00AD6330">
        <w:rPr>
          <w:szCs w:val="26"/>
        </w:rPr>
        <w:t>, Senate Bill No. 81 (Stats. 2021, ch. 721</w:t>
      </w:r>
      <w:r w:rsidR="00E531AA">
        <w:rPr>
          <w:szCs w:val="26"/>
        </w:rPr>
        <w:t>, § 1</w:t>
      </w:r>
      <w:r w:rsidRPr="00AD6330">
        <w:rPr>
          <w:szCs w:val="26"/>
        </w:rPr>
        <w:t xml:space="preserve">) added subdivision (c) to section 1385, effective January 1, 2022, allowing the trial court to dismiss any enhancement </w:t>
      </w:r>
      <w:r w:rsidRPr="00AD6330" w:rsidR="00706610">
        <w:rPr>
          <w:szCs w:val="26"/>
        </w:rPr>
        <w:t>“in the furtherance of justice”</w:t>
      </w:r>
      <w:r w:rsidRPr="00AD6330" w:rsidR="00D54AAB">
        <w:rPr>
          <w:szCs w:val="26"/>
        </w:rPr>
        <w:t xml:space="preserve"> (§ 1385, subd. (c)(1))</w:t>
      </w:r>
      <w:r w:rsidRPr="00AD6330">
        <w:rPr>
          <w:szCs w:val="26"/>
        </w:rPr>
        <w:t xml:space="preserve"> unless otherwise prohibited, </w:t>
      </w:r>
      <w:r w:rsidRPr="00AD6330" w:rsidR="00AD634D">
        <w:rPr>
          <w:szCs w:val="26"/>
        </w:rPr>
        <w:t>and providing that nine enumerated mitigating circumstances (two of which apply to defendant</w:t>
      </w:r>
      <w:r w:rsidRPr="00AD6330" w:rsidR="00AD634D">
        <w:t xml:space="preserve"> — </w:t>
      </w:r>
      <w:r w:rsidRPr="00AD6330" w:rsidR="00AD634D">
        <w:rPr>
          <w:szCs w:val="26"/>
        </w:rPr>
        <w:t>section 1385, subdivision (c)(2), subparagraphs (B) [multiple enhancements alleged] and (H) [prior conviction over five years old]) “weigh[] greatly in favor of dismissing the enhancement, unless the court finds that dismissal of the enhancement would endanger public safety.”</w:t>
      </w:r>
      <w:r w:rsidRPr="00AD6330">
        <w:rPr>
          <w:szCs w:val="26"/>
        </w:rPr>
        <w:t xml:space="preserve">  (</w:t>
      </w:r>
      <w:r w:rsidRPr="00AD6330" w:rsidR="00BD6A37">
        <w:rPr>
          <w:i/>
          <w:iCs/>
          <w:szCs w:val="26"/>
        </w:rPr>
        <w:t>Id.</w:t>
      </w:r>
      <w:r w:rsidRPr="00AD6330">
        <w:rPr>
          <w:szCs w:val="26"/>
        </w:rPr>
        <w:t>, subd. (c)(</w:t>
      </w:r>
      <w:r w:rsidRPr="00AD6330" w:rsidR="00706610">
        <w:rPr>
          <w:szCs w:val="26"/>
        </w:rPr>
        <w:t>2</w:t>
      </w:r>
      <w:r w:rsidRPr="00AD6330">
        <w:rPr>
          <w:szCs w:val="26"/>
        </w:rPr>
        <w:t>).)</w:t>
      </w:r>
      <w:r>
        <w:rPr>
          <w:rStyle w:val="FootnoteReference"/>
        </w:rPr>
        <w:footnoteReference w:id="5"/>
      </w:r>
      <w:r w:rsidRPr="00AD6330">
        <w:rPr>
          <w:szCs w:val="26"/>
        </w:rPr>
        <w:t xml:space="preserve">  </w:t>
      </w:r>
      <w:r w:rsidRPr="00AD6330" w:rsidR="003C1117">
        <w:rPr>
          <w:szCs w:val="26"/>
        </w:rPr>
        <w:t>D</w:t>
      </w:r>
      <w:r w:rsidRPr="00AD6330" w:rsidR="0001445E">
        <w:rPr>
          <w:szCs w:val="26"/>
        </w:rPr>
        <w:t>efendant filed a motion for resentencing</w:t>
      </w:r>
      <w:r w:rsidRPr="00AD6330" w:rsidR="003C1117">
        <w:rPr>
          <w:szCs w:val="26"/>
        </w:rPr>
        <w:t xml:space="preserve"> in the trial court</w:t>
      </w:r>
      <w:r w:rsidRPr="00AD6330" w:rsidR="00777194">
        <w:rPr>
          <w:szCs w:val="26"/>
        </w:rPr>
        <w:t>,</w:t>
      </w:r>
      <w:r w:rsidRPr="00AD6330" w:rsidR="00F348E3">
        <w:rPr>
          <w:szCs w:val="26"/>
        </w:rPr>
        <w:t xml:space="preserve"> </w:t>
      </w:r>
      <w:r w:rsidRPr="00AD6330" w:rsidR="00FB6E12">
        <w:rPr>
          <w:szCs w:val="26"/>
        </w:rPr>
        <w:t xml:space="preserve">seeking, inter alia, </w:t>
      </w:r>
      <w:r w:rsidRPr="00AD6330" w:rsidR="00E717B9">
        <w:rPr>
          <w:szCs w:val="26"/>
        </w:rPr>
        <w:t>that “[a]t least one five-year enhancement .</w:t>
      </w:r>
      <w:r w:rsidRPr="00AD6330" w:rsidR="00C5118B">
        <w:rPr>
          <w:szCs w:val="26"/>
        </w:rPr>
        <w:t> </w:t>
      </w:r>
      <w:r w:rsidRPr="00AD6330" w:rsidR="00E717B9">
        <w:rPr>
          <w:szCs w:val="26"/>
        </w:rPr>
        <w:t>.</w:t>
      </w:r>
      <w:r w:rsidRPr="00AD6330" w:rsidR="00C5118B">
        <w:rPr>
          <w:szCs w:val="26"/>
        </w:rPr>
        <w:t> </w:t>
      </w:r>
      <w:r w:rsidRPr="00AD6330" w:rsidR="00E717B9">
        <w:rPr>
          <w:szCs w:val="26"/>
        </w:rPr>
        <w:t>. be dismissed because there are two mitigating factors justifying dismissal.”  T</w:t>
      </w:r>
      <w:r w:rsidRPr="00AD6330" w:rsidR="00F348E3">
        <w:rPr>
          <w:szCs w:val="26"/>
        </w:rPr>
        <w:t>he People opposed</w:t>
      </w:r>
      <w:r w:rsidRPr="00AD6330" w:rsidR="00E717B9">
        <w:rPr>
          <w:szCs w:val="26"/>
        </w:rPr>
        <w:t xml:space="preserve"> defendant’s motion</w:t>
      </w:r>
      <w:r w:rsidRPr="00AD6330" w:rsidR="00F348E3">
        <w:rPr>
          <w:szCs w:val="26"/>
        </w:rPr>
        <w:t>.</w:t>
      </w:r>
      <w:r w:rsidRPr="00AD6330">
        <w:rPr>
          <w:szCs w:val="26"/>
        </w:rPr>
        <w:t xml:space="preserve"> </w:t>
      </w:r>
      <w:r w:rsidRPr="00AD6330" w:rsidR="00F348E3">
        <w:rPr>
          <w:szCs w:val="26"/>
        </w:rPr>
        <w:t xml:space="preserve"> </w:t>
      </w:r>
    </w:p>
    <w:p w:rsidR="00BE3C3A" w:rsidRPr="00AD6330" w:rsidP="00A9236E" w14:paraId="3A02A288" w14:textId="40E822D2">
      <w:pPr>
        <w:ind w:firstLine="720"/>
        <w:rPr>
          <w:szCs w:val="26"/>
        </w:rPr>
      </w:pPr>
      <w:r w:rsidRPr="00AD6330">
        <w:rPr>
          <w:szCs w:val="26"/>
        </w:rPr>
        <w:t>In April 2022, the trial court conducted a full resentencing</w:t>
      </w:r>
      <w:r w:rsidRPr="00AD6330" w:rsidR="00F348E3">
        <w:rPr>
          <w:szCs w:val="26"/>
        </w:rPr>
        <w:t xml:space="preserve"> hearing</w:t>
      </w:r>
      <w:r w:rsidRPr="00AD6330" w:rsidR="00F727E0">
        <w:rPr>
          <w:szCs w:val="26"/>
        </w:rPr>
        <w:t xml:space="preserve">, agreeing with defendant that the Court of Appeal intended for the court </w:t>
      </w:r>
      <w:r w:rsidRPr="00AD6330" w:rsidR="00FF326D">
        <w:rPr>
          <w:szCs w:val="26"/>
        </w:rPr>
        <w:t>to “consider .</w:t>
      </w:r>
      <w:r w:rsidRPr="00AD6330" w:rsidR="00E47F9C">
        <w:rPr>
          <w:szCs w:val="26"/>
        </w:rPr>
        <w:t> </w:t>
      </w:r>
      <w:r w:rsidRPr="00AD6330" w:rsidR="00FF326D">
        <w:rPr>
          <w:szCs w:val="26"/>
        </w:rPr>
        <w:t>.</w:t>
      </w:r>
      <w:r w:rsidRPr="00AD6330" w:rsidR="00E47F9C">
        <w:rPr>
          <w:szCs w:val="26"/>
        </w:rPr>
        <w:t> </w:t>
      </w:r>
      <w:r w:rsidRPr="00AD6330" w:rsidR="00FF326D">
        <w:rPr>
          <w:szCs w:val="26"/>
        </w:rPr>
        <w:t>.</w:t>
      </w:r>
      <w:r w:rsidRPr="00AD6330" w:rsidR="00B731E6">
        <w:rPr>
          <w:szCs w:val="26"/>
        </w:rPr>
        <w:t xml:space="preserve"> </w:t>
      </w:r>
      <w:r w:rsidRPr="00AD6330" w:rsidR="00FF326D">
        <w:rPr>
          <w:szCs w:val="26"/>
        </w:rPr>
        <w:t>the law as it is now[.]”</w:t>
      </w:r>
      <w:r w:rsidRPr="00AD6330" w:rsidR="00F727E0">
        <w:rPr>
          <w:szCs w:val="26"/>
        </w:rPr>
        <w:t xml:space="preserve">  </w:t>
      </w:r>
      <w:r w:rsidRPr="00AD6330" w:rsidR="003C1117">
        <w:rPr>
          <w:szCs w:val="26"/>
        </w:rPr>
        <w:t xml:space="preserve">The trial court </w:t>
      </w:r>
      <w:r w:rsidRPr="00AD6330">
        <w:rPr>
          <w:szCs w:val="26"/>
        </w:rPr>
        <w:t xml:space="preserve">declined to exercise its discretion under section 1385, as amended by Senate Bill No. 81, to dismiss </w:t>
      </w:r>
      <w:r w:rsidRPr="00AD6330" w:rsidR="00765934">
        <w:rPr>
          <w:szCs w:val="26"/>
        </w:rPr>
        <w:t xml:space="preserve">defendant’s </w:t>
      </w:r>
      <w:r w:rsidRPr="00AD6330">
        <w:rPr>
          <w:szCs w:val="26"/>
        </w:rPr>
        <w:t>enhancement</w:t>
      </w:r>
      <w:r w:rsidRPr="00AD6330" w:rsidR="00977EF1">
        <w:rPr>
          <w:szCs w:val="26"/>
        </w:rPr>
        <w:t>s</w:t>
      </w:r>
      <w:r w:rsidRPr="00AD6330" w:rsidR="001112D1">
        <w:rPr>
          <w:szCs w:val="26"/>
        </w:rPr>
        <w:t xml:space="preserve">.  </w:t>
      </w:r>
      <w:r w:rsidRPr="00AD6330" w:rsidR="007E2A06">
        <w:rPr>
          <w:szCs w:val="26"/>
        </w:rPr>
        <w:t>The trial court stated in part, “I don’t find it’s in the interest of justice to</w:t>
      </w:r>
      <w:r w:rsidRPr="00AD6330" w:rsidR="003B375F">
        <w:rPr>
          <w:szCs w:val="26"/>
        </w:rPr>
        <w:t> </w:t>
      </w:r>
      <w:r w:rsidRPr="00AD6330" w:rsidR="007E2A06">
        <w:rPr>
          <w:szCs w:val="26"/>
        </w:rPr>
        <w:t>—</w:t>
      </w:r>
      <w:r w:rsidRPr="00AD6330" w:rsidR="003B375F">
        <w:rPr>
          <w:szCs w:val="26"/>
        </w:rPr>
        <w:t xml:space="preserve"> </w:t>
      </w:r>
      <w:r w:rsidRPr="00AD6330" w:rsidR="007E2A06">
        <w:rPr>
          <w:szCs w:val="26"/>
        </w:rPr>
        <w:t>despite the new law under 1385 to dismiss these enhancements, even though there are multiple enhancements in this case.”</w:t>
      </w:r>
      <w:r>
        <w:rPr>
          <w:rStyle w:val="FootnoteReference"/>
          <w:szCs w:val="26"/>
        </w:rPr>
        <w:footnoteReference w:id="6"/>
      </w:r>
    </w:p>
    <w:p w:rsidR="00BB42CD" w:rsidRPr="00AD6330" w:rsidP="00A9236E" w14:paraId="1D9DA1E7" w14:textId="689CEB2F">
      <w:pPr>
        <w:ind w:firstLine="720"/>
        <w:rPr>
          <w:szCs w:val="26"/>
        </w:rPr>
      </w:pPr>
      <w:r w:rsidRPr="00AD6330">
        <w:rPr>
          <w:szCs w:val="26"/>
        </w:rPr>
        <w:t>Defendant appealed</w:t>
      </w:r>
      <w:r w:rsidRPr="00AD6330" w:rsidR="00117188">
        <w:rPr>
          <w:szCs w:val="26"/>
        </w:rPr>
        <w:t xml:space="preserve">, asserting that the trial court’s decision not to strike </w:t>
      </w:r>
      <w:r w:rsidRPr="00AD6330" w:rsidR="007C2FE2">
        <w:rPr>
          <w:szCs w:val="26"/>
        </w:rPr>
        <w:t xml:space="preserve">his </w:t>
      </w:r>
      <w:r w:rsidRPr="00AD6330" w:rsidR="00117188">
        <w:rPr>
          <w:szCs w:val="26"/>
        </w:rPr>
        <w:t>five-year prior serious felony enhancement “cannot be reconciled with section 1385,” as amended</w:t>
      </w:r>
      <w:r w:rsidR="00D1296B">
        <w:rPr>
          <w:szCs w:val="26"/>
        </w:rPr>
        <w:t xml:space="preserve"> by </w:t>
      </w:r>
      <w:r w:rsidRPr="00892E50" w:rsidR="00D1296B">
        <w:rPr>
          <w:szCs w:val="26"/>
        </w:rPr>
        <w:t>Stat</w:t>
      </w:r>
      <w:r w:rsidR="00094BEE">
        <w:rPr>
          <w:szCs w:val="26"/>
        </w:rPr>
        <w:t>utes</w:t>
      </w:r>
      <w:r w:rsidRPr="00892E50" w:rsidR="00D1296B">
        <w:rPr>
          <w:szCs w:val="26"/>
        </w:rPr>
        <w:t xml:space="preserve"> 2021, ch</w:t>
      </w:r>
      <w:r w:rsidR="00094BEE">
        <w:rPr>
          <w:szCs w:val="26"/>
        </w:rPr>
        <w:t>apter</w:t>
      </w:r>
      <w:r w:rsidRPr="00892E50" w:rsidR="00D1296B">
        <w:rPr>
          <w:szCs w:val="26"/>
        </w:rPr>
        <w:t xml:space="preserve"> 721</w:t>
      </w:r>
      <w:r w:rsidR="00D1296B">
        <w:rPr>
          <w:szCs w:val="26"/>
        </w:rPr>
        <w:t xml:space="preserve">, </w:t>
      </w:r>
      <w:r w:rsidR="00094BEE">
        <w:rPr>
          <w:szCs w:val="26"/>
        </w:rPr>
        <w:t>section</w:t>
      </w:r>
      <w:r w:rsidR="00D1296B">
        <w:rPr>
          <w:szCs w:val="26"/>
        </w:rPr>
        <w:t xml:space="preserve"> 1</w:t>
      </w:r>
      <w:r w:rsidRPr="00AD6330" w:rsidR="00117188">
        <w:rPr>
          <w:szCs w:val="26"/>
        </w:rPr>
        <w:t>.</w:t>
      </w:r>
      <w:r w:rsidRPr="00AD6330" w:rsidR="004C22C2">
        <w:rPr>
          <w:szCs w:val="26"/>
        </w:rPr>
        <w:t xml:space="preserve"> </w:t>
      </w:r>
      <w:r w:rsidRPr="00AD6330" w:rsidR="00117188">
        <w:rPr>
          <w:szCs w:val="26"/>
        </w:rPr>
        <w:t xml:space="preserve"> </w:t>
      </w:r>
      <w:r w:rsidRPr="00AD6330" w:rsidR="007E2A06">
        <w:rPr>
          <w:szCs w:val="26"/>
        </w:rPr>
        <w:t>In the published portion of its opinion, t</w:t>
      </w:r>
      <w:r w:rsidRPr="00AD6330" w:rsidR="008D3093">
        <w:rPr>
          <w:szCs w:val="26"/>
        </w:rPr>
        <w:t xml:space="preserve">he </w:t>
      </w:r>
      <w:r w:rsidRPr="00AD6330">
        <w:rPr>
          <w:szCs w:val="26"/>
        </w:rPr>
        <w:t>Court of Appeal</w:t>
      </w:r>
      <w:r w:rsidRPr="00AD6330" w:rsidR="0096255D">
        <w:rPr>
          <w:szCs w:val="26"/>
        </w:rPr>
        <w:t xml:space="preserve"> below</w:t>
      </w:r>
      <w:r w:rsidRPr="00AD6330">
        <w:rPr>
          <w:szCs w:val="26"/>
        </w:rPr>
        <w:t xml:space="preserve"> rejected defendant’s claim.  We granted review limited to the following question:  “Does the amendment to Penal Code section 1385, subdivision (c) that requires trial courts to ‘afford great weight’ to enumerated mitigating circumstances (Stats. 2021, ch. 721) create a rebuttable presumption in favor of dismissing an enhancement unless the trial court finds dismissal would endanger public safety?” </w:t>
      </w:r>
      <w:r w:rsidRPr="00AD6330" w:rsidR="00582D56">
        <w:rPr>
          <w:szCs w:val="26"/>
        </w:rPr>
        <w:t xml:space="preserve"> The answer to this question has divided the Courts of Appeal.  </w:t>
      </w:r>
      <w:r w:rsidRPr="00AD6330">
        <w:rPr>
          <w:szCs w:val="26"/>
        </w:rPr>
        <w:t xml:space="preserve">(Compare </w:t>
      </w:r>
      <w:r w:rsidRPr="00AD6330">
        <w:rPr>
          <w:i/>
          <w:iCs/>
          <w:szCs w:val="26"/>
        </w:rPr>
        <w:t>Walker</w:t>
      </w:r>
      <w:r w:rsidRPr="00AD6330" w:rsidR="00582D56">
        <w:rPr>
          <w:szCs w:val="26"/>
        </w:rPr>
        <w:t xml:space="preserve">, </w:t>
      </w:r>
      <w:r w:rsidRPr="00AD6330" w:rsidR="00582D56">
        <w:rPr>
          <w:i/>
          <w:iCs/>
          <w:szCs w:val="26"/>
        </w:rPr>
        <w:t>supra</w:t>
      </w:r>
      <w:r w:rsidRPr="00AD6330" w:rsidR="00582D56">
        <w:rPr>
          <w:szCs w:val="26"/>
        </w:rPr>
        <w:t xml:space="preserve">, </w:t>
      </w:r>
      <w:r w:rsidRPr="00AD6330">
        <w:rPr>
          <w:szCs w:val="26"/>
        </w:rPr>
        <w:t>86</w:t>
      </w:r>
      <w:r w:rsidRPr="00AD6330" w:rsidR="005B7EAD">
        <w:rPr>
          <w:szCs w:val="26"/>
        </w:rPr>
        <w:t> </w:t>
      </w:r>
      <w:r w:rsidRPr="00AD6330">
        <w:rPr>
          <w:szCs w:val="26"/>
        </w:rPr>
        <w:t xml:space="preserve">Cal.App.5th </w:t>
      </w:r>
      <w:r w:rsidRPr="00AD6330" w:rsidR="00582D56">
        <w:rPr>
          <w:szCs w:val="26"/>
        </w:rPr>
        <w:t>at p. </w:t>
      </w:r>
      <w:r w:rsidRPr="00AD6330">
        <w:rPr>
          <w:szCs w:val="26"/>
        </w:rPr>
        <w:t xml:space="preserve">391 with </w:t>
      </w:r>
      <w:r w:rsidRPr="00AD6330">
        <w:rPr>
          <w:i/>
          <w:iCs/>
          <w:szCs w:val="26"/>
        </w:rPr>
        <w:t>Ortiz</w:t>
      </w:r>
      <w:r w:rsidRPr="00AD6330" w:rsidR="00706610">
        <w:rPr>
          <w:szCs w:val="26"/>
        </w:rPr>
        <w:t xml:space="preserve">, </w:t>
      </w:r>
      <w:r w:rsidRPr="00AD6330" w:rsidR="00706610">
        <w:rPr>
          <w:i/>
          <w:iCs/>
          <w:szCs w:val="26"/>
        </w:rPr>
        <w:t>supra</w:t>
      </w:r>
      <w:r w:rsidRPr="00AD6330" w:rsidR="000B78D3">
        <w:rPr>
          <w:szCs w:val="26"/>
        </w:rPr>
        <w:t>,</w:t>
      </w:r>
      <w:r w:rsidRPr="00AD6330" w:rsidR="000D272E">
        <w:rPr>
          <w:szCs w:val="26"/>
        </w:rPr>
        <w:t xml:space="preserve"> </w:t>
      </w:r>
      <w:r w:rsidRPr="00AD6330" w:rsidR="00706610">
        <w:rPr>
          <w:szCs w:val="26"/>
        </w:rPr>
        <w:t>87</w:t>
      </w:r>
      <w:r w:rsidRPr="00AD6330" w:rsidR="00582D56">
        <w:rPr>
          <w:szCs w:val="26"/>
        </w:rPr>
        <w:t> </w:t>
      </w:r>
      <w:r w:rsidRPr="00AD6330" w:rsidR="00706610">
        <w:rPr>
          <w:szCs w:val="26"/>
        </w:rPr>
        <w:t>Cal.App.5th at p. 1095</w:t>
      </w:r>
      <w:r w:rsidRPr="00AD6330" w:rsidR="0046638D">
        <w:rPr>
          <w:szCs w:val="26"/>
        </w:rPr>
        <w:t xml:space="preserve">; see also </w:t>
      </w:r>
      <w:r w:rsidRPr="00AD6330" w:rsidR="00706610">
        <w:rPr>
          <w:i/>
          <w:iCs/>
          <w:szCs w:val="26"/>
        </w:rPr>
        <w:t xml:space="preserve">People v. Ponder </w:t>
      </w:r>
      <w:r w:rsidRPr="00AD6330" w:rsidR="00706610">
        <w:rPr>
          <w:szCs w:val="26"/>
        </w:rPr>
        <w:t>(2023</w:t>
      </w:r>
      <w:r w:rsidRPr="00AD6330" w:rsidR="0046638D">
        <w:rPr>
          <w:szCs w:val="26"/>
        </w:rPr>
        <w:t>) 96</w:t>
      </w:r>
      <w:r w:rsidRPr="00AD6330" w:rsidR="005B7EAD">
        <w:t> </w:t>
      </w:r>
      <w:r w:rsidRPr="00AD6330" w:rsidR="0046638D">
        <w:rPr>
          <w:szCs w:val="26"/>
        </w:rPr>
        <w:t>Cal.App.5th 1042, 1050</w:t>
      </w:r>
      <w:r w:rsidRPr="00AD6330" w:rsidR="003B375F">
        <w:rPr>
          <w:szCs w:val="26"/>
        </w:rPr>
        <w:t>–</w:t>
      </w:r>
      <w:r w:rsidRPr="00AD6330" w:rsidR="0046638D">
        <w:rPr>
          <w:szCs w:val="26"/>
        </w:rPr>
        <w:t>1052</w:t>
      </w:r>
      <w:r w:rsidRPr="00AD6330" w:rsidR="002C70D4">
        <w:rPr>
          <w:szCs w:val="26"/>
        </w:rPr>
        <w:t xml:space="preserve"> </w:t>
      </w:r>
      <w:r w:rsidRPr="00AD6330" w:rsidR="0046638D">
        <w:rPr>
          <w:szCs w:val="26"/>
        </w:rPr>
        <w:t xml:space="preserve">[agreeing with </w:t>
      </w:r>
      <w:r w:rsidRPr="00AD6330" w:rsidR="0046638D">
        <w:rPr>
          <w:i/>
          <w:iCs/>
          <w:szCs w:val="26"/>
        </w:rPr>
        <w:t>Ortiz</w:t>
      </w:r>
      <w:r w:rsidRPr="00AD6330" w:rsidR="0046638D">
        <w:rPr>
          <w:szCs w:val="26"/>
        </w:rPr>
        <w:t>]</w:t>
      </w:r>
      <w:r w:rsidRPr="00AD6330">
        <w:rPr>
          <w:szCs w:val="26"/>
        </w:rPr>
        <w:t>.)</w:t>
      </w:r>
    </w:p>
    <w:p w:rsidR="00C76EBC" w:rsidRPr="00AD6330" w:rsidP="00AD6330" w14:paraId="6B2E9D58" w14:textId="0222A770">
      <w:pPr>
        <w:pStyle w:val="Heading1"/>
        <w:numPr>
          <w:ilvl w:val="0"/>
          <w:numId w:val="1"/>
        </w:numPr>
        <w:rPr>
          <w:szCs w:val="26"/>
        </w:rPr>
      </w:pPr>
      <w:r w:rsidRPr="00AD6330">
        <w:rPr>
          <w:szCs w:val="26"/>
        </w:rPr>
        <w:t>Discussion</w:t>
      </w:r>
    </w:p>
    <w:p w:rsidR="00D20DDD" w:rsidRPr="00AD6330" w:rsidP="00A9236E" w14:paraId="75B64C06" w14:textId="557D0310">
      <w:pPr>
        <w:pStyle w:val="Heading3"/>
        <w:numPr>
          <w:ilvl w:val="0"/>
          <w:numId w:val="4"/>
        </w:numPr>
        <w:ind w:left="1584" w:hanging="432"/>
        <w:rPr>
          <w:szCs w:val="26"/>
        </w:rPr>
      </w:pPr>
      <w:r w:rsidRPr="00AD6330">
        <w:rPr>
          <w:szCs w:val="26"/>
        </w:rPr>
        <w:t>Amended Section 1385</w:t>
      </w:r>
      <w:r w:rsidRPr="00AD6330" w:rsidR="002D1D23">
        <w:rPr>
          <w:szCs w:val="26"/>
        </w:rPr>
        <w:t xml:space="preserve"> Does Not Create a Rebuttable Presumption</w:t>
      </w:r>
    </w:p>
    <w:p w:rsidR="006E2FF9" w:rsidRPr="00AD6330" w:rsidP="00A9236E" w14:paraId="2392698F" w14:textId="0B3AD2C5">
      <w:pPr>
        <w:pStyle w:val="ListParagraph"/>
        <w:ind w:left="0" w:firstLine="720"/>
        <w:rPr>
          <w:szCs w:val="26"/>
        </w:rPr>
      </w:pPr>
      <w:r w:rsidRPr="00AD6330">
        <w:rPr>
          <w:szCs w:val="26"/>
        </w:rPr>
        <w:t xml:space="preserve">We begin our analysis of the question before us by consulting well-known precepts of statutory interpretation.  </w:t>
      </w:r>
      <w:r w:rsidRPr="00AD6330" w:rsidR="00942D2A">
        <w:rPr>
          <w:szCs w:val="26"/>
        </w:rPr>
        <w:t>“</w:t>
      </w:r>
      <w:r w:rsidRPr="00AD6330" w:rsidR="00C76EBC">
        <w:rPr>
          <w:szCs w:val="26"/>
        </w:rPr>
        <w:t xml:space="preserve">The proper interpretation of a statute is a question of law we review de novo. </w:t>
      </w:r>
      <w:r w:rsidRPr="00AD6330" w:rsidR="00942D2A">
        <w:rPr>
          <w:szCs w:val="26"/>
        </w:rPr>
        <w:t xml:space="preserve"> [Citations.]  </w:t>
      </w:r>
      <w:r w:rsidRPr="00AD6330" w:rsidR="00C76EBC">
        <w:rPr>
          <w:szCs w:val="26"/>
        </w:rPr>
        <w:t>‘</w:t>
      </w:r>
      <w:r w:rsidRPr="00AD6330" w:rsidR="00942D2A">
        <w:rPr>
          <w:szCs w:val="26"/>
        </w:rPr>
        <w:t> </w:t>
      </w:r>
      <w:r w:rsidRPr="00AD6330" w:rsidR="00C76EBC">
        <w:rPr>
          <w:szCs w:val="26"/>
        </w:rPr>
        <w:t>“</w:t>
      </w:r>
      <w:r w:rsidRPr="00AD6330" w:rsidR="00942D2A">
        <w:rPr>
          <w:szCs w:val="26"/>
        </w:rPr>
        <w:t> </w:t>
      </w:r>
      <w:r w:rsidRPr="00AD6330" w:rsidR="00C76EBC">
        <w:rPr>
          <w:szCs w:val="26"/>
        </w:rPr>
        <w:t>‘</w:t>
      </w:r>
      <w:r w:rsidRPr="00AD6330" w:rsidR="00942D2A">
        <w:rPr>
          <w:szCs w:val="26"/>
        </w:rPr>
        <w:t> “</w:t>
      </w:r>
      <w:r w:rsidRPr="00AD6330" w:rsidR="00C76EBC">
        <w:rPr>
          <w:szCs w:val="26"/>
        </w:rPr>
        <w:t>As in any case involving statutory interpretation, our fundamental task here is to determine the Legislature</w:t>
      </w:r>
      <w:r w:rsidRPr="00AD6330" w:rsidR="00942D2A">
        <w:rPr>
          <w:szCs w:val="26"/>
        </w:rPr>
        <w:t>’</w:t>
      </w:r>
      <w:r w:rsidRPr="00AD6330" w:rsidR="00C76EBC">
        <w:rPr>
          <w:szCs w:val="26"/>
        </w:rPr>
        <w:t>s intent so as to effectuate the law</w:t>
      </w:r>
      <w:r w:rsidRPr="00AD6330" w:rsidR="00942D2A">
        <w:rPr>
          <w:szCs w:val="26"/>
        </w:rPr>
        <w:t>’</w:t>
      </w:r>
      <w:r w:rsidRPr="00AD6330" w:rsidR="00C76EBC">
        <w:rPr>
          <w:szCs w:val="26"/>
        </w:rPr>
        <w:t>s purpose.</w:t>
      </w:r>
      <w:r w:rsidRPr="00AD6330" w:rsidR="00942D2A">
        <w:rPr>
          <w:szCs w:val="26"/>
        </w:rPr>
        <w:t xml:space="preserve"> </w:t>
      </w:r>
      <w:r w:rsidRPr="00AD6330" w:rsidR="00C76EBC">
        <w:rPr>
          <w:szCs w:val="26"/>
        </w:rPr>
        <w:t xml:space="preserve"> [Citation.] </w:t>
      </w:r>
      <w:r w:rsidRPr="00AD6330" w:rsidR="00942D2A">
        <w:rPr>
          <w:szCs w:val="26"/>
        </w:rPr>
        <w:t xml:space="preserve"> </w:t>
      </w:r>
      <w:r w:rsidRPr="00AD6330" w:rsidR="00C76EBC">
        <w:rPr>
          <w:szCs w:val="26"/>
        </w:rPr>
        <w:t>We begin by examining the statute</w:t>
      </w:r>
      <w:r w:rsidRPr="00AD6330" w:rsidR="00942D2A">
        <w:rPr>
          <w:szCs w:val="26"/>
        </w:rPr>
        <w:t>’</w:t>
      </w:r>
      <w:r w:rsidRPr="00AD6330" w:rsidR="00C76EBC">
        <w:rPr>
          <w:szCs w:val="26"/>
        </w:rPr>
        <w:t>s words, giving them a plain and commonsense meaning.”</w:t>
      </w:r>
      <w:r w:rsidRPr="00AD6330" w:rsidR="00942D2A">
        <w:rPr>
          <w:szCs w:val="26"/>
        </w:rPr>
        <w:t> </w:t>
      </w:r>
      <w:r w:rsidRPr="00AD6330" w:rsidR="00C76EBC">
        <w:rPr>
          <w:szCs w:val="26"/>
        </w:rPr>
        <w:t>’</w:t>
      </w:r>
      <w:r w:rsidRPr="00AD6330" w:rsidR="00942D2A">
        <w:rPr>
          <w:szCs w:val="26"/>
        </w:rPr>
        <w:t> </w:t>
      </w:r>
      <w:r w:rsidRPr="00AD6330" w:rsidR="00C76EBC">
        <w:rPr>
          <w:szCs w:val="26"/>
        </w:rPr>
        <w:t>”</w:t>
      </w:r>
      <w:r w:rsidRPr="00AD6330" w:rsidR="00DF1199">
        <w:rPr>
          <w:szCs w:val="26"/>
        </w:rPr>
        <w:t> ’</w:t>
      </w:r>
      <w:r w:rsidRPr="00AD6330" w:rsidR="00C76EBC">
        <w:rPr>
          <w:szCs w:val="26"/>
        </w:rPr>
        <w:t xml:space="preserve"> </w:t>
      </w:r>
      <w:r w:rsidRPr="00AD6330" w:rsidR="00942D2A">
        <w:rPr>
          <w:szCs w:val="26"/>
        </w:rPr>
        <w:t xml:space="preserve"> [Citation.]  ‘ “</w:t>
      </w:r>
      <w:r w:rsidRPr="00AD6330" w:rsidR="00C76EBC">
        <w:rPr>
          <w:szCs w:val="26"/>
        </w:rPr>
        <w:t xml:space="preserve">[W]e look to </w:t>
      </w:r>
      <w:r w:rsidRPr="00AD6330" w:rsidR="00942D2A">
        <w:rPr>
          <w:szCs w:val="26"/>
        </w:rPr>
        <w:t>‘</w:t>
      </w:r>
      <w:r w:rsidRPr="00AD6330" w:rsidR="00C76EBC">
        <w:rPr>
          <w:szCs w:val="26"/>
        </w:rPr>
        <w:t xml:space="preserve">the entire substance of the statute </w:t>
      </w:r>
      <w:r w:rsidRPr="00AD6330" w:rsidR="00942D2A">
        <w:rPr>
          <w:szCs w:val="26"/>
        </w:rPr>
        <w:t>. . .</w:t>
      </w:r>
      <w:r w:rsidRPr="00AD6330" w:rsidR="00C76EBC">
        <w:rPr>
          <w:szCs w:val="26"/>
        </w:rPr>
        <w:t xml:space="preserve"> in order to determine the scope and purpose of the provision </w:t>
      </w:r>
      <w:r w:rsidRPr="00AD6330" w:rsidR="00942D2A">
        <w:rPr>
          <w:szCs w:val="26"/>
        </w:rPr>
        <w:t>. . . </w:t>
      </w:r>
      <w:r w:rsidRPr="00AD6330" w:rsidR="00C76EBC">
        <w:rPr>
          <w:szCs w:val="26"/>
        </w:rPr>
        <w:t>.</w:t>
      </w:r>
      <w:r w:rsidRPr="00AD6330" w:rsidR="00942D2A">
        <w:rPr>
          <w:szCs w:val="26"/>
        </w:rPr>
        <w:t xml:space="preserve"> </w:t>
      </w:r>
      <w:r w:rsidRPr="00AD6330" w:rsidR="00C76EBC">
        <w:rPr>
          <w:szCs w:val="26"/>
        </w:rPr>
        <w:t xml:space="preserve"> [Citation.]</w:t>
      </w:r>
      <w:r w:rsidRPr="00AD6330" w:rsidR="00942D2A">
        <w:rPr>
          <w:szCs w:val="26"/>
        </w:rPr>
        <w:t>’</w:t>
      </w:r>
      <w:r w:rsidRPr="00AD6330" w:rsidR="00C76EBC">
        <w:rPr>
          <w:szCs w:val="26"/>
        </w:rPr>
        <w:t xml:space="preserve"> </w:t>
      </w:r>
      <w:r w:rsidRPr="00AD6330" w:rsidR="00942D2A">
        <w:rPr>
          <w:szCs w:val="26"/>
        </w:rPr>
        <w:t xml:space="preserve"> </w:t>
      </w:r>
      <w:r w:rsidRPr="00AD6330" w:rsidR="00C76EBC">
        <w:rPr>
          <w:szCs w:val="26"/>
        </w:rPr>
        <w:t xml:space="preserve">[Citation.] </w:t>
      </w:r>
      <w:r w:rsidRPr="00AD6330" w:rsidR="00942D2A">
        <w:rPr>
          <w:szCs w:val="26"/>
        </w:rPr>
        <w:t xml:space="preserve"> </w:t>
      </w:r>
      <w:r w:rsidRPr="00AD6330" w:rsidR="00C76EBC">
        <w:rPr>
          <w:szCs w:val="26"/>
        </w:rPr>
        <w:t xml:space="preserve">That is, we construe the words in question </w:t>
      </w:r>
      <w:r w:rsidRPr="00AD6330" w:rsidR="00942D2A">
        <w:rPr>
          <w:szCs w:val="26"/>
        </w:rPr>
        <w:t>‘ “</w:t>
      </w:r>
      <w:r w:rsidRPr="00AD6330" w:rsidR="00C76EBC">
        <w:rPr>
          <w:szCs w:val="26"/>
        </w:rPr>
        <w:t xml:space="preserve">in context, keeping in mind the nature and obvious purpose of the statute </w:t>
      </w:r>
      <w:r w:rsidRPr="00AD6330" w:rsidR="00942D2A">
        <w:rPr>
          <w:szCs w:val="26"/>
        </w:rPr>
        <w:t>. . . </w:t>
      </w:r>
      <w:r w:rsidRPr="00AD6330" w:rsidR="00C76EBC">
        <w:rPr>
          <w:szCs w:val="26"/>
        </w:rPr>
        <w:t>.</w:t>
      </w:r>
      <w:r w:rsidRPr="00AD6330" w:rsidR="00942D2A">
        <w:rPr>
          <w:szCs w:val="26"/>
        </w:rPr>
        <w:t xml:space="preserve">” </w:t>
      </w:r>
      <w:r w:rsidRPr="00AD6330" w:rsidR="00C76EBC">
        <w:rPr>
          <w:szCs w:val="26"/>
        </w:rPr>
        <w:t xml:space="preserve"> [Citation.]</w:t>
      </w:r>
      <w:r w:rsidRPr="00AD6330" w:rsidR="00942D2A">
        <w:rPr>
          <w:szCs w:val="26"/>
        </w:rPr>
        <w:t>’ ”  (</w:t>
      </w:r>
      <w:r w:rsidRPr="00AD6330" w:rsidR="00942D2A">
        <w:rPr>
          <w:i/>
          <w:iCs/>
          <w:szCs w:val="26"/>
        </w:rPr>
        <w:t xml:space="preserve">People v. Lewis </w:t>
      </w:r>
      <w:r w:rsidRPr="00AD6330" w:rsidR="00942D2A">
        <w:rPr>
          <w:szCs w:val="26"/>
        </w:rPr>
        <w:t>(2021) 11 Cal.5th 952, 961.)  “ ‘ “ ‘ “</w:t>
      </w:r>
      <w:r w:rsidRPr="00AD6330" w:rsidR="00C76EBC">
        <w:rPr>
          <w:szCs w:val="26"/>
        </w:rPr>
        <w:t>If the statutory language permits more than one reasonable interpretation, courts may consider other aids, such as the statute</w:t>
      </w:r>
      <w:r w:rsidRPr="00AD6330">
        <w:rPr>
          <w:szCs w:val="26"/>
        </w:rPr>
        <w:t>’</w:t>
      </w:r>
      <w:r w:rsidRPr="00AD6330" w:rsidR="00C76EBC">
        <w:rPr>
          <w:szCs w:val="26"/>
        </w:rPr>
        <w:t>s purpose, legislative history, and public policy.”</w:t>
      </w:r>
      <w:r w:rsidRPr="00AD6330">
        <w:rPr>
          <w:szCs w:val="26"/>
        </w:rPr>
        <w:t> </w:t>
      </w:r>
      <w:r w:rsidRPr="00AD6330" w:rsidR="00C76EBC">
        <w:rPr>
          <w:szCs w:val="26"/>
        </w:rPr>
        <w:t>’</w:t>
      </w:r>
      <w:r w:rsidRPr="00AD6330">
        <w:rPr>
          <w:szCs w:val="26"/>
        </w:rPr>
        <w:t> </w:t>
      </w:r>
      <w:r w:rsidRPr="00AD6330" w:rsidR="00C76EBC">
        <w:rPr>
          <w:szCs w:val="26"/>
        </w:rPr>
        <w:t>”</w:t>
      </w:r>
      <w:r w:rsidRPr="00AD6330">
        <w:rPr>
          <w:szCs w:val="26"/>
        </w:rPr>
        <w:t> </w:t>
      </w:r>
      <w:r w:rsidRPr="00AD6330" w:rsidR="00C76EBC">
        <w:rPr>
          <w:szCs w:val="26"/>
        </w:rPr>
        <w:t>’</w:t>
      </w:r>
      <w:r w:rsidRPr="00AD6330">
        <w:rPr>
          <w:szCs w:val="26"/>
        </w:rPr>
        <w:t> </w:t>
      </w:r>
      <w:r w:rsidRPr="00AD6330" w:rsidR="00C76EBC">
        <w:rPr>
          <w:szCs w:val="26"/>
        </w:rPr>
        <w:t xml:space="preserve">” </w:t>
      </w:r>
      <w:r w:rsidRPr="00AD6330">
        <w:rPr>
          <w:szCs w:val="26"/>
        </w:rPr>
        <w:t xml:space="preserve"> </w:t>
      </w:r>
      <w:r w:rsidRPr="00AD6330" w:rsidR="00C76EBC">
        <w:rPr>
          <w:szCs w:val="26"/>
        </w:rPr>
        <w:t>(</w:t>
      </w:r>
      <w:r w:rsidRPr="00AD6330" w:rsidR="00C76EBC">
        <w:rPr>
          <w:i/>
          <w:iCs/>
          <w:szCs w:val="26"/>
        </w:rPr>
        <w:t>Smith v. LoanMe, Inc.</w:t>
      </w:r>
      <w:r w:rsidRPr="00AD6330" w:rsidR="00C76EBC">
        <w:rPr>
          <w:szCs w:val="26"/>
        </w:rPr>
        <w:t xml:space="preserve"> (2021) 11</w:t>
      </w:r>
      <w:r w:rsidRPr="00AD6330">
        <w:rPr>
          <w:szCs w:val="26"/>
        </w:rPr>
        <w:t> </w:t>
      </w:r>
      <w:r w:rsidRPr="00AD6330" w:rsidR="00C76EBC">
        <w:rPr>
          <w:szCs w:val="26"/>
        </w:rPr>
        <w:t>Cal.5th 183, 190.)</w:t>
      </w:r>
      <w:r w:rsidRPr="00AD6330">
        <w:rPr>
          <w:szCs w:val="26"/>
        </w:rPr>
        <w:t xml:space="preserve">  </w:t>
      </w:r>
      <w:r w:rsidRPr="00AD6330" w:rsidR="00C76EBC">
        <w:rPr>
          <w:szCs w:val="26"/>
        </w:rPr>
        <w:t>“</w:t>
      </w:r>
      <w:r w:rsidRPr="00AD6330">
        <w:rPr>
          <w:szCs w:val="26"/>
        </w:rPr>
        <w:t> ‘</w:t>
      </w:r>
      <w:r w:rsidRPr="00AD6330" w:rsidR="00C76EBC">
        <w:rPr>
          <w:szCs w:val="26"/>
        </w:rPr>
        <w:t>Generally, we consult extrinsic sources, like a statute</w:t>
      </w:r>
      <w:r w:rsidRPr="00AD6330">
        <w:rPr>
          <w:szCs w:val="26"/>
        </w:rPr>
        <w:t>’</w:t>
      </w:r>
      <w:r w:rsidRPr="00AD6330" w:rsidR="00C76EBC">
        <w:rPr>
          <w:szCs w:val="26"/>
        </w:rPr>
        <w:t>s history, to interpret a statute only when its language is ambiguous.</w:t>
      </w:r>
      <w:r w:rsidRPr="00AD6330">
        <w:rPr>
          <w:szCs w:val="26"/>
        </w:rPr>
        <w:t>’</w:t>
      </w:r>
      <w:r w:rsidR="00663646">
        <w:rPr>
          <w:szCs w:val="26"/>
        </w:rPr>
        <w:t> </w:t>
      </w:r>
      <w:r w:rsidRPr="00AD6330" w:rsidR="00C76EBC">
        <w:rPr>
          <w:szCs w:val="26"/>
        </w:rPr>
        <w:t xml:space="preserve">” </w:t>
      </w:r>
      <w:r w:rsidRPr="00AD6330">
        <w:rPr>
          <w:szCs w:val="26"/>
        </w:rPr>
        <w:t xml:space="preserve"> (</w:t>
      </w:r>
      <w:r w:rsidRPr="00AD6330" w:rsidR="00C76EBC">
        <w:rPr>
          <w:i/>
          <w:iCs/>
          <w:szCs w:val="26"/>
        </w:rPr>
        <w:t>People v. Prudholme</w:t>
      </w:r>
      <w:r w:rsidRPr="00AD6330">
        <w:rPr>
          <w:szCs w:val="26"/>
        </w:rPr>
        <w:t xml:space="preserve"> (2023)</w:t>
      </w:r>
      <w:r w:rsidRPr="00AD6330" w:rsidR="00C76EBC">
        <w:rPr>
          <w:szCs w:val="26"/>
        </w:rPr>
        <w:t xml:space="preserve"> </w:t>
      </w:r>
      <w:r w:rsidRPr="00AD6330" w:rsidR="003B375F">
        <w:rPr>
          <w:szCs w:val="26"/>
        </w:rPr>
        <w:t>14 </w:t>
      </w:r>
      <w:r w:rsidRPr="00AD6330" w:rsidR="00C76EBC">
        <w:rPr>
          <w:szCs w:val="26"/>
        </w:rPr>
        <w:t>Cal. 5th 961, 976</w:t>
      </w:r>
      <w:r w:rsidRPr="00AD6330">
        <w:rPr>
          <w:szCs w:val="26"/>
        </w:rPr>
        <w:t>.)</w:t>
      </w:r>
    </w:p>
    <w:p w:rsidR="003C1117" w:rsidRPr="00AD6330" w:rsidP="00A9236E" w14:paraId="2DE075E0" w14:textId="14541991">
      <w:pPr>
        <w:pStyle w:val="ListParagraph"/>
        <w:ind w:left="0" w:firstLine="720"/>
        <w:rPr>
          <w:szCs w:val="26"/>
        </w:rPr>
      </w:pPr>
      <w:r w:rsidRPr="00AD6330">
        <w:rPr>
          <w:szCs w:val="26"/>
        </w:rPr>
        <w:t xml:space="preserve">Section 1385, subdivision (c)(1), as added by Senate Bill No. 81, provides that “[n]otwithstanding any other law, the court </w:t>
      </w:r>
      <w:r w:rsidRPr="00AD6330">
        <w:rPr>
          <w:i/>
          <w:iCs/>
          <w:szCs w:val="26"/>
        </w:rPr>
        <w:t>shall dismiss an enhancement if it is in the furtherance of justice to do so</w:t>
      </w:r>
      <w:r w:rsidRPr="00AD6330">
        <w:rPr>
          <w:szCs w:val="26"/>
        </w:rPr>
        <w:t xml:space="preserve">, except if dismissal of that enhancement is prohibited by any initiative statute.”  </w:t>
      </w:r>
      <w:r w:rsidRPr="00AD6330" w:rsidR="00AD509E">
        <w:rPr>
          <w:szCs w:val="26"/>
        </w:rPr>
        <w:t xml:space="preserve">(Italics added.)  </w:t>
      </w:r>
      <w:r w:rsidRPr="00AD6330" w:rsidR="008110A3">
        <w:rPr>
          <w:szCs w:val="26"/>
        </w:rPr>
        <w:t>Section 1385, subdivision (c)(2</w:t>
      </w:r>
      <w:r w:rsidRPr="00AD6330">
        <w:rPr>
          <w:szCs w:val="26"/>
        </w:rPr>
        <w:t xml:space="preserve">) </w:t>
      </w:r>
      <w:r w:rsidRPr="00AD6330" w:rsidR="008110A3">
        <w:rPr>
          <w:szCs w:val="26"/>
        </w:rPr>
        <w:t>provides in pertinent part, “</w:t>
      </w:r>
      <w:r w:rsidRPr="00AD6330" w:rsidR="008110A3">
        <w:rPr>
          <w:i/>
          <w:iCs/>
          <w:szCs w:val="26"/>
        </w:rPr>
        <w:t>In exercising its discretion under this subdivision</w:t>
      </w:r>
      <w:r w:rsidRPr="00AD6330" w:rsidR="008110A3">
        <w:rPr>
          <w:szCs w:val="26"/>
        </w:rPr>
        <w:t xml:space="preserve">, the court shall consider and </w:t>
      </w:r>
      <w:r w:rsidRPr="00AD6330" w:rsidR="008110A3">
        <w:rPr>
          <w:i/>
          <w:iCs/>
          <w:szCs w:val="26"/>
        </w:rPr>
        <w:t>afford great weight</w:t>
      </w:r>
      <w:r w:rsidRPr="00AD6330" w:rsidR="008110A3">
        <w:rPr>
          <w:szCs w:val="26"/>
        </w:rPr>
        <w:t xml:space="preserve"> to evidence offered by the defendant to prove that any of the mitigating circumstances in subparagraphs (A) to (I) are present.  Proof of the presence of one or more of these circumstances </w:t>
      </w:r>
      <w:r w:rsidRPr="00AD6330" w:rsidR="008110A3">
        <w:rPr>
          <w:i/>
          <w:iCs/>
          <w:szCs w:val="26"/>
        </w:rPr>
        <w:t>weighs greatly in favor of dismissing the enhancement</w:t>
      </w:r>
      <w:r w:rsidRPr="00AD6330" w:rsidR="008110A3">
        <w:rPr>
          <w:szCs w:val="26"/>
        </w:rPr>
        <w:t xml:space="preserve">, unless the court finds that dismissal of the enhancement would endanger public safety.”  (Italics added.)  </w:t>
      </w:r>
    </w:p>
    <w:p w:rsidR="002D1D23" w:rsidRPr="00AD6330" w:rsidP="00A9236E" w14:paraId="6750225F" w14:textId="1B6E2503">
      <w:pPr>
        <w:pStyle w:val="ListParagraph"/>
        <w:ind w:left="0" w:firstLine="720"/>
        <w:rPr>
          <w:szCs w:val="26"/>
        </w:rPr>
      </w:pPr>
      <w:r w:rsidRPr="00AD6330">
        <w:rPr>
          <w:szCs w:val="26"/>
        </w:rPr>
        <w:t>The</w:t>
      </w:r>
      <w:r w:rsidRPr="00AD6330" w:rsidR="008110A3">
        <w:rPr>
          <w:szCs w:val="26"/>
        </w:rPr>
        <w:t xml:space="preserve"> Court of Appeal below interpreted </w:t>
      </w:r>
      <w:r w:rsidRPr="00AD6330" w:rsidR="001C2CAA">
        <w:rPr>
          <w:szCs w:val="26"/>
        </w:rPr>
        <w:t xml:space="preserve">section 1385, </w:t>
      </w:r>
      <w:r w:rsidRPr="00AD6330" w:rsidR="001C2CAA">
        <w:rPr>
          <w:color w:val="000000"/>
        </w:rPr>
        <w:t>subdivision (c)</w:t>
      </w:r>
      <w:r w:rsidRPr="00AD6330" w:rsidR="002C70D4">
        <w:rPr>
          <w:color w:val="000000"/>
        </w:rPr>
        <w:t>(1) and (2)</w:t>
      </w:r>
      <w:r w:rsidRPr="00AD6330" w:rsidR="001C2CAA">
        <w:rPr>
          <w:color w:val="000000"/>
        </w:rPr>
        <w:t xml:space="preserve">’s “provisions [to] dictate that trial courts are to rebuttably presume that dismissal of an enhancement is in the furtherance of justice (and that its dismissal is </w:t>
      </w:r>
      <w:r w:rsidRPr="00AD6330" w:rsidR="001C2CAA">
        <w:rPr>
          <w:szCs w:val="26"/>
        </w:rPr>
        <w:t>required</w:t>
      </w:r>
      <w:r w:rsidRPr="00AD6330" w:rsidR="001C2CAA">
        <w:rPr>
          <w:color w:val="000000"/>
        </w:rPr>
        <w:t xml:space="preserve">) </w:t>
      </w:r>
      <w:r w:rsidRPr="00AD6330" w:rsidR="001C2CAA">
        <w:rPr>
          <w:i/>
          <w:iCs/>
          <w:color w:val="000000"/>
          <w:bdr w:val="none" w:sz="0" w:space="0" w:color="auto" w:frame="1"/>
        </w:rPr>
        <w:t>unless</w:t>
      </w:r>
      <w:r w:rsidRPr="00AD6330" w:rsidR="001C2CAA">
        <w:rPr>
          <w:color w:val="000000"/>
        </w:rPr>
        <w:t xml:space="preserve"> the court makes a finding that the resultingly shorter sentence due to dismissal ‘would endanger public safety.’</w:t>
      </w:r>
      <w:r w:rsidRPr="00AD6330" w:rsidR="0088562D">
        <w:rPr>
          <w:color w:val="000000"/>
        </w:rPr>
        <w:t> </w:t>
      </w:r>
      <w:r w:rsidRPr="00AD6330" w:rsidR="001C2CAA">
        <w:rPr>
          <w:color w:val="000000"/>
        </w:rPr>
        <w:t xml:space="preserve">” </w:t>
      </w:r>
      <w:r w:rsidRPr="00AD6330" w:rsidR="008110A3">
        <w:rPr>
          <w:szCs w:val="26"/>
        </w:rPr>
        <w:t xml:space="preserve"> (</w:t>
      </w:r>
      <w:r w:rsidRPr="00AD6330" w:rsidR="008110A3">
        <w:rPr>
          <w:i/>
          <w:iCs/>
          <w:szCs w:val="26"/>
        </w:rPr>
        <w:t>Walker</w:t>
      </w:r>
      <w:r w:rsidRPr="00AD6330" w:rsidR="008110A3">
        <w:rPr>
          <w:szCs w:val="26"/>
        </w:rPr>
        <w:t xml:space="preserve">, </w:t>
      </w:r>
      <w:r w:rsidRPr="00AD6330" w:rsidR="008110A3">
        <w:rPr>
          <w:i/>
          <w:iCs/>
          <w:szCs w:val="26"/>
        </w:rPr>
        <w:t>supra</w:t>
      </w:r>
      <w:r w:rsidRPr="00AD6330" w:rsidR="008110A3">
        <w:rPr>
          <w:szCs w:val="26"/>
        </w:rPr>
        <w:t>, 86 Cal.App.5th at p</w:t>
      </w:r>
      <w:r w:rsidRPr="00AD6330" w:rsidR="00D75CB8">
        <w:rPr>
          <w:szCs w:val="26"/>
        </w:rPr>
        <w:t>. </w:t>
      </w:r>
      <w:r w:rsidRPr="00AD6330" w:rsidR="008110A3">
        <w:rPr>
          <w:szCs w:val="26"/>
        </w:rPr>
        <w:t>39</w:t>
      </w:r>
      <w:r w:rsidRPr="00AD6330" w:rsidR="001C2CAA">
        <w:rPr>
          <w:szCs w:val="26"/>
        </w:rPr>
        <w:t>8</w:t>
      </w:r>
      <w:r w:rsidRPr="00AD6330" w:rsidR="008110A3">
        <w:rPr>
          <w:szCs w:val="26"/>
        </w:rPr>
        <w:t xml:space="preserve">.)  </w:t>
      </w:r>
      <w:r w:rsidRPr="00AD6330" w:rsidR="00CF03ED">
        <w:rPr>
          <w:szCs w:val="26"/>
        </w:rPr>
        <w:t>In other words, the</w:t>
      </w:r>
      <w:r w:rsidRPr="00AD6330" w:rsidR="00BA3E41">
        <w:rPr>
          <w:szCs w:val="26"/>
        </w:rPr>
        <w:t xml:space="preserve"> enumerated</w:t>
      </w:r>
      <w:r w:rsidRPr="00AD6330" w:rsidR="00CF03ED">
        <w:rPr>
          <w:szCs w:val="26"/>
        </w:rPr>
        <w:t xml:space="preserve"> mitigating circumstances essentially </w:t>
      </w:r>
      <w:r w:rsidRPr="00AD6330" w:rsidR="00C75119">
        <w:rPr>
          <w:szCs w:val="26"/>
        </w:rPr>
        <w:t>dictate that</w:t>
      </w:r>
      <w:r w:rsidRPr="00AD6330" w:rsidR="00CF03ED">
        <w:rPr>
          <w:szCs w:val="26"/>
        </w:rPr>
        <w:t xml:space="preserve"> dismissal will be “in </w:t>
      </w:r>
      <w:r w:rsidRPr="00AD6330" w:rsidR="00673883">
        <w:rPr>
          <w:szCs w:val="26"/>
        </w:rPr>
        <w:t xml:space="preserve">the </w:t>
      </w:r>
      <w:r w:rsidRPr="00AD6330" w:rsidR="00CF03ED">
        <w:rPr>
          <w:szCs w:val="26"/>
        </w:rPr>
        <w:t xml:space="preserve">furtherance of justice” absent a </w:t>
      </w:r>
      <w:r w:rsidRPr="00AD6330" w:rsidR="00673883">
        <w:rPr>
          <w:szCs w:val="26"/>
        </w:rPr>
        <w:t>finding that dismissal endanger</w:t>
      </w:r>
      <w:r w:rsidRPr="00AD6330" w:rsidR="002E4C83">
        <w:rPr>
          <w:szCs w:val="26"/>
        </w:rPr>
        <w:t>s</w:t>
      </w:r>
      <w:r w:rsidRPr="00AD6330" w:rsidR="00673883">
        <w:rPr>
          <w:szCs w:val="26"/>
        </w:rPr>
        <w:t xml:space="preserve"> </w:t>
      </w:r>
      <w:r w:rsidRPr="00AD6330" w:rsidR="00FB6E12">
        <w:rPr>
          <w:szCs w:val="26"/>
        </w:rPr>
        <w:t>public safety</w:t>
      </w:r>
      <w:r w:rsidRPr="00AD6330" w:rsidR="00673883">
        <w:rPr>
          <w:szCs w:val="26"/>
        </w:rPr>
        <w:t xml:space="preserve">.  </w:t>
      </w:r>
      <w:r w:rsidR="00DE79DA">
        <w:rPr>
          <w:szCs w:val="26"/>
        </w:rPr>
        <w:t>(§ 1385, subd. (c).)</w:t>
      </w:r>
    </w:p>
    <w:p w:rsidR="0050408F" w:rsidRPr="00AD6330" w:rsidP="00A9236E" w14:paraId="22016F59" w14:textId="75D79437">
      <w:pPr>
        <w:ind w:firstLine="720"/>
        <w:rPr>
          <w:szCs w:val="26"/>
        </w:rPr>
      </w:pPr>
      <w:r w:rsidRPr="00AD6330">
        <w:rPr>
          <w:szCs w:val="26"/>
        </w:rPr>
        <w:t>The</w:t>
      </w:r>
      <w:r w:rsidRPr="00AD6330" w:rsidR="002D1D23">
        <w:rPr>
          <w:szCs w:val="26"/>
        </w:rPr>
        <w:t xml:space="preserve"> plain text of section 1385, subdivision (c)</w:t>
      </w:r>
      <w:r w:rsidRPr="00AD6330">
        <w:rPr>
          <w:szCs w:val="26"/>
        </w:rPr>
        <w:t xml:space="preserve"> belies the Court of Appeal’s </w:t>
      </w:r>
      <w:r w:rsidRPr="00AD6330" w:rsidR="000E1777">
        <w:rPr>
          <w:szCs w:val="26"/>
        </w:rPr>
        <w:t xml:space="preserve">reading.  </w:t>
      </w:r>
      <w:r w:rsidRPr="00AD6330" w:rsidR="002C70D4">
        <w:t>T</w:t>
      </w:r>
      <w:r w:rsidRPr="00AD6330" w:rsidR="000E1777">
        <w:t xml:space="preserve">he second sentence of section 1385, subdivision (c)(2) provides that </w:t>
      </w:r>
      <w:r w:rsidRPr="00AD6330" w:rsidR="000E1777">
        <w:rPr>
          <w:szCs w:val="26"/>
        </w:rPr>
        <w:t xml:space="preserve">“[p]roof of the presence of one or more of these circumstances </w:t>
      </w:r>
      <w:r w:rsidRPr="00AD6330" w:rsidR="000E1777">
        <w:rPr>
          <w:i/>
          <w:iCs/>
          <w:szCs w:val="26"/>
        </w:rPr>
        <w:t>weighs greatly in favor of dismissing the enhancement</w:t>
      </w:r>
      <w:r w:rsidRPr="00AD6330" w:rsidR="000E1777">
        <w:rPr>
          <w:szCs w:val="26"/>
        </w:rPr>
        <w:t xml:space="preserve">, unless the court finds that dismissal of the enhancement would endanger public safety.”  </w:t>
      </w:r>
      <w:r w:rsidRPr="00AD6330" w:rsidR="009C0ADC">
        <w:rPr>
          <w:szCs w:val="26"/>
        </w:rPr>
        <w:t xml:space="preserve">(Italics added.)  </w:t>
      </w:r>
      <w:r w:rsidRPr="00AD6330" w:rsidR="003802D6">
        <w:rPr>
          <w:szCs w:val="26"/>
        </w:rPr>
        <w:t xml:space="preserve">If the Legislature </w:t>
      </w:r>
      <w:r w:rsidRPr="00AD6330" w:rsidR="00A206CB">
        <w:rPr>
          <w:szCs w:val="26"/>
        </w:rPr>
        <w:t>envisioned</w:t>
      </w:r>
      <w:r w:rsidRPr="00AD6330" w:rsidR="003802D6">
        <w:rPr>
          <w:szCs w:val="26"/>
        </w:rPr>
        <w:t xml:space="preserve"> a rebuttable presumption, it could have said so </w:t>
      </w:r>
      <w:r w:rsidRPr="00AD6330" w:rsidR="00454162">
        <w:rPr>
          <w:szCs w:val="26"/>
        </w:rPr>
        <w:t>by</w:t>
      </w:r>
      <w:r w:rsidRPr="00AD6330" w:rsidR="003802D6">
        <w:rPr>
          <w:szCs w:val="26"/>
        </w:rPr>
        <w:t xml:space="preserve"> expressly saying that the </w:t>
      </w:r>
      <w:r w:rsidRPr="00AD6330" w:rsidR="003802D6">
        <w:t>presence of a mitigating circumstance “</w:t>
      </w:r>
      <w:r w:rsidRPr="00AD6330" w:rsidR="003802D6">
        <w:rPr>
          <w:i/>
          <w:iCs/>
        </w:rPr>
        <w:t>creates a presumption in favor of</w:t>
      </w:r>
      <w:r w:rsidRPr="00AD6330" w:rsidR="003802D6">
        <w:t xml:space="preserve"> dismissing the enhancement, unless</w:t>
      </w:r>
      <w:r w:rsidRPr="00AD6330" w:rsidR="00454162">
        <w:t xml:space="preserve"> . . .</w:t>
      </w:r>
      <w:r w:rsidR="008225B2">
        <w:t> </w:t>
      </w:r>
      <w:r w:rsidRPr="00AD6330" w:rsidR="00165ADE">
        <w:t>.</w:t>
      </w:r>
      <w:r w:rsidRPr="00AD6330" w:rsidR="003802D6">
        <w:t>”</w:t>
      </w:r>
      <w:r w:rsidRPr="00AD6330" w:rsidR="004B5505">
        <w:t xml:space="preserve"> </w:t>
      </w:r>
      <w:r w:rsidRPr="00AD6330" w:rsidR="00165ADE">
        <w:t xml:space="preserve"> </w:t>
      </w:r>
      <w:r w:rsidRPr="00AD6330" w:rsidR="004B5505">
        <w:rPr>
          <w:szCs w:val="26"/>
        </w:rPr>
        <w:t>(Cf. § 194 [“there shall be a rebuttable presumption”]; Fam. Code, § 3044, subd. (a) [“there is a rebuttable presumption”]; Veh. Code, §</w:t>
      </w:r>
      <w:r w:rsidRPr="00AD6330" w:rsidR="00165ADE">
        <w:rPr>
          <w:szCs w:val="26"/>
        </w:rPr>
        <w:t> </w:t>
      </w:r>
      <w:r w:rsidRPr="00AD6330" w:rsidR="004B5505">
        <w:rPr>
          <w:szCs w:val="26"/>
        </w:rPr>
        <w:t>23152, subd. (b)</w:t>
      </w:r>
      <w:r w:rsidRPr="00A9236E" w:rsidR="004B5505">
        <w:rPr>
          <w:color w:val="000000"/>
          <w:szCs w:val="24"/>
        </w:rPr>
        <w:t xml:space="preserve"> [“</w:t>
      </w:r>
      <w:r w:rsidRPr="00AD6330" w:rsidR="004B5505">
        <w:rPr>
          <w:szCs w:val="26"/>
        </w:rPr>
        <w:t xml:space="preserve">it is a rebuttable presumption”].)  </w:t>
      </w:r>
      <w:r w:rsidRPr="00AD6330" w:rsidR="004B5505">
        <w:t>It did not.</w:t>
      </w:r>
      <w:r w:rsidRPr="00AD6330" w:rsidR="009A4934">
        <w:t xml:space="preserve"> </w:t>
      </w:r>
      <w:r w:rsidRPr="00AD6330" w:rsidR="007374CB">
        <w:t xml:space="preserve"> </w:t>
      </w:r>
      <w:r w:rsidRPr="00AD6330" w:rsidR="00195FA9">
        <w:rPr>
          <w:szCs w:val="26"/>
        </w:rPr>
        <w:t xml:space="preserve">Notably, </w:t>
      </w:r>
      <w:r w:rsidRPr="00AD6330" w:rsidR="00A656AC">
        <w:rPr>
          <w:szCs w:val="26"/>
        </w:rPr>
        <w:t xml:space="preserve">the preceding </w:t>
      </w:r>
      <w:r w:rsidRPr="00AD6330" w:rsidR="00195FA9">
        <w:rPr>
          <w:szCs w:val="26"/>
        </w:rPr>
        <w:t xml:space="preserve">subsection of </w:t>
      </w:r>
      <w:r w:rsidRPr="00AD6330" w:rsidR="00B60A54">
        <w:rPr>
          <w:szCs w:val="26"/>
        </w:rPr>
        <w:t xml:space="preserve">subdivision </w:t>
      </w:r>
      <w:r w:rsidRPr="00AD6330" w:rsidR="00195FA9">
        <w:rPr>
          <w:szCs w:val="26"/>
        </w:rPr>
        <w:t>(c)</w:t>
      </w:r>
      <w:r w:rsidRPr="00AD6330" w:rsidR="007D20E7">
        <w:rPr>
          <w:szCs w:val="26"/>
        </w:rPr>
        <w:t xml:space="preserve"> </w:t>
      </w:r>
      <w:r w:rsidRPr="00AD6330" w:rsidR="004E21B1">
        <w:rPr>
          <w:szCs w:val="26"/>
        </w:rPr>
        <w:t>states</w:t>
      </w:r>
      <w:r w:rsidRPr="00AD6330" w:rsidR="0043585D">
        <w:rPr>
          <w:szCs w:val="26"/>
        </w:rPr>
        <w:t xml:space="preserve"> that “the court </w:t>
      </w:r>
      <w:r w:rsidRPr="00AD6330" w:rsidR="00B60A54">
        <w:rPr>
          <w:szCs w:val="26"/>
        </w:rPr>
        <w:t xml:space="preserve">shall dismiss an enhancement </w:t>
      </w:r>
      <w:r w:rsidRPr="00AD6330" w:rsidR="00B60A54">
        <w:rPr>
          <w:i/>
          <w:iCs/>
          <w:szCs w:val="26"/>
        </w:rPr>
        <w:t>if</w:t>
      </w:r>
      <w:r w:rsidRPr="00AD6330" w:rsidR="00B60A54">
        <w:rPr>
          <w:szCs w:val="26"/>
        </w:rPr>
        <w:t xml:space="preserve"> it is in the</w:t>
      </w:r>
      <w:r w:rsidRPr="00AD6330" w:rsidR="00B60A54">
        <w:rPr>
          <w:i/>
          <w:iCs/>
          <w:szCs w:val="26"/>
        </w:rPr>
        <w:t xml:space="preserve"> furtherance of justice</w:t>
      </w:r>
      <w:r w:rsidRPr="00AD6330" w:rsidR="00B60A54">
        <w:rPr>
          <w:szCs w:val="26"/>
        </w:rPr>
        <w:t xml:space="preserve"> </w:t>
      </w:r>
      <w:r w:rsidRPr="00AD6330" w:rsidR="00B60A54">
        <w:rPr>
          <w:i/>
          <w:iCs/>
          <w:szCs w:val="26"/>
        </w:rPr>
        <w:t>to do so</w:t>
      </w:r>
      <w:r w:rsidRPr="00AD6330" w:rsidR="0043585D">
        <w:rPr>
          <w:szCs w:val="26"/>
        </w:rPr>
        <w:t xml:space="preserve">.” </w:t>
      </w:r>
      <w:r w:rsidRPr="00AD6330" w:rsidR="00A656AC">
        <w:rPr>
          <w:szCs w:val="26"/>
        </w:rPr>
        <w:t xml:space="preserve"> (§</w:t>
      </w:r>
      <w:r w:rsidRPr="00AD6330" w:rsidR="00165ADE">
        <w:rPr>
          <w:szCs w:val="26"/>
        </w:rPr>
        <w:t> </w:t>
      </w:r>
      <w:r w:rsidRPr="00AD6330" w:rsidR="00A656AC">
        <w:rPr>
          <w:szCs w:val="26"/>
        </w:rPr>
        <w:t>1385, subd. (c)(1)</w:t>
      </w:r>
      <w:r w:rsidRPr="00AD6330" w:rsidR="00195FA9">
        <w:rPr>
          <w:szCs w:val="26"/>
        </w:rPr>
        <w:t>, italics added</w:t>
      </w:r>
      <w:r w:rsidRPr="00AD6330" w:rsidR="00A656AC">
        <w:rPr>
          <w:szCs w:val="26"/>
        </w:rPr>
        <w:t xml:space="preserve">.) </w:t>
      </w:r>
      <w:r w:rsidRPr="00AD6330" w:rsidR="00686643">
        <w:rPr>
          <w:szCs w:val="26"/>
        </w:rPr>
        <w:t xml:space="preserve"> </w:t>
      </w:r>
      <w:r w:rsidRPr="00AD6330" w:rsidR="00AE1C04">
        <w:rPr>
          <w:szCs w:val="26"/>
        </w:rPr>
        <w:t>Subdivision (c)(2) the</w:t>
      </w:r>
      <w:r w:rsidRPr="00AD6330" w:rsidR="00A656AC">
        <w:rPr>
          <w:szCs w:val="26"/>
        </w:rPr>
        <w:t>reafter</w:t>
      </w:r>
      <w:r w:rsidRPr="00AD6330" w:rsidR="00AE1C04">
        <w:rPr>
          <w:szCs w:val="26"/>
        </w:rPr>
        <w:t xml:space="preserve"> begins, “</w:t>
      </w:r>
      <w:r w:rsidRPr="00AD6330" w:rsidR="00AE1C04">
        <w:rPr>
          <w:i/>
          <w:iCs/>
          <w:szCs w:val="26"/>
        </w:rPr>
        <w:t>[i]n exercising its discretion under this subdivision</w:t>
      </w:r>
      <w:r w:rsidRPr="00AD6330" w:rsidR="00AE1C04">
        <w:rPr>
          <w:szCs w:val="26"/>
        </w:rPr>
        <w:t xml:space="preserve">, the court shall consider and afford great weight to evidence offered by the defendant to prove </w:t>
      </w:r>
      <w:r w:rsidRPr="00AD6330" w:rsidR="00EB5F30">
        <w:rPr>
          <w:szCs w:val="26"/>
        </w:rPr>
        <w:t>. . </w:t>
      </w:r>
      <w:r w:rsidRPr="00AD6330" w:rsidR="00AE1C04">
        <w:rPr>
          <w:szCs w:val="26"/>
        </w:rPr>
        <w:t xml:space="preserve">. </w:t>
      </w:r>
      <w:r w:rsidR="00443D88">
        <w:rPr>
          <w:szCs w:val="26"/>
        </w:rPr>
        <w:t xml:space="preserve">any of </w:t>
      </w:r>
      <w:r w:rsidRPr="00AD6330" w:rsidR="00AE1C04">
        <w:rPr>
          <w:szCs w:val="26"/>
        </w:rPr>
        <w:t>the mitigating circumstances</w:t>
      </w:r>
      <w:r w:rsidRPr="00AD6330" w:rsidR="00884625">
        <w:rPr>
          <w:szCs w:val="26"/>
        </w:rPr>
        <w:t>[.]</w:t>
      </w:r>
      <w:r w:rsidRPr="00AD6330" w:rsidR="00AE1C04">
        <w:rPr>
          <w:szCs w:val="26"/>
        </w:rPr>
        <w:t>”  (§</w:t>
      </w:r>
      <w:r w:rsidRPr="00AD6330" w:rsidR="00165ADE">
        <w:rPr>
          <w:szCs w:val="26"/>
        </w:rPr>
        <w:t> </w:t>
      </w:r>
      <w:r w:rsidRPr="00AD6330" w:rsidR="00AE1C04">
        <w:rPr>
          <w:szCs w:val="26"/>
        </w:rPr>
        <w:t>1385, subd. (c)(2), italics added.)  Looking at sub</w:t>
      </w:r>
      <w:r w:rsidRPr="00AD6330" w:rsidR="00BA3E41">
        <w:rPr>
          <w:szCs w:val="26"/>
        </w:rPr>
        <w:t>section (</w:t>
      </w:r>
      <w:r w:rsidRPr="00AD6330" w:rsidR="00AE1C04">
        <w:rPr>
          <w:szCs w:val="26"/>
        </w:rPr>
        <w:t xml:space="preserve">2) </w:t>
      </w:r>
      <w:r w:rsidRPr="00AD6330" w:rsidR="00BA3E41">
        <w:rPr>
          <w:szCs w:val="26"/>
        </w:rPr>
        <w:t>of subdivision (c) sequentially</w:t>
      </w:r>
      <w:r w:rsidRPr="00AD6330" w:rsidR="005D6E8F">
        <w:rPr>
          <w:szCs w:val="26"/>
        </w:rPr>
        <w:t>,</w:t>
      </w:r>
      <w:r w:rsidRPr="00AD6330" w:rsidR="00BA3E41">
        <w:rPr>
          <w:szCs w:val="26"/>
        </w:rPr>
        <w:t xml:space="preserve"> it is clear that</w:t>
      </w:r>
      <w:r w:rsidRPr="00AD6330" w:rsidR="004E21B1">
        <w:rPr>
          <w:szCs w:val="26"/>
        </w:rPr>
        <w:t xml:space="preserve"> the structure does not </w:t>
      </w:r>
      <w:r w:rsidRPr="00AD6330" w:rsidR="009B07F8">
        <w:rPr>
          <w:szCs w:val="26"/>
        </w:rPr>
        <w:t>“</w:t>
      </w:r>
      <w:r w:rsidRPr="00AD6330" w:rsidR="004E21B1">
        <w:rPr>
          <w:szCs w:val="26"/>
        </w:rPr>
        <w:t>presume</w:t>
      </w:r>
      <w:r w:rsidRPr="00AD6330" w:rsidR="009B07F8">
        <w:rPr>
          <w:szCs w:val="26"/>
        </w:rPr>
        <w:t>”</w:t>
      </w:r>
      <w:r w:rsidRPr="00AD6330" w:rsidR="004E21B1">
        <w:rPr>
          <w:szCs w:val="26"/>
        </w:rPr>
        <w:t xml:space="preserve"> </w:t>
      </w:r>
      <w:r w:rsidR="00190270">
        <w:rPr>
          <w:szCs w:val="26"/>
        </w:rPr>
        <w:t>(</w:t>
      </w:r>
      <w:r w:rsidR="00190270">
        <w:rPr>
          <w:i/>
          <w:iCs/>
          <w:szCs w:val="26"/>
        </w:rPr>
        <w:t>Walker</w:t>
      </w:r>
      <w:r w:rsidR="00190270">
        <w:rPr>
          <w:szCs w:val="26"/>
        </w:rPr>
        <w:t xml:space="preserve">, </w:t>
      </w:r>
      <w:r w:rsidR="00190270">
        <w:rPr>
          <w:i/>
          <w:iCs/>
          <w:szCs w:val="26"/>
        </w:rPr>
        <w:t>supra</w:t>
      </w:r>
      <w:r w:rsidR="00190270">
        <w:rPr>
          <w:szCs w:val="26"/>
        </w:rPr>
        <w:t>, 86 Cal.App.5th at p. 398)</w:t>
      </w:r>
      <w:r w:rsidR="00DF6254">
        <w:rPr>
          <w:szCs w:val="26"/>
        </w:rPr>
        <w:t xml:space="preserve"> </w:t>
      </w:r>
      <w:r w:rsidRPr="00AD6330" w:rsidR="00536372">
        <w:rPr>
          <w:szCs w:val="26"/>
        </w:rPr>
        <w:t>an enhancement should be dismissed whenever an enumerated mitigating circumstance is present</w:t>
      </w:r>
      <w:r w:rsidRPr="00AD6330" w:rsidR="004E21B1">
        <w:rPr>
          <w:szCs w:val="26"/>
        </w:rPr>
        <w:t>, but instead</w:t>
      </w:r>
      <w:r w:rsidRPr="00AD6330" w:rsidR="005D6E8F">
        <w:rPr>
          <w:szCs w:val="26"/>
        </w:rPr>
        <w:t xml:space="preserve"> </w:t>
      </w:r>
      <w:r w:rsidRPr="00AD6330" w:rsidR="001F1378">
        <w:rPr>
          <w:szCs w:val="26"/>
        </w:rPr>
        <w:t>“the ultimate</w:t>
      </w:r>
      <w:r w:rsidRPr="00AD6330" w:rsidR="001F1378">
        <w:rPr>
          <w:b/>
          <w:bCs/>
          <w:szCs w:val="26"/>
        </w:rPr>
        <w:t xml:space="preserve"> </w:t>
      </w:r>
      <w:r w:rsidRPr="00AD6330" w:rsidR="001F1378">
        <w:rPr>
          <w:szCs w:val="26"/>
        </w:rPr>
        <w:t>question before the trial court remains whether it is in the furtherance of justice to dismiss an enhancement”</w:t>
      </w:r>
      <w:r w:rsidRPr="00AD6330" w:rsidR="00AE1C04">
        <w:rPr>
          <w:szCs w:val="26"/>
        </w:rPr>
        <w:t xml:space="preserve"> </w:t>
      </w:r>
      <w:r w:rsidRPr="00AD6330" w:rsidR="001F1378">
        <w:rPr>
          <w:szCs w:val="26"/>
        </w:rPr>
        <w:t>(</w:t>
      </w:r>
      <w:r w:rsidRPr="00AD6330" w:rsidR="001F1378">
        <w:rPr>
          <w:i/>
          <w:iCs/>
        </w:rPr>
        <w:t>Ortiz</w:t>
      </w:r>
      <w:r w:rsidRPr="00AD6330" w:rsidR="001F1378">
        <w:t xml:space="preserve">, </w:t>
      </w:r>
      <w:r w:rsidRPr="00AD6330" w:rsidR="001F1378">
        <w:rPr>
          <w:i/>
          <w:iCs/>
        </w:rPr>
        <w:t>supra</w:t>
      </w:r>
      <w:r w:rsidRPr="00AD6330" w:rsidR="001F1378">
        <w:t>,</w:t>
      </w:r>
      <w:r w:rsidRPr="00AD6330" w:rsidR="00202E83">
        <w:t xml:space="preserve"> </w:t>
      </w:r>
      <w:r w:rsidRPr="00AD6330" w:rsidR="001F1378">
        <w:t>87</w:t>
      </w:r>
      <w:r w:rsidRPr="00AD6330" w:rsidR="00202E83">
        <w:t> </w:t>
      </w:r>
      <w:r w:rsidRPr="00AD6330" w:rsidR="001F1378">
        <w:t>Cal.App.5th at p.</w:t>
      </w:r>
      <w:r w:rsidRPr="00AD6330" w:rsidR="002506E3">
        <w:t> </w:t>
      </w:r>
      <w:r w:rsidRPr="00AD6330" w:rsidR="001F1378">
        <w:t>1098</w:t>
      </w:r>
      <w:r w:rsidRPr="00AD6330" w:rsidR="001F1378">
        <w:rPr>
          <w:szCs w:val="26"/>
        </w:rPr>
        <w:t>)</w:t>
      </w:r>
      <w:r w:rsidRPr="00AD6330">
        <w:rPr>
          <w:szCs w:val="26"/>
        </w:rPr>
        <w:t xml:space="preserve"> and</w:t>
      </w:r>
      <w:r w:rsidRPr="00AD6330" w:rsidR="001F1378">
        <w:rPr>
          <w:szCs w:val="26"/>
        </w:rPr>
        <w:t xml:space="preserve"> </w:t>
      </w:r>
      <w:r w:rsidRPr="00AD6330">
        <w:rPr>
          <w:szCs w:val="26"/>
        </w:rPr>
        <w:t xml:space="preserve">this “furtherance of justice” </w:t>
      </w:r>
      <w:r w:rsidRPr="00AD6330" w:rsidR="00257DEF">
        <w:rPr>
          <w:szCs w:val="26"/>
        </w:rPr>
        <w:t>(§ </w:t>
      </w:r>
      <w:r w:rsidRPr="00AD6330">
        <w:rPr>
          <w:szCs w:val="26"/>
        </w:rPr>
        <w:t>1385, subd. (c)(1)) inquiry requires a trial court’s ongoing exercise of “discretion” (</w:t>
      </w:r>
      <w:r w:rsidRPr="00AD6330">
        <w:rPr>
          <w:i/>
          <w:iCs/>
          <w:szCs w:val="26"/>
        </w:rPr>
        <w:t>id.</w:t>
      </w:r>
      <w:r w:rsidRPr="00AD6330">
        <w:rPr>
          <w:szCs w:val="26"/>
        </w:rPr>
        <w:t xml:space="preserve">, subd. (c)(2)).  Thus, notwithstanding the presence of a mitigating circumstance, </w:t>
      </w:r>
      <w:r w:rsidRPr="00AD6330" w:rsidR="00195FA9">
        <w:rPr>
          <w:szCs w:val="26"/>
        </w:rPr>
        <w:t xml:space="preserve">trial courts retain their discretion to impose an enhancement </w:t>
      </w:r>
      <w:r w:rsidRPr="00AD6330" w:rsidR="003811E6">
        <w:rPr>
          <w:szCs w:val="26"/>
        </w:rPr>
        <w:t xml:space="preserve">based on </w:t>
      </w:r>
      <w:r w:rsidRPr="00AD6330" w:rsidR="00884625">
        <w:rPr>
          <w:szCs w:val="26"/>
        </w:rPr>
        <w:t>circumstances</w:t>
      </w:r>
      <w:r w:rsidRPr="00AD6330">
        <w:rPr>
          <w:szCs w:val="26"/>
        </w:rPr>
        <w:t xml:space="preserve"> “long deemed essential to the ‘furtherance of justice’ inquiry.”  (</w:t>
      </w:r>
      <w:r w:rsidRPr="00AD6330">
        <w:rPr>
          <w:i/>
          <w:iCs/>
          <w:szCs w:val="26"/>
        </w:rPr>
        <w:t>Ortiz</w:t>
      </w:r>
      <w:r w:rsidRPr="00AD6330">
        <w:rPr>
          <w:szCs w:val="26"/>
        </w:rPr>
        <w:t xml:space="preserve">, </w:t>
      </w:r>
      <w:r w:rsidRPr="00AD6330">
        <w:rPr>
          <w:i/>
          <w:iCs/>
          <w:szCs w:val="26"/>
        </w:rPr>
        <w:t>supra</w:t>
      </w:r>
      <w:r w:rsidRPr="00AD6330">
        <w:rPr>
          <w:szCs w:val="26"/>
        </w:rPr>
        <w:t>, 87 Cal.App.5th at p. 1099; see also Cal. Rules of Court, rules 4.421 (</w:t>
      </w:r>
      <w:r w:rsidR="00C44E97">
        <w:rPr>
          <w:szCs w:val="26"/>
        </w:rPr>
        <w:t>c</w:t>
      </w:r>
      <w:r w:rsidRPr="00AD6330">
        <w:rPr>
          <w:szCs w:val="26"/>
        </w:rPr>
        <w:t>ircumstances in aggravation); 4.423 (</w:t>
      </w:r>
      <w:r w:rsidR="00C44E97">
        <w:rPr>
          <w:szCs w:val="26"/>
        </w:rPr>
        <w:t>c</w:t>
      </w:r>
      <w:r w:rsidRPr="00AD6330">
        <w:rPr>
          <w:szCs w:val="26"/>
        </w:rPr>
        <w:t xml:space="preserve">ircumstances in mitigation); Advisory Committee comment to rule 4.428 [“Case law suggests that in determining the ‘furtherance of justice’ the court should consider . . . the factors in aggravation and mitigation including the specific factors in mitigation of section 1385(c); and the factors that would motivate a ‘reasonable judge’ in the exercise of their discretion”].)  </w:t>
      </w:r>
    </w:p>
    <w:p w:rsidR="00AA3850" w:rsidP="008F363C" w14:paraId="261089E6" w14:textId="60EA8F2B">
      <w:pPr>
        <w:ind w:firstLine="720"/>
      </w:pPr>
      <w:r>
        <w:t>Thus,</w:t>
      </w:r>
      <w:r w:rsidR="000E78F9">
        <w:t xml:space="preserve"> </w:t>
      </w:r>
      <w:r w:rsidRPr="00AD6330" w:rsidR="00083231">
        <w:t>the plain language of section 1385, subdivision (c)(2) does not erect a rebuttable presumption in favor of dismissal that can only be overcome by a finding that dismissal endangers public safety</w:t>
      </w:r>
      <w:r w:rsidR="000E78F9">
        <w:t xml:space="preserve">.  </w:t>
      </w:r>
      <w:r>
        <w:t xml:space="preserve">We emphasize, however, </w:t>
      </w:r>
      <w:r w:rsidRPr="003B7A8B">
        <w:t>that</w:t>
      </w:r>
      <w:r w:rsidR="0022217B">
        <w:t>, in most cases,</w:t>
      </w:r>
      <w:r w:rsidRPr="003B7A8B">
        <w:t xml:space="preserve"> “if the trial court finds that dismissal of an enhancement would endanger public safety, then it is hard to see how dismissal would further the interests of justice,” notwithstanding the applicability of any mitigating factors identified in subdivision (c)(2). </w:t>
      </w:r>
      <w:r>
        <w:t xml:space="preserve"> </w:t>
      </w:r>
      <w:r w:rsidRPr="003B7A8B">
        <w:t>(</w:t>
      </w:r>
      <w:r w:rsidRPr="003B7A8B">
        <w:rPr>
          <w:i/>
          <w:iCs/>
        </w:rPr>
        <w:t xml:space="preserve">People v. Mendoza </w:t>
      </w:r>
      <w:r w:rsidRPr="003B7A8B">
        <w:t>(2023) 88</w:t>
      </w:r>
      <w:r w:rsidR="00147D96">
        <w:t> </w:t>
      </w:r>
      <w:r w:rsidRPr="003B7A8B">
        <w:t>Cal.App.5th 287, 297, fn.</w:t>
      </w:r>
      <w:r w:rsidR="00147D96">
        <w:t> </w:t>
      </w:r>
      <w:r w:rsidRPr="003B7A8B">
        <w:t>6.)</w:t>
      </w:r>
      <w:r w:rsidR="008F363C">
        <w:t xml:space="preserve">  </w:t>
      </w:r>
    </w:p>
    <w:p w:rsidR="00083231" w:rsidRPr="008F363C" w:rsidP="008F363C" w14:paraId="7FE1074F" w14:textId="5E0A0746">
      <w:pPr>
        <w:ind w:firstLine="720"/>
      </w:pPr>
      <w:r>
        <w:t>Moreover</w:t>
      </w:r>
      <w:r w:rsidR="00AA3850">
        <w:t>, w</w:t>
      </w:r>
      <w:r w:rsidR="008F363C">
        <w:t xml:space="preserve">e observe </w:t>
      </w:r>
      <w:r w:rsidRPr="00AD6330">
        <w:t xml:space="preserve">that the legislative history of Senate Bill No. 81 </w:t>
      </w:r>
      <w:r w:rsidR="008F363C">
        <w:t xml:space="preserve">is consistent </w:t>
      </w:r>
      <w:r w:rsidRPr="00AD6330">
        <w:t xml:space="preserve">with </w:t>
      </w:r>
      <w:r w:rsidR="008F363C">
        <w:t>our</w:t>
      </w:r>
      <w:r w:rsidRPr="00AD6330" w:rsidR="008F363C">
        <w:t xml:space="preserve"> </w:t>
      </w:r>
      <w:r w:rsidRPr="00AD6330">
        <w:t xml:space="preserve">conclusion.  </w:t>
      </w:r>
      <w:r w:rsidRPr="00AD6330">
        <w:rPr>
          <w:szCs w:val="26"/>
        </w:rPr>
        <w:t xml:space="preserve">The Legislature rejected initial versions of Senate Bill No. 81 that </w:t>
      </w:r>
      <w:r w:rsidRPr="00AD6330" w:rsidR="00717F72">
        <w:rPr>
          <w:szCs w:val="26"/>
        </w:rPr>
        <w:t xml:space="preserve">would </w:t>
      </w:r>
      <w:r w:rsidRPr="00AD6330">
        <w:rPr>
          <w:szCs w:val="26"/>
        </w:rPr>
        <w:t xml:space="preserve">have created </w:t>
      </w:r>
      <w:r w:rsidRPr="00AD6330" w:rsidR="00240851">
        <w:rPr>
          <w:szCs w:val="26"/>
        </w:rPr>
        <w:t>“</w:t>
      </w:r>
      <w:r w:rsidRPr="00AD6330">
        <w:rPr>
          <w:szCs w:val="26"/>
        </w:rPr>
        <w:t xml:space="preserve">a presumption that it is in the furtherance of justice to dismiss an enhancement in specified circumstances” that could “only [be] overcome upon a showing by clear and convincing evidence that dismissal of the enhancement would endanger public safety.” </w:t>
      </w:r>
      <w:r w:rsidRPr="00AD6330" w:rsidR="005724B1">
        <w:rPr>
          <w:szCs w:val="26"/>
        </w:rPr>
        <w:t xml:space="preserve"> </w:t>
      </w:r>
      <w:r w:rsidRPr="00AD6330">
        <w:rPr>
          <w:szCs w:val="26"/>
        </w:rPr>
        <w:t xml:space="preserve">(See Sen. </w:t>
      </w:r>
      <w:r w:rsidR="009156BC">
        <w:rPr>
          <w:szCs w:val="26"/>
        </w:rPr>
        <w:t>A</w:t>
      </w:r>
      <w:r w:rsidRPr="00AD6330">
        <w:rPr>
          <w:szCs w:val="26"/>
        </w:rPr>
        <w:t xml:space="preserve">mends. to Sen. Bill No. 81 (2021–2022 Reg. Sess.) March 23, 2023; Apr. 8, 2021; Apr. 27, 2021.) </w:t>
      </w:r>
      <w:r w:rsidRPr="00AD6330" w:rsidR="00717F72">
        <w:rPr>
          <w:szCs w:val="26"/>
        </w:rPr>
        <w:t xml:space="preserve"> </w:t>
      </w:r>
      <w:r w:rsidRPr="00AD6330" w:rsidR="00257DEF">
        <w:t xml:space="preserve">“ ‘Generally the Legislature’s rejection of a specific provision which appeared in the original version of an act supports the conclusion that the act should not be construed to include the omitted provision.’ ”  </w:t>
      </w:r>
      <w:r w:rsidRPr="00AD6330" w:rsidR="00717F72">
        <w:t>(</w:t>
      </w:r>
      <w:r w:rsidRPr="00AD6330">
        <w:rPr>
          <w:i/>
          <w:iCs/>
        </w:rPr>
        <w:t xml:space="preserve">Hess v. Ford Motor Co. </w:t>
      </w:r>
      <w:r w:rsidRPr="00AD6330">
        <w:t>(2002) 27</w:t>
      </w:r>
      <w:r w:rsidRPr="00AD6330" w:rsidR="00165ADE">
        <w:t> </w:t>
      </w:r>
      <w:r w:rsidRPr="00AD6330">
        <w:t>Cal.4th 516, 532</w:t>
      </w:r>
      <w:r w:rsidR="008C6877">
        <w:t>, c</w:t>
      </w:r>
      <w:r w:rsidRPr="008C6877" w:rsidR="008C6877">
        <w:t xml:space="preserve">iting to </w:t>
      </w:r>
      <w:r w:rsidRPr="008C6877" w:rsidR="008C6877">
        <w:rPr>
          <w:i/>
          <w:iCs/>
        </w:rPr>
        <w:t>People v. Goodloe</w:t>
      </w:r>
      <w:r w:rsidRPr="008C6877" w:rsidR="008C6877">
        <w:t xml:space="preserve"> (1995) 37 Cal.App.4th 485, 491</w:t>
      </w:r>
      <w:r w:rsidRPr="00AD6330">
        <w:t>.)</w:t>
      </w:r>
    </w:p>
    <w:p w:rsidR="00A02F8A" w:rsidRPr="00AD6330" w:rsidP="00A9236E" w14:paraId="441598A5" w14:textId="111D53C9">
      <w:pPr>
        <w:ind w:firstLine="720"/>
      </w:pPr>
      <w:r w:rsidRPr="00AD6330">
        <w:rPr>
          <w:szCs w:val="26"/>
        </w:rPr>
        <w:t xml:space="preserve">In sum, the Court of Appeal erred by concluding that </w:t>
      </w:r>
      <w:r w:rsidRPr="00AD6330" w:rsidR="00C20B67">
        <w:rPr>
          <w:szCs w:val="26"/>
        </w:rPr>
        <w:t xml:space="preserve">section 1385, subdivision (c)(2) creates a rebuttable presumption in favor of dismissing an enhancement that </w:t>
      </w:r>
      <w:r w:rsidRPr="00AD6330" w:rsidR="007D0046">
        <w:rPr>
          <w:szCs w:val="26"/>
        </w:rPr>
        <w:t>can</w:t>
      </w:r>
      <w:r w:rsidRPr="00AD6330" w:rsidR="00C20B67">
        <w:rPr>
          <w:szCs w:val="26"/>
        </w:rPr>
        <w:t xml:space="preserve"> only be overcome by a finding that dismissal endangers public safety.  </w:t>
      </w:r>
    </w:p>
    <w:p w:rsidR="00A02F8A" w:rsidRPr="00AD6330" w:rsidP="00A9236E" w14:paraId="40FDB08E" w14:textId="0E1C7F64">
      <w:pPr>
        <w:pStyle w:val="Heading3"/>
        <w:numPr>
          <w:ilvl w:val="0"/>
          <w:numId w:val="4"/>
        </w:numPr>
        <w:ind w:left="1584" w:hanging="432"/>
        <w:rPr>
          <w:szCs w:val="26"/>
        </w:rPr>
      </w:pPr>
      <w:r w:rsidRPr="00AD6330">
        <w:rPr>
          <w:szCs w:val="26"/>
        </w:rPr>
        <w:t>Meaning of “Great Weight” and “Weighs Greatly”</w:t>
      </w:r>
    </w:p>
    <w:p w:rsidR="002106A5" w:rsidRPr="00AD6330" w:rsidP="00A9236E" w14:paraId="1334A265" w14:textId="50E9F94E">
      <w:pPr>
        <w:pStyle w:val="Text"/>
        <w:spacing w:line="400" w:lineRule="exact"/>
        <w:rPr>
          <w:szCs w:val="26"/>
        </w:rPr>
      </w:pPr>
      <w:r w:rsidRPr="00AD6330">
        <w:rPr>
          <w:szCs w:val="26"/>
        </w:rPr>
        <w:t>Having concluded that subdivision (c)(2) of section 1385 does not create a rebuttable presumption, we now proceed to consider what it means for a mitigating circumstance to “weigh[] greatly in favor” (§</w:t>
      </w:r>
      <w:r w:rsidRPr="00AD6330" w:rsidR="00165ADE">
        <w:rPr>
          <w:szCs w:val="26"/>
        </w:rPr>
        <w:t> </w:t>
      </w:r>
      <w:r w:rsidRPr="00AD6330">
        <w:rPr>
          <w:szCs w:val="26"/>
        </w:rPr>
        <w:t xml:space="preserve">1385, subd. (c)(2)) of dismissal.  Looking at section 1385, subdivision (c)(2)’s text, </w:t>
      </w:r>
      <w:r w:rsidRPr="00AD6330">
        <w:t xml:space="preserve">the “great weight” language appears in the first sentence.  It provides:  “In exercising its discretion under this subdivision, the court shall consider and afford great weight </w:t>
      </w:r>
      <w:r w:rsidRPr="00AD6330">
        <w:rPr>
          <w:i/>
          <w:iCs/>
        </w:rPr>
        <w:t>to evidence offered by the defendant to prove that any of the mitigating circumstances . . . are present</w:t>
      </w:r>
      <w:r w:rsidRPr="00AD6330">
        <w:t>.”  (§ 1385, subd. (c)(2), italics added.)  The phrase “great weight” in this sentence refers to “the trial court’s evaluation of the defendant’s evidence in the first instance.”  (</w:t>
      </w:r>
      <w:r w:rsidRPr="00AD6330">
        <w:rPr>
          <w:i/>
          <w:iCs/>
          <w:szCs w:val="26"/>
        </w:rPr>
        <w:t>Ortiz</w:t>
      </w:r>
      <w:r w:rsidRPr="00AD6330">
        <w:rPr>
          <w:szCs w:val="26"/>
        </w:rPr>
        <w:t xml:space="preserve">, </w:t>
      </w:r>
      <w:r w:rsidRPr="00AD6330">
        <w:rPr>
          <w:i/>
          <w:iCs/>
          <w:szCs w:val="26"/>
        </w:rPr>
        <w:t>supra</w:t>
      </w:r>
      <w:r w:rsidRPr="00AD6330">
        <w:rPr>
          <w:szCs w:val="26"/>
        </w:rPr>
        <w:t>, 87</w:t>
      </w:r>
      <w:r w:rsidRPr="00AD6330" w:rsidR="00165ADE">
        <w:rPr>
          <w:szCs w:val="26"/>
        </w:rPr>
        <w:t> </w:t>
      </w:r>
      <w:r w:rsidRPr="00AD6330">
        <w:rPr>
          <w:szCs w:val="26"/>
        </w:rPr>
        <w:t>Cal.App.5th at p.</w:t>
      </w:r>
      <w:r w:rsidRPr="00AD6330" w:rsidR="00165ADE">
        <w:rPr>
          <w:szCs w:val="26"/>
        </w:rPr>
        <w:t> </w:t>
      </w:r>
      <w:r w:rsidRPr="00AD6330">
        <w:rPr>
          <w:szCs w:val="26"/>
        </w:rPr>
        <w:t>1098</w:t>
      </w:r>
      <w:r w:rsidRPr="00AD6330">
        <w:t>.)  The second sentence</w:t>
      </w:r>
      <w:r w:rsidRPr="00AD6330" w:rsidR="00A656AC">
        <w:t xml:space="preserve"> of section 1385, subdivision (c)(2)</w:t>
      </w:r>
      <w:r w:rsidRPr="00AD6330" w:rsidR="0012772E">
        <w:t xml:space="preserve"> </w:t>
      </w:r>
      <w:r w:rsidRPr="00AD6330">
        <w:t>dictates that a proven mitigating circumstance “</w:t>
      </w:r>
      <w:r w:rsidRPr="00AD6330">
        <w:rPr>
          <w:i/>
          <w:iCs/>
        </w:rPr>
        <w:t>weighs greatly</w:t>
      </w:r>
      <w:r w:rsidRPr="00AD6330">
        <w:t xml:space="preserve"> </w:t>
      </w:r>
      <w:r w:rsidRPr="00AD6330">
        <w:rPr>
          <w:i/>
          <w:iCs/>
        </w:rPr>
        <w:t>in favor</w:t>
      </w:r>
      <w:r w:rsidRPr="00AD6330">
        <w:t xml:space="preserve"> </w:t>
      </w:r>
      <w:r w:rsidRPr="00AD6330">
        <w:rPr>
          <w:i/>
          <w:iCs/>
        </w:rPr>
        <w:t>of dismissing the enhancement</w:t>
      </w:r>
      <w:r w:rsidRPr="00AD6330">
        <w:t xml:space="preserve">, unless the court finds that dismissal of the enhancement would endanger public safety.”  (§ 1385, subd. (c)(2), italics added.)  </w:t>
      </w:r>
    </w:p>
    <w:p w:rsidR="00E2735D" w:rsidRPr="00AD6330" w:rsidP="008C6877" w14:paraId="71F004F2" w14:textId="69C275CE">
      <w:pPr>
        <w:ind w:firstLine="540"/>
        <w:rPr>
          <w:szCs w:val="26"/>
        </w:rPr>
      </w:pPr>
      <w:r w:rsidRPr="00AD6330">
        <w:rPr>
          <w:szCs w:val="26"/>
        </w:rPr>
        <w:t xml:space="preserve">The </w:t>
      </w:r>
      <w:r w:rsidRPr="00AD6330">
        <w:rPr>
          <w:i/>
          <w:iCs/>
          <w:szCs w:val="26"/>
        </w:rPr>
        <w:t xml:space="preserve">Ortiz </w:t>
      </w:r>
      <w:r w:rsidRPr="00AD6330">
        <w:rPr>
          <w:szCs w:val="26"/>
        </w:rPr>
        <w:t xml:space="preserve">court stated </w:t>
      </w:r>
      <w:r w:rsidRPr="00AD6330" w:rsidR="00F33F73">
        <w:rPr>
          <w:szCs w:val="26"/>
        </w:rPr>
        <w:t>that section 1385, subdivision (c)(2)’s mandate to give “great weight” to enumerated mitigating circumstances requires a sentencing court to</w:t>
      </w:r>
      <w:r w:rsidRPr="00AD6330">
        <w:rPr>
          <w:szCs w:val="26"/>
        </w:rPr>
        <w:t xml:space="preserve"> “engage[] in a holistic balancing with </w:t>
      </w:r>
      <w:r w:rsidRPr="00AD6330">
        <w:rPr>
          <w:i/>
          <w:iCs/>
          <w:szCs w:val="26"/>
        </w:rPr>
        <w:t>special emphasis</w:t>
      </w:r>
      <w:r w:rsidRPr="00AD6330">
        <w:rPr>
          <w:szCs w:val="26"/>
        </w:rPr>
        <w:t xml:space="preserve"> on the enumerated mitigating factors.”  (</w:t>
      </w:r>
      <w:r w:rsidRPr="00AD6330">
        <w:rPr>
          <w:i/>
          <w:iCs/>
          <w:szCs w:val="26"/>
        </w:rPr>
        <w:t>Ortiz</w:t>
      </w:r>
      <w:r w:rsidRPr="00AD6330">
        <w:rPr>
          <w:szCs w:val="26"/>
        </w:rPr>
        <w:t xml:space="preserve">, </w:t>
      </w:r>
      <w:r w:rsidRPr="00AD6330">
        <w:rPr>
          <w:i/>
          <w:iCs/>
          <w:szCs w:val="26"/>
        </w:rPr>
        <w:t>supra</w:t>
      </w:r>
      <w:r w:rsidRPr="00AD6330">
        <w:rPr>
          <w:szCs w:val="26"/>
        </w:rPr>
        <w:t>, 87</w:t>
      </w:r>
      <w:r w:rsidRPr="00AD6330" w:rsidR="00165ADE">
        <w:rPr>
          <w:szCs w:val="26"/>
        </w:rPr>
        <w:t> </w:t>
      </w:r>
      <w:r w:rsidRPr="00AD6330">
        <w:rPr>
          <w:szCs w:val="26"/>
        </w:rPr>
        <w:t>Cal.App.5th at p. 1096</w:t>
      </w:r>
      <w:r w:rsidRPr="00AD6330" w:rsidR="00486FE4">
        <w:rPr>
          <w:szCs w:val="26"/>
        </w:rPr>
        <w:t>, italics added</w:t>
      </w:r>
      <w:r w:rsidRPr="00AD6330">
        <w:rPr>
          <w:szCs w:val="26"/>
        </w:rPr>
        <w:t xml:space="preserve">.)  </w:t>
      </w:r>
      <w:r w:rsidR="00183016">
        <w:rPr>
          <w:i/>
          <w:iCs/>
          <w:szCs w:val="26"/>
        </w:rPr>
        <w:t>Ortiz</w:t>
      </w:r>
      <w:r w:rsidR="0069655B">
        <w:rPr>
          <w:szCs w:val="26"/>
        </w:rPr>
        <w:t xml:space="preserve"> concluded</w:t>
      </w:r>
      <w:r w:rsidR="00183016">
        <w:rPr>
          <w:szCs w:val="26"/>
        </w:rPr>
        <w:t xml:space="preserve"> the trial court properly “</w:t>
      </w:r>
      <w:r w:rsidRPr="00183016" w:rsidR="00183016">
        <w:rPr>
          <w:szCs w:val="26"/>
        </w:rPr>
        <w:t xml:space="preserve">weighed the mitigating factor </w:t>
      </w:r>
      <w:r w:rsidRPr="008C6877" w:rsidR="00183016">
        <w:rPr>
          <w:i/>
          <w:iCs/>
          <w:szCs w:val="26"/>
        </w:rPr>
        <w:t>strongly in favor</w:t>
      </w:r>
      <w:r w:rsidRPr="00183016" w:rsidR="00183016">
        <w:rPr>
          <w:szCs w:val="26"/>
        </w:rPr>
        <w:t xml:space="preserve"> of granting the requested dismissal</w:t>
      </w:r>
      <w:r w:rsidR="00135747">
        <w:rPr>
          <w:szCs w:val="26"/>
        </w:rPr>
        <w:t>.</w:t>
      </w:r>
      <w:r w:rsidR="008C6877">
        <w:rPr>
          <w:szCs w:val="26"/>
        </w:rPr>
        <w:t> </w:t>
      </w:r>
      <w:r w:rsidR="00135747">
        <w:rPr>
          <w:szCs w:val="26"/>
        </w:rPr>
        <w:t>.</w:t>
      </w:r>
      <w:r w:rsidR="008C6877">
        <w:rPr>
          <w:szCs w:val="26"/>
        </w:rPr>
        <w:t> </w:t>
      </w:r>
      <w:r w:rsidR="00135747">
        <w:rPr>
          <w:szCs w:val="26"/>
        </w:rPr>
        <w:t>.</w:t>
      </w:r>
      <w:r w:rsidR="008C6877">
        <w:rPr>
          <w:szCs w:val="26"/>
        </w:rPr>
        <w:t> </w:t>
      </w:r>
      <w:r w:rsidRPr="00183016" w:rsidR="00183016">
        <w:rPr>
          <w:szCs w:val="26"/>
        </w:rPr>
        <w:t>.</w:t>
      </w:r>
      <w:r w:rsidR="00183016">
        <w:rPr>
          <w:szCs w:val="26"/>
        </w:rPr>
        <w:t>”  (</w:t>
      </w:r>
      <w:r w:rsidR="00183016">
        <w:rPr>
          <w:i/>
          <w:iCs/>
          <w:szCs w:val="26"/>
        </w:rPr>
        <w:t>Ibid</w:t>
      </w:r>
      <w:r w:rsidR="00183016">
        <w:rPr>
          <w:szCs w:val="26"/>
        </w:rPr>
        <w:t>.</w:t>
      </w:r>
      <w:r w:rsidR="0069655B">
        <w:rPr>
          <w:szCs w:val="26"/>
        </w:rPr>
        <w:t>, italics added.</w:t>
      </w:r>
      <w:r w:rsidR="00183016">
        <w:rPr>
          <w:szCs w:val="26"/>
        </w:rPr>
        <w:t>)</w:t>
      </w:r>
      <w:r w:rsidR="0069655B">
        <w:rPr>
          <w:szCs w:val="26"/>
        </w:rPr>
        <w:t xml:space="preserve">  </w:t>
      </w:r>
      <w:r w:rsidRPr="00AD6330" w:rsidR="00F33F73">
        <w:rPr>
          <w:szCs w:val="26"/>
        </w:rPr>
        <w:t xml:space="preserve">Relying in large part on the reasoning of </w:t>
      </w:r>
      <w:r w:rsidRPr="00AD6330" w:rsidR="00F33F73">
        <w:rPr>
          <w:i/>
          <w:iCs/>
          <w:szCs w:val="26"/>
        </w:rPr>
        <w:t>Ortiz</w:t>
      </w:r>
      <w:r w:rsidRPr="00AD6330" w:rsidR="00F33F73">
        <w:rPr>
          <w:szCs w:val="26"/>
        </w:rPr>
        <w:t>, the People</w:t>
      </w:r>
      <w:r w:rsidRPr="00AD6330" w:rsidR="00884625">
        <w:rPr>
          <w:szCs w:val="26"/>
        </w:rPr>
        <w:t xml:space="preserve"> similarly</w:t>
      </w:r>
      <w:r w:rsidRPr="00AD6330" w:rsidR="00F33F73">
        <w:rPr>
          <w:szCs w:val="26"/>
        </w:rPr>
        <w:t xml:space="preserve"> urge “that a trial court should give certain mitigating factors increased significance and importance in the overall balancing of factors for the court’s ultimate exercise of discretion under section 1385.”  </w:t>
      </w:r>
      <w:r w:rsidRPr="00AD6330" w:rsidR="00DF36E7">
        <w:rPr>
          <w:szCs w:val="26"/>
        </w:rPr>
        <w:t>Defendant</w:t>
      </w:r>
      <w:r w:rsidRPr="00AD6330">
        <w:rPr>
          <w:szCs w:val="26"/>
        </w:rPr>
        <w:t>, by contrast,</w:t>
      </w:r>
      <w:r w:rsidRPr="00AD6330" w:rsidR="00DF36E7">
        <w:rPr>
          <w:szCs w:val="26"/>
        </w:rPr>
        <w:t xml:space="preserve"> </w:t>
      </w:r>
      <w:r w:rsidRPr="00AD6330">
        <w:rPr>
          <w:szCs w:val="26"/>
        </w:rPr>
        <w:t>asserts</w:t>
      </w:r>
      <w:r w:rsidRPr="00AD6330" w:rsidR="00DF36E7">
        <w:rPr>
          <w:szCs w:val="26"/>
        </w:rPr>
        <w:t xml:space="preserve"> that “great weight” must be defined in a manner consistent with our definition of that same phrase in </w:t>
      </w:r>
      <w:r w:rsidRPr="00AD6330" w:rsidR="00DF36E7">
        <w:rPr>
          <w:i/>
          <w:iCs/>
          <w:szCs w:val="26"/>
        </w:rPr>
        <w:t xml:space="preserve">People v. Martin </w:t>
      </w:r>
      <w:r w:rsidRPr="00AD6330" w:rsidR="00DF36E7">
        <w:rPr>
          <w:szCs w:val="26"/>
        </w:rPr>
        <w:t>(1986) 42 Cal.3d 437, 448</w:t>
      </w:r>
      <w:r w:rsidRPr="00AD6330" w:rsidR="001963D8">
        <w:rPr>
          <w:szCs w:val="26"/>
        </w:rPr>
        <w:t xml:space="preserve"> (</w:t>
      </w:r>
      <w:r w:rsidRPr="00AD6330" w:rsidR="001963D8">
        <w:rPr>
          <w:i/>
          <w:iCs/>
          <w:szCs w:val="26"/>
        </w:rPr>
        <w:t>Martin</w:t>
      </w:r>
      <w:r w:rsidRPr="00AD6330" w:rsidR="001963D8">
        <w:rPr>
          <w:szCs w:val="26"/>
        </w:rPr>
        <w:t>)</w:t>
      </w:r>
      <w:r w:rsidRPr="00AD6330" w:rsidR="00DF36E7">
        <w:rPr>
          <w:szCs w:val="26"/>
        </w:rPr>
        <w:t xml:space="preserve">. </w:t>
      </w:r>
      <w:r w:rsidRPr="00AD6330" w:rsidR="00F33F73">
        <w:rPr>
          <w:szCs w:val="26"/>
        </w:rPr>
        <w:t xml:space="preserve"> </w:t>
      </w:r>
      <w:bookmarkStart w:id="4" w:name="_Hlk168993433"/>
      <w:r w:rsidRPr="00AD6330" w:rsidR="00DF36E7">
        <w:rPr>
          <w:szCs w:val="26"/>
        </w:rPr>
        <w:t xml:space="preserve">More </w:t>
      </w:r>
      <w:r w:rsidRPr="00AD6330" w:rsidR="009C0ADC">
        <w:rPr>
          <w:szCs w:val="26"/>
        </w:rPr>
        <w:t>precisely</w:t>
      </w:r>
      <w:r w:rsidRPr="00AD6330" w:rsidR="00DF36E7">
        <w:rPr>
          <w:szCs w:val="26"/>
        </w:rPr>
        <w:t xml:space="preserve">, </w:t>
      </w:r>
      <w:r w:rsidRPr="00AD6330" w:rsidR="00AD602B">
        <w:rPr>
          <w:szCs w:val="26"/>
        </w:rPr>
        <w:t>a</w:t>
      </w:r>
      <w:r w:rsidRPr="00AD6330" w:rsidR="00DF36E7">
        <w:rPr>
          <w:szCs w:val="26"/>
        </w:rPr>
        <w:t xml:space="preserve"> court </w:t>
      </w:r>
      <w:r w:rsidRPr="00AD6330" w:rsidR="00DF36E7">
        <w:rPr>
          <w:i/>
          <w:iCs/>
          <w:szCs w:val="26"/>
        </w:rPr>
        <w:t>must dismiss</w:t>
      </w:r>
      <w:r w:rsidRPr="00AD6330" w:rsidR="00DF36E7">
        <w:rPr>
          <w:szCs w:val="26"/>
        </w:rPr>
        <w:t xml:space="preserve"> an enhancement </w:t>
      </w:r>
      <w:r w:rsidRPr="00AD6330" w:rsidR="00AD602B">
        <w:rPr>
          <w:szCs w:val="26"/>
        </w:rPr>
        <w:t xml:space="preserve">when an enumerated mitigating circumstance is present “in the absence of ‘substantial evidence of </w:t>
      </w:r>
      <w:r w:rsidRPr="00AA3850" w:rsidR="00AD602B">
        <w:t>countervailing</w:t>
      </w:r>
      <w:r w:rsidRPr="00AD6330" w:rsidR="00AD602B">
        <w:rPr>
          <w:szCs w:val="26"/>
        </w:rPr>
        <w:t xml:space="preserve"> considerations of sufficient weight </w:t>
      </w:r>
      <w:r w:rsidRPr="00AD6330" w:rsidR="00AD602B">
        <w:rPr>
          <w:i/>
          <w:iCs/>
          <w:szCs w:val="26"/>
        </w:rPr>
        <w:t>to overcome</w:t>
      </w:r>
      <w:r w:rsidRPr="00AD6330" w:rsidR="00AD602B">
        <w:rPr>
          <w:szCs w:val="26"/>
        </w:rPr>
        <w:t xml:space="preserve"> the recommendation.”  (</w:t>
      </w:r>
      <w:r w:rsidRPr="00AD6330" w:rsidR="00B73D76">
        <w:rPr>
          <w:i/>
          <w:iCs/>
          <w:szCs w:val="26"/>
        </w:rPr>
        <w:t>Id.</w:t>
      </w:r>
      <w:r w:rsidRPr="00AD6330" w:rsidR="00AD602B">
        <w:rPr>
          <w:szCs w:val="26"/>
        </w:rPr>
        <w:t xml:space="preserve"> at p.</w:t>
      </w:r>
      <w:r w:rsidRPr="00AD6330" w:rsidR="00165ADE">
        <w:rPr>
          <w:szCs w:val="26"/>
        </w:rPr>
        <w:t> </w:t>
      </w:r>
      <w:r w:rsidRPr="00AD6330" w:rsidR="00AD602B">
        <w:rPr>
          <w:szCs w:val="26"/>
        </w:rPr>
        <w:t>447, italics added.)</w:t>
      </w:r>
      <w:bookmarkEnd w:id="4"/>
      <w:r>
        <w:rPr>
          <w:rStyle w:val="FootnoteReference"/>
        </w:rPr>
        <w:footnoteReference w:id="7"/>
      </w:r>
      <w:r w:rsidRPr="00AD6330" w:rsidR="00E03562">
        <w:rPr>
          <w:szCs w:val="26"/>
        </w:rPr>
        <w:t xml:space="preserve">  </w:t>
      </w:r>
      <w:r w:rsidRPr="00AD6330" w:rsidR="00F33F73">
        <w:rPr>
          <w:szCs w:val="26"/>
        </w:rPr>
        <w:t xml:space="preserve">We conclude that </w:t>
      </w:r>
      <w:r w:rsidRPr="00AD6330" w:rsidR="00A11215">
        <w:rPr>
          <w:szCs w:val="26"/>
        </w:rPr>
        <w:t>t</w:t>
      </w:r>
      <w:r w:rsidRPr="00AD6330">
        <w:rPr>
          <w:szCs w:val="26"/>
        </w:rPr>
        <w:t xml:space="preserve">he plain language of section 1385, subdivision (c)(2) establishes a standard consistent with </w:t>
      </w:r>
      <w:r w:rsidRPr="00AD6330" w:rsidR="00BB758D">
        <w:rPr>
          <w:i/>
          <w:iCs/>
          <w:szCs w:val="26"/>
        </w:rPr>
        <w:t>Ortiz</w:t>
      </w:r>
      <w:r w:rsidRPr="00AD6330" w:rsidR="00F33F73">
        <w:rPr>
          <w:szCs w:val="26"/>
        </w:rPr>
        <w:t xml:space="preserve">’s </w:t>
      </w:r>
      <w:r w:rsidR="0069655B">
        <w:rPr>
          <w:szCs w:val="26"/>
        </w:rPr>
        <w:t>understanding</w:t>
      </w:r>
      <w:r w:rsidRPr="00AD6330">
        <w:rPr>
          <w:szCs w:val="26"/>
        </w:rPr>
        <w:t>.</w:t>
      </w:r>
    </w:p>
    <w:p w:rsidR="00CC6384" w:rsidRPr="00AD6330" w:rsidP="00A9236E" w14:paraId="43749F19" w14:textId="0822D639">
      <w:r w:rsidRPr="00AD6330">
        <w:tab/>
      </w:r>
      <w:r w:rsidRPr="00AD6330" w:rsidR="00C07E3A">
        <w:t>The</w:t>
      </w:r>
      <w:r w:rsidRPr="00AD6330" w:rsidR="00C01912">
        <w:t xml:space="preserve"> </w:t>
      </w:r>
      <w:r w:rsidRPr="00AD6330" w:rsidR="00457D14">
        <w:t>most pivotal</w:t>
      </w:r>
      <w:r w:rsidRPr="00AD6330" w:rsidR="00097A0D">
        <w:t xml:space="preserve"> phrase</w:t>
      </w:r>
      <w:r w:rsidRPr="00AD6330" w:rsidR="00457D14">
        <w:t xml:space="preserve"> to a trial court’s evaluation of the enumerated mitigating circumstances</w:t>
      </w:r>
      <w:r w:rsidRPr="00AD6330" w:rsidR="00C01912">
        <w:t xml:space="preserve"> is “weighs greatly</w:t>
      </w:r>
      <w:r w:rsidRPr="00AD6330" w:rsidR="00457D14">
        <w:t>,</w:t>
      </w:r>
      <w:r w:rsidRPr="00AD6330" w:rsidR="00C41B2E">
        <w:t>”</w:t>
      </w:r>
      <w:r w:rsidRPr="00AD6330" w:rsidR="00457D14">
        <w:t xml:space="preserve"> as </w:t>
      </w:r>
      <w:r w:rsidRPr="00AD6330" w:rsidR="00F33F73">
        <w:t>found</w:t>
      </w:r>
      <w:r w:rsidRPr="00AD6330" w:rsidR="00457D14">
        <w:t xml:space="preserve"> in the second sentence of section 1385, subdivision (c)(2).</w:t>
      </w:r>
      <w:r w:rsidRPr="00AD6330" w:rsidR="00C41B2E">
        <w:t xml:space="preserve">  </w:t>
      </w:r>
      <w:r w:rsidRPr="00AD6330" w:rsidR="00BB758D">
        <w:t>Absent “</w:t>
      </w:r>
      <w:r w:rsidRPr="00AD6330" w:rsidR="004F194C">
        <w:t xml:space="preserve">a specific statutory definition of </w:t>
      </w:r>
      <w:r w:rsidRPr="00AD6330" w:rsidR="00C01912">
        <w:t>[that phrase</w:t>
      </w:r>
      <w:r w:rsidRPr="00AD6330" w:rsidR="00910E8E">
        <w:t>,</w:t>
      </w:r>
      <w:r w:rsidRPr="00AD6330" w:rsidR="00C01912">
        <w:t>]</w:t>
      </w:r>
      <w:r w:rsidRPr="00AD6330" w:rsidR="004F194C">
        <w:t xml:space="preserve"> we may </w:t>
      </w:r>
      <w:r w:rsidRPr="00AD6330" w:rsidR="00C04A0D">
        <w:t>‘</w:t>
      </w:r>
      <w:r w:rsidRPr="00AD6330" w:rsidR="004F194C">
        <w:t xml:space="preserve">look to </w:t>
      </w:r>
      <w:r w:rsidRPr="00AD6330" w:rsidR="00C01912">
        <w:t>[its]</w:t>
      </w:r>
      <w:r w:rsidRPr="00AD6330" w:rsidR="004F194C">
        <w:t xml:space="preserve"> plain meaning </w:t>
      </w:r>
      <w:r w:rsidRPr="00AD6330" w:rsidR="00C01912">
        <w:t>.</w:t>
      </w:r>
      <w:r w:rsidRPr="00AD6330" w:rsidR="00B73D76">
        <w:t> </w:t>
      </w:r>
      <w:r w:rsidRPr="00AD6330" w:rsidR="00C01912">
        <w:t>.</w:t>
      </w:r>
      <w:r w:rsidRPr="00AD6330" w:rsidR="00B73D76">
        <w:t> </w:t>
      </w:r>
      <w:r w:rsidRPr="00AD6330" w:rsidR="00C01912">
        <w:t>.</w:t>
      </w:r>
      <w:r w:rsidRPr="00AD6330" w:rsidR="004F194C">
        <w:t xml:space="preserve"> as understood by the ordinary person, which would typically be a dictionary definition.</w:t>
      </w:r>
      <w:r w:rsidRPr="00AD6330" w:rsidR="00C04A0D">
        <w:t>’ ”  (</w:t>
      </w:r>
      <w:r w:rsidRPr="00AD6330" w:rsidR="00C04A0D">
        <w:rPr>
          <w:i/>
          <w:iCs/>
        </w:rPr>
        <w:t xml:space="preserve">In re M.A. </w:t>
      </w:r>
      <w:r w:rsidRPr="00AD6330" w:rsidR="00C04A0D">
        <w:t>(2022) 83</w:t>
      </w:r>
      <w:r w:rsidRPr="00AD6330" w:rsidR="00165ADE">
        <w:t> </w:t>
      </w:r>
      <w:r w:rsidRPr="00AD6330" w:rsidR="00C04A0D">
        <w:t xml:space="preserve">Cal.App.5th 143, 150.)  </w:t>
      </w:r>
      <w:r w:rsidRPr="00AD6330" w:rsidR="00C22121">
        <w:t xml:space="preserve">The transitive verb </w:t>
      </w:r>
      <w:r w:rsidRPr="00AD6330" w:rsidR="00C23EA9">
        <w:rPr>
          <w:szCs w:val="26"/>
        </w:rPr>
        <w:t>“</w:t>
      </w:r>
      <w:r w:rsidRPr="00AD6330" w:rsidR="00C22121">
        <w:rPr>
          <w:szCs w:val="26"/>
        </w:rPr>
        <w:t>w</w:t>
      </w:r>
      <w:r w:rsidRPr="00AD6330" w:rsidR="00C23EA9">
        <w:rPr>
          <w:szCs w:val="26"/>
        </w:rPr>
        <w:t xml:space="preserve">eigh” </w:t>
      </w:r>
      <w:r w:rsidRPr="00AD6330" w:rsidR="00C04A0D">
        <w:rPr>
          <w:szCs w:val="26"/>
        </w:rPr>
        <w:t>is defined as</w:t>
      </w:r>
      <w:r w:rsidRPr="00AD6330" w:rsidR="00C23EA9">
        <w:rPr>
          <w:szCs w:val="26"/>
        </w:rPr>
        <w:t xml:space="preserve"> “to consider carefully especially by balancing opposing factors or aspects in order to reach a </w:t>
      </w:r>
      <w:r w:rsidR="00F77BEB">
        <w:rPr>
          <w:szCs w:val="26"/>
        </w:rPr>
        <w:t xml:space="preserve">choice or </w:t>
      </w:r>
      <w:r w:rsidRPr="00AD6330" w:rsidR="00C23EA9">
        <w:rPr>
          <w:szCs w:val="26"/>
        </w:rPr>
        <w:t xml:space="preserve">conclusion.”  (Merriam-Webster Dict. Online (2024) &lt;http://www.merriam-webster.com/dictionary/weighs&gt; [as of </w:t>
      </w:r>
      <w:r w:rsidR="00863F53">
        <w:rPr>
          <w:szCs w:val="26"/>
        </w:rPr>
        <w:t xml:space="preserve">August </w:t>
      </w:r>
      <w:r w:rsidR="00BA299E">
        <w:rPr>
          <w:szCs w:val="26"/>
        </w:rPr>
        <w:t>15</w:t>
      </w:r>
      <w:r w:rsidRPr="00AD6330" w:rsidR="00C23EA9">
        <w:rPr>
          <w:szCs w:val="26"/>
        </w:rPr>
        <w:t>, 2024]</w:t>
      </w:r>
      <w:r w:rsidR="002B0DBE">
        <w:rPr>
          <w:szCs w:val="26"/>
        </w:rPr>
        <w:t xml:space="preserve">; </w:t>
      </w:r>
      <w:r w:rsidR="002B0DBE">
        <w:t>all Internet citations in this opinion are archived by year, docket number and case name at &lt;</w:t>
      </w:r>
      <w:r w:rsidRPr="002E5800" w:rsidR="002B0DBE">
        <w:t>http://www.courts.ca.gov/38324.htm</w:t>
      </w:r>
      <w:r w:rsidR="002B0DBE">
        <w:t>&gt;</w:t>
      </w:r>
      <w:r w:rsidRPr="00AD6330">
        <w:rPr>
          <w:szCs w:val="26"/>
        </w:rPr>
        <w:t>.)</w:t>
      </w:r>
      <w:r w:rsidRPr="00AD6330" w:rsidR="00550D2E">
        <w:rPr>
          <w:szCs w:val="26"/>
        </w:rPr>
        <w:t xml:space="preserve">  </w:t>
      </w:r>
      <w:r w:rsidRPr="00AD6330" w:rsidR="00C23EA9">
        <w:rPr>
          <w:szCs w:val="26"/>
        </w:rPr>
        <w:t>As an intransitive verb, “weigh” means “to merit consideration as important.”  (</w:t>
      </w:r>
      <w:r w:rsidR="00764CAA">
        <w:rPr>
          <w:i/>
          <w:iCs/>
          <w:szCs w:val="26"/>
        </w:rPr>
        <w:t>Ibid.</w:t>
      </w:r>
      <w:r w:rsidRPr="00AD6330" w:rsidR="00C41B2E">
        <w:rPr>
          <w:szCs w:val="26"/>
        </w:rPr>
        <w:t xml:space="preserve">; </w:t>
      </w:r>
      <w:r w:rsidRPr="00AD6330" w:rsidR="00C04A0D">
        <w:rPr>
          <w:szCs w:val="26"/>
        </w:rPr>
        <w:t>see also Oxford English Dict. Online (202</w:t>
      </w:r>
      <w:r w:rsidRPr="00AD6330" w:rsidR="00C41B2E">
        <w:rPr>
          <w:szCs w:val="26"/>
        </w:rPr>
        <w:t>4</w:t>
      </w:r>
      <w:r w:rsidRPr="00AD6330" w:rsidR="00C04A0D">
        <w:rPr>
          <w:szCs w:val="26"/>
        </w:rPr>
        <w:t>)</w:t>
      </w:r>
      <w:r w:rsidRPr="00AD6330" w:rsidR="00C41B2E">
        <w:rPr>
          <w:szCs w:val="26"/>
        </w:rPr>
        <w:t xml:space="preserve"> </w:t>
      </w:r>
      <w:r w:rsidRPr="00AD6330" w:rsidR="00C41B2E">
        <w:rPr>
          <w:rStyle w:val="Hyperlink"/>
          <w:color w:val="auto"/>
          <w:szCs w:val="26"/>
          <w:u w:val="none"/>
        </w:rPr>
        <w:t>&lt;</w:t>
      </w:r>
      <w:r w:rsidRPr="00AD6330" w:rsidR="00C41B2E">
        <w:t>https://www.oed.com/dictionary/weigh_v1?tab=meaning_and_use#14844986</w:t>
      </w:r>
      <w:r w:rsidRPr="00AD6330" w:rsidR="00C41B2E">
        <w:rPr>
          <w:szCs w:val="26"/>
        </w:rPr>
        <w:t>&gt;</w:t>
      </w:r>
      <w:r w:rsidR="00FE0722">
        <w:rPr>
          <w:szCs w:val="26"/>
        </w:rPr>
        <w:t xml:space="preserve"> [</w:t>
      </w:r>
      <w:r w:rsidRPr="00AD6330" w:rsidR="00FE0722">
        <w:rPr>
          <w:szCs w:val="26"/>
        </w:rPr>
        <w:t xml:space="preserve">as of </w:t>
      </w:r>
      <w:r w:rsidR="00863F53">
        <w:rPr>
          <w:szCs w:val="26"/>
        </w:rPr>
        <w:t xml:space="preserve">August </w:t>
      </w:r>
      <w:r w:rsidR="00BA299E">
        <w:rPr>
          <w:szCs w:val="26"/>
        </w:rPr>
        <w:t>15</w:t>
      </w:r>
      <w:r w:rsidRPr="00AD6330" w:rsidR="00FE0722">
        <w:rPr>
          <w:szCs w:val="26"/>
        </w:rPr>
        <w:t>, 2024</w:t>
      </w:r>
      <w:r w:rsidR="00FE0722">
        <w:rPr>
          <w:szCs w:val="26"/>
        </w:rPr>
        <w:t>]</w:t>
      </w:r>
      <w:r w:rsidRPr="00AD6330" w:rsidR="00C04A0D">
        <w:rPr>
          <w:szCs w:val="26"/>
        </w:rPr>
        <w:t xml:space="preserve"> [“[t]o pay heed or deference to”].</w:t>
      </w:r>
      <w:r w:rsidRPr="00AD6330" w:rsidR="00C23EA9">
        <w:rPr>
          <w:szCs w:val="26"/>
        </w:rPr>
        <w:t xml:space="preserve">)  “Greatly” is defined as “to a great extent or degree:  very much” (Merriam-Webster Dict. Online, </w:t>
      </w:r>
      <w:r w:rsidRPr="00AD6330" w:rsidR="00C23EA9">
        <w:rPr>
          <w:i/>
          <w:iCs/>
          <w:szCs w:val="26"/>
        </w:rPr>
        <w:t>supra</w:t>
      </w:r>
      <w:r w:rsidRPr="00AD6330" w:rsidR="00C23EA9">
        <w:rPr>
          <w:szCs w:val="26"/>
        </w:rPr>
        <w:t>,</w:t>
      </w:r>
      <w:r w:rsidRPr="00AD6330" w:rsidR="00C23EA9">
        <w:rPr>
          <w:i/>
          <w:iCs/>
          <w:szCs w:val="26"/>
        </w:rPr>
        <w:t xml:space="preserve"> </w:t>
      </w:r>
      <w:r w:rsidRPr="00AD6330" w:rsidR="00C23EA9">
        <w:rPr>
          <w:szCs w:val="26"/>
        </w:rPr>
        <w:t xml:space="preserve">&lt;http://www.merriam-webster.com/dictionary/greatly&gt; [as of </w:t>
      </w:r>
      <w:r w:rsidR="00863F53">
        <w:rPr>
          <w:szCs w:val="26"/>
        </w:rPr>
        <w:t xml:space="preserve">August </w:t>
      </w:r>
      <w:r w:rsidR="00BA299E">
        <w:rPr>
          <w:szCs w:val="26"/>
        </w:rPr>
        <w:t>15</w:t>
      </w:r>
      <w:r w:rsidRPr="00AD6330" w:rsidR="00C23EA9">
        <w:rPr>
          <w:szCs w:val="26"/>
        </w:rPr>
        <w:t>, 2024])</w:t>
      </w:r>
      <w:r w:rsidRPr="00AD6330" w:rsidR="001A3A14">
        <w:rPr>
          <w:szCs w:val="26"/>
        </w:rPr>
        <w:t xml:space="preserve"> and “extensively, exceedingly; highly; much</w:t>
      </w:r>
      <w:r w:rsidRPr="00AD6330" w:rsidR="005D554C">
        <w:rPr>
          <w:szCs w:val="26"/>
        </w:rPr>
        <w:t>,</w:t>
      </w:r>
      <w:r w:rsidRPr="00AD6330" w:rsidR="001A3A14">
        <w:rPr>
          <w:szCs w:val="26"/>
        </w:rPr>
        <w:t xml:space="preserve"> very” (Oxford English Dict. Online</w:t>
      </w:r>
      <w:r w:rsidRPr="00AD6330" w:rsidR="00C41B2E">
        <w:rPr>
          <w:szCs w:val="26"/>
        </w:rPr>
        <w:t xml:space="preserve">, </w:t>
      </w:r>
      <w:r w:rsidRPr="00AD6330" w:rsidR="00C41B2E">
        <w:rPr>
          <w:i/>
          <w:iCs/>
          <w:szCs w:val="26"/>
        </w:rPr>
        <w:t>supra</w:t>
      </w:r>
      <w:r w:rsidRPr="00AD6330" w:rsidR="00C41B2E">
        <w:rPr>
          <w:szCs w:val="26"/>
        </w:rPr>
        <w:t>, &lt;</w:t>
      </w:r>
      <w:r w:rsidRPr="00AD6330" w:rsidR="00C41B2E">
        <w:t>https://</w:t>
      </w:r>
      <w:r>
        <w:t xml:space="preserve"> </w:t>
      </w:r>
      <w:r w:rsidRPr="00AD6330" w:rsidR="00C41B2E">
        <w:t>www.oed.com/dictionary/greatly_adv?tab=meaning_and_use#2410970</w:t>
      </w:r>
      <w:r w:rsidRPr="00AD6330" w:rsidR="00C41B2E">
        <w:rPr>
          <w:szCs w:val="26"/>
        </w:rPr>
        <w:t>&gt;</w:t>
      </w:r>
      <w:r w:rsidRPr="00AD6330" w:rsidR="001A3A14">
        <w:rPr>
          <w:szCs w:val="26"/>
        </w:rPr>
        <w:t xml:space="preserve"> </w:t>
      </w:r>
      <w:r w:rsidR="00C566A4">
        <w:rPr>
          <w:szCs w:val="26"/>
        </w:rPr>
        <w:t>[</w:t>
      </w:r>
      <w:r w:rsidRPr="00AD6330" w:rsidR="001A3A14">
        <w:rPr>
          <w:szCs w:val="26"/>
        </w:rPr>
        <w:t xml:space="preserve">as of </w:t>
      </w:r>
      <w:r w:rsidR="00863F53">
        <w:rPr>
          <w:szCs w:val="26"/>
        </w:rPr>
        <w:t xml:space="preserve">August </w:t>
      </w:r>
      <w:r w:rsidR="00BA299E">
        <w:rPr>
          <w:szCs w:val="26"/>
        </w:rPr>
        <w:t>15</w:t>
      </w:r>
      <w:r w:rsidRPr="00AD6330" w:rsidR="001A3A14">
        <w:rPr>
          <w:szCs w:val="26"/>
        </w:rPr>
        <w:t>, 2024</w:t>
      </w:r>
      <w:r w:rsidR="00C566A4">
        <w:rPr>
          <w:szCs w:val="26"/>
        </w:rPr>
        <w:t>]</w:t>
      </w:r>
      <w:r w:rsidR="002B0DBE">
        <w:rPr>
          <w:szCs w:val="26"/>
        </w:rPr>
        <w:t>.</w:t>
      </w:r>
      <w:r w:rsidRPr="00AD6330" w:rsidR="001A3A14">
        <w:rPr>
          <w:szCs w:val="26"/>
        </w:rPr>
        <w:t>)</w:t>
      </w:r>
      <w:r w:rsidRPr="00AD6330" w:rsidR="00184C75">
        <w:rPr>
          <w:szCs w:val="26"/>
        </w:rPr>
        <w:t xml:space="preserve">  These definitions, e.g., “to consider carefully,” “to a great extent,” “extensively, exceedingly</w:t>
      </w:r>
      <w:r w:rsidRPr="00AD6330" w:rsidR="004C51F2">
        <w:rPr>
          <w:szCs w:val="26"/>
        </w:rPr>
        <w:t>;</w:t>
      </w:r>
      <w:r w:rsidRPr="00AD6330" w:rsidR="00184C75">
        <w:rPr>
          <w:szCs w:val="26"/>
        </w:rPr>
        <w:t xml:space="preserve"> highly</w:t>
      </w:r>
      <w:r w:rsidR="00590E7A">
        <w:rPr>
          <w:szCs w:val="26"/>
        </w:rPr>
        <w:t>,</w:t>
      </w:r>
      <w:r w:rsidRPr="00AD6330" w:rsidR="00184C75">
        <w:rPr>
          <w:szCs w:val="26"/>
        </w:rPr>
        <w:t>” all assist in the understanding of</w:t>
      </w:r>
      <w:r w:rsidR="009430FE">
        <w:rPr>
          <w:szCs w:val="26"/>
        </w:rPr>
        <w:t xml:space="preserve"> the phrase</w:t>
      </w:r>
      <w:r w:rsidRPr="00AD6330" w:rsidR="00184C75">
        <w:rPr>
          <w:szCs w:val="26"/>
        </w:rPr>
        <w:t xml:space="preserve"> </w:t>
      </w:r>
      <w:r w:rsidR="009430FE">
        <w:rPr>
          <w:szCs w:val="26"/>
        </w:rPr>
        <w:t>“weighs greatly</w:t>
      </w:r>
      <w:r w:rsidRPr="00AD6330" w:rsidR="00184C75">
        <w:rPr>
          <w:szCs w:val="26"/>
        </w:rPr>
        <w:t>.</w:t>
      </w:r>
      <w:r w:rsidR="009430FE">
        <w:rPr>
          <w:szCs w:val="26"/>
        </w:rPr>
        <w:t>”</w:t>
      </w:r>
    </w:p>
    <w:p w:rsidR="00C41B2E" w:rsidP="00A9236E" w14:paraId="31EE5CD8" w14:textId="118D4E7A">
      <w:pPr>
        <w:rPr>
          <w:szCs w:val="26"/>
        </w:rPr>
      </w:pPr>
      <w:r w:rsidRPr="00AD6330">
        <w:rPr>
          <w:szCs w:val="26"/>
        </w:rPr>
        <w:tab/>
      </w:r>
      <w:r w:rsidRPr="00AD6330" w:rsidR="00C11463">
        <w:rPr>
          <w:szCs w:val="26"/>
        </w:rPr>
        <w:t xml:space="preserve">The </w:t>
      </w:r>
      <w:r w:rsidRPr="00AD6330" w:rsidR="00C11463">
        <w:rPr>
          <w:i/>
          <w:iCs/>
          <w:szCs w:val="26"/>
        </w:rPr>
        <w:t xml:space="preserve">Ortiz </w:t>
      </w:r>
      <w:r w:rsidRPr="00AD6330" w:rsidR="00C11463">
        <w:rPr>
          <w:szCs w:val="26"/>
        </w:rPr>
        <w:t>court’s</w:t>
      </w:r>
      <w:r w:rsidRPr="00AD6330" w:rsidR="00C11463">
        <w:rPr>
          <w:i/>
          <w:iCs/>
          <w:szCs w:val="26"/>
        </w:rPr>
        <w:t xml:space="preserve"> </w:t>
      </w:r>
      <w:r w:rsidR="0069655B">
        <w:rPr>
          <w:szCs w:val="26"/>
        </w:rPr>
        <w:t>understanding</w:t>
      </w:r>
      <w:r w:rsidRPr="00AD6330" w:rsidR="0069655B">
        <w:rPr>
          <w:szCs w:val="26"/>
        </w:rPr>
        <w:t xml:space="preserve"> </w:t>
      </w:r>
      <w:r w:rsidRPr="00AD6330" w:rsidR="00C11463">
        <w:rPr>
          <w:szCs w:val="26"/>
        </w:rPr>
        <w:t xml:space="preserve">that a trial court must “engage[] in a holistic balancing with </w:t>
      </w:r>
      <w:r w:rsidRPr="00AD6330" w:rsidR="00C11463">
        <w:rPr>
          <w:i/>
          <w:iCs/>
          <w:szCs w:val="26"/>
        </w:rPr>
        <w:t>special emphasis</w:t>
      </w:r>
      <w:r w:rsidRPr="00AD6330" w:rsidR="00C11463">
        <w:rPr>
          <w:szCs w:val="26"/>
        </w:rPr>
        <w:t xml:space="preserve"> on the enumerated mitigating factors</w:t>
      </w:r>
      <w:r w:rsidR="002A54B8">
        <w:rPr>
          <w:szCs w:val="26"/>
        </w:rPr>
        <w:t>,</w:t>
      </w:r>
      <w:r w:rsidRPr="00AD6330" w:rsidR="00C11463">
        <w:rPr>
          <w:szCs w:val="26"/>
        </w:rPr>
        <w:t>”</w:t>
      </w:r>
      <w:r w:rsidR="00AF5A26">
        <w:rPr>
          <w:szCs w:val="26"/>
        </w:rPr>
        <w:t xml:space="preserve"> </w:t>
      </w:r>
      <w:r w:rsidR="005627AD">
        <w:rPr>
          <w:szCs w:val="26"/>
        </w:rPr>
        <w:t>in which the</w:t>
      </w:r>
      <w:r w:rsidR="00AF5A26">
        <w:rPr>
          <w:szCs w:val="26"/>
        </w:rPr>
        <w:t xml:space="preserve"> mitigating factors weigh “strongly in favor of . . . dismissal”</w:t>
      </w:r>
      <w:r w:rsidRPr="00AD6330" w:rsidR="00550D2E">
        <w:rPr>
          <w:szCs w:val="26"/>
        </w:rPr>
        <w:t xml:space="preserve"> (</w:t>
      </w:r>
      <w:r w:rsidRPr="00AD6330" w:rsidR="00550D2E">
        <w:rPr>
          <w:i/>
          <w:iCs/>
          <w:szCs w:val="26"/>
        </w:rPr>
        <w:t>Ortiz</w:t>
      </w:r>
      <w:r w:rsidRPr="00AD6330" w:rsidR="00550D2E">
        <w:rPr>
          <w:szCs w:val="26"/>
        </w:rPr>
        <w:t xml:space="preserve">, </w:t>
      </w:r>
      <w:r w:rsidRPr="00AD6330" w:rsidR="00550D2E">
        <w:rPr>
          <w:i/>
          <w:iCs/>
          <w:szCs w:val="26"/>
        </w:rPr>
        <w:t>supra</w:t>
      </w:r>
      <w:r w:rsidRPr="00AD6330" w:rsidR="00550D2E">
        <w:rPr>
          <w:szCs w:val="26"/>
        </w:rPr>
        <w:t>, 87</w:t>
      </w:r>
      <w:r w:rsidRPr="00AD6330" w:rsidR="000B2EE7">
        <w:rPr>
          <w:szCs w:val="26"/>
        </w:rPr>
        <w:t> </w:t>
      </w:r>
      <w:r w:rsidRPr="00AD6330" w:rsidR="00550D2E">
        <w:rPr>
          <w:szCs w:val="26"/>
        </w:rPr>
        <w:t>Cal.App.5th at p. 1096, italics added),</w:t>
      </w:r>
      <w:r w:rsidRPr="00AD6330" w:rsidR="00C11463">
        <w:rPr>
          <w:szCs w:val="26"/>
        </w:rPr>
        <w:t xml:space="preserve"> adheres to </w:t>
      </w:r>
      <w:r w:rsidRPr="00AD6330" w:rsidR="001A3A14">
        <w:rPr>
          <w:szCs w:val="26"/>
        </w:rPr>
        <w:t>these</w:t>
      </w:r>
      <w:r w:rsidRPr="00AD6330" w:rsidR="00457D14">
        <w:rPr>
          <w:szCs w:val="26"/>
        </w:rPr>
        <w:t xml:space="preserve"> dictionary</w:t>
      </w:r>
      <w:r w:rsidRPr="00AD6330" w:rsidR="001A3A14">
        <w:rPr>
          <w:szCs w:val="26"/>
        </w:rPr>
        <w:t xml:space="preserve"> definitions,</w:t>
      </w:r>
      <w:r w:rsidRPr="00AD6330" w:rsidR="00C11463">
        <w:rPr>
          <w:szCs w:val="26"/>
        </w:rPr>
        <w:t xml:space="preserve"> as does the People’s</w:t>
      </w:r>
      <w:r w:rsidRPr="00AD6330" w:rsidR="00097882">
        <w:rPr>
          <w:szCs w:val="26"/>
        </w:rPr>
        <w:t xml:space="preserve"> </w:t>
      </w:r>
      <w:r w:rsidRPr="003E2448" w:rsidR="003E2448">
        <w:rPr>
          <w:i/>
          <w:iCs/>
          <w:szCs w:val="26"/>
        </w:rPr>
        <w:t>Ortiz</w:t>
      </w:r>
      <w:r w:rsidR="003E2448">
        <w:rPr>
          <w:szCs w:val="26"/>
        </w:rPr>
        <w:t xml:space="preserve">-derived </w:t>
      </w:r>
      <w:r w:rsidRPr="003E2448" w:rsidR="00097882">
        <w:rPr>
          <w:szCs w:val="26"/>
        </w:rPr>
        <w:t>assertion</w:t>
      </w:r>
      <w:r w:rsidRPr="00AD6330" w:rsidR="00097882">
        <w:rPr>
          <w:szCs w:val="26"/>
        </w:rPr>
        <w:t xml:space="preserve"> that mitigating circumstances are entitled to “increased significance and importance in the [court’s] overall balancing of factors” </w:t>
      </w:r>
      <w:r w:rsidRPr="00AD6330" w:rsidR="002814BA">
        <w:rPr>
          <w:szCs w:val="26"/>
        </w:rPr>
        <w:t>under</w:t>
      </w:r>
      <w:r w:rsidRPr="00AD6330" w:rsidR="00097882">
        <w:rPr>
          <w:szCs w:val="26"/>
        </w:rPr>
        <w:t xml:space="preserve"> section 1385.</w:t>
      </w:r>
      <w:r w:rsidRPr="00AD6330" w:rsidR="00C11463">
        <w:rPr>
          <w:szCs w:val="26"/>
        </w:rPr>
        <w:t xml:space="preserve">  </w:t>
      </w:r>
      <w:r w:rsidRPr="00AD6330" w:rsidR="00BB758D">
        <w:t>Stated simply</w:t>
      </w:r>
      <w:r w:rsidRPr="00AD6330">
        <w:t xml:space="preserve">, if </w:t>
      </w:r>
      <w:r w:rsidR="008F363C">
        <w:t xml:space="preserve">the court does not conclude </w:t>
      </w:r>
      <w:r w:rsidRPr="00AD6330">
        <w:t>that dismissal would endanger public safety, then mitigating circumstance</w:t>
      </w:r>
      <w:r w:rsidR="008F363C">
        <w:t>s</w:t>
      </w:r>
      <w:r w:rsidRPr="00AD6330">
        <w:t xml:space="preserve"> </w:t>
      </w:r>
      <w:r w:rsidR="00A06778">
        <w:t>strongly</w:t>
      </w:r>
      <w:r w:rsidRPr="00AD6330">
        <w:t xml:space="preserve"> </w:t>
      </w:r>
      <w:r w:rsidRPr="00AD6330" w:rsidR="008F363C">
        <w:t>favor dismissing</w:t>
      </w:r>
      <w:r w:rsidRPr="00AD6330">
        <w:t xml:space="preserve"> the enhancement.  </w:t>
      </w:r>
      <w:r w:rsidR="00A54E37">
        <w:t>But u</w:t>
      </w:r>
      <w:r w:rsidR="008F363C">
        <w:t xml:space="preserve">ltimately, the court must determine whether dismissal is in furtherance of justice.  </w:t>
      </w:r>
      <w:r w:rsidRPr="00AD6330" w:rsidR="007374CB">
        <w:rPr>
          <w:szCs w:val="26"/>
        </w:rPr>
        <w:t xml:space="preserve">This means that, absent a danger to public safety, the presence of an enumerated mitigating circumstance will generally </w:t>
      </w:r>
      <w:r w:rsidR="00863F53">
        <w:rPr>
          <w:szCs w:val="26"/>
        </w:rPr>
        <w:t>result in</w:t>
      </w:r>
      <w:r w:rsidRPr="00AD6330" w:rsidR="000E78F9">
        <w:rPr>
          <w:szCs w:val="26"/>
        </w:rPr>
        <w:t xml:space="preserve"> </w:t>
      </w:r>
      <w:r w:rsidRPr="00AD6330" w:rsidR="007374CB">
        <w:rPr>
          <w:szCs w:val="26"/>
        </w:rPr>
        <w:t>the dismissal of an enhancement unless</w:t>
      </w:r>
      <w:r w:rsidRPr="00AD6330" w:rsidR="007374CB">
        <w:rPr>
          <w:b/>
          <w:bCs/>
          <w:szCs w:val="26"/>
        </w:rPr>
        <w:t xml:space="preserve"> </w:t>
      </w:r>
      <w:r w:rsidRPr="00AD6330" w:rsidR="00962724">
        <w:t xml:space="preserve">the sentencing court finds substantial, credible evidence </w:t>
      </w:r>
      <w:r w:rsidR="000E78F9">
        <w:t xml:space="preserve">of countervailing factors </w:t>
      </w:r>
      <w:r w:rsidRPr="00AD6330" w:rsidR="00550D2E">
        <w:rPr>
          <w:szCs w:val="26"/>
        </w:rPr>
        <w:t xml:space="preserve">that </w:t>
      </w:r>
      <w:r w:rsidRPr="00AD6330" w:rsidR="00962724">
        <w:rPr>
          <w:szCs w:val="26"/>
        </w:rPr>
        <w:t>“</w:t>
      </w:r>
      <w:r w:rsidR="000E78F9">
        <w:rPr>
          <w:szCs w:val="26"/>
        </w:rPr>
        <w:t xml:space="preserve">may nonetheless </w:t>
      </w:r>
      <w:r w:rsidRPr="00AD6330" w:rsidR="007374CB">
        <w:rPr>
          <w:szCs w:val="26"/>
        </w:rPr>
        <w:t>neutralize even the great weight of the mitigating circumstance, such that dismissal of the enhancement is not in furtherance of justice.”  (</w:t>
      </w:r>
      <w:r w:rsidRPr="00AD6330" w:rsidR="007374CB">
        <w:rPr>
          <w:i/>
          <w:iCs/>
          <w:szCs w:val="26"/>
        </w:rPr>
        <w:t>Ortiz</w:t>
      </w:r>
      <w:r w:rsidRPr="00AD6330" w:rsidR="007374CB">
        <w:rPr>
          <w:szCs w:val="26"/>
        </w:rPr>
        <w:t xml:space="preserve">, </w:t>
      </w:r>
      <w:r w:rsidRPr="00AD6330" w:rsidR="007374CB">
        <w:rPr>
          <w:i/>
          <w:iCs/>
          <w:szCs w:val="26"/>
        </w:rPr>
        <w:t>supra</w:t>
      </w:r>
      <w:r w:rsidRPr="00AD6330" w:rsidR="007374CB">
        <w:rPr>
          <w:szCs w:val="26"/>
        </w:rPr>
        <w:t>, 87</w:t>
      </w:r>
      <w:r w:rsidRPr="00AD6330" w:rsidR="000B2EE7">
        <w:rPr>
          <w:szCs w:val="26"/>
        </w:rPr>
        <w:t> </w:t>
      </w:r>
      <w:r w:rsidRPr="00AD6330" w:rsidR="007374CB">
        <w:rPr>
          <w:szCs w:val="26"/>
        </w:rPr>
        <w:t>Cal.App.5th at p.</w:t>
      </w:r>
      <w:r w:rsidRPr="00AD6330" w:rsidR="000B2EE7">
        <w:rPr>
          <w:szCs w:val="26"/>
        </w:rPr>
        <w:t> </w:t>
      </w:r>
      <w:r w:rsidRPr="00AD6330" w:rsidR="007374CB">
        <w:rPr>
          <w:szCs w:val="26"/>
        </w:rPr>
        <w:t>1098.)</w:t>
      </w:r>
    </w:p>
    <w:p w:rsidR="00876D6C" w:rsidRPr="00AD6330" w:rsidP="00A9236E" w14:paraId="1EBF4D7C" w14:textId="1446AE04">
      <w:r>
        <w:tab/>
      </w:r>
      <w:r w:rsidRPr="00863F53">
        <w:t>We also emphasize that, as noted, there must be substantial, relevant</w:t>
      </w:r>
      <w:r w:rsidR="004B1EE9">
        <w:t>,</w:t>
      </w:r>
      <w:r w:rsidRPr="00863F53">
        <w:t xml:space="preserve"> and credible evidence of aggravating factors </w:t>
      </w:r>
      <w:r w:rsidR="00A54E37">
        <w:t>to neutralize</w:t>
      </w:r>
      <w:r w:rsidRPr="00863F53">
        <w:t xml:space="preserve"> the </w:t>
      </w:r>
      <w:r w:rsidR="00A54E37">
        <w:t>“</w:t>
      </w:r>
      <w:r w:rsidRPr="00863F53">
        <w:t>great weight</w:t>
      </w:r>
      <w:r w:rsidR="00A54E37">
        <w:t>”</w:t>
      </w:r>
      <w:r w:rsidRPr="00863F53">
        <w:t xml:space="preserve"> of the mitigating circumstances. </w:t>
      </w:r>
      <w:r w:rsidR="006F5B4A">
        <w:t xml:space="preserve"> </w:t>
      </w:r>
      <w:r w:rsidRPr="00863F53">
        <w:t>(</w:t>
      </w:r>
      <w:r w:rsidR="00A54E37">
        <w:t>Cf.</w:t>
      </w:r>
      <w:r w:rsidRPr="00863F53">
        <w:t xml:space="preserve"> § 1385, subd. (c)(5), (c)(6)(A)–(B) [referencing “any relevant and credible evidence” as properly considered to support a trial court’s findings related to the mitigating circumstances in subdivision (c)(2)(D)</w:t>
      </w:r>
      <w:r w:rsidR="00E8139D">
        <w:t>–(E)</w:t>
      </w:r>
      <w:r w:rsidRPr="00863F53">
        <w:t xml:space="preserve">]; see also </w:t>
      </w:r>
      <w:r w:rsidRPr="00863F53">
        <w:rPr>
          <w:i/>
          <w:iCs/>
        </w:rPr>
        <w:t>People v. Jones</w:t>
      </w:r>
      <w:r w:rsidRPr="00863F53">
        <w:t xml:space="preserve"> (1990) 51 Cal.3d 294, 314 </w:t>
      </w:r>
      <w:r w:rsidR="004B1EE9">
        <w:t>[</w:t>
      </w:r>
      <w:r w:rsidRPr="00AD6330" w:rsidR="004B1EE9">
        <w:rPr>
          <w:szCs w:val="26"/>
        </w:rPr>
        <w:t>“substantial evidence” means evidence that is “reasonable, credible, and of solid value”</w:t>
      </w:r>
      <w:r w:rsidR="004B1EE9">
        <w:t>].</w:t>
      </w:r>
      <w:r w:rsidRPr="00863F53">
        <w:t xml:space="preserve">) Without credible evidence to support findings on aggravating circumstances, judges could disregard mitigating factors without a proper basis for doing so. </w:t>
      </w:r>
      <w:r w:rsidR="004B1EE9">
        <w:t xml:space="preserve"> </w:t>
      </w:r>
      <w:r w:rsidRPr="00863F53">
        <w:t>This would be incompatible with the “great weight” the Legislature has attached to the enumerated mitigating circumstances.</w:t>
      </w:r>
      <w:r>
        <w:rPr>
          <w:rStyle w:val="FootnoteReference"/>
        </w:rPr>
        <w:footnoteReference w:id="8"/>
      </w:r>
    </w:p>
    <w:p w:rsidR="008228DB" w:rsidRPr="00AD6330" w:rsidP="00A9236E" w14:paraId="578113DC" w14:textId="5F936D9F">
      <w:pPr>
        <w:pStyle w:val="Text"/>
        <w:spacing w:line="400" w:lineRule="exact"/>
        <w:ind w:firstLine="720"/>
        <w:rPr>
          <w:szCs w:val="26"/>
        </w:rPr>
      </w:pPr>
      <w:r w:rsidRPr="00AD6330">
        <w:rPr>
          <w:szCs w:val="26"/>
        </w:rPr>
        <w:t>Defendant</w:t>
      </w:r>
      <w:r w:rsidRPr="00AD6330" w:rsidR="005D7E39">
        <w:rPr>
          <w:szCs w:val="26"/>
        </w:rPr>
        <w:t xml:space="preserve"> argues that the People’s </w:t>
      </w:r>
      <w:r w:rsidRPr="00AD6330" w:rsidR="009F0534">
        <w:rPr>
          <w:szCs w:val="26"/>
        </w:rPr>
        <w:t xml:space="preserve">proposed </w:t>
      </w:r>
      <w:r w:rsidRPr="00AD6330" w:rsidR="005D7E39">
        <w:rPr>
          <w:szCs w:val="26"/>
        </w:rPr>
        <w:t>construction</w:t>
      </w:r>
      <w:r w:rsidRPr="00AD6330" w:rsidR="009F0534">
        <w:rPr>
          <w:szCs w:val="26"/>
        </w:rPr>
        <w:t xml:space="preserve"> of section 1385, subdivision (c)(2)</w:t>
      </w:r>
      <w:r w:rsidRPr="00AD6330" w:rsidR="009E37A2">
        <w:rPr>
          <w:szCs w:val="26"/>
        </w:rPr>
        <w:t>’s language</w:t>
      </w:r>
      <w:r w:rsidRPr="00AD6330" w:rsidR="00457D14">
        <w:rPr>
          <w:szCs w:val="26"/>
        </w:rPr>
        <w:t xml:space="preserve"> (and, by extension </w:t>
      </w:r>
      <w:r w:rsidRPr="00AD6330" w:rsidR="00457D14">
        <w:rPr>
          <w:i/>
          <w:iCs/>
          <w:szCs w:val="26"/>
        </w:rPr>
        <w:t>Ortiz</w:t>
      </w:r>
      <w:r w:rsidRPr="00AD6330" w:rsidR="00457D14">
        <w:rPr>
          <w:szCs w:val="26"/>
        </w:rPr>
        <w:t>’s definition)</w:t>
      </w:r>
      <w:r w:rsidRPr="00AD6330" w:rsidR="005D7E39">
        <w:rPr>
          <w:szCs w:val="26"/>
        </w:rPr>
        <w:t xml:space="preserve"> </w:t>
      </w:r>
      <w:r w:rsidRPr="00AD6330" w:rsidR="009F0534">
        <w:rPr>
          <w:szCs w:val="26"/>
        </w:rPr>
        <w:t>“</w:t>
      </w:r>
      <w:r w:rsidRPr="00AD6330" w:rsidR="005D7E39">
        <w:rPr>
          <w:szCs w:val="26"/>
        </w:rPr>
        <w:t xml:space="preserve">is too vague to provide the clear guidance the Legislature intended to give trial courts.”  </w:t>
      </w:r>
      <w:r w:rsidRPr="00AD6330" w:rsidR="00C3424E">
        <w:rPr>
          <w:szCs w:val="26"/>
        </w:rPr>
        <w:t>We disagree.</w:t>
      </w:r>
      <w:r w:rsidRPr="00AD6330" w:rsidR="007E795C">
        <w:t xml:space="preserve">  </w:t>
      </w:r>
      <w:r w:rsidRPr="00AD6330" w:rsidR="00C31EF1">
        <w:t>Senate Bill No. 81’s</w:t>
      </w:r>
      <w:r w:rsidRPr="00AD6330" w:rsidR="00986BA8">
        <w:t xml:space="preserve"> addition</w:t>
      </w:r>
      <w:r w:rsidRPr="00AD6330" w:rsidR="00560EE3">
        <w:t xml:space="preserve"> of</w:t>
      </w:r>
      <w:r w:rsidRPr="00AD6330" w:rsidR="001850D2">
        <w:t xml:space="preserve"> </w:t>
      </w:r>
      <w:r w:rsidRPr="00AD6330" w:rsidR="00560EE3">
        <w:t>a list of nine mitigating factors</w:t>
      </w:r>
      <w:r w:rsidRPr="00AD6330" w:rsidR="00C31EF1">
        <w:t xml:space="preserve"> to section 1385</w:t>
      </w:r>
      <w:r w:rsidRPr="00AD6330" w:rsidR="002356EF">
        <w:t>,</w:t>
      </w:r>
      <w:r w:rsidR="00FC169C">
        <w:t xml:space="preserve"> subdivision (c)(2)(A)–(I),</w:t>
      </w:r>
      <w:r w:rsidRPr="00AD6330" w:rsidR="002356EF">
        <w:t xml:space="preserve"> which</w:t>
      </w:r>
      <w:r w:rsidRPr="00AD6330" w:rsidR="001850D2">
        <w:t xml:space="preserve"> sentencing courts must </w:t>
      </w:r>
      <w:r w:rsidRPr="00AD6330" w:rsidR="002356EF">
        <w:t>“weigh[] greatly,”</w:t>
      </w:r>
      <w:r w:rsidRPr="00AD6330" w:rsidR="00560EE3">
        <w:t xml:space="preserve"> </w:t>
      </w:r>
      <w:r w:rsidRPr="00AD6330" w:rsidR="00EC3F49">
        <w:rPr>
          <w:szCs w:val="26"/>
        </w:rPr>
        <w:t xml:space="preserve">provides </w:t>
      </w:r>
      <w:r w:rsidRPr="00AD6330" w:rsidR="001850D2">
        <w:rPr>
          <w:szCs w:val="26"/>
        </w:rPr>
        <w:t>explicit</w:t>
      </w:r>
      <w:r w:rsidRPr="00AD6330" w:rsidR="008D4B4D">
        <w:rPr>
          <w:szCs w:val="26"/>
        </w:rPr>
        <w:t xml:space="preserve"> guidance </w:t>
      </w:r>
      <w:r w:rsidRPr="00AD6330" w:rsidR="00C31EF1">
        <w:rPr>
          <w:szCs w:val="26"/>
        </w:rPr>
        <w:t xml:space="preserve">to sentencing courts </w:t>
      </w:r>
      <w:r w:rsidRPr="00AD6330" w:rsidR="008D4B4D">
        <w:rPr>
          <w:szCs w:val="26"/>
        </w:rPr>
        <w:t>that</w:t>
      </w:r>
      <w:r w:rsidRPr="00AD6330" w:rsidR="006E4C60">
        <w:rPr>
          <w:szCs w:val="26"/>
        </w:rPr>
        <w:t xml:space="preserve"> did not previously exist.  </w:t>
      </w:r>
      <w:r w:rsidRPr="00AD6330" w:rsidR="004E4DFF">
        <w:rPr>
          <w:szCs w:val="26"/>
        </w:rPr>
        <w:t xml:space="preserve">For example, the statute now specifically instructs trial courts to consider in mitigation </w:t>
      </w:r>
      <w:r w:rsidR="00846FEA">
        <w:rPr>
          <w:szCs w:val="26"/>
        </w:rPr>
        <w:t xml:space="preserve">factors such as </w:t>
      </w:r>
      <w:r w:rsidRPr="00AD6330" w:rsidR="004E4DFF">
        <w:rPr>
          <w:szCs w:val="26"/>
        </w:rPr>
        <w:t xml:space="preserve">whether the current offense was </w:t>
      </w:r>
      <w:r w:rsidRPr="00AD6330" w:rsidR="005E7C99">
        <w:rPr>
          <w:szCs w:val="26"/>
        </w:rPr>
        <w:t>“</w:t>
      </w:r>
      <w:r w:rsidRPr="00AD6330" w:rsidR="004E4DFF">
        <w:rPr>
          <w:szCs w:val="26"/>
        </w:rPr>
        <w:t>connected to mental illness</w:t>
      </w:r>
      <w:r w:rsidRPr="00AD6330" w:rsidR="005E7C99">
        <w:rPr>
          <w:szCs w:val="26"/>
        </w:rPr>
        <w:t>”</w:t>
      </w:r>
      <w:r w:rsidRPr="00AD6330" w:rsidR="004E4DFF">
        <w:rPr>
          <w:szCs w:val="26"/>
        </w:rPr>
        <w:t xml:space="preserve"> </w:t>
      </w:r>
      <w:r w:rsidRPr="00AD6330" w:rsidR="005E7C99">
        <w:rPr>
          <w:szCs w:val="26"/>
        </w:rPr>
        <w:t>(§</w:t>
      </w:r>
      <w:r w:rsidRPr="00AD6330" w:rsidR="000B2EE7">
        <w:rPr>
          <w:szCs w:val="26"/>
        </w:rPr>
        <w:t> </w:t>
      </w:r>
      <w:r w:rsidRPr="00AD6330" w:rsidR="005E7C99">
        <w:rPr>
          <w:szCs w:val="26"/>
        </w:rPr>
        <w:t>1385, subd. (c)(2)(D))</w:t>
      </w:r>
      <w:r w:rsidRPr="00AD6330" w:rsidR="004E4DFF">
        <w:rPr>
          <w:szCs w:val="26"/>
        </w:rPr>
        <w:t xml:space="preserve"> or </w:t>
      </w:r>
      <w:r w:rsidRPr="00AD6330" w:rsidR="005E7C99">
        <w:rPr>
          <w:szCs w:val="26"/>
        </w:rPr>
        <w:t xml:space="preserve">“prior victimization or </w:t>
      </w:r>
      <w:r w:rsidRPr="00AD6330" w:rsidR="004E4DFF">
        <w:rPr>
          <w:szCs w:val="26"/>
        </w:rPr>
        <w:t>childhood trauma</w:t>
      </w:r>
      <w:r w:rsidRPr="00AD6330" w:rsidR="005E7C99">
        <w:rPr>
          <w:szCs w:val="26"/>
        </w:rPr>
        <w:t>” (</w:t>
      </w:r>
      <w:r w:rsidRPr="00AD6330" w:rsidR="005E7C99">
        <w:rPr>
          <w:i/>
          <w:iCs/>
          <w:szCs w:val="26"/>
        </w:rPr>
        <w:t>id.</w:t>
      </w:r>
      <w:r w:rsidRPr="00AD6330" w:rsidR="005E7C99">
        <w:rPr>
          <w:szCs w:val="26"/>
        </w:rPr>
        <w:t>, subd. (c)(2)(E))</w:t>
      </w:r>
      <w:r w:rsidRPr="00AD6330" w:rsidR="004E4DFF">
        <w:rPr>
          <w:szCs w:val="26"/>
        </w:rPr>
        <w:t xml:space="preserve">; whether </w:t>
      </w:r>
      <w:r w:rsidRPr="00AD6330" w:rsidR="005E7C99">
        <w:rPr>
          <w:szCs w:val="26"/>
        </w:rPr>
        <w:t>“[t]</w:t>
      </w:r>
      <w:r w:rsidRPr="00AD6330" w:rsidR="004E4DFF">
        <w:rPr>
          <w:szCs w:val="26"/>
        </w:rPr>
        <w:t>he current offense is not a violent felony</w:t>
      </w:r>
      <w:r w:rsidRPr="00AD6330" w:rsidR="005E7C99">
        <w:rPr>
          <w:szCs w:val="26"/>
        </w:rPr>
        <w:t xml:space="preserve"> as defined in subdivision (c) of Section 667.5”</w:t>
      </w:r>
      <w:r w:rsidRPr="00AD6330" w:rsidR="004E4DFF">
        <w:rPr>
          <w:szCs w:val="26"/>
        </w:rPr>
        <w:t xml:space="preserve"> </w:t>
      </w:r>
      <w:r w:rsidRPr="00AD6330" w:rsidR="005E7C99">
        <w:rPr>
          <w:szCs w:val="26"/>
        </w:rPr>
        <w:t>(</w:t>
      </w:r>
      <w:r w:rsidRPr="00AD6330" w:rsidR="005E7C99">
        <w:rPr>
          <w:i/>
          <w:iCs/>
          <w:szCs w:val="26"/>
        </w:rPr>
        <w:t>id.</w:t>
      </w:r>
      <w:r w:rsidRPr="00AD6330" w:rsidR="005E7C99">
        <w:rPr>
          <w:szCs w:val="26"/>
        </w:rPr>
        <w:t>, subd. (c)(2)(F))</w:t>
      </w:r>
      <w:r w:rsidRPr="00AD6330" w:rsidR="004E4DFF">
        <w:rPr>
          <w:szCs w:val="26"/>
        </w:rPr>
        <w:t xml:space="preserve">; and whether the current offense was committed when </w:t>
      </w:r>
      <w:r w:rsidRPr="00AD6330" w:rsidR="005E7C99">
        <w:rPr>
          <w:szCs w:val="26"/>
        </w:rPr>
        <w:t>“[</w:t>
      </w:r>
      <w:r w:rsidRPr="00AD6330" w:rsidR="004E4DFF">
        <w:rPr>
          <w:szCs w:val="26"/>
        </w:rPr>
        <w:t>t</w:t>
      </w:r>
      <w:r w:rsidRPr="00AD6330" w:rsidR="005E7C99">
        <w:rPr>
          <w:szCs w:val="26"/>
        </w:rPr>
        <w:t>]</w:t>
      </w:r>
      <w:r w:rsidRPr="00AD6330" w:rsidR="004E4DFF">
        <w:rPr>
          <w:szCs w:val="26"/>
        </w:rPr>
        <w:t>he defendant was a juvenile</w:t>
      </w:r>
      <w:r w:rsidRPr="00AD6330" w:rsidR="005E7C99">
        <w:rPr>
          <w:szCs w:val="26"/>
        </w:rPr>
        <w:t>” (</w:t>
      </w:r>
      <w:r w:rsidRPr="00AD6330" w:rsidR="005E7C99">
        <w:rPr>
          <w:i/>
          <w:iCs/>
          <w:szCs w:val="26"/>
        </w:rPr>
        <w:t>id.</w:t>
      </w:r>
      <w:r w:rsidRPr="00AD6330" w:rsidR="005E7C99">
        <w:rPr>
          <w:szCs w:val="26"/>
        </w:rPr>
        <w:t>, subd. (c)(2)(G)).</w:t>
      </w:r>
      <w:r w:rsidRPr="00AD6330" w:rsidR="00A676BB">
        <w:rPr>
          <w:szCs w:val="26"/>
        </w:rPr>
        <w:t xml:space="preserve">  </w:t>
      </w:r>
      <w:r w:rsidRPr="00AD6330" w:rsidR="00261EF4">
        <w:rPr>
          <w:szCs w:val="26"/>
        </w:rPr>
        <w:t>Thus</w:t>
      </w:r>
      <w:r w:rsidRPr="00AD6330" w:rsidR="00861837">
        <w:rPr>
          <w:szCs w:val="26"/>
        </w:rPr>
        <w:t>, by its very terms, section 1385, subdivision (c)</w:t>
      </w:r>
      <w:r w:rsidRPr="00AD6330" w:rsidR="00E25257">
        <w:rPr>
          <w:szCs w:val="26"/>
        </w:rPr>
        <w:t xml:space="preserve"> </w:t>
      </w:r>
      <w:r w:rsidRPr="00AD6330" w:rsidR="004763FB">
        <w:rPr>
          <w:szCs w:val="26"/>
        </w:rPr>
        <w:t xml:space="preserve">provides trial courts with </w:t>
      </w:r>
      <w:r w:rsidRPr="00AD6330" w:rsidR="00756E96">
        <w:rPr>
          <w:szCs w:val="26"/>
        </w:rPr>
        <w:t>clear direction</w:t>
      </w:r>
      <w:r w:rsidRPr="00AD6330" w:rsidR="004763FB">
        <w:rPr>
          <w:szCs w:val="26"/>
        </w:rPr>
        <w:t>,</w:t>
      </w:r>
      <w:r w:rsidRPr="00AD6330" w:rsidR="00AC7479">
        <w:t xml:space="preserve"> </w:t>
      </w:r>
      <w:r w:rsidRPr="00AD6330" w:rsidR="00547A89">
        <w:t xml:space="preserve">without </w:t>
      </w:r>
      <w:r w:rsidRPr="00AD6330" w:rsidR="00861837">
        <w:t xml:space="preserve">the </w:t>
      </w:r>
      <w:r w:rsidRPr="00AD6330" w:rsidR="003C4D94">
        <w:t>need</w:t>
      </w:r>
      <w:r w:rsidRPr="00AD6330" w:rsidR="00547A89">
        <w:t xml:space="preserve"> to import an </w:t>
      </w:r>
      <w:r w:rsidR="00BB723C">
        <w:t>extratextual</w:t>
      </w:r>
      <w:r w:rsidRPr="00AD6330" w:rsidR="00547A89">
        <w:t xml:space="preserve"> </w:t>
      </w:r>
      <w:r w:rsidRPr="00AD6330" w:rsidR="00861837">
        <w:t>definition</w:t>
      </w:r>
      <w:r w:rsidR="00F14DD0">
        <w:t xml:space="preserve"> from</w:t>
      </w:r>
      <w:r w:rsidRPr="00AD6330" w:rsidR="00547A89">
        <w:t xml:space="preserve"> </w:t>
      </w:r>
      <w:r w:rsidRPr="00AD6330" w:rsidR="00547A89">
        <w:rPr>
          <w:i/>
          <w:iCs/>
        </w:rPr>
        <w:t>Martin</w:t>
      </w:r>
      <w:r w:rsidR="00455A61">
        <w:t xml:space="preserve">, </w:t>
      </w:r>
      <w:r w:rsidR="00455A61">
        <w:rPr>
          <w:i/>
          <w:iCs/>
        </w:rPr>
        <w:t>supra</w:t>
      </w:r>
      <w:r w:rsidR="00455A61">
        <w:t>, 42 Cal.3d at page 447</w:t>
      </w:r>
      <w:r w:rsidRPr="00AD6330" w:rsidR="00547A89">
        <w:t>.</w:t>
      </w:r>
      <w:r>
        <w:rPr>
          <w:rStyle w:val="FootnoteReference"/>
          <w:szCs w:val="26"/>
        </w:rPr>
        <w:footnoteReference w:id="9"/>
      </w:r>
    </w:p>
    <w:p w:rsidR="001C22BD" w:rsidRPr="00AD6330" w:rsidP="00863F53" w14:paraId="3D264006" w14:textId="4D253838">
      <w:pPr>
        <w:ind w:firstLine="720"/>
        <w:rPr>
          <w:szCs w:val="26"/>
        </w:rPr>
      </w:pPr>
      <w:r w:rsidRPr="00AD6330">
        <w:rPr>
          <w:szCs w:val="26"/>
        </w:rPr>
        <w:t>Defendant also worries</w:t>
      </w:r>
      <w:r w:rsidRPr="00AD6330" w:rsidR="00A91CF8">
        <w:rPr>
          <w:szCs w:val="26"/>
        </w:rPr>
        <w:t xml:space="preserve"> </w:t>
      </w:r>
      <w:r w:rsidRPr="00AD6330" w:rsidR="003C044B">
        <w:rPr>
          <w:szCs w:val="26"/>
        </w:rPr>
        <w:t>that</w:t>
      </w:r>
      <w:r w:rsidRPr="00AD6330" w:rsidR="00785891">
        <w:rPr>
          <w:szCs w:val="26"/>
        </w:rPr>
        <w:t xml:space="preserve"> </w:t>
      </w:r>
      <w:r w:rsidR="003E2448">
        <w:rPr>
          <w:szCs w:val="26"/>
        </w:rPr>
        <w:t>endorsing</w:t>
      </w:r>
      <w:r w:rsidRPr="00AD6330" w:rsidR="003E2448">
        <w:rPr>
          <w:szCs w:val="26"/>
        </w:rPr>
        <w:t xml:space="preserve"> </w:t>
      </w:r>
      <w:r w:rsidRPr="00AD6330" w:rsidR="00785891">
        <w:rPr>
          <w:i/>
          <w:iCs/>
          <w:szCs w:val="26"/>
        </w:rPr>
        <w:t>Ortiz’s</w:t>
      </w:r>
      <w:r w:rsidRPr="00AD6330" w:rsidR="00785891">
        <w:rPr>
          <w:szCs w:val="26"/>
        </w:rPr>
        <w:t xml:space="preserve"> </w:t>
      </w:r>
      <w:r w:rsidR="003E2448">
        <w:rPr>
          <w:szCs w:val="26"/>
        </w:rPr>
        <w:t>holistic understanding</w:t>
      </w:r>
      <w:r w:rsidR="00863F53">
        <w:rPr>
          <w:szCs w:val="26"/>
        </w:rPr>
        <w:t xml:space="preserve"> </w:t>
      </w:r>
      <w:r w:rsidRPr="00AD6330" w:rsidR="00785891">
        <w:rPr>
          <w:szCs w:val="26"/>
        </w:rPr>
        <w:t>of “great weight”</w:t>
      </w:r>
      <w:r w:rsidRPr="00AD6330" w:rsidR="00A91CF8">
        <w:rPr>
          <w:szCs w:val="26"/>
        </w:rPr>
        <w:t xml:space="preserve"> </w:t>
      </w:r>
      <w:r w:rsidR="001B6F2B">
        <w:rPr>
          <w:szCs w:val="26"/>
        </w:rPr>
        <w:t>(</w:t>
      </w:r>
      <w:r w:rsidRPr="00AD6330" w:rsidR="001B6F2B">
        <w:rPr>
          <w:i/>
          <w:iCs/>
          <w:szCs w:val="26"/>
        </w:rPr>
        <w:t>Ortiz</w:t>
      </w:r>
      <w:r w:rsidRPr="00AD6330" w:rsidR="001B6F2B">
        <w:rPr>
          <w:szCs w:val="26"/>
        </w:rPr>
        <w:t xml:space="preserve">, </w:t>
      </w:r>
      <w:r w:rsidRPr="00AD6330" w:rsidR="001B6F2B">
        <w:rPr>
          <w:i/>
          <w:iCs/>
          <w:szCs w:val="26"/>
        </w:rPr>
        <w:t>supra</w:t>
      </w:r>
      <w:r w:rsidRPr="00AD6330" w:rsidR="001B6F2B">
        <w:rPr>
          <w:szCs w:val="26"/>
        </w:rPr>
        <w:t>, 87 Cal.App.5th at p. 109</w:t>
      </w:r>
      <w:r w:rsidR="001B6F2B">
        <w:rPr>
          <w:szCs w:val="26"/>
        </w:rPr>
        <w:t xml:space="preserve">8) </w:t>
      </w:r>
      <w:r w:rsidRPr="00AD6330" w:rsidR="00EC3E57">
        <w:rPr>
          <w:szCs w:val="26"/>
        </w:rPr>
        <w:t>will not</w:t>
      </w:r>
      <w:r w:rsidRPr="00AD6330" w:rsidR="00785891">
        <w:rPr>
          <w:szCs w:val="26"/>
        </w:rPr>
        <w:t xml:space="preserve"> give </w:t>
      </w:r>
      <w:r w:rsidR="003E2448">
        <w:rPr>
          <w:szCs w:val="26"/>
        </w:rPr>
        <w:t>section 1385, subdivision (c)(2)</w:t>
      </w:r>
      <w:r w:rsidRPr="00AD6330" w:rsidR="00785891">
        <w:rPr>
          <w:szCs w:val="26"/>
        </w:rPr>
        <w:t xml:space="preserve"> </w:t>
      </w:r>
      <w:r w:rsidRPr="00AD6330" w:rsidR="00B24DCA">
        <w:rPr>
          <w:szCs w:val="26"/>
        </w:rPr>
        <w:t>sufficient force.  We again disagree</w:t>
      </w:r>
      <w:r w:rsidRPr="00AD6330" w:rsidR="002A0ACA">
        <w:rPr>
          <w:szCs w:val="26"/>
        </w:rPr>
        <w:t xml:space="preserve">.  </w:t>
      </w:r>
      <w:r w:rsidRPr="00AD6330" w:rsidR="00127482">
        <w:rPr>
          <w:szCs w:val="26"/>
        </w:rPr>
        <w:t>The</w:t>
      </w:r>
      <w:r w:rsidRPr="00AD6330" w:rsidR="00B24DCA">
        <w:rPr>
          <w:szCs w:val="26"/>
        </w:rPr>
        <w:t xml:space="preserve"> standard we adopt today is not without teeth. </w:t>
      </w:r>
      <w:r w:rsidRPr="00AD6330" w:rsidR="00A70646">
        <w:rPr>
          <w:szCs w:val="26"/>
        </w:rPr>
        <w:t xml:space="preserve"> </w:t>
      </w:r>
      <w:r w:rsidRPr="00AD6330" w:rsidR="00E74C95">
        <w:rPr>
          <w:szCs w:val="26"/>
        </w:rPr>
        <w:t xml:space="preserve">We recognize that the Legislature, in enacting Senate Bill No. 81, </w:t>
      </w:r>
      <w:r w:rsidRPr="00AD6330" w:rsidR="00127482">
        <w:rPr>
          <w:szCs w:val="26"/>
        </w:rPr>
        <w:t xml:space="preserve">expressed </w:t>
      </w:r>
      <w:r w:rsidRPr="00AD6330" w:rsidR="00B24DCA">
        <w:rPr>
          <w:szCs w:val="26"/>
        </w:rPr>
        <w:t xml:space="preserve">concern that the prior version of </w:t>
      </w:r>
      <w:r w:rsidRPr="00AD6330" w:rsidR="00E74C95">
        <w:rPr>
          <w:szCs w:val="26"/>
        </w:rPr>
        <w:t>section 1385 may be “ ‘underused’ ” and greater guidance “ ‘would provide . . . reductions in unnecessary incarceration’ ” and counter “ ‘demographic disparities in sentences.’ ”  (</w:t>
      </w:r>
      <w:r w:rsidRPr="00AD6330" w:rsidR="004C3724">
        <w:t>Assem. Com. on Public Safety, Analysis of Senate Bill No. 81 (2021</w:t>
      </w:r>
      <w:r w:rsidRPr="00AD6330" w:rsidR="004C3724">
        <w:rPr>
          <w:szCs w:val="26"/>
        </w:rPr>
        <w:t>–</w:t>
      </w:r>
      <w:r w:rsidRPr="00AD6330" w:rsidR="004C3724">
        <w:t xml:space="preserve">2022 Reg. Sess.) June 29, 2021, </w:t>
      </w:r>
      <w:r w:rsidRPr="00AD6330" w:rsidR="004C3724">
        <w:rPr>
          <w:szCs w:val="26"/>
        </w:rPr>
        <w:t>at pp. 3–4</w:t>
      </w:r>
      <w:r w:rsidRPr="00AD6330" w:rsidR="004C3724">
        <w:t>, quoting Com</w:t>
      </w:r>
      <w:r w:rsidR="00EB31F7">
        <w:t>.</w:t>
      </w:r>
      <w:r w:rsidRPr="00AD6330" w:rsidR="004C3724">
        <w:t xml:space="preserve"> on Revision of the Penal Code, </w:t>
      </w:r>
      <w:r w:rsidR="00EB31F7">
        <w:t>Annual Report and Recommendations (2020)</w:t>
      </w:r>
      <w:r w:rsidRPr="00AD6330" w:rsidR="004C3724">
        <w:rPr>
          <w:szCs w:val="26"/>
        </w:rPr>
        <w:t xml:space="preserve"> pp.</w:t>
      </w:r>
      <w:r w:rsidR="00863F53">
        <w:rPr>
          <w:szCs w:val="26"/>
        </w:rPr>
        <w:t> </w:t>
      </w:r>
      <w:r w:rsidRPr="00AD6330" w:rsidR="004C3724">
        <w:rPr>
          <w:szCs w:val="26"/>
        </w:rPr>
        <w:t>40–41</w:t>
      </w:r>
      <w:r w:rsidRPr="00AD6330" w:rsidR="004C3724">
        <w:t xml:space="preserve"> &lt;http://www.clrc.ca.gov/</w:t>
      </w:r>
      <w:r w:rsidR="008613E9">
        <w:t xml:space="preserve"> </w:t>
      </w:r>
      <w:r w:rsidRPr="00AD6330" w:rsidR="004C3724">
        <w:rPr>
          <w:szCs w:val="26"/>
        </w:rPr>
        <w:t xml:space="preserve">CRPC/Pub/Reports/CRPC_AR2020.pdf&gt; [as of </w:t>
      </w:r>
      <w:r w:rsidR="002B0DBE">
        <w:rPr>
          <w:szCs w:val="26"/>
        </w:rPr>
        <w:t xml:space="preserve">August </w:t>
      </w:r>
      <w:r w:rsidR="00BA299E">
        <w:rPr>
          <w:szCs w:val="26"/>
        </w:rPr>
        <w:t>15</w:t>
      </w:r>
      <w:r w:rsidRPr="00AD6330" w:rsidR="004C3724">
        <w:rPr>
          <w:szCs w:val="26"/>
        </w:rPr>
        <w:t>, 2024]</w:t>
      </w:r>
      <w:r w:rsidRPr="00AD6330" w:rsidR="00E74C95">
        <w:rPr>
          <w:szCs w:val="26"/>
        </w:rPr>
        <w:t xml:space="preserve">.)  </w:t>
      </w:r>
      <w:r w:rsidRPr="00AD6330" w:rsidR="002A0ACA">
        <w:rPr>
          <w:szCs w:val="26"/>
        </w:rPr>
        <w:t xml:space="preserve">We also note, as did the Attorney General at oral argument, that the nine </w:t>
      </w:r>
      <w:r w:rsidRPr="00AD6330" w:rsidR="00006A63">
        <w:rPr>
          <w:szCs w:val="26"/>
        </w:rPr>
        <w:t>mitigating</w:t>
      </w:r>
      <w:r w:rsidRPr="00AD6330" w:rsidR="002A0ACA">
        <w:rPr>
          <w:szCs w:val="26"/>
        </w:rPr>
        <w:t xml:space="preserve"> factors, in and of themselves, provide benefits to defendants </w:t>
      </w:r>
      <w:r w:rsidRPr="00AD6330" w:rsidR="0024209E">
        <w:rPr>
          <w:szCs w:val="26"/>
        </w:rPr>
        <w:t>that did not previously exist.  For example</w:t>
      </w:r>
      <w:r w:rsidRPr="00AD6330" w:rsidR="002A0ACA">
        <w:rPr>
          <w:szCs w:val="26"/>
        </w:rPr>
        <w:t>, the presence of multiple enhancement allegations in a single case</w:t>
      </w:r>
      <w:r w:rsidRPr="00AD6330">
        <w:rPr>
          <w:szCs w:val="26"/>
        </w:rPr>
        <w:t xml:space="preserve"> (§</w:t>
      </w:r>
      <w:r w:rsidRPr="00AD6330" w:rsidR="00AF3133">
        <w:rPr>
          <w:szCs w:val="26"/>
        </w:rPr>
        <w:t> </w:t>
      </w:r>
      <w:r w:rsidRPr="00AD6330">
        <w:rPr>
          <w:szCs w:val="26"/>
        </w:rPr>
        <w:t>1385, subd. (c)(2)(B))</w:t>
      </w:r>
      <w:r w:rsidRPr="00AD6330" w:rsidR="002A0ACA">
        <w:rPr>
          <w:szCs w:val="26"/>
        </w:rPr>
        <w:t xml:space="preserve"> or the fact that “an enhancement could result in a sentence of over 20 years” </w:t>
      </w:r>
      <w:r w:rsidRPr="00AD6330">
        <w:rPr>
          <w:szCs w:val="26"/>
        </w:rPr>
        <w:t>(</w:t>
      </w:r>
      <w:r w:rsidRPr="00AD6330">
        <w:rPr>
          <w:i/>
          <w:iCs/>
          <w:szCs w:val="26"/>
        </w:rPr>
        <w:t>id.</w:t>
      </w:r>
      <w:r w:rsidRPr="00AD6330">
        <w:rPr>
          <w:szCs w:val="26"/>
        </w:rPr>
        <w:t>, subd. (c)(2)(C))</w:t>
      </w:r>
      <w:r w:rsidRPr="00AD6330" w:rsidR="004E4DFF">
        <w:rPr>
          <w:szCs w:val="26"/>
        </w:rPr>
        <w:t xml:space="preserve"> </w:t>
      </w:r>
      <w:r w:rsidRPr="00AD6330" w:rsidR="002A0ACA">
        <w:rPr>
          <w:szCs w:val="26"/>
        </w:rPr>
        <w:t xml:space="preserve">might well </w:t>
      </w:r>
      <w:r w:rsidR="00590E7A">
        <w:rPr>
          <w:szCs w:val="26"/>
        </w:rPr>
        <w:t xml:space="preserve">have </w:t>
      </w:r>
      <w:r w:rsidRPr="00AD6330" w:rsidR="002A0ACA">
        <w:rPr>
          <w:szCs w:val="26"/>
        </w:rPr>
        <w:t xml:space="preserve">previously been </w:t>
      </w:r>
      <w:r w:rsidRPr="00AD6330" w:rsidR="00006A63">
        <w:rPr>
          <w:szCs w:val="26"/>
        </w:rPr>
        <w:t>envisioned by trial courts</w:t>
      </w:r>
      <w:r w:rsidRPr="00AD6330" w:rsidR="002A0ACA">
        <w:rPr>
          <w:szCs w:val="26"/>
        </w:rPr>
        <w:t xml:space="preserve"> as</w:t>
      </w:r>
      <w:r w:rsidRPr="00AD6330" w:rsidR="00607C85">
        <w:rPr>
          <w:szCs w:val="26"/>
        </w:rPr>
        <w:t xml:space="preserve"> either neutral or</w:t>
      </w:r>
      <w:r w:rsidRPr="00AD6330">
        <w:rPr>
          <w:szCs w:val="26"/>
        </w:rPr>
        <w:t xml:space="preserve"> even</w:t>
      </w:r>
      <w:r w:rsidRPr="00AD6330" w:rsidR="002A0ACA">
        <w:rPr>
          <w:szCs w:val="26"/>
        </w:rPr>
        <w:t xml:space="preserve"> </w:t>
      </w:r>
      <w:r w:rsidRPr="00AD6330" w:rsidR="00006A63">
        <w:rPr>
          <w:i/>
          <w:iCs/>
          <w:szCs w:val="26"/>
        </w:rPr>
        <w:t>aggravating</w:t>
      </w:r>
      <w:r w:rsidRPr="00AD6330" w:rsidR="002A0ACA">
        <w:rPr>
          <w:szCs w:val="26"/>
        </w:rPr>
        <w:t xml:space="preserve"> factors, but </w:t>
      </w:r>
      <w:r w:rsidR="00985688">
        <w:rPr>
          <w:szCs w:val="26"/>
        </w:rPr>
        <w:t xml:space="preserve">they </w:t>
      </w:r>
      <w:r w:rsidRPr="00AD6330" w:rsidR="002A0ACA">
        <w:rPr>
          <w:szCs w:val="26"/>
        </w:rPr>
        <w:t xml:space="preserve">now constitute </w:t>
      </w:r>
      <w:r w:rsidRPr="00AD6330" w:rsidR="002A0ACA">
        <w:rPr>
          <w:i/>
          <w:iCs/>
          <w:szCs w:val="26"/>
        </w:rPr>
        <w:t>mitigating</w:t>
      </w:r>
      <w:r w:rsidRPr="00AD6330" w:rsidR="002A0ACA">
        <w:rPr>
          <w:szCs w:val="26"/>
        </w:rPr>
        <w:t xml:space="preserve"> factors for purposes of sentencing.  </w:t>
      </w:r>
      <w:r w:rsidRPr="00AD6330" w:rsidR="0024667E">
        <w:rPr>
          <w:szCs w:val="26"/>
        </w:rPr>
        <w:t xml:space="preserve">Finally, the standard we set out today itself gives force to the “great weight” standard: </w:t>
      </w:r>
      <w:r w:rsidRPr="00AD6330" w:rsidR="003906AD">
        <w:t xml:space="preserve"> </w:t>
      </w:r>
      <w:r w:rsidRPr="00AD6330" w:rsidR="00962724">
        <w:t>Pursuant to section 1385, subdivision (c)(2),</w:t>
      </w:r>
      <w:r w:rsidRPr="00AD6330">
        <w:rPr>
          <w:szCs w:val="26"/>
        </w:rPr>
        <w:t xml:space="preserve"> </w:t>
      </w:r>
      <w:r w:rsidRPr="00B03ACF" w:rsidR="00B03ACF">
        <w:rPr>
          <w:szCs w:val="26"/>
        </w:rPr>
        <w:t xml:space="preserve">absent a finding that dismissal would endanger public safety, a court must assign significant value to the enumerated mitigating circumstances when they are present.  In practice, </w:t>
      </w:r>
      <w:r w:rsidRPr="00AD6330">
        <w:rPr>
          <w:szCs w:val="26"/>
        </w:rPr>
        <w:t xml:space="preserve">the presence of an enumerated mitigating circumstance will generally </w:t>
      </w:r>
      <w:r w:rsidR="0051082F">
        <w:rPr>
          <w:szCs w:val="26"/>
        </w:rPr>
        <w:t xml:space="preserve">result in </w:t>
      </w:r>
      <w:r w:rsidRPr="00AD6330">
        <w:rPr>
          <w:szCs w:val="26"/>
        </w:rPr>
        <w:t>the dismissal of an enhancement unless</w:t>
      </w:r>
      <w:r w:rsidRPr="00AD6330">
        <w:rPr>
          <w:b/>
          <w:bCs/>
          <w:szCs w:val="26"/>
        </w:rPr>
        <w:t xml:space="preserve"> </w:t>
      </w:r>
      <w:r w:rsidRPr="00AD6330">
        <w:t>the sentencing court finds substantial, credible evidence</w:t>
      </w:r>
      <w:r w:rsidR="000E78F9">
        <w:t xml:space="preserve"> of countervailing factors</w:t>
      </w:r>
      <w:r w:rsidRPr="00AD6330">
        <w:t xml:space="preserve"> </w:t>
      </w:r>
      <w:r w:rsidRPr="00AD6330">
        <w:rPr>
          <w:szCs w:val="26"/>
        </w:rPr>
        <w:t>that “</w:t>
      </w:r>
      <w:r w:rsidR="000E78F9">
        <w:rPr>
          <w:szCs w:val="26"/>
        </w:rPr>
        <w:t xml:space="preserve">may nonetheless </w:t>
      </w:r>
      <w:r w:rsidRPr="00AD6330">
        <w:rPr>
          <w:szCs w:val="26"/>
        </w:rPr>
        <w:t xml:space="preserve">neutralize even the great weight of the mitigating circumstance, such that dismissal of the enhancement is not in furtherance of justice.” </w:t>
      </w:r>
      <w:r w:rsidR="001702A9">
        <w:rPr>
          <w:szCs w:val="26"/>
        </w:rPr>
        <w:t xml:space="preserve"> </w:t>
      </w:r>
      <w:r w:rsidRPr="00AD6330">
        <w:rPr>
          <w:szCs w:val="26"/>
        </w:rPr>
        <w:t>(</w:t>
      </w:r>
      <w:r w:rsidRPr="00AD6330">
        <w:rPr>
          <w:i/>
          <w:iCs/>
          <w:szCs w:val="26"/>
        </w:rPr>
        <w:t>Ortiz</w:t>
      </w:r>
      <w:r w:rsidRPr="00AD6330">
        <w:rPr>
          <w:szCs w:val="26"/>
        </w:rPr>
        <w:t xml:space="preserve">, </w:t>
      </w:r>
      <w:r w:rsidRPr="00AD6330">
        <w:rPr>
          <w:i/>
          <w:iCs/>
          <w:szCs w:val="26"/>
        </w:rPr>
        <w:t>supra</w:t>
      </w:r>
      <w:r w:rsidRPr="00AD6330">
        <w:rPr>
          <w:szCs w:val="26"/>
        </w:rPr>
        <w:t>, 87</w:t>
      </w:r>
      <w:r w:rsidRPr="00AD6330" w:rsidR="004C3724">
        <w:rPr>
          <w:szCs w:val="26"/>
        </w:rPr>
        <w:t> </w:t>
      </w:r>
      <w:r w:rsidRPr="00AD6330">
        <w:rPr>
          <w:szCs w:val="26"/>
        </w:rPr>
        <w:t>Cal.App.5th at p.</w:t>
      </w:r>
      <w:r w:rsidRPr="00AD6330" w:rsidR="004C3724">
        <w:rPr>
          <w:szCs w:val="26"/>
        </w:rPr>
        <w:t> </w:t>
      </w:r>
      <w:r w:rsidRPr="00AD6330">
        <w:rPr>
          <w:szCs w:val="26"/>
        </w:rPr>
        <w:t>1098.)</w:t>
      </w:r>
    </w:p>
    <w:p w:rsidR="00C95C52" w:rsidRPr="00AD6330" w:rsidP="00A9236E" w14:paraId="0587C34E" w14:textId="182E601D">
      <w:pPr>
        <w:pStyle w:val="Heading3"/>
        <w:numPr>
          <w:ilvl w:val="0"/>
          <w:numId w:val="4"/>
        </w:numPr>
        <w:ind w:left="1584" w:hanging="432"/>
        <w:rPr>
          <w:szCs w:val="26"/>
          <w:bdr w:val="none" w:sz="0" w:space="0" w:color="auto" w:frame="1"/>
          <w:shd w:val="clear" w:color="auto" w:fill="FFFFFF"/>
        </w:rPr>
      </w:pPr>
      <w:r w:rsidRPr="00AD6330">
        <w:rPr>
          <w:szCs w:val="26"/>
          <w:bdr w:val="none" w:sz="0" w:space="0" w:color="auto" w:frame="1"/>
          <w:shd w:val="clear" w:color="auto" w:fill="FFFFFF"/>
        </w:rPr>
        <w:t xml:space="preserve">We Need Not Remand Defendant’s Case for Reconsideration </w:t>
      </w:r>
    </w:p>
    <w:p w:rsidR="00110E11" w:rsidRPr="00A9236E" w:rsidP="001702A9" w14:paraId="51CB6CED" w14:textId="179EE476">
      <w:pPr>
        <w:pStyle w:val="NormalWeb"/>
        <w:shd w:val="clear" w:color="auto" w:fill="FFFFFF"/>
        <w:ind w:firstLine="720"/>
        <w:textAlignment w:val="baseline"/>
        <w:rPr>
          <w:sz w:val="27"/>
          <w:szCs w:val="26"/>
        </w:rPr>
      </w:pPr>
      <w:r w:rsidRPr="00A9236E">
        <w:rPr>
          <w:sz w:val="27"/>
          <w:szCs w:val="26"/>
          <w:bdr w:val="none" w:sz="0" w:space="0" w:color="auto" w:frame="1"/>
          <w:shd w:val="clear" w:color="auto" w:fill="FFFFFF"/>
        </w:rPr>
        <w:t xml:space="preserve">Having clarified how </w:t>
      </w:r>
      <w:r w:rsidRPr="00A9236E" w:rsidR="00160A80">
        <w:rPr>
          <w:sz w:val="27"/>
          <w:szCs w:val="26"/>
          <w:bdr w:val="none" w:sz="0" w:space="0" w:color="auto" w:frame="1"/>
          <w:shd w:val="clear" w:color="auto" w:fill="FFFFFF"/>
        </w:rPr>
        <w:t>a trial court</w:t>
      </w:r>
      <w:r w:rsidRPr="00A9236E">
        <w:rPr>
          <w:sz w:val="27"/>
          <w:szCs w:val="26"/>
          <w:bdr w:val="none" w:sz="0" w:space="0" w:color="auto" w:frame="1"/>
          <w:shd w:val="clear" w:color="auto" w:fill="FFFFFF"/>
        </w:rPr>
        <w:t xml:space="preserve"> should exercise its </w:t>
      </w:r>
      <w:r w:rsidRPr="00A9236E" w:rsidR="001C6C9A">
        <w:rPr>
          <w:sz w:val="27"/>
          <w:szCs w:val="26"/>
          <w:bdr w:val="none" w:sz="0" w:space="0" w:color="auto" w:frame="1"/>
          <w:shd w:val="clear" w:color="auto" w:fill="FFFFFF"/>
        </w:rPr>
        <w:t xml:space="preserve">authority </w:t>
      </w:r>
      <w:r w:rsidRPr="00A9236E" w:rsidR="00160A80">
        <w:rPr>
          <w:sz w:val="27"/>
          <w:szCs w:val="26"/>
          <w:bdr w:val="none" w:sz="0" w:space="0" w:color="auto" w:frame="1"/>
          <w:shd w:val="clear" w:color="auto" w:fill="FFFFFF"/>
        </w:rPr>
        <w:t>under section 1385, subdivision (c)</w:t>
      </w:r>
      <w:r w:rsidRPr="00A9236E" w:rsidR="00937075">
        <w:rPr>
          <w:sz w:val="27"/>
          <w:szCs w:val="26"/>
          <w:bdr w:val="none" w:sz="0" w:space="0" w:color="auto" w:frame="1"/>
          <w:shd w:val="clear" w:color="auto" w:fill="FFFFFF"/>
        </w:rPr>
        <w:t>(2)</w:t>
      </w:r>
      <w:r w:rsidRPr="00A9236E">
        <w:rPr>
          <w:sz w:val="27"/>
          <w:szCs w:val="26"/>
          <w:bdr w:val="none" w:sz="0" w:space="0" w:color="auto" w:frame="1"/>
          <w:shd w:val="clear" w:color="auto" w:fill="FFFFFF"/>
        </w:rPr>
        <w:t>, we now consider what effect, if any, our clarification</w:t>
      </w:r>
      <w:r w:rsidRPr="00A9236E" w:rsidR="00862FAC">
        <w:rPr>
          <w:sz w:val="27"/>
          <w:szCs w:val="26"/>
          <w:bdr w:val="none" w:sz="0" w:space="0" w:color="auto" w:frame="1"/>
          <w:shd w:val="clear" w:color="auto" w:fill="FFFFFF"/>
        </w:rPr>
        <w:t xml:space="preserve"> of </w:t>
      </w:r>
      <w:r w:rsidRPr="00A9236E" w:rsidR="0045295A">
        <w:rPr>
          <w:sz w:val="27"/>
          <w:szCs w:val="26"/>
          <w:bdr w:val="none" w:sz="0" w:space="0" w:color="auto" w:frame="1"/>
          <w:shd w:val="clear" w:color="auto" w:fill="FFFFFF"/>
        </w:rPr>
        <w:t xml:space="preserve">what it means for an enumerated mitigating circumstance to </w:t>
      </w:r>
      <w:r w:rsidRPr="00A9236E" w:rsidR="00862FAC">
        <w:rPr>
          <w:sz w:val="27"/>
          <w:szCs w:val="26"/>
          <w:bdr w:val="none" w:sz="0" w:space="0" w:color="auto" w:frame="1"/>
          <w:shd w:val="clear" w:color="auto" w:fill="FFFFFF"/>
        </w:rPr>
        <w:t>“</w:t>
      </w:r>
      <w:r w:rsidRPr="00A9236E" w:rsidR="00077080">
        <w:rPr>
          <w:sz w:val="27"/>
          <w:szCs w:val="26"/>
          <w:bdr w:val="none" w:sz="0" w:space="0" w:color="auto" w:frame="1"/>
          <w:shd w:val="clear" w:color="auto" w:fill="FFFFFF"/>
        </w:rPr>
        <w:t>weigh</w:t>
      </w:r>
      <w:r w:rsidRPr="00A9236E" w:rsidR="0045295A">
        <w:rPr>
          <w:sz w:val="27"/>
          <w:szCs w:val="26"/>
          <w:bdr w:val="none" w:sz="0" w:space="0" w:color="auto" w:frame="1"/>
          <w:shd w:val="clear" w:color="auto" w:fill="FFFFFF"/>
        </w:rPr>
        <w:t>[]</w:t>
      </w:r>
      <w:r w:rsidRPr="00A9236E" w:rsidR="00077080">
        <w:rPr>
          <w:sz w:val="27"/>
          <w:szCs w:val="26"/>
          <w:bdr w:val="none" w:sz="0" w:space="0" w:color="auto" w:frame="1"/>
          <w:shd w:val="clear" w:color="auto" w:fill="FFFFFF"/>
        </w:rPr>
        <w:t xml:space="preserve"> greatly”</w:t>
      </w:r>
      <w:r w:rsidRPr="00A9236E" w:rsidR="001C6C9A">
        <w:rPr>
          <w:sz w:val="27"/>
          <w:szCs w:val="26"/>
          <w:bdr w:val="none" w:sz="0" w:space="0" w:color="auto" w:frame="1"/>
          <w:shd w:val="clear" w:color="auto" w:fill="FFFFFF"/>
        </w:rPr>
        <w:t xml:space="preserve"> </w:t>
      </w:r>
      <w:r w:rsidRPr="00A9236E" w:rsidR="00CC6FDF">
        <w:rPr>
          <w:sz w:val="27"/>
          <w:szCs w:val="26"/>
          <w:bdr w:val="none" w:sz="0" w:space="0" w:color="auto" w:frame="1"/>
          <w:shd w:val="clear" w:color="auto" w:fill="FFFFFF"/>
        </w:rPr>
        <w:t xml:space="preserve">in favor of dismissal </w:t>
      </w:r>
      <w:r w:rsidRPr="00A9236E" w:rsidR="00160A80">
        <w:rPr>
          <w:sz w:val="27"/>
          <w:szCs w:val="26"/>
          <w:bdr w:val="none" w:sz="0" w:space="0" w:color="auto" w:frame="1"/>
          <w:shd w:val="clear" w:color="auto" w:fill="FFFFFF"/>
        </w:rPr>
        <w:t xml:space="preserve">has </w:t>
      </w:r>
      <w:r w:rsidR="000D60B2">
        <w:rPr>
          <w:sz w:val="27"/>
          <w:szCs w:val="26"/>
          <w:bdr w:val="none" w:sz="0" w:space="0" w:color="auto" w:frame="1"/>
          <w:shd w:val="clear" w:color="auto" w:fill="FFFFFF"/>
        </w:rPr>
        <w:t>here</w:t>
      </w:r>
      <w:r w:rsidRPr="00A9236E" w:rsidR="00160A80">
        <w:rPr>
          <w:sz w:val="27"/>
          <w:szCs w:val="26"/>
          <w:bdr w:val="none" w:sz="0" w:space="0" w:color="auto" w:frame="1"/>
          <w:shd w:val="clear" w:color="auto" w:fill="FFFFFF"/>
        </w:rPr>
        <w:t xml:space="preserve">.  </w:t>
      </w:r>
      <w:r w:rsidRPr="00A9236E" w:rsidR="00476917">
        <w:rPr>
          <w:sz w:val="27"/>
          <w:szCs w:val="26"/>
          <w:bdr w:val="none" w:sz="0" w:space="0" w:color="auto" w:frame="1"/>
          <w:shd w:val="clear" w:color="auto" w:fill="FFFFFF"/>
        </w:rPr>
        <w:t xml:space="preserve">Despite </w:t>
      </w:r>
      <w:r w:rsidRPr="00A9236E" w:rsidR="006350E8">
        <w:rPr>
          <w:sz w:val="27"/>
          <w:szCs w:val="26"/>
          <w:bdr w:val="none" w:sz="0" w:space="0" w:color="auto" w:frame="1"/>
          <w:shd w:val="clear" w:color="auto" w:fill="FFFFFF"/>
        </w:rPr>
        <w:t>disagreeing with</w:t>
      </w:r>
      <w:r w:rsidRPr="00A9236E" w:rsidR="00476917">
        <w:rPr>
          <w:sz w:val="27"/>
          <w:szCs w:val="26"/>
          <w:bdr w:val="none" w:sz="0" w:space="0" w:color="auto" w:frame="1"/>
          <w:shd w:val="clear" w:color="auto" w:fill="FFFFFF"/>
        </w:rPr>
        <w:t xml:space="preserve"> the Court of Appeal</w:t>
      </w:r>
      <w:r w:rsidRPr="00A9236E" w:rsidR="006350E8">
        <w:rPr>
          <w:sz w:val="27"/>
          <w:szCs w:val="26"/>
          <w:bdr w:val="none" w:sz="0" w:space="0" w:color="auto" w:frame="1"/>
          <w:shd w:val="clear" w:color="auto" w:fill="FFFFFF"/>
        </w:rPr>
        <w:t>’s</w:t>
      </w:r>
      <w:r w:rsidRPr="00A9236E" w:rsidR="00476917">
        <w:rPr>
          <w:sz w:val="27"/>
          <w:szCs w:val="26"/>
          <w:bdr w:val="none" w:sz="0" w:space="0" w:color="auto" w:frame="1"/>
          <w:shd w:val="clear" w:color="auto" w:fill="FFFFFF"/>
        </w:rPr>
        <w:t xml:space="preserve"> </w:t>
      </w:r>
      <w:r w:rsidRPr="00A9236E" w:rsidR="006350E8">
        <w:rPr>
          <w:sz w:val="27"/>
          <w:szCs w:val="26"/>
          <w:bdr w:val="none" w:sz="0" w:space="0" w:color="auto" w:frame="1"/>
          <w:shd w:val="clear" w:color="auto" w:fill="FFFFFF"/>
        </w:rPr>
        <w:t>construction of</w:t>
      </w:r>
      <w:r w:rsidRPr="00A9236E" w:rsidR="00476917">
        <w:rPr>
          <w:sz w:val="27"/>
          <w:szCs w:val="26"/>
          <w:bdr w:val="none" w:sz="0" w:space="0" w:color="auto" w:frame="1"/>
          <w:shd w:val="clear" w:color="auto" w:fill="FFFFFF"/>
        </w:rPr>
        <w:t xml:space="preserve"> section 1385, subdivision (c)(2), the People ask us to affirm its decision.  </w:t>
      </w:r>
      <w:r w:rsidRPr="00A9236E" w:rsidR="00AF3133">
        <w:rPr>
          <w:sz w:val="27"/>
          <w:szCs w:val="26"/>
          <w:bdr w:val="none" w:sz="0" w:space="0" w:color="auto" w:frame="1"/>
          <w:shd w:val="clear" w:color="auto" w:fill="FFFFFF"/>
        </w:rPr>
        <w:t>(</w:t>
      </w:r>
      <w:r w:rsidRPr="00A9236E">
        <w:rPr>
          <w:sz w:val="27"/>
          <w:szCs w:val="26"/>
          <w:bdr w:val="none" w:sz="0" w:space="0" w:color="auto" w:frame="1"/>
          <w:shd w:val="clear" w:color="auto" w:fill="FFFFFF"/>
        </w:rPr>
        <w:t>S</w:t>
      </w:r>
      <w:r w:rsidRPr="00A9236E" w:rsidR="00C95C52">
        <w:rPr>
          <w:sz w:val="27"/>
          <w:szCs w:val="26"/>
          <w:bdr w:val="none" w:sz="0" w:space="0" w:color="auto" w:frame="1"/>
          <w:shd w:val="clear" w:color="auto" w:fill="FFFFFF"/>
        </w:rPr>
        <w:t xml:space="preserve">ee </w:t>
      </w:r>
      <w:bookmarkStart w:id="6" w:name="_Hlk159536090"/>
      <w:r w:rsidRPr="00A9236E" w:rsidR="002919DC">
        <w:rPr>
          <w:i/>
          <w:iCs/>
          <w:sz w:val="27"/>
          <w:szCs w:val="26"/>
          <w:bdr w:val="none" w:sz="0" w:space="0" w:color="auto" w:frame="1"/>
          <w:shd w:val="clear" w:color="auto" w:fill="FFFFFF"/>
        </w:rPr>
        <w:t xml:space="preserve">People v. Zapien </w:t>
      </w:r>
      <w:r w:rsidRPr="00A9236E" w:rsidR="002919DC">
        <w:rPr>
          <w:sz w:val="27"/>
          <w:szCs w:val="26"/>
          <w:bdr w:val="none" w:sz="0" w:space="0" w:color="auto" w:frame="1"/>
          <w:shd w:val="clear" w:color="auto" w:fill="FFFFFF"/>
        </w:rPr>
        <w:t>(1993) 4</w:t>
      </w:r>
      <w:r w:rsidRPr="00A9236E" w:rsidR="00465E2E">
        <w:rPr>
          <w:sz w:val="27"/>
          <w:szCs w:val="26"/>
          <w:bdr w:val="none" w:sz="0" w:space="0" w:color="auto" w:frame="1"/>
          <w:shd w:val="clear" w:color="auto" w:fill="FFFFFF"/>
        </w:rPr>
        <w:t> </w:t>
      </w:r>
      <w:r w:rsidRPr="00A9236E" w:rsidR="002919DC">
        <w:rPr>
          <w:sz w:val="27"/>
          <w:szCs w:val="26"/>
          <w:bdr w:val="none" w:sz="0" w:space="0" w:color="auto" w:frame="1"/>
          <w:shd w:val="clear" w:color="auto" w:fill="FFFFFF"/>
        </w:rPr>
        <w:t xml:space="preserve">Cal.4th 929, 976 </w:t>
      </w:r>
      <w:bookmarkEnd w:id="6"/>
      <w:r w:rsidRPr="00A9236E" w:rsidR="002919DC">
        <w:rPr>
          <w:sz w:val="27"/>
          <w:szCs w:val="26"/>
          <w:bdr w:val="none" w:sz="0" w:space="0" w:color="auto" w:frame="1"/>
          <w:shd w:val="clear" w:color="auto" w:fill="FFFFFF"/>
        </w:rPr>
        <w:t>[</w:t>
      </w:r>
      <w:r w:rsidRPr="00A9236E" w:rsidR="002919DC">
        <w:rPr>
          <w:sz w:val="27"/>
          <w:szCs w:val="26"/>
        </w:rPr>
        <w:t>“</w:t>
      </w:r>
      <w:r w:rsidRPr="00A9236E">
        <w:rPr>
          <w:sz w:val="27"/>
          <w:szCs w:val="26"/>
        </w:rPr>
        <w:t> </w:t>
      </w:r>
      <w:r w:rsidRPr="00A9236E" w:rsidR="002919DC">
        <w:rPr>
          <w:sz w:val="27"/>
          <w:szCs w:val="26"/>
        </w:rPr>
        <w:t>‘</w:t>
      </w:r>
      <w:r w:rsidRPr="00A9236E">
        <w:rPr>
          <w:sz w:val="27"/>
          <w:szCs w:val="26"/>
        </w:rPr>
        <w:t> </w:t>
      </w:r>
      <w:r w:rsidRPr="00A9236E" w:rsidR="002919DC">
        <w:rPr>
          <w:sz w:val="27"/>
          <w:szCs w:val="26"/>
        </w:rPr>
        <w:t>“No rule of decision is better or more firmly established by authority, nor one resting upon a sounder basis of reason and propriety, than that a ruling or decision, itself correct in law, will not be disturbed on appeal merely because given for a wrong reason</w:t>
      </w:r>
      <w:r w:rsidRPr="00A9236E" w:rsidR="00C5118B">
        <w:rPr>
          <w:sz w:val="27"/>
          <w:szCs w:val="26"/>
        </w:rPr>
        <w:t>” ’ </w:t>
      </w:r>
      <w:r w:rsidRPr="00A9236E" w:rsidR="002919DC">
        <w:rPr>
          <w:sz w:val="27"/>
          <w:szCs w:val="26"/>
        </w:rPr>
        <w:t xml:space="preserve">”].)  </w:t>
      </w:r>
      <w:r w:rsidRPr="00A9236E" w:rsidR="006350E8">
        <w:rPr>
          <w:sz w:val="27"/>
          <w:szCs w:val="26"/>
          <w:bdr w:val="none" w:sz="0" w:space="0" w:color="auto" w:frame="1"/>
          <w:shd w:val="clear" w:color="auto" w:fill="FFFFFF"/>
        </w:rPr>
        <w:t>Defendant asks us to reverse and remand so that “the Court of Appeal can reevaluate whether the trial court properly applied the correct ‘great weight’ standard.”  However, here,</w:t>
      </w:r>
      <w:r w:rsidRPr="00A9236E" w:rsidR="008110A3">
        <w:rPr>
          <w:sz w:val="27"/>
          <w:szCs w:val="26"/>
          <w:bdr w:val="none" w:sz="0" w:space="0" w:color="auto" w:frame="1"/>
          <w:shd w:val="clear" w:color="auto" w:fill="FFFFFF"/>
        </w:rPr>
        <w:t xml:space="preserve"> where the Court of Appeal</w:t>
      </w:r>
      <w:r w:rsidRPr="00A9236E" w:rsidR="006350E8">
        <w:rPr>
          <w:sz w:val="27"/>
          <w:szCs w:val="26"/>
          <w:bdr w:val="none" w:sz="0" w:space="0" w:color="auto" w:frame="1"/>
          <w:shd w:val="clear" w:color="auto" w:fill="FFFFFF"/>
        </w:rPr>
        <w:t xml:space="preserve"> </w:t>
      </w:r>
      <w:r w:rsidRPr="00A9236E" w:rsidR="008110A3">
        <w:rPr>
          <w:sz w:val="27"/>
          <w:szCs w:val="26"/>
          <w:bdr w:val="none" w:sz="0" w:space="0" w:color="auto" w:frame="1"/>
          <w:shd w:val="clear" w:color="auto" w:fill="FFFFFF"/>
        </w:rPr>
        <w:t xml:space="preserve">upheld the trial court’s </w:t>
      </w:r>
      <w:r w:rsidRPr="00A9236E" w:rsidR="009B2B1C">
        <w:rPr>
          <w:sz w:val="27"/>
          <w:szCs w:val="26"/>
          <w:bdr w:val="none" w:sz="0" w:space="0" w:color="auto" w:frame="1"/>
          <w:shd w:val="clear" w:color="auto" w:fill="FFFFFF"/>
        </w:rPr>
        <w:t xml:space="preserve">refusal to dismiss defendant’s prior serious felony enhancement </w:t>
      </w:r>
      <w:r w:rsidRPr="00A9236E" w:rsidR="00565646">
        <w:rPr>
          <w:sz w:val="27"/>
          <w:szCs w:val="26"/>
          <w:bdr w:val="none" w:sz="0" w:space="0" w:color="auto" w:frame="1"/>
          <w:shd w:val="clear" w:color="auto" w:fill="FFFFFF"/>
        </w:rPr>
        <w:t xml:space="preserve">under a </w:t>
      </w:r>
      <w:r w:rsidRPr="00A9236E" w:rsidR="008110A3">
        <w:rPr>
          <w:sz w:val="27"/>
          <w:szCs w:val="26"/>
          <w:bdr w:val="none" w:sz="0" w:space="0" w:color="auto" w:frame="1"/>
          <w:shd w:val="clear" w:color="auto" w:fill="FFFFFF"/>
        </w:rPr>
        <w:t>presumption in favor of dismissal</w:t>
      </w:r>
      <w:r w:rsidRPr="00A9236E" w:rsidR="00077080">
        <w:rPr>
          <w:sz w:val="27"/>
          <w:szCs w:val="26"/>
          <w:bdr w:val="none" w:sz="0" w:space="0" w:color="auto" w:frame="1"/>
          <w:shd w:val="clear" w:color="auto" w:fill="FFFFFF"/>
        </w:rPr>
        <w:t xml:space="preserve"> that could only be overcome by a finding that dismissal would endanger public safety</w:t>
      </w:r>
      <w:r w:rsidRPr="00A9236E" w:rsidR="008110A3">
        <w:rPr>
          <w:sz w:val="27"/>
          <w:szCs w:val="26"/>
          <w:bdr w:val="none" w:sz="0" w:space="0" w:color="auto" w:frame="1"/>
          <w:shd w:val="clear" w:color="auto" w:fill="FFFFFF"/>
        </w:rPr>
        <w:t>, defendant fails to persuade he is entitled to any relief</w:t>
      </w:r>
      <w:r w:rsidRPr="00A9236E" w:rsidR="008775F4">
        <w:rPr>
          <w:sz w:val="27"/>
          <w:szCs w:val="26"/>
          <w:bdr w:val="none" w:sz="0" w:space="0" w:color="auto" w:frame="1"/>
          <w:shd w:val="clear" w:color="auto" w:fill="FFFFFF"/>
        </w:rPr>
        <w:t xml:space="preserve"> under </w:t>
      </w:r>
      <w:r w:rsidRPr="00A9236E" w:rsidR="001C6C9A">
        <w:rPr>
          <w:sz w:val="27"/>
          <w:szCs w:val="26"/>
          <w:bdr w:val="none" w:sz="0" w:space="0" w:color="auto" w:frame="1"/>
          <w:shd w:val="clear" w:color="auto" w:fill="FFFFFF"/>
        </w:rPr>
        <w:t>our</w:t>
      </w:r>
      <w:r w:rsidRPr="00A9236E" w:rsidR="005B3DED">
        <w:rPr>
          <w:sz w:val="27"/>
          <w:szCs w:val="26"/>
          <w:bdr w:val="none" w:sz="0" w:space="0" w:color="auto" w:frame="1"/>
          <w:shd w:val="clear" w:color="auto" w:fill="FFFFFF"/>
        </w:rPr>
        <w:t xml:space="preserve"> </w:t>
      </w:r>
      <w:r w:rsidRPr="00A9236E" w:rsidR="00CC6384">
        <w:rPr>
          <w:sz w:val="27"/>
          <w:szCs w:val="26"/>
          <w:bdr w:val="none" w:sz="0" w:space="0" w:color="auto" w:frame="1"/>
          <w:shd w:val="clear" w:color="auto" w:fill="FFFFFF"/>
        </w:rPr>
        <w:t>less restrictive</w:t>
      </w:r>
      <w:r w:rsidRPr="00A9236E" w:rsidR="008775F4">
        <w:rPr>
          <w:sz w:val="27"/>
          <w:szCs w:val="26"/>
          <w:bdr w:val="none" w:sz="0" w:space="0" w:color="auto" w:frame="1"/>
          <w:shd w:val="clear" w:color="auto" w:fill="FFFFFF"/>
        </w:rPr>
        <w:t xml:space="preserve"> </w:t>
      </w:r>
      <w:r w:rsidRPr="00A9236E" w:rsidR="00B579DA">
        <w:rPr>
          <w:sz w:val="27"/>
          <w:szCs w:val="26"/>
          <w:bdr w:val="none" w:sz="0" w:space="0" w:color="auto" w:frame="1"/>
          <w:shd w:val="clear" w:color="auto" w:fill="FFFFFF"/>
        </w:rPr>
        <w:t xml:space="preserve">understanding of a trial court’s authority </w:t>
      </w:r>
      <w:r w:rsidRPr="00A9236E" w:rsidR="001C6C9A">
        <w:rPr>
          <w:sz w:val="27"/>
          <w:szCs w:val="26"/>
          <w:bdr w:val="none" w:sz="0" w:space="0" w:color="auto" w:frame="1"/>
          <w:shd w:val="clear" w:color="auto" w:fill="FFFFFF"/>
        </w:rPr>
        <w:t xml:space="preserve">pursuant to </w:t>
      </w:r>
      <w:r w:rsidRPr="00A9236E" w:rsidR="00B579DA">
        <w:rPr>
          <w:sz w:val="27"/>
          <w:szCs w:val="26"/>
          <w:bdr w:val="none" w:sz="0" w:space="0" w:color="auto" w:frame="1"/>
          <w:shd w:val="clear" w:color="auto" w:fill="FFFFFF"/>
        </w:rPr>
        <w:t>section 1385, subdivision (c)(2)</w:t>
      </w:r>
      <w:r w:rsidRPr="00A9236E" w:rsidR="008110A3">
        <w:rPr>
          <w:sz w:val="27"/>
          <w:szCs w:val="26"/>
          <w:bdr w:val="none" w:sz="0" w:space="0" w:color="auto" w:frame="1"/>
          <w:shd w:val="clear" w:color="auto" w:fill="FFFFFF"/>
        </w:rPr>
        <w:t>.</w:t>
      </w:r>
      <w:r w:rsidRPr="00A9236E" w:rsidR="009C4126">
        <w:rPr>
          <w:sz w:val="27"/>
          <w:szCs w:val="26"/>
          <w:bdr w:val="none" w:sz="0" w:space="0" w:color="auto" w:frame="1"/>
          <w:shd w:val="clear" w:color="auto" w:fill="FFFFFF"/>
        </w:rPr>
        <w:t xml:space="preserve">  We therefore affirm.</w:t>
      </w:r>
      <w:r w:rsidRPr="00A9236E" w:rsidR="00E87CE1">
        <w:rPr>
          <w:sz w:val="27"/>
          <w:szCs w:val="26"/>
        </w:rPr>
        <w:t xml:space="preserve">  </w:t>
      </w:r>
    </w:p>
    <w:p w:rsidR="003F747A" w:rsidRPr="00AD6330" w:rsidP="00AD6330" w14:paraId="6F93A623" w14:textId="2E2E8B8C">
      <w:pPr>
        <w:pStyle w:val="Heading1"/>
        <w:numPr>
          <w:ilvl w:val="0"/>
          <w:numId w:val="1"/>
        </w:numPr>
        <w:rPr>
          <w:szCs w:val="26"/>
        </w:rPr>
      </w:pPr>
      <w:r w:rsidRPr="00AD6330">
        <w:rPr>
          <w:szCs w:val="26"/>
        </w:rPr>
        <w:t>Conclusion</w:t>
      </w:r>
    </w:p>
    <w:p w:rsidR="00B4214C" w:rsidP="00AD6330" w14:paraId="4A9FFF53" w14:textId="39B2BFCA">
      <w:pPr>
        <w:ind w:firstLine="720"/>
        <w:rPr>
          <w:szCs w:val="26"/>
        </w:rPr>
      </w:pPr>
      <w:r w:rsidRPr="00AD6330">
        <w:rPr>
          <w:szCs w:val="26"/>
        </w:rPr>
        <w:t>W</w:t>
      </w:r>
      <w:r w:rsidRPr="00AD6330" w:rsidR="00F435AF">
        <w:rPr>
          <w:szCs w:val="26"/>
        </w:rPr>
        <w:t xml:space="preserve">e </w:t>
      </w:r>
      <w:r w:rsidRPr="00AD6330" w:rsidR="00D50BE7">
        <w:rPr>
          <w:szCs w:val="26"/>
        </w:rPr>
        <w:t>affirm</w:t>
      </w:r>
      <w:r w:rsidRPr="00AD6330" w:rsidR="00F435AF">
        <w:rPr>
          <w:szCs w:val="26"/>
        </w:rPr>
        <w:t xml:space="preserve"> the judgment of the Court of Appeal</w:t>
      </w:r>
      <w:r w:rsidRPr="00AD6330" w:rsidR="00D50BE7">
        <w:rPr>
          <w:szCs w:val="26"/>
        </w:rPr>
        <w:t>.</w:t>
      </w:r>
      <w:bookmarkStart w:id="7" w:name="defendant"/>
      <w:bookmarkStart w:id="8" w:name="initials"/>
      <w:bookmarkEnd w:id="7"/>
      <w:bookmarkEnd w:id="8"/>
    </w:p>
    <w:p w:rsidR="00916187" w:rsidP="00AD6330" w14:paraId="681BED76" w14:textId="77777777">
      <w:pPr>
        <w:ind w:firstLine="720"/>
        <w:rPr>
          <w:szCs w:val="26"/>
        </w:rPr>
      </w:pPr>
    </w:p>
    <w:p w:rsidR="00A31FE1" w:rsidP="00AD6330" w14:paraId="0F0FCCFA" w14:textId="77777777">
      <w:pPr>
        <w:ind w:firstLine="720"/>
        <w:rPr>
          <w:szCs w:val="26"/>
        </w:rPr>
      </w:pPr>
    </w:p>
    <w:p w:rsidR="00916187" w:rsidRPr="00A25E48" w:rsidP="00916187" w14:paraId="35BA01F2" w14:textId="77777777">
      <w:pPr>
        <w:ind w:left="3600" w:firstLine="1800"/>
        <w:rPr>
          <w:b/>
          <w:szCs w:val="26"/>
        </w:rPr>
      </w:pPr>
      <w:r w:rsidRPr="00A25E48">
        <w:rPr>
          <w:b/>
          <w:szCs w:val="26"/>
        </w:rPr>
        <w:t>GROBAN, J.</w:t>
      </w:r>
    </w:p>
    <w:p w:rsidR="00BB0673" w:rsidRPr="00994D80" w:rsidP="00BB0673" w14:paraId="674663B7" w14:textId="77777777">
      <w:pPr>
        <w:rPr>
          <w:b/>
          <w:bCs/>
          <w:lang w:val=""/>
        </w:rPr>
      </w:pPr>
      <w:r w:rsidRPr="00994D80">
        <w:rPr>
          <w:b/>
          <w:bCs/>
          <w:lang w:val=""/>
        </w:rPr>
        <w:t>We Concur:</w:t>
      </w:r>
    </w:p>
    <w:p w:rsidR="00BB0673" w:rsidRPr="00BB0673" w:rsidP="00B00D41" w14:paraId="5E25BCB3" w14:textId="6DBE67A8">
      <w:pPr>
        <w:spacing w:after="0" w:line="240" w:lineRule="auto"/>
        <w:jc w:val="left"/>
        <w:rPr>
          <w:b/>
        </w:rPr>
      </w:pPr>
      <w:r>
        <w:rPr>
          <w:b/>
        </w:rPr>
        <w:t>GUERRERO, C. J.</w:t>
      </w:r>
    </w:p>
    <w:p w:rsidR="00BB0673" w:rsidP="00B00D41" w14:paraId="68C50DB2" w14:textId="77777777">
      <w:pPr>
        <w:spacing w:after="0" w:line="240" w:lineRule="auto"/>
        <w:jc w:val="left"/>
        <w:rPr>
          <w:b/>
        </w:rPr>
      </w:pPr>
      <w:r>
        <w:rPr>
          <w:b/>
        </w:rPr>
        <w:t>LIU, J.</w:t>
      </w:r>
    </w:p>
    <w:p w:rsidR="00BB0673" w:rsidP="00B00D41" w14:paraId="6AAB4A5E" w14:textId="77777777">
      <w:pPr>
        <w:spacing w:after="0" w:line="240" w:lineRule="auto"/>
        <w:jc w:val="left"/>
        <w:rPr>
          <w:b/>
          <w:lang w:val="it-IT"/>
        </w:rPr>
      </w:pPr>
      <w:r>
        <w:rPr>
          <w:b/>
          <w:lang w:val="it-IT"/>
        </w:rPr>
        <w:t>KRUGER, J.</w:t>
      </w:r>
    </w:p>
    <w:p w:rsidR="00BB0673" w:rsidP="00B00D41" w14:paraId="4850D6C8" w14:textId="77777777">
      <w:pPr>
        <w:spacing w:after="0" w:line="240" w:lineRule="auto"/>
        <w:jc w:val="left"/>
        <w:rPr>
          <w:b/>
        </w:rPr>
      </w:pPr>
      <w:r>
        <w:rPr>
          <w:b/>
        </w:rPr>
        <w:t>JENKINS, J.</w:t>
      </w:r>
    </w:p>
    <w:p w:rsidR="00BB0673" w:rsidP="00B00D41" w14:paraId="604CA04E" w14:textId="77777777">
      <w:pPr>
        <w:pStyle w:val="Text"/>
        <w:spacing w:line="240" w:lineRule="auto"/>
        <w:ind w:firstLine="0"/>
      </w:pPr>
      <w:r>
        <w:rPr>
          <w:b/>
          <w:lang w:val="it-IT"/>
        </w:rPr>
        <w:t>EVANS</w:t>
      </w:r>
      <w:r>
        <w:rPr>
          <w:b/>
        </w:rPr>
        <w:t>, J.</w:t>
      </w:r>
    </w:p>
    <w:p w:rsidR="008F286B" w:rsidP="00BB0673" w14:paraId="40EFE59C" w14:textId="77777777">
      <w:pPr>
        <w:rPr>
          <w:b/>
          <w:bCs/>
          <w:szCs w:val="26"/>
        </w:rPr>
        <w:sectPr w:rsidSect="00A9236E">
          <w:footerReference w:type="first" r:id="rId10"/>
          <w:pgSz w:w="12240" w:h="15840"/>
          <w:pgMar w:top="1800" w:right="2160" w:bottom="1440" w:left="2160" w:header="720" w:footer="720" w:gutter="0"/>
          <w:pgNumType w:start="1"/>
          <w:cols w:space="720"/>
          <w:titlePg/>
          <w:docGrid w:linePitch="367"/>
        </w:sectPr>
      </w:pPr>
    </w:p>
    <w:p w:rsidR="002D5F21" w:rsidP="002D5F21" w14:paraId="47998458" w14:textId="77777777">
      <w:pPr>
        <w:jc w:val="center"/>
      </w:pPr>
      <w:r>
        <w:t>PEOPLE v. WALKER</w:t>
      </w:r>
    </w:p>
    <w:p w:rsidR="002D5F21" w:rsidP="002D5F21" w14:paraId="67770719" w14:textId="77777777">
      <w:pPr>
        <w:jc w:val="center"/>
      </w:pPr>
      <w:r>
        <w:t>S278309</w:t>
      </w:r>
    </w:p>
    <w:p w:rsidR="002D5F21" w:rsidP="002D5F21" w14:paraId="5C582FD5" w14:textId="77777777">
      <w:pPr>
        <w:jc w:val="center"/>
      </w:pPr>
    </w:p>
    <w:p w:rsidR="002D5F21" w:rsidP="002D5F21" w14:paraId="3E2FF1D8" w14:textId="77777777">
      <w:pPr>
        <w:jc w:val="center"/>
      </w:pPr>
      <w:r>
        <w:t>Concurring Opinion by Justice Corrigan</w:t>
      </w:r>
    </w:p>
    <w:p w:rsidR="002D5F21" w:rsidP="002D5F21" w14:paraId="505DC1C9" w14:textId="77777777">
      <w:pPr>
        <w:jc w:val="center"/>
      </w:pPr>
    </w:p>
    <w:p w:rsidR="002D5F21" w:rsidP="002D5F21" w14:paraId="37E01F73" w14:textId="77777777">
      <w:pPr>
        <w:pStyle w:val="BodyText"/>
        <w:ind w:firstLine="720"/>
      </w:pPr>
      <w:r>
        <w:t xml:space="preserve">I concur in the judgment of the court and write separately to make one point of clarification.  The majority opinion properly concludes the language of Penal Code section 1385, subdivision (c)(2) does not create a rebuttable presumption in favor of dismissal or require that evidence of specified mitigating circumstances may only be overcome by a finding that dismissal would endanger public safety.  However, in describing what it means to “afford great weight” to mitigating evidence and how such evidence “weighs greatly in favor of” dismissal, the majority opinion states that </w:t>
      </w:r>
      <w:bookmarkStart w:id="9" w:name="_Hlk173925076"/>
      <w:r>
        <w:t>“the presence of an enumerated mitigating circumstance will generally result in the dismissal of an enhancement unless the sentencing court finds substantial, credible evidence of countervailing factors . . . .”</w:t>
      </w:r>
      <w:bookmarkEnd w:id="9"/>
      <w:r>
        <w:t xml:space="preserve">  (Maj. opn., </w:t>
      </w:r>
      <w:r w:rsidRPr="00AB0E5D">
        <w:rPr>
          <w:i/>
          <w:iCs/>
        </w:rPr>
        <w:t>ante</w:t>
      </w:r>
      <w:r>
        <w:t xml:space="preserve">, at p. 3; see </w:t>
      </w:r>
      <w:r w:rsidRPr="00AB0E5D">
        <w:rPr>
          <w:i/>
          <w:iCs/>
        </w:rPr>
        <w:t>id</w:t>
      </w:r>
      <w:r>
        <w:t>. at pp. 13, 17.)  This formulation could be misunderstood to create confusion on the very point we granted review to clarify:  whether the statutory language creates a rebuttable presumption in favor of dismissing an enhancement.  As the majority opinion properly observes, “[U]ltimately, the court must determine whether dismissal is in furtherance of justice.”  (</w:t>
      </w:r>
      <w:r>
        <w:rPr>
          <w:i/>
          <w:iCs/>
        </w:rPr>
        <w:t>I</w:t>
      </w:r>
      <w:r w:rsidRPr="00FE1535">
        <w:rPr>
          <w:i/>
          <w:iCs/>
        </w:rPr>
        <w:t>d</w:t>
      </w:r>
      <w:r>
        <w:t xml:space="preserve">. at p. 13.)  That determination remains in the discretion of the trial court after giving great weight to the presence of mitigating factors.  </w:t>
      </w:r>
    </w:p>
    <w:p w:rsidR="002D5F21" w:rsidP="002D5F21" w14:paraId="2C235A0B" w14:textId="77777777">
      <w:pPr>
        <w:pStyle w:val="BodyText"/>
        <w:ind w:firstLine="720"/>
      </w:pPr>
      <w:r w:rsidRPr="00650E79">
        <w:rPr>
          <w:i/>
          <w:iCs/>
        </w:rPr>
        <w:t>People v. Ortiz</w:t>
      </w:r>
      <w:r>
        <w:t xml:space="preserve"> (2023) 87 Cal.App.5th 1087 acknowledged that “ ‘[g]enerally applicable sentencing principles’ relevant to a court’s determination of whether dismissal is in furtherance of justice ‘relat[e] to matters such as the defendant’s background, character, and prospects,’ ” and “[t]hose principles </w:t>
      </w:r>
      <w:r w:rsidRPr="00362AE1">
        <w:t>require consideration of circumstances in mitigation (and aggravation) in the broader context of the recognized objectives of sentencing</w:t>
      </w:r>
      <w:r>
        <w:t> . . . .”  (</w:t>
      </w:r>
      <w:r>
        <w:rPr>
          <w:i/>
          <w:iCs/>
        </w:rPr>
        <w:t xml:space="preserve">Id. </w:t>
      </w:r>
      <w:r>
        <w:t xml:space="preserve">at p. 1097.)  </w:t>
      </w:r>
      <w:r w:rsidRPr="00035812">
        <w:rPr>
          <w:i/>
          <w:iCs/>
        </w:rPr>
        <w:t>Ortiz</w:t>
      </w:r>
      <w:r>
        <w:t xml:space="preserve"> reasoned that nothing in the language of Penal Code section 1385, subdivision (c) “</w:t>
      </w:r>
      <w:r w:rsidRPr="00362AE1">
        <w:t>supplanted rather than supplemented the factors</w:t>
      </w:r>
      <w:r>
        <w:t> . . .</w:t>
      </w:r>
      <w:r w:rsidRPr="00362AE1">
        <w:t xml:space="preserve"> long deemed essential to the </w:t>
      </w:r>
      <w:r>
        <w:t>‘</w:t>
      </w:r>
      <w:r w:rsidRPr="00362AE1">
        <w:t>furtherance of justice</w:t>
      </w:r>
      <w:r>
        <w:t>’</w:t>
      </w:r>
      <w:r w:rsidRPr="00362AE1">
        <w:t xml:space="preserve"> inquiry.</w:t>
      </w:r>
      <w:r>
        <w:t>”  (</w:t>
      </w:r>
      <w:r w:rsidRPr="00B26C94">
        <w:rPr>
          <w:i/>
          <w:iCs/>
        </w:rPr>
        <w:t>Ortiz</w:t>
      </w:r>
      <w:r>
        <w:t>, at p. 1099.)  Thus, a trial court may properly decline to dismiss an enhancement in furtherance of justice if it “engage[s] in a holistic balancing with special emphasis on the enumerated mitigating factors” (</w:t>
      </w:r>
      <w:r w:rsidRPr="003D237D">
        <w:rPr>
          <w:i/>
          <w:iCs/>
        </w:rPr>
        <w:t>id</w:t>
      </w:r>
      <w:r>
        <w:t>. at p. 1096) and “acknowledge[s] [their] great weight but determine[s] that other factors were collectively weightier” (</w:t>
      </w:r>
      <w:r w:rsidRPr="003D237D">
        <w:rPr>
          <w:i/>
          <w:iCs/>
        </w:rPr>
        <w:t>id</w:t>
      </w:r>
      <w:r>
        <w:t xml:space="preserve">. at p. 1099).  The majority opinion has properly concluded that “the plain language of section 1385, subdivision (c)(2) establishes a standard consistent with </w:t>
      </w:r>
      <w:r w:rsidRPr="002D215D">
        <w:rPr>
          <w:i/>
          <w:iCs/>
        </w:rPr>
        <w:t>Ortiz</w:t>
      </w:r>
      <w:r>
        <w:t xml:space="preserve">’s understanding.”  (Maj. opn., </w:t>
      </w:r>
      <w:r w:rsidRPr="00174AAB">
        <w:rPr>
          <w:i/>
          <w:iCs/>
        </w:rPr>
        <w:t>ante</w:t>
      </w:r>
      <w:r>
        <w:t xml:space="preserve">, at pp. 11–12.)  With that clarification, I concur in the court’s opinion.  </w:t>
      </w:r>
    </w:p>
    <w:p w:rsidR="002D5F21" w:rsidP="002D5F21" w14:paraId="6342149C" w14:textId="77777777">
      <w:pPr>
        <w:pStyle w:val="BodyText"/>
        <w:ind w:firstLine="720"/>
      </w:pPr>
    </w:p>
    <w:p w:rsidR="002D5F21" w:rsidP="002D5F21" w14:paraId="791DA2D9" w14:textId="77777777">
      <w:pPr>
        <w:pStyle w:val="BodyText"/>
        <w:ind w:firstLine="720"/>
      </w:pPr>
    </w:p>
    <w:p w:rsidR="002D5F21" w:rsidRPr="009E225B" w:rsidP="002D5F21" w14:paraId="00FD5A8B" w14:textId="77777777">
      <w:pPr>
        <w:pStyle w:val="BodyText"/>
        <w:ind w:firstLine="720"/>
        <w:jc w:val="right"/>
        <w:rPr>
          <w:b/>
          <w:bCs/>
        </w:rPr>
      </w:pPr>
      <w:r w:rsidRPr="009E225B">
        <w:rPr>
          <w:b/>
          <w:bCs/>
        </w:rPr>
        <w:t>CORRIGAN, J.</w:t>
      </w:r>
    </w:p>
    <w:p w:rsidR="002D5F21" w:rsidP="00BB0673" w14:paraId="469BE64F" w14:textId="77777777">
      <w:pPr>
        <w:rPr>
          <w:b/>
          <w:bCs/>
          <w:szCs w:val="26"/>
        </w:rPr>
        <w:sectPr w:rsidSect="002D5F21">
          <w:headerReference w:type="default" r:id="rId11"/>
          <w:footerReference w:type="default" r:id="rId12"/>
          <w:footerReference w:type="first" r:id="rId13"/>
          <w:pgSz w:w="12240" w:h="15840" w:code="1"/>
          <w:pgMar w:top="1800" w:right="2160" w:bottom="1440" w:left="2160" w:header="720" w:footer="720" w:gutter="0"/>
          <w:pgNumType w:start="1"/>
          <w:cols w:space="720"/>
          <w:titlePg/>
        </w:sectPr>
      </w:pPr>
    </w:p>
    <w:p w:rsidR="00281BCB" w:rsidRPr="00281BCB" w:rsidP="00281BCB" w14:paraId="27FF4072" w14:textId="77777777">
      <w:pPr>
        <w:spacing w:after="0" w:line="240" w:lineRule="auto"/>
        <w:jc w:val="left"/>
        <w:rPr>
          <w:i/>
          <w:sz w:val="24"/>
          <w:szCs w:val="24"/>
        </w:rPr>
      </w:pPr>
      <w:r w:rsidRPr="00281BCB">
        <w:rPr>
          <w:i/>
          <w:sz w:val="24"/>
          <w:szCs w:val="24"/>
        </w:rPr>
        <w:t>See next page for addresses and telephone numbers for counsel who argued in Supreme Court.</w:t>
      </w:r>
    </w:p>
    <w:p w:rsidR="00281BCB" w:rsidRPr="00281BCB" w:rsidP="00281BCB" w14:paraId="065827B0" w14:textId="77777777">
      <w:pPr>
        <w:spacing w:after="0" w:line="240" w:lineRule="auto"/>
        <w:jc w:val="left"/>
        <w:rPr>
          <w:i/>
          <w:sz w:val="24"/>
          <w:szCs w:val="24"/>
        </w:rPr>
      </w:pPr>
    </w:p>
    <w:p w:rsidR="00281BCB" w:rsidRPr="00281BCB" w:rsidP="00281BCB" w14:paraId="7EF74F58" w14:textId="77777777">
      <w:pPr>
        <w:spacing w:after="0" w:line="240" w:lineRule="auto"/>
        <w:jc w:val="left"/>
        <w:rPr>
          <w:bCs/>
          <w:sz w:val="24"/>
          <w:szCs w:val="24"/>
        </w:rPr>
      </w:pPr>
      <w:r w:rsidRPr="00281BCB">
        <w:rPr>
          <w:b/>
          <w:sz w:val="24"/>
          <w:szCs w:val="24"/>
        </w:rPr>
        <w:t xml:space="preserve">Name of Opinion  </w:t>
      </w:r>
      <w:r w:rsidRPr="00281BCB">
        <w:rPr>
          <w:bCs/>
          <w:sz w:val="24"/>
          <w:szCs w:val="24"/>
        </w:rPr>
        <w:t>People v. Walker</w:t>
      </w:r>
    </w:p>
    <w:p w:rsidR="00281BCB" w:rsidRPr="00281BCB" w:rsidP="00281BCB" w14:paraId="70ABDCF3" w14:textId="77777777">
      <w:pPr>
        <w:spacing w:after="0" w:line="240" w:lineRule="auto"/>
        <w:jc w:val="left"/>
        <w:rPr>
          <w:b/>
          <w:sz w:val="24"/>
          <w:szCs w:val="24"/>
        </w:rPr>
      </w:pPr>
      <w:r w:rsidRPr="00281BCB">
        <w:rPr>
          <w:b/>
          <w:sz w:val="24"/>
          <w:szCs w:val="24"/>
        </w:rPr>
        <w:t xml:space="preserve">__________________________________________________________ </w:t>
      </w:r>
    </w:p>
    <w:p w:rsidR="00281BCB" w:rsidRPr="00281BCB" w:rsidP="00281BCB" w14:paraId="0C484B65" w14:textId="77777777">
      <w:pPr>
        <w:spacing w:after="0" w:line="240" w:lineRule="auto"/>
        <w:jc w:val="left"/>
        <w:rPr>
          <w:b/>
          <w:sz w:val="24"/>
          <w:szCs w:val="24"/>
        </w:rPr>
      </w:pPr>
    </w:p>
    <w:p w:rsidR="00281BCB" w:rsidRPr="00281BCB" w:rsidP="00281BCB" w14:paraId="4C811192" w14:textId="77777777">
      <w:pPr>
        <w:spacing w:after="0" w:line="240" w:lineRule="auto"/>
        <w:jc w:val="left"/>
        <w:rPr>
          <w:sz w:val="24"/>
          <w:szCs w:val="24"/>
        </w:rPr>
      </w:pPr>
      <w:r w:rsidRPr="00281BCB">
        <w:rPr>
          <w:b/>
          <w:bCs/>
          <w:sz w:val="24"/>
          <w:szCs w:val="24"/>
          <w:u w:val="single"/>
        </w:rPr>
        <w:t>Procedural Posture</w:t>
      </w:r>
      <w:r w:rsidRPr="00281BCB">
        <w:rPr>
          <w:b/>
          <w:bCs/>
          <w:sz w:val="24"/>
          <w:szCs w:val="24"/>
        </w:rPr>
        <w:t xml:space="preserve"> </w:t>
      </w:r>
      <w:r w:rsidRPr="00281BCB">
        <w:rPr>
          <w:sz w:val="24"/>
          <w:szCs w:val="24"/>
        </w:rPr>
        <w:t>(see XX below)</w:t>
      </w:r>
    </w:p>
    <w:p w:rsidR="00281BCB" w:rsidRPr="00281BCB" w:rsidP="00281BCB" w14:paraId="0E8BEA81" w14:textId="77777777">
      <w:pPr>
        <w:spacing w:after="0" w:line="240" w:lineRule="auto"/>
        <w:jc w:val="left"/>
        <w:rPr>
          <w:sz w:val="24"/>
          <w:szCs w:val="24"/>
        </w:rPr>
      </w:pPr>
      <w:r w:rsidRPr="00281BCB">
        <w:rPr>
          <w:b/>
          <w:bCs/>
          <w:sz w:val="24"/>
          <w:szCs w:val="24"/>
        </w:rPr>
        <w:t>Original Appeal</w:t>
      </w:r>
      <w:r w:rsidRPr="00281BCB">
        <w:rPr>
          <w:sz w:val="24"/>
          <w:szCs w:val="24"/>
        </w:rPr>
        <w:t xml:space="preserve"> </w:t>
      </w:r>
    </w:p>
    <w:p w:rsidR="00281BCB" w:rsidRPr="00281BCB" w:rsidP="00281BCB" w14:paraId="28B00FE3" w14:textId="77777777">
      <w:pPr>
        <w:spacing w:after="0" w:line="240" w:lineRule="auto"/>
        <w:jc w:val="left"/>
        <w:rPr>
          <w:b/>
          <w:bCs/>
          <w:sz w:val="24"/>
          <w:szCs w:val="24"/>
        </w:rPr>
      </w:pPr>
      <w:r w:rsidRPr="00281BCB">
        <w:rPr>
          <w:b/>
          <w:bCs/>
          <w:sz w:val="24"/>
          <w:szCs w:val="24"/>
        </w:rPr>
        <w:t>Original Proceeding</w:t>
      </w:r>
    </w:p>
    <w:p w:rsidR="00281BCB" w:rsidRPr="00281BCB" w:rsidP="00281BCB" w14:paraId="055E33B6" w14:textId="77777777">
      <w:pPr>
        <w:spacing w:after="0" w:line="240" w:lineRule="auto"/>
        <w:jc w:val="left"/>
        <w:rPr>
          <w:sz w:val="24"/>
          <w:szCs w:val="24"/>
        </w:rPr>
      </w:pPr>
      <w:r w:rsidRPr="00281BCB">
        <w:rPr>
          <w:b/>
          <w:bCs/>
          <w:sz w:val="24"/>
          <w:szCs w:val="24"/>
        </w:rPr>
        <w:t>Review Granted</w:t>
      </w:r>
      <w:r w:rsidRPr="00281BCB">
        <w:rPr>
          <w:sz w:val="24"/>
          <w:szCs w:val="24"/>
        </w:rPr>
        <w:t xml:space="preserve"> </w:t>
      </w:r>
      <w:r w:rsidRPr="00281BCB">
        <w:rPr>
          <w:b/>
          <w:bCs/>
          <w:sz w:val="24"/>
          <w:szCs w:val="24"/>
        </w:rPr>
        <w:t xml:space="preserve">(published) </w:t>
      </w:r>
      <w:r w:rsidRPr="00281BCB">
        <w:rPr>
          <w:sz w:val="24"/>
          <w:szCs w:val="24"/>
        </w:rPr>
        <w:t>XX 86 Cal.App.5th 386</w:t>
      </w:r>
    </w:p>
    <w:p w:rsidR="00281BCB" w:rsidRPr="00281BCB" w:rsidP="00281BCB" w14:paraId="09F28218" w14:textId="77777777">
      <w:pPr>
        <w:spacing w:after="0" w:line="240" w:lineRule="auto"/>
        <w:jc w:val="left"/>
        <w:rPr>
          <w:sz w:val="24"/>
          <w:szCs w:val="24"/>
        </w:rPr>
      </w:pPr>
      <w:r w:rsidRPr="00281BCB">
        <w:rPr>
          <w:b/>
          <w:bCs/>
          <w:sz w:val="24"/>
          <w:szCs w:val="24"/>
        </w:rPr>
        <w:t xml:space="preserve">Review Granted (unpublished) </w:t>
      </w:r>
    </w:p>
    <w:p w:rsidR="00281BCB" w:rsidRPr="00281BCB" w:rsidP="00281BCB" w14:paraId="3775964E" w14:textId="77777777">
      <w:pPr>
        <w:spacing w:after="0" w:line="240" w:lineRule="auto"/>
        <w:jc w:val="left"/>
        <w:rPr>
          <w:b/>
          <w:bCs/>
          <w:sz w:val="24"/>
          <w:szCs w:val="24"/>
        </w:rPr>
      </w:pPr>
      <w:r w:rsidRPr="00281BCB">
        <w:rPr>
          <w:b/>
          <w:bCs/>
          <w:sz w:val="24"/>
          <w:szCs w:val="24"/>
        </w:rPr>
        <w:t>Rehearing Granted</w:t>
      </w:r>
    </w:p>
    <w:p w:rsidR="00281BCB" w:rsidRPr="00281BCB" w:rsidP="00281BCB" w14:paraId="35140208" w14:textId="77777777">
      <w:pPr>
        <w:spacing w:after="0" w:line="240" w:lineRule="auto"/>
        <w:jc w:val="left"/>
        <w:rPr>
          <w:b/>
          <w:sz w:val="24"/>
          <w:szCs w:val="24"/>
        </w:rPr>
      </w:pPr>
      <w:r w:rsidRPr="00281BCB">
        <w:rPr>
          <w:b/>
          <w:sz w:val="24"/>
          <w:szCs w:val="24"/>
        </w:rPr>
        <w:t xml:space="preserve">__________________________________________________________ </w:t>
      </w:r>
    </w:p>
    <w:p w:rsidR="00281BCB" w:rsidRPr="00281BCB" w:rsidP="00281BCB" w14:paraId="5B9EC29F" w14:textId="77777777">
      <w:pPr>
        <w:spacing w:after="0" w:line="240" w:lineRule="auto"/>
        <w:jc w:val="left"/>
        <w:rPr>
          <w:b/>
          <w:sz w:val="24"/>
          <w:szCs w:val="24"/>
        </w:rPr>
      </w:pPr>
    </w:p>
    <w:p w:rsidR="00281BCB" w:rsidRPr="00281BCB" w:rsidP="00281BCB" w14:paraId="749D462B" w14:textId="77777777">
      <w:pPr>
        <w:spacing w:after="0" w:line="240" w:lineRule="auto"/>
        <w:jc w:val="left"/>
        <w:rPr>
          <w:bCs/>
          <w:sz w:val="24"/>
          <w:szCs w:val="24"/>
        </w:rPr>
      </w:pPr>
      <w:r w:rsidRPr="00281BCB">
        <w:rPr>
          <w:b/>
          <w:sz w:val="24"/>
          <w:szCs w:val="24"/>
        </w:rPr>
        <w:t>Opinion No.</w:t>
      </w:r>
      <w:r w:rsidRPr="00281BCB">
        <w:rPr>
          <w:sz w:val="24"/>
          <w:szCs w:val="24"/>
        </w:rPr>
        <w:t xml:space="preserve"> S278309</w:t>
      </w:r>
    </w:p>
    <w:p w:rsidR="00281BCB" w:rsidRPr="00281BCB" w:rsidP="00281BCB" w14:paraId="5099DBDA" w14:textId="77777777">
      <w:pPr>
        <w:spacing w:after="0" w:line="240" w:lineRule="auto"/>
        <w:jc w:val="left"/>
        <w:rPr>
          <w:bCs/>
          <w:sz w:val="24"/>
          <w:szCs w:val="24"/>
        </w:rPr>
      </w:pPr>
      <w:r w:rsidRPr="00281BCB">
        <w:rPr>
          <w:b/>
          <w:sz w:val="24"/>
          <w:szCs w:val="24"/>
        </w:rPr>
        <w:t>Date Filed:</w:t>
      </w:r>
      <w:r w:rsidRPr="00281BCB">
        <w:rPr>
          <w:sz w:val="24"/>
          <w:szCs w:val="24"/>
        </w:rPr>
        <w:t xml:space="preserve">  August 15, 2024</w:t>
      </w:r>
    </w:p>
    <w:p w:rsidR="00281BCB" w:rsidRPr="00281BCB" w:rsidP="00281BCB" w14:paraId="39941A54" w14:textId="77777777">
      <w:pPr>
        <w:spacing w:after="0" w:line="240" w:lineRule="auto"/>
        <w:jc w:val="left"/>
        <w:rPr>
          <w:b/>
          <w:sz w:val="24"/>
          <w:szCs w:val="24"/>
        </w:rPr>
      </w:pPr>
      <w:r w:rsidRPr="00281BCB">
        <w:rPr>
          <w:b/>
          <w:sz w:val="24"/>
          <w:szCs w:val="24"/>
        </w:rPr>
        <w:t xml:space="preserve">__________________________________________________________ </w:t>
      </w:r>
    </w:p>
    <w:p w:rsidR="00281BCB" w:rsidRPr="00281BCB" w:rsidP="00281BCB" w14:paraId="01C2E415" w14:textId="77777777">
      <w:pPr>
        <w:spacing w:after="0" w:line="240" w:lineRule="auto"/>
        <w:jc w:val="left"/>
        <w:rPr>
          <w:b/>
          <w:sz w:val="24"/>
          <w:szCs w:val="24"/>
        </w:rPr>
      </w:pPr>
    </w:p>
    <w:p w:rsidR="00281BCB" w:rsidRPr="00281BCB" w:rsidP="00281BCB" w14:paraId="2CB4ABC2" w14:textId="77777777">
      <w:pPr>
        <w:spacing w:after="0" w:line="240" w:lineRule="auto"/>
        <w:jc w:val="left"/>
        <w:rPr>
          <w:bCs/>
          <w:sz w:val="24"/>
          <w:szCs w:val="24"/>
        </w:rPr>
      </w:pPr>
      <w:r w:rsidRPr="00281BCB">
        <w:rPr>
          <w:b/>
          <w:sz w:val="24"/>
          <w:szCs w:val="24"/>
        </w:rPr>
        <w:t xml:space="preserve">Court:  </w:t>
      </w:r>
      <w:r w:rsidRPr="00281BCB">
        <w:rPr>
          <w:bCs/>
          <w:sz w:val="24"/>
          <w:szCs w:val="24"/>
        </w:rPr>
        <w:t>Superior</w:t>
      </w:r>
      <w:r w:rsidRPr="00281BCB">
        <w:rPr>
          <w:b/>
          <w:sz w:val="24"/>
          <w:szCs w:val="24"/>
        </w:rPr>
        <w:t xml:space="preserve"> </w:t>
      </w:r>
    </w:p>
    <w:p w:rsidR="00281BCB" w:rsidRPr="00281BCB" w:rsidP="00281BCB" w14:paraId="2A2DF8D0" w14:textId="77777777">
      <w:pPr>
        <w:spacing w:after="0" w:line="240" w:lineRule="auto"/>
        <w:jc w:val="left"/>
        <w:rPr>
          <w:bCs/>
          <w:sz w:val="24"/>
          <w:szCs w:val="24"/>
        </w:rPr>
      </w:pPr>
      <w:r w:rsidRPr="00281BCB">
        <w:rPr>
          <w:b/>
          <w:sz w:val="24"/>
          <w:szCs w:val="24"/>
        </w:rPr>
        <w:t xml:space="preserve">County:  </w:t>
      </w:r>
      <w:r w:rsidRPr="00281BCB">
        <w:rPr>
          <w:bCs/>
          <w:sz w:val="24"/>
          <w:szCs w:val="24"/>
        </w:rPr>
        <w:t>Los Angeles</w:t>
      </w:r>
    </w:p>
    <w:p w:rsidR="00281BCB" w:rsidRPr="00281BCB" w:rsidP="00281BCB" w14:paraId="40AF0B0B" w14:textId="77777777">
      <w:pPr>
        <w:spacing w:after="0" w:line="240" w:lineRule="auto"/>
        <w:ind w:left="720" w:hanging="720"/>
        <w:jc w:val="left"/>
        <w:rPr>
          <w:bCs/>
          <w:sz w:val="24"/>
          <w:szCs w:val="24"/>
        </w:rPr>
      </w:pPr>
      <w:r w:rsidRPr="00281BCB">
        <w:rPr>
          <w:b/>
          <w:sz w:val="24"/>
          <w:szCs w:val="24"/>
        </w:rPr>
        <w:t xml:space="preserve">Judge: </w:t>
      </w:r>
      <w:r w:rsidRPr="00281BCB">
        <w:rPr>
          <w:bCs/>
          <w:sz w:val="24"/>
          <w:szCs w:val="24"/>
        </w:rPr>
        <w:t xml:space="preserve"> David R. Fields</w:t>
      </w:r>
    </w:p>
    <w:p w:rsidR="00281BCB" w:rsidRPr="00281BCB" w:rsidP="00281BCB" w14:paraId="164789C7" w14:textId="77777777">
      <w:pPr>
        <w:spacing w:after="0" w:line="240" w:lineRule="auto"/>
        <w:jc w:val="left"/>
        <w:rPr>
          <w:b/>
          <w:sz w:val="24"/>
          <w:szCs w:val="24"/>
        </w:rPr>
      </w:pPr>
      <w:r w:rsidRPr="00281BCB">
        <w:rPr>
          <w:b/>
          <w:sz w:val="24"/>
          <w:szCs w:val="24"/>
        </w:rPr>
        <w:t xml:space="preserve">__________________________________________________________  </w:t>
      </w:r>
    </w:p>
    <w:p w:rsidR="00281BCB" w:rsidRPr="00281BCB" w:rsidP="00281BCB" w14:paraId="517D5688" w14:textId="77777777">
      <w:pPr>
        <w:spacing w:after="0" w:line="240" w:lineRule="auto"/>
        <w:jc w:val="left"/>
        <w:rPr>
          <w:b/>
          <w:sz w:val="24"/>
          <w:szCs w:val="24"/>
        </w:rPr>
      </w:pPr>
    </w:p>
    <w:p w:rsidR="00281BCB" w:rsidRPr="00281BCB" w:rsidP="00281BCB" w14:paraId="506D84EF" w14:textId="77777777">
      <w:pPr>
        <w:spacing w:after="0" w:line="240" w:lineRule="auto"/>
        <w:jc w:val="left"/>
        <w:rPr>
          <w:b/>
          <w:sz w:val="24"/>
          <w:szCs w:val="24"/>
        </w:rPr>
      </w:pPr>
      <w:r w:rsidRPr="00281BCB">
        <w:rPr>
          <w:b/>
          <w:sz w:val="24"/>
          <w:szCs w:val="24"/>
        </w:rPr>
        <w:t>Counsel:</w:t>
      </w:r>
    </w:p>
    <w:p w:rsidR="00281BCB" w:rsidRPr="00281BCB" w:rsidP="00281BCB" w14:paraId="1491A363" w14:textId="77777777">
      <w:pPr>
        <w:spacing w:after="0" w:line="240" w:lineRule="auto"/>
        <w:jc w:val="left"/>
        <w:rPr>
          <w:b/>
          <w:sz w:val="24"/>
          <w:szCs w:val="24"/>
        </w:rPr>
      </w:pPr>
    </w:p>
    <w:p w:rsidR="00281BCB" w:rsidRPr="00281BCB" w:rsidP="00281BCB" w14:paraId="3235C949" w14:textId="77777777">
      <w:pPr>
        <w:spacing w:after="0" w:line="240" w:lineRule="auto"/>
        <w:jc w:val="left"/>
        <w:rPr>
          <w:bCs/>
          <w:sz w:val="24"/>
          <w:szCs w:val="24"/>
        </w:rPr>
      </w:pPr>
      <w:r w:rsidRPr="00281BCB">
        <w:rPr>
          <w:bCs/>
          <w:sz w:val="24"/>
          <w:szCs w:val="24"/>
        </w:rPr>
        <w:t>Jason Szydlik, under appointment by the Supreme Court, for Defendant and Appellant.</w:t>
      </w:r>
    </w:p>
    <w:p w:rsidR="00281BCB" w:rsidRPr="00281BCB" w:rsidP="00281BCB" w14:paraId="5477B176" w14:textId="77777777">
      <w:pPr>
        <w:spacing w:after="0" w:line="240" w:lineRule="auto"/>
        <w:jc w:val="left"/>
        <w:rPr>
          <w:bCs/>
          <w:sz w:val="24"/>
          <w:szCs w:val="24"/>
        </w:rPr>
      </w:pPr>
    </w:p>
    <w:p w:rsidR="00281BCB" w:rsidRPr="00281BCB" w:rsidP="00281BCB" w14:paraId="0EDFE1B3" w14:textId="77777777">
      <w:pPr>
        <w:spacing w:after="0" w:line="240" w:lineRule="auto"/>
        <w:jc w:val="left"/>
        <w:rPr>
          <w:bCs/>
          <w:sz w:val="24"/>
          <w:szCs w:val="24"/>
        </w:rPr>
      </w:pPr>
      <w:r w:rsidRPr="00281BCB">
        <w:rPr>
          <w:bCs/>
          <w:sz w:val="24"/>
          <w:szCs w:val="24"/>
        </w:rPr>
        <w:t>Rob Bonta, Attorney General, Lance E. Winters, Chief Assistant Attorney General, Susan Sullivan Pithey, Assistant Attorney General, Noah P. Hill, Eric J. Kohm, Chung L. Mar and Christopher G. Sanchez, Deputy Attorneys General, for Plaintiff and Respondent.</w:t>
      </w:r>
    </w:p>
    <w:p w:rsidR="00281BCB" w:rsidRPr="00281BCB" w:rsidP="00281BCB" w14:paraId="3DE23DBC" w14:textId="77777777">
      <w:pPr>
        <w:spacing w:after="0" w:line="240" w:lineRule="auto"/>
        <w:jc w:val="left"/>
        <w:rPr>
          <w:bCs/>
          <w:sz w:val="24"/>
          <w:szCs w:val="24"/>
        </w:rPr>
      </w:pPr>
    </w:p>
    <w:p w:rsidR="00281BCB" w:rsidRPr="00281BCB" w:rsidP="00281BCB" w14:paraId="2B67277F" w14:textId="77777777">
      <w:pPr>
        <w:spacing w:after="0" w:line="240" w:lineRule="auto"/>
        <w:jc w:val="left"/>
        <w:rPr>
          <w:bCs/>
          <w:sz w:val="24"/>
          <w:szCs w:val="24"/>
        </w:rPr>
      </w:pPr>
      <w:r w:rsidRPr="00281BCB">
        <w:rPr>
          <w:bCs/>
          <w:sz w:val="24"/>
          <w:szCs w:val="24"/>
        </w:rPr>
        <w:t>Jonathan Soglin, William M. Robinson; and Stephen K. Dunkle for First District Appellate Project and California Attorneys for Criminal Justice as Amici Curiae.</w:t>
      </w:r>
      <w:r w:rsidRPr="00281BCB">
        <w:rPr>
          <w:color w:val="212121"/>
          <w:sz w:val="24"/>
          <w:szCs w:val="24"/>
          <w:shd w:val="clear" w:color="auto" w:fill="FFFFFF"/>
        </w:rPr>
        <w:br w:type="page"/>
      </w:r>
      <w:r w:rsidRPr="00281BCB">
        <w:rPr>
          <w:b/>
          <w:sz w:val="24"/>
          <w:szCs w:val="24"/>
        </w:rPr>
        <w:t xml:space="preserve">Counsel who argued in Supreme Court (not intended for publication with opinion): </w:t>
      </w:r>
    </w:p>
    <w:p w:rsidR="00281BCB" w:rsidRPr="00281BCB" w:rsidP="00281BCB" w14:paraId="2F62F094" w14:textId="77777777">
      <w:pPr>
        <w:spacing w:after="0" w:line="240" w:lineRule="auto"/>
        <w:jc w:val="left"/>
        <w:rPr>
          <w:color w:val="212121"/>
          <w:sz w:val="24"/>
          <w:szCs w:val="24"/>
          <w:shd w:val="clear" w:color="auto" w:fill="FFFFFF"/>
        </w:rPr>
      </w:pPr>
    </w:p>
    <w:p w:rsidR="00281BCB" w:rsidRPr="00281BCB" w:rsidP="00281BCB" w14:paraId="01B43583" w14:textId="77777777">
      <w:pPr>
        <w:spacing w:after="0" w:line="240" w:lineRule="auto"/>
        <w:jc w:val="left"/>
        <w:rPr>
          <w:sz w:val="24"/>
          <w:szCs w:val="24"/>
        </w:rPr>
      </w:pPr>
      <w:r w:rsidRPr="00281BCB">
        <w:rPr>
          <w:sz w:val="24"/>
          <w:szCs w:val="24"/>
        </w:rPr>
        <w:t>Jason Szydlik</w:t>
      </w:r>
    </w:p>
    <w:p w:rsidR="00281BCB" w:rsidRPr="00281BCB" w:rsidP="00281BCB" w14:paraId="79758A99" w14:textId="77777777">
      <w:pPr>
        <w:spacing w:after="0" w:line="240" w:lineRule="auto"/>
        <w:jc w:val="left"/>
        <w:rPr>
          <w:bCs/>
          <w:sz w:val="24"/>
          <w:szCs w:val="24"/>
        </w:rPr>
      </w:pPr>
      <w:r w:rsidRPr="00281BCB">
        <w:rPr>
          <w:sz w:val="24"/>
          <w:szCs w:val="24"/>
        </w:rPr>
        <w:t xml:space="preserve">Law Offices of </w:t>
      </w:r>
      <w:r w:rsidRPr="00281BCB">
        <w:rPr>
          <w:bCs/>
          <w:sz w:val="24"/>
          <w:szCs w:val="24"/>
        </w:rPr>
        <w:t>Jason Szydlik</w:t>
      </w:r>
    </w:p>
    <w:p w:rsidR="00281BCB" w:rsidRPr="00281BCB" w:rsidP="00281BCB" w14:paraId="2D530FA3" w14:textId="77777777">
      <w:pPr>
        <w:spacing w:after="0" w:line="240" w:lineRule="auto"/>
        <w:jc w:val="left"/>
        <w:rPr>
          <w:sz w:val="24"/>
          <w:szCs w:val="24"/>
        </w:rPr>
      </w:pPr>
      <w:r w:rsidRPr="00281BCB">
        <w:rPr>
          <w:sz w:val="24"/>
          <w:szCs w:val="24"/>
        </w:rPr>
        <w:t>5758 Geary Boulevard, #246</w:t>
      </w:r>
    </w:p>
    <w:p w:rsidR="00281BCB" w:rsidRPr="00281BCB" w:rsidP="00281BCB" w14:paraId="668BBAF3" w14:textId="77777777">
      <w:pPr>
        <w:spacing w:after="0" w:line="240" w:lineRule="auto"/>
        <w:jc w:val="left"/>
        <w:rPr>
          <w:sz w:val="24"/>
          <w:szCs w:val="24"/>
        </w:rPr>
      </w:pPr>
      <w:r w:rsidRPr="00281BCB">
        <w:rPr>
          <w:sz w:val="24"/>
          <w:szCs w:val="24"/>
        </w:rPr>
        <w:t>San Francisco, CA 94121</w:t>
      </w:r>
    </w:p>
    <w:p w:rsidR="00281BCB" w:rsidRPr="00281BCB" w:rsidP="00281BCB" w14:paraId="198FFB35" w14:textId="77777777">
      <w:pPr>
        <w:spacing w:after="0" w:line="240" w:lineRule="auto"/>
        <w:jc w:val="left"/>
        <w:rPr>
          <w:sz w:val="24"/>
          <w:szCs w:val="24"/>
        </w:rPr>
      </w:pPr>
      <w:r w:rsidRPr="00281BCB">
        <w:rPr>
          <w:sz w:val="24"/>
          <w:szCs w:val="24"/>
        </w:rPr>
        <w:t>(415) 750-9900</w:t>
      </w:r>
    </w:p>
    <w:p w:rsidR="00281BCB" w:rsidRPr="00281BCB" w:rsidP="00281BCB" w14:paraId="43A4EE8E" w14:textId="77777777">
      <w:pPr>
        <w:spacing w:after="0" w:line="240" w:lineRule="auto"/>
        <w:jc w:val="left"/>
        <w:rPr>
          <w:sz w:val="24"/>
          <w:szCs w:val="24"/>
        </w:rPr>
      </w:pPr>
    </w:p>
    <w:p w:rsidR="00281BCB" w:rsidRPr="00281BCB" w:rsidP="00281BCB" w14:paraId="2960904F" w14:textId="77777777">
      <w:pPr>
        <w:spacing w:after="0" w:line="240" w:lineRule="auto"/>
        <w:jc w:val="left"/>
        <w:rPr>
          <w:sz w:val="24"/>
          <w:szCs w:val="24"/>
        </w:rPr>
      </w:pPr>
      <w:r w:rsidRPr="00281BCB">
        <w:rPr>
          <w:sz w:val="24"/>
          <w:szCs w:val="24"/>
        </w:rPr>
        <w:t>Christopher G. Sanchez</w:t>
      </w:r>
    </w:p>
    <w:p w:rsidR="00281BCB" w:rsidRPr="00281BCB" w:rsidP="00281BCB" w14:paraId="788CEE8D" w14:textId="77777777">
      <w:pPr>
        <w:spacing w:after="0" w:line="240" w:lineRule="auto"/>
        <w:jc w:val="left"/>
        <w:rPr>
          <w:sz w:val="24"/>
          <w:szCs w:val="24"/>
        </w:rPr>
      </w:pPr>
      <w:r w:rsidRPr="00281BCB">
        <w:rPr>
          <w:sz w:val="24"/>
          <w:szCs w:val="24"/>
        </w:rPr>
        <w:t>Deputy Attorney General</w:t>
      </w:r>
    </w:p>
    <w:p w:rsidR="00281BCB" w:rsidRPr="00281BCB" w:rsidP="00281BCB" w14:paraId="51A89ED8" w14:textId="77777777">
      <w:pPr>
        <w:spacing w:after="0" w:line="240" w:lineRule="auto"/>
        <w:jc w:val="left"/>
        <w:rPr>
          <w:sz w:val="24"/>
          <w:szCs w:val="24"/>
        </w:rPr>
      </w:pPr>
      <w:r w:rsidRPr="00281BCB">
        <w:rPr>
          <w:sz w:val="24"/>
          <w:szCs w:val="24"/>
        </w:rPr>
        <w:t>300 South Spring Street, Suite 1702</w:t>
      </w:r>
    </w:p>
    <w:p w:rsidR="00281BCB" w:rsidRPr="00281BCB" w:rsidP="00281BCB" w14:paraId="4CE2959E" w14:textId="77777777">
      <w:pPr>
        <w:spacing w:after="0" w:line="240" w:lineRule="auto"/>
        <w:jc w:val="left"/>
        <w:rPr>
          <w:sz w:val="24"/>
          <w:szCs w:val="24"/>
        </w:rPr>
      </w:pPr>
      <w:r w:rsidRPr="00281BCB">
        <w:rPr>
          <w:sz w:val="24"/>
          <w:szCs w:val="24"/>
        </w:rPr>
        <w:t>Los Angeles, CA 90013</w:t>
      </w:r>
    </w:p>
    <w:p w:rsidR="00281BCB" w:rsidRPr="00281BCB" w:rsidP="00281BCB" w14:paraId="2B929D60" w14:textId="77777777">
      <w:pPr>
        <w:spacing w:after="0" w:line="240" w:lineRule="auto"/>
        <w:jc w:val="left"/>
        <w:rPr>
          <w:sz w:val="24"/>
          <w:szCs w:val="24"/>
        </w:rPr>
      </w:pPr>
      <w:r w:rsidRPr="00281BCB">
        <w:rPr>
          <w:sz w:val="24"/>
          <w:szCs w:val="24"/>
        </w:rPr>
        <w:t>(213) 269-6626</w:t>
      </w:r>
    </w:p>
    <w:p w:rsidR="00916187" w:rsidRPr="00A9236E" w:rsidP="00BB0673" w14:paraId="121E8CA8" w14:textId="23A76124">
      <w:pPr>
        <w:rPr>
          <w:b/>
          <w:bCs/>
          <w:szCs w:val="26"/>
        </w:rPr>
      </w:pPr>
    </w:p>
    <w:sectPr w:rsidSect="00281BCB">
      <w:headerReference w:type="default" r:id="rId14"/>
      <w:footerReference w:type="default" r:id="rId15"/>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021DE0" w14:paraId="64CDE242" w14:textId="77777777">
      <w:r>
        <w:separator/>
      </w:r>
    </w:p>
  </w:endnote>
  <w:endnote w:type="continuationSeparator" w:id="1">
    <w:p w:rsidR="00021DE0" w14:paraId="1978568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Schoolbook">
    <w:altName w:val="Cambria"/>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00DD7" w14:paraId="58DAD423" w14:textId="77777777">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330" w14:paraId="7009C906" w14:textId="77777777">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339F" w14:paraId="155E964C" w14:textId="77777777">
    <w:pPr>
      <w:pStyle w:val="Footer"/>
    </w:pPr>
    <w:r>
      <w:fldChar w:fldCharType="begin"/>
    </w:r>
    <w:r>
      <w:instrText>PAGE</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89111437"/>
      <w:docPartObj>
        <w:docPartGallery w:val="Page Numbers (Bottom of Page)"/>
        <w:docPartUnique/>
      </w:docPartObj>
    </w:sdtPr>
    <w:sdtEndPr>
      <w:rPr>
        <w:noProof/>
      </w:rPr>
    </w:sdtEndPr>
    <w:sdtContent>
      <w:p w:rsidR="00CE339F" w14:paraId="0E6425D6" w14:textId="7777777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BCB" w:rsidRPr="00281BCB" w:rsidP="00281BCB" w14:paraId="34FCA87E" w14:textId="5BD8B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021DE0" w14:paraId="474EE0C7" w14:textId="77777777">
      <w:r>
        <w:separator/>
      </w:r>
    </w:p>
  </w:footnote>
  <w:footnote w:type="continuationSeparator" w:id="1">
    <w:p w:rsidR="00021DE0" w14:paraId="291D325E" w14:textId="77777777">
      <w:pPr>
        <w:rPr>
          <w:i/>
          <w:iCs/>
          <w:sz w:val="20"/>
        </w:rPr>
      </w:pPr>
      <w:r>
        <w:continuationSeparator/>
      </w:r>
    </w:p>
  </w:footnote>
  <w:footnote w:type="continuationNotice" w:id="2">
    <w:p w:rsidR="00021DE0" w14:paraId="1557A716" w14:textId="77777777">
      <w:pPr>
        <w:jc w:val="right"/>
        <w:rPr>
          <w:i/>
          <w:iCs/>
          <w:sz w:val="20"/>
        </w:rPr>
      </w:pPr>
    </w:p>
  </w:footnote>
  <w:footnote w:id="3">
    <w:p w:rsidR="00BD2181" w:rsidRPr="00982B41" w:rsidP="00AD6330" w14:paraId="585C74C6" w14:textId="57191928">
      <w:pPr>
        <w:pStyle w:val="FootnoteText"/>
      </w:pPr>
      <w:r w:rsidRPr="00982B41">
        <w:rPr>
          <w:rStyle w:val="FootnoteReference"/>
        </w:rPr>
        <w:footnoteRef/>
      </w:r>
      <w:r w:rsidRPr="00982B41">
        <w:t xml:space="preserve"> </w:t>
      </w:r>
      <w:r w:rsidRPr="00982B41">
        <w:tab/>
        <w:t>A</w:t>
      </w:r>
      <w:r w:rsidRPr="00982B41">
        <w:rPr>
          <w:szCs w:val="26"/>
        </w:rPr>
        <w:t>ll further undesignated statutory references are to the Penal Code.</w:t>
      </w:r>
    </w:p>
  </w:footnote>
  <w:footnote w:id="4">
    <w:p w:rsidR="00FA3589" w:rsidRPr="002D2C9A" w:rsidP="00A9236E" w14:paraId="00A5AD35" w14:textId="3C1D945B">
      <w:pPr>
        <w:spacing w:line="300" w:lineRule="exact"/>
        <w:textAlignment w:val="baseline"/>
        <w:rPr>
          <w:szCs w:val="26"/>
          <w:bdr w:val="none" w:sz="0" w:space="0" w:color="auto" w:frame="1"/>
        </w:rPr>
      </w:pPr>
      <w:r w:rsidRPr="00982B41">
        <w:rPr>
          <w:rStyle w:val="FootnoteReference"/>
        </w:rPr>
        <w:footnoteRef/>
      </w:r>
      <w:r w:rsidRPr="00982B41">
        <w:t xml:space="preserve"> </w:t>
      </w:r>
      <w:r w:rsidRPr="00982B41">
        <w:tab/>
      </w:r>
      <w:r w:rsidRPr="00982B41">
        <w:rPr>
          <w:szCs w:val="26"/>
        </w:rPr>
        <w:t xml:space="preserve">The Court of Appeal in </w:t>
      </w:r>
      <w:r w:rsidRPr="00982B41">
        <w:rPr>
          <w:i/>
          <w:iCs/>
          <w:szCs w:val="26"/>
        </w:rPr>
        <w:t xml:space="preserve">Ortiz </w:t>
      </w:r>
      <w:r w:rsidRPr="00982B41">
        <w:rPr>
          <w:szCs w:val="26"/>
        </w:rPr>
        <w:t>assumed</w:t>
      </w:r>
      <w:r>
        <w:rPr>
          <w:szCs w:val="26"/>
        </w:rPr>
        <w:t xml:space="preserve"> without deciding</w:t>
      </w:r>
      <w:r w:rsidRPr="00982B41">
        <w:rPr>
          <w:szCs w:val="26"/>
        </w:rPr>
        <w:t xml:space="preserve"> that section 1385, subdivision (c)</w:t>
      </w:r>
      <w:r w:rsidR="00D439A6">
        <w:rPr>
          <w:szCs w:val="26"/>
        </w:rPr>
        <w:t>’s mitigating factors and “</w:t>
      </w:r>
      <w:r w:rsidR="00F445EF">
        <w:rPr>
          <w:szCs w:val="26"/>
        </w:rPr>
        <w:t> ‘</w:t>
      </w:r>
      <w:r w:rsidR="00D439A6">
        <w:rPr>
          <w:szCs w:val="26"/>
        </w:rPr>
        <w:t>great weight</w:t>
      </w:r>
      <w:r w:rsidR="00F445EF">
        <w:rPr>
          <w:szCs w:val="26"/>
        </w:rPr>
        <w:t>’ </w:t>
      </w:r>
      <w:r w:rsidR="00D439A6">
        <w:rPr>
          <w:szCs w:val="26"/>
        </w:rPr>
        <w:t xml:space="preserve">” language </w:t>
      </w:r>
      <w:r w:rsidRPr="00982B41">
        <w:rPr>
          <w:szCs w:val="26"/>
        </w:rPr>
        <w:t xml:space="preserve">applied to the trial court’s decision whether to </w:t>
      </w:r>
      <w:r w:rsidR="003421D3">
        <w:rPr>
          <w:szCs w:val="26"/>
        </w:rPr>
        <w:t>dismiss a prior strike conviction</w:t>
      </w:r>
      <w:r>
        <w:rPr>
          <w:szCs w:val="26"/>
        </w:rPr>
        <w:t>.</w:t>
      </w:r>
      <w:r w:rsidRPr="00CD5830">
        <w:rPr>
          <w:szCs w:val="26"/>
        </w:rPr>
        <w:t xml:space="preserve">  (</w:t>
      </w:r>
      <w:r w:rsidRPr="00CD5830">
        <w:rPr>
          <w:i/>
          <w:iCs/>
          <w:szCs w:val="26"/>
        </w:rPr>
        <w:t>Ortiz</w:t>
      </w:r>
      <w:r w:rsidRPr="00CD5830">
        <w:rPr>
          <w:szCs w:val="26"/>
        </w:rPr>
        <w:t xml:space="preserve">, </w:t>
      </w:r>
      <w:r w:rsidRPr="00CD5830">
        <w:rPr>
          <w:i/>
          <w:iCs/>
          <w:szCs w:val="26"/>
        </w:rPr>
        <w:t>supra</w:t>
      </w:r>
      <w:r w:rsidRPr="00CD5830">
        <w:rPr>
          <w:szCs w:val="26"/>
        </w:rPr>
        <w:t>, 87 Cal.App.5th at p. 1095</w:t>
      </w:r>
      <w:r w:rsidR="00525A49">
        <w:rPr>
          <w:szCs w:val="26"/>
        </w:rPr>
        <w:t xml:space="preserve">; see </w:t>
      </w:r>
      <w:r w:rsidR="00525A49">
        <w:rPr>
          <w:i/>
          <w:iCs/>
          <w:szCs w:val="26"/>
        </w:rPr>
        <w:t>id.</w:t>
      </w:r>
      <w:r w:rsidR="00525A49">
        <w:rPr>
          <w:szCs w:val="26"/>
        </w:rPr>
        <w:t xml:space="preserve"> at p.</w:t>
      </w:r>
      <w:r w:rsidR="005B2345">
        <w:rPr>
          <w:szCs w:val="26"/>
        </w:rPr>
        <w:t> </w:t>
      </w:r>
      <w:r w:rsidR="00525A49">
        <w:rPr>
          <w:szCs w:val="26"/>
        </w:rPr>
        <w:t>1095</w:t>
      </w:r>
      <w:r w:rsidRPr="00CD5830">
        <w:rPr>
          <w:szCs w:val="26"/>
        </w:rPr>
        <w:t>, fn. 3.)  This assumption has since been</w:t>
      </w:r>
      <w:r w:rsidRPr="00982B41">
        <w:rPr>
          <w:szCs w:val="26"/>
        </w:rPr>
        <w:t xml:space="preserve"> rejected by other Courts of Appeal</w:t>
      </w:r>
      <w:r w:rsidR="003421D3">
        <w:rPr>
          <w:szCs w:val="26"/>
        </w:rPr>
        <w:t>, which have concluded that section 1385, subdivision (c), by its terms, only applies to enhancements</w:t>
      </w:r>
      <w:r w:rsidR="00AD634D">
        <w:rPr>
          <w:szCs w:val="26"/>
        </w:rPr>
        <w:t xml:space="preserve"> and</w:t>
      </w:r>
      <w:r w:rsidR="00D439A6">
        <w:rPr>
          <w:szCs w:val="26"/>
        </w:rPr>
        <w:t xml:space="preserve"> not the Three Strikes law, which is an alternative sentencing scheme</w:t>
      </w:r>
      <w:r w:rsidRPr="00982B41">
        <w:rPr>
          <w:szCs w:val="26"/>
        </w:rPr>
        <w:t xml:space="preserve">.  (See </w:t>
      </w:r>
      <w:r w:rsidRPr="00982B41">
        <w:rPr>
          <w:i/>
          <w:iCs/>
          <w:szCs w:val="26"/>
        </w:rPr>
        <w:t xml:space="preserve">People v. Burke </w:t>
      </w:r>
      <w:r w:rsidRPr="00982B41">
        <w:rPr>
          <w:szCs w:val="26"/>
        </w:rPr>
        <w:t>(2023) 89</w:t>
      </w:r>
      <w:r>
        <w:rPr>
          <w:szCs w:val="26"/>
        </w:rPr>
        <w:t> </w:t>
      </w:r>
      <w:r w:rsidRPr="00982B41">
        <w:rPr>
          <w:szCs w:val="26"/>
        </w:rPr>
        <w:t>Cal.App.5th 237, 244 [“The plain language of subdivision (c) of section 1385 applies only to an ‘enhancement,’ and the Three Strikes law is not an enhancement”]; accord</w:t>
      </w:r>
      <w:r>
        <w:rPr>
          <w:szCs w:val="26"/>
        </w:rPr>
        <w:t>,</w:t>
      </w:r>
      <w:r w:rsidRPr="00982B41">
        <w:rPr>
          <w:szCs w:val="26"/>
        </w:rPr>
        <w:t xml:space="preserve"> </w:t>
      </w:r>
      <w:r>
        <w:rPr>
          <w:i/>
          <w:iCs/>
          <w:szCs w:val="26"/>
        </w:rPr>
        <w:t xml:space="preserve">People v. McDowell </w:t>
      </w:r>
      <w:r>
        <w:rPr>
          <w:szCs w:val="26"/>
        </w:rPr>
        <w:t>(2024) 99</w:t>
      </w:r>
      <w:r w:rsidR="00454162">
        <w:rPr>
          <w:szCs w:val="26"/>
        </w:rPr>
        <w:t> </w:t>
      </w:r>
      <w:r>
        <w:rPr>
          <w:szCs w:val="26"/>
        </w:rPr>
        <w:t xml:space="preserve">Cal.App.5th 1147, 1154; </w:t>
      </w:r>
      <w:r w:rsidRPr="00982B41">
        <w:rPr>
          <w:i/>
          <w:iCs/>
          <w:szCs w:val="26"/>
          <w:bdr w:val="none" w:sz="0" w:space="0" w:color="auto" w:frame="1"/>
          <w:shd w:val="clear" w:color="auto" w:fill="FFFFFF"/>
        </w:rPr>
        <w:t xml:space="preserve">People v. Dain </w:t>
      </w:r>
      <w:r w:rsidRPr="00982B41">
        <w:rPr>
          <w:szCs w:val="26"/>
          <w:bdr w:val="none" w:sz="0" w:space="0" w:color="auto" w:frame="1"/>
          <w:shd w:val="clear" w:color="auto" w:fill="FFFFFF"/>
        </w:rPr>
        <w:t xml:space="preserve">(2024) </w:t>
      </w:r>
      <w:r>
        <w:rPr>
          <w:szCs w:val="26"/>
          <w:bdr w:val="none" w:sz="0" w:space="0" w:color="auto" w:frame="1"/>
          <w:shd w:val="clear" w:color="auto" w:fill="FFFFFF"/>
        </w:rPr>
        <w:t>99 </w:t>
      </w:r>
      <w:r w:rsidRPr="00982B41">
        <w:rPr>
          <w:szCs w:val="26"/>
        </w:rPr>
        <w:t>Cal.App.</w:t>
      </w:r>
      <w:r>
        <w:rPr>
          <w:szCs w:val="26"/>
        </w:rPr>
        <w:t>5th 399, 404;</w:t>
      </w:r>
      <w:r w:rsidRPr="00982B41">
        <w:rPr>
          <w:szCs w:val="26"/>
        </w:rPr>
        <w:t xml:space="preserve"> </w:t>
      </w:r>
      <w:r w:rsidRPr="00982B41">
        <w:rPr>
          <w:rStyle w:val="ssit"/>
          <w:i/>
          <w:iCs/>
          <w:szCs w:val="26"/>
          <w:bdr w:val="none" w:sz="0" w:space="0" w:color="auto" w:frame="1"/>
          <w:shd w:val="clear" w:color="auto" w:fill="FFFFFF"/>
        </w:rPr>
        <w:t>People v. Olay</w:t>
      </w:r>
      <w:r w:rsidR="00454162">
        <w:rPr>
          <w:szCs w:val="26"/>
          <w:bdr w:val="none" w:sz="0" w:space="0" w:color="auto" w:frame="1"/>
          <w:shd w:val="clear" w:color="auto" w:fill="FFFFFF"/>
        </w:rPr>
        <w:t xml:space="preserve"> </w:t>
      </w:r>
      <w:r w:rsidRPr="00982B41">
        <w:rPr>
          <w:szCs w:val="26"/>
          <w:bdr w:val="none" w:sz="0" w:space="0" w:color="auto" w:frame="1"/>
          <w:shd w:val="clear" w:color="auto" w:fill="FFFFFF"/>
        </w:rPr>
        <w:t>(2023) 98</w:t>
      </w:r>
      <w:r>
        <w:rPr>
          <w:szCs w:val="26"/>
          <w:bdr w:val="none" w:sz="0" w:space="0" w:color="auto" w:frame="1"/>
          <w:shd w:val="clear" w:color="auto" w:fill="FFFFFF"/>
        </w:rPr>
        <w:t> </w:t>
      </w:r>
      <w:r w:rsidRPr="00982B41">
        <w:rPr>
          <w:szCs w:val="26"/>
          <w:bdr w:val="none" w:sz="0" w:space="0" w:color="auto" w:frame="1"/>
          <w:shd w:val="clear" w:color="auto" w:fill="FFFFFF"/>
        </w:rPr>
        <w:t>Cal.App.5th 60, 69</w:t>
      </w:r>
      <w:r>
        <w:rPr>
          <w:szCs w:val="26"/>
          <w:bdr w:val="none" w:sz="0" w:space="0" w:color="auto" w:frame="1"/>
          <w:shd w:val="clear" w:color="auto" w:fill="FFFFFF"/>
        </w:rPr>
        <w:t xml:space="preserve">.) </w:t>
      </w:r>
      <w:r w:rsidRPr="00982B41">
        <w:rPr>
          <w:szCs w:val="26"/>
          <w:bdr w:val="none" w:sz="0" w:space="0" w:color="auto" w:frame="1"/>
          <w:shd w:val="clear" w:color="auto" w:fill="FFFFFF"/>
        </w:rPr>
        <w:t xml:space="preserve"> </w:t>
      </w:r>
      <w:r w:rsidRPr="00982B41">
        <w:rPr>
          <w:szCs w:val="26"/>
          <w:bdr w:val="none" w:sz="0" w:space="0" w:color="auto" w:frame="1"/>
        </w:rPr>
        <w:t xml:space="preserve">We do not address this </w:t>
      </w:r>
      <w:r>
        <w:rPr>
          <w:szCs w:val="26"/>
          <w:bdr w:val="none" w:sz="0" w:space="0" w:color="auto" w:frame="1"/>
        </w:rPr>
        <w:t xml:space="preserve">distinct </w:t>
      </w:r>
      <w:r w:rsidRPr="00982B41">
        <w:rPr>
          <w:szCs w:val="26"/>
          <w:bdr w:val="none" w:sz="0" w:space="0" w:color="auto" w:frame="1"/>
        </w:rPr>
        <w:t xml:space="preserve">question of statutory interpretation, which is not before us.  </w:t>
      </w:r>
    </w:p>
  </w:footnote>
  <w:footnote w:id="5">
    <w:p w:rsidR="00240851" w:rsidRPr="00982B41" w:rsidP="0031671D" w14:paraId="28CFBD83" w14:textId="02683435">
      <w:pPr>
        <w:autoSpaceDE w:val="0"/>
        <w:autoSpaceDN w:val="0"/>
        <w:adjustRightInd w:val="0"/>
        <w:spacing w:line="300" w:lineRule="exact"/>
        <w:rPr>
          <w:szCs w:val="26"/>
        </w:rPr>
      </w:pPr>
      <w:r w:rsidRPr="00982B41">
        <w:rPr>
          <w:rStyle w:val="FootnoteReference"/>
        </w:rPr>
        <w:footnoteRef/>
      </w:r>
      <w:r w:rsidRPr="00982B41">
        <w:rPr>
          <w:szCs w:val="26"/>
        </w:rPr>
        <w:t xml:space="preserve"> </w:t>
      </w:r>
      <w:r w:rsidRPr="00982B41">
        <w:rPr>
          <w:szCs w:val="26"/>
        </w:rPr>
        <w:tab/>
      </w:r>
      <w:r w:rsidRPr="00892E50" w:rsidR="00C451B9">
        <w:rPr>
          <w:szCs w:val="26"/>
        </w:rPr>
        <w:t>The mitigating circumstances originally were listed under subdivision (c)(3) of section</w:t>
      </w:r>
      <w:r w:rsidR="000B78D3">
        <w:rPr>
          <w:szCs w:val="26"/>
        </w:rPr>
        <w:t xml:space="preserve"> </w:t>
      </w:r>
      <w:r w:rsidRPr="00892E50" w:rsidR="00C451B9">
        <w:rPr>
          <w:szCs w:val="26"/>
        </w:rPr>
        <w:t xml:space="preserve">1385. </w:t>
      </w:r>
      <w:r w:rsidR="00C451B9">
        <w:rPr>
          <w:szCs w:val="26"/>
        </w:rPr>
        <w:t xml:space="preserve"> </w:t>
      </w:r>
      <w:r w:rsidRPr="00892E50" w:rsidR="00C451B9">
        <w:rPr>
          <w:szCs w:val="26"/>
        </w:rPr>
        <w:t xml:space="preserve">(§ 1385, </w:t>
      </w:r>
      <w:r w:rsidR="005B14DF">
        <w:rPr>
          <w:szCs w:val="26"/>
        </w:rPr>
        <w:t xml:space="preserve">former </w:t>
      </w:r>
      <w:r w:rsidRPr="00892E50" w:rsidR="00C451B9">
        <w:rPr>
          <w:szCs w:val="26"/>
        </w:rPr>
        <w:t>subd. (c)(3)(A)–(I); Stats. 2021, ch. 721</w:t>
      </w:r>
      <w:r w:rsidR="0082521C">
        <w:rPr>
          <w:szCs w:val="26"/>
        </w:rPr>
        <w:t>, § 1</w:t>
      </w:r>
      <w:r w:rsidRPr="00892E50" w:rsidR="00C451B9">
        <w:rPr>
          <w:szCs w:val="26"/>
        </w:rPr>
        <w:t xml:space="preserve">.) </w:t>
      </w:r>
      <w:r w:rsidR="00C451B9">
        <w:rPr>
          <w:szCs w:val="26"/>
        </w:rPr>
        <w:t xml:space="preserve"> </w:t>
      </w:r>
      <w:r w:rsidRPr="00892E50" w:rsidR="00C451B9">
        <w:rPr>
          <w:szCs w:val="26"/>
        </w:rPr>
        <w:t>Effective June 30, 2022, Assembly Bill No. 200 (2021–2022 Reg. Sess.) amended the statute to list them under section</w:t>
      </w:r>
      <w:r w:rsidR="003B375F">
        <w:rPr>
          <w:szCs w:val="26"/>
        </w:rPr>
        <w:t xml:space="preserve"> </w:t>
      </w:r>
      <w:r w:rsidRPr="00892E50" w:rsidR="00C451B9">
        <w:rPr>
          <w:szCs w:val="26"/>
        </w:rPr>
        <w:t>1385</w:t>
      </w:r>
      <w:r w:rsidR="00C451B9">
        <w:rPr>
          <w:szCs w:val="26"/>
        </w:rPr>
        <w:t xml:space="preserve">, subdivision </w:t>
      </w:r>
      <w:r w:rsidRPr="00892E50" w:rsidR="00C451B9">
        <w:rPr>
          <w:szCs w:val="26"/>
        </w:rPr>
        <w:t>(c)(2)</w:t>
      </w:r>
      <w:r w:rsidR="003B375F">
        <w:rPr>
          <w:szCs w:val="26"/>
        </w:rPr>
        <w:t>, as cited herein</w:t>
      </w:r>
      <w:r w:rsidRPr="00892E50" w:rsidR="00C451B9">
        <w:rPr>
          <w:szCs w:val="26"/>
        </w:rPr>
        <w:t xml:space="preserve">. </w:t>
      </w:r>
      <w:r w:rsidR="00806D9C">
        <w:rPr>
          <w:szCs w:val="26"/>
        </w:rPr>
        <w:t xml:space="preserve"> </w:t>
      </w:r>
      <w:r w:rsidRPr="00892E50" w:rsidR="00C451B9">
        <w:rPr>
          <w:szCs w:val="26"/>
        </w:rPr>
        <w:t>(Stats.</w:t>
      </w:r>
      <w:r w:rsidR="000B78D3">
        <w:rPr>
          <w:szCs w:val="26"/>
        </w:rPr>
        <w:t xml:space="preserve"> </w:t>
      </w:r>
      <w:r w:rsidRPr="00892E50" w:rsidR="00C451B9">
        <w:rPr>
          <w:szCs w:val="26"/>
        </w:rPr>
        <w:t>2022, ch. 58, § 15.)</w:t>
      </w:r>
      <w:r w:rsidR="00C451B9">
        <w:rPr>
          <w:szCs w:val="26"/>
        </w:rPr>
        <w:t xml:space="preserve">  </w:t>
      </w:r>
      <w:r w:rsidRPr="00D602AD" w:rsidR="00D602AD">
        <w:rPr>
          <w:szCs w:val="26"/>
        </w:rPr>
        <w:t>The Legislature also recently made nonsubstantive changes to</w:t>
      </w:r>
      <w:r w:rsidR="00D602AD">
        <w:rPr>
          <w:szCs w:val="26"/>
        </w:rPr>
        <w:t xml:space="preserve"> section 1385</w:t>
      </w:r>
      <w:r w:rsidRPr="00D602AD" w:rsidR="00D602AD">
        <w:rPr>
          <w:szCs w:val="26"/>
        </w:rPr>
        <w:t xml:space="preserve"> as part of a code maintenance bill. </w:t>
      </w:r>
      <w:r w:rsidR="00D602AD">
        <w:rPr>
          <w:szCs w:val="26"/>
        </w:rPr>
        <w:t xml:space="preserve"> </w:t>
      </w:r>
      <w:r w:rsidRPr="00D602AD" w:rsidR="00D602AD">
        <w:rPr>
          <w:szCs w:val="26"/>
        </w:rPr>
        <w:t>(Stats. 2023, ch. 131, § 160, eff. Jan. 1, 2024.)</w:t>
      </w:r>
      <w:r w:rsidR="00C75119">
        <w:rPr>
          <w:szCs w:val="26"/>
        </w:rPr>
        <w:t xml:space="preserve">  </w:t>
      </w:r>
    </w:p>
  </w:footnote>
  <w:footnote w:id="6">
    <w:p w:rsidR="00FB6E12" w:rsidP="00AD6330" w14:paraId="23EFF89C" w14:textId="6CEEEEA4">
      <w:pPr>
        <w:pStyle w:val="FootnoteText"/>
      </w:pPr>
      <w:r>
        <w:rPr>
          <w:rStyle w:val="FootnoteReference"/>
        </w:rPr>
        <w:footnoteRef/>
      </w:r>
      <w:r>
        <w:tab/>
      </w:r>
      <w:r w:rsidRPr="00982B41" w:rsidR="003C1117">
        <w:rPr>
          <w:szCs w:val="26"/>
        </w:rPr>
        <w:t xml:space="preserve">The trial court struck </w:t>
      </w:r>
      <w:r w:rsidR="007C2FE2">
        <w:rPr>
          <w:szCs w:val="26"/>
        </w:rPr>
        <w:t>defendant’s</w:t>
      </w:r>
      <w:r w:rsidRPr="00982B41" w:rsidR="003C1117">
        <w:rPr>
          <w:szCs w:val="26"/>
        </w:rPr>
        <w:t xml:space="preserve"> </w:t>
      </w:r>
      <w:r>
        <w:rPr>
          <w:szCs w:val="26"/>
        </w:rPr>
        <w:t xml:space="preserve">remaining </w:t>
      </w:r>
      <w:r w:rsidRPr="00982B41" w:rsidR="003C1117">
        <w:rPr>
          <w:szCs w:val="26"/>
        </w:rPr>
        <w:t xml:space="preserve">prior prison term enhancement </w:t>
      </w:r>
      <w:r w:rsidR="003C1117">
        <w:rPr>
          <w:szCs w:val="26"/>
        </w:rPr>
        <w:t>and</w:t>
      </w:r>
      <w:r>
        <w:t xml:space="preserve"> granted relief </w:t>
      </w:r>
      <w:r w:rsidRPr="00982B41">
        <w:rPr>
          <w:szCs w:val="26"/>
        </w:rPr>
        <w:t xml:space="preserve">pursuant to </w:t>
      </w:r>
      <w:r w:rsidR="00D73492">
        <w:rPr>
          <w:szCs w:val="26"/>
        </w:rPr>
        <w:t>section 1170, subdivision (</w:t>
      </w:r>
      <w:r w:rsidR="00F05297">
        <w:rPr>
          <w:szCs w:val="26"/>
        </w:rPr>
        <w:t>b</w:t>
      </w:r>
      <w:r w:rsidR="00D73492">
        <w:rPr>
          <w:szCs w:val="26"/>
        </w:rPr>
        <w:t>)</w:t>
      </w:r>
      <w:r w:rsidRPr="00982B41">
        <w:rPr>
          <w:szCs w:val="26"/>
        </w:rPr>
        <w:t>, resentenc</w:t>
      </w:r>
      <w:r>
        <w:rPr>
          <w:szCs w:val="26"/>
        </w:rPr>
        <w:t xml:space="preserve">ing </w:t>
      </w:r>
      <w:r w:rsidRPr="00982B41">
        <w:rPr>
          <w:szCs w:val="26"/>
        </w:rPr>
        <w:t xml:space="preserve">defendant to an aggregate, determinate term of 16 years in prison.  </w:t>
      </w:r>
    </w:p>
  </w:footnote>
  <w:footnote w:id="7">
    <w:p w:rsidR="005276E6" w:rsidRPr="00982B41" w:rsidP="00AD6330" w14:paraId="3081BC91" w14:textId="61B083F0">
      <w:pPr>
        <w:pStyle w:val="FootnoteText"/>
      </w:pPr>
      <w:r w:rsidRPr="00982B41">
        <w:rPr>
          <w:rStyle w:val="FootnoteReference"/>
        </w:rPr>
        <w:footnoteRef/>
      </w:r>
      <w:r w:rsidRPr="00982B41">
        <w:t xml:space="preserve"> </w:t>
      </w:r>
      <w:r w:rsidRPr="00982B41">
        <w:tab/>
      </w:r>
      <w:r>
        <w:t xml:space="preserve">As noted (see </w:t>
      </w:r>
      <w:r>
        <w:rPr>
          <w:i/>
          <w:iCs/>
        </w:rPr>
        <w:t>ante</w:t>
      </w:r>
      <w:r>
        <w:t>, at p. </w:t>
      </w:r>
      <w:r w:rsidR="009430FE">
        <w:t>5</w:t>
      </w:r>
      <w:r>
        <w:t>), t</w:t>
      </w:r>
      <w:r w:rsidRPr="00982B41">
        <w:t>wo mitigating factors apply to defendant, those in section 1385, subdivision (c)(2), subparagraphs (B) (multiple enhancements) and (H) (prior conviction over five years old).  Subdivision (c)(2)(B) provides that when “[m]ultiple enhancements are alleged in a single case .</w:t>
      </w:r>
      <w:r>
        <w:t> </w:t>
      </w:r>
      <w:r w:rsidRPr="00982B41">
        <w:t>.</w:t>
      </w:r>
      <w:r>
        <w:t> </w:t>
      </w:r>
      <w:r w:rsidRPr="00982B41">
        <w:t xml:space="preserve">. all enhancements beyond a single enhancement </w:t>
      </w:r>
      <w:r w:rsidRPr="00982B41">
        <w:rPr>
          <w:i/>
          <w:iCs/>
        </w:rPr>
        <w:t xml:space="preserve">shall </w:t>
      </w:r>
      <w:r w:rsidRPr="00982B69">
        <w:t>be</w:t>
      </w:r>
      <w:r w:rsidRPr="00982B41">
        <w:t xml:space="preserve"> dismissed.”  (Italics added.)  </w:t>
      </w:r>
      <w:r w:rsidRPr="00C20B67" w:rsidR="00C20144">
        <w:t>D</w:t>
      </w:r>
      <w:r w:rsidRPr="00C20B67" w:rsidR="00C20144">
        <w:rPr>
          <w:szCs w:val="26"/>
        </w:rPr>
        <w:t xml:space="preserve">efendant does not </w:t>
      </w:r>
      <w:r w:rsidRPr="00C20B67" w:rsidR="005707AD">
        <w:rPr>
          <w:szCs w:val="26"/>
        </w:rPr>
        <w:t>make any assertion</w:t>
      </w:r>
      <w:r w:rsidRPr="00C20B67" w:rsidR="00C20144">
        <w:rPr>
          <w:szCs w:val="26"/>
        </w:rPr>
        <w:t xml:space="preserve">, nor did he before the Court of Appeal, that subdivision (c)(2)(B)’s “shall be dismissed” </w:t>
      </w:r>
      <w:r w:rsidRPr="00C20B67" w:rsidR="00277381">
        <w:rPr>
          <w:szCs w:val="26"/>
        </w:rPr>
        <w:t>language entitles that mitigating circumstance to a different construction</w:t>
      </w:r>
      <w:r w:rsidRPr="00C20B67" w:rsidR="00910E8E">
        <w:rPr>
          <w:szCs w:val="26"/>
        </w:rPr>
        <w:t xml:space="preserve"> than the others</w:t>
      </w:r>
      <w:r w:rsidRPr="00C20B67" w:rsidR="00277381">
        <w:rPr>
          <w:szCs w:val="26"/>
        </w:rPr>
        <w:t xml:space="preserve">, and we have no occasion to </w:t>
      </w:r>
      <w:r w:rsidRPr="00C20B67" w:rsidR="000C312B">
        <w:rPr>
          <w:szCs w:val="26"/>
        </w:rPr>
        <w:t xml:space="preserve">consider </w:t>
      </w:r>
      <w:r w:rsidRPr="00C20B67" w:rsidR="00C07E3A">
        <w:rPr>
          <w:szCs w:val="26"/>
        </w:rPr>
        <w:t>that question here</w:t>
      </w:r>
      <w:r w:rsidR="00277381">
        <w:rPr>
          <w:szCs w:val="26"/>
        </w:rPr>
        <w:t>.</w:t>
      </w:r>
    </w:p>
  </w:footnote>
  <w:footnote w:id="8">
    <w:p w:rsidR="006F5B4A" w:rsidRPr="00982B41" w:rsidP="00B819D2" w14:paraId="685803AB" w14:textId="5B4D11CA">
      <w:pPr>
        <w:autoSpaceDE w:val="0"/>
        <w:autoSpaceDN w:val="0"/>
        <w:adjustRightInd w:val="0"/>
        <w:spacing w:line="300" w:lineRule="exact"/>
        <w:rPr>
          <w:szCs w:val="26"/>
        </w:rPr>
      </w:pPr>
      <w:r w:rsidRPr="00982B41">
        <w:rPr>
          <w:rStyle w:val="FootnoteReference"/>
        </w:rPr>
        <w:footnoteRef/>
      </w:r>
      <w:r w:rsidRPr="00982B41">
        <w:t xml:space="preserve"> </w:t>
      </w:r>
      <w:r w:rsidRPr="00982B41">
        <w:tab/>
      </w:r>
      <w:r w:rsidRPr="00982B41">
        <w:rPr>
          <w:szCs w:val="26"/>
        </w:rPr>
        <w:t xml:space="preserve">We </w:t>
      </w:r>
      <w:r w:rsidR="00F14DD0">
        <w:rPr>
          <w:szCs w:val="26"/>
        </w:rPr>
        <w:t>also underscore</w:t>
      </w:r>
      <w:r w:rsidRPr="00982B41">
        <w:rPr>
          <w:szCs w:val="26"/>
        </w:rPr>
        <w:t xml:space="preserve"> that section 1385 expressly requires a statement of reasons</w:t>
      </w:r>
      <w:r>
        <w:rPr>
          <w:szCs w:val="26"/>
        </w:rPr>
        <w:t xml:space="preserve"> for a dismissal</w:t>
      </w:r>
      <w:r w:rsidRPr="00982B41">
        <w:rPr>
          <w:szCs w:val="26"/>
        </w:rPr>
        <w:t>.  (See §</w:t>
      </w:r>
      <w:r>
        <w:rPr>
          <w:szCs w:val="26"/>
        </w:rPr>
        <w:t> </w:t>
      </w:r>
      <w:r w:rsidRPr="00982B41">
        <w:rPr>
          <w:szCs w:val="26"/>
        </w:rPr>
        <w:t xml:space="preserve">1385, subd. </w:t>
      </w:r>
      <w:r w:rsidRPr="0051082F">
        <w:rPr>
          <w:szCs w:val="26"/>
        </w:rPr>
        <w:t xml:space="preserve">(a).)  </w:t>
      </w:r>
      <w:r w:rsidRPr="0051082F" w:rsidR="00B819D2">
        <w:rPr>
          <w:szCs w:val="26"/>
        </w:rPr>
        <w:t>As we have previously explained, “a requirement of articulated reasons to support a given decision serves a number of interests.  In the first place, .</w:t>
      </w:r>
      <w:r w:rsidR="0051082F">
        <w:rPr>
          <w:szCs w:val="26"/>
        </w:rPr>
        <w:t> </w:t>
      </w:r>
      <w:r w:rsidRPr="0051082F" w:rsidR="00B819D2">
        <w:rPr>
          <w:szCs w:val="26"/>
        </w:rPr>
        <w:t>.</w:t>
      </w:r>
      <w:r w:rsidR="0051082F">
        <w:rPr>
          <w:szCs w:val="26"/>
        </w:rPr>
        <w:t> </w:t>
      </w:r>
      <w:r w:rsidRPr="0051082F" w:rsidR="00B819D2">
        <w:rPr>
          <w:szCs w:val="26"/>
        </w:rPr>
        <w:t xml:space="preserve">. the statement of such reasons will frequently be essential to any meaningful review of the decision.  Secondly, a requirement of articulated reasons acts as an inherent guard against the careless decision, </w:t>
      </w:r>
      <w:r w:rsidRPr="0051082F" w:rsidR="00644950">
        <w:rPr>
          <w:szCs w:val="26"/>
        </w:rPr>
        <w:t>[e]</w:t>
      </w:r>
      <w:r w:rsidRPr="0051082F" w:rsidR="00B819D2">
        <w:rPr>
          <w:szCs w:val="26"/>
        </w:rPr>
        <w:t xml:space="preserve">nsuring that the judge himself analyzes the problem and recognizes the grounds for his decision. </w:t>
      </w:r>
      <w:r w:rsidRPr="0051082F" w:rsidR="00644950">
        <w:rPr>
          <w:szCs w:val="26"/>
        </w:rPr>
        <w:t xml:space="preserve"> </w:t>
      </w:r>
      <w:r w:rsidRPr="0051082F" w:rsidR="00B819D2">
        <w:rPr>
          <w:szCs w:val="26"/>
        </w:rPr>
        <w:t>Finally, articulated reasons aid in preserving public confidence in the decision-making process ‘by helping to persuade the parties [and the public] that .</w:t>
      </w:r>
      <w:r w:rsidR="0051082F">
        <w:rPr>
          <w:szCs w:val="26"/>
        </w:rPr>
        <w:t> </w:t>
      </w:r>
      <w:r w:rsidRPr="0051082F" w:rsidR="00B819D2">
        <w:rPr>
          <w:szCs w:val="26"/>
        </w:rPr>
        <w:t>.</w:t>
      </w:r>
      <w:r w:rsidR="0051082F">
        <w:rPr>
          <w:szCs w:val="26"/>
        </w:rPr>
        <w:t> </w:t>
      </w:r>
      <w:r w:rsidRPr="0051082F" w:rsidR="00B819D2">
        <w:rPr>
          <w:szCs w:val="26"/>
        </w:rPr>
        <w:t>. decision-making is careful, reasoned and equitable.’  [Citation.]”  (</w:t>
      </w:r>
      <w:bookmarkStart w:id="5" w:name="_Hlk173492671"/>
      <w:r w:rsidRPr="0051082F" w:rsidR="00B819D2">
        <w:rPr>
          <w:i/>
          <w:iCs/>
          <w:szCs w:val="26"/>
        </w:rPr>
        <w:t xml:space="preserve">In re Podesto </w:t>
      </w:r>
      <w:r w:rsidRPr="0051082F" w:rsidR="00B819D2">
        <w:rPr>
          <w:szCs w:val="26"/>
        </w:rPr>
        <w:t>(1976) 15</w:t>
      </w:r>
      <w:r w:rsidR="0051082F">
        <w:rPr>
          <w:szCs w:val="26"/>
        </w:rPr>
        <w:t> </w:t>
      </w:r>
      <w:r w:rsidRPr="0051082F" w:rsidR="00B819D2">
        <w:rPr>
          <w:szCs w:val="26"/>
        </w:rPr>
        <w:t>Cal.</w:t>
      </w:r>
      <w:r w:rsidRPr="0051082F" w:rsidR="00644950">
        <w:rPr>
          <w:szCs w:val="26"/>
        </w:rPr>
        <w:t>3d 921, 937</w:t>
      </w:r>
      <w:bookmarkEnd w:id="5"/>
      <w:r w:rsidRPr="0051082F" w:rsidR="00644950">
        <w:rPr>
          <w:szCs w:val="26"/>
        </w:rPr>
        <w:t>.)  A statement of reasons in this context serves these same interests.</w:t>
      </w:r>
      <w:r w:rsidR="00644950">
        <w:rPr>
          <w:szCs w:val="26"/>
        </w:rPr>
        <w:t xml:space="preserve">  </w:t>
      </w:r>
    </w:p>
  </w:footnote>
  <w:footnote w:id="9">
    <w:p w:rsidR="0097065D" w:rsidRPr="0051082F" w:rsidP="0051082F" w14:paraId="2057F697" w14:textId="36B04B40">
      <w:pPr>
        <w:pStyle w:val="Text"/>
        <w:spacing w:line="300" w:lineRule="exact"/>
        <w:ind w:firstLine="0"/>
        <w:rPr>
          <w:szCs w:val="26"/>
        </w:rPr>
      </w:pPr>
      <w:r>
        <w:rPr>
          <w:rStyle w:val="FootnoteReference"/>
        </w:rPr>
        <w:footnoteRef/>
      </w:r>
      <w:r>
        <w:t xml:space="preserve"> </w:t>
      </w:r>
      <w:r w:rsidR="0070729B">
        <w:tab/>
      </w:r>
      <w:r>
        <w:rPr>
          <w:szCs w:val="26"/>
        </w:rPr>
        <w:t>As defendant did in the Court of Appeal, in</w:t>
      </w:r>
      <w:r w:rsidRPr="00DE64E3">
        <w:rPr>
          <w:szCs w:val="26"/>
        </w:rPr>
        <w:t xml:space="preserve"> support </w:t>
      </w:r>
      <w:r>
        <w:rPr>
          <w:szCs w:val="26"/>
        </w:rPr>
        <w:t xml:space="preserve">of </w:t>
      </w:r>
      <w:r w:rsidRPr="00DE64E3">
        <w:rPr>
          <w:szCs w:val="26"/>
        </w:rPr>
        <w:t>his position</w:t>
      </w:r>
      <w:r>
        <w:rPr>
          <w:szCs w:val="26"/>
        </w:rPr>
        <w:t xml:space="preserve"> that </w:t>
      </w:r>
      <w:r>
        <w:rPr>
          <w:i/>
          <w:iCs/>
          <w:szCs w:val="26"/>
        </w:rPr>
        <w:t>Martin</w:t>
      </w:r>
      <w:r>
        <w:rPr>
          <w:szCs w:val="26"/>
        </w:rPr>
        <w:t>’s language should be imported into section 1385, subdivision (c)(2)</w:t>
      </w:r>
      <w:r w:rsidRPr="00DE64E3">
        <w:rPr>
          <w:szCs w:val="26"/>
        </w:rPr>
        <w:t xml:space="preserve">, defendant relies </w:t>
      </w:r>
      <w:r>
        <w:rPr>
          <w:szCs w:val="26"/>
        </w:rPr>
        <w:t>on</w:t>
      </w:r>
      <w:r w:rsidRPr="00DE64E3">
        <w:rPr>
          <w:szCs w:val="26"/>
        </w:rPr>
        <w:t xml:space="preserve"> </w:t>
      </w:r>
      <w:r>
        <w:rPr>
          <w:szCs w:val="26"/>
        </w:rPr>
        <w:t xml:space="preserve">a post-enactment letter from the author of Senate Bill No. 81 referencing </w:t>
      </w:r>
      <w:r>
        <w:rPr>
          <w:i/>
          <w:iCs/>
          <w:szCs w:val="26"/>
        </w:rPr>
        <w:t>Martin</w:t>
      </w:r>
      <w:r>
        <w:rPr>
          <w:szCs w:val="26"/>
        </w:rPr>
        <w:t xml:space="preserve">.  </w:t>
      </w:r>
      <w:r w:rsidRPr="00DE64E3">
        <w:rPr>
          <w:szCs w:val="26"/>
        </w:rPr>
        <w:t xml:space="preserve">In </w:t>
      </w:r>
      <w:r>
        <w:rPr>
          <w:szCs w:val="26"/>
        </w:rPr>
        <w:t>her</w:t>
      </w:r>
      <w:r w:rsidRPr="00DE64E3">
        <w:rPr>
          <w:szCs w:val="26"/>
        </w:rPr>
        <w:t xml:space="preserve"> letter </w:t>
      </w:r>
      <w:r>
        <w:rPr>
          <w:szCs w:val="26"/>
        </w:rPr>
        <w:t>to the Secretary of the Senate</w:t>
      </w:r>
      <w:r w:rsidRPr="00DE64E3">
        <w:rPr>
          <w:szCs w:val="26"/>
        </w:rPr>
        <w:t xml:space="preserve"> dated September 10, 2021, the day after Senate Bill No. 81 passed its final vote in the Senate and was ordered for enrolling and presentation to the Governor (Senate Bill No</w:t>
      </w:r>
      <w:r>
        <w:rPr>
          <w:szCs w:val="26"/>
        </w:rPr>
        <w:t>.</w:t>
      </w:r>
      <w:r w:rsidRPr="00DE64E3">
        <w:rPr>
          <w:szCs w:val="26"/>
        </w:rPr>
        <w:t xml:space="preserve"> 81 was approved by the Governor on October 8, 2021), Senator</w:t>
      </w:r>
      <w:r>
        <w:rPr>
          <w:szCs w:val="26"/>
        </w:rPr>
        <w:t xml:space="preserve"> Nancy</w:t>
      </w:r>
      <w:r w:rsidRPr="00DE64E3">
        <w:rPr>
          <w:szCs w:val="26"/>
        </w:rPr>
        <w:t xml:space="preserve"> Skinner</w:t>
      </w:r>
      <w:r>
        <w:rPr>
          <w:szCs w:val="26"/>
        </w:rPr>
        <w:t xml:space="preserve"> </w:t>
      </w:r>
      <w:r w:rsidRPr="00DE64E3">
        <w:rPr>
          <w:szCs w:val="26"/>
        </w:rPr>
        <w:t xml:space="preserve">wrote in part, “I wish to clarify that in establishing the ‘great weight’ standard in SB 81 for imposition or dismissal of enhancements [Penal Code §1385(c)(2)] </w:t>
      </w:r>
      <w:r w:rsidRPr="00DE64E3">
        <w:rPr>
          <w:i/>
          <w:iCs/>
          <w:szCs w:val="26"/>
        </w:rPr>
        <w:t xml:space="preserve">it was my intent that this great weight standard be consistent with the case law in </w:t>
      </w:r>
      <w:r w:rsidRPr="00A94779">
        <w:rPr>
          <w:szCs w:val="26"/>
        </w:rPr>
        <w:t>[sic]</w:t>
      </w:r>
      <w:r w:rsidRPr="00DE64E3">
        <w:rPr>
          <w:i/>
          <w:iCs/>
          <w:szCs w:val="26"/>
        </w:rPr>
        <w:t xml:space="preserve"> California Supreme Court in </w:t>
      </w:r>
      <w:r w:rsidRPr="00A12FC7">
        <w:rPr>
          <w:i/>
          <w:iCs/>
          <w:szCs w:val="26"/>
        </w:rPr>
        <w:t>People v. Martin,</w:t>
      </w:r>
      <w:r w:rsidRPr="00DE64E3">
        <w:rPr>
          <w:i/>
          <w:iCs/>
          <w:szCs w:val="26"/>
        </w:rPr>
        <w:t xml:space="preserve"> 42 Cal.3d 437 (1986)</w:t>
      </w:r>
      <w:r w:rsidRPr="00DE64E3">
        <w:rPr>
          <w:szCs w:val="26"/>
        </w:rPr>
        <w:t xml:space="preserve">.”  (Sen. Nancy Skinner, letter to Sec. of the Sen. (Sept. 10, 2021) 121 Sen. J. (2021–2022 Reg. Sess.) pp. 2638–2639, italics added.)  </w:t>
      </w:r>
      <w:r>
        <w:rPr>
          <w:szCs w:val="26"/>
        </w:rPr>
        <w:t xml:space="preserve">We agree with the Court of Appeal that </w:t>
      </w:r>
      <w:r w:rsidR="00A56E04">
        <w:rPr>
          <w:szCs w:val="26"/>
        </w:rPr>
        <w:t xml:space="preserve">the singular reference to </w:t>
      </w:r>
      <w:r w:rsidR="00A56E04">
        <w:rPr>
          <w:i/>
          <w:iCs/>
          <w:szCs w:val="26"/>
        </w:rPr>
        <w:t xml:space="preserve">Martin </w:t>
      </w:r>
      <w:r w:rsidR="00A56E04">
        <w:rPr>
          <w:szCs w:val="26"/>
        </w:rPr>
        <w:t xml:space="preserve">in </w:t>
      </w:r>
      <w:r>
        <w:rPr>
          <w:szCs w:val="26"/>
        </w:rPr>
        <w:t xml:space="preserve">Senator Skinner’s letter, </w:t>
      </w:r>
      <w:r w:rsidR="00A56E04">
        <w:rPr>
          <w:szCs w:val="26"/>
        </w:rPr>
        <w:t>which expressed</w:t>
      </w:r>
      <w:r>
        <w:rPr>
          <w:szCs w:val="26"/>
        </w:rPr>
        <w:t xml:space="preserve"> her individual intent (“my intent”) </w:t>
      </w:r>
      <w:r w:rsidRPr="005C05BE">
        <w:rPr>
          <w:i/>
          <w:iCs/>
          <w:szCs w:val="26"/>
        </w:rPr>
        <w:t>after</w:t>
      </w:r>
      <w:r>
        <w:rPr>
          <w:szCs w:val="26"/>
        </w:rPr>
        <w:t xml:space="preserve"> the passage of Senate Bill No. 81, need not be considered because there is no indication the Legislature as a whole intended to </w:t>
      </w:r>
      <w:r w:rsidR="00261EF4">
        <w:rPr>
          <w:szCs w:val="26"/>
        </w:rPr>
        <w:t>incorporate</w:t>
      </w:r>
      <w:r>
        <w:rPr>
          <w:szCs w:val="26"/>
        </w:rPr>
        <w:t xml:space="preserve"> </w:t>
      </w:r>
      <w:r>
        <w:rPr>
          <w:i/>
          <w:iCs/>
          <w:szCs w:val="26"/>
        </w:rPr>
        <w:t>Martin</w:t>
      </w:r>
      <w:r>
        <w:rPr>
          <w:szCs w:val="26"/>
        </w:rPr>
        <w:t>’s “great weight</w:t>
      </w:r>
      <w:r w:rsidR="00261EF4">
        <w:rPr>
          <w:szCs w:val="26"/>
        </w:rPr>
        <w:t>”</w:t>
      </w:r>
      <w:r>
        <w:rPr>
          <w:szCs w:val="26"/>
        </w:rPr>
        <w:t xml:space="preserve"> standard</w:t>
      </w:r>
      <w:r w:rsidR="00261EF4">
        <w:rPr>
          <w:szCs w:val="26"/>
        </w:rPr>
        <w:t xml:space="preserve"> into section 1385, subdivision (c)(2) when it adopted Senate Bill No. 81. </w:t>
      </w:r>
      <w:r>
        <w:rPr>
          <w:szCs w:val="26"/>
        </w:rPr>
        <w:t xml:space="preserve"> </w:t>
      </w:r>
      <w:r w:rsidRPr="00982B41">
        <w:rPr>
          <w:szCs w:val="26"/>
        </w:rPr>
        <w:t>(</w:t>
      </w:r>
      <w:r>
        <w:rPr>
          <w:szCs w:val="26"/>
        </w:rPr>
        <w:t>S</w:t>
      </w:r>
      <w:r w:rsidRPr="00982B41">
        <w:rPr>
          <w:szCs w:val="26"/>
        </w:rPr>
        <w:t>ee</w:t>
      </w:r>
      <w:r w:rsidR="0070729B">
        <w:rPr>
          <w:szCs w:val="26"/>
        </w:rPr>
        <w:t xml:space="preserve"> </w:t>
      </w:r>
      <w:r w:rsidR="0070729B">
        <w:rPr>
          <w:i/>
          <w:iCs/>
          <w:szCs w:val="26"/>
        </w:rPr>
        <w:t>Walker</w:t>
      </w:r>
      <w:r w:rsidR="0070729B">
        <w:rPr>
          <w:szCs w:val="26"/>
        </w:rPr>
        <w:t xml:space="preserve">, </w:t>
      </w:r>
      <w:r w:rsidR="0070729B">
        <w:rPr>
          <w:i/>
          <w:iCs/>
          <w:szCs w:val="26"/>
        </w:rPr>
        <w:t>supra</w:t>
      </w:r>
      <w:r w:rsidR="0070729B">
        <w:rPr>
          <w:szCs w:val="26"/>
        </w:rPr>
        <w:t>, 86</w:t>
      </w:r>
      <w:r w:rsidR="000B2EE7">
        <w:rPr>
          <w:szCs w:val="26"/>
        </w:rPr>
        <w:t> </w:t>
      </w:r>
      <w:r w:rsidR="0070729B">
        <w:rPr>
          <w:szCs w:val="26"/>
        </w:rPr>
        <w:t>Cal.App.5th at p.</w:t>
      </w:r>
      <w:r w:rsidR="00202E83">
        <w:rPr>
          <w:szCs w:val="26"/>
        </w:rPr>
        <w:t> </w:t>
      </w:r>
      <w:r w:rsidR="0070729B">
        <w:rPr>
          <w:szCs w:val="26"/>
        </w:rPr>
        <w:t>400; see also</w:t>
      </w:r>
      <w:r w:rsidRPr="00982B41">
        <w:rPr>
          <w:szCs w:val="26"/>
        </w:rPr>
        <w:t xml:space="preserve"> </w:t>
      </w:r>
      <w:r w:rsidRPr="00982B41">
        <w:rPr>
          <w:i/>
          <w:iCs/>
          <w:szCs w:val="26"/>
        </w:rPr>
        <w:t>People v. Wade</w:t>
      </w:r>
      <w:r w:rsidRPr="00982B41">
        <w:rPr>
          <w:szCs w:val="26"/>
        </w:rPr>
        <w:t xml:space="preserve"> (2016) 63</w:t>
      </w:r>
      <w:r>
        <w:rPr>
          <w:szCs w:val="26"/>
        </w:rPr>
        <w:t> </w:t>
      </w:r>
      <w:r w:rsidRPr="00982B41">
        <w:rPr>
          <w:szCs w:val="26"/>
        </w:rPr>
        <w:t>Cal.4th 137, 143</w:t>
      </w:r>
      <w:r w:rsidR="0070729B">
        <w:rPr>
          <w:szCs w:val="26"/>
        </w:rPr>
        <w:t xml:space="preserve"> [</w:t>
      </w:r>
      <w:r w:rsidRPr="0070729B" w:rsidR="0070729B">
        <w:rPr>
          <w:szCs w:val="26"/>
        </w:rPr>
        <w:t>“</w:t>
      </w:r>
      <w:r w:rsidR="0070729B">
        <w:rPr>
          <w:szCs w:val="26"/>
        </w:rPr>
        <w:t> ‘</w:t>
      </w:r>
      <w:r w:rsidRPr="0070729B" w:rsidR="0070729B">
        <w:rPr>
          <w:szCs w:val="26"/>
        </w:rPr>
        <w:t>[T]he statements of an individual legislator, including the author of a bill, are generally</w:t>
      </w:r>
      <w:r w:rsidR="0070729B">
        <w:rPr>
          <w:szCs w:val="26"/>
        </w:rPr>
        <w:t xml:space="preserve"> </w:t>
      </w:r>
      <w:r w:rsidRPr="0070729B" w:rsidR="0070729B">
        <w:rPr>
          <w:szCs w:val="26"/>
        </w:rPr>
        <w:t>not considered in construing a statute, as the court</w:t>
      </w:r>
      <w:r w:rsidR="0070729B">
        <w:rPr>
          <w:szCs w:val="26"/>
        </w:rPr>
        <w:t>’</w:t>
      </w:r>
      <w:r w:rsidRPr="0070729B" w:rsidR="0070729B">
        <w:rPr>
          <w:szCs w:val="26"/>
        </w:rPr>
        <w:t>s task is to ascertain the intent of the Legislature as a whole in adopting a piece of legislation</w:t>
      </w:r>
      <w:r w:rsidR="0070729B">
        <w:rPr>
          <w:szCs w:val="26"/>
        </w:rPr>
        <w:t>’ </w:t>
      </w:r>
      <w:r w:rsidRPr="0070729B" w:rsidR="0070729B">
        <w:rPr>
          <w:szCs w:val="26"/>
        </w:rPr>
        <w:t>”</w:t>
      </w:r>
      <w:r w:rsidR="0070729B">
        <w:rPr>
          <w:szCs w:val="26"/>
        </w:rPr>
        <w:t>].)</w:t>
      </w:r>
      <w:r>
        <w:rPr>
          <w:szCs w:val="2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6330" w14:paraId="79C6922A" w14:textId="3A76431B">
    <w:pPr>
      <w:pStyle w:val="Header"/>
    </w:pPr>
    <w:r>
      <w:t xml:space="preserve">PEOPLE v. </w:t>
    </w:r>
    <w:r w:rsidR="00916187">
      <w:t>WALKER</w:t>
    </w:r>
    <w:r>
      <w:t xml:space="preserve"> </w:t>
    </w:r>
  </w:p>
  <w:p w:rsidR="00AD6330" w14:paraId="77E632A3" w14:textId="55319ACA">
    <w:pPr>
      <w:pStyle w:val="Header"/>
    </w:pPr>
    <w:r>
      <w:t>Opinion of the Court by Groban, J.</w:t>
    </w:r>
  </w:p>
  <w:p w:rsidR="00AD6330" w14:paraId="48C40BF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F1F88" w:rsidRPr="000F1F88" w:rsidP="00A12FC7" w14:paraId="7EC22D48" w14:textId="36619E49">
    <w:pPr>
      <w:pStyle w:val="Header"/>
      <w:jc w:val="right"/>
      <w:rPr>
        <w:rFonts w:ascii="Arial" w:hAnsi="Arial" w:cs="Arial"/>
        <w:i/>
        <w:i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E339F" w14:paraId="128735C7" w14:textId="77777777">
    <w:pPr>
      <w:pStyle w:val="Header"/>
    </w:pPr>
    <w:bookmarkStart w:id="10" w:name="_Hlk173938921"/>
    <w:bookmarkStart w:id="11" w:name="_Hlk173938922"/>
    <w:bookmarkStart w:id="12" w:name="_Hlk173938923"/>
    <w:bookmarkStart w:id="13" w:name="_Hlk173938924"/>
    <w:r>
      <w:t>PEOPLE v. WALKER</w:t>
    </w:r>
  </w:p>
  <w:p w:rsidR="00CE339F" w14:paraId="6826DE5F" w14:textId="77777777">
    <w:pPr>
      <w:pStyle w:val="Header"/>
    </w:pPr>
    <w:r>
      <w:t>Corrigan, J., concurring</w:t>
    </w:r>
    <w:bookmarkEnd w:id="10"/>
    <w:bookmarkEnd w:id="11"/>
    <w:bookmarkEnd w:id="12"/>
    <w:bookmarkEnd w:id="13"/>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1BCB" w:rsidRPr="00281BCB" w:rsidP="00281BCB" w14:paraId="7272D3C5" w14:textId="239873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3D2C2A"/>
    <w:multiLevelType w:val="hybridMultilevel"/>
    <w:tmpl w:val="ED38FDCE"/>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
    <w:nsid w:val="0C0F5F5D"/>
    <w:multiLevelType w:val="hybridMultilevel"/>
    <w:tmpl w:val="C6A89A94"/>
    <w:lvl w:ilvl="0">
      <w:start w:val="1"/>
      <w:numFmt w:val="decimal"/>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nsid w:val="1C3F5B51"/>
    <w:multiLevelType w:val="hybridMultilevel"/>
    <w:tmpl w:val="4D263A40"/>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2A8355F"/>
    <w:multiLevelType w:val="hybridMultilevel"/>
    <w:tmpl w:val="FD88FDCA"/>
    <w:lvl w:ilvl="0">
      <w:start w:val="1"/>
      <w:numFmt w:val="upp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4">
    <w:nsid w:val="3084722F"/>
    <w:multiLevelType w:val="hybridMultilevel"/>
    <w:tmpl w:val="FCD2AAB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290A51"/>
    <w:multiLevelType w:val="hybridMultilevel"/>
    <w:tmpl w:val="FD88FDCA"/>
    <w:lvl w:ilvl="0">
      <w:start w:val="1"/>
      <w:numFmt w:val="upp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abstractNum w:abstractNumId="6">
    <w:nsid w:val="41F5238B"/>
    <w:multiLevelType w:val="hybridMultilevel"/>
    <w:tmpl w:val="92902FC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7">
    <w:nsid w:val="64487777"/>
    <w:multiLevelType w:val="hybridMultilevel"/>
    <w:tmpl w:val="B4FE0674"/>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8">
    <w:nsid w:val="6A784359"/>
    <w:multiLevelType w:val="hybridMultilevel"/>
    <w:tmpl w:val="F852F422"/>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9">
    <w:nsid w:val="6BF97A87"/>
    <w:multiLevelType w:val="hybridMultilevel"/>
    <w:tmpl w:val="966AF0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7443168"/>
    <w:multiLevelType w:val="hybridMultilevel"/>
    <w:tmpl w:val="34146BE6"/>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3."/>
      <w:lvlJc w:val="left"/>
      <w:pPr>
        <w:ind w:left="720" w:hanging="360"/>
      </w:pPr>
    </w:lvl>
    <w:lvl w:ilvl="3">
      <w:start w:val="1"/>
      <w:numFmt w:val="decimal"/>
      <w:lvlText w:val="%4."/>
      <w:lvlJc w:val="left"/>
      <w:pPr>
        <w:ind w:left="720" w:hanging="360"/>
      </w:pPr>
    </w:lvl>
    <w:lvl w:ilvl="4">
      <w:start w:val="1"/>
      <w:numFmt w:val="decimal"/>
      <w:lvlText w:val="%5."/>
      <w:lvlJc w:val="left"/>
      <w:pPr>
        <w:ind w:left="720" w:hanging="360"/>
      </w:pPr>
    </w:lvl>
    <w:lvl w:ilvl="5">
      <w:start w:val="1"/>
      <w:numFmt w:val="decimal"/>
      <w:lvlText w:val="%6."/>
      <w:lvlJc w:val="left"/>
      <w:pPr>
        <w:ind w:left="720" w:hanging="360"/>
      </w:pPr>
    </w:lvl>
    <w:lvl w:ilvl="6">
      <w:start w:val="1"/>
      <w:numFmt w:val="decimal"/>
      <w:lvlText w:val="%7."/>
      <w:lvlJc w:val="left"/>
      <w:pPr>
        <w:ind w:left="720" w:hanging="360"/>
      </w:pPr>
    </w:lvl>
    <w:lvl w:ilvl="7">
      <w:start w:val="1"/>
      <w:numFmt w:val="decimal"/>
      <w:lvlText w:val="%8."/>
      <w:lvlJc w:val="left"/>
      <w:pPr>
        <w:ind w:left="720" w:hanging="360"/>
      </w:pPr>
    </w:lvl>
    <w:lvl w:ilvl="8">
      <w:start w:val="1"/>
      <w:numFmt w:val="decimal"/>
      <w:lvlText w:val="%9."/>
      <w:lvlJc w:val="left"/>
      <w:pPr>
        <w:ind w:left="720" w:hanging="360"/>
      </w:pPr>
    </w:lvl>
  </w:abstractNum>
  <w:abstractNum w:abstractNumId="11">
    <w:nsid w:val="7BE85721"/>
    <w:multiLevelType w:val="hybridMultilevel"/>
    <w:tmpl w:val="2F8EC82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7D0910D6"/>
    <w:multiLevelType w:val="hybridMultilevel"/>
    <w:tmpl w:val="10FCEC5A"/>
    <w:lvl w:ilvl="0">
      <w:start w:val="1"/>
      <w:numFmt w:val="upperLetter"/>
      <w:lvlText w:val="%1."/>
      <w:lvlJc w:val="left"/>
      <w:pPr>
        <w:ind w:left="1512" w:hanging="360"/>
      </w:pPr>
      <w:rPr>
        <w:rFonts w:hint="default"/>
      </w:rPr>
    </w:lvl>
    <w:lvl w:ilvl="1" w:tentative="1">
      <w:start w:val="1"/>
      <w:numFmt w:val="lowerLetter"/>
      <w:lvlText w:val="%2."/>
      <w:lvlJc w:val="left"/>
      <w:pPr>
        <w:ind w:left="2232" w:hanging="360"/>
      </w:pPr>
    </w:lvl>
    <w:lvl w:ilvl="2" w:tentative="1">
      <w:start w:val="1"/>
      <w:numFmt w:val="lowerRoman"/>
      <w:lvlText w:val="%3."/>
      <w:lvlJc w:val="right"/>
      <w:pPr>
        <w:ind w:left="2952" w:hanging="180"/>
      </w:pPr>
    </w:lvl>
    <w:lvl w:ilvl="3" w:tentative="1">
      <w:start w:val="1"/>
      <w:numFmt w:val="decimal"/>
      <w:lvlText w:val="%4."/>
      <w:lvlJc w:val="left"/>
      <w:pPr>
        <w:ind w:left="3672" w:hanging="360"/>
      </w:pPr>
    </w:lvl>
    <w:lvl w:ilvl="4" w:tentative="1">
      <w:start w:val="1"/>
      <w:numFmt w:val="lowerLetter"/>
      <w:lvlText w:val="%5."/>
      <w:lvlJc w:val="left"/>
      <w:pPr>
        <w:ind w:left="4392" w:hanging="360"/>
      </w:pPr>
    </w:lvl>
    <w:lvl w:ilvl="5" w:tentative="1">
      <w:start w:val="1"/>
      <w:numFmt w:val="lowerRoman"/>
      <w:lvlText w:val="%6."/>
      <w:lvlJc w:val="right"/>
      <w:pPr>
        <w:ind w:left="5112" w:hanging="180"/>
      </w:pPr>
    </w:lvl>
    <w:lvl w:ilvl="6" w:tentative="1">
      <w:start w:val="1"/>
      <w:numFmt w:val="decimal"/>
      <w:lvlText w:val="%7."/>
      <w:lvlJc w:val="left"/>
      <w:pPr>
        <w:ind w:left="5832" w:hanging="360"/>
      </w:pPr>
    </w:lvl>
    <w:lvl w:ilvl="7" w:tentative="1">
      <w:start w:val="1"/>
      <w:numFmt w:val="lowerLetter"/>
      <w:lvlText w:val="%8."/>
      <w:lvlJc w:val="left"/>
      <w:pPr>
        <w:ind w:left="6552" w:hanging="360"/>
      </w:pPr>
    </w:lvl>
    <w:lvl w:ilvl="8" w:tentative="1">
      <w:start w:val="1"/>
      <w:numFmt w:val="lowerRoman"/>
      <w:lvlText w:val="%9."/>
      <w:lvlJc w:val="right"/>
      <w:pPr>
        <w:ind w:left="7272" w:hanging="180"/>
      </w:pPr>
    </w:lvl>
  </w:abstractNum>
  <w:num w:numId="1" w16cid:durableId="1339698043">
    <w:abstractNumId w:val="4"/>
  </w:num>
  <w:num w:numId="2" w16cid:durableId="1972324850">
    <w:abstractNumId w:val="2"/>
  </w:num>
  <w:num w:numId="3" w16cid:durableId="880169661">
    <w:abstractNumId w:val="12"/>
  </w:num>
  <w:num w:numId="4" w16cid:durableId="404033382">
    <w:abstractNumId w:val="3"/>
  </w:num>
  <w:num w:numId="5" w16cid:durableId="43870802">
    <w:abstractNumId w:val="5"/>
  </w:num>
  <w:num w:numId="6" w16cid:durableId="443034573">
    <w:abstractNumId w:val="1"/>
  </w:num>
  <w:num w:numId="7" w16cid:durableId="400444788">
    <w:abstractNumId w:val="11"/>
  </w:num>
  <w:num w:numId="8" w16cid:durableId="612323258">
    <w:abstractNumId w:val="9"/>
  </w:num>
  <w:num w:numId="9" w16cid:durableId="1610157791">
    <w:abstractNumId w:val="6"/>
  </w:num>
  <w:num w:numId="10" w16cid:durableId="1671827744">
    <w:abstractNumId w:val="0"/>
  </w:num>
  <w:num w:numId="11" w16cid:durableId="341202317">
    <w:abstractNumId w:val="7"/>
  </w:num>
  <w:num w:numId="12" w16cid:durableId="636686970">
    <w:abstractNumId w:val="10"/>
  </w:num>
  <w:num w:numId="13" w16cid:durableId="1379356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F4F"/>
    <w:rsid w:val="00000E0C"/>
    <w:rsid w:val="00002E54"/>
    <w:rsid w:val="00006A63"/>
    <w:rsid w:val="00010A82"/>
    <w:rsid w:val="000121AA"/>
    <w:rsid w:val="0001445E"/>
    <w:rsid w:val="00020AB3"/>
    <w:rsid w:val="00021028"/>
    <w:rsid w:val="000218C9"/>
    <w:rsid w:val="00021DE0"/>
    <w:rsid w:val="00034327"/>
    <w:rsid w:val="00035812"/>
    <w:rsid w:val="00035E3B"/>
    <w:rsid w:val="00036FF2"/>
    <w:rsid w:val="00041812"/>
    <w:rsid w:val="00043908"/>
    <w:rsid w:val="00047485"/>
    <w:rsid w:val="0005010B"/>
    <w:rsid w:val="000524C9"/>
    <w:rsid w:val="00056226"/>
    <w:rsid w:val="000563A2"/>
    <w:rsid w:val="000611F5"/>
    <w:rsid w:val="0006237B"/>
    <w:rsid w:val="00064533"/>
    <w:rsid w:val="000656B1"/>
    <w:rsid w:val="0006700D"/>
    <w:rsid w:val="000716ED"/>
    <w:rsid w:val="00072766"/>
    <w:rsid w:val="00073F5E"/>
    <w:rsid w:val="00077080"/>
    <w:rsid w:val="0008042C"/>
    <w:rsid w:val="000809AE"/>
    <w:rsid w:val="0008105E"/>
    <w:rsid w:val="0008240B"/>
    <w:rsid w:val="00083231"/>
    <w:rsid w:val="00085043"/>
    <w:rsid w:val="00094BEE"/>
    <w:rsid w:val="000960D1"/>
    <w:rsid w:val="00097882"/>
    <w:rsid w:val="00097A0D"/>
    <w:rsid w:val="000A18ED"/>
    <w:rsid w:val="000A21F1"/>
    <w:rsid w:val="000A5B65"/>
    <w:rsid w:val="000B1C43"/>
    <w:rsid w:val="000B2EE7"/>
    <w:rsid w:val="000B78D3"/>
    <w:rsid w:val="000C10C4"/>
    <w:rsid w:val="000C15B2"/>
    <w:rsid w:val="000C1717"/>
    <w:rsid w:val="000C1CC0"/>
    <w:rsid w:val="000C2A78"/>
    <w:rsid w:val="000C312B"/>
    <w:rsid w:val="000C3B9A"/>
    <w:rsid w:val="000C5B6D"/>
    <w:rsid w:val="000C5E8C"/>
    <w:rsid w:val="000C6774"/>
    <w:rsid w:val="000C7533"/>
    <w:rsid w:val="000D272E"/>
    <w:rsid w:val="000D60B2"/>
    <w:rsid w:val="000D63EC"/>
    <w:rsid w:val="000E01FD"/>
    <w:rsid w:val="000E0F36"/>
    <w:rsid w:val="000E1777"/>
    <w:rsid w:val="000E2DD3"/>
    <w:rsid w:val="000E3C13"/>
    <w:rsid w:val="000E78F9"/>
    <w:rsid w:val="000F0264"/>
    <w:rsid w:val="000F17EC"/>
    <w:rsid w:val="000F1D3D"/>
    <w:rsid w:val="000F1DD9"/>
    <w:rsid w:val="000F1F88"/>
    <w:rsid w:val="000F6325"/>
    <w:rsid w:val="000F7963"/>
    <w:rsid w:val="00100CD1"/>
    <w:rsid w:val="001013CC"/>
    <w:rsid w:val="00110E11"/>
    <w:rsid w:val="001112D1"/>
    <w:rsid w:val="001123FD"/>
    <w:rsid w:val="001130FD"/>
    <w:rsid w:val="00117188"/>
    <w:rsid w:val="001230C0"/>
    <w:rsid w:val="00127482"/>
    <w:rsid w:val="0012772E"/>
    <w:rsid w:val="00131642"/>
    <w:rsid w:val="00133DD0"/>
    <w:rsid w:val="00135747"/>
    <w:rsid w:val="001428B0"/>
    <w:rsid w:val="00147D96"/>
    <w:rsid w:val="0015006E"/>
    <w:rsid w:val="00150526"/>
    <w:rsid w:val="00150B36"/>
    <w:rsid w:val="00156E89"/>
    <w:rsid w:val="00160A80"/>
    <w:rsid w:val="00163219"/>
    <w:rsid w:val="00165ADE"/>
    <w:rsid w:val="00167F81"/>
    <w:rsid w:val="001702A9"/>
    <w:rsid w:val="001714EA"/>
    <w:rsid w:val="001742EB"/>
    <w:rsid w:val="00174AAB"/>
    <w:rsid w:val="00181CA1"/>
    <w:rsid w:val="00182C4E"/>
    <w:rsid w:val="00183016"/>
    <w:rsid w:val="00184C75"/>
    <w:rsid w:val="001850D2"/>
    <w:rsid w:val="00187287"/>
    <w:rsid w:val="00190270"/>
    <w:rsid w:val="00195FA9"/>
    <w:rsid w:val="001963D8"/>
    <w:rsid w:val="001A3A14"/>
    <w:rsid w:val="001A5800"/>
    <w:rsid w:val="001A64A9"/>
    <w:rsid w:val="001A661B"/>
    <w:rsid w:val="001A667F"/>
    <w:rsid w:val="001A79CE"/>
    <w:rsid w:val="001B2610"/>
    <w:rsid w:val="001B4150"/>
    <w:rsid w:val="001B6CFC"/>
    <w:rsid w:val="001B6F2B"/>
    <w:rsid w:val="001C0EB3"/>
    <w:rsid w:val="001C22BD"/>
    <w:rsid w:val="001C2CAA"/>
    <w:rsid w:val="001C6C9A"/>
    <w:rsid w:val="001C7E73"/>
    <w:rsid w:val="001D0153"/>
    <w:rsid w:val="001D5E49"/>
    <w:rsid w:val="001D700C"/>
    <w:rsid w:val="001D7735"/>
    <w:rsid w:val="001D7A20"/>
    <w:rsid w:val="001E0C9C"/>
    <w:rsid w:val="001E198E"/>
    <w:rsid w:val="001E4534"/>
    <w:rsid w:val="001F1378"/>
    <w:rsid w:val="001F1B73"/>
    <w:rsid w:val="001F7D7B"/>
    <w:rsid w:val="00201BEF"/>
    <w:rsid w:val="00202E83"/>
    <w:rsid w:val="00203BFE"/>
    <w:rsid w:val="00203BFF"/>
    <w:rsid w:val="00207D21"/>
    <w:rsid w:val="0021044B"/>
    <w:rsid w:val="002106A5"/>
    <w:rsid w:val="00216843"/>
    <w:rsid w:val="0022217B"/>
    <w:rsid w:val="002244EA"/>
    <w:rsid w:val="0023002A"/>
    <w:rsid w:val="0023054A"/>
    <w:rsid w:val="00234A9A"/>
    <w:rsid w:val="002356EF"/>
    <w:rsid w:val="00235F09"/>
    <w:rsid w:val="00240851"/>
    <w:rsid w:val="0024209E"/>
    <w:rsid w:val="00242330"/>
    <w:rsid w:val="00242704"/>
    <w:rsid w:val="0024349E"/>
    <w:rsid w:val="0024667E"/>
    <w:rsid w:val="002506E3"/>
    <w:rsid w:val="00251825"/>
    <w:rsid w:val="00256FF1"/>
    <w:rsid w:val="00257DEF"/>
    <w:rsid w:val="00261EF4"/>
    <w:rsid w:val="002629A4"/>
    <w:rsid w:val="00263B67"/>
    <w:rsid w:val="002702CD"/>
    <w:rsid w:val="002714CF"/>
    <w:rsid w:val="00271544"/>
    <w:rsid w:val="00273B9B"/>
    <w:rsid w:val="00274FD8"/>
    <w:rsid w:val="002752CA"/>
    <w:rsid w:val="00277381"/>
    <w:rsid w:val="00280BDA"/>
    <w:rsid w:val="002814BA"/>
    <w:rsid w:val="00281BCB"/>
    <w:rsid w:val="00284DED"/>
    <w:rsid w:val="00285A84"/>
    <w:rsid w:val="00290499"/>
    <w:rsid w:val="00290A5B"/>
    <w:rsid w:val="002919DC"/>
    <w:rsid w:val="002A0273"/>
    <w:rsid w:val="002A0A6F"/>
    <w:rsid w:val="002A0ACA"/>
    <w:rsid w:val="002A2102"/>
    <w:rsid w:val="002A2DD0"/>
    <w:rsid w:val="002A5342"/>
    <w:rsid w:val="002A54B8"/>
    <w:rsid w:val="002A6D51"/>
    <w:rsid w:val="002B095D"/>
    <w:rsid w:val="002B0DBE"/>
    <w:rsid w:val="002C1046"/>
    <w:rsid w:val="002C1340"/>
    <w:rsid w:val="002C42AB"/>
    <w:rsid w:val="002C66EE"/>
    <w:rsid w:val="002C70D4"/>
    <w:rsid w:val="002D1D23"/>
    <w:rsid w:val="002D215D"/>
    <w:rsid w:val="002D2C9A"/>
    <w:rsid w:val="002D36F7"/>
    <w:rsid w:val="002D5C2C"/>
    <w:rsid w:val="002D5F21"/>
    <w:rsid w:val="002D6180"/>
    <w:rsid w:val="002E2654"/>
    <w:rsid w:val="002E379B"/>
    <w:rsid w:val="002E4C83"/>
    <w:rsid w:val="002E5800"/>
    <w:rsid w:val="002F1285"/>
    <w:rsid w:val="002F1591"/>
    <w:rsid w:val="002F5DFF"/>
    <w:rsid w:val="0030758C"/>
    <w:rsid w:val="0031129D"/>
    <w:rsid w:val="00312068"/>
    <w:rsid w:val="00313B0A"/>
    <w:rsid w:val="00315B87"/>
    <w:rsid w:val="0031671D"/>
    <w:rsid w:val="00323C16"/>
    <w:rsid w:val="003310F7"/>
    <w:rsid w:val="00334950"/>
    <w:rsid w:val="0034148B"/>
    <w:rsid w:val="00342050"/>
    <w:rsid w:val="003421D3"/>
    <w:rsid w:val="00342FCF"/>
    <w:rsid w:val="0034342B"/>
    <w:rsid w:val="00347E67"/>
    <w:rsid w:val="003540A3"/>
    <w:rsid w:val="00357D3A"/>
    <w:rsid w:val="0036120C"/>
    <w:rsid w:val="00362AE1"/>
    <w:rsid w:val="00364FC9"/>
    <w:rsid w:val="00365A41"/>
    <w:rsid w:val="003662F1"/>
    <w:rsid w:val="00371750"/>
    <w:rsid w:val="003720F1"/>
    <w:rsid w:val="003767A4"/>
    <w:rsid w:val="003777BA"/>
    <w:rsid w:val="003802D6"/>
    <w:rsid w:val="00380830"/>
    <w:rsid w:val="003811E6"/>
    <w:rsid w:val="00384C22"/>
    <w:rsid w:val="00386CA6"/>
    <w:rsid w:val="00386F9E"/>
    <w:rsid w:val="003906AD"/>
    <w:rsid w:val="00390D94"/>
    <w:rsid w:val="00392D36"/>
    <w:rsid w:val="003937D4"/>
    <w:rsid w:val="00394B84"/>
    <w:rsid w:val="003958D1"/>
    <w:rsid w:val="00397B28"/>
    <w:rsid w:val="003A23AC"/>
    <w:rsid w:val="003A2F40"/>
    <w:rsid w:val="003A32FC"/>
    <w:rsid w:val="003A3D99"/>
    <w:rsid w:val="003A6683"/>
    <w:rsid w:val="003A6E75"/>
    <w:rsid w:val="003A702A"/>
    <w:rsid w:val="003A78CB"/>
    <w:rsid w:val="003B0210"/>
    <w:rsid w:val="003B1593"/>
    <w:rsid w:val="003B375F"/>
    <w:rsid w:val="003B40B3"/>
    <w:rsid w:val="003B659A"/>
    <w:rsid w:val="003B7A8B"/>
    <w:rsid w:val="003C044B"/>
    <w:rsid w:val="003C1117"/>
    <w:rsid w:val="003C2191"/>
    <w:rsid w:val="003C2D46"/>
    <w:rsid w:val="003C4D94"/>
    <w:rsid w:val="003D237D"/>
    <w:rsid w:val="003E2448"/>
    <w:rsid w:val="003E443C"/>
    <w:rsid w:val="003E4953"/>
    <w:rsid w:val="003F1B8C"/>
    <w:rsid w:val="003F3386"/>
    <w:rsid w:val="003F480E"/>
    <w:rsid w:val="003F5BC4"/>
    <w:rsid w:val="003F6C40"/>
    <w:rsid w:val="003F747A"/>
    <w:rsid w:val="00400DD7"/>
    <w:rsid w:val="00401E87"/>
    <w:rsid w:val="00410E66"/>
    <w:rsid w:val="00412134"/>
    <w:rsid w:val="00415B2A"/>
    <w:rsid w:val="00415D2D"/>
    <w:rsid w:val="0041712F"/>
    <w:rsid w:val="004209CD"/>
    <w:rsid w:val="00420E7C"/>
    <w:rsid w:val="00422911"/>
    <w:rsid w:val="00424734"/>
    <w:rsid w:val="00424D2D"/>
    <w:rsid w:val="004254FF"/>
    <w:rsid w:val="0042615F"/>
    <w:rsid w:val="00427EE6"/>
    <w:rsid w:val="004349CE"/>
    <w:rsid w:val="00434E49"/>
    <w:rsid w:val="0043585D"/>
    <w:rsid w:val="00442A71"/>
    <w:rsid w:val="004433E2"/>
    <w:rsid w:val="00443D88"/>
    <w:rsid w:val="0045295A"/>
    <w:rsid w:val="00454162"/>
    <w:rsid w:val="004547A6"/>
    <w:rsid w:val="00455A61"/>
    <w:rsid w:val="00457D14"/>
    <w:rsid w:val="00461F4E"/>
    <w:rsid w:val="00462545"/>
    <w:rsid w:val="00465E2E"/>
    <w:rsid w:val="0046638D"/>
    <w:rsid w:val="00473981"/>
    <w:rsid w:val="00475147"/>
    <w:rsid w:val="004759B2"/>
    <w:rsid w:val="004763FB"/>
    <w:rsid w:val="00476917"/>
    <w:rsid w:val="0048094C"/>
    <w:rsid w:val="00480DA5"/>
    <w:rsid w:val="0048324D"/>
    <w:rsid w:val="00483EBC"/>
    <w:rsid w:val="004858B3"/>
    <w:rsid w:val="00486FE4"/>
    <w:rsid w:val="004938C6"/>
    <w:rsid w:val="00493DB5"/>
    <w:rsid w:val="00495065"/>
    <w:rsid w:val="00496E83"/>
    <w:rsid w:val="004A4C0F"/>
    <w:rsid w:val="004B059C"/>
    <w:rsid w:val="004B1EE9"/>
    <w:rsid w:val="004B3B47"/>
    <w:rsid w:val="004B5505"/>
    <w:rsid w:val="004B6F04"/>
    <w:rsid w:val="004B6FD1"/>
    <w:rsid w:val="004C12F4"/>
    <w:rsid w:val="004C22C2"/>
    <w:rsid w:val="004C3724"/>
    <w:rsid w:val="004C51F2"/>
    <w:rsid w:val="004C628A"/>
    <w:rsid w:val="004D0DB4"/>
    <w:rsid w:val="004E21B1"/>
    <w:rsid w:val="004E4DFF"/>
    <w:rsid w:val="004F065E"/>
    <w:rsid w:val="004F0C7A"/>
    <w:rsid w:val="004F194C"/>
    <w:rsid w:val="004F45ED"/>
    <w:rsid w:val="004F51CC"/>
    <w:rsid w:val="0050187A"/>
    <w:rsid w:val="00502D8D"/>
    <w:rsid w:val="0050408F"/>
    <w:rsid w:val="00504537"/>
    <w:rsid w:val="005057D5"/>
    <w:rsid w:val="00506B0C"/>
    <w:rsid w:val="0051082F"/>
    <w:rsid w:val="00514948"/>
    <w:rsid w:val="00515781"/>
    <w:rsid w:val="00524F48"/>
    <w:rsid w:val="00525A49"/>
    <w:rsid w:val="005276E6"/>
    <w:rsid w:val="005360D4"/>
    <w:rsid w:val="00536372"/>
    <w:rsid w:val="005366BD"/>
    <w:rsid w:val="00537253"/>
    <w:rsid w:val="00537860"/>
    <w:rsid w:val="00541A17"/>
    <w:rsid w:val="0054349C"/>
    <w:rsid w:val="005454C4"/>
    <w:rsid w:val="00545738"/>
    <w:rsid w:val="005464F2"/>
    <w:rsid w:val="00546BE7"/>
    <w:rsid w:val="00547A89"/>
    <w:rsid w:val="00550D2E"/>
    <w:rsid w:val="0055431E"/>
    <w:rsid w:val="00560EE3"/>
    <w:rsid w:val="005627AD"/>
    <w:rsid w:val="005647E5"/>
    <w:rsid w:val="00565646"/>
    <w:rsid w:val="00567C71"/>
    <w:rsid w:val="00570071"/>
    <w:rsid w:val="005707AD"/>
    <w:rsid w:val="005724B1"/>
    <w:rsid w:val="005739F4"/>
    <w:rsid w:val="00573C8E"/>
    <w:rsid w:val="005756B6"/>
    <w:rsid w:val="00582D56"/>
    <w:rsid w:val="005835BA"/>
    <w:rsid w:val="00590B4E"/>
    <w:rsid w:val="00590E7A"/>
    <w:rsid w:val="00591AD1"/>
    <w:rsid w:val="00592011"/>
    <w:rsid w:val="0059700B"/>
    <w:rsid w:val="0059786D"/>
    <w:rsid w:val="005A0293"/>
    <w:rsid w:val="005B12CA"/>
    <w:rsid w:val="005B14DF"/>
    <w:rsid w:val="005B1C9A"/>
    <w:rsid w:val="005B2345"/>
    <w:rsid w:val="005B3DED"/>
    <w:rsid w:val="005B5FE7"/>
    <w:rsid w:val="005B7EAD"/>
    <w:rsid w:val="005C05BE"/>
    <w:rsid w:val="005C0F57"/>
    <w:rsid w:val="005C2C1B"/>
    <w:rsid w:val="005D2638"/>
    <w:rsid w:val="005D485C"/>
    <w:rsid w:val="005D554C"/>
    <w:rsid w:val="005D6E8F"/>
    <w:rsid w:val="005D7E39"/>
    <w:rsid w:val="005E4620"/>
    <w:rsid w:val="005E7C99"/>
    <w:rsid w:val="005F77A2"/>
    <w:rsid w:val="006036EC"/>
    <w:rsid w:val="00604C4C"/>
    <w:rsid w:val="00607C85"/>
    <w:rsid w:val="00611EB6"/>
    <w:rsid w:val="00614E79"/>
    <w:rsid w:val="00616C96"/>
    <w:rsid w:val="006207F4"/>
    <w:rsid w:val="006209EF"/>
    <w:rsid w:val="006237EB"/>
    <w:rsid w:val="00623F02"/>
    <w:rsid w:val="006264BA"/>
    <w:rsid w:val="00633EFB"/>
    <w:rsid w:val="006350E8"/>
    <w:rsid w:val="0063797F"/>
    <w:rsid w:val="00640560"/>
    <w:rsid w:val="00640E1C"/>
    <w:rsid w:val="00643E25"/>
    <w:rsid w:val="00644950"/>
    <w:rsid w:val="006456D6"/>
    <w:rsid w:val="00650C26"/>
    <w:rsid w:val="00650E79"/>
    <w:rsid w:val="00652011"/>
    <w:rsid w:val="0065381E"/>
    <w:rsid w:val="00654A98"/>
    <w:rsid w:val="0066040B"/>
    <w:rsid w:val="00663646"/>
    <w:rsid w:val="00673883"/>
    <w:rsid w:val="00673C48"/>
    <w:rsid w:val="00674402"/>
    <w:rsid w:val="006753CD"/>
    <w:rsid w:val="00675A45"/>
    <w:rsid w:val="00681E00"/>
    <w:rsid w:val="006841BF"/>
    <w:rsid w:val="0068649A"/>
    <w:rsid w:val="00686642"/>
    <w:rsid w:val="00686643"/>
    <w:rsid w:val="00687A1D"/>
    <w:rsid w:val="00687D00"/>
    <w:rsid w:val="00690590"/>
    <w:rsid w:val="006914A2"/>
    <w:rsid w:val="00694136"/>
    <w:rsid w:val="0069522F"/>
    <w:rsid w:val="006954A6"/>
    <w:rsid w:val="0069655B"/>
    <w:rsid w:val="006977F5"/>
    <w:rsid w:val="006A33EF"/>
    <w:rsid w:val="006A388D"/>
    <w:rsid w:val="006A60F2"/>
    <w:rsid w:val="006B318C"/>
    <w:rsid w:val="006B4D8D"/>
    <w:rsid w:val="006B62C8"/>
    <w:rsid w:val="006C12AE"/>
    <w:rsid w:val="006C3A8F"/>
    <w:rsid w:val="006C3B4B"/>
    <w:rsid w:val="006C5171"/>
    <w:rsid w:val="006D2016"/>
    <w:rsid w:val="006D283C"/>
    <w:rsid w:val="006D3F93"/>
    <w:rsid w:val="006D5047"/>
    <w:rsid w:val="006D657E"/>
    <w:rsid w:val="006E2FF9"/>
    <w:rsid w:val="006E401F"/>
    <w:rsid w:val="006E4C60"/>
    <w:rsid w:val="006E746A"/>
    <w:rsid w:val="006F201D"/>
    <w:rsid w:val="006F308B"/>
    <w:rsid w:val="006F5B4A"/>
    <w:rsid w:val="006F6B37"/>
    <w:rsid w:val="006F7AB5"/>
    <w:rsid w:val="0070251E"/>
    <w:rsid w:val="00704D9B"/>
    <w:rsid w:val="00706610"/>
    <w:rsid w:val="0070729B"/>
    <w:rsid w:val="007154E2"/>
    <w:rsid w:val="00715823"/>
    <w:rsid w:val="00717F72"/>
    <w:rsid w:val="00723E16"/>
    <w:rsid w:val="00727F9E"/>
    <w:rsid w:val="007315EF"/>
    <w:rsid w:val="00732E96"/>
    <w:rsid w:val="007347D3"/>
    <w:rsid w:val="007374CB"/>
    <w:rsid w:val="00740D42"/>
    <w:rsid w:val="00741127"/>
    <w:rsid w:val="007424A8"/>
    <w:rsid w:val="007445A6"/>
    <w:rsid w:val="00751EA6"/>
    <w:rsid w:val="00756E96"/>
    <w:rsid w:val="0075779A"/>
    <w:rsid w:val="007579F0"/>
    <w:rsid w:val="0076117A"/>
    <w:rsid w:val="00763081"/>
    <w:rsid w:val="00764CAA"/>
    <w:rsid w:val="00765934"/>
    <w:rsid w:val="00766F53"/>
    <w:rsid w:val="00777194"/>
    <w:rsid w:val="00782B96"/>
    <w:rsid w:val="00785891"/>
    <w:rsid w:val="00787F07"/>
    <w:rsid w:val="007919CB"/>
    <w:rsid w:val="00792EC1"/>
    <w:rsid w:val="00794C7D"/>
    <w:rsid w:val="00797ED1"/>
    <w:rsid w:val="007A32C7"/>
    <w:rsid w:val="007A78A6"/>
    <w:rsid w:val="007B1932"/>
    <w:rsid w:val="007B4C1B"/>
    <w:rsid w:val="007B77ED"/>
    <w:rsid w:val="007C0862"/>
    <w:rsid w:val="007C1636"/>
    <w:rsid w:val="007C2FE2"/>
    <w:rsid w:val="007D0046"/>
    <w:rsid w:val="007D12D4"/>
    <w:rsid w:val="007D20E7"/>
    <w:rsid w:val="007D3575"/>
    <w:rsid w:val="007D43F0"/>
    <w:rsid w:val="007D70DC"/>
    <w:rsid w:val="007E02D0"/>
    <w:rsid w:val="007E2A06"/>
    <w:rsid w:val="007E4A0C"/>
    <w:rsid w:val="007E504B"/>
    <w:rsid w:val="007E795C"/>
    <w:rsid w:val="007F06CA"/>
    <w:rsid w:val="00800390"/>
    <w:rsid w:val="00800FAF"/>
    <w:rsid w:val="0080382E"/>
    <w:rsid w:val="00806D9C"/>
    <w:rsid w:val="008110A3"/>
    <w:rsid w:val="0081115A"/>
    <w:rsid w:val="0081327F"/>
    <w:rsid w:val="00816008"/>
    <w:rsid w:val="00821ADB"/>
    <w:rsid w:val="008225B2"/>
    <w:rsid w:val="008228DB"/>
    <w:rsid w:val="00822FC6"/>
    <w:rsid w:val="00823058"/>
    <w:rsid w:val="0082521C"/>
    <w:rsid w:val="00825869"/>
    <w:rsid w:val="008268D3"/>
    <w:rsid w:val="0082732F"/>
    <w:rsid w:val="00832BE5"/>
    <w:rsid w:val="008407C5"/>
    <w:rsid w:val="00842BCD"/>
    <w:rsid w:val="0084579A"/>
    <w:rsid w:val="00846FEA"/>
    <w:rsid w:val="0085182D"/>
    <w:rsid w:val="00857F8F"/>
    <w:rsid w:val="0086028F"/>
    <w:rsid w:val="008613E9"/>
    <w:rsid w:val="00861837"/>
    <w:rsid w:val="00862D4A"/>
    <w:rsid w:val="00862FAC"/>
    <w:rsid w:val="00863F53"/>
    <w:rsid w:val="0086541B"/>
    <w:rsid w:val="00876D6C"/>
    <w:rsid w:val="00877061"/>
    <w:rsid w:val="008775F4"/>
    <w:rsid w:val="00884625"/>
    <w:rsid w:val="0088562D"/>
    <w:rsid w:val="008871A2"/>
    <w:rsid w:val="0088769B"/>
    <w:rsid w:val="00892E50"/>
    <w:rsid w:val="00894AE0"/>
    <w:rsid w:val="00894FB5"/>
    <w:rsid w:val="008A1AFE"/>
    <w:rsid w:val="008A2572"/>
    <w:rsid w:val="008A28B5"/>
    <w:rsid w:val="008A327B"/>
    <w:rsid w:val="008B0E5C"/>
    <w:rsid w:val="008B26EC"/>
    <w:rsid w:val="008B5951"/>
    <w:rsid w:val="008B6531"/>
    <w:rsid w:val="008B7EE9"/>
    <w:rsid w:val="008C0C8B"/>
    <w:rsid w:val="008C47E3"/>
    <w:rsid w:val="008C5554"/>
    <w:rsid w:val="008C6877"/>
    <w:rsid w:val="008D0B12"/>
    <w:rsid w:val="008D13B2"/>
    <w:rsid w:val="008D3093"/>
    <w:rsid w:val="008D4B4D"/>
    <w:rsid w:val="008D68C2"/>
    <w:rsid w:val="008E1325"/>
    <w:rsid w:val="008E189E"/>
    <w:rsid w:val="008F0F64"/>
    <w:rsid w:val="008F286B"/>
    <w:rsid w:val="008F363C"/>
    <w:rsid w:val="00900D4A"/>
    <w:rsid w:val="00900D97"/>
    <w:rsid w:val="00910E8E"/>
    <w:rsid w:val="009156BC"/>
    <w:rsid w:val="00916187"/>
    <w:rsid w:val="00927F62"/>
    <w:rsid w:val="0093110A"/>
    <w:rsid w:val="00931862"/>
    <w:rsid w:val="0093439B"/>
    <w:rsid w:val="0093655A"/>
    <w:rsid w:val="00937075"/>
    <w:rsid w:val="00937D72"/>
    <w:rsid w:val="00942D2A"/>
    <w:rsid w:val="009430FE"/>
    <w:rsid w:val="00952227"/>
    <w:rsid w:val="00953DEA"/>
    <w:rsid w:val="00961B07"/>
    <w:rsid w:val="00961CE9"/>
    <w:rsid w:val="0096229A"/>
    <w:rsid w:val="0096255D"/>
    <w:rsid w:val="00962724"/>
    <w:rsid w:val="00962C8D"/>
    <w:rsid w:val="0096710B"/>
    <w:rsid w:val="0097065D"/>
    <w:rsid w:val="009753A2"/>
    <w:rsid w:val="0097568C"/>
    <w:rsid w:val="00975AEE"/>
    <w:rsid w:val="00977EF1"/>
    <w:rsid w:val="009805C1"/>
    <w:rsid w:val="009805EB"/>
    <w:rsid w:val="00982B41"/>
    <w:rsid w:val="00982B69"/>
    <w:rsid w:val="00983850"/>
    <w:rsid w:val="00985329"/>
    <w:rsid w:val="00985688"/>
    <w:rsid w:val="00986BA8"/>
    <w:rsid w:val="00990D6F"/>
    <w:rsid w:val="00994CC7"/>
    <w:rsid w:val="00994D80"/>
    <w:rsid w:val="009A13F0"/>
    <w:rsid w:val="009A4934"/>
    <w:rsid w:val="009A5F4F"/>
    <w:rsid w:val="009B07F8"/>
    <w:rsid w:val="009B1281"/>
    <w:rsid w:val="009B2B1C"/>
    <w:rsid w:val="009B4D33"/>
    <w:rsid w:val="009C0ADC"/>
    <w:rsid w:val="009C1DED"/>
    <w:rsid w:val="009C4126"/>
    <w:rsid w:val="009C4A26"/>
    <w:rsid w:val="009D7047"/>
    <w:rsid w:val="009E225B"/>
    <w:rsid w:val="009E35E9"/>
    <w:rsid w:val="009E37A2"/>
    <w:rsid w:val="009E46E9"/>
    <w:rsid w:val="009E5E51"/>
    <w:rsid w:val="009F0534"/>
    <w:rsid w:val="00A0166A"/>
    <w:rsid w:val="00A02F8A"/>
    <w:rsid w:val="00A05D77"/>
    <w:rsid w:val="00A06778"/>
    <w:rsid w:val="00A11215"/>
    <w:rsid w:val="00A12FC7"/>
    <w:rsid w:val="00A14D17"/>
    <w:rsid w:val="00A206CB"/>
    <w:rsid w:val="00A20ACF"/>
    <w:rsid w:val="00A2142D"/>
    <w:rsid w:val="00A2152A"/>
    <w:rsid w:val="00A25E48"/>
    <w:rsid w:val="00A31FE1"/>
    <w:rsid w:val="00A530C3"/>
    <w:rsid w:val="00A54E37"/>
    <w:rsid w:val="00A56115"/>
    <w:rsid w:val="00A56749"/>
    <w:rsid w:val="00A56B6F"/>
    <w:rsid w:val="00A56E04"/>
    <w:rsid w:val="00A57670"/>
    <w:rsid w:val="00A63E6F"/>
    <w:rsid w:val="00A656AC"/>
    <w:rsid w:val="00A666BF"/>
    <w:rsid w:val="00A67378"/>
    <w:rsid w:val="00A67430"/>
    <w:rsid w:val="00A67677"/>
    <w:rsid w:val="00A676BB"/>
    <w:rsid w:val="00A70646"/>
    <w:rsid w:val="00A70AEC"/>
    <w:rsid w:val="00A735CC"/>
    <w:rsid w:val="00A73733"/>
    <w:rsid w:val="00A77BD5"/>
    <w:rsid w:val="00A82DB1"/>
    <w:rsid w:val="00A86A3A"/>
    <w:rsid w:val="00A87107"/>
    <w:rsid w:val="00A91CF8"/>
    <w:rsid w:val="00A9236E"/>
    <w:rsid w:val="00A94779"/>
    <w:rsid w:val="00A97219"/>
    <w:rsid w:val="00AA33BF"/>
    <w:rsid w:val="00AA3850"/>
    <w:rsid w:val="00AA47DD"/>
    <w:rsid w:val="00AB0D7F"/>
    <w:rsid w:val="00AB0E5D"/>
    <w:rsid w:val="00AB42AB"/>
    <w:rsid w:val="00AC23AF"/>
    <w:rsid w:val="00AC4A93"/>
    <w:rsid w:val="00AC7479"/>
    <w:rsid w:val="00AC7612"/>
    <w:rsid w:val="00AD2B17"/>
    <w:rsid w:val="00AD46D4"/>
    <w:rsid w:val="00AD509E"/>
    <w:rsid w:val="00AD5233"/>
    <w:rsid w:val="00AD5804"/>
    <w:rsid w:val="00AD5A36"/>
    <w:rsid w:val="00AD5ED1"/>
    <w:rsid w:val="00AD602B"/>
    <w:rsid w:val="00AD6330"/>
    <w:rsid w:val="00AD634D"/>
    <w:rsid w:val="00AD6A52"/>
    <w:rsid w:val="00AE0690"/>
    <w:rsid w:val="00AE1C04"/>
    <w:rsid w:val="00AE4920"/>
    <w:rsid w:val="00AE5324"/>
    <w:rsid w:val="00AE7C27"/>
    <w:rsid w:val="00AF1A0E"/>
    <w:rsid w:val="00AF2961"/>
    <w:rsid w:val="00AF3133"/>
    <w:rsid w:val="00AF5A26"/>
    <w:rsid w:val="00B00B5D"/>
    <w:rsid w:val="00B00D41"/>
    <w:rsid w:val="00B02604"/>
    <w:rsid w:val="00B03258"/>
    <w:rsid w:val="00B03ACF"/>
    <w:rsid w:val="00B10009"/>
    <w:rsid w:val="00B10A09"/>
    <w:rsid w:val="00B141B6"/>
    <w:rsid w:val="00B16CE5"/>
    <w:rsid w:val="00B2119A"/>
    <w:rsid w:val="00B23A3E"/>
    <w:rsid w:val="00B24DCA"/>
    <w:rsid w:val="00B26C94"/>
    <w:rsid w:val="00B33123"/>
    <w:rsid w:val="00B376B0"/>
    <w:rsid w:val="00B37A70"/>
    <w:rsid w:val="00B40D12"/>
    <w:rsid w:val="00B40D8E"/>
    <w:rsid w:val="00B4214C"/>
    <w:rsid w:val="00B4351F"/>
    <w:rsid w:val="00B44AA3"/>
    <w:rsid w:val="00B465AE"/>
    <w:rsid w:val="00B5392B"/>
    <w:rsid w:val="00B55C43"/>
    <w:rsid w:val="00B579DA"/>
    <w:rsid w:val="00B60A54"/>
    <w:rsid w:val="00B62C4F"/>
    <w:rsid w:val="00B63EB5"/>
    <w:rsid w:val="00B64CA3"/>
    <w:rsid w:val="00B65B7B"/>
    <w:rsid w:val="00B67645"/>
    <w:rsid w:val="00B7087F"/>
    <w:rsid w:val="00B731E6"/>
    <w:rsid w:val="00B73D76"/>
    <w:rsid w:val="00B75180"/>
    <w:rsid w:val="00B75A1D"/>
    <w:rsid w:val="00B76365"/>
    <w:rsid w:val="00B77C6A"/>
    <w:rsid w:val="00B819D2"/>
    <w:rsid w:val="00B823EC"/>
    <w:rsid w:val="00B8251B"/>
    <w:rsid w:val="00B84445"/>
    <w:rsid w:val="00B8611C"/>
    <w:rsid w:val="00B930B4"/>
    <w:rsid w:val="00B9537C"/>
    <w:rsid w:val="00B95A4F"/>
    <w:rsid w:val="00B96538"/>
    <w:rsid w:val="00BA2386"/>
    <w:rsid w:val="00BA299E"/>
    <w:rsid w:val="00BA384B"/>
    <w:rsid w:val="00BA3E41"/>
    <w:rsid w:val="00BA5B61"/>
    <w:rsid w:val="00BA6EF7"/>
    <w:rsid w:val="00BB0673"/>
    <w:rsid w:val="00BB2CC7"/>
    <w:rsid w:val="00BB42CD"/>
    <w:rsid w:val="00BB723C"/>
    <w:rsid w:val="00BB758D"/>
    <w:rsid w:val="00BC19AA"/>
    <w:rsid w:val="00BC476B"/>
    <w:rsid w:val="00BC6689"/>
    <w:rsid w:val="00BD2181"/>
    <w:rsid w:val="00BD2987"/>
    <w:rsid w:val="00BD5748"/>
    <w:rsid w:val="00BD6A37"/>
    <w:rsid w:val="00BE2AFD"/>
    <w:rsid w:val="00BE3C3A"/>
    <w:rsid w:val="00BE7563"/>
    <w:rsid w:val="00BF2FD7"/>
    <w:rsid w:val="00BF3DBE"/>
    <w:rsid w:val="00BF6185"/>
    <w:rsid w:val="00C01001"/>
    <w:rsid w:val="00C01912"/>
    <w:rsid w:val="00C019B2"/>
    <w:rsid w:val="00C02E3F"/>
    <w:rsid w:val="00C03C63"/>
    <w:rsid w:val="00C04A0D"/>
    <w:rsid w:val="00C06306"/>
    <w:rsid w:val="00C07E3A"/>
    <w:rsid w:val="00C10EC6"/>
    <w:rsid w:val="00C11463"/>
    <w:rsid w:val="00C12288"/>
    <w:rsid w:val="00C150BB"/>
    <w:rsid w:val="00C20144"/>
    <w:rsid w:val="00C20B67"/>
    <w:rsid w:val="00C21375"/>
    <w:rsid w:val="00C22121"/>
    <w:rsid w:val="00C23EA9"/>
    <w:rsid w:val="00C26987"/>
    <w:rsid w:val="00C2698A"/>
    <w:rsid w:val="00C270A2"/>
    <w:rsid w:val="00C31EF1"/>
    <w:rsid w:val="00C328F6"/>
    <w:rsid w:val="00C3424E"/>
    <w:rsid w:val="00C369B3"/>
    <w:rsid w:val="00C414B5"/>
    <w:rsid w:val="00C41A2F"/>
    <w:rsid w:val="00C41B2E"/>
    <w:rsid w:val="00C43F7C"/>
    <w:rsid w:val="00C44E97"/>
    <w:rsid w:val="00C451B9"/>
    <w:rsid w:val="00C46668"/>
    <w:rsid w:val="00C5118B"/>
    <w:rsid w:val="00C51247"/>
    <w:rsid w:val="00C51A04"/>
    <w:rsid w:val="00C53952"/>
    <w:rsid w:val="00C566A4"/>
    <w:rsid w:val="00C576F9"/>
    <w:rsid w:val="00C57C9E"/>
    <w:rsid w:val="00C65BF5"/>
    <w:rsid w:val="00C67FBF"/>
    <w:rsid w:val="00C7455B"/>
    <w:rsid w:val="00C75119"/>
    <w:rsid w:val="00C75B85"/>
    <w:rsid w:val="00C76EBC"/>
    <w:rsid w:val="00C77A60"/>
    <w:rsid w:val="00C840F9"/>
    <w:rsid w:val="00C842BA"/>
    <w:rsid w:val="00C8795A"/>
    <w:rsid w:val="00C930AB"/>
    <w:rsid w:val="00C94DBB"/>
    <w:rsid w:val="00C95A07"/>
    <w:rsid w:val="00C95C52"/>
    <w:rsid w:val="00C97253"/>
    <w:rsid w:val="00CA5838"/>
    <w:rsid w:val="00CA62AD"/>
    <w:rsid w:val="00CA79E0"/>
    <w:rsid w:val="00CB0A9F"/>
    <w:rsid w:val="00CC0879"/>
    <w:rsid w:val="00CC6384"/>
    <w:rsid w:val="00CC6FDF"/>
    <w:rsid w:val="00CC73DA"/>
    <w:rsid w:val="00CD5830"/>
    <w:rsid w:val="00CE0EF5"/>
    <w:rsid w:val="00CE25CF"/>
    <w:rsid w:val="00CE339F"/>
    <w:rsid w:val="00CE5263"/>
    <w:rsid w:val="00CE5928"/>
    <w:rsid w:val="00CE6452"/>
    <w:rsid w:val="00CF03ED"/>
    <w:rsid w:val="00CF4054"/>
    <w:rsid w:val="00CF528D"/>
    <w:rsid w:val="00CF53E1"/>
    <w:rsid w:val="00D00578"/>
    <w:rsid w:val="00D00633"/>
    <w:rsid w:val="00D02F2D"/>
    <w:rsid w:val="00D06503"/>
    <w:rsid w:val="00D10D80"/>
    <w:rsid w:val="00D1128B"/>
    <w:rsid w:val="00D1296B"/>
    <w:rsid w:val="00D16369"/>
    <w:rsid w:val="00D20DDD"/>
    <w:rsid w:val="00D22DA6"/>
    <w:rsid w:val="00D23595"/>
    <w:rsid w:val="00D24055"/>
    <w:rsid w:val="00D275B9"/>
    <w:rsid w:val="00D30554"/>
    <w:rsid w:val="00D30594"/>
    <w:rsid w:val="00D31CCE"/>
    <w:rsid w:val="00D3264C"/>
    <w:rsid w:val="00D35444"/>
    <w:rsid w:val="00D372C4"/>
    <w:rsid w:val="00D439A6"/>
    <w:rsid w:val="00D45EDE"/>
    <w:rsid w:val="00D47CAE"/>
    <w:rsid w:val="00D50BE7"/>
    <w:rsid w:val="00D531A2"/>
    <w:rsid w:val="00D54AAB"/>
    <w:rsid w:val="00D5626C"/>
    <w:rsid w:val="00D56E4A"/>
    <w:rsid w:val="00D576C8"/>
    <w:rsid w:val="00D57993"/>
    <w:rsid w:val="00D57C1D"/>
    <w:rsid w:val="00D602AD"/>
    <w:rsid w:val="00D61A47"/>
    <w:rsid w:val="00D651C5"/>
    <w:rsid w:val="00D6534D"/>
    <w:rsid w:val="00D6540E"/>
    <w:rsid w:val="00D655B7"/>
    <w:rsid w:val="00D6732F"/>
    <w:rsid w:val="00D71392"/>
    <w:rsid w:val="00D716A5"/>
    <w:rsid w:val="00D7236C"/>
    <w:rsid w:val="00D73492"/>
    <w:rsid w:val="00D75CB8"/>
    <w:rsid w:val="00D76EAE"/>
    <w:rsid w:val="00D818AA"/>
    <w:rsid w:val="00D83E6A"/>
    <w:rsid w:val="00D869AA"/>
    <w:rsid w:val="00D87EE8"/>
    <w:rsid w:val="00D92089"/>
    <w:rsid w:val="00D94CB5"/>
    <w:rsid w:val="00D97ADB"/>
    <w:rsid w:val="00DA082F"/>
    <w:rsid w:val="00DA2982"/>
    <w:rsid w:val="00DB042B"/>
    <w:rsid w:val="00DB4D5F"/>
    <w:rsid w:val="00DB7D03"/>
    <w:rsid w:val="00DC04B4"/>
    <w:rsid w:val="00DC2D1D"/>
    <w:rsid w:val="00DC3B92"/>
    <w:rsid w:val="00DC4C5A"/>
    <w:rsid w:val="00DC5572"/>
    <w:rsid w:val="00DC5EB2"/>
    <w:rsid w:val="00DD2ABB"/>
    <w:rsid w:val="00DD3C2B"/>
    <w:rsid w:val="00DD402A"/>
    <w:rsid w:val="00DE0725"/>
    <w:rsid w:val="00DE0C64"/>
    <w:rsid w:val="00DE22E9"/>
    <w:rsid w:val="00DE406C"/>
    <w:rsid w:val="00DE6123"/>
    <w:rsid w:val="00DE64E3"/>
    <w:rsid w:val="00DE7734"/>
    <w:rsid w:val="00DE79DA"/>
    <w:rsid w:val="00DF1199"/>
    <w:rsid w:val="00DF36E7"/>
    <w:rsid w:val="00DF4ED5"/>
    <w:rsid w:val="00DF51B4"/>
    <w:rsid w:val="00DF6254"/>
    <w:rsid w:val="00E00F1F"/>
    <w:rsid w:val="00E03562"/>
    <w:rsid w:val="00E04226"/>
    <w:rsid w:val="00E059A5"/>
    <w:rsid w:val="00E102A3"/>
    <w:rsid w:val="00E13ECF"/>
    <w:rsid w:val="00E14FBE"/>
    <w:rsid w:val="00E178D9"/>
    <w:rsid w:val="00E25257"/>
    <w:rsid w:val="00E2735D"/>
    <w:rsid w:val="00E3719D"/>
    <w:rsid w:val="00E378E5"/>
    <w:rsid w:val="00E426C3"/>
    <w:rsid w:val="00E42874"/>
    <w:rsid w:val="00E42A70"/>
    <w:rsid w:val="00E44814"/>
    <w:rsid w:val="00E47F9C"/>
    <w:rsid w:val="00E531AA"/>
    <w:rsid w:val="00E54F6E"/>
    <w:rsid w:val="00E56620"/>
    <w:rsid w:val="00E606FE"/>
    <w:rsid w:val="00E653D5"/>
    <w:rsid w:val="00E65D3C"/>
    <w:rsid w:val="00E717B9"/>
    <w:rsid w:val="00E74C95"/>
    <w:rsid w:val="00E7583C"/>
    <w:rsid w:val="00E8139D"/>
    <w:rsid w:val="00E86732"/>
    <w:rsid w:val="00E86F28"/>
    <w:rsid w:val="00E87CE1"/>
    <w:rsid w:val="00E9365A"/>
    <w:rsid w:val="00E973E4"/>
    <w:rsid w:val="00EA06F4"/>
    <w:rsid w:val="00EA61E9"/>
    <w:rsid w:val="00EA7AD3"/>
    <w:rsid w:val="00EB1681"/>
    <w:rsid w:val="00EB311B"/>
    <w:rsid w:val="00EB31F7"/>
    <w:rsid w:val="00EB5F30"/>
    <w:rsid w:val="00EC16FD"/>
    <w:rsid w:val="00EC1D28"/>
    <w:rsid w:val="00EC3A1E"/>
    <w:rsid w:val="00EC3E57"/>
    <w:rsid w:val="00EC3F49"/>
    <w:rsid w:val="00EC4769"/>
    <w:rsid w:val="00EC5164"/>
    <w:rsid w:val="00EC69B6"/>
    <w:rsid w:val="00ED20BD"/>
    <w:rsid w:val="00ED3233"/>
    <w:rsid w:val="00ED5648"/>
    <w:rsid w:val="00EE0CB3"/>
    <w:rsid w:val="00EE2F1E"/>
    <w:rsid w:val="00EF2C84"/>
    <w:rsid w:val="00F0279B"/>
    <w:rsid w:val="00F05297"/>
    <w:rsid w:val="00F14329"/>
    <w:rsid w:val="00F14DD0"/>
    <w:rsid w:val="00F1714E"/>
    <w:rsid w:val="00F2051D"/>
    <w:rsid w:val="00F22863"/>
    <w:rsid w:val="00F30B93"/>
    <w:rsid w:val="00F33BCA"/>
    <w:rsid w:val="00F33F73"/>
    <w:rsid w:val="00F348E3"/>
    <w:rsid w:val="00F3499D"/>
    <w:rsid w:val="00F34E9C"/>
    <w:rsid w:val="00F42D76"/>
    <w:rsid w:val="00F435AF"/>
    <w:rsid w:val="00F445EF"/>
    <w:rsid w:val="00F4505F"/>
    <w:rsid w:val="00F5116D"/>
    <w:rsid w:val="00F54CAC"/>
    <w:rsid w:val="00F6430A"/>
    <w:rsid w:val="00F6594B"/>
    <w:rsid w:val="00F70F6B"/>
    <w:rsid w:val="00F72232"/>
    <w:rsid w:val="00F727E0"/>
    <w:rsid w:val="00F77BEB"/>
    <w:rsid w:val="00F8066E"/>
    <w:rsid w:val="00F90E50"/>
    <w:rsid w:val="00F94D23"/>
    <w:rsid w:val="00F95806"/>
    <w:rsid w:val="00F973C8"/>
    <w:rsid w:val="00FA29F3"/>
    <w:rsid w:val="00FA3589"/>
    <w:rsid w:val="00FA5560"/>
    <w:rsid w:val="00FA6BA8"/>
    <w:rsid w:val="00FA750E"/>
    <w:rsid w:val="00FB6E12"/>
    <w:rsid w:val="00FC169C"/>
    <w:rsid w:val="00FC2AAB"/>
    <w:rsid w:val="00FC7B57"/>
    <w:rsid w:val="00FD0372"/>
    <w:rsid w:val="00FD5045"/>
    <w:rsid w:val="00FD740B"/>
    <w:rsid w:val="00FE0722"/>
    <w:rsid w:val="00FE1535"/>
    <w:rsid w:val="00FE3446"/>
    <w:rsid w:val="00FE4F35"/>
    <w:rsid w:val="00FF1A38"/>
    <w:rsid w:val="00FF1DF5"/>
    <w:rsid w:val="00FF326D"/>
    <w:rsid w:val="00FF3E0C"/>
    <w:rsid w:val="00FF457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329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6330"/>
    <w:pPr>
      <w:spacing w:after="100" w:line="400" w:lineRule="exact"/>
      <w:jc w:val="both"/>
    </w:pPr>
    <w:rPr>
      <w:rFonts w:ascii="Century Schoolbook" w:hAnsi="Century Schoolbook"/>
      <w:sz w:val="27"/>
    </w:rPr>
  </w:style>
  <w:style w:type="paragraph" w:styleId="Heading1">
    <w:name w:val="heading 1"/>
    <w:basedOn w:val="Normal"/>
    <w:next w:val="Normal"/>
    <w:qFormat/>
    <w:rsid w:val="00AD6330"/>
    <w:pPr>
      <w:keepNext/>
      <w:spacing w:before="140" w:line="240" w:lineRule="atLeast"/>
      <w:jc w:val="center"/>
      <w:outlineLvl w:val="0"/>
    </w:pPr>
    <w:rPr>
      <w:b/>
      <w:smallCaps/>
    </w:rPr>
  </w:style>
  <w:style w:type="paragraph" w:styleId="Heading2">
    <w:name w:val="heading 2"/>
    <w:basedOn w:val="Normal"/>
    <w:next w:val="Normal"/>
    <w:qFormat/>
    <w:rsid w:val="00AD6330"/>
    <w:pPr>
      <w:keepNext/>
      <w:tabs>
        <w:tab w:val="left" w:pos="1152"/>
      </w:tabs>
      <w:spacing w:before="140" w:line="240" w:lineRule="atLeast"/>
      <w:ind w:left="1152" w:hanging="432"/>
      <w:jc w:val="left"/>
      <w:outlineLvl w:val="1"/>
    </w:pPr>
    <w:rPr>
      <w:b/>
    </w:rPr>
  </w:style>
  <w:style w:type="paragraph" w:styleId="Heading3">
    <w:name w:val="heading 3"/>
    <w:basedOn w:val="Normal"/>
    <w:next w:val="NormalIndent"/>
    <w:link w:val="Heading3Char"/>
    <w:qFormat/>
    <w:rsid w:val="00AD6330"/>
    <w:pPr>
      <w:keepNext/>
      <w:tabs>
        <w:tab w:val="left" w:pos="1584"/>
      </w:tabs>
      <w:spacing w:before="140" w:line="240" w:lineRule="atLeast"/>
      <w:ind w:left="1584" w:hanging="432"/>
      <w:jc w:val="left"/>
      <w:outlineLvl w:val="2"/>
    </w:pPr>
    <w:rPr>
      <w:i/>
    </w:rPr>
  </w:style>
  <w:style w:type="paragraph" w:styleId="Heading4">
    <w:name w:val="heading 4"/>
    <w:basedOn w:val="Normal"/>
    <w:rsid w:val="00AD6330"/>
    <w:pPr>
      <w:keepNext/>
      <w:tabs>
        <w:tab w:val="left" w:pos="2016"/>
      </w:tabs>
      <w:spacing w:before="140" w:line="240" w:lineRule="atLeast"/>
      <w:ind w:left="2016" w:hanging="432"/>
      <w:jc w:val="left"/>
      <w:outlineLvl w:val="3"/>
    </w:pPr>
    <w:rPr>
      <w:i/>
    </w:rPr>
  </w:style>
  <w:style w:type="paragraph" w:styleId="Heading5">
    <w:name w:val="heading 5"/>
    <w:basedOn w:val="Normal"/>
    <w:rsid w:val="00AD6330"/>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AD6330"/>
    <w:pPr>
      <w:tabs>
        <w:tab w:val="center" w:pos="3960"/>
        <w:tab w:val="right" w:pos="10080"/>
      </w:tabs>
      <w:spacing w:after="0" w:line="240" w:lineRule="auto"/>
      <w:jc w:val="center"/>
    </w:pPr>
    <w:rPr>
      <w:sz w:val="22"/>
    </w:rPr>
  </w:style>
  <w:style w:type="character" w:styleId="FootnoteReference">
    <w:name w:val="footnote reference"/>
    <w:basedOn w:val="DefaultParagraphFont"/>
    <w:rsid w:val="00AD6330"/>
    <w:rPr>
      <w:rFonts w:ascii="Century Schoolbook" w:hAnsi="Century Schoolbook"/>
      <w:b/>
      <w:i w:val="0"/>
      <w:position w:val="4"/>
      <w:sz w:val="27"/>
      <w:vertAlign w:val="superscript"/>
    </w:rPr>
  </w:style>
  <w:style w:type="paragraph" w:styleId="FootnoteText">
    <w:name w:val="footnote text"/>
    <w:basedOn w:val="Normal"/>
    <w:link w:val="FootnoteTextChar"/>
    <w:rsid w:val="00AD6330"/>
    <w:pPr>
      <w:spacing w:line="300" w:lineRule="exact"/>
    </w:pPr>
  </w:style>
  <w:style w:type="paragraph" w:styleId="Date">
    <w:name w:val="Date"/>
    <w:basedOn w:val="Normal"/>
    <w:semiHidden/>
    <w:rsid w:val="00AD6330"/>
    <w:pPr>
      <w:jc w:val="right"/>
    </w:pPr>
  </w:style>
  <w:style w:type="paragraph" w:styleId="Header">
    <w:name w:val="header"/>
    <w:basedOn w:val="Normal"/>
    <w:qFormat/>
    <w:rsid w:val="00AD6330"/>
    <w:pPr>
      <w:tabs>
        <w:tab w:val="center" w:pos="3960"/>
        <w:tab w:val="right" w:pos="10080"/>
      </w:tabs>
      <w:spacing w:after="80" w:line="240" w:lineRule="auto"/>
      <w:jc w:val="center"/>
    </w:pPr>
    <w:rPr>
      <w:sz w:val="22"/>
    </w:rPr>
  </w:style>
  <w:style w:type="paragraph" w:styleId="NormalIndent">
    <w:name w:val="Normal Indent"/>
    <w:basedOn w:val="Normal"/>
    <w:semiHidden/>
    <w:rsid w:val="00AD6330"/>
    <w:pPr>
      <w:ind w:left="720"/>
    </w:pPr>
  </w:style>
  <w:style w:type="character" w:styleId="PageNumber">
    <w:name w:val="page number"/>
    <w:basedOn w:val="DefaultParagraphFont"/>
    <w:semiHidden/>
    <w:rsid w:val="00AD6330"/>
  </w:style>
  <w:style w:type="paragraph" w:customStyle="1" w:styleId="Recommend">
    <w:name w:val="Recommend"/>
    <w:basedOn w:val="Normal"/>
    <w:rsid w:val="00AD6330"/>
  </w:style>
  <w:style w:type="paragraph" w:customStyle="1" w:styleId="subject">
    <w:name w:val="subject"/>
    <w:basedOn w:val="Normal"/>
    <w:rsid w:val="00AD6330"/>
    <w:pPr>
      <w:tabs>
        <w:tab w:val="left" w:pos="1008"/>
      </w:tabs>
      <w:ind w:left="990" w:hanging="990"/>
    </w:pPr>
    <w:rPr>
      <w:b/>
    </w:rPr>
  </w:style>
  <w:style w:type="paragraph" w:customStyle="1" w:styleId="Summary">
    <w:name w:val="Summary"/>
    <w:basedOn w:val="Normal"/>
    <w:rsid w:val="00AD6330"/>
    <w:pPr>
      <w:ind w:left="2160" w:hanging="2160"/>
    </w:pPr>
  </w:style>
  <w:style w:type="paragraph" w:customStyle="1" w:styleId="Text">
    <w:name w:val="Text"/>
    <w:basedOn w:val="Normal"/>
    <w:link w:val="TextChar"/>
    <w:rsid w:val="00AD6330"/>
    <w:pPr>
      <w:tabs>
        <w:tab w:val="left" w:pos="720"/>
        <w:tab w:val="left" w:pos="1440"/>
        <w:tab w:val="left" w:pos="2160"/>
        <w:tab w:val="center" w:pos="4320"/>
      </w:tabs>
      <w:spacing w:line="480" w:lineRule="atLeast"/>
      <w:ind w:firstLine="540"/>
    </w:pPr>
  </w:style>
  <w:style w:type="paragraph" w:customStyle="1" w:styleId="Title1">
    <w:name w:val="Title1"/>
    <w:basedOn w:val="Normal"/>
    <w:rsid w:val="00AD6330"/>
    <w:pPr>
      <w:tabs>
        <w:tab w:val="left" w:pos="5760"/>
        <w:tab w:val="left" w:pos="6480"/>
      </w:tabs>
      <w:spacing w:line="240" w:lineRule="atLeast"/>
    </w:pPr>
  </w:style>
  <w:style w:type="paragraph" w:customStyle="1" w:styleId="Titles">
    <w:name w:val="Titles"/>
    <w:basedOn w:val="Normal"/>
    <w:rsid w:val="00AD6330"/>
    <w:pPr>
      <w:tabs>
        <w:tab w:val="left" w:pos="2160"/>
      </w:tabs>
      <w:ind w:left="2160" w:hanging="2160"/>
    </w:pPr>
    <w:rPr>
      <w:b/>
    </w:rPr>
  </w:style>
  <w:style w:type="paragraph" w:styleId="TOAHeading">
    <w:name w:val="toa heading"/>
    <w:basedOn w:val="Normal"/>
    <w:next w:val="Normal"/>
    <w:semiHidden/>
    <w:rsid w:val="00AD6330"/>
    <w:pPr>
      <w:spacing w:before="120"/>
    </w:pPr>
    <w:rPr>
      <w:b/>
    </w:rPr>
  </w:style>
  <w:style w:type="paragraph" w:styleId="TOC1">
    <w:name w:val="toc 1"/>
    <w:basedOn w:val="Normal"/>
    <w:next w:val="Normal"/>
    <w:autoRedefine/>
    <w:semiHidden/>
    <w:rsid w:val="00AD6330"/>
  </w:style>
  <w:style w:type="paragraph" w:styleId="TOC2">
    <w:name w:val="toc 2"/>
    <w:basedOn w:val="Normal"/>
    <w:next w:val="Normal"/>
    <w:autoRedefine/>
    <w:semiHidden/>
    <w:rsid w:val="00AD6330"/>
    <w:pPr>
      <w:ind w:left="259"/>
    </w:pPr>
  </w:style>
  <w:style w:type="paragraph" w:styleId="TOC3">
    <w:name w:val="toc 3"/>
    <w:basedOn w:val="Normal"/>
    <w:next w:val="Normal"/>
    <w:autoRedefine/>
    <w:semiHidden/>
    <w:rsid w:val="00AD6330"/>
    <w:pPr>
      <w:ind w:left="520"/>
    </w:pPr>
  </w:style>
  <w:style w:type="paragraph" w:styleId="TOC4">
    <w:name w:val="toc 4"/>
    <w:basedOn w:val="Normal"/>
    <w:next w:val="Normal"/>
    <w:autoRedefine/>
    <w:semiHidden/>
    <w:rsid w:val="00AD6330"/>
    <w:pPr>
      <w:ind w:left="780"/>
    </w:pPr>
  </w:style>
  <w:style w:type="paragraph" w:styleId="TOC5">
    <w:name w:val="toc 5"/>
    <w:basedOn w:val="Normal"/>
    <w:next w:val="Normal"/>
    <w:autoRedefine/>
    <w:semiHidden/>
    <w:rsid w:val="00AD6330"/>
    <w:pPr>
      <w:ind w:left="1040"/>
    </w:pPr>
  </w:style>
  <w:style w:type="paragraph" w:styleId="TOC6">
    <w:name w:val="toc 6"/>
    <w:basedOn w:val="Normal"/>
    <w:next w:val="Normal"/>
    <w:autoRedefine/>
    <w:semiHidden/>
    <w:rsid w:val="00AD6330"/>
    <w:pPr>
      <w:ind w:left="1300"/>
    </w:pPr>
  </w:style>
  <w:style w:type="paragraph" w:styleId="TOC7">
    <w:name w:val="toc 7"/>
    <w:basedOn w:val="Normal"/>
    <w:next w:val="Normal"/>
    <w:autoRedefine/>
    <w:semiHidden/>
    <w:rsid w:val="00AD6330"/>
    <w:pPr>
      <w:ind w:left="1560"/>
    </w:pPr>
  </w:style>
  <w:style w:type="paragraph" w:styleId="TOC8">
    <w:name w:val="toc 8"/>
    <w:basedOn w:val="Normal"/>
    <w:next w:val="Normal"/>
    <w:autoRedefine/>
    <w:semiHidden/>
    <w:rsid w:val="00AD6330"/>
    <w:pPr>
      <w:ind w:left="1820"/>
    </w:pPr>
  </w:style>
  <w:style w:type="paragraph" w:styleId="TOC9">
    <w:name w:val="toc 9"/>
    <w:basedOn w:val="Normal"/>
    <w:next w:val="Normal"/>
    <w:autoRedefine/>
    <w:semiHidden/>
    <w:rsid w:val="00AD6330"/>
    <w:pPr>
      <w:ind w:left="2080"/>
    </w:pPr>
  </w:style>
  <w:style w:type="paragraph" w:customStyle="1" w:styleId="Contents">
    <w:name w:val="Contents"/>
    <w:basedOn w:val="Normal"/>
    <w:rsid w:val="00AD6330"/>
    <w:pPr>
      <w:jc w:val="center"/>
    </w:pPr>
    <w:rPr>
      <w:b/>
      <w:spacing w:val="100"/>
    </w:rPr>
  </w:style>
  <w:style w:type="character" w:styleId="Hyperlink">
    <w:name w:val="Hyperlink"/>
    <w:basedOn w:val="DefaultParagraphFont"/>
    <w:uiPriority w:val="99"/>
    <w:unhideWhenUsed/>
    <w:rsid w:val="009B1281"/>
    <w:rPr>
      <w:color w:val="0000FF" w:themeColor="hyperlink"/>
      <w:u w:val="single"/>
    </w:rPr>
  </w:style>
  <w:style w:type="character" w:styleId="UnresolvedMention">
    <w:name w:val="Unresolved Mention"/>
    <w:basedOn w:val="DefaultParagraphFont"/>
    <w:uiPriority w:val="99"/>
    <w:semiHidden/>
    <w:unhideWhenUsed/>
    <w:rsid w:val="009B1281"/>
    <w:rPr>
      <w:color w:val="605E5C"/>
      <w:shd w:val="clear" w:color="auto" w:fill="E1DFDD"/>
    </w:rPr>
  </w:style>
  <w:style w:type="paragraph" w:styleId="NormalWeb">
    <w:name w:val="Normal (Web)"/>
    <w:basedOn w:val="Normal"/>
    <w:uiPriority w:val="99"/>
    <w:unhideWhenUsed/>
    <w:rsid w:val="00591AD1"/>
    <w:rPr>
      <w:sz w:val="24"/>
      <w:szCs w:val="24"/>
    </w:rPr>
  </w:style>
  <w:style w:type="paragraph" w:styleId="ListParagraph">
    <w:name w:val="List Paragraph"/>
    <w:basedOn w:val="Normal"/>
    <w:uiPriority w:val="34"/>
    <w:qFormat/>
    <w:rsid w:val="00F435AF"/>
    <w:pPr>
      <w:ind w:left="720"/>
      <w:contextualSpacing/>
    </w:pPr>
  </w:style>
  <w:style w:type="character" w:customStyle="1" w:styleId="ssit">
    <w:name w:val="ss_it"/>
    <w:basedOn w:val="DefaultParagraphFont"/>
    <w:rsid w:val="00495065"/>
  </w:style>
  <w:style w:type="character" w:customStyle="1" w:styleId="sssh">
    <w:name w:val="ss_sh"/>
    <w:basedOn w:val="DefaultParagraphFont"/>
    <w:rsid w:val="00495065"/>
  </w:style>
  <w:style w:type="paragraph" w:customStyle="1" w:styleId="Default">
    <w:name w:val="Default"/>
    <w:rsid w:val="00D35444"/>
    <w:pPr>
      <w:autoSpaceDE w:val="0"/>
      <w:autoSpaceDN w:val="0"/>
      <w:adjustRightInd w:val="0"/>
    </w:pPr>
    <w:rPr>
      <w:rFonts w:ascii="Century Schoolbook" w:hAnsi="Century Schoolbook" w:cs="Century Schoolbook"/>
      <w:color w:val="000000"/>
      <w:sz w:val="24"/>
      <w:szCs w:val="24"/>
    </w:rPr>
  </w:style>
  <w:style w:type="character" w:customStyle="1" w:styleId="TextChar">
    <w:name w:val="Text Char"/>
    <w:link w:val="Text"/>
    <w:locked/>
    <w:rsid w:val="008D3093"/>
    <w:rPr>
      <w:rFonts w:ascii="Century Schoolbook" w:hAnsi="Century Schoolbook"/>
      <w:sz w:val="27"/>
    </w:rPr>
  </w:style>
  <w:style w:type="character" w:customStyle="1" w:styleId="ac">
    <w:name w:val="ac"/>
    <w:basedOn w:val="DefaultParagraphFont"/>
    <w:rsid w:val="00604C4C"/>
  </w:style>
  <w:style w:type="character" w:customStyle="1" w:styleId="ssparalabel">
    <w:name w:val="ss_paralabel"/>
    <w:basedOn w:val="DefaultParagraphFont"/>
    <w:rsid w:val="005B5FE7"/>
  </w:style>
  <w:style w:type="character" w:customStyle="1" w:styleId="ssbf">
    <w:name w:val="ss_bf"/>
    <w:basedOn w:val="DefaultParagraphFont"/>
    <w:rsid w:val="005B5FE7"/>
  </w:style>
  <w:style w:type="character" w:customStyle="1" w:styleId="ssparacontent">
    <w:name w:val="ss_paracontent"/>
    <w:basedOn w:val="DefaultParagraphFont"/>
    <w:rsid w:val="005B5FE7"/>
  </w:style>
  <w:style w:type="character" w:customStyle="1" w:styleId="ssrfcpassagedeactivated">
    <w:name w:val="ss_rfcpassage_deactivated"/>
    <w:basedOn w:val="DefaultParagraphFont"/>
    <w:rsid w:val="002A0A6F"/>
  </w:style>
  <w:style w:type="character" w:customStyle="1" w:styleId="ssrfcsection">
    <w:name w:val="ss_rfcsection"/>
    <w:basedOn w:val="DefaultParagraphFont"/>
    <w:rsid w:val="002A0A6F"/>
  </w:style>
  <w:style w:type="character" w:styleId="CommentReference">
    <w:name w:val="annotation reference"/>
    <w:basedOn w:val="DefaultParagraphFont"/>
    <w:uiPriority w:val="99"/>
    <w:semiHidden/>
    <w:unhideWhenUsed/>
    <w:rsid w:val="00822FC6"/>
    <w:rPr>
      <w:sz w:val="16"/>
      <w:szCs w:val="16"/>
    </w:rPr>
  </w:style>
  <w:style w:type="paragraph" w:styleId="CommentText">
    <w:name w:val="annotation text"/>
    <w:basedOn w:val="Normal"/>
    <w:link w:val="CommentTextChar"/>
    <w:uiPriority w:val="99"/>
    <w:unhideWhenUsed/>
    <w:rsid w:val="00822FC6"/>
    <w:rPr>
      <w:sz w:val="20"/>
    </w:rPr>
  </w:style>
  <w:style w:type="character" w:customStyle="1" w:styleId="CommentTextChar">
    <w:name w:val="Comment Text Char"/>
    <w:basedOn w:val="DefaultParagraphFont"/>
    <w:link w:val="CommentText"/>
    <w:uiPriority w:val="99"/>
    <w:rsid w:val="00822FC6"/>
  </w:style>
  <w:style w:type="paragraph" w:styleId="CommentSubject">
    <w:name w:val="annotation subject"/>
    <w:basedOn w:val="CommentText"/>
    <w:next w:val="CommentText"/>
    <w:link w:val="CommentSubjectChar"/>
    <w:uiPriority w:val="99"/>
    <w:semiHidden/>
    <w:unhideWhenUsed/>
    <w:rsid w:val="00822FC6"/>
    <w:rPr>
      <w:b/>
      <w:bCs/>
    </w:rPr>
  </w:style>
  <w:style w:type="character" w:customStyle="1" w:styleId="CommentSubjectChar">
    <w:name w:val="Comment Subject Char"/>
    <w:basedOn w:val="CommentTextChar"/>
    <w:link w:val="CommentSubject"/>
    <w:uiPriority w:val="99"/>
    <w:semiHidden/>
    <w:rsid w:val="00822FC6"/>
    <w:rPr>
      <w:b/>
      <w:bCs/>
    </w:rPr>
  </w:style>
  <w:style w:type="character" w:customStyle="1" w:styleId="FootnoteTextChar">
    <w:name w:val="Footnote Text Char"/>
    <w:basedOn w:val="DefaultParagraphFont"/>
    <w:link w:val="FootnoteText"/>
    <w:rsid w:val="00BE3C3A"/>
    <w:rPr>
      <w:rFonts w:ascii="Century Schoolbook" w:hAnsi="Century Schoolbook"/>
      <w:sz w:val="27"/>
    </w:rPr>
  </w:style>
  <w:style w:type="character" w:customStyle="1" w:styleId="Title3">
    <w:name w:val="Title3"/>
    <w:basedOn w:val="DefaultParagraphFont"/>
    <w:rsid w:val="001A667F"/>
  </w:style>
  <w:style w:type="character" w:styleId="FollowedHyperlink">
    <w:name w:val="FollowedHyperlink"/>
    <w:basedOn w:val="DefaultParagraphFont"/>
    <w:uiPriority w:val="99"/>
    <w:semiHidden/>
    <w:unhideWhenUsed/>
    <w:rsid w:val="007347D3"/>
    <w:rPr>
      <w:color w:val="800080" w:themeColor="followedHyperlink"/>
      <w:u w:val="single"/>
    </w:rPr>
  </w:style>
  <w:style w:type="character" w:styleId="PlaceholderText">
    <w:name w:val="Placeholder Text"/>
    <w:basedOn w:val="DefaultParagraphFont"/>
    <w:uiPriority w:val="99"/>
    <w:semiHidden/>
    <w:rsid w:val="00036FF2"/>
    <w:rPr>
      <w:color w:val="808080"/>
    </w:rPr>
  </w:style>
  <w:style w:type="character" w:customStyle="1" w:styleId="Date1">
    <w:name w:val="Date1"/>
    <w:basedOn w:val="DefaultParagraphFont"/>
    <w:rsid w:val="00DE406C"/>
  </w:style>
  <w:style w:type="character" w:customStyle="1" w:styleId="active-reporter">
    <w:name w:val="active-reporter"/>
    <w:basedOn w:val="DefaultParagraphFont"/>
    <w:rsid w:val="00DE406C"/>
  </w:style>
  <w:style w:type="paragraph" w:styleId="Revision">
    <w:name w:val="Revision"/>
    <w:hidden/>
    <w:uiPriority w:val="99"/>
    <w:semiHidden/>
    <w:rsid w:val="0096710B"/>
    <w:rPr>
      <w:sz w:val="26"/>
    </w:rPr>
  </w:style>
  <w:style w:type="character" w:customStyle="1" w:styleId="Heading3Char">
    <w:name w:val="Heading 3 Char"/>
    <w:basedOn w:val="DefaultParagraphFont"/>
    <w:link w:val="Heading3"/>
    <w:rsid w:val="00A02F8A"/>
    <w:rPr>
      <w:rFonts w:ascii="Century Schoolbook" w:hAnsi="Century Schoolbook"/>
      <w:i/>
      <w:sz w:val="27"/>
    </w:rPr>
  </w:style>
  <w:style w:type="paragraph" w:styleId="BodyText">
    <w:name w:val="Body Text"/>
    <w:basedOn w:val="Normal"/>
    <w:link w:val="BodyTextChar"/>
    <w:qFormat/>
    <w:rsid w:val="00AD6330"/>
  </w:style>
  <w:style w:type="character" w:customStyle="1" w:styleId="BodyTextChar">
    <w:name w:val="Body Text Char"/>
    <w:basedOn w:val="DefaultParagraphFont"/>
    <w:link w:val="BodyText"/>
    <w:rsid w:val="00AD6330"/>
    <w:rPr>
      <w:rFonts w:ascii="Century Schoolbook" w:hAnsi="Century Schoolbook"/>
      <w:sz w:val="27"/>
    </w:rPr>
  </w:style>
  <w:style w:type="character" w:customStyle="1" w:styleId="FooterChar">
    <w:name w:val="Footer Char"/>
    <w:basedOn w:val="DefaultParagraphFont"/>
    <w:link w:val="Footer"/>
    <w:uiPriority w:val="99"/>
    <w:rsid w:val="002D5F21"/>
    <w:rPr>
      <w:rFonts w:ascii="Century Schoolbook" w:hAnsi="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4.xml" /><Relationship Id="rId15" Type="http://schemas.openxmlformats.org/officeDocument/2006/relationships/footer" Target="footer5.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5A314-BBA0-4873-93AF-0C12BD4F9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4598</Words>
  <Characters>26213</Characters>
  <Application>Microsoft Office Word</Application>
  <DocSecurity>0</DocSecurity>
  <Lines>218</Lines>
  <Paragraphs>61</Paragraphs>
  <ScaleCrop>false</ScaleCrop>
  <Company/>
  <LinksUpToDate>false</LinksUpToDate>
  <CharactersWithSpaces>30750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2024-08-15T16:37:41Z</dcterms:created>
  <dcterms:modified xsi:type="dcterms:W3CDTF">2024-08-15T16:37:41Z</dcterms:modified>
</cp:coreProperties>
</file>