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54969" w14:textId="77777777" w:rsidR="00F12F59" w:rsidRDefault="00000000" w:rsidP="00D301B4">
      <w:pPr>
        <w:tabs>
          <w:tab w:val="left" w:pos="1440"/>
          <w:tab w:val="left" w:pos="4680"/>
          <w:tab w:val="center" w:pos="7200"/>
        </w:tabs>
        <w:spacing w:after="0"/>
        <w:jc w:val="center"/>
        <w:rPr>
          <w:sz w:val="36"/>
        </w:rPr>
      </w:pPr>
      <w:bookmarkStart w:id="0" w:name="MarkDocLoc"/>
      <w:bookmarkEnd w:id="0"/>
      <w:r>
        <w:rPr>
          <w:b/>
          <w:sz w:val="36"/>
        </w:rPr>
        <w:t>IN THE SUPREME COURT OF CALIFORNIA</w:t>
      </w:r>
    </w:p>
    <w:p w14:paraId="0725496A" w14:textId="77777777" w:rsidR="00142DAE" w:rsidRDefault="00142DAE" w:rsidP="00D301B4">
      <w:pPr>
        <w:tabs>
          <w:tab w:val="left" w:pos="1440"/>
          <w:tab w:val="left" w:pos="4680"/>
          <w:tab w:val="center" w:pos="7200"/>
        </w:tabs>
        <w:spacing w:after="0"/>
        <w:jc w:val="center"/>
      </w:pPr>
    </w:p>
    <w:p w14:paraId="0725496B" w14:textId="77777777" w:rsidR="00142DAE" w:rsidRDefault="00000000" w:rsidP="00D301B4">
      <w:pPr>
        <w:tabs>
          <w:tab w:val="left" w:pos="1440"/>
          <w:tab w:val="left" w:pos="4680"/>
          <w:tab w:val="center" w:pos="7200"/>
        </w:tabs>
        <w:spacing w:after="0"/>
        <w:jc w:val="center"/>
      </w:pPr>
      <w:r>
        <w:t>THE PEOPLE,</w:t>
      </w:r>
    </w:p>
    <w:p w14:paraId="0725496C" w14:textId="77777777" w:rsidR="00142DAE" w:rsidRDefault="00000000" w:rsidP="00D301B4">
      <w:pPr>
        <w:tabs>
          <w:tab w:val="left" w:pos="1440"/>
          <w:tab w:val="left" w:pos="4680"/>
          <w:tab w:val="center" w:pos="7200"/>
        </w:tabs>
        <w:spacing w:after="0"/>
        <w:jc w:val="center"/>
      </w:pPr>
      <w:r>
        <w:t>Plaintiff and Respondent,</w:t>
      </w:r>
    </w:p>
    <w:p w14:paraId="0725496D" w14:textId="77777777" w:rsidR="00142DAE" w:rsidRDefault="00000000" w:rsidP="00D301B4">
      <w:pPr>
        <w:tabs>
          <w:tab w:val="left" w:pos="1440"/>
          <w:tab w:val="left" w:pos="4680"/>
          <w:tab w:val="center" w:pos="7200"/>
        </w:tabs>
        <w:spacing w:after="0"/>
        <w:jc w:val="center"/>
      </w:pPr>
      <w:r>
        <w:t>v.</w:t>
      </w:r>
    </w:p>
    <w:p w14:paraId="0725496E" w14:textId="77777777" w:rsidR="00142DAE" w:rsidRDefault="00000000" w:rsidP="00D301B4">
      <w:pPr>
        <w:tabs>
          <w:tab w:val="left" w:pos="1440"/>
          <w:tab w:val="left" w:pos="4680"/>
          <w:tab w:val="center" w:pos="7200"/>
        </w:tabs>
        <w:spacing w:after="0"/>
        <w:jc w:val="center"/>
      </w:pPr>
      <w:r>
        <w:t>LUIS RAMON MANZANO ARELLANO,</w:t>
      </w:r>
    </w:p>
    <w:p w14:paraId="0725496F" w14:textId="77777777" w:rsidR="00142DAE" w:rsidRDefault="00000000" w:rsidP="003D46CA">
      <w:pPr>
        <w:tabs>
          <w:tab w:val="left" w:pos="1440"/>
          <w:tab w:val="left" w:pos="4680"/>
          <w:tab w:val="center" w:pos="7200"/>
        </w:tabs>
        <w:spacing w:after="0"/>
        <w:jc w:val="center"/>
      </w:pPr>
      <w:r>
        <w:t>Defendant and Appellant.</w:t>
      </w:r>
    </w:p>
    <w:p w14:paraId="07254970" w14:textId="77777777" w:rsidR="00142DAE" w:rsidRDefault="00142DAE" w:rsidP="00D301B4">
      <w:pPr>
        <w:tabs>
          <w:tab w:val="left" w:pos="1440"/>
          <w:tab w:val="left" w:pos="4680"/>
          <w:tab w:val="center" w:pos="7200"/>
        </w:tabs>
        <w:spacing w:after="0"/>
        <w:jc w:val="center"/>
      </w:pPr>
    </w:p>
    <w:p w14:paraId="07254971" w14:textId="77777777" w:rsidR="00142DAE" w:rsidRDefault="00000000" w:rsidP="00D301B4">
      <w:pPr>
        <w:tabs>
          <w:tab w:val="left" w:pos="1440"/>
          <w:tab w:val="left" w:pos="4680"/>
          <w:tab w:val="center" w:pos="7200"/>
        </w:tabs>
        <w:spacing w:after="0"/>
        <w:jc w:val="center"/>
      </w:pPr>
      <w:r>
        <w:t>S277962</w:t>
      </w:r>
    </w:p>
    <w:p w14:paraId="07254972" w14:textId="77777777" w:rsidR="00142DAE" w:rsidRDefault="00142DAE" w:rsidP="00D301B4">
      <w:pPr>
        <w:tabs>
          <w:tab w:val="left" w:pos="1440"/>
          <w:tab w:val="left" w:pos="4680"/>
          <w:tab w:val="center" w:pos="7200"/>
        </w:tabs>
        <w:spacing w:after="0"/>
        <w:jc w:val="center"/>
      </w:pPr>
    </w:p>
    <w:p w14:paraId="07254973" w14:textId="77777777" w:rsidR="00142DAE" w:rsidRDefault="00000000" w:rsidP="00D301B4">
      <w:pPr>
        <w:tabs>
          <w:tab w:val="left" w:pos="1440"/>
          <w:tab w:val="left" w:pos="4680"/>
          <w:tab w:val="center" w:pos="7200"/>
        </w:tabs>
        <w:spacing w:after="0"/>
        <w:jc w:val="center"/>
      </w:pPr>
      <w:r>
        <w:t>Sixth Appellate District</w:t>
      </w:r>
    </w:p>
    <w:p w14:paraId="07254974" w14:textId="77777777" w:rsidR="00142DAE" w:rsidRDefault="00000000" w:rsidP="00D301B4">
      <w:pPr>
        <w:tabs>
          <w:tab w:val="left" w:pos="1440"/>
          <w:tab w:val="left" w:pos="4680"/>
          <w:tab w:val="center" w:pos="7200"/>
        </w:tabs>
        <w:spacing w:after="0"/>
        <w:jc w:val="center"/>
      </w:pPr>
      <w:r>
        <w:t>H049413</w:t>
      </w:r>
    </w:p>
    <w:p w14:paraId="07254975" w14:textId="77777777" w:rsidR="00142DAE" w:rsidRDefault="00142DAE" w:rsidP="00D301B4">
      <w:pPr>
        <w:tabs>
          <w:tab w:val="left" w:pos="1440"/>
          <w:tab w:val="left" w:pos="4680"/>
          <w:tab w:val="center" w:pos="7200"/>
        </w:tabs>
        <w:spacing w:after="0"/>
        <w:jc w:val="center"/>
      </w:pPr>
    </w:p>
    <w:p w14:paraId="07254976" w14:textId="77777777" w:rsidR="00142DAE" w:rsidRDefault="00000000" w:rsidP="00D301B4">
      <w:pPr>
        <w:tabs>
          <w:tab w:val="left" w:pos="1440"/>
          <w:tab w:val="left" w:pos="4680"/>
          <w:tab w:val="center" w:pos="7200"/>
        </w:tabs>
        <w:spacing w:after="0"/>
        <w:jc w:val="center"/>
      </w:pPr>
      <w:r>
        <w:t>Santa Clara County</w:t>
      </w:r>
      <w:r w:rsidR="008874F1">
        <w:t xml:space="preserve"> Superior Court</w:t>
      </w:r>
    </w:p>
    <w:p w14:paraId="07254977" w14:textId="77777777" w:rsidR="00142DAE" w:rsidRDefault="00000000" w:rsidP="00D301B4">
      <w:pPr>
        <w:tabs>
          <w:tab w:val="left" w:pos="1440"/>
          <w:tab w:val="left" w:pos="4680"/>
          <w:tab w:val="center" w:pos="7200"/>
        </w:tabs>
        <w:spacing w:after="0"/>
        <w:jc w:val="center"/>
      </w:pPr>
      <w:r>
        <w:t>159386</w:t>
      </w:r>
    </w:p>
    <w:p w14:paraId="07254978" w14:textId="77777777" w:rsidR="00142DAE" w:rsidRDefault="00142DAE" w:rsidP="00660702">
      <w:pPr>
        <w:pBdr>
          <w:bottom w:val="single" w:sz="4" w:space="1" w:color="auto"/>
        </w:pBdr>
        <w:tabs>
          <w:tab w:val="left" w:pos="1440"/>
          <w:tab w:val="left" w:pos="4680"/>
          <w:tab w:val="center" w:pos="7200"/>
        </w:tabs>
        <w:spacing w:after="0"/>
        <w:jc w:val="center"/>
      </w:pPr>
    </w:p>
    <w:p w14:paraId="07254979" w14:textId="77777777" w:rsidR="00142DAE" w:rsidRDefault="00142DAE" w:rsidP="00660702">
      <w:pPr>
        <w:tabs>
          <w:tab w:val="left" w:pos="1440"/>
          <w:tab w:val="left" w:pos="4680"/>
          <w:tab w:val="center" w:pos="7200"/>
        </w:tabs>
        <w:spacing w:after="0"/>
        <w:jc w:val="center"/>
      </w:pPr>
    </w:p>
    <w:p w14:paraId="0725497A" w14:textId="77777777" w:rsidR="00142DAE" w:rsidRDefault="00000000" w:rsidP="00660702">
      <w:pPr>
        <w:tabs>
          <w:tab w:val="left" w:pos="1440"/>
          <w:tab w:val="left" w:pos="4680"/>
          <w:tab w:val="center" w:pos="7200"/>
        </w:tabs>
        <w:spacing w:after="0"/>
        <w:jc w:val="center"/>
      </w:pPr>
      <w:r w:rsidRPr="00222C65">
        <w:t>July 11</w:t>
      </w:r>
      <w:r>
        <w:t>, 2024</w:t>
      </w:r>
    </w:p>
    <w:p w14:paraId="0725497B" w14:textId="77777777" w:rsidR="00142DAE" w:rsidRDefault="00142DAE" w:rsidP="00660702">
      <w:pPr>
        <w:tabs>
          <w:tab w:val="left" w:pos="1440"/>
          <w:tab w:val="left" w:pos="4680"/>
          <w:tab w:val="center" w:pos="7200"/>
        </w:tabs>
        <w:spacing w:after="0"/>
        <w:jc w:val="center"/>
      </w:pPr>
    </w:p>
    <w:p w14:paraId="0725497C" w14:textId="77777777" w:rsidR="00142DAE" w:rsidRDefault="00000000" w:rsidP="00660702">
      <w:pPr>
        <w:tabs>
          <w:tab w:val="left" w:pos="1440"/>
          <w:tab w:val="left" w:pos="4680"/>
          <w:tab w:val="center" w:pos="7200"/>
        </w:tabs>
        <w:spacing w:after="0"/>
        <w:jc w:val="left"/>
      </w:pPr>
      <w:r>
        <w:t xml:space="preserve">Justice Evans authored the opinion of the Court, in which </w:t>
      </w:r>
      <w:r w:rsidR="00222C65" w:rsidRPr="00222C65">
        <w:t>Chief Justice Guerrero and Justices Corrigan, Liu, Kruger, Groban, and Jenkins</w:t>
      </w:r>
      <w:r>
        <w:t xml:space="preserve"> concurred.</w:t>
      </w:r>
    </w:p>
    <w:p w14:paraId="0725497D" w14:textId="77777777" w:rsidR="00142DAE" w:rsidRPr="00142DAE" w:rsidRDefault="00142DAE" w:rsidP="00660702">
      <w:pPr>
        <w:pBdr>
          <w:bottom w:val="single" w:sz="4" w:space="1" w:color="auto"/>
        </w:pBdr>
        <w:tabs>
          <w:tab w:val="left" w:pos="1440"/>
          <w:tab w:val="left" w:pos="4680"/>
          <w:tab w:val="center" w:pos="7200"/>
        </w:tabs>
        <w:spacing w:line="480" w:lineRule="atLeast"/>
        <w:jc w:val="left"/>
      </w:pPr>
      <w:bookmarkStart w:id="1" w:name="Return"/>
      <w:bookmarkEnd w:id="1"/>
    </w:p>
    <w:p w14:paraId="0725497E" w14:textId="77777777" w:rsidR="00142DAE" w:rsidRDefault="00142DAE">
      <w:pPr>
        <w:tabs>
          <w:tab w:val="left" w:pos="1440"/>
          <w:tab w:val="left" w:pos="4680"/>
          <w:tab w:val="center" w:pos="7200"/>
        </w:tabs>
        <w:spacing w:line="480" w:lineRule="atLeast"/>
        <w:sectPr w:rsidR="00142DAE" w:rsidSect="00660702">
          <w:headerReference w:type="default" r:id="rId7"/>
          <w:footerReference w:type="default" r:id="rId8"/>
          <w:pgSz w:w="12240" w:h="15840"/>
          <w:pgMar w:top="1800" w:right="2160" w:bottom="1440" w:left="2160" w:header="720" w:footer="720" w:gutter="0"/>
          <w:cols w:space="720"/>
          <w:titlePg/>
          <w:docGrid w:linePitch="367"/>
        </w:sectPr>
      </w:pPr>
    </w:p>
    <w:p w14:paraId="0725497F" w14:textId="77777777" w:rsidR="00142DAE" w:rsidRDefault="00000000" w:rsidP="00142DAE">
      <w:pPr>
        <w:tabs>
          <w:tab w:val="left" w:pos="1440"/>
          <w:tab w:val="left" w:pos="4680"/>
          <w:tab w:val="center" w:pos="7200"/>
        </w:tabs>
        <w:jc w:val="center"/>
      </w:pPr>
      <w:r>
        <w:lastRenderedPageBreak/>
        <w:t>PEOPLE v. ARELLANO</w:t>
      </w:r>
    </w:p>
    <w:p w14:paraId="07254980" w14:textId="77777777" w:rsidR="00142DAE" w:rsidRDefault="00000000" w:rsidP="00142DAE">
      <w:pPr>
        <w:tabs>
          <w:tab w:val="left" w:pos="1440"/>
          <w:tab w:val="left" w:pos="4680"/>
          <w:tab w:val="center" w:pos="7200"/>
        </w:tabs>
        <w:jc w:val="center"/>
      </w:pPr>
      <w:r>
        <w:t>S277962</w:t>
      </w:r>
    </w:p>
    <w:p w14:paraId="07254981" w14:textId="77777777" w:rsidR="00142DAE" w:rsidRDefault="00142DAE" w:rsidP="00142DAE">
      <w:pPr>
        <w:tabs>
          <w:tab w:val="left" w:pos="1440"/>
          <w:tab w:val="left" w:pos="4680"/>
          <w:tab w:val="center" w:pos="7200"/>
        </w:tabs>
        <w:jc w:val="center"/>
      </w:pPr>
    </w:p>
    <w:p w14:paraId="07254982" w14:textId="77777777" w:rsidR="00142DAE" w:rsidRDefault="00000000" w:rsidP="00142DAE">
      <w:pPr>
        <w:tabs>
          <w:tab w:val="left" w:pos="1440"/>
          <w:tab w:val="left" w:pos="4680"/>
          <w:tab w:val="center" w:pos="7200"/>
        </w:tabs>
        <w:jc w:val="center"/>
      </w:pPr>
      <w:r>
        <w:t>Opinion of the Court by Evans, J.</w:t>
      </w:r>
    </w:p>
    <w:p w14:paraId="07254983" w14:textId="77777777" w:rsidR="00142DAE" w:rsidRPr="00142DAE" w:rsidRDefault="00142DAE" w:rsidP="00660702">
      <w:pPr>
        <w:tabs>
          <w:tab w:val="left" w:pos="1440"/>
          <w:tab w:val="left" w:pos="4680"/>
          <w:tab w:val="center" w:pos="7200"/>
        </w:tabs>
        <w:jc w:val="center"/>
      </w:pPr>
    </w:p>
    <w:p w14:paraId="07254984" w14:textId="77777777" w:rsidR="005F200B" w:rsidRPr="00142DAE" w:rsidRDefault="00000000" w:rsidP="00660702">
      <w:pPr>
        <w:tabs>
          <w:tab w:val="left" w:pos="1440"/>
        </w:tabs>
        <w:ind w:firstLine="720"/>
      </w:pPr>
      <w:bookmarkStart w:id="2" w:name="justice"/>
      <w:bookmarkStart w:id="3" w:name="mainstory"/>
      <w:bookmarkEnd w:id="2"/>
      <w:bookmarkEnd w:id="3"/>
      <w:r w:rsidRPr="00142DAE">
        <w:t>Penal Code se</w:t>
      </w:r>
      <w:r w:rsidR="004D0BF7" w:rsidRPr="00142DAE">
        <w:t>ction 1172.6</w:t>
      </w:r>
      <w:r>
        <w:rPr>
          <w:rStyle w:val="FootnoteReference"/>
        </w:rPr>
        <w:footnoteReference w:id="2"/>
      </w:r>
      <w:r w:rsidR="004D0BF7" w:rsidRPr="00142DAE">
        <w:t xml:space="preserve"> provides a</w:t>
      </w:r>
      <w:r w:rsidR="002C59BD" w:rsidRPr="00142DAE">
        <w:t xml:space="preserve">n opportunity for criminal defendants who were convicted of murder under </w:t>
      </w:r>
      <w:r w:rsidR="0000188F" w:rsidRPr="00142DAE">
        <w:t xml:space="preserve">either </w:t>
      </w:r>
      <w:r w:rsidR="00CA46C8" w:rsidRPr="00142DAE">
        <w:t>a</w:t>
      </w:r>
      <w:r w:rsidR="00A85B46" w:rsidRPr="00142DAE">
        <w:t xml:space="preserve"> natural and probable consequences theory </w:t>
      </w:r>
      <w:r w:rsidR="00594E24" w:rsidRPr="00142DAE">
        <w:t xml:space="preserve">or </w:t>
      </w:r>
      <w:r w:rsidR="00DA53E8" w:rsidRPr="00142DAE">
        <w:t>(</w:t>
      </w:r>
      <w:r w:rsidR="00594E24" w:rsidRPr="00142DAE">
        <w:t>in some circumstances</w:t>
      </w:r>
      <w:r w:rsidR="00DA53E8" w:rsidRPr="00142DAE">
        <w:t>)</w:t>
      </w:r>
      <w:r w:rsidR="00594E24" w:rsidRPr="00142DAE">
        <w:t xml:space="preserve"> under a felony</w:t>
      </w:r>
      <w:r w:rsidR="00C71F04">
        <w:t>-</w:t>
      </w:r>
      <w:r w:rsidR="00594E24" w:rsidRPr="00142DAE">
        <w:t>murder theory</w:t>
      </w:r>
      <w:r w:rsidR="00550D96">
        <w:t> </w:t>
      </w:r>
      <w:r w:rsidR="00CA46C8" w:rsidRPr="00142DAE">
        <w:t xml:space="preserve">— and who could </w:t>
      </w:r>
      <w:r w:rsidR="001C3E3C" w:rsidRPr="00142DAE">
        <w:t>not be convicted of murder under the law as it currently stands</w:t>
      </w:r>
      <w:r w:rsidR="00550D96">
        <w:t> </w:t>
      </w:r>
      <w:r w:rsidR="0083080C" w:rsidRPr="00142DAE">
        <w:t>—</w:t>
      </w:r>
      <w:r w:rsidR="00F409B9" w:rsidRPr="00142DAE">
        <w:t xml:space="preserve"> </w:t>
      </w:r>
      <w:r w:rsidR="00594E24" w:rsidRPr="00142DAE">
        <w:t xml:space="preserve">to </w:t>
      </w:r>
      <w:r w:rsidR="00437A87" w:rsidRPr="00142DAE">
        <w:t xml:space="preserve">file a </w:t>
      </w:r>
      <w:r w:rsidR="00D6668F" w:rsidRPr="00142DAE">
        <w:t xml:space="preserve">petition </w:t>
      </w:r>
      <w:r w:rsidR="00B20517" w:rsidRPr="00142DAE">
        <w:t xml:space="preserve">to be </w:t>
      </w:r>
      <w:r w:rsidR="00594E24" w:rsidRPr="00142DAE">
        <w:t>resentenced.</w:t>
      </w:r>
      <w:r w:rsidR="000B0D02" w:rsidRPr="00142DAE">
        <w:t xml:space="preserve">  A successful petitioner </w:t>
      </w:r>
      <w:r w:rsidR="00F50D13" w:rsidRPr="00142DAE">
        <w:t xml:space="preserve">is entitled to have </w:t>
      </w:r>
      <w:r w:rsidR="001C3838" w:rsidRPr="00142DAE">
        <w:t xml:space="preserve">the </w:t>
      </w:r>
      <w:r w:rsidR="00D626E6" w:rsidRPr="00142DAE">
        <w:t xml:space="preserve">murder </w:t>
      </w:r>
      <w:r w:rsidR="001C3838" w:rsidRPr="00142DAE">
        <w:t>“conviction, and any allegations and enhancements attached to the conviction</w:t>
      </w:r>
      <w:r w:rsidR="007C59CA" w:rsidRPr="00142DAE">
        <w:t>” vacated and to be “resentenced on the remaining charges.”  (</w:t>
      </w:r>
      <w:r w:rsidR="007C59CA" w:rsidRPr="00142DAE">
        <w:rPr>
          <w:i/>
          <w:iCs/>
        </w:rPr>
        <w:t>Id</w:t>
      </w:r>
      <w:r w:rsidR="007C59CA" w:rsidRPr="00142DAE">
        <w:t>., subd. (d)(3).)</w:t>
      </w:r>
      <w:r w:rsidR="001E3595" w:rsidRPr="00142DAE">
        <w:t xml:space="preserve">  </w:t>
      </w:r>
      <w:r w:rsidR="00187935" w:rsidRPr="00142DAE">
        <w:t xml:space="preserve">But a </w:t>
      </w:r>
      <w:r w:rsidR="00524494" w:rsidRPr="00142DAE">
        <w:t>successful petitioner who was charged with murder “generically</w:t>
      </w:r>
      <w:r w:rsidR="00DF7102">
        <w:t>,</w:t>
      </w:r>
      <w:r w:rsidR="00524494" w:rsidRPr="00142DAE">
        <w:t xml:space="preserve"> and</w:t>
      </w:r>
      <w:r w:rsidR="00B072D4" w:rsidRPr="00142DAE">
        <w:t xml:space="preserve"> the target offense was not charged” </w:t>
      </w:r>
      <w:r w:rsidR="00821466" w:rsidRPr="00142DAE">
        <w:t xml:space="preserve">is entitled to </w:t>
      </w:r>
      <w:r w:rsidR="00743B6C" w:rsidRPr="00142DAE">
        <w:t xml:space="preserve">have </w:t>
      </w:r>
      <w:r w:rsidR="004760DA" w:rsidRPr="00142DAE">
        <w:t xml:space="preserve">the </w:t>
      </w:r>
      <w:r w:rsidR="00821466" w:rsidRPr="00142DAE">
        <w:t>murder</w:t>
      </w:r>
      <w:r w:rsidR="005E0ED6" w:rsidRPr="00142DAE">
        <w:t xml:space="preserve"> conviction </w:t>
      </w:r>
      <w:r w:rsidR="00BA0BC6" w:rsidRPr="00142DAE">
        <w:t>“redesignated” as “the target offense” of the natural and probable consequences theory</w:t>
      </w:r>
      <w:r w:rsidR="00550D96">
        <w:t> </w:t>
      </w:r>
      <w:r w:rsidR="00A13A2F" w:rsidRPr="00142DAE">
        <w:t xml:space="preserve">— </w:t>
      </w:r>
      <w:r w:rsidR="00BA0BC6" w:rsidRPr="00142DAE">
        <w:t xml:space="preserve">or </w:t>
      </w:r>
      <w:r w:rsidR="003C7C93" w:rsidRPr="00142DAE">
        <w:t xml:space="preserve">the </w:t>
      </w:r>
      <w:r w:rsidR="003E0CF7" w:rsidRPr="00142DAE">
        <w:t>“</w:t>
      </w:r>
      <w:r w:rsidR="003C7C93" w:rsidRPr="00142DAE">
        <w:t>underlying felony”</w:t>
      </w:r>
      <w:r w:rsidR="003E0CF7" w:rsidRPr="00142DAE">
        <w:t xml:space="preserve"> of the felony murder</w:t>
      </w:r>
      <w:r w:rsidR="00550D96">
        <w:t> </w:t>
      </w:r>
      <w:r w:rsidR="00A13A2F" w:rsidRPr="00142DAE">
        <w:t xml:space="preserve">— </w:t>
      </w:r>
      <w:r w:rsidR="003E0CF7" w:rsidRPr="00142DAE">
        <w:t xml:space="preserve">and </w:t>
      </w:r>
      <w:r w:rsidR="00535787">
        <w:t xml:space="preserve">to </w:t>
      </w:r>
      <w:r w:rsidR="003E0CF7" w:rsidRPr="00142DAE">
        <w:t xml:space="preserve">be resentenced </w:t>
      </w:r>
      <w:r w:rsidR="00A13A2F" w:rsidRPr="00142DAE">
        <w:t>accordingly.  (</w:t>
      </w:r>
      <w:r w:rsidR="00832E5D" w:rsidRPr="00142DAE">
        <w:rPr>
          <w:i/>
          <w:iCs/>
        </w:rPr>
        <w:t>Id</w:t>
      </w:r>
      <w:r w:rsidR="00832E5D" w:rsidRPr="00142DAE">
        <w:t>., subd. (e).)</w:t>
      </w:r>
      <w:r w:rsidR="002C6D7E" w:rsidRPr="00142DAE">
        <w:t xml:space="preserve">  </w:t>
      </w:r>
      <w:r w:rsidR="00794106" w:rsidRPr="00142DAE">
        <w:t xml:space="preserve">The </w:t>
      </w:r>
      <w:r w:rsidR="00CB0695" w:rsidRPr="00142DAE">
        <w:t xml:space="preserve">Attorney General asks us to </w:t>
      </w:r>
      <w:r w:rsidR="005B2DB2" w:rsidRPr="00142DAE">
        <w:t xml:space="preserve">hold that in resentencing a successful </w:t>
      </w:r>
      <w:r w:rsidR="001F2160" w:rsidRPr="00142DAE">
        <w:t>petitioner</w:t>
      </w:r>
      <w:r w:rsidR="00A60C06" w:rsidRPr="00142DAE">
        <w:t xml:space="preserve"> under </w:t>
      </w:r>
      <w:r w:rsidR="00E87368" w:rsidRPr="00142DAE">
        <w:t xml:space="preserve">the latter </w:t>
      </w:r>
      <w:r w:rsidR="00A60C06" w:rsidRPr="00142DAE">
        <w:t>subdivision</w:t>
      </w:r>
      <w:r w:rsidR="005B2DB2" w:rsidRPr="00142DAE">
        <w:t xml:space="preserve">, </w:t>
      </w:r>
      <w:r w:rsidR="008846A1" w:rsidRPr="00142DAE">
        <w:t xml:space="preserve">a </w:t>
      </w:r>
      <w:r w:rsidR="003140EF" w:rsidRPr="00142DAE">
        <w:t xml:space="preserve">superior </w:t>
      </w:r>
      <w:r w:rsidR="0073456D" w:rsidRPr="00142DAE">
        <w:t>court</w:t>
      </w:r>
      <w:r w:rsidR="008D3C6C" w:rsidRPr="00142DAE">
        <w:t xml:space="preserve"> </w:t>
      </w:r>
      <w:r w:rsidR="00BE1B2F" w:rsidRPr="00142DAE">
        <w:t xml:space="preserve">has the </w:t>
      </w:r>
      <w:r w:rsidR="00D95F2A" w:rsidRPr="00142DAE">
        <w:t>“flexibility” to</w:t>
      </w:r>
      <w:r w:rsidR="0073456D" w:rsidRPr="00142DAE">
        <w:t xml:space="preserve"> </w:t>
      </w:r>
      <w:r w:rsidR="00325F8D" w:rsidRPr="00142DAE">
        <w:t>a</w:t>
      </w:r>
      <w:r w:rsidR="00615684" w:rsidRPr="00142DAE">
        <w:t xml:space="preserve">dd </w:t>
      </w:r>
      <w:r w:rsidR="00A66ED9" w:rsidRPr="00142DAE">
        <w:t xml:space="preserve">to the redesignated conviction </w:t>
      </w:r>
      <w:r w:rsidR="009F7718" w:rsidRPr="00142DAE">
        <w:t xml:space="preserve">uncharged </w:t>
      </w:r>
      <w:r w:rsidR="00303BFA" w:rsidRPr="00142DAE">
        <w:t xml:space="preserve">and unproven </w:t>
      </w:r>
      <w:r w:rsidR="00FE4B88" w:rsidRPr="00142DAE">
        <w:t xml:space="preserve">offense-specific </w:t>
      </w:r>
      <w:r w:rsidR="009F7718" w:rsidRPr="00142DAE">
        <w:t>sentencing enhancements or allegations it deems “appropriate</w:t>
      </w:r>
      <w:r w:rsidR="008B7DDF" w:rsidRPr="00142DAE">
        <w:t>.</w:t>
      </w:r>
      <w:r w:rsidR="009F7718" w:rsidRPr="00142DAE">
        <w:t>”</w:t>
      </w:r>
      <w:r w:rsidR="00AF038B" w:rsidRPr="00142DAE">
        <w:t xml:space="preserve"> </w:t>
      </w:r>
      <w:r w:rsidR="00BB7511" w:rsidRPr="00142DAE">
        <w:t xml:space="preserve"> </w:t>
      </w:r>
    </w:p>
    <w:p w14:paraId="07254985" w14:textId="77777777" w:rsidR="00F12F59" w:rsidRPr="00142DAE" w:rsidRDefault="00000000" w:rsidP="00660702">
      <w:pPr>
        <w:tabs>
          <w:tab w:val="left" w:pos="1440"/>
        </w:tabs>
        <w:ind w:firstLine="720"/>
      </w:pPr>
      <w:r w:rsidRPr="00142DAE">
        <w:t>W</w:t>
      </w:r>
      <w:r w:rsidR="00BB7511" w:rsidRPr="00142DAE">
        <w:t xml:space="preserve">e hold that </w:t>
      </w:r>
      <w:r w:rsidR="00550D96">
        <w:t xml:space="preserve">the limited resentencing procedure under </w:t>
      </w:r>
      <w:r w:rsidR="00BB7511" w:rsidRPr="00142DAE">
        <w:t>section 1172.6</w:t>
      </w:r>
      <w:r w:rsidR="00550D96">
        <w:t xml:space="preserve">, subdivision (e) </w:t>
      </w:r>
      <w:r w:rsidR="00BB7511" w:rsidRPr="00142DAE">
        <w:t xml:space="preserve">does not permit a court to impose </w:t>
      </w:r>
      <w:r w:rsidR="00BB7511" w:rsidRPr="00142DAE">
        <w:lastRenderedPageBreak/>
        <w:t>a sentencing enhancement or allegation</w:t>
      </w:r>
      <w:r w:rsidR="00C00744" w:rsidRPr="00142DAE">
        <w:t xml:space="preserve"> </w:t>
      </w:r>
      <w:r w:rsidR="00550D96">
        <w:t xml:space="preserve">unless the enhancement or allegation was pled and </w:t>
      </w:r>
      <w:r w:rsidR="003B1B0B">
        <w:t xml:space="preserve">either </w:t>
      </w:r>
      <w:r w:rsidR="00550D96">
        <w:t>proven to the trier of fact or by the defendant’s admission in open court</w:t>
      </w:r>
      <w:r w:rsidR="00BB7511" w:rsidRPr="00142DAE">
        <w:t xml:space="preserve">.  </w:t>
      </w:r>
      <w:r w:rsidR="008727EE">
        <w:t xml:space="preserve">(See § 1170.1, subd. (e).)  </w:t>
      </w:r>
      <w:r w:rsidR="006E4C7D" w:rsidRPr="00142DAE">
        <w:t xml:space="preserve">We </w:t>
      </w:r>
      <w:r w:rsidR="003B1B0B" w:rsidRPr="00142DAE">
        <w:t>theref</w:t>
      </w:r>
      <w:r w:rsidR="003B1B0B">
        <w:t>o</w:t>
      </w:r>
      <w:r w:rsidR="003B1B0B" w:rsidRPr="00142DAE">
        <w:t>re</w:t>
      </w:r>
      <w:r w:rsidR="00C7718B" w:rsidRPr="00142DAE">
        <w:t xml:space="preserve"> </w:t>
      </w:r>
      <w:r w:rsidR="006E4C7D" w:rsidRPr="00142DAE">
        <w:t>a</w:t>
      </w:r>
      <w:r w:rsidR="00BB7511" w:rsidRPr="00142DAE">
        <w:t>ffirm the judgment of the Court of Appeal</w:t>
      </w:r>
      <w:r w:rsidR="00C7718B" w:rsidRPr="00142DAE">
        <w:t xml:space="preserve"> to the extent it </w:t>
      </w:r>
      <w:r w:rsidR="008727EE">
        <w:t xml:space="preserve">ordered stricken a </w:t>
      </w:r>
      <w:r w:rsidR="00DB155F" w:rsidRPr="00142DAE">
        <w:t>firearm</w:t>
      </w:r>
      <w:r w:rsidR="008727EE">
        <w:t xml:space="preserve"> use</w:t>
      </w:r>
      <w:r w:rsidR="00DB155F" w:rsidRPr="00142DAE">
        <w:t xml:space="preserve"> enhancemen</w:t>
      </w:r>
      <w:r w:rsidR="008727EE">
        <w:t>t that was neither found true by the jury nor admitted by defendant</w:t>
      </w:r>
      <w:r w:rsidR="00BB7511" w:rsidRPr="00142DAE">
        <w:t>.</w:t>
      </w:r>
      <w:r w:rsidR="00814600" w:rsidRPr="00142DAE">
        <w:t xml:space="preserve"> </w:t>
      </w:r>
    </w:p>
    <w:p w14:paraId="07254986" w14:textId="77777777" w:rsidR="00FA46A4" w:rsidRPr="00142DAE" w:rsidRDefault="00000000" w:rsidP="00142DAE">
      <w:pPr>
        <w:pStyle w:val="Heading1"/>
      </w:pPr>
      <w:r w:rsidRPr="00142DAE">
        <w:t>I.  Background</w:t>
      </w:r>
    </w:p>
    <w:p w14:paraId="07254987" w14:textId="77777777" w:rsidR="0047190D" w:rsidRPr="00142DAE" w:rsidRDefault="00000000" w:rsidP="00AB7464">
      <w:pPr>
        <w:tabs>
          <w:tab w:val="left" w:pos="1440"/>
        </w:tabs>
        <w:ind w:firstLine="720"/>
      </w:pPr>
      <w:r w:rsidRPr="00142DAE">
        <w:t xml:space="preserve">In January 1992, </w:t>
      </w:r>
      <w:r w:rsidR="003B63D7" w:rsidRPr="00142DAE">
        <w:t xml:space="preserve">J. Sacramento Benitez was killed during a </w:t>
      </w:r>
      <w:r w:rsidR="009A55A4" w:rsidRPr="00142DAE">
        <w:t>residential</w:t>
      </w:r>
      <w:r w:rsidR="003B63D7" w:rsidRPr="00142DAE">
        <w:t xml:space="preserve"> burglary and attempted robbery.  </w:t>
      </w:r>
      <w:r w:rsidR="00C62D11" w:rsidRPr="00142DAE">
        <w:t>T</w:t>
      </w:r>
      <w:r w:rsidR="00F15C9C" w:rsidRPr="00142DAE">
        <w:t xml:space="preserve">he Santa Clara </w:t>
      </w:r>
      <w:r w:rsidR="001638B9" w:rsidRPr="00142DAE">
        <w:t xml:space="preserve">County </w:t>
      </w:r>
      <w:r w:rsidR="00F15C9C" w:rsidRPr="00142DAE">
        <w:t xml:space="preserve">District Attorney filed a felony complaint charging </w:t>
      </w:r>
      <w:r w:rsidR="001521CA" w:rsidRPr="00142DAE">
        <w:t xml:space="preserve">defendant Luis Ramon Manzano Arellano </w:t>
      </w:r>
      <w:r w:rsidR="00272C53" w:rsidRPr="00142DAE">
        <w:t>and two codefendants, Arturo Mendoza and Jesus Antonio Mandujano</w:t>
      </w:r>
      <w:r w:rsidR="00486DAF" w:rsidRPr="00142DAE">
        <w:t xml:space="preserve">, </w:t>
      </w:r>
      <w:r w:rsidR="00CF1E62" w:rsidRPr="00142DAE">
        <w:t xml:space="preserve">with </w:t>
      </w:r>
      <w:r w:rsidR="001A7656" w:rsidRPr="00142DAE">
        <w:t>Benitez’s</w:t>
      </w:r>
      <w:r w:rsidR="00D47C05" w:rsidRPr="00142DAE">
        <w:t xml:space="preserve"> </w:t>
      </w:r>
      <w:r w:rsidR="00CF1E62" w:rsidRPr="00142DAE">
        <w:t>murder</w:t>
      </w:r>
      <w:r w:rsidR="00052524" w:rsidRPr="00142DAE">
        <w:t xml:space="preserve"> </w:t>
      </w:r>
      <w:r w:rsidR="007D21EB" w:rsidRPr="00142DAE">
        <w:t>(</w:t>
      </w:r>
      <w:r w:rsidR="00787748" w:rsidRPr="00142DAE">
        <w:t>§ 187, subd. (a)</w:t>
      </w:r>
      <w:r w:rsidR="00A45EE3" w:rsidRPr="00142DAE">
        <w:t>)</w:t>
      </w:r>
      <w:r w:rsidR="005A160F" w:rsidRPr="00142DAE">
        <w:t>, attempted robbery (§§</w:t>
      </w:r>
      <w:r w:rsidR="00163717">
        <w:t> </w:t>
      </w:r>
      <w:r w:rsidR="005A160F" w:rsidRPr="00142DAE">
        <w:t>664</w:t>
      </w:r>
      <w:r w:rsidR="002161E1">
        <w:t xml:space="preserve">, </w:t>
      </w:r>
      <w:r w:rsidR="005A160F" w:rsidRPr="00142DAE">
        <w:t>211, 212.5, subd. (a)</w:t>
      </w:r>
      <w:r w:rsidR="007C71E7" w:rsidRPr="00142DAE">
        <w:t>)</w:t>
      </w:r>
      <w:r w:rsidR="00052524" w:rsidRPr="00142DAE">
        <w:t>,</w:t>
      </w:r>
      <w:r w:rsidR="00E709A3" w:rsidRPr="00142DAE">
        <w:t xml:space="preserve"> and first degree burglary (§§ 459</w:t>
      </w:r>
      <w:r w:rsidR="00527563" w:rsidRPr="00142DAE">
        <w:t xml:space="preserve">, </w:t>
      </w:r>
      <w:r w:rsidR="00E709A3" w:rsidRPr="00142DAE">
        <w:t>460, subd. (a)</w:t>
      </w:r>
      <w:r w:rsidR="00787748" w:rsidRPr="00142DAE">
        <w:t>)</w:t>
      </w:r>
      <w:r w:rsidR="00BD3AF9" w:rsidRPr="00142DAE">
        <w:t>.</w:t>
      </w:r>
      <w:r w:rsidR="003C7FE8" w:rsidRPr="00142DAE">
        <w:t xml:space="preserve">  The murder and attempted robbery counts further alleged that each defendant personally used a firearm</w:t>
      </w:r>
      <w:r w:rsidR="003A3B86" w:rsidRPr="00142DAE">
        <w:t xml:space="preserve"> during the commission of th</w:t>
      </w:r>
      <w:r w:rsidR="002817CD" w:rsidRPr="00142DAE">
        <w:t>os</w:t>
      </w:r>
      <w:r w:rsidR="003A3B86" w:rsidRPr="00142DAE">
        <w:t>e offense</w:t>
      </w:r>
      <w:r w:rsidR="002817CD" w:rsidRPr="00142DAE">
        <w:t>s</w:t>
      </w:r>
      <w:r w:rsidR="003A3B86" w:rsidRPr="00142DAE">
        <w:t>.  (§</w:t>
      </w:r>
      <w:r w:rsidR="00243B08" w:rsidRPr="00142DAE">
        <w:t>§</w:t>
      </w:r>
      <w:r w:rsidR="003A3B86" w:rsidRPr="00142DAE">
        <w:t xml:space="preserve"> </w:t>
      </w:r>
      <w:r w:rsidR="00243B08" w:rsidRPr="00142DAE">
        <w:t xml:space="preserve">1203.06, </w:t>
      </w:r>
      <w:r w:rsidR="003A3B86" w:rsidRPr="00142DAE">
        <w:t>12022.5, subd. (a)</w:t>
      </w:r>
      <w:r w:rsidR="00471F1C" w:rsidRPr="00142DAE">
        <w:t>.)</w:t>
      </w:r>
      <w:r w:rsidRPr="00142DAE">
        <w:t xml:space="preserve">  </w:t>
      </w:r>
      <w:r w:rsidR="0036512C" w:rsidRPr="00142DAE">
        <w:t xml:space="preserve">Prior to the preliminary hearing, </w:t>
      </w:r>
      <w:r w:rsidR="002817CD" w:rsidRPr="00142DAE">
        <w:t xml:space="preserve">Arellano </w:t>
      </w:r>
      <w:r w:rsidR="0036512C" w:rsidRPr="00142DAE">
        <w:t>agreed to plead guilty to second degree murder</w:t>
      </w:r>
      <w:r w:rsidR="00AD587F" w:rsidRPr="00142DAE">
        <w:t xml:space="preserve"> under certain condition</w:t>
      </w:r>
      <w:r w:rsidR="00DE779B" w:rsidRPr="00142DAE">
        <w:t>s</w:t>
      </w:r>
      <w:r w:rsidR="00AD587F" w:rsidRPr="00142DAE">
        <w:t xml:space="preserve">, including that the firearm </w:t>
      </w:r>
      <w:r w:rsidR="003B4931" w:rsidRPr="00142DAE">
        <w:t xml:space="preserve">use </w:t>
      </w:r>
      <w:r w:rsidR="00AD587F" w:rsidRPr="00142DAE">
        <w:t>enhancement</w:t>
      </w:r>
      <w:r w:rsidR="003B4931" w:rsidRPr="00142DAE">
        <w:t xml:space="preserve"> would be stricken and the robbery and burglary charges dismissed.</w:t>
      </w:r>
      <w:r w:rsidR="00FE18AF" w:rsidRPr="00142DAE">
        <w:t xml:space="preserve">  The court sentenced Arellano to 15 years to life, concurrent to </w:t>
      </w:r>
      <w:r w:rsidR="00820DF5" w:rsidRPr="00142DAE">
        <w:t xml:space="preserve">a sentence </w:t>
      </w:r>
      <w:r w:rsidR="00C57DB0" w:rsidRPr="00142DAE">
        <w:t>previo</w:t>
      </w:r>
      <w:r w:rsidR="004D33FA" w:rsidRPr="00142DAE">
        <w:t xml:space="preserve">usly </w:t>
      </w:r>
      <w:r w:rsidR="00820DF5" w:rsidRPr="00142DAE">
        <w:t>imposed in a different case</w:t>
      </w:r>
      <w:r w:rsidR="00A446F7" w:rsidRPr="00142DAE">
        <w:t>, and dismissed the robbery and burglary counts</w:t>
      </w:r>
      <w:r w:rsidR="00A77B4E" w:rsidRPr="00142DAE">
        <w:t xml:space="preserve"> as well as the firearm enhancement</w:t>
      </w:r>
      <w:r w:rsidR="00820DF5" w:rsidRPr="00142DAE">
        <w:t>.</w:t>
      </w:r>
      <w:r>
        <w:rPr>
          <w:rStyle w:val="FootnoteReference"/>
        </w:rPr>
        <w:footnoteReference w:id="3"/>
      </w:r>
      <w:r w:rsidR="003B4931" w:rsidRPr="00142DAE">
        <w:t xml:space="preserve">  </w:t>
      </w:r>
    </w:p>
    <w:p w14:paraId="07254988" w14:textId="77777777" w:rsidR="006E754D" w:rsidRPr="00142DAE" w:rsidRDefault="00000000" w:rsidP="00AB7464">
      <w:pPr>
        <w:tabs>
          <w:tab w:val="left" w:pos="1440"/>
        </w:tabs>
        <w:ind w:firstLine="720"/>
      </w:pPr>
      <w:r w:rsidRPr="00142DAE">
        <w:lastRenderedPageBreak/>
        <w:t xml:space="preserve">In </w:t>
      </w:r>
      <w:r w:rsidR="009479D0" w:rsidRPr="00142DAE">
        <w:t xml:space="preserve">October </w:t>
      </w:r>
      <w:r w:rsidRPr="00142DAE">
        <w:t xml:space="preserve">2020, </w:t>
      </w:r>
      <w:r w:rsidR="004C1B26" w:rsidRPr="00142DAE">
        <w:t>Arellano</w:t>
      </w:r>
      <w:r w:rsidR="005F5216" w:rsidRPr="00142DAE">
        <w:t>, through counsel,</w:t>
      </w:r>
      <w:r w:rsidR="004C1B26" w:rsidRPr="00142DAE">
        <w:t xml:space="preserve"> filed </w:t>
      </w:r>
      <w:r w:rsidR="00CB3C72" w:rsidRPr="00142DAE">
        <w:t>the current</w:t>
      </w:r>
      <w:r w:rsidR="004C1B26" w:rsidRPr="00142DAE">
        <w:t xml:space="preserve"> petition for resentencing</w:t>
      </w:r>
      <w:r w:rsidR="0056383E" w:rsidRPr="00142DAE">
        <w:t xml:space="preserve">.  </w:t>
      </w:r>
      <w:r w:rsidR="0047190D" w:rsidRPr="00142DAE">
        <w:t>The district attorney</w:t>
      </w:r>
      <w:r w:rsidR="00A70430" w:rsidRPr="00142DAE">
        <w:t xml:space="preserve"> initially </w:t>
      </w:r>
      <w:r w:rsidR="0047190D" w:rsidRPr="00142DAE">
        <w:t>opposed the petition, arguing that Arellano</w:t>
      </w:r>
      <w:r w:rsidR="009871D0" w:rsidRPr="00142DAE">
        <w:t>’</w:t>
      </w:r>
      <w:r w:rsidR="0047190D" w:rsidRPr="00142DAE">
        <w:t>s “bare-bones declaration of eligibility is insufficient pleading for a prima facie case</w:t>
      </w:r>
      <w:r w:rsidR="00B03F30" w:rsidRPr="00142DAE">
        <w:t>,</w:t>
      </w:r>
      <w:r w:rsidR="0047190D" w:rsidRPr="00142DAE">
        <w:t>”</w:t>
      </w:r>
      <w:r w:rsidR="00B03F30" w:rsidRPr="00142DAE">
        <w:t xml:space="preserve"> but after the </w:t>
      </w:r>
      <w:r w:rsidR="007A2F89" w:rsidRPr="00142DAE">
        <w:t xml:space="preserve">court issued an order to show cause, </w:t>
      </w:r>
      <w:r w:rsidRPr="00142DAE">
        <w:t>announced that “the People will be stipulating to a resentencing.”</w:t>
      </w:r>
      <w:r w:rsidR="009B625C" w:rsidRPr="00142DAE">
        <w:t xml:space="preserve"> </w:t>
      </w:r>
      <w:r w:rsidRPr="00142DAE">
        <w:t xml:space="preserve"> </w:t>
      </w:r>
      <w:r w:rsidR="00A85D59" w:rsidRPr="00142DAE">
        <w:t xml:space="preserve">In light of </w:t>
      </w:r>
      <w:r w:rsidRPr="00142DAE">
        <w:t>the district attorney</w:t>
      </w:r>
      <w:r w:rsidR="003A2161" w:rsidRPr="00142DAE">
        <w:t>’</w:t>
      </w:r>
      <w:r w:rsidRPr="00142DAE">
        <w:t>s concession, the court vacated Arellano</w:t>
      </w:r>
      <w:r w:rsidR="00CA0189" w:rsidRPr="00142DAE">
        <w:t>’</w:t>
      </w:r>
      <w:r w:rsidRPr="00142DAE">
        <w:t>s murder conviction, stayed the execution of that vacatur pending resentencing, and set the matter for further proceedings to redesignate the charge or charges upon which Arellano would be resentenced.</w:t>
      </w:r>
    </w:p>
    <w:p w14:paraId="07254989" w14:textId="77777777" w:rsidR="00977E4F" w:rsidRPr="00142DAE" w:rsidRDefault="00000000" w:rsidP="00AB7464">
      <w:pPr>
        <w:tabs>
          <w:tab w:val="left" w:pos="1440"/>
        </w:tabs>
        <w:ind w:firstLine="720"/>
      </w:pPr>
      <w:r w:rsidRPr="00142DAE">
        <w:t xml:space="preserve">At a hearing held on April 26, 2021, </w:t>
      </w:r>
      <w:r w:rsidR="00DF3846" w:rsidRPr="00142DAE">
        <w:t xml:space="preserve">defense </w:t>
      </w:r>
      <w:r w:rsidRPr="00142DAE">
        <w:t xml:space="preserve">counsel </w:t>
      </w:r>
      <w:r w:rsidR="001765A2" w:rsidRPr="00142DAE">
        <w:t xml:space="preserve">agreed that </w:t>
      </w:r>
      <w:r w:rsidR="0081741E" w:rsidRPr="00142DAE">
        <w:t>Arellano “</w:t>
      </w:r>
      <w:r w:rsidRPr="00142DAE">
        <w:t xml:space="preserve">should be resentenced on the target offense” and </w:t>
      </w:r>
      <w:r w:rsidR="0081741E" w:rsidRPr="00142DAE">
        <w:t xml:space="preserve">offered </w:t>
      </w:r>
      <w:r w:rsidRPr="00142DAE">
        <w:t>no objection to the district attorney</w:t>
      </w:r>
      <w:r w:rsidR="0081741E" w:rsidRPr="00142DAE">
        <w:t>’</w:t>
      </w:r>
      <w:r w:rsidRPr="00142DAE">
        <w:t xml:space="preserve">s request that Arellano be resentenced on the originally charged attempted robbery and </w:t>
      </w:r>
      <w:r w:rsidR="007245C5">
        <w:t>the</w:t>
      </w:r>
      <w:r w:rsidRPr="00142DAE">
        <w:t xml:space="preserve"> firearm </w:t>
      </w:r>
      <w:r w:rsidR="007245C5">
        <w:t xml:space="preserve">use </w:t>
      </w:r>
      <w:r w:rsidRPr="00142DAE">
        <w:t>enhancement</w:t>
      </w:r>
      <w:r w:rsidR="007245C5">
        <w:t xml:space="preserve"> attached to it</w:t>
      </w:r>
      <w:r w:rsidRPr="00142DAE">
        <w:t>.</w:t>
      </w:r>
      <w:r w:rsidR="00DF3846" w:rsidRPr="00142DAE">
        <w:t xml:space="preserve"> </w:t>
      </w:r>
      <w:r w:rsidRPr="00142DAE">
        <w:t xml:space="preserve"> </w:t>
      </w:r>
      <w:r w:rsidR="00DF3846" w:rsidRPr="00142DAE">
        <w:t>T</w:t>
      </w:r>
      <w:r w:rsidRPr="00142DAE">
        <w:t>he trial court confirmed the parties</w:t>
      </w:r>
      <w:r w:rsidR="00DF3846" w:rsidRPr="00142DAE">
        <w:t>’</w:t>
      </w:r>
      <w:r w:rsidRPr="00142DAE">
        <w:t xml:space="preserve"> agreement to resentenc</w:t>
      </w:r>
      <w:r w:rsidR="00DA4D6F" w:rsidRPr="00142DAE">
        <w:t>e</w:t>
      </w:r>
      <w:r w:rsidRPr="00142DAE">
        <w:t xml:space="preserve"> Arellano </w:t>
      </w:r>
      <w:r w:rsidR="00AD130A" w:rsidRPr="00142DAE">
        <w:t>on</w:t>
      </w:r>
      <w:r w:rsidRPr="00142DAE">
        <w:t xml:space="preserve"> the attempted robbery offense and the firearm enhancement and referred the matter to the probation department for a presentencing report. </w:t>
      </w:r>
      <w:r w:rsidR="001F40BB" w:rsidRPr="00142DAE">
        <w:t xml:space="preserve"> </w:t>
      </w:r>
      <w:r w:rsidRPr="00142DAE">
        <w:t xml:space="preserve">The court explained its understanding of the impending resentencing under then-current section 1170.95 </w:t>
      </w:r>
      <w:r w:rsidR="00DF7102">
        <w:t xml:space="preserve">(now </w:t>
      </w:r>
      <w:r w:rsidR="00DF7102" w:rsidRPr="00142DAE">
        <w:t xml:space="preserve">§ </w:t>
      </w:r>
      <w:r w:rsidR="00DF7102">
        <w:t xml:space="preserve">1172.6) </w:t>
      </w:r>
      <w:r w:rsidRPr="00142DAE">
        <w:t>as follows:</w:t>
      </w:r>
      <w:r w:rsidR="007245C5">
        <w:t xml:space="preserve"> </w:t>
      </w:r>
      <w:r w:rsidRPr="00142DAE">
        <w:t xml:space="preserve"> “[T]his was a case in which Counts 2 </w:t>
      </w:r>
      <w:r w:rsidR="004E6023" w:rsidRPr="00142DAE">
        <w:t xml:space="preserve">[attempted robbery] </w:t>
      </w:r>
      <w:r w:rsidRPr="00142DAE">
        <w:t xml:space="preserve">and 3 </w:t>
      </w:r>
      <w:r w:rsidR="004E6023" w:rsidRPr="00142DAE">
        <w:t xml:space="preserve">[first degree burglary] </w:t>
      </w:r>
      <w:r w:rsidRPr="00142DAE">
        <w:t xml:space="preserve">did reflect what might be considered target offenses for the murder crime in Count No. 1. </w:t>
      </w:r>
      <w:r w:rsidR="0006788A" w:rsidRPr="00142DAE">
        <w:t xml:space="preserve"> </w:t>
      </w:r>
      <w:r w:rsidRPr="00142DAE">
        <w:t xml:space="preserve">Those counts were submitted for dismissal. </w:t>
      </w:r>
      <w:r w:rsidR="0006788A" w:rsidRPr="00142DAE">
        <w:t xml:space="preserve"> </w:t>
      </w:r>
      <w:r w:rsidRPr="00142DAE">
        <w:t xml:space="preserve">The defendant never pled to nor admitted them. </w:t>
      </w:r>
      <w:r w:rsidR="0006788A" w:rsidRPr="00142DAE">
        <w:t xml:space="preserve"> </w:t>
      </w:r>
      <w:r w:rsidRPr="00142DAE">
        <w:t>So this is not a situation where statutorily under [section] 1170.95 I</w:t>
      </w:r>
      <w:r w:rsidR="0006788A" w:rsidRPr="00142DAE">
        <w:t>’</w:t>
      </w:r>
      <w:r w:rsidRPr="00142DAE">
        <w:t xml:space="preserve">m sentencing on the, quote, remaining counts. </w:t>
      </w:r>
      <w:r w:rsidR="003C29A9" w:rsidRPr="00142DAE">
        <w:t xml:space="preserve"> </w:t>
      </w:r>
      <w:r w:rsidRPr="00142DAE">
        <w:t xml:space="preserve">[¶] </w:t>
      </w:r>
      <w:r w:rsidR="003C29A9" w:rsidRPr="00142DAE">
        <w:t xml:space="preserve"> </w:t>
      </w:r>
      <w:r w:rsidRPr="00142DAE">
        <w:t xml:space="preserve">What I will be doing is by the agreement of the parties redesignating Count No. 1 to the violations of [sections] </w:t>
      </w:r>
      <w:r w:rsidRPr="00142DAE">
        <w:lastRenderedPageBreak/>
        <w:t>664/211/212.5 subdivision (a) with the enhancement under 12022.5 subdivision (a).”</w:t>
      </w:r>
    </w:p>
    <w:p w14:paraId="0725498A" w14:textId="77777777" w:rsidR="0056136F" w:rsidRPr="00142DAE" w:rsidRDefault="00000000" w:rsidP="00AB7464">
      <w:pPr>
        <w:tabs>
          <w:tab w:val="left" w:pos="1440"/>
        </w:tabs>
        <w:ind w:firstLine="720"/>
      </w:pPr>
      <w:r w:rsidRPr="00142DAE">
        <w:t>The district attorney’s resentencing brief</w:t>
      </w:r>
      <w:r w:rsidR="00AB6BB0" w:rsidRPr="00142DAE">
        <w:t xml:space="preserve"> asserted that </w:t>
      </w:r>
      <w:r w:rsidR="00977E4F" w:rsidRPr="00142DAE">
        <w:t>“</w:t>
      </w:r>
      <w:r w:rsidR="00AB6BB0" w:rsidRPr="00142DAE">
        <w:t>[b]</w:t>
      </w:r>
      <w:r w:rsidR="00977E4F" w:rsidRPr="00142DAE">
        <w:t xml:space="preserve">ased on information provided by witnesses, detectives were able to identify the suspects, along with a fourth participant who was killed shortly after the crime. </w:t>
      </w:r>
      <w:r w:rsidR="00897160" w:rsidRPr="00142DAE">
        <w:t xml:space="preserve"> </w:t>
      </w:r>
      <w:r w:rsidR="00977E4F" w:rsidRPr="00142DAE">
        <w:t xml:space="preserve">Defendants Jesus Mandujano and Arturo Mendoza told police that Petitioner Arellano was present during the robbery/murder. </w:t>
      </w:r>
      <w:r w:rsidR="00897160" w:rsidRPr="00142DAE">
        <w:t xml:space="preserve"> </w:t>
      </w:r>
      <w:r w:rsidR="00977E4F" w:rsidRPr="00142DAE">
        <w:t>[Arellano] told police he knew other individuals were planning to commit the robbery, but that he did not participate.</w:t>
      </w:r>
      <w:r w:rsidR="00897160" w:rsidRPr="00142DAE">
        <w:t xml:space="preserve"> </w:t>
      </w:r>
      <w:r w:rsidR="00977E4F" w:rsidRPr="00142DAE">
        <w:t xml:space="preserve"> [Arellano] provided several conflicting statements regarding his whereabouts at the time of the murder.” </w:t>
      </w:r>
      <w:r w:rsidR="00897160" w:rsidRPr="00142DAE">
        <w:t xml:space="preserve"> </w:t>
      </w:r>
      <w:r w:rsidR="00977E4F" w:rsidRPr="00142DAE">
        <w:t xml:space="preserve">In addition, the district attorney noted </w:t>
      </w:r>
      <w:r w:rsidR="00731FB6" w:rsidRPr="00142DAE">
        <w:t>the defense’s</w:t>
      </w:r>
      <w:r w:rsidR="00B74033" w:rsidRPr="00142DAE">
        <w:t xml:space="preserve"> agreement as to </w:t>
      </w:r>
      <w:r w:rsidR="00977E4F" w:rsidRPr="00142DAE">
        <w:t xml:space="preserve">the “underlying felony committed by [Arellano]” (i.e., attempted robbery) and “that an arming enhancement pursuant to Penal Code section 12022.5 be imposed.” </w:t>
      </w:r>
      <w:r w:rsidR="00B74033" w:rsidRPr="00142DAE">
        <w:t xml:space="preserve"> </w:t>
      </w:r>
    </w:p>
    <w:p w14:paraId="0725498B" w14:textId="77777777" w:rsidR="00977E4F" w:rsidRPr="00142DAE" w:rsidRDefault="00000000" w:rsidP="00AB7464">
      <w:pPr>
        <w:tabs>
          <w:tab w:val="left" w:pos="1440"/>
        </w:tabs>
        <w:ind w:firstLine="720"/>
      </w:pPr>
      <w:r w:rsidRPr="00142DAE">
        <w:t xml:space="preserve">At this point in the proceedings, </w:t>
      </w:r>
      <w:r w:rsidR="00876B55" w:rsidRPr="00142DAE">
        <w:t xml:space="preserve">defense </w:t>
      </w:r>
      <w:r w:rsidRPr="00142DAE">
        <w:t xml:space="preserve">counsel objected to </w:t>
      </w:r>
      <w:r w:rsidR="00FE1724" w:rsidRPr="00142DAE">
        <w:t>the inclusion of the firearm enhancement</w:t>
      </w:r>
      <w:r w:rsidR="00B822B8" w:rsidRPr="00142DAE">
        <w:t xml:space="preserve">.  </w:t>
      </w:r>
      <w:r w:rsidRPr="00142DAE">
        <w:t xml:space="preserve">Counsel </w:t>
      </w:r>
      <w:r w:rsidR="00B822B8" w:rsidRPr="00142DAE">
        <w:t xml:space="preserve">argued that </w:t>
      </w:r>
      <w:r w:rsidR="00DF7102">
        <w:t xml:space="preserve">former </w:t>
      </w:r>
      <w:r w:rsidR="00B822B8" w:rsidRPr="00142DAE">
        <w:t xml:space="preserve">section 1170.95, </w:t>
      </w:r>
      <w:r w:rsidRPr="00142DAE">
        <w:t>“[s]ubdivision (e) provides that Mr. Arellano</w:t>
      </w:r>
      <w:r w:rsidR="00A441AB" w:rsidRPr="00142DAE">
        <w:t>’</w:t>
      </w:r>
      <w:r w:rsidRPr="00142DAE">
        <w:t xml:space="preserve">s conviction is to be redesignated as the target offense or underlying felony for resentencing purposes, but it says nothing about adding enhancements that were not previously admitted or found true by a trier of fact.” </w:t>
      </w:r>
      <w:r w:rsidR="0014360C" w:rsidRPr="00142DAE">
        <w:t xml:space="preserve"> </w:t>
      </w:r>
      <w:r w:rsidR="001D3308" w:rsidRPr="00142DAE">
        <w:t>C</w:t>
      </w:r>
      <w:r w:rsidRPr="00142DAE">
        <w:t xml:space="preserve">ounsel </w:t>
      </w:r>
      <w:r w:rsidR="001D3308" w:rsidRPr="00142DAE">
        <w:t xml:space="preserve">further </w:t>
      </w:r>
      <w:r w:rsidRPr="00142DAE">
        <w:t>argued that including the firearm enhancement would violate Arellano</w:t>
      </w:r>
      <w:r w:rsidR="00734293" w:rsidRPr="00142DAE">
        <w:t>’</w:t>
      </w:r>
      <w:r w:rsidRPr="00142DAE">
        <w:t xml:space="preserve">s constitutional rights under </w:t>
      </w:r>
      <w:r w:rsidRPr="00142DAE">
        <w:rPr>
          <w:i/>
          <w:iCs/>
        </w:rPr>
        <w:t>Apprendi v. New Jersey</w:t>
      </w:r>
      <w:r w:rsidRPr="00142DAE">
        <w:t xml:space="preserve"> (2000) 530 U.S. 466</w:t>
      </w:r>
      <w:r w:rsidR="005D1FAC" w:rsidRPr="00142DAE">
        <w:t>.</w:t>
      </w:r>
    </w:p>
    <w:p w14:paraId="0725498C" w14:textId="77777777" w:rsidR="003C3A18" w:rsidRPr="00142DAE" w:rsidRDefault="00000000" w:rsidP="00AB7464">
      <w:pPr>
        <w:tabs>
          <w:tab w:val="left" w:pos="1440"/>
        </w:tabs>
        <w:ind w:firstLine="720"/>
      </w:pPr>
      <w:r w:rsidRPr="00142DAE">
        <w:t>At the May 24, 2021, hearing on redesignation and resentencing,</w:t>
      </w:r>
      <w:r w:rsidR="00876B55" w:rsidRPr="00142DAE">
        <w:t xml:space="preserve"> counsel reiterated her </w:t>
      </w:r>
      <w:r w:rsidR="000F72E8" w:rsidRPr="00142DAE">
        <w:t>view the court lacked authority to impose the firearm enhancement and asserted</w:t>
      </w:r>
      <w:r w:rsidR="007E6FEB" w:rsidRPr="00142DAE">
        <w:t xml:space="preserve"> “</w:t>
      </w:r>
      <w:r w:rsidR="00977E4F" w:rsidRPr="00142DAE">
        <w:t>it isn</w:t>
      </w:r>
      <w:r w:rsidR="00C558E9" w:rsidRPr="00142DAE">
        <w:t>’</w:t>
      </w:r>
      <w:r w:rsidR="00977E4F" w:rsidRPr="00142DAE">
        <w:t>t clear in the evidence</w:t>
      </w:r>
      <w:r w:rsidR="00F54CD4" w:rsidRPr="00142DAE">
        <w:t xml:space="preserve"> . </w:t>
      </w:r>
      <w:r w:rsidR="004D1B16" w:rsidRPr="00142DAE">
        <w:t>.</w:t>
      </w:r>
      <w:r w:rsidR="004D1B16">
        <w:t> </w:t>
      </w:r>
      <w:r w:rsidR="00512F92" w:rsidRPr="00142DAE">
        <w:t>.</w:t>
      </w:r>
      <w:r w:rsidR="00977E4F" w:rsidRPr="00142DAE">
        <w:t xml:space="preserve"> as to whether or not Mr. Arellano </w:t>
      </w:r>
      <w:r w:rsidR="00977E4F" w:rsidRPr="00142DAE">
        <w:lastRenderedPageBreak/>
        <w:t>possessed a firearm.”</w:t>
      </w:r>
      <w:r w:rsidR="00DA4F8B" w:rsidRPr="00142DAE">
        <w:t xml:space="preserve">  The court disagreed, reasoning it had the authority to impose the previously dismissed enhancement and finding there was “evidence in the record” to </w:t>
      </w:r>
      <w:r w:rsidR="00A36C71" w:rsidRPr="00142DAE">
        <w:t>“</w:t>
      </w:r>
      <w:r w:rsidR="00DA4F8B" w:rsidRPr="00142DAE">
        <w:t>su</w:t>
      </w:r>
      <w:r w:rsidR="00A36C71" w:rsidRPr="00142DAE">
        <w:t>ggest</w:t>
      </w:r>
      <w:r w:rsidR="006353EB" w:rsidRPr="00142DAE">
        <w:t>”</w:t>
      </w:r>
      <w:r w:rsidR="00DA4F8B" w:rsidRPr="00142DAE">
        <w:t xml:space="preserve"> Arellano was armed:  “[G]iven the fact that there were Penal Code Section 12022.5 subdivision (a) enhancements attached to . </w:t>
      </w:r>
      <w:r w:rsidR="00AD3D68" w:rsidRPr="00142DAE">
        <w:t>.</w:t>
      </w:r>
      <w:r w:rsidR="00AD3D68">
        <w:t> </w:t>
      </w:r>
      <w:r w:rsidR="00DA4F8B" w:rsidRPr="00142DAE">
        <w:t>. counts against Mr. Arellano in this case, given the fact that the Court is going to move forward and resentence him only on .</w:t>
      </w:r>
      <w:r w:rsidR="00550D96">
        <w:t> </w:t>
      </w:r>
      <w:r w:rsidR="00DA4F8B" w:rsidRPr="00142DAE">
        <w:t>.</w:t>
      </w:r>
      <w:r w:rsidR="00550D96">
        <w:t> </w:t>
      </w:r>
      <w:r w:rsidR="00DA4F8B" w:rsidRPr="00142DAE">
        <w:t>. what was previously Count 2 [attempted robbery], even though I think [</w:t>
      </w:r>
      <w:r w:rsidR="00DA4F8B" w:rsidRPr="00142DAE">
        <w:rPr>
          <w:i/>
          <w:iCs/>
        </w:rPr>
        <w:t>People v. Watson</w:t>
      </w:r>
      <w:r w:rsidR="00DA4F8B" w:rsidRPr="00142DAE">
        <w:t xml:space="preserve"> (2021) 64 Cal.App.5th 474] would give the Court the ability to sentence him for the burglary as well, given the fact that this was a negotiated disposition in which the firearm enhancement was stricken as opposed to .</w:t>
      </w:r>
      <w:r w:rsidR="00550D96">
        <w:t> </w:t>
      </w:r>
      <w:r w:rsidR="00DA4F8B" w:rsidRPr="00142DAE">
        <w:t>.</w:t>
      </w:r>
      <w:r w:rsidR="00550D96">
        <w:t> </w:t>
      </w:r>
      <w:r w:rsidR="00DA4F8B" w:rsidRPr="00142DAE">
        <w:t>. a not true finding, and given what the Court does have available to it in the record of conviction regarding the circumstances of the underlying offenses, and it is unfortunate that the stipulation is no longer something the parties can agree upon, but I am going to move forward with resentencing on the attempted robbery charge with the arming allegation pursuant to [section] 12022.5 subdivision (a</w:t>
      </w:r>
      <w:r w:rsidR="00261E88" w:rsidRPr="00142DAE">
        <w:t>).”</w:t>
      </w:r>
    </w:p>
    <w:p w14:paraId="0725498D" w14:textId="77777777" w:rsidR="00427649" w:rsidRPr="00142DAE" w:rsidRDefault="00000000" w:rsidP="00AB7464">
      <w:pPr>
        <w:tabs>
          <w:tab w:val="left" w:pos="1440"/>
        </w:tabs>
        <w:ind w:firstLine="720"/>
      </w:pPr>
      <w:r w:rsidRPr="00142DAE">
        <w:t>Th</w:t>
      </w:r>
      <w:r w:rsidR="002E0A46" w:rsidRPr="00142DAE">
        <w:t>e</w:t>
      </w:r>
      <w:r w:rsidRPr="00142DAE">
        <w:t xml:space="preserve"> </w:t>
      </w:r>
      <w:r w:rsidR="008E3694" w:rsidRPr="00142DAE">
        <w:t>“</w:t>
      </w:r>
      <w:r w:rsidR="00915BD1" w:rsidRPr="00142DAE">
        <w:t xml:space="preserve">evidence in the </w:t>
      </w:r>
      <w:r w:rsidRPr="00142DAE">
        <w:t xml:space="preserve">record </w:t>
      </w:r>
      <w:r w:rsidR="008E3694" w:rsidRPr="00142DAE">
        <w:t xml:space="preserve">that would suggest that </w:t>
      </w:r>
      <w:r w:rsidR="00522C37" w:rsidRPr="00142DAE">
        <w:t xml:space="preserve">[Arellano] did possess a handgun during the time of the underlying offenses” </w:t>
      </w:r>
      <w:r w:rsidRPr="00142DAE">
        <w:t xml:space="preserve">apparently consisted </w:t>
      </w:r>
      <w:r w:rsidR="00C26C08" w:rsidRPr="00142DAE">
        <w:t xml:space="preserve">entirely </w:t>
      </w:r>
      <w:r w:rsidRPr="00142DAE">
        <w:t xml:space="preserve">of </w:t>
      </w:r>
      <w:r w:rsidR="00DE6030" w:rsidRPr="00142DAE">
        <w:t xml:space="preserve">hearsay </w:t>
      </w:r>
      <w:r w:rsidRPr="00142DAE">
        <w:t>exhibits</w:t>
      </w:r>
      <w:r w:rsidR="00550D96">
        <w:t> </w:t>
      </w:r>
      <w:r w:rsidR="0010772F" w:rsidRPr="00142DAE">
        <w:t xml:space="preserve">— including </w:t>
      </w:r>
      <w:r w:rsidR="000E4A95" w:rsidRPr="00142DAE">
        <w:t xml:space="preserve">police reports </w:t>
      </w:r>
      <w:r w:rsidR="0033041F">
        <w:t>recounting</w:t>
      </w:r>
      <w:r w:rsidR="000E4A95" w:rsidRPr="00142DAE">
        <w:t xml:space="preserve"> </w:t>
      </w:r>
      <w:r w:rsidR="0010772F" w:rsidRPr="00142DAE">
        <w:t>interviews of Arellano and his codefendants</w:t>
      </w:r>
      <w:r w:rsidR="00631895" w:rsidRPr="00142DAE">
        <w:t xml:space="preserve"> as well as a single page from a prison psychological evaluation </w:t>
      </w:r>
      <w:r w:rsidR="00CB1CAD" w:rsidRPr="00142DAE">
        <w:t>quoting a correctional counselor’s report</w:t>
      </w:r>
      <w:r w:rsidR="00550D96">
        <w:t> </w:t>
      </w:r>
      <w:r w:rsidR="00CB1CAD" w:rsidRPr="00142DAE">
        <w:t xml:space="preserve">— </w:t>
      </w:r>
      <w:r w:rsidRPr="00142DAE">
        <w:t>Arellano had submitted in support of his resentencing petition.</w:t>
      </w:r>
      <w:r w:rsidR="00CB1CAD" w:rsidRPr="00142DAE">
        <w:t xml:space="preserve">  </w:t>
      </w:r>
      <w:r w:rsidR="000E4A95" w:rsidRPr="00142DAE">
        <w:t xml:space="preserve">According to the </w:t>
      </w:r>
      <w:r w:rsidR="00DE6030" w:rsidRPr="00142DAE">
        <w:t>police reports, Arellano made “several conflicting statements” during his police interview about his proximity to the residence at the time of the crime but maintained that he was not present for the attempted robbery.</w:t>
      </w:r>
      <w:r w:rsidR="00AD4EEF" w:rsidRPr="00142DAE">
        <w:t xml:space="preserve">  Codefendant Mendoza, on the other hand, told the </w:t>
      </w:r>
      <w:r w:rsidR="00AD4EEF" w:rsidRPr="00142DAE">
        <w:lastRenderedPageBreak/>
        <w:t>police that he, Mandujano, and Arellano each had guns during the course of the robbery.  Mandujano similarly told the police that he, Mendoza, and Arellano possessed guns during the incident.</w:t>
      </w:r>
      <w:r w:rsidR="000F0224" w:rsidRPr="00142DAE">
        <w:t xml:space="preserve">  </w:t>
      </w:r>
      <w:r w:rsidR="002C46D3" w:rsidRPr="00142DAE">
        <w:t>The correctional counselor’s report</w:t>
      </w:r>
      <w:r w:rsidR="00987633" w:rsidRPr="00142DAE">
        <w:t xml:space="preserve"> </w:t>
      </w:r>
      <w:r w:rsidR="00154F9C" w:rsidRPr="00142DAE">
        <w:t xml:space="preserve">dated December 2002, more than 10 years after the murder, </w:t>
      </w:r>
      <w:r w:rsidR="00144E7F" w:rsidRPr="00142DAE">
        <w:t xml:space="preserve">recounted what </w:t>
      </w:r>
      <w:r w:rsidR="0050657F" w:rsidRPr="00142DAE">
        <w:t>the murder victim’s sister had said about the incident</w:t>
      </w:r>
      <w:r w:rsidR="00E64DC4" w:rsidRPr="00142DAE">
        <w:t xml:space="preserve">:  </w:t>
      </w:r>
      <w:r w:rsidR="000F0224" w:rsidRPr="00142DAE">
        <w:t>“According to the victim</w:t>
      </w:r>
      <w:r w:rsidR="003A1115" w:rsidRPr="00142DAE">
        <w:t>’</w:t>
      </w:r>
      <w:r w:rsidR="000F0224" w:rsidRPr="00142DAE">
        <w:t xml:space="preserve">s sister, four young males had come to her door looking for another address. </w:t>
      </w:r>
      <w:r w:rsidR="00E64DC4" w:rsidRPr="00142DAE">
        <w:t xml:space="preserve"> </w:t>
      </w:r>
      <w:r w:rsidR="000F0224" w:rsidRPr="00142DAE">
        <w:t xml:space="preserve">About one hour later, they came back to her house and rang the doorbell. </w:t>
      </w:r>
      <w:r w:rsidR="00E64DC4" w:rsidRPr="00142DAE">
        <w:t xml:space="preserve"> </w:t>
      </w:r>
      <w:r w:rsidR="000F0224" w:rsidRPr="00142DAE">
        <w:t xml:space="preserve">When she opened the door, Jesus Antonio Mandujano and Ramon Arellano rushed past her. </w:t>
      </w:r>
      <w:r w:rsidR="00E64DC4" w:rsidRPr="00142DAE">
        <w:t xml:space="preserve"> </w:t>
      </w:r>
      <w:r w:rsidR="000F0224" w:rsidRPr="00142DAE">
        <w:t>Arturo Mendoza came in next and held a gun to the left side of Benitez</w:t>
      </w:r>
      <w:r w:rsidR="00AC39BA">
        <w:t>’</w:t>
      </w:r>
      <w:r w:rsidR="000F0224" w:rsidRPr="00142DAE">
        <w:t xml:space="preserve">s sister. </w:t>
      </w:r>
      <w:r w:rsidR="00E64DC4" w:rsidRPr="00142DAE">
        <w:t xml:space="preserve"> </w:t>
      </w:r>
      <w:r w:rsidR="000F0224" w:rsidRPr="00142DAE">
        <w:t>Benitez, the victim, appeared from a rear bedroom, saw what was happening and attempted to get back into the bedroom.</w:t>
      </w:r>
      <w:r w:rsidR="009F47BC" w:rsidRPr="00142DAE">
        <w:t xml:space="preserve"> </w:t>
      </w:r>
      <w:r w:rsidR="000F0224" w:rsidRPr="00142DAE">
        <w:t xml:space="preserve"> Mandujano and Arellano saw Benitez and chased him down the hall with guns in their hands. </w:t>
      </w:r>
      <w:r w:rsidR="009F47BC" w:rsidRPr="00142DAE">
        <w:t xml:space="preserve"> </w:t>
      </w:r>
      <w:r w:rsidR="000F0224" w:rsidRPr="00142DAE">
        <w:t xml:space="preserve">Benitez attempted to shut the bedroom door[,] but Mandujano and Arellano were pushing against it. </w:t>
      </w:r>
      <w:r w:rsidR="00DF50C5" w:rsidRPr="00142DAE">
        <w:t xml:space="preserve"> </w:t>
      </w:r>
      <w:r w:rsidR="000F0224" w:rsidRPr="00142DAE">
        <w:t xml:space="preserve">Mandujano had his hand, which was holding the .45-caliber handgun between the door and the [doorjamb] and fired one round, which struck Benitez in the shoulder. </w:t>
      </w:r>
      <w:r w:rsidR="00DF50C5" w:rsidRPr="00142DAE">
        <w:t xml:space="preserve"> </w:t>
      </w:r>
      <w:r w:rsidR="000F0224" w:rsidRPr="00142DAE">
        <w:t>The three then fled on foot from the scene.”</w:t>
      </w:r>
      <w:bookmarkStart w:id="5" w:name="_Hlk157677239"/>
    </w:p>
    <w:bookmarkEnd w:id="5"/>
    <w:p w14:paraId="0725498E" w14:textId="77777777" w:rsidR="000434AC" w:rsidRPr="00142DAE" w:rsidRDefault="00000000" w:rsidP="00AB7464">
      <w:pPr>
        <w:tabs>
          <w:tab w:val="left" w:pos="1440"/>
        </w:tabs>
        <w:ind w:firstLine="720"/>
      </w:pPr>
      <w:r w:rsidRPr="00142DAE">
        <w:t>Based on this record, t</w:t>
      </w:r>
      <w:r w:rsidR="00677221" w:rsidRPr="00142DAE">
        <w:t xml:space="preserve">he court </w:t>
      </w:r>
      <w:r w:rsidR="00A10391" w:rsidRPr="00142DAE">
        <w:t>vacated</w:t>
      </w:r>
      <w:r w:rsidR="0047190D" w:rsidRPr="00142DAE">
        <w:t xml:space="preserve"> </w:t>
      </w:r>
      <w:r w:rsidR="004A3D56" w:rsidRPr="00142DAE">
        <w:t xml:space="preserve">Arellano’s </w:t>
      </w:r>
      <w:r w:rsidR="000A1E0D" w:rsidRPr="00142DAE">
        <w:t xml:space="preserve">second degree </w:t>
      </w:r>
      <w:r w:rsidR="004A3D56" w:rsidRPr="00142DAE">
        <w:t>murder conviction a</w:t>
      </w:r>
      <w:r w:rsidR="000A1E0D" w:rsidRPr="00142DAE">
        <w:t xml:space="preserve">s well as the </w:t>
      </w:r>
      <w:r w:rsidR="006F5D1E" w:rsidRPr="00142DAE">
        <w:t xml:space="preserve">accompanying </w:t>
      </w:r>
      <w:r w:rsidR="000A1E0D" w:rsidRPr="00142DAE">
        <w:t xml:space="preserve">life sentence and </w:t>
      </w:r>
      <w:r w:rsidR="00387A61" w:rsidRPr="00142DAE">
        <w:t>“</w:t>
      </w:r>
      <w:r w:rsidR="000A1E0D" w:rsidRPr="00142DAE">
        <w:t>redesignated</w:t>
      </w:r>
      <w:r w:rsidR="0047190D" w:rsidRPr="00142DAE">
        <w:t xml:space="preserve"> Count 1</w:t>
      </w:r>
      <w:r w:rsidR="005168B1" w:rsidRPr="00142DAE">
        <w:t>”</w:t>
      </w:r>
      <w:r w:rsidR="0047190D" w:rsidRPr="00142DAE">
        <w:t xml:space="preserve"> </w:t>
      </w:r>
      <w:r w:rsidR="00C47FD7" w:rsidRPr="00142DAE">
        <w:t>as attempted robbery with a firearm use enhancement</w:t>
      </w:r>
      <w:r w:rsidR="0047190D" w:rsidRPr="00142DAE">
        <w:t xml:space="preserve">. </w:t>
      </w:r>
      <w:r w:rsidR="00387A61" w:rsidRPr="00142DAE">
        <w:t xml:space="preserve"> </w:t>
      </w:r>
      <w:r w:rsidR="0047190D" w:rsidRPr="00142DAE">
        <w:t>On redesignated count 1, the court sentenced Arellano to a total term of seven years</w:t>
      </w:r>
      <w:r w:rsidR="000D3992" w:rsidRPr="00142DAE">
        <w:t xml:space="preserve">:  </w:t>
      </w:r>
      <w:r w:rsidR="0047190D" w:rsidRPr="00142DAE">
        <w:t xml:space="preserve">the upper term of three years for the attempted robbery and the middle term of four years for the firearm enhancement. </w:t>
      </w:r>
      <w:r w:rsidR="00D27F0A" w:rsidRPr="00142DAE">
        <w:t xml:space="preserve"> </w:t>
      </w:r>
      <w:r w:rsidR="0047190D" w:rsidRPr="00142DAE">
        <w:t xml:space="preserve">The court found the seven-year prison term </w:t>
      </w:r>
      <w:r w:rsidR="00B31F94" w:rsidRPr="00142DAE">
        <w:t xml:space="preserve">had been </w:t>
      </w:r>
      <w:r w:rsidR="0047190D" w:rsidRPr="00142DAE">
        <w:t>satisfied by time served</w:t>
      </w:r>
      <w:r w:rsidR="00430BB4" w:rsidRPr="00142DAE">
        <w:t xml:space="preserve"> and released </w:t>
      </w:r>
      <w:r w:rsidR="00313FC9" w:rsidRPr="00142DAE">
        <w:t>Arellano on parole</w:t>
      </w:r>
      <w:r w:rsidR="0047190D" w:rsidRPr="00142DAE">
        <w:t>.</w:t>
      </w:r>
      <w:r w:rsidR="007B0D40" w:rsidRPr="00142DAE">
        <w:t xml:space="preserve">  </w:t>
      </w:r>
    </w:p>
    <w:p w14:paraId="0725498F" w14:textId="77777777" w:rsidR="001C7670" w:rsidRPr="00142DAE" w:rsidRDefault="00000000" w:rsidP="00AB7464">
      <w:pPr>
        <w:tabs>
          <w:tab w:val="left" w:pos="1440"/>
        </w:tabs>
        <w:ind w:firstLine="720"/>
      </w:pPr>
      <w:r w:rsidRPr="00142DAE">
        <w:t xml:space="preserve">The Court of Appeal </w:t>
      </w:r>
      <w:r w:rsidR="003032F6" w:rsidRPr="00142DAE">
        <w:t>reversed</w:t>
      </w:r>
      <w:r w:rsidR="00135256" w:rsidRPr="00142DAE">
        <w:t xml:space="preserve"> and remanded for </w:t>
      </w:r>
      <w:r w:rsidR="00F10D07" w:rsidRPr="00142DAE">
        <w:t>further proceedings</w:t>
      </w:r>
      <w:r w:rsidR="00801E47" w:rsidRPr="00142DAE">
        <w:t xml:space="preserve">.  It found the trial court </w:t>
      </w:r>
      <w:r w:rsidR="0097788F" w:rsidRPr="00142DAE">
        <w:t xml:space="preserve">had </w:t>
      </w:r>
      <w:r w:rsidR="00801E47" w:rsidRPr="00142DAE">
        <w:t xml:space="preserve">erred under </w:t>
      </w:r>
      <w:r w:rsidR="00B92BC2" w:rsidRPr="00142DAE">
        <w:t xml:space="preserve">section </w:t>
      </w:r>
      <w:r w:rsidR="00B92BC2" w:rsidRPr="00142DAE">
        <w:lastRenderedPageBreak/>
        <w:t xml:space="preserve">1172.6, subdivision (e) </w:t>
      </w:r>
      <w:r w:rsidR="00CF77C0" w:rsidRPr="00142DAE">
        <w:t>when it included the firearm enhancement as part of the redesignated conviction.</w:t>
      </w:r>
      <w:r w:rsidR="00C96E50" w:rsidRPr="00142DAE">
        <w:t xml:space="preserve">  (</w:t>
      </w:r>
      <w:r w:rsidR="00C96E50" w:rsidRPr="00142DAE">
        <w:rPr>
          <w:i/>
          <w:iCs/>
        </w:rPr>
        <w:t>Arellano</w:t>
      </w:r>
      <w:r w:rsidR="00E76754" w:rsidRPr="00142DAE">
        <w:t xml:space="preserve">, </w:t>
      </w:r>
      <w:r w:rsidR="00E76754" w:rsidRPr="00142DAE">
        <w:rPr>
          <w:i/>
          <w:iCs/>
        </w:rPr>
        <w:t>supra</w:t>
      </w:r>
      <w:r w:rsidR="00E76754" w:rsidRPr="00142DAE">
        <w:t xml:space="preserve">, </w:t>
      </w:r>
      <w:r w:rsidR="00C96E50" w:rsidRPr="00142DAE">
        <w:t xml:space="preserve">86 Cal.App.5th </w:t>
      </w:r>
      <w:r w:rsidR="00E76754" w:rsidRPr="00142DAE">
        <w:t xml:space="preserve">at pp. </w:t>
      </w:r>
      <w:r w:rsidR="00C96E50" w:rsidRPr="00142DAE">
        <w:t>422–423</w:t>
      </w:r>
      <w:r w:rsidR="00F10D07" w:rsidRPr="00142DAE">
        <w:t>, 437</w:t>
      </w:r>
      <w:r w:rsidR="00C96E50" w:rsidRPr="00142DAE">
        <w:t>.)</w:t>
      </w:r>
      <w:r w:rsidR="0097788F" w:rsidRPr="00142DAE">
        <w:t xml:space="preserve">  </w:t>
      </w:r>
      <w:r w:rsidR="003453D9" w:rsidRPr="00142DAE">
        <w:t xml:space="preserve">Limiting resentencing to the target offense or the underlying felony, the Court of Appeal reasoned, </w:t>
      </w:r>
      <w:r w:rsidR="0036400C" w:rsidRPr="00142DAE">
        <w:t>“does not result in absurd consequences” and “simply limits a petitioner’s expo</w:t>
      </w:r>
      <w:r w:rsidR="00AA35B0" w:rsidRPr="00142DAE">
        <w:t xml:space="preserve">sure in a relatively definite manner to only a specific offense and avoids the complexities that could arise in deciding </w:t>
      </w:r>
      <w:r w:rsidR="00011159" w:rsidRPr="00142DAE">
        <w:t xml:space="preserve">which of the myriad sentencing enhancements in our penal law might be applicable to a particular factual scenario.”  </w:t>
      </w:r>
      <w:r w:rsidR="00860CBB" w:rsidRPr="00142DAE">
        <w:t>(</w:t>
      </w:r>
      <w:r w:rsidR="00860CBB" w:rsidRPr="00142DAE">
        <w:rPr>
          <w:i/>
          <w:iCs/>
        </w:rPr>
        <w:t>Id</w:t>
      </w:r>
      <w:r w:rsidR="00860CBB" w:rsidRPr="00142DAE">
        <w:t xml:space="preserve">. at p. 436.)  </w:t>
      </w:r>
      <w:r w:rsidR="00826F5B" w:rsidRPr="00142DAE">
        <w:t>The court a</w:t>
      </w:r>
      <w:r w:rsidR="00DD581B" w:rsidRPr="00142DAE">
        <w:t>ssert</w:t>
      </w:r>
      <w:r w:rsidR="00826F5B" w:rsidRPr="00142DAE">
        <w:t xml:space="preserve">ed that its </w:t>
      </w:r>
      <w:r w:rsidR="00794532" w:rsidRPr="00142DAE">
        <w:t xml:space="preserve">interpretation </w:t>
      </w:r>
      <w:r w:rsidR="0088024A" w:rsidRPr="00142DAE">
        <w:t xml:space="preserve">of </w:t>
      </w:r>
      <w:r w:rsidR="00E94F2D" w:rsidRPr="00142DAE">
        <w:t>section 1172.6,</w:t>
      </w:r>
      <w:r w:rsidR="0071691E" w:rsidRPr="00142DAE">
        <w:t xml:space="preserve"> subdivision (e) </w:t>
      </w:r>
      <w:r w:rsidR="00794532" w:rsidRPr="00142DAE">
        <w:t xml:space="preserve">departed from that offered </w:t>
      </w:r>
      <w:r w:rsidR="00A7301F" w:rsidRPr="00142DAE">
        <w:t xml:space="preserve">by the First Appellate District, Division Five, </w:t>
      </w:r>
      <w:r w:rsidR="00212C96" w:rsidRPr="00142DAE">
        <w:t xml:space="preserve">in </w:t>
      </w:r>
      <w:bookmarkStart w:id="6" w:name="_Hlk169020447"/>
      <w:r w:rsidR="007A13BF" w:rsidRPr="00142DAE">
        <w:rPr>
          <w:i/>
          <w:iCs/>
        </w:rPr>
        <w:t xml:space="preserve">People v. </w:t>
      </w:r>
      <w:r w:rsidR="00212C96" w:rsidRPr="00142DAE">
        <w:rPr>
          <w:i/>
          <w:iCs/>
        </w:rPr>
        <w:t>Howard</w:t>
      </w:r>
      <w:r w:rsidR="007A13BF" w:rsidRPr="00142DAE">
        <w:t xml:space="preserve"> (2020) </w:t>
      </w:r>
      <w:r w:rsidR="00212C96" w:rsidRPr="00142DAE">
        <w:t xml:space="preserve">50 Cal.App.5th 727, </w:t>
      </w:r>
      <w:r w:rsidR="00E03850" w:rsidRPr="00142DAE">
        <w:t>741–742</w:t>
      </w:r>
      <w:r w:rsidR="0033041F">
        <w:t xml:space="preserve"> (</w:t>
      </w:r>
      <w:r w:rsidR="0033041F">
        <w:rPr>
          <w:i/>
          <w:iCs/>
        </w:rPr>
        <w:t>Howard</w:t>
      </w:r>
      <w:r w:rsidR="0033041F">
        <w:t>)</w:t>
      </w:r>
      <w:r w:rsidR="00012039" w:rsidRPr="00142DAE">
        <w:t xml:space="preserve">, </w:t>
      </w:r>
      <w:bookmarkEnd w:id="6"/>
      <w:r w:rsidR="00012039" w:rsidRPr="00142DAE">
        <w:t xml:space="preserve">which </w:t>
      </w:r>
      <w:r w:rsidR="0088183B" w:rsidRPr="00142DAE">
        <w:t xml:space="preserve">affirmed </w:t>
      </w:r>
      <w:r w:rsidR="00672418" w:rsidRPr="00142DAE">
        <w:t>the addition of an arming enhancement to the redesignated underlying felony</w:t>
      </w:r>
      <w:r w:rsidR="00E03850" w:rsidRPr="00142DAE">
        <w:t>.</w:t>
      </w:r>
      <w:r w:rsidR="00B620C5">
        <w:t xml:space="preserve">  (</w:t>
      </w:r>
      <w:r w:rsidR="00D55903">
        <w:rPr>
          <w:i/>
          <w:iCs/>
        </w:rPr>
        <w:t>Arellano</w:t>
      </w:r>
      <w:r w:rsidR="00D55903">
        <w:t>, at p. 434.</w:t>
      </w:r>
      <w:r w:rsidR="00E03850" w:rsidRPr="00142DAE">
        <w:t xml:space="preserve">)  </w:t>
      </w:r>
    </w:p>
    <w:p w14:paraId="07254990" w14:textId="77777777" w:rsidR="005501D9" w:rsidRPr="00142DAE" w:rsidRDefault="00000000" w:rsidP="00AB7464">
      <w:pPr>
        <w:tabs>
          <w:tab w:val="left" w:pos="1440"/>
        </w:tabs>
        <w:ind w:firstLine="720"/>
      </w:pPr>
      <w:r w:rsidRPr="00142DAE">
        <w:t>We granted the Attorney General’s petition for review.</w:t>
      </w:r>
    </w:p>
    <w:p w14:paraId="07254991" w14:textId="77777777" w:rsidR="000434AC" w:rsidRPr="00142DAE" w:rsidRDefault="00000000" w:rsidP="00142DAE">
      <w:pPr>
        <w:pStyle w:val="Heading1"/>
      </w:pPr>
      <w:r w:rsidRPr="00142DAE">
        <w:t>II.  Discussion</w:t>
      </w:r>
      <w:r w:rsidR="00CF77C0" w:rsidRPr="00142DAE">
        <w:t xml:space="preserve"> </w:t>
      </w:r>
    </w:p>
    <w:p w14:paraId="07254992" w14:textId="77777777" w:rsidR="00C06C54" w:rsidRPr="00142DAE" w:rsidRDefault="00000000" w:rsidP="00142DAE">
      <w:pPr>
        <w:pStyle w:val="Heading2"/>
      </w:pPr>
      <w:r w:rsidRPr="00142DAE">
        <w:t xml:space="preserve">A.  </w:t>
      </w:r>
      <w:r w:rsidR="00EF14E4" w:rsidRPr="00142DAE">
        <w:t>General Procedure</w:t>
      </w:r>
      <w:r w:rsidR="007C3DF3" w:rsidRPr="00142DAE">
        <w:t>s</w:t>
      </w:r>
      <w:r w:rsidR="00EF14E4" w:rsidRPr="00142DAE">
        <w:t xml:space="preserve"> for Resentencing </w:t>
      </w:r>
      <w:r w:rsidR="0058587E" w:rsidRPr="00142DAE">
        <w:t xml:space="preserve">Under </w:t>
      </w:r>
      <w:r w:rsidR="007A1DC1" w:rsidRPr="00142DAE">
        <w:t>Senate Bill No. 1437</w:t>
      </w:r>
    </w:p>
    <w:p w14:paraId="07254993" w14:textId="77777777" w:rsidR="009C16A3" w:rsidRPr="00142DAE" w:rsidRDefault="00000000" w:rsidP="00AB7464">
      <w:pPr>
        <w:tabs>
          <w:tab w:val="left" w:pos="1440"/>
        </w:tabs>
        <w:ind w:firstLine="720"/>
      </w:pPr>
      <w:r w:rsidRPr="00142DAE">
        <w:t>In 2018, the Legislature enacted Senate Bill No. 1437 (2017</w:t>
      </w:r>
      <w:r w:rsidR="00C71F04" w:rsidRPr="00142DAE">
        <w:t>–</w:t>
      </w:r>
      <w:r w:rsidRPr="00142DAE">
        <w:t>2018 Reg. Sess.)</w:t>
      </w:r>
      <w:r w:rsidR="002161E1">
        <w:t xml:space="preserve"> (Senate Bill No. 1437)</w:t>
      </w:r>
      <w:r w:rsidRPr="00142DAE">
        <w:t xml:space="preserve">, which </w:t>
      </w:r>
      <w:r w:rsidR="00450DEB" w:rsidRPr="00142DAE">
        <w:t xml:space="preserve">altered the </w:t>
      </w:r>
      <w:r w:rsidR="003E096F" w:rsidRPr="00142DAE">
        <w:t xml:space="preserve">substantive law of murder </w:t>
      </w:r>
      <w:r w:rsidR="005504E5" w:rsidRPr="00142DAE">
        <w:t xml:space="preserve">for accomplices in two respects.  </w:t>
      </w:r>
      <w:r w:rsidR="001D2305" w:rsidRPr="00142DAE">
        <w:t xml:space="preserve">(Stats. 2018, ch. </w:t>
      </w:r>
      <w:r w:rsidR="00F313D1" w:rsidRPr="00142DAE">
        <w:t>1015, § 1(f).)</w:t>
      </w:r>
      <w:r w:rsidR="004273A8" w:rsidRPr="00142DAE">
        <w:t xml:space="preserve">  First, </w:t>
      </w:r>
      <w:r w:rsidR="009F046D" w:rsidRPr="00142DAE">
        <w:t xml:space="preserve">with certain exceptions, </w:t>
      </w:r>
      <w:r w:rsidR="006F3627" w:rsidRPr="00142DAE">
        <w:t>it narrowed</w:t>
      </w:r>
      <w:r w:rsidR="00C34A9C" w:rsidRPr="00142DAE">
        <w:t xml:space="preserve"> the </w:t>
      </w:r>
      <w:r w:rsidR="00FC4526" w:rsidRPr="00142DAE">
        <w:t>scope of the felony</w:t>
      </w:r>
      <w:r w:rsidR="00C71F04">
        <w:t>-</w:t>
      </w:r>
      <w:r w:rsidR="0015628E" w:rsidRPr="00142DAE">
        <w:t>murder rule</w:t>
      </w:r>
      <w:r w:rsidR="009F046D" w:rsidRPr="00142DAE">
        <w:t xml:space="preserve"> </w:t>
      </w:r>
      <w:r w:rsidR="00AA472B" w:rsidRPr="00142DAE">
        <w:t xml:space="preserve">so that </w:t>
      </w:r>
      <w:r w:rsidR="00EC42FF" w:rsidRPr="00142DAE">
        <w:t>a “participant</w:t>
      </w:r>
      <w:r w:rsidR="00670D6A" w:rsidRPr="00142DAE">
        <w:t xml:space="preserve"> in the </w:t>
      </w:r>
      <w:r w:rsidR="007A7407" w:rsidRPr="00142DAE">
        <w:t>perpetration or attempted perpetration</w:t>
      </w:r>
      <w:r w:rsidR="003716A3" w:rsidRPr="00142DAE">
        <w:t xml:space="preserve"> of a [specified felony</w:t>
      </w:r>
      <w:r w:rsidR="003201F4" w:rsidRPr="00142DAE">
        <w:t>] in which a death occurs</w:t>
      </w:r>
      <w:r w:rsidR="00C018AC" w:rsidRPr="00142DAE">
        <w:t xml:space="preserve">” can be liable for murder </w:t>
      </w:r>
      <w:r w:rsidR="004D699D" w:rsidRPr="00142DAE">
        <w:t>only if</w:t>
      </w:r>
      <w:r w:rsidR="00214EA5" w:rsidRPr="00142DAE">
        <w:t xml:space="preserve"> </w:t>
      </w:r>
      <w:r w:rsidR="000A1696" w:rsidRPr="00142DAE">
        <w:t>“[t]he person was the actual killer</w:t>
      </w:r>
      <w:r w:rsidR="009E6B08" w:rsidRPr="00142DAE">
        <w:t xml:space="preserve">”; </w:t>
      </w:r>
      <w:r w:rsidR="00F64362" w:rsidRPr="00142DAE">
        <w:t>“[t]he person was not the actual killer</w:t>
      </w:r>
      <w:r w:rsidR="00A241C1" w:rsidRPr="00142DAE">
        <w:t xml:space="preserve">, but, with the intent to kill, aided, abetted, counseled, commanded, induced, solicited, requested, </w:t>
      </w:r>
      <w:r w:rsidR="00A241C1" w:rsidRPr="00142DAE">
        <w:lastRenderedPageBreak/>
        <w:t>or assisted the actual killer in the commission of murder in the first degree</w:t>
      </w:r>
      <w:r w:rsidR="00093206" w:rsidRPr="00142DAE">
        <w:t>”;</w:t>
      </w:r>
      <w:r w:rsidR="00F44D7F" w:rsidRPr="00142DAE">
        <w:t xml:space="preserve"> or </w:t>
      </w:r>
      <w:r w:rsidR="00AE53F7" w:rsidRPr="00142DAE">
        <w:t xml:space="preserve">“[t]he person was a major participant in the underlying felony and acted with reckless indifference to human life.”  </w:t>
      </w:r>
      <w:r w:rsidR="00875579" w:rsidRPr="00142DAE">
        <w:t>(</w:t>
      </w:r>
      <w:r w:rsidR="004A799B" w:rsidRPr="00142DAE">
        <w:t>§ 189, subd. (e)</w:t>
      </w:r>
      <w:r w:rsidR="002F271C">
        <w:t>(1)</w:t>
      </w:r>
      <w:r w:rsidR="002F271C" w:rsidRPr="00142DAE">
        <w:t>–</w:t>
      </w:r>
      <w:r w:rsidR="002F271C">
        <w:t>(3)</w:t>
      </w:r>
      <w:r w:rsidR="004A799B" w:rsidRPr="00142DAE">
        <w:t xml:space="preserve">.)  </w:t>
      </w:r>
      <w:r w:rsidR="00FC34CB" w:rsidRPr="00142DAE">
        <w:t xml:space="preserve">Second, </w:t>
      </w:r>
      <w:r w:rsidR="00FF1B16" w:rsidRPr="00142DAE">
        <w:t xml:space="preserve">it now requires that, except in cases of felony murder, </w:t>
      </w:r>
      <w:r w:rsidR="00E72519" w:rsidRPr="00142DAE">
        <w:t>“a principal in a crime shall act with malice aforethought</w:t>
      </w:r>
      <w:r w:rsidR="00834AAD" w:rsidRPr="00142DAE">
        <w:t>” to be convicted of murder</w:t>
      </w:r>
      <w:r w:rsidR="00591AC1" w:rsidRPr="00142DAE">
        <w:t xml:space="preserve">.  </w:t>
      </w:r>
      <w:r w:rsidR="00C93BF0" w:rsidRPr="00142DAE">
        <w:t>(§ 188, subd. (a)(3).)  I</w:t>
      </w:r>
      <w:r w:rsidR="006471E0" w:rsidRPr="00142DAE">
        <w:t>n other words,</w:t>
      </w:r>
      <w:r w:rsidR="0011373C" w:rsidRPr="00142DAE">
        <w:t xml:space="preserve"> </w:t>
      </w:r>
      <w:r w:rsidR="00B868CA" w:rsidRPr="00142DAE">
        <w:t>“[m]alice shall not be imputed to a person based solely on his or her participation in a crime</w:t>
      </w:r>
      <w:r w:rsidR="00834AAD" w:rsidRPr="00142DAE">
        <w:t>.</w:t>
      </w:r>
      <w:r w:rsidR="003F3350" w:rsidRPr="00142DAE">
        <w:t>”</w:t>
      </w:r>
      <w:r w:rsidR="00834AAD" w:rsidRPr="00142DAE">
        <w:t xml:space="preserve">  </w:t>
      </w:r>
      <w:r w:rsidR="00BF51E2" w:rsidRPr="00142DAE">
        <w:t>(</w:t>
      </w:r>
      <w:r w:rsidR="008D0949" w:rsidRPr="00142DAE">
        <w:rPr>
          <w:i/>
          <w:iCs/>
        </w:rPr>
        <w:t>Ibid</w:t>
      </w:r>
      <w:r w:rsidR="00BF51E2" w:rsidRPr="00142DAE">
        <w:t>.)</w:t>
      </w:r>
      <w:r w:rsidR="00C93BF0" w:rsidRPr="00142DAE">
        <w:t xml:space="preserve">  </w:t>
      </w:r>
      <w:r w:rsidR="00624EB5" w:rsidRPr="00142DAE">
        <w:t xml:space="preserve">This </w:t>
      </w:r>
      <w:r w:rsidR="00A35FD9" w:rsidRPr="00142DAE">
        <w:t xml:space="preserve">aspect of </w:t>
      </w:r>
      <w:r w:rsidR="00180756" w:rsidRPr="00142DAE">
        <w:t xml:space="preserve">Senate Bill No. 1437 </w:t>
      </w:r>
      <w:r w:rsidR="0054776F" w:rsidRPr="00142DAE">
        <w:t xml:space="preserve">eliminated </w:t>
      </w:r>
      <w:r w:rsidR="005A079F" w:rsidRPr="00142DAE">
        <w:t xml:space="preserve">liability for murder as an aider and abettor under the natural and </w:t>
      </w:r>
      <w:r w:rsidR="00E42700" w:rsidRPr="00142DAE">
        <w:t>probable consequences doctrine.  (</w:t>
      </w:r>
      <w:r w:rsidR="003E484E" w:rsidRPr="00142DAE">
        <w:rPr>
          <w:i/>
          <w:iCs/>
        </w:rPr>
        <w:t>People v. Curiel</w:t>
      </w:r>
      <w:r w:rsidR="003E484E" w:rsidRPr="00142DAE">
        <w:t xml:space="preserve"> (2023) 15 Cal.</w:t>
      </w:r>
      <w:r w:rsidR="00E86F12" w:rsidRPr="00142DAE">
        <w:t>5</w:t>
      </w:r>
      <w:r w:rsidR="003E484E" w:rsidRPr="00142DAE">
        <w:t xml:space="preserve">th </w:t>
      </w:r>
      <w:r w:rsidR="001A6C5F" w:rsidRPr="00142DAE">
        <w:t xml:space="preserve">433, 449.)  </w:t>
      </w:r>
    </w:p>
    <w:p w14:paraId="07254994" w14:textId="77777777" w:rsidR="006B7801" w:rsidRPr="00142DAE" w:rsidRDefault="00000000" w:rsidP="00AB7464">
      <w:pPr>
        <w:tabs>
          <w:tab w:val="left" w:pos="1440"/>
        </w:tabs>
        <w:ind w:firstLine="720"/>
      </w:pPr>
      <w:r w:rsidRPr="00142DAE">
        <w:t xml:space="preserve">Senate Bill No. </w:t>
      </w:r>
      <w:r w:rsidR="00F466B0" w:rsidRPr="00142DAE">
        <w:t xml:space="preserve">1437 </w:t>
      </w:r>
      <w:r w:rsidR="001B4F94" w:rsidRPr="00142DAE">
        <w:t>also created “a procedure for convicted murder</w:t>
      </w:r>
      <w:r w:rsidR="003875F8" w:rsidRPr="00142DAE">
        <w:t>er</w:t>
      </w:r>
      <w:r w:rsidR="001B4F94" w:rsidRPr="00142DAE">
        <w:t xml:space="preserve">s who could not be convicted under the law as amended to retroactively seek relief.”  </w:t>
      </w:r>
      <w:r w:rsidR="007D6B7F" w:rsidRPr="00142DAE">
        <w:t>(</w:t>
      </w:r>
      <w:r w:rsidR="007D6B7F" w:rsidRPr="00142DAE">
        <w:rPr>
          <w:i/>
          <w:iCs/>
        </w:rPr>
        <w:t>People v. Lewis</w:t>
      </w:r>
      <w:r w:rsidR="007D6B7F" w:rsidRPr="00142DAE">
        <w:t xml:space="preserve"> (2021) 11 Cal.5th </w:t>
      </w:r>
      <w:r w:rsidR="00DB09C8" w:rsidRPr="00142DAE">
        <w:t>952, 957.)</w:t>
      </w:r>
      <w:r w:rsidR="00BC7A75" w:rsidRPr="00142DAE">
        <w:t xml:space="preserve">  </w:t>
      </w:r>
      <w:r w:rsidR="00FD24E1" w:rsidRPr="00142DAE">
        <w:t xml:space="preserve">The Legislature subsequently amended </w:t>
      </w:r>
      <w:r w:rsidR="00DE656F" w:rsidRPr="00142DAE">
        <w:t>the statute to expand the categories of those eligible for relief</w:t>
      </w:r>
      <w:r w:rsidR="00931B5F" w:rsidRPr="00142DAE">
        <w:t>,</w:t>
      </w:r>
      <w:r>
        <w:rPr>
          <w:rStyle w:val="FootnoteReference"/>
        </w:rPr>
        <w:footnoteReference w:id="4"/>
      </w:r>
      <w:r w:rsidR="00931B5F" w:rsidRPr="00142DAE">
        <w:t xml:space="preserve"> codify certain aspects of our </w:t>
      </w:r>
      <w:r w:rsidR="00DC4046" w:rsidRPr="00142DAE">
        <w:t xml:space="preserve">decision in </w:t>
      </w:r>
      <w:r w:rsidR="00DC4046" w:rsidRPr="00142DAE">
        <w:rPr>
          <w:i/>
          <w:iCs/>
        </w:rPr>
        <w:t>Lewis</w:t>
      </w:r>
      <w:r w:rsidR="00DC4046" w:rsidRPr="00142DAE">
        <w:t>, and</w:t>
      </w:r>
      <w:r w:rsidR="00FE2176" w:rsidRPr="00142DAE">
        <w:t xml:space="preserve"> cl</w:t>
      </w:r>
      <w:r w:rsidR="00B8192F" w:rsidRPr="00142DAE">
        <w:t>a</w:t>
      </w:r>
      <w:r w:rsidR="00FE2176" w:rsidRPr="00142DAE">
        <w:t xml:space="preserve">rify </w:t>
      </w:r>
      <w:r w:rsidR="00512B2C" w:rsidRPr="00142DAE">
        <w:t>certain</w:t>
      </w:r>
      <w:r w:rsidR="00623997" w:rsidRPr="00142DAE">
        <w:t xml:space="preserve"> </w:t>
      </w:r>
      <w:r w:rsidR="00FE2176" w:rsidRPr="00142DAE">
        <w:t>procedure</w:t>
      </w:r>
      <w:r w:rsidR="00512B2C" w:rsidRPr="00142DAE">
        <w:t>s</w:t>
      </w:r>
      <w:r w:rsidR="00FE2176" w:rsidRPr="00142DAE">
        <w:t xml:space="preserve"> a</w:t>
      </w:r>
      <w:r w:rsidR="00623997" w:rsidRPr="00142DAE">
        <w:t xml:space="preserve">t the evidentiary </w:t>
      </w:r>
      <w:r w:rsidR="00CA6DC2" w:rsidRPr="00142DAE">
        <w:t>hearing</w:t>
      </w:r>
      <w:r w:rsidR="00DB4D84" w:rsidRPr="00142DAE">
        <w:t xml:space="preserve">.  </w:t>
      </w:r>
      <w:r w:rsidR="00C21CFA" w:rsidRPr="00142DAE">
        <w:t>(Stats</w:t>
      </w:r>
      <w:r w:rsidR="00121AA6" w:rsidRPr="00142DAE">
        <w:t xml:space="preserve">. 2021, ch. 551, § 1.)  </w:t>
      </w:r>
      <w:r w:rsidR="00AE207A" w:rsidRPr="00142DAE">
        <w:t xml:space="preserve">In 2022, </w:t>
      </w:r>
      <w:r w:rsidR="00371AAF" w:rsidRPr="00142DAE">
        <w:t>former section 1170.95 was renumbered as section 1172.6 without substantive change</w:t>
      </w:r>
      <w:r w:rsidR="00E32EA5" w:rsidRPr="00142DAE">
        <w:t>.  (Stats. 2022, ch. 58, § 10</w:t>
      </w:r>
      <w:r w:rsidR="000D32FA" w:rsidRPr="00142DAE">
        <w:t xml:space="preserve">; see </w:t>
      </w:r>
      <w:bookmarkStart w:id="7" w:name="_Hlk169021053"/>
      <w:r w:rsidR="000D32FA" w:rsidRPr="00142DAE">
        <w:rPr>
          <w:i/>
          <w:iCs/>
        </w:rPr>
        <w:t>People v. Strong</w:t>
      </w:r>
      <w:r w:rsidR="000D32FA" w:rsidRPr="00142DAE">
        <w:t xml:space="preserve"> (2022) 13 Cal.5th </w:t>
      </w:r>
      <w:r w:rsidR="00223B50" w:rsidRPr="00142DAE">
        <w:t>698, 708, fn. 2</w:t>
      </w:r>
      <w:r w:rsidR="00F861FC" w:rsidRPr="00142DAE">
        <w:t xml:space="preserve"> (</w:t>
      </w:r>
      <w:r w:rsidR="00690369" w:rsidRPr="00142DAE">
        <w:rPr>
          <w:i/>
          <w:iCs/>
        </w:rPr>
        <w:t>Strong</w:t>
      </w:r>
      <w:r w:rsidR="00690369" w:rsidRPr="00142DAE">
        <w:t>)</w:t>
      </w:r>
      <w:r w:rsidR="00E32EA5" w:rsidRPr="00142DAE">
        <w:t>.</w:t>
      </w:r>
      <w:bookmarkEnd w:id="7"/>
      <w:r w:rsidR="00E32EA5" w:rsidRPr="00142DAE">
        <w:t>)</w:t>
      </w:r>
      <w:r w:rsidR="00A13866" w:rsidRPr="00142DAE">
        <w:t xml:space="preserve">  Neither party claims that the</w:t>
      </w:r>
      <w:r w:rsidR="002B41AD" w:rsidRPr="00142DAE">
        <w:t xml:space="preserve">se statutory changes </w:t>
      </w:r>
      <w:r w:rsidR="00567D75" w:rsidRPr="00142DAE">
        <w:t xml:space="preserve">affect the issue </w:t>
      </w:r>
      <w:r w:rsidR="00596CD3" w:rsidRPr="00142DAE">
        <w:t>raised in this appeal, so we</w:t>
      </w:r>
      <w:r w:rsidR="000F1D45" w:rsidRPr="00142DAE">
        <w:t xml:space="preserve"> generally</w:t>
      </w:r>
      <w:r w:rsidR="00596CD3" w:rsidRPr="00142DAE">
        <w:t xml:space="preserve"> refer </w:t>
      </w:r>
      <w:r w:rsidR="00F21477" w:rsidRPr="00142DAE">
        <w:t xml:space="preserve">to the </w:t>
      </w:r>
      <w:r w:rsidR="0017299F" w:rsidRPr="00142DAE">
        <w:t>current statute</w:t>
      </w:r>
      <w:r w:rsidR="00337E51" w:rsidRPr="00142DAE">
        <w:t xml:space="preserve"> in th</w:t>
      </w:r>
      <w:r w:rsidR="00E55008" w:rsidRPr="00142DAE">
        <w:t>is</w:t>
      </w:r>
      <w:r w:rsidR="00337E51" w:rsidRPr="00142DAE">
        <w:t xml:space="preserve"> opinion.  </w:t>
      </w:r>
    </w:p>
    <w:p w14:paraId="07254995" w14:textId="77777777" w:rsidR="00B528E5" w:rsidRPr="00142DAE" w:rsidRDefault="00000000" w:rsidP="00AB7464">
      <w:pPr>
        <w:tabs>
          <w:tab w:val="left" w:pos="1440"/>
        </w:tabs>
        <w:ind w:firstLine="720"/>
      </w:pPr>
      <w:r w:rsidRPr="00142DAE">
        <w:lastRenderedPageBreak/>
        <w:t xml:space="preserve">Under section 1172.6, </w:t>
      </w:r>
      <w:r w:rsidR="00046883" w:rsidRPr="00142DAE">
        <w:t xml:space="preserve">subdivision (a), </w:t>
      </w:r>
      <w:r w:rsidR="00950A1F" w:rsidRPr="00142DAE">
        <w:t>“A person convicted of felony murder or murder under the natural and probable consequences doctrine or other theory under which malice is imputed to a person based solely on that person</w:t>
      </w:r>
      <w:r w:rsidR="00B95D3C" w:rsidRPr="00142DAE">
        <w:t>’</w:t>
      </w:r>
      <w:r w:rsidR="00950A1F" w:rsidRPr="00142DAE">
        <w:t>s participation in a crime</w:t>
      </w:r>
      <w:r w:rsidR="00F07F3F" w:rsidRPr="00142DAE">
        <w:t xml:space="preserve"> </w:t>
      </w:r>
      <w:r w:rsidR="00D82BFD" w:rsidRPr="00142DAE">
        <w:t>.</w:t>
      </w:r>
      <w:r w:rsidR="00706E9C">
        <w:t> </w:t>
      </w:r>
      <w:r w:rsidR="00D82BFD" w:rsidRPr="00142DAE">
        <w:t>.</w:t>
      </w:r>
      <w:r w:rsidR="00706E9C">
        <w:t> </w:t>
      </w:r>
      <w:r w:rsidR="00D82BFD" w:rsidRPr="00142DAE">
        <w:t xml:space="preserve">. </w:t>
      </w:r>
      <w:r w:rsidR="00950A1F" w:rsidRPr="00142DAE">
        <w:t>may file a petition with the court that sentenced the petitioner to have the petitioner</w:t>
      </w:r>
      <w:r w:rsidR="00881CF6" w:rsidRPr="00142DAE">
        <w:t>’</w:t>
      </w:r>
      <w:r w:rsidR="00950A1F" w:rsidRPr="00142DAE">
        <w:t>s murder</w:t>
      </w:r>
      <w:r w:rsidR="000826BB" w:rsidRPr="00142DAE">
        <w:t xml:space="preserve"> .</w:t>
      </w:r>
      <w:r w:rsidR="00706E9C">
        <w:t> </w:t>
      </w:r>
      <w:r w:rsidR="000826BB" w:rsidRPr="00142DAE">
        <w:t>.</w:t>
      </w:r>
      <w:r w:rsidR="00706E9C">
        <w:t> </w:t>
      </w:r>
      <w:r w:rsidR="000826BB" w:rsidRPr="00142DAE">
        <w:t xml:space="preserve">. </w:t>
      </w:r>
      <w:r w:rsidR="00950A1F" w:rsidRPr="00142DAE">
        <w:t>conviction vacated and to be resentenced on any remaining counts</w:t>
      </w:r>
      <w:r w:rsidR="008E719A" w:rsidRPr="00142DAE">
        <w:t xml:space="preserve"> .</w:t>
      </w:r>
      <w:r w:rsidR="00706E9C">
        <w:t> </w:t>
      </w:r>
      <w:r w:rsidR="008E719A" w:rsidRPr="00142DAE">
        <w:t>.</w:t>
      </w:r>
      <w:r w:rsidR="00706E9C">
        <w:t> </w:t>
      </w:r>
      <w:r w:rsidR="008E719A" w:rsidRPr="00142DAE">
        <w:t>.</w:t>
      </w:r>
      <w:r w:rsidR="00706E9C">
        <w:t> </w:t>
      </w:r>
      <w:r w:rsidR="008E719A" w:rsidRPr="00142DAE">
        <w:t>.”</w:t>
      </w:r>
      <w:r w:rsidR="009961C1" w:rsidRPr="00142DAE">
        <w:t xml:space="preserve">  </w:t>
      </w:r>
      <w:r w:rsidR="00793277" w:rsidRPr="00142DAE">
        <w:t>“[T]he process begins with the filing of a petition containing a declaration that all requirements for eligibility are met (</w:t>
      </w:r>
      <w:r w:rsidR="004D5C09" w:rsidRPr="00142DAE">
        <w:rPr>
          <w:i/>
          <w:iCs/>
        </w:rPr>
        <w:t>id</w:t>
      </w:r>
      <w:r w:rsidR="004D5C09" w:rsidRPr="00142DAE">
        <w:t xml:space="preserve">., </w:t>
      </w:r>
      <w:r w:rsidR="00793277" w:rsidRPr="00142DAE">
        <w:t xml:space="preserve">subd. (b)(1)(A)), including that ‘[t]he petitioner could not presently be convicted of murder or attempted murder because of changes to [Penal Code] Section 188 or 189 made effective January 1, 2019,’ the effective date of Senate Bill 1437 (§ 1172.6, subd. (a)(3)).” </w:t>
      </w:r>
      <w:r w:rsidR="00A67FB4" w:rsidRPr="00142DAE">
        <w:t xml:space="preserve"> </w:t>
      </w:r>
      <w:r w:rsidR="00793277" w:rsidRPr="00142DAE">
        <w:t>(</w:t>
      </w:r>
      <w:r w:rsidR="00793277" w:rsidRPr="00142DAE">
        <w:rPr>
          <w:i/>
          <w:iCs/>
        </w:rPr>
        <w:t>Strong</w:t>
      </w:r>
      <w:r w:rsidR="00793277" w:rsidRPr="00142DAE">
        <w:t xml:space="preserve">, </w:t>
      </w:r>
      <w:r w:rsidR="00793277" w:rsidRPr="00142DAE">
        <w:rPr>
          <w:i/>
          <w:iCs/>
        </w:rPr>
        <w:t>supra</w:t>
      </w:r>
      <w:r w:rsidR="00793277" w:rsidRPr="00142DAE">
        <w:t xml:space="preserve">, 13 Cal.5th at p. 708.) </w:t>
      </w:r>
      <w:r w:rsidR="006D2201" w:rsidRPr="00142DAE">
        <w:t xml:space="preserve"> </w:t>
      </w:r>
      <w:r w:rsidR="00793277" w:rsidRPr="00142DAE">
        <w:t xml:space="preserve">“When the trial court receives a petition containing the necessary declaration and other required information, the court must evaluate the petition ‘to determine whether the petitioner has made a prima facie case for relief.’ </w:t>
      </w:r>
      <w:r w:rsidR="00007BF5" w:rsidRPr="00142DAE">
        <w:t xml:space="preserve"> </w:t>
      </w:r>
      <w:r w:rsidR="00793277" w:rsidRPr="00142DAE">
        <w:t xml:space="preserve">(§ 1172.6, subd. (c); [citation].) </w:t>
      </w:r>
      <w:r w:rsidR="00A71C51" w:rsidRPr="00142DAE">
        <w:t xml:space="preserve"> </w:t>
      </w:r>
      <w:r w:rsidR="00793277" w:rsidRPr="00142DAE">
        <w:t xml:space="preserve">If the petition and record in the case establish conclusively that the defendant is ineligible for relief, the trial court may dismiss the petition. </w:t>
      </w:r>
      <w:r w:rsidR="00691F01" w:rsidRPr="00142DAE">
        <w:t xml:space="preserve"> </w:t>
      </w:r>
      <w:r w:rsidR="00793277" w:rsidRPr="00142DAE">
        <w:t>(See §</w:t>
      </w:r>
      <w:r w:rsidR="00691F01" w:rsidRPr="00142DAE">
        <w:t> </w:t>
      </w:r>
      <w:r w:rsidR="00793277" w:rsidRPr="00142DAE">
        <w:t xml:space="preserve">1172.6, subd. (c); [citation].) </w:t>
      </w:r>
      <w:r w:rsidR="00691F01" w:rsidRPr="00142DAE">
        <w:t xml:space="preserve"> </w:t>
      </w:r>
      <w:r w:rsidR="00793277" w:rsidRPr="00142DAE">
        <w:t>If, instead, the defendant has made a prima facie showing of entitlement to relief, ‘the court shall issue an order to show cause.’ (§</w:t>
      </w:r>
      <w:r w:rsidR="00691F01" w:rsidRPr="00142DAE">
        <w:t> </w:t>
      </w:r>
      <w:r w:rsidR="00793277" w:rsidRPr="00142DAE">
        <w:t xml:space="preserve">1172.6, subd. (c).)” </w:t>
      </w:r>
      <w:r w:rsidR="00691F01" w:rsidRPr="00142DAE">
        <w:t xml:space="preserve"> </w:t>
      </w:r>
      <w:r w:rsidR="00793277" w:rsidRPr="00142DAE">
        <w:t>(</w:t>
      </w:r>
      <w:r w:rsidR="00793277" w:rsidRPr="00142DAE">
        <w:rPr>
          <w:i/>
          <w:iCs/>
        </w:rPr>
        <w:t>Strong</w:t>
      </w:r>
      <w:r w:rsidR="00793277" w:rsidRPr="00142DAE">
        <w:t>, at p. 708.)</w:t>
      </w:r>
      <w:r w:rsidR="008A4E0C" w:rsidRPr="00142DAE">
        <w:t xml:space="preserve">  </w:t>
      </w:r>
    </w:p>
    <w:p w14:paraId="07254996" w14:textId="77777777" w:rsidR="00B74840" w:rsidRPr="00142DAE" w:rsidRDefault="00000000" w:rsidP="00AB7464">
      <w:pPr>
        <w:tabs>
          <w:tab w:val="left" w:pos="1440"/>
        </w:tabs>
        <w:ind w:firstLine="720"/>
      </w:pPr>
      <w:r w:rsidRPr="00142DAE">
        <w:t xml:space="preserve">Within 60 days after the order to show cause has issued, the court is </w:t>
      </w:r>
      <w:r w:rsidR="003E6FB3" w:rsidRPr="00142DAE">
        <w:t xml:space="preserve">to conduct a hearing </w:t>
      </w:r>
      <w:r w:rsidRPr="00142DAE">
        <w:t xml:space="preserve">to </w:t>
      </w:r>
      <w:r w:rsidR="00DC6F09" w:rsidRPr="00142DAE">
        <w:t xml:space="preserve">determine whether </w:t>
      </w:r>
      <w:r w:rsidR="00FB5945" w:rsidRPr="00142DAE">
        <w:t>“</w:t>
      </w:r>
      <w:r w:rsidR="00DC6F09" w:rsidRPr="00142DAE">
        <w:t xml:space="preserve">the prosecution </w:t>
      </w:r>
      <w:r w:rsidR="00FB5945" w:rsidRPr="00142DAE">
        <w:t>[</w:t>
      </w:r>
      <w:r w:rsidR="00DC6F09" w:rsidRPr="00142DAE">
        <w:t>can</w:t>
      </w:r>
      <w:r w:rsidR="00FB5945" w:rsidRPr="00142DAE">
        <w:t>]</w:t>
      </w:r>
      <w:r w:rsidR="00DC6F09" w:rsidRPr="00142DAE">
        <w:t xml:space="preserve"> prove, beyond a reasonable doubt, that</w:t>
      </w:r>
      <w:r w:rsidR="00FB5945" w:rsidRPr="00142DAE">
        <w:t xml:space="preserve"> the petitioner is guilty of murder</w:t>
      </w:r>
      <w:r w:rsidR="00EF7B68" w:rsidRPr="00142DAE">
        <w:t xml:space="preserve"> .</w:t>
      </w:r>
      <w:r w:rsidR="00706E9C">
        <w:t> </w:t>
      </w:r>
      <w:r w:rsidR="00EF7B68" w:rsidRPr="00142DAE">
        <w:t>.</w:t>
      </w:r>
      <w:r w:rsidR="00706E9C">
        <w:t> </w:t>
      </w:r>
      <w:r w:rsidR="00EF7B68" w:rsidRPr="00142DAE">
        <w:t xml:space="preserve">. under California law as amended by the changes to Section 188 or 189 </w:t>
      </w:r>
      <w:r w:rsidR="000A0899" w:rsidRPr="00142DAE">
        <w:t xml:space="preserve">made effective January 1, 2019.” </w:t>
      </w:r>
      <w:r w:rsidR="00977B78" w:rsidRPr="00142DAE">
        <w:t xml:space="preserve"> </w:t>
      </w:r>
      <w:r w:rsidR="006C779A" w:rsidRPr="00142DAE">
        <w:t>(</w:t>
      </w:r>
      <w:r w:rsidR="00A37D25" w:rsidRPr="00142DAE">
        <w:t xml:space="preserve">§ 1172.6, subd. (d)(1).)  </w:t>
      </w:r>
      <w:r w:rsidR="008A6A5E" w:rsidRPr="00142DAE">
        <w:t xml:space="preserve">“If the prosecution </w:t>
      </w:r>
      <w:r w:rsidR="00EB1763" w:rsidRPr="00142DAE">
        <w:t>fails to sustain it</w:t>
      </w:r>
      <w:r w:rsidR="00F93C92" w:rsidRPr="00142DAE">
        <w:t>s</w:t>
      </w:r>
      <w:r w:rsidR="00EB1763" w:rsidRPr="00142DAE">
        <w:t xml:space="preserve"> burden of proof, the prior conviction, and any </w:t>
      </w:r>
      <w:r w:rsidR="00EB1763" w:rsidRPr="00142DAE">
        <w:lastRenderedPageBreak/>
        <w:t>allegations and enhancements</w:t>
      </w:r>
      <w:r w:rsidR="00F70079" w:rsidRPr="00142DAE">
        <w:t xml:space="preserve"> attached to the conviction, shall be vacated and the petitioner shall be resentenced on the remaining charges</w:t>
      </w:r>
      <w:r w:rsidR="00952EC7" w:rsidRPr="00142DAE">
        <w:t>”</w:t>
      </w:r>
      <w:r w:rsidR="005B7EB2" w:rsidRPr="00142DAE">
        <w:t xml:space="preserve"> (</w:t>
      </w:r>
      <w:r w:rsidR="005B7EB2" w:rsidRPr="00142DAE">
        <w:rPr>
          <w:i/>
          <w:iCs/>
        </w:rPr>
        <w:t>id</w:t>
      </w:r>
      <w:r w:rsidR="005B7EB2" w:rsidRPr="00142DAE">
        <w:t>., subd. (d)(3))</w:t>
      </w:r>
      <w:r w:rsidR="00851082" w:rsidRPr="00142DAE">
        <w:t xml:space="preserve">, </w:t>
      </w:r>
      <w:r w:rsidR="005B7EB2" w:rsidRPr="00142DAE">
        <w:t xml:space="preserve">“as if the petitioner had not </w:t>
      </w:r>
      <w:r w:rsidR="00851082" w:rsidRPr="00142DAE">
        <w:t>previously been sentenced, provided that the new sentence, if any, is not greater than the initial sentence</w:t>
      </w:r>
      <w:r w:rsidRPr="00142DAE">
        <w:t>”</w:t>
      </w:r>
      <w:r w:rsidR="00CA7D70" w:rsidRPr="00142DAE">
        <w:t xml:space="preserve"> </w:t>
      </w:r>
      <w:r w:rsidR="009D2C0F" w:rsidRPr="00142DAE">
        <w:t>(</w:t>
      </w:r>
      <w:r w:rsidR="00CA7D70" w:rsidRPr="00142DAE">
        <w:rPr>
          <w:i/>
          <w:iCs/>
        </w:rPr>
        <w:t>i</w:t>
      </w:r>
      <w:r w:rsidR="009D2C0F" w:rsidRPr="00142DAE">
        <w:rPr>
          <w:i/>
          <w:iCs/>
        </w:rPr>
        <w:t>d</w:t>
      </w:r>
      <w:r w:rsidR="009D2C0F" w:rsidRPr="00142DAE">
        <w:t>., subd. (d)(</w:t>
      </w:r>
      <w:r w:rsidR="00CA7D70" w:rsidRPr="00142DAE">
        <w:t>1</w:t>
      </w:r>
      <w:r w:rsidR="009D2C0F" w:rsidRPr="00142DAE">
        <w:t>)</w:t>
      </w:r>
      <w:r w:rsidR="00CA7D70" w:rsidRPr="00142DAE">
        <w:t>).</w:t>
      </w:r>
      <w:r w:rsidR="00F93C92" w:rsidRPr="00142DAE">
        <w:t xml:space="preserve">  </w:t>
      </w:r>
      <w:r w:rsidR="008E1AE9" w:rsidRPr="00142DAE">
        <w:t xml:space="preserve">Where </w:t>
      </w:r>
      <w:r w:rsidR="00D80615" w:rsidRPr="00142DAE">
        <w:t xml:space="preserve">(as here) </w:t>
      </w:r>
      <w:r w:rsidR="00D026DE" w:rsidRPr="00142DAE">
        <w:t xml:space="preserve">the murder </w:t>
      </w:r>
      <w:r w:rsidR="00130076" w:rsidRPr="00142DAE">
        <w:t>“</w:t>
      </w:r>
      <w:r w:rsidR="00D026DE" w:rsidRPr="00142DAE">
        <w:t>was charged generically”</w:t>
      </w:r>
      <w:r w:rsidR="00130076" w:rsidRPr="00142DAE">
        <w:t xml:space="preserve"> (</w:t>
      </w:r>
      <w:r w:rsidR="00130076" w:rsidRPr="00142DAE">
        <w:rPr>
          <w:i/>
          <w:iCs/>
        </w:rPr>
        <w:t>id</w:t>
      </w:r>
      <w:r w:rsidR="00130076" w:rsidRPr="00142DAE">
        <w:t>.</w:t>
      </w:r>
      <w:r w:rsidR="003A6F9C" w:rsidRPr="00142DAE">
        <w:t>, subd. (e</w:t>
      </w:r>
      <w:r w:rsidR="005B1DCB" w:rsidRPr="00142DAE">
        <w:t>))</w:t>
      </w:r>
      <w:r w:rsidR="005B1DCB">
        <w:t> </w:t>
      </w:r>
      <w:r w:rsidR="0040057A" w:rsidRPr="00142DAE">
        <w:t xml:space="preserve">— i.e., </w:t>
      </w:r>
      <w:r w:rsidR="00314E04" w:rsidRPr="00142DAE">
        <w:t xml:space="preserve">not limited to any particular theory of liability (see </w:t>
      </w:r>
      <w:r w:rsidR="00573D1E" w:rsidRPr="00142DAE">
        <w:rPr>
          <w:i/>
          <w:iCs/>
        </w:rPr>
        <w:t>People v. Eynon</w:t>
      </w:r>
      <w:r w:rsidR="00573D1E" w:rsidRPr="00142DAE">
        <w:t xml:space="preserve"> (20</w:t>
      </w:r>
      <w:r w:rsidR="0053468E" w:rsidRPr="00142DAE">
        <w:t>21) 68 Cal.App.5th 967, 977</w:t>
      </w:r>
      <w:r w:rsidR="0052653D" w:rsidRPr="00142DAE">
        <w:t>)</w:t>
      </w:r>
      <w:r w:rsidR="0052653D">
        <w:t> </w:t>
      </w:r>
      <w:r w:rsidR="00AA39BC" w:rsidRPr="00142DAE">
        <w:t>—</w:t>
      </w:r>
      <w:r w:rsidR="00573D1E" w:rsidRPr="00142DAE">
        <w:rPr>
          <w:i/>
          <w:iCs/>
        </w:rPr>
        <w:t xml:space="preserve"> </w:t>
      </w:r>
      <w:r w:rsidR="00D026DE" w:rsidRPr="00142DAE">
        <w:t xml:space="preserve">and the target offense or underlying felony </w:t>
      </w:r>
      <w:r w:rsidR="00894BF4" w:rsidRPr="00142DAE">
        <w:t xml:space="preserve">“was not charged,” “[t]he petitioner’s conviction shall be redesignated as the target offense or underlying felony for resentencing </w:t>
      </w:r>
      <w:r w:rsidR="001F2888" w:rsidRPr="00142DAE">
        <w:t>purposes.”</w:t>
      </w:r>
      <w:r w:rsidR="002F09C4" w:rsidRPr="00142DAE">
        <w:t xml:space="preserve">  (</w:t>
      </w:r>
      <w:r w:rsidR="009C76CD" w:rsidRPr="00142DAE">
        <w:t>§</w:t>
      </w:r>
      <w:r w:rsidR="003F1D3A">
        <w:t> </w:t>
      </w:r>
      <w:r w:rsidR="009C76CD" w:rsidRPr="00142DAE">
        <w:t>1172.6</w:t>
      </w:r>
      <w:r w:rsidR="002F09C4" w:rsidRPr="00142DAE">
        <w:t xml:space="preserve">, subd. (e).)  </w:t>
      </w:r>
    </w:p>
    <w:p w14:paraId="07254997" w14:textId="77777777" w:rsidR="00BD73FE" w:rsidRPr="00142DAE" w:rsidRDefault="00000000" w:rsidP="00142DAE">
      <w:pPr>
        <w:pStyle w:val="Heading2"/>
      </w:pPr>
      <w:r w:rsidRPr="00142DAE">
        <w:t xml:space="preserve">B.  </w:t>
      </w:r>
      <w:r w:rsidR="00A46DED">
        <w:t>Review of t</w:t>
      </w:r>
      <w:r w:rsidR="000C61B6" w:rsidRPr="00142DAE">
        <w:t>he Text, Structure, and Purpose of Section 1172.6</w:t>
      </w:r>
      <w:r w:rsidR="002A2872" w:rsidRPr="00142DAE">
        <w:t xml:space="preserve"> </w:t>
      </w:r>
      <w:r w:rsidR="00CC75C4" w:rsidRPr="00142DAE">
        <w:t>Demonstrate</w:t>
      </w:r>
      <w:r w:rsidR="000D2AE0">
        <w:t>s</w:t>
      </w:r>
      <w:r w:rsidR="002A2872" w:rsidRPr="00142DAE">
        <w:t xml:space="preserve"> </w:t>
      </w:r>
      <w:r w:rsidR="00D56DF6">
        <w:t>T</w:t>
      </w:r>
      <w:r w:rsidR="00CE0736" w:rsidRPr="00142DAE">
        <w:t xml:space="preserve">hat Courts May Not Impose Uncharged </w:t>
      </w:r>
      <w:r w:rsidR="00C91446" w:rsidRPr="00142DAE">
        <w:t xml:space="preserve">and Unproven </w:t>
      </w:r>
      <w:r w:rsidR="00CE0736" w:rsidRPr="00142DAE">
        <w:t>Allegations or Enhancements</w:t>
      </w:r>
      <w:r w:rsidR="00CC75C4" w:rsidRPr="00142DAE">
        <w:t xml:space="preserve"> as Part of Resentencing</w:t>
      </w:r>
    </w:p>
    <w:p w14:paraId="07254998" w14:textId="77777777" w:rsidR="006E66DA" w:rsidRPr="00142DAE" w:rsidRDefault="00000000" w:rsidP="00AB7464">
      <w:pPr>
        <w:tabs>
          <w:tab w:val="left" w:pos="1440"/>
        </w:tabs>
        <w:ind w:firstLine="720"/>
      </w:pPr>
      <w:r w:rsidRPr="00142DAE">
        <w:t>We</w:t>
      </w:r>
      <w:r w:rsidR="00120188" w:rsidRPr="00142DAE">
        <w:t xml:space="preserve"> </w:t>
      </w:r>
      <w:r w:rsidR="00200E61" w:rsidRPr="00142DAE">
        <w:t xml:space="preserve">agree with the Court of Appeal </w:t>
      </w:r>
      <w:r w:rsidR="00F0131B" w:rsidRPr="00142DAE">
        <w:t xml:space="preserve">that </w:t>
      </w:r>
      <w:r w:rsidR="00D40E9B" w:rsidRPr="00142DAE">
        <w:t xml:space="preserve">the trial court erred in adding </w:t>
      </w:r>
      <w:r w:rsidR="00120188" w:rsidRPr="00142DAE">
        <w:t>a</w:t>
      </w:r>
      <w:r w:rsidR="00C74F67" w:rsidRPr="00142DAE">
        <w:t xml:space="preserve"> firearm</w:t>
      </w:r>
      <w:r w:rsidR="00120188" w:rsidRPr="00142DAE">
        <w:t xml:space="preserve"> enhancement</w:t>
      </w:r>
      <w:r w:rsidR="004A7853" w:rsidRPr="00142DAE">
        <w:t xml:space="preserve"> </w:t>
      </w:r>
      <w:r w:rsidR="00C74F67" w:rsidRPr="00142DAE">
        <w:t xml:space="preserve">to the redesignated </w:t>
      </w:r>
      <w:r w:rsidR="004A7853" w:rsidRPr="00142DAE">
        <w:t>attempted robbery conviction</w:t>
      </w:r>
      <w:r w:rsidR="00E32E91" w:rsidRPr="00142DAE">
        <w:t xml:space="preserve">.  This conclusion rests on a </w:t>
      </w:r>
      <w:r w:rsidR="00717458" w:rsidRPr="00142DAE">
        <w:t xml:space="preserve">careful review of </w:t>
      </w:r>
      <w:r w:rsidR="008D5827" w:rsidRPr="00142DAE">
        <w:t>section 1172.6</w:t>
      </w:r>
      <w:r w:rsidR="00103EC3" w:rsidRPr="00142DAE">
        <w:t>’s text</w:t>
      </w:r>
      <w:r w:rsidR="008D5827" w:rsidRPr="00142DAE">
        <w:t xml:space="preserve">, </w:t>
      </w:r>
      <w:r w:rsidR="009C7002" w:rsidRPr="00142DAE">
        <w:t>structure</w:t>
      </w:r>
      <w:r w:rsidRPr="00142DAE">
        <w:t>,</w:t>
      </w:r>
      <w:r w:rsidR="009C7002" w:rsidRPr="00142DAE">
        <w:t xml:space="preserve"> and </w:t>
      </w:r>
      <w:r w:rsidR="008D5827" w:rsidRPr="00142DAE">
        <w:t>purpose.</w:t>
      </w:r>
      <w:r w:rsidR="00982D34" w:rsidRPr="00142DAE">
        <w:t xml:space="preserve">  (See </w:t>
      </w:r>
      <w:r w:rsidR="00841C67" w:rsidRPr="00142DAE">
        <w:rPr>
          <w:i/>
          <w:iCs/>
        </w:rPr>
        <w:t xml:space="preserve">People v. </w:t>
      </w:r>
      <w:bookmarkStart w:id="8" w:name="_Hlk169021135"/>
      <w:r w:rsidR="00841C67" w:rsidRPr="00142DAE">
        <w:rPr>
          <w:i/>
          <w:iCs/>
        </w:rPr>
        <w:t>Conley</w:t>
      </w:r>
      <w:bookmarkEnd w:id="8"/>
      <w:r w:rsidR="00841C67" w:rsidRPr="00142DAE">
        <w:t xml:space="preserve"> </w:t>
      </w:r>
      <w:r w:rsidR="00573621" w:rsidRPr="00142DAE">
        <w:t>(2016) 63 Cal.4th 646, 661.)</w:t>
      </w:r>
    </w:p>
    <w:p w14:paraId="07254999" w14:textId="77777777" w:rsidR="00A3530E" w:rsidRPr="00142DAE" w:rsidRDefault="00000000" w:rsidP="00AB7464">
      <w:pPr>
        <w:tabs>
          <w:tab w:val="left" w:pos="1440"/>
        </w:tabs>
        <w:ind w:firstLine="720"/>
      </w:pPr>
      <w:r w:rsidRPr="00142DAE">
        <w:t>The text of s</w:t>
      </w:r>
      <w:r w:rsidR="00E74C0F" w:rsidRPr="00142DAE">
        <w:t xml:space="preserve">ection 1172.6 </w:t>
      </w:r>
      <w:r w:rsidR="001F4DDB" w:rsidRPr="00142DAE">
        <w:t>describes</w:t>
      </w:r>
      <w:r w:rsidR="00F622B1" w:rsidRPr="00142DAE">
        <w:t xml:space="preserve"> </w:t>
      </w:r>
      <w:r w:rsidR="008A312D" w:rsidRPr="00142DAE">
        <w:t xml:space="preserve">what should be done </w:t>
      </w:r>
      <w:r w:rsidR="00677C5F" w:rsidRPr="00142DAE">
        <w:t>if</w:t>
      </w:r>
      <w:r w:rsidR="00E47CAC" w:rsidRPr="00142DAE">
        <w:t>, following the issuance of an order to show cause,</w:t>
      </w:r>
      <w:r w:rsidR="00677C5F" w:rsidRPr="00142DAE">
        <w:t xml:space="preserve"> the </w:t>
      </w:r>
      <w:r w:rsidR="00A12F71" w:rsidRPr="00142DAE">
        <w:t xml:space="preserve">prosecution fails to sustain </w:t>
      </w:r>
      <w:r w:rsidR="00920B0E" w:rsidRPr="00142DAE">
        <w:t xml:space="preserve">its burden </w:t>
      </w:r>
      <w:r w:rsidR="004330E2" w:rsidRPr="00142DAE">
        <w:t>“to prove, beyond a reasonable doubt, that the petitioner is ineligible for</w:t>
      </w:r>
      <w:r w:rsidR="00E47CAC" w:rsidRPr="00142DAE">
        <w:t xml:space="preserve"> resentencing.”  </w:t>
      </w:r>
      <w:r w:rsidR="00A8476D" w:rsidRPr="00142DAE">
        <w:t>(</w:t>
      </w:r>
      <w:r w:rsidR="000E6951" w:rsidRPr="00142DAE">
        <w:t xml:space="preserve">§ 1172.6, subd. (d)(3).)  </w:t>
      </w:r>
      <w:r w:rsidR="00644E82" w:rsidRPr="00142DAE">
        <w:t>The murder conviction</w:t>
      </w:r>
      <w:r w:rsidR="00077949" w:rsidRPr="00142DAE">
        <w:t xml:space="preserve"> as well as “a</w:t>
      </w:r>
      <w:r w:rsidR="0017087F" w:rsidRPr="00142DAE">
        <w:t>ny allegations and enhancements attached to the conviction shall be vacated and the petitioner shall be resentenced on the remaining charges</w:t>
      </w:r>
      <w:r w:rsidR="00077949" w:rsidRPr="00142DAE">
        <w:t>.”  (</w:t>
      </w:r>
      <w:r w:rsidR="00077949" w:rsidRPr="00142DAE">
        <w:rPr>
          <w:i/>
          <w:iCs/>
        </w:rPr>
        <w:t>Ibid</w:t>
      </w:r>
      <w:r w:rsidR="00077949" w:rsidRPr="00142DAE">
        <w:t>.</w:t>
      </w:r>
      <w:r w:rsidR="00677846">
        <w:t xml:space="preserve">; see </w:t>
      </w:r>
      <w:r w:rsidR="00677846">
        <w:rPr>
          <w:i/>
          <w:iCs/>
        </w:rPr>
        <w:t>id</w:t>
      </w:r>
      <w:r w:rsidR="00677846">
        <w:t>., subd. (a) [</w:t>
      </w:r>
      <w:r w:rsidR="00D73AB7">
        <w:t xml:space="preserve">authorizing a petition </w:t>
      </w:r>
      <w:r w:rsidR="00677846">
        <w:t xml:space="preserve">“to be resentenced on any remaining </w:t>
      </w:r>
      <w:r w:rsidR="00677846">
        <w:lastRenderedPageBreak/>
        <w:t>counts”].</w:t>
      </w:r>
      <w:r w:rsidR="00077949" w:rsidRPr="00142DAE">
        <w:t>)</w:t>
      </w:r>
      <w:r w:rsidR="00FB658D" w:rsidRPr="00142DAE">
        <w:t xml:space="preserve">  In some cases, though, </w:t>
      </w:r>
      <w:r w:rsidR="00CD39EA" w:rsidRPr="00142DAE">
        <w:t>the murder will have been charged “generically</w:t>
      </w:r>
      <w:r w:rsidR="002207FF" w:rsidRPr="00142DAE">
        <w:t xml:space="preserve">,” without </w:t>
      </w:r>
      <w:r w:rsidR="00EF4F25">
        <w:t xml:space="preserve">any finding on </w:t>
      </w:r>
      <w:r w:rsidR="002207FF" w:rsidRPr="00142DAE">
        <w:t xml:space="preserve">the “target offense or underlying felony.”  </w:t>
      </w:r>
      <w:r w:rsidR="008C583D" w:rsidRPr="00142DAE">
        <w:t>(</w:t>
      </w:r>
      <w:r w:rsidR="008C583D" w:rsidRPr="00142DAE">
        <w:rPr>
          <w:i/>
          <w:iCs/>
        </w:rPr>
        <w:t>Id</w:t>
      </w:r>
      <w:r w:rsidR="008C583D" w:rsidRPr="00142DAE">
        <w:t xml:space="preserve">., subd. (e).)  </w:t>
      </w:r>
      <w:r w:rsidR="00265472" w:rsidRPr="00142DAE">
        <w:t xml:space="preserve">In that circumstance, </w:t>
      </w:r>
      <w:r w:rsidR="001F6269" w:rsidRPr="00142DAE">
        <w:t>the conviction “shall be redesignated as the target offense or underlying felony</w:t>
      </w:r>
      <w:r w:rsidR="00C979E6" w:rsidRPr="00142DAE">
        <w:t xml:space="preserve"> for </w:t>
      </w:r>
      <w:r w:rsidR="00A550B3" w:rsidRPr="00142DAE">
        <w:t>resentencing purposes.”  (</w:t>
      </w:r>
      <w:r w:rsidR="00A550B3" w:rsidRPr="00142DAE">
        <w:rPr>
          <w:i/>
          <w:iCs/>
        </w:rPr>
        <w:t>Ibid</w:t>
      </w:r>
      <w:r w:rsidR="00A550B3" w:rsidRPr="00142DAE">
        <w:t xml:space="preserve">.)  </w:t>
      </w:r>
    </w:p>
    <w:p w14:paraId="0725499A" w14:textId="77777777" w:rsidR="002D3B31" w:rsidRPr="00142DAE" w:rsidRDefault="00000000" w:rsidP="00AB7464">
      <w:pPr>
        <w:tabs>
          <w:tab w:val="left" w:pos="1440"/>
        </w:tabs>
        <w:ind w:firstLine="720"/>
      </w:pPr>
      <w:r w:rsidRPr="00142DAE">
        <w:t xml:space="preserve">Nothing in the text </w:t>
      </w:r>
      <w:r w:rsidR="00D36EFA" w:rsidRPr="00142DAE">
        <w:t xml:space="preserve">of section 1172.6 indicates that a court may add an </w:t>
      </w:r>
      <w:r w:rsidR="000D3341" w:rsidRPr="00142DAE">
        <w:t xml:space="preserve">uncharged </w:t>
      </w:r>
      <w:r w:rsidR="006C652A" w:rsidRPr="00142DAE">
        <w:t xml:space="preserve">and unproven </w:t>
      </w:r>
      <w:r w:rsidR="00D36EFA" w:rsidRPr="00142DAE">
        <w:t>allegation or enhancement</w:t>
      </w:r>
      <w:r w:rsidR="00EC3B00" w:rsidRPr="00142DAE">
        <w:t xml:space="preserve">.  </w:t>
      </w:r>
      <w:r w:rsidR="004E7D1F" w:rsidRPr="00142DAE">
        <w:t xml:space="preserve">To the contrary:  </w:t>
      </w:r>
      <w:r w:rsidR="00A50B65" w:rsidRPr="00142DAE">
        <w:t>w</w:t>
      </w:r>
      <w:r w:rsidR="00EC3B00" w:rsidRPr="00142DAE">
        <w:t xml:space="preserve">hen a trial court resentences a petitioner under </w:t>
      </w:r>
      <w:r w:rsidR="005A292C" w:rsidRPr="00142DAE">
        <w:t xml:space="preserve">section 1172.6, subdivision (d)(3), </w:t>
      </w:r>
      <w:r w:rsidR="00870683" w:rsidRPr="00142DAE">
        <w:t xml:space="preserve">the court </w:t>
      </w:r>
      <w:r w:rsidR="000F4ABA" w:rsidRPr="00142DAE">
        <w:t xml:space="preserve">must </w:t>
      </w:r>
      <w:r w:rsidR="00841B00" w:rsidRPr="00142DAE">
        <w:rPr>
          <w:i/>
          <w:iCs/>
        </w:rPr>
        <w:t>vacate</w:t>
      </w:r>
      <w:r w:rsidR="00841B00" w:rsidRPr="00142DAE">
        <w:t xml:space="preserve"> “any allegations and enhancements attached to the conviction</w:t>
      </w:r>
      <w:r w:rsidR="00131198" w:rsidRPr="00142DAE">
        <w:t>.”</w:t>
      </w:r>
      <w:r w:rsidR="000F4ABA" w:rsidRPr="00142DAE">
        <w:t xml:space="preserve">  </w:t>
      </w:r>
      <w:r w:rsidR="007867D2" w:rsidRPr="00142DAE">
        <w:t xml:space="preserve">The court </w:t>
      </w:r>
      <w:r w:rsidR="0042752A" w:rsidRPr="00142DAE">
        <w:t xml:space="preserve">shall </w:t>
      </w:r>
      <w:r w:rsidR="007867D2" w:rsidRPr="00142DAE">
        <w:t xml:space="preserve">then resentence the petitioner </w:t>
      </w:r>
      <w:r w:rsidR="00C44A65" w:rsidRPr="00142DAE">
        <w:t>on the “remaining charges</w:t>
      </w:r>
      <w:r w:rsidR="007D27B2" w:rsidRPr="00142DAE">
        <w:t>”</w:t>
      </w:r>
      <w:r w:rsidR="00413EBB" w:rsidRPr="00142DAE">
        <w:t xml:space="preserve"> (</w:t>
      </w:r>
      <w:r w:rsidR="00413EBB" w:rsidRPr="00142DAE">
        <w:rPr>
          <w:i/>
          <w:iCs/>
        </w:rPr>
        <w:t>ibid</w:t>
      </w:r>
      <w:r w:rsidR="00413EBB" w:rsidRPr="00142DAE">
        <w:t>.)</w:t>
      </w:r>
      <w:r w:rsidR="00621479" w:rsidRPr="00142DAE">
        <w:t xml:space="preserve">, which </w:t>
      </w:r>
      <w:r w:rsidR="00B94F24" w:rsidRPr="00142DAE">
        <w:t xml:space="preserve">is a clear reference </w:t>
      </w:r>
      <w:r w:rsidR="00EC1B9B" w:rsidRPr="00142DAE">
        <w:t xml:space="preserve">only </w:t>
      </w:r>
      <w:r w:rsidR="00B94F24" w:rsidRPr="00142DAE">
        <w:t xml:space="preserve">to </w:t>
      </w:r>
      <w:r w:rsidR="00215743" w:rsidRPr="00142DAE">
        <w:t xml:space="preserve">the </w:t>
      </w:r>
      <w:r w:rsidR="00EC1B9B" w:rsidRPr="00142DAE">
        <w:t xml:space="preserve">charges that </w:t>
      </w:r>
      <w:r w:rsidR="00446D77" w:rsidRPr="00142DAE">
        <w:t>remain</w:t>
      </w:r>
      <w:r w:rsidR="00446D77">
        <w:t> </w:t>
      </w:r>
      <w:r w:rsidR="00EC1B9B" w:rsidRPr="00142DAE">
        <w:t xml:space="preserve">— not charges that </w:t>
      </w:r>
      <w:r w:rsidR="00EC1B9B" w:rsidRPr="00142DAE">
        <w:rPr>
          <w:i/>
          <w:iCs/>
        </w:rPr>
        <w:t>could have been</w:t>
      </w:r>
      <w:r w:rsidR="00EC1B9B" w:rsidRPr="00142DAE">
        <w:t xml:space="preserve"> </w:t>
      </w:r>
      <w:r w:rsidR="00E35234" w:rsidRPr="00142DAE">
        <w:t>established by the evidence.</w:t>
      </w:r>
      <w:r w:rsidR="00473544" w:rsidRPr="00142DAE">
        <w:t xml:space="preserve">  (See </w:t>
      </w:r>
      <w:bookmarkStart w:id="9" w:name="_Hlk169021159"/>
      <w:r w:rsidR="00473544" w:rsidRPr="00142DAE">
        <w:rPr>
          <w:i/>
          <w:iCs/>
        </w:rPr>
        <w:t>People v. Fouse</w:t>
      </w:r>
      <w:r w:rsidR="00473544" w:rsidRPr="00142DAE">
        <w:t xml:space="preserve"> (2024) 98 Cal.App.5th 1131, </w:t>
      </w:r>
      <w:r w:rsidR="00DE16D5" w:rsidRPr="00142DAE">
        <w:t>1145–1146</w:t>
      </w:r>
      <w:r w:rsidR="00C96B45" w:rsidRPr="00142DAE">
        <w:t xml:space="preserve"> (</w:t>
      </w:r>
      <w:r w:rsidR="00C96B45" w:rsidRPr="00142DAE">
        <w:rPr>
          <w:i/>
          <w:iCs/>
        </w:rPr>
        <w:t>Fouse</w:t>
      </w:r>
      <w:r w:rsidR="00C96B45" w:rsidRPr="00142DAE">
        <w:t>)</w:t>
      </w:r>
      <w:r w:rsidR="00DD5B71" w:rsidRPr="00142DAE">
        <w:t>;</w:t>
      </w:r>
      <w:bookmarkEnd w:id="9"/>
      <w:r w:rsidR="00DD5B71" w:rsidRPr="00142DAE">
        <w:t xml:space="preserve"> </w:t>
      </w:r>
      <w:r w:rsidR="00DD5B71" w:rsidRPr="00142DAE">
        <w:rPr>
          <w:i/>
          <w:iCs/>
        </w:rPr>
        <w:t>People v. Del Rio</w:t>
      </w:r>
      <w:r w:rsidR="00DD5B71" w:rsidRPr="00142DAE">
        <w:t xml:space="preserve"> (2023) 94 Cal.App.5th 47, </w:t>
      </w:r>
      <w:r w:rsidR="002C1440" w:rsidRPr="00142DAE">
        <w:t>53</w:t>
      </w:r>
      <w:r w:rsidR="00DE16D5" w:rsidRPr="00142DAE">
        <w:t>.)</w:t>
      </w:r>
      <w:r w:rsidR="00860B4D" w:rsidRPr="00142DAE">
        <w:t xml:space="preserve">  </w:t>
      </w:r>
      <w:r w:rsidR="00AC2638">
        <w:t xml:space="preserve">As the Attorney General conceded at oral argument, </w:t>
      </w:r>
      <w:r w:rsidR="00D932C0">
        <w:t xml:space="preserve">in resentencing under subdivision (d) </w:t>
      </w:r>
      <w:r w:rsidR="00AD113F">
        <w:t xml:space="preserve">“the resentencing court needs to abide by </w:t>
      </w:r>
      <w:r w:rsidR="00561CDE">
        <w:t>what’s already occurred in the case; the prosecution does not get a second bite at the apple</w:t>
      </w:r>
      <w:r w:rsidR="00650F7C">
        <w:t>.”</w:t>
      </w:r>
    </w:p>
    <w:p w14:paraId="0725499B" w14:textId="77777777" w:rsidR="00706502" w:rsidRPr="00142DAE" w:rsidRDefault="00000000" w:rsidP="00AB7464">
      <w:pPr>
        <w:tabs>
          <w:tab w:val="left" w:pos="1440"/>
        </w:tabs>
        <w:ind w:firstLine="720"/>
      </w:pPr>
      <w:r w:rsidRPr="00142DAE">
        <w:t xml:space="preserve">Nothing in the statutory text suggests there should be </w:t>
      </w:r>
      <w:r w:rsidR="002D3B31" w:rsidRPr="00142DAE">
        <w:t xml:space="preserve">a different outcome under </w:t>
      </w:r>
      <w:r w:rsidR="009F5A3B" w:rsidRPr="00142DAE">
        <w:t>section 1172.6, subdivision (e)</w:t>
      </w:r>
      <w:r w:rsidRPr="00142DAE">
        <w:t>.</w:t>
      </w:r>
      <w:r w:rsidR="009E0B37" w:rsidRPr="00142DAE">
        <w:t xml:space="preserve">  </w:t>
      </w:r>
      <w:r w:rsidR="00BB3E94" w:rsidRPr="00142DAE">
        <w:t xml:space="preserve">Subdivision (e) applies when </w:t>
      </w:r>
      <w:r w:rsidR="004D6279" w:rsidRPr="00142DAE">
        <w:t>the murder was charged “generically</w:t>
      </w:r>
      <w:r w:rsidR="00254D9F">
        <w:t>,</w:t>
      </w:r>
      <w:r w:rsidR="004D6279" w:rsidRPr="00142DAE">
        <w:t xml:space="preserve">” and the </w:t>
      </w:r>
      <w:r w:rsidR="00122270" w:rsidRPr="00142DAE">
        <w:t>underlying felony or target offense was not charged.</w:t>
      </w:r>
      <w:r w:rsidR="00632773" w:rsidRPr="00142DAE">
        <w:t xml:space="preserve">  </w:t>
      </w:r>
      <w:r w:rsidR="00DB642B" w:rsidRPr="00142DAE">
        <w:t xml:space="preserve">The statute does not define “underlying felony” or “target offense,” but </w:t>
      </w:r>
      <w:r w:rsidR="00536858" w:rsidRPr="00142DAE">
        <w:t xml:space="preserve">we agree with the parties that </w:t>
      </w:r>
      <w:r w:rsidR="00AF5806" w:rsidRPr="00142DAE">
        <w:t xml:space="preserve">the meaning of these terms is clear.  </w:t>
      </w:r>
      <w:r w:rsidR="007C44D0" w:rsidRPr="00142DAE">
        <w:t xml:space="preserve">An “underlying felony” refers to the felony underlying </w:t>
      </w:r>
      <w:r w:rsidR="00417BD6" w:rsidRPr="00142DAE">
        <w:t>a felony</w:t>
      </w:r>
      <w:r w:rsidR="00C71F04">
        <w:t>-</w:t>
      </w:r>
      <w:r w:rsidR="00417BD6" w:rsidRPr="00142DAE">
        <w:t>murder theory (</w:t>
      </w:r>
      <w:r w:rsidR="009D29A7" w:rsidRPr="00142DAE">
        <w:t>§</w:t>
      </w:r>
      <w:r w:rsidR="00D164C1" w:rsidRPr="00142DAE">
        <w:t> </w:t>
      </w:r>
      <w:r w:rsidR="009D29A7" w:rsidRPr="00142DAE">
        <w:t xml:space="preserve">1172.6, subd. (f); see </w:t>
      </w:r>
      <w:r w:rsidR="00FE091C" w:rsidRPr="00142DAE">
        <w:rPr>
          <w:i/>
          <w:iCs/>
        </w:rPr>
        <w:t>People v. Cavitt</w:t>
      </w:r>
      <w:r w:rsidR="00FE091C" w:rsidRPr="00142DAE">
        <w:t xml:space="preserve"> (2004) 33 Cal.4th </w:t>
      </w:r>
      <w:r w:rsidR="00CE443A" w:rsidRPr="00142DAE">
        <w:t>187, 193</w:t>
      </w:r>
      <w:r w:rsidR="00417BD6" w:rsidRPr="00142DAE">
        <w:t xml:space="preserve">), and the “target offense” refers to </w:t>
      </w:r>
      <w:r w:rsidR="00E63023" w:rsidRPr="00142DAE">
        <w:t xml:space="preserve">the offense </w:t>
      </w:r>
      <w:r w:rsidR="007E0A89" w:rsidRPr="00142DAE">
        <w:t>the natural and probable consequence of which</w:t>
      </w:r>
      <w:r w:rsidR="0021352C" w:rsidRPr="00142DAE">
        <w:t xml:space="preserve"> was murder (</w:t>
      </w:r>
      <w:r w:rsidR="00C17D18" w:rsidRPr="00142DAE">
        <w:t>§</w:t>
      </w:r>
      <w:r w:rsidR="00D932C0">
        <w:t> </w:t>
      </w:r>
      <w:r w:rsidR="00C17D18" w:rsidRPr="00142DAE">
        <w:t xml:space="preserve">1172.6, subd. </w:t>
      </w:r>
      <w:r w:rsidR="00ED2AF5" w:rsidRPr="00142DAE">
        <w:t xml:space="preserve">(f); </w:t>
      </w:r>
      <w:r w:rsidR="002E32B4" w:rsidRPr="00142DAE">
        <w:t xml:space="preserve">see </w:t>
      </w:r>
      <w:r w:rsidR="00C23DEC" w:rsidRPr="00142DAE">
        <w:rPr>
          <w:i/>
          <w:iCs/>
        </w:rPr>
        <w:t>People v. Medina</w:t>
      </w:r>
      <w:r w:rsidR="00176805" w:rsidRPr="00142DAE">
        <w:t xml:space="preserve"> (2009) 46 Cal.4th 913, 920)</w:t>
      </w:r>
      <w:r w:rsidR="0021352C" w:rsidRPr="00142DAE">
        <w:t xml:space="preserve">.  </w:t>
      </w:r>
      <w:r w:rsidR="00A31FA8" w:rsidRPr="00142DAE">
        <w:t xml:space="preserve">Accordingly, </w:t>
      </w:r>
      <w:r w:rsidR="007A6747" w:rsidRPr="00142DAE">
        <w:t xml:space="preserve">under </w:t>
      </w:r>
      <w:r w:rsidR="007A6747" w:rsidRPr="00142DAE">
        <w:lastRenderedPageBreak/>
        <w:t xml:space="preserve">subdivision (e), a trial court </w:t>
      </w:r>
      <w:r w:rsidR="00796904" w:rsidRPr="00142DAE">
        <w:t xml:space="preserve">redesignates the </w:t>
      </w:r>
      <w:r w:rsidR="00D36017" w:rsidRPr="00142DAE">
        <w:t xml:space="preserve">murder conviction “as the target offense or underlying felony </w:t>
      </w:r>
      <w:r w:rsidR="00023E05" w:rsidRPr="00142DAE">
        <w:t>for resentencing purposes.”</w:t>
      </w:r>
      <w:r w:rsidR="000E0BA3" w:rsidRPr="00142DAE">
        <w:t xml:space="preserve">  </w:t>
      </w:r>
      <w:r w:rsidR="00EB271D" w:rsidRPr="00142DAE">
        <w:t xml:space="preserve">Because </w:t>
      </w:r>
      <w:r w:rsidR="00997119" w:rsidRPr="00142DAE">
        <w:t>an enhancement or an allegation is not a target offense or an underlying felony</w:t>
      </w:r>
      <w:r w:rsidR="0065441E" w:rsidRPr="00142DAE">
        <w:t xml:space="preserve"> (</w:t>
      </w:r>
      <w:r w:rsidR="00B6381D" w:rsidRPr="00142DAE">
        <w:t xml:space="preserve">see </w:t>
      </w:r>
      <w:r w:rsidR="00B6381D" w:rsidRPr="00142DAE">
        <w:rPr>
          <w:i/>
          <w:iCs/>
        </w:rPr>
        <w:t>People v. Superior Court</w:t>
      </w:r>
      <w:r w:rsidR="00E77514" w:rsidRPr="00142DAE">
        <w:rPr>
          <w:i/>
          <w:iCs/>
        </w:rPr>
        <w:t xml:space="preserve"> </w:t>
      </w:r>
      <w:r w:rsidR="003F4F27">
        <w:t>(</w:t>
      </w:r>
      <w:r w:rsidR="00E77514" w:rsidRPr="003F4F27">
        <w:rPr>
          <w:i/>
          <w:iCs/>
        </w:rPr>
        <w:t>Mendella</w:t>
      </w:r>
      <w:r w:rsidR="003F4F27">
        <w:t>)</w:t>
      </w:r>
      <w:r w:rsidR="00E77514" w:rsidRPr="00142DAE">
        <w:t xml:space="preserve"> (1983) 33 Cal.3d 754, </w:t>
      </w:r>
      <w:r w:rsidR="008F6569" w:rsidRPr="00142DAE">
        <w:t>758 [</w:t>
      </w:r>
      <w:r w:rsidR="005673B8">
        <w:t>“</w:t>
      </w:r>
      <w:r w:rsidR="00AA2F0D">
        <w:t> ‘</w:t>
      </w:r>
      <w:r w:rsidR="008F6569" w:rsidRPr="00142DAE">
        <w:t xml:space="preserve">enhancement statutes </w:t>
      </w:r>
      <w:r w:rsidR="00530896" w:rsidRPr="00142DAE">
        <w:t>.</w:t>
      </w:r>
      <w:r w:rsidR="00530896">
        <w:t> </w:t>
      </w:r>
      <w:r w:rsidR="00530896" w:rsidRPr="00142DAE">
        <w:t>.</w:t>
      </w:r>
      <w:r w:rsidR="00530896">
        <w:t> </w:t>
      </w:r>
      <w:r w:rsidR="008F6569" w:rsidRPr="00142DAE">
        <w:t xml:space="preserve">. </w:t>
      </w:r>
      <w:r w:rsidR="0042704F" w:rsidRPr="00142DAE">
        <w:rPr>
          <w:i/>
          <w:iCs/>
        </w:rPr>
        <w:t>do not define a crime or offense</w:t>
      </w:r>
      <w:r w:rsidR="00144B00" w:rsidRPr="00142DAE">
        <w:t xml:space="preserve"> but relate to the </w:t>
      </w:r>
      <w:r w:rsidR="00144B00" w:rsidRPr="00142DAE">
        <w:rPr>
          <w:i/>
          <w:iCs/>
        </w:rPr>
        <w:t>penalty</w:t>
      </w:r>
      <w:r w:rsidR="00144B00" w:rsidRPr="00142DAE">
        <w:t xml:space="preserve"> to be imposed under certain </w:t>
      </w:r>
      <w:r w:rsidR="00C121E3" w:rsidRPr="00142DAE">
        <w:t>circumstances’</w:t>
      </w:r>
      <w:r w:rsidR="00C121E3">
        <w:t> </w:t>
      </w:r>
      <w:r w:rsidR="00144B00" w:rsidRPr="00142DAE">
        <w:t>”]</w:t>
      </w:r>
      <w:r w:rsidR="0065441E" w:rsidRPr="00142DAE">
        <w:t>),</w:t>
      </w:r>
      <w:r w:rsidR="00997119" w:rsidRPr="00142DAE">
        <w:t xml:space="preserve"> it follows</w:t>
      </w:r>
      <w:r w:rsidR="00DB0F21" w:rsidRPr="00142DAE">
        <w:t xml:space="preserve"> </w:t>
      </w:r>
      <w:r w:rsidR="00376915" w:rsidRPr="00142DAE">
        <w:t xml:space="preserve">from the statutory text </w:t>
      </w:r>
      <w:r w:rsidR="00997119" w:rsidRPr="00142DAE">
        <w:t xml:space="preserve">that </w:t>
      </w:r>
      <w:r w:rsidR="00955838" w:rsidRPr="00142DAE">
        <w:t>resentencing under subdivision (e)</w:t>
      </w:r>
      <w:r w:rsidR="00FC0417" w:rsidRPr="00142DAE">
        <w:t>, like resentencing under subdivision (d)(3),</w:t>
      </w:r>
      <w:r w:rsidR="00955838" w:rsidRPr="00142DAE">
        <w:t xml:space="preserve"> does not contemplate the addition of </w:t>
      </w:r>
      <w:r w:rsidR="004C1E04" w:rsidRPr="00142DAE">
        <w:t xml:space="preserve">an enhancement or an allegation </w:t>
      </w:r>
      <w:r w:rsidR="0065441E" w:rsidRPr="00142DAE">
        <w:t>that was not previously found</w:t>
      </w:r>
      <w:r w:rsidRPr="00142DAE">
        <w:t xml:space="preserve"> to be true</w:t>
      </w:r>
      <w:r w:rsidR="0065441E" w:rsidRPr="00142DAE">
        <w:t>.</w:t>
      </w:r>
    </w:p>
    <w:p w14:paraId="0725499C" w14:textId="77777777" w:rsidR="00023D0D" w:rsidRPr="00142DAE" w:rsidRDefault="00000000" w:rsidP="00AB7464">
      <w:pPr>
        <w:tabs>
          <w:tab w:val="left" w:pos="1440"/>
        </w:tabs>
        <w:ind w:firstLine="720"/>
      </w:pPr>
      <w:r w:rsidRPr="00142DAE">
        <w:t>This</w:t>
      </w:r>
      <w:r w:rsidR="00BC56E4" w:rsidRPr="00142DAE">
        <w:t xml:space="preserve"> reading is supported by the </w:t>
      </w:r>
      <w:r w:rsidR="00A81F92" w:rsidRPr="00142DAE">
        <w:t xml:space="preserve">fact that section 1172.6 </w:t>
      </w:r>
      <w:r w:rsidR="00B330D4" w:rsidRPr="00142DAE">
        <w:t xml:space="preserve">refers specifically to </w:t>
      </w:r>
      <w:r w:rsidR="00623F18" w:rsidRPr="00142DAE">
        <w:t>“allegations and enhancements” in subdivision (d)(3)</w:t>
      </w:r>
      <w:r w:rsidR="00691D6A" w:rsidRPr="00142DAE">
        <w:t xml:space="preserve">:  “If the prosecution fails to sustain its burden of proof, the prior conviction, and </w:t>
      </w:r>
      <w:r w:rsidR="00691D6A" w:rsidRPr="00142DAE">
        <w:rPr>
          <w:i/>
          <w:iCs/>
        </w:rPr>
        <w:t xml:space="preserve">any allegations and enhancements attached to the </w:t>
      </w:r>
      <w:r w:rsidR="00356B4B" w:rsidRPr="00142DAE">
        <w:rPr>
          <w:i/>
          <w:iCs/>
        </w:rPr>
        <w:t>conviction</w:t>
      </w:r>
      <w:r w:rsidR="00356B4B" w:rsidRPr="00142DAE">
        <w:t>, shall be vacated and the petitioner shall be resentenced on the remaining charges.”</w:t>
      </w:r>
      <w:r w:rsidR="00603E4B" w:rsidRPr="00142DAE">
        <w:t xml:space="preserve">  (Italics added.)  </w:t>
      </w:r>
      <w:r w:rsidR="00C81091" w:rsidRPr="00142DAE">
        <w:t xml:space="preserve">This </w:t>
      </w:r>
      <w:r w:rsidR="00D36118" w:rsidRPr="00142DAE">
        <w:t xml:space="preserve">shows the Legislature knows how </w:t>
      </w:r>
      <w:r w:rsidR="00FC56BB" w:rsidRPr="00142DAE">
        <w:t xml:space="preserve">to </w:t>
      </w:r>
      <w:r w:rsidR="00797425" w:rsidRPr="00142DAE">
        <w:t>include sentencing allegations and enhancements</w:t>
      </w:r>
      <w:r w:rsidR="00356B4B" w:rsidRPr="00142DAE">
        <w:t xml:space="preserve"> </w:t>
      </w:r>
      <w:r w:rsidR="00797425" w:rsidRPr="00142DAE">
        <w:t xml:space="preserve">when it </w:t>
      </w:r>
      <w:r w:rsidR="00DD5A8B" w:rsidRPr="00142DAE">
        <w:t xml:space="preserve">wants to do so.  (See </w:t>
      </w:r>
      <w:r w:rsidR="00DD5A8B" w:rsidRPr="00142DAE">
        <w:rPr>
          <w:i/>
          <w:iCs/>
        </w:rPr>
        <w:t>Walker v. Superior Court</w:t>
      </w:r>
      <w:r w:rsidR="00DD5A8B" w:rsidRPr="00142DAE">
        <w:t xml:space="preserve"> (2021) 12 Cal.5th 177</w:t>
      </w:r>
      <w:r w:rsidR="004D79CA" w:rsidRPr="00142DAE">
        <w:t xml:space="preserve">, </w:t>
      </w:r>
      <w:r w:rsidR="00320BA4" w:rsidRPr="00142DAE">
        <w:t xml:space="preserve">199.)  The fact that it did not </w:t>
      </w:r>
      <w:r w:rsidR="003C355C" w:rsidRPr="00142DAE">
        <w:t xml:space="preserve">include </w:t>
      </w:r>
      <w:r w:rsidR="00EA0CAA" w:rsidRPr="00142DAE">
        <w:t xml:space="preserve">these additional </w:t>
      </w:r>
      <w:r w:rsidR="002D77B0" w:rsidRPr="00142DAE">
        <w:t xml:space="preserve">sentencing components </w:t>
      </w:r>
      <w:r w:rsidR="00476CEF" w:rsidRPr="00142DAE">
        <w:t xml:space="preserve">in describing the redesignation and resentencing process in subdivision (e) </w:t>
      </w:r>
      <w:r w:rsidR="003C355C" w:rsidRPr="00142DAE">
        <w:t>su</w:t>
      </w:r>
      <w:r w:rsidR="006E01AA" w:rsidRPr="00142DAE">
        <w:t>ggest</w:t>
      </w:r>
      <w:r w:rsidR="00C855B1" w:rsidRPr="00142DAE">
        <w:t>s</w:t>
      </w:r>
      <w:r w:rsidR="006E01AA" w:rsidRPr="00142DAE">
        <w:t xml:space="preserve"> </w:t>
      </w:r>
      <w:r w:rsidR="00C855B1" w:rsidRPr="00142DAE">
        <w:t xml:space="preserve">the Legislature did not intend to grant </w:t>
      </w:r>
      <w:r w:rsidR="00974564" w:rsidRPr="00142DAE">
        <w:t xml:space="preserve">courts the authority to make findings and </w:t>
      </w:r>
      <w:r w:rsidRPr="00142DAE">
        <w:t xml:space="preserve">impose uncharged </w:t>
      </w:r>
      <w:r w:rsidR="006C652A" w:rsidRPr="00142DAE">
        <w:t xml:space="preserve">and unproven </w:t>
      </w:r>
      <w:r w:rsidRPr="00142DAE">
        <w:t>allegations and enhancements.</w:t>
      </w:r>
      <w:r w:rsidR="001511F5" w:rsidRPr="00142DAE">
        <w:t xml:space="preserve">  (See </w:t>
      </w:r>
      <w:r w:rsidR="001511F5" w:rsidRPr="00142DAE">
        <w:rPr>
          <w:i/>
          <w:iCs/>
        </w:rPr>
        <w:t>People v. Zapien</w:t>
      </w:r>
      <w:r w:rsidR="001511F5" w:rsidRPr="00142DAE">
        <w:t xml:space="preserve"> (1993) 4 Cal.4th </w:t>
      </w:r>
      <w:r w:rsidR="003C58CB" w:rsidRPr="00142DAE">
        <w:t xml:space="preserve">929, 955 [courts are not “ ‘empowered to insert what a legislative </w:t>
      </w:r>
      <w:r w:rsidR="003E2FD4" w:rsidRPr="00142DAE">
        <w:t>body has omitted from its enactments’ ”].)</w:t>
      </w:r>
      <w:r w:rsidRPr="00142DAE">
        <w:t xml:space="preserve">  </w:t>
      </w:r>
    </w:p>
    <w:p w14:paraId="0725499D" w14:textId="77777777" w:rsidR="00F601F2" w:rsidRPr="00142DAE" w:rsidRDefault="00000000" w:rsidP="00AB7464">
      <w:pPr>
        <w:tabs>
          <w:tab w:val="left" w:pos="1440"/>
        </w:tabs>
        <w:ind w:firstLine="720"/>
      </w:pPr>
      <w:r w:rsidRPr="00142DAE">
        <w:t>The</w:t>
      </w:r>
      <w:r w:rsidR="000E49B9" w:rsidRPr="00142DAE">
        <w:t xml:space="preserve"> </w:t>
      </w:r>
      <w:r w:rsidR="00CA0495" w:rsidRPr="00142DAE">
        <w:t xml:space="preserve">structure of </w:t>
      </w:r>
      <w:r w:rsidR="008068E2" w:rsidRPr="00142DAE">
        <w:t xml:space="preserve">the sentencing reform effected by section 1172.6 further supports </w:t>
      </w:r>
      <w:r w:rsidR="00F62102" w:rsidRPr="00142DAE">
        <w:t xml:space="preserve">the conclusion that </w:t>
      </w:r>
      <w:r w:rsidR="00F90EED" w:rsidRPr="00142DAE">
        <w:t xml:space="preserve">courts may not add </w:t>
      </w:r>
      <w:r w:rsidR="00C3115F" w:rsidRPr="00142DAE">
        <w:t xml:space="preserve">uncharged </w:t>
      </w:r>
      <w:r w:rsidR="00E84C53" w:rsidRPr="00142DAE">
        <w:t xml:space="preserve">and unproven </w:t>
      </w:r>
      <w:r w:rsidR="00F90EED" w:rsidRPr="00142DAE">
        <w:t xml:space="preserve">enhancements and allegations to </w:t>
      </w:r>
      <w:r w:rsidR="001A639B" w:rsidRPr="00142DAE">
        <w:t xml:space="preserve">the </w:t>
      </w:r>
      <w:r w:rsidR="001A639B" w:rsidRPr="00142DAE">
        <w:lastRenderedPageBreak/>
        <w:t xml:space="preserve">target offense or underlying felony when resentencing a successful petitioner under subdivision (e).  </w:t>
      </w:r>
      <w:r w:rsidR="00DC4A2E" w:rsidRPr="00142DAE">
        <w:t xml:space="preserve">Section 1172.6 </w:t>
      </w:r>
      <w:r w:rsidR="00F86877" w:rsidRPr="00142DAE">
        <w:t>explicitly sets out</w:t>
      </w:r>
      <w:r w:rsidR="008B3AB7" w:rsidRPr="00142DAE">
        <w:t>, in detail,</w:t>
      </w:r>
      <w:r w:rsidR="00F86877" w:rsidRPr="00142DAE">
        <w:t xml:space="preserve"> the procedure for </w:t>
      </w:r>
      <w:r w:rsidR="003553A8" w:rsidRPr="00142DAE">
        <w:t xml:space="preserve">determining whether to vacate </w:t>
      </w:r>
      <w:r w:rsidR="00D739BE" w:rsidRPr="00142DAE">
        <w:t>a</w:t>
      </w:r>
      <w:r w:rsidR="003553A8" w:rsidRPr="00142DAE">
        <w:t xml:space="preserve"> murder conviction</w:t>
      </w:r>
      <w:r w:rsidRPr="00142DAE">
        <w:t>:</w:t>
      </w:r>
      <w:r w:rsidR="008B3AB7" w:rsidRPr="00142DAE">
        <w:t xml:space="preserve">  </w:t>
      </w:r>
    </w:p>
    <w:p w14:paraId="0725499E" w14:textId="77777777" w:rsidR="00F601F2" w:rsidRPr="00142DAE" w:rsidRDefault="00000000" w:rsidP="00AB7464">
      <w:pPr>
        <w:tabs>
          <w:tab w:val="left" w:pos="1440"/>
        </w:tabs>
        <w:ind w:firstLine="720"/>
      </w:pPr>
      <w:r w:rsidRPr="00142DAE">
        <w:t>S</w:t>
      </w:r>
      <w:r w:rsidR="00C71F04" w:rsidRPr="00142DAE">
        <w:t>ection 1172.6</w:t>
      </w:r>
      <w:r w:rsidR="00C71F04">
        <w:t>, s</w:t>
      </w:r>
      <w:r w:rsidRPr="00142DAE">
        <w:t xml:space="preserve">ubdivision (a) </w:t>
      </w:r>
      <w:r w:rsidR="007A0E88" w:rsidRPr="00142DAE">
        <w:t>provides that a</w:t>
      </w:r>
      <w:r w:rsidR="003C08CF" w:rsidRPr="00142DAE">
        <w:t xml:space="preserve"> person who was convicted of murder under a theory that is now invalid </w:t>
      </w:r>
      <w:r w:rsidR="00F55FB6" w:rsidRPr="00142DAE">
        <w:t>may file a petition to be resentenced</w:t>
      </w:r>
      <w:r w:rsidR="000E33AE" w:rsidRPr="00142DAE">
        <w:t xml:space="preserve">.  </w:t>
      </w:r>
      <w:r w:rsidR="00D74997" w:rsidRPr="00142DAE">
        <w:t>Subdivision</w:t>
      </w:r>
      <w:r w:rsidR="00022B18" w:rsidRPr="00142DAE">
        <w:t>s</w:t>
      </w:r>
      <w:r w:rsidR="00D74997" w:rsidRPr="00142DAE">
        <w:t xml:space="preserve"> (b) </w:t>
      </w:r>
      <w:r w:rsidR="00022B18" w:rsidRPr="00142DAE">
        <w:t xml:space="preserve">and (c) </w:t>
      </w:r>
      <w:r w:rsidR="008215DC" w:rsidRPr="00142DAE">
        <w:t xml:space="preserve">detail the </w:t>
      </w:r>
      <w:r w:rsidR="008F1FBA" w:rsidRPr="00142DAE">
        <w:t xml:space="preserve">procedures governing the </w:t>
      </w:r>
      <w:r w:rsidR="008215DC" w:rsidRPr="00142DAE">
        <w:t xml:space="preserve">content of the petition, </w:t>
      </w:r>
      <w:r w:rsidR="008F1FBA" w:rsidRPr="00142DAE">
        <w:t>its filing, and service</w:t>
      </w:r>
      <w:r w:rsidR="004C73C9" w:rsidRPr="00142DAE">
        <w:t xml:space="preserve">; </w:t>
      </w:r>
      <w:r w:rsidR="00F95DD7" w:rsidRPr="00142DAE">
        <w:t>the prosecutor’s response; the</w:t>
      </w:r>
      <w:r w:rsidR="00916191" w:rsidRPr="00142DAE">
        <w:t xml:space="preserve"> petitioner’s response; and the </w:t>
      </w:r>
      <w:r w:rsidR="00B24467" w:rsidRPr="00142DAE">
        <w:t xml:space="preserve">order to show cause.  Once the order to show cause has issued, </w:t>
      </w:r>
      <w:r w:rsidR="0010739B" w:rsidRPr="00142DAE">
        <w:t xml:space="preserve">subdivision (d) directs the court to hold a hearing </w:t>
      </w:r>
      <w:r w:rsidR="004F12DE" w:rsidRPr="00142DAE">
        <w:t>(</w:t>
      </w:r>
      <w:r w:rsidR="001D17C1" w:rsidRPr="00142DAE">
        <w:t xml:space="preserve">unless the parties have stipulated to </w:t>
      </w:r>
      <w:r w:rsidR="009F022E" w:rsidRPr="00142DAE">
        <w:t>relief)</w:t>
      </w:r>
      <w:r w:rsidR="009D1AB7" w:rsidRPr="00142DAE">
        <w:t>, at which</w:t>
      </w:r>
      <w:r w:rsidR="0068559B" w:rsidRPr="00142DAE">
        <w:t xml:space="preserve"> the burden </w:t>
      </w:r>
      <w:r w:rsidR="00447026" w:rsidRPr="00142DAE">
        <w:t>is</w:t>
      </w:r>
      <w:r w:rsidR="0068559B" w:rsidRPr="00142DAE">
        <w:t xml:space="preserve"> on the prosecution to prove, beyond a reasonable doubt, that the petitioner is guilty of murder</w:t>
      </w:r>
      <w:r w:rsidR="008E161C" w:rsidRPr="00142DAE">
        <w:t xml:space="preserve"> as now defined</w:t>
      </w:r>
      <w:r w:rsidR="001D3706" w:rsidRPr="00142DAE">
        <w:t xml:space="preserve">.  </w:t>
      </w:r>
      <w:r w:rsidR="00334E22" w:rsidRPr="00142DAE">
        <w:t>Subdivision (d)</w:t>
      </w:r>
      <w:r w:rsidR="00DC0AFB" w:rsidRPr="00142DAE">
        <w:t xml:space="preserve">(3) </w:t>
      </w:r>
      <w:r w:rsidR="00BE5B42" w:rsidRPr="00142DAE">
        <w:t xml:space="preserve">specifies that </w:t>
      </w:r>
      <w:r w:rsidR="00821C73" w:rsidRPr="00142DAE">
        <w:t xml:space="preserve">either party </w:t>
      </w:r>
      <w:r w:rsidR="006A1EEF" w:rsidRPr="00142DAE">
        <w:t>may offer new or additional evidence</w:t>
      </w:r>
      <w:r w:rsidR="00B60D54">
        <w:t xml:space="preserve"> to demonstrate the petitioner is or is not guilty of murder</w:t>
      </w:r>
      <w:r w:rsidR="008F64FA">
        <w:t xml:space="preserve"> as now defined</w:t>
      </w:r>
      <w:r w:rsidR="006A1EEF" w:rsidRPr="00142DAE">
        <w:t xml:space="preserve">; that </w:t>
      </w:r>
      <w:r w:rsidR="00BE5B42" w:rsidRPr="00142DAE">
        <w:t>the admissibility of evidence at the hearing shall be governed by the Evidence Cod</w:t>
      </w:r>
      <w:r w:rsidR="0079663D" w:rsidRPr="00142DAE">
        <w:t>e, “except that the court may consider evidence previously admitted at any prior hearing or trial that is admissible under current law, including witness testimony, stipulated evidence, and matters judicially noticed</w:t>
      </w:r>
      <w:r w:rsidR="002D0E4A" w:rsidRPr="00142DAE">
        <w:t>”</w:t>
      </w:r>
      <w:r w:rsidR="006A1EEF" w:rsidRPr="00142DAE">
        <w:t xml:space="preserve">; that </w:t>
      </w:r>
      <w:r w:rsidR="00FB7EF6" w:rsidRPr="00142DAE">
        <w:t xml:space="preserve">the court may also consider </w:t>
      </w:r>
      <w:r w:rsidR="009C78DB" w:rsidRPr="00142DAE">
        <w:t xml:space="preserve">the procedural history </w:t>
      </w:r>
      <w:r w:rsidR="00E2406A" w:rsidRPr="00142DAE">
        <w:t xml:space="preserve">of the case </w:t>
      </w:r>
      <w:r w:rsidR="00FB7EF6" w:rsidRPr="00142DAE">
        <w:t xml:space="preserve">recited </w:t>
      </w:r>
      <w:r w:rsidR="00E2406A" w:rsidRPr="00142DAE">
        <w:t>in any prior appellate opinion</w:t>
      </w:r>
      <w:r w:rsidR="00E17B67" w:rsidRPr="00142DAE">
        <w:t xml:space="preserve">; </w:t>
      </w:r>
      <w:r w:rsidR="00F64527" w:rsidRPr="00142DAE">
        <w:t xml:space="preserve">and that hearsay evidence that was admitted </w:t>
      </w:r>
      <w:r w:rsidR="00D35CC7" w:rsidRPr="00142DAE">
        <w:t>at the preliminary hearing under section 872, subdivision (b) shall be excluded</w:t>
      </w:r>
      <w:r w:rsidR="002512F0" w:rsidRPr="00142DAE">
        <w:t>, unless the evidence is admissible under another exception to the hearsay rule.</w:t>
      </w:r>
      <w:r w:rsidR="002626C9" w:rsidRPr="00142DAE">
        <w:t xml:space="preserve">  </w:t>
      </w:r>
      <w:r w:rsidR="00342187" w:rsidRPr="00142DAE">
        <w:t>Section 1172.6, s</w:t>
      </w:r>
      <w:r w:rsidR="002626C9" w:rsidRPr="00142DAE">
        <w:t xml:space="preserve">ubdivision </w:t>
      </w:r>
      <w:r w:rsidR="00AD776A" w:rsidRPr="00142DAE">
        <w:t xml:space="preserve">(d)(3) also </w:t>
      </w:r>
      <w:r w:rsidRPr="00142DAE">
        <w:t>provides</w:t>
      </w:r>
      <w:r w:rsidR="00D856E0" w:rsidRPr="00142DAE">
        <w:t xml:space="preserve"> that </w:t>
      </w:r>
      <w:r w:rsidR="00167531" w:rsidRPr="00142DAE">
        <w:t>“substantial evidence</w:t>
      </w:r>
      <w:r w:rsidR="00C4466C" w:rsidRPr="00142DAE">
        <w:t xml:space="preserve">” to support a conviction of murder “is insufficient to prove, beyond a reasonable doubt, that the petitioner is ineligible for resentencing.” </w:t>
      </w:r>
    </w:p>
    <w:p w14:paraId="0725499F" w14:textId="77777777" w:rsidR="0031271F" w:rsidRPr="00142DAE" w:rsidRDefault="00000000" w:rsidP="00AB7464">
      <w:pPr>
        <w:tabs>
          <w:tab w:val="left" w:pos="1440"/>
        </w:tabs>
        <w:ind w:firstLine="720"/>
      </w:pPr>
      <w:r w:rsidRPr="00142DAE">
        <w:lastRenderedPageBreak/>
        <w:t>Had</w:t>
      </w:r>
      <w:r w:rsidR="00184CCE" w:rsidRPr="00142DAE">
        <w:t xml:space="preserve"> the Legislature intended to allow courts to </w:t>
      </w:r>
      <w:r w:rsidR="000B42C3" w:rsidRPr="00142DAE">
        <w:t>make findings of uncharged</w:t>
      </w:r>
      <w:r w:rsidR="00E84C53" w:rsidRPr="00142DAE">
        <w:t xml:space="preserve"> and unproven </w:t>
      </w:r>
      <w:r w:rsidR="000B42C3" w:rsidRPr="00142DAE">
        <w:t xml:space="preserve">allegations and enhancements and to include them in </w:t>
      </w:r>
      <w:r w:rsidR="005E300F" w:rsidRPr="00142DAE">
        <w:t xml:space="preserve">the resentencing, one </w:t>
      </w:r>
      <w:r w:rsidR="00CC136E" w:rsidRPr="00142DAE">
        <w:t>would</w:t>
      </w:r>
      <w:r w:rsidR="005E300F" w:rsidRPr="00142DAE">
        <w:t xml:space="preserve"> expect </w:t>
      </w:r>
      <w:r w:rsidR="00C26B16" w:rsidRPr="00142DAE">
        <w:t>section 1172.6</w:t>
      </w:r>
      <w:r w:rsidR="008727EE">
        <w:t>, subdivision (e)</w:t>
      </w:r>
      <w:r w:rsidR="00C26B16" w:rsidRPr="00142DAE">
        <w:t xml:space="preserve"> </w:t>
      </w:r>
      <w:r w:rsidR="000A4542" w:rsidRPr="00142DAE">
        <w:t xml:space="preserve">to </w:t>
      </w:r>
      <w:r w:rsidR="00C26B16" w:rsidRPr="00142DAE">
        <w:t xml:space="preserve">similarly </w:t>
      </w:r>
      <w:r w:rsidR="000A4542" w:rsidRPr="00142DAE">
        <w:t>describe</w:t>
      </w:r>
      <w:r w:rsidR="002524E1" w:rsidRPr="00142DAE">
        <w:t xml:space="preserve"> </w:t>
      </w:r>
      <w:r w:rsidR="00CF0B6A" w:rsidRPr="00142DAE">
        <w:t xml:space="preserve">how </w:t>
      </w:r>
      <w:r w:rsidR="003E212C" w:rsidRPr="00142DAE">
        <w:t xml:space="preserve">the parties would </w:t>
      </w:r>
      <w:r w:rsidR="00810612" w:rsidRPr="00142DAE">
        <w:t xml:space="preserve">become apprised of that possibility, </w:t>
      </w:r>
      <w:r w:rsidR="00C95F3D" w:rsidRPr="00142DAE">
        <w:t xml:space="preserve">the parties’ opportunity to be heard, </w:t>
      </w:r>
      <w:r w:rsidR="001D61D3" w:rsidRPr="00142DAE">
        <w:t xml:space="preserve">the evidence that could be considered, </w:t>
      </w:r>
      <w:r w:rsidR="00FA0B49" w:rsidRPr="00142DAE">
        <w:t xml:space="preserve">and </w:t>
      </w:r>
      <w:r w:rsidR="001D61D3" w:rsidRPr="00142DAE">
        <w:t>the burden and standard of proof</w:t>
      </w:r>
      <w:r w:rsidR="00FA0B49" w:rsidRPr="00142DAE">
        <w:t xml:space="preserve"> </w:t>
      </w:r>
      <w:r w:rsidR="00256871" w:rsidRPr="00142DAE">
        <w:t xml:space="preserve">for imposing uncharged </w:t>
      </w:r>
      <w:r w:rsidR="00D2611C" w:rsidRPr="00142DAE">
        <w:t xml:space="preserve">and unproven </w:t>
      </w:r>
      <w:r w:rsidR="00256871" w:rsidRPr="00142DAE">
        <w:t xml:space="preserve">allegations and enhancements.  </w:t>
      </w:r>
      <w:r w:rsidR="00CE3B6D" w:rsidRPr="00142DAE">
        <w:t xml:space="preserve">That the Legislature </w:t>
      </w:r>
      <w:r w:rsidR="00015C4A" w:rsidRPr="00142DAE">
        <w:t xml:space="preserve">did not </w:t>
      </w:r>
      <w:r w:rsidR="00446578" w:rsidRPr="00142DAE">
        <w:t xml:space="preserve">even </w:t>
      </w:r>
      <w:r w:rsidR="00015C4A" w:rsidRPr="00142DAE">
        <w:t xml:space="preserve">mention </w:t>
      </w:r>
      <w:r w:rsidR="001A54AD" w:rsidRPr="00142DAE">
        <w:t>uncharged</w:t>
      </w:r>
      <w:r w:rsidR="00015C4A" w:rsidRPr="00142DAE">
        <w:t xml:space="preserve"> </w:t>
      </w:r>
      <w:r w:rsidR="00D2611C" w:rsidRPr="00142DAE">
        <w:t xml:space="preserve">and unproven </w:t>
      </w:r>
      <w:r w:rsidR="00015C4A" w:rsidRPr="00142DAE">
        <w:t>allegations and enhancements</w:t>
      </w:r>
      <w:r w:rsidR="00E919AF">
        <w:t> </w:t>
      </w:r>
      <w:r w:rsidR="00A70729" w:rsidRPr="00142DAE">
        <w:t>—</w:t>
      </w:r>
      <w:r w:rsidR="00015C4A" w:rsidRPr="00142DAE">
        <w:t xml:space="preserve"> let alone </w:t>
      </w:r>
      <w:r w:rsidR="00A70729" w:rsidRPr="00142DAE">
        <w:t>articulate</w:t>
      </w:r>
      <w:r w:rsidR="00015C4A" w:rsidRPr="00142DAE">
        <w:t xml:space="preserve"> any procedures</w:t>
      </w:r>
      <w:r w:rsidR="00A70729" w:rsidRPr="00142DAE">
        <w:t xml:space="preserve"> for identifying</w:t>
      </w:r>
      <w:r w:rsidR="00E908D8" w:rsidRPr="00142DAE">
        <w:t xml:space="preserve"> and proving the trut</w:t>
      </w:r>
      <w:r w:rsidR="001A54AD" w:rsidRPr="00142DAE">
        <w:t>h of such allegations and enhancements</w:t>
      </w:r>
      <w:r w:rsidR="00E919AF">
        <w:t> </w:t>
      </w:r>
      <w:r w:rsidR="007E5646" w:rsidRPr="00142DAE">
        <w:t xml:space="preserve">— is a significant indication that </w:t>
      </w:r>
      <w:r w:rsidR="0002691C" w:rsidRPr="00142DAE">
        <w:t xml:space="preserve">courts lack the authority to </w:t>
      </w:r>
      <w:r w:rsidRPr="00142DAE">
        <w:t>litigate</w:t>
      </w:r>
      <w:r w:rsidR="0002691C" w:rsidRPr="00142DAE">
        <w:t xml:space="preserve"> and then impose </w:t>
      </w:r>
      <w:r w:rsidR="00D2611C" w:rsidRPr="00142DAE">
        <w:t>such</w:t>
      </w:r>
      <w:r w:rsidR="00E919AF">
        <w:t xml:space="preserve"> </w:t>
      </w:r>
      <w:r w:rsidR="0002691C" w:rsidRPr="00142DAE">
        <w:t xml:space="preserve">allegations and enhancements </w:t>
      </w:r>
      <w:r w:rsidR="000C4076" w:rsidRPr="00142DAE">
        <w:t>during the redesignation and resentencing phase.</w:t>
      </w:r>
    </w:p>
    <w:p w14:paraId="072549A0" w14:textId="77777777" w:rsidR="000D36A2" w:rsidRDefault="00000000">
      <w:pPr>
        <w:tabs>
          <w:tab w:val="left" w:pos="1440"/>
        </w:tabs>
        <w:ind w:firstLine="720"/>
      </w:pPr>
      <w:r w:rsidRPr="00142DAE">
        <w:t xml:space="preserve">Limiting resentencing to </w:t>
      </w:r>
      <w:r w:rsidR="00C20158" w:rsidRPr="00142DAE">
        <w:t>the “remaining counts”</w:t>
      </w:r>
      <w:r w:rsidR="004341AB" w:rsidRPr="00142DAE">
        <w:t xml:space="preserve"> or “</w:t>
      </w:r>
      <w:r w:rsidR="00956608" w:rsidRPr="00142DAE">
        <w:t xml:space="preserve">remaining </w:t>
      </w:r>
      <w:r w:rsidR="004341AB" w:rsidRPr="00142DAE">
        <w:t>charges” (</w:t>
      </w:r>
      <w:r w:rsidR="00DC7100" w:rsidRPr="00142DAE">
        <w:t>§</w:t>
      </w:r>
      <w:r w:rsidR="00956608" w:rsidRPr="00142DAE">
        <w:t> </w:t>
      </w:r>
      <w:r w:rsidR="00DC7100" w:rsidRPr="00142DAE">
        <w:t>1172.6, subds. (a), (d)(1)</w:t>
      </w:r>
      <w:r w:rsidR="000220D1">
        <w:t xml:space="preserve"> &amp; </w:t>
      </w:r>
      <w:r w:rsidR="00A76573" w:rsidRPr="00142DAE">
        <w:t>(3</w:t>
      </w:r>
      <w:r w:rsidR="0033494F" w:rsidRPr="00142DAE">
        <w:t>))</w:t>
      </w:r>
      <w:r w:rsidR="0033494F">
        <w:t> </w:t>
      </w:r>
      <w:r w:rsidR="00A76573" w:rsidRPr="00142DAE">
        <w:t xml:space="preserve">— or when the murder was charged “generically,” to the </w:t>
      </w:r>
      <w:r w:rsidR="00D60383" w:rsidRPr="00142DAE">
        <w:t>“target offense or underlying felony” (</w:t>
      </w:r>
      <w:r w:rsidR="00D60383" w:rsidRPr="00142DAE">
        <w:rPr>
          <w:i/>
          <w:iCs/>
        </w:rPr>
        <w:t>id</w:t>
      </w:r>
      <w:r w:rsidR="00D60383" w:rsidRPr="00142DAE">
        <w:t>., subd. (e</w:t>
      </w:r>
      <w:r w:rsidR="00564EC6">
        <w:t>)</w:t>
      </w:r>
      <w:r w:rsidR="000143FA" w:rsidRPr="00142DAE">
        <w:t>)</w:t>
      </w:r>
      <w:r w:rsidR="000143FA">
        <w:t> </w:t>
      </w:r>
      <w:r w:rsidR="00D60383" w:rsidRPr="00142DAE">
        <w:t xml:space="preserve">— </w:t>
      </w:r>
      <w:r w:rsidR="004D4B4F">
        <w:t>is at the very least</w:t>
      </w:r>
      <w:r w:rsidR="00D60383" w:rsidRPr="00142DAE">
        <w:t xml:space="preserve"> cons</w:t>
      </w:r>
      <w:r w:rsidR="004D4B4F">
        <w:t>onant</w:t>
      </w:r>
      <w:r w:rsidR="00D60383" w:rsidRPr="00142DAE">
        <w:t xml:space="preserve"> with </w:t>
      </w:r>
      <w:r w:rsidR="00DD4686" w:rsidRPr="00142DAE">
        <w:t>Senate Bill No. 1437’s</w:t>
      </w:r>
      <w:r w:rsidR="00D60383" w:rsidRPr="00142DAE">
        <w:t xml:space="preserve"> </w:t>
      </w:r>
      <w:r w:rsidR="00DD4686" w:rsidRPr="00142DAE">
        <w:t xml:space="preserve">legislative purpose.  </w:t>
      </w:r>
      <w:r w:rsidR="00D363AE" w:rsidRPr="00142DAE">
        <w:t xml:space="preserve">In uncodified section 1 of the enactment, the </w:t>
      </w:r>
      <w:r w:rsidR="00CE724E" w:rsidRPr="00142DAE">
        <w:t xml:space="preserve">Legislature </w:t>
      </w:r>
      <w:r w:rsidR="007D14BB" w:rsidRPr="00142DAE">
        <w:t xml:space="preserve">declared “a need for statutory changes to more equitably sentence offenders in accordance with their involvement in homicides.”  </w:t>
      </w:r>
      <w:r w:rsidR="00B50011" w:rsidRPr="00142DAE">
        <w:t xml:space="preserve">(Stats. 2018, ch. 1015, </w:t>
      </w:r>
      <w:r w:rsidR="00C229D1" w:rsidRPr="00142DAE">
        <w:t>§ 1(b).)</w:t>
      </w:r>
      <w:r w:rsidR="00F640AB" w:rsidRPr="00142DAE">
        <w:t xml:space="preserve">  </w:t>
      </w:r>
      <w:r w:rsidR="00BB5839" w:rsidRPr="00142DAE">
        <w:t xml:space="preserve">This “[r]eform” was “needed,” the Legislature </w:t>
      </w:r>
      <w:r w:rsidR="00BE27B4" w:rsidRPr="00142DAE">
        <w:t>asserted, “to limit convictions and subsequent sentencing so that the law of California fairly addresses the culpability of the individual and assists in the reduction of prison overcrowding</w:t>
      </w:r>
      <w:r w:rsidR="004D70E8" w:rsidRPr="00142DAE">
        <w:t>, which partially results from length</w:t>
      </w:r>
      <w:r w:rsidR="00BE2A30" w:rsidRPr="00142DAE">
        <w:t>y</w:t>
      </w:r>
      <w:r w:rsidR="004D70E8" w:rsidRPr="00142DAE">
        <w:t xml:space="preserve"> sentences that are not commensurate with the culpability of the individual.”  </w:t>
      </w:r>
      <w:r w:rsidR="00724425" w:rsidRPr="00142DAE">
        <w:t>(</w:t>
      </w:r>
      <w:r w:rsidR="00724425" w:rsidRPr="00142DAE">
        <w:rPr>
          <w:i/>
          <w:iCs/>
        </w:rPr>
        <w:t>Id</w:t>
      </w:r>
      <w:r w:rsidR="00724425" w:rsidRPr="00142DAE">
        <w:t>., § 1(e)</w:t>
      </w:r>
      <w:r w:rsidR="00F47079" w:rsidRPr="00142DAE">
        <w:t>.</w:t>
      </w:r>
      <w:r w:rsidR="00724425" w:rsidRPr="00142DAE">
        <w:t>)</w:t>
      </w:r>
      <w:r w:rsidR="00BE7BA1" w:rsidRPr="00142DAE">
        <w:t xml:space="preserve">  </w:t>
      </w:r>
      <w:r w:rsidR="00867A55" w:rsidRPr="00142DAE">
        <w:t xml:space="preserve">The </w:t>
      </w:r>
      <w:r w:rsidR="00522640">
        <w:t xml:space="preserve">legislative history, for its part, further discusses the </w:t>
      </w:r>
      <w:r w:rsidR="00867A55" w:rsidRPr="00142DAE">
        <w:t>need to reduce “</w:t>
      </w:r>
      <w:r w:rsidR="00E919AF">
        <w:t> </w:t>
      </w:r>
      <w:r w:rsidR="00867A55" w:rsidRPr="00142DAE">
        <w:t xml:space="preserve">‘severe, unconstitutional </w:t>
      </w:r>
      <w:r w:rsidR="00E87CFE" w:rsidRPr="00142DAE">
        <w:lastRenderedPageBreak/>
        <w:t>overcrowding’</w:t>
      </w:r>
      <w:r w:rsidR="00E87CFE">
        <w:t> </w:t>
      </w:r>
      <w:r w:rsidR="00867A55" w:rsidRPr="00142DAE">
        <w:t>”</w:t>
      </w:r>
      <w:r w:rsidR="009D3F65" w:rsidRPr="00142DAE">
        <w:t xml:space="preserve"> and “</w:t>
      </w:r>
      <w:r w:rsidR="00E919AF">
        <w:t> </w:t>
      </w:r>
      <w:r w:rsidR="009D3F65" w:rsidRPr="00142DAE">
        <w:t>‘repair the harm of decades of mass incarceration</w:t>
      </w:r>
      <w:r w:rsidR="00C558AF">
        <w:t>,</w:t>
      </w:r>
      <w:r w:rsidR="009D3F65" w:rsidRPr="00142DAE">
        <w:t>’</w:t>
      </w:r>
      <w:r w:rsidR="00E919AF">
        <w:t> </w:t>
      </w:r>
      <w:r w:rsidR="009D3F65" w:rsidRPr="00142DAE">
        <w:t xml:space="preserve">” </w:t>
      </w:r>
      <w:r w:rsidR="00C558AF">
        <w:t xml:space="preserve">which </w:t>
      </w:r>
      <w:r w:rsidR="009D3F65" w:rsidRPr="00142DAE">
        <w:t xml:space="preserve">required </w:t>
      </w:r>
      <w:r w:rsidR="0062374E" w:rsidRPr="00142DAE">
        <w:t>the state to “</w:t>
      </w:r>
      <w:r w:rsidR="00E919AF">
        <w:t> </w:t>
      </w:r>
      <w:r w:rsidR="0062374E" w:rsidRPr="00142DAE">
        <w:t>‘</w:t>
      </w:r>
      <w:r w:rsidR="009D3F65" w:rsidRPr="00142DAE">
        <w:t>provide relief to those with violent felony convictions</w:t>
      </w:r>
      <w:r w:rsidR="0062374E" w:rsidRPr="00142DAE">
        <w:t>’</w:t>
      </w:r>
      <w:r w:rsidR="00E919AF">
        <w:t> </w:t>
      </w:r>
      <w:r w:rsidR="0062374E" w:rsidRPr="00142DAE">
        <w:t xml:space="preserve">” and thereby </w:t>
      </w:r>
      <w:r w:rsidR="00B7577C" w:rsidRPr="00142DAE">
        <w:t>“</w:t>
      </w:r>
      <w:r w:rsidR="00E919AF">
        <w:t> </w:t>
      </w:r>
      <w:r w:rsidR="00B7577C" w:rsidRPr="00142DAE">
        <w:t>‘</w:t>
      </w:r>
      <w:r w:rsidR="009D3F65" w:rsidRPr="00142DAE">
        <w:t>demonstrate its commitment to bringing overdue reforms to violent felony sentencing and redirecting state resources away from costly investments in corrections</w:t>
      </w:r>
      <w:r w:rsidR="00B7577C" w:rsidRPr="00142DAE">
        <w:t>.’</w:t>
      </w:r>
      <w:r w:rsidR="00E919AF">
        <w:t> </w:t>
      </w:r>
      <w:r w:rsidR="00B7577C" w:rsidRPr="00142DAE">
        <w:t xml:space="preserve">”  (Assem. Com. on Public Safety, </w:t>
      </w:r>
      <w:r w:rsidR="00A42A53" w:rsidRPr="00142DAE">
        <w:t>Analysis of Sen. Bill No. 14</w:t>
      </w:r>
      <w:r w:rsidR="00494079" w:rsidRPr="00142DAE">
        <w:t xml:space="preserve">37 (2017–2018 Reg. Sess.) </w:t>
      </w:r>
      <w:r w:rsidR="0099618C" w:rsidRPr="00142DAE">
        <w:t>as amended May 25, 2018, p. 7</w:t>
      </w:r>
      <w:r w:rsidR="0043039D" w:rsidRPr="00142DAE">
        <w:t xml:space="preserve">; see also </w:t>
      </w:r>
      <w:r w:rsidR="00B32F67" w:rsidRPr="00142DAE">
        <w:t xml:space="preserve">Dept. of Finance, </w:t>
      </w:r>
      <w:r w:rsidR="0043039D" w:rsidRPr="00142DAE">
        <w:t>Enrolled Bill Rep</w:t>
      </w:r>
      <w:r w:rsidR="006C05DF" w:rsidRPr="00142DAE">
        <w:t>. on Sen. Bill No. 1437 (2017–2018 Reg. Sess.)</w:t>
      </w:r>
      <w:r w:rsidR="009C3B13" w:rsidRPr="00142DAE">
        <w:t xml:space="preserve"> </w:t>
      </w:r>
      <w:r w:rsidR="00A86C21" w:rsidRPr="00142DAE">
        <w:t>Sept. 7, 2018, p. 1</w:t>
      </w:r>
      <w:r w:rsidR="00944865" w:rsidRPr="00142DAE">
        <w:t xml:space="preserve"> [“</w:t>
      </w:r>
      <w:r w:rsidR="00944865" w:rsidRPr="007843A4">
        <w:t>The Department of Finance recommends signing this bill because it could reduce the average daily population in state prison, resulting in significant savings to the state due to decreased incarceration</w:t>
      </w:r>
      <w:r w:rsidR="00944865" w:rsidRPr="00142DAE">
        <w:t>”]</w:t>
      </w:r>
      <w:r w:rsidR="00EE07CD" w:rsidRPr="00142DAE">
        <w:t>.)</w:t>
      </w:r>
      <w:r w:rsidR="00C233A9">
        <w:t xml:space="preserve">  We see nothing </w:t>
      </w:r>
      <w:r w:rsidR="00946E2E">
        <w:t xml:space="preserve">in these legislative materials </w:t>
      </w:r>
      <w:r w:rsidR="00167A66">
        <w:t xml:space="preserve">to suggest </w:t>
      </w:r>
      <w:r w:rsidR="00646888">
        <w:t>the Legislature contemplated a rule that would permit resentencing court</w:t>
      </w:r>
      <w:r w:rsidR="00F2191D">
        <w:t>s</w:t>
      </w:r>
      <w:r w:rsidR="00646888">
        <w:t xml:space="preserve"> to </w:t>
      </w:r>
      <w:r w:rsidR="00241B98">
        <w:t>augment</w:t>
      </w:r>
      <w:r w:rsidR="00646888">
        <w:t xml:space="preserve"> sentences by imposing </w:t>
      </w:r>
      <w:r w:rsidR="00A8024A">
        <w:t>previously uncharged and unproven enhancements.</w:t>
      </w:r>
      <w:r w:rsidR="009450B4" w:rsidRPr="00142DAE">
        <w:t xml:space="preserve">  </w:t>
      </w:r>
    </w:p>
    <w:p w14:paraId="072549A1" w14:textId="77777777" w:rsidR="009D3B0A" w:rsidRPr="00142DAE" w:rsidRDefault="00000000" w:rsidP="00AB7464">
      <w:pPr>
        <w:tabs>
          <w:tab w:val="left" w:pos="1440"/>
        </w:tabs>
        <w:ind w:firstLine="720"/>
      </w:pPr>
      <w:r w:rsidRPr="000D36A2">
        <w:t xml:space="preserve">To support his contention that </w:t>
      </w:r>
      <w:r>
        <w:t xml:space="preserve">section 1172.6, subdivision (e) allows </w:t>
      </w:r>
      <w:r w:rsidRPr="000D36A2">
        <w:t xml:space="preserve">trial courts </w:t>
      </w:r>
      <w:r>
        <w:t>to</w:t>
      </w:r>
      <w:r w:rsidRPr="000D36A2">
        <w:t xml:space="preserve"> impose uncharged and unproven enhancements at a resentencing proceeding, the Attorney General relies on </w:t>
      </w:r>
      <w:r w:rsidRPr="000D36A2">
        <w:rPr>
          <w:i/>
          <w:iCs/>
        </w:rPr>
        <w:t>Howard</w:t>
      </w:r>
      <w:r w:rsidRPr="000D36A2">
        <w:t xml:space="preserve">, </w:t>
      </w:r>
      <w:r w:rsidRPr="000D36A2">
        <w:rPr>
          <w:i/>
          <w:iCs/>
        </w:rPr>
        <w:t>supra</w:t>
      </w:r>
      <w:r w:rsidRPr="000D36A2">
        <w:t>, 50 Cal.App.5th 727.  There, as here, the prosecutor agreed the murder conviction should be vacated under former section 1170.95.  (</w:t>
      </w:r>
      <w:r w:rsidR="002161E1">
        <w:rPr>
          <w:i/>
          <w:iCs/>
        </w:rPr>
        <w:t>Howard</w:t>
      </w:r>
      <w:r w:rsidR="002161E1">
        <w:t>,</w:t>
      </w:r>
      <w:r w:rsidRPr="000D36A2">
        <w:t xml:space="preserve"> at p. 733.)  The trial court </w:t>
      </w:r>
      <w:r>
        <w:t xml:space="preserve">in </w:t>
      </w:r>
      <w:r>
        <w:rPr>
          <w:i/>
          <w:iCs/>
        </w:rPr>
        <w:t xml:space="preserve">Howard </w:t>
      </w:r>
      <w:r w:rsidRPr="000D36A2">
        <w:t>identified the underlying felony as first degree residential burglary and imposed an arming enhancement.  (</w:t>
      </w:r>
      <w:r w:rsidRPr="000D36A2">
        <w:rPr>
          <w:i/>
          <w:iCs/>
        </w:rPr>
        <w:t>Id</w:t>
      </w:r>
      <w:r w:rsidRPr="000D36A2">
        <w:t xml:space="preserve">. at p. 734.)  But the arming enhancement in </w:t>
      </w:r>
      <w:r w:rsidRPr="000D36A2">
        <w:rPr>
          <w:i/>
          <w:iCs/>
        </w:rPr>
        <w:t xml:space="preserve">Howard, </w:t>
      </w:r>
      <w:r w:rsidRPr="000D36A2">
        <w:t xml:space="preserve">unlike the </w:t>
      </w:r>
      <w:r w:rsidR="00707632">
        <w:t xml:space="preserve">firearm </w:t>
      </w:r>
      <w:r w:rsidRPr="000D36A2">
        <w:t xml:space="preserve">use enhancement here, </w:t>
      </w:r>
      <w:r w:rsidRPr="000D36A2">
        <w:rPr>
          <w:i/>
          <w:iCs/>
        </w:rPr>
        <w:t>was</w:t>
      </w:r>
      <w:r w:rsidRPr="000D36A2">
        <w:t xml:space="preserve"> pled and proved in connection with the murder.  That is, in convicting Howard of first degree murder, the jury found true that Howard had been armed with a firearm in the commission of the offense, and the trial court relied on that finding to impose the arming </w:t>
      </w:r>
      <w:r w:rsidRPr="000D36A2">
        <w:lastRenderedPageBreak/>
        <w:t>enhancement on the underlying felony once the murder conviction had been vacated.  (</w:t>
      </w:r>
      <w:r w:rsidRPr="000D36A2">
        <w:rPr>
          <w:i/>
          <w:iCs/>
        </w:rPr>
        <w:t>Id</w:t>
      </w:r>
      <w:r w:rsidRPr="000D36A2">
        <w:t xml:space="preserve">. at pp. 732, 742.)  In affirming the judgment, the Court of Appeal relied on the fact the arming enhancement </w:t>
      </w:r>
      <w:r>
        <w:t>had been</w:t>
      </w:r>
      <w:r w:rsidRPr="000D36A2">
        <w:t xml:space="preserve"> proved “beyond any possible dispute” </w:t>
      </w:r>
      <w:r w:rsidRPr="000D36A2">
        <w:rPr>
          <w:i/>
          <w:iCs/>
        </w:rPr>
        <w:t>at trial</w:t>
      </w:r>
      <w:r w:rsidRPr="000D36A2">
        <w:t xml:space="preserve">, and Howard did </w:t>
      </w:r>
      <w:r>
        <w:t>“</w:t>
      </w:r>
      <w:r w:rsidRPr="000D36A2">
        <w:t>not argue otherwise.</w:t>
      </w:r>
      <w:r>
        <w:t>”</w:t>
      </w:r>
      <w:r w:rsidRPr="000D36A2">
        <w:t xml:space="preserve">  (</w:t>
      </w:r>
      <w:r w:rsidRPr="000D36A2">
        <w:rPr>
          <w:i/>
          <w:iCs/>
        </w:rPr>
        <w:t>Id</w:t>
      </w:r>
      <w:r w:rsidRPr="000D36A2">
        <w:t xml:space="preserve">. at p. 742.)  </w:t>
      </w:r>
      <w:r w:rsidRPr="000D36A2">
        <w:rPr>
          <w:i/>
          <w:iCs/>
        </w:rPr>
        <w:t>Howard</w:t>
      </w:r>
      <w:r w:rsidRPr="000D36A2">
        <w:t xml:space="preserve"> is therefore distinguishable from the situation here, where </w:t>
      </w:r>
      <w:r w:rsidRPr="000D36A2">
        <w:rPr>
          <w:i/>
          <w:iCs/>
        </w:rPr>
        <w:t>no</w:t>
      </w:r>
      <w:r w:rsidRPr="000D36A2">
        <w:t xml:space="preserve"> enhancement was admitted by Arellano nor found true by the jury.</w:t>
      </w:r>
      <w:r>
        <w:rPr>
          <w:b/>
          <w:vertAlign w:val="superscript"/>
        </w:rPr>
        <w:footnoteReference w:id="5"/>
      </w:r>
    </w:p>
    <w:p w14:paraId="072549A2" w14:textId="77777777" w:rsidR="009B2913" w:rsidRPr="00142DAE" w:rsidRDefault="00000000" w:rsidP="00142DAE">
      <w:pPr>
        <w:pStyle w:val="Heading2"/>
      </w:pPr>
      <w:r w:rsidRPr="00142DAE">
        <w:t xml:space="preserve">C.  </w:t>
      </w:r>
      <w:r w:rsidR="0006130D" w:rsidRPr="00142DAE">
        <w:t xml:space="preserve">Court of Appeal Decisions </w:t>
      </w:r>
      <w:r w:rsidR="000D36A2">
        <w:t>A</w:t>
      </w:r>
      <w:r w:rsidR="0006130D" w:rsidRPr="00142DAE">
        <w:t xml:space="preserve">ddressing </w:t>
      </w:r>
      <w:r w:rsidR="00AD7AE0" w:rsidRPr="00142DAE">
        <w:t xml:space="preserve">the Redesignation of the Target Offense or Underlying Felony Do Not Support the Imposition of Uncharged </w:t>
      </w:r>
      <w:r w:rsidR="003273A3" w:rsidRPr="00142DAE">
        <w:t xml:space="preserve">and Unproven </w:t>
      </w:r>
      <w:r w:rsidR="00AD7AE0" w:rsidRPr="00142DAE">
        <w:t>Sentence Enhancements or Allegations</w:t>
      </w:r>
      <w:r w:rsidRPr="00142DAE">
        <w:t xml:space="preserve">  </w:t>
      </w:r>
    </w:p>
    <w:p w14:paraId="072549A3" w14:textId="77777777" w:rsidR="00DD3DDB" w:rsidRPr="00142DAE" w:rsidRDefault="00000000" w:rsidP="00AB7464">
      <w:pPr>
        <w:tabs>
          <w:tab w:val="left" w:pos="1440"/>
        </w:tabs>
        <w:ind w:firstLine="720"/>
      </w:pPr>
      <w:r w:rsidRPr="00142DAE">
        <w:t xml:space="preserve">The </w:t>
      </w:r>
      <w:r w:rsidR="006216C6" w:rsidRPr="00142DAE">
        <w:t>Attorney Genera</w:t>
      </w:r>
      <w:r w:rsidR="000D36A2">
        <w:t xml:space="preserve">l, </w:t>
      </w:r>
      <w:r w:rsidR="00573DDC" w:rsidRPr="00142DAE">
        <w:t xml:space="preserve">like the </w:t>
      </w:r>
      <w:r w:rsidR="00573DDC" w:rsidRPr="00142DAE">
        <w:rPr>
          <w:i/>
          <w:iCs/>
        </w:rPr>
        <w:t xml:space="preserve">Howard </w:t>
      </w:r>
      <w:r w:rsidR="00573DDC" w:rsidRPr="00142DAE">
        <w:t xml:space="preserve">court, </w:t>
      </w:r>
      <w:r w:rsidR="00CB0239" w:rsidRPr="00142DAE">
        <w:t xml:space="preserve">argues that </w:t>
      </w:r>
      <w:r w:rsidR="00697424" w:rsidRPr="00142DAE">
        <w:t xml:space="preserve">because </w:t>
      </w:r>
      <w:r w:rsidR="003D55CC" w:rsidRPr="00142DAE">
        <w:t>subdivisions (d)(3) and (e)</w:t>
      </w:r>
      <w:r w:rsidR="00A26DE8" w:rsidRPr="00142DAE">
        <w:t xml:space="preserve"> of section 1172.6</w:t>
      </w:r>
      <w:r w:rsidR="00976732" w:rsidRPr="00142DAE">
        <w:t xml:space="preserve"> “</w:t>
      </w:r>
      <w:r w:rsidR="006805C4">
        <w:t> </w:t>
      </w:r>
      <w:r w:rsidR="00976732" w:rsidRPr="00142DAE">
        <w:t xml:space="preserve">‘intended to </w:t>
      </w:r>
      <w:r w:rsidR="00A80984" w:rsidRPr="00142DAE">
        <w:t>grant the trial court flexibility when identifying the underlying felony for resentencing</w:t>
      </w:r>
      <w:r w:rsidR="004E3EF8" w:rsidRPr="00142DAE">
        <w:t xml:space="preserve"> under subdivision (e)</w:t>
      </w:r>
      <w:r w:rsidR="002638ED" w:rsidRPr="00142DAE">
        <w:t>,</w:t>
      </w:r>
      <w:r w:rsidR="004E3EF8" w:rsidRPr="00142DAE">
        <w:t>’</w:t>
      </w:r>
      <w:r w:rsidR="002638ED" w:rsidRPr="00142DAE">
        <w:t> </w:t>
      </w:r>
      <w:r w:rsidR="004E3EF8" w:rsidRPr="00142DAE">
        <w:t>”</w:t>
      </w:r>
      <w:r w:rsidR="002638ED" w:rsidRPr="00142DAE">
        <w:t xml:space="preserve"> resentencing courts </w:t>
      </w:r>
      <w:r w:rsidR="003B53CA" w:rsidRPr="00142DAE">
        <w:t xml:space="preserve">should likewise “have flexibility in determining the appropriate sentence for the redesignated conviction and may impose </w:t>
      </w:r>
      <w:r w:rsidR="00A3384C" w:rsidRPr="00142DAE">
        <w:t>an enhancement that increases the punishment for the offense or offenses.”</w:t>
      </w:r>
      <w:r w:rsidR="003B6DE8" w:rsidRPr="00142DAE">
        <w:t xml:space="preserve">  </w:t>
      </w:r>
      <w:r w:rsidR="008727EE">
        <w:t>We</w:t>
      </w:r>
      <w:r w:rsidR="003B6DE8" w:rsidRPr="00142DAE">
        <w:t xml:space="preserve"> </w:t>
      </w:r>
      <w:r w:rsidR="000D36A2">
        <w:t>do not find the analogy persuasive</w:t>
      </w:r>
      <w:r w:rsidRPr="00142DAE">
        <w:t>.</w:t>
      </w:r>
    </w:p>
    <w:p w14:paraId="072549A4" w14:textId="77777777" w:rsidR="00694DE4" w:rsidRPr="00142DAE" w:rsidRDefault="00000000" w:rsidP="00AB7464">
      <w:pPr>
        <w:tabs>
          <w:tab w:val="left" w:pos="1440"/>
        </w:tabs>
        <w:ind w:firstLine="720"/>
      </w:pPr>
      <w:r w:rsidRPr="00142DAE">
        <w:t xml:space="preserve">In </w:t>
      </w:r>
      <w:r w:rsidRPr="00142DAE">
        <w:rPr>
          <w:i/>
          <w:iCs/>
        </w:rPr>
        <w:t>Howard</w:t>
      </w:r>
      <w:r w:rsidRPr="00142DAE">
        <w:t xml:space="preserve">, the </w:t>
      </w:r>
      <w:r w:rsidR="00DB7466" w:rsidRPr="00142DAE">
        <w:t xml:space="preserve">parties agreed that </w:t>
      </w:r>
      <w:r w:rsidR="00B9345E" w:rsidRPr="00142DAE">
        <w:t>the</w:t>
      </w:r>
      <w:r w:rsidR="009D1D69" w:rsidRPr="00142DAE">
        <w:t xml:space="preserve"> underlying felony was burglary, but disagreed on the degree of the offense.  (</w:t>
      </w:r>
      <w:r w:rsidR="009D1D69" w:rsidRPr="00142DAE">
        <w:rPr>
          <w:i/>
          <w:iCs/>
        </w:rPr>
        <w:t>Howard</w:t>
      </w:r>
      <w:r w:rsidR="00182DA3" w:rsidRPr="00142DAE">
        <w:t xml:space="preserve">, </w:t>
      </w:r>
      <w:r w:rsidR="00182DA3" w:rsidRPr="00142DAE">
        <w:rPr>
          <w:i/>
          <w:iCs/>
        </w:rPr>
        <w:t>supra</w:t>
      </w:r>
      <w:r w:rsidR="00182DA3" w:rsidRPr="00142DAE">
        <w:t xml:space="preserve">, </w:t>
      </w:r>
      <w:r w:rsidR="006D180D" w:rsidRPr="00142DAE">
        <w:t>50 Cal.App.5th at p. 730.)</w:t>
      </w:r>
      <w:r w:rsidR="00DC2715" w:rsidRPr="00142DAE">
        <w:t xml:space="preserve">  The prosecution</w:t>
      </w:r>
      <w:r w:rsidR="005D7F1B" w:rsidRPr="00142DAE">
        <w:t xml:space="preserve"> </w:t>
      </w:r>
      <w:r w:rsidR="00E50F58" w:rsidRPr="00142DAE">
        <w:t xml:space="preserve">urged the </w:t>
      </w:r>
      <w:r w:rsidR="000906E3" w:rsidRPr="00142DAE">
        <w:t xml:space="preserve">trial </w:t>
      </w:r>
      <w:r w:rsidR="00E50F58" w:rsidRPr="00142DAE">
        <w:t xml:space="preserve">court to redesignate the underlying felony as first degree </w:t>
      </w:r>
      <w:r w:rsidR="008B252F" w:rsidRPr="00142DAE">
        <w:t xml:space="preserve">residential </w:t>
      </w:r>
      <w:r w:rsidR="00E50F58" w:rsidRPr="00142DAE">
        <w:t>burglary (§</w:t>
      </w:r>
      <w:r w:rsidR="006805C4">
        <w:t> </w:t>
      </w:r>
      <w:r w:rsidR="00E50F58" w:rsidRPr="00142DAE">
        <w:t>460, subd. (a)</w:t>
      </w:r>
      <w:r w:rsidR="00883919" w:rsidRPr="00142DAE">
        <w:t>); the defendant</w:t>
      </w:r>
      <w:r w:rsidR="008D5C37" w:rsidRPr="00142DAE">
        <w:t xml:space="preserve">, on </w:t>
      </w:r>
      <w:r w:rsidR="008D5C37" w:rsidRPr="00142DAE">
        <w:lastRenderedPageBreak/>
        <w:t xml:space="preserve">the other hand, </w:t>
      </w:r>
      <w:r w:rsidR="00883919" w:rsidRPr="00142DAE">
        <w:t>argued the</w:t>
      </w:r>
      <w:r w:rsidR="008D5C37" w:rsidRPr="00142DAE">
        <w:t xml:space="preserve"> court was required to </w:t>
      </w:r>
      <w:r w:rsidR="00FF29D9" w:rsidRPr="00142DAE">
        <w:t xml:space="preserve">redesignate the conviction as </w:t>
      </w:r>
      <w:r w:rsidR="005E3C42" w:rsidRPr="00142DAE">
        <w:t xml:space="preserve">the lesser offense of </w:t>
      </w:r>
      <w:r w:rsidR="00FF29D9" w:rsidRPr="00142DAE">
        <w:t>second degree burglary (</w:t>
      </w:r>
      <w:r w:rsidR="00FF29D9" w:rsidRPr="00142DAE">
        <w:rPr>
          <w:i/>
          <w:iCs/>
        </w:rPr>
        <w:t>id</w:t>
      </w:r>
      <w:r w:rsidR="00FF29D9" w:rsidRPr="00142DAE">
        <w:t>., subd. (b)).  (</w:t>
      </w:r>
      <w:r w:rsidR="00FF29D9" w:rsidRPr="00142DAE">
        <w:rPr>
          <w:i/>
          <w:iCs/>
        </w:rPr>
        <w:t>Howard</w:t>
      </w:r>
      <w:r w:rsidR="00FF29D9" w:rsidRPr="00142DAE">
        <w:t xml:space="preserve">, at p. </w:t>
      </w:r>
      <w:r w:rsidR="00042C50" w:rsidRPr="00142DAE">
        <w:t>736.)</w:t>
      </w:r>
      <w:r w:rsidR="00277B19" w:rsidRPr="00142DAE">
        <w:t xml:space="preserve">  The trial court redesignated the murder conviction as first degree burglary, and the Court of Appeal affirmed.  </w:t>
      </w:r>
      <w:r w:rsidR="0024580E" w:rsidRPr="00142DAE">
        <w:t>(</w:t>
      </w:r>
      <w:r w:rsidR="0024580E" w:rsidRPr="00142DAE">
        <w:rPr>
          <w:i/>
          <w:iCs/>
        </w:rPr>
        <w:t>Id</w:t>
      </w:r>
      <w:r w:rsidR="0024580E" w:rsidRPr="00142DAE">
        <w:t>. at p. 730.)</w:t>
      </w:r>
    </w:p>
    <w:p w14:paraId="072549A5" w14:textId="77777777" w:rsidR="00AD1405" w:rsidRPr="00142DAE" w:rsidRDefault="00000000" w:rsidP="00AB7464">
      <w:pPr>
        <w:tabs>
          <w:tab w:val="left" w:pos="1440"/>
        </w:tabs>
        <w:ind w:firstLine="720"/>
      </w:pPr>
      <w:r w:rsidRPr="00142DAE">
        <w:t xml:space="preserve">The </w:t>
      </w:r>
      <w:r w:rsidR="00C97583" w:rsidRPr="00142DAE">
        <w:rPr>
          <w:i/>
          <w:iCs/>
        </w:rPr>
        <w:t>Howard</w:t>
      </w:r>
      <w:r w:rsidR="00C97583" w:rsidRPr="00142DAE">
        <w:t xml:space="preserve"> c</w:t>
      </w:r>
      <w:r w:rsidRPr="00142DAE">
        <w:t xml:space="preserve">ourt </w:t>
      </w:r>
      <w:r w:rsidR="007D1DA5" w:rsidRPr="00142DAE">
        <w:t xml:space="preserve">reasoned that </w:t>
      </w:r>
      <w:r w:rsidR="005A3B72" w:rsidRPr="00142DAE">
        <w:t>“</w:t>
      </w:r>
      <w:r w:rsidR="007D1DA5" w:rsidRPr="00142DAE">
        <w:t xml:space="preserve">the </w:t>
      </w:r>
      <w:r w:rsidR="005A3B72" w:rsidRPr="00142DAE">
        <w:t xml:space="preserve">absence of a first degree </w:t>
      </w:r>
      <w:r w:rsidR="000C611D" w:rsidRPr="00142DAE">
        <w:t>burgla</w:t>
      </w:r>
      <w:r w:rsidR="005A3B72" w:rsidRPr="00142DAE">
        <w:t xml:space="preserve">ry instruction and verdict did not preclude the court from redesignating </w:t>
      </w:r>
      <w:r w:rsidR="00A53B5B" w:rsidRPr="00142DAE">
        <w:t xml:space="preserve">Howard’s conviction as first degree burglary, because the evidence at trial demonstrated beyond any dispute the building was a residence.”  </w:t>
      </w:r>
      <w:r w:rsidR="00FF4FD5" w:rsidRPr="00142DAE">
        <w:t>(</w:t>
      </w:r>
      <w:r w:rsidR="00FF4FD5" w:rsidRPr="00142DAE">
        <w:rPr>
          <w:i/>
          <w:iCs/>
        </w:rPr>
        <w:t>Howard</w:t>
      </w:r>
      <w:r w:rsidR="00FF4FD5" w:rsidRPr="00142DAE">
        <w:t xml:space="preserve">, </w:t>
      </w:r>
      <w:r w:rsidR="00FF4FD5" w:rsidRPr="00142DAE">
        <w:rPr>
          <w:i/>
          <w:iCs/>
        </w:rPr>
        <w:t>supra</w:t>
      </w:r>
      <w:r w:rsidR="00FF4FD5" w:rsidRPr="00142DAE">
        <w:t>, 50 Cal.App.5th at p. 738.)</w:t>
      </w:r>
      <w:r w:rsidR="000C611D" w:rsidRPr="00142DAE">
        <w:t xml:space="preserve">  </w:t>
      </w:r>
      <w:r w:rsidR="00782818" w:rsidRPr="00142DAE">
        <w:t xml:space="preserve">Had the Legislature intended </w:t>
      </w:r>
      <w:r w:rsidR="00B51D17" w:rsidRPr="00142DAE">
        <w:t>courts to impose the lesser degree of an underlying felony</w:t>
      </w:r>
      <w:r w:rsidR="00A617D6" w:rsidRPr="00142DAE">
        <w:t xml:space="preserve">, the court noted, </w:t>
      </w:r>
      <w:r w:rsidR="00BB7A7D" w:rsidRPr="00142DAE">
        <w:t>“</w:t>
      </w:r>
      <w:r w:rsidR="00BB7A7D">
        <w:t> </w:t>
      </w:r>
      <w:r w:rsidR="00A617D6" w:rsidRPr="00142DAE">
        <w:t xml:space="preserve">‘it </w:t>
      </w:r>
      <w:r w:rsidR="00177B4D" w:rsidRPr="00142DAE">
        <w:t xml:space="preserve">easily </w:t>
      </w:r>
      <w:r w:rsidR="00A617D6" w:rsidRPr="00142DAE">
        <w:t>could have done so.</w:t>
      </w:r>
      <w:r w:rsidR="00BB7A7D" w:rsidRPr="00142DAE">
        <w:t>’</w:t>
      </w:r>
      <w:r w:rsidR="00BB7A7D">
        <w:t> </w:t>
      </w:r>
      <w:r w:rsidR="00A617D6" w:rsidRPr="00142DAE">
        <w:t>”</w:t>
      </w:r>
      <w:r w:rsidR="00177B4D" w:rsidRPr="00142DAE">
        <w:t xml:space="preserve">  (</w:t>
      </w:r>
      <w:r w:rsidR="00177B4D" w:rsidRPr="00142DAE">
        <w:rPr>
          <w:i/>
          <w:iCs/>
        </w:rPr>
        <w:t>Ibid</w:t>
      </w:r>
      <w:r w:rsidR="00177B4D" w:rsidRPr="00142DAE">
        <w:t>.)</w:t>
      </w:r>
      <w:r w:rsidR="0057022A" w:rsidRPr="00142DAE">
        <w:t xml:space="preserve">  </w:t>
      </w:r>
      <w:r w:rsidR="00E127B4" w:rsidRPr="00142DAE">
        <w:t xml:space="preserve">The court also </w:t>
      </w:r>
      <w:r w:rsidR="00155348" w:rsidRPr="00142DAE">
        <w:t>read</w:t>
      </w:r>
      <w:r w:rsidR="00E127B4" w:rsidRPr="00142DAE">
        <w:t xml:space="preserve"> </w:t>
      </w:r>
      <w:r w:rsidR="00602EB9" w:rsidRPr="00142DAE">
        <w:t>subdivisions (d)(3) and (e) of former section 1170.</w:t>
      </w:r>
      <w:r w:rsidR="008B5202" w:rsidRPr="00142DAE">
        <w:t>95</w:t>
      </w:r>
      <w:r w:rsidR="008B5202">
        <w:t> </w:t>
      </w:r>
      <w:r w:rsidR="00D34427" w:rsidRPr="00142DAE">
        <w:t>— which, as relevant here, are substantially similar to subdivisions (d)(3) and (e) of section 1172.</w:t>
      </w:r>
      <w:r w:rsidR="008B5202" w:rsidRPr="00142DAE">
        <w:t>6</w:t>
      </w:r>
      <w:r w:rsidR="008B5202">
        <w:t> </w:t>
      </w:r>
      <w:r w:rsidR="00C31ACC" w:rsidRPr="00142DAE">
        <w:t xml:space="preserve">— </w:t>
      </w:r>
      <w:r w:rsidR="00602EB9" w:rsidRPr="00142DAE">
        <w:t xml:space="preserve">to support its </w:t>
      </w:r>
      <w:r w:rsidR="00040B7E" w:rsidRPr="00142DAE">
        <w:t xml:space="preserve">conclusion “that the Legislature intended to grant the trial court flexibility when identifying the underlying felony </w:t>
      </w:r>
      <w:r w:rsidR="00C9040A" w:rsidRPr="00142DAE">
        <w:t>for resentencing under subdivision (e).”  (</w:t>
      </w:r>
      <w:r w:rsidR="00C9040A" w:rsidRPr="00142DAE">
        <w:rPr>
          <w:i/>
          <w:iCs/>
        </w:rPr>
        <w:t>Howard</w:t>
      </w:r>
      <w:r w:rsidR="00C9040A" w:rsidRPr="00142DAE">
        <w:t>, at p. 739.)</w:t>
      </w:r>
      <w:r w:rsidR="00C31ACC" w:rsidRPr="00142DAE">
        <w:t xml:space="preserve">  </w:t>
      </w:r>
      <w:r w:rsidR="00A9263B" w:rsidRPr="00142DAE">
        <w:t xml:space="preserve">Finally, the court deemed the </w:t>
      </w:r>
      <w:r w:rsidR="00E955AC" w:rsidRPr="00142DAE">
        <w:t xml:space="preserve">redesignation </w:t>
      </w:r>
      <w:r w:rsidR="00B07C0B" w:rsidRPr="00142DAE">
        <w:t>“</w:t>
      </w:r>
      <w:r w:rsidR="00077A8E" w:rsidRPr="00142DAE">
        <w:t>consistent</w:t>
      </w:r>
      <w:r w:rsidR="00B07C0B" w:rsidRPr="00142DAE">
        <w:t>”</w:t>
      </w:r>
      <w:r w:rsidR="00077A8E" w:rsidRPr="00142DAE">
        <w:t xml:space="preserve"> with the legislative purpose to “punish a defendant according to his </w:t>
      </w:r>
      <w:r w:rsidR="002A3A34" w:rsidRPr="00142DAE">
        <w:t>‘</w:t>
      </w:r>
      <w:r w:rsidR="006805C4">
        <w:t> </w:t>
      </w:r>
      <w:r w:rsidR="002A3A34" w:rsidRPr="00142DAE">
        <w:t>“own level of individual culpability.”</w:t>
      </w:r>
      <w:r w:rsidR="006805C4">
        <w:t> </w:t>
      </w:r>
      <w:r w:rsidR="002A3A34" w:rsidRPr="00142DAE">
        <w:t>’</w:t>
      </w:r>
      <w:r w:rsidR="006805C4">
        <w:t> </w:t>
      </w:r>
      <w:r w:rsidR="002A3A34" w:rsidRPr="00142DAE">
        <w:t>”</w:t>
      </w:r>
      <w:r w:rsidR="00B07C0B" w:rsidRPr="00142DAE">
        <w:t xml:space="preserve">  (</w:t>
      </w:r>
      <w:r w:rsidRPr="00142DAE">
        <w:rPr>
          <w:i/>
          <w:iCs/>
        </w:rPr>
        <w:t>Ibid</w:t>
      </w:r>
      <w:r w:rsidRPr="00142DAE">
        <w:t>.)</w:t>
      </w:r>
    </w:p>
    <w:p w14:paraId="072549A6" w14:textId="77777777" w:rsidR="009D10CF" w:rsidRPr="00142DAE" w:rsidRDefault="00000000" w:rsidP="00AB7464">
      <w:pPr>
        <w:tabs>
          <w:tab w:val="left" w:pos="1440"/>
        </w:tabs>
        <w:ind w:firstLine="720"/>
      </w:pPr>
      <w:r w:rsidRPr="00142DAE">
        <w:t xml:space="preserve">Two Courts of Appeal </w:t>
      </w:r>
      <w:r w:rsidR="0080510C">
        <w:t xml:space="preserve">have </w:t>
      </w:r>
      <w:r w:rsidRPr="00142DAE">
        <w:t xml:space="preserve">subsequently relied on </w:t>
      </w:r>
      <w:r w:rsidR="007B4E3D" w:rsidRPr="00142DAE">
        <w:rPr>
          <w:i/>
          <w:iCs/>
        </w:rPr>
        <w:t>Howard</w:t>
      </w:r>
      <w:r w:rsidR="007B4E3D" w:rsidRPr="00142DAE">
        <w:t xml:space="preserve"> </w:t>
      </w:r>
      <w:r w:rsidR="009C126B" w:rsidRPr="00142DAE">
        <w:t xml:space="preserve">to </w:t>
      </w:r>
      <w:r w:rsidR="00440C43">
        <w:t xml:space="preserve">permit resentencing courts to </w:t>
      </w:r>
      <w:r w:rsidR="009C126B" w:rsidRPr="00142DAE">
        <w:t xml:space="preserve">redesignate the underlying felony as multiple offenses.  </w:t>
      </w:r>
      <w:bookmarkStart w:id="10" w:name="_Hlk169021443"/>
      <w:r w:rsidR="003913DC" w:rsidRPr="00142DAE">
        <w:t>(</w:t>
      </w:r>
      <w:r w:rsidR="0062188E" w:rsidRPr="00142DAE">
        <w:rPr>
          <w:i/>
          <w:iCs/>
        </w:rPr>
        <w:t>People v. Silva</w:t>
      </w:r>
      <w:r w:rsidR="0062188E" w:rsidRPr="00142DAE">
        <w:t xml:space="preserve"> (2021) 72 Cal.App.5th 505</w:t>
      </w:r>
      <w:r w:rsidR="00FD179D" w:rsidRPr="00142DAE">
        <w:t xml:space="preserve">, 515, 531 </w:t>
      </w:r>
      <w:r w:rsidR="00B10914" w:rsidRPr="00142DAE">
        <w:t>(</w:t>
      </w:r>
      <w:r w:rsidR="00B10914" w:rsidRPr="00142DAE">
        <w:rPr>
          <w:i/>
          <w:iCs/>
        </w:rPr>
        <w:t>Silva</w:t>
      </w:r>
      <w:r w:rsidR="00B10914" w:rsidRPr="00142DAE">
        <w:t>)</w:t>
      </w:r>
      <w:bookmarkEnd w:id="10"/>
      <w:r w:rsidR="00B10914" w:rsidRPr="00142DAE">
        <w:t xml:space="preserve"> </w:t>
      </w:r>
      <w:r w:rsidR="00FD179D" w:rsidRPr="00142DAE">
        <w:t>[</w:t>
      </w:r>
      <w:r w:rsidR="0062188E" w:rsidRPr="00142DAE">
        <w:t>affirm</w:t>
      </w:r>
      <w:r w:rsidR="00FD179D" w:rsidRPr="00142DAE">
        <w:t>ing</w:t>
      </w:r>
      <w:r w:rsidR="0062188E" w:rsidRPr="00142DAE">
        <w:t xml:space="preserve"> the redesignation of two counts of first degree murder as four home invasion robberies in concert (§ 213, subd. (a)(1)(A)) and one attempted home invasion robbery in concert</w:t>
      </w:r>
      <w:r w:rsidR="00843A99" w:rsidRPr="00142DAE">
        <w:t>];</w:t>
      </w:r>
      <w:r w:rsidR="0062188E" w:rsidRPr="00142DAE">
        <w:t xml:space="preserve"> </w:t>
      </w:r>
      <w:bookmarkStart w:id="11" w:name="_Hlk169021455"/>
      <w:r w:rsidR="008B305F" w:rsidRPr="00142DAE">
        <w:rPr>
          <w:i/>
          <w:iCs/>
        </w:rPr>
        <w:t>People v. Watson</w:t>
      </w:r>
      <w:r w:rsidR="009F71C1" w:rsidRPr="00142DAE">
        <w:t xml:space="preserve">, </w:t>
      </w:r>
      <w:r w:rsidR="009F71C1" w:rsidRPr="00142DAE">
        <w:rPr>
          <w:i/>
          <w:iCs/>
        </w:rPr>
        <w:t>supra</w:t>
      </w:r>
      <w:r w:rsidR="009F71C1" w:rsidRPr="00142DAE">
        <w:t xml:space="preserve">, </w:t>
      </w:r>
      <w:r w:rsidR="008E4883" w:rsidRPr="00142DAE">
        <w:t xml:space="preserve">64 Cal.App.5th </w:t>
      </w:r>
      <w:r w:rsidR="006805C4">
        <w:t>at p.</w:t>
      </w:r>
      <w:r w:rsidR="00A425E2" w:rsidRPr="00142DAE">
        <w:t xml:space="preserve"> 478</w:t>
      </w:r>
      <w:r w:rsidR="00CF5EF9" w:rsidRPr="00142DAE">
        <w:t xml:space="preserve"> </w:t>
      </w:r>
      <w:r w:rsidR="0033041F">
        <w:t>(</w:t>
      </w:r>
      <w:r w:rsidR="0033041F">
        <w:rPr>
          <w:i/>
          <w:iCs/>
        </w:rPr>
        <w:t>Watson</w:t>
      </w:r>
      <w:r w:rsidR="0033041F">
        <w:t>)</w:t>
      </w:r>
      <w:bookmarkEnd w:id="11"/>
      <w:r w:rsidR="0033041F">
        <w:t xml:space="preserve"> </w:t>
      </w:r>
      <w:r w:rsidR="00CF5EF9" w:rsidRPr="00142DAE">
        <w:t>[</w:t>
      </w:r>
      <w:r w:rsidR="00734958" w:rsidRPr="00142DAE">
        <w:t xml:space="preserve">affirming </w:t>
      </w:r>
      <w:r w:rsidR="00AC2A93" w:rsidRPr="00142DAE">
        <w:t>the</w:t>
      </w:r>
      <w:r w:rsidR="0033041F">
        <w:t xml:space="preserve"> </w:t>
      </w:r>
      <w:r w:rsidR="00CC19EA" w:rsidRPr="00142DAE">
        <w:t>redesignat</w:t>
      </w:r>
      <w:r w:rsidR="00AC2A93" w:rsidRPr="00142DAE">
        <w:t>ion</w:t>
      </w:r>
      <w:r w:rsidR="00CC19EA" w:rsidRPr="00142DAE">
        <w:t xml:space="preserve"> </w:t>
      </w:r>
      <w:r w:rsidR="00AC2A93" w:rsidRPr="00142DAE">
        <w:t xml:space="preserve">of </w:t>
      </w:r>
      <w:r w:rsidR="00140D71" w:rsidRPr="00142DAE">
        <w:t xml:space="preserve">a </w:t>
      </w:r>
      <w:r w:rsidR="007C4EAB" w:rsidRPr="00142DAE">
        <w:lastRenderedPageBreak/>
        <w:t xml:space="preserve">single </w:t>
      </w:r>
      <w:r w:rsidR="00140D71" w:rsidRPr="00142DAE">
        <w:t xml:space="preserve">murder </w:t>
      </w:r>
      <w:r w:rsidR="00620DEC" w:rsidRPr="00142DAE">
        <w:t xml:space="preserve">conviction as </w:t>
      </w:r>
      <w:r w:rsidR="00F9410B" w:rsidRPr="00142DAE">
        <w:t xml:space="preserve">first degree robbery and first degree burglary].)  </w:t>
      </w:r>
    </w:p>
    <w:p w14:paraId="072549A7" w14:textId="77777777" w:rsidR="00B87858" w:rsidRPr="00142DAE" w:rsidRDefault="00000000" w:rsidP="00AB7464">
      <w:pPr>
        <w:tabs>
          <w:tab w:val="left" w:pos="1440"/>
        </w:tabs>
        <w:ind w:firstLine="720"/>
      </w:pPr>
      <w:r w:rsidRPr="00142DAE">
        <w:t xml:space="preserve">We </w:t>
      </w:r>
      <w:r w:rsidR="00DC4A07" w:rsidRPr="00142DAE">
        <w:t xml:space="preserve">need </w:t>
      </w:r>
      <w:r w:rsidR="002D4B67" w:rsidRPr="00142DAE">
        <w:t xml:space="preserve">not decide here whether </w:t>
      </w:r>
      <w:r w:rsidR="003213E9" w:rsidRPr="00142DAE">
        <w:t xml:space="preserve">a court has discretion </w:t>
      </w:r>
      <w:r w:rsidR="004D4D14" w:rsidRPr="00142DAE">
        <w:t xml:space="preserve">under section 1172.6, subdivision (e) </w:t>
      </w:r>
      <w:r w:rsidR="003213E9" w:rsidRPr="00142DAE">
        <w:t xml:space="preserve">to redesignate </w:t>
      </w:r>
      <w:r w:rsidR="00C52D43" w:rsidRPr="00142DAE">
        <w:t>a murder conviction as multiple underlying felonies or target offenses</w:t>
      </w:r>
      <w:r w:rsidR="00690039" w:rsidRPr="00142DAE">
        <w:t xml:space="preserve"> o</w:t>
      </w:r>
      <w:r w:rsidR="00FB6CD5" w:rsidRPr="00142DAE">
        <w:t>r</w:t>
      </w:r>
      <w:r w:rsidR="00690039" w:rsidRPr="00142DAE">
        <w:t xml:space="preserve"> whether a court </w:t>
      </w:r>
      <w:r w:rsidR="00D64951" w:rsidRPr="00142DAE">
        <w:t>must redesignate an underlying offense in any particular degree.  Th</w:t>
      </w:r>
      <w:r w:rsidR="0079275F" w:rsidRPr="00142DAE">
        <w:t>ose</w:t>
      </w:r>
      <w:r w:rsidR="00D64951" w:rsidRPr="00142DAE">
        <w:t xml:space="preserve"> question</w:t>
      </w:r>
      <w:r w:rsidR="0079275F" w:rsidRPr="00142DAE">
        <w:t>s</w:t>
      </w:r>
      <w:r w:rsidR="00D64951" w:rsidRPr="00142DAE">
        <w:t xml:space="preserve"> </w:t>
      </w:r>
      <w:r w:rsidR="0079275F" w:rsidRPr="00142DAE">
        <w:t>are</w:t>
      </w:r>
      <w:r w:rsidR="00D64951" w:rsidRPr="00142DAE">
        <w:t xml:space="preserve"> not before us.  </w:t>
      </w:r>
      <w:r w:rsidR="004D4D14" w:rsidRPr="00142DAE">
        <w:t xml:space="preserve">But even assuming that courts </w:t>
      </w:r>
      <w:r w:rsidR="003821CB" w:rsidRPr="00142DAE">
        <w:t xml:space="preserve">must </w:t>
      </w:r>
      <w:r w:rsidR="004D4D14" w:rsidRPr="00142DAE">
        <w:t xml:space="preserve">have </w:t>
      </w:r>
      <w:r w:rsidR="003821CB" w:rsidRPr="00142DAE">
        <w:t>“flexibility” (</w:t>
      </w:r>
      <w:r w:rsidR="00750561" w:rsidRPr="00142DAE">
        <w:rPr>
          <w:i/>
          <w:iCs/>
        </w:rPr>
        <w:t>Watson</w:t>
      </w:r>
      <w:r w:rsidR="00750561" w:rsidRPr="00142DAE">
        <w:t xml:space="preserve">, </w:t>
      </w:r>
      <w:r w:rsidR="00750561" w:rsidRPr="00142DAE">
        <w:rPr>
          <w:i/>
          <w:iCs/>
        </w:rPr>
        <w:t>supra</w:t>
      </w:r>
      <w:r w:rsidR="00750561" w:rsidRPr="00142DAE">
        <w:t xml:space="preserve">, 64 Cal.App.5th at p. 488; </w:t>
      </w:r>
      <w:r w:rsidR="007E5AE2">
        <w:t xml:space="preserve">see </w:t>
      </w:r>
      <w:r w:rsidR="00750561" w:rsidRPr="00142DAE">
        <w:rPr>
          <w:i/>
          <w:iCs/>
        </w:rPr>
        <w:t>Howard</w:t>
      </w:r>
      <w:r w:rsidR="00750561" w:rsidRPr="00142DAE">
        <w:t xml:space="preserve">, </w:t>
      </w:r>
      <w:r w:rsidR="00750561" w:rsidRPr="00142DAE">
        <w:rPr>
          <w:i/>
          <w:iCs/>
        </w:rPr>
        <w:t>supra</w:t>
      </w:r>
      <w:r w:rsidR="00750561" w:rsidRPr="00142DAE">
        <w:t xml:space="preserve">, 50 Cal.App.5th </w:t>
      </w:r>
      <w:r w:rsidR="00115C3C" w:rsidRPr="00142DAE">
        <w:t>at p. 739</w:t>
      </w:r>
      <w:r w:rsidR="007E5AE2">
        <w:t xml:space="preserve"> [same]</w:t>
      </w:r>
      <w:r w:rsidR="00115C3C" w:rsidRPr="00142DAE">
        <w:t xml:space="preserve">) </w:t>
      </w:r>
      <w:r w:rsidR="006C5B27" w:rsidRPr="00142DAE">
        <w:t>and “discretion” (</w:t>
      </w:r>
      <w:r w:rsidR="006C5B27" w:rsidRPr="00142DAE">
        <w:rPr>
          <w:i/>
          <w:iCs/>
        </w:rPr>
        <w:t>Silva</w:t>
      </w:r>
      <w:r w:rsidR="006C5B27" w:rsidRPr="00142DAE">
        <w:t xml:space="preserve">, </w:t>
      </w:r>
      <w:r w:rsidR="006C5B27" w:rsidRPr="00142DAE">
        <w:rPr>
          <w:i/>
          <w:iCs/>
        </w:rPr>
        <w:t>supra</w:t>
      </w:r>
      <w:r w:rsidR="006C5B27" w:rsidRPr="00142DAE">
        <w:t>, 72 Cal.App.5th at p. 532)</w:t>
      </w:r>
      <w:r w:rsidR="00FB6CD5" w:rsidRPr="00142DAE">
        <w:t xml:space="preserve"> in redesignating the </w:t>
      </w:r>
      <w:r w:rsidR="001B7EDE" w:rsidRPr="00142DAE">
        <w:t xml:space="preserve">underlying felony or target </w:t>
      </w:r>
      <w:r w:rsidR="00FB6CD5" w:rsidRPr="00142DAE">
        <w:t>offense,</w:t>
      </w:r>
      <w:r w:rsidR="001B7EDE" w:rsidRPr="00142DAE">
        <w:t xml:space="preserve"> </w:t>
      </w:r>
      <w:r w:rsidR="009C5666" w:rsidRPr="00142DAE">
        <w:t xml:space="preserve">it does not follow that courts </w:t>
      </w:r>
      <w:r w:rsidR="00E57F93" w:rsidRPr="00142DAE">
        <w:t>have the separate authority t</w:t>
      </w:r>
      <w:r w:rsidR="009C5666" w:rsidRPr="00142DAE">
        <w:t xml:space="preserve">o search out and impose </w:t>
      </w:r>
      <w:r w:rsidR="00F26E3C" w:rsidRPr="00142DAE">
        <w:t xml:space="preserve">sentence </w:t>
      </w:r>
      <w:r w:rsidR="00015C9D" w:rsidRPr="00142DAE">
        <w:t>allegations and enhancements</w:t>
      </w:r>
      <w:r w:rsidR="00BD4F09" w:rsidRPr="00142DAE">
        <w:t xml:space="preserve"> that were not charged and proven</w:t>
      </w:r>
      <w:r w:rsidR="00DB69D1" w:rsidRPr="00142DAE">
        <w:t xml:space="preserve"> at trial</w:t>
      </w:r>
      <w:r w:rsidR="00015C9D" w:rsidRPr="00142DAE">
        <w:t xml:space="preserve">.  </w:t>
      </w:r>
    </w:p>
    <w:p w14:paraId="072549A8" w14:textId="77777777" w:rsidR="00DE1303" w:rsidRPr="00142DAE" w:rsidRDefault="00000000" w:rsidP="00AB7464">
      <w:pPr>
        <w:tabs>
          <w:tab w:val="left" w:pos="1440"/>
        </w:tabs>
        <w:ind w:firstLine="720"/>
      </w:pPr>
      <w:r w:rsidRPr="00142DAE">
        <w:t>Under section 1172.6, a</w:t>
      </w:r>
      <w:r w:rsidR="00AD1DBC" w:rsidRPr="00142DAE">
        <w:t xml:space="preserve">n underlying felony or target offense is </w:t>
      </w:r>
      <w:r w:rsidRPr="00142DAE">
        <w:t>fundamentally distinct from a sentence enhancement o</w:t>
      </w:r>
      <w:r w:rsidR="00F340B5" w:rsidRPr="00142DAE">
        <w:t>r</w:t>
      </w:r>
      <w:r w:rsidRPr="00142DAE">
        <w:t xml:space="preserve"> allegation.  </w:t>
      </w:r>
      <w:r w:rsidR="00A96A46" w:rsidRPr="00142DAE">
        <w:t xml:space="preserve">(See </w:t>
      </w:r>
      <w:r w:rsidR="00A96A46" w:rsidRPr="00142DAE">
        <w:rPr>
          <w:i/>
          <w:iCs/>
        </w:rPr>
        <w:t xml:space="preserve">People v. Superior Court </w:t>
      </w:r>
      <w:r w:rsidR="003F4F27">
        <w:t>(</w:t>
      </w:r>
      <w:r w:rsidR="00A96A46" w:rsidRPr="003F4F27">
        <w:rPr>
          <w:i/>
          <w:iCs/>
        </w:rPr>
        <w:t>Mendella</w:t>
      </w:r>
      <w:r w:rsidR="003F4F27">
        <w:t>)</w:t>
      </w:r>
      <w:r w:rsidR="007C1530" w:rsidRPr="00142DAE">
        <w:t xml:space="preserve">, </w:t>
      </w:r>
      <w:r w:rsidR="007C1530" w:rsidRPr="00142DAE">
        <w:rPr>
          <w:i/>
          <w:iCs/>
        </w:rPr>
        <w:t>supra</w:t>
      </w:r>
      <w:r w:rsidR="007C1530" w:rsidRPr="00142DAE">
        <w:t xml:space="preserve">, </w:t>
      </w:r>
      <w:r w:rsidR="00A96A46" w:rsidRPr="00142DAE">
        <w:t xml:space="preserve">33 Cal.3d </w:t>
      </w:r>
      <w:r w:rsidR="007C1530" w:rsidRPr="00142DAE">
        <w:t>at p.</w:t>
      </w:r>
      <w:r w:rsidR="00A96A46" w:rsidRPr="00142DAE">
        <w:t xml:space="preserve"> 758.)  </w:t>
      </w:r>
      <w:r w:rsidR="00AF496C">
        <w:t>T</w:t>
      </w:r>
      <w:r w:rsidR="000F009B" w:rsidRPr="00142DAE">
        <w:t xml:space="preserve">he </w:t>
      </w:r>
      <w:r w:rsidR="006D059C" w:rsidRPr="00142DAE">
        <w:t xml:space="preserve">existence of an underlying felony or target offense is an essential predicate to any successful </w:t>
      </w:r>
      <w:r w:rsidR="00EE52EB" w:rsidRPr="00142DAE">
        <w:t xml:space="preserve">resentencing petition under section 1172.6.  </w:t>
      </w:r>
      <w:r w:rsidR="0096083C" w:rsidRPr="00142DAE">
        <w:t>Under the statute, a</w:t>
      </w:r>
      <w:r w:rsidR="00EC190B" w:rsidRPr="00142DAE">
        <w:t xml:space="preserve"> petitioner may obtain relief only when </w:t>
      </w:r>
      <w:r w:rsidR="0060629C" w:rsidRPr="00142DAE">
        <w:t xml:space="preserve">“all of the following conditions apply”:  (1) the prosecution was allowed to proceed under a theory </w:t>
      </w:r>
      <w:r w:rsidR="00E23223" w:rsidRPr="00142DAE">
        <w:t xml:space="preserve">of </w:t>
      </w:r>
      <w:r w:rsidR="009C20AD" w:rsidRPr="00142DAE">
        <w:rPr>
          <w:i/>
          <w:iCs/>
        </w:rPr>
        <w:t>felony murder</w:t>
      </w:r>
      <w:r w:rsidR="009C20AD" w:rsidRPr="00142DAE">
        <w:t xml:space="preserve">, murder under </w:t>
      </w:r>
      <w:r w:rsidR="009C20AD" w:rsidRPr="00142DAE">
        <w:rPr>
          <w:i/>
          <w:iCs/>
        </w:rPr>
        <w:t>the natural and probable consequences doctrine</w:t>
      </w:r>
      <w:r w:rsidR="009C20AD" w:rsidRPr="00142DAE">
        <w:t xml:space="preserve">, or another theory “under which malice is imputed to a person based </w:t>
      </w:r>
      <w:r w:rsidR="009C20AD" w:rsidRPr="00142DAE">
        <w:rPr>
          <w:i/>
          <w:iCs/>
        </w:rPr>
        <w:t xml:space="preserve">solely on that person’s participation </w:t>
      </w:r>
      <w:r w:rsidR="00AD3898" w:rsidRPr="00142DAE">
        <w:rPr>
          <w:i/>
          <w:iCs/>
        </w:rPr>
        <w:t>in a crime</w:t>
      </w:r>
      <w:r w:rsidR="00AD3898" w:rsidRPr="00142DAE">
        <w:t xml:space="preserve">”; (2) </w:t>
      </w:r>
      <w:r w:rsidR="00C548AC" w:rsidRPr="00142DAE">
        <w:t>the petitioner was convicted</w:t>
      </w:r>
      <w:r w:rsidR="00E368A9" w:rsidRPr="00142DAE">
        <w:t xml:space="preserve"> of </w:t>
      </w:r>
      <w:r w:rsidR="00630C6A" w:rsidRPr="00142DAE">
        <w:t>murder; and (3)</w:t>
      </w:r>
      <w:r w:rsidR="0096083C" w:rsidRPr="00142DAE">
        <w:t xml:space="preserve"> </w:t>
      </w:r>
      <w:r w:rsidR="007F3A1D" w:rsidRPr="00142DAE">
        <w:t xml:space="preserve">the petitioner could not be convicted of murder under </w:t>
      </w:r>
      <w:r w:rsidR="004F4E85" w:rsidRPr="00142DAE">
        <w:t>sections 188 or 189 as amended by Senate Bill No. 1437.  (</w:t>
      </w:r>
      <w:r w:rsidR="006E4E41" w:rsidRPr="00142DAE">
        <w:t>§ 1172.6, subd. (a)(1)–(3)</w:t>
      </w:r>
      <w:r w:rsidR="000534A9" w:rsidRPr="00142DAE">
        <w:t>, italics added</w:t>
      </w:r>
      <w:r w:rsidR="006E4E41" w:rsidRPr="00142DAE">
        <w:t>.)</w:t>
      </w:r>
      <w:r w:rsidR="009B0E58" w:rsidRPr="00142DAE">
        <w:t xml:space="preserve">  </w:t>
      </w:r>
      <w:r w:rsidR="00F71A33" w:rsidRPr="00142DAE">
        <w:t xml:space="preserve">Where, as here, the murder was charged </w:t>
      </w:r>
      <w:r w:rsidR="00CB0B9A" w:rsidRPr="00142DAE">
        <w:t>generically</w:t>
      </w:r>
      <w:r w:rsidR="00CB0B9A">
        <w:t> </w:t>
      </w:r>
      <w:r w:rsidR="00F71A33" w:rsidRPr="00142DAE">
        <w:t xml:space="preserve">— and the target offense or </w:t>
      </w:r>
      <w:r w:rsidR="00F71A33" w:rsidRPr="00142DAE">
        <w:lastRenderedPageBreak/>
        <w:t>underlying felony was not charged</w:t>
      </w:r>
      <w:r>
        <w:rPr>
          <w:rStyle w:val="FootnoteReference"/>
        </w:rPr>
        <w:footnoteReference w:id="6"/>
      </w:r>
      <w:r w:rsidR="00F70B26">
        <w:t> </w:t>
      </w:r>
      <w:r w:rsidR="00F71A33" w:rsidRPr="00142DAE">
        <w:t xml:space="preserve">— </w:t>
      </w:r>
      <w:r w:rsidR="000509F0" w:rsidRPr="00142DAE">
        <w:t xml:space="preserve">the murder shall be redesignated </w:t>
      </w:r>
      <w:r w:rsidR="00CB7B26" w:rsidRPr="00142DAE">
        <w:t>“as the target offense or underlying felony for resentencing purposes</w:t>
      </w:r>
      <w:r w:rsidR="007B583D" w:rsidRPr="00142DAE">
        <w:t>.”  (</w:t>
      </w:r>
      <w:r w:rsidR="002161E1" w:rsidRPr="00142DAE">
        <w:t>§ 1172.6</w:t>
      </w:r>
      <w:r w:rsidR="007B583D" w:rsidRPr="00142DAE">
        <w:t xml:space="preserve">, subd. (e).)  </w:t>
      </w:r>
      <w:r w:rsidR="008A2FFD" w:rsidRPr="00142DAE">
        <w:t>Consequently, t</w:t>
      </w:r>
      <w:r w:rsidR="007C02A8" w:rsidRPr="00142DAE">
        <w:t>he “target offense or underlying felony</w:t>
      </w:r>
      <w:r w:rsidR="008E07E4" w:rsidRPr="00142DAE">
        <w:t xml:space="preserve">” </w:t>
      </w:r>
      <w:r w:rsidR="002D3AFC" w:rsidRPr="00142DAE">
        <w:t>under section 117</w:t>
      </w:r>
      <w:r w:rsidR="00A06640" w:rsidRPr="00142DAE">
        <w:t>2</w:t>
      </w:r>
      <w:r w:rsidR="002D3AFC" w:rsidRPr="00142DAE">
        <w:t>.</w:t>
      </w:r>
      <w:r w:rsidR="00A06640" w:rsidRPr="00142DAE">
        <w:t>6</w:t>
      </w:r>
      <w:r w:rsidR="002D3AFC" w:rsidRPr="00142DAE">
        <w:t xml:space="preserve">, subdivision (e) </w:t>
      </w:r>
      <w:r w:rsidR="008E07E4" w:rsidRPr="00142DAE">
        <w:t xml:space="preserve">is </w:t>
      </w:r>
      <w:r w:rsidR="000C174F" w:rsidRPr="00142DAE">
        <w:t xml:space="preserve">the </w:t>
      </w:r>
      <w:r w:rsidR="00F95B8F" w:rsidRPr="00142DAE">
        <w:t xml:space="preserve">offense or felony </w:t>
      </w:r>
      <w:r w:rsidR="000C174F" w:rsidRPr="00142DAE">
        <w:t xml:space="preserve">that </w:t>
      </w:r>
      <w:r w:rsidR="001B69B4" w:rsidRPr="00142DAE">
        <w:t>was the predicate for relief in the first place</w:t>
      </w:r>
      <w:r w:rsidR="006805C4">
        <w:t> </w:t>
      </w:r>
      <w:r w:rsidR="00B973C8" w:rsidRPr="00142DAE">
        <w:t xml:space="preserve">— i.e., the offense or felony that </w:t>
      </w:r>
      <w:r w:rsidR="000C174F" w:rsidRPr="00142DAE">
        <w:t xml:space="preserve">supported </w:t>
      </w:r>
      <w:r w:rsidR="00B160BC" w:rsidRPr="00142DAE">
        <w:t xml:space="preserve">the prosecution’s theory of felony murder, murder under the natural </w:t>
      </w:r>
      <w:r w:rsidR="005C4E9F" w:rsidRPr="00142DAE">
        <w:t>and probable consequences doctrine, or any other theory in which malice is imputed based solely on that person’s participation in a</w:t>
      </w:r>
      <w:r w:rsidR="009F6997" w:rsidRPr="00142DAE">
        <w:t xml:space="preserve"> crime</w:t>
      </w:r>
      <w:r w:rsidR="000E1176" w:rsidRPr="00142DAE">
        <w:t>.</w:t>
      </w:r>
      <w:r w:rsidR="00C075A8" w:rsidRPr="00142DAE">
        <w:t xml:space="preserve">  (See</w:t>
      </w:r>
      <w:r w:rsidR="00D3302E" w:rsidRPr="00142DAE">
        <w:t xml:space="preserve"> §</w:t>
      </w:r>
      <w:r w:rsidR="005E4BBB" w:rsidRPr="00142DAE">
        <w:t> </w:t>
      </w:r>
      <w:r w:rsidR="00D3302E" w:rsidRPr="00142DAE">
        <w:t>1172.6, subd. (a)(1)</w:t>
      </w:r>
      <w:r w:rsidR="005E4BBB" w:rsidRPr="00142DAE">
        <w:t>;</w:t>
      </w:r>
      <w:r w:rsidR="00C075A8" w:rsidRPr="00142DAE">
        <w:t xml:space="preserve"> </w:t>
      </w:r>
      <w:r w:rsidR="00C075A8" w:rsidRPr="00142DAE">
        <w:rPr>
          <w:i/>
          <w:iCs/>
        </w:rPr>
        <w:t>Fouse</w:t>
      </w:r>
      <w:r w:rsidR="00C075A8" w:rsidRPr="00142DAE">
        <w:t xml:space="preserve">, </w:t>
      </w:r>
      <w:r w:rsidR="00E32990" w:rsidRPr="00142DAE">
        <w:rPr>
          <w:i/>
          <w:iCs/>
        </w:rPr>
        <w:t>supra</w:t>
      </w:r>
      <w:r w:rsidR="00E32990" w:rsidRPr="00142DAE">
        <w:t xml:space="preserve">, 98 Cal.App.5th at p. </w:t>
      </w:r>
      <w:r w:rsidR="007B49DE" w:rsidRPr="00142DAE">
        <w:t xml:space="preserve">1144 [“courts have interpreted this phrase to mean ‘the “offense” upon which liability was based for either the natural and probable consequences doctrine or the felony-murder </w:t>
      </w:r>
      <w:r w:rsidR="00DA44BA" w:rsidRPr="00142DAE">
        <w:t>rule’</w:t>
      </w:r>
      <w:r w:rsidR="00DA44BA">
        <w:t> </w:t>
      </w:r>
      <w:r w:rsidR="007B49DE" w:rsidRPr="00142DAE">
        <w:t>”</w:t>
      </w:r>
      <w:r w:rsidR="00106435" w:rsidRPr="00142DAE">
        <w:t>].)</w:t>
      </w:r>
    </w:p>
    <w:p w14:paraId="072549A9" w14:textId="77777777" w:rsidR="00C25EDD" w:rsidRPr="00142DAE" w:rsidRDefault="00000000" w:rsidP="00AB7464">
      <w:pPr>
        <w:tabs>
          <w:tab w:val="left" w:pos="1440"/>
        </w:tabs>
        <w:ind w:firstLine="720"/>
      </w:pPr>
      <w:r w:rsidRPr="00142DAE">
        <w:t>Neither sentence e</w:t>
      </w:r>
      <w:r w:rsidR="002A5B8C" w:rsidRPr="00142DAE">
        <w:t>nhancement</w:t>
      </w:r>
      <w:r w:rsidR="00087BF3" w:rsidRPr="00142DAE">
        <w:t>s</w:t>
      </w:r>
      <w:r w:rsidR="002A5B8C" w:rsidRPr="00142DAE">
        <w:t xml:space="preserve"> </w:t>
      </w:r>
      <w:r w:rsidRPr="00142DAE">
        <w:t xml:space="preserve">nor </w:t>
      </w:r>
      <w:r w:rsidR="002A5B8C" w:rsidRPr="00142DAE">
        <w:t>allegations</w:t>
      </w:r>
      <w:r w:rsidR="00A51A8B" w:rsidRPr="00142DAE">
        <w:t xml:space="preserve">, on the other hand, </w:t>
      </w:r>
      <w:r w:rsidRPr="00142DAE">
        <w:t xml:space="preserve">form </w:t>
      </w:r>
      <w:r w:rsidR="00572EA0" w:rsidRPr="00142DAE">
        <w:t>any part of the essential predicate for relief</w:t>
      </w:r>
      <w:r w:rsidR="00A742C3" w:rsidRPr="00142DAE">
        <w:t xml:space="preserve"> under section 1172.6</w:t>
      </w:r>
      <w:r w:rsidR="00572EA0" w:rsidRPr="00142DAE">
        <w:t>.</w:t>
      </w:r>
      <w:r w:rsidR="003F5C9D" w:rsidRPr="00142DAE">
        <w:t xml:space="preserve">  A successful petitioner at no point needs to </w:t>
      </w:r>
      <w:r w:rsidR="003F4654" w:rsidRPr="00142DAE">
        <w:t xml:space="preserve">demonstrate </w:t>
      </w:r>
      <w:r w:rsidR="00B81ED8" w:rsidRPr="00142DAE">
        <w:t xml:space="preserve">that </w:t>
      </w:r>
      <w:r w:rsidR="006824BB" w:rsidRPr="00142DAE">
        <w:t xml:space="preserve">the prosecution was “allowed </w:t>
      </w:r>
      <w:r w:rsidR="00BC192A" w:rsidRPr="00142DAE">
        <w:t>.</w:t>
      </w:r>
      <w:r w:rsidR="00BC192A">
        <w:t> </w:t>
      </w:r>
      <w:r w:rsidR="00BC192A" w:rsidRPr="00142DAE">
        <w:t>.</w:t>
      </w:r>
      <w:r w:rsidR="00BC192A">
        <w:t> </w:t>
      </w:r>
      <w:r w:rsidR="006824BB" w:rsidRPr="00142DAE">
        <w:t xml:space="preserve">. to proceed under a theory” that one or more enhancements or allegations were </w:t>
      </w:r>
      <w:r w:rsidR="00882DEA" w:rsidRPr="00142DAE">
        <w:t xml:space="preserve">true.  </w:t>
      </w:r>
      <w:r w:rsidR="00186550" w:rsidRPr="00142DAE">
        <w:t>(</w:t>
      </w:r>
      <w:r w:rsidR="00A742C3" w:rsidRPr="00142DAE">
        <w:t>§</w:t>
      </w:r>
      <w:r w:rsidR="00186550" w:rsidRPr="00142DAE">
        <w:t xml:space="preserve"> 1172.6, subd. (a)(1).)</w:t>
      </w:r>
      <w:r w:rsidR="00014A80" w:rsidRPr="00142DAE">
        <w:t xml:space="preserve">  </w:t>
      </w:r>
      <w:r w:rsidR="00AE146B" w:rsidRPr="00142DAE">
        <w:t>Imposing a</w:t>
      </w:r>
      <w:r w:rsidR="00014A80" w:rsidRPr="00142DAE">
        <w:t xml:space="preserve">n uncharged </w:t>
      </w:r>
      <w:r w:rsidR="00DB69D1" w:rsidRPr="00142DAE">
        <w:t xml:space="preserve">and unproven </w:t>
      </w:r>
      <w:r w:rsidR="00014A80" w:rsidRPr="00142DAE">
        <w:t xml:space="preserve">enhancement or allegation, unlike a target offense or </w:t>
      </w:r>
      <w:r w:rsidR="00014A80" w:rsidRPr="00142DAE">
        <w:lastRenderedPageBreak/>
        <w:t xml:space="preserve">underlying felony, </w:t>
      </w:r>
      <w:r w:rsidR="00C22A6E" w:rsidRPr="00142DAE">
        <w:t xml:space="preserve">would </w:t>
      </w:r>
      <w:r w:rsidR="005B40FD" w:rsidRPr="00142DAE">
        <w:t xml:space="preserve">therefore </w:t>
      </w:r>
      <w:r w:rsidR="00C22A6E" w:rsidRPr="00142DAE">
        <w:t>more closely resemble a new prosecution, not a resentencing proceeding.</w:t>
      </w:r>
      <w:r w:rsidR="005B40FD" w:rsidRPr="00142DAE">
        <w:t xml:space="preserve">  (</w:t>
      </w:r>
      <w:r w:rsidR="004243A7" w:rsidRPr="00142DAE">
        <w:t>Cf.</w:t>
      </w:r>
      <w:r w:rsidR="005B40FD" w:rsidRPr="00142DAE">
        <w:t xml:space="preserve"> </w:t>
      </w:r>
      <w:r w:rsidR="005B40FD" w:rsidRPr="00142DAE">
        <w:rPr>
          <w:i/>
          <w:iCs/>
        </w:rPr>
        <w:t>Estrada v. Superior Court</w:t>
      </w:r>
      <w:r w:rsidR="005B40FD" w:rsidRPr="00142DAE">
        <w:t xml:space="preserve"> </w:t>
      </w:r>
      <w:r w:rsidR="00FF2133" w:rsidRPr="00142DAE">
        <w:t xml:space="preserve">(2023) 93 Cal.App.5th </w:t>
      </w:r>
      <w:r w:rsidR="006B6EFF" w:rsidRPr="00142DAE">
        <w:t>915, 925.)</w:t>
      </w:r>
      <w:r w:rsidR="00AF496C">
        <w:t xml:space="preserve">  We disagree with the Attorney General that section 1172.6 resentencing proceedings were intended to reopen the prosecution’s charging decisions to this extent.</w:t>
      </w:r>
      <w:r w:rsidR="00E72BEA">
        <w:t xml:space="preserve">  Moreover, it is difficult to reconcile the imposition of uncharged and unproven enhancements at a section 1172.6 resentencing proceeding with the requirement under section 1170.1, subdivision (e) that “[a]ll enhancements shall be alleged in the accusatory pleading and either admitted by the defendant in open court or found to be true by the trier of fact.”</w:t>
      </w:r>
    </w:p>
    <w:p w14:paraId="072549AA" w14:textId="77777777" w:rsidR="00962FDD" w:rsidRPr="00142DAE" w:rsidRDefault="00000000" w:rsidP="00AB7464">
      <w:pPr>
        <w:tabs>
          <w:tab w:val="left" w:pos="1440"/>
        </w:tabs>
        <w:ind w:firstLine="720"/>
      </w:pPr>
      <w:r>
        <w:t xml:space="preserve">Arellano </w:t>
      </w:r>
      <w:r w:rsidR="000D36A2">
        <w:t xml:space="preserve">further </w:t>
      </w:r>
      <w:r>
        <w:t xml:space="preserve">warns that reopening the charging decisions for sentencing enhancements and allegations would work much mischief because of the sheer number of such provisions in the Penal Code.  </w:t>
      </w:r>
      <w:r w:rsidR="00FA0B17">
        <w:t>According to t</w:t>
      </w:r>
      <w:r w:rsidR="00416D9C" w:rsidRPr="00142DAE">
        <w:t xml:space="preserve">he Office of the State Public Defender, appearing as amicus curiae, </w:t>
      </w:r>
      <w:r w:rsidR="00AC7C76" w:rsidRPr="00142DAE">
        <w:t xml:space="preserve">California law includes </w:t>
      </w:r>
      <w:r w:rsidR="00AC7C76" w:rsidRPr="00142DAE">
        <w:rPr>
          <w:i/>
          <w:iCs/>
        </w:rPr>
        <w:t>over 100</w:t>
      </w:r>
      <w:r w:rsidR="00AC7C76" w:rsidRPr="00142DAE">
        <w:t xml:space="preserve"> unique sentencing enhancements.</w:t>
      </w:r>
      <w:r w:rsidR="000C66EC" w:rsidRPr="00142DAE">
        <w:t xml:space="preserve">  </w:t>
      </w:r>
      <w:r w:rsidR="00FA0B17">
        <w:t>The Attorney General</w:t>
      </w:r>
      <w:r w:rsidR="00090E8B">
        <w:t xml:space="preserve"> responds </w:t>
      </w:r>
      <w:r w:rsidR="00FA0B17">
        <w:t xml:space="preserve">that the universe of possible sentencing enhancements and allegations is more limited.  In his view, expressed for the first time at oral argument, resentencing under section 1172.6, subdivision (e) permits only </w:t>
      </w:r>
      <w:r w:rsidR="00A13AE1">
        <w:t xml:space="preserve">those uncharged and unproven </w:t>
      </w:r>
      <w:r w:rsidR="00FA0B17">
        <w:t>enhancements and allegations that are offense-specific, and not those that are offender-specific.</w:t>
      </w:r>
      <w:r w:rsidR="00F917C2">
        <w:t xml:space="preserve">  </w:t>
      </w:r>
      <w:r w:rsidR="00E22972">
        <w:t xml:space="preserve">Notably, </w:t>
      </w:r>
      <w:r w:rsidR="002E7E62">
        <w:t xml:space="preserve">he does not identify </w:t>
      </w:r>
      <w:r w:rsidR="00CA08F2">
        <w:t xml:space="preserve">a textual </w:t>
      </w:r>
      <w:r w:rsidR="00D72734">
        <w:t>basis for the distinction</w:t>
      </w:r>
      <w:r w:rsidR="00CA08F2">
        <w:t xml:space="preserve">, given that an enhancement or an allegation is neither an “offense” </w:t>
      </w:r>
      <w:r w:rsidR="00E22972">
        <w:t>n</w:t>
      </w:r>
      <w:r w:rsidR="00CA08F2">
        <w:t xml:space="preserve">or a “felony” under section 1172.6, subdivision (e).  </w:t>
      </w:r>
      <w:r w:rsidR="002B54EE">
        <w:t>(</w:t>
      </w:r>
      <w:r w:rsidR="00A373C7">
        <w:t xml:space="preserve">See </w:t>
      </w:r>
      <w:r w:rsidR="00A373C7">
        <w:rPr>
          <w:i/>
          <w:iCs/>
        </w:rPr>
        <w:t>People v. Dennis</w:t>
      </w:r>
      <w:r w:rsidR="00A373C7">
        <w:t xml:space="preserve"> (1998) 17 Cal.4th 468, 500 [“ ‘sentence enhancements are not “equivalent” to, nor do they “function” as, substantive offenses’ ”]</w:t>
      </w:r>
      <w:r w:rsidR="002B54EE">
        <w:t>.)</w:t>
      </w:r>
      <w:r w:rsidR="00E22972">
        <w:t xml:space="preserve">  In any event, the number of offense-specific enhancement</w:t>
      </w:r>
      <w:r w:rsidR="004841C5">
        <w:t xml:space="preserve">s and allegations is still substantial, and </w:t>
      </w:r>
      <w:r w:rsidR="004841C5">
        <w:lastRenderedPageBreak/>
        <w:t>so is their potential effect.</w:t>
      </w:r>
      <w:r w:rsidR="00FA0B17">
        <w:t xml:space="preserve">  </w:t>
      </w:r>
      <w:r w:rsidR="00F82092" w:rsidRPr="00142DAE">
        <w:t xml:space="preserve">Firearm enhancements alone range from one year (see, e.g., </w:t>
      </w:r>
      <w:r w:rsidR="00A21422" w:rsidRPr="00142DAE">
        <w:t>§</w:t>
      </w:r>
      <w:r w:rsidR="004841C5">
        <w:t> </w:t>
      </w:r>
      <w:r w:rsidR="00A21422" w:rsidRPr="00142DAE">
        <w:t>12022</w:t>
      </w:r>
      <w:r w:rsidR="00FF1481" w:rsidRPr="00142DAE">
        <w:t xml:space="preserve">, subd. (a)) </w:t>
      </w:r>
      <w:r w:rsidR="00FE6810" w:rsidRPr="00142DAE">
        <w:t xml:space="preserve">up </w:t>
      </w:r>
      <w:r w:rsidR="00171A9F" w:rsidRPr="00142DAE">
        <w:t>to</w:t>
      </w:r>
      <w:r w:rsidR="00FE6810" w:rsidRPr="00142DAE">
        <w:t xml:space="preserve"> 25 years to life </w:t>
      </w:r>
      <w:r w:rsidR="007977DD" w:rsidRPr="00142DAE">
        <w:t>(</w:t>
      </w:r>
      <w:r w:rsidR="00FA02A0" w:rsidRPr="00142DAE">
        <w:t xml:space="preserve">see, e.g., </w:t>
      </w:r>
      <w:r w:rsidR="007977DD" w:rsidRPr="00142DAE">
        <w:t>§ 12022.53, subd. (d)</w:t>
      </w:r>
      <w:r w:rsidR="00660D91" w:rsidRPr="00142DAE">
        <w:t>)</w:t>
      </w:r>
      <w:r w:rsidR="00DF35D9">
        <w:t>.</w:t>
      </w:r>
      <w:r w:rsidR="00660D91" w:rsidRPr="00142DAE">
        <w:t xml:space="preserve">  </w:t>
      </w:r>
      <w:r w:rsidR="00230850" w:rsidRPr="00142DAE">
        <w:t>The felon</w:t>
      </w:r>
      <w:r w:rsidR="0047129A" w:rsidRPr="00142DAE">
        <w:t>ies</w:t>
      </w:r>
      <w:r w:rsidR="00230850" w:rsidRPr="00142DAE">
        <w:t xml:space="preserve"> </w:t>
      </w:r>
      <w:r w:rsidR="0047129A" w:rsidRPr="00142DAE">
        <w:t>that can support a felony murder, on the other hand,</w:t>
      </w:r>
      <w:r w:rsidR="00710CD6" w:rsidRPr="00142DAE">
        <w:t xml:space="preserve"> are limited to those that are inherently dangerous.  </w:t>
      </w:r>
      <w:r w:rsidR="00537BDC" w:rsidRPr="00142DAE">
        <w:t>(</w:t>
      </w:r>
      <w:r w:rsidR="00537BDC" w:rsidRPr="00142DAE">
        <w:rPr>
          <w:i/>
          <w:iCs/>
        </w:rPr>
        <w:t>People v. Powell</w:t>
      </w:r>
      <w:r w:rsidR="00537BDC" w:rsidRPr="00142DAE">
        <w:t xml:space="preserve"> (2018) 5 Cal.5th 921,</w:t>
      </w:r>
      <w:r w:rsidR="00150484" w:rsidRPr="00142DAE">
        <w:t xml:space="preserve"> </w:t>
      </w:r>
      <w:r w:rsidR="00CD6BE7" w:rsidRPr="00142DAE">
        <w:t xml:space="preserve">942.)  </w:t>
      </w:r>
    </w:p>
    <w:p w14:paraId="072549AB" w14:textId="77777777" w:rsidR="00305239" w:rsidRPr="00142DAE" w:rsidRDefault="00000000" w:rsidP="00AB7464">
      <w:pPr>
        <w:tabs>
          <w:tab w:val="left" w:pos="1440"/>
        </w:tabs>
        <w:ind w:firstLine="720"/>
      </w:pPr>
      <w:r w:rsidRPr="00142DAE">
        <w:t>W</w:t>
      </w:r>
      <w:r w:rsidR="00D9558C" w:rsidRPr="00142DAE">
        <w:t xml:space="preserve">e deem it unlikely the Legislature intended to </w:t>
      </w:r>
      <w:r w:rsidR="00C560BE" w:rsidRPr="00142DAE">
        <w:t xml:space="preserve">allow the prosecution to </w:t>
      </w:r>
      <w:r w:rsidR="001725CA" w:rsidRPr="00142DAE">
        <w:t xml:space="preserve">effectively </w:t>
      </w:r>
      <w:r w:rsidR="00C560BE" w:rsidRPr="00142DAE">
        <w:t>revisit its charging decisions</w:t>
      </w:r>
      <w:r w:rsidR="00050B5E" w:rsidRPr="00142DAE">
        <w:t xml:space="preserve"> </w:t>
      </w:r>
      <w:r w:rsidR="00F54DDE" w:rsidRPr="00142DAE">
        <w:t xml:space="preserve">for </w:t>
      </w:r>
      <w:r w:rsidR="00B60D54">
        <w:t>the entire range of</w:t>
      </w:r>
      <w:r w:rsidR="00F54DDE" w:rsidRPr="00142DAE">
        <w:t xml:space="preserve"> </w:t>
      </w:r>
      <w:r w:rsidR="00526BA4">
        <w:t xml:space="preserve">offense-specific </w:t>
      </w:r>
      <w:r w:rsidR="00F54DDE" w:rsidRPr="00142DAE">
        <w:t xml:space="preserve">sentencing allegations and enhancements </w:t>
      </w:r>
      <w:r w:rsidR="000C30A0" w:rsidRPr="00142DAE">
        <w:t xml:space="preserve">every time </w:t>
      </w:r>
      <w:r w:rsidR="00A90291" w:rsidRPr="00142DAE">
        <w:t xml:space="preserve">a petitioner succeeds in </w:t>
      </w:r>
      <w:r w:rsidR="00487CB5" w:rsidRPr="00142DAE">
        <w:t>setting aside a murder conviction</w:t>
      </w:r>
      <w:r w:rsidR="00087C23">
        <w:t xml:space="preserve"> under section 1172.6</w:t>
      </w:r>
      <w:r w:rsidR="00521E62" w:rsidRPr="00142DAE">
        <w:t>.  We also are skeptical the Legislature intended</w:t>
      </w:r>
      <w:r w:rsidR="00B50879" w:rsidRPr="00142DAE">
        <w:t xml:space="preserve">, </w:t>
      </w:r>
      <w:r w:rsidR="00806370" w:rsidRPr="00142DAE">
        <w:t xml:space="preserve">without any </w:t>
      </w:r>
      <w:r w:rsidR="008F4956" w:rsidRPr="00142DAE">
        <w:t xml:space="preserve">warning or suggested procedures, </w:t>
      </w:r>
      <w:r w:rsidR="00521E62" w:rsidRPr="00142DAE">
        <w:t xml:space="preserve">to </w:t>
      </w:r>
      <w:r w:rsidR="00B50879" w:rsidRPr="00142DAE">
        <w:t xml:space="preserve">burden superior courts </w:t>
      </w:r>
      <w:r w:rsidR="007339C8" w:rsidRPr="00142DAE">
        <w:t xml:space="preserve">with this degree of factfinding </w:t>
      </w:r>
      <w:r w:rsidR="00110960" w:rsidRPr="00142DAE">
        <w:t>in section 1172.6 resentencing proceedings</w:t>
      </w:r>
      <w:r w:rsidR="00550E70" w:rsidRPr="00142DAE">
        <w:t xml:space="preserve">.  </w:t>
      </w:r>
      <w:r w:rsidR="003E2912" w:rsidRPr="00142DAE">
        <w:t xml:space="preserve">  </w:t>
      </w:r>
    </w:p>
    <w:p w14:paraId="072549AC" w14:textId="77777777" w:rsidR="000D1DFA" w:rsidRPr="00142DAE" w:rsidRDefault="00000000" w:rsidP="00AB7464">
      <w:pPr>
        <w:tabs>
          <w:tab w:val="left" w:pos="1440"/>
        </w:tabs>
        <w:ind w:firstLine="720"/>
      </w:pPr>
      <w:r w:rsidRPr="00142DAE">
        <w:t xml:space="preserve">The Attorney General </w:t>
      </w:r>
      <w:r w:rsidR="00886EF8" w:rsidRPr="00142DAE">
        <w:t xml:space="preserve">focuses </w:t>
      </w:r>
      <w:r w:rsidR="007D6F21" w:rsidRPr="00142DAE">
        <w:t xml:space="preserve">specifically </w:t>
      </w:r>
      <w:r w:rsidR="00886EF8" w:rsidRPr="00142DAE">
        <w:t xml:space="preserve">on the legislative finding that “a person should be punished for his or her actions according to his or her own level of </w:t>
      </w:r>
      <w:r w:rsidR="00DF4923" w:rsidRPr="00142DAE">
        <w:t xml:space="preserve">individual </w:t>
      </w:r>
      <w:r w:rsidR="00886EF8" w:rsidRPr="00142DAE">
        <w:t>culpability</w:t>
      </w:r>
      <w:r w:rsidR="00DF4923" w:rsidRPr="00142DAE">
        <w:t>” (</w:t>
      </w:r>
      <w:r w:rsidR="00687B25" w:rsidRPr="00142DAE">
        <w:t xml:space="preserve">Stats. 2018, ch. 1015, </w:t>
      </w:r>
      <w:r w:rsidR="000A6A03" w:rsidRPr="00142DAE">
        <w:t xml:space="preserve">§ 1(d)) to argue that </w:t>
      </w:r>
      <w:r w:rsidR="0015525E" w:rsidRPr="00142DAE">
        <w:t xml:space="preserve">courts should be allowed to impose </w:t>
      </w:r>
      <w:r w:rsidR="00573828" w:rsidRPr="00142DAE">
        <w:t xml:space="preserve">any </w:t>
      </w:r>
      <w:r w:rsidR="0015525E" w:rsidRPr="00142DAE">
        <w:t xml:space="preserve">uncharged </w:t>
      </w:r>
      <w:r w:rsidR="00C250F0" w:rsidRPr="00142DAE">
        <w:t xml:space="preserve">and unproven </w:t>
      </w:r>
      <w:r w:rsidR="00DB5090">
        <w:t xml:space="preserve">offense-specific </w:t>
      </w:r>
      <w:r w:rsidR="0015525E" w:rsidRPr="00142DAE">
        <w:t xml:space="preserve">sentencing allegations and enhancements </w:t>
      </w:r>
      <w:r w:rsidR="00D52076" w:rsidRPr="00142DAE">
        <w:t xml:space="preserve">so long as they </w:t>
      </w:r>
      <w:r w:rsidR="0015525E" w:rsidRPr="00142DAE">
        <w:t xml:space="preserve">are supported by the </w:t>
      </w:r>
      <w:r w:rsidR="00B41AC3" w:rsidRPr="00142DAE">
        <w:t>record</w:t>
      </w:r>
      <w:r w:rsidR="0015525E" w:rsidRPr="00142DAE">
        <w:t xml:space="preserve">.  </w:t>
      </w:r>
      <w:r w:rsidR="000D36A2">
        <w:t>But t</w:t>
      </w:r>
      <w:r w:rsidR="00610991" w:rsidRPr="00142DAE">
        <w:t xml:space="preserve">he </w:t>
      </w:r>
      <w:r w:rsidR="00E3764E" w:rsidRPr="00142DAE">
        <w:t>Legislature sought to “fairly address[] the culpability of the individual</w:t>
      </w:r>
      <w:r w:rsidR="00687B25" w:rsidRPr="00142DAE">
        <w:t xml:space="preserve">” in a </w:t>
      </w:r>
      <w:r w:rsidR="00687B25" w:rsidRPr="00142DAE">
        <w:rPr>
          <w:i/>
          <w:iCs/>
        </w:rPr>
        <w:t>particular</w:t>
      </w:r>
      <w:r w:rsidR="00687B25" w:rsidRPr="00142DAE">
        <w:t xml:space="preserve"> way</w:t>
      </w:r>
      <w:r w:rsidR="0040667E" w:rsidRPr="00142DAE">
        <w:t>:  by “amend[ing] the felony murder rule and the natural and probable consequences doctrine</w:t>
      </w:r>
      <w:r w:rsidR="00DC073E" w:rsidRPr="00142DAE">
        <w:t>, as it relates to murder, to ensure that murder liability is not imposed on a person who is not the actual killer, did not act with the intent to kill, or was not a major participant in the underlying felony who acted with reckless indifference to human life</w:t>
      </w:r>
      <w:r w:rsidR="00B44C6E" w:rsidRPr="00142DAE">
        <w:t>.”</w:t>
      </w:r>
      <w:r w:rsidR="004972E1" w:rsidRPr="00142DAE">
        <w:t xml:space="preserve">  (</w:t>
      </w:r>
      <w:r w:rsidR="00F234F0" w:rsidRPr="00142DAE">
        <w:t>Stats. 2018, ch. 1015,</w:t>
      </w:r>
      <w:r w:rsidR="004972E1" w:rsidRPr="00142DAE">
        <w:t xml:space="preserve"> § 1(e), </w:t>
      </w:r>
      <w:r w:rsidR="00674CD7" w:rsidRPr="00142DAE">
        <w:t xml:space="preserve">(f).)  </w:t>
      </w:r>
      <w:r w:rsidR="005971A6" w:rsidRPr="00142DAE">
        <w:t>It expected the new legislation “to limit convictions and subsequent sentencing</w:t>
      </w:r>
      <w:r w:rsidR="00FC03A8" w:rsidRPr="00142DAE">
        <w:t>” and “assist[] in the reduction of prison overcrowding.”  (</w:t>
      </w:r>
      <w:r w:rsidR="00FC03A8" w:rsidRPr="00142DAE">
        <w:rPr>
          <w:i/>
          <w:iCs/>
        </w:rPr>
        <w:t>Id</w:t>
      </w:r>
      <w:r w:rsidR="00FC03A8" w:rsidRPr="00142DAE">
        <w:t xml:space="preserve">., § 1(e).)  </w:t>
      </w:r>
      <w:r w:rsidR="003B3852">
        <w:t xml:space="preserve">We </w:t>
      </w:r>
      <w:r w:rsidR="00BE1E1B">
        <w:t xml:space="preserve">do not </w:t>
      </w:r>
      <w:r w:rsidR="00BE1E1B">
        <w:lastRenderedPageBreak/>
        <w:t>believe</w:t>
      </w:r>
      <w:r w:rsidR="003B3852">
        <w:t xml:space="preserve"> the legislative goal of proportional punishment </w:t>
      </w:r>
      <w:r w:rsidR="00CF7089">
        <w:t>would be</w:t>
      </w:r>
      <w:r w:rsidR="003B3852">
        <w:t xml:space="preserve"> so unbounded as to direct courts to evaluate culpability anew by adding enhancements and allegations to the underlying felony or target offense that were not previously charged </w:t>
      </w:r>
      <w:r w:rsidR="00CF7089">
        <w:t>and then proven at trial</w:t>
      </w:r>
      <w:r w:rsidR="003B3852">
        <w:t>.</w:t>
      </w:r>
    </w:p>
    <w:p w14:paraId="072549AD" w14:textId="77777777" w:rsidR="00DB53A9" w:rsidRPr="00142DAE" w:rsidRDefault="00000000" w:rsidP="00AB7464">
      <w:pPr>
        <w:tabs>
          <w:tab w:val="left" w:pos="1440"/>
        </w:tabs>
        <w:ind w:firstLine="720"/>
      </w:pPr>
      <w:r>
        <w:t xml:space="preserve">The Attorney General </w:t>
      </w:r>
      <w:r w:rsidR="00EF5C20">
        <w:t xml:space="preserve">also contends that </w:t>
      </w:r>
      <w:r w:rsidR="00C12406">
        <w:t xml:space="preserve">the imposition of the enhancement here falls within </w:t>
      </w:r>
      <w:r w:rsidR="002C1BEB" w:rsidRPr="00142DAE">
        <w:t>“</w:t>
      </w:r>
      <w:r w:rsidR="00D129E1">
        <w:t> </w:t>
      </w:r>
      <w:r w:rsidR="002C1BEB" w:rsidRPr="00142DAE">
        <w:t>‘the traditional latitude</w:t>
      </w:r>
      <w:r w:rsidR="003C69E6" w:rsidRPr="00142DAE">
        <w:t xml:space="preserve"> for sentencing hearings’</w:t>
      </w:r>
      <w:r w:rsidR="00D129E1">
        <w:t> </w:t>
      </w:r>
      <w:r w:rsidR="003C69E6" w:rsidRPr="00142DAE">
        <w:t>” (</w:t>
      </w:r>
      <w:r w:rsidR="003C69E6" w:rsidRPr="00142DAE">
        <w:rPr>
          <w:i/>
          <w:iCs/>
        </w:rPr>
        <w:t>Howard</w:t>
      </w:r>
      <w:r w:rsidR="003C69E6" w:rsidRPr="00142DAE">
        <w:t xml:space="preserve">, </w:t>
      </w:r>
      <w:r w:rsidR="003C69E6" w:rsidRPr="00142DAE">
        <w:rPr>
          <w:i/>
          <w:iCs/>
        </w:rPr>
        <w:t>supra</w:t>
      </w:r>
      <w:r w:rsidR="003C69E6" w:rsidRPr="00142DAE">
        <w:t>, 50 Cal.</w:t>
      </w:r>
      <w:r w:rsidR="00047959">
        <w:t>App.</w:t>
      </w:r>
      <w:r w:rsidR="003C69E6" w:rsidRPr="00142DAE">
        <w:t>5th at p</w:t>
      </w:r>
      <w:r w:rsidR="001E04DE" w:rsidRPr="00142DAE">
        <w:t>p.</w:t>
      </w:r>
      <w:r w:rsidR="00D74935">
        <w:t> </w:t>
      </w:r>
      <w:r w:rsidR="001E04DE" w:rsidRPr="00142DAE">
        <w:t xml:space="preserve">741–742), </w:t>
      </w:r>
      <w:r w:rsidR="00393BAD" w:rsidRPr="00142DAE">
        <w:t xml:space="preserve">but we are not persuaded that </w:t>
      </w:r>
      <w:r w:rsidR="009C016D" w:rsidRPr="00142DAE">
        <w:t>such</w:t>
      </w:r>
      <w:r w:rsidR="00275BF8" w:rsidRPr="00142DAE">
        <w:t xml:space="preserve"> discretion </w:t>
      </w:r>
      <w:r w:rsidR="006B6E3D" w:rsidRPr="00142DAE">
        <w:t xml:space="preserve">has ever extended </w:t>
      </w:r>
      <w:r w:rsidR="00275BF8" w:rsidRPr="00142DAE">
        <w:t xml:space="preserve">to </w:t>
      </w:r>
      <w:r w:rsidR="009C016D" w:rsidRPr="00142DAE">
        <w:t xml:space="preserve">the imposition </w:t>
      </w:r>
      <w:r w:rsidR="000F5D33" w:rsidRPr="00142DAE">
        <w:t xml:space="preserve">of uncharged </w:t>
      </w:r>
      <w:r w:rsidR="00284EA7" w:rsidRPr="00142DAE">
        <w:t xml:space="preserve">and unproven </w:t>
      </w:r>
      <w:r w:rsidR="000F5D33" w:rsidRPr="00142DAE">
        <w:t>sentencing allegations and enhancements</w:t>
      </w:r>
      <w:r w:rsidR="00433E27" w:rsidRPr="00142DAE">
        <w:t xml:space="preserve">.  </w:t>
      </w:r>
      <w:r w:rsidR="00466843" w:rsidRPr="00142DAE">
        <w:t>T</w:t>
      </w:r>
      <w:r w:rsidR="00F01807" w:rsidRPr="00142DAE">
        <w:t>h</w:t>
      </w:r>
      <w:r w:rsidR="00D651D1" w:rsidRPr="00142DAE">
        <w:t xml:space="preserve">e Attorney General has not pointed to any </w:t>
      </w:r>
      <w:r w:rsidR="00AB63F7" w:rsidRPr="00142DAE">
        <w:t>instance</w:t>
      </w:r>
      <w:r w:rsidR="00D651D1" w:rsidRPr="00142DAE">
        <w:t xml:space="preserve">, and we can think of none, where </w:t>
      </w:r>
      <w:r w:rsidR="000C30B1" w:rsidRPr="00142DAE">
        <w:t xml:space="preserve">courts have been allowed to impose uncharged </w:t>
      </w:r>
      <w:r w:rsidR="00284EA7" w:rsidRPr="00142DAE">
        <w:t xml:space="preserve">and unproven </w:t>
      </w:r>
      <w:r w:rsidR="000C30B1" w:rsidRPr="00142DAE">
        <w:t>sentencing allegations and enhancements</w:t>
      </w:r>
      <w:r w:rsidR="007E2767" w:rsidRPr="00142DAE">
        <w:t xml:space="preserve"> that are neither </w:t>
      </w:r>
      <w:r w:rsidR="00884D12" w:rsidRPr="00142DAE">
        <w:t>authorized by</w:t>
      </w:r>
      <w:r w:rsidR="007E2767" w:rsidRPr="00142DAE">
        <w:t xml:space="preserve"> the text of a resentencing statute nor </w:t>
      </w:r>
      <w:r w:rsidR="005236EB" w:rsidRPr="00142DAE">
        <w:t>a predicate to resentencing relief.</w:t>
      </w:r>
      <w:r w:rsidR="00D8205B" w:rsidRPr="00142DAE">
        <w:t xml:space="preserve">  </w:t>
      </w:r>
      <w:r w:rsidR="00533BE2" w:rsidRPr="00142DAE">
        <w:t xml:space="preserve">Selecting among </w:t>
      </w:r>
      <w:r w:rsidR="00DB5090">
        <w:t>the numerous</w:t>
      </w:r>
      <w:r w:rsidR="006C4DF5" w:rsidRPr="00142DAE">
        <w:t xml:space="preserve"> uncharged </w:t>
      </w:r>
      <w:r w:rsidR="00DB5090">
        <w:t xml:space="preserve">and unproven offense-specific </w:t>
      </w:r>
      <w:r w:rsidR="00533BE2" w:rsidRPr="00142DAE">
        <w:t>sentence enhancements</w:t>
      </w:r>
      <w:r w:rsidR="00B71E13" w:rsidRPr="00142DAE">
        <w:t xml:space="preserve"> </w:t>
      </w:r>
      <w:r w:rsidR="00DB5090">
        <w:t xml:space="preserve">and allegations </w:t>
      </w:r>
      <w:r w:rsidR="00B71E13" w:rsidRPr="00142DAE">
        <w:t xml:space="preserve">has not been part of a court’s </w:t>
      </w:r>
      <w:r w:rsidR="008B4AD7" w:rsidRPr="00142DAE">
        <w:t>traditional sentencing authority</w:t>
      </w:r>
      <w:r w:rsidR="009E45DF" w:rsidRPr="00142DAE">
        <w:t>, and nothing in section 1172.6 suggests the Legislature intended to confer such authority.</w:t>
      </w:r>
    </w:p>
    <w:p w14:paraId="072549AE" w14:textId="77777777" w:rsidR="00B53B9C" w:rsidRPr="00142DAE" w:rsidRDefault="00000000" w:rsidP="00142DAE">
      <w:pPr>
        <w:pStyle w:val="Heading1"/>
        <w:rPr>
          <w:i/>
          <w:iCs/>
        </w:rPr>
      </w:pPr>
      <w:r w:rsidRPr="00142DAE">
        <w:t xml:space="preserve">III.  </w:t>
      </w:r>
      <w:r w:rsidR="008874F1">
        <w:t>Conclusion</w:t>
      </w:r>
    </w:p>
    <w:p w14:paraId="072549AF" w14:textId="77777777" w:rsidR="003471D1" w:rsidRPr="00142DAE" w:rsidRDefault="00000000" w:rsidP="00AB7464">
      <w:pPr>
        <w:tabs>
          <w:tab w:val="left" w:pos="1440"/>
        </w:tabs>
        <w:ind w:firstLine="720"/>
      </w:pPr>
      <w:r w:rsidRPr="00142DAE">
        <w:t>C</w:t>
      </w:r>
      <w:r w:rsidR="00D05805" w:rsidRPr="00142DAE">
        <w:t xml:space="preserve">ourts may not impose </w:t>
      </w:r>
      <w:r w:rsidR="00D860A6" w:rsidRPr="00142DAE">
        <w:t xml:space="preserve">uncharged </w:t>
      </w:r>
      <w:r w:rsidR="004F44A6" w:rsidRPr="00142DAE">
        <w:t xml:space="preserve">and unproven </w:t>
      </w:r>
      <w:r w:rsidR="00D860A6" w:rsidRPr="00142DAE">
        <w:t xml:space="preserve">sentence </w:t>
      </w:r>
      <w:r w:rsidR="00581BCD" w:rsidRPr="00142DAE">
        <w:t xml:space="preserve">allegations or enhancements when resentencing a successful </w:t>
      </w:r>
      <w:r w:rsidR="000C232B" w:rsidRPr="00142DAE">
        <w:t xml:space="preserve">petitioner under </w:t>
      </w:r>
      <w:r w:rsidR="001D788D" w:rsidRPr="00142DAE">
        <w:t xml:space="preserve">section 1172.6, </w:t>
      </w:r>
      <w:r w:rsidR="000C232B" w:rsidRPr="00142DAE">
        <w:t xml:space="preserve">subdivision (e).  </w:t>
      </w:r>
      <w:r w:rsidR="00BA1620" w:rsidRPr="00142DAE">
        <w:t xml:space="preserve">We </w:t>
      </w:r>
      <w:r w:rsidR="00247493" w:rsidRPr="00142DAE">
        <w:t xml:space="preserve">therefore affirm the judgment of the Court of Appeal to the extent it </w:t>
      </w:r>
      <w:r w:rsidR="009B7910" w:rsidRPr="00142DAE">
        <w:t xml:space="preserve">ordered </w:t>
      </w:r>
      <w:r w:rsidR="007E09FC" w:rsidRPr="00142DAE">
        <w:t>the firearm use enhancement</w:t>
      </w:r>
      <w:r w:rsidR="00BE3A64" w:rsidRPr="00142DAE">
        <w:t xml:space="preserve"> stricken</w:t>
      </w:r>
      <w:r w:rsidR="007E09FC" w:rsidRPr="00142DAE">
        <w:t xml:space="preserve">.  </w:t>
      </w:r>
    </w:p>
    <w:p w14:paraId="072549B0" w14:textId="77777777" w:rsidR="002715CB" w:rsidRDefault="00000000" w:rsidP="005B4948">
      <w:pPr>
        <w:tabs>
          <w:tab w:val="left" w:pos="1440"/>
        </w:tabs>
        <w:ind w:firstLine="720"/>
      </w:pPr>
      <w:r w:rsidRPr="00142DAE">
        <w:t xml:space="preserve">The Court of Appeal also </w:t>
      </w:r>
      <w:r w:rsidR="00B847F8" w:rsidRPr="00142DAE">
        <w:t>reversed the redesignated conviction for attempted robbery “and remand</w:t>
      </w:r>
      <w:r w:rsidR="001D7317" w:rsidRPr="00142DAE">
        <w:t xml:space="preserve">[ed] the matter for further proceedings to redesignate </w:t>
      </w:r>
      <w:r w:rsidR="00396635" w:rsidRPr="00142DAE">
        <w:t xml:space="preserve">Arellano’s vacated murder conviction as a conviction of the underlying felony and </w:t>
      </w:r>
      <w:r w:rsidR="00396635" w:rsidRPr="00142DAE">
        <w:lastRenderedPageBreak/>
        <w:t>resentence him,” leaving “it to the trial court and parties on remand to determine whether the underlying felony for resentencing purposes should comprise either or both attempted robbery and first degree burglary</w:t>
      </w:r>
      <w:r w:rsidR="009A190E" w:rsidRPr="00142DAE">
        <w:t>.”  (</w:t>
      </w:r>
      <w:r w:rsidR="009A190E" w:rsidRPr="00142DAE">
        <w:rPr>
          <w:i/>
          <w:iCs/>
        </w:rPr>
        <w:t>Arellano</w:t>
      </w:r>
      <w:r w:rsidR="009A190E" w:rsidRPr="00142DAE">
        <w:t xml:space="preserve">, </w:t>
      </w:r>
      <w:r w:rsidR="009A190E" w:rsidRPr="00142DAE">
        <w:rPr>
          <w:i/>
          <w:iCs/>
        </w:rPr>
        <w:t>supra</w:t>
      </w:r>
      <w:r w:rsidR="009A190E" w:rsidRPr="00142DAE">
        <w:t xml:space="preserve">, </w:t>
      </w:r>
      <w:r w:rsidR="004D7611" w:rsidRPr="00142DAE">
        <w:t xml:space="preserve">86 Cal.App.5th at p. </w:t>
      </w:r>
      <w:r w:rsidR="00F278D1" w:rsidRPr="00142DAE">
        <w:t xml:space="preserve">437.)  </w:t>
      </w:r>
      <w:r w:rsidR="00885586" w:rsidRPr="00142DAE">
        <w:t xml:space="preserve">Neither party, however, asked </w:t>
      </w:r>
      <w:r w:rsidR="00F27C8D" w:rsidRPr="00142DAE">
        <w:t xml:space="preserve">the Court of Appeal </w:t>
      </w:r>
      <w:r w:rsidR="00176807" w:rsidRPr="00142DAE">
        <w:t xml:space="preserve">to remand for the trial court to reconsider </w:t>
      </w:r>
      <w:r w:rsidR="002E75D1" w:rsidRPr="00142DAE">
        <w:t xml:space="preserve">the redesignated conviction, and neither party in this court </w:t>
      </w:r>
      <w:r w:rsidR="002C405A" w:rsidRPr="00142DAE">
        <w:t xml:space="preserve">has </w:t>
      </w:r>
      <w:r w:rsidR="002E75D1" w:rsidRPr="00142DAE">
        <w:t xml:space="preserve">asked for a remand in the event </w:t>
      </w:r>
      <w:r w:rsidR="005F7D63" w:rsidRPr="00142DAE">
        <w:t>we affirm the striking of the firearm enhancement</w:t>
      </w:r>
      <w:r w:rsidR="00B831F4" w:rsidRPr="00142DAE">
        <w:t xml:space="preserve">.  Moreover, </w:t>
      </w:r>
      <w:r w:rsidR="002404D5" w:rsidRPr="00142DAE">
        <w:t xml:space="preserve">a remand would be </w:t>
      </w:r>
      <w:r w:rsidR="00DE3893" w:rsidRPr="00142DAE">
        <w:t>an idle act</w:t>
      </w:r>
      <w:r w:rsidR="002404D5" w:rsidRPr="00142DAE">
        <w:t>, given that the trial court</w:t>
      </w:r>
      <w:r w:rsidR="00D47795" w:rsidRPr="00142DAE">
        <w:t xml:space="preserve"> </w:t>
      </w:r>
      <w:r w:rsidR="00D129E1">
        <w:t xml:space="preserve">at the resentencing proceeding </w:t>
      </w:r>
      <w:r w:rsidR="000311AE" w:rsidRPr="00142DAE">
        <w:t xml:space="preserve">stated its belief that it could redesignate the underlying felony as </w:t>
      </w:r>
      <w:r w:rsidR="005F6509" w:rsidRPr="00142DAE">
        <w:t xml:space="preserve">the burglary </w:t>
      </w:r>
      <w:r w:rsidR="00551872" w:rsidRPr="00142DAE">
        <w:t>(</w:t>
      </w:r>
      <w:r w:rsidR="005F6509" w:rsidRPr="00142DAE">
        <w:t>or both the burglary and the attempted robbery</w:t>
      </w:r>
      <w:r w:rsidR="00551872" w:rsidRPr="00142DAE">
        <w:t xml:space="preserve">) — yet chose not to do so.  </w:t>
      </w:r>
      <w:r w:rsidR="00A53025" w:rsidRPr="00142DAE">
        <w:t xml:space="preserve">(See </w:t>
      </w:r>
      <w:r w:rsidR="00A53025" w:rsidRPr="00142DAE">
        <w:rPr>
          <w:i/>
          <w:iCs/>
        </w:rPr>
        <w:t>id</w:t>
      </w:r>
      <w:r w:rsidR="00A53025" w:rsidRPr="00142DAE">
        <w:t xml:space="preserve">. at p. 427, citing </w:t>
      </w:r>
      <w:r w:rsidR="00253B05" w:rsidRPr="00142DAE">
        <w:rPr>
          <w:i/>
          <w:iCs/>
        </w:rPr>
        <w:t>Watson</w:t>
      </w:r>
      <w:r w:rsidR="00253B05" w:rsidRPr="00142DAE">
        <w:t xml:space="preserve">, </w:t>
      </w:r>
      <w:r w:rsidR="00253B05" w:rsidRPr="00142DAE">
        <w:rPr>
          <w:i/>
          <w:iCs/>
        </w:rPr>
        <w:t>supra</w:t>
      </w:r>
      <w:r w:rsidR="00253B05" w:rsidRPr="00142DAE">
        <w:t xml:space="preserve">, </w:t>
      </w:r>
      <w:r w:rsidR="003428F5" w:rsidRPr="00142DAE">
        <w:t xml:space="preserve">64 Cal.App.5th </w:t>
      </w:r>
      <w:r w:rsidR="005D1D15" w:rsidRPr="00142DAE">
        <w:t>474</w:t>
      </w:r>
      <w:r w:rsidR="00D01D4C" w:rsidRPr="00142DAE">
        <w:t>.)  We therefore reverse the judgment of the Court of Appeal to the extent it ordered a remand t</w:t>
      </w:r>
      <w:r w:rsidR="00DE3893" w:rsidRPr="00142DAE">
        <w:t>o the trial court</w:t>
      </w:r>
      <w:r w:rsidR="00D129E1">
        <w:t xml:space="preserve"> for redesignation of the </w:t>
      </w:r>
      <w:r w:rsidR="005B22BD">
        <w:t>underlying felony or felonies</w:t>
      </w:r>
      <w:r w:rsidR="00DE3893" w:rsidRPr="00142DAE">
        <w:t>.</w:t>
      </w:r>
    </w:p>
    <w:p w14:paraId="072549B1" w14:textId="77777777" w:rsidR="005B22BD" w:rsidRPr="00142DAE" w:rsidRDefault="005B22BD" w:rsidP="00AB7464">
      <w:pPr>
        <w:tabs>
          <w:tab w:val="left" w:pos="1440"/>
        </w:tabs>
        <w:ind w:firstLine="720"/>
      </w:pPr>
    </w:p>
    <w:p w14:paraId="072549B2" w14:textId="77777777" w:rsidR="005B22BD" w:rsidRPr="005B22BD" w:rsidRDefault="00000000" w:rsidP="005B22BD">
      <w:pPr>
        <w:tabs>
          <w:tab w:val="left" w:pos="1440"/>
        </w:tabs>
        <w:ind w:firstLine="720"/>
        <w:rPr>
          <w:b/>
          <w:bCs/>
        </w:rPr>
      </w:pPr>
      <w:r w:rsidRPr="00142DAE">
        <w:tab/>
      </w:r>
      <w:r w:rsidR="00587700" w:rsidRPr="00142DAE">
        <w:tab/>
      </w:r>
      <w:r w:rsidRPr="00142DAE">
        <w:tab/>
      </w:r>
      <w:r w:rsidRPr="00142DAE">
        <w:tab/>
      </w:r>
      <w:r w:rsidRPr="00142DAE">
        <w:tab/>
      </w:r>
      <w:r w:rsidRPr="00142DAE">
        <w:tab/>
      </w:r>
      <w:r w:rsidRPr="00142DAE">
        <w:tab/>
      </w:r>
      <w:r w:rsidR="004E42AE" w:rsidRPr="00AB7464">
        <w:rPr>
          <w:b/>
          <w:bCs/>
        </w:rPr>
        <w:t>EVANS, J.</w:t>
      </w:r>
    </w:p>
    <w:p w14:paraId="072549B3" w14:textId="77777777" w:rsidR="000C232B" w:rsidRPr="00AB7464" w:rsidRDefault="00000000" w:rsidP="00AB492F">
      <w:pPr>
        <w:tabs>
          <w:tab w:val="left" w:pos="1440"/>
        </w:tabs>
        <w:rPr>
          <w:b/>
          <w:bCs/>
        </w:rPr>
      </w:pPr>
      <w:r w:rsidRPr="005B22BD">
        <w:rPr>
          <w:b/>
          <w:bCs/>
        </w:rPr>
        <w:t>We Concur:</w:t>
      </w:r>
    </w:p>
    <w:p w14:paraId="072549B4" w14:textId="557015D6" w:rsidR="00222C65" w:rsidRPr="00222C65" w:rsidRDefault="00000000" w:rsidP="00222C65">
      <w:pPr>
        <w:tabs>
          <w:tab w:val="left" w:pos="1440"/>
        </w:tabs>
        <w:spacing w:after="0" w:line="240" w:lineRule="auto"/>
        <w:rPr>
          <w:b/>
          <w:bCs/>
        </w:rPr>
      </w:pPr>
      <w:bookmarkStart w:id="12" w:name="initials"/>
      <w:bookmarkEnd w:id="12"/>
      <w:r w:rsidRPr="00222C65">
        <w:rPr>
          <w:b/>
          <w:bCs/>
        </w:rPr>
        <w:t>GUERRERO, C.</w:t>
      </w:r>
      <w:r w:rsidR="002A07BC">
        <w:rPr>
          <w:b/>
          <w:bCs/>
        </w:rPr>
        <w:t> </w:t>
      </w:r>
      <w:r w:rsidRPr="00222C65">
        <w:rPr>
          <w:b/>
          <w:bCs/>
        </w:rPr>
        <w:t>J.</w:t>
      </w:r>
    </w:p>
    <w:p w14:paraId="072549B5" w14:textId="77777777" w:rsidR="00222C65" w:rsidRPr="00222C65" w:rsidRDefault="00000000" w:rsidP="00222C65">
      <w:pPr>
        <w:tabs>
          <w:tab w:val="left" w:pos="1440"/>
        </w:tabs>
        <w:spacing w:after="0" w:line="240" w:lineRule="auto"/>
        <w:rPr>
          <w:b/>
          <w:bCs/>
        </w:rPr>
      </w:pPr>
      <w:r w:rsidRPr="00222C65">
        <w:rPr>
          <w:b/>
          <w:bCs/>
        </w:rPr>
        <w:t>CORRIGAN, J.</w:t>
      </w:r>
    </w:p>
    <w:p w14:paraId="072549B6" w14:textId="77777777" w:rsidR="00222C65" w:rsidRPr="00222C65" w:rsidRDefault="00000000" w:rsidP="00222C65">
      <w:pPr>
        <w:tabs>
          <w:tab w:val="left" w:pos="1440"/>
        </w:tabs>
        <w:spacing w:after="0" w:line="240" w:lineRule="auto"/>
        <w:rPr>
          <w:b/>
          <w:bCs/>
        </w:rPr>
      </w:pPr>
      <w:r w:rsidRPr="00222C65">
        <w:rPr>
          <w:b/>
          <w:bCs/>
        </w:rPr>
        <w:t>LIU, J.</w:t>
      </w:r>
    </w:p>
    <w:p w14:paraId="072549B7" w14:textId="77777777" w:rsidR="00222C65" w:rsidRPr="00222C65" w:rsidRDefault="00000000" w:rsidP="00222C65">
      <w:pPr>
        <w:tabs>
          <w:tab w:val="left" w:pos="1440"/>
        </w:tabs>
        <w:spacing w:after="0" w:line="240" w:lineRule="auto"/>
        <w:rPr>
          <w:b/>
          <w:bCs/>
        </w:rPr>
      </w:pPr>
      <w:r w:rsidRPr="00222C65">
        <w:rPr>
          <w:b/>
          <w:bCs/>
        </w:rPr>
        <w:t>KRUGER, J.</w:t>
      </w:r>
    </w:p>
    <w:p w14:paraId="072549B8" w14:textId="77777777" w:rsidR="00222C65" w:rsidRPr="00222C65" w:rsidRDefault="00000000" w:rsidP="00222C65">
      <w:pPr>
        <w:tabs>
          <w:tab w:val="left" w:pos="1440"/>
        </w:tabs>
        <w:spacing w:after="0" w:line="240" w:lineRule="auto"/>
        <w:rPr>
          <w:b/>
          <w:bCs/>
        </w:rPr>
      </w:pPr>
      <w:r w:rsidRPr="00222C65">
        <w:rPr>
          <w:b/>
          <w:bCs/>
        </w:rPr>
        <w:t>GROBAN, J.</w:t>
      </w:r>
    </w:p>
    <w:p w14:paraId="072549B9" w14:textId="77777777" w:rsidR="000C232B" w:rsidRDefault="00000000" w:rsidP="00222C65">
      <w:pPr>
        <w:tabs>
          <w:tab w:val="left" w:pos="1440"/>
        </w:tabs>
        <w:spacing w:after="0" w:line="240" w:lineRule="auto"/>
        <w:rPr>
          <w:b/>
          <w:bCs/>
        </w:rPr>
      </w:pPr>
      <w:r w:rsidRPr="00222C65">
        <w:rPr>
          <w:b/>
          <w:bCs/>
        </w:rPr>
        <w:t>JENKINS, J.</w:t>
      </w:r>
    </w:p>
    <w:p w14:paraId="31E3E295" w14:textId="77777777" w:rsidR="0046749D" w:rsidRDefault="0046749D" w:rsidP="00222C65">
      <w:pPr>
        <w:tabs>
          <w:tab w:val="left" w:pos="1440"/>
        </w:tabs>
        <w:spacing w:after="0" w:line="240" w:lineRule="auto"/>
        <w:rPr>
          <w:b/>
          <w:bCs/>
        </w:rPr>
        <w:sectPr w:rsidR="0046749D" w:rsidSect="00AB7464">
          <w:footerReference w:type="first" r:id="rId9"/>
          <w:pgSz w:w="12240" w:h="15840"/>
          <w:pgMar w:top="1800" w:right="2160" w:bottom="1440" w:left="2160" w:header="720" w:footer="720" w:gutter="0"/>
          <w:pgNumType w:start="1"/>
          <w:cols w:space="720"/>
          <w:titlePg/>
          <w:docGrid w:linePitch="367"/>
        </w:sectPr>
      </w:pPr>
    </w:p>
    <w:p w14:paraId="5CF060C8" w14:textId="77777777" w:rsidR="0046749D" w:rsidRPr="0046749D" w:rsidRDefault="0046749D" w:rsidP="0046749D">
      <w:pPr>
        <w:spacing w:after="0" w:line="240" w:lineRule="auto"/>
        <w:jc w:val="left"/>
        <w:rPr>
          <w:i/>
          <w:sz w:val="24"/>
          <w:szCs w:val="24"/>
        </w:rPr>
      </w:pPr>
      <w:r w:rsidRPr="0046749D">
        <w:rPr>
          <w:i/>
          <w:sz w:val="24"/>
          <w:szCs w:val="24"/>
        </w:rPr>
        <w:lastRenderedPageBreak/>
        <w:t>See next page for addresses and telephone numbers for counsel who argued in Supreme Court.</w:t>
      </w:r>
    </w:p>
    <w:p w14:paraId="0CBDBC8A" w14:textId="77777777" w:rsidR="0046749D" w:rsidRPr="0046749D" w:rsidRDefault="0046749D" w:rsidP="0046749D">
      <w:pPr>
        <w:spacing w:after="0" w:line="240" w:lineRule="auto"/>
        <w:jc w:val="left"/>
        <w:rPr>
          <w:i/>
          <w:sz w:val="24"/>
          <w:szCs w:val="24"/>
        </w:rPr>
      </w:pPr>
    </w:p>
    <w:p w14:paraId="65F6B27A" w14:textId="77777777" w:rsidR="0046749D" w:rsidRPr="0046749D" w:rsidRDefault="0046749D" w:rsidP="0046749D">
      <w:pPr>
        <w:spacing w:after="0" w:line="240" w:lineRule="auto"/>
        <w:jc w:val="left"/>
        <w:rPr>
          <w:b/>
          <w:sz w:val="24"/>
          <w:szCs w:val="24"/>
        </w:rPr>
      </w:pPr>
      <w:r w:rsidRPr="0046749D">
        <w:rPr>
          <w:b/>
          <w:sz w:val="24"/>
          <w:szCs w:val="24"/>
        </w:rPr>
        <w:t xml:space="preserve">Name of Opinion  </w:t>
      </w:r>
      <w:r w:rsidRPr="0046749D">
        <w:rPr>
          <w:bCs/>
          <w:sz w:val="24"/>
          <w:szCs w:val="24"/>
        </w:rPr>
        <w:t xml:space="preserve">People v. Arellano </w:t>
      </w:r>
      <w:r w:rsidRPr="0046749D">
        <w:rPr>
          <w:b/>
          <w:sz w:val="24"/>
          <w:szCs w:val="24"/>
        </w:rPr>
        <w:t xml:space="preserve">__________________________________________________________ </w:t>
      </w:r>
    </w:p>
    <w:p w14:paraId="4429E2F0" w14:textId="77777777" w:rsidR="0046749D" w:rsidRPr="0046749D" w:rsidRDefault="0046749D" w:rsidP="0046749D">
      <w:pPr>
        <w:spacing w:after="0" w:line="240" w:lineRule="auto"/>
        <w:jc w:val="left"/>
        <w:rPr>
          <w:b/>
          <w:sz w:val="24"/>
          <w:szCs w:val="24"/>
        </w:rPr>
      </w:pPr>
    </w:p>
    <w:p w14:paraId="15F3EB41" w14:textId="77777777" w:rsidR="0046749D" w:rsidRPr="0046749D" w:rsidRDefault="0046749D" w:rsidP="0046749D">
      <w:pPr>
        <w:spacing w:after="0" w:line="240" w:lineRule="auto"/>
        <w:jc w:val="left"/>
        <w:rPr>
          <w:sz w:val="24"/>
          <w:szCs w:val="24"/>
        </w:rPr>
      </w:pPr>
      <w:r w:rsidRPr="0046749D">
        <w:rPr>
          <w:b/>
          <w:bCs/>
          <w:sz w:val="24"/>
          <w:szCs w:val="24"/>
          <w:u w:val="single"/>
        </w:rPr>
        <w:t>Procedural Posture</w:t>
      </w:r>
      <w:r w:rsidRPr="0046749D">
        <w:rPr>
          <w:b/>
          <w:bCs/>
          <w:sz w:val="24"/>
          <w:szCs w:val="24"/>
        </w:rPr>
        <w:t xml:space="preserve"> </w:t>
      </w:r>
      <w:r w:rsidRPr="0046749D">
        <w:rPr>
          <w:sz w:val="24"/>
          <w:szCs w:val="24"/>
        </w:rPr>
        <w:t>(see XX below)</w:t>
      </w:r>
    </w:p>
    <w:p w14:paraId="4994DCD4" w14:textId="77777777" w:rsidR="0046749D" w:rsidRPr="0046749D" w:rsidRDefault="0046749D" w:rsidP="0046749D">
      <w:pPr>
        <w:spacing w:after="0" w:line="240" w:lineRule="auto"/>
        <w:jc w:val="left"/>
        <w:rPr>
          <w:sz w:val="24"/>
          <w:szCs w:val="24"/>
        </w:rPr>
      </w:pPr>
      <w:r w:rsidRPr="0046749D">
        <w:rPr>
          <w:b/>
          <w:bCs/>
          <w:sz w:val="24"/>
          <w:szCs w:val="24"/>
        </w:rPr>
        <w:t>Original Appeal</w:t>
      </w:r>
      <w:r w:rsidRPr="0046749D">
        <w:rPr>
          <w:sz w:val="24"/>
          <w:szCs w:val="24"/>
        </w:rPr>
        <w:t xml:space="preserve"> </w:t>
      </w:r>
    </w:p>
    <w:p w14:paraId="6EE87E0A" w14:textId="77777777" w:rsidR="0046749D" w:rsidRPr="0046749D" w:rsidRDefault="0046749D" w:rsidP="0046749D">
      <w:pPr>
        <w:spacing w:after="0" w:line="240" w:lineRule="auto"/>
        <w:jc w:val="left"/>
        <w:rPr>
          <w:b/>
          <w:bCs/>
          <w:sz w:val="24"/>
          <w:szCs w:val="24"/>
        </w:rPr>
      </w:pPr>
      <w:r w:rsidRPr="0046749D">
        <w:rPr>
          <w:b/>
          <w:bCs/>
          <w:sz w:val="24"/>
          <w:szCs w:val="24"/>
        </w:rPr>
        <w:t>Original Proceeding</w:t>
      </w:r>
    </w:p>
    <w:p w14:paraId="68383B58" w14:textId="77777777" w:rsidR="0046749D" w:rsidRPr="0046749D" w:rsidRDefault="0046749D" w:rsidP="0046749D">
      <w:pPr>
        <w:spacing w:after="0" w:line="240" w:lineRule="auto"/>
        <w:jc w:val="left"/>
        <w:rPr>
          <w:sz w:val="24"/>
          <w:szCs w:val="24"/>
        </w:rPr>
      </w:pPr>
      <w:r w:rsidRPr="0046749D">
        <w:rPr>
          <w:b/>
          <w:bCs/>
          <w:sz w:val="24"/>
          <w:szCs w:val="24"/>
        </w:rPr>
        <w:t>Review Granted</w:t>
      </w:r>
      <w:r w:rsidRPr="0046749D">
        <w:rPr>
          <w:sz w:val="24"/>
          <w:szCs w:val="24"/>
        </w:rPr>
        <w:t xml:space="preserve"> </w:t>
      </w:r>
      <w:r w:rsidRPr="0046749D">
        <w:rPr>
          <w:b/>
          <w:bCs/>
          <w:sz w:val="24"/>
          <w:szCs w:val="24"/>
        </w:rPr>
        <w:t xml:space="preserve">(published) </w:t>
      </w:r>
      <w:r w:rsidRPr="0046749D">
        <w:rPr>
          <w:sz w:val="24"/>
          <w:szCs w:val="24"/>
        </w:rPr>
        <w:t>XX 86 Cal.App.5th 418</w:t>
      </w:r>
    </w:p>
    <w:p w14:paraId="50498698" w14:textId="77777777" w:rsidR="0046749D" w:rsidRPr="0046749D" w:rsidRDefault="0046749D" w:rsidP="0046749D">
      <w:pPr>
        <w:spacing w:after="0" w:line="240" w:lineRule="auto"/>
        <w:jc w:val="left"/>
        <w:rPr>
          <w:sz w:val="24"/>
          <w:szCs w:val="24"/>
        </w:rPr>
      </w:pPr>
      <w:r w:rsidRPr="0046749D">
        <w:rPr>
          <w:b/>
          <w:bCs/>
          <w:sz w:val="24"/>
          <w:szCs w:val="24"/>
        </w:rPr>
        <w:t xml:space="preserve">Review Granted (unpublished) </w:t>
      </w:r>
    </w:p>
    <w:p w14:paraId="2FBD5714" w14:textId="77777777" w:rsidR="0046749D" w:rsidRPr="0046749D" w:rsidRDefault="0046749D" w:rsidP="0046749D">
      <w:pPr>
        <w:spacing w:after="0" w:line="240" w:lineRule="auto"/>
        <w:jc w:val="left"/>
        <w:rPr>
          <w:b/>
          <w:bCs/>
          <w:sz w:val="24"/>
          <w:szCs w:val="24"/>
        </w:rPr>
      </w:pPr>
      <w:r w:rsidRPr="0046749D">
        <w:rPr>
          <w:b/>
          <w:bCs/>
          <w:sz w:val="24"/>
          <w:szCs w:val="24"/>
        </w:rPr>
        <w:t>Rehearing Granted</w:t>
      </w:r>
    </w:p>
    <w:p w14:paraId="0DC25649" w14:textId="77777777" w:rsidR="0046749D" w:rsidRPr="0046749D" w:rsidRDefault="0046749D" w:rsidP="0046749D">
      <w:pPr>
        <w:spacing w:after="0" w:line="240" w:lineRule="auto"/>
        <w:jc w:val="left"/>
        <w:rPr>
          <w:b/>
          <w:sz w:val="24"/>
          <w:szCs w:val="24"/>
        </w:rPr>
      </w:pPr>
      <w:r w:rsidRPr="0046749D">
        <w:rPr>
          <w:b/>
          <w:sz w:val="24"/>
          <w:szCs w:val="24"/>
        </w:rPr>
        <w:t xml:space="preserve">__________________________________________________________ </w:t>
      </w:r>
    </w:p>
    <w:p w14:paraId="7374F4F3" w14:textId="77777777" w:rsidR="0046749D" w:rsidRPr="0046749D" w:rsidRDefault="0046749D" w:rsidP="0046749D">
      <w:pPr>
        <w:spacing w:after="0" w:line="240" w:lineRule="auto"/>
        <w:jc w:val="left"/>
        <w:rPr>
          <w:b/>
          <w:sz w:val="24"/>
          <w:szCs w:val="24"/>
        </w:rPr>
      </w:pPr>
    </w:p>
    <w:p w14:paraId="68E60496" w14:textId="77777777" w:rsidR="0046749D" w:rsidRPr="0046749D" w:rsidRDefault="0046749D" w:rsidP="0046749D">
      <w:pPr>
        <w:spacing w:after="0" w:line="240" w:lineRule="auto"/>
        <w:jc w:val="left"/>
        <w:rPr>
          <w:bCs/>
          <w:sz w:val="24"/>
          <w:szCs w:val="24"/>
        </w:rPr>
      </w:pPr>
      <w:r w:rsidRPr="0046749D">
        <w:rPr>
          <w:b/>
          <w:sz w:val="24"/>
          <w:szCs w:val="24"/>
        </w:rPr>
        <w:t>Opinion No.</w:t>
      </w:r>
      <w:r w:rsidRPr="0046749D">
        <w:rPr>
          <w:sz w:val="24"/>
          <w:szCs w:val="24"/>
        </w:rPr>
        <w:t xml:space="preserve"> S277962</w:t>
      </w:r>
    </w:p>
    <w:p w14:paraId="5B4AE780" w14:textId="77777777" w:rsidR="0046749D" w:rsidRPr="0046749D" w:rsidRDefault="0046749D" w:rsidP="0046749D">
      <w:pPr>
        <w:spacing w:after="0" w:line="240" w:lineRule="auto"/>
        <w:jc w:val="left"/>
        <w:rPr>
          <w:bCs/>
          <w:sz w:val="24"/>
          <w:szCs w:val="24"/>
        </w:rPr>
      </w:pPr>
      <w:r w:rsidRPr="0046749D">
        <w:rPr>
          <w:b/>
          <w:sz w:val="24"/>
          <w:szCs w:val="24"/>
        </w:rPr>
        <w:t>Date Filed:</w:t>
      </w:r>
      <w:r w:rsidRPr="0046749D">
        <w:rPr>
          <w:sz w:val="24"/>
          <w:szCs w:val="24"/>
        </w:rPr>
        <w:t xml:space="preserve">  July 11, 2024</w:t>
      </w:r>
    </w:p>
    <w:p w14:paraId="63A000C0" w14:textId="77777777" w:rsidR="0046749D" w:rsidRPr="0046749D" w:rsidRDefault="0046749D" w:rsidP="0046749D">
      <w:pPr>
        <w:spacing w:after="0" w:line="240" w:lineRule="auto"/>
        <w:jc w:val="left"/>
        <w:rPr>
          <w:b/>
          <w:sz w:val="24"/>
          <w:szCs w:val="24"/>
        </w:rPr>
      </w:pPr>
      <w:r w:rsidRPr="0046749D">
        <w:rPr>
          <w:b/>
          <w:sz w:val="24"/>
          <w:szCs w:val="24"/>
        </w:rPr>
        <w:t xml:space="preserve">__________________________________________________________ </w:t>
      </w:r>
    </w:p>
    <w:p w14:paraId="0C49AB22" w14:textId="77777777" w:rsidR="0046749D" w:rsidRPr="0046749D" w:rsidRDefault="0046749D" w:rsidP="0046749D">
      <w:pPr>
        <w:spacing w:after="0" w:line="240" w:lineRule="auto"/>
        <w:jc w:val="left"/>
        <w:rPr>
          <w:b/>
          <w:sz w:val="24"/>
          <w:szCs w:val="24"/>
        </w:rPr>
      </w:pPr>
    </w:p>
    <w:p w14:paraId="0136E19E" w14:textId="77777777" w:rsidR="0046749D" w:rsidRPr="0046749D" w:rsidRDefault="0046749D" w:rsidP="0046749D">
      <w:pPr>
        <w:spacing w:after="0" w:line="240" w:lineRule="auto"/>
        <w:jc w:val="left"/>
        <w:rPr>
          <w:bCs/>
          <w:sz w:val="24"/>
          <w:szCs w:val="24"/>
        </w:rPr>
      </w:pPr>
      <w:r w:rsidRPr="0046749D">
        <w:rPr>
          <w:b/>
          <w:sz w:val="24"/>
          <w:szCs w:val="24"/>
        </w:rPr>
        <w:t xml:space="preserve">Court:  </w:t>
      </w:r>
      <w:r w:rsidRPr="0046749D">
        <w:rPr>
          <w:bCs/>
          <w:sz w:val="24"/>
          <w:szCs w:val="24"/>
        </w:rPr>
        <w:t>Superior</w:t>
      </w:r>
      <w:r w:rsidRPr="0046749D">
        <w:rPr>
          <w:b/>
          <w:sz w:val="24"/>
          <w:szCs w:val="24"/>
        </w:rPr>
        <w:t xml:space="preserve"> </w:t>
      </w:r>
    </w:p>
    <w:p w14:paraId="317A0899" w14:textId="77777777" w:rsidR="0046749D" w:rsidRPr="0046749D" w:rsidRDefault="0046749D" w:rsidP="0046749D">
      <w:pPr>
        <w:spacing w:after="0" w:line="240" w:lineRule="auto"/>
        <w:jc w:val="left"/>
        <w:rPr>
          <w:bCs/>
          <w:sz w:val="24"/>
          <w:szCs w:val="24"/>
        </w:rPr>
      </w:pPr>
      <w:r w:rsidRPr="0046749D">
        <w:rPr>
          <w:b/>
          <w:sz w:val="24"/>
          <w:szCs w:val="24"/>
        </w:rPr>
        <w:t xml:space="preserve">County:  </w:t>
      </w:r>
      <w:r w:rsidRPr="0046749D">
        <w:rPr>
          <w:bCs/>
          <w:sz w:val="24"/>
          <w:szCs w:val="24"/>
        </w:rPr>
        <w:t>Santa Clara</w:t>
      </w:r>
    </w:p>
    <w:p w14:paraId="31A890C7" w14:textId="77777777" w:rsidR="0046749D" w:rsidRPr="0046749D" w:rsidRDefault="0046749D" w:rsidP="0046749D">
      <w:pPr>
        <w:spacing w:after="0" w:line="240" w:lineRule="auto"/>
        <w:ind w:left="720" w:hanging="720"/>
        <w:jc w:val="left"/>
        <w:rPr>
          <w:bCs/>
          <w:sz w:val="24"/>
          <w:szCs w:val="24"/>
        </w:rPr>
      </w:pPr>
      <w:r w:rsidRPr="0046749D">
        <w:rPr>
          <w:b/>
          <w:sz w:val="24"/>
          <w:szCs w:val="24"/>
        </w:rPr>
        <w:t xml:space="preserve">Judge: </w:t>
      </w:r>
      <w:r w:rsidRPr="0046749D">
        <w:rPr>
          <w:bCs/>
          <w:sz w:val="24"/>
          <w:szCs w:val="24"/>
        </w:rPr>
        <w:t xml:space="preserve"> Daniel T. Nishigaya</w:t>
      </w:r>
    </w:p>
    <w:p w14:paraId="2AC6F44E" w14:textId="77777777" w:rsidR="0046749D" w:rsidRPr="0046749D" w:rsidRDefault="0046749D" w:rsidP="0046749D">
      <w:pPr>
        <w:spacing w:after="0" w:line="240" w:lineRule="auto"/>
        <w:jc w:val="left"/>
        <w:rPr>
          <w:b/>
          <w:sz w:val="24"/>
          <w:szCs w:val="24"/>
        </w:rPr>
      </w:pPr>
      <w:r w:rsidRPr="0046749D">
        <w:rPr>
          <w:b/>
          <w:sz w:val="24"/>
          <w:szCs w:val="24"/>
        </w:rPr>
        <w:t xml:space="preserve">__________________________________________________________  </w:t>
      </w:r>
    </w:p>
    <w:p w14:paraId="2D97138A" w14:textId="77777777" w:rsidR="0046749D" w:rsidRPr="0046749D" w:rsidRDefault="0046749D" w:rsidP="0046749D">
      <w:pPr>
        <w:spacing w:after="0" w:line="240" w:lineRule="auto"/>
        <w:jc w:val="left"/>
        <w:rPr>
          <w:b/>
          <w:sz w:val="24"/>
          <w:szCs w:val="24"/>
        </w:rPr>
      </w:pPr>
    </w:p>
    <w:p w14:paraId="17D563FF" w14:textId="77777777" w:rsidR="0046749D" w:rsidRPr="0046749D" w:rsidRDefault="0046749D" w:rsidP="0046749D">
      <w:pPr>
        <w:spacing w:after="0" w:line="240" w:lineRule="auto"/>
        <w:jc w:val="left"/>
        <w:rPr>
          <w:b/>
          <w:sz w:val="24"/>
          <w:szCs w:val="24"/>
        </w:rPr>
      </w:pPr>
      <w:r w:rsidRPr="0046749D">
        <w:rPr>
          <w:b/>
          <w:sz w:val="24"/>
          <w:szCs w:val="24"/>
        </w:rPr>
        <w:t>Counsel:</w:t>
      </w:r>
    </w:p>
    <w:p w14:paraId="7069FB13" w14:textId="77777777" w:rsidR="0046749D" w:rsidRPr="0046749D" w:rsidRDefault="0046749D" w:rsidP="0046749D">
      <w:pPr>
        <w:spacing w:after="0" w:line="240" w:lineRule="auto"/>
        <w:jc w:val="left"/>
        <w:rPr>
          <w:b/>
          <w:sz w:val="24"/>
          <w:szCs w:val="24"/>
        </w:rPr>
      </w:pPr>
    </w:p>
    <w:p w14:paraId="2CD1EA66" w14:textId="77777777" w:rsidR="0046749D" w:rsidRPr="0046749D" w:rsidRDefault="0046749D" w:rsidP="0046749D">
      <w:pPr>
        <w:spacing w:after="0" w:line="240" w:lineRule="auto"/>
        <w:jc w:val="left"/>
        <w:rPr>
          <w:color w:val="212121"/>
          <w:sz w:val="24"/>
          <w:szCs w:val="24"/>
          <w:shd w:val="clear" w:color="auto" w:fill="FFFFFF"/>
        </w:rPr>
      </w:pPr>
      <w:r w:rsidRPr="0046749D">
        <w:rPr>
          <w:color w:val="212121"/>
          <w:sz w:val="24"/>
          <w:szCs w:val="24"/>
          <w:shd w:val="clear" w:color="auto" w:fill="FFFFFF"/>
        </w:rPr>
        <w:t>Peter F. Goldscheider, under appointment by the Supreme Court, for Defendant and Appellant.</w:t>
      </w:r>
    </w:p>
    <w:p w14:paraId="0C1A08E0" w14:textId="77777777" w:rsidR="0046749D" w:rsidRPr="0046749D" w:rsidRDefault="0046749D" w:rsidP="0046749D">
      <w:pPr>
        <w:spacing w:after="0" w:line="240" w:lineRule="auto"/>
        <w:jc w:val="left"/>
        <w:rPr>
          <w:color w:val="212121"/>
          <w:sz w:val="24"/>
          <w:szCs w:val="24"/>
          <w:shd w:val="clear" w:color="auto" w:fill="FFFFFF"/>
        </w:rPr>
      </w:pPr>
    </w:p>
    <w:p w14:paraId="5DD3273B" w14:textId="77777777" w:rsidR="0046749D" w:rsidRPr="0046749D" w:rsidRDefault="0046749D" w:rsidP="0046749D">
      <w:pPr>
        <w:spacing w:after="0" w:line="240" w:lineRule="auto"/>
        <w:jc w:val="left"/>
        <w:rPr>
          <w:color w:val="212121"/>
          <w:sz w:val="24"/>
          <w:szCs w:val="24"/>
          <w:shd w:val="clear" w:color="auto" w:fill="FFFFFF"/>
        </w:rPr>
      </w:pPr>
      <w:r w:rsidRPr="0046749D">
        <w:rPr>
          <w:color w:val="212121"/>
          <w:sz w:val="24"/>
          <w:szCs w:val="24"/>
          <w:shd w:val="clear" w:color="auto" w:fill="FFFFFF"/>
        </w:rPr>
        <w:t>Galit Lipa, State Public Defender, Adriana Gonzalez, Associate Deputy State Public Defender, AJ Kutchins and Jennifer Hansen, Deputy State Public Defenders, for the Office of the State Public Defender as Amicus Curiae on behalf of Defendant and Appellant.</w:t>
      </w:r>
    </w:p>
    <w:p w14:paraId="0894E292" w14:textId="77777777" w:rsidR="0046749D" w:rsidRPr="0046749D" w:rsidRDefault="0046749D" w:rsidP="0046749D">
      <w:pPr>
        <w:spacing w:after="0" w:line="240" w:lineRule="auto"/>
        <w:jc w:val="left"/>
        <w:rPr>
          <w:color w:val="212121"/>
          <w:sz w:val="24"/>
          <w:szCs w:val="24"/>
          <w:shd w:val="clear" w:color="auto" w:fill="FFFFFF"/>
        </w:rPr>
      </w:pPr>
    </w:p>
    <w:p w14:paraId="52C4B03D" w14:textId="77777777" w:rsidR="0046749D" w:rsidRPr="0046749D" w:rsidRDefault="0046749D" w:rsidP="0046749D">
      <w:pPr>
        <w:spacing w:after="0" w:line="240" w:lineRule="auto"/>
        <w:jc w:val="left"/>
        <w:rPr>
          <w:color w:val="212121"/>
          <w:sz w:val="24"/>
          <w:szCs w:val="24"/>
          <w:shd w:val="clear" w:color="auto" w:fill="FFFFFF"/>
        </w:rPr>
      </w:pPr>
      <w:r w:rsidRPr="0046749D">
        <w:rPr>
          <w:color w:val="212121"/>
          <w:sz w:val="24"/>
          <w:szCs w:val="24"/>
          <w:shd w:val="clear" w:color="auto" w:fill="FFFFFF"/>
        </w:rPr>
        <w:t>William J. Arzbaecher for the California Public Defender’s Association as Amicus Curiae on behalf of Defendant and Appellant.</w:t>
      </w:r>
    </w:p>
    <w:p w14:paraId="5EA9ECA6" w14:textId="77777777" w:rsidR="0046749D" w:rsidRPr="0046749D" w:rsidRDefault="0046749D" w:rsidP="0046749D">
      <w:pPr>
        <w:spacing w:after="0" w:line="240" w:lineRule="auto"/>
        <w:jc w:val="left"/>
        <w:rPr>
          <w:color w:val="212121"/>
          <w:sz w:val="24"/>
          <w:szCs w:val="24"/>
          <w:shd w:val="clear" w:color="auto" w:fill="FFFFFF"/>
        </w:rPr>
      </w:pPr>
    </w:p>
    <w:p w14:paraId="37E88A00" w14:textId="77777777" w:rsidR="0046749D" w:rsidRPr="0046749D" w:rsidRDefault="0046749D" w:rsidP="0046749D">
      <w:pPr>
        <w:spacing w:after="0" w:line="240" w:lineRule="auto"/>
        <w:jc w:val="left"/>
        <w:rPr>
          <w:color w:val="212121"/>
          <w:sz w:val="24"/>
          <w:szCs w:val="24"/>
          <w:shd w:val="clear" w:color="auto" w:fill="FFFFFF"/>
        </w:rPr>
      </w:pPr>
      <w:r w:rsidRPr="0046749D">
        <w:rPr>
          <w:color w:val="212121"/>
          <w:sz w:val="24"/>
          <w:szCs w:val="24"/>
          <w:shd w:val="clear" w:color="auto" w:fill="FFFFFF"/>
        </w:rPr>
        <w:t xml:space="preserve">Rob Bonta, Attorney General, Lance E. Winters, Chief Assistant Attorney General, Charles C. Ragland, Assistant Attorney General, Eric A Swenson, Alan L. Amann, Arlene A. Sevidal, James H. Flaherty III and Christine Y. Friedman, Deputy Attorneys General, for Plaintiff and Respondent. </w:t>
      </w:r>
      <w:r w:rsidRPr="0046749D">
        <w:rPr>
          <w:color w:val="212121"/>
          <w:sz w:val="24"/>
          <w:szCs w:val="24"/>
          <w:shd w:val="clear" w:color="auto" w:fill="FFFFFF"/>
        </w:rPr>
        <w:br w:type="page"/>
      </w:r>
      <w:r w:rsidRPr="0046749D">
        <w:rPr>
          <w:b/>
          <w:sz w:val="24"/>
          <w:szCs w:val="24"/>
        </w:rPr>
        <w:lastRenderedPageBreak/>
        <w:t xml:space="preserve">Counsel who argued in Supreme Court (not intended for publication with opinion): </w:t>
      </w:r>
    </w:p>
    <w:p w14:paraId="6F02F8D7" w14:textId="77777777" w:rsidR="0046749D" w:rsidRPr="0046749D" w:rsidRDefault="0046749D" w:rsidP="0046749D">
      <w:pPr>
        <w:spacing w:after="0" w:line="240" w:lineRule="auto"/>
        <w:jc w:val="left"/>
        <w:rPr>
          <w:sz w:val="24"/>
          <w:szCs w:val="24"/>
        </w:rPr>
      </w:pPr>
    </w:p>
    <w:p w14:paraId="60113DF3" w14:textId="77777777" w:rsidR="0046749D" w:rsidRPr="0046749D" w:rsidRDefault="0046749D" w:rsidP="0046749D">
      <w:pPr>
        <w:spacing w:after="0" w:line="240" w:lineRule="auto"/>
        <w:jc w:val="left"/>
        <w:rPr>
          <w:color w:val="212121"/>
          <w:sz w:val="24"/>
          <w:szCs w:val="24"/>
          <w:shd w:val="clear" w:color="auto" w:fill="FFFFFF"/>
        </w:rPr>
      </w:pPr>
      <w:r w:rsidRPr="0046749D">
        <w:rPr>
          <w:color w:val="212121"/>
          <w:sz w:val="24"/>
          <w:szCs w:val="24"/>
          <w:shd w:val="clear" w:color="auto" w:fill="FFFFFF"/>
        </w:rPr>
        <w:t>Peter F. Goldscheider</w:t>
      </w:r>
    </w:p>
    <w:p w14:paraId="10827835" w14:textId="77777777" w:rsidR="0046749D" w:rsidRPr="0046749D" w:rsidRDefault="0046749D" w:rsidP="0046749D">
      <w:pPr>
        <w:spacing w:after="0" w:line="240" w:lineRule="auto"/>
        <w:jc w:val="left"/>
        <w:rPr>
          <w:color w:val="212121"/>
          <w:sz w:val="24"/>
          <w:szCs w:val="24"/>
          <w:shd w:val="clear" w:color="auto" w:fill="FFFFFF"/>
        </w:rPr>
      </w:pPr>
      <w:r w:rsidRPr="0046749D">
        <w:rPr>
          <w:color w:val="212121"/>
          <w:sz w:val="24"/>
          <w:szCs w:val="24"/>
          <w:shd w:val="clear" w:color="auto" w:fill="FFFFFF"/>
        </w:rPr>
        <w:t>Attorney at Law</w:t>
      </w:r>
    </w:p>
    <w:p w14:paraId="784A566D" w14:textId="77777777" w:rsidR="0046749D" w:rsidRPr="0046749D" w:rsidRDefault="0046749D" w:rsidP="0046749D">
      <w:pPr>
        <w:spacing w:after="0" w:line="240" w:lineRule="auto"/>
        <w:jc w:val="left"/>
        <w:rPr>
          <w:sz w:val="24"/>
          <w:szCs w:val="24"/>
        </w:rPr>
      </w:pPr>
      <w:r w:rsidRPr="0046749D">
        <w:rPr>
          <w:sz w:val="24"/>
          <w:szCs w:val="24"/>
        </w:rPr>
        <w:t>600 Allerton Street, Suite 201</w:t>
      </w:r>
    </w:p>
    <w:p w14:paraId="56E2973F" w14:textId="77777777" w:rsidR="0046749D" w:rsidRPr="0046749D" w:rsidRDefault="0046749D" w:rsidP="0046749D">
      <w:pPr>
        <w:spacing w:after="0" w:line="240" w:lineRule="auto"/>
        <w:jc w:val="left"/>
        <w:rPr>
          <w:sz w:val="24"/>
          <w:szCs w:val="24"/>
        </w:rPr>
      </w:pPr>
      <w:r w:rsidRPr="0046749D">
        <w:rPr>
          <w:sz w:val="24"/>
          <w:szCs w:val="24"/>
        </w:rPr>
        <w:t>Redwood City, CA 94063</w:t>
      </w:r>
    </w:p>
    <w:p w14:paraId="4DD12B45" w14:textId="77777777" w:rsidR="0046749D" w:rsidRPr="0046749D" w:rsidRDefault="0046749D" w:rsidP="0046749D">
      <w:pPr>
        <w:spacing w:after="0" w:line="240" w:lineRule="auto"/>
        <w:jc w:val="left"/>
        <w:rPr>
          <w:sz w:val="24"/>
          <w:szCs w:val="24"/>
        </w:rPr>
      </w:pPr>
      <w:r w:rsidRPr="0046749D">
        <w:rPr>
          <w:sz w:val="24"/>
          <w:szCs w:val="24"/>
        </w:rPr>
        <w:t>(650) 323-8296</w:t>
      </w:r>
    </w:p>
    <w:p w14:paraId="6C75D8AB" w14:textId="77777777" w:rsidR="0046749D" w:rsidRPr="0046749D" w:rsidRDefault="0046749D" w:rsidP="0046749D">
      <w:pPr>
        <w:spacing w:after="0" w:line="240" w:lineRule="auto"/>
        <w:jc w:val="left"/>
        <w:rPr>
          <w:sz w:val="24"/>
          <w:szCs w:val="24"/>
        </w:rPr>
      </w:pPr>
    </w:p>
    <w:p w14:paraId="000619D4" w14:textId="77777777" w:rsidR="0046749D" w:rsidRPr="0046749D" w:rsidRDefault="0046749D" w:rsidP="0046749D">
      <w:pPr>
        <w:spacing w:after="0" w:line="240" w:lineRule="auto"/>
        <w:jc w:val="left"/>
        <w:rPr>
          <w:color w:val="212121"/>
          <w:sz w:val="24"/>
          <w:szCs w:val="24"/>
          <w:shd w:val="clear" w:color="auto" w:fill="FFFFFF"/>
        </w:rPr>
      </w:pPr>
      <w:r w:rsidRPr="0046749D">
        <w:rPr>
          <w:color w:val="212121"/>
          <w:sz w:val="24"/>
          <w:szCs w:val="24"/>
          <w:shd w:val="clear" w:color="auto" w:fill="FFFFFF"/>
        </w:rPr>
        <w:t>Christine Y. Friedman</w:t>
      </w:r>
    </w:p>
    <w:p w14:paraId="05197751" w14:textId="77777777" w:rsidR="0046749D" w:rsidRPr="0046749D" w:rsidRDefault="0046749D" w:rsidP="0046749D">
      <w:pPr>
        <w:spacing w:after="0" w:line="240" w:lineRule="auto"/>
        <w:jc w:val="left"/>
        <w:rPr>
          <w:color w:val="212121"/>
          <w:sz w:val="24"/>
          <w:szCs w:val="24"/>
          <w:shd w:val="clear" w:color="auto" w:fill="FFFFFF"/>
        </w:rPr>
      </w:pPr>
      <w:r w:rsidRPr="0046749D">
        <w:rPr>
          <w:color w:val="212121"/>
          <w:sz w:val="24"/>
          <w:szCs w:val="24"/>
          <w:shd w:val="clear" w:color="auto" w:fill="FFFFFF"/>
        </w:rPr>
        <w:t>Deputy Attorney General</w:t>
      </w:r>
    </w:p>
    <w:p w14:paraId="3D0312BA" w14:textId="77777777" w:rsidR="0046749D" w:rsidRPr="0046749D" w:rsidRDefault="0046749D" w:rsidP="0046749D">
      <w:pPr>
        <w:spacing w:after="0" w:line="240" w:lineRule="auto"/>
        <w:jc w:val="left"/>
        <w:rPr>
          <w:color w:val="212121"/>
          <w:sz w:val="24"/>
          <w:szCs w:val="24"/>
          <w:shd w:val="clear" w:color="auto" w:fill="FFFFFF"/>
        </w:rPr>
      </w:pPr>
      <w:r w:rsidRPr="0046749D">
        <w:rPr>
          <w:color w:val="212121"/>
          <w:sz w:val="24"/>
          <w:szCs w:val="24"/>
          <w:shd w:val="clear" w:color="auto" w:fill="FFFFFF"/>
        </w:rPr>
        <w:t>600 West Broadway, Suite 1800</w:t>
      </w:r>
    </w:p>
    <w:p w14:paraId="39F248D3" w14:textId="77777777" w:rsidR="0046749D" w:rsidRPr="0046749D" w:rsidRDefault="0046749D" w:rsidP="0046749D">
      <w:pPr>
        <w:spacing w:after="0" w:line="240" w:lineRule="auto"/>
        <w:jc w:val="left"/>
        <w:rPr>
          <w:color w:val="212121"/>
          <w:sz w:val="24"/>
          <w:szCs w:val="24"/>
          <w:shd w:val="clear" w:color="auto" w:fill="FFFFFF"/>
        </w:rPr>
      </w:pPr>
      <w:r w:rsidRPr="0046749D">
        <w:rPr>
          <w:color w:val="212121"/>
          <w:sz w:val="24"/>
          <w:szCs w:val="24"/>
          <w:shd w:val="clear" w:color="auto" w:fill="FFFFFF"/>
        </w:rPr>
        <w:t>San Diego, CA 92101</w:t>
      </w:r>
    </w:p>
    <w:p w14:paraId="1EE09375" w14:textId="77777777" w:rsidR="0046749D" w:rsidRPr="0046749D" w:rsidRDefault="0046749D" w:rsidP="0046749D">
      <w:pPr>
        <w:spacing w:after="0" w:line="240" w:lineRule="auto"/>
        <w:jc w:val="left"/>
        <w:rPr>
          <w:sz w:val="24"/>
          <w:szCs w:val="24"/>
        </w:rPr>
      </w:pPr>
      <w:r w:rsidRPr="0046749D">
        <w:rPr>
          <w:color w:val="212121"/>
          <w:sz w:val="24"/>
          <w:szCs w:val="24"/>
          <w:shd w:val="clear" w:color="auto" w:fill="FFFFFF"/>
        </w:rPr>
        <w:t>(619) 738-9050</w:t>
      </w:r>
    </w:p>
    <w:p w14:paraId="2885A9F3" w14:textId="77777777" w:rsidR="0046749D" w:rsidRPr="0046749D" w:rsidRDefault="0046749D" w:rsidP="0046749D">
      <w:pPr>
        <w:spacing w:after="0" w:line="240" w:lineRule="auto"/>
        <w:jc w:val="left"/>
        <w:rPr>
          <w:sz w:val="24"/>
          <w:szCs w:val="24"/>
        </w:rPr>
      </w:pPr>
    </w:p>
    <w:p w14:paraId="304FBFB4" w14:textId="77777777" w:rsidR="0046749D" w:rsidRPr="00222C65" w:rsidRDefault="0046749D" w:rsidP="00222C65">
      <w:pPr>
        <w:tabs>
          <w:tab w:val="left" w:pos="1440"/>
        </w:tabs>
        <w:spacing w:after="0" w:line="240" w:lineRule="auto"/>
        <w:rPr>
          <w:b/>
          <w:bCs/>
        </w:rPr>
      </w:pPr>
    </w:p>
    <w:sectPr w:rsidR="0046749D" w:rsidRPr="00222C65" w:rsidSect="00EC2BB8">
      <w:headerReference w:type="default" r:id="rId10"/>
      <w:footerReference w:type="default" r:id="rId11"/>
      <w:pgSz w:w="12240" w:h="15840"/>
      <w:pgMar w:top="1800" w:right="2160" w:bottom="1440" w:left="2160" w:header="720" w:footer="720" w:gutter="0"/>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2F231" w14:textId="77777777" w:rsidR="0002351C" w:rsidRDefault="0002351C">
      <w:pPr>
        <w:spacing w:after="0" w:line="240" w:lineRule="auto"/>
      </w:pPr>
      <w:r>
        <w:separator/>
      </w:r>
    </w:p>
  </w:endnote>
  <w:endnote w:type="continuationSeparator" w:id="0">
    <w:p w14:paraId="42C3CF9C" w14:textId="77777777" w:rsidR="0002351C" w:rsidRDefault="000235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549C0" w14:textId="77777777" w:rsidR="00F12F59" w:rsidRDefault="00000000">
    <w:pPr>
      <w:pStyle w:val="Footer"/>
    </w:pPr>
    <w:r>
      <w:fldChar w:fldCharType="begin"/>
    </w:r>
    <w:r>
      <w:instrText>PAGE</w:instrText>
    </w:r>
    <w:r>
      <w:fldChar w:fldCharType="separate"/>
    </w:r>
    <w:r>
      <w:rPr>
        <w:noProof/>
      </w:rPr>
      <w:t>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549C1" w14:textId="77777777" w:rsidR="00142DAE" w:rsidRDefault="00000000">
    <w:pPr>
      <w:pStyle w:val="Footer"/>
    </w:pPr>
    <w: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4E552" w14:textId="33FE3F20" w:rsidR="00015C72" w:rsidRPr="00015C72" w:rsidRDefault="00015C72" w:rsidP="00015C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A9D8B" w14:textId="77777777" w:rsidR="0002351C" w:rsidRDefault="0002351C">
      <w:r>
        <w:separator/>
      </w:r>
    </w:p>
  </w:footnote>
  <w:footnote w:type="continuationSeparator" w:id="0">
    <w:p w14:paraId="4AC762AA" w14:textId="77777777" w:rsidR="0002351C" w:rsidRDefault="0002351C">
      <w:pPr>
        <w:rPr>
          <w:sz w:val="22"/>
        </w:rPr>
      </w:pPr>
      <w:r>
        <w:continuationSeparator/>
      </w:r>
    </w:p>
  </w:footnote>
  <w:footnote w:type="continuationNotice" w:id="1">
    <w:p w14:paraId="338692E1" w14:textId="77777777" w:rsidR="0002351C" w:rsidRDefault="0002351C">
      <w:pPr>
        <w:jc w:val="right"/>
        <w:rPr>
          <w:i/>
          <w:sz w:val="20"/>
        </w:rPr>
      </w:pPr>
    </w:p>
  </w:footnote>
  <w:footnote w:id="2">
    <w:p w14:paraId="072549C2" w14:textId="77777777" w:rsidR="002161E1" w:rsidRDefault="00000000">
      <w:pPr>
        <w:pStyle w:val="FootnoteText"/>
      </w:pPr>
      <w:r>
        <w:rPr>
          <w:rStyle w:val="FootnoteReference"/>
        </w:rPr>
        <w:footnoteRef/>
      </w:r>
      <w:r w:rsidR="00003959">
        <w:tab/>
      </w:r>
      <w:r>
        <w:t>A</w:t>
      </w:r>
      <w:r w:rsidRPr="00142DAE">
        <w:t>ll further undesignated references are to this Code</w:t>
      </w:r>
      <w:r>
        <w:t>.</w:t>
      </w:r>
    </w:p>
  </w:footnote>
  <w:footnote w:id="3">
    <w:p w14:paraId="072549C3" w14:textId="77777777" w:rsidR="00BC76CC" w:rsidRDefault="00000000" w:rsidP="00142DAE">
      <w:pPr>
        <w:pStyle w:val="FootnoteText"/>
      </w:pPr>
      <w:r>
        <w:rPr>
          <w:rStyle w:val="FootnoteReference"/>
        </w:rPr>
        <w:footnoteRef/>
      </w:r>
      <w:r>
        <w:t xml:space="preserve"> </w:t>
      </w:r>
      <w:r>
        <w:tab/>
      </w:r>
      <w:r w:rsidRPr="00BC76CC">
        <w:t>We rely largely on the Court of Appeal’s factual and procedural history.</w:t>
      </w:r>
      <w:r w:rsidR="00564EC6">
        <w:t xml:space="preserve"> </w:t>
      </w:r>
      <w:r w:rsidRPr="00BC76CC">
        <w:t xml:space="preserve"> </w:t>
      </w:r>
      <w:bookmarkStart w:id="4" w:name="_Hlk169020250"/>
      <w:r w:rsidRPr="00BC76CC">
        <w:t>(</w:t>
      </w:r>
      <w:r w:rsidRPr="00BC76CC">
        <w:rPr>
          <w:i/>
          <w:iCs/>
        </w:rPr>
        <w:t>People v. Arellano</w:t>
      </w:r>
      <w:r w:rsidR="006B5153">
        <w:t xml:space="preserve"> (2022)</w:t>
      </w:r>
      <w:r w:rsidRPr="00BC76CC">
        <w:t xml:space="preserve"> 86 Cal.App.5th </w:t>
      </w:r>
      <w:r w:rsidR="006F71C9">
        <w:t xml:space="preserve">418, </w:t>
      </w:r>
      <w:r w:rsidRPr="00BC76CC">
        <w:t>423–428</w:t>
      </w:r>
      <w:r w:rsidR="007245C5">
        <w:t xml:space="preserve"> (</w:t>
      </w:r>
      <w:r w:rsidR="007245C5">
        <w:rPr>
          <w:i/>
          <w:iCs/>
        </w:rPr>
        <w:t>Arellano</w:t>
      </w:r>
      <w:r w:rsidR="007245C5">
        <w:t>)</w:t>
      </w:r>
      <w:bookmarkEnd w:id="4"/>
      <w:r w:rsidRPr="00BC76CC">
        <w:t>; see Cal. Rules of Court, rule 8.500(c)(2).)</w:t>
      </w:r>
    </w:p>
  </w:footnote>
  <w:footnote w:id="4">
    <w:p w14:paraId="072549C4" w14:textId="77777777" w:rsidR="009418B4" w:rsidRDefault="00000000" w:rsidP="00142DAE">
      <w:pPr>
        <w:pStyle w:val="FootnoteText"/>
      </w:pPr>
      <w:r>
        <w:rPr>
          <w:rStyle w:val="FootnoteReference"/>
        </w:rPr>
        <w:footnoteRef/>
      </w:r>
      <w:r>
        <w:t xml:space="preserve"> </w:t>
      </w:r>
      <w:r>
        <w:tab/>
      </w:r>
      <w:r w:rsidR="00BE6C54">
        <w:t xml:space="preserve">The amended statute </w:t>
      </w:r>
      <w:r w:rsidR="004E17E5">
        <w:t xml:space="preserve">opened the petitioning procedure to those convicted of attempted murder or manslaughter under a theory that is now invalid.  </w:t>
      </w:r>
      <w:r w:rsidR="00D45D22">
        <w:t xml:space="preserve">Because the redesignated conviction </w:t>
      </w:r>
      <w:r w:rsidR="00991604">
        <w:t xml:space="preserve">in this case </w:t>
      </w:r>
      <w:r w:rsidR="00D45D22">
        <w:t xml:space="preserve">was murder, we refer </w:t>
      </w:r>
      <w:r w:rsidR="005E7B6C">
        <w:t>solely to murder in describing the operation of the resentencing statute.</w:t>
      </w:r>
    </w:p>
  </w:footnote>
  <w:footnote w:id="5">
    <w:p w14:paraId="072549C5" w14:textId="77777777" w:rsidR="000D36A2" w:rsidRDefault="00000000" w:rsidP="000D36A2">
      <w:pPr>
        <w:pStyle w:val="FootnoteText"/>
      </w:pPr>
      <w:r>
        <w:rPr>
          <w:rStyle w:val="FootnoteReference"/>
        </w:rPr>
        <w:footnoteRef/>
      </w:r>
      <w:r>
        <w:t xml:space="preserve"> </w:t>
      </w:r>
      <w:r>
        <w:tab/>
      </w:r>
      <w:r w:rsidRPr="00F3078E">
        <w:t xml:space="preserve">We accordingly express no view whether the </w:t>
      </w:r>
      <w:r w:rsidRPr="00F3078E">
        <w:rPr>
          <w:i/>
          <w:iCs/>
        </w:rPr>
        <w:t>Howard</w:t>
      </w:r>
      <w:r w:rsidRPr="00F3078E">
        <w:t xml:space="preserve"> court correctly imposed an enhancement that had previously been pled and proved.</w:t>
      </w:r>
    </w:p>
  </w:footnote>
  <w:footnote w:id="6">
    <w:p w14:paraId="072549C6" w14:textId="77777777" w:rsidR="009C0E35" w:rsidRDefault="00000000" w:rsidP="00142DAE">
      <w:pPr>
        <w:pStyle w:val="FootnoteText"/>
      </w:pPr>
      <w:r>
        <w:rPr>
          <w:rStyle w:val="FootnoteReference"/>
        </w:rPr>
        <w:footnoteRef/>
      </w:r>
      <w:r>
        <w:t xml:space="preserve"> </w:t>
      </w:r>
      <w:r>
        <w:tab/>
      </w:r>
      <w:r w:rsidRPr="009C0E35">
        <w:t xml:space="preserve">The parties agree that the resentencing in this case was governed by section 1172.6, subdivision (e) despite the fact that here, as in </w:t>
      </w:r>
      <w:r w:rsidR="00E91D08">
        <w:rPr>
          <w:i/>
          <w:iCs/>
        </w:rPr>
        <w:t>Silva</w:t>
      </w:r>
      <w:r w:rsidR="00C92EE8">
        <w:t xml:space="preserve"> and </w:t>
      </w:r>
      <w:r w:rsidRPr="009C0E35">
        <w:rPr>
          <w:i/>
          <w:iCs/>
        </w:rPr>
        <w:t>Howard</w:t>
      </w:r>
      <w:r w:rsidRPr="009C0E35">
        <w:t xml:space="preserve">, an accusatory pleading did at one point charge the underlying felony.  (See </w:t>
      </w:r>
      <w:r w:rsidRPr="009C0E35">
        <w:rPr>
          <w:i/>
          <w:iCs/>
        </w:rPr>
        <w:t>Arellano</w:t>
      </w:r>
      <w:r w:rsidRPr="009C0E35">
        <w:t xml:space="preserve">, </w:t>
      </w:r>
      <w:r w:rsidRPr="009C0E35">
        <w:rPr>
          <w:i/>
          <w:iCs/>
        </w:rPr>
        <w:t>supra</w:t>
      </w:r>
      <w:r w:rsidRPr="009C0E35">
        <w:t>, 86 Cal.App.5th at p</w:t>
      </w:r>
      <w:r w:rsidR="00651635">
        <w:t>p</w:t>
      </w:r>
      <w:r w:rsidRPr="009C0E35">
        <w:t xml:space="preserve">. </w:t>
      </w:r>
      <w:r w:rsidR="00651635">
        <w:t xml:space="preserve">423, </w:t>
      </w:r>
      <w:r w:rsidRPr="009C0E35">
        <w:t xml:space="preserve">432; </w:t>
      </w:r>
      <w:r w:rsidR="0034386F">
        <w:rPr>
          <w:i/>
          <w:iCs/>
        </w:rPr>
        <w:t>Silva</w:t>
      </w:r>
      <w:r w:rsidR="00064468">
        <w:t xml:space="preserve">, </w:t>
      </w:r>
      <w:r w:rsidR="00064468">
        <w:rPr>
          <w:i/>
          <w:iCs/>
        </w:rPr>
        <w:t>supra</w:t>
      </w:r>
      <w:r w:rsidR="00064468">
        <w:t xml:space="preserve">, </w:t>
      </w:r>
      <w:r w:rsidR="00051F7B">
        <w:t>72 Cal.App.5th at p.</w:t>
      </w:r>
      <w:r w:rsidR="006805C4">
        <w:t> </w:t>
      </w:r>
      <w:r w:rsidR="00051F7B">
        <w:t>512;</w:t>
      </w:r>
      <w:r w:rsidR="00064468">
        <w:t xml:space="preserve"> </w:t>
      </w:r>
      <w:r w:rsidRPr="009C0E35">
        <w:rPr>
          <w:i/>
          <w:iCs/>
        </w:rPr>
        <w:t>Howard</w:t>
      </w:r>
      <w:r w:rsidRPr="009C0E35">
        <w:t xml:space="preserve">, </w:t>
      </w:r>
      <w:r w:rsidRPr="009C0E35">
        <w:rPr>
          <w:i/>
          <w:iCs/>
        </w:rPr>
        <w:t>supra</w:t>
      </w:r>
      <w:r w:rsidRPr="009C0E35">
        <w:t>, 50 Cal.App.5th at p. 733, fn. 2.)  What matters for purposes of subdivision (e)’s requirement that “the murder was charged generically” and the underlying felony or target offense “was not charged” is that the defendant was neither convicted of the underlying felony or target offense nor was either crime actually litigated.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549BD" w14:textId="77777777" w:rsidR="00142DAE" w:rsidRDefault="00000000">
    <w:pPr>
      <w:pStyle w:val="Header"/>
    </w:pPr>
    <w:r>
      <w:t>PEOPLE v. ARELLANO</w:t>
    </w:r>
  </w:p>
  <w:p w14:paraId="072549BE" w14:textId="77777777" w:rsidR="00142DAE" w:rsidRDefault="00000000">
    <w:pPr>
      <w:pStyle w:val="Header"/>
    </w:pPr>
    <w:r>
      <w:t>Opinion of the Court by Evans, J.</w:t>
    </w:r>
  </w:p>
  <w:p w14:paraId="072549BF" w14:textId="77777777" w:rsidR="00142DAE" w:rsidRDefault="00142D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AD08F" w14:textId="77777777" w:rsidR="00015C72" w:rsidRPr="00015C72" w:rsidRDefault="00015C72" w:rsidP="00015C7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removePersonalInformation/>
  <w:removeDateAndTime/>
  <w:printFractionalCharacterWidth/>
  <w:proofState w:spelling="clean" w:grammar="clean"/>
  <w:defaultTabStop w:val="720"/>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FB0"/>
    <w:rsid w:val="0000188F"/>
    <w:rsid w:val="000018EE"/>
    <w:rsid w:val="00003462"/>
    <w:rsid w:val="00003959"/>
    <w:rsid w:val="00003AAA"/>
    <w:rsid w:val="000049F1"/>
    <w:rsid w:val="0000660C"/>
    <w:rsid w:val="00007BF5"/>
    <w:rsid w:val="00011159"/>
    <w:rsid w:val="00011835"/>
    <w:rsid w:val="00011B76"/>
    <w:rsid w:val="00012039"/>
    <w:rsid w:val="00012A84"/>
    <w:rsid w:val="00013268"/>
    <w:rsid w:val="000143FA"/>
    <w:rsid w:val="000145F7"/>
    <w:rsid w:val="00014A80"/>
    <w:rsid w:val="00015C4A"/>
    <w:rsid w:val="00015C72"/>
    <w:rsid w:val="00015C9D"/>
    <w:rsid w:val="00015E82"/>
    <w:rsid w:val="00016D53"/>
    <w:rsid w:val="00017F17"/>
    <w:rsid w:val="0002094C"/>
    <w:rsid w:val="000220D1"/>
    <w:rsid w:val="00022B18"/>
    <w:rsid w:val="0002351C"/>
    <w:rsid w:val="00023D0D"/>
    <w:rsid w:val="00023E05"/>
    <w:rsid w:val="00024174"/>
    <w:rsid w:val="000247A5"/>
    <w:rsid w:val="00024E84"/>
    <w:rsid w:val="00025C10"/>
    <w:rsid w:val="0002691C"/>
    <w:rsid w:val="00026C16"/>
    <w:rsid w:val="000311AE"/>
    <w:rsid w:val="00036132"/>
    <w:rsid w:val="0003625D"/>
    <w:rsid w:val="00036751"/>
    <w:rsid w:val="00040B7E"/>
    <w:rsid w:val="00040E84"/>
    <w:rsid w:val="00042009"/>
    <w:rsid w:val="00042C50"/>
    <w:rsid w:val="00042E62"/>
    <w:rsid w:val="000434AC"/>
    <w:rsid w:val="00045CF3"/>
    <w:rsid w:val="00046883"/>
    <w:rsid w:val="0004765E"/>
    <w:rsid w:val="00047959"/>
    <w:rsid w:val="00050416"/>
    <w:rsid w:val="000509F0"/>
    <w:rsid w:val="00050B5E"/>
    <w:rsid w:val="00051F7B"/>
    <w:rsid w:val="00052524"/>
    <w:rsid w:val="000534A9"/>
    <w:rsid w:val="00057D5F"/>
    <w:rsid w:val="00060CBF"/>
    <w:rsid w:val="0006130D"/>
    <w:rsid w:val="0006208B"/>
    <w:rsid w:val="00062122"/>
    <w:rsid w:val="00063A1D"/>
    <w:rsid w:val="00064468"/>
    <w:rsid w:val="00064EFB"/>
    <w:rsid w:val="00065788"/>
    <w:rsid w:val="00066BD9"/>
    <w:rsid w:val="0006788A"/>
    <w:rsid w:val="00070E25"/>
    <w:rsid w:val="00070EBC"/>
    <w:rsid w:val="00073084"/>
    <w:rsid w:val="00075A98"/>
    <w:rsid w:val="00077949"/>
    <w:rsid w:val="00077A8E"/>
    <w:rsid w:val="00077CD2"/>
    <w:rsid w:val="00080D7D"/>
    <w:rsid w:val="00080F6D"/>
    <w:rsid w:val="00081B5A"/>
    <w:rsid w:val="000826BB"/>
    <w:rsid w:val="00082793"/>
    <w:rsid w:val="000832A2"/>
    <w:rsid w:val="00086D54"/>
    <w:rsid w:val="000873B9"/>
    <w:rsid w:val="00087BF3"/>
    <w:rsid w:val="00087C23"/>
    <w:rsid w:val="000906E3"/>
    <w:rsid w:val="00090E8B"/>
    <w:rsid w:val="00093206"/>
    <w:rsid w:val="00093F5D"/>
    <w:rsid w:val="00094618"/>
    <w:rsid w:val="00094761"/>
    <w:rsid w:val="000953CE"/>
    <w:rsid w:val="000A0899"/>
    <w:rsid w:val="000A1696"/>
    <w:rsid w:val="000A1E0D"/>
    <w:rsid w:val="000A42FB"/>
    <w:rsid w:val="000A4542"/>
    <w:rsid w:val="000A6367"/>
    <w:rsid w:val="000A65E1"/>
    <w:rsid w:val="000A6A03"/>
    <w:rsid w:val="000A75A8"/>
    <w:rsid w:val="000A760A"/>
    <w:rsid w:val="000B0699"/>
    <w:rsid w:val="000B08D0"/>
    <w:rsid w:val="000B0D02"/>
    <w:rsid w:val="000B1901"/>
    <w:rsid w:val="000B4095"/>
    <w:rsid w:val="000B42C3"/>
    <w:rsid w:val="000C174F"/>
    <w:rsid w:val="000C232B"/>
    <w:rsid w:val="000C30A0"/>
    <w:rsid w:val="000C30B1"/>
    <w:rsid w:val="000C33D8"/>
    <w:rsid w:val="000C3997"/>
    <w:rsid w:val="000C3E50"/>
    <w:rsid w:val="000C4076"/>
    <w:rsid w:val="000C5722"/>
    <w:rsid w:val="000C611D"/>
    <w:rsid w:val="000C61B6"/>
    <w:rsid w:val="000C66EC"/>
    <w:rsid w:val="000C7FF6"/>
    <w:rsid w:val="000D19B1"/>
    <w:rsid w:val="000D1DFA"/>
    <w:rsid w:val="000D2AE0"/>
    <w:rsid w:val="000D32FA"/>
    <w:rsid w:val="000D3341"/>
    <w:rsid w:val="000D36A2"/>
    <w:rsid w:val="000D3992"/>
    <w:rsid w:val="000D4FC9"/>
    <w:rsid w:val="000D7C7F"/>
    <w:rsid w:val="000E02F9"/>
    <w:rsid w:val="000E0BA3"/>
    <w:rsid w:val="000E1176"/>
    <w:rsid w:val="000E1DF5"/>
    <w:rsid w:val="000E33AE"/>
    <w:rsid w:val="000E4383"/>
    <w:rsid w:val="000E49B9"/>
    <w:rsid w:val="000E4A95"/>
    <w:rsid w:val="000E608F"/>
    <w:rsid w:val="000E6951"/>
    <w:rsid w:val="000F009B"/>
    <w:rsid w:val="000F0224"/>
    <w:rsid w:val="000F04CF"/>
    <w:rsid w:val="000F09E8"/>
    <w:rsid w:val="000F1D45"/>
    <w:rsid w:val="000F238C"/>
    <w:rsid w:val="000F30F4"/>
    <w:rsid w:val="000F4ABA"/>
    <w:rsid w:val="000F4D71"/>
    <w:rsid w:val="000F4F3C"/>
    <w:rsid w:val="000F543A"/>
    <w:rsid w:val="000F5D33"/>
    <w:rsid w:val="000F72E8"/>
    <w:rsid w:val="000F75F0"/>
    <w:rsid w:val="00101873"/>
    <w:rsid w:val="00103EC3"/>
    <w:rsid w:val="0010579A"/>
    <w:rsid w:val="001059FE"/>
    <w:rsid w:val="00106435"/>
    <w:rsid w:val="00106620"/>
    <w:rsid w:val="001070D0"/>
    <w:rsid w:val="0010739B"/>
    <w:rsid w:val="0010772F"/>
    <w:rsid w:val="00110960"/>
    <w:rsid w:val="00110FF4"/>
    <w:rsid w:val="001117C6"/>
    <w:rsid w:val="001135EC"/>
    <w:rsid w:val="0011373C"/>
    <w:rsid w:val="00115C3C"/>
    <w:rsid w:val="001165A4"/>
    <w:rsid w:val="00117142"/>
    <w:rsid w:val="00120188"/>
    <w:rsid w:val="0012129E"/>
    <w:rsid w:val="0012136C"/>
    <w:rsid w:val="00121AA6"/>
    <w:rsid w:val="00122270"/>
    <w:rsid w:val="00122C02"/>
    <w:rsid w:val="00125211"/>
    <w:rsid w:val="00130076"/>
    <w:rsid w:val="001300C5"/>
    <w:rsid w:val="00130E97"/>
    <w:rsid w:val="0013107F"/>
    <w:rsid w:val="00131198"/>
    <w:rsid w:val="00131DD6"/>
    <w:rsid w:val="00132BD6"/>
    <w:rsid w:val="00134DF1"/>
    <w:rsid w:val="00135256"/>
    <w:rsid w:val="0013526E"/>
    <w:rsid w:val="00137B55"/>
    <w:rsid w:val="00140D71"/>
    <w:rsid w:val="001423D1"/>
    <w:rsid w:val="00142DAE"/>
    <w:rsid w:val="00142F74"/>
    <w:rsid w:val="0014360C"/>
    <w:rsid w:val="00143FB7"/>
    <w:rsid w:val="00144B00"/>
    <w:rsid w:val="00144E7F"/>
    <w:rsid w:val="00145307"/>
    <w:rsid w:val="001458B9"/>
    <w:rsid w:val="00146AE1"/>
    <w:rsid w:val="00146C79"/>
    <w:rsid w:val="00150484"/>
    <w:rsid w:val="00150CC4"/>
    <w:rsid w:val="001511F5"/>
    <w:rsid w:val="001521CA"/>
    <w:rsid w:val="00154F9C"/>
    <w:rsid w:val="00154FCB"/>
    <w:rsid w:val="0015525E"/>
    <w:rsid w:val="00155348"/>
    <w:rsid w:val="001553BC"/>
    <w:rsid w:val="0015628E"/>
    <w:rsid w:val="0015746B"/>
    <w:rsid w:val="0016189B"/>
    <w:rsid w:val="001629C8"/>
    <w:rsid w:val="00163085"/>
    <w:rsid w:val="00163717"/>
    <w:rsid w:val="001638B9"/>
    <w:rsid w:val="0016540C"/>
    <w:rsid w:val="00166FC7"/>
    <w:rsid w:val="00167531"/>
    <w:rsid w:val="00167A66"/>
    <w:rsid w:val="0017087F"/>
    <w:rsid w:val="001709DB"/>
    <w:rsid w:val="00171A9F"/>
    <w:rsid w:val="001725CA"/>
    <w:rsid w:val="0017299F"/>
    <w:rsid w:val="00172CF0"/>
    <w:rsid w:val="00174D35"/>
    <w:rsid w:val="001753AB"/>
    <w:rsid w:val="00175CE8"/>
    <w:rsid w:val="001765A2"/>
    <w:rsid w:val="00176805"/>
    <w:rsid w:val="00176807"/>
    <w:rsid w:val="00176937"/>
    <w:rsid w:val="0017798B"/>
    <w:rsid w:val="00177B4D"/>
    <w:rsid w:val="00180756"/>
    <w:rsid w:val="0018190B"/>
    <w:rsid w:val="0018290E"/>
    <w:rsid w:val="00182DA3"/>
    <w:rsid w:val="001831CE"/>
    <w:rsid w:val="00184671"/>
    <w:rsid w:val="00184CCE"/>
    <w:rsid w:val="00184FAF"/>
    <w:rsid w:val="00186550"/>
    <w:rsid w:val="00187935"/>
    <w:rsid w:val="001919C1"/>
    <w:rsid w:val="0019287B"/>
    <w:rsid w:val="00193C47"/>
    <w:rsid w:val="001953B3"/>
    <w:rsid w:val="001A0C79"/>
    <w:rsid w:val="001A190A"/>
    <w:rsid w:val="001A54AD"/>
    <w:rsid w:val="001A639B"/>
    <w:rsid w:val="001A6C5F"/>
    <w:rsid w:val="001A714D"/>
    <w:rsid w:val="001A75A1"/>
    <w:rsid w:val="001A7656"/>
    <w:rsid w:val="001B134F"/>
    <w:rsid w:val="001B3180"/>
    <w:rsid w:val="001B4651"/>
    <w:rsid w:val="001B4F94"/>
    <w:rsid w:val="001B69B4"/>
    <w:rsid w:val="001B7EDE"/>
    <w:rsid w:val="001C0DE0"/>
    <w:rsid w:val="001C1493"/>
    <w:rsid w:val="001C371F"/>
    <w:rsid w:val="001C3838"/>
    <w:rsid w:val="001C3D61"/>
    <w:rsid w:val="001C3E3C"/>
    <w:rsid w:val="001C537A"/>
    <w:rsid w:val="001C6F81"/>
    <w:rsid w:val="001C7042"/>
    <w:rsid w:val="001C7670"/>
    <w:rsid w:val="001D0143"/>
    <w:rsid w:val="001D0F7D"/>
    <w:rsid w:val="001D17C1"/>
    <w:rsid w:val="001D1F97"/>
    <w:rsid w:val="001D2305"/>
    <w:rsid w:val="001D3308"/>
    <w:rsid w:val="001D3706"/>
    <w:rsid w:val="001D61D3"/>
    <w:rsid w:val="001D6C36"/>
    <w:rsid w:val="001D7317"/>
    <w:rsid w:val="001D788D"/>
    <w:rsid w:val="001D7909"/>
    <w:rsid w:val="001E04DE"/>
    <w:rsid w:val="001E3595"/>
    <w:rsid w:val="001E4C02"/>
    <w:rsid w:val="001E59D0"/>
    <w:rsid w:val="001E633D"/>
    <w:rsid w:val="001E71EE"/>
    <w:rsid w:val="001F2160"/>
    <w:rsid w:val="001F2546"/>
    <w:rsid w:val="001F25EF"/>
    <w:rsid w:val="001F2888"/>
    <w:rsid w:val="001F2ADB"/>
    <w:rsid w:val="001F40BB"/>
    <w:rsid w:val="001F4DDB"/>
    <w:rsid w:val="001F5725"/>
    <w:rsid w:val="001F6269"/>
    <w:rsid w:val="001F6302"/>
    <w:rsid w:val="00200820"/>
    <w:rsid w:val="00200E61"/>
    <w:rsid w:val="00200E9E"/>
    <w:rsid w:val="00202461"/>
    <w:rsid w:val="00205EE2"/>
    <w:rsid w:val="00206352"/>
    <w:rsid w:val="00212C96"/>
    <w:rsid w:val="00213194"/>
    <w:rsid w:val="002133FA"/>
    <w:rsid w:val="0021352C"/>
    <w:rsid w:val="00214887"/>
    <w:rsid w:val="00214D71"/>
    <w:rsid w:val="00214EA5"/>
    <w:rsid w:val="002153A1"/>
    <w:rsid w:val="00215743"/>
    <w:rsid w:val="002161E1"/>
    <w:rsid w:val="00216627"/>
    <w:rsid w:val="00220445"/>
    <w:rsid w:val="002207FF"/>
    <w:rsid w:val="002208D8"/>
    <w:rsid w:val="00220DF4"/>
    <w:rsid w:val="00222C65"/>
    <w:rsid w:val="00223B50"/>
    <w:rsid w:val="0022420E"/>
    <w:rsid w:val="00227D8A"/>
    <w:rsid w:val="002300EC"/>
    <w:rsid w:val="00230375"/>
    <w:rsid w:val="00230850"/>
    <w:rsid w:val="002308CB"/>
    <w:rsid w:val="00235411"/>
    <w:rsid w:val="0023646D"/>
    <w:rsid w:val="00236CF7"/>
    <w:rsid w:val="002375FA"/>
    <w:rsid w:val="002404D5"/>
    <w:rsid w:val="00240579"/>
    <w:rsid w:val="002412E2"/>
    <w:rsid w:val="00241B98"/>
    <w:rsid w:val="00242EAE"/>
    <w:rsid w:val="00243B08"/>
    <w:rsid w:val="002440DE"/>
    <w:rsid w:val="0024580E"/>
    <w:rsid w:val="00245F15"/>
    <w:rsid w:val="00247493"/>
    <w:rsid w:val="0024783B"/>
    <w:rsid w:val="002512F0"/>
    <w:rsid w:val="002524E1"/>
    <w:rsid w:val="00253B05"/>
    <w:rsid w:val="00254D2A"/>
    <w:rsid w:val="00254D9F"/>
    <w:rsid w:val="00254FDC"/>
    <w:rsid w:val="00255D94"/>
    <w:rsid w:val="00256871"/>
    <w:rsid w:val="00260323"/>
    <w:rsid w:val="002603C3"/>
    <w:rsid w:val="002606BF"/>
    <w:rsid w:val="00261E88"/>
    <w:rsid w:val="002626C9"/>
    <w:rsid w:val="002638ED"/>
    <w:rsid w:val="00264D2E"/>
    <w:rsid w:val="00265472"/>
    <w:rsid w:val="0026548D"/>
    <w:rsid w:val="00265636"/>
    <w:rsid w:val="002658D0"/>
    <w:rsid w:val="002706C7"/>
    <w:rsid w:val="00270CDE"/>
    <w:rsid w:val="002715CB"/>
    <w:rsid w:val="00272C53"/>
    <w:rsid w:val="002736C4"/>
    <w:rsid w:val="002750BF"/>
    <w:rsid w:val="00275190"/>
    <w:rsid w:val="00275BF8"/>
    <w:rsid w:val="00275FF2"/>
    <w:rsid w:val="00276BEE"/>
    <w:rsid w:val="002771E6"/>
    <w:rsid w:val="00277B19"/>
    <w:rsid w:val="00280CB3"/>
    <w:rsid w:val="002817CD"/>
    <w:rsid w:val="00284245"/>
    <w:rsid w:val="00284EA7"/>
    <w:rsid w:val="00285395"/>
    <w:rsid w:val="0028742C"/>
    <w:rsid w:val="00291E40"/>
    <w:rsid w:val="00292836"/>
    <w:rsid w:val="00294761"/>
    <w:rsid w:val="00294FD1"/>
    <w:rsid w:val="002956DD"/>
    <w:rsid w:val="002A07BC"/>
    <w:rsid w:val="002A2872"/>
    <w:rsid w:val="002A3A34"/>
    <w:rsid w:val="002A4A2A"/>
    <w:rsid w:val="002A5B8C"/>
    <w:rsid w:val="002B18DE"/>
    <w:rsid w:val="002B2A00"/>
    <w:rsid w:val="002B3B98"/>
    <w:rsid w:val="002B3D19"/>
    <w:rsid w:val="002B41AD"/>
    <w:rsid w:val="002B5426"/>
    <w:rsid w:val="002B54EE"/>
    <w:rsid w:val="002C05F6"/>
    <w:rsid w:val="002C07F1"/>
    <w:rsid w:val="002C1440"/>
    <w:rsid w:val="002C1944"/>
    <w:rsid w:val="002C1BEB"/>
    <w:rsid w:val="002C3110"/>
    <w:rsid w:val="002C3F0C"/>
    <w:rsid w:val="002C405A"/>
    <w:rsid w:val="002C440C"/>
    <w:rsid w:val="002C46D3"/>
    <w:rsid w:val="002C495D"/>
    <w:rsid w:val="002C566F"/>
    <w:rsid w:val="002C59BD"/>
    <w:rsid w:val="002C5C56"/>
    <w:rsid w:val="002C630A"/>
    <w:rsid w:val="002C69AA"/>
    <w:rsid w:val="002C6D54"/>
    <w:rsid w:val="002C6D7E"/>
    <w:rsid w:val="002C79AD"/>
    <w:rsid w:val="002D0E4A"/>
    <w:rsid w:val="002D3AFC"/>
    <w:rsid w:val="002D3B31"/>
    <w:rsid w:val="002D4B67"/>
    <w:rsid w:val="002D4ECA"/>
    <w:rsid w:val="002D77B0"/>
    <w:rsid w:val="002E04E1"/>
    <w:rsid w:val="002E0A46"/>
    <w:rsid w:val="002E1DD1"/>
    <w:rsid w:val="002E1FB0"/>
    <w:rsid w:val="002E32B4"/>
    <w:rsid w:val="002E58AD"/>
    <w:rsid w:val="002E62B1"/>
    <w:rsid w:val="002E6F8D"/>
    <w:rsid w:val="002E75D1"/>
    <w:rsid w:val="002E7E62"/>
    <w:rsid w:val="002F0414"/>
    <w:rsid w:val="002F09C4"/>
    <w:rsid w:val="002F271C"/>
    <w:rsid w:val="002F4F04"/>
    <w:rsid w:val="002F5D3D"/>
    <w:rsid w:val="002F6F1C"/>
    <w:rsid w:val="003014C1"/>
    <w:rsid w:val="003020A5"/>
    <w:rsid w:val="003032F6"/>
    <w:rsid w:val="00303BFA"/>
    <w:rsid w:val="003040D9"/>
    <w:rsid w:val="00305239"/>
    <w:rsid w:val="00307A7F"/>
    <w:rsid w:val="00310E16"/>
    <w:rsid w:val="003115A6"/>
    <w:rsid w:val="003122F7"/>
    <w:rsid w:val="0031271F"/>
    <w:rsid w:val="00313FC9"/>
    <w:rsid w:val="003140EF"/>
    <w:rsid w:val="00314E04"/>
    <w:rsid w:val="003161A4"/>
    <w:rsid w:val="00316524"/>
    <w:rsid w:val="00316B8B"/>
    <w:rsid w:val="003201F4"/>
    <w:rsid w:val="003204ED"/>
    <w:rsid w:val="00320BA4"/>
    <w:rsid w:val="003211F0"/>
    <w:rsid w:val="003213E9"/>
    <w:rsid w:val="00324573"/>
    <w:rsid w:val="0032497F"/>
    <w:rsid w:val="00324F3D"/>
    <w:rsid w:val="00325573"/>
    <w:rsid w:val="00325915"/>
    <w:rsid w:val="00325F8D"/>
    <w:rsid w:val="00326BBC"/>
    <w:rsid w:val="00326DAC"/>
    <w:rsid w:val="0032717E"/>
    <w:rsid w:val="003273A3"/>
    <w:rsid w:val="0033041F"/>
    <w:rsid w:val="0033494F"/>
    <w:rsid w:val="00334E22"/>
    <w:rsid w:val="00335EEF"/>
    <w:rsid w:val="00337765"/>
    <w:rsid w:val="00337E51"/>
    <w:rsid w:val="003404E8"/>
    <w:rsid w:val="0034059F"/>
    <w:rsid w:val="0034191C"/>
    <w:rsid w:val="00341F69"/>
    <w:rsid w:val="00342187"/>
    <w:rsid w:val="003428F5"/>
    <w:rsid w:val="0034386F"/>
    <w:rsid w:val="003453D9"/>
    <w:rsid w:val="00345E6E"/>
    <w:rsid w:val="00345FF1"/>
    <w:rsid w:val="00346A1D"/>
    <w:rsid w:val="00346F77"/>
    <w:rsid w:val="003471D1"/>
    <w:rsid w:val="00347C8F"/>
    <w:rsid w:val="00351256"/>
    <w:rsid w:val="003550A5"/>
    <w:rsid w:val="003553A8"/>
    <w:rsid w:val="00356B4B"/>
    <w:rsid w:val="00357440"/>
    <w:rsid w:val="00357B87"/>
    <w:rsid w:val="00357B9C"/>
    <w:rsid w:val="003609EB"/>
    <w:rsid w:val="00360AF5"/>
    <w:rsid w:val="003619F2"/>
    <w:rsid w:val="0036293C"/>
    <w:rsid w:val="00362FEC"/>
    <w:rsid w:val="0036400C"/>
    <w:rsid w:val="0036437A"/>
    <w:rsid w:val="0036512C"/>
    <w:rsid w:val="003716A3"/>
    <w:rsid w:val="003716BF"/>
    <w:rsid w:val="00371AAF"/>
    <w:rsid w:val="00376654"/>
    <w:rsid w:val="003768D4"/>
    <w:rsid w:val="00376915"/>
    <w:rsid w:val="003804CE"/>
    <w:rsid w:val="0038083F"/>
    <w:rsid w:val="003809DA"/>
    <w:rsid w:val="0038101F"/>
    <w:rsid w:val="00381AD9"/>
    <w:rsid w:val="003821CB"/>
    <w:rsid w:val="0038224A"/>
    <w:rsid w:val="003853DA"/>
    <w:rsid w:val="003875F8"/>
    <w:rsid w:val="00387A61"/>
    <w:rsid w:val="00390D26"/>
    <w:rsid w:val="003913DC"/>
    <w:rsid w:val="00393BAD"/>
    <w:rsid w:val="00396635"/>
    <w:rsid w:val="003A1115"/>
    <w:rsid w:val="003A2161"/>
    <w:rsid w:val="003A3AA5"/>
    <w:rsid w:val="003A3B86"/>
    <w:rsid w:val="003A3CFC"/>
    <w:rsid w:val="003A4A18"/>
    <w:rsid w:val="003A6F9C"/>
    <w:rsid w:val="003A744E"/>
    <w:rsid w:val="003A7DF7"/>
    <w:rsid w:val="003B1B0B"/>
    <w:rsid w:val="003B3852"/>
    <w:rsid w:val="003B478A"/>
    <w:rsid w:val="003B4931"/>
    <w:rsid w:val="003B53CA"/>
    <w:rsid w:val="003B63D7"/>
    <w:rsid w:val="003B6DE8"/>
    <w:rsid w:val="003B7ABC"/>
    <w:rsid w:val="003C08CF"/>
    <w:rsid w:val="003C29A9"/>
    <w:rsid w:val="003C355C"/>
    <w:rsid w:val="003C3A18"/>
    <w:rsid w:val="003C58CB"/>
    <w:rsid w:val="003C69E6"/>
    <w:rsid w:val="003C772A"/>
    <w:rsid w:val="003C7C93"/>
    <w:rsid w:val="003C7FE8"/>
    <w:rsid w:val="003D19BE"/>
    <w:rsid w:val="003D2E60"/>
    <w:rsid w:val="003D32EE"/>
    <w:rsid w:val="003D364A"/>
    <w:rsid w:val="003D3FEC"/>
    <w:rsid w:val="003D46CA"/>
    <w:rsid w:val="003D55CC"/>
    <w:rsid w:val="003D5DEA"/>
    <w:rsid w:val="003D6086"/>
    <w:rsid w:val="003D6310"/>
    <w:rsid w:val="003D7913"/>
    <w:rsid w:val="003E056E"/>
    <w:rsid w:val="003E096F"/>
    <w:rsid w:val="003E0CF7"/>
    <w:rsid w:val="003E0E76"/>
    <w:rsid w:val="003E0EBD"/>
    <w:rsid w:val="003E1457"/>
    <w:rsid w:val="003E1531"/>
    <w:rsid w:val="003E212C"/>
    <w:rsid w:val="003E2912"/>
    <w:rsid w:val="003E2FD4"/>
    <w:rsid w:val="003E3558"/>
    <w:rsid w:val="003E3EFA"/>
    <w:rsid w:val="003E484E"/>
    <w:rsid w:val="003E48E5"/>
    <w:rsid w:val="003E6FB3"/>
    <w:rsid w:val="003E7698"/>
    <w:rsid w:val="003F1D3A"/>
    <w:rsid w:val="003F2B24"/>
    <w:rsid w:val="003F2D87"/>
    <w:rsid w:val="003F3350"/>
    <w:rsid w:val="003F4300"/>
    <w:rsid w:val="003F44F2"/>
    <w:rsid w:val="003F4654"/>
    <w:rsid w:val="003F477B"/>
    <w:rsid w:val="003F4E17"/>
    <w:rsid w:val="003F4F27"/>
    <w:rsid w:val="003F5BAA"/>
    <w:rsid w:val="003F5C9D"/>
    <w:rsid w:val="003F5FF3"/>
    <w:rsid w:val="003F7064"/>
    <w:rsid w:val="003F77A0"/>
    <w:rsid w:val="0040057A"/>
    <w:rsid w:val="004013B3"/>
    <w:rsid w:val="0040667E"/>
    <w:rsid w:val="004109EE"/>
    <w:rsid w:val="00412A51"/>
    <w:rsid w:val="00413EBB"/>
    <w:rsid w:val="004167EE"/>
    <w:rsid w:val="00416A02"/>
    <w:rsid w:val="00416D9C"/>
    <w:rsid w:val="00417BD6"/>
    <w:rsid w:val="00421289"/>
    <w:rsid w:val="004234D2"/>
    <w:rsid w:val="00423EED"/>
    <w:rsid w:val="00424324"/>
    <w:rsid w:val="0042432A"/>
    <w:rsid w:val="004243A7"/>
    <w:rsid w:val="004249A5"/>
    <w:rsid w:val="0042704F"/>
    <w:rsid w:val="004273A8"/>
    <w:rsid w:val="0042752A"/>
    <w:rsid w:val="00427649"/>
    <w:rsid w:val="004276EE"/>
    <w:rsid w:val="0043039D"/>
    <w:rsid w:val="004307EF"/>
    <w:rsid w:val="00430B74"/>
    <w:rsid w:val="00430BB4"/>
    <w:rsid w:val="00431357"/>
    <w:rsid w:val="004330E2"/>
    <w:rsid w:val="00433E27"/>
    <w:rsid w:val="004341AB"/>
    <w:rsid w:val="00434815"/>
    <w:rsid w:val="0043558F"/>
    <w:rsid w:val="00437A87"/>
    <w:rsid w:val="00440083"/>
    <w:rsid w:val="00440C43"/>
    <w:rsid w:val="00440FEE"/>
    <w:rsid w:val="00441378"/>
    <w:rsid w:val="004428AA"/>
    <w:rsid w:val="00442A2F"/>
    <w:rsid w:val="00443098"/>
    <w:rsid w:val="00443209"/>
    <w:rsid w:val="00443770"/>
    <w:rsid w:val="00444E82"/>
    <w:rsid w:val="00446578"/>
    <w:rsid w:val="00446D77"/>
    <w:rsid w:val="00447026"/>
    <w:rsid w:val="00447F4C"/>
    <w:rsid w:val="00450378"/>
    <w:rsid w:val="00450DEB"/>
    <w:rsid w:val="0045345D"/>
    <w:rsid w:val="004555DA"/>
    <w:rsid w:val="00455CDD"/>
    <w:rsid w:val="00455E15"/>
    <w:rsid w:val="004569F0"/>
    <w:rsid w:val="00457DD1"/>
    <w:rsid w:val="00460B73"/>
    <w:rsid w:val="0046102E"/>
    <w:rsid w:val="00461D45"/>
    <w:rsid w:val="00461F17"/>
    <w:rsid w:val="00466843"/>
    <w:rsid w:val="00467497"/>
    <w:rsid w:val="0046749D"/>
    <w:rsid w:val="0046756F"/>
    <w:rsid w:val="00467EFB"/>
    <w:rsid w:val="0047129A"/>
    <w:rsid w:val="0047190D"/>
    <w:rsid w:val="00471F1C"/>
    <w:rsid w:val="00472568"/>
    <w:rsid w:val="00473544"/>
    <w:rsid w:val="004739BC"/>
    <w:rsid w:val="0047516F"/>
    <w:rsid w:val="004760DA"/>
    <w:rsid w:val="00476CEF"/>
    <w:rsid w:val="0047708F"/>
    <w:rsid w:val="00477F03"/>
    <w:rsid w:val="00480590"/>
    <w:rsid w:val="00480692"/>
    <w:rsid w:val="00482F13"/>
    <w:rsid w:val="00482F5E"/>
    <w:rsid w:val="004841C5"/>
    <w:rsid w:val="004860DB"/>
    <w:rsid w:val="00486DAF"/>
    <w:rsid w:val="00486F95"/>
    <w:rsid w:val="00487CB5"/>
    <w:rsid w:val="00487CF3"/>
    <w:rsid w:val="00490C27"/>
    <w:rsid w:val="00490C6B"/>
    <w:rsid w:val="00494079"/>
    <w:rsid w:val="00494A00"/>
    <w:rsid w:val="004955A4"/>
    <w:rsid w:val="004957A8"/>
    <w:rsid w:val="004965AB"/>
    <w:rsid w:val="00496BEA"/>
    <w:rsid w:val="0049705B"/>
    <w:rsid w:val="004972E1"/>
    <w:rsid w:val="004A0348"/>
    <w:rsid w:val="004A1BD3"/>
    <w:rsid w:val="004A2064"/>
    <w:rsid w:val="004A2924"/>
    <w:rsid w:val="004A3D56"/>
    <w:rsid w:val="004A50B6"/>
    <w:rsid w:val="004A566F"/>
    <w:rsid w:val="004A603B"/>
    <w:rsid w:val="004A66E0"/>
    <w:rsid w:val="004A7853"/>
    <w:rsid w:val="004A799B"/>
    <w:rsid w:val="004B103F"/>
    <w:rsid w:val="004B1A71"/>
    <w:rsid w:val="004B1D61"/>
    <w:rsid w:val="004B23F8"/>
    <w:rsid w:val="004B2F7C"/>
    <w:rsid w:val="004B491C"/>
    <w:rsid w:val="004B7104"/>
    <w:rsid w:val="004B7615"/>
    <w:rsid w:val="004C0349"/>
    <w:rsid w:val="004C03BE"/>
    <w:rsid w:val="004C0488"/>
    <w:rsid w:val="004C138A"/>
    <w:rsid w:val="004C1B26"/>
    <w:rsid w:val="004C1E04"/>
    <w:rsid w:val="004C2A5A"/>
    <w:rsid w:val="004C6EDE"/>
    <w:rsid w:val="004C73C9"/>
    <w:rsid w:val="004C74AF"/>
    <w:rsid w:val="004D0001"/>
    <w:rsid w:val="004D0BF7"/>
    <w:rsid w:val="004D0D6D"/>
    <w:rsid w:val="004D1B16"/>
    <w:rsid w:val="004D33FA"/>
    <w:rsid w:val="004D4B4F"/>
    <w:rsid w:val="004D4D14"/>
    <w:rsid w:val="004D56FB"/>
    <w:rsid w:val="004D59EA"/>
    <w:rsid w:val="004D5C09"/>
    <w:rsid w:val="004D6279"/>
    <w:rsid w:val="004D699D"/>
    <w:rsid w:val="004D6F19"/>
    <w:rsid w:val="004D70E8"/>
    <w:rsid w:val="004D7611"/>
    <w:rsid w:val="004D7946"/>
    <w:rsid w:val="004D79CA"/>
    <w:rsid w:val="004D7A0E"/>
    <w:rsid w:val="004D7F61"/>
    <w:rsid w:val="004E17E5"/>
    <w:rsid w:val="004E2B2F"/>
    <w:rsid w:val="004E2FE0"/>
    <w:rsid w:val="004E3EF8"/>
    <w:rsid w:val="004E42AE"/>
    <w:rsid w:val="004E6023"/>
    <w:rsid w:val="004E6292"/>
    <w:rsid w:val="004E70AC"/>
    <w:rsid w:val="004E7D1F"/>
    <w:rsid w:val="004F12DE"/>
    <w:rsid w:val="004F16EB"/>
    <w:rsid w:val="004F1F0C"/>
    <w:rsid w:val="004F3476"/>
    <w:rsid w:val="004F3525"/>
    <w:rsid w:val="004F44A6"/>
    <w:rsid w:val="004F4E85"/>
    <w:rsid w:val="004F6E34"/>
    <w:rsid w:val="00502AD8"/>
    <w:rsid w:val="00502D2A"/>
    <w:rsid w:val="0050337F"/>
    <w:rsid w:val="0050657F"/>
    <w:rsid w:val="00506F06"/>
    <w:rsid w:val="00507385"/>
    <w:rsid w:val="00507558"/>
    <w:rsid w:val="0050763C"/>
    <w:rsid w:val="005118ED"/>
    <w:rsid w:val="005126A7"/>
    <w:rsid w:val="00512B2C"/>
    <w:rsid w:val="00512F92"/>
    <w:rsid w:val="0051626D"/>
    <w:rsid w:val="0051648A"/>
    <w:rsid w:val="005168B1"/>
    <w:rsid w:val="00521618"/>
    <w:rsid w:val="00521E62"/>
    <w:rsid w:val="00522640"/>
    <w:rsid w:val="00522C37"/>
    <w:rsid w:val="005236EB"/>
    <w:rsid w:val="00524494"/>
    <w:rsid w:val="00525A10"/>
    <w:rsid w:val="0052635B"/>
    <w:rsid w:val="0052653D"/>
    <w:rsid w:val="00526BA4"/>
    <w:rsid w:val="00527563"/>
    <w:rsid w:val="00530186"/>
    <w:rsid w:val="00530896"/>
    <w:rsid w:val="00530970"/>
    <w:rsid w:val="00532AB4"/>
    <w:rsid w:val="00533BE2"/>
    <w:rsid w:val="0053468E"/>
    <w:rsid w:val="00535787"/>
    <w:rsid w:val="0053624F"/>
    <w:rsid w:val="00536858"/>
    <w:rsid w:val="0053765B"/>
    <w:rsid w:val="00537BDC"/>
    <w:rsid w:val="00540DF2"/>
    <w:rsid w:val="0054152B"/>
    <w:rsid w:val="0054287B"/>
    <w:rsid w:val="0054341D"/>
    <w:rsid w:val="00544093"/>
    <w:rsid w:val="00545C7B"/>
    <w:rsid w:val="00546D51"/>
    <w:rsid w:val="0054776F"/>
    <w:rsid w:val="005501D9"/>
    <w:rsid w:val="005504E5"/>
    <w:rsid w:val="00550D96"/>
    <w:rsid w:val="00550E70"/>
    <w:rsid w:val="00551872"/>
    <w:rsid w:val="00551DFD"/>
    <w:rsid w:val="00552343"/>
    <w:rsid w:val="00556E36"/>
    <w:rsid w:val="00557AAB"/>
    <w:rsid w:val="0056136F"/>
    <w:rsid w:val="00561B00"/>
    <w:rsid w:val="00561CDE"/>
    <w:rsid w:val="005624B8"/>
    <w:rsid w:val="005626CD"/>
    <w:rsid w:val="00562A92"/>
    <w:rsid w:val="0056383E"/>
    <w:rsid w:val="00564E44"/>
    <w:rsid w:val="00564EC6"/>
    <w:rsid w:val="00564ED1"/>
    <w:rsid w:val="00565EF3"/>
    <w:rsid w:val="005673B8"/>
    <w:rsid w:val="00567D75"/>
    <w:rsid w:val="0057022A"/>
    <w:rsid w:val="0057295A"/>
    <w:rsid w:val="00572EA0"/>
    <w:rsid w:val="00573621"/>
    <w:rsid w:val="00573828"/>
    <w:rsid w:val="00573B63"/>
    <w:rsid w:val="00573D1E"/>
    <w:rsid w:val="00573DDC"/>
    <w:rsid w:val="00576BF1"/>
    <w:rsid w:val="005772E3"/>
    <w:rsid w:val="00581BCD"/>
    <w:rsid w:val="00581F46"/>
    <w:rsid w:val="00583168"/>
    <w:rsid w:val="005853A6"/>
    <w:rsid w:val="0058587E"/>
    <w:rsid w:val="005874D7"/>
    <w:rsid w:val="00587700"/>
    <w:rsid w:val="00591AC1"/>
    <w:rsid w:val="00592A56"/>
    <w:rsid w:val="00593755"/>
    <w:rsid w:val="00594E24"/>
    <w:rsid w:val="00596CD3"/>
    <w:rsid w:val="005971A6"/>
    <w:rsid w:val="005A05BC"/>
    <w:rsid w:val="005A079F"/>
    <w:rsid w:val="005A0985"/>
    <w:rsid w:val="005A14EE"/>
    <w:rsid w:val="005A160F"/>
    <w:rsid w:val="005A292C"/>
    <w:rsid w:val="005A3501"/>
    <w:rsid w:val="005A3B72"/>
    <w:rsid w:val="005A3EA0"/>
    <w:rsid w:val="005A45DC"/>
    <w:rsid w:val="005A4D16"/>
    <w:rsid w:val="005B0EAE"/>
    <w:rsid w:val="005B120F"/>
    <w:rsid w:val="005B13E0"/>
    <w:rsid w:val="005B1DCB"/>
    <w:rsid w:val="005B22BD"/>
    <w:rsid w:val="005B2DB2"/>
    <w:rsid w:val="005B40FD"/>
    <w:rsid w:val="005B411B"/>
    <w:rsid w:val="005B4948"/>
    <w:rsid w:val="005B7A5D"/>
    <w:rsid w:val="005B7EB2"/>
    <w:rsid w:val="005C0B66"/>
    <w:rsid w:val="005C1CE1"/>
    <w:rsid w:val="005C4E9F"/>
    <w:rsid w:val="005C6FDA"/>
    <w:rsid w:val="005D014F"/>
    <w:rsid w:val="005D1CF0"/>
    <w:rsid w:val="005D1D15"/>
    <w:rsid w:val="005D1FAC"/>
    <w:rsid w:val="005D3F0E"/>
    <w:rsid w:val="005D4C51"/>
    <w:rsid w:val="005D7CBB"/>
    <w:rsid w:val="005D7CD0"/>
    <w:rsid w:val="005D7F1B"/>
    <w:rsid w:val="005E0ED6"/>
    <w:rsid w:val="005E226C"/>
    <w:rsid w:val="005E300F"/>
    <w:rsid w:val="005E359A"/>
    <w:rsid w:val="005E3C42"/>
    <w:rsid w:val="005E47C6"/>
    <w:rsid w:val="005E4ACF"/>
    <w:rsid w:val="005E4BBB"/>
    <w:rsid w:val="005E7B6C"/>
    <w:rsid w:val="005F0077"/>
    <w:rsid w:val="005F06FC"/>
    <w:rsid w:val="005F1806"/>
    <w:rsid w:val="005F200B"/>
    <w:rsid w:val="005F3C4E"/>
    <w:rsid w:val="005F507C"/>
    <w:rsid w:val="005F5193"/>
    <w:rsid w:val="005F5214"/>
    <w:rsid w:val="005F5216"/>
    <w:rsid w:val="005F6509"/>
    <w:rsid w:val="005F6D3B"/>
    <w:rsid w:val="005F7A4B"/>
    <w:rsid w:val="005F7D63"/>
    <w:rsid w:val="006025F5"/>
    <w:rsid w:val="00602A69"/>
    <w:rsid w:val="00602EB9"/>
    <w:rsid w:val="00603833"/>
    <w:rsid w:val="00603E4B"/>
    <w:rsid w:val="00605919"/>
    <w:rsid w:val="00605F9E"/>
    <w:rsid w:val="0060629C"/>
    <w:rsid w:val="00607322"/>
    <w:rsid w:val="00607A74"/>
    <w:rsid w:val="00610991"/>
    <w:rsid w:val="00611CA8"/>
    <w:rsid w:val="00615684"/>
    <w:rsid w:val="00620DEC"/>
    <w:rsid w:val="00621479"/>
    <w:rsid w:val="006216C6"/>
    <w:rsid w:val="0062188E"/>
    <w:rsid w:val="0062374E"/>
    <w:rsid w:val="00623997"/>
    <w:rsid w:val="00623F18"/>
    <w:rsid w:val="006241D6"/>
    <w:rsid w:val="0062488A"/>
    <w:rsid w:val="00624EB5"/>
    <w:rsid w:val="006252A2"/>
    <w:rsid w:val="00630C4E"/>
    <w:rsid w:val="00630C6A"/>
    <w:rsid w:val="00631895"/>
    <w:rsid w:val="00632773"/>
    <w:rsid w:val="00632AC7"/>
    <w:rsid w:val="00632CB9"/>
    <w:rsid w:val="0063316F"/>
    <w:rsid w:val="00633575"/>
    <w:rsid w:val="006353EB"/>
    <w:rsid w:val="00637F5D"/>
    <w:rsid w:val="0064151E"/>
    <w:rsid w:val="006420D4"/>
    <w:rsid w:val="00643C1E"/>
    <w:rsid w:val="00643F56"/>
    <w:rsid w:val="0064400F"/>
    <w:rsid w:val="00644E82"/>
    <w:rsid w:val="0064589A"/>
    <w:rsid w:val="00646888"/>
    <w:rsid w:val="006471E0"/>
    <w:rsid w:val="006477E9"/>
    <w:rsid w:val="00650F7C"/>
    <w:rsid w:val="00651635"/>
    <w:rsid w:val="0065188E"/>
    <w:rsid w:val="00652B6B"/>
    <w:rsid w:val="00653EE9"/>
    <w:rsid w:val="0065441E"/>
    <w:rsid w:val="006557B2"/>
    <w:rsid w:val="00660392"/>
    <w:rsid w:val="0066052B"/>
    <w:rsid w:val="00660702"/>
    <w:rsid w:val="00660D91"/>
    <w:rsid w:val="00663E70"/>
    <w:rsid w:val="00664702"/>
    <w:rsid w:val="00670A56"/>
    <w:rsid w:val="00670D6A"/>
    <w:rsid w:val="0067233E"/>
    <w:rsid w:val="00672418"/>
    <w:rsid w:val="0067247A"/>
    <w:rsid w:val="00672F39"/>
    <w:rsid w:val="00673EB4"/>
    <w:rsid w:val="00674CD7"/>
    <w:rsid w:val="006761A6"/>
    <w:rsid w:val="00676DEB"/>
    <w:rsid w:val="00677221"/>
    <w:rsid w:val="006776F4"/>
    <w:rsid w:val="00677846"/>
    <w:rsid w:val="00677881"/>
    <w:rsid w:val="00677C5F"/>
    <w:rsid w:val="00680083"/>
    <w:rsid w:val="006805C4"/>
    <w:rsid w:val="006812E1"/>
    <w:rsid w:val="00681ECE"/>
    <w:rsid w:val="006824BB"/>
    <w:rsid w:val="0068559B"/>
    <w:rsid w:val="006855A1"/>
    <w:rsid w:val="00687B25"/>
    <w:rsid w:val="00687BE1"/>
    <w:rsid w:val="00690039"/>
    <w:rsid w:val="00690369"/>
    <w:rsid w:val="00691D6A"/>
    <w:rsid w:val="00691F01"/>
    <w:rsid w:val="006920C3"/>
    <w:rsid w:val="006924A1"/>
    <w:rsid w:val="006929BD"/>
    <w:rsid w:val="0069304E"/>
    <w:rsid w:val="00694423"/>
    <w:rsid w:val="00694D49"/>
    <w:rsid w:val="00694DE4"/>
    <w:rsid w:val="00694FA7"/>
    <w:rsid w:val="006959B9"/>
    <w:rsid w:val="00697424"/>
    <w:rsid w:val="006A1EEF"/>
    <w:rsid w:val="006A3A72"/>
    <w:rsid w:val="006A5A47"/>
    <w:rsid w:val="006A7061"/>
    <w:rsid w:val="006A73E4"/>
    <w:rsid w:val="006B1D4C"/>
    <w:rsid w:val="006B28B2"/>
    <w:rsid w:val="006B5153"/>
    <w:rsid w:val="006B6E3D"/>
    <w:rsid w:val="006B6EFF"/>
    <w:rsid w:val="006B7801"/>
    <w:rsid w:val="006C05DF"/>
    <w:rsid w:val="006C09D0"/>
    <w:rsid w:val="006C267D"/>
    <w:rsid w:val="006C31CA"/>
    <w:rsid w:val="006C3C0D"/>
    <w:rsid w:val="006C4DF5"/>
    <w:rsid w:val="006C5773"/>
    <w:rsid w:val="006C5B27"/>
    <w:rsid w:val="006C652A"/>
    <w:rsid w:val="006C779A"/>
    <w:rsid w:val="006D059C"/>
    <w:rsid w:val="006D180D"/>
    <w:rsid w:val="006D2201"/>
    <w:rsid w:val="006D334A"/>
    <w:rsid w:val="006E01AA"/>
    <w:rsid w:val="006E0534"/>
    <w:rsid w:val="006E0A9A"/>
    <w:rsid w:val="006E2AD7"/>
    <w:rsid w:val="006E4B66"/>
    <w:rsid w:val="006E4C7D"/>
    <w:rsid w:val="006E4E41"/>
    <w:rsid w:val="006E66DA"/>
    <w:rsid w:val="006E754D"/>
    <w:rsid w:val="006E7E7C"/>
    <w:rsid w:val="006F03FC"/>
    <w:rsid w:val="006F0C59"/>
    <w:rsid w:val="006F30DD"/>
    <w:rsid w:val="006F3627"/>
    <w:rsid w:val="006F5881"/>
    <w:rsid w:val="006F5A7F"/>
    <w:rsid w:val="006F5D1E"/>
    <w:rsid w:val="006F71C9"/>
    <w:rsid w:val="006F77C8"/>
    <w:rsid w:val="00700047"/>
    <w:rsid w:val="007000B6"/>
    <w:rsid w:val="007007AF"/>
    <w:rsid w:val="00702C86"/>
    <w:rsid w:val="0070435B"/>
    <w:rsid w:val="00704D73"/>
    <w:rsid w:val="00705B55"/>
    <w:rsid w:val="00706502"/>
    <w:rsid w:val="00706B29"/>
    <w:rsid w:val="00706E9C"/>
    <w:rsid w:val="00707393"/>
    <w:rsid w:val="00707632"/>
    <w:rsid w:val="007108BB"/>
    <w:rsid w:val="00710CD6"/>
    <w:rsid w:val="0071691E"/>
    <w:rsid w:val="00717458"/>
    <w:rsid w:val="00717CE8"/>
    <w:rsid w:val="00721949"/>
    <w:rsid w:val="00722A51"/>
    <w:rsid w:val="0072364F"/>
    <w:rsid w:val="00724425"/>
    <w:rsid w:val="007245C5"/>
    <w:rsid w:val="00724956"/>
    <w:rsid w:val="0072553D"/>
    <w:rsid w:val="00726C74"/>
    <w:rsid w:val="007312F8"/>
    <w:rsid w:val="00731C98"/>
    <w:rsid w:val="00731FB6"/>
    <w:rsid w:val="007339C8"/>
    <w:rsid w:val="00734293"/>
    <w:rsid w:val="0073456D"/>
    <w:rsid w:val="00734778"/>
    <w:rsid w:val="00734958"/>
    <w:rsid w:val="007351BE"/>
    <w:rsid w:val="0073527E"/>
    <w:rsid w:val="007364CF"/>
    <w:rsid w:val="0073718E"/>
    <w:rsid w:val="00737651"/>
    <w:rsid w:val="00742142"/>
    <w:rsid w:val="00743B6C"/>
    <w:rsid w:val="00745C37"/>
    <w:rsid w:val="0074789A"/>
    <w:rsid w:val="0075026C"/>
    <w:rsid w:val="00750561"/>
    <w:rsid w:val="0075060C"/>
    <w:rsid w:val="00750B3F"/>
    <w:rsid w:val="00751C25"/>
    <w:rsid w:val="00752485"/>
    <w:rsid w:val="00752ED2"/>
    <w:rsid w:val="0075375B"/>
    <w:rsid w:val="007543A4"/>
    <w:rsid w:val="0075644B"/>
    <w:rsid w:val="007574D7"/>
    <w:rsid w:val="007614D2"/>
    <w:rsid w:val="00762536"/>
    <w:rsid w:val="00764ECB"/>
    <w:rsid w:val="00765C60"/>
    <w:rsid w:val="007678C1"/>
    <w:rsid w:val="00772102"/>
    <w:rsid w:val="00774207"/>
    <w:rsid w:val="007745B1"/>
    <w:rsid w:val="007767E6"/>
    <w:rsid w:val="00782818"/>
    <w:rsid w:val="00782AF6"/>
    <w:rsid w:val="007840EA"/>
    <w:rsid w:val="007843A4"/>
    <w:rsid w:val="0078597B"/>
    <w:rsid w:val="00785B77"/>
    <w:rsid w:val="007867D2"/>
    <w:rsid w:val="00787748"/>
    <w:rsid w:val="007878AF"/>
    <w:rsid w:val="007909EB"/>
    <w:rsid w:val="0079275F"/>
    <w:rsid w:val="00792ECB"/>
    <w:rsid w:val="00793277"/>
    <w:rsid w:val="007939DC"/>
    <w:rsid w:val="00794106"/>
    <w:rsid w:val="00794532"/>
    <w:rsid w:val="0079663D"/>
    <w:rsid w:val="00796904"/>
    <w:rsid w:val="00796B49"/>
    <w:rsid w:val="00797425"/>
    <w:rsid w:val="007977DD"/>
    <w:rsid w:val="007A0E88"/>
    <w:rsid w:val="007A13BF"/>
    <w:rsid w:val="007A1CE3"/>
    <w:rsid w:val="007A1DC1"/>
    <w:rsid w:val="007A21E1"/>
    <w:rsid w:val="007A2EF3"/>
    <w:rsid w:val="007A2F89"/>
    <w:rsid w:val="007A444E"/>
    <w:rsid w:val="007A54BA"/>
    <w:rsid w:val="007A6747"/>
    <w:rsid w:val="007A7407"/>
    <w:rsid w:val="007A76BD"/>
    <w:rsid w:val="007B0760"/>
    <w:rsid w:val="007B0D40"/>
    <w:rsid w:val="007B232C"/>
    <w:rsid w:val="007B3954"/>
    <w:rsid w:val="007B49DE"/>
    <w:rsid w:val="007B4E3D"/>
    <w:rsid w:val="007B4E71"/>
    <w:rsid w:val="007B54E1"/>
    <w:rsid w:val="007B5563"/>
    <w:rsid w:val="007B5724"/>
    <w:rsid w:val="007B583D"/>
    <w:rsid w:val="007B5F10"/>
    <w:rsid w:val="007C02A8"/>
    <w:rsid w:val="007C0478"/>
    <w:rsid w:val="007C1530"/>
    <w:rsid w:val="007C2A97"/>
    <w:rsid w:val="007C3DF3"/>
    <w:rsid w:val="007C44D0"/>
    <w:rsid w:val="007C4EAB"/>
    <w:rsid w:val="007C4FC9"/>
    <w:rsid w:val="007C59CA"/>
    <w:rsid w:val="007C71E7"/>
    <w:rsid w:val="007D0183"/>
    <w:rsid w:val="007D14BB"/>
    <w:rsid w:val="007D1C55"/>
    <w:rsid w:val="007D1DA5"/>
    <w:rsid w:val="007D21EB"/>
    <w:rsid w:val="007D26DC"/>
    <w:rsid w:val="007D27B2"/>
    <w:rsid w:val="007D3DA2"/>
    <w:rsid w:val="007D6B7F"/>
    <w:rsid w:val="007D6F21"/>
    <w:rsid w:val="007E09FC"/>
    <w:rsid w:val="007E0A89"/>
    <w:rsid w:val="007E2767"/>
    <w:rsid w:val="007E2F51"/>
    <w:rsid w:val="007E2FD1"/>
    <w:rsid w:val="007E32B4"/>
    <w:rsid w:val="007E37ED"/>
    <w:rsid w:val="007E4A6D"/>
    <w:rsid w:val="007E5646"/>
    <w:rsid w:val="007E59AC"/>
    <w:rsid w:val="007E5AE2"/>
    <w:rsid w:val="007E6FEB"/>
    <w:rsid w:val="007F297F"/>
    <w:rsid w:val="007F38AA"/>
    <w:rsid w:val="007F3A1D"/>
    <w:rsid w:val="007F5614"/>
    <w:rsid w:val="00801E47"/>
    <w:rsid w:val="008025DE"/>
    <w:rsid w:val="0080510C"/>
    <w:rsid w:val="008053C8"/>
    <w:rsid w:val="00806370"/>
    <w:rsid w:val="008068E2"/>
    <w:rsid w:val="00810612"/>
    <w:rsid w:val="00812197"/>
    <w:rsid w:val="008129D2"/>
    <w:rsid w:val="0081364B"/>
    <w:rsid w:val="0081380C"/>
    <w:rsid w:val="00814600"/>
    <w:rsid w:val="0081741E"/>
    <w:rsid w:val="0081763B"/>
    <w:rsid w:val="008176A9"/>
    <w:rsid w:val="008206A0"/>
    <w:rsid w:val="00820DF5"/>
    <w:rsid w:val="008213C3"/>
    <w:rsid w:val="00821466"/>
    <w:rsid w:val="008215DC"/>
    <w:rsid w:val="00821C73"/>
    <w:rsid w:val="00822BC1"/>
    <w:rsid w:val="008233CA"/>
    <w:rsid w:val="00823F4D"/>
    <w:rsid w:val="008245E9"/>
    <w:rsid w:val="008261AC"/>
    <w:rsid w:val="00826F5B"/>
    <w:rsid w:val="00826F68"/>
    <w:rsid w:val="00827DB9"/>
    <w:rsid w:val="00830192"/>
    <w:rsid w:val="00830564"/>
    <w:rsid w:val="0083080C"/>
    <w:rsid w:val="00832E5D"/>
    <w:rsid w:val="00833406"/>
    <w:rsid w:val="0083348A"/>
    <w:rsid w:val="00833B45"/>
    <w:rsid w:val="0083451B"/>
    <w:rsid w:val="00834AAD"/>
    <w:rsid w:val="008353C6"/>
    <w:rsid w:val="00835801"/>
    <w:rsid w:val="008371F1"/>
    <w:rsid w:val="00837D4E"/>
    <w:rsid w:val="00840410"/>
    <w:rsid w:val="00840B37"/>
    <w:rsid w:val="00841B00"/>
    <w:rsid w:val="00841C67"/>
    <w:rsid w:val="00843A99"/>
    <w:rsid w:val="00844C7A"/>
    <w:rsid w:val="00847DE9"/>
    <w:rsid w:val="00851082"/>
    <w:rsid w:val="008605A0"/>
    <w:rsid w:val="00860B4D"/>
    <w:rsid w:val="00860CBB"/>
    <w:rsid w:val="00861F83"/>
    <w:rsid w:val="0086409E"/>
    <w:rsid w:val="00865B43"/>
    <w:rsid w:val="00866F72"/>
    <w:rsid w:val="008674EE"/>
    <w:rsid w:val="00867A55"/>
    <w:rsid w:val="00867D76"/>
    <w:rsid w:val="00870683"/>
    <w:rsid w:val="00870D0B"/>
    <w:rsid w:val="00870F4C"/>
    <w:rsid w:val="00871FD3"/>
    <w:rsid w:val="008727EE"/>
    <w:rsid w:val="00872BC5"/>
    <w:rsid w:val="00873BE1"/>
    <w:rsid w:val="00875579"/>
    <w:rsid w:val="008757B0"/>
    <w:rsid w:val="00876B55"/>
    <w:rsid w:val="0088024A"/>
    <w:rsid w:val="0088183B"/>
    <w:rsid w:val="00881CF6"/>
    <w:rsid w:val="00882DEA"/>
    <w:rsid w:val="00883167"/>
    <w:rsid w:val="00883919"/>
    <w:rsid w:val="008846A1"/>
    <w:rsid w:val="0088484C"/>
    <w:rsid w:val="00884D12"/>
    <w:rsid w:val="00885586"/>
    <w:rsid w:val="00886EF8"/>
    <w:rsid w:val="008874F1"/>
    <w:rsid w:val="00887BA9"/>
    <w:rsid w:val="00887EA1"/>
    <w:rsid w:val="00892A1E"/>
    <w:rsid w:val="00892DF0"/>
    <w:rsid w:val="0089421D"/>
    <w:rsid w:val="00894BF4"/>
    <w:rsid w:val="008963E4"/>
    <w:rsid w:val="00897160"/>
    <w:rsid w:val="008A1514"/>
    <w:rsid w:val="008A1A90"/>
    <w:rsid w:val="008A1EAE"/>
    <w:rsid w:val="008A2FFD"/>
    <w:rsid w:val="008A312D"/>
    <w:rsid w:val="008A37D0"/>
    <w:rsid w:val="008A4E0C"/>
    <w:rsid w:val="008A6170"/>
    <w:rsid w:val="008A67EA"/>
    <w:rsid w:val="008A6A5E"/>
    <w:rsid w:val="008B0E1A"/>
    <w:rsid w:val="008B252F"/>
    <w:rsid w:val="008B2616"/>
    <w:rsid w:val="008B2D48"/>
    <w:rsid w:val="008B305F"/>
    <w:rsid w:val="008B381F"/>
    <w:rsid w:val="008B3AB7"/>
    <w:rsid w:val="008B3E62"/>
    <w:rsid w:val="008B4AD7"/>
    <w:rsid w:val="008B5202"/>
    <w:rsid w:val="008B5AA6"/>
    <w:rsid w:val="008B7DDF"/>
    <w:rsid w:val="008C2578"/>
    <w:rsid w:val="008C54F9"/>
    <w:rsid w:val="008C583D"/>
    <w:rsid w:val="008C68D6"/>
    <w:rsid w:val="008C7585"/>
    <w:rsid w:val="008C7F90"/>
    <w:rsid w:val="008D0949"/>
    <w:rsid w:val="008D0EAB"/>
    <w:rsid w:val="008D1B2A"/>
    <w:rsid w:val="008D26FB"/>
    <w:rsid w:val="008D3C6C"/>
    <w:rsid w:val="008D5231"/>
    <w:rsid w:val="008D579A"/>
    <w:rsid w:val="008D5827"/>
    <w:rsid w:val="008D5C37"/>
    <w:rsid w:val="008D60A5"/>
    <w:rsid w:val="008E07E4"/>
    <w:rsid w:val="008E161C"/>
    <w:rsid w:val="008E1AE9"/>
    <w:rsid w:val="008E229A"/>
    <w:rsid w:val="008E297B"/>
    <w:rsid w:val="008E3694"/>
    <w:rsid w:val="008E4883"/>
    <w:rsid w:val="008E6056"/>
    <w:rsid w:val="008E6FC6"/>
    <w:rsid w:val="008E719A"/>
    <w:rsid w:val="008E766E"/>
    <w:rsid w:val="008F1FBA"/>
    <w:rsid w:val="008F2955"/>
    <w:rsid w:val="008F29EA"/>
    <w:rsid w:val="008F3D71"/>
    <w:rsid w:val="008F4956"/>
    <w:rsid w:val="008F4CC0"/>
    <w:rsid w:val="008F4FA6"/>
    <w:rsid w:val="008F5245"/>
    <w:rsid w:val="008F64FA"/>
    <w:rsid w:val="008F6569"/>
    <w:rsid w:val="008F6603"/>
    <w:rsid w:val="00900A49"/>
    <w:rsid w:val="00902AF2"/>
    <w:rsid w:val="009078B8"/>
    <w:rsid w:val="009078E6"/>
    <w:rsid w:val="00907F42"/>
    <w:rsid w:val="009107E6"/>
    <w:rsid w:val="0091140A"/>
    <w:rsid w:val="00911714"/>
    <w:rsid w:val="00915BD1"/>
    <w:rsid w:val="00916191"/>
    <w:rsid w:val="00920B0E"/>
    <w:rsid w:val="009220E0"/>
    <w:rsid w:val="00922E61"/>
    <w:rsid w:val="009236FD"/>
    <w:rsid w:val="00925C8C"/>
    <w:rsid w:val="00926530"/>
    <w:rsid w:val="00926DCC"/>
    <w:rsid w:val="009273E8"/>
    <w:rsid w:val="00927BD7"/>
    <w:rsid w:val="00931B5F"/>
    <w:rsid w:val="00933B87"/>
    <w:rsid w:val="009343AD"/>
    <w:rsid w:val="009361ED"/>
    <w:rsid w:val="009370E7"/>
    <w:rsid w:val="009418B4"/>
    <w:rsid w:val="00941B07"/>
    <w:rsid w:val="00941CF0"/>
    <w:rsid w:val="009429A7"/>
    <w:rsid w:val="00943131"/>
    <w:rsid w:val="00943833"/>
    <w:rsid w:val="00944865"/>
    <w:rsid w:val="00944D52"/>
    <w:rsid w:val="009450B4"/>
    <w:rsid w:val="00946E2E"/>
    <w:rsid w:val="009479D0"/>
    <w:rsid w:val="00950A1F"/>
    <w:rsid w:val="009514D3"/>
    <w:rsid w:val="0095221D"/>
    <w:rsid w:val="00952EC7"/>
    <w:rsid w:val="00953BD9"/>
    <w:rsid w:val="00953C6D"/>
    <w:rsid w:val="009549A3"/>
    <w:rsid w:val="00954AB2"/>
    <w:rsid w:val="00954F3F"/>
    <w:rsid w:val="00955838"/>
    <w:rsid w:val="00955B98"/>
    <w:rsid w:val="009565C3"/>
    <w:rsid w:val="00956608"/>
    <w:rsid w:val="00956FAF"/>
    <w:rsid w:val="0096083C"/>
    <w:rsid w:val="009610C1"/>
    <w:rsid w:val="00962FDD"/>
    <w:rsid w:val="00963795"/>
    <w:rsid w:val="00963AAB"/>
    <w:rsid w:val="0096468C"/>
    <w:rsid w:val="00965753"/>
    <w:rsid w:val="009666B0"/>
    <w:rsid w:val="009672E8"/>
    <w:rsid w:val="009673B1"/>
    <w:rsid w:val="00967BC4"/>
    <w:rsid w:val="009706AE"/>
    <w:rsid w:val="009707FF"/>
    <w:rsid w:val="00974564"/>
    <w:rsid w:val="00976732"/>
    <w:rsid w:val="00976F4A"/>
    <w:rsid w:val="0097788F"/>
    <w:rsid w:val="00977B78"/>
    <w:rsid w:val="00977E4F"/>
    <w:rsid w:val="009805B3"/>
    <w:rsid w:val="00982D34"/>
    <w:rsid w:val="009835DE"/>
    <w:rsid w:val="00983719"/>
    <w:rsid w:val="0098499F"/>
    <w:rsid w:val="00985E41"/>
    <w:rsid w:val="0098691E"/>
    <w:rsid w:val="00986CF8"/>
    <w:rsid w:val="009871D0"/>
    <w:rsid w:val="00987633"/>
    <w:rsid w:val="00991509"/>
    <w:rsid w:val="00991604"/>
    <w:rsid w:val="00992005"/>
    <w:rsid w:val="009920EE"/>
    <w:rsid w:val="00993D4F"/>
    <w:rsid w:val="0099559A"/>
    <w:rsid w:val="0099618C"/>
    <w:rsid w:val="009961C1"/>
    <w:rsid w:val="00997119"/>
    <w:rsid w:val="009A190E"/>
    <w:rsid w:val="009A3844"/>
    <w:rsid w:val="009A48A3"/>
    <w:rsid w:val="009A4D18"/>
    <w:rsid w:val="009A55A4"/>
    <w:rsid w:val="009A6D3D"/>
    <w:rsid w:val="009B0586"/>
    <w:rsid w:val="009B0E58"/>
    <w:rsid w:val="009B2913"/>
    <w:rsid w:val="009B506B"/>
    <w:rsid w:val="009B625C"/>
    <w:rsid w:val="009B7332"/>
    <w:rsid w:val="009B7910"/>
    <w:rsid w:val="009C016D"/>
    <w:rsid w:val="009C0E35"/>
    <w:rsid w:val="009C126B"/>
    <w:rsid w:val="009C16A3"/>
    <w:rsid w:val="009C1746"/>
    <w:rsid w:val="009C20AD"/>
    <w:rsid w:val="009C2A6D"/>
    <w:rsid w:val="009C3916"/>
    <w:rsid w:val="009C3B13"/>
    <w:rsid w:val="009C4557"/>
    <w:rsid w:val="009C5666"/>
    <w:rsid w:val="009C7002"/>
    <w:rsid w:val="009C76CD"/>
    <w:rsid w:val="009C78DB"/>
    <w:rsid w:val="009D10CF"/>
    <w:rsid w:val="009D1AB7"/>
    <w:rsid w:val="009D1D69"/>
    <w:rsid w:val="009D29A7"/>
    <w:rsid w:val="009D2C0F"/>
    <w:rsid w:val="009D35C9"/>
    <w:rsid w:val="009D3B0A"/>
    <w:rsid w:val="009D3F65"/>
    <w:rsid w:val="009D676A"/>
    <w:rsid w:val="009E0B15"/>
    <w:rsid w:val="009E0B37"/>
    <w:rsid w:val="009E14BE"/>
    <w:rsid w:val="009E19CD"/>
    <w:rsid w:val="009E45DF"/>
    <w:rsid w:val="009E5A23"/>
    <w:rsid w:val="009E6B08"/>
    <w:rsid w:val="009E6CE1"/>
    <w:rsid w:val="009E74C6"/>
    <w:rsid w:val="009F01E6"/>
    <w:rsid w:val="009F022E"/>
    <w:rsid w:val="009F046D"/>
    <w:rsid w:val="009F0641"/>
    <w:rsid w:val="009F1F5B"/>
    <w:rsid w:val="009F3101"/>
    <w:rsid w:val="009F47BC"/>
    <w:rsid w:val="009F5A3B"/>
    <w:rsid w:val="009F6426"/>
    <w:rsid w:val="009F6997"/>
    <w:rsid w:val="009F71C1"/>
    <w:rsid w:val="009F7718"/>
    <w:rsid w:val="009F7FCE"/>
    <w:rsid w:val="00A006E9"/>
    <w:rsid w:val="00A04A13"/>
    <w:rsid w:val="00A04AC3"/>
    <w:rsid w:val="00A04CB1"/>
    <w:rsid w:val="00A05E4A"/>
    <w:rsid w:val="00A06640"/>
    <w:rsid w:val="00A07E6E"/>
    <w:rsid w:val="00A10391"/>
    <w:rsid w:val="00A11B56"/>
    <w:rsid w:val="00A12062"/>
    <w:rsid w:val="00A12A8B"/>
    <w:rsid w:val="00A12C1E"/>
    <w:rsid w:val="00A12F71"/>
    <w:rsid w:val="00A12FF1"/>
    <w:rsid w:val="00A1350E"/>
    <w:rsid w:val="00A13866"/>
    <w:rsid w:val="00A13A2F"/>
    <w:rsid w:val="00A13AE1"/>
    <w:rsid w:val="00A13F86"/>
    <w:rsid w:val="00A21422"/>
    <w:rsid w:val="00A214A4"/>
    <w:rsid w:val="00A21CF2"/>
    <w:rsid w:val="00A22C9F"/>
    <w:rsid w:val="00A23AC4"/>
    <w:rsid w:val="00A241C1"/>
    <w:rsid w:val="00A26DE8"/>
    <w:rsid w:val="00A27953"/>
    <w:rsid w:val="00A27E21"/>
    <w:rsid w:val="00A30353"/>
    <w:rsid w:val="00A31B88"/>
    <w:rsid w:val="00A31FA8"/>
    <w:rsid w:val="00A3286C"/>
    <w:rsid w:val="00A3384C"/>
    <w:rsid w:val="00A3530E"/>
    <w:rsid w:val="00A35FD9"/>
    <w:rsid w:val="00A36C71"/>
    <w:rsid w:val="00A373C7"/>
    <w:rsid w:val="00A373E3"/>
    <w:rsid w:val="00A3759A"/>
    <w:rsid w:val="00A37D25"/>
    <w:rsid w:val="00A405FA"/>
    <w:rsid w:val="00A425E2"/>
    <w:rsid w:val="00A42A53"/>
    <w:rsid w:val="00A42CBF"/>
    <w:rsid w:val="00A42D3F"/>
    <w:rsid w:val="00A43434"/>
    <w:rsid w:val="00A441AB"/>
    <w:rsid w:val="00A446F7"/>
    <w:rsid w:val="00A44D63"/>
    <w:rsid w:val="00A44E1F"/>
    <w:rsid w:val="00A45E7D"/>
    <w:rsid w:val="00A45EE3"/>
    <w:rsid w:val="00A46DED"/>
    <w:rsid w:val="00A50B65"/>
    <w:rsid w:val="00A51A8B"/>
    <w:rsid w:val="00A52B71"/>
    <w:rsid w:val="00A53025"/>
    <w:rsid w:val="00A53497"/>
    <w:rsid w:val="00A53B5B"/>
    <w:rsid w:val="00A53F3D"/>
    <w:rsid w:val="00A548D7"/>
    <w:rsid w:val="00A550B3"/>
    <w:rsid w:val="00A567E6"/>
    <w:rsid w:val="00A56CDF"/>
    <w:rsid w:val="00A60C06"/>
    <w:rsid w:val="00A60F94"/>
    <w:rsid w:val="00A617D6"/>
    <w:rsid w:val="00A634B6"/>
    <w:rsid w:val="00A6521A"/>
    <w:rsid w:val="00A66ED9"/>
    <w:rsid w:val="00A67985"/>
    <w:rsid w:val="00A67FB4"/>
    <w:rsid w:val="00A70430"/>
    <w:rsid w:val="00A70729"/>
    <w:rsid w:val="00A70FD8"/>
    <w:rsid w:val="00A71047"/>
    <w:rsid w:val="00A71978"/>
    <w:rsid w:val="00A71C51"/>
    <w:rsid w:val="00A72614"/>
    <w:rsid w:val="00A7301F"/>
    <w:rsid w:val="00A7332D"/>
    <w:rsid w:val="00A742C3"/>
    <w:rsid w:val="00A76573"/>
    <w:rsid w:val="00A76AB7"/>
    <w:rsid w:val="00A77B4E"/>
    <w:rsid w:val="00A8024A"/>
    <w:rsid w:val="00A80984"/>
    <w:rsid w:val="00A810FA"/>
    <w:rsid w:val="00A81CE4"/>
    <w:rsid w:val="00A81F92"/>
    <w:rsid w:val="00A82377"/>
    <w:rsid w:val="00A82C23"/>
    <w:rsid w:val="00A83C79"/>
    <w:rsid w:val="00A8476D"/>
    <w:rsid w:val="00A85B46"/>
    <w:rsid w:val="00A85D59"/>
    <w:rsid w:val="00A86C21"/>
    <w:rsid w:val="00A87482"/>
    <w:rsid w:val="00A90148"/>
    <w:rsid w:val="00A90291"/>
    <w:rsid w:val="00A91A5B"/>
    <w:rsid w:val="00A9263B"/>
    <w:rsid w:val="00A969CF"/>
    <w:rsid w:val="00A96A46"/>
    <w:rsid w:val="00AA2F0D"/>
    <w:rsid w:val="00AA35B0"/>
    <w:rsid w:val="00AA39BC"/>
    <w:rsid w:val="00AA472B"/>
    <w:rsid w:val="00AA6477"/>
    <w:rsid w:val="00AB02D2"/>
    <w:rsid w:val="00AB0906"/>
    <w:rsid w:val="00AB2311"/>
    <w:rsid w:val="00AB3C56"/>
    <w:rsid w:val="00AB492F"/>
    <w:rsid w:val="00AB5219"/>
    <w:rsid w:val="00AB5AC9"/>
    <w:rsid w:val="00AB5FF6"/>
    <w:rsid w:val="00AB63F7"/>
    <w:rsid w:val="00AB69DB"/>
    <w:rsid w:val="00AB6BB0"/>
    <w:rsid w:val="00AB7464"/>
    <w:rsid w:val="00AC2638"/>
    <w:rsid w:val="00AC2A93"/>
    <w:rsid w:val="00AC39BA"/>
    <w:rsid w:val="00AC4299"/>
    <w:rsid w:val="00AC5E34"/>
    <w:rsid w:val="00AC61F2"/>
    <w:rsid w:val="00AC77BE"/>
    <w:rsid w:val="00AC7C76"/>
    <w:rsid w:val="00AD079D"/>
    <w:rsid w:val="00AD113F"/>
    <w:rsid w:val="00AD130A"/>
    <w:rsid w:val="00AD1405"/>
    <w:rsid w:val="00AD1DBC"/>
    <w:rsid w:val="00AD244C"/>
    <w:rsid w:val="00AD37A6"/>
    <w:rsid w:val="00AD3898"/>
    <w:rsid w:val="00AD3B45"/>
    <w:rsid w:val="00AD3D68"/>
    <w:rsid w:val="00AD4EEF"/>
    <w:rsid w:val="00AD587F"/>
    <w:rsid w:val="00AD6527"/>
    <w:rsid w:val="00AD66FE"/>
    <w:rsid w:val="00AD7229"/>
    <w:rsid w:val="00AD776A"/>
    <w:rsid w:val="00AD7AE0"/>
    <w:rsid w:val="00AE146B"/>
    <w:rsid w:val="00AE207A"/>
    <w:rsid w:val="00AE41CD"/>
    <w:rsid w:val="00AE53F7"/>
    <w:rsid w:val="00AF038B"/>
    <w:rsid w:val="00AF496C"/>
    <w:rsid w:val="00AF4D61"/>
    <w:rsid w:val="00AF5806"/>
    <w:rsid w:val="00AF5838"/>
    <w:rsid w:val="00AF7463"/>
    <w:rsid w:val="00AF7DBB"/>
    <w:rsid w:val="00B005EE"/>
    <w:rsid w:val="00B02C45"/>
    <w:rsid w:val="00B03F30"/>
    <w:rsid w:val="00B05461"/>
    <w:rsid w:val="00B072D4"/>
    <w:rsid w:val="00B07C0B"/>
    <w:rsid w:val="00B10914"/>
    <w:rsid w:val="00B109D8"/>
    <w:rsid w:val="00B12227"/>
    <w:rsid w:val="00B12E58"/>
    <w:rsid w:val="00B134D5"/>
    <w:rsid w:val="00B139AC"/>
    <w:rsid w:val="00B141EF"/>
    <w:rsid w:val="00B16028"/>
    <w:rsid w:val="00B160BC"/>
    <w:rsid w:val="00B1670F"/>
    <w:rsid w:val="00B17A26"/>
    <w:rsid w:val="00B20517"/>
    <w:rsid w:val="00B234F0"/>
    <w:rsid w:val="00B24467"/>
    <w:rsid w:val="00B2629D"/>
    <w:rsid w:val="00B30EA8"/>
    <w:rsid w:val="00B31930"/>
    <w:rsid w:val="00B31F94"/>
    <w:rsid w:val="00B32F67"/>
    <w:rsid w:val="00B330D4"/>
    <w:rsid w:val="00B343E8"/>
    <w:rsid w:val="00B369D4"/>
    <w:rsid w:val="00B37870"/>
    <w:rsid w:val="00B40713"/>
    <w:rsid w:val="00B41AC3"/>
    <w:rsid w:val="00B437F7"/>
    <w:rsid w:val="00B44309"/>
    <w:rsid w:val="00B445ED"/>
    <w:rsid w:val="00B44C6E"/>
    <w:rsid w:val="00B479C1"/>
    <w:rsid w:val="00B50011"/>
    <w:rsid w:val="00B5061F"/>
    <w:rsid w:val="00B50879"/>
    <w:rsid w:val="00B50B24"/>
    <w:rsid w:val="00B51D17"/>
    <w:rsid w:val="00B528E5"/>
    <w:rsid w:val="00B5321C"/>
    <w:rsid w:val="00B53B9C"/>
    <w:rsid w:val="00B55181"/>
    <w:rsid w:val="00B562E4"/>
    <w:rsid w:val="00B56360"/>
    <w:rsid w:val="00B56D13"/>
    <w:rsid w:val="00B57F05"/>
    <w:rsid w:val="00B60D54"/>
    <w:rsid w:val="00B620C5"/>
    <w:rsid w:val="00B6381D"/>
    <w:rsid w:val="00B6455A"/>
    <w:rsid w:val="00B645A5"/>
    <w:rsid w:val="00B660F4"/>
    <w:rsid w:val="00B66CB9"/>
    <w:rsid w:val="00B709C6"/>
    <w:rsid w:val="00B7129B"/>
    <w:rsid w:val="00B71E13"/>
    <w:rsid w:val="00B74033"/>
    <w:rsid w:val="00B74840"/>
    <w:rsid w:val="00B7577C"/>
    <w:rsid w:val="00B75CBD"/>
    <w:rsid w:val="00B767C1"/>
    <w:rsid w:val="00B77690"/>
    <w:rsid w:val="00B8192F"/>
    <w:rsid w:val="00B81ED8"/>
    <w:rsid w:val="00B822B8"/>
    <w:rsid w:val="00B82DDB"/>
    <w:rsid w:val="00B82F5D"/>
    <w:rsid w:val="00B831F4"/>
    <w:rsid w:val="00B83754"/>
    <w:rsid w:val="00B84133"/>
    <w:rsid w:val="00B847F8"/>
    <w:rsid w:val="00B84B49"/>
    <w:rsid w:val="00B85CD8"/>
    <w:rsid w:val="00B868CA"/>
    <w:rsid w:val="00B87858"/>
    <w:rsid w:val="00B90D5E"/>
    <w:rsid w:val="00B92BC2"/>
    <w:rsid w:val="00B9345E"/>
    <w:rsid w:val="00B94F24"/>
    <w:rsid w:val="00B951DA"/>
    <w:rsid w:val="00B95D3C"/>
    <w:rsid w:val="00B973C8"/>
    <w:rsid w:val="00BA0BC6"/>
    <w:rsid w:val="00BA1620"/>
    <w:rsid w:val="00BA4A1D"/>
    <w:rsid w:val="00BB0DA6"/>
    <w:rsid w:val="00BB0E06"/>
    <w:rsid w:val="00BB2BD5"/>
    <w:rsid w:val="00BB2D83"/>
    <w:rsid w:val="00BB34D4"/>
    <w:rsid w:val="00BB3E94"/>
    <w:rsid w:val="00BB4D54"/>
    <w:rsid w:val="00BB5182"/>
    <w:rsid w:val="00BB5839"/>
    <w:rsid w:val="00BB7511"/>
    <w:rsid w:val="00BB7A7D"/>
    <w:rsid w:val="00BC02A3"/>
    <w:rsid w:val="00BC0A01"/>
    <w:rsid w:val="00BC192A"/>
    <w:rsid w:val="00BC53E8"/>
    <w:rsid w:val="00BC56E4"/>
    <w:rsid w:val="00BC61C5"/>
    <w:rsid w:val="00BC76CC"/>
    <w:rsid w:val="00BC7A75"/>
    <w:rsid w:val="00BD16DD"/>
    <w:rsid w:val="00BD174B"/>
    <w:rsid w:val="00BD1D27"/>
    <w:rsid w:val="00BD1F64"/>
    <w:rsid w:val="00BD3AF9"/>
    <w:rsid w:val="00BD4F09"/>
    <w:rsid w:val="00BD56E2"/>
    <w:rsid w:val="00BD58E8"/>
    <w:rsid w:val="00BD60D0"/>
    <w:rsid w:val="00BD6DA8"/>
    <w:rsid w:val="00BD73FE"/>
    <w:rsid w:val="00BD7B46"/>
    <w:rsid w:val="00BE04BF"/>
    <w:rsid w:val="00BE0BB7"/>
    <w:rsid w:val="00BE0EC4"/>
    <w:rsid w:val="00BE1B2F"/>
    <w:rsid w:val="00BE1E1B"/>
    <w:rsid w:val="00BE27B4"/>
    <w:rsid w:val="00BE2A30"/>
    <w:rsid w:val="00BE3A64"/>
    <w:rsid w:val="00BE3AD0"/>
    <w:rsid w:val="00BE435D"/>
    <w:rsid w:val="00BE465A"/>
    <w:rsid w:val="00BE543C"/>
    <w:rsid w:val="00BE546B"/>
    <w:rsid w:val="00BE5B42"/>
    <w:rsid w:val="00BE6C54"/>
    <w:rsid w:val="00BE7359"/>
    <w:rsid w:val="00BE7BA1"/>
    <w:rsid w:val="00BF21A8"/>
    <w:rsid w:val="00BF51E2"/>
    <w:rsid w:val="00BF6E27"/>
    <w:rsid w:val="00BF7617"/>
    <w:rsid w:val="00C00744"/>
    <w:rsid w:val="00C008BD"/>
    <w:rsid w:val="00C018AC"/>
    <w:rsid w:val="00C0337F"/>
    <w:rsid w:val="00C034E0"/>
    <w:rsid w:val="00C05D9B"/>
    <w:rsid w:val="00C06C54"/>
    <w:rsid w:val="00C075A8"/>
    <w:rsid w:val="00C12127"/>
    <w:rsid w:val="00C121E3"/>
    <w:rsid w:val="00C12406"/>
    <w:rsid w:val="00C13773"/>
    <w:rsid w:val="00C153DF"/>
    <w:rsid w:val="00C16A22"/>
    <w:rsid w:val="00C17D18"/>
    <w:rsid w:val="00C20158"/>
    <w:rsid w:val="00C21CFA"/>
    <w:rsid w:val="00C229AF"/>
    <w:rsid w:val="00C229D1"/>
    <w:rsid w:val="00C22A6E"/>
    <w:rsid w:val="00C233A9"/>
    <w:rsid w:val="00C233B4"/>
    <w:rsid w:val="00C23DEC"/>
    <w:rsid w:val="00C242AA"/>
    <w:rsid w:val="00C24C8C"/>
    <w:rsid w:val="00C250F0"/>
    <w:rsid w:val="00C2560F"/>
    <w:rsid w:val="00C25EDD"/>
    <w:rsid w:val="00C26B16"/>
    <w:rsid w:val="00C26C08"/>
    <w:rsid w:val="00C3115F"/>
    <w:rsid w:val="00C31ACC"/>
    <w:rsid w:val="00C326A7"/>
    <w:rsid w:val="00C3286B"/>
    <w:rsid w:val="00C349D6"/>
    <w:rsid w:val="00C34A9C"/>
    <w:rsid w:val="00C35127"/>
    <w:rsid w:val="00C3620C"/>
    <w:rsid w:val="00C36D49"/>
    <w:rsid w:val="00C37B89"/>
    <w:rsid w:val="00C4173D"/>
    <w:rsid w:val="00C41E36"/>
    <w:rsid w:val="00C4243C"/>
    <w:rsid w:val="00C4466C"/>
    <w:rsid w:val="00C44A65"/>
    <w:rsid w:val="00C44DC5"/>
    <w:rsid w:val="00C44FD3"/>
    <w:rsid w:val="00C46539"/>
    <w:rsid w:val="00C46787"/>
    <w:rsid w:val="00C46ED5"/>
    <w:rsid w:val="00C47701"/>
    <w:rsid w:val="00C47FD7"/>
    <w:rsid w:val="00C524A0"/>
    <w:rsid w:val="00C52D3A"/>
    <w:rsid w:val="00C52D43"/>
    <w:rsid w:val="00C548AC"/>
    <w:rsid w:val="00C556BC"/>
    <w:rsid w:val="00C55803"/>
    <w:rsid w:val="00C558AF"/>
    <w:rsid w:val="00C558E9"/>
    <w:rsid w:val="00C560BE"/>
    <w:rsid w:val="00C57CBF"/>
    <w:rsid w:val="00C57DB0"/>
    <w:rsid w:val="00C606A6"/>
    <w:rsid w:val="00C609AD"/>
    <w:rsid w:val="00C62D07"/>
    <w:rsid w:val="00C62D11"/>
    <w:rsid w:val="00C62F27"/>
    <w:rsid w:val="00C63869"/>
    <w:rsid w:val="00C6398A"/>
    <w:rsid w:val="00C64F0D"/>
    <w:rsid w:val="00C656D6"/>
    <w:rsid w:val="00C66F95"/>
    <w:rsid w:val="00C71F04"/>
    <w:rsid w:val="00C736C3"/>
    <w:rsid w:val="00C7418A"/>
    <w:rsid w:val="00C74408"/>
    <w:rsid w:val="00C74F67"/>
    <w:rsid w:val="00C75A19"/>
    <w:rsid w:val="00C76BF9"/>
    <w:rsid w:val="00C76DB8"/>
    <w:rsid w:val="00C7718B"/>
    <w:rsid w:val="00C804E8"/>
    <w:rsid w:val="00C81091"/>
    <w:rsid w:val="00C81D8C"/>
    <w:rsid w:val="00C82273"/>
    <w:rsid w:val="00C8237D"/>
    <w:rsid w:val="00C855B1"/>
    <w:rsid w:val="00C85658"/>
    <w:rsid w:val="00C861B6"/>
    <w:rsid w:val="00C86468"/>
    <w:rsid w:val="00C9040A"/>
    <w:rsid w:val="00C91446"/>
    <w:rsid w:val="00C92EE8"/>
    <w:rsid w:val="00C93BF0"/>
    <w:rsid w:val="00C9566E"/>
    <w:rsid w:val="00C95F3D"/>
    <w:rsid w:val="00C96326"/>
    <w:rsid w:val="00C96535"/>
    <w:rsid w:val="00C96B45"/>
    <w:rsid w:val="00C96E50"/>
    <w:rsid w:val="00C9714B"/>
    <w:rsid w:val="00C97583"/>
    <w:rsid w:val="00C979E6"/>
    <w:rsid w:val="00CA0189"/>
    <w:rsid w:val="00CA0495"/>
    <w:rsid w:val="00CA08F2"/>
    <w:rsid w:val="00CA0E2C"/>
    <w:rsid w:val="00CA46C8"/>
    <w:rsid w:val="00CA52E9"/>
    <w:rsid w:val="00CA6DC2"/>
    <w:rsid w:val="00CA7D70"/>
    <w:rsid w:val="00CB0239"/>
    <w:rsid w:val="00CB0695"/>
    <w:rsid w:val="00CB0B9A"/>
    <w:rsid w:val="00CB1CAD"/>
    <w:rsid w:val="00CB1CE9"/>
    <w:rsid w:val="00CB2DF5"/>
    <w:rsid w:val="00CB3BCB"/>
    <w:rsid w:val="00CB3C72"/>
    <w:rsid w:val="00CB42F3"/>
    <w:rsid w:val="00CB48AC"/>
    <w:rsid w:val="00CB4C17"/>
    <w:rsid w:val="00CB7B26"/>
    <w:rsid w:val="00CC136E"/>
    <w:rsid w:val="00CC19EA"/>
    <w:rsid w:val="00CC28CE"/>
    <w:rsid w:val="00CC3B73"/>
    <w:rsid w:val="00CC42EE"/>
    <w:rsid w:val="00CC75C4"/>
    <w:rsid w:val="00CC7C1B"/>
    <w:rsid w:val="00CD15AF"/>
    <w:rsid w:val="00CD1881"/>
    <w:rsid w:val="00CD1D33"/>
    <w:rsid w:val="00CD33E0"/>
    <w:rsid w:val="00CD39EA"/>
    <w:rsid w:val="00CD51D4"/>
    <w:rsid w:val="00CD6BE7"/>
    <w:rsid w:val="00CE0736"/>
    <w:rsid w:val="00CE0879"/>
    <w:rsid w:val="00CE3AAF"/>
    <w:rsid w:val="00CE3B6D"/>
    <w:rsid w:val="00CE3F97"/>
    <w:rsid w:val="00CE4136"/>
    <w:rsid w:val="00CE443A"/>
    <w:rsid w:val="00CE55BA"/>
    <w:rsid w:val="00CE5619"/>
    <w:rsid w:val="00CE724E"/>
    <w:rsid w:val="00CF008C"/>
    <w:rsid w:val="00CF0B6A"/>
    <w:rsid w:val="00CF1056"/>
    <w:rsid w:val="00CF1095"/>
    <w:rsid w:val="00CF1E62"/>
    <w:rsid w:val="00CF227B"/>
    <w:rsid w:val="00CF5EF9"/>
    <w:rsid w:val="00CF6F32"/>
    <w:rsid w:val="00CF6FA4"/>
    <w:rsid w:val="00CF7089"/>
    <w:rsid w:val="00CF7574"/>
    <w:rsid w:val="00CF77C0"/>
    <w:rsid w:val="00D019FB"/>
    <w:rsid w:val="00D01D4C"/>
    <w:rsid w:val="00D01DCB"/>
    <w:rsid w:val="00D026DE"/>
    <w:rsid w:val="00D04993"/>
    <w:rsid w:val="00D05805"/>
    <w:rsid w:val="00D0613F"/>
    <w:rsid w:val="00D06805"/>
    <w:rsid w:val="00D06EBC"/>
    <w:rsid w:val="00D10518"/>
    <w:rsid w:val="00D10C4B"/>
    <w:rsid w:val="00D11B4F"/>
    <w:rsid w:val="00D129E1"/>
    <w:rsid w:val="00D13DA6"/>
    <w:rsid w:val="00D13EA7"/>
    <w:rsid w:val="00D1433D"/>
    <w:rsid w:val="00D164C1"/>
    <w:rsid w:val="00D1690A"/>
    <w:rsid w:val="00D17469"/>
    <w:rsid w:val="00D2129F"/>
    <w:rsid w:val="00D212B0"/>
    <w:rsid w:val="00D2611C"/>
    <w:rsid w:val="00D27992"/>
    <w:rsid w:val="00D27D66"/>
    <w:rsid w:val="00D27F0A"/>
    <w:rsid w:val="00D301B4"/>
    <w:rsid w:val="00D3020F"/>
    <w:rsid w:val="00D31F9B"/>
    <w:rsid w:val="00D3297D"/>
    <w:rsid w:val="00D32FC2"/>
    <w:rsid w:val="00D3302E"/>
    <w:rsid w:val="00D33EA0"/>
    <w:rsid w:val="00D34427"/>
    <w:rsid w:val="00D35405"/>
    <w:rsid w:val="00D35518"/>
    <w:rsid w:val="00D35CC7"/>
    <w:rsid w:val="00D36017"/>
    <w:rsid w:val="00D36118"/>
    <w:rsid w:val="00D363AE"/>
    <w:rsid w:val="00D36EFA"/>
    <w:rsid w:val="00D37190"/>
    <w:rsid w:val="00D377D2"/>
    <w:rsid w:val="00D40019"/>
    <w:rsid w:val="00D400F8"/>
    <w:rsid w:val="00D40E9B"/>
    <w:rsid w:val="00D40EA4"/>
    <w:rsid w:val="00D41DCE"/>
    <w:rsid w:val="00D42377"/>
    <w:rsid w:val="00D4461A"/>
    <w:rsid w:val="00D45D22"/>
    <w:rsid w:val="00D47795"/>
    <w:rsid w:val="00D47C05"/>
    <w:rsid w:val="00D50956"/>
    <w:rsid w:val="00D51CF4"/>
    <w:rsid w:val="00D52076"/>
    <w:rsid w:val="00D52663"/>
    <w:rsid w:val="00D5385E"/>
    <w:rsid w:val="00D54DD9"/>
    <w:rsid w:val="00D55903"/>
    <w:rsid w:val="00D564B7"/>
    <w:rsid w:val="00D56CC4"/>
    <w:rsid w:val="00D56DF6"/>
    <w:rsid w:val="00D6036B"/>
    <w:rsid w:val="00D60383"/>
    <w:rsid w:val="00D6091E"/>
    <w:rsid w:val="00D626E6"/>
    <w:rsid w:val="00D6431F"/>
    <w:rsid w:val="00D64715"/>
    <w:rsid w:val="00D64951"/>
    <w:rsid w:val="00D651D1"/>
    <w:rsid w:val="00D6668F"/>
    <w:rsid w:val="00D70631"/>
    <w:rsid w:val="00D70DD7"/>
    <w:rsid w:val="00D72734"/>
    <w:rsid w:val="00D739BE"/>
    <w:rsid w:val="00D73AB7"/>
    <w:rsid w:val="00D7471D"/>
    <w:rsid w:val="00D74935"/>
    <w:rsid w:val="00D74997"/>
    <w:rsid w:val="00D75715"/>
    <w:rsid w:val="00D76457"/>
    <w:rsid w:val="00D76748"/>
    <w:rsid w:val="00D77ADD"/>
    <w:rsid w:val="00D802ED"/>
    <w:rsid w:val="00D80615"/>
    <w:rsid w:val="00D8173E"/>
    <w:rsid w:val="00D8205B"/>
    <w:rsid w:val="00D82BFD"/>
    <w:rsid w:val="00D82D9B"/>
    <w:rsid w:val="00D82FEA"/>
    <w:rsid w:val="00D8323A"/>
    <w:rsid w:val="00D83286"/>
    <w:rsid w:val="00D856E0"/>
    <w:rsid w:val="00D85BF1"/>
    <w:rsid w:val="00D860A6"/>
    <w:rsid w:val="00D87C4F"/>
    <w:rsid w:val="00D91786"/>
    <w:rsid w:val="00D932C0"/>
    <w:rsid w:val="00D95176"/>
    <w:rsid w:val="00D9558C"/>
    <w:rsid w:val="00D95A49"/>
    <w:rsid w:val="00D95F2A"/>
    <w:rsid w:val="00D95FAD"/>
    <w:rsid w:val="00D96685"/>
    <w:rsid w:val="00D973BC"/>
    <w:rsid w:val="00D97522"/>
    <w:rsid w:val="00D97592"/>
    <w:rsid w:val="00DA0172"/>
    <w:rsid w:val="00DA08B8"/>
    <w:rsid w:val="00DA20A3"/>
    <w:rsid w:val="00DA2960"/>
    <w:rsid w:val="00DA44BA"/>
    <w:rsid w:val="00DA4D6F"/>
    <w:rsid w:val="00DA4F8B"/>
    <w:rsid w:val="00DA53E8"/>
    <w:rsid w:val="00DA5DFA"/>
    <w:rsid w:val="00DA6458"/>
    <w:rsid w:val="00DA6C71"/>
    <w:rsid w:val="00DA757B"/>
    <w:rsid w:val="00DB0607"/>
    <w:rsid w:val="00DB09C8"/>
    <w:rsid w:val="00DB0F21"/>
    <w:rsid w:val="00DB147A"/>
    <w:rsid w:val="00DB155F"/>
    <w:rsid w:val="00DB2225"/>
    <w:rsid w:val="00DB29F7"/>
    <w:rsid w:val="00DB3AB1"/>
    <w:rsid w:val="00DB3BEC"/>
    <w:rsid w:val="00DB4D84"/>
    <w:rsid w:val="00DB5090"/>
    <w:rsid w:val="00DB53A9"/>
    <w:rsid w:val="00DB642B"/>
    <w:rsid w:val="00DB69D1"/>
    <w:rsid w:val="00DB6DA3"/>
    <w:rsid w:val="00DB7466"/>
    <w:rsid w:val="00DC073E"/>
    <w:rsid w:val="00DC0AFB"/>
    <w:rsid w:val="00DC0DA8"/>
    <w:rsid w:val="00DC204B"/>
    <w:rsid w:val="00DC2715"/>
    <w:rsid w:val="00DC3743"/>
    <w:rsid w:val="00DC3DAC"/>
    <w:rsid w:val="00DC4046"/>
    <w:rsid w:val="00DC459D"/>
    <w:rsid w:val="00DC46E9"/>
    <w:rsid w:val="00DC4A07"/>
    <w:rsid w:val="00DC4A2E"/>
    <w:rsid w:val="00DC6D10"/>
    <w:rsid w:val="00DC6F09"/>
    <w:rsid w:val="00DC7100"/>
    <w:rsid w:val="00DD3695"/>
    <w:rsid w:val="00DD3731"/>
    <w:rsid w:val="00DD3DDB"/>
    <w:rsid w:val="00DD4686"/>
    <w:rsid w:val="00DD4CA3"/>
    <w:rsid w:val="00DD581B"/>
    <w:rsid w:val="00DD5A8B"/>
    <w:rsid w:val="00DD5B71"/>
    <w:rsid w:val="00DE1303"/>
    <w:rsid w:val="00DE16D5"/>
    <w:rsid w:val="00DE1F82"/>
    <w:rsid w:val="00DE24A2"/>
    <w:rsid w:val="00DE3893"/>
    <w:rsid w:val="00DE38FA"/>
    <w:rsid w:val="00DE4387"/>
    <w:rsid w:val="00DE5964"/>
    <w:rsid w:val="00DE5DD2"/>
    <w:rsid w:val="00DE6030"/>
    <w:rsid w:val="00DE656F"/>
    <w:rsid w:val="00DE66D1"/>
    <w:rsid w:val="00DE6715"/>
    <w:rsid w:val="00DE779B"/>
    <w:rsid w:val="00DF0259"/>
    <w:rsid w:val="00DF2AD5"/>
    <w:rsid w:val="00DF2F17"/>
    <w:rsid w:val="00DF35D9"/>
    <w:rsid w:val="00DF3846"/>
    <w:rsid w:val="00DF4923"/>
    <w:rsid w:val="00DF4F6B"/>
    <w:rsid w:val="00DF50C5"/>
    <w:rsid w:val="00DF5ED2"/>
    <w:rsid w:val="00DF62C5"/>
    <w:rsid w:val="00DF6A7B"/>
    <w:rsid w:val="00DF6C4B"/>
    <w:rsid w:val="00DF7102"/>
    <w:rsid w:val="00DF7305"/>
    <w:rsid w:val="00E018B0"/>
    <w:rsid w:val="00E03850"/>
    <w:rsid w:val="00E04AAA"/>
    <w:rsid w:val="00E05561"/>
    <w:rsid w:val="00E07C76"/>
    <w:rsid w:val="00E108E8"/>
    <w:rsid w:val="00E11792"/>
    <w:rsid w:val="00E127B4"/>
    <w:rsid w:val="00E12D38"/>
    <w:rsid w:val="00E13C4E"/>
    <w:rsid w:val="00E14E56"/>
    <w:rsid w:val="00E163BA"/>
    <w:rsid w:val="00E169FB"/>
    <w:rsid w:val="00E17B67"/>
    <w:rsid w:val="00E17F4F"/>
    <w:rsid w:val="00E20E87"/>
    <w:rsid w:val="00E213C7"/>
    <w:rsid w:val="00E21FC3"/>
    <w:rsid w:val="00E22972"/>
    <w:rsid w:val="00E23019"/>
    <w:rsid w:val="00E23223"/>
    <w:rsid w:val="00E2406A"/>
    <w:rsid w:val="00E26EF6"/>
    <w:rsid w:val="00E27143"/>
    <w:rsid w:val="00E30F1E"/>
    <w:rsid w:val="00E322E8"/>
    <w:rsid w:val="00E32990"/>
    <w:rsid w:val="00E32E91"/>
    <w:rsid w:val="00E32EA5"/>
    <w:rsid w:val="00E3394B"/>
    <w:rsid w:val="00E35234"/>
    <w:rsid w:val="00E368A9"/>
    <w:rsid w:val="00E36D40"/>
    <w:rsid w:val="00E3764E"/>
    <w:rsid w:val="00E37BEF"/>
    <w:rsid w:val="00E405CC"/>
    <w:rsid w:val="00E415C7"/>
    <w:rsid w:val="00E42700"/>
    <w:rsid w:val="00E42C7F"/>
    <w:rsid w:val="00E42CBA"/>
    <w:rsid w:val="00E43479"/>
    <w:rsid w:val="00E44636"/>
    <w:rsid w:val="00E460DC"/>
    <w:rsid w:val="00E4699E"/>
    <w:rsid w:val="00E47068"/>
    <w:rsid w:val="00E47CAC"/>
    <w:rsid w:val="00E47F51"/>
    <w:rsid w:val="00E501E2"/>
    <w:rsid w:val="00E5040E"/>
    <w:rsid w:val="00E50F58"/>
    <w:rsid w:val="00E51FC6"/>
    <w:rsid w:val="00E53DA7"/>
    <w:rsid w:val="00E5471B"/>
    <w:rsid w:val="00E55008"/>
    <w:rsid w:val="00E5576F"/>
    <w:rsid w:val="00E55AAB"/>
    <w:rsid w:val="00E56C2A"/>
    <w:rsid w:val="00E57F93"/>
    <w:rsid w:val="00E63023"/>
    <w:rsid w:val="00E64DC4"/>
    <w:rsid w:val="00E65865"/>
    <w:rsid w:val="00E65E84"/>
    <w:rsid w:val="00E70685"/>
    <w:rsid w:val="00E709A3"/>
    <w:rsid w:val="00E72519"/>
    <w:rsid w:val="00E72BEA"/>
    <w:rsid w:val="00E749B8"/>
    <w:rsid w:val="00E74C0F"/>
    <w:rsid w:val="00E75637"/>
    <w:rsid w:val="00E76754"/>
    <w:rsid w:val="00E77514"/>
    <w:rsid w:val="00E77837"/>
    <w:rsid w:val="00E81FAE"/>
    <w:rsid w:val="00E84C53"/>
    <w:rsid w:val="00E8555A"/>
    <w:rsid w:val="00E86F12"/>
    <w:rsid w:val="00E87368"/>
    <w:rsid w:val="00E87CFE"/>
    <w:rsid w:val="00E908D8"/>
    <w:rsid w:val="00E9108A"/>
    <w:rsid w:val="00E9150D"/>
    <w:rsid w:val="00E919AF"/>
    <w:rsid w:val="00E91C3E"/>
    <w:rsid w:val="00E91D08"/>
    <w:rsid w:val="00E92C91"/>
    <w:rsid w:val="00E938D2"/>
    <w:rsid w:val="00E94A26"/>
    <w:rsid w:val="00E94F2D"/>
    <w:rsid w:val="00E955AC"/>
    <w:rsid w:val="00E96C0B"/>
    <w:rsid w:val="00E9729D"/>
    <w:rsid w:val="00EA0CAA"/>
    <w:rsid w:val="00EA1423"/>
    <w:rsid w:val="00EA65DA"/>
    <w:rsid w:val="00EA6D8B"/>
    <w:rsid w:val="00EA74A2"/>
    <w:rsid w:val="00EA7F5A"/>
    <w:rsid w:val="00EB1763"/>
    <w:rsid w:val="00EB19D1"/>
    <w:rsid w:val="00EB271D"/>
    <w:rsid w:val="00EB2F59"/>
    <w:rsid w:val="00EB3688"/>
    <w:rsid w:val="00EB453C"/>
    <w:rsid w:val="00EB530E"/>
    <w:rsid w:val="00EB5B76"/>
    <w:rsid w:val="00EB7537"/>
    <w:rsid w:val="00EC190B"/>
    <w:rsid w:val="00EC1B9B"/>
    <w:rsid w:val="00EC2A72"/>
    <w:rsid w:val="00EC3B00"/>
    <w:rsid w:val="00EC3E80"/>
    <w:rsid w:val="00EC42FF"/>
    <w:rsid w:val="00EC7D42"/>
    <w:rsid w:val="00ED1109"/>
    <w:rsid w:val="00ED1D80"/>
    <w:rsid w:val="00ED1F7E"/>
    <w:rsid w:val="00ED2AF5"/>
    <w:rsid w:val="00ED7445"/>
    <w:rsid w:val="00ED77B3"/>
    <w:rsid w:val="00EE07CD"/>
    <w:rsid w:val="00EE1B50"/>
    <w:rsid w:val="00EE3A7E"/>
    <w:rsid w:val="00EE52EB"/>
    <w:rsid w:val="00EE691F"/>
    <w:rsid w:val="00EE6A75"/>
    <w:rsid w:val="00EE6B2A"/>
    <w:rsid w:val="00EF0AE6"/>
    <w:rsid w:val="00EF14E4"/>
    <w:rsid w:val="00EF1D31"/>
    <w:rsid w:val="00EF4252"/>
    <w:rsid w:val="00EF4562"/>
    <w:rsid w:val="00EF48AC"/>
    <w:rsid w:val="00EF4F25"/>
    <w:rsid w:val="00EF5C20"/>
    <w:rsid w:val="00EF7B68"/>
    <w:rsid w:val="00F0131B"/>
    <w:rsid w:val="00F01807"/>
    <w:rsid w:val="00F018F1"/>
    <w:rsid w:val="00F03D2E"/>
    <w:rsid w:val="00F040D2"/>
    <w:rsid w:val="00F041C9"/>
    <w:rsid w:val="00F07F3F"/>
    <w:rsid w:val="00F10D07"/>
    <w:rsid w:val="00F12F59"/>
    <w:rsid w:val="00F15C9C"/>
    <w:rsid w:val="00F166D3"/>
    <w:rsid w:val="00F21477"/>
    <w:rsid w:val="00F2191D"/>
    <w:rsid w:val="00F234F0"/>
    <w:rsid w:val="00F252E6"/>
    <w:rsid w:val="00F259B1"/>
    <w:rsid w:val="00F2602B"/>
    <w:rsid w:val="00F26E3C"/>
    <w:rsid w:val="00F278D1"/>
    <w:rsid w:val="00F27C8D"/>
    <w:rsid w:val="00F30013"/>
    <w:rsid w:val="00F3078E"/>
    <w:rsid w:val="00F313D1"/>
    <w:rsid w:val="00F340B5"/>
    <w:rsid w:val="00F34809"/>
    <w:rsid w:val="00F34CB5"/>
    <w:rsid w:val="00F375D5"/>
    <w:rsid w:val="00F378F0"/>
    <w:rsid w:val="00F409B9"/>
    <w:rsid w:val="00F409DF"/>
    <w:rsid w:val="00F415C7"/>
    <w:rsid w:val="00F423B1"/>
    <w:rsid w:val="00F4244F"/>
    <w:rsid w:val="00F4449E"/>
    <w:rsid w:val="00F44D7F"/>
    <w:rsid w:val="00F45B7B"/>
    <w:rsid w:val="00F466B0"/>
    <w:rsid w:val="00F47079"/>
    <w:rsid w:val="00F47966"/>
    <w:rsid w:val="00F50D13"/>
    <w:rsid w:val="00F51CE5"/>
    <w:rsid w:val="00F51ED2"/>
    <w:rsid w:val="00F52ADB"/>
    <w:rsid w:val="00F52EFD"/>
    <w:rsid w:val="00F54CD4"/>
    <w:rsid w:val="00F54DDE"/>
    <w:rsid w:val="00F54FA1"/>
    <w:rsid w:val="00F55256"/>
    <w:rsid w:val="00F55FB6"/>
    <w:rsid w:val="00F601F2"/>
    <w:rsid w:val="00F606C7"/>
    <w:rsid w:val="00F62102"/>
    <w:rsid w:val="00F622B1"/>
    <w:rsid w:val="00F640AB"/>
    <w:rsid w:val="00F64362"/>
    <w:rsid w:val="00F64527"/>
    <w:rsid w:val="00F645F2"/>
    <w:rsid w:val="00F66C9C"/>
    <w:rsid w:val="00F66F02"/>
    <w:rsid w:val="00F70079"/>
    <w:rsid w:val="00F70A1C"/>
    <w:rsid w:val="00F70B26"/>
    <w:rsid w:val="00F70E29"/>
    <w:rsid w:val="00F7101D"/>
    <w:rsid w:val="00F71A33"/>
    <w:rsid w:val="00F7465F"/>
    <w:rsid w:val="00F74DB2"/>
    <w:rsid w:val="00F755FA"/>
    <w:rsid w:val="00F7772D"/>
    <w:rsid w:val="00F82092"/>
    <w:rsid w:val="00F82E84"/>
    <w:rsid w:val="00F83AAA"/>
    <w:rsid w:val="00F84874"/>
    <w:rsid w:val="00F861FC"/>
    <w:rsid w:val="00F86877"/>
    <w:rsid w:val="00F87451"/>
    <w:rsid w:val="00F87490"/>
    <w:rsid w:val="00F90406"/>
    <w:rsid w:val="00F90E0A"/>
    <w:rsid w:val="00F90EED"/>
    <w:rsid w:val="00F917C2"/>
    <w:rsid w:val="00F93C92"/>
    <w:rsid w:val="00F9410B"/>
    <w:rsid w:val="00F9535D"/>
    <w:rsid w:val="00F95B8F"/>
    <w:rsid w:val="00F95DD7"/>
    <w:rsid w:val="00F97E6D"/>
    <w:rsid w:val="00FA02A0"/>
    <w:rsid w:val="00FA0B17"/>
    <w:rsid w:val="00FA0B49"/>
    <w:rsid w:val="00FA117A"/>
    <w:rsid w:val="00FA2C3A"/>
    <w:rsid w:val="00FA35EF"/>
    <w:rsid w:val="00FA46A4"/>
    <w:rsid w:val="00FA5064"/>
    <w:rsid w:val="00FA58AB"/>
    <w:rsid w:val="00FB3C3E"/>
    <w:rsid w:val="00FB4622"/>
    <w:rsid w:val="00FB4E3D"/>
    <w:rsid w:val="00FB5945"/>
    <w:rsid w:val="00FB658D"/>
    <w:rsid w:val="00FB6CD5"/>
    <w:rsid w:val="00FB7EF6"/>
    <w:rsid w:val="00FC03A8"/>
    <w:rsid w:val="00FC0417"/>
    <w:rsid w:val="00FC34CB"/>
    <w:rsid w:val="00FC451E"/>
    <w:rsid w:val="00FC4526"/>
    <w:rsid w:val="00FC56BB"/>
    <w:rsid w:val="00FC5800"/>
    <w:rsid w:val="00FC7C05"/>
    <w:rsid w:val="00FD0043"/>
    <w:rsid w:val="00FD0E91"/>
    <w:rsid w:val="00FD10C9"/>
    <w:rsid w:val="00FD1132"/>
    <w:rsid w:val="00FD179D"/>
    <w:rsid w:val="00FD1BF2"/>
    <w:rsid w:val="00FD24E1"/>
    <w:rsid w:val="00FD63B8"/>
    <w:rsid w:val="00FD7AA1"/>
    <w:rsid w:val="00FD7D71"/>
    <w:rsid w:val="00FD7E54"/>
    <w:rsid w:val="00FE0054"/>
    <w:rsid w:val="00FE00B8"/>
    <w:rsid w:val="00FE091C"/>
    <w:rsid w:val="00FE1724"/>
    <w:rsid w:val="00FE18AF"/>
    <w:rsid w:val="00FE2075"/>
    <w:rsid w:val="00FE2176"/>
    <w:rsid w:val="00FE2866"/>
    <w:rsid w:val="00FE387B"/>
    <w:rsid w:val="00FE4B88"/>
    <w:rsid w:val="00FE5BD5"/>
    <w:rsid w:val="00FE6810"/>
    <w:rsid w:val="00FF1481"/>
    <w:rsid w:val="00FF191C"/>
    <w:rsid w:val="00FF1B16"/>
    <w:rsid w:val="00FF2133"/>
    <w:rsid w:val="00FF29D9"/>
    <w:rsid w:val="00FF3AED"/>
    <w:rsid w:val="00FF4FD5"/>
    <w:rsid w:val="00FF551D"/>
    <w:rsid w:val="00FF66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254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2DAE"/>
    <w:pPr>
      <w:spacing w:after="100" w:line="400" w:lineRule="exact"/>
      <w:jc w:val="both"/>
    </w:pPr>
    <w:rPr>
      <w:rFonts w:ascii="Century Schoolbook" w:hAnsi="Century Schoolbook"/>
      <w:sz w:val="27"/>
    </w:rPr>
  </w:style>
  <w:style w:type="paragraph" w:styleId="Heading1">
    <w:name w:val="heading 1"/>
    <w:basedOn w:val="Normal"/>
    <w:next w:val="Normal"/>
    <w:qFormat/>
    <w:rsid w:val="00142DAE"/>
    <w:pPr>
      <w:keepNext/>
      <w:spacing w:before="140" w:line="240" w:lineRule="atLeast"/>
      <w:jc w:val="center"/>
      <w:outlineLvl w:val="0"/>
    </w:pPr>
    <w:rPr>
      <w:b/>
      <w:smallCaps/>
    </w:rPr>
  </w:style>
  <w:style w:type="paragraph" w:styleId="Heading2">
    <w:name w:val="heading 2"/>
    <w:basedOn w:val="Normal"/>
    <w:next w:val="Normal"/>
    <w:qFormat/>
    <w:rsid w:val="00142DAE"/>
    <w:pPr>
      <w:keepNext/>
      <w:tabs>
        <w:tab w:val="left" w:pos="1152"/>
      </w:tabs>
      <w:spacing w:before="140" w:line="240" w:lineRule="atLeast"/>
      <w:ind w:left="1152" w:hanging="432"/>
      <w:jc w:val="left"/>
      <w:outlineLvl w:val="1"/>
    </w:pPr>
    <w:rPr>
      <w:b/>
    </w:rPr>
  </w:style>
  <w:style w:type="paragraph" w:styleId="Heading3">
    <w:name w:val="heading 3"/>
    <w:basedOn w:val="Normal"/>
    <w:next w:val="NormalIndent"/>
    <w:qFormat/>
    <w:rsid w:val="00142DAE"/>
    <w:pPr>
      <w:keepNext/>
      <w:tabs>
        <w:tab w:val="left" w:pos="1584"/>
      </w:tabs>
      <w:spacing w:before="140" w:line="240" w:lineRule="atLeast"/>
      <w:ind w:left="1584" w:hanging="432"/>
      <w:jc w:val="left"/>
      <w:outlineLvl w:val="2"/>
    </w:pPr>
    <w:rPr>
      <w:i/>
    </w:rPr>
  </w:style>
  <w:style w:type="paragraph" w:styleId="Heading4">
    <w:name w:val="heading 4"/>
    <w:basedOn w:val="Normal"/>
    <w:rsid w:val="00142DAE"/>
    <w:pPr>
      <w:keepNext/>
      <w:tabs>
        <w:tab w:val="left" w:pos="2016"/>
      </w:tabs>
      <w:spacing w:before="140" w:line="240" w:lineRule="atLeast"/>
      <w:ind w:left="2016" w:hanging="432"/>
      <w:jc w:val="left"/>
      <w:outlineLvl w:val="3"/>
    </w:pPr>
    <w:rPr>
      <w:i/>
    </w:rPr>
  </w:style>
  <w:style w:type="paragraph" w:styleId="Heading5">
    <w:name w:val="heading 5"/>
    <w:basedOn w:val="Normal"/>
    <w:rsid w:val="00142DAE"/>
    <w:pPr>
      <w:keepNext/>
      <w:tabs>
        <w:tab w:val="left" w:pos="2448"/>
      </w:tabs>
      <w:spacing w:before="140" w:line="240" w:lineRule="atLeast"/>
      <w:ind w:left="2448" w:hanging="432"/>
      <w:jc w:val="left"/>
      <w:outlineLvl w:val="4"/>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semiHidden/>
    <w:rsid w:val="00142DAE"/>
    <w:pPr>
      <w:ind w:left="720"/>
    </w:pPr>
  </w:style>
  <w:style w:type="paragraph" w:styleId="Footer">
    <w:name w:val="footer"/>
    <w:basedOn w:val="Normal"/>
    <w:qFormat/>
    <w:rsid w:val="00142DAE"/>
    <w:pPr>
      <w:tabs>
        <w:tab w:val="center" w:pos="3960"/>
        <w:tab w:val="right" w:pos="10080"/>
      </w:tabs>
      <w:spacing w:after="0" w:line="240" w:lineRule="auto"/>
      <w:jc w:val="center"/>
    </w:pPr>
    <w:rPr>
      <w:sz w:val="22"/>
    </w:rPr>
  </w:style>
  <w:style w:type="paragraph" w:styleId="Header">
    <w:name w:val="header"/>
    <w:basedOn w:val="Normal"/>
    <w:qFormat/>
    <w:rsid w:val="00142DAE"/>
    <w:pPr>
      <w:tabs>
        <w:tab w:val="center" w:pos="3960"/>
        <w:tab w:val="right" w:pos="10080"/>
      </w:tabs>
      <w:spacing w:after="80" w:line="240" w:lineRule="auto"/>
      <w:jc w:val="center"/>
    </w:pPr>
    <w:rPr>
      <w:sz w:val="22"/>
    </w:rPr>
  </w:style>
  <w:style w:type="character" w:styleId="FootnoteReference">
    <w:name w:val="footnote reference"/>
    <w:basedOn w:val="DefaultParagraphFont"/>
    <w:rsid w:val="00142DAE"/>
    <w:rPr>
      <w:rFonts w:ascii="Century Schoolbook" w:hAnsi="Century Schoolbook"/>
      <w:b/>
      <w:i w:val="0"/>
      <w:position w:val="4"/>
      <w:sz w:val="27"/>
      <w:vertAlign w:val="superscript"/>
    </w:rPr>
  </w:style>
  <w:style w:type="paragraph" w:styleId="FootnoteText">
    <w:name w:val="footnote text"/>
    <w:basedOn w:val="Normal"/>
    <w:rsid w:val="00142DAE"/>
    <w:pPr>
      <w:spacing w:line="300" w:lineRule="exact"/>
    </w:pPr>
  </w:style>
  <w:style w:type="paragraph" w:customStyle="1" w:styleId="Title1">
    <w:name w:val="Title1"/>
    <w:basedOn w:val="Normal"/>
    <w:rsid w:val="00142DAE"/>
    <w:pPr>
      <w:tabs>
        <w:tab w:val="left" w:pos="5760"/>
        <w:tab w:val="left" w:pos="6480"/>
      </w:tabs>
      <w:spacing w:line="240" w:lineRule="atLeast"/>
    </w:pPr>
  </w:style>
  <w:style w:type="paragraph" w:customStyle="1" w:styleId="Recommend">
    <w:name w:val="Recommend"/>
    <w:basedOn w:val="Normal"/>
    <w:rsid w:val="00142DAE"/>
  </w:style>
  <w:style w:type="paragraph" w:customStyle="1" w:styleId="Summary">
    <w:name w:val="Summary"/>
    <w:basedOn w:val="Normal"/>
    <w:rsid w:val="00142DAE"/>
    <w:pPr>
      <w:ind w:left="2160" w:hanging="2160"/>
    </w:pPr>
  </w:style>
  <w:style w:type="paragraph" w:customStyle="1" w:styleId="Text">
    <w:name w:val="Text"/>
    <w:basedOn w:val="Normal"/>
    <w:rsid w:val="00142DAE"/>
    <w:pPr>
      <w:tabs>
        <w:tab w:val="left" w:pos="720"/>
        <w:tab w:val="left" w:pos="1440"/>
        <w:tab w:val="left" w:pos="2160"/>
        <w:tab w:val="center" w:pos="4320"/>
      </w:tabs>
      <w:spacing w:line="480" w:lineRule="atLeast"/>
      <w:ind w:firstLine="540"/>
    </w:pPr>
  </w:style>
  <w:style w:type="paragraph" w:styleId="Date">
    <w:name w:val="Date"/>
    <w:basedOn w:val="Normal"/>
    <w:semiHidden/>
    <w:rsid w:val="00142DAE"/>
    <w:pPr>
      <w:jc w:val="right"/>
    </w:pPr>
  </w:style>
  <w:style w:type="character" w:styleId="PageNumber">
    <w:name w:val="page number"/>
    <w:basedOn w:val="DefaultParagraphFont"/>
    <w:semiHidden/>
    <w:rsid w:val="00142DAE"/>
  </w:style>
  <w:style w:type="paragraph" w:customStyle="1" w:styleId="subject">
    <w:name w:val="subject"/>
    <w:basedOn w:val="Normal"/>
    <w:rsid w:val="00142DAE"/>
    <w:pPr>
      <w:tabs>
        <w:tab w:val="left" w:pos="1008"/>
      </w:tabs>
      <w:ind w:left="990" w:hanging="990"/>
    </w:pPr>
    <w:rPr>
      <w:b/>
    </w:rPr>
  </w:style>
  <w:style w:type="paragraph" w:customStyle="1" w:styleId="Titles">
    <w:name w:val="Titles"/>
    <w:basedOn w:val="Normal"/>
    <w:rsid w:val="00142DAE"/>
    <w:pPr>
      <w:tabs>
        <w:tab w:val="left" w:pos="2160"/>
      </w:tabs>
      <w:ind w:left="2160" w:hanging="2160"/>
    </w:pPr>
    <w:rPr>
      <w:b/>
    </w:rPr>
  </w:style>
  <w:style w:type="paragraph" w:styleId="TOAHeading">
    <w:name w:val="toa heading"/>
    <w:basedOn w:val="Normal"/>
    <w:next w:val="Normal"/>
    <w:semiHidden/>
    <w:rsid w:val="00142DAE"/>
    <w:pPr>
      <w:spacing w:before="120"/>
    </w:pPr>
    <w:rPr>
      <w:b/>
    </w:rPr>
  </w:style>
  <w:style w:type="paragraph" w:styleId="TOC1">
    <w:name w:val="toc 1"/>
    <w:basedOn w:val="Normal"/>
    <w:next w:val="Normal"/>
    <w:autoRedefine/>
    <w:semiHidden/>
    <w:rsid w:val="00142DAE"/>
  </w:style>
  <w:style w:type="paragraph" w:styleId="TOC2">
    <w:name w:val="toc 2"/>
    <w:basedOn w:val="Normal"/>
    <w:next w:val="Normal"/>
    <w:autoRedefine/>
    <w:semiHidden/>
    <w:rsid w:val="00142DAE"/>
    <w:pPr>
      <w:ind w:left="259"/>
    </w:pPr>
  </w:style>
  <w:style w:type="paragraph" w:styleId="TOC3">
    <w:name w:val="toc 3"/>
    <w:basedOn w:val="Normal"/>
    <w:next w:val="Normal"/>
    <w:autoRedefine/>
    <w:semiHidden/>
    <w:rsid w:val="00142DAE"/>
    <w:pPr>
      <w:ind w:left="520"/>
    </w:pPr>
  </w:style>
  <w:style w:type="paragraph" w:styleId="TOC4">
    <w:name w:val="toc 4"/>
    <w:basedOn w:val="Normal"/>
    <w:next w:val="Normal"/>
    <w:autoRedefine/>
    <w:semiHidden/>
    <w:rsid w:val="00142DAE"/>
    <w:pPr>
      <w:ind w:left="780"/>
    </w:pPr>
  </w:style>
  <w:style w:type="paragraph" w:styleId="TOC5">
    <w:name w:val="toc 5"/>
    <w:basedOn w:val="Normal"/>
    <w:next w:val="Normal"/>
    <w:autoRedefine/>
    <w:semiHidden/>
    <w:rsid w:val="00142DAE"/>
    <w:pPr>
      <w:ind w:left="1040"/>
    </w:pPr>
  </w:style>
  <w:style w:type="paragraph" w:styleId="TOC6">
    <w:name w:val="toc 6"/>
    <w:basedOn w:val="Normal"/>
    <w:next w:val="Normal"/>
    <w:autoRedefine/>
    <w:semiHidden/>
    <w:rsid w:val="00142DAE"/>
    <w:pPr>
      <w:ind w:left="1300"/>
    </w:pPr>
  </w:style>
  <w:style w:type="paragraph" w:styleId="TOC7">
    <w:name w:val="toc 7"/>
    <w:basedOn w:val="Normal"/>
    <w:next w:val="Normal"/>
    <w:autoRedefine/>
    <w:semiHidden/>
    <w:rsid w:val="00142DAE"/>
    <w:pPr>
      <w:ind w:left="1560"/>
    </w:pPr>
  </w:style>
  <w:style w:type="paragraph" w:styleId="TOC8">
    <w:name w:val="toc 8"/>
    <w:basedOn w:val="Normal"/>
    <w:next w:val="Normal"/>
    <w:autoRedefine/>
    <w:semiHidden/>
    <w:rsid w:val="00142DAE"/>
    <w:pPr>
      <w:ind w:left="1820"/>
    </w:pPr>
  </w:style>
  <w:style w:type="paragraph" w:styleId="TOC9">
    <w:name w:val="toc 9"/>
    <w:basedOn w:val="Normal"/>
    <w:next w:val="Normal"/>
    <w:autoRedefine/>
    <w:semiHidden/>
    <w:rsid w:val="00142DAE"/>
    <w:pPr>
      <w:ind w:left="2080"/>
    </w:pPr>
  </w:style>
  <w:style w:type="paragraph" w:customStyle="1" w:styleId="Contents">
    <w:name w:val="Contents"/>
    <w:basedOn w:val="Normal"/>
    <w:rsid w:val="00142DAE"/>
    <w:pPr>
      <w:jc w:val="center"/>
    </w:pPr>
    <w:rPr>
      <w:b/>
      <w:spacing w:val="100"/>
    </w:rPr>
  </w:style>
  <w:style w:type="character" w:styleId="Hyperlink">
    <w:name w:val="Hyperlink"/>
    <w:basedOn w:val="DefaultParagraphFont"/>
    <w:uiPriority w:val="99"/>
    <w:unhideWhenUsed/>
    <w:rsid w:val="00BD3AF9"/>
    <w:rPr>
      <w:color w:val="0000FF" w:themeColor="hyperlink"/>
      <w:u w:val="single"/>
    </w:rPr>
  </w:style>
  <w:style w:type="character" w:customStyle="1" w:styleId="UnresolvedMention1">
    <w:name w:val="Unresolved Mention1"/>
    <w:basedOn w:val="DefaultParagraphFont"/>
    <w:uiPriority w:val="99"/>
    <w:semiHidden/>
    <w:unhideWhenUsed/>
    <w:rsid w:val="00BD3AF9"/>
    <w:rPr>
      <w:color w:val="605E5C"/>
      <w:shd w:val="clear" w:color="auto" w:fill="E1DFDD"/>
    </w:rPr>
  </w:style>
  <w:style w:type="paragraph" w:styleId="BodyText">
    <w:name w:val="Body Text"/>
    <w:basedOn w:val="Normal"/>
    <w:link w:val="BodyTextChar"/>
    <w:qFormat/>
    <w:rsid w:val="00142DAE"/>
  </w:style>
  <w:style w:type="character" w:customStyle="1" w:styleId="BodyTextChar">
    <w:name w:val="Body Text Char"/>
    <w:basedOn w:val="DefaultParagraphFont"/>
    <w:link w:val="BodyText"/>
    <w:rsid w:val="00142DAE"/>
    <w:rPr>
      <w:rFonts w:ascii="Century Schoolbook" w:hAnsi="Century Schoolbook"/>
      <w:sz w:val="27"/>
    </w:rPr>
  </w:style>
  <w:style w:type="character" w:styleId="FollowedHyperlink">
    <w:name w:val="FollowedHyperlink"/>
    <w:basedOn w:val="DefaultParagraphFont"/>
    <w:uiPriority w:val="99"/>
    <w:semiHidden/>
    <w:unhideWhenUsed/>
    <w:rsid w:val="00507385"/>
    <w:rPr>
      <w:color w:val="800080" w:themeColor="followedHyperlink"/>
      <w:u w:val="single"/>
    </w:rPr>
  </w:style>
  <w:style w:type="character" w:styleId="CommentReference">
    <w:name w:val="annotation reference"/>
    <w:basedOn w:val="DefaultParagraphFont"/>
    <w:uiPriority w:val="99"/>
    <w:semiHidden/>
    <w:unhideWhenUsed/>
    <w:rsid w:val="009236FD"/>
    <w:rPr>
      <w:sz w:val="16"/>
      <w:szCs w:val="16"/>
    </w:rPr>
  </w:style>
  <w:style w:type="paragraph" w:styleId="CommentText">
    <w:name w:val="annotation text"/>
    <w:basedOn w:val="Normal"/>
    <w:link w:val="CommentTextChar"/>
    <w:uiPriority w:val="99"/>
    <w:unhideWhenUsed/>
    <w:rsid w:val="009236FD"/>
    <w:rPr>
      <w:sz w:val="20"/>
    </w:rPr>
  </w:style>
  <w:style w:type="character" w:customStyle="1" w:styleId="CommentTextChar">
    <w:name w:val="Comment Text Char"/>
    <w:basedOn w:val="DefaultParagraphFont"/>
    <w:link w:val="CommentText"/>
    <w:uiPriority w:val="99"/>
    <w:rsid w:val="009236FD"/>
  </w:style>
  <w:style w:type="paragraph" w:styleId="CommentSubject">
    <w:name w:val="annotation subject"/>
    <w:basedOn w:val="CommentText"/>
    <w:next w:val="CommentText"/>
    <w:link w:val="CommentSubjectChar"/>
    <w:uiPriority w:val="99"/>
    <w:semiHidden/>
    <w:unhideWhenUsed/>
    <w:rsid w:val="009236FD"/>
    <w:rPr>
      <w:b/>
      <w:bCs/>
    </w:rPr>
  </w:style>
  <w:style w:type="character" w:customStyle="1" w:styleId="CommentSubjectChar">
    <w:name w:val="Comment Subject Char"/>
    <w:basedOn w:val="CommentTextChar"/>
    <w:link w:val="CommentSubject"/>
    <w:uiPriority w:val="99"/>
    <w:semiHidden/>
    <w:rsid w:val="009236FD"/>
    <w:rPr>
      <w:b/>
      <w:bCs/>
    </w:rPr>
  </w:style>
  <w:style w:type="paragraph" w:styleId="NormalWeb">
    <w:name w:val="Normal (Web)"/>
    <w:basedOn w:val="Normal"/>
    <w:uiPriority w:val="99"/>
    <w:semiHidden/>
    <w:unhideWhenUsed/>
    <w:rsid w:val="000F09E8"/>
    <w:rPr>
      <w:sz w:val="24"/>
      <w:szCs w:val="24"/>
    </w:rPr>
  </w:style>
  <w:style w:type="paragraph" w:styleId="Revision">
    <w:name w:val="Revision"/>
    <w:hidden/>
    <w:uiPriority w:val="99"/>
    <w:semiHidden/>
    <w:rsid w:val="007E32B4"/>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648167-FBD5-43DF-AD3E-FF1BBFDBE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6151</Words>
  <Characters>35062</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2024-07-10T16:17:00Z</dcterms:created>
  <dcterms:modified xsi:type="dcterms:W3CDTF">2024-07-10T16:30:00Z</dcterms:modified>
</cp:coreProperties>
</file>