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E05330" w:rsidRPr="00A40E55" w:rsidP="00BF3EDE" w14:paraId="4EA5F527" w14:textId="3CC064B4">
      <w:pPr>
        <w:tabs>
          <w:tab w:val="left" w:pos="1440"/>
          <w:tab w:val="left" w:pos="4680"/>
          <w:tab w:val="center" w:pos="7200"/>
        </w:tabs>
        <w:spacing w:after="0"/>
        <w:jc w:val="center"/>
        <w:rPr>
          <w:sz w:val="36"/>
        </w:rPr>
      </w:pPr>
      <w:r w:rsidRPr="00A40E55">
        <w:rPr>
          <w:b/>
          <w:sz w:val="36"/>
        </w:rPr>
        <w:t>IN THE SUPREME COURT OF CALIFORNIA</w:t>
      </w:r>
    </w:p>
    <w:p w:rsidR="00BF3EDE" w:rsidRPr="00A40E55" w:rsidP="00BF3EDE" w14:paraId="38A84C4A" w14:textId="77777777">
      <w:pPr>
        <w:tabs>
          <w:tab w:val="left" w:pos="1440"/>
          <w:tab w:val="left" w:pos="4680"/>
          <w:tab w:val="center" w:pos="7200"/>
        </w:tabs>
        <w:spacing w:after="0"/>
        <w:jc w:val="center"/>
      </w:pPr>
    </w:p>
    <w:p w:rsidR="00BF3EDE" w:rsidRPr="00A40E55" w:rsidP="00B229AC" w14:paraId="6C9540FD" w14:textId="18670AE2">
      <w:pPr>
        <w:tabs>
          <w:tab w:val="left" w:pos="1440"/>
          <w:tab w:val="left" w:pos="4680"/>
          <w:tab w:val="center" w:pos="7200"/>
        </w:tabs>
        <w:spacing w:after="0"/>
        <w:jc w:val="center"/>
      </w:pPr>
      <w:r w:rsidRPr="00A40E55">
        <w:tab/>
      </w:r>
    </w:p>
    <w:p w:rsidR="00B229AC" w:rsidRPr="00A40E55" w:rsidP="00B229AC" w14:paraId="1888A7A9" w14:textId="60D23F5D">
      <w:pPr>
        <w:tabs>
          <w:tab w:val="left" w:pos="1440"/>
          <w:tab w:val="left" w:pos="4680"/>
          <w:tab w:val="center" w:pos="7200"/>
        </w:tabs>
        <w:spacing w:after="0"/>
        <w:jc w:val="center"/>
      </w:pPr>
      <w:r w:rsidRPr="00A40E55">
        <w:t>In re VICTOR RAUL TELLEZ</w:t>
      </w:r>
    </w:p>
    <w:p w:rsidR="00B229AC" w:rsidRPr="00A40E55" w:rsidP="00B229AC" w14:paraId="2D23DE19" w14:textId="2368080F">
      <w:pPr>
        <w:tabs>
          <w:tab w:val="left" w:pos="1440"/>
          <w:tab w:val="left" w:pos="4680"/>
          <w:tab w:val="center" w:pos="7200"/>
        </w:tabs>
        <w:spacing w:after="0"/>
        <w:jc w:val="center"/>
      </w:pPr>
      <w:r w:rsidRPr="00A40E55">
        <w:t>on Habeas Corpus.</w:t>
      </w:r>
    </w:p>
    <w:p w:rsidR="00BF3EDE" w:rsidRPr="00A40E55" w:rsidP="00B229AC" w14:paraId="72E865D5" w14:textId="77777777">
      <w:pPr>
        <w:tabs>
          <w:tab w:val="left" w:pos="1440"/>
          <w:tab w:val="left" w:pos="4680"/>
          <w:tab w:val="center" w:pos="7200"/>
        </w:tabs>
        <w:spacing w:after="0"/>
      </w:pPr>
    </w:p>
    <w:p w:rsidR="00BF3EDE" w:rsidRPr="00A40E55" w:rsidP="00BF3EDE" w14:paraId="4711E355" w14:textId="144B12BE">
      <w:pPr>
        <w:tabs>
          <w:tab w:val="left" w:pos="1440"/>
          <w:tab w:val="left" w:pos="4680"/>
          <w:tab w:val="center" w:pos="7200"/>
        </w:tabs>
        <w:spacing w:after="0"/>
        <w:jc w:val="center"/>
      </w:pPr>
      <w:r w:rsidRPr="00A40E55">
        <w:t>S277072</w:t>
      </w:r>
    </w:p>
    <w:p w:rsidR="00BF3EDE" w:rsidRPr="00A40E55" w:rsidP="00BF3EDE" w14:paraId="5E98E104" w14:textId="77777777">
      <w:pPr>
        <w:tabs>
          <w:tab w:val="left" w:pos="1440"/>
          <w:tab w:val="left" w:pos="4680"/>
          <w:tab w:val="center" w:pos="7200"/>
        </w:tabs>
        <w:spacing w:after="0"/>
        <w:jc w:val="center"/>
      </w:pPr>
    </w:p>
    <w:p w:rsidR="00BF3EDE" w:rsidRPr="00A40E55" w:rsidP="00BF3EDE" w14:paraId="7337E7A3" w14:textId="42BE4B15">
      <w:pPr>
        <w:tabs>
          <w:tab w:val="left" w:pos="1440"/>
          <w:tab w:val="left" w:pos="4680"/>
          <w:tab w:val="center" w:pos="7200"/>
        </w:tabs>
        <w:spacing w:after="0"/>
        <w:jc w:val="center"/>
      </w:pPr>
      <w:r w:rsidRPr="00A40E55">
        <w:t>Fourth Appellate District, Division One</w:t>
      </w:r>
    </w:p>
    <w:p w:rsidR="00BF3EDE" w:rsidRPr="00A40E55" w:rsidP="00BF3EDE" w14:paraId="26713738" w14:textId="6060337D">
      <w:pPr>
        <w:tabs>
          <w:tab w:val="left" w:pos="1440"/>
          <w:tab w:val="left" w:pos="4680"/>
          <w:tab w:val="center" w:pos="7200"/>
        </w:tabs>
        <w:spacing w:after="0"/>
        <w:jc w:val="center"/>
      </w:pPr>
      <w:r w:rsidRPr="00A40E55">
        <w:t>D079716</w:t>
      </w:r>
    </w:p>
    <w:p w:rsidR="00BF3EDE" w:rsidRPr="00A40E55" w:rsidP="00BF3EDE" w14:paraId="63C2B615" w14:textId="77777777">
      <w:pPr>
        <w:tabs>
          <w:tab w:val="left" w:pos="1440"/>
          <w:tab w:val="left" w:pos="4680"/>
          <w:tab w:val="center" w:pos="7200"/>
        </w:tabs>
        <w:spacing w:after="0"/>
        <w:jc w:val="center"/>
      </w:pPr>
    </w:p>
    <w:p w:rsidR="00BF3EDE" w:rsidRPr="00A40E55" w:rsidP="00BF3EDE" w14:paraId="3384F707" w14:textId="2BE4397C">
      <w:pPr>
        <w:tabs>
          <w:tab w:val="left" w:pos="1440"/>
          <w:tab w:val="left" w:pos="4680"/>
          <w:tab w:val="center" w:pos="7200"/>
        </w:tabs>
        <w:spacing w:after="0"/>
        <w:jc w:val="center"/>
      </w:pPr>
      <w:r w:rsidRPr="00A40E55">
        <w:t>San Diego County Super</w:t>
      </w:r>
      <w:r w:rsidRPr="00A40E55" w:rsidR="007B0181">
        <w:t>ior</w:t>
      </w:r>
      <w:r w:rsidRPr="00A40E55">
        <w:t xml:space="preserve"> C</w:t>
      </w:r>
      <w:r w:rsidRPr="00A40E55" w:rsidR="007B0181">
        <w:t>ourt</w:t>
      </w:r>
    </w:p>
    <w:p w:rsidR="00BF3EDE" w:rsidRPr="00A40E55" w:rsidP="00BF3EDE" w14:paraId="4953091B" w14:textId="11912A5A">
      <w:pPr>
        <w:tabs>
          <w:tab w:val="left" w:pos="1440"/>
          <w:tab w:val="left" w:pos="4680"/>
          <w:tab w:val="center" w:pos="7200"/>
        </w:tabs>
        <w:spacing w:after="0"/>
        <w:jc w:val="center"/>
      </w:pPr>
      <w:r w:rsidRPr="00A40E55">
        <w:t>SCE369196</w:t>
      </w:r>
    </w:p>
    <w:p w:rsidR="00BF3EDE" w:rsidRPr="00A40E55" w:rsidP="00BF3EDE" w14:paraId="240BEFA6" w14:textId="77777777">
      <w:pPr>
        <w:pBdr>
          <w:bottom w:val="single" w:sz="4" w:space="1" w:color="auto"/>
        </w:pBdr>
        <w:tabs>
          <w:tab w:val="left" w:pos="1440"/>
          <w:tab w:val="left" w:pos="4680"/>
          <w:tab w:val="center" w:pos="7200"/>
        </w:tabs>
        <w:spacing w:after="0"/>
        <w:jc w:val="center"/>
      </w:pPr>
    </w:p>
    <w:p w:rsidR="00BF3EDE" w:rsidRPr="00A40E55" w:rsidP="00BF3EDE" w14:paraId="7D3D8CBE" w14:textId="77777777">
      <w:pPr>
        <w:tabs>
          <w:tab w:val="left" w:pos="1440"/>
          <w:tab w:val="left" w:pos="4680"/>
          <w:tab w:val="center" w:pos="7200"/>
        </w:tabs>
        <w:spacing w:after="0"/>
        <w:jc w:val="center"/>
      </w:pPr>
    </w:p>
    <w:p w:rsidR="00BF3EDE" w:rsidRPr="003C4D19" w:rsidP="00BF3EDE" w14:paraId="5994F1C8" w14:textId="7FCB50CC">
      <w:pPr>
        <w:tabs>
          <w:tab w:val="left" w:pos="1440"/>
          <w:tab w:val="left" w:pos="4680"/>
          <w:tab w:val="center" w:pos="7200"/>
        </w:tabs>
        <w:spacing w:after="0"/>
        <w:jc w:val="center"/>
        <w:rPr>
          <w:caps/>
        </w:rPr>
      </w:pPr>
      <w:r w:rsidRPr="005B5E15">
        <w:rPr>
          <w:caps/>
        </w:rPr>
        <w:t>A</w:t>
      </w:r>
      <w:r w:rsidRPr="003C4D19" w:rsidR="005B5E15">
        <w:t>ugust</w:t>
      </w:r>
      <w:r w:rsidR="005B5E15">
        <w:rPr>
          <w:caps/>
        </w:rPr>
        <w:t xml:space="preserve"> </w:t>
      </w:r>
      <w:r w:rsidRPr="005B5E15" w:rsidR="005B5E15">
        <w:rPr>
          <w:caps/>
        </w:rPr>
        <w:t>26</w:t>
      </w:r>
      <w:r w:rsidRPr="005B5E15">
        <w:rPr>
          <w:caps/>
        </w:rPr>
        <w:t xml:space="preserve">, </w:t>
      </w:r>
      <w:r w:rsidRPr="003C4D19">
        <w:rPr>
          <w:caps/>
        </w:rPr>
        <w:t>2024</w:t>
      </w:r>
    </w:p>
    <w:p w:rsidR="00BF3EDE" w:rsidRPr="00A40E55" w:rsidP="00BF3EDE" w14:paraId="3572AD67" w14:textId="77777777">
      <w:pPr>
        <w:tabs>
          <w:tab w:val="left" w:pos="1440"/>
          <w:tab w:val="left" w:pos="4680"/>
          <w:tab w:val="center" w:pos="7200"/>
        </w:tabs>
        <w:spacing w:after="0"/>
        <w:jc w:val="center"/>
      </w:pPr>
    </w:p>
    <w:p w:rsidR="00A3592E" w:rsidP="00A3592E" w14:paraId="67C66754" w14:textId="77777777">
      <w:pPr>
        <w:tabs>
          <w:tab w:val="left" w:pos="1440"/>
        </w:tabs>
      </w:pPr>
      <w:r>
        <w:t xml:space="preserve">Justice Evans authored the opinion of the Court, in which </w:t>
      </w:r>
      <w:r w:rsidRPr="00824662">
        <w:t>Chief Justice Guerrero and Justices Corrigan, Liu, Kruger, Groban, and Jenkins</w:t>
      </w:r>
      <w:r>
        <w:t xml:space="preserve"> concurred.</w:t>
      </w:r>
    </w:p>
    <w:p w:rsidR="00435954" w:rsidP="008A237B" w14:paraId="2499862D" w14:textId="77777777">
      <w:pPr>
        <w:tabs>
          <w:tab w:val="left" w:pos="1440"/>
          <w:tab w:val="left" w:pos="4680"/>
          <w:tab w:val="center" w:pos="7200"/>
        </w:tabs>
        <w:spacing w:after="0"/>
        <w:jc w:val="left"/>
      </w:pPr>
    </w:p>
    <w:p w:rsidR="00435954" w:rsidP="00435954" w14:paraId="1B01AA5F" w14:textId="1B2764D0">
      <w:pPr>
        <w:pBdr>
          <w:bottom w:val="single" w:sz="4" w:space="1" w:color="auto"/>
        </w:pBdr>
        <w:tabs>
          <w:tab w:val="left" w:pos="1440"/>
          <w:tab w:val="left" w:pos="4680"/>
          <w:tab w:val="center" w:pos="7200"/>
        </w:tabs>
        <w:spacing w:after="0"/>
        <w:jc w:val="left"/>
      </w:pPr>
      <w:r>
        <w:t>Justice Liu filed a concurring opinion, in which Justice Evans concurred.</w:t>
      </w:r>
    </w:p>
    <w:p w:rsidR="00BF3EDE" w:rsidRPr="00A40E55" w:rsidP="00BF3EDE" w14:paraId="13E38D71" w14:textId="77777777">
      <w:pPr>
        <w:pBdr>
          <w:bottom w:val="single" w:sz="4" w:space="1" w:color="auto"/>
        </w:pBdr>
        <w:tabs>
          <w:tab w:val="left" w:pos="1440"/>
          <w:tab w:val="left" w:pos="4680"/>
          <w:tab w:val="center" w:pos="7200"/>
        </w:tabs>
        <w:spacing w:line="480" w:lineRule="atLeast"/>
        <w:jc w:val="left"/>
      </w:pPr>
      <w:bookmarkStart w:id="0" w:name="Return"/>
      <w:bookmarkEnd w:id="0"/>
    </w:p>
    <w:p w:rsidR="00BF3EDE" w:rsidRPr="00A40E55" w14:paraId="3E3DC9E3" w14:textId="77777777">
      <w:pPr>
        <w:tabs>
          <w:tab w:val="left" w:pos="1440"/>
          <w:tab w:val="left" w:pos="4680"/>
          <w:tab w:val="center" w:pos="7200"/>
        </w:tabs>
        <w:spacing w:line="480" w:lineRule="atLeast"/>
        <w:sectPr w:rsidSect="00BF3EDE">
          <w:headerReference w:type="even" r:id="rId7"/>
          <w:headerReference w:type="default" r:id="rId8"/>
          <w:footerReference w:type="even" r:id="rId9"/>
          <w:footerReference w:type="default" r:id="rId10"/>
          <w:headerReference w:type="first" r:id="rId11"/>
          <w:footerReference w:type="first" r:id="rId12"/>
          <w:pgSz w:w="12240" w:h="15840"/>
          <w:pgMar w:top="1800" w:right="2160" w:bottom="1440" w:left="2160" w:header="720" w:footer="720" w:gutter="0"/>
          <w:cols w:space="720"/>
          <w:titlePg/>
          <w:docGrid w:linePitch="367"/>
        </w:sectPr>
      </w:pPr>
    </w:p>
    <w:p w:rsidR="00473DA9" w:rsidRPr="00A40E55" w:rsidP="00473DA9" w14:paraId="77D45376" w14:textId="14A25202">
      <w:pPr>
        <w:tabs>
          <w:tab w:val="left" w:pos="1440"/>
          <w:tab w:val="left" w:pos="4680"/>
          <w:tab w:val="center" w:pos="7200"/>
        </w:tabs>
        <w:jc w:val="center"/>
      </w:pPr>
      <w:r w:rsidRPr="00A40E55">
        <w:t>In re T</w:t>
      </w:r>
      <w:r w:rsidR="00CD04F0">
        <w:t>ELLEZ</w:t>
      </w:r>
    </w:p>
    <w:p w:rsidR="00473DA9" w:rsidRPr="00A40E55" w:rsidP="00473DA9" w14:paraId="7B9ECA3F" w14:textId="77777777">
      <w:pPr>
        <w:tabs>
          <w:tab w:val="left" w:pos="1440"/>
          <w:tab w:val="left" w:pos="4680"/>
          <w:tab w:val="center" w:pos="7200"/>
        </w:tabs>
        <w:spacing w:after="0"/>
        <w:jc w:val="center"/>
      </w:pPr>
      <w:r w:rsidRPr="00A40E55">
        <w:t>S277072</w:t>
      </w:r>
    </w:p>
    <w:p w:rsidR="00BF3EDE" w:rsidRPr="00A40E55" w:rsidP="00BF3EDE" w14:paraId="23796A9F" w14:textId="77777777">
      <w:pPr>
        <w:tabs>
          <w:tab w:val="left" w:pos="1440"/>
          <w:tab w:val="left" w:pos="4680"/>
          <w:tab w:val="center" w:pos="7200"/>
        </w:tabs>
        <w:jc w:val="center"/>
      </w:pPr>
    </w:p>
    <w:p w:rsidR="00BF3EDE" w:rsidRPr="00A40E55" w:rsidP="00BF3EDE" w14:paraId="7B95C5CE" w14:textId="3BD26DF1">
      <w:pPr>
        <w:tabs>
          <w:tab w:val="left" w:pos="1440"/>
          <w:tab w:val="left" w:pos="4680"/>
          <w:tab w:val="center" w:pos="7200"/>
        </w:tabs>
        <w:jc w:val="center"/>
      </w:pPr>
      <w:r w:rsidRPr="00A40E55">
        <w:t>Opinion of the Court by Evans, J.</w:t>
      </w:r>
    </w:p>
    <w:p w:rsidR="00BF3EDE" w:rsidRPr="00A40E55" w:rsidP="00BF3EDE" w14:paraId="648B31A8" w14:textId="77777777">
      <w:pPr>
        <w:tabs>
          <w:tab w:val="left" w:pos="1440"/>
          <w:tab w:val="left" w:pos="4680"/>
          <w:tab w:val="center" w:pos="7200"/>
        </w:tabs>
        <w:jc w:val="center"/>
      </w:pPr>
    </w:p>
    <w:p w:rsidR="00F26D1D" w:rsidRPr="00FC405B" w:rsidP="00BF3EDE" w14:paraId="003B47A2" w14:textId="161F2053">
      <w:pPr>
        <w:tabs>
          <w:tab w:val="left" w:pos="1440"/>
        </w:tabs>
        <w:ind w:firstLine="720"/>
      </w:pPr>
      <w:bookmarkStart w:id="1" w:name="mainstory"/>
      <w:bookmarkEnd w:id="1"/>
      <w:r w:rsidRPr="00A40E55">
        <w:rPr>
          <w:szCs w:val="26"/>
        </w:rPr>
        <w:t>Under the Sexually Violent Predator Act (</w:t>
      </w:r>
      <w:r w:rsidRPr="00A40E55" w:rsidR="00666D4A">
        <w:rPr>
          <w:szCs w:val="26"/>
        </w:rPr>
        <w:t xml:space="preserve">SVPA) </w:t>
      </w:r>
      <w:r w:rsidRPr="00A40E55">
        <w:rPr>
          <w:szCs w:val="26"/>
        </w:rPr>
        <w:t>(Welf. &amp; Inst. Code,</w:t>
      </w:r>
      <w:r>
        <w:rPr>
          <w:rStyle w:val="FootnoteReference"/>
          <w:szCs w:val="26"/>
        </w:rPr>
        <w:footnoteReference w:id="3"/>
      </w:r>
      <w:r w:rsidRPr="00A40E55">
        <w:rPr>
          <w:szCs w:val="26"/>
        </w:rPr>
        <w:t xml:space="preserve"> § 6600 et seq.),</w:t>
      </w:r>
      <w:r w:rsidRPr="00A40E55" w:rsidR="007B7D16">
        <w:rPr>
          <w:szCs w:val="26"/>
        </w:rPr>
        <w:t xml:space="preserve"> </w:t>
      </w:r>
      <w:r w:rsidRPr="00A40E55">
        <w:rPr>
          <w:szCs w:val="26"/>
        </w:rPr>
        <w:t xml:space="preserve">a person who has been convicted of </w:t>
      </w:r>
      <w:r w:rsidRPr="00A40E55" w:rsidR="0098750C">
        <w:rPr>
          <w:szCs w:val="26"/>
        </w:rPr>
        <w:t>a</w:t>
      </w:r>
      <w:r w:rsidRPr="00A40E55">
        <w:rPr>
          <w:szCs w:val="26"/>
        </w:rPr>
        <w:t xml:space="preserve"> qualifying </w:t>
      </w:r>
      <w:r w:rsidRPr="00A40E55" w:rsidR="001B5A30">
        <w:rPr>
          <w:szCs w:val="26"/>
        </w:rPr>
        <w:t xml:space="preserve">sexual </w:t>
      </w:r>
      <w:r w:rsidRPr="00A40E55">
        <w:rPr>
          <w:szCs w:val="26"/>
        </w:rPr>
        <w:t xml:space="preserve">offense </w:t>
      </w:r>
      <w:r w:rsidRPr="00A40E55" w:rsidR="000C323F">
        <w:rPr>
          <w:szCs w:val="26"/>
        </w:rPr>
        <w:t xml:space="preserve">linked to a diagnosed mental disorder </w:t>
      </w:r>
      <w:r w:rsidRPr="00A40E55">
        <w:rPr>
          <w:szCs w:val="26"/>
        </w:rPr>
        <w:t xml:space="preserve">may be civilly committed to a state hospital </w:t>
      </w:r>
      <w:r w:rsidRPr="00A40E55" w:rsidR="00F213FC">
        <w:rPr>
          <w:szCs w:val="26"/>
        </w:rPr>
        <w:t xml:space="preserve">for treatment </w:t>
      </w:r>
      <w:r w:rsidRPr="00A40E55">
        <w:rPr>
          <w:szCs w:val="26"/>
        </w:rPr>
        <w:t xml:space="preserve">upon completion of </w:t>
      </w:r>
      <w:r w:rsidRPr="00A40E55" w:rsidR="001B5A30">
        <w:rPr>
          <w:szCs w:val="26"/>
        </w:rPr>
        <w:t>the person’s</w:t>
      </w:r>
      <w:r w:rsidRPr="00A40E55">
        <w:rPr>
          <w:szCs w:val="26"/>
        </w:rPr>
        <w:t xml:space="preserve"> prison </w:t>
      </w:r>
      <w:r w:rsidRPr="00A40E55" w:rsidR="00AD5F45">
        <w:rPr>
          <w:szCs w:val="26"/>
        </w:rPr>
        <w:t>term</w:t>
      </w:r>
      <w:r w:rsidRPr="00A40E55">
        <w:rPr>
          <w:szCs w:val="26"/>
        </w:rPr>
        <w:t>.  The SVPA defines “</w:t>
      </w:r>
      <w:r w:rsidR="005E70B1">
        <w:rPr>
          <w:szCs w:val="26"/>
        </w:rPr>
        <w:t>[</w:t>
      </w:r>
      <w:r w:rsidRPr="00A40E55">
        <w:rPr>
          <w:szCs w:val="26"/>
        </w:rPr>
        <w:t>d</w:t>
      </w:r>
      <w:r w:rsidR="005E70B1">
        <w:rPr>
          <w:szCs w:val="26"/>
        </w:rPr>
        <w:t>]</w:t>
      </w:r>
      <w:r w:rsidRPr="00A40E55">
        <w:rPr>
          <w:szCs w:val="26"/>
        </w:rPr>
        <w:t>iagnosed mental disorder” as “includ[ing] a congenital or acquired condition affecting the emotional or volitional capacity that predisposes the person to the commission of criminal sexual acts in a degree constituting the person a menace to the health and safety of others.”  (</w:t>
      </w:r>
      <w:r w:rsidR="005E70B1">
        <w:rPr>
          <w:szCs w:val="26"/>
        </w:rPr>
        <w:t>§ 6600,</w:t>
      </w:r>
      <w:r w:rsidR="00B11072">
        <w:rPr>
          <w:szCs w:val="26"/>
        </w:rPr>
        <w:t xml:space="preserve"> </w:t>
      </w:r>
      <w:r w:rsidRPr="00A40E55" w:rsidR="004E7982">
        <w:rPr>
          <w:szCs w:val="26"/>
        </w:rPr>
        <w:t>subd. (c)</w:t>
      </w:r>
      <w:r w:rsidRPr="00A40E55">
        <w:rPr>
          <w:szCs w:val="26"/>
        </w:rPr>
        <w:t xml:space="preserve">.)  </w:t>
      </w:r>
      <w:r w:rsidRPr="00A40E55" w:rsidR="00A50F8E">
        <w:rPr>
          <w:szCs w:val="26"/>
        </w:rPr>
        <w:t xml:space="preserve">There is </w:t>
      </w:r>
      <w:r w:rsidRPr="00A40E55" w:rsidR="00F96147">
        <w:rPr>
          <w:szCs w:val="26"/>
        </w:rPr>
        <w:t xml:space="preserve">no </w:t>
      </w:r>
      <w:r w:rsidRPr="00A40E55" w:rsidR="002417F0">
        <w:rPr>
          <w:szCs w:val="26"/>
        </w:rPr>
        <w:t xml:space="preserve">statutory limit </w:t>
      </w:r>
      <w:r w:rsidRPr="00A40E55" w:rsidR="00E43524">
        <w:rPr>
          <w:szCs w:val="26"/>
        </w:rPr>
        <w:t>on</w:t>
      </w:r>
      <w:r w:rsidRPr="00A40E55" w:rsidR="002417F0">
        <w:rPr>
          <w:szCs w:val="26"/>
        </w:rPr>
        <w:t xml:space="preserve"> the amount of time a person may be committed to a state hospital for treatment under</w:t>
      </w:r>
      <w:r w:rsidRPr="00A40E55" w:rsidR="00A50F8E">
        <w:rPr>
          <w:szCs w:val="26"/>
        </w:rPr>
        <w:t xml:space="preserve"> the SVPA.</w:t>
      </w:r>
      <w:r w:rsidRPr="00A40E55" w:rsidR="002417F0">
        <w:rPr>
          <w:szCs w:val="26"/>
        </w:rPr>
        <w:t xml:space="preserve">  (</w:t>
      </w:r>
      <w:r w:rsidRPr="00A40E55" w:rsidR="00821088">
        <w:rPr>
          <w:szCs w:val="26"/>
        </w:rPr>
        <w:t xml:space="preserve">See </w:t>
      </w:r>
      <w:r w:rsidRPr="00A40E55" w:rsidR="00F96147">
        <w:rPr>
          <w:szCs w:val="26"/>
        </w:rPr>
        <w:t>§ 660</w:t>
      </w:r>
      <w:r w:rsidRPr="00A40E55" w:rsidR="007D7399">
        <w:rPr>
          <w:szCs w:val="26"/>
        </w:rPr>
        <w:t>4</w:t>
      </w:r>
      <w:r w:rsidRPr="00A40E55" w:rsidR="002417F0">
        <w:rPr>
          <w:szCs w:val="26"/>
        </w:rPr>
        <w:t>.)</w:t>
      </w:r>
    </w:p>
    <w:p w:rsidR="006379BC" w:rsidRPr="00A40E55" w:rsidP="00BF3EDE" w14:paraId="4FFF8BD8" w14:textId="066308FD">
      <w:pPr>
        <w:tabs>
          <w:tab w:val="left" w:pos="1440"/>
        </w:tabs>
        <w:ind w:firstLine="720"/>
        <w:rPr>
          <w:szCs w:val="26"/>
        </w:rPr>
      </w:pPr>
      <w:r w:rsidRPr="00A40E55">
        <w:rPr>
          <w:szCs w:val="26"/>
        </w:rPr>
        <w:t xml:space="preserve">Petitioner </w:t>
      </w:r>
      <w:r w:rsidRPr="00A40E55" w:rsidR="00F26D1D">
        <w:rPr>
          <w:szCs w:val="26"/>
        </w:rPr>
        <w:t xml:space="preserve">Victor </w:t>
      </w:r>
      <w:r w:rsidRPr="00A40E55">
        <w:rPr>
          <w:szCs w:val="26"/>
        </w:rPr>
        <w:t xml:space="preserve">Raul </w:t>
      </w:r>
      <w:r w:rsidRPr="00A40E55" w:rsidR="00F26D1D">
        <w:rPr>
          <w:szCs w:val="26"/>
        </w:rPr>
        <w:t>Tellez was charged with three counts of violating Penal Code section 288</w:t>
      </w:r>
      <w:r w:rsidRPr="00A40E55" w:rsidR="00AD77D2">
        <w:rPr>
          <w:szCs w:val="26"/>
        </w:rPr>
        <w:t>, subdivision (a)</w:t>
      </w:r>
      <w:r w:rsidRPr="00A40E55" w:rsidR="00F26D1D">
        <w:rPr>
          <w:szCs w:val="26"/>
        </w:rPr>
        <w:t xml:space="preserve"> (lewd </w:t>
      </w:r>
      <w:r w:rsidRPr="00A40E55" w:rsidR="00731C9A">
        <w:rPr>
          <w:szCs w:val="26"/>
        </w:rPr>
        <w:t xml:space="preserve">or lascivious </w:t>
      </w:r>
      <w:r w:rsidRPr="00A40E55" w:rsidR="00F26D1D">
        <w:rPr>
          <w:szCs w:val="26"/>
        </w:rPr>
        <w:t>act upon a child)</w:t>
      </w:r>
      <w:r w:rsidRPr="00A40E55" w:rsidR="00AD77D2">
        <w:rPr>
          <w:szCs w:val="26"/>
        </w:rPr>
        <w:t>,</w:t>
      </w:r>
      <w:r w:rsidRPr="00A40E55" w:rsidR="007703D6">
        <w:rPr>
          <w:szCs w:val="26"/>
        </w:rPr>
        <w:t xml:space="preserve"> and faced a maximum prison term of </w:t>
      </w:r>
      <w:r w:rsidR="005E70B1">
        <w:rPr>
          <w:szCs w:val="26"/>
        </w:rPr>
        <w:t>12</w:t>
      </w:r>
      <w:r w:rsidRPr="00A40E55" w:rsidR="005E70B1">
        <w:rPr>
          <w:szCs w:val="26"/>
        </w:rPr>
        <w:t xml:space="preserve"> </w:t>
      </w:r>
      <w:r w:rsidRPr="00A40E55" w:rsidR="007703D6">
        <w:rPr>
          <w:szCs w:val="26"/>
        </w:rPr>
        <w:t>years.</w:t>
      </w:r>
      <w:r w:rsidRPr="00A40E55" w:rsidR="00F26D1D">
        <w:rPr>
          <w:szCs w:val="26"/>
        </w:rPr>
        <w:t xml:space="preserve">  </w:t>
      </w:r>
      <w:r w:rsidRPr="00A40E55" w:rsidR="00C15A21">
        <w:rPr>
          <w:szCs w:val="26"/>
        </w:rPr>
        <w:t xml:space="preserve">As part of a plea deal, and on the advice of his attorney, Tellez pleaded guilty to a </w:t>
      </w:r>
      <w:r w:rsidRPr="00A40E55" w:rsidR="00F26D1D">
        <w:rPr>
          <w:szCs w:val="26"/>
        </w:rPr>
        <w:t xml:space="preserve">single </w:t>
      </w:r>
      <w:r w:rsidRPr="00A40E55" w:rsidR="00C15A21">
        <w:rPr>
          <w:szCs w:val="26"/>
        </w:rPr>
        <w:t>felony violation of Penal Code section 288</w:t>
      </w:r>
      <w:r w:rsidRPr="00A40E55" w:rsidR="00AD77D2">
        <w:rPr>
          <w:szCs w:val="26"/>
        </w:rPr>
        <w:t>, subdivision (a),</w:t>
      </w:r>
      <w:r w:rsidRPr="00A40E55" w:rsidR="006D2611">
        <w:rPr>
          <w:szCs w:val="26"/>
        </w:rPr>
        <w:t xml:space="preserve"> and was sentenced to three years in prison</w:t>
      </w:r>
      <w:r w:rsidRPr="00A40E55" w:rsidR="00C15A21">
        <w:rPr>
          <w:szCs w:val="26"/>
        </w:rPr>
        <w:t xml:space="preserve">.  </w:t>
      </w:r>
      <w:r w:rsidRPr="00A40E55" w:rsidR="00DF00A3">
        <w:rPr>
          <w:szCs w:val="26"/>
        </w:rPr>
        <w:t>Penal Code section</w:t>
      </w:r>
      <w:r w:rsidRPr="00A40E55" w:rsidR="00C15A21">
        <w:rPr>
          <w:szCs w:val="26"/>
        </w:rPr>
        <w:t xml:space="preserve"> 288</w:t>
      </w:r>
      <w:r w:rsidRPr="00A40E55" w:rsidR="00AD77D2">
        <w:rPr>
          <w:szCs w:val="26"/>
        </w:rPr>
        <w:t>, subdivision (a),</w:t>
      </w:r>
      <w:r w:rsidRPr="00A40E55" w:rsidR="00C15A21">
        <w:rPr>
          <w:szCs w:val="26"/>
        </w:rPr>
        <w:t xml:space="preserve"> is a qualifying offense for the SVPA.  </w:t>
      </w:r>
      <w:r w:rsidR="00F17863">
        <w:rPr>
          <w:szCs w:val="26"/>
        </w:rPr>
        <w:t xml:space="preserve">Tellez was not </w:t>
      </w:r>
      <w:r w:rsidR="00AB6B55">
        <w:rPr>
          <w:szCs w:val="26"/>
        </w:rPr>
        <w:t>told by the court</w:t>
      </w:r>
      <w:r w:rsidR="00F17863">
        <w:rPr>
          <w:szCs w:val="26"/>
        </w:rPr>
        <w:t xml:space="preserve">, in entering his guilty plea, that the conviction would make him eligible for commitment as a sexually violent predator. </w:t>
      </w:r>
      <w:r w:rsidR="006D6C27">
        <w:rPr>
          <w:szCs w:val="26"/>
        </w:rPr>
        <w:t xml:space="preserve"> </w:t>
      </w:r>
      <w:r w:rsidR="00C8229C">
        <w:rPr>
          <w:szCs w:val="26"/>
        </w:rPr>
        <w:t>After</w:t>
      </w:r>
      <w:r w:rsidRPr="00A40E55" w:rsidR="00F213FC">
        <w:rPr>
          <w:szCs w:val="26"/>
        </w:rPr>
        <w:t xml:space="preserve"> </w:t>
      </w:r>
      <w:r w:rsidR="00C8229C">
        <w:rPr>
          <w:szCs w:val="26"/>
        </w:rPr>
        <w:t>Tellez completed</w:t>
      </w:r>
      <w:r w:rsidRPr="00A40E55" w:rsidR="00F213FC">
        <w:rPr>
          <w:szCs w:val="26"/>
        </w:rPr>
        <w:t xml:space="preserve"> his </w:t>
      </w:r>
      <w:r w:rsidRPr="00A40E55" w:rsidR="0042743C">
        <w:rPr>
          <w:szCs w:val="26"/>
        </w:rPr>
        <w:t xml:space="preserve">three-year </w:t>
      </w:r>
      <w:r w:rsidRPr="00A40E55" w:rsidR="00F213FC">
        <w:rPr>
          <w:szCs w:val="26"/>
        </w:rPr>
        <w:t xml:space="preserve">prison term, </w:t>
      </w:r>
      <w:r w:rsidRPr="00A40E55" w:rsidR="00F96147">
        <w:rPr>
          <w:szCs w:val="26"/>
        </w:rPr>
        <w:t xml:space="preserve">the District Attorney of the County of San Diego initiated </w:t>
      </w:r>
      <w:r w:rsidRPr="00A40E55" w:rsidR="007D7399">
        <w:rPr>
          <w:szCs w:val="26"/>
        </w:rPr>
        <w:t>SVPA</w:t>
      </w:r>
      <w:r w:rsidRPr="00A40E55" w:rsidR="00F213FC">
        <w:rPr>
          <w:szCs w:val="26"/>
        </w:rPr>
        <w:t xml:space="preserve"> proceedings for </w:t>
      </w:r>
      <w:r w:rsidRPr="00A40E55" w:rsidR="001B5A30">
        <w:rPr>
          <w:szCs w:val="26"/>
        </w:rPr>
        <w:t xml:space="preserve">Tellez’s </w:t>
      </w:r>
      <w:r w:rsidRPr="00A40E55" w:rsidR="003C51E8">
        <w:rPr>
          <w:szCs w:val="26"/>
        </w:rPr>
        <w:t xml:space="preserve">involuntary </w:t>
      </w:r>
      <w:r w:rsidRPr="00A40E55" w:rsidR="00F213FC">
        <w:rPr>
          <w:szCs w:val="26"/>
        </w:rPr>
        <w:t xml:space="preserve">commitment to a state hospital.  </w:t>
      </w:r>
    </w:p>
    <w:p w:rsidR="00DC0499" w:rsidRPr="00A40E55" w:rsidP="00BF3EDE" w14:paraId="0924D871" w14:textId="3EDE6704">
      <w:pPr>
        <w:tabs>
          <w:tab w:val="left" w:pos="1440"/>
        </w:tabs>
        <w:ind w:firstLine="720"/>
        <w:rPr>
          <w:szCs w:val="26"/>
        </w:rPr>
      </w:pPr>
      <w:r w:rsidRPr="00A40E55">
        <w:rPr>
          <w:szCs w:val="26"/>
        </w:rPr>
        <w:t>Tellez</w:t>
      </w:r>
      <w:r w:rsidR="004234BC">
        <w:rPr>
          <w:szCs w:val="26"/>
        </w:rPr>
        <w:t xml:space="preserve"> </w:t>
      </w:r>
      <w:r w:rsidRPr="00A40E55" w:rsidR="00B358B7">
        <w:rPr>
          <w:szCs w:val="26"/>
        </w:rPr>
        <w:t xml:space="preserve">asserts </w:t>
      </w:r>
      <w:r w:rsidRPr="00A40E55">
        <w:rPr>
          <w:szCs w:val="26"/>
        </w:rPr>
        <w:t>he</w:t>
      </w:r>
      <w:r w:rsidR="004234BC">
        <w:rPr>
          <w:szCs w:val="26"/>
        </w:rPr>
        <w:t xml:space="preserve"> was not advised of the possibility of a civil commitment</w:t>
      </w:r>
      <w:r w:rsidR="00F17863">
        <w:rPr>
          <w:szCs w:val="26"/>
        </w:rPr>
        <w:t xml:space="preserve"> by counsel</w:t>
      </w:r>
      <w:r w:rsidR="004234BC">
        <w:rPr>
          <w:szCs w:val="26"/>
        </w:rPr>
        <w:t xml:space="preserve"> and that he</w:t>
      </w:r>
      <w:r w:rsidRPr="00A40E55" w:rsidR="000C323F">
        <w:rPr>
          <w:szCs w:val="26"/>
        </w:rPr>
        <w:t xml:space="preserve"> would not have accepted the plea deal had he been properly informed of its potential</w:t>
      </w:r>
      <w:r w:rsidRPr="00A40E55">
        <w:rPr>
          <w:szCs w:val="26"/>
        </w:rPr>
        <w:t xml:space="preserve"> SVPA</w:t>
      </w:r>
      <w:r w:rsidRPr="00A40E55" w:rsidR="000C323F">
        <w:rPr>
          <w:szCs w:val="26"/>
        </w:rPr>
        <w:t xml:space="preserve"> consequences</w:t>
      </w:r>
      <w:r w:rsidRPr="00A40E55" w:rsidR="00CC0715">
        <w:rPr>
          <w:szCs w:val="26"/>
        </w:rPr>
        <w:t xml:space="preserve">.  </w:t>
      </w:r>
      <w:r w:rsidRPr="00A40E55" w:rsidR="00720B1D">
        <w:rPr>
          <w:szCs w:val="26"/>
        </w:rPr>
        <w:t>Tel</w:t>
      </w:r>
      <w:r w:rsidRPr="00A40E55" w:rsidR="00DA00CC">
        <w:rPr>
          <w:szCs w:val="26"/>
        </w:rPr>
        <w:t>l</w:t>
      </w:r>
      <w:r w:rsidRPr="00A40E55" w:rsidR="00720B1D">
        <w:rPr>
          <w:szCs w:val="26"/>
        </w:rPr>
        <w:t>ez</w:t>
      </w:r>
      <w:r w:rsidRPr="00A40E55" w:rsidR="00CC0715">
        <w:rPr>
          <w:szCs w:val="26"/>
        </w:rPr>
        <w:t xml:space="preserve"> </w:t>
      </w:r>
      <w:r w:rsidRPr="00A40E55" w:rsidR="00B358B7">
        <w:rPr>
          <w:szCs w:val="26"/>
        </w:rPr>
        <w:t>argues that</w:t>
      </w:r>
      <w:r w:rsidRPr="00A40E55">
        <w:rPr>
          <w:szCs w:val="26"/>
        </w:rPr>
        <w:t xml:space="preserve"> his counsel’s failure to </w:t>
      </w:r>
      <w:r w:rsidR="008D527E">
        <w:rPr>
          <w:szCs w:val="26"/>
        </w:rPr>
        <w:t xml:space="preserve">so </w:t>
      </w:r>
      <w:r w:rsidRPr="00A40E55">
        <w:rPr>
          <w:szCs w:val="26"/>
        </w:rPr>
        <w:t xml:space="preserve">advise him was a violation of </w:t>
      </w:r>
      <w:r w:rsidRPr="00A40E55" w:rsidR="00720B1D">
        <w:rPr>
          <w:szCs w:val="26"/>
        </w:rPr>
        <w:t xml:space="preserve">his </w:t>
      </w:r>
      <w:r w:rsidRPr="00A40E55">
        <w:rPr>
          <w:szCs w:val="26"/>
        </w:rPr>
        <w:t>constitutional right to effective assistance of counsel</w:t>
      </w:r>
      <w:r w:rsidRPr="00A40E55" w:rsidR="000C323F">
        <w:rPr>
          <w:szCs w:val="26"/>
        </w:rPr>
        <w:t xml:space="preserve">.  </w:t>
      </w:r>
      <w:r w:rsidRPr="00A40E55">
        <w:rPr>
          <w:szCs w:val="26"/>
        </w:rPr>
        <w:t>We first assess</w:t>
      </w:r>
      <w:r w:rsidRPr="00A40E55" w:rsidR="00C15A21">
        <w:rPr>
          <w:szCs w:val="26"/>
        </w:rPr>
        <w:t xml:space="preserve"> whether </w:t>
      </w:r>
      <w:r w:rsidRPr="00A40E55" w:rsidR="0042743C">
        <w:rPr>
          <w:szCs w:val="26"/>
        </w:rPr>
        <w:t>Tellez has demonstrated he was prejudiced by his counsel’s f</w:t>
      </w:r>
      <w:r w:rsidRPr="00A40E55" w:rsidR="00C15A21">
        <w:rPr>
          <w:szCs w:val="26"/>
        </w:rPr>
        <w:t xml:space="preserve">ailure to advise </w:t>
      </w:r>
      <w:r w:rsidRPr="00A40E55" w:rsidR="0042743C">
        <w:rPr>
          <w:szCs w:val="26"/>
        </w:rPr>
        <w:t>him</w:t>
      </w:r>
      <w:r w:rsidRPr="00A40E55" w:rsidR="00C15A21">
        <w:rPr>
          <w:szCs w:val="26"/>
        </w:rPr>
        <w:t xml:space="preserve"> of the SVPA consequences of accepting </w:t>
      </w:r>
      <w:r w:rsidRPr="00A40E55" w:rsidR="00104AD0">
        <w:rPr>
          <w:szCs w:val="26"/>
        </w:rPr>
        <w:t>the</w:t>
      </w:r>
      <w:r w:rsidRPr="00A40E55" w:rsidR="00C15A21">
        <w:rPr>
          <w:szCs w:val="26"/>
        </w:rPr>
        <w:t xml:space="preserve"> plea deal.  </w:t>
      </w:r>
      <w:r w:rsidRPr="00A40E55" w:rsidR="00522D4D">
        <w:rPr>
          <w:szCs w:val="26"/>
        </w:rPr>
        <w:t>We conclude that h</w:t>
      </w:r>
      <w:r w:rsidRPr="00A40E55" w:rsidR="007634CC">
        <w:rPr>
          <w:szCs w:val="26"/>
        </w:rPr>
        <w:t>e has not</w:t>
      </w:r>
      <w:r w:rsidRPr="00A40E55" w:rsidR="00E43524">
        <w:rPr>
          <w:szCs w:val="26"/>
        </w:rPr>
        <w:t>.</w:t>
      </w:r>
      <w:r w:rsidRPr="00A40E55" w:rsidR="00970F0E">
        <w:rPr>
          <w:szCs w:val="26"/>
        </w:rPr>
        <w:t xml:space="preserve"> </w:t>
      </w:r>
      <w:r w:rsidRPr="00A40E55" w:rsidR="00D32782">
        <w:rPr>
          <w:szCs w:val="26"/>
        </w:rPr>
        <w:t xml:space="preserve"> </w:t>
      </w:r>
      <w:r w:rsidRPr="00A40E55" w:rsidR="0042743C">
        <w:rPr>
          <w:szCs w:val="26"/>
        </w:rPr>
        <w:t xml:space="preserve">Tellez has provided </w:t>
      </w:r>
      <w:r w:rsidRPr="00A40E55" w:rsidR="00DA00CC">
        <w:rPr>
          <w:szCs w:val="26"/>
        </w:rPr>
        <w:t xml:space="preserve">insufficient </w:t>
      </w:r>
      <w:r w:rsidRPr="00A40E55" w:rsidR="0042743C">
        <w:rPr>
          <w:szCs w:val="26"/>
        </w:rPr>
        <w:t xml:space="preserve">evidence that he would </w:t>
      </w:r>
      <w:r w:rsidRPr="00A40E55" w:rsidR="006F7C45">
        <w:rPr>
          <w:szCs w:val="26"/>
        </w:rPr>
        <w:t xml:space="preserve">not </w:t>
      </w:r>
      <w:r w:rsidRPr="00A40E55" w:rsidR="004E3DF1">
        <w:rPr>
          <w:szCs w:val="26"/>
        </w:rPr>
        <w:t xml:space="preserve">have </w:t>
      </w:r>
      <w:r w:rsidRPr="00A40E55" w:rsidR="006F7C45">
        <w:rPr>
          <w:szCs w:val="26"/>
        </w:rPr>
        <w:t xml:space="preserve">accepted </w:t>
      </w:r>
      <w:r w:rsidRPr="00A40E55" w:rsidR="001B5A30">
        <w:rPr>
          <w:szCs w:val="26"/>
        </w:rPr>
        <w:t>the plea</w:t>
      </w:r>
      <w:r w:rsidRPr="00A40E55" w:rsidR="0042743C">
        <w:rPr>
          <w:szCs w:val="26"/>
        </w:rPr>
        <w:t xml:space="preserve"> deal had he been advised of the SVPA consequences by his counsel</w:t>
      </w:r>
      <w:r w:rsidRPr="00A40E55" w:rsidR="00830EAF">
        <w:rPr>
          <w:szCs w:val="26"/>
        </w:rPr>
        <w:t xml:space="preserve">, and thus, has not </w:t>
      </w:r>
      <w:r w:rsidRPr="00A40E55" w:rsidR="003D4F16">
        <w:rPr>
          <w:szCs w:val="26"/>
        </w:rPr>
        <w:t xml:space="preserve">established that </w:t>
      </w:r>
      <w:r w:rsidRPr="00A40E55" w:rsidR="00830EAF">
        <w:rPr>
          <w:szCs w:val="26"/>
        </w:rPr>
        <w:t>he was prejudiced</w:t>
      </w:r>
      <w:r w:rsidRPr="00A40E55" w:rsidR="00970F0E">
        <w:rPr>
          <w:szCs w:val="26"/>
        </w:rPr>
        <w:t xml:space="preserve">.  </w:t>
      </w:r>
      <w:r w:rsidRPr="00A40E55">
        <w:rPr>
          <w:szCs w:val="26"/>
        </w:rPr>
        <w:t xml:space="preserve">Because Tellez </w:t>
      </w:r>
      <w:r w:rsidRPr="00A40E55" w:rsidR="00E43524">
        <w:rPr>
          <w:szCs w:val="26"/>
        </w:rPr>
        <w:t>has not</w:t>
      </w:r>
      <w:r w:rsidRPr="00A40E55">
        <w:rPr>
          <w:szCs w:val="26"/>
        </w:rPr>
        <w:t xml:space="preserve"> </w:t>
      </w:r>
      <w:r w:rsidRPr="00A40E55" w:rsidR="00522D4D">
        <w:rPr>
          <w:szCs w:val="26"/>
        </w:rPr>
        <w:t xml:space="preserve">demonstrated </w:t>
      </w:r>
      <w:r w:rsidRPr="00A40E55">
        <w:rPr>
          <w:szCs w:val="26"/>
        </w:rPr>
        <w:t>he was prejudiced</w:t>
      </w:r>
      <w:r w:rsidRPr="00A40E55" w:rsidR="00522D4D">
        <w:rPr>
          <w:szCs w:val="26"/>
        </w:rPr>
        <w:t xml:space="preserve"> by his counsel’s failure to advise</w:t>
      </w:r>
      <w:r w:rsidRPr="00A40E55">
        <w:rPr>
          <w:szCs w:val="26"/>
        </w:rPr>
        <w:t xml:space="preserve">, we need not reach the merits of his </w:t>
      </w:r>
      <w:r w:rsidRPr="00A40E55" w:rsidR="001738D3">
        <w:rPr>
          <w:szCs w:val="26"/>
        </w:rPr>
        <w:t>deficient performance claim</w:t>
      </w:r>
      <w:r w:rsidRPr="00A40E55">
        <w:rPr>
          <w:szCs w:val="26"/>
        </w:rPr>
        <w:t xml:space="preserve">.  However, </w:t>
      </w:r>
      <w:r w:rsidRPr="00A40E55" w:rsidR="00A50F8E">
        <w:rPr>
          <w:szCs w:val="26"/>
        </w:rPr>
        <w:t xml:space="preserve">as </w:t>
      </w:r>
      <w:r w:rsidRPr="00A40E55" w:rsidR="00306E91">
        <w:rPr>
          <w:szCs w:val="26"/>
        </w:rPr>
        <w:t>both pa</w:t>
      </w:r>
      <w:r w:rsidRPr="00A40E55">
        <w:rPr>
          <w:szCs w:val="26"/>
        </w:rPr>
        <w:t xml:space="preserve">rties </w:t>
      </w:r>
      <w:r w:rsidRPr="00A40E55" w:rsidR="00306E91">
        <w:rPr>
          <w:szCs w:val="26"/>
        </w:rPr>
        <w:t xml:space="preserve">in this litigation </w:t>
      </w:r>
      <w:r w:rsidRPr="00A40E55" w:rsidR="00A50F8E">
        <w:rPr>
          <w:szCs w:val="26"/>
        </w:rPr>
        <w:t>note, commitment under the SVPA</w:t>
      </w:r>
      <w:r w:rsidRPr="00A40E55" w:rsidR="004E3DF1">
        <w:rPr>
          <w:szCs w:val="26"/>
        </w:rPr>
        <w:t xml:space="preserve"> constitutes a significant deprivation of liberty</w:t>
      </w:r>
      <w:r w:rsidR="008D527E">
        <w:rPr>
          <w:szCs w:val="26"/>
        </w:rPr>
        <w:t>, and a defendant should be made aware of the possibility of such a commitment</w:t>
      </w:r>
      <w:r w:rsidRPr="00A40E55">
        <w:rPr>
          <w:szCs w:val="26"/>
        </w:rPr>
        <w:t xml:space="preserve">.  </w:t>
      </w:r>
      <w:r w:rsidRPr="00A40E55" w:rsidR="001B5A30">
        <w:rPr>
          <w:szCs w:val="26"/>
        </w:rPr>
        <w:t>Both</w:t>
      </w:r>
      <w:r w:rsidRPr="00A40E55">
        <w:rPr>
          <w:szCs w:val="26"/>
        </w:rPr>
        <w:t xml:space="preserve"> parties </w:t>
      </w:r>
      <w:r w:rsidRPr="00A40E55" w:rsidR="00306E91">
        <w:rPr>
          <w:szCs w:val="26"/>
        </w:rPr>
        <w:t>request</w:t>
      </w:r>
      <w:r w:rsidRPr="00A40E55">
        <w:rPr>
          <w:szCs w:val="26"/>
        </w:rPr>
        <w:t xml:space="preserve">, and </w:t>
      </w:r>
      <w:r w:rsidRPr="00A40E55" w:rsidR="00B977B3">
        <w:rPr>
          <w:szCs w:val="26"/>
        </w:rPr>
        <w:t xml:space="preserve">we </w:t>
      </w:r>
      <w:r w:rsidRPr="00A40E55" w:rsidR="00281042">
        <w:rPr>
          <w:szCs w:val="26"/>
        </w:rPr>
        <w:t>agree</w:t>
      </w:r>
      <w:r w:rsidRPr="00A40E55" w:rsidR="001B5A30">
        <w:rPr>
          <w:szCs w:val="26"/>
        </w:rPr>
        <w:t xml:space="preserve"> it is </w:t>
      </w:r>
      <w:r w:rsidRPr="00A40E55" w:rsidR="004E3DF1">
        <w:rPr>
          <w:szCs w:val="26"/>
        </w:rPr>
        <w:t>appropriate</w:t>
      </w:r>
      <w:r w:rsidRPr="00A40E55">
        <w:rPr>
          <w:szCs w:val="26"/>
        </w:rPr>
        <w:t xml:space="preserve">, </w:t>
      </w:r>
      <w:r w:rsidRPr="00A40E55" w:rsidR="00306E91">
        <w:rPr>
          <w:szCs w:val="26"/>
        </w:rPr>
        <w:t>that we</w:t>
      </w:r>
      <w:r w:rsidRPr="00A40E55">
        <w:rPr>
          <w:szCs w:val="26"/>
        </w:rPr>
        <w:t xml:space="preserve"> exercise our </w:t>
      </w:r>
      <w:r w:rsidRPr="00A40E55" w:rsidR="002417F0">
        <w:rPr>
          <w:szCs w:val="26"/>
        </w:rPr>
        <w:t>supervisory power</w:t>
      </w:r>
      <w:r w:rsidRPr="00A40E55" w:rsidR="00A152B2">
        <w:rPr>
          <w:szCs w:val="26"/>
        </w:rPr>
        <w:t>s</w:t>
      </w:r>
      <w:r w:rsidRPr="00A40E55" w:rsidR="002417F0">
        <w:rPr>
          <w:szCs w:val="26"/>
        </w:rPr>
        <w:t xml:space="preserve"> </w:t>
      </w:r>
      <w:r w:rsidRPr="00A40E55">
        <w:rPr>
          <w:szCs w:val="26"/>
        </w:rPr>
        <w:t>to require trial courts to explicitly advise criminal defendants of potential SVPA consequences of a guilty</w:t>
      </w:r>
      <w:r w:rsidRPr="00A40E55" w:rsidR="00B358B7">
        <w:rPr>
          <w:szCs w:val="26"/>
        </w:rPr>
        <w:t xml:space="preserve"> or nolo contend</w:t>
      </w:r>
      <w:r w:rsidRPr="00A40E55" w:rsidR="00DA00CC">
        <w:rPr>
          <w:szCs w:val="26"/>
        </w:rPr>
        <w:t>e</w:t>
      </w:r>
      <w:r w:rsidRPr="00A40E55" w:rsidR="00B358B7">
        <w:rPr>
          <w:szCs w:val="26"/>
        </w:rPr>
        <w:t>re</w:t>
      </w:r>
      <w:r w:rsidRPr="00A40E55" w:rsidR="004016FA">
        <w:rPr>
          <w:szCs w:val="26"/>
        </w:rPr>
        <w:t xml:space="preserve"> (no contest)</w:t>
      </w:r>
      <w:r w:rsidRPr="00A40E55">
        <w:rPr>
          <w:szCs w:val="26"/>
        </w:rPr>
        <w:t xml:space="preserve"> plea.</w:t>
      </w:r>
      <w:r w:rsidRPr="00A40E55" w:rsidR="004F79BE">
        <w:rPr>
          <w:szCs w:val="26"/>
        </w:rPr>
        <w:t xml:space="preserve">  </w:t>
      </w:r>
    </w:p>
    <w:p w:rsidR="008D6CDD" w:rsidRPr="00A40E55" w:rsidP="00BF3EDE" w14:paraId="6D351201" w14:textId="25D24669">
      <w:pPr>
        <w:pStyle w:val="Heading1"/>
      </w:pPr>
      <w:r w:rsidRPr="00A40E55">
        <w:t>I.</w:t>
      </w:r>
      <w:r w:rsidRPr="00A40E55">
        <w:tab/>
      </w:r>
      <w:r w:rsidRPr="00A40E55" w:rsidR="009B1951">
        <w:t>Civil Commitment Under the</w:t>
      </w:r>
      <w:r w:rsidRPr="00A40E55">
        <w:t xml:space="preserve"> Sexually Violent Predator Act</w:t>
      </w:r>
    </w:p>
    <w:p w:rsidR="001D0DFD" w:rsidRPr="00A40E55" w:rsidP="00BF3EDE" w14:paraId="099093F2" w14:textId="08E869E6">
      <w:pPr>
        <w:tabs>
          <w:tab w:val="left" w:pos="1440"/>
        </w:tabs>
        <w:ind w:firstLine="720"/>
      </w:pPr>
      <w:r w:rsidRPr="00A40E55">
        <w:t xml:space="preserve">The process for committing an individual under the SVPA begins when the </w:t>
      </w:r>
      <w:r w:rsidR="008D6810">
        <w:t xml:space="preserve">California </w:t>
      </w:r>
      <w:r w:rsidRPr="00A40E55">
        <w:t>Department of Corrections and Rehabilitation</w:t>
      </w:r>
      <w:r w:rsidRPr="00A40E55" w:rsidR="00C1143C">
        <w:t xml:space="preserve"> </w:t>
      </w:r>
      <w:r w:rsidR="008D6810">
        <w:t xml:space="preserve">(CDCR) </w:t>
      </w:r>
      <w:r w:rsidRPr="00A40E55">
        <w:t>refers an i</w:t>
      </w:r>
      <w:r w:rsidRPr="00A40E55" w:rsidR="007D7399">
        <w:t>ncarcerated i</w:t>
      </w:r>
      <w:r w:rsidRPr="00A40E55">
        <w:t>ndividual for a</w:t>
      </w:r>
      <w:r w:rsidRPr="00A40E55" w:rsidR="00E60D6B">
        <w:t>n initial</w:t>
      </w:r>
      <w:r w:rsidRPr="00A40E55">
        <w:t xml:space="preserve"> mental evaluation.  (§ 6601</w:t>
      </w:r>
      <w:r w:rsidRPr="00A40E55" w:rsidR="006A21E1">
        <w:t>, subd. (</w:t>
      </w:r>
      <w:r w:rsidRPr="00A40E55">
        <w:t xml:space="preserve">a).)  </w:t>
      </w:r>
      <w:r w:rsidRPr="00A40E55" w:rsidR="00DF630B">
        <w:t>Typically, t</w:t>
      </w:r>
      <w:r w:rsidRPr="00A40E55">
        <w:t xml:space="preserve">his step must be done at least six months prior to the individual’s scheduled </w:t>
      </w:r>
      <w:r w:rsidRPr="00A40E55" w:rsidR="00473DB6">
        <w:t xml:space="preserve">prison release </w:t>
      </w:r>
      <w:r w:rsidRPr="00A40E55">
        <w:t>date.  (</w:t>
      </w:r>
      <w:r w:rsidRPr="00A40E55">
        <w:rPr>
          <w:i/>
          <w:iCs/>
        </w:rPr>
        <w:t>Ibid</w:t>
      </w:r>
      <w:r w:rsidRPr="00A40E55">
        <w:t xml:space="preserve">.)  To decide who it refers for evaluation, the </w:t>
      </w:r>
      <w:r w:rsidR="008D6810">
        <w:t>CDCR</w:t>
      </w:r>
      <w:r w:rsidRPr="00A40E55" w:rsidR="00C1143C">
        <w:t xml:space="preserve"> </w:t>
      </w:r>
      <w:r w:rsidRPr="00A40E55">
        <w:t xml:space="preserve">first </w:t>
      </w:r>
      <w:r w:rsidRPr="00A40E55" w:rsidR="00E60D6B">
        <w:t xml:space="preserve">screens </w:t>
      </w:r>
      <w:r w:rsidR="005E70B1">
        <w:t>incarcerated individuals’</w:t>
      </w:r>
      <w:r w:rsidRPr="00A40E55" w:rsidR="00E60D6B">
        <w:t xml:space="preserve"> “social, criminal, and institutional history” and </w:t>
      </w:r>
      <w:r w:rsidRPr="00A40E55">
        <w:t>identifies individuals who have committed qualifying sexually violent predatory offenses</w:t>
      </w:r>
      <w:r w:rsidRPr="00A40E55" w:rsidR="00E60D6B">
        <w:t xml:space="preserve">.  </w:t>
      </w:r>
      <w:r w:rsidRPr="00A40E55">
        <w:t>(</w:t>
      </w:r>
      <w:r w:rsidRPr="00A40E55" w:rsidR="00DB111F">
        <w:rPr>
          <w:i/>
          <w:iCs/>
        </w:rPr>
        <w:t>Id.,</w:t>
      </w:r>
      <w:r w:rsidRPr="00A40E55" w:rsidR="00DB111F">
        <w:t xml:space="preserve"> </w:t>
      </w:r>
      <w:r w:rsidRPr="00A40E55" w:rsidR="008713A2">
        <w:t>subd. (</w:t>
      </w:r>
      <w:r w:rsidRPr="00A40E55">
        <w:t>b).)  If the</w:t>
      </w:r>
      <w:r w:rsidRPr="00A40E55" w:rsidR="00C1143C">
        <w:t xml:space="preserve"> </w:t>
      </w:r>
      <w:r w:rsidR="00E77261">
        <w:t>CDCR</w:t>
      </w:r>
      <w:r w:rsidRPr="00A40E55" w:rsidR="00C1143C">
        <w:t xml:space="preserve"> determines someone is “likely to be a sexually violent predator,” it refers that person to the </w:t>
      </w:r>
      <w:r w:rsidR="005E70B1">
        <w:t xml:space="preserve">State </w:t>
      </w:r>
      <w:r w:rsidRPr="00A40E55" w:rsidR="00C1143C">
        <w:t>Department of State Hospitals</w:t>
      </w:r>
      <w:r w:rsidR="00561CCE">
        <w:t xml:space="preserve"> (DSH)</w:t>
      </w:r>
      <w:r w:rsidRPr="00A40E55" w:rsidR="00C1143C">
        <w:t xml:space="preserve"> for</w:t>
      </w:r>
      <w:r w:rsidRPr="00A40E55" w:rsidR="00752188">
        <w:t xml:space="preserve"> a</w:t>
      </w:r>
      <w:r w:rsidRPr="00A40E55" w:rsidR="00C1143C">
        <w:t xml:space="preserve"> full evaluation of whether that individual meets the SVPA’s criteria</w:t>
      </w:r>
      <w:r w:rsidRPr="00A40E55" w:rsidR="007D7399">
        <w:t xml:space="preserve"> for civil commitment</w:t>
      </w:r>
      <w:r w:rsidRPr="00A40E55" w:rsidR="00C1143C">
        <w:t>.  (</w:t>
      </w:r>
      <w:r w:rsidRPr="00A40E55" w:rsidR="00C1143C">
        <w:rPr>
          <w:i/>
          <w:iCs/>
        </w:rPr>
        <w:t>Ibid.</w:t>
      </w:r>
      <w:r w:rsidRPr="00A40E55" w:rsidR="00C1143C">
        <w:t>)</w:t>
      </w:r>
    </w:p>
    <w:p w:rsidR="00CD562F" w:rsidRPr="00A40E55" w:rsidP="00337390" w14:paraId="10DADD3B" w14:textId="7039D6BC">
      <w:pPr>
        <w:tabs>
          <w:tab w:val="left" w:pos="1440"/>
        </w:tabs>
        <w:ind w:firstLine="720"/>
      </w:pPr>
      <w:r>
        <w:t xml:space="preserve">The </w:t>
      </w:r>
      <w:r w:rsidR="0004221D">
        <w:t xml:space="preserve">DSH </w:t>
      </w:r>
      <w:r w:rsidRPr="00A40E55" w:rsidR="007D7399">
        <w:t>is</w:t>
      </w:r>
      <w:r w:rsidRPr="00A40E55" w:rsidR="00752188">
        <w:t xml:space="preserve"> then</w:t>
      </w:r>
      <w:r w:rsidRPr="00A40E55" w:rsidR="007D7399">
        <w:t xml:space="preserve"> required to</w:t>
      </w:r>
      <w:r w:rsidRPr="00A40E55" w:rsidR="00C1143C">
        <w:t xml:space="preserve"> apply a standardized assessment protocol to identify diagnosable mental disorders and other factors known to be associated with the risk of committing another sexual offense.  (§ 6601</w:t>
      </w:r>
      <w:r w:rsidRPr="00A40E55" w:rsidR="008713A2">
        <w:t>, subd. (</w:t>
      </w:r>
      <w:r w:rsidRPr="00A40E55" w:rsidR="00C1143C">
        <w:t>c).)  Risk factors include “criminal and psychosexual history, type, degree, and duration of sexual deviance, and severity of mental disorder.”  (</w:t>
      </w:r>
      <w:r w:rsidRPr="00A40E55" w:rsidR="00C1143C">
        <w:rPr>
          <w:i/>
          <w:iCs/>
        </w:rPr>
        <w:t>Ibid</w:t>
      </w:r>
      <w:r w:rsidRPr="00A40E55" w:rsidR="00C1143C">
        <w:t xml:space="preserve">.)  This standardized assessment </w:t>
      </w:r>
      <w:r w:rsidRPr="00A40E55" w:rsidR="007D7399">
        <w:t>involves separate evaluations</w:t>
      </w:r>
      <w:r w:rsidRPr="00A40E55" w:rsidR="00C1143C">
        <w:t xml:space="preserve"> by </w:t>
      </w:r>
      <w:r w:rsidRPr="00A40E55" w:rsidR="007D7399">
        <w:t xml:space="preserve">two different </w:t>
      </w:r>
      <w:r w:rsidRPr="00A40E55" w:rsidR="00C1143C">
        <w:t>practicing psychiatrists or psychologists.  (§ 6601</w:t>
      </w:r>
      <w:r w:rsidRPr="00A40E55" w:rsidR="008713A2">
        <w:t>, subd. (</w:t>
      </w:r>
      <w:r w:rsidRPr="00A40E55" w:rsidR="00C1143C">
        <w:t>d).)  If both evaluators agree that the individual is likely to reoffend without appropriate treatment and custody</w:t>
      </w:r>
      <w:r w:rsidR="00125E7A">
        <w:t xml:space="preserve"> in a secure facility</w:t>
      </w:r>
      <w:r w:rsidRPr="00A40E55" w:rsidR="00C1143C">
        <w:t xml:space="preserve">, the </w:t>
      </w:r>
      <w:r w:rsidR="004E5E5F">
        <w:t xml:space="preserve">DSH </w:t>
      </w:r>
      <w:r w:rsidRPr="00A40E55" w:rsidR="00C1143C">
        <w:t xml:space="preserve">Director </w:t>
      </w:r>
      <w:r w:rsidRPr="00A40E55" w:rsidR="00473DB6">
        <w:t>forwards a request to the county prosecutor</w:t>
      </w:r>
      <w:r w:rsidRPr="00A40E55" w:rsidR="00C0147B">
        <w:t xml:space="preserve"> to petition</w:t>
      </w:r>
      <w:r w:rsidRPr="00A40E55" w:rsidR="00C1143C">
        <w:t xml:space="preserve"> for the individual’s commitment to a state hospital.</w:t>
      </w:r>
      <w:r>
        <w:rPr>
          <w:rStyle w:val="FootnoteReference"/>
        </w:rPr>
        <w:footnoteReference w:id="4"/>
      </w:r>
      <w:r w:rsidRPr="00A40E55" w:rsidR="00C1143C">
        <w:t xml:space="preserve">  (</w:t>
      </w:r>
      <w:r w:rsidRPr="00A40E55" w:rsidR="00C1143C">
        <w:rPr>
          <w:i/>
          <w:iCs/>
        </w:rPr>
        <w:t>Ibid.</w:t>
      </w:r>
      <w:r w:rsidRPr="00A40E55" w:rsidR="00C1143C">
        <w:t xml:space="preserve">)  </w:t>
      </w:r>
    </w:p>
    <w:p w:rsidR="004B3BB4" w:rsidRPr="00A40E55" w:rsidP="00337390" w14:paraId="083555D2" w14:textId="669BBD20">
      <w:pPr>
        <w:tabs>
          <w:tab w:val="left" w:pos="1440"/>
        </w:tabs>
        <w:ind w:firstLine="720"/>
      </w:pPr>
      <w:r w:rsidRPr="00A40E55">
        <w:t xml:space="preserve">The </w:t>
      </w:r>
      <w:r w:rsidR="004E5E5F">
        <w:t xml:space="preserve">DSH </w:t>
      </w:r>
      <w:r w:rsidRPr="00A40E55">
        <w:t>Director may only file a request for commitment if both evaluators concur that the person meets the specified criteria for commitment.  (§ 6601</w:t>
      </w:r>
      <w:r w:rsidRPr="00A40E55" w:rsidR="008713A2">
        <w:t xml:space="preserve">, subd. </w:t>
      </w:r>
      <w:r w:rsidRPr="00A40E55" w:rsidR="00F51619">
        <w:t>(f)</w:t>
      </w:r>
      <w:r w:rsidRPr="00A40E55">
        <w:t xml:space="preserve">.)  </w:t>
      </w:r>
      <w:r w:rsidRPr="00A40E55" w:rsidR="007D7399">
        <w:t xml:space="preserve">If the county </w:t>
      </w:r>
      <w:r w:rsidRPr="00A40E55" w:rsidR="00947CBD">
        <w:t xml:space="preserve">prosecutor </w:t>
      </w:r>
      <w:r w:rsidRPr="00A40E55" w:rsidR="007D7399">
        <w:t xml:space="preserve">agrees with </w:t>
      </w:r>
      <w:r w:rsidRPr="00A40E55" w:rsidR="00E60D6B">
        <w:t>the</w:t>
      </w:r>
      <w:r w:rsidRPr="00A40E55" w:rsidR="00752188">
        <w:t xml:space="preserve"> assessment</w:t>
      </w:r>
      <w:r w:rsidRPr="00A40E55" w:rsidR="006F7C45">
        <w:t xml:space="preserve">, </w:t>
      </w:r>
      <w:r w:rsidRPr="00A40E55" w:rsidR="00054999">
        <w:t>they</w:t>
      </w:r>
      <w:r w:rsidRPr="00A40E55">
        <w:t xml:space="preserve"> </w:t>
      </w:r>
      <w:r w:rsidRPr="00A40E55" w:rsidR="008F662B">
        <w:t xml:space="preserve">file </w:t>
      </w:r>
      <w:r w:rsidRPr="00A40E55">
        <w:t>a petition in the superior court</w:t>
      </w:r>
      <w:r w:rsidRPr="00A40E55" w:rsidR="007D7399">
        <w:t xml:space="preserve"> for commitment under the SVPA</w:t>
      </w:r>
      <w:r w:rsidRPr="00A40E55">
        <w:t>.  (</w:t>
      </w:r>
      <w:r w:rsidRPr="00A40E55" w:rsidR="00A64A9C">
        <w:rPr>
          <w:i/>
          <w:iCs/>
        </w:rPr>
        <w:t>Id.</w:t>
      </w:r>
      <w:r w:rsidRPr="00A40E55" w:rsidR="008713A2">
        <w:t xml:space="preserve">, subd. </w:t>
      </w:r>
      <w:r w:rsidRPr="00A40E55" w:rsidR="00764BC2">
        <w:t>(i)</w:t>
      </w:r>
      <w:r w:rsidRPr="00A40E55">
        <w:rPr>
          <w:i/>
          <w:iCs/>
        </w:rPr>
        <w:t>.</w:t>
      </w:r>
      <w:r w:rsidRPr="00A40E55">
        <w:t>)</w:t>
      </w:r>
      <w:r>
        <w:rPr>
          <w:rStyle w:val="FootnoteReference"/>
        </w:rPr>
        <w:footnoteReference w:id="5"/>
      </w:r>
      <w:r w:rsidRPr="00A40E55">
        <w:t xml:space="preserve">  The superior court judge then reviews the petition</w:t>
      </w:r>
      <w:r w:rsidRPr="00A40E55" w:rsidR="006F7C45">
        <w:t xml:space="preserve"> and</w:t>
      </w:r>
      <w:r w:rsidRPr="00A40E55">
        <w:t xml:space="preserve"> conducts a </w:t>
      </w:r>
      <w:r w:rsidRPr="00A40E55" w:rsidR="00A475A0">
        <w:t>probable</w:t>
      </w:r>
      <w:r w:rsidRPr="00A40E55">
        <w:t xml:space="preserve"> cause hearing</w:t>
      </w:r>
      <w:r w:rsidRPr="00A40E55" w:rsidR="007D7399">
        <w:t xml:space="preserve"> to </w:t>
      </w:r>
      <w:r w:rsidRPr="00A40E55" w:rsidR="001A5C73">
        <w:t xml:space="preserve">determine </w:t>
      </w:r>
      <w:r w:rsidRPr="00A40E55" w:rsidR="007D7399">
        <w:t xml:space="preserve">whether the defendant is </w:t>
      </w:r>
      <w:r w:rsidR="001F7E0C">
        <w:t>likely to engage in sexually violent predatory criminal behavior upon their release</w:t>
      </w:r>
      <w:r w:rsidRPr="00A40E55" w:rsidR="007D7399">
        <w:t>.  (</w:t>
      </w:r>
      <w:r w:rsidRPr="00A40E55" w:rsidR="00C07FB4">
        <w:t>§ 6602</w:t>
      </w:r>
      <w:r w:rsidRPr="00A40E55" w:rsidR="008713A2">
        <w:t xml:space="preserve">, subd. </w:t>
      </w:r>
      <w:r w:rsidRPr="00A40E55" w:rsidR="00C07FB4">
        <w:t>(a)</w:t>
      </w:r>
      <w:r w:rsidRPr="00A40E55" w:rsidR="007D7399">
        <w:t xml:space="preserve">.)  The defendant </w:t>
      </w:r>
      <w:r w:rsidRPr="00A40E55">
        <w:t>is entitled to assistance of counsel</w:t>
      </w:r>
      <w:r w:rsidRPr="00A40E55" w:rsidR="007D7399">
        <w:t xml:space="preserve"> for this hearing and remains in custody until the hearing is completed</w:t>
      </w:r>
      <w:r w:rsidRPr="00A40E55">
        <w:t>.  (</w:t>
      </w:r>
      <w:r w:rsidRPr="00A40E55">
        <w:rPr>
          <w:i/>
          <w:iCs/>
        </w:rPr>
        <w:t>Ibid</w:t>
      </w:r>
      <w:r w:rsidRPr="00A40E55">
        <w:t>.)</w:t>
      </w:r>
      <w:r w:rsidRPr="00A40E55" w:rsidR="00A475A0">
        <w:t xml:space="preserve">  If the superior court judge determines that there is no probable cause</w:t>
      </w:r>
      <w:r w:rsidR="008E5C1C">
        <w:t xml:space="preserve"> to pursue the commitment</w:t>
      </w:r>
      <w:r w:rsidRPr="00A40E55" w:rsidR="00A475A0">
        <w:t>, the petition is dismissed.  (</w:t>
      </w:r>
      <w:r w:rsidRPr="00A40E55" w:rsidR="00A475A0">
        <w:rPr>
          <w:i/>
          <w:iCs/>
        </w:rPr>
        <w:t>Ibid</w:t>
      </w:r>
      <w:r w:rsidRPr="00A40E55" w:rsidR="00A475A0">
        <w:t>.)  If the judge determines that there is probable cause, the</w:t>
      </w:r>
      <w:r w:rsidRPr="00A40E55" w:rsidR="006A3133">
        <w:t xml:space="preserve"> court</w:t>
      </w:r>
      <w:r w:rsidRPr="00A40E55" w:rsidR="00A475A0">
        <w:t xml:space="preserve"> must conduct a trial to determine whether the individual</w:t>
      </w:r>
      <w:r w:rsidR="00B94F61">
        <w:t xml:space="preserve"> </w:t>
      </w:r>
      <w:r w:rsidR="00FC113C">
        <w:t>qualifies as a “sexually violent predator.”  (§ 6600, subd. (a)(1).)</w:t>
      </w:r>
      <w:r w:rsidRPr="00A40E55" w:rsidR="00A475A0">
        <w:t xml:space="preserve"> The individual remains in custody until the trial is completed.  (</w:t>
      </w:r>
      <w:r w:rsidRPr="00A40E55" w:rsidR="00A475A0">
        <w:rPr>
          <w:i/>
          <w:iCs/>
        </w:rPr>
        <w:t>Ibid</w:t>
      </w:r>
      <w:r w:rsidRPr="00A40E55" w:rsidR="00A475A0">
        <w:t>.)</w:t>
      </w:r>
    </w:p>
    <w:p w:rsidR="00174C6E" w:rsidRPr="00A40E55" w:rsidP="00F81B16" w14:paraId="7CEBA541" w14:textId="64E23DC7">
      <w:pPr>
        <w:tabs>
          <w:tab w:val="left" w:pos="1440"/>
        </w:tabs>
        <w:ind w:firstLine="720"/>
      </w:pPr>
      <w:r w:rsidRPr="00A40E55">
        <w:t>At the trial, the state bears the burden of pro</w:t>
      </w:r>
      <w:r w:rsidRPr="00A40E55" w:rsidR="008F662B">
        <w:t>ving</w:t>
      </w:r>
      <w:r w:rsidRPr="00A40E55">
        <w:t xml:space="preserve"> beyond a reasonable doubt that the individual falls within the statutory definition of </w:t>
      </w:r>
      <w:r w:rsidRPr="00A40E55" w:rsidR="00752188">
        <w:t xml:space="preserve">a </w:t>
      </w:r>
      <w:r w:rsidRPr="00A40E55">
        <w:t>sexually violent predator.  (§ 6604.)  The defendant is entitled to the assistance of counsel and the right to a jury trial.  (§ 6603</w:t>
      </w:r>
      <w:r w:rsidRPr="00A40E55" w:rsidR="008713A2">
        <w:t xml:space="preserve">, subd. </w:t>
      </w:r>
      <w:r w:rsidRPr="00A40E55">
        <w:t>(a).)  If the defendant opts for a jury trial, then the jury’s verdict must be unanimous.  (</w:t>
      </w:r>
      <w:r w:rsidRPr="00A40E55" w:rsidR="00DB111F">
        <w:rPr>
          <w:i/>
          <w:iCs/>
        </w:rPr>
        <w:t>Id.</w:t>
      </w:r>
      <w:r w:rsidRPr="00A40E55" w:rsidR="008713A2">
        <w:t>,</w:t>
      </w:r>
      <w:r w:rsidRPr="00A40E55">
        <w:t xml:space="preserve"> </w:t>
      </w:r>
      <w:r w:rsidRPr="00A40E55" w:rsidR="008713A2">
        <w:t xml:space="preserve">subd. </w:t>
      </w:r>
      <w:r w:rsidRPr="00A40E55">
        <w:t xml:space="preserve">(g).)  If the trial results in a finding that defendant falls within the statutory definition of a sexually violent predator, the defendant is then committed to a state hospital for treatment for an </w:t>
      </w:r>
      <w:r w:rsidRPr="00A40E55" w:rsidR="006F7C45">
        <w:t>indefinite</w:t>
      </w:r>
      <w:r w:rsidRPr="00A40E55">
        <w:t xml:space="preserve"> amount of time.  (§ 6</w:t>
      </w:r>
      <w:r w:rsidRPr="00A40E55" w:rsidR="008713A2">
        <w:t>6</w:t>
      </w:r>
      <w:r w:rsidRPr="00A40E55">
        <w:t>04.)</w:t>
      </w:r>
      <w:r w:rsidRPr="00A40E55" w:rsidR="002F05A7">
        <w:t xml:space="preserve">  </w:t>
      </w:r>
      <w:r w:rsidRPr="00A40E55">
        <w:t xml:space="preserve">On average, </w:t>
      </w:r>
      <w:r w:rsidR="00242367">
        <w:t xml:space="preserve">full adjudication of commitment proceedings </w:t>
      </w:r>
      <w:r w:rsidRPr="00A40E55">
        <w:t>last</w:t>
      </w:r>
      <w:r w:rsidR="00FC52FF">
        <w:t>s</w:t>
      </w:r>
      <w:r w:rsidRPr="00A40E55">
        <w:t xml:space="preserve"> six years</w:t>
      </w:r>
      <w:r w:rsidR="005F4861">
        <w:t>,</w:t>
      </w:r>
      <w:r w:rsidRPr="00A40E55">
        <w:t xml:space="preserve"> and for one in four people, the process can last over a decade.</w:t>
      </w:r>
      <w:r>
        <w:rPr>
          <w:rStyle w:val="FootnoteReference"/>
        </w:rPr>
        <w:footnoteReference w:id="6"/>
      </w:r>
      <w:r w:rsidRPr="00A40E55">
        <w:t xml:space="preserve">  (</w:t>
      </w:r>
      <w:r w:rsidRPr="00A40E55" w:rsidR="005E70B1">
        <w:t>Cal</w:t>
      </w:r>
      <w:r w:rsidR="005E70B1">
        <w:t>.</w:t>
      </w:r>
      <w:r w:rsidRPr="00A40E55" w:rsidR="005E70B1">
        <w:t xml:space="preserve"> </w:t>
      </w:r>
      <w:r w:rsidRPr="00A40E55">
        <w:t>Sex Offender Management Bd</w:t>
      </w:r>
      <w:r w:rsidR="005E70B1">
        <w:t>.</w:t>
      </w:r>
      <w:r w:rsidRPr="00A40E55">
        <w:t xml:space="preserve">, Sexually Violent Predator Project: Introduction &amp; </w:t>
      </w:r>
      <w:r w:rsidR="005E70B1">
        <w:t>D</w:t>
      </w:r>
      <w:r w:rsidRPr="00A40E55" w:rsidR="005E70B1">
        <w:t xml:space="preserve">uration </w:t>
      </w:r>
      <w:r w:rsidRPr="00A40E55">
        <w:t xml:space="preserve">of SVP Detainee Status </w:t>
      </w:r>
      <w:r w:rsidRPr="00A40E55" w:rsidR="000A4537">
        <w:t>(</w:t>
      </w:r>
      <w:r w:rsidRPr="00A40E55" w:rsidR="00063BF0">
        <w:t xml:space="preserve">Sept. </w:t>
      </w:r>
      <w:r w:rsidRPr="00A40E55" w:rsidR="000A4537">
        <w:t xml:space="preserve">2020) </w:t>
      </w:r>
      <w:r w:rsidRPr="00A40E55">
        <w:t>p. 9</w:t>
      </w:r>
      <w:r w:rsidR="005E70B1">
        <w:t xml:space="preserve"> </w:t>
      </w:r>
      <w:r w:rsidRPr="007A4E09" w:rsidR="005E70B1">
        <w:t>&lt;</w:t>
      </w:r>
      <w:r w:rsidRPr="00027AA2" w:rsidR="005E70B1">
        <w:t>https://casomb.org/docs/CASOMB_SVP_Intro_and_Detainee</w:t>
      </w:r>
      <w:r w:rsidR="003111D1">
        <w:t xml:space="preserve"> </w:t>
      </w:r>
      <w:r w:rsidRPr="00027AA2" w:rsidR="005E70B1">
        <w:t>_Status_FINAL_2021-05.pdf</w:t>
      </w:r>
      <w:r w:rsidRPr="007A4E09" w:rsidR="005E70B1">
        <w:t xml:space="preserve">&gt; [as of </w:t>
      </w:r>
      <w:r w:rsidR="00FA40B5">
        <w:t>Au</w:t>
      </w:r>
      <w:r w:rsidR="006E2155">
        <w:t>g.</w:t>
      </w:r>
      <w:r w:rsidR="00FA40B5">
        <w:t xml:space="preserve"> 26</w:t>
      </w:r>
      <w:r w:rsidRPr="007A4E09" w:rsidR="005E70B1">
        <w:t>, 2024]</w:t>
      </w:r>
      <w:r w:rsidRPr="00A40E55">
        <w:t>.)</w:t>
      </w:r>
      <w:r>
        <w:rPr>
          <w:rStyle w:val="FootnoteReference"/>
        </w:rPr>
        <w:footnoteReference w:id="7"/>
      </w:r>
      <w:r w:rsidRPr="00A40E55">
        <w:t xml:space="preserve">  </w:t>
      </w:r>
      <w:bookmarkStart w:id="2" w:name="_Hlk170904533"/>
      <w:r w:rsidR="008124F7">
        <w:t>And as the Attorney General points out, t</w:t>
      </w:r>
      <w:r w:rsidRPr="00A40E55" w:rsidR="00BC4B44">
        <w:t xml:space="preserve">he vast majority of SVPA evaluations do not result in civil commitment.  (See </w:t>
      </w:r>
      <w:r w:rsidRPr="00A40E55" w:rsidR="005E70B1">
        <w:t>Cal</w:t>
      </w:r>
      <w:r w:rsidR="005E70B1">
        <w:t>.</w:t>
      </w:r>
      <w:r w:rsidRPr="00A40E55" w:rsidR="005E70B1">
        <w:t xml:space="preserve"> </w:t>
      </w:r>
      <w:r w:rsidRPr="00A40E55" w:rsidR="00BC4B44">
        <w:t>State Auditor, Report 2014</w:t>
      </w:r>
      <w:r w:rsidRPr="00A40E55" w:rsidR="00F40E20">
        <w:t>–</w:t>
      </w:r>
      <w:r w:rsidRPr="00A40E55" w:rsidR="00BC4B44">
        <w:t>125 (Mar. 2015) pp. 40</w:t>
      </w:r>
      <w:r w:rsidRPr="00A40E55" w:rsidR="009A05AC">
        <w:t>–</w:t>
      </w:r>
      <w:r w:rsidRPr="00A40E55" w:rsidR="00BC4B44">
        <w:t>41</w:t>
      </w:r>
      <w:r w:rsidR="005E70B1">
        <w:t xml:space="preserve"> </w:t>
      </w:r>
      <w:r w:rsidRPr="007A4E09" w:rsidR="005E70B1">
        <w:t>&lt;</w:t>
      </w:r>
      <w:r w:rsidRPr="00027AA2" w:rsidR="005E70B1">
        <w:t>https://www.auditor.ca.gov/pdfs/reports/2014-125.pdf</w:t>
      </w:r>
      <w:r w:rsidRPr="007A4E09" w:rsidR="005E70B1">
        <w:t xml:space="preserve">&gt; [as of </w:t>
      </w:r>
      <w:r w:rsidR="00FA40B5">
        <w:t>Aug</w:t>
      </w:r>
      <w:r w:rsidR="006E2155">
        <w:t>.</w:t>
      </w:r>
      <w:r w:rsidR="00FA40B5">
        <w:t xml:space="preserve"> 26</w:t>
      </w:r>
      <w:r w:rsidRPr="007A4E09" w:rsidR="005E70B1">
        <w:t>, 2024]</w:t>
      </w:r>
      <w:r w:rsidR="005E70B1">
        <w:t>.</w:t>
      </w:r>
      <w:r w:rsidRPr="00A40E55" w:rsidR="00BC4B44">
        <w:t>)</w:t>
      </w:r>
      <w:bookmarkEnd w:id="2"/>
    </w:p>
    <w:p w:rsidR="00C3034D" w:rsidRPr="00A40E55" w:rsidP="00BF3EDE" w14:paraId="57139948" w14:textId="42EAAA89">
      <w:pPr>
        <w:tabs>
          <w:tab w:val="left" w:pos="1440"/>
        </w:tabs>
        <w:ind w:firstLine="720"/>
      </w:pPr>
      <w:r w:rsidRPr="00A40E55">
        <w:t>An individual who is committed under the SVPA is entitled to a yearly evaluation</w:t>
      </w:r>
      <w:r w:rsidRPr="00A40E55" w:rsidR="00A475A0">
        <w:t xml:space="preserve"> </w:t>
      </w:r>
      <w:r w:rsidRPr="00A40E55">
        <w:t>to determine whether they may be conditionally or unconditionally discharged.  (§ 6604.9.</w:t>
      </w:r>
      <w:r w:rsidRPr="00A40E55" w:rsidR="001D1E43">
        <w:t xml:space="preserve">)  </w:t>
      </w:r>
      <w:r w:rsidRPr="00A40E55">
        <w:t xml:space="preserve">Individuals who are conditionally released </w:t>
      </w:r>
      <w:r w:rsidRPr="00A40E55" w:rsidR="007365D8">
        <w:t>may</w:t>
      </w:r>
      <w:r w:rsidRPr="00A40E55" w:rsidR="00752188">
        <w:t xml:space="preserve"> have their identities </w:t>
      </w:r>
      <w:r w:rsidRPr="00A40E55" w:rsidR="00E60D6B">
        <w:t>made</w:t>
      </w:r>
      <w:r w:rsidRPr="00A40E55" w:rsidR="00752188">
        <w:t xml:space="preserve"> public and </w:t>
      </w:r>
      <w:r w:rsidRPr="00A40E55">
        <w:t>are monitored by a global positioning system (GPS) until they are unconditionally discharged.  (§</w:t>
      </w:r>
      <w:r w:rsidRPr="00A40E55" w:rsidR="000A4537">
        <w:t>§</w:t>
      </w:r>
      <w:r w:rsidR="00C937C4">
        <w:t> </w:t>
      </w:r>
      <w:r w:rsidRPr="00A40E55">
        <w:t>6608.1</w:t>
      </w:r>
      <w:r w:rsidRPr="00A40E55" w:rsidR="00742B26">
        <w:t xml:space="preserve">; </w:t>
      </w:r>
      <w:r w:rsidRPr="00A40E55">
        <w:t>6609</w:t>
      </w:r>
      <w:r w:rsidRPr="00A40E55" w:rsidR="00AD77D2">
        <w:t>.</w:t>
      </w:r>
      <w:r w:rsidRPr="00A40E55">
        <w:t>)</w:t>
      </w:r>
      <w:r w:rsidRPr="00A40E55" w:rsidR="00BE6C67">
        <w:t xml:space="preserve">  </w:t>
      </w:r>
      <w:r w:rsidRPr="00A40E55" w:rsidR="007A4E09">
        <w:t>There are approximately 950 people currently committed to state hospital</w:t>
      </w:r>
      <w:r w:rsidR="00AF11F1">
        <w:t>s</w:t>
      </w:r>
      <w:r w:rsidRPr="00A40E55" w:rsidR="007A4E09">
        <w:t xml:space="preserve"> under the SVPA.  (Cal</w:t>
      </w:r>
      <w:r w:rsidR="00AF11F1">
        <w:t>.</w:t>
      </w:r>
      <w:r w:rsidRPr="00A40E55" w:rsidR="007A4E09">
        <w:t xml:space="preserve"> Sex Offender Management Bd</w:t>
      </w:r>
      <w:r w:rsidR="00AF11F1">
        <w:t>.</w:t>
      </w:r>
      <w:r w:rsidRPr="00A40E55" w:rsidR="007A4E09">
        <w:t xml:space="preserve">, </w:t>
      </w:r>
      <w:r w:rsidR="00AF11F1">
        <w:t xml:space="preserve">2023 </w:t>
      </w:r>
      <w:r w:rsidRPr="00A40E55" w:rsidR="007A4E09">
        <w:t>Year End Report (Feb. 2024) p. 31</w:t>
      </w:r>
      <w:r w:rsidR="005E70B1">
        <w:t xml:space="preserve"> </w:t>
      </w:r>
      <w:r w:rsidRPr="00937D88" w:rsidR="005E70B1">
        <w:t>&lt;</w:t>
      </w:r>
      <w:r w:rsidRPr="00027AA2" w:rsidR="005E70B1">
        <w:t>https://casomb.org/pdf/2023_Year_End_Report.pdf</w:t>
      </w:r>
      <w:r w:rsidRPr="00937D88" w:rsidR="005E70B1">
        <w:t xml:space="preserve">&gt; [as of </w:t>
      </w:r>
      <w:r w:rsidR="00FA40B5">
        <w:t>Aug</w:t>
      </w:r>
      <w:r w:rsidR="006E2155">
        <w:t>.</w:t>
      </w:r>
      <w:r w:rsidR="00FA40B5">
        <w:t xml:space="preserve"> 26</w:t>
      </w:r>
      <w:r w:rsidRPr="00937D88" w:rsidR="005E70B1">
        <w:t>, 2024]</w:t>
      </w:r>
      <w:r w:rsidR="005E70B1">
        <w:t>.</w:t>
      </w:r>
      <w:r w:rsidRPr="00A40E55" w:rsidR="007A4E09">
        <w:t>)</w:t>
      </w:r>
    </w:p>
    <w:p w:rsidR="008D6CDD" w:rsidRPr="00A40E55" w:rsidP="00BF3EDE" w14:paraId="652ED30D" w14:textId="03F4CA84">
      <w:pPr>
        <w:pStyle w:val="Heading1"/>
      </w:pPr>
      <w:r w:rsidRPr="00A40E55">
        <w:t>II.</w:t>
      </w:r>
      <w:r w:rsidRPr="00A40E55">
        <w:tab/>
        <w:t>Facts and Procedural History</w:t>
      </w:r>
    </w:p>
    <w:p w:rsidR="008D6CDD" w:rsidRPr="00A40E55" w:rsidP="00BF3EDE" w14:paraId="31DCE07A" w14:textId="05A7E4F2">
      <w:pPr>
        <w:tabs>
          <w:tab w:val="left" w:pos="1440"/>
        </w:tabs>
        <w:ind w:firstLine="720"/>
      </w:pPr>
      <w:r w:rsidRPr="00A40E55">
        <w:t xml:space="preserve">On March 25, 2017, Victor </w:t>
      </w:r>
      <w:r w:rsidRPr="00A40E55" w:rsidR="003D6D01">
        <w:t xml:space="preserve">Raul </w:t>
      </w:r>
      <w:r w:rsidRPr="00A40E55">
        <w:t xml:space="preserve">Tellez drank approximately one pint of vodka and went to the </w:t>
      </w:r>
      <w:r w:rsidRPr="00A40E55" w:rsidR="0098750C">
        <w:t>Fletcher Parkway Mall in El Cajon, California</w:t>
      </w:r>
      <w:r w:rsidRPr="00A40E55" w:rsidR="00D81C2D">
        <w:t>.</w:t>
      </w:r>
      <w:r w:rsidRPr="00A40E55" w:rsidR="00311405">
        <w:t xml:space="preserve">  </w:t>
      </w:r>
      <w:r w:rsidRPr="00A40E55">
        <w:t>While there, Tellez approached three boys</w:t>
      </w:r>
      <w:r w:rsidRPr="00A40E55" w:rsidR="00324C2C">
        <w:t xml:space="preserve"> who were sitting down</w:t>
      </w:r>
      <w:r w:rsidRPr="00A40E55" w:rsidR="00E43524">
        <w:t xml:space="preserve"> in a “relaxation/waiting area” near the mall’s food court</w:t>
      </w:r>
      <w:r w:rsidRPr="00A40E55">
        <w:t>.</w:t>
      </w:r>
      <w:r w:rsidRPr="00A40E55" w:rsidR="00A100C9">
        <w:t xml:space="preserve">  </w:t>
      </w:r>
      <w:r w:rsidRPr="00A40E55">
        <w:t xml:space="preserve">Tellez laid down behind the boys and </w:t>
      </w:r>
      <w:r w:rsidRPr="00A40E55" w:rsidR="00A100C9">
        <w:t>ran his open hand down the backs of two of them</w:t>
      </w:r>
      <w:r w:rsidRPr="00A40E55">
        <w:t xml:space="preserve">, </w:t>
      </w:r>
      <w:r w:rsidRPr="00A40E55" w:rsidR="00AF11F1">
        <w:t>age</w:t>
      </w:r>
      <w:r w:rsidR="00AF11F1">
        <w:t>s</w:t>
      </w:r>
      <w:r w:rsidRPr="00A40E55" w:rsidR="00AF11F1">
        <w:t xml:space="preserve"> </w:t>
      </w:r>
      <w:r w:rsidRPr="00A40E55">
        <w:t>9 and 1</w:t>
      </w:r>
      <w:r w:rsidRPr="00A40E55" w:rsidR="00A100C9">
        <w:t>0</w:t>
      </w:r>
      <w:r w:rsidRPr="00A40E55" w:rsidR="00E60D6B">
        <w:t>.</w:t>
      </w:r>
      <w:r w:rsidRPr="00A40E55" w:rsidR="00A100C9">
        <w:t xml:space="preserve">  </w:t>
      </w:r>
      <w:r w:rsidRPr="00A40E55">
        <w:t>The boys got up and left, and Tellez</w:t>
      </w:r>
      <w:r w:rsidRPr="00A40E55" w:rsidR="00A91F39">
        <w:t xml:space="preserve"> followed</w:t>
      </w:r>
      <w:r w:rsidRPr="00A40E55">
        <w:t>.</w:t>
      </w:r>
      <w:r w:rsidRPr="00A40E55" w:rsidR="00A91F39">
        <w:t xml:space="preserve">  </w:t>
      </w:r>
      <w:r w:rsidRPr="00A40E55">
        <w:t>Tellez then approached a 13-year</w:t>
      </w:r>
      <w:r w:rsidRPr="00A40E55" w:rsidR="000A4537">
        <w:t>-old</w:t>
      </w:r>
      <w:r w:rsidRPr="00A40E55">
        <w:t xml:space="preserve"> girl from behind</w:t>
      </w:r>
      <w:r w:rsidRPr="00A40E55" w:rsidR="00E43524">
        <w:t>.</w:t>
      </w:r>
      <w:r w:rsidRPr="00A40E55">
        <w:t xml:space="preserve"> </w:t>
      </w:r>
      <w:r w:rsidRPr="00A40E55" w:rsidR="00E60D6B">
        <w:t xml:space="preserve"> </w:t>
      </w:r>
      <w:r w:rsidRPr="00A40E55" w:rsidR="00E43524">
        <w:t>He</w:t>
      </w:r>
      <w:r w:rsidRPr="00A40E55">
        <w:t xml:space="preserve"> wrapped his arms around her and pulled her closer to him</w:t>
      </w:r>
      <w:r w:rsidRPr="00A40E55" w:rsidR="00A100C9">
        <w:t xml:space="preserve"> while saying “Come here</w:t>
      </w:r>
      <w:r w:rsidRPr="00A40E55" w:rsidR="00E43524">
        <w:t>.”</w:t>
      </w:r>
      <w:r w:rsidRPr="00A40E55" w:rsidR="00A100C9">
        <w:t xml:space="preserve">  </w:t>
      </w:r>
      <w:r w:rsidRPr="00A40E55">
        <w:t xml:space="preserve">She </w:t>
      </w:r>
      <w:r w:rsidRPr="00A40E55" w:rsidR="00A100C9">
        <w:t>pulled away from him</w:t>
      </w:r>
      <w:r w:rsidRPr="00A40E55" w:rsidR="00515C85">
        <w:t xml:space="preserve">. </w:t>
      </w:r>
      <w:r w:rsidRPr="00A40E55" w:rsidR="00EB147B">
        <w:t xml:space="preserve"> </w:t>
      </w:r>
      <w:r w:rsidRPr="00A40E55" w:rsidR="00515C85">
        <w:t>Mall security was contacted</w:t>
      </w:r>
      <w:r w:rsidRPr="00A40E55" w:rsidR="006464AE">
        <w:t>,</w:t>
      </w:r>
      <w:r w:rsidRPr="00A40E55" w:rsidR="00752188">
        <w:t xml:space="preserve"> </w:t>
      </w:r>
      <w:r w:rsidRPr="00A40E55" w:rsidR="00A451DC">
        <w:t xml:space="preserve">and </w:t>
      </w:r>
      <w:r w:rsidRPr="00A40E55" w:rsidR="00752188">
        <w:t>the</w:t>
      </w:r>
      <w:r w:rsidRPr="00A40E55" w:rsidR="00A451DC">
        <w:t>y</w:t>
      </w:r>
      <w:r w:rsidRPr="00A40E55" w:rsidR="00EB147B">
        <w:t xml:space="preserve"> </w:t>
      </w:r>
      <w:r w:rsidRPr="00A40E55" w:rsidR="0098750C">
        <w:t>alerted</w:t>
      </w:r>
      <w:r w:rsidRPr="00A40E55" w:rsidR="00EB147B">
        <w:t xml:space="preserve"> the police</w:t>
      </w:r>
      <w:r w:rsidRPr="00A40E55" w:rsidR="007E4A13">
        <w:t xml:space="preserve"> who arrest</w:t>
      </w:r>
      <w:r w:rsidRPr="00A40E55" w:rsidR="00040043">
        <w:t>ed</w:t>
      </w:r>
      <w:r w:rsidRPr="00A40E55" w:rsidR="007E4A13">
        <w:t xml:space="preserve"> Tellez</w:t>
      </w:r>
      <w:r w:rsidRPr="00A40E55">
        <w:t xml:space="preserve">.  </w:t>
      </w:r>
    </w:p>
    <w:p w:rsidR="0083622E" w:rsidRPr="00A40E55" w:rsidP="00BF3EDE" w14:paraId="60E2F980" w14:textId="560212B7">
      <w:pPr>
        <w:tabs>
          <w:tab w:val="left" w:pos="1440"/>
        </w:tabs>
        <w:ind w:firstLine="720"/>
        <w:rPr>
          <w:szCs w:val="26"/>
        </w:rPr>
      </w:pPr>
      <w:r w:rsidRPr="00A40E55">
        <w:t>Tellez</w:t>
      </w:r>
      <w:r w:rsidRPr="00A40E55" w:rsidR="00F213FC">
        <w:t xml:space="preserve"> was charged with three separate </w:t>
      </w:r>
      <w:r w:rsidRPr="00A40E55" w:rsidR="00C94EE5">
        <w:rPr>
          <w:szCs w:val="26"/>
        </w:rPr>
        <w:t xml:space="preserve">felony counts of </w:t>
      </w:r>
      <w:r w:rsidRPr="00A40E55" w:rsidR="008D6CDD">
        <w:rPr>
          <w:szCs w:val="26"/>
        </w:rPr>
        <w:t>lewd or lascivious act</w:t>
      </w:r>
      <w:r w:rsidRPr="00A40E55" w:rsidR="00040043">
        <w:rPr>
          <w:szCs w:val="26"/>
        </w:rPr>
        <w:t>s</w:t>
      </w:r>
      <w:r w:rsidRPr="00A40E55" w:rsidR="008D6CDD">
        <w:rPr>
          <w:szCs w:val="26"/>
        </w:rPr>
        <w:t xml:space="preserve"> upon a child </w:t>
      </w:r>
      <w:r w:rsidRPr="00A40E55" w:rsidR="00C94EE5">
        <w:rPr>
          <w:szCs w:val="26"/>
        </w:rPr>
        <w:t>in violation of Penal Code section 288</w:t>
      </w:r>
      <w:r w:rsidRPr="00A40E55" w:rsidR="00AD77D2">
        <w:rPr>
          <w:szCs w:val="26"/>
        </w:rPr>
        <w:t>, subdivision (a)</w:t>
      </w:r>
      <w:r w:rsidRPr="00A40E55" w:rsidR="00C94EE5">
        <w:rPr>
          <w:szCs w:val="26"/>
        </w:rPr>
        <w:t>.</w:t>
      </w:r>
      <w:r w:rsidRPr="00A40E55" w:rsidR="008D6CDD">
        <w:rPr>
          <w:szCs w:val="26"/>
        </w:rPr>
        <w:t xml:space="preserve">  </w:t>
      </w:r>
      <w:r w:rsidRPr="00A40E55" w:rsidR="00EC3416">
        <w:rPr>
          <w:szCs w:val="26"/>
        </w:rPr>
        <w:t xml:space="preserve">On the advice of his attorney, </w:t>
      </w:r>
      <w:r w:rsidRPr="00A40E55" w:rsidR="00C94EE5">
        <w:rPr>
          <w:szCs w:val="26"/>
        </w:rPr>
        <w:t>Tellez accepted a plea deal, under which he plead</w:t>
      </w:r>
      <w:r w:rsidRPr="00A40E55" w:rsidR="00E937B9">
        <w:rPr>
          <w:szCs w:val="26"/>
        </w:rPr>
        <w:t>ed</w:t>
      </w:r>
      <w:r w:rsidRPr="00A40E55" w:rsidR="00C94EE5">
        <w:rPr>
          <w:szCs w:val="26"/>
        </w:rPr>
        <w:t xml:space="preserve"> guilty to one </w:t>
      </w:r>
      <w:r w:rsidRPr="00A40E55" w:rsidR="00EC3416">
        <w:rPr>
          <w:szCs w:val="26"/>
        </w:rPr>
        <w:t xml:space="preserve">charge </w:t>
      </w:r>
      <w:r w:rsidRPr="00A40E55" w:rsidR="006F7C45">
        <w:rPr>
          <w:szCs w:val="26"/>
        </w:rPr>
        <w:t xml:space="preserve">of </w:t>
      </w:r>
      <w:r w:rsidRPr="00A40E55" w:rsidR="00C94EE5">
        <w:rPr>
          <w:szCs w:val="26"/>
        </w:rPr>
        <w:t>Penal Code section 288</w:t>
      </w:r>
      <w:r w:rsidRPr="00A40E55" w:rsidR="00AD77D2">
        <w:rPr>
          <w:szCs w:val="26"/>
        </w:rPr>
        <w:t>, subdivision (a)</w:t>
      </w:r>
      <w:r w:rsidRPr="00A40E55" w:rsidR="00EC3416">
        <w:rPr>
          <w:szCs w:val="26"/>
        </w:rPr>
        <w:t xml:space="preserve"> and was sentenced to three years in prison; </w:t>
      </w:r>
      <w:r w:rsidRPr="00A40E55" w:rsidR="00C94EE5">
        <w:rPr>
          <w:szCs w:val="26"/>
        </w:rPr>
        <w:t>the other two felony charges were dismissed.</w:t>
      </w:r>
      <w:r w:rsidRPr="00A40E55" w:rsidR="004A299E">
        <w:rPr>
          <w:szCs w:val="26"/>
        </w:rPr>
        <w:t xml:space="preserve"> </w:t>
      </w:r>
      <w:r w:rsidRPr="00A40E55" w:rsidR="00E937B9">
        <w:rPr>
          <w:szCs w:val="26"/>
        </w:rPr>
        <w:t xml:space="preserve"> </w:t>
      </w:r>
      <w:r w:rsidRPr="00A40E55" w:rsidR="00FF1EF8">
        <w:rPr>
          <w:szCs w:val="26"/>
        </w:rPr>
        <w:t>Penal Code section 288</w:t>
      </w:r>
      <w:r w:rsidRPr="00A40E55" w:rsidR="00AD77D2">
        <w:rPr>
          <w:szCs w:val="26"/>
        </w:rPr>
        <w:t>, subdivision (a)</w:t>
      </w:r>
      <w:r w:rsidRPr="00A40E55" w:rsidR="0049194B">
        <w:rPr>
          <w:szCs w:val="26"/>
        </w:rPr>
        <w:t>,</w:t>
      </w:r>
      <w:r w:rsidRPr="00A40E55" w:rsidR="00FF1EF8">
        <w:rPr>
          <w:szCs w:val="26"/>
        </w:rPr>
        <w:t xml:space="preserve"> is a qualifying offense for the SVPA.  </w:t>
      </w:r>
      <w:r w:rsidRPr="00A40E55" w:rsidR="00281042">
        <w:rPr>
          <w:szCs w:val="26"/>
        </w:rPr>
        <w:t>(</w:t>
      </w:r>
      <w:r w:rsidRPr="00A40E55" w:rsidR="004A299E">
        <w:rPr>
          <w:szCs w:val="26"/>
        </w:rPr>
        <w:t>§ 6600</w:t>
      </w:r>
      <w:r w:rsidRPr="00A40E55" w:rsidR="00DB111F">
        <w:rPr>
          <w:szCs w:val="26"/>
        </w:rPr>
        <w:t xml:space="preserve">, subd. </w:t>
      </w:r>
      <w:r w:rsidRPr="00A40E55" w:rsidR="004A299E">
        <w:rPr>
          <w:szCs w:val="26"/>
        </w:rPr>
        <w:t>(b).</w:t>
      </w:r>
      <w:r w:rsidRPr="00A40E55" w:rsidR="00281042">
        <w:rPr>
          <w:szCs w:val="26"/>
        </w:rPr>
        <w:t>)</w:t>
      </w:r>
      <w:r w:rsidRPr="00A40E55" w:rsidR="004A299E">
        <w:rPr>
          <w:szCs w:val="26"/>
        </w:rPr>
        <w:t xml:space="preserve">  </w:t>
      </w:r>
      <w:r w:rsidRPr="00A40E55">
        <w:rPr>
          <w:szCs w:val="26"/>
        </w:rPr>
        <w:t xml:space="preserve">Tellez maintains, and the available evidence </w:t>
      </w:r>
      <w:r w:rsidR="008D527E">
        <w:rPr>
          <w:szCs w:val="26"/>
        </w:rPr>
        <w:t>corroborates</w:t>
      </w:r>
      <w:r w:rsidRPr="00A40E55">
        <w:rPr>
          <w:szCs w:val="26"/>
        </w:rPr>
        <w:t xml:space="preserve">, that he was not advised by his attorney regarding the possibility of an SVPA commitment.  </w:t>
      </w:r>
      <w:r w:rsidRPr="00A40E55" w:rsidR="00982B11">
        <w:rPr>
          <w:szCs w:val="26"/>
        </w:rPr>
        <w:t>“Sexually</w:t>
      </w:r>
      <w:r w:rsidRPr="00A40E55" w:rsidR="0056550B">
        <w:rPr>
          <w:szCs w:val="26"/>
        </w:rPr>
        <w:t xml:space="preserve"> Violent Predator Law” was specifically listed</w:t>
      </w:r>
      <w:r w:rsidR="008D527E">
        <w:rPr>
          <w:szCs w:val="26"/>
        </w:rPr>
        <w:t xml:space="preserve"> on defendant’s plea form</w:t>
      </w:r>
      <w:r w:rsidRPr="00A40E55" w:rsidR="0056550B">
        <w:rPr>
          <w:szCs w:val="26"/>
        </w:rPr>
        <w:t xml:space="preserve"> </w:t>
      </w:r>
      <w:r w:rsidRPr="00A40E55">
        <w:rPr>
          <w:szCs w:val="26"/>
        </w:rPr>
        <w:t xml:space="preserve">as a “possible consequence[]” of conviction; yet </w:t>
      </w:r>
      <w:r w:rsidR="00976099">
        <w:rPr>
          <w:szCs w:val="26"/>
        </w:rPr>
        <w:t>this consequence was not circled</w:t>
      </w:r>
      <w:r w:rsidR="008D527E">
        <w:rPr>
          <w:szCs w:val="26"/>
        </w:rPr>
        <w:t xml:space="preserve">, while other </w:t>
      </w:r>
      <w:r w:rsidR="00AB6B55">
        <w:rPr>
          <w:szCs w:val="26"/>
        </w:rPr>
        <w:t xml:space="preserve">possible </w:t>
      </w:r>
      <w:r w:rsidR="008D527E">
        <w:rPr>
          <w:szCs w:val="26"/>
        </w:rPr>
        <w:t>consequences were.</w:t>
      </w:r>
    </w:p>
    <w:p w:rsidR="00394EB4" w:rsidRPr="00A40E55" w:rsidP="00BF3EDE" w14:paraId="3DDA9C0E" w14:textId="4BDA9777">
      <w:pPr>
        <w:tabs>
          <w:tab w:val="left" w:pos="1440"/>
        </w:tabs>
        <w:ind w:firstLine="720"/>
        <w:rPr>
          <w:szCs w:val="26"/>
        </w:rPr>
      </w:pPr>
      <w:r w:rsidRPr="00A40E55">
        <w:rPr>
          <w:szCs w:val="26"/>
        </w:rPr>
        <w:t xml:space="preserve">Upon </w:t>
      </w:r>
      <w:r w:rsidRPr="00A40E55" w:rsidR="00E60D6B">
        <w:rPr>
          <w:szCs w:val="26"/>
        </w:rPr>
        <w:t>completing</w:t>
      </w:r>
      <w:r w:rsidRPr="00A40E55" w:rsidR="00EC3416">
        <w:rPr>
          <w:szCs w:val="26"/>
        </w:rPr>
        <w:t xml:space="preserve"> his prison term</w:t>
      </w:r>
      <w:r w:rsidRPr="00A40E55" w:rsidR="007179F6">
        <w:rPr>
          <w:szCs w:val="26"/>
        </w:rPr>
        <w:t xml:space="preserve"> in fall 2019</w:t>
      </w:r>
      <w:r w:rsidRPr="00A40E55" w:rsidR="00EC3416">
        <w:rPr>
          <w:szCs w:val="26"/>
        </w:rPr>
        <w:t xml:space="preserve">, Tellez was </w:t>
      </w:r>
      <w:r w:rsidR="00514AF4">
        <w:rPr>
          <w:szCs w:val="26"/>
        </w:rPr>
        <w:t>released to the custody of</w:t>
      </w:r>
      <w:r w:rsidRPr="00A40E55" w:rsidR="00DD1354">
        <w:rPr>
          <w:szCs w:val="26"/>
        </w:rPr>
        <w:t xml:space="preserve"> the San Diego County Sheriff’s Department</w:t>
      </w:r>
      <w:r w:rsidRPr="00A40E55" w:rsidR="00D36A8B">
        <w:rPr>
          <w:szCs w:val="26"/>
        </w:rPr>
        <w:t xml:space="preserve"> and </w:t>
      </w:r>
      <w:r w:rsidRPr="00A40E55" w:rsidR="001B5A30">
        <w:rPr>
          <w:szCs w:val="26"/>
        </w:rPr>
        <w:t xml:space="preserve">the District Attorney initiated </w:t>
      </w:r>
      <w:r w:rsidRPr="00A40E55" w:rsidR="00D36A8B">
        <w:rPr>
          <w:szCs w:val="26"/>
        </w:rPr>
        <w:t>civil commitment proceedings against him under the SVPA.</w:t>
      </w:r>
      <w:r w:rsidRPr="00A40E55" w:rsidR="00784653">
        <w:rPr>
          <w:szCs w:val="26"/>
        </w:rPr>
        <w:t xml:space="preserve">  </w:t>
      </w:r>
      <w:r w:rsidRPr="00A40E55" w:rsidR="00D36A8B">
        <w:rPr>
          <w:szCs w:val="26"/>
        </w:rPr>
        <w:t>Tellez</w:t>
      </w:r>
      <w:r w:rsidRPr="00A40E55" w:rsidR="001A5C73">
        <w:rPr>
          <w:szCs w:val="26"/>
        </w:rPr>
        <w:t xml:space="preserve"> has remained in the Sheriff’s Department’s custody since completing his prison term</w:t>
      </w:r>
      <w:r w:rsidRPr="00A40E55" w:rsidR="00EC3416">
        <w:rPr>
          <w:szCs w:val="26"/>
        </w:rPr>
        <w:t>.</w:t>
      </w:r>
    </w:p>
    <w:p w:rsidR="00CA574D" w:rsidRPr="00A40E55" w:rsidP="00BF3EDE" w14:paraId="071AFA5E" w14:textId="7EAE61A5">
      <w:pPr>
        <w:tabs>
          <w:tab w:val="left" w:pos="1440"/>
        </w:tabs>
        <w:ind w:firstLine="720"/>
      </w:pPr>
      <w:r w:rsidRPr="00A40E55">
        <w:rPr>
          <w:szCs w:val="26"/>
        </w:rPr>
        <w:t xml:space="preserve">In 2021, </w:t>
      </w:r>
      <w:r w:rsidRPr="00A40E55" w:rsidR="00EC3416">
        <w:t xml:space="preserve">Tellez filed a </w:t>
      </w:r>
      <w:r w:rsidRPr="00A40E55" w:rsidR="007F515A">
        <w:t xml:space="preserve">petition for </w:t>
      </w:r>
      <w:r w:rsidRPr="00A40E55">
        <w:t xml:space="preserve">writ of habeas corpus in the </w:t>
      </w:r>
      <w:r w:rsidRPr="00A40E55" w:rsidR="005B62A2">
        <w:t>San Diego County Superior Court</w:t>
      </w:r>
      <w:r w:rsidRPr="00A40E55" w:rsidR="00E60D6B">
        <w:t xml:space="preserve">.  Tellez </w:t>
      </w:r>
      <w:r w:rsidRPr="00A40E55" w:rsidR="007A037A">
        <w:t>alleged</w:t>
      </w:r>
      <w:r w:rsidRPr="00A40E55" w:rsidR="00EC3416">
        <w:t xml:space="preserve"> that his counsel’s failure to advise him that accepting the plea </w:t>
      </w:r>
      <w:r w:rsidRPr="00A40E55" w:rsidR="00DD1354">
        <w:t xml:space="preserve">deal </w:t>
      </w:r>
      <w:r w:rsidRPr="00A40E55" w:rsidR="00515C85">
        <w:t>could</w:t>
      </w:r>
      <w:r w:rsidRPr="00A40E55" w:rsidR="00DD1354">
        <w:t xml:space="preserve"> subject Tellez to SVPA proceedings constituted ineffective assistance of counse</w:t>
      </w:r>
      <w:r w:rsidRPr="00A40E55" w:rsidR="00E60E48">
        <w:t>l.</w:t>
      </w:r>
      <w:r w:rsidRPr="00A40E55">
        <w:t xml:space="preserve">  </w:t>
      </w:r>
      <w:r w:rsidRPr="00A40E55" w:rsidR="00A4378E">
        <w:t>(</w:t>
      </w:r>
      <w:r w:rsidRPr="00A40E55" w:rsidR="00515C85">
        <w:rPr>
          <w:i/>
          <w:iCs/>
        </w:rPr>
        <w:t xml:space="preserve">In re </w:t>
      </w:r>
      <w:r w:rsidRPr="00A40E55">
        <w:rPr>
          <w:i/>
          <w:iCs/>
        </w:rPr>
        <w:t>Tellez</w:t>
      </w:r>
      <w:r w:rsidRPr="00A40E55" w:rsidR="00515C85">
        <w:t xml:space="preserve"> (2022)</w:t>
      </w:r>
      <w:r w:rsidRPr="00A40E55">
        <w:t xml:space="preserve"> 8</w:t>
      </w:r>
      <w:r w:rsidRPr="00A40E55" w:rsidR="00515C85">
        <w:t>4</w:t>
      </w:r>
      <w:r w:rsidRPr="00A40E55">
        <w:t xml:space="preserve"> Cal.App.5th </w:t>
      </w:r>
      <w:r w:rsidRPr="00A40E55" w:rsidR="00515C85">
        <w:t>292,</w:t>
      </w:r>
      <w:r w:rsidRPr="00A40E55">
        <w:t xml:space="preserve"> 295</w:t>
      </w:r>
      <w:r w:rsidRPr="00A40E55" w:rsidR="006F7C45">
        <w:t xml:space="preserve"> (</w:t>
      </w:r>
      <w:r w:rsidRPr="00A40E55" w:rsidR="006F7C45">
        <w:rPr>
          <w:i/>
          <w:iCs/>
        </w:rPr>
        <w:t>Tellez</w:t>
      </w:r>
      <w:r w:rsidRPr="00A40E55" w:rsidR="006F7C45">
        <w:t>)</w:t>
      </w:r>
      <w:r w:rsidRPr="00A40E55">
        <w:t>.</w:t>
      </w:r>
      <w:r w:rsidRPr="00A40E55" w:rsidR="00A4378E">
        <w:t>)</w:t>
      </w:r>
      <w:r w:rsidRPr="00A40E55" w:rsidR="007A037A">
        <w:t xml:space="preserve">  He also alleged that</w:t>
      </w:r>
      <w:r w:rsidRPr="00A40E55" w:rsidR="00D00362">
        <w:t>,</w:t>
      </w:r>
      <w:r w:rsidRPr="00A40E55" w:rsidR="007A037A">
        <w:t xml:space="preserve"> as a result of inadequate investigation, his counsel failed to obtain a favorable and potentially exculpatory psychological evaluation for Tellez.</w:t>
      </w:r>
      <w:r w:rsidRPr="00A40E55" w:rsidR="0035355F">
        <w:rPr>
          <w:rStyle w:val="FootnoteReference"/>
        </w:rPr>
        <w:t xml:space="preserve"> </w:t>
      </w:r>
      <w:r w:rsidRPr="00A40E55" w:rsidR="007A037A">
        <w:t xml:space="preserve"> (</w:t>
      </w:r>
      <w:r w:rsidRPr="00A40E55" w:rsidR="007A037A">
        <w:rPr>
          <w:i/>
          <w:iCs/>
        </w:rPr>
        <w:t xml:space="preserve">Id. </w:t>
      </w:r>
      <w:r w:rsidRPr="00A40E55" w:rsidR="007A037A">
        <w:t xml:space="preserve">at p. 295.)  </w:t>
      </w:r>
      <w:r w:rsidRPr="00A40E55">
        <w:t xml:space="preserve">The superior court </w:t>
      </w:r>
      <w:r w:rsidRPr="00A40E55" w:rsidR="007A037A">
        <w:t xml:space="preserve">summarily </w:t>
      </w:r>
      <w:r w:rsidRPr="00A40E55">
        <w:t xml:space="preserve">denied Tellez’s </w:t>
      </w:r>
      <w:r w:rsidRPr="00A40E55" w:rsidR="007A037A">
        <w:t xml:space="preserve">psychological evaluation </w:t>
      </w:r>
      <w:r w:rsidRPr="00A40E55">
        <w:t>claim</w:t>
      </w:r>
      <w:r w:rsidRPr="00A40E55" w:rsidR="007A037A">
        <w:t xml:space="preserve"> as untimely, and then</w:t>
      </w:r>
      <w:r w:rsidR="008D527E">
        <w:t>,</w:t>
      </w:r>
      <w:r w:rsidRPr="00A40E55" w:rsidR="007A037A">
        <w:t xml:space="preserve"> after issuing an order to show cause on the failure to advise Tellez of potential SVPA consequences, denied that claim as well</w:t>
      </w:r>
      <w:r w:rsidRPr="00A40E55">
        <w:t xml:space="preserve">.  </w:t>
      </w:r>
      <w:r w:rsidRPr="00A40E55" w:rsidR="00A4378E">
        <w:t>(</w:t>
      </w:r>
      <w:r w:rsidR="00C7207D">
        <w:rPr>
          <w:i/>
          <w:iCs/>
        </w:rPr>
        <w:t>Tellez</w:t>
      </w:r>
      <w:r w:rsidR="00C7207D">
        <w:t xml:space="preserve">, </w:t>
      </w:r>
      <w:r w:rsidR="00C7207D">
        <w:rPr>
          <w:i/>
          <w:iCs/>
        </w:rPr>
        <w:t>supra</w:t>
      </w:r>
      <w:r w:rsidR="00C7207D">
        <w:t xml:space="preserve">, </w:t>
      </w:r>
      <w:r w:rsidR="001F1836">
        <w:t>84 Cal.App.5th</w:t>
      </w:r>
      <w:r w:rsidRPr="00A40E55">
        <w:rPr>
          <w:i/>
          <w:iCs/>
        </w:rPr>
        <w:t xml:space="preserve"> </w:t>
      </w:r>
      <w:r w:rsidRPr="00A40E55">
        <w:t>at pp. 295</w:t>
      </w:r>
      <w:r w:rsidRPr="00A40E55" w:rsidR="00CB372D">
        <w:t>–</w:t>
      </w:r>
      <w:r w:rsidRPr="00A40E55">
        <w:t>296.</w:t>
      </w:r>
      <w:r w:rsidRPr="00A40E55" w:rsidR="00A4378E">
        <w:t>)</w:t>
      </w:r>
      <w:r w:rsidRPr="00A40E55">
        <w:t xml:space="preserve">  In 2022, Tellez filed a petition for writ of habeas corpus in the Court of Appeal.  </w:t>
      </w:r>
      <w:r w:rsidRPr="00A40E55" w:rsidR="00A4378E">
        <w:t>(</w:t>
      </w:r>
      <w:r w:rsidR="001F1836">
        <w:rPr>
          <w:i/>
          <w:iCs/>
        </w:rPr>
        <w:t>Id</w:t>
      </w:r>
      <w:r w:rsidR="001F1836">
        <w:t>.</w:t>
      </w:r>
      <w:r w:rsidRPr="00A40E55">
        <w:rPr>
          <w:i/>
          <w:iCs/>
        </w:rPr>
        <w:t xml:space="preserve"> </w:t>
      </w:r>
      <w:r w:rsidRPr="00A40E55">
        <w:t>at p. 296.</w:t>
      </w:r>
      <w:r w:rsidRPr="00A40E55" w:rsidR="00A4378E">
        <w:t>)</w:t>
      </w:r>
      <w:r w:rsidRPr="00A40E55">
        <w:t xml:space="preserve">  </w:t>
      </w:r>
      <w:r w:rsidRPr="00A40E55" w:rsidR="0083622E">
        <w:t>That court</w:t>
      </w:r>
      <w:r w:rsidRPr="00A40E55">
        <w:t xml:space="preserve"> summarily denied Tellez’s petition</w:t>
      </w:r>
      <w:r w:rsidRPr="00A40E55" w:rsidR="007A037A">
        <w:t xml:space="preserve"> as procedurally barred and </w:t>
      </w:r>
      <w:r w:rsidRPr="00A40E55" w:rsidR="0083622E">
        <w:t>failing</w:t>
      </w:r>
      <w:r w:rsidRPr="00A40E55" w:rsidR="007A037A">
        <w:t xml:space="preserve"> to state a prima facie case for relief</w:t>
      </w:r>
      <w:r w:rsidRPr="00A40E55">
        <w:t xml:space="preserve">.  </w:t>
      </w:r>
      <w:r w:rsidRPr="00A40E55" w:rsidR="00A4378E">
        <w:t>(</w:t>
      </w:r>
      <w:r w:rsidRPr="00A40E55">
        <w:rPr>
          <w:i/>
          <w:iCs/>
        </w:rPr>
        <w:t>Ibid.</w:t>
      </w:r>
      <w:r w:rsidRPr="00A40E55" w:rsidR="00A4378E">
        <w:t>)</w:t>
      </w:r>
      <w:r w:rsidRPr="00A40E55">
        <w:t xml:space="preserve">  </w:t>
      </w:r>
    </w:p>
    <w:p w:rsidR="00DC31BE" w:rsidRPr="00A40E55" w:rsidP="00BF3EDE" w14:paraId="302D919E" w14:textId="1C178107">
      <w:pPr>
        <w:tabs>
          <w:tab w:val="left" w:pos="1440"/>
        </w:tabs>
        <w:ind w:firstLine="720"/>
      </w:pPr>
      <w:r w:rsidRPr="00A40E55">
        <w:t xml:space="preserve">Tellez then petitioned </w:t>
      </w:r>
      <w:r w:rsidRPr="00A40E55" w:rsidR="001B0D35">
        <w:t xml:space="preserve">this Court </w:t>
      </w:r>
      <w:r w:rsidRPr="00A40E55">
        <w:t>for review.  W</w:t>
      </w:r>
      <w:r w:rsidRPr="00A40E55" w:rsidR="001D0DFD">
        <w:t xml:space="preserve">e </w:t>
      </w:r>
      <w:r w:rsidRPr="00A40E55">
        <w:t>granted the petition for review and transferred the matter back to the Court of Appeal with directions to vacate the summary denial and to issue</w:t>
      </w:r>
      <w:r w:rsidRPr="00A40E55" w:rsidR="001D0DFD">
        <w:t xml:space="preserve"> an order </w:t>
      </w:r>
      <w:r w:rsidRPr="00A40E55" w:rsidR="007A037A">
        <w:t xml:space="preserve">directing the Secretary of </w:t>
      </w:r>
      <w:r w:rsidR="00A66150">
        <w:t>CDCR</w:t>
      </w:r>
      <w:r w:rsidRPr="00A40E55" w:rsidR="007A037A">
        <w:t xml:space="preserve"> </w:t>
      </w:r>
      <w:r w:rsidRPr="00A40E55" w:rsidR="001D0DFD">
        <w:t xml:space="preserve">to show cause why Tellez should not be granted relief on </w:t>
      </w:r>
      <w:r w:rsidRPr="00A40E55" w:rsidR="007A037A">
        <w:t>his ineffective assistance of counsel claim</w:t>
      </w:r>
      <w:r w:rsidRPr="00A40E55" w:rsidR="001D0DFD">
        <w:t xml:space="preserve">.  </w:t>
      </w:r>
      <w:r w:rsidRPr="00A40E55" w:rsidR="00A4378E">
        <w:t>(</w:t>
      </w:r>
      <w:r w:rsidRPr="00A40E55" w:rsidR="00E6734C">
        <w:rPr>
          <w:i/>
          <w:iCs/>
        </w:rPr>
        <w:t>Tell</w:t>
      </w:r>
      <w:r w:rsidRPr="00A40E55" w:rsidR="00AA6B93">
        <w:rPr>
          <w:i/>
          <w:iCs/>
        </w:rPr>
        <w:t>e</w:t>
      </w:r>
      <w:r w:rsidRPr="00A40E55" w:rsidR="00E6734C">
        <w:rPr>
          <w:i/>
          <w:iCs/>
        </w:rPr>
        <w:t>z</w:t>
      </w:r>
      <w:r w:rsidRPr="00A40E55" w:rsidR="00E6734C">
        <w:t>,</w:t>
      </w:r>
      <w:r w:rsidRPr="00A40E55" w:rsidR="00CE490C">
        <w:t xml:space="preserve"> </w:t>
      </w:r>
      <w:r w:rsidRPr="00A40E55" w:rsidR="00CE490C">
        <w:rPr>
          <w:i/>
          <w:iCs/>
        </w:rPr>
        <w:t>supra</w:t>
      </w:r>
      <w:r w:rsidRPr="00A40E55" w:rsidR="00CE490C">
        <w:t>, 84 Cal.App.5th at p. 296</w:t>
      </w:r>
      <w:r w:rsidRPr="00A40E55" w:rsidR="001D0DFD">
        <w:rPr>
          <w:i/>
          <w:iCs/>
        </w:rPr>
        <w:t>.</w:t>
      </w:r>
      <w:r w:rsidRPr="00A40E55" w:rsidR="00A4378E">
        <w:t>)</w:t>
      </w:r>
      <w:r w:rsidRPr="00A40E55" w:rsidR="001D0DFD">
        <w:t xml:space="preserve">  The Court of Appeal then issued a published opinion, again denying Tellez’s claim.  </w:t>
      </w:r>
      <w:r w:rsidRPr="00A40E55" w:rsidR="00A4378E">
        <w:t>(</w:t>
      </w:r>
      <w:r w:rsidRPr="00A40E55" w:rsidR="00A4378E">
        <w:rPr>
          <w:i/>
          <w:iCs/>
        </w:rPr>
        <w:t>Id.</w:t>
      </w:r>
      <w:r w:rsidRPr="00A40E55" w:rsidR="00A4378E">
        <w:t xml:space="preserve"> at p</w:t>
      </w:r>
      <w:r w:rsidRPr="00A40E55" w:rsidR="00457B87">
        <w:t>p</w:t>
      </w:r>
      <w:r w:rsidRPr="00A40E55" w:rsidR="00A4378E">
        <w:t>.</w:t>
      </w:r>
      <w:r w:rsidRPr="00A40E55" w:rsidR="001D0DFD">
        <w:t xml:space="preserve"> 29</w:t>
      </w:r>
      <w:r w:rsidRPr="00A40E55" w:rsidR="00457B87">
        <w:t>5</w:t>
      </w:r>
      <w:r w:rsidRPr="00A40E55" w:rsidR="00CB372D">
        <w:t>–</w:t>
      </w:r>
      <w:r w:rsidRPr="00A40E55" w:rsidR="00457B87">
        <w:t>304</w:t>
      </w:r>
      <w:r w:rsidRPr="00A40E55" w:rsidR="001D0DFD">
        <w:t>.</w:t>
      </w:r>
      <w:r w:rsidRPr="00A40E55" w:rsidR="00A4378E">
        <w:t>)</w:t>
      </w:r>
      <w:r w:rsidRPr="00A40E55" w:rsidR="001D0DFD">
        <w:t xml:space="preserve">  </w:t>
      </w:r>
      <w:r w:rsidRPr="00A40E55">
        <w:t xml:space="preserve">The Court of Appeal held that </w:t>
      </w:r>
      <w:r w:rsidRPr="00A40E55" w:rsidR="00211ED6">
        <w:t>“ </w:t>
      </w:r>
      <w:r w:rsidRPr="00A40E55">
        <w:t xml:space="preserve">‘prevailing and </w:t>
      </w:r>
      <w:r w:rsidRPr="00A40E55" w:rsidR="00211ED6">
        <w:t>professional’ </w:t>
      </w:r>
      <w:r w:rsidRPr="00A40E55">
        <w:t>” norms did not require Tellez’s counsel to advise him o</w:t>
      </w:r>
      <w:r w:rsidRPr="00A40E55" w:rsidR="001A5C73">
        <w:t>f</w:t>
      </w:r>
      <w:r w:rsidRPr="00A40E55">
        <w:t xml:space="preserve"> the SVPA consequences of </w:t>
      </w:r>
      <w:r w:rsidRPr="00A40E55" w:rsidR="001A5C73">
        <w:t xml:space="preserve">a guilty </w:t>
      </w:r>
      <w:r w:rsidRPr="00A40E55">
        <w:t>plea, and that regardless, Tellez had not demonstrated prejudice.  (</w:t>
      </w:r>
      <w:r w:rsidR="00460764">
        <w:rPr>
          <w:i/>
          <w:iCs/>
        </w:rPr>
        <w:t>Tellez</w:t>
      </w:r>
      <w:r w:rsidR="00460764">
        <w:t xml:space="preserve">, </w:t>
      </w:r>
      <w:r w:rsidR="00460764">
        <w:rPr>
          <w:i/>
          <w:iCs/>
        </w:rPr>
        <w:t>supra</w:t>
      </w:r>
      <w:r w:rsidR="00460764">
        <w:t>, 84 Cal.App.5th</w:t>
      </w:r>
      <w:r w:rsidRPr="00A40E55">
        <w:t xml:space="preserve"> at pp. 298</w:t>
      </w:r>
      <w:r w:rsidRPr="00A40E55" w:rsidR="00CB372D">
        <w:t>–</w:t>
      </w:r>
      <w:r w:rsidRPr="00A40E55">
        <w:t xml:space="preserve">304.)  </w:t>
      </w:r>
    </w:p>
    <w:p w:rsidR="001D0DFD" w:rsidRPr="00B468FB" w:rsidP="00BF3EDE" w14:paraId="2A129D7C" w14:textId="0A01406A">
      <w:pPr>
        <w:tabs>
          <w:tab w:val="left" w:pos="1440"/>
        </w:tabs>
        <w:ind w:firstLine="720"/>
      </w:pPr>
      <w:r w:rsidRPr="00A40E55">
        <w:t xml:space="preserve">Tellez again petitioned this Court </w:t>
      </w:r>
      <w:r w:rsidRPr="00A40E55" w:rsidR="00DD6872">
        <w:t xml:space="preserve">for </w:t>
      </w:r>
      <w:r w:rsidRPr="00A40E55">
        <w:t>review.  We granted review</w:t>
      </w:r>
      <w:r w:rsidRPr="00A40E55" w:rsidR="007A037A">
        <w:t xml:space="preserve"> </w:t>
      </w:r>
      <w:r w:rsidRPr="00A40E55" w:rsidR="00C3439E">
        <w:t>and instructed the parties to brief</w:t>
      </w:r>
      <w:r w:rsidR="00D776D0">
        <w:t xml:space="preserve"> </w:t>
      </w:r>
      <w:r w:rsidRPr="00A40E55" w:rsidR="007A037A">
        <w:t>whether</w:t>
      </w:r>
      <w:r w:rsidR="00D776D0">
        <w:t xml:space="preserve"> constitutionally effective assistance of counsel requires an advisement that a guilty plea may subject the defendant to commitment proceedings under the SVPA, and if so, whether</w:t>
      </w:r>
      <w:r w:rsidRPr="00A40E55" w:rsidR="007A037A">
        <w:t xml:space="preserve"> Tellez was prejudiced by his counsel’s failure to</w:t>
      </w:r>
      <w:r w:rsidR="00D776D0">
        <w:t xml:space="preserve"> so</w:t>
      </w:r>
      <w:r w:rsidRPr="00A40E55" w:rsidR="007A037A">
        <w:t xml:space="preserve"> advise him. </w:t>
      </w:r>
      <w:r w:rsidRPr="00A40E55" w:rsidR="001A5C73">
        <w:t xml:space="preserve"> We also </w:t>
      </w:r>
      <w:r w:rsidRPr="00A40E55" w:rsidR="0083622E">
        <w:t>directed</w:t>
      </w:r>
      <w:r w:rsidRPr="00A40E55" w:rsidR="001A5C73">
        <w:t xml:space="preserve"> the </w:t>
      </w:r>
      <w:r w:rsidRPr="00A40E55" w:rsidR="007179F6">
        <w:t xml:space="preserve">parties to brief whether we should exercise our supervisory </w:t>
      </w:r>
      <w:r w:rsidRPr="00A40E55" w:rsidR="00A660AB">
        <w:t>power</w:t>
      </w:r>
      <w:r w:rsidRPr="00A40E55" w:rsidR="00A152B2">
        <w:t>s</w:t>
      </w:r>
      <w:r w:rsidRPr="00A40E55" w:rsidR="00A660AB">
        <w:t xml:space="preserve"> </w:t>
      </w:r>
      <w:r w:rsidRPr="00A40E55" w:rsidR="00DF5DB1">
        <w:t>to require</w:t>
      </w:r>
      <w:r w:rsidRPr="00A40E55" w:rsidR="00A660AB">
        <w:t xml:space="preserve"> that </w:t>
      </w:r>
      <w:r w:rsidRPr="00A40E55" w:rsidR="003A67A1">
        <w:t xml:space="preserve">criminal defendants </w:t>
      </w:r>
      <w:r w:rsidRPr="00A40E55" w:rsidR="00A660AB">
        <w:t xml:space="preserve">be advised </w:t>
      </w:r>
      <w:r w:rsidRPr="00A40E55" w:rsidR="003A67A1">
        <w:t xml:space="preserve">of potential SVPA consequences </w:t>
      </w:r>
      <w:r w:rsidRPr="00A40E55" w:rsidR="00203958">
        <w:t xml:space="preserve">prior to </w:t>
      </w:r>
      <w:r w:rsidRPr="00A40E55" w:rsidR="00BA7C75">
        <w:t xml:space="preserve">entering a </w:t>
      </w:r>
      <w:r w:rsidRPr="00A40E55" w:rsidR="00203958">
        <w:t>plea.</w:t>
      </w:r>
    </w:p>
    <w:p w:rsidR="008D6CDD" w:rsidRPr="00A40E55" w:rsidP="00BF3EDE" w14:paraId="525298B4" w14:textId="1F0409DA">
      <w:pPr>
        <w:pStyle w:val="Heading1"/>
      </w:pPr>
      <w:r w:rsidRPr="00A40E55">
        <w:t>III.</w:t>
      </w:r>
      <w:r w:rsidRPr="00A40E55">
        <w:tab/>
        <w:t>Discussion</w:t>
      </w:r>
    </w:p>
    <w:p w:rsidR="00DF00A3" w:rsidRPr="00ED7BAE" w:rsidP="00BF3EDE" w14:paraId="3049120B" w14:textId="36E1D479">
      <w:pPr>
        <w:tabs>
          <w:tab w:val="left" w:pos="720"/>
          <w:tab w:val="left" w:pos="1440"/>
        </w:tabs>
        <w:ind w:firstLine="720"/>
      </w:pPr>
      <w:r w:rsidRPr="00A40E55">
        <w:t>We</w:t>
      </w:r>
      <w:r w:rsidRPr="00A40E55" w:rsidR="00460D42">
        <w:t xml:space="preserve"> hold that Tellez has not sufficiently demonstrated he was prejudiced by his counsel’s actions.</w:t>
      </w:r>
      <w:r w:rsidRPr="00A40E55" w:rsidR="00830EAF">
        <w:t xml:space="preserve">  Because Tellez has not demonstrated prejudice, </w:t>
      </w:r>
      <w:r w:rsidRPr="00A40E55" w:rsidR="0035321D">
        <w:t>we</w:t>
      </w:r>
      <w:r w:rsidRPr="00A40E55" w:rsidR="00A4378E">
        <w:t xml:space="preserve"> do not</w:t>
      </w:r>
      <w:r w:rsidRPr="00A40E55" w:rsidR="00830EAF">
        <w:t xml:space="preserve"> </w:t>
      </w:r>
      <w:r w:rsidRPr="00A40E55" w:rsidR="0083622E">
        <w:t>address whether</w:t>
      </w:r>
      <w:r w:rsidRPr="00A40E55" w:rsidR="001B1FE6">
        <w:t xml:space="preserve"> his counsel</w:t>
      </w:r>
      <w:r w:rsidRPr="00A40E55" w:rsidR="00A43A00">
        <w:t xml:space="preserve">’s performance was constitutionally </w:t>
      </w:r>
      <w:r w:rsidRPr="00A40E55" w:rsidR="00C7199B">
        <w:t>deficient</w:t>
      </w:r>
      <w:r w:rsidRPr="00A40E55" w:rsidR="00830EAF">
        <w:t>.</w:t>
      </w:r>
      <w:r w:rsidRPr="00A40E55" w:rsidR="00460D42">
        <w:t xml:space="preserve"> </w:t>
      </w:r>
      <w:r w:rsidRPr="00A40E55" w:rsidR="00830EAF">
        <w:t xml:space="preserve"> </w:t>
      </w:r>
      <w:r w:rsidRPr="00A40E55" w:rsidR="0083622E">
        <w:t>However, l</w:t>
      </w:r>
      <w:r w:rsidRPr="00A40E55" w:rsidR="00911175">
        <w:t xml:space="preserve">ike both parties in this litigation, </w:t>
      </w:r>
      <w:r w:rsidRPr="00A40E55" w:rsidR="00E60E48">
        <w:t>we recognize the significant effect that potentially indefinite commitment to a state hospital under the SVPA can have</w:t>
      </w:r>
      <w:r w:rsidRPr="00A40E55" w:rsidR="00AF2897">
        <w:t xml:space="preserve"> on a person</w:t>
      </w:r>
      <w:r w:rsidRPr="00A40E55" w:rsidR="00E60E48">
        <w:t xml:space="preserve">.  Accordingly, we exercise our </w:t>
      </w:r>
      <w:r w:rsidRPr="00A40E55" w:rsidR="00D0463E">
        <w:t>supervisory</w:t>
      </w:r>
      <w:r w:rsidRPr="00A40E55" w:rsidR="00E60E48">
        <w:t xml:space="preserve"> power</w:t>
      </w:r>
      <w:r w:rsidRPr="00A40E55" w:rsidR="00A152B2">
        <w:t>s</w:t>
      </w:r>
      <w:r w:rsidRPr="00A40E55" w:rsidR="00E60E48">
        <w:t xml:space="preserve"> to require trial courts</w:t>
      </w:r>
      <w:r w:rsidRPr="00A40E55" w:rsidR="0083622E">
        <w:t>,</w:t>
      </w:r>
      <w:r w:rsidRPr="00A40E55" w:rsidR="00DC0FDA">
        <w:t xml:space="preserve"> where relevant</w:t>
      </w:r>
      <w:r w:rsidRPr="00A40E55" w:rsidR="0083622E">
        <w:t>,</w:t>
      </w:r>
      <w:r w:rsidRPr="00A40E55" w:rsidR="00E60E48">
        <w:t xml:space="preserve"> to inform defendants of the potential for SVPA consequences</w:t>
      </w:r>
      <w:r w:rsidRPr="00A40E55" w:rsidR="00782DA7">
        <w:t xml:space="preserve"> when pleading guilty </w:t>
      </w:r>
      <w:r w:rsidRPr="00A40E55" w:rsidR="009838AE">
        <w:t xml:space="preserve">or no contest </w:t>
      </w:r>
      <w:r w:rsidRPr="00A40E55" w:rsidR="00782DA7">
        <w:t>to a qualifying offense</w:t>
      </w:r>
      <w:r w:rsidRPr="00A40E55" w:rsidR="00E60E48">
        <w:t>.</w:t>
      </w:r>
    </w:p>
    <w:p w:rsidR="00DF00A3" w:rsidRPr="00ED7BAE" w:rsidP="00BF3EDE" w14:paraId="1753BBD5" w14:textId="0A4D756C">
      <w:pPr>
        <w:pStyle w:val="Heading2"/>
        <w:rPr>
          <w:i/>
          <w:iCs/>
        </w:rPr>
      </w:pPr>
      <w:r w:rsidRPr="003C4D19">
        <w:t>A</w:t>
      </w:r>
      <w:r w:rsidRPr="00ED7BAE">
        <w:rPr>
          <w:i/>
          <w:iCs/>
        </w:rPr>
        <w:t>.</w:t>
      </w:r>
      <w:r w:rsidRPr="00ED7BAE">
        <w:rPr>
          <w:i/>
          <w:iCs/>
        </w:rPr>
        <w:tab/>
      </w:r>
      <w:r w:rsidRPr="008B1CF2">
        <w:t xml:space="preserve">Tellez </w:t>
      </w:r>
      <w:r w:rsidRPr="008B1CF2" w:rsidR="00937D88">
        <w:t>H</w:t>
      </w:r>
      <w:r w:rsidRPr="008B1CF2">
        <w:t xml:space="preserve">as </w:t>
      </w:r>
      <w:r w:rsidRPr="008B1CF2" w:rsidR="00937D88">
        <w:t>N</w:t>
      </w:r>
      <w:r w:rsidRPr="008B1CF2">
        <w:t xml:space="preserve">ot </w:t>
      </w:r>
      <w:r w:rsidRPr="008B1CF2" w:rsidR="00937D88">
        <w:t>D</w:t>
      </w:r>
      <w:r w:rsidRPr="008B1CF2">
        <w:t xml:space="preserve">emonstrated </w:t>
      </w:r>
      <w:r w:rsidRPr="008B1CF2" w:rsidR="00937D88">
        <w:t>t</w:t>
      </w:r>
      <w:r w:rsidRPr="008B1CF2">
        <w:t xml:space="preserve">hat </w:t>
      </w:r>
      <w:r w:rsidRPr="008B1CF2" w:rsidR="00937D88">
        <w:t>H</w:t>
      </w:r>
      <w:r w:rsidRPr="008B1CF2">
        <w:t xml:space="preserve">e </w:t>
      </w:r>
      <w:r w:rsidRPr="008B1CF2" w:rsidR="00937D88">
        <w:t>W</w:t>
      </w:r>
      <w:r w:rsidRPr="008B1CF2">
        <w:t xml:space="preserve">as </w:t>
      </w:r>
      <w:r w:rsidRPr="008B1CF2" w:rsidR="00937D88">
        <w:t>P</w:t>
      </w:r>
      <w:r w:rsidRPr="008B1CF2">
        <w:t xml:space="preserve">rejudiced </w:t>
      </w:r>
      <w:r w:rsidRPr="008B1CF2" w:rsidR="00937D88">
        <w:t>b</w:t>
      </w:r>
      <w:r w:rsidRPr="008B1CF2">
        <w:t xml:space="preserve">y </w:t>
      </w:r>
      <w:r w:rsidRPr="008B1CF2" w:rsidR="00937D88">
        <w:t>H</w:t>
      </w:r>
      <w:r w:rsidRPr="008B1CF2">
        <w:t xml:space="preserve">is </w:t>
      </w:r>
      <w:r w:rsidRPr="008B1CF2" w:rsidR="00937D88">
        <w:t>A</w:t>
      </w:r>
      <w:r w:rsidRPr="008B1CF2">
        <w:t xml:space="preserve">ttorney’s </w:t>
      </w:r>
      <w:r w:rsidRPr="008B1CF2" w:rsidR="00937D88">
        <w:t>F</w:t>
      </w:r>
      <w:r w:rsidRPr="008B1CF2">
        <w:t>ailure to</w:t>
      </w:r>
      <w:r w:rsidRPr="008B1CF2" w:rsidR="00937D88">
        <w:t xml:space="preserve"> A</w:t>
      </w:r>
      <w:r w:rsidRPr="008B1CF2">
        <w:t xml:space="preserve">dvise </w:t>
      </w:r>
      <w:r w:rsidRPr="008B1CF2" w:rsidR="00937D88">
        <w:t>H</w:t>
      </w:r>
      <w:r w:rsidRPr="008B1CF2">
        <w:t xml:space="preserve">im of the </w:t>
      </w:r>
      <w:r w:rsidRPr="008B1CF2" w:rsidR="00937D88">
        <w:t>P</w:t>
      </w:r>
      <w:r w:rsidRPr="008B1CF2" w:rsidR="001A5C73">
        <w:t xml:space="preserve">otential </w:t>
      </w:r>
      <w:r w:rsidRPr="008B1CF2">
        <w:t xml:space="preserve">SVPA </w:t>
      </w:r>
      <w:r w:rsidRPr="008B1CF2" w:rsidR="00937D88">
        <w:t>C</w:t>
      </w:r>
      <w:r w:rsidRPr="008B1CF2">
        <w:t xml:space="preserve">onsequences of a </w:t>
      </w:r>
      <w:r w:rsidRPr="008B1CF2" w:rsidR="00937D88">
        <w:t>G</w:t>
      </w:r>
      <w:r w:rsidRPr="008B1CF2" w:rsidR="001A5C73">
        <w:t xml:space="preserve">uilty </w:t>
      </w:r>
      <w:r w:rsidRPr="008B1CF2" w:rsidR="00937D88">
        <w:t>P</w:t>
      </w:r>
      <w:r w:rsidRPr="008B1CF2">
        <w:t>lea.</w:t>
      </w:r>
    </w:p>
    <w:p w:rsidR="00D776D0" w:rsidP="00BF3EDE" w14:paraId="059AFA32" w14:textId="5DBCFAF8">
      <w:pPr>
        <w:tabs>
          <w:tab w:val="left" w:pos="720"/>
          <w:tab w:val="left" w:pos="1440"/>
        </w:tabs>
      </w:pPr>
      <w:r w:rsidRPr="00A40E55">
        <w:tab/>
      </w:r>
      <w:r w:rsidR="007E5831">
        <w:t xml:space="preserve">Tellez urges that his counsel failed to provide him with effective assistance </w:t>
      </w:r>
      <w:r w:rsidR="001C4519">
        <w:t>by not</w:t>
      </w:r>
      <w:r w:rsidR="007E5831">
        <w:t xml:space="preserve"> advis</w:t>
      </w:r>
      <w:r w:rsidR="001C4519">
        <w:t>ing</w:t>
      </w:r>
      <w:r w:rsidR="007E5831">
        <w:t xml:space="preserve"> him of the potential SVPA consequences of his plea.  </w:t>
      </w:r>
      <w:r w:rsidR="00B304DB">
        <w:t>B</w:t>
      </w:r>
      <w:r w:rsidR="007E5831">
        <w:t xml:space="preserve">ecause we conclude </w:t>
      </w:r>
      <w:r w:rsidR="00EE2203">
        <w:t>Tellez</w:t>
      </w:r>
      <w:r w:rsidR="007E5831">
        <w:t xml:space="preserve"> has not established he suffered prejudice from any such alleged failure</w:t>
      </w:r>
      <w:r w:rsidR="00B304DB">
        <w:t>, w</w:t>
      </w:r>
      <w:r w:rsidRPr="00B304DB" w:rsidR="00B304DB">
        <w:t xml:space="preserve">e do not consider whether a failure to advise </w:t>
      </w:r>
      <w:r w:rsidR="00902822">
        <w:t xml:space="preserve">of SVPA consequences </w:t>
      </w:r>
      <w:r w:rsidRPr="00B304DB" w:rsidR="00B304DB">
        <w:t>would constitute ineffective assistance</w:t>
      </w:r>
      <w:r w:rsidR="00902822">
        <w:t xml:space="preserve"> of counsel</w:t>
      </w:r>
      <w:r w:rsidR="007E5831">
        <w:t>.</w:t>
      </w:r>
    </w:p>
    <w:p w:rsidR="00D0463E" w:rsidRPr="00A40E55" w:rsidP="00BF3EDE" w14:paraId="0DCF30A6" w14:textId="6AF1FFE3">
      <w:pPr>
        <w:tabs>
          <w:tab w:val="left" w:pos="720"/>
          <w:tab w:val="left" w:pos="1440"/>
        </w:tabs>
      </w:pPr>
      <w:r>
        <w:tab/>
      </w:r>
      <w:r w:rsidRPr="00A40E55">
        <w:t xml:space="preserve">Tellez, who faced a maximum sentence of </w:t>
      </w:r>
      <w:r w:rsidR="00AF11F1">
        <w:t>12</w:t>
      </w:r>
      <w:r w:rsidRPr="00A40E55" w:rsidR="00AF11F1">
        <w:t xml:space="preserve"> </w:t>
      </w:r>
      <w:r w:rsidRPr="00A40E55">
        <w:t xml:space="preserve">years </w:t>
      </w:r>
      <w:r w:rsidRPr="00A40E55" w:rsidR="001A5C73">
        <w:t xml:space="preserve">had </w:t>
      </w:r>
      <w:r w:rsidRPr="00A40E55">
        <w:t xml:space="preserve">he proceeded to trial and lost, accepted a plea deal, under which he was sentenced to three years in prison and the remaining charges against him were dismissed.  Tellez argues that his attorney’s failure to advise him of the </w:t>
      </w:r>
      <w:r w:rsidRPr="00A40E55" w:rsidR="001A5C73">
        <w:t xml:space="preserve">potential </w:t>
      </w:r>
      <w:r w:rsidRPr="00A40E55">
        <w:t xml:space="preserve">SVPA consequences of </w:t>
      </w:r>
      <w:r w:rsidRPr="00A40E55" w:rsidR="001A5C73">
        <w:t xml:space="preserve">pleading guilty to </w:t>
      </w:r>
      <w:r w:rsidRPr="00A40E55">
        <w:t>the single Penal Code section 288</w:t>
      </w:r>
      <w:r w:rsidRPr="00A40E55" w:rsidR="00AD77D2">
        <w:t>, subdivision (a),</w:t>
      </w:r>
      <w:r w:rsidRPr="00A40E55">
        <w:t xml:space="preserve"> charge under the plea deal prejudiced him, as Tellez would not have accepted the </w:t>
      </w:r>
      <w:r w:rsidRPr="00A40E55" w:rsidR="0083622E">
        <w:t>deal</w:t>
      </w:r>
      <w:r w:rsidRPr="00A40E55">
        <w:t xml:space="preserve"> had he known it would </w:t>
      </w:r>
      <w:r w:rsidRPr="00A40E55" w:rsidR="00FA1F71">
        <w:t xml:space="preserve">potentially </w:t>
      </w:r>
      <w:r w:rsidRPr="00A40E55">
        <w:t xml:space="preserve">qualify him for SVPA commitment.  </w:t>
      </w:r>
    </w:p>
    <w:p w:rsidR="00D0463E" w:rsidRPr="00A40E55" w:rsidP="00BF3EDE" w14:paraId="31D1D27E" w14:textId="3BC6A9D2">
      <w:pPr>
        <w:tabs>
          <w:tab w:val="left" w:pos="720"/>
          <w:tab w:val="left" w:pos="1440"/>
        </w:tabs>
      </w:pPr>
      <w:r w:rsidRPr="00A40E55">
        <w:tab/>
      </w:r>
      <w:r w:rsidRPr="00A40E55" w:rsidR="00A52667">
        <w:t xml:space="preserve">An ineffective assistance of counsel claim has two </w:t>
      </w:r>
      <w:r w:rsidRPr="00A40E55" w:rsidR="00713418">
        <w:t>elements</w:t>
      </w:r>
      <w:r w:rsidRPr="00A40E55" w:rsidR="00A52667">
        <w:t xml:space="preserve">: </w:t>
      </w:r>
      <w:r w:rsidRPr="00A40E55" w:rsidR="00535FF8">
        <w:t xml:space="preserve"> </w:t>
      </w:r>
      <w:r w:rsidRPr="00A40E55" w:rsidR="00A52667">
        <w:t xml:space="preserve">a defendant must show that their counsel’s performance was deficient, </w:t>
      </w:r>
      <w:r w:rsidRPr="00A40E55" w:rsidR="00A52667">
        <w:rPr>
          <w:i/>
          <w:iCs/>
        </w:rPr>
        <w:t xml:space="preserve">and </w:t>
      </w:r>
      <w:r w:rsidRPr="00A40E55" w:rsidR="00A52667">
        <w:t>that this deficient performance prejudiced the defense.  (</w:t>
      </w:r>
      <w:r w:rsidRPr="00A40E55" w:rsidR="00A52667">
        <w:rPr>
          <w:i/>
          <w:iCs/>
        </w:rPr>
        <w:t xml:space="preserve">Strickland v. Washington </w:t>
      </w:r>
      <w:r w:rsidRPr="00A40E55" w:rsidR="0063657E">
        <w:t xml:space="preserve">(1984) </w:t>
      </w:r>
      <w:r w:rsidRPr="00A40E55" w:rsidR="00A52667">
        <w:t>466 U.S. 668, 687</w:t>
      </w:r>
      <w:r w:rsidRPr="00A40E55" w:rsidR="0063657E">
        <w:t xml:space="preserve"> (</w:t>
      </w:r>
      <w:r w:rsidRPr="00A40E55" w:rsidR="0063657E">
        <w:rPr>
          <w:i/>
          <w:iCs/>
        </w:rPr>
        <w:t>Strickland</w:t>
      </w:r>
      <w:r w:rsidRPr="00A40E55" w:rsidR="0063657E">
        <w:t>)</w:t>
      </w:r>
      <w:r w:rsidRPr="00A40E55" w:rsidR="00A52667">
        <w:t>.)</w:t>
      </w:r>
      <w:r w:rsidRPr="00A40E55" w:rsidR="00713418">
        <w:t xml:space="preserve">  A reviewing court can begin an ineffective assistance of counsel inquiry with either element and need not </w:t>
      </w:r>
      <w:r w:rsidR="008D527E">
        <w:t>address</w:t>
      </w:r>
      <w:r w:rsidRPr="00A40E55" w:rsidR="00713418">
        <w:t xml:space="preserve"> both elements if one is not satisfied.  </w:t>
      </w:r>
      <w:r w:rsidRPr="00A40E55" w:rsidR="00A52667">
        <w:t>(</w:t>
      </w:r>
      <w:r w:rsidRPr="00A40E55" w:rsidR="00A52667">
        <w:rPr>
          <w:i/>
          <w:iCs/>
        </w:rPr>
        <w:t xml:space="preserve">Id. </w:t>
      </w:r>
      <w:r w:rsidRPr="00A40E55" w:rsidR="00A52667">
        <w:t>at p. 697</w:t>
      </w:r>
      <w:r w:rsidRPr="00A40E55" w:rsidR="00713418">
        <w:t xml:space="preserve"> [“[A] court need not determine whether counsel</w:t>
      </w:r>
      <w:r w:rsidRPr="00A40E55" w:rsidR="00784653">
        <w:t>’</w:t>
      </w:r>
      <w:r w:rsidRPr="00A40E55" w:rsidR="00713418">
        <w:t>s performance was deficient before examining the prejudice suffered by the defendant as a result of the alleged deficiencies”]</w:t>
      </w:r>
      <w:r w:rsidRPr="00A40E55" w:rsidR="00A50F8E">
        <w:t xml:space="preserve">; </w:t>
      </w:r>
      <w:r w:rsidRPr="00A40E55" w:rsidR="00A50F8E">
        <w:rPr>
          <w:i/>
          <w:iCs/>
        </w:rPr>
        <w:t xml:space="preserve">In re </w:t>
      </w:r>
      <w:r w:rsidRPr="00A40E55" w:rsidR="00613147">
        <w:rPr>
          <w:i/>
          <w:iCs/>
        </w:rPr>
        <w:t xml:space="preserve">Marquez </w:t>
      </w:r>
      <w:r w:rsidRPr="00A40E55" w:rsidR="00A50F8E">
        <w:t>(199</w:t>
      </w:r>
      <w:r w:rsidRPr="00A40E55" w:rsidR="00613147">
        <w:t>2</w:t>
      </w:r>
      <w:r w:rsidRPr="00A40E55" w:rsidR="00A50F8E">
        <w:t>) 1 Cal.</w:t>
      </w:r>
      <w:r w:rsidRPr="00A40E55" w:rsidR="00613147">
        <w:t>4th</w:t>
      </w:r>
      <w:r w:rsidRPr="00A40E55" w:rsidR="00A50F8E">
        <w:t xml:space="preserve"> </w:t>
      </w:r>
      <w:r w:rsidRPr="00A40E55" w:rsidR="004B6FC0">
        <w:t>584</w:t>
      </w:r>
      <w:r w:rsidRPr="00A40E55" w:rsidR="00A50F8E">
        <w:t xml:space="preserve">, </w:t>
      </w:r>
      <w:r w:rsidRPr="00A40E55" w:rsidR="00626765">
        <w:t>602</w:t>
      </w:r>
      <w:r w:rsidRPr="00A40E55" w:rsidR="00A50F8E">
        <w:t xml:space="preserve"> [“When there has been no showing of prejudice, we need not determine whether trial </w:t>
      </w:r>
      <w:r w:rsidRPr="00A40E55" w:rsidR="00AB70D4">
        <w:t>counsel’s</w:t>
      </w:r>
      <w:r w:rsidRPr="00A40E55" w:rsidR="00A50F8E">
        <w:t xml:space="preserve"> performance was deficient</w:t>
      </w:r>
      <w:r w:rsidRPr="00A40E55" w:rsidR="00AB70D4">
        <w:t>”]</w:t>
      </w:r>
      <w:r w:rsidRPr="00A40E55" w:rsidR="00A52667">
        <w:t>.)</w:t>
      </w:r>
      <w:r w:rsidRPr="00A40E55" w:rsidR="00DE6DFB">
        <w:t xml:space="preserve">  </w:t>
      </w:r>
      <w:r w:rsidRPr="00A40E55" w:rsidR="00E229D0">
        <w:t xml:space="preserve">Indeed, it is often preferable for a court to </w:t>
      </w:r>
      <w:r w:rsidRPr="00A40E55" w:rsidR="00D36A8B">
        <w:t>dismiss</w:t>
      </w:r>
      <w:r w:rsidRPr="00A40E55" w:rsidR="00EA32E0">
        <w:t xml:space="preserve"> an ineffective assistance of counsel claim </w:t>
      </w:r>
      <w:r w:rsidRPr="00A40E55" w:rsidR="006F7C45">
        <w:t xml:space="preserve">solely for </w:t>
      </w:r>
      <w:r w:rsidRPr="00A40E55" w:rsidR="00EA32E0">
        <w:t>lack of prejudice</w:t>
      </w:r>
      <w:r w:rsidRPr="00A40E55" w:rsidR="0006378C">
        <w:t>.  (</w:t>
      </w:r>
      <w:r w:rsidRPr="00A40E55" w:rsidR="00A50F8E">
        <w:rPr>
          <w:i/>
          <w:iCs/>
        </w:rPr>
        <w:t>Strickland</w:t>
      </w:r>
      <w:r w:rsidRPr="00A40E55" w:rsidR="00A50F8E">
        <w:t xml:space="preserve">, </w:t>
      </w:r>
      <w:r w:rsidRPr="00A40E55" w:rsidR="00A50F8E">
        <w:rPr>
          <w:i/>
          <w:iCs/>
        </w:rPr>
        <w:t>supra</w:t>
      </w:r>
      <w:r w:rsidRPr="00A40E55" w:rsidR="00A50F8E">
        <w:t>, 466 U.S. at p. 6</w:t>
      </w:r>
      <w:r w:rsidRPr="00A40E55" w:rsidR="00AB70D4">
        <w:t>9</w:t>
      </w:r>
      <w:r w:rsidRPr="00A40E55" w:rsidR="00A50F8E">
        <w:t>7</w:t>
      </w:r>
      <w:r w:rsidRPr="00A40E55" w:rsidR="00EA32E0">
        <w:t xml:space="preserve"> </w:t>
      </w:r>
      <w:r w:rsidRPr="00A40E55" w:rsidR="00AB70D4">
        <w:t>[“If it is easier to dispose of an ineffectiveness claim on the ground of lack of sufficient prejudice,</w:t>
      </w:r>
      <w:r w:rsidRPr="00A40E55" w:rsidR="003A61E3">
        <w:t> . . </w:t>
      </w:r>
      <w:r w:rsidRPr="00A40E55" w:rsidR="00E11D4C">
        <w:t>.</w:t>
      </w:r>
      <w:r w:rsidRPr="00A40E55" w:rsidR="00AB70D4">
        <w:t xml:space="preserve">that course should be followed”]; see </w:t>
      </w:r>
      <w:r w:rsidRPr="00A40E55" w:rsidR="00AB70D4">
        <w:rPr>
          <w:i/>
          <w:iCs/>
        </w:rPr>
        <w:t xml:space="preserve">People v. Johnsen </w:t>
      </w:r>
      <w:r w:rsidRPr="00A40E55" w:rsidR="00AB70D4">
        <w:t xml:space="preserve">(2021) 10 Cal.5th 1116, 1168.)  </w:t>
      </w:r>
      <w:r w:rsidRPr="00A40E55" w:rsidR="00C7261A">
        <w:t xml:space="preserve">To satisfy </w:t>
      </w:r>
      <w:r w:rsidRPr="00A40E55" w:rsidR="00C7261A">
        <w:rPr>
          <w:i/>
          <w:iCs/>
        </w:rPr>
        <w:t>Strickland</w:t>
      </w:r>
      <w:r w:rsidRPr="00A40E55" w:rsidR="00C7261A">
        <w:t xml:space="preserve">’s prejudice prong, </w:t>
      </w:r>
      <w:r w:rsidRPr="00A40E55" w:rsidR="002C5E9E">
        <w:t xml:space="preserve">a defendant “must show that there is a reasonable probability that, but for counsel’s </w:t>
      </w:r>
      <w:r w:rsidRPr="00A40E55" w:rsidR="00063BF0">
        <w:t>un</w:t>
      </w:r>
      <w:r w:rsidRPr="00A40E55" w:rsidR="002C5E9E">
        <w:t>professional errors, the result of the proceeding would have been different.”  (</w:t>
      </w:r>
      <w:r w:rsidRPr="00A40E55" w:rsidR="002C5E9E">
        <w:rPr>
          <w:i/>
          <w:iCs/>
        </w:rPr>
        <w:t>Strickland</w:t>
      </w:r>
      <w:r w:rsidRPr="00A40E55" w:rsidR="002C5E9E">
        <w:t xml:space="preserve">, </w:t>
      </w:r>
      <w:r w:rsidRPr="00A40E55" w:rsidR="00751692">
        <w:rPr>
          <w:i/>
          <w:iCs/>
        </w:rPr>
        <w:t>supra</w:t>
      </w:r>
      <w:r w:rsidRPr="00A40E55" w:rsidR="00751692">
        <w:t xml:space="preserve">, </w:t>
      </w:r>
      <w:r w:rsidRPr="00A40E55" w:rsidR="002C5E9E">
        <w:t>466 U.S. at p. 694</w:t>
      </w:r>
      <w:r w:rsidRPr="00A40E55" w:rsidR="00FD734F">
        <w:t>.</w:t>
      </w:r>
      <w:r w:rsidRPr="00A40E55" w:rsidR="00535FF8">
        <w:t>)</w:t>
      </w:r>
    </w:p>
    <w:p w:rsidR="006B10AD" w:rsidRPr="00A40E55" w:rsidP="00BF3EDE" w14:paraId="54DAA512" w14:textId="27DB2DB3">
      <w:pPr>
        <w:tabs>
          <w:tab w:val="left" w:pos="720"/>
          <w:tab w:val="left" w:pos="1440"/>
        </w:tabs>
      </w:pPr>
      <w:r w:rsidRPr="00A40E55">
        <w:tab/>
        <w:t xml:space="preserve">In </w:t>
      </w:r>
      <w:r w:rsidRPr="00A40E55" w:rsidR="0083622E">
        <w:t>evaluating</w:t>
      </w:r>
      <w:r w:rsidRPr="00A40E55">
        <w:t xml:space="preserve"> </w:t>
      </w:r>
      <w:r w:rsidRPr="00A40E55" w:rsidR="0083622E">
        <w:t>ineffective assistance claims asserting a failure to provide adequate advisements</w:t>
      </w:r>
      <w:r w:rsidRPr="00A40E55">
        <w:t>, we consider the “totality of the circumstances</w:t>
      </w:r>
      <w:r w:rsidRPr="00A40E55" w:rsidR="0097721B">
        <w:t>,</w:t>
      </w:r>
      <w:r w:rsidRPr="00A40E55">
        <w:t xml:space="preserve">” </w:t>
      </w:r>
      <w:r w:rsidRPr="00A40E55" w:rsidR="00DE107D">
        <w:t>including</w:t>
      </w:r>
      <w:r w:rsidRPr="00A40E55" w:rsidR="00A40E55">
        <w:t xml:space="preserve"> the</w:t>
      </w:r>
      <w:r w:rsidRPr="00A40E55" w:rsidR="008615B9">
        <w:t xml:space="preserve"> “</w:t>
      </w:r>
      <w:r w:rsidRPr="00A40E55" w:rsidR="005F5480">
        <w:t>defendant</w:t>
      </w:r>
      <w:r w:rsidRPr="00A40E55" w:rsidR="00CE6943">
        <w:t>’</w:t>
      </w:r>
      <w:r w:rsidRPr="00A40E55" w:rsidR="005F5480">
        <w:t xml:space="preserve">s priorities in seeking a plea </w:t>
      </w:r>
      <w:r w:rsidRPr="00A40E55" w:rsidR="00FF204B">
        <w:t>bargain</w:t>
      </w:r>
      <w:r w:rsidRPr="00A40E55" w:rsidR="00AF225A">
        <w:t>” and “</w:t>
      </w:r>
      <w:r w:rsidRPr="00A40E55" w:rsidR="009B29B7">
        <w:t>the defendant</w:t>
      </w:r>
      <w:r w:rsidRPr="00A40E55" w:rsidR="00CE6943">
        <w:t>’</w:t>
      </w:r>
      <w:r w:rsidRPr="00A40E55" w:rsidR="009B29B7">
        <w:t>s probability of obtaining a more favorable outcome if he had rejected the plea</w:t>
      </w:r>
      <w:r w:rsidRPr="00A40E55" w:rsidR="004F2070">
        <w:t>.”</w:t>
      </w:r>
      <w:r w:rsidRPr="00A40E55">
        <w:t xml:space="preserve"> </w:t>
      </w:r>
      <w:r w:rsidRPr="00A40E55" w:rsidR="00D32B8D">
        <w:t xml:space="preserve"> </w:t>
      </w:r>
      <w:r w:rsidRPr="00A40E55">
        <w:rPr>
          <w:sz w:val="26"/>
        </w:rPr>
        <w:t>(</w:t>
      </w:r>
      <w:r w:rsidRPr="00A40E55">
        <w:rPr>
          <w:i/>
          <w:iCs/>
          <w:sz w:val="26"/>
        </w:rPr>
        <w:t xml:space="preserve">People v. Espinoza </w:t>
      </w:r>
      <w:r w:rsidRPr="00A40E55">
        <w:rPr>
          <w:sz w:val="26"/>
        </w:rPr>
        <w:t>(2023) 14 Cal.5th 311, 320 (</w:t>
      </w:r>
      <w:r w:rsidRPr="00A40E55">
        <w:rPr>
          <w:i/>
          <w:iCs/>
          <w:sz w:val="26"/>
        </w:rPr>
        <w:t>Espinoza</w:t>
      </w:r>
      <w:r w:rsidRPr="00A40E55">
        <w:rPr>
          <w:sz w:val="26"/>
        </w:rPr>
        <w:t xml:space="preserve">); </w:t>
      </w:r>
      <w:r w:rsidRPr="00A40E55">
        <w:rPr>
          <w:i/>
          <w:iCs/>
          <w:sz w:val="26"/>
        </w:rPr>
        <w:t xml:space="preserve">Lee v. United States </w:t>
      </w:r>
      <w:r w:rsidRPr="00A40E55">
        <w:rPr>
          <w:sz w:val="26"/>
        </w:rPr>
        <w:t>(2017) 582 U.S. 357, 367</w:t>
      </w:r>
      <w:r w:rsidR="00527E2C">
        <w:rPr>
          <w:sz w:val="26"/>
        </w:rPr>
        <w:t xml:space="preserve"> (</w:t>
      </w:r>
      <w:r w:rsidRPr="00ED7BAE" w:rsidR="00527E2C">
        <w:rPr>
          <w:i/>
          <w:iCs/>
          <w:sz w:val="26"/>
        </w:rPr>
        <w:t>Lee</w:t>
      </w:r>
      <w:r w:rsidR="00527E2C">
        <w:rPr>
          <w:sz w:val="26"/>
        </w:rPr>
        <w:t>)</w:t>
      </w:r>
      <w:r w:rsidRPr="00A40E55" w:rsidR="00CC5ED4">
        <w:rPr>
          <w:sz w:val="26"/>
        </w:rPr>
        <w:t>)</w:t>
      </w:r>
      <w:r w:rsidRPr="00A40E55">
        <w:rPr>
          <w:sz w:val="26"/>
        </w:rPr>
        <w:t>.</w:t>
      </w:r>
      <w:r w:rsidRPr="00A40E55" w:rsidR="005C4D3C">
        <w:rPr>
          <w:sz w:val="26"/>
        </w:rPr>
        <w:t xml:space="preserve">  “</w:t>
      </w:r>
      <w:r w:rsidRPr="00A40E55" w:rsidR="00C03438">
        <w:rPr>
          <w:sz w:val="26"/>
        </w:rPr>
        <w:t>These factors are not exhaustive, and no single type of evidence is a prerequisite to relief.”</w:t>
      </w:r>
      <w:r w:rsidRPr="00A40E55" w:rsidR="00985C8F">
        <w:rPr>
          <w:sz w:val="26"/>
        </w:rPr>
        <w:t xml:space="preserve">  (</w:t>
      </w:r>
      <w:r w:rsidRPr="00A40E55" w:rsidR="00985C8F">
        <w:rPr>
          <w:i/>
          <w:iCs/>
          <w:sz w:val="26"/>
        </w:rPr>
        <w:t>Espinoza</w:t>
      </w:r>
      <w:r w:rsidRPr="00A40E55" w:rsidR="00985C8F">
        <w:rPr>
          <w:sz w:val="26"/>
        </w:rPr>
        <w:t xml:space="preserve">, </w:t>
      </w:r>
      <w:r w:rsidR="00985C8F">
        <w:rPr>
          <w:i/>
          <w:iCs/>
          <w:sz w:val="26"/>
        </w:rPr>
        <w:t>supra</w:t>
      </w:r>
      <w:r w:rsidR="00985C8F">
        <w:rPr>
          <w:sz w:val="26"/>
        </w:rPr>
        <w:t>, 14 Cal.</w:t>
      </w:r>
      <w:r w:rsidR="00350D31">
        <w:rPr>
          <w:sz w:val="26"/>
        </w:rPr>
        <w:t xml:space="preserve">5th </w:t>
      </w:r>
      <w:r w:rsidRPr="00A40E55" w:rsidR="00350D31">
        <w:rPr>
          <w:sz w:val="26"/>
        </w:rPr>
        <w:t xml:space="preserve">at p. </w:t>
      </w:r>
      <w:r w:rsidRPr="00A40E55" w:rsidR="00406728">
        <w:rPr>
          <w:sz w:val="26"/>
        </w:rPr>
        <w:t>321.)</w:t>
      </w:r>
      <w:r w:rsidRPr="00A40E55" w:rsidR="00EE5A77">
        <w:t xml:space="preserve"> </w:t>
      </w:r>
      <w:r w:rsidRPr="00A40E55" w:rsidR="00D87017">
        <w:t xml:space="preserve"> </w:t>
      </w:r>
      <w:r w:rsidRPr="00A40E55" w:rsidR="00EE5A77">
        <w:rPr>
          <w:sz w:val="26"/>
        </w:rPr>
        <w:t>A defendant must provide “</w:t>
      </w:r>
      <w:r w:rsidRPr="00A40E55" w:rsidR="0081681C">
        <w:rPr>
          <w:sz w:val="26"/>
        </w:rPr>
        <w:t> </w:t>
      </w:r>
      <w:r w:rsidRPr="00A40E55" w:rsidR="00EE5A77">
        <w:rPr>
          <w:sz w:val="26"/>
        </w:rPr>
        <w:t>‘objective evidence’</w:t>
      </w:r>
      <w:r w:rsidRPr="00A40E55" w:rsidR="0081681C">
        <w:rPr>
          <w:sz w:val="26"/>
        </w:rPr>
        <w:t> </w:t>
      </w:r>
      <w:r w:rsidRPr="00A40E55" w:rsidR="00EE5A77">
        <w:rPr>
          <w:sz w:val="26"/>
        </w:rPr>
        <w:t>” to corroborate assertions</w:t>
      </w:r>
      <w:r w:rsidRPr="00A40E55" w:rsidR="00A40E55">
        <w:rPr>
          <w:sz w:val="26"/>
        </w:rPr>
        <w:t xml:space="preserve"> of prejudice</w:t>
      </w:r>
      <w:r w:rsidRPr="00A40E55" w:rsidR="00A478C4">
        <w:rPr>
          <w:sz w:val="26"/>
        </w:rPr>
        <w:t>, which can include</w:t>
      </w:r>
      <w:r w:rsidRPr="00A40E55" w:rsidR="00EE5A77">
        <w:rPr>
          <w:sz w:val="26"/>
        </w:rPr>
        <w:t xml:space="preserve"> </w:t>
      </w:r>
      <w:r w:rsidRPr="00A40E55" w:rsidR="00A478C4">
        <w:rPr>
          <w:sz w:val="26"/>
        </w:rPr>
        <w:t>“</w:t>
      </w:r>
      <w:r w:rsidRPr="00A40E55" w:rsidR="00EE5A77">
        <w:rPr>
          <w:sz w:val="26"/>
        </w:rPr>
        <w:t>facts provided by declarations, contemporaneous documentation of the defendant</w:t>
      </w:r>
      <w:r w:rsidRPr="00A40E55" w:rsidR="00CE6943">
        <w:rPr>
          <w:sz w:val="26"/>
        </w:rPr>
        <w:t>’</w:t>
      </w:r>
      <w:r w:rsidRPr="00A40E55" w:rsidR="00EE5A77">
        <w:rPr>
          <w:sz w:val="26"/>
        </w:rPr>
        <w:t xml:space="preserve">s </w:t>
      </w:r>
      <w:r w:rsidRPr="00A40E55" w:rsidR="001B3A1F">
        <w:rPr>
          <w:sz w:val="26"/>
        </w:rPr>
        <w:t>[collateral]</w:t>
      </w:r>
      <w:r w:rsidRPr="00A40E55" w:rsidR="00EE5A77">
        <w:rPr>
          <w:sz w:val="26"/>
        </w:rPr>
        <w:t xml:space="preserve"> concerns or interactions with counsel, and evidence of the charges the defendant faced.</w:t>
      </w:r>
      <w:r w:rsidRPr="00A40E55" w:rsidR="00C946D1">
        <w:rPr>
          <w:sz w:val="26"/>
        </w:rPr>
        <w:t>”  (</w:t>
      </w:r>
      <w:r w:rsidRPr="00A40E55" w:rsidR="001B3A1F">
        <w:rPr>
          <w:i/>
          <w:iCs/>
          <w:sz w:val="26"/>
        </w:rPr>
        <w:t>Id</w:t>
      </w:r>
      <w:r w:rsidRPr="00A40E55" w:rsidR="00FA19AB">
        <w:rPr>
          <w:i/>
          <w:iCs/>
          <w:sz w:val="26"/>
        </w:rPr>
        <w:t>.</w:t>
      </w:r>
      <w:r w:rsidRPr="00A40E55" w:rsidR="00CE6943">
        <w:rPr>
          <w:sz w:val="26"/>
        </w:rPr>
        <w:t xml:space="preserve">, quoting </w:t>
      </w:r>
      <w:r w:rsidRPr="00A40E55" w:rsidR="00CE6943">
        <w:rPr>
          <w:i/>
          <w:iCs/>
          <w:sz w:val="26"/>
        </w:rPr>
        <w:t xml:space="preserve">People v. Vivar </w:t>
      </w:r>
      <w:r w:rsidRPr="00A40E55" w:rsidR="00CE6943">
        <w:rPr>
          <w:sz w:val="26"/>
        </w:rPr>
        <w:t xml:space="preserve">(2021) 11 Cal.5th 510, </w:t>
      </w:r>
      <w:r w:rsidRPr="00A40E55" w:rsidR="00534997">
        <w:rPr>
          <w:sz w:val="26"/>
        </w:rPr>
        <w:t>530 (</w:t>
      </w:r>
      <w:r w:rsidRPr="00A40E55" w:rsidR="00534997">
        <w:rPr>
          <w:i/>
          <w:iCs/>
          <w:sz w:val="26"/>
        </w:rPr>
        <w:t>Vivar</w:t>
      </w:r>
      <w:r w:rsidRPr="00A40E55" w:rsidR="00534997">
        <w:rPr>
          <w:sz w:val="26"/>
        </w:rPr>
        <w:t>)</w:t>
      </w:r>
      <w:r w:rsidRPr="00A40E55" w:rsidR="00E1704D">
        <w:rPr>
          <w:sz w:val="26"/>
        </w:rPr>
        <w:t>.)</w:t>
      </w:r>
    </w:p>
    <w:p w:rsidR="00100758" w:rsidRPr="00A40E55" w:rsidP="00BF3EDE" w14:paraId="0B2AB2FF" w14:textId="6A046812">
      <w:pPr>
        <w:tabs>
          <w:tab w:val="left" w:pos="720"/>
          <w:tab w:val="left" w:pos="1440"/>
        </w:tabs>
      </w:pPr>
      <w:r w:rsidRPr="00A40E55">
        <w:tab/>
      </w:r>
      <w:r w:rsidRPr="00A40E55" w:rsidR="00A4378E">
        <w:t>In</w:t>
      </w:r>
      <w:r w:rsidRPr="00A40E55" w:rsidR="004F2070">
        <w:rPr>
          <w:i/>
          <w:iCs/>
        </w:rPr>
        <w:t xml:space="preserve"> </w:t>
      </w:r>
      <w:r w:rsidRPr="00A40E55" w:rsidR="00A4378E">
        <w:rPr>
          <w:i/>
          <w:iCs/>
        </w:rPr>
        <w:t>Vivar</w:t>
      </w:r>
      <w:r w:rsidRPr="00A40E55" w:rsidR="00E45845">
        <w:t xml:space="preserve">, </w:t>
      </w:r>
      <w:r w:rsidRPr="00A40E55" w:rsidR="00E45845">
        <w:rPr>
          <w:i/>
          <w:iCs/>
        </w:rPr>
        <w:t>supra</w:t>
      </w:r>
      <w:r w:rsidRPr="00A40E55" w:rsidR="00E45845">
        <w:t>, 11 Cal.5th 510</w:t>
      </w:r>
      <w:r w:rsidRPr="00A40E55" w:rsidR="00A4378E">
        <w:t xml:space="preserve">, we held that a </w:t>
      </w:r>
      <w:r w:rsidRPr="00A40E55" w:rsidR="00E45845">
        <w:t xml:space="preserve">criminal defendant who was later deported </w:t>
      </w:r>
      <w:r w:rsidRPr="00A40E55" w:rsidR="001C7214">
        <w:t xml:space="preserve">to Mexico </w:t>
      </w:r>
      <w:r w:rsidRPr="00A40E55" w:rsidR="00E45845">
        <w:t xml:space="preserve">had sufficiently demonstrated he was prejudiced by his counsel’s failure to advise him of the immigration consequences of accepting a plea deal.  While </w:t>
      </w:r>
      <w:r w:rsidRPr="00A40E55" w:rsidR="00E45845">
        <w:rPr>
          <w:i/>
          <w:iCs/>
        </w:rPr>
        <w:t xml:space="preserve">Vivar </w:t>
      </w:r>
      <w:r w:rsidRPr="00A40E55" w:rsidR="00E45845">
        <w:t xml:space="preserve">involved </w:t>
      </w:r>
      <w:r w:rsidR="00A40E55">
        <w:t xml:space="preserve">a </w:t>
      </w:r>
      <w:r w:rsidRPr="00A40E55" w:rsidR="00E45845">
        <w:t>demonstrati</w:t>
      </w:r>
      <w:r w:rsidR="00A40E55">
        <w:t>on of</w:t>
      </w:r>
      <w:r w:rsidRPr="00A40E55" w:rsidR="00E45845">
        <w:t xml:space="preserve"> prejudice </w:t>
      </w:r>
      <w:r w:rsidR="00A40E55">
        <w:t xml:space="preserve">in the context </w:t>
      </w:r>
      <w:r w:rsidRPr="00A40E55" w:rsidR="00E45845">
        <w:t>of</w:t>
      </w:r>
      <w:r w:rsidRPr="00A40E55" w:rsidR="00534997">
        <w:t xml:space="preserve"> </w:t>
      </w:r>
      <w:r w:rsidR="00A40E55">
        <w:t xml:space="preserve">a motion to withdraw a plea under </w:t>
      </w:r>
      <w:r w:rsidRPr="00A40E55" w:rsidR="00E45845">
        <w:t xml:space="preserve">Penal Code section 1473.7, </w:t>
      </w:r>
      <w:r w:rsidRPr="00A40E55" w:rsidR="00A10693">
        <w:t xml:space="preserve">its </w:t>
      </w:r>
      <w:r w:rsidRPr="00A40E55" w:rsidR="00E45845">
        <w:t xml:space="preserve">analysis is </w:t>
      </w:r>
      <w:r w:rsidRPr="00A40E55" w:rsidR="00197D3B">
        <w:t xml:space="preserve">helpful </w:t>
      </w:r>
      <w:r w:rsidRPr="00A40E55" w:rsidR="00013A0A">
        <w:t>here.</w:t>
      </w:r>
      <w:r w:rsidRPr="00A40E55" w:rsidR="009C44AE">
        <w:t xml:space="preserve">  </w:t>
      </w:r>
      <w:r w:rsidR="00A40E55">
        <w:t xml:space="preserve">The </w:t>
      </w:r>
      <w:r w:rsidR="008D527E">
        <w:t>defendant</w:t>
      </w:r>
      <w:r w:rsidR="00A40E55">
        <w:t xml:space="preserve"> in</w:t>
      </w:r>
      <w:r w:rsidRPr="00A40E55" w:rsidR="009C44AE">
        <w:t xml:space="preserve"> </w:t>
      </w:r>
      <w:r w:rsidRPr="00A40E55" w:rsidR="00A10693">
        <w:rPr>
          <w:i/>
          <w:iCs/>
        </w:rPr>
        <w:t>Vivar</w:t>
      </w:r>
      <w:r w:rsidR="00A40E55">
        <w:t xml:space="preserve"> supplied</w:t>
      </w:r>
      <w:r w:rsidRPr="00A40E55" w:rsidR="00F1777F">
        <w:t xml:space="preserve"> a </w:t>
      </w:r>
      <w:r w:rsidRPr="00A40E55" w:rsidR="00834499">
        <w:t xml:space="preserve">declaration </w:t>
      </w:r>
      <w:r w:rsidR="00A40E55">
        <w:t>attesting</w:t>
      </w:r>
      <w:r w:rsidRPr="00A40E55" w:rsidR="00F1777F">
        <w:t xml:space="preserve"> he would not have accepted a plea deal had he known of its immigration consequences</w:t>
      </w:r>
      <w:r w:rsidRPr="00A40E55" w:rsidR="00834499">
        <w:t>.  (</w:t>
      </w:r>
      <w:r w:rsidRPr="00A40E55" w:rsidR="00834499">
        <w:rPr>
          <w:i/>
          <w:iCs/>
        </w:rPr>
        <w:t>Vivar</w:t>
      </w:r>
      <w:r w:rsidRPr="00A40E55" w:rsidR="00834499">
        <w:t xml:space="preserve">, </w:t>
      </w:r>
      <w:r w:rsidRPr="001D275B" w:rsidR="001D275B">
        <w:rPr>
          <w:i/>
          <w:iCs/>
        </w:rPr>
        <w:t>supra</w:t>
      </w:r>
      <w:r w:rsidR="001D275B">
        <w:t xml:space="preserve">, 11 Cal.5th </w:t>
      </w:r>
      <w:r w:rsidRPr="001D275B" w:rsidR="00834499">
        <w:t>at</w:t>
      </w:r>
      <w:r w:rsidRPr="00A40E55" w:rsidR="00834499">
        <w:t xml:space="preserve"> p. 530.)  Yet he</w:t>
      </w:r>
      <w:r w:rsidRPr="00A40E55" w:rsidR="00F1777F">
        <w:t xml:space="preserve"> also provided</w:t>
      </w:r>
      <w:r w:rsidRPr="00A40E55" w:rsidR="00834499">
        <w:t xml:space="preserve"> other evidence, including recollections and contemporaneous notes from his counsel that he “was indeed concerned about the ‘consequences</w:t>
      </w:r>
      <w:r w:rsidR="00705324">
        <w:t>’</w:t>
      </w:r>
      <w:r w:rsidRPr="00A40E55" w:rsidR="00834499">
        <w:t xml:space="preserve"> of his plea” (</w:t>
      </w:r>
      <w:r w:rsidRPr="00A40E55" w:rsidR="00834499">
        <w:rPr>
          <w:i/>
          <w:iCs/>
        </w:rPr>
        <w:t>ibid</w:t>
      </w:r>
      <w:r w:rsidRPr="00A40E55" w:rsidR="00834499">
        <w:t>.) and</w:t>
      </w:r>
      <w:r w:rsidRPr="00A40E55" w:rsidR="00F1777F">
        <w:t xml:space="preserve"> a series of uncounseled letters he had written to the court</w:t>
      </w:r>
      <w:r w:rsidRPr="00A40E55" w:rsidR="00834499">
        <w:t xml:space="preserve"> “at or near the time of his plea” </w:t>
      </w:r>
      <w:r w:rsidRPr="00A40E55" w:rsidR="00515C85">
        <w:t>(</w:t>
      </w:r>
      <w:r w:rsidRPr="00A40E55" w:rsidR="00834499">
        <w:rPr>
          <w:i/>
          <w:iCs/>
        </w:rPr>
        <w:t>ibid</w:t>
      </w:r>
      <w:r w:rsidRPr="00A40E55" w:rsidR="00834499">
        <w:t xml:space="preserve">.; see </w:t>
      </w:r>
      <w:r w:rsidRPr="00A40E55" w:rsidR="00834499">
        <w:rPr>
          <w:i/>
          <w:iCs/>
        </w:rPr>
        <w:t>id.</w:t>
      </w:r>
      <w:r w:rsidRPr="00A40E55" w:rsidR="00515C85">
        <w:rPr>
          <w:i/>
          <w:iCs/>
        </w:rPr>
        <w:t xml:space="preserve"> </w:t>
      </w:r>
      <w:r w:rsidRPr="00A40E55" w:rsidR="00515C85">
        <w:t>at p</w:t>
      </w:r>
      <w:r w:rsidRPr="00A40E55" w:rsidR="006266E2">
        <w:t>p</w:t>
      </w:r>
      <w:r w:rsidRPr="00A40E55" w:rsidR="00515C85">
        <w:t xml:space="preserve">. </w:t>
      </w:r>
      <w:r w:rsidRPr="00A40E55" w:rsidR="006266E2">
        <w:t>530</w:t>
      </w:r>
      <w:r w:rsidRPr="00A40E55" w:rsidR="00573065">
        <w:t>–</w:t>
      </w:r>
      <w:r w:rsidRPr="00A40E55" w:rsidR="00515C85">
        <w:t>531)</w:t>
      </w:r>
      <w:r w:rsidRPr="00A40E55" w:rsidR="00834499">
        <w:t>.</w:t>
      </w:r>
      <w:r w:rsidRPr="00A40E55" w:rsidR="00515C85">
        <w:t xml:space="preserve"> </w:t>
      </w:r>
      <w:r w:rsidRPr="00A40E55" w:rsidR="00F1777F">
        <w:t xml:space="preserve"> </w:t>
      </w:r>
      <w:r w:rsidRPr="00A40E55" w:rsidR="00515C85">
        <w:t>Th</w:t>
      </w:r>
      <w:r w:rsidRPr="00A40E55" w:rsidR="00D63D0D">
        <w:t>o</w:t>
      </w:r>
      <w:r w:rsidRPr="00A40E55" w:rsidR="00515C85">
        <w:t>se letters detailed</w:t>
      </w:r>
      <w:r w:rsidRPr="00A40E55" w:rsidR="00F1777F">
        <w:t xml:space="preserve"> </w:t>
      </w:r>
      <w:r w:rsidRPr="00A40E55">
        <w:t>Vivar’s</w:t>
      </w:r>
      <w:r w:rsidRPr="00A40E55" w:rsidR="00F1777F">
        <w:t xml:space="preserve"> </w:t>
      </w:r>
      <w:r w:rsidRPr="00A40E55" w:rsidR="00BB7C98">
        <w:t xml:space="preserve">explicit desire to remain in the U.S. as well as his </w:t>
      </w:r>
      <w:r w:rsidRPr="00A40E55" w:rsidR="00F1777F">
        <w:t xml:space="preserve">connections to his </w:t>
      </w:r>
      <w:r w:rsidRPr="00A40E55" w:rsidR="00BB7C98">
        <w:t>community,</w:t>
      </w:r>
      <w:r w:rsidRPr="00A40E55" w:rsidR="000F26C1">
        <w:t xml:space="preserve"> including </w:t>
      </w:r>
      <w:r w:rsidRPr="00A40E55" w:rsidR="007628E4">
        <w:t xml:space="preserve">his extensive immediate family who </w:t>
      </w:r>
      <w:r w:rsidRPr="00A40E55" w:rsidR="00DA3879">
        <w:t>were all U.S. citizens who lived in California</w:t>
      </w:r>
      <w:r w:rsidRPr="00A40E55" w:rsidR="00BA1F83">
        <w:t xml:space="preserve">.  </w:t>
      </w:r>
      <w:r w:rsidRPr="00A40E55" w:rsidR="00515C85">
        <w:t>(</w:t>
      </w:r>
      <w:r w:rsidRPr="00A40E55" w:rsidR="00515C85">
        <w:rPr>
          <w:i/>
          <w:iCs/>
        </w:rPr>
        <w:t>Id</w:t>
      </w:r>
      <w:r w:rsidRPr="00A40E55" w:rsidR="00515C85">
        <w:t>.</w:t>
      </w:r>
      <w:r w:rsidRPr="00A40E55" w:rsidR="006266E2">
        <w:t xml:space="preserve"> at </w:t>
      </w:r>
      <w:r w:rsidR="0018263D">
        <w:t xml:space="preserve">p. </w:t>
      </w:r>
      <w:r w:rsidRPr="00A40E55" w:rsidR="006266E2">
        <w:t>531</w:t>
      </w:r>
      <w:r w:rsidRPr="00A40E55" w:rsidR="00535FF8">
        <w:t>.</w:t>
      </w:r>
      <w:r w:rsidRPr="00A40E55" w:rsidR="00515C85">
        <w:t xml:space="preserve">)  </w:t>
      </w:r>
      <w:r w:rsidRPr="00A40E55" w:rsidR="00834499">
        <w:t>Vivar</w:t>
      </w:r>
      <w:r w:rsidRPr="00A40E55" w:rsidR="00BA1F83">
        <w:t xml:space="preserve"> also documented his lack of connections to Mexico, </w:t>
      </w:r>
      <w:r w:rsidRPr="00A40E55" w:rsidR="00EE54AF">
        <w:t xml:space="preserve">including how </w:t>
      </w:r>
      <w:r w:rsidRPr="00A40E55" w:rsidR="00FD734F">
        <w:t>h</w:t>
      </w:r>
      <w:r w:rsidRPr="00A40E55" w:rsidR="00EE54AF">
        <w:t>e found it “difficult to function in Mexican society because people treat</w:t>
      </w:r>
      <w:r w:rsidRPr="00A40E55" w:rsidR="00245530">
        <w:t xml:space="preserve"> [him] like an outsider.”  (</w:t>
      </w:r>
      <w:r w:rsidRPr="00A40E55" w:rsidR="00245530">
        <w:rPr>
          <w:i/>
          <w:iCs/>
        </w:rPr>
        <w:t>Id</w:t>
      </w:r>
      <w:r w:rsidRPr="00A40E55" w:rsidR="00245530">
        <w:t>.</w:t>
      </w:r>
      <w:r w:rsidRPr="00A40E55" w:rsidR="005029FE">
        <w:t xml:space="preserve"> at </w:t>
      </w:r>
      <w:r w:rsidR="0018263D">
        <w:t xml:space="preserve">p. </w:t>
      </w:r>
      <w:r w:rsidRPr="00A40E55" w:rsidR="005F3D2D">
        <w:t>530</w:t>
      </w:r>
      <w:r w:rsidRPr="00A40E55" w:rsidR="00535FF8">
        <w:t>.</w:t>
      </w:r>
      <w:r w:rsidRPr="00A40E55" w:rsidR="00245530">
        <w:t xml:space="preserve">)  </w:t>
      </w:r>
      <w:r w:rsidRPr="00A40E55" w:rsidR="00F1777F">
        <w:t>We held that those letters provided an independent an</w:t>
      </w:r>
      <w:r w:rsidRPr="00A40E55" w:rsidR="003813B3">
        <w:t>d</w:t>
      </w:r>
      <w:r w:rsidRPr="00A40E55" w:rsidR="00F1777F">
        <w:t xml:space="preserve"> objective indication that </w:t>
      </w:r>
      <w:r w:rsidR="00A40E55">
        <w:t>Vivar</w:t>
      </w:r>
      <w:r w:rsidRPr="00A40E55" w:rsidR="00D87017">
        <w:t xml:space="preserve"> </w:t>
      </w:r>
      <w:r w:rsidRPr="00A40E55" w:rsidR="00F1777F">
        <w:t>would have not accepted the plea deal had he known it would lead to his deportation.  (</w:t>
      </w:r>
      <w:r w:rsidRPr="00A40E55" w:rsidR="00F1777F">
        <w:rPr>
          <w:i/>
          <w:iCs/>
        </w:rPr>
        <w:t xml:space="preserve">Id. </w:t>
      </w:r>
      <w:r w:rsidRPr="00A40E55" w:rsidR="00F1777F">
        <w:t>at p. 534.)</w:t>
      </w:r>
      <w:r w:rsidRPr="00A40E55" w:rsidR="006B10AD">
        <w:rPr>
          <w:i/>
          <w:iCs/>
        </w:rPr>
        <w:t xml:space="preserve"> </w:t>
      </w:r>
      <w:r w:rsidRPr="00A40E55" w:rsidR="00D87017">
        <w:rPr>
          <w:i/>
          <w:iCs/>
        </w:rPr>
        <w:t xml:space="preserve"> </w:t>
      </w:r>
    </w:p>
    <w:p w:rsidR="00CA4FE5" w:rsidRPr="00A40E55" w:rsidP="00BF3EDE" w14:paraId="46277D5B" w14:textId="4C3C3EB7">
      <w:pPr>
        <w:tabs>
          <w:tab w:val="left" w:pos="720"/>
          <w:tab w:val="left" w:pos="1440"/>
        </w:tabs>
      </w:pPr>
      <w:r w:rsidRPr="00A40E55">
        <w:tab/>
      </w:r>
      <w:r w:rsidRPr="00A40E55" w:rsidR="00C35DDD">
        <w:t xml:space="preserve">In </w:t>
      </w:r>
      <w:r w:rsidRPr="00A40E55" w:rsidR="008927DF">
        <w:rPr>
          <w:i/>
          <w:iCs/>
        </w:rPr>
        <w:t>Espinoza</w:t>
      </w:r>
      <w:r w:rsidRPr="00A40E55" w:rsidR="008927DF">
        <w:t xml:space="preserve">, </w:t>
      </w:r>
      <w:r w:rsidRPr="00A40E55" w:rsidR="008927DF">
        <w:rPr>
          <w:i/>
          <w:iCs/>
        </w:rPr>
        <w:t>supra</w:t>
      </w:r>
      <w:r w:rsidRPr="00A40E55" w:rsidR="008927DF">
        <w:t>,</w:t>
      </w:r>
      <w:r w:rsidRPr="00A40E55" w:rsidR="007B1CE3">
        <w:t xml:space="preserve"> </w:t>
      </w:r>
      <w:r w:rsidRPr="00A40E55" w:rsidR="00C35DDD">
        <w:t xml:space="preserve">14 Cal.5th 311, </w:t>
      </w:r>
      <w:r w:rsidRPr="00A40E55" w:rsidR="008A5A69">
        <w:t>a</w:t>
      </w:r>
      <w:r w:rsidRPr="00A40E55" w:rsidR="00C35DDD">
        <w:t xml:space="preserve"> </w:t>
      </w:r>
      <w:r w:rsidRPr="00A40E55" w:rsidR="00393D61">
        <w:t xml:space="preserve">Penal Code section 1473.7 </w:t>
      </w:r>
      <w:r w:rsidRPr="00A40E55" w:rsidR="008A5A69">
        <w:t xml:space="preserve">case like </w:t>
      </w:r>
      <w:r w:rsidRPr="00A40E55" w:rsidR="008A5A69">
        <w:rPr>
          <w:i/>
          <w:iCs/>
        </w:rPr>
        <w:t>Vivar</w:t>
      </w:r>
      <w:r w:rsidRPr="00A40E55" w:rsidR="008A5A69">
        <w:t xml:space="preserve">, </w:t>
      </w:r>
      <w:r w:rsidRPr="00A40E55" w:rsidR="005329FF">
        <w:t xml:space="preserve">we </w:t>
      </w:r>
      <w:r w:rsidRPr="00A40E55" w:rsidR="008927DF">
        <w:t xml:space="preserve">similarly </w:t>
      </w:r>
      <w:r w:rsidRPr="00A40E55" w:rsidR="005329FF">
        <w:t xml:space="preserve">held that the defendant </w:t>
      </w:r>
      <w:r w:rsidRPr="00A40E55" w:rsidR="006478C0">
        <w:t>had sufficiently established prejudice</w:t>
      </w:r>
      <w:r w:rsidRPr="00A40E55" w:rsidR="00AA4511">
        <w:t xml:space="preserve"> under </w:t>
      </w:r>
      <w:r w:rsidRPr="00A40E55" w:rsidR="00AA4511">
        <w:rPr>
          <w:i/>
          <w:iCs/>
        </w:rPr>
        <w:t>Strickland</w:t>
      </w:r>
      <w:r w:rsidRPr="00A40E55" w:rsidR="00AA4511">
        <w:t xml:space="preserve">. </w:t>
      </w:r>
      <w:r w:rsidRPr="00A40E55" w:rsidR="006D2E23">
        <w:t xml:space="preserve"> </w:t>
      </w:r>
      <w:r w:rsidRPr="00A40E55" w:rsidR="00DB7D64">
        <w:t>Espinoz</w:t>
      </w:r>
      <w:r w:rsidRPr="00A40E55" w:rsidR="007C0957">
        <w:t>a, a Mexican immigrant to the U.S.</w:t>
      </w:r>
      <w:r w:rsidRPr="00A40E55" w:rsidR="00786C00">
        <w:t xml:space="preserve"> who built his life in California, </w:t>
      </w:r>
      <w:r w:rsidRPr="00A40E55" w:rsidR="0019030E">
        <w:t xml:space="preserve">pleaded </w:t>
      </w:r>
      <w:r w:rsidRPr="00A40E55" w:rsidR="00255C12">
        <w:t>no contest to a number of charges on the advice of his attorney, who had told him “everything was going to be fine” if he did so.  (</w:t>
      </w:r>
      <w:r w:rsidRPr="00A40E55" w:rsidR="00255C12">
        <w:rPr>
          <w:i/>
          <w:iCs/>
        </w:rPr>
        <w:t>Espinoza</w:t>
      </w:r>
      <w:r w:rsidRPr="00A40E55" w:rsidR="00255C12">
        <w:t xml:space="preserve">, </w:t>
      </w:r>
      <w:r w:rsidR="00255C12">
        <w:rPr>
          <w:i/>
          <w:iCs/>
        </w:rPr>
        <w:t>supra</w:t>
      </w:r>
      <w:r w:rsidR="00255C12">
        <w:t>,</w:t>
      </w:r>
      <w:r w:rsidR="007B1CE3">
        <w:t xml:space="preserve"> 14 Cal.5th </w:t>
      </w:r>
      <w:r w:rsidRPr="00A40E55" w:rsidR="007B1CE3">
        <w:t>at p. 318.)</w:t>
      </w:r>
      <w:r w:rsidRPr="00A40E55" w:rsidR="00A40300">
        <w:t xml:space="preserve">  Espinoza’s attorney did not inform him that pleading no contest to the charges would </w:t>
      </w:r>
      <w:r w:rsidRPr="00A40E55" w:rsidR="002A537E">
        <w:t>put his permanent resident status at risk</w:t>
      </w:r>
      <w:r w:rsidRPr="00A40E55" w:rsidR="00547C51">
        <w:t>.  (</w:t>
      </w:r>
      <w:r w:rsidRPr="00A40E55" w:rsidR="00547C51">
        <w:rPr>
          <w:i/>
          <w:iCs/>
        </w:rPr>
        <w:t>Ibid</w:t>
      </w:r>
      <w:r w:rsidRPr="00A40E55" w:rsidR="00547C51">
        <w:t>.)  A</w:t>
      </w:r>
      <w:r w:rsidRPr="00A40E55" w:rsidR="001E2367">
        <w:t xml:space="preserve">nd </w:t>
      </w:r>
      <w:r w:rsidRPr="00A40E55" w:rsidR="00547C51">
        <w:t>as explained in his declaration</w:t>
      </w:r>
      <w:r w:rsidRPr="00A40E55" w:rsidR="006A6812">
        <w:t xml:space="preserve"> to the court</w:t>
      </w:r>
      <w:r w:rsidRPr="00A40E55" w:rsidR="00547C51">
        <w:t xml:space="preserve">, </w:t>
      </w:r>
      <w:r w:rsidRPr="00A40E55" w:rsidR="001E2367">
        <w:t xml:space="preserve">Espinoza </w:t>
      </w:r>
      <w:r w:rsidRPr="00A40E55" w:rsidR="00E50E90">
        <w:t xml:space="preserve">misunderstood the court’s advisement on the issue, </w:t>
      </w:r>
      <w:r w:rsidRPr="00A40E55" w:rsidR="006A6812">
        <w:t xml:space="preserve">mistakenly </w:t>
      </w:r>
      <w:r w:rsidRPr="00A40E55" w:rsidR="00E50E90">
        <w:t>believing it would not apply to him because he had legal permanent residency.  (</w:t>
      </w:r>
      <w:r w:rsidRPr="00A40E55" w:rsidR="00A366B7">
        <w:rPr>
          <w:i/>
          <w:iCs/>
        </w:rPr>
        <w:t xml:space="preserve">Id. </w:t>
      </w:r>
      <w:r w:rsidRPr="00A40E55" w:rsidR="00A366B7">
        <w:t>at p. 319</w:t>
      </w:r>
      <w:r w:rsidRPr="00A40E55" w:rsidR="00E50E90">
        <w:t xml:space="preserve">.)  </w:t>
      </w:r>
      <w:r w:rsidRPr="00A40E55" w:rsidR="00E80AA2">
        <w:t xml:space="preserve">Espinoza first realized the immigration consequences </w:t>
      </w:r>
      <w:r w:rsidR="00ED7BAE">
        <w:t>12</w:t>
      </w:r>
      <w:r w:rsidRPr="00A40E55" w:rsidR="00C7201E">
        <w:t xml:space="preserve"> years later when</w:t>
      </w:r>
      <w:r w:rsidRPr="00A40E55" w:rsidR="00BE6817">
        <w:t>,</w:t>
      </w:r>
      <w:r w:rsidRPr="00A40E55" w:rsidR="00C7201E">
        <w:t xml:space="preserve"> </w:t>
      </w:r>
      <w:r w:rsidRPr="00A40E55" w:rsidR="0055743C">
        <w:t xml:space="preserve">after </w:t>
      </w:r>
      <w:r w:rsidRPr="00A40E55" w:rsidR="00C7201E">
        <w:t>returning from an international trip, immigration officials stopped him and seized his permanent reside</w:t>
      </w:r>
      <w:r w:rsidRPr="00A40E55" w:rsidR="00F44C18">
        <w:t>nt</w:t>
      </w:r>
      <w:r w:rsidRPr="00A40E55" w:rsidR="00C7201E">
        <w:t xml:space="preserve"> card</w:t>
      </w:r>
      <w:r w:rsidRPr="00A40E55" w:rsidR="0055743C">
        <w:t>.  (</w:t>
      </w:r>
      <w:r w:rsidRPr="00A40E55" w:rsidR="00A366B7">
        <w:rPr>
          <w:i/>
          <w:iCs/>
        </w:rPr>
        <w:t>Ibid</w:t>
      </w:r>
      <w:r w:rsidRPr="00A40E55" w:rsidR="0055743C">
        <w:t xml:space="preserve">.)  On review, we </w:t>
      </w:r>
      <w:r w:rsidRPr="00A40E55" w:rsidR="00384D88">
        <w:t>held</w:t>
      </w:r>
      <w:r w:rsidRPr="00A40E55" w:rsidR="0055743C">
        <w:t xml:space="preserve"> that Espinoza demonstrated prejudice </w:t>
      </w:r>
      <w:r w:rsidRPr="00A40E55" w:rsidR="00BE6817">
        <w:t>from</w:t>
      </w:r>
      <w:r w:rsidRPr="00A40E55" w:rsidR="0055743C">
        <w:t xml:space="preserve"> his counsel’s failure to advise him that his plea deal could have </w:t>
      </w:r>
      <w:r w:rsidRPr="00A40E55">
        <w:t>immigration</w:t>
      </w:r>
      <w:r w:rsidRPr="00A40E55" w:rsidR="0055743C">
        <w:t xml:space="preserve"> consequences.  </w:t>
      </w:r>
      <w:r w:rsidRPr="00A40E55" w:rsidR="00E05C2A">
        <w:t xml:space="preserve">We </w:t>
      </w:r>
      <w:r w:rsidR="00A40E55">
        <w:t>noted</w:t>
      </w:r>
      <w:r w:rsidRPr="00A40E55" w:rsidR="00E05C2A">
        <w:t xml:space="preserve"> that Espinoza had lived in the state for more than two decades</w:t>
      </w:r>
      <w:r w:rsidRPr="00A40E55" w:rsidR="00414F34">
        <w:t>, where his immediate family also lived.  (</w:t>
      </w:r>
      <w:r w:rsidRPr="00A40E55" w:rsidR="00414F34">
        <w:rPr>
          <w:i/>
          <w:iCs/>
        </w:rPr>
        <w:t xml:space="preserve">Id. </w:t>
      </w:r>
      <w:r w:rsidRPr="00A40E55" w:rsidR="00414F34">
        <w:t xml:space="preserve">at p. 322.)  </w:t>
      </w:r>
      <w:r w:rsidRPr="00A40E55" w:rsidR="00012781">
        <w:t xml:space="preserve">We also </w:t>
      </w:r>
      <w:r w:rsidR="00A40E55">
        <w:t>emphasized</w:t>
      </w:r>
      <w:r w:rsidRPr="00A40E55" w:rsidR="00012781">
        <w:t xml:space="preserve"> </w:t>
      </w:r>
      <w:r w:rsidRPr="00A40E55" w:rsidR="00114B06">
        <w:t xml:space="preserve">a number of letters from family, friends, community members, clients, and employers documenting Espinoza’s ties to and desire to remain in the community, as well as </w:t>
      </w:r>
      <w:r w:rsidRPr="00A40E55" w:rsidR="00012781">
        <w:t>the fact</w:t>
      </w:r>
      <w:r w:rsidRPr="00A40E55" w:rsidR="00E728CF">
        <w:t xml:space="preserve"> that there were </w:t>
      </w:r>
      <w:r w:rsidR="00260CD2">
        <w:t>“</w:t>
      </w:r>
      <w:r w:rsidRPr="00A40E55" w:rsidR="00E728CF">
        <w:t>immigration-safe</w:t>
      </w:r>
      <w:r w:rsidR="00260CD2">
        <w:t>”</w:t>
      </w:r>
      <w:r w:rsidRPr="00A40E55" w:rsidR="00E728CF">
        <w:t xml:space="preserve"> alternatives his counsel could have pursued</w:t>
      </w:r>
      <w:r w:rsidRPr="00A40E55" w:rsidR="00114B06">
        <w:t>.  (</w:t>
      </w:r>
      <w:r w:rsidRPr="00A40E55" w:rsidR="00114B06">
        <w:rPr>
          <w:i/>
          <w:iCs/>
        </w:rPr>
        <w:t xml:space="preserve">Id. </w:t>
      </w:r>
      <w:r w:rsidRPr="00A40E55" w:rsidR="00114B06">
        <w:t xml:space="preserve">at p. 317.)  </w:t>
      </w:r>
      <w:r w:rsidR="00A40E55">
        <w:t>From this evidence</w:t>
      </w:r>
      <w:r w:rsidRPr="00A40E55" w:rsidR="00114B06">
        <w:t xml:space="preserve">, we </w:t>
      </w:r>
      <w:r w:rsidRPr="00A40E55" w:rsidR="00384D88">
        <w:t xml:space="preserve">concluded that Espinoza’s priority was to remain in his community, and that accordingly, he would have likely </w:t>
      </w:r>
      <w:r w:rsidRPr="00A40E55" w:rsidR="004119A7">
        <w:t>not plea</w:t>
      </w:r>
      <w:r w:rsidRPr="00A40E55">
        <w:t>ded</w:t>
      </w:r>
      <w:r w:rsidRPr="00A40E55" w:rsidR="004119A7">
        <w:t xml:space="preserve"> no contest had he known of its immigration ramifications</w:t>
      </w:r>
      <w:r w:rsidRPr="00A40E55" w:rsidR="00647A78">
        <w:t>.  (</w:t>
      </w:r>
      <w:r w:rsidRPr="00A40E55" w:rsidR="00647A78">
        <w:rPr>
          <w:i/>
          <w:iCs/>
        </w:rPr>
        <w:t xml:space="preserve">Id. </w:t>
      </w:r>
      <w:r w:rsidRPr="00A40E55" w:rsidR="00647A78">
        <w:t xml:space="preserve">at p. </w:t>
      </w:r>
      <w:r w:rsidRPr="00A40E55" w:rsidR="005C6E45">
        <w:t>325.)</w:t>
      </w:r>
    </w:p>
    <w:p w:rsidR="000F4825" w:rsidRPr="00A40E55" w:rsidP="00BF3EDE" w14:paraId="32E5E050" w14:textId="5BD6BEF0">
      <w:pPr>
        <w:tabs>
          <w:tab w:val="left" w:pos="720"/>
          <w:tab w:val="left" w:pos="1440"/>
        </w:tabs>
      </w:pPr>
      <w:r w:rsidRPr="00A40E55">
        <w:tab/>
      </w:r>
      <w:r w:rsidRPr="00A40E55" w:rsidR="00CA4FE5">
        <w:t xml:space="preserve">The nature and type of evidence introduced in </w:t>
      </w:r>
      <w:r w:rsidRPr="00A40E55" w:rsidR="00CA4FE5">
        <w:rPr>
          <w:i/>
          <w:iCs/>
        </w:rPr>
        <w:t>Vivar</w:t>
      </w:r>
      <w:r w:rsidRPr="00A40E55" w:rsidR="00CA4FE5">
        <w:t xml:space="preserve"> and </w:t>
      </w:r>
      <w:r w:rsidRPr="00A40E55" w:rsidR="00CA4FE5">
        <w:rPr>
          <w:i/>
          <w:iCs/>
        </w:rPr>
        <w:t>Espinoza</w:t>
      </w:r>
      <w:r w:rsidRPr="00A40E55" w:rsidR="00CA4FE5">
        <w:t xml:space="preserve"> is informative.  We note that neither case, however,</w:t>
      </w:r>
      <w:r w:rsidRPr="00A40E55" w:rsidR="00CA4FE5">
        <w:rPr>
          <w:i/>
          <w:iCs/>
        </w:rPr>
        <w:t xml:space="preserve"> </w:t>
      </w:r>
      <w:r w:rsidRPr="00A40E55" w:rsidR="00CA4FE5">
        <w:t xml:space="preserve">creates a baseline or minimum requirement for the type of evidence necessary to establish prejudice under </w:t>
      </w:r>
      <w:r w:rsidRPr="00A40E55" w:rsidR="00CA4FE5">
        <w:rPr>
          <w:i/>
          <w:iCs/>
        </w:rPr>
        <w:t>Strickland</w:t>
      </w:r>
      <w:r w:rsidRPr="00A40E55" w:rsidR="00CA4FE5">
        <w:t xml:space="preserve">. </w:t>
      </w:r>
      <w:r w:rsidRPr="00A40E55" w:rsidR="00FF7A19">
        <w:tab/>
      </w:r>
      <w:r w:rsidRPr="00A40E55" w:rsidR="00DE6DFB">
        <w:t xml:space="preserve">To substantiate </w:t>
      </w:r>
      <w:r w:rsidRPr="00A40E55" w:rsidR="00D0463E">
        <w:t>his</w:t>
      </w:r>
      <w:r w:rsidRPr="00A40E55" w:rsidR="00DE6DFB">
        <w:t xml:space="preserve"> claim, Tellez relies </w:t>
      </w:r>
      <w:r w:rsidR="00737926">
        <w:t>primarily</w:t>
      </w:r>
      <w:r w:rsidRPr="00A40E55" w:rsidR="00737926">
        <w:t xml:space="preserve"> </w:t>
      </w:r>
      <w:r w:rsidRPr="00A40E55" w:rsidR="00DE6DFB">
        <w:t>on his own declaration</w:t>
      </w:r>
      <w:r w:rsidRPr="00A40E55" w:rsidR="00834499">
        <w:t>,</w:t>
      </w:r>
      <w:r w:rsidRPr="00A40E55" w:rsidR="007F6C5D">
        <w:t xml:space="preserve"> prepared </w:t>
      </w:r>
      <w:r w:rsidRPr="00A40E55" w:rsidR="00834499">
        <w:t>more than</w:t>
      </w:r>
      <w:r w:rsidRPr="00A40E55" w:rsidR="00DF5DB1">
        <w:t xml:space="preserve"> </w:t>
      </w:r>
      <w:r w:rsidRPr="00A40E55" w:rsidR="003A67A1">
        <w:t>three</w:t>
      </w:r>
      <w:r w:rsidRPr="00A40E55" w:rsidR="007F6C5D">
        <w:t xml:space="preserve"> years </w:t>
      </w:r>
      <w:r w:rsidRPr="00A40E55" w:rsidR="00834499">
        <w:t>after his conviction,</w:t>
      </w:r>
      <w:r w:rsidRPr="00A40E55" w:rsidR="00EA6B54">
        <w:t xml:space="preserve"> that he would not have accepted the plea deal had he known of the </w:t>
      </w:r>
      <w:r w:rsidRPr="00A40E55" w:rsidR="007F6C5D">
        <w:t xml:space="preserve">potential </w:t>
      </w:r>
      <w:r w:rsidRPr="00A40E55" w:rsidR="00EA6B54">
        <w:t>SVPA consequences</w:t>
      </w:r>
      <w:r w:rsidRPr="00A40E55" w:rsidR="00DE6DFB">
        <w:t>.</w:t>
      </w:r>
      <w:r w:rsidRPr="00A40E55" w:rsidR="00EA6B54">
        <w:t xml:space="preserve">  </w:t>
      </w:r>
      <w:r w:rsidRPr="00A40E55" w:rsidR="0063657E">
        <w:t xml:space="preserve">But </w:t>
      </w:r>
      <w:r w:rsidRPr="00A40E55" w:rsidR="00F1777F">
        <w:t>unlike the defendant</w:t>
      </w:r>
      <w:r w:rsidRPr="00A40E55" w:rsidR="00FF7A19">
        <w:t>s</w:t>
      </w:r>
      <w:r w:rsidRPr="00A40E55" w:rsidR="00F1777F">
        <w:t xml:space="preserve"> in </w:t>
      </w:r>
      <w:r w:rsidRPr="00A40E55" w:rsidR="00F1777F">
        <w:rPr>
          <w:i/>
          <w:iCs/>
        </w:rPr>
        <w:t>Vivar</w:t>
      </w:r>
      <w:r w:rsidRPr="00A40E55" w:rsidR="00FF7A19">
        <w:rPr>
          <w:i/>
          <w:iCs/>
        </w:rPr>
        <w:t xml:space="preserve"> </w:t>
      </w:r>
      <w:r w:rsidRPr="00A40E55" w:rsidR="00FF7A19">
        <w:t xml:space="preserve">and </w:t>
      </w:r>
      <w:r w:rsidRPr="00A40E55" w:rsidR="00FF7A19">
        <w:rPr>
          <w:i/>
          <w:iCs/>
        </w:rPr>
        <w:t>Espinoza</w:t>
      </w:r>
      <w:r w:rsidRPr="00A40E55" w:rsidR="00F1777F">
        <w:t xml:space="preserve">, </w:t>
      </w:r>
      <w:r w:rsidRPr="00A40E55" w:rsidR="00EA6B54">
        <w:t xml:space="preserve">Tellez has not provided </w:t>
      </w:r>
      <w:r w:rsidRPr="00A40E55" w:rsidR="00FE0583">
        <w:t>sufficient</w:t>
      </w:r>
      <w:r w:rsidRPr="00A40E55" w:rsidR="00EA6B54">
        <w:t xml:space="preserve"> evidenc</w:t>
      </w:r>
      <w:r w:rsidRPr="00A40E55" w:rsidR="000831AD">
        <w:t>e</w:t>
      </w:r>
      <w:r w:rsidR="004504A4">
        <w:t xml:space="preserve"> to demons</w:t>
      </w:r>
      <w:r w:rsidR="00322F0C">
        <w:t xml:space="preserve">trate that a different outcome would be reasonably </w:t>
      </w:r>
      <w:r w:rsidR="004B3CDF">
        <w:t>probable</w:t>
      </w:r>
      <w:r w:rsidRPr="00A40E55" w:rsidR="008F44E2">
        <w:t xml:space="preserve"> had he been advised by his attorney of the SVPA consequences.</w:t>
      </w:r>
      <w:r w:rsidR="0051487C">
        <w:t xml:space="preserve">  (See </w:t>
      </w:r>
      <w:r w:rsidRPr="00ED7BAE" w:rsidR="0051487C">
        <w:rPr>
          <w:i/>
          <w:iCs/>
        </w:rPr>
        <w:t>Lee</w:t>
      </w:r>
      <w:r w:rsidR="0051487C">
        <w:t xml:space="preserve">, </w:t>
      </w:r>
      <w:r w:rsidR="0051487C">
        <w:rPr>
          <w:i/>
        </w:rPr>
        <w:t>supra</w:t>
      </w:r>
      <w:r w:rsidR="0051487C">
        <w:t xml:space="preserve">, </w:t>
      </w:r>
      <w:r w:rsidR="00FD0D11">
        <w:t>582 U.S. at pp. 364–365.)</w:t>
      </w:r>
      <w:r w:rsidR="0051487C">
        <w:t xml:space="preserve">  </w:t>
      </w:r>
      <w:r w:rsidRPr="00A40E55" w:rsidR="008F44E2">
        <w:t xml:space="preserve">  </w:t>
      </w:r>
    </w:p>
    <w:p w:rsidR="0063657E" w:rsidRPr="00A40E55" w:rsidP="00BF3EDE" w14:paraId="584CFA1E" w14:textId="74E4A93A">
      <w:pPr>
        <w:tabs>
          <w:tab w:val="left" w:pos="720"/>
          <w:tab w:val="left" w:pos="1440"/>
        </w:tabs>
      </w:pPr>
      <w:r w:rsidRPr="00A40E55">
        <w:tab/>
      </w:r>
      <w:r w:rsidRPr="00A40E55" w:rsidR="00071C72">
        <w:t xml:space="preserve">In reaching this conclusion, we note </w:t>
      </w:r>
      <w:r w:rsidRPr="00A40E55" w:rsidR="00224FF9">
        <w:t>th</w:t>
      </w:r>
      <w:r w:rsidRPr="00A40E55" w:rsidR="00253542">
        <w:t>e limited nature of Tellez’s declaration</w:t>
      </w:r>
      <w:r w:rsidRPr="00A40E55" w:rsidR="0068490D">
        <w:t xml:space="preserve">, which does not provide any details about </w:t>
      </w:r>
      <w:r w:rsidRPr="00A40E55" w:rsidR="0068490D">
        <w:rPr>
          <w:i/>
          <w:iCs/>
        </w:rPr>
        <w:t xml:space="preserve">why </w:t>
      </w:r>
      <w:r w:rsidRPr="00A40E55" w:rsidR="0068490D">
        <w:t>he would not have plead</w:t>
      </w:r>
      <w:r w:rsidRPr="00A40E55" w:rsidR="00690BE1">
        <w:t>ed</w:t>
      </w:r>
      <w:r w:rsidRPr="00A40E55" w:rsidR="0068490D">
        <w:t xml:space="preserve"> guilty </w:t>
      </w:r>
      <w:r w:rsidRPr="00A40E55" w:rsidR="005B791F">
        <w:t>had he known about the SVPA consequences</w:t>
      </w:r>
      <w:r w:rsidRPr="00A40E55" w:rsidR="00694FAF">
        <w:t>.  Indeed, the only thing Tellez says in his declaration about the factors that influenced his decision to plea</w:t>
      </w:r>
      <w:r w:rsidR="008D527E">
        <w:t>d guilty</w:t>
      </w:r>
      <w:r w:rsidRPr="00A40E55" w:rsidR="00694FAF">
        <w:t xml:space="preserve"> </w:t>
      </w:r>
      <w:r w:rsidR="00A40E55">
        <w:t>suggest</w:t>
      </w:r>
      <w:r w:rsidRPr="00A40E55" w:rsidR="00694FAF">
        <w:t xml:space="preserve"> </w:t>
      </w:r>
      <w:r w:rsidRPr="00A40E55" w:rsidR="00BC3BB4">
        <w:t xml:space="preserve">that he assumed he would be found guilty </w:t>
      </w:r>
      <w:r w:rsidRPr="00A40E55" w:rsidR="00694FAF">
        <w:t>anyway</w:t>
      </w:r>
      <w:r w:rsidRPr="00A40E55" w:rsidR="00690BE1">
        <w:t>.</w:t>
      </w:r>
      <w:r w:rsidRPr="00A40E55" w:rsidR="00694FAF">
        <w:t xml:space="preserve"> </w:t>
      </w:r>
      <w:r w:rsidRPr="00A40E55" w:rsidR="00690BE1">
        <w:t xml:space="preserve"> </w:t>
      </w:r>
      <w:r w:rsidRPr="00A40E55" w:rsidR="005C05EF">
        <w:t>For example, h</w:t>
      </w:r>
      <w:r w:rsidRPr="00A40E55" w:rsidR="00694FAF">
        <w:t xml:space="preserve">e states that “[m]y attorney told me that I should plead guilty because I would not win at trial.”  </w:t>
      </w:r>
      <w:r w:rsidRPr="00A40E55" w:rsidR="00A675DC">
        <w:t xml:space="preserve">Tellez has also not identified that </w:t>
      </w:r>
      <w:r w:rsidRPr="00A40E55" w:rsidR="006630CB">
        <w:t xml:space="preserve">an SVPA-safe outcome could have been </w:t>
      </w:r>
      <w:r w:rsidR="00475335">
        <w:t>attained through</w:t>
      </w:r>
      <w:r w:rsidRPr="00A40E55" w:rsidR="006630CB">
        <w:t xml:space="preserve"> further plea negotiations</w:t>
      </w:r>
      <w:r w:rsidRPr="00A40E55" w:rsidR="00A7119B">
        <w:t>, such as pleading to a non-qualifying offense.</w:t>
      </w:r>
    </w:p>
    <w:p w:rsidR="0063657E" w:rsidRPr="00A40E55" w:rsidP="00BF3EDE" w14:paraId="5152A864" w14:textId="0D5D67B5">
      <w:pPr>
        <w:tabs>
          <w:tab w:val="left" w:pos="720"/>
          <w:tab w:val="left" w:pos="1440"/>
        </w:tabs>
      </w:pPr>
      <w:r w:rsidRPr="00A40E55">
        <w:tab/>
        <w:t>Tellez</w:t>
      </w:r>
      <w:r w:rsidRPr="00A40E55" w:rsidR="00713418">
        <w:t xml:space="preserve">’s </w:t>
      </w:r>
      <w:r w:rsidRPr="00A40E55" w:rsidR="007F6C5D">
        <w:t xml:space="preserve">postconviction </w:t>
      </w:r>
      <w:r w:rsidRPr="00A40E55" w:rsidR="00713418">
        <w:t xml:space="preserve">statement that he would not have accepted the plea deal had he been advised of the potential SVPA consequences does not </w:t>
      </w:r>
      <w:r w:rsidR="00D829C0">
        <w:t>satisfy</w:t>
      </w:r>
      <w:r w:rsidR="00BC0424">
        <w:t xml:space="preserve"> his burden of establishing a reasonable probability that </w:t>
      </w:r>
      <w:r w:rsidR="004023B9">
        <w:t>he would not have accepted the plea absent counsel’s alleged errors</w:t>
      </w:r>
      <w:r w:rsidR="00D14705">
        <w:t>,</w:t>
      </w:r>
      <w:r w:rsidR="004023B9">
        <w:t xml:space="preserve"> </w:t>
      </w:r>
      <w:r w:rsidRPr="00A40E55">
        <w:t xml:space="preserve">and thus, </w:t>
      </w:r>
      <w:r w:rsidRPr="00A40E55" w:rsidR="00713418">
        <w:t>fails</w:t>
      </w:r>
      <w:r w:rsidRPr="00A40E55">
        <w:t xml:space="preserve"> to satisfy the prejudice prong of </w:t>
      </w:r>
      <w:r w:rsidRPr="00A40E55">
        <w:rPr>
          <w:i/>
          <w:iCs/>
        </w:rPr>
        <w:t>Strickland</w:t>
      </w:r>
      <w:r w:rsidRPr="00A40E55">
        <w:t xml:space="preserve">.  (See </w:t>
      </w:r>
      <w:r w:rsidRPr="00A40E55">
        <w:rPr>
          <w:i/>
          <w:iCs/>
        </w:rPr>
        <w:t>Strickland</w:t>
      </w:r>
      <w:r w:rsidRPr="00A40E55">
        <w:t xml:space="preserve">, </w:t>
      </w:r>
      <w:r w:rsidRPr="00A40E55">
        <w:rPr>
          <w:i/>
          <w:iCs/>
        </w:rPr>
        <w:t>supra</w:t>
      </w:r>
      <w:r w:rsidRPr="00A40E55">
        <w:t>, 466 U.S. at p. 6</w:t>
      </w:r>
      <w:r w:rsidR="00F552E2">
        <w:t>96</w:t>
      </w:r>
      <w:r w:rsidRPr="00A40E55">
        <w:t xml:space="preserve">.)  Finding this </w:t>
      </w:r>
      <w:r w:rsidRPr="00A40E55" w:rsidR="00EC546F">
        <w:t>requirement</w:t>
      </w:r>
      <w:r w:rsidRPr="00A40E55" w:rsidR="00713418">
        <w:t xml:space="preserve"> </w:t>
      </w:r>
      <w:r w:rsidRPr="00A40E55" w:rsidR="00EC546F">
        <w:t>unsatisfied</w:t>
      </w:r>
      <w:r w:rsidRPr="00A40E55">
        <w:t xml:space="preserve">, we do not </w:t>
      </w:r>
      <w:r w:rsidRPr="00A40E55" w:rsidR="00114BF6">
        <w:t>reach</w:t>
      </w:r>
      <w:r w:rsidRPr="00A40E55">
        <w:t xml:space="preserve"> </w:t>
      </w:r>
      <w:r w:rsidRPr="00A40E55" w:rsidR="00713418">
        <w:t xml:space="preserve">the merits of </w:t>
      </w:r>
      <w:r w:rsidRPr="00A40E55">
        <w:t>Tellez’s claim</w:t>
      </w:r>
      <w:r w:rsidRPr="00A40E55" w:rsidR="00570EFC">
        <w:t xml:space="preserve"> </w:t>
      </w:r>
      <w:r w:rsidRPr="00A40E55" w:rsidR="00FD5779">
        <w:t xml:space="preserve">that his </w:t>
      </w:r>
      <w:r w:rsidRPr="00A40E55" w:rsidR="00966144">
        <w:t>counsel</w:t>
      </w:r>
      <w:r w:rsidRPr="00A40E55" w:rsidR="00FD5779">
        <w:t xml:space="preserve"> rendered deficient performance</w:t>
      </w:r>
      <w:r w:rsidR="00A40E55">
        <w:t>,</w:t>
      </w:r>
      <w:r w:rsidRPr="00A40E55" w:rsidR="00FD5779">
        <w:t xml:space="preserve"> </w:t>
      </w:r>
      <w:r w:rsidRPr="00A40E55" w:rsidR="00570EFC">
        <w:t>and we leave open the constitutional question it presents</w:t>
      </w:r>
      <w:r w:rsidRPr="00A40E55">
        <w:t>.</w:t>
      </w:r>
      <w:r w:rsidRPr="00A40E55" w:rsidR="00D36A8B">
        <w:t xml:space="preserve">  (</w:t>
      </w:r>
      <w:r w:rsidRPr="00A40E55" w:rsidR="008164DA">
        <w:t xml:space="preserve">See </w:t>
      </w:r>
      <w:r w:rsidRPr="00A40E55" w:rsidR="00D36A8B">
        <w:rPr>
          <w:i/>
          <w:iCs/>
        </w:rPr>
        <w:t xml:space="preserve">In re Welch </w:t>
      </w:r>
      <w:r w:rsidRPr="00A40E55" w:rsidR="00D36A8B">
        <w:t>(2015) 61 Cal.4th 489, 516 [“</w:t>
      </w:r>
      <w:r w:rsidRPr="00A40E55" w:rsidR="006E23B5">
        <w:t xml:space="preserve">[W]e need not definitively resolve whether counsel’s performance was adequate because </w:t>
      </w:r>
      <w:r w:rsidRPr="00A40E55" w:rsidR="00AB10EA">
        <w:t>. . </w:t>
      </w:r>
      <w:r w:rsidRPr="00A40E55" w:rsidR="006E23B5">
        <w:t>. [petitioner] has not made a sufficient showing of prejudice here”].)</w:t>
      </w:r>
    </w:p>
    <w:p w:rsidR="005207C8" w:rsidRPr="00ED7BAE" w:rsidP="00BF3EDE" w14:paraId="10AE2BC8" w14:textId="7A57C362">
      <w:pPr>
        <w:pStyle w:val="Heading2"/>
      </w:pPr>
      <w:r w:rsidRPr="00ED7BAE">
        <w:t>B.</w:t>
      </w:r>
      <w:r w:rsidRPr="00ED7BAE">
        <w:tab/>
      </w:r>
      <w:r w:rsidRPr="00ED7BAE" w:rsidR="00D5772B">
        <w:t xml:space="preserve">We </w:t>
      </w:r>
      <w:r w:rsidRPr="00ED7BAE" w:rsidR="00937D88">
        <w:t>A</w:t>
      </w:r>
      <w:r w:rsidRPr="00ED7BAE" w:rsidR="00784653">
        <w:t xml:space="preserve">gree </w:t>
      </w:r>
      <w:r w:rsidRPr="00ED7BAE" w:rsidR="007A4E09">
        <w:t>with</w:t>
      </w:r>
      <w:r w:rsidRPr="00ED7BAE" w:rsidR="00784653">
        <w:t xml:space="preserve"> </w:t>
      </w:r>
      <w:r w:rsidRPr="00ED7BAE" w:rsidR="00937D88">
        <w:t>B</w:t>
      </w:r>
      <w:r w:rsidRPr="00ED7BAE" w:rsidR="00784653">
        <w:t xml:space="preserve">oth </w:t>
      </w:r>
      <w:r w:rsidRPr="00ED7BAE" w:rsidR="00937D88">
        <w:t>P</w:t>
      </w:r>
      <w:r w:rsidRPr="00ED7BAE" w:rsidR="00784653">
        <w:t xml:space="preserve">arties </w:t>
      </w:r>
      <w:r w:rsidRPr="00ED7BAE" w:rsidR="00F43984">
        <w:t>t</w:t>
      </w:r>
      <w:r w:rsidRPr="00ED7BAE" w:rsidR="00784653">
        <w:t xml:space="preserve">hat it is </w:t>
      </w:r>
      <w:r w:rsidRPr="00ED7BAE" w:rsidR="00937D88">
        <w:t>A</w:t>
      </w:r>
      <w:r w:rsidRPr="00ED7BAE" w:rsidR="00A10693">
        <w:t>ppropriate</w:t>
      </w:r>
      <w:r w:rsidRPr="00ED7BAE" w:rsidR="00AB0C32">
        <w:t xml:space="preserve"> </w:t>
      </w:r>
      <w:r w:rsidRPr="00ED7BAE" w:rsidR="00784653">
        <w:t xml:space="preserve">to </w:t>
      </w:r>
      <w:r w:rsidRPr="00ED7BAE" w:rsidR="00937D88">
        <w:t>E</w:t>
      </w:r>
      <w:r w:rsidRPr="00ED7BAE" w:rsidR="00D5772B">
        <w:t xml:space="preserve">xercise </w:t>
      </w:r>
      <w:r w:rsidRPr="00ED7BAE" w:rsidR="00937D88">
        <w:t>O</w:t>
      </w:r>
      <w:r w:rsidRPr="00ED7BAE" w:rsidR="00D5772B">
        <w:t xml:space="preserve">ur </w:t>
      </w:r>
      <w:r w:rsidRPr="00ED7BAE" w:rsidR="00937D88">
        <w:t>S</w:t>
      </w:r>
      <w:r w:rsidRPr="00ED7BAE" w:rsidR="00F5385A">
        <w:t>upervisory</w:t>
      </w:r>
      <w:r w:rsidRPr="00ED7BAE" w:rsidR="00D5772B">
        <w:t xml:space="preserve"> </w:t>
      </w:r>
      <w:r w:rsidRPr="00ED7BAE" w:rsidR="00937D88">
        <w:t>A</w:t>
      </w:r>
      <w:r w:rsidRPr="00ED7BAE" w:rsidR="00D5772B">
        <w:t xml:space="preserve">uthority to </w:t>
      </w:r>
      <w:r w:rsidRPr="00ED7BAE" w:rsidR="00937D88">
        <w:t>R</w:t>
      </w:r>
      <w:r w:rsidRPr="00ED7BAE" w:rsidR="00D5772B">
        <w:t xml:space="preserve">equire </w:t>
      </w:r>
      <w:r w:rsidRPr="00ED7BAE" w:rsidR="00F43984">
        <w:t>C</w:t>
      </w:r>
      <w:r w:rsidRPr="00ED7BAE" w:rsidR="00D5772B">
        <w:t xml:space="preserve">alifornia </w:t>
      </w:r>
      <w:r w:rsidRPr="00ED7BAE" w:rsidR="00937D88">
        <w:t>T</w:t>
      </w:r>
      <w:r w:rsidRPr="00ED7BAE" w:rsidR="00D5772B">
        <w:t xml:space="preserve">rial </w:t>
      </w:r>
      <w:r w:rsidRPr="00ED7BAE" w:rsidR="00937D88">
        <w:t>C</w:t>
      </w:r>
      <w:r w:rsidRPr="00ED7BAE" w:rsidR="00D5772B">
        <w:t xml:space="preserve">ourts to </w:t>
      </w:r>
      <w:r w:rsidRPr="00ED7BAE" w:rsidR="00937D88">
        <w:t>A</w:t>
      </w:r>
      <w:r w:rsidRPr="00ED7BAE" w:rsidR="00D5772B">
        <w:t xml:space="preserve">dvise </w:t>
      </w:r>
      <w:r w:rsidRPr="00ED7BAE" w:rsidR="00937D88">
        <w:t>D</w:t>
      </w:r>
      <w:r w:rsidRPr="00ED7BAE" w:rsidR="00D5772B">
        <w:t>efendants</w:t>
      </w:r>
      <w:r w:rsidRPr="00ED7BAE" w:rsidR="00A10693">
        <w:t xml:space="preserve"> </w:t>
      </w:r>
      <w:r w:rsidRPr="00ED7BAE" w:rsidR="00937D88">
        <w:t>W</w:t>
      </w:r>
      <w:r w:rsidRPr="00ED7BAE" w:rsidR="00A10693">
        <w:t xml:space="preserve">here </w:t>
      </w:r>
      <w:r w:rsidRPr="00ED7BAE" w:rsidR="00937D88">
        <w:t>R</w:t>
      </w:r>
      <w:r w:rsidRPr="00ED7BAE" w:rsidR="00A10693">
        <w:t>elevant</w:t>
      </w:r>
      <w:r w:rsidRPr="00ED7BAE" w:rsidR="00D5772B">
        <w:t xml:space="preserve"> o</w:t>
      </w:r>
      <w:r w:rsidRPr="00ED7BAE" w:rsidR="006F7C45">
        <w:t>f</w:t>
      </w:r>
      <w:r w:rsidRPr="00ED7BAE" w:rsidR="00D5772B">
        <w:t xml:space="preserve"> </w:t>
      </w:r>
      <w:r w:rsidRPr="00ED7BAE" w:rsidR="00A10693">
        <w:t xml:space="preserve">the </w:t>
      </w:r>
      <w:r w:rsidRPr="00ED7BAE" w:rsidR="00937D88">
        <w:t>P</w:t>
      </w:r>
      <w:r w:rsidRPr="00ED7BAE" w:rsidR="00D5772B">
        <w:t xml:space="preserve">otential SVPA </w:t>
      </w:r>
      <w:r w:rsidRPr="00ED7BAE" w:rsidR="00937D88">
        <w:t>C</w:t>
      </w:r>
      <w:r w:rsidRPr="00ED7BAE">
        <w:t>onsequences</w:t>
      </w:r>
      <w:r w:rsidRPr="00ED7BAE" w:rsidR="00A10693">
        <w:t xml:space="preserve"> of a </w:t>
      </w:r>
      <w:r w:rsidRPr="00ED7BAE" w:rsidR="00937D88">
        <w:t>G</w:t>
      </w:r>
      <w:r w:rsidRPr="00ED7BAE" w:rsidR="00A10693">
        <w:t xml:space="preserve">uilty </w:t>
      </w:r>
      <w:r w:rsidRPr="00ED7BAE" w:rsidR="00937D88">
        <w:t>P</w:t>
      </w:r>
      <w:r w:rsidRPr="00ED7BAE" w:rsidR="00A10693">
        <w:t>lea</w:t>
      </w:r>
      <w:r w:rsidRPr="00ED7BAE">
        <w:t>.</w:t>
      </w:r>
      <w:r w:rsidRPr="00ED7BAE" w:rsidR="00784653">
        <w:t xml:space="preserve">  </w:t>
      </w:r>
    </w:p>
    <w:p w:rsidR="00664999" w:rsidRPr="00A40E55" w:rsidP="00BF3EDE" w14:paraId="6ED4188C" w14:textId="18DC545E">
      <w:pPr>
        <w:tabs>
          <w:tab w:val="left" w:pos="720"/>
          <w:tab w:val="left" w:pos="1440"/>
        </w:tabs>
        <w:rPr>
          <w:szCs w:val="26"/>
        </w:rPr>
      </w:pPr>
      <w:r w:rsidRPr="00A40E55">
        <w:tab/>
        <w:t>This Court is empowered “to formulate rules of procedure where justice demands it.”  (</w:t>
      </w:r>
      <w:r w:rsidRPr="00A40E55">
        <w:rPr>
          <w:i/>
          <w:iCs/>
        </w:rPr>
        <w:t xml:space="preserve">Bollinger v. National Fire Ins. Co. </w:t>
      </w:r>
      <w:r w:rsidRPr="00A40E55">
        <w:t>(1944) 25 Cal.2d 399, 410</w:t>
      </w:r>
      <w:r w:rsidRPr="00A40E55" w:rsidR="0031766D">
        <w:t>; see Code Civ. Proc.</w:t>
      </w:r>
      <w:r w:rsidR="00547A71">
        <w:t>,</w:t>
      </w:r>
      <w:r w:rsidRPr="00A40E55" w:rsidR="0031766D">
        <w:t xml:space="preserve"> § 187.)  </w:t>
      </w:r>
      <w:r w:rsidRPr="00BF3EDE" w:rsidR="00154560">
        <w:t xml:space="preserve">We </w:t>
      </w:r>
      <w:r w:rsidRPr="00A40E55" w:rsidR="009C14E4">
        <w:t xml:space="preserve">have used our </w:t>
      </w:r>
      <w:r w:rsidR="00154560">
        <w:t>supervisory</w:t>
      </w:r>
      <w:r w:rsidRPr="00A40E55" w:rsidR="00154560">
        <w:t xml:space="preserve"> </w:t>
      </w:r>
      <w:r w:rsidRPr="00A40E55" w:rsidR="009C14E4">
        <w:t xml:space="preserve">authority </w:t>
      </w:r>
      <w:r w:rsidR="00154560">
        <w:t xml:space="preserve">over the courts </w:t>
      </w:r>
      <w:r w:rsidRPr="00A40E55" w:rsidR="009C14E4">
        <w:t>to</w:t>
      </w:r>
      <w:r w:rsidR="00EF6137">
        <w:t xml:space="preserve"> </w:t>
      </w:r>
      <w:r w:rsidRPr="00A40E55" w:rsidR="009C14E4">
        <w:t xml:space="preserve">establish a number of judicial procedures </w:t>
      </w:r>
      <w:r w:rsidR="00DF59BC">
        <w:t>such as the giving of judicial advisements under certain circumstances</w:t>
      </w:r>
      <w:r w:rsidRPr="00A40E55" w:rsidR="009C14E4">
        <w:t xml:space="preserve">.  (See, e.g., </w:t>
      </w:r>
      <w:r w:rsidRPr="00A40E55" w:rsidR="002025C6">
        <w:rPr>
          <w:i/>
          <w:iCs/>
        </w:rPr>
        <w:t xml:space="preserve">In re Yurko </w:t>
      </w:r>
      <w:r w:rsidRPr="00A40E55" w:rsidR="002025C6">
        <w:t>(1974) 10 Cal.3d 857, 864 (</w:t>
      </w:r>
      <w:r w:rsidRPr="00A40E55" w:rsidR="002025C6">
        <w:rPr>
          <w:i/>
          <w:iCs/>
        </w:rPr>
        <w:t>Yurko</w:t>
      </w:r>
      <w:r w:rsidRPr="00A40E55" w:rsidR="002025C6">
        <w:t xml:space="preserve">) [requiring courts to advise criminal defendants of </w:t>
      </w:r>
      <w:r w:rsidRPr="00A40E55" w:rsidR="00422DB3">
        <w:t xml:space="preserve">the </w:t>
      </w:r>
      <w:r w:rsidRPr="00A40E55" w:rsidR="002025C6">
        <w:t xml:space="preserve">consequences of being deemed a habitual criminal]; </w:t>
      </w:r>
      <w:r w:rsidRPr="00A40E55" w:rsidR="00A50215">
        <w:rPr>
          <w:i/>
          <w:iCs/>
        </w:rPr>
        <w:t xml:space="preserve">Bunnell v. Superior Court </w:t>
      </w:r>
      <w:r w:rsidRPr="00A40E55" w:rsidR="00A50215">
        <w:t>(1975) 13 Cal.3d 592, 605</w:t>
      </w:r>
      <w:r w:rsidRPr="00A40E55" w:rsidR="00D25CBA">
        <w:t xml:space="preserve"> </w:t>
      </w:r>
      <w:r w:rsidRPr="00A40E55" w:rsidR="00CC2BFF">
        <w:t>(</w:t>
      </w:r>
      <w:r w:rsidRPr="00A40E55" w:rsidR="00CC2BFF">
        <w:rPr>
          <w:i/>
          <w:iCs/>
        </w:rPr>
        <w:t>Bunnell</w:t>
      </w:r>
      <w:r w:rsidRPr="00A40E55" w:rsidR="00CC2BFF">
        <w:t xml:space="preserve">) </w:t>
      </w:r>
      <w:r w:rsidRPr="00A40E55" w:rsidR="00D25CBA">
        <w:t>[</w:t>
      </w:r>
      <w:r w:rsidRPr="00A40E55" w:rsidR="006968CA">
        <w:t xml:space="preserve">requiring courts to advise </w:t>
      </w:r>
      <w:r w:rsidRPr="00A40E55" w:rsidR="00E27672">
        <w:t>criminal defendants of specific trial rights and ensure that defendants understand the nature of the charges levied against them]</w:t>
      </w:r>
      <w:r w:rsidRPr="00A40E55" w:rsidR="00A50215">
        <w:t xml:space="preserve">; </w:t>
      </w:r>
      <w:r w:rsidRPr="00A40E55" w:rsidR="00713D07">
        <w:rPr>
          <w:i/>
          <w:iCs/>
        </w:rPr>
        <w:t>People v. Howard</w:t>
      </w:r>
      <w:r w:rsidRPr="00A40E55" w:rsidR="00713D07">
        <w:t xml:space="preserve"> (1992) 1 Cal.4th 1132, 1175</w:t>
      </w:r>
      <w:r w:rsidRPr="00A40E55" w:rsidR="00647EC3">
        <w:t xml:space="preserve"> </w:t>
      </w:r>
      <w:r w:rsidRPr="00A40E55" w:rsidR="00EC54D7">
        <w:t>(</w:t>
      </w:r>
      <w:r w:rsidRPr="00A40E55" w:rsidR="00EC54D7">
        <w:rPr>
          <w:i/>
          <w:iCs/>
        </w:rPr>
        <w:t>Howard</w:t>
      </w:r>
      <w:r w:rsidRPr="00A40E55" w:rsidR="00EC54D7">
        <w:t xml:space="preserve">) </w:t>
      </w:r>
      <w:r w:rsidRPr="00A40E55" w:rsidR="00647EC3">
        <w:t>[</w:t>
      </w:r>
      <w:r w:rsidRPr="00A40E55" w:rsidR="001B0220">
        <w:t xml:space="preserve">requiring trial courts to </w:t>
      </w:r>
      <w:r w:rsidRPr="00A40E55" w:rsidR="001D350C">
        <w:t xml:space="preserve">continue to expressly advise criminal defendants of </w:t>
      </w:r>
      <w:r w:rsidRPr="00A40E55" w:rsidR="00526187">
        <w:t>their self-incrimination, confrontation, and jury-trial rights]</w:t>
      </w:r>
      <w:r w:rsidR="00DF59BC">
        <w:t>.)</w:t>
      </w:r>
      <w:r w:rsidRPr="00A40E55" w:rsidR="00713D07">
        <w:t xml:space="preserve"> </w:t>
      </w:r>
      <w:r w:rsidRPr="00A40E55" w:rsidR="00BC3179">
        <w:t xml:space="preserve">Today, we exercise </w:t>
      </w:r>
      <w:r w:rsidRPr="00A40E55" w:rsidR="00683DF4">
        <w:t>our</w:t>
      </w:r>
      <w:r w:rsidRPr="00A40E55" w:rsidR="00BC3179">
        <w:t xml:space="preserve"> </w:t>
      </w:r>
      <w:r w:rsidRPr="00A40E55" w:rsidR="00A152B2">
        <w:t xml:space="preserve">supervisory </w:t>
      </w:r>
      <w:r w:rsidRPr="00A40E55" w:rsidR="00683DF4">
        <w:t>power</w:t>
      </w:r>
      <w:r w:rsidRPr="00A40E55" w:rsidR="00A152B2">
        <w:t>s</w:t>
      </w:r>
      <w:r w:rsidRPr="00A40E55" w:rsidR="00BC3179">
        <w:t xml:space="preserve"> to require trial courts to advise criminal defendants </w:t>
      </w:r>
      <w:bookmarkStart w:id="3" w:name="_Hlk160723374"/>
      <w:r w:rsidRPr="00A40E55" w:rsidR="00536058">
        <w:t xml:space="preserve">of the </w:t>
      </w:r>
      <w:r w:rsidRPr="00A40E55" w:rsidR="00CD2451">
        <w:t>potential SVPA</w:t>
      </w:r>
      <w:r w:rsidRPr="00A40E55" w:rsidR="00536058">
        <w:t xml:space="preserve"> consequences when they </w:t>
      </w:r>
      <w:r w:rsidRPr="00A40E55" w:rsidR="00F57EFA">
        <w:t xml:space="preserve">plead guilty </w:t>
      </w:r>
      <w:r w:rsidRPr="00A40E55" w:rsidR="000161B1">
        <w:t xml:space="preserve">or no contest </w:t>
      </w:r>
      <w:r w:rsidRPr="00A40E55" w:rsidR="00F57EFA">
        <w:t xml:space="preserve">to an SVPA-qualifying offense or </w:t>
      </w:r>
      <w:r w:rsidRPr="00A40E55" w:rsidR="001B42A6">
        <w:t xml:space="preserve">when the court is aware that </w:t>
      </w:r>
      <w:r w:rsidRPr="00A40E55" w:rsidR="00EE5B47">
        <w:t>a</w:t>
      </w:r>
      <w:r w:rsidRPr="00A40E55" w:rsidR="001B42A6">
        <w:t xml:space="preserve"> defendant has </w:t>
      </w:r>
      <w:r w:rsidRPr="00A40E55" w:rsidR="00F57EFA">
        <w:t xml:space="preserve">previously been convicted of such an offense </w:t>
      </w:r>
      <w:r w:rsidRPr="00A40E55" w:rsidR="00536058">
        <w:t xml:space="preserve">and </w:t>
      </w:r>
      <w:r w:rsidRPr="00A40E55" w:rsidR="00EE5B47">
        <w:t xml:space="preserve">is </w:t>
      </w:r>
      <w:r w:rsidRPr="00A40E55" w:rsidR="00536058">
        <w:t>pleading guilty</w:t>
      </w:r>
      <w:bookmarkEnd w:id="3"/>
      <w:r w:rsidRPr="00A40E55" w:rsidR="000F4825">
        <w:t xml:space="preserve"> </w:t>
      </w:r>
      <w:r w:rsidRPr="00A40E55" w:rsidR="00EE5B47">
        <w:t xml:space="preserve">or no contest </w:t>
      </w:r>
      <w:r w:rsidRPr="00A40E55" w:rsidR="000F4825">
        <w:t>to a new offense</w:t>
      </w:r>
      <w:r w:rsidRPr="00A40E55" w:rsidR="00F57EFA">
        <w:t xml:space="preserve">.  </w:t>
      </w:r>
      <w:r w:rsidRPr="00A40E55" w:rsidR="00421852">
        <w:t xml:space="preserve">(See </w:t>
      </w:r>
      <w:r w:rsidRPr="00A40E55" w:rsidR="00A118C5">
        <w:rPr>
          <w:szCs w:val="26"/>
        </w:rPr>
        <w:t>§ 6600</w:t>
      </w:r>
      <w:r w:rsidRPr="00A40E55" w:rsidR="00D62512">
        <w:rPr>
          <w:szCs w:val="26"/>
        </w:rPr>
        <w:t xml:space="preserve">, subd. </w:t>
      </w:r>
      <w:r w:rsidRPr="00A40E55" w:rsidR="00A31DA5">
        <w:rPr>
          <w:szCs w:val="26"/>
        </w:rPr>
        <w:t>(a)(2)</w:t>
      </w:r>
      <w:r w:rsidRPr="00A40E55" w:rsidR="00313DED">
        <w:rPr>
          <w:szCs w:val="26"/>
        </w:rPr>
        <w:t>(A).)</w:t>
      </w:r>
    </w:p>
    <w:p w:rsidR="007951B3" w:rsidRPr="00A40E55" w:rsidP="00D94544" w14:paraId="0E8896B8" w14:textId="5CC0BB77">
      <w:pPr>
        <w:tabs>
          <w:tab w:val="left" w:pos="720"/>
          <w:tab w:val="left" w:pos="1440"/>
        </w:tabs>
        <w:rPr>
          <w:szCs w:val="26"/>
        </w:rPr>
      </w:pPr>
      <w:r w:rsidRPr="00A40E55">
        <w:rPr>
          <w:szCs w:val="26"/>
        </w:rPr>
        <w:tab/>
        <w:t xml:space="preserve">In </w:t>
      </w:r>
      <w:r w:rsidRPr="00A40E55">
        <w:rPr>
          <w:i/>
          <w:iCs/>
          <w:szCs w:val="26"/>
        </w:rPr>
        <w:t>Bunnell</w:t>
      </w:r>
      <w:r w:rsidRPr="00A40E55">
        <w:rPr>
          <w:szCs w:val="26"/>
        </w:rPr>
        <w:t xml:space="preserve">, </w:t>
      </w:r>
      <w:r w:rsidRPr="00A40E55">
        <w:rPr>
          <w:i/>
          <w:iCs/>
          <w:szCs w:val="26"/>
        </w:rPr>
        <w:t>supra</w:t>
      </w:r>
      <w:r w:rsidRPr="00A40E55">
        <w:rPr>
          <w:szCs w:val="26"/>
        </w:rPr>
        <w:t xml:space="preserve">, </w:t>
      </w:r>
      <w:r w:rsidRPr="00A40E55" w:rsidR="002D333B">
        <w:rPr>
          <w:szCs w:val="26"/>
        </w:rPr>
        <w:t xml:space="preserve">13 Cal.3d </w:t>
      </w:r>
      <w:r w:rsidR="00AF11F1">
        <w:rPr>
          <w:szCs w:val="26"/>
        </w:rPr>
        <w:t>at pages</w:t>
      </w:r>
      <w:r w:rsidRPr="00A40E55" w:rsidR="002D333B">
        <w:rPr>
          <w:szCs w:val="26"/>
        </w:rPr>
        <w:t xml:space="preserve"> </w:t>
      </w:r>
      <w:r w:rsidRPr="00A40E55" w:rsidR="001A3816">
        <w:rPr>
          <w:szCs w:val="26"/>
        </w:rPr>
        <w:t>601</w:t>
      </w:r>
      <w:r w:rsidRPr="00A40E55" w:rsidR="008A7DCB">
        <w:rPr>
          <w:szCs w:val="26"/>
        </w:rPr>
        <w:t>–</w:t>
      </w:r>
      <w:r w:rsidRPr="00A40E55" w:rsidR="001A3816">
        <w:rPr>
          <w:szCs w:val="26"/>
        </w:rPr>
        <w:t xml:space="preserve">606, </w:t>
      </w:r>
      <w:r w:rsidRPr="00A40E55" w:rsidR="00E33E4A">
        <w:rPr>
          <w:szCs w:val="26"/>
        </w:rPr>
        <w:t xml:space="preserve">we exercised our supervisory powers to require that </w:t>
      </w:r>
      <w:r w:rsidRPr="00A40E55" w:rsidR="00BF77ED">
        <w:rPr>
          <w:szCs w:val="26"/>
        </w:rPr>
        <w:t xml:space="preserve">defendants be advised of their constitutional </w:t>
      </w:r>
      <w:r w:rsidRPr="00A40E55" w:rsidR="001A3816">
        <w:t>rights before entry of a “slow plea,” i.e., submission of the case on the preliminary hearing transcript.</w:t>
      </w:r>
      <w:r w:rsidRPr="00A40E55" w:rsidR="00371281">
        <w:t xml:space="preserve"> </w:t>
      </w:r>
      <w:r w:rsidRPr="00A40E55" w:rsidR="008B3C0A">
        <w:t xml:space="preserve"> </w:t>
      </w:r>
      <w:r w:rsidR="00CC6B79">
        <w:t xml:space="preserve">Although we did not say that it was </w:t>
      </w:r>
      <w:r w:rsidRPr="00A40E55" w:rsidR="00057AB2">
        <w:t xml:space="preserve">constitutionally compelled, </w:t>
      </w:r>
      <w:r w:rsidR="00CC6B79">
        <w:t>we</w:t>
      </w:r>
      <w:r w:rsidR="00834199">
        <w:t xml:space="preserve"> </w:t>
      </w:r>
      <w:r w:rsidR="0075272C">
        <w:t>required</w:t>
      </w:r>
      <w:r w:rsidRPr="00A40E55" w:rsidR="00507759">
        <w:t xml:space="preserve"> that </w:t>
      </w:r>
      <w:r w:rsidRPr="00A40E55" w:rsidR="005A132F">
        <w:t>“</w:t>
      </w:r>
      <w:r w:rsidRPr="00A40E55" w:rsidR="00427DEC">
        <w:t>in all guilty plea and submission cases the defendant shall be advised of the direct consequences of conviction such as the permissible range of punishment provided by statute, registration requirements</w:t>
      </w:r>
      <w:r w:rsidRPr="00A40E55" w:rsidR="00822AE9">
        <w:t xml:space="preserve">, </w:t>
      </w:r>
      <w:r w:rsidRPr="00A40E55" w:rsidR="009F01DA">
        <w:t>. . </w:t>
      </w:r>
      <w:r w:rsidRPr="00A40E55" w:rsidR="00822AE9">
        <w:t xml:space="preserve">. and, in appropriate cases the possibility of commitment pursuant to Welfare and </w:t>
      </w:r>
      <w:r w:rsidRPr="00A40E55" w:rsidR="008B184A">
        <w:t>I</w:t>
      </w:r>
      <w:r w:rsidRPr="00A40E55" w:rsidR="00822AE9">
        <w:t>nstitutions Code, sections 3050, 3051, or 6302</w:t>
      </w:r>
      <w:r w:rsidRPr="00A40E55" w:rsidR="008B184A">
        <w:t xml:space="preserve"> [</w:t>
      </w:r>
      <w:r w:rsidRPr="00A40E55" w:rsidR="00F97C29">
        <w:t>a precursor of the contemporary SVPA]</w:t>
      </w:r>
      <w:r w:rsidRPr="00A40E55" w:rsidR="001D2D54">
        <w:t>.”  (</w:t>
      </w:r>
      <w:r w:rsidRPr="00A40E55" w:rsidR="006E11C0">
        <w:rPr>
          <w:i/>
          <w:iCs/>
        </w:rPr>
        <w:t>Id.</w:t>
      </w:r>
      <w:r w:rsidRPr="00A40E55" w:rsidR="006E11C0">
        <w:t xml:space="preserve"> at</w:t>
      </w:r>
      <w:r w:rsidRPr="00A40E55" w:rsidR="001D2D54">
        <w:t xml:space="preserve"> p. </w:t>
      </w:r>
      <w:r w:rsidRPr="00A40E55" w:rsidR="000A0D5C">
        <w:t>605.)</w:t>
      </w:r>
      <w:r w:rsidRPr="00A40E55" w:rsidR="00763ADD">
        <w:t xml:space="preserve"> </w:t>
      </w:r>
      <w:r w:rsidRPr="00A40E55" w:rsidR="006E11C0">
        <w:t xml:space="preserve"> </w:t>
      </w:r>
      <w:r w:rsidRPr="00A40E55" w:rsidR="00763ADD">
        <w:t>In reaching that conclusion, we reasoned</w:t>
      </w:r>
      <w:r w:rsidRPr="00A40E55" w:rsidR="00763ADD">
        <w:rPr>
          <w:i/>
          <w:iCs/>
        </w:rPr>
        <w:t xml:space="preserve"> </w:t>
      </w:r>
      <w:r w:rsidRPr="00A40E55" w:rsidR="00763ADD">
        <w:t>that any potential burden of informing criminal defendants of the full extent of the consequences of a potential plea “will be far outweighed by” the benefit of ensuring that any waiver by defendants is both voluntary and intelligent.  (</w:t>
      </w:r>
      <w:r w:rsidRPr="00A40E55" w:rsidR="00763ADD">
        <w:rPr>
          <w:i/>
          <w:iCs/>
        </w:rPr>
        <w:t xml:space="preserve">Id. </w:t>
      </w:r>
      <w:r w:rsidRPr="00A40E55" w:rsidR="00763ADD">
        <w:t>at pp. 605</w:t>
      </w:r>
      <w:r w:rsidRPr="00A40E55" w:rsidR="00F15506">
        <w:t>–</w:t>
      </w:r>
      <w:r w:rsidRPr="00A40E55" w:rsidR="00763ADD">
        <w:t>606.)</w:t>
      </w:r>
      <w:r w:rsidRPr="00A40E55" w:rsidR="00F97C29">
        <w:tab/>
      </w:r>
    </w:p>
    <w:p w:rsidR="00D01610" w:rsidRPr="00A40E55" w:rsidP="00633C1F" w14:paraId="18F70E2B" w14:textId="161BCF76">
      <w:pPr>
        <w:tabs>
          <w:tab w:val="left" w:pos="720"/>
          <w:tab w:val="left" w:pos="1440"/>
        </w:tabs>
      </w:pPr>
      <w:r w:rsidRPr="00A40E55">
        <w:rPr>
          <w:szCs w:val="26"/>
        </w:rPr>
        <w:tab/>
      </w:r>
      <w:r w:rsidRPr="00A40E55" w:rsidR="00ED68FA">
        <w:rPr>
          <w:szCs w:val="26"/>
        </w:rPr>
        <w:t>I</w:t>
      </w:r>
      <w:r w:rsidRPr="00A40E55" w:rsidR="00AF2EB2">
        <w:rPr>
          <w:szCs w:val="26"/>
        </w:rPr>
        <w:t xml:space="preserve">n </w:t>
      </w:r>
      <w:r w:rsidRPr="00A40E55" w:rsidR="00AF2EB2">
        <w:rPr>
          <w:i/>
          <w:iCs/>
          <w:szCs w:val="26"/>
        </w:rPr>
        <w:t>Howard</w:t>
      </w:r>
      <w:r w:rsidRPr="00A40E55" w:rsidR="00AF2EB2">
        <w:rPr>
          <w:szCs w:val="26"/>
        </w:rPr>
        <w:t xml:space="preserve">, </w:t>
      </w:r>
      <w:r w:rsidRPr="00A40E55" w:rsidR="00AF2EB2">
        <w:rPr>
          <w:i/>
          <w:iCs/>
          <w:szCs w:val="26"/>
        </w:rPr>
        <w:t>supra</w:t>
      </w:r>
      <w:r w:rsidRPr="00A40E55" w:rsidR="00AF2EB2">
        <w:rPr>
          <w:szCs w:val="26"/>
        </w:rPr>
        <w:t>, 1 Cal.4th 1132</w:t>
      </w:r>
      <w:r w:rsidR="008E2439">
        <w:rPr>
          <w:szCs w:val="26"/>
        </w:rPr>
        <w:t xml:space="preserve"> at page</w:t>
      </w:r>
      <w:r w:rsidR="005B6472">
        <w:rPr>
          <w:szCs w:val="26"/>
        </w:rPr>
        <w:t>s</w:t>
      </w:r>
      <w:r w:rsidR="008E2439">
        <w:rPr>
          <w:szCs w:val="26"/>
        </w:rPr>
        <w:t xml:space="preserve"> 1175</w:t>
      </w:r>
      <w:r w:rsidRPr="00A40E55" w:rsidR="00661D63">
        <w:rPr>
          <w:szCs w:val="26"/>
        </w:rPr>
        <w:t>–</w:t>
      </w:r>
      <w:r w:rsidR="005B6472">
        <w:rPr>
          <w:szCs w:val="26"/>
        </w:rPr>
        <w:t>11</w:t>
      </w:r>
      <w:r w:rsidR="00661D63">
        <w:rPr>
          <w:szCs w:val="26"/>
        </w:rPr>
        <w:t>80</w:t>
      </w:r>
      <w:r w:rsidRPr="00A40E55" w:rsidR="00ED68FA">
        <w:rPr>
          <w:szCs w:val="26"/>
        </w:rPr>
        <w:t>, we exercised our supervisory powers</w:t>
      </w:r>
      <w:r w:rsidRPr="00A40E55" w:rsidR="00B30A83">
        <w:rPr>
          <w:szCs w:val="26"/>
        </w:rPr>
        <w:t xml:space="preserve"> </w:t>
      </w:r>
      <w:r w:rsidRPr="00A40E55" w:rsidR="00AF2EB2">
        <w:rPr>
          <w:szCs w:val="26"/>
        </w:rPr>
        <w:t xml:space="preserve">to require trial courts to </w:t>
      </w:r>
      <w:r w:rsidRPr="00A40E55" w:rsidR="00ED68FA">
        <w:rPr>
          <w:szCs w:val="26"/>
        </w:rPr>
        <w:t xml:space="preserve">continue to </w:t>
      </w:r>
      <w:r w:rsidRPr="00A40E55" w:rsidR="00C40DBE">
        <w:rPr>
          <w:szCs w:val="26"/>
        </w:rPr>
        <w:t xml:space="preserve">advise defendants of </w:t>
      </w:r>
      <w:r w:rsidR="009560E1">
        <w:rPr>
          <w:szCs w:val="26"/>
        </w:rPr>
        <w:t xml:space="preserve">their waiver of </w:t>
      </w:r>
      <w:r w:rsidRPr="00A40E55" w:rsidR="00C40DBE">
        <w:rPr>
          <w:szCs w:val="26"/>
        </w:rPr>
        <w:t>specific constitutional rights</w:t>
      </w:r>
      <w:r w:rsidR="00CE4A9B">
        <w:rPr>
          <w:szCs w:val="26"/>
        </w:rPr>
        <w:t xml:space="preserve"> </w:t>
      </w:r>
      <w:r w:rsidR="00610707">
        <w:rPr>
          <w:szCs w:val="26"/>
        </w:rPr>
        <w:t xml:space="preserve">before a guilty or no contest plea </w:t>
      </w:r>
      <w:r w:rsidR="00475335">
        <w:rPr>
          <w:szCs w:val="26"/>
        </w:rPr>
        <w:t>even though we no longer deemed</w:t>
      </w:r>
      <w:r w:rsidRPr="00A40E55" w:rsidR="00ED68FA">
        <w:rPr>
          <w:szCs w:val="26"/>
        </w:rPr>
        <w:t xml:space="preserve"> such advisements </w:t>
      </w:r>
      <w:r w:rsidR="00475335">
        <w:rPr>
          <w:szCs w:val="26"/>
        </w:rPr>
        <w:t>necessary</w:t>
      </w:r>
      <w:r w:rsidRPr="00A40E55" w:rsidR="00ED68FA">
        <w:rPr>
          <w:szCs w:val="26"/>
        </w:rPr>
        <w:t xml:space="preserve"> under federal</w:t>
      </w:r>
      <w:r w:rsidRPr="00A40E55" w:rsidR="007E7621">
        <w:rPr>
          <w:szCs w:val="26"/>
        </w:rPr>
        <w:t xml:space="preserve"> law</w:t>
      </w:r>
      <w:r w:rsidRPr="00A40E55" w:rsidR="00AF2EB2">
        <w:rPr>
          <w:szCs w:val="26"/>
        </w:rPr>
        <w:t>.</w:t>
      </w:r>
      <w:r w:rsidRPr="00A40E55" w:rsidR="00B30A83">
        <w:rPr>
          <w:szCs w:val="26"/>
        </w:rPr>
        <w:t xml:space="preserve">  We noted that although </w:t>
      </w:r>
      <w:r w:rsidRPr="00A40E55" w:rsidR="007E7621">
        <w:rPr>
          <w:szCs w:val="26"/>
        </w:rPr>
        <w:t>federal law</w:t>
      </w:r>
      <w:r w:rsidRPr="00A40E55" w:rsidR="00EB33D5">
        <w:rPr>
          <w:szCs w:val="26"/>
        </w:rPr>
        <w:t xml:space="preserve"> </w:t>
      </w:r>
      <w:r w:rsidR="00475335">
        <w:rPr>
          <w:szCs w:val="26"/>
        </w:rPr>
        <w:t>did not</w:t>
      </w:r>
      <w:r w:rsidRPr="00A40E55" w:rsidR="00EB33D5">
        <w:rPr>
          <w:szCs w:val="26"/>
        </w:rPr>
        <w:t xml:space="preserve"> </w:t>
      </w:r>
      <w:r w:rsidRPr="00A40E55" w:rsidR="006F25E0">
        <w:rPr>
          <w:szCs w:val="26"/>
        </w:rPr>
        <w:t xml:space="preserve">obligate the </w:t>
      </w:r>
      <w:r w:rsidRPr="00A40E55" w:rsidR="00871479">
        <w:rPr>
          <w:szCs w:val="26"/>
        </w:rPr>
        <w:t>advisement</w:t>
      </w:r>
      <w:r w:rsidR="00475335">
        <w:rPr>
          <w:szCs w:val="26"/>
        </w:rPr>
        <w:t>s</w:t>
      </w:r>
      <w:r w:rsidRPr="00A40E55" w:rsidR="009C3FDB">
        <w:rPr>
          <w:szCs w:val="26"/>
        </w:rPr>
        <w:t xml:space="preserve">, </w:t>
      </w:r>
      <w:r w:rsidRPr="00A40E55" w:rsidR="004B15E3">
        <w:rPr>
          <w:szCs w:val="26"/>
        </w:rPr>
        <w:t>“the essential wisdom of explicit waivers remains beyond question</w:t>
      </w:r>
      <w:r w:rsidRPr="00A40E55" w:rsidR="00D47941">
        <w:rPr>
          <w:szCs w:val="26"/>
        </w:rPr>
        <w:t>.”  (</w:t>
      </w:r>
      <w:r w:rsidRPr="00A40E55" w:rsidR="00D47941">
        <w:rPr>
          <w:i/>
          <w:iCs/>
          <w:szCs w:val="26"/>
        </w:rPr>
        <w:t xml:space="preserve">Id. </w:t>
      </w:r>
      <w:r w:rsidRPr="00A40E55" w:rsidR="00D47941">
        <w:rPr>
          <w:szCs w:val="26"/>
        </w:rPr>
        <w:t>at p. 117</w:t>
      </w:r>
      <w:r w:rsidRPr="00A40E55" w:rsidR="000336FA">
        <w:rPr>
          <w:szCs w:val="26"/>
        </w:rPr>
        <w:t>9</w:t>
      </w:r>
      <w:r w:rsidRPr="00A40E55" w:rsidR="00D47941">
        <w:rPr>
          <w:szCs w:val="26"/>
        </w:rPr>
        <w:t>.)</w:t>
      </w:r>
      <w:r w:rsidRPr="00A40E55" w:rsidR="00E961C0">
        <w:rPr>
          <w:szCs w:val="26"/>
        </w:rPr>
        <w:t xml:space="preserve">  </w:t>
      </w:r>
      <w:r w:rsidRPr="00A40E55" w:rsidR="005779BF">
        <w:rPr>
          <w:szCs w:val="26"/>
        </w:rPr>
        <w:t xml:space="preserve">We also affirmed </w:t>
      </w:r>
      <w:r w:rsidRPr="00A40E55" w:rsidR="00DC261A">
        <w:rPr>
          <w:szCs w:val="26"/>
        </w:rPr>
        <w:t>the concept that “</w:t>
      </w:r>
      <w:r w:rsidRPr="00A40E55" w:rsidR="001D5C31">
        <w:rPr>
          <w:szCs w:val="26"/>
        </w:rPr>
        <w:t>trial courts ‘would be well advised to err on the side of caution and employ the time necessary to explain adequately and to obtain express waivers of the rights involved.</w:t>
      </w:r>
      <w:r w:rsidRPr="00A40E55" w:rsidR="00736436">
        <w:rPr>
          <w:szCs w:val="26"/>
        </w:rPr>
        <w:t>’ </w:t>
      </w:r>
      <w:r w:rsidRPr="00A40E55" w:rsidR="001D5C31">
        <w:rPr>
          <w:szCs w:val="26"/>
        </w:rPr>
        <w:t>”  (</w:t>
      </w:r>
      <w:r w:rsidRPr="00A40E55" w:rsidR="001D5C31">
        <w:rPr>
          <w:i/>
          <w:iCs/>
          <w:szCs w:val="26"/>
        </w:rPr>
        <w:t>I</w:t>
      </w:r>
      <w:r w:rsidRPr="00A40E55" w:rsidR="00285C85">
        <w:rPr>
          <w:i/>
          <w:iCs/>
          <w:szCs w:val="26"/>
        </w:rPr>
        <w:t>d</w:t>
      </w:r>
      <w:r w:rsidRPr="00A40E55" w:rsidR="0030718F">
        <w:rPr>
          <w:i/>
          <w:iCs/>
          <w:szCs w:val="26"/>
        </w:rPr>
        <w:t>.</w:t>
      </w:r>
      <w:r w:rsidRPr="00A40E55" w:rsidR="00285C85">
        <w:rPr>
          <w:szCs w:val="26"/>
        </w:rPr>
        <w:t xml:space="preserve">, quoting </w:t>
      </w:r>
      <w:r w:rsidRPr="00A40E55" w:rsidR="00285C85">
        <w:rPr>
          <w:i/>
          <w:iCs/>
          <w:szCs w:val="26"/>
        </w:rPr>
        <w:t xml:space="preserve">In re Tahl </w:t>
      </w:r>
      <w:r w:rsidRPr="00A40E55" w:rsidR="00285C85">
        <w:rPr>
          <w:szCs w:val="26"/>
        </w:rPr>
        <w:t>(1969) 1 Cal.3d 122, 132.)</w:t>
      </w:r>
    </w:p>
    <w:p w:rsidR="00FD6C7F" w:rsidRPr="00A40E55" w:rsidP="00BF3EDE" w14:paraId="7938F8B6" w14:textId="117773B6">
      <w:pPr>
        <w:tabs>
          <w:tab w:val="left" w:pos="720"/>
          <w:tab w:val="left" w:pos="1440"/>
        </w:tabs>
      </w:pPr>
      <w:r w:rsidRPr="00A40E55">
        <w:tab/>
      </w:r>
      <w:bookmarkStart w:id="4" w:name="_Hlk171937908"/>
      <w:r w:rsidRPr="00A40E55" w:rsidR="00C3439E">
        <w:t>Here, we believe that similar</w:t>
      </w:r>
      <w:r w:rsidR="00475335">
        <w:t xml:space="preserve"> prudential and fairness</w:t>
      </w:r>
      <w:r w:rsidRPr="00A40E55" w:rsidR="00C3439E">
        <w:t xml:space="preserve"> considerations </w:t>
      </w:r>
      <w:r w:rsidR="00475335">
        <w:t>support</w:t>
      </w:r>
      <w:r w:rsidRPr="00A40E55" w:rsidR="00C3439E">
        <w:t xml:space="preserve"> a rule requiring trial courts to advise </w:t>
      </w:r>
      <w:r w:rsidRPr="00A40E55" w:rsidR="00AF5F88">
        <w:t>c</w:t>
      </w:r>
      <w:r w:rsidRPr="00A40E55" w:rsidR="005207C8">
        <w:t>riminal defendants of potential SVPA consequences</w:t>
      </w:r>
      <w:r w:rsidRPr="00A40E55" w:rsidR="007959F8">
        <w:t xml:space="preserve"> of a guilty or no-contest plea</w:t>
      </w:r>
      <w:r w:rsidRPr="00A40E55" w:rsidR="005207C8">
        <w:t xml:space="preserve">.  </w:t>
      </w:r>
      <w:bookmarkEnd w:id="4"/>
      <w:r w:rsidRPr="00A40E55" w:rsidR="00EB7268">
        <w:t xml:space="preserve">(See </w:t>
      </w:r>
      <w:r w:rsidRPr="00A40E55" w:rsidR="00EB7268">
        <w:rPr>
          <w:i/>
          <w:iCs/>
        </w:rPr>
        <w:t>Yurko</w:t>
      </w:r>
      <w:r w:rsidRPr="00A40E55" w:rsidR="00EB7268">
        <w:t xml:space="preserve">, </w:t>
      </w:r>
      <w:r w:rsidRPr="00A40E55" w:rsidR="00EB7268">
        <w:rPr>
          <w:i/>
          <w:iCs/>
        </w:rPr>
        <w:t>supra</w:t>
      </w:r>
      <w:r w:rsidRPr="00A40E55" w:rsidR="00EB7268">
        <w:t>, 10 Cal.3d at p. 864 [informing criminal defendants of potential consequences of an admission would “achieve</w:t>
      </w:r>
      <w:r w:rsidRPr="00A40E55" w:rsidR="00F54973">
        <w:t>[]</w:t>
      </w:r>
      <w:r w:rsidRPr="00A40E55" w:rsidR="00EB7268">
        <w:t xml:space="preserve"> justice for both the accused and the state”].)  </w:t>
      </w:r>
      <w:r w:rsidRPr="00A40E55" w:rsidR="001E7E3A">
        <w:t xml:space="preserve">It is a significant deprivation of a person’s liberty </w:t>
      </w:r>
      <w:r w:rsidRPr="00A40E55" w:rsidR="00865FB8">
        <w:t xml:space="preserve">to be detained for years </w:t>
      </w:r>
      <w:r w:rsidRPr="00A40E55" w:rsidR="00BE15EF">
        <w:t>while</w:t>
      </w:r>
      <w:r w:rsidRPr="00A40E55" w:rsidR="00865FB8">
        <w:t xml:space="preserve"> SVPA proceedings are conducted, and potentially indefinitely after being committed under the SVPA</w:t>
      </w:r>
      <w:r w:rsidRPr="00A40E55" w:rsidR="007F6C5D">
        <w:t xml:space="preserve">. </w:t>
      </w:r>
      <w:r w:rsidR="00AD7CD4">
        <w:t xml:space="preserve"> </w:t>
      </w:r>
      <w:r w:rsidR="00475335">
        <w:t>T</w:t>
      </w:r>
      <w:r w:rsidR="00AD7CD4">
        <w:t>his deprivation may occur without the defendant having committed any additional criminal acts</w:t>
      </w:r>
      <w:r w:rsidR="00475335">
        <w:t xml:space="preserve"> beyond those that are the subject of the guilty or no-contest plea</w:t>
      </w:r>
      <w:r w:rsidR="00AD7CD4">
        <w:t xml:space="preserve">.  </w:t>
      </w:r>
      <w:r w:rsidRPr="00A40E55" w:rsidR="00A02B59">
        <w:t>Furthermore, t</w:t>
      </w:r>
      <w:r w:rsidRPr="00A40E55" w:rsidR="00ED4709">
        <w:t>he impact that being labelled a “</w:t>
      </w:r>
      <w:r w:rsidR="00957C3B">
        <w:t>s</w:t>
      </w:r>
      <w:r w:rsidRPr="00A40E55" w:rsidR="00ED4709">
        <w:t xml:space="preserve">exually </w:t>
      </w:r>
      <w:r w:rsidR="00957C3B">
        <w:t>v</w:t>
      </w:r>
      <w:r w:rsidRPr="00A40E55" w:rsidR="00ED4709">
        <w:t xml:space="preserve">iolent </w:t>
      </w:r>
      <w:r w:rsidR="00957C3B">
        <w:t>p</w:t>
      </w:r>
      <w:r w:rsidRPr="00A40E55" w:rsidR="00ED4709">
        <w:t xml:space="preserve">redator” </w:t>
      </w:r>
      <w:r w:rsidRPr="00A40E55" w:rsidR="00BC61CD">
        <w:t xml:space="preserve">can have on a person’s life </w:t>
      </w:r>
      <w:r w:rsidRPr="00A40E55" w:rsidR="00A16815">
        <w:t xml:space="preserve">after release </w:t>
      </w:r>
      <w:r w:rsidRPr="00A40E55" w:rsidR="00BC61CD">
        <w:t xml:space="preserve">can be </w:t>
      </w:r>
      <w:r w:rsidRPr="00A40E55" w:rsidR="00B3497C">
        <w:t>severe</w:t>
      </w:r>
      <w:r w:rsidRPr="00A40E55" w:rsidR="007F6C5D">
        <w:t>, including mandatory public disclosure of such status</w:t>
      </w:r>
      <w:r w:rsidRPr="00A40E55" w:rsidR="00FD7875">
        <w:t xml:space="preserve"> and other personal information upon a community member’s request</w:t>
      </w:r>
      <w:r w:rsidRPr="00A40E55" w:rsidR="00BC61CD">
        <w:t>.</w:t>
      </w:r>
      <w:r w:rsidRPr="00A40E55" w:rsidR="00063BF0">
        <w:t xml:space="preserve">  </w:t>
      </w:r>
      <w:r w:rsidRPr="00A40E55" w:rsidR="009B708B">
        <w:t>(</w:t>
      </w:r>
      <w:r w:rsidRPr="00A40E55" w:rsidR="00063BF0">
        <w:t xml:space="preserve">See </w:t>
      </w:r>
      <w:r w:rsidRPr="00A40E55" w:rsidR="00490876">
        <w:t>§</w:t>
      </w:r>
      <w:r w:rsidRPr="00A40E55" w:rsidR="00063BF0">
        <w:t>§</w:t>
      </w:r>
      <w:r w:rsidR="00C937C4">
        <w:t> </w:t>
      </w:r>
      <w:r w:rsidRPr="00A40E55" w:rsidR="00490876">
        <w:t>6608.1</w:t>
      </w:r>
      <w:r w:rsidRPr="00A40E55" w:rsidR="007A4E09">
        <w:t>;</w:t>
      </w:r>
      <w:r w:rsidRPr="00A40E55" w:rsidR="00490876">
        <w:t xml:space="preserve"> 6609 [noting </w:t>
      </w:r>
      <w:r w:rsidRPr="00A40E55" w:rsidR="001E3D61">
        <w:t>conditions of release, including disclosure of identifying information</w:t>
      </w:r>
      <w:r w:rsidRPr="00A40E55" w:rsidR="00984D73">
        <w:t xml:space="preserve"> </w:t>
      </w:r>
      <w:r w:rsidRPr="00A40E55" w:rsidR="001E3D61">
        <w:t>to the public</w:t>
      </w:r>
      <w:r w:rsidRPr="00A40E55" w:rsidR="00000A18">
        <w:t>]</w:t>
      </w:r>
      <w:r w:rsidRPr="00A40E55" w:rsidR="004E2702">
        <w:t>.</w:t>
      </w:r>
      <w:r w:rsidRPr="00A40E55" w:rsidR="009B708B">
        <w:t>)</w:t>
      </w:r>
      <w:r w:rsidRPr="00A40E55" w:rsidR="00646601">
        <w:t xml:space="preserve">  </w:t>
      </w:r>
      <w:r w:rsidR="00AD7CD4">
        <w:t>Meanwhile, i</w:t>
      </w:r>
      <w:r w:rsidRPr="00A40E55" w:rsidR="00AD7CD4">
        <w:t xml:space="preserve">t is a relatively minor burden to advise criminal defendants of potential SVPA consequences.  </w:t>
      </w:r>
      <w:r w:rsidR="00AD7CD4">
        <w:t>A</w:t>
      </w:r>
      <w:r w:rsidRPr="00A40E55">
        <w:t xml:space="preserve">lthough we </w:t>
      </w:r>
      <w:r w:rsidRPr="00A40E55" w:rsidR="00F93188">
        <w:t xml:space="preserve">are mindful of </w:t>
      </w:r>
      <w:r w:rsidRPr="00A40E55">
        <w:t>imposing additional duties on</w:t>
      </w:r>
      <w:r w:rsidRPr="00A40E55" w:rsidR="008164DA">
        <w:t xml:space="preserve"> </w:t>
      </w:r>
      <w:r w:rsidRPr="00A40E55">
        <w:t xml:space="preserve">trial courts, </w:t>
      </w:r>
      <w:r w:rsidR="00AD7CD4">
        <w:t xml:space="preserve">we conclude that </w:t>
      </w:r>
      <w:r w:rsidRPr="00A40E55">
        <w:t>the benefit</w:t>
      </w:r>
      <w:r w:rsidRPr="00A40E55" w:rsidR="008164DA">
        <w:t xml:space="preserve"> of </w:t>
      </w:r>
      <w:r w:rsidRPr="00A40E55" w:rsidR="00F93188">
        <w:t xml:space="preserve">advising </w:t>
      </w:r>
      <w:r w:rsidRPr="00A40E55">
        <w:t xml:space="preserve">criminal defendants of </w:t>
      </w:r>
      <w:r w:rsidRPr="00A40E55" w:rsidR="00F93188">
        <w:t xml:space="preserve">the </w:t>
      </w:r>
      <w:r w:rsidRPr="00A40E55" w:rsidR="008164DA">
        <w:t>potential</w:t>
      </w:r>
      <w:r w:rsidRPr="00A40E55">
        <w:t xml:space="preserve"> SVPA</w:t>
      </w:r>
      <w:r w:rsidRPr="00A40E55" w:rsidR="008164DA">
        <w:t xml:space="preserve"> consequences</w:t>
      </w:r>
      <w:r w:rsidRPr="00A40E55">
        <w:t xml:space="preserve"> </w:t>
      </w:r>
      <w:r w:rsidRPr="00A40E55" w:rsidR="00F93188">
        <w:t xml:space="preserve">of a guilty plea </w:t>
      </w:r>
      <w:r w:rsidRPr="00A40E55">
        <w:t>significantly outweigh</w:t>
      </w:r>
      <w:r w:rsidRPr="00A40E55" w:rsidR="008164DA">
        <w:t>s</w:t>
      </w:r>
      <w:r w:rsidRPr="00A40E55">
        <w:t xml:space="preserve"> </w:t>
      </w:r>
      <w:r w:rsidRPr="00A40E55" w:rsidR="008164DA">
        <w:t>the administrative</w:t>
      </w:r>
      <w:r w:rsidRPr="00A40E55">
        <w:t xml:space="preserve"> burden.</w:t>
      </w:r>
      <w:r w:rsidRPr="00A40E55" w:rsidR="00F5385A">
        <w:t xml:space="preserve">  (See </w:t>
      </w:r>
      <w:r w:rsidRPr="00A40E55" w:rsidR="00F5385A">
        <w:rPr>
          <w:i/>
          <w:iCs/>
        </w:rPr>
        <w:t>Bunnell</w:t>
      </w:r>
      <w:r w:rsidRPr="00A40E55" w:rsidR="00CC2BFF">
        <w:t xml:space="preserve">, </w:t>
      </w:r>
      <w:r w:rsidRPr="00A40E55" w:rsidR="00CC2BFF">
        <w:rPr>
          <w:i/>
          <w:iCs/>
        </w:rPr>
        <w:t>supra</w:t>
      </w:r>
      <w:r w:rsidRPr="00A40E55" w:rsidR="00CC2BFF">
        <w:t>,</w:t>
      </w:r>
      <w:r w:rsidRPr="00A40E55" w:rsidR="008B4BB8">
        <w:t xml:space="preserve"> </w:t>
      </w:r>
      <w:r w:rsidRPr="00A40E55" w:rsidR="00F5385A">
        <w:t>1</w:t>
      </w:r>
      <w:r w:rsidRPr="00A40E55" w:rsidR="002154C9">
        <w:t>3</w:t>
      </w:r>
      <w:r w:rsidRPr="00A40E55" w:rsidR="00F5385A">
        <w:t xml:space="preserve"> Cal.3d </w:t>
      </w:r>
      <w:r w:rsidR="00AE5602">
        <w:t>at p.</w:t>
      </w:r>
      <w:r w:rsidRPr="00A40E55" w:rsidR="00F5385A">
        <w:t xml:space="preserve"> 605 [the burden of a new supervisory rule can be </w:t>
      </w:r>
      <w:r w:rsidRPr="00A40E55" w:rsidR="008164DA">
        <w:t xml:space="preserve">outweighed by </w:t>
      </w:r>
      <w:r w:rsidRPr="00A40E55" w:rsidR="003B5F7A">
        <w:t>the benefit of ensuring a criminal defendant understands the consequences of pleading guilty].)</w:t>
      </w:r>
      <w:r w:rsidRPr="00A40E55" w:rsidR="009B2265">
        <w:t xml:space="preserve">  </w:t>
      </w:r>
    </w:p>
    <w:p w:rsidR="00962471" w:rsidP="00BF3EDE" w14:paraId="174EF76E" w14:textId="01A8BD1F">
      <w:pPr>
        <w:tabs>
          <w:tab w:val="left" w:pos="720"/>
          <w:tab w:val="left" w:pos="1440"/>
        </w:tabs>
        <w:rPr>
          <w:szCs w:val="26"/>
        </w:rPr>
      </w:pPr>
      <w:r w:rsidRPr="00A40E55">
        <w:tab/>
      </w:r>
      <w:r w:rsidRPr="00A40E55" w:rsidR="008112D3">
        <w:t xml:space="preserve">Similar to the advisements we mandated in </w:t>
      </w:r>
      <w:r w:rsidRPr="00A40E55" w:rsidR="005A28B0">
        <w:rPr>
          <w:i/>
          <w:iCs/>
        </w:rPr>
        <w:t xml:space="preserve">Bunnell </w:t>
      </w:r>
      <w:r w:rsidRPr="00A40E55" w:rsidR="005A28B0">
        <w:t xml:space="preserve">and </w:t>
      </w:r>
      <w:r w:rsidRPr="00A40E55" w:rsidR="005A28B0">
        <w:rPr>
          <w:i/>
          <w:iCs/>
        </w:rPr>
        <w:t>Howard</w:t>
      </w:r>
      <w:r w:rsidRPr="00A40E55" w:rsidR="005A28B0">
        <w:t xml:space="preserve">, </w:t>
      </w:r>
      <w:r w:rsidRPr="00A40E55" w:rsidR="005A28B0">
        <w:rPr>
          <w:szCs w:val="26"/>
        </w:rPr>
        <w:t>w</w:t>
      </w:r>
      <w:r w:rsidRPr="00A40E55" w:rsidR="00633C1F">
        <w:rPr>
          <w:szCs w:val="26"/>
        </w:rPr>
        <w:t xml:space="preserve">e now require all California trial courts to advise criminal defendants who are pleading guilty or nolo contendere to an offense enumerated in the SVPA, or in instances where the court is aware that the defendant has a prior conviction for such an offense, of potential SVPA repercussions.  </w:t>
      </w:r>
      <w:r w:rsidRPr="00532BD9" w:rsidR="00B87C0B">
        <w:rPr>
          <w:i/>
          <w:iCs/>
          <w:szCs w:val="26"/>
        </w:rPr>
        <w:t>Bunnell</w:t>
      </w:r>
      <w:r w:rsidR="00B87C0B">
        <w:rPr>
          <w:szCs w:val="26"/>
        </w:rPr>
        <w:t xml:space="preserve"> and </w:t>
      </w:r>
      <w:r w:rsidRPr="00532BD9" w:rsidR="00B87C0B">
        <w:rPr>
          <w:i/>
          <w:iCs/>
          <w:szCs w:val="26"/>
        </w:rPr>
        <w:t>Howard</w:t>
      </w:r>
      <w:r w:rsidR="00B87C0B">
        <w:rPr>
          <w:szCs w:val="26"/>
        </w:rPr>
        <w:t xml:space="preserve"> involved the duty to advise as to direct plea consequences.  </w:t>
      </w:r>
      <w:r w:rsidR="00544458">
        <w:rPr>
          <w:szCs w:val="26"/>
        </w:rPr>
        <w:t xml:space="preserve">Whether </w:t>
      </w:r>
      <w:r w:rsidR="0032799D">
        <w:rPr>
          <w:szCs w:val="26"/>
        </w:rPr>
        <w:t xml:space="preserve">commitment under the SVPA is </w:t>
      </w:r>
      <w:r w:rsidR="00544458">
        <w:rPr>
          <w:szCs w:val="26"/>
        </w:rPr>
        <w:t>characterized as a collateral or direct consequence</w:t>
      </w:r>
      <w:r w:rsidR="00B87C0B">
        <w:rPr>
          <w:szCs w:val="26"/>
        </w:rPr>
        <w:t xml:space="preserve">, </w:t>
      </w:r>
      <w:r w:rsidR="00D8350A">
        <w:rPr>
          <w:szCs w:val="26"/>
        </w:rPr>
        <w:t>we</w:t>
      </w:r>
      <w:r w:rsidR="00B87C0B">
        <w:rPr>
          <w:szCs w:val="26"/>
        </w:rPr>
        <w:t xml:space="preserve"> </w:t>
      </w:r>
      <w:r w:rsidR="00D8350A">
        <w:rPr>
          <w:szCs w:val="26"/>
        </w:rPr>
        <w:t xml:space="preserve">note </w:t>
      </w:r>
      <w:r w:rsidR="00B87C0B">
        <w:rPr>
          <w:szCs w:val="26"/>
        </w:rPr>
        <w:t>the particularly significant imposition on liberty a defendant faces under these circumstances</w:t>
      </w:r>
      <w:r w:rsidR="00267524">
        <w:rPr>
          <w:szCs w:val="26"/>
        </w:rPr>
        <w:t>, and</w:t>
      </w:r>
      <w:r w:rsidRPr="00D8350A" w:rsidR="00D8350A">
        <w:rPr>
          <w:szCs w:val="26"/>
        </w:rPr>
        <w:t xml:space="preserve"> </w:t>
      </w:r>
      <w:r w:rsidR="00D8350A">
        <w:rPr>
          <w:szCs w:val="26"/>
        </w:rPr>
        <w:t>we exercise our authority to impose an advisement duty here</w:t>
      </w:r>
      <w:r w:rsidR="00B87C0B">
        <w:rPr>
          <w:szCs w:val="26"/>
        </w:rPr>
        <w:t xml:space="preserve">.  Nothing we say here is intended to undermine the long-recognized distinction generally requiring court advisement only as to direct plea consequences.  (See </w:t>
      </w:r>
      <w:r w:rsidRPr="005963F5" w:rsidR="00B87C0B">
        <w:rPr>
          <w:i/>
          <w:iCs/>
          <w:szCs w:val="26"/>
        </w:rPr>
        <w:t>People v. Villalobos</w:t>
      </w:r>
      <w:r w:rsidR="00B87C0B">
        <w:rPr>
          <w:szCs w:val="26"/>
        </w:rPr>
        <w:t xml:space="preserve"> (2012) 54 Cal.4th 177, 181; </w:t>
      </w:r>
      <w:r w:rsidRPr="005963F5" w:rsidR="00B87C0B">
        <w:rPr>
          <w:i/>
          <w:iCs/>
          <w:szCs w:val="26"/>
        </w:rPr>
        <w:t>People v. Segura</w:t>
      </w:r>
      <w:r w:rsidRPr="005963F5" w:rsidR="00B87C0B">
        <w:rPr>
          <w:szCs w:val="26"/>
        </w:rPr>
        <w:t xml:space="preserve"> (2008) 44 Cal.4th 921, 931</w:t>
      </w:r>
      <w:r w:rsidR="00B87C0B">
        <w:rPr>
          <w:szCs w:val="26"/>
        </w:rPr>
        <w:t xml:space="preserve">, fn. 6.)  </w:t>
      </w:r>
    </w:p>
    <w:p w:rsidR="001300AE" w:rsidP="00BF3EDE" w14:paraId="4638FBA9" w14:textId="3B814E5F">
      <w:pPr>
        <w:tabs>
          <w:tab w:val="left" w:pos="720"/>
          <w:tab w:val="left" w:pos="1440"/>
        </w:tabs>
      </w:pPr>
      <w:r>
        <w:rPr>
          <w:szCs w:val="26"/>
        </w:rPr>
        <w:tab/>
      </w:r>
      <w:r w:rsidRPr="00CF330D">
        <w:rPr>
          <w:szCs w:val="26"/>
        </w:rPr>
        <w:t>Specifically</w:t>
      </w:r>
      <w:r>
        <w:rPr>
          <w:szCs w:val="26"/>
        </w:rPr>
        <w:t xml:space="preserve">, in a case where a defendant will plead guilty or no contest to a sexually violent offense as defined in the SVPA (§ 6600, subds. (a)(2), (b)), or the court is aware that the defendant has a prior conviction for a sexually violent offense, the trial court should advise the defendant along the following lines:  “At the end of your sentence for this offense, you may be subject to screening by the State Department of State Hospitals to determine whether you qualify for trial as a sexually violent predator, which could result in your being committed to a secure medical facility indefinitely.” </w:t>
      </w:r>
      <w:r>
        <w:t xml:space="preserve"> To ensure the record is complete, the court should also inquire whether the parties discussed the possibility of a disposition involving a plea to an offense that is </w:t>
      </w:r>
      <w:r w:rsidRPr="00EE62B0">
        <w:rPr>
          <w:i/>
          <w:iCs/>
        </w:rPr>
        <w:t>not</w:t>
      </w:r>
      <w:r>
        <w:t xml:space="preserve"> a sexually violent offense.  </w:t>
      </w:r>
    </w:p>
    <w:p w:rsidR="00751692" w:rsidRPr="00A45A25" w:rsidP="00BF3EDE" w14:paraId="04B70D99" w14:textId="55D33B8B">
      <w:pPr>
        <w:tabs>
          <w:tab w:val="left" w:pos="720"/>
          <w:tab w:val="left" w:pos="1440"/>
        </w:tabs>
        <w:rPr>
          <w:szCs w:val="26"/>
        </w:rPr>
      </w:pPr>
      <w:r>
        <w:tab/>
      </w:r>
      <w:r w:rsidR="00BD2BC0">
        <w:t>The</w:t>
      </w:r>
      <w:r w:rsidRPr="00260026" w:rsidR="00BD2BC0">
        <w:t xml:space="preserve"> </w:t>
      </w:r>
      <w:r w:rsidRPr="00260026" w:rsidR="002846D5">
        <w:t xml:space="preserve">rule </w:t>
      </w:r>
      <w:r w:rsidR="00BD2BC0">
        <w:t xml:space="preserve">we adopt here </w:t>
      </w:r>
      <w:r w:rsidRPr="00260026" w:rsidR="002846D5">
        <w:t xml:space="preserve">applies solely to individuals </w:t>
      </w:r>
      <w:r w:rsidR="00BD2BC0">
        <w:t>pleading guilty or no contest to</w:t>
      </w:r>
      <w:r w:rsidRPr="00260026" w:rsidR="00BD2BC0">
        <w:t xml:space="preserve"> </w:t>
      </w:r>
      <w:r w:rsidRPr="00260026" w:rsidR="002846D5">
        <w:t>SVPA-qualifying</w:t>
      </w:r>
      <w:r w:rsidR="002846D5">
        <w:t xml:space="preserve"> offenses</w:t>
      </w:r>
      <w:r w:rsidR="00BD2BC0">
        <w:t>.</w:t>
      </w:r>
      <w:r w:rsidR="002846D5">
        <w:t xml:space="preserve"> </w:t>
      </w:r>
      <w:r w:rsidR="00BD2BC0">
        <w:t>I</w:t>
      </w:r>
      <w:r w:rsidR="003A3A91">
        <w:t xml:space="preserve">t does not impose additional </w:t>
      </w:r>
      <w:r w:rsidR="00BD2BC0">
        <w:t>admonition requirements in the taking of other pleas.</w:t>
      </w:r>
      <w:bookmarkStart w:id="5" w:name="_Hlk160536735"/>
      <w:r w:rsidR="00A45A25">
        <w:rPr>
          <w:szCs w:val="26"/>
        </w:rPr>
        <w:t xml:space="preserve">  </w:t>
      </w:r>
      <w:r w:rsidRPr="00BF3EDE" w:rsidR="00CD6EA6">
        <w:t xml:space="preserve">This rule shall apply prospectively from the date this opinion </w:t>
      </w:r>
      <w:r w:rsidR="00955E86">
        <w:t>becomes final</w:t>
      </w:r>
      <w:r w:rsidRPr="00BF3EDE" w:rsidR="00CD6EA6">
        <w:t xml:space="preserve">.  </w:t>
      </w:r>
    </w:p>
    <w:bookmarkEnd w:id="5"/>
    <w:p w:rsidR="00F61A40" w:rsidRPr="00A40E55" w:rsidP="00BF3EDE" w14:paraId="5BAFB441" w14:textId="4764454C">
      <w:pPr>
        <w:pStyle w:val="Heading1"/>
      </w:pPr>
      <w:r w:rsidRPr="00A40E55">
        <w:t>IV.</w:t>
      </w:r>
      <w:r w:rsidRPr="00A40E55">
        <w:tab/>
        <w:t>Disposition</w:t>
      </w:r>
    </w:p>
    <w:p w:rsidR="00F61A40" w:rsidRPr="00A40E55" w:rsidP="00B7119B" w14:paraId="28F0854C" w14:textId="74FA615A">
      <w:pPr>
        <w:tabs>
          <w:tab w:val="left" w:pos="720"/>
          <w:tab w:val="left" w:pos="1440"/>
        </w:tabs>
      </w:pPr>
      <w:r w:rsidRPr="00A40E55">
        <w:tab/>
      </w:r>
      <w:r w:rsidR="00B7119B">
        <w:t xml:space="preserve">We affirm the judgment of the Court of Appeal on the limited ground that Tellez has not demonstrated prejudice; we do not reach the question of whether counsel provided ineffective assistance. </w:t>
      </w:r>
      <w:r w:rsidRPr="00A40E55" w:rsidR="00B25348">
        <w:t>We exercise our supervisory power</w:t>
      </w:r>
      <w:r w:rsidRPr="00A40E55" w:rsidR="00A152B2">
        <w:t>s</w:t>
      </w:r>
      <w:r w:rsidRPr="00A40E55" w:rsidR="00B25348">
        <w:t xml:space="preserve"> to require trial courts</w:t>
      </w:r>
      <w:r w:rsidR="00D776D0">
        <w:t>,</w:t>
      </w:r>
      <w:r w:rsidRPr="00A40E55" w:rsidR="00B25348">
        <w:t xml:space="preserve"> </w:t>
      </w:r>
      <w:r w:rsidRPr="00A40E55" w:rsidR="00A22C84">
        <w:t>going forward</w:t>
      </w:r>
      <w:r w:rsidR="00D776D0">
        <w:t>,</w:t>
      </w:r>
      <w:r w:rsidRPr="00A40E55" w:rsidR="00A22C84">
        <w:t xml:space="preserve"> </w:t>
      </w:r>
      <w:r w:rsidRPr="00A40E55" w:rsidR="00B25348">
        <w:t>to advise criminal defendants o</w:t>
      </w:r>
      <w:r w:rsidRPr="00A40E55" w:rsidR="007F6C5D">
        <w:t>f</w:t>
      </w:r>
      <w:r w:rsidRPr="00A40E55" w:rsidR="00B25348">
        <w:t xml:space="preserve"> the potential </w:t>
      </w:r>
      <w:r w:rsidRPr="00A40E55" w:rsidR="007F6C5D">
        <w:t xml:space="preserve">SVPA consequences of a guilty </w:t>
      </w:r>
      <w:r w:rsidRPr="00A40E55" w:rsidR="00990F9E">
        <w:t>or no contest plea</w:t>
      </w:r>
      <w:r w:rsidRPr="00A40E55" w:rsidR="007F6C5D">
        <w:t xml:space="preserve">, </w:t>
      </w:r>
      <w:r w:rsidR="004B09D9">
        <w:t>along the lines set out herein.</w:t>
      </w:r>
      <w:r w:rsidRPr="00A40E55" w:rsidR="00713418">
        <w:tab/>
      </w:r>
      <w:r w:rsidRPr="00A40E55" w:rsidR="006C1087">
        <w:t xml:space="preserve"> </w:t>
      </w:r>
    </w:p>
    <w:p w:rsidR="00F61A40" w:rsidRPr="00A40E55" w:rsidP="00BF3EDE" w14:paraId="2E367B31" w14:textId="77777777">
      <w:pPr>
        <w:tabs>
          <w:tab w:val="left" w:pos="1440"/>
        </w:tabs>
        <w:ind w:firstLine="720"/>
        <w:rPr>
          <w:b/>
          <w:bCs/>
          <w:szCs w:val="26"/>
        </w:rPr>
      </w:pPr>
      <w:r w:rsidRPr="00A40E55">
        <w:rPr>
          <w:szCs w:val="26"/>
        </w:rPr>
        <w:tab/>
      </w:r>
      <w:r w:rsidRPr="00A40E55">
        <w:rPr>
          <w:szCs w:val="26"/>
        </w:rPr>
        <w:tab/>
      </w:r>
      <w:r w:rsidRPr="00A40E55">
        <w:rPr>
          <w:szCs w:val="26"/>
        </w:rPr>
        <w:tab/>
      </w:r>
      <w:r w:rsidRPr="00A40E55">
        <w:rPr>
          <w:szCs w:val="26"/>
        </w:rPr>
        <w:tab/>
      </w:r>
      <w:r w:rsidRPr="00A40E55">
        <w:rPr>
          <w:szCs w:val="26"/>
        </w:rPr>
        <w:tab/>
      </w:r>
      <w:r w:rsidRPr="00A40E55">
        <w:rPr>
          <w:szCs w:val="26"/>
        </w:rPr>
        <w:tab/>
      </w:r>
      <w:r w:rsidRPr="00A40E55">
        <w:rPr>
          <w:b/>
          <w:bCs/>
          <w:szCs w:val="26"/>
        </w:rPr>
        <w:t>EVANS, J.</w:t>
      </w:r>
    </w:p>
    <w:p w:rsidR="003B5F7A" w:rsidP="00BF3EDE" w14:paraId="02D14105" w14:textId="210AC05B">
      <w:pPr>
        <w:tabs>
          <w:tab w:val="left" w:pos="720"/>
        </w:tabs>
        <w:rPr>
          <w:b/>
          <w:bCs/>
        </w:rPr>
      </w:pPr>
      <w:r w:rsidRPr="00A40E55">
        <w:rPr>
          <w:b/>
          <w:bCs/>
        </w:rPr>
        <w:t>We Concur:</w:t>
      </w:r>
      <w:bookmarkStart w:id="6" w:name="plaintiff"/>
      <w:bookmarkStart w:id="7" w:name="initials"/>
      <w:bookmarkEnd w:id="6"/>
      <w:bookmarkEnd w:id="7"/>
    </w:p>
    <w:p w:rsidR="00400CDB" w:rsidRPr="00332B1B" w:rsidP="003C4D19" w14:paraId="34F42229" w14:textId="77777777">
      <w:pPr>
        <w:spacing w:after="0" w:line="240" w:lineRule="auto"/>
        <w:rPr>
          <w:b/>
          <w:bCs/>
          <w:szCs w:val="27"/>
        </w:rPr>
      </w:pPr>
      <w:r w:rsidRPr="00332B1B">
        <w:rPr>
          <w:b/>
          <w:bCs/>
          <w:szCs w:val="27"/>
        </w:rPr>
        <w:t>GUERRERO, C. J.</w:t>
      </w:r>
    </w:p>
    <w:p w:rsidR="00400CDB" w:rsidRPr="00332B1B" w:rsidP="003C4D19" w14:paraId="14CF4B19" w14:textId="77777777">
      <w:pPr>
        <w:spacing w:after="0" w:line="240" w:lineRule="auto"/>
        <w:rPr>
          <w:b/>
          <w:bCs/>
          <w:szCs w:val="27"/>
        </w:rPr>
      </w:pPr>
      <w:r w:rsidRPr="00332B1B">
        <w:rPr>
          <w:b/>
          <w:bCs/>
          <w:szCs w:val="27"/>
        </w:rPr>
        <w:t>CORRIGAN, J.</w:t>
      </w:r>
    </w:p>
    <w:p w:rsidR="00400CDB" w:rsidRPr="00332B1B" w:rsidP="003C4D19" w14:paraId="6F80CD81" w14:textId="77777777">
      <w:pPr>
        <w:spacing w:after="0" w:line="240" w:lineRule="auto"/>
        <w:rPr>
          <w:b/>
          <w:bCs/>
          <w:szCs w:val="27"/>
        </w:rPr>
      </w:pPr>
      <w:r w:rsidRPr="00332B1B">
        <w:rPr>
          <w:b/>
          <w:bCs/>
          <w:szCs w:val="27"/>
        </w:rPr>
        <w:t>LIU, J.</w:t>
      </w:r>
    </w:p>
    <w:p w:rsidR="00400CDB" w:rsidRPr="00332B1B" w:rsidP="003C4D19" w14:paraId="3B58BC62" w14:textId="77777777">
      <w:pPr>
        <w:spacing w:after="0" w:line="240" w:lineRule="auto"/>
        <w:rPr>
          <w:b/>
          <w:bCs/>
          <w:szCs w:val="27"/>
        </w:rPr>
      </w:pPr>
      <w:r w:rsidRPr="00332B1B">
        <w:rPr>
          <w:b/>
          <w:bCs/>
          <w:szCs w:val="27"/>
        </w:rPr>
        <w:t>KRUGER, J.</w:t>
      </w:r>
    </w:p>
    <w:p w:rsidR="00400CDB" w:rsidRPr="00332B1B" w:rsidP="003C4D19" w14:paraId="563FD271" w14:textId="77777777">
      <w:pPr>
        <w:spacing w:after="0" w:line="240" w:lineRule="auto"/>
        <w:rPr>
          <w:b/>
          <w:bCs/>
          <w:szCs w:val="27"/>
        </w:rPr>
      </w:pPr>
      <w:r w:rsidRPr="00332B1B">
        <w:rPr>
          <w:b/>
          <w:bCs/>
          <w:szCs w:val="27"/>
        </w:rPr>
        <w:t>GROBAN, J.</w:t>
      </w:r>
    </w:p>
    <w:p w:rsidR="00400CDB" w:rsidP="003C4D19" w14:paraId="420AB3BB" w14:textId="697926E5">
      <w:pPr>
        <w:spacing w:after="0" w:line="240" w:lineRule="auto"/>
        <w:rPr>
          <w:b/>
          <w:bCs/>
          <w:szCs w:val="27"/>
        </w:rPr>
      </w:pPr>
      <w:r w:rsidRPr="00332B1B">
        <w:rPr>
          <w:b/>
          <w:bCs/>
          <w:szCs w:val="27"/>
        </w:rPr>
        <w:t>JENKINS, J.</w:t>
      </w:r>
    </w:p>
    <w:p w:rsidR="00995648" w:rsidP="003C4D19" w14:paraId="66E48788" w14:textId="77777777">
      <w:pPr>
        <w:spacing w:after="0" w:line="240" w:lineRule="auto"/>
        <w:rPr>
          <w:b/>
          <w:bCs/>
          <w:szCs w:val="27"/>
        </w:rPr>
        <w:sectPr w:rsidSect="00BF3EDE">
          <w:footerReference w:type="first" r:id="rId13"/>
          <w:pgSz w:w="12240" w:h="15840"/>
          <w:pgMar w:top="1800" w:right="2160" w:bottom="1440" w:left="2160" w:header="720" w:footer="720" w:gutter="0"/>
          <w:pgNumType w:start="1"/>
          <w:cols w:space="720"/>
          <w:titlePg/>
          <w:docGrid w:linePitch="367"/>
        </w:sectPr>
      </w:pPr>
    </w:p>
    <w:p w:rsidR="00631577" w:rsidP="00631577" w14:paraId="34E69B60" w14:textId="0FD730B9">
      <w:pPr>
        <w:jc w:val="center"/>
      </w:pPr>
      <w:r>
        <w:t>I</w:t>
      </w:r>
      <w:r w:rsidR="005470C5">
        <w:t>n</w:t>
      </w:r>
      <w:r>
        <w:t xml:space="preserve"> </w:t>
      </w:r>
      <w:r w:rsidR="005470C5">
        <w:t>re</w:t>
      </w:r>
      <w:r>
        <w:t xml:space="preserve"> TELLEZ </w:t>
      </w:r>
    </w:p>
    <w:p w:rsidR="00631577" w:rsidP="00631577" w14:paraId="0DE38E1D" w14:textId="77777777">
      <w:pPr>
        <w:jc w:val="center"/>
      </w:pPr>
      <w:r>
        <w:t>S277072</w:t>
      </w:r>
    </w:p>
    <w:p w:rsidR="00631577" w:rsidP="00631577" w14:paraId="6DCFB903" w14:textId="77777777">
      <w:pPr>
        <w:jc w:val="center"/>
      </w:pPr>
    </w:p>
    <w:p w:rsidR="00631577" w:rsidP="00631577" w14:paraId="54F9970F" w14:textId="77777777">
      <w:pPr>
        <w:jc w:val="center"/>
      </w:pPr>
      <w:r>
        <w:t>Concurring Opinion by Justice Liu</w:t>
      </w:r>
    </w:p>
    <w:p w:rsidR="00631577" w:rsidP="00631577" w14:paraId="0624F4BE" w14:textId="77777777">
      <w:pPr>
        <w:jc w:val="center"/>
      </w:pPr>
    </w:p>
    <w:p w:rsidR="00631577" w:rsidP="00631577" w14:paraId="52CDCBC7" w14:textId="77777777">
      <w:pPr>
        <w:pStyle w:val="BodyText"/>
        <w:ind w:firstLine="720"/>
      </w:pPr>
      <w:r>
        <w:t xml:space="preserve">I join the court’s decision to require trial courts to advise defendants entering a guilty or no contest plea to a Sexually Violent Predators Act (SVPA) qualifying offense that their plea subjects them to potential indefinite civil commitment to a secure medical facility.  (Maj. opn., </w:t>
      </w:r>
      <w:r w:rsidRPr="00576863">
        <w:rPr>
          <w:i/>
          <w:iCs/>
        </w:rPr>
        <w:t>ante</w:t>
      </w:r>
      <w:r>
        <w:t>, at pp. 16–17.)  As the court notes, civil commitment under the SVPA is a “significant deprivation of liberty.”  (</w:t>
      </w:r>
      <w:r w:rsidRPr="00576863">
        <w:rPr>
          <w:i/>
          <w:iCs/>
        </w:rPr>
        <w:t>Id.</w:t>
      </w:r>
      <w:r>
        <w:t xml:space="preserve"> at p. 15.)  “ ‘[J]ustice demands’ ” the exercise of our supervisory power to ensure that defendants are aware of the SVPA consequences of their plea.  (</w:t>
      </w:r>
      <w:r w:rsidRPr="001D6F51">
        <w:rPr>
          <w:i/>
          <w:iCs/>
        </w:rPr>
        <w:t>Id.</w:t>
      </w:r>
      <w:r>
        <w:t xml:space="preserve"> at p. 13.)</w:t>
      </w:r>
    </w:p>
    <w:p w:rsidR="00631577" w:rsidP="00631577" w14:paraId="3C0F7852" w14:textId="77777777">
      <w:pPr>
        <w:pStyle w:val="BodyText"/>
        <w:ind w:firstLine="720"/>
      </w:pPr>
      <w:r>
        <w:t xml:space="preserve">I would go further to resolve an underlying issue that the parties have fully briefed:  whether </w:t>
      </w:r>
      <w:r w:rsidRPr="0006030A">
        <w:t>defense counsel</w:t>
      </w:r>
      <w:r>
        <w:t xml:space="preserve"> have a constitutional duty to advise their clients of the SVPA consequences of a potential plea.  The answer, under established Sixth Amendment principles, is yes.  In this case, </w:t>
      </w:r>
      <w:r w:rsidRPr="00AD2D62">
        <w:t>counsel</w:t>
      </w:r>
      <w:r>
        <w:t>’s failure</w:t>
      </w:r>
      <w:r w:rsidRPr="00AD2D62">
        <w:t xml:space="preserve"> to advise </w:t>
      </w:r>
      <w:r>
        <w:t>defendant Victor Tellez</w:t>
      </w:r>
      <w:r w:rsidRPr="00AD2D62">
        <w:t xml:space="preserve"> of the SVPA consequences of his plea</w:t>
      </w:r>
      <w:r>
        <w:t xml:space="preserve"> was constitutionally </w:t>
      </w:r>
      <w:r w:rsidRPr="00AD2D62">
        <w:t>deficient performance.</w:t>
      </w:r>
      <w:r>
        <w:t xml:space="preserve">  </w:t>
      </w:r>
    </w:p>
    <w:p w:rsidR="00631577" w:rsidRPr="00A55FAF" w:rsidP="00631577" w14:paraId="3887B243" w14:textId="77777777">
      <w:pPr>
        <w:pStyle w:val="BodyText"/>
        <w:ind w:firstLine="720"/>
      </w:pPr>
      <w:r>
        <w:t xml:space="preserve">I also write to underscore that today’s new supervisory rule is consistent with one we announced a half century ago in </w:t>
      </w:r>
      <w:r w:rsidRPr="00D0100B">
        <w:rPr>
          <w:i/>
          <w:iCs/>
        </w:rPr>
        <w:t>Bunnell v. Superior Court</w:t>
      </w:r>
      <w:r w:rsidRPr="00D0100B">
        <w:t xml:space="preserve"> (1975) 13 Cal.3d 592</w:t>
      </w:r>
      <w:r>
        <w:t>, 605</w:t>
      </w:r>
      <w:r w:rsidRPr="00D0100B">
        <w:t xml:space="preserve"> (</w:t>
      </w:r>
      <w:r w:rsidRPr="00D0100B">
        <w:rPr>
          <w:i/>
          <w:iCs/>
        </w:rPr>
        <w:t>Bunnell</w:t>
      </w:r>
      <w:r w:rsidRPr="00D0100B">
        <w:t>)</w:t>
      </w:r>
      <w:r>
        <w:t xml:space="preserve">.  </w:t>
      </w:r>
      <w:r>
        <w:rPr>
          <w:i/>
          <w:iCs/>
        </w:rPr>
        <w:t xml:space="preserve">Bunnell </w:t>
      </w:r>
      <w:r>
        <w:t>required courts to advise defendants of all “direct consequences” of their guilty or no contest plea, including, specifically, the possibility of civil commitment under the prior sex offender commitment statute.  (</w:t>
      </w:r>
      <w:r w:rsidRPr="00EC0DC4">
        <w:rPr>
          <w:i/>
          <w:iCs/>
        </w:rPr>
        <w:t>Ibid.</w:t>
      </w:r>
      <w:r>
        <w:t xml:space="preserve">)  Although today’s opinion declines to say whether civil commitment under the SVPA should be classified as a “collateral” or “direct” consequence of conviction, the answer to that question is straightforward under </w:t>
      </w:r>
      <w:r>
        <w:rPr>
          <w:i/>
          <w:iCs/>
        </w:rPr>
        <w:t>Bunnell</w:t>
      </w:r>
      <w:r>
        <w:t xml:space="preserve">.  Commitment under the SVPA is a “direct” consequence of conviction, just as it was under the prior statute.  </w:t>
      </w:r>
    </w:p>
    <w:p w:rsidR="00631577" w:rsidP="00631577" w14:paraId="48CE9153" w14:textId="77777777">
      <w:pPr>
        <w:pStyle w:val="Heading1"/>
      </w:pPr>
      <w:r>
        <w:t>I.</w:t>
      </w:r>
    </w:p>
    <w:p w:rsidR="00631577" w:rsidP="00631577" w14:paraId="37AA06F4" w14:textId="77777777">
      <w:pPr>
        <w:pStyle w:val="BodyText"/>
        <w:ind w:firstLine="720"/>
      </w:pPr>
      <w:r w:rsidRPr="00795819">
        <w:t xml:space="preserve">The federal and state </w:t>
      </w:r>
      <w:r>
        <w:t>c</w:t>
      </w:r>
      <w:r w:rsidRPr="00795819">
        <w:t>onstitutions guarantee a criminal defendant the right to effective assistance of counsel.  (U.S. Const., 6th Amend.; Cal. Const.,</w:t>
      </w:r>
      <w:r>
        <w:t xml:space="preserve"> </w:t>
      </w:r>
      <w:r w:rsidRPr="00795819">
        <w:t>art.</w:t>
      </w:r>
      <w:r>
        <w:t> </w:t>
      </w:r>
      <w:r w:rsidRPr="00795819">
        <w:t>I, §</w:t>
      </w:r>
      <w:r>
        <w:t> </w:t>
      </w:r>
      <w:r w:rsidRPr="00795819">
        <w:t xml:space="preserve">15; </w:t>
      </w:r>
      <w:r w:rsidRPr="00795819">
        <w:rPr>
          <w:i/>
          <w:iCs/>
        </w:rPr>
        <w:t xml:space="preserve">Strickland v. Washington </w:t>
      </w:r>
      <w:r w:rsidRPr="00795819">
        <w:t>(1984) 466 U.S. 668, 686 (</w:t>
      </w:r>
      <w:r w:rsidRPr="00795819">
        <w:rPr>
          <w:i/>
          <w:iCs/>
        </w:rPr>
        <w:t>Strickland</w:t>
      </w:r>
      <w:r w:rsidRPr="00795819">
        <w:t xml:space="preserve">); </w:t>
      </w:r>
      <w:r w:rsidRPr="00795819">
        <w:rPr>
          <w:i/>
          <w:iCs/>
        </w:rPr>
        <w:t xml:space="preserve">People v. Ledesma </w:t>
      </w:r>
      <w:r w:rsidRPr="00795819">
        <w:t>(1987) 43 Cal.3d 171, 215</w:t>
      </w:r>
      <w:r>
        <w:t xml:space="preserve"> (</w:t>
      </w:r>
      <w:r>
        <w:rPr>
          <w:i/>
          <w:iCs/>
        </w:rPr>
        <w:t>Ledesma</w:t>
      </w:r>
      <w:r>
        <w:t>)</w:t>
      </w:r>
      <w:r w:rsidRPr="00795819">
        <w:t>.)</w:t>
      </w:r>
      <w:r>
        <w:t xml:space="preserve">  This “right entitles the defendant not to some bare assistance but rather to </w:t>
      </w:r>
      <w:r w:rsidRPr="00E667F4">
        <w:rPr>
          <w:i/>
          <w:iCs/>
        </w:rPr>
        <w:t>effective</w:t>
      </w:r>
      <w:r>
        <w:t xml:space="preserve"> assistance,” that is, “ ‘the reasonably competent assistance of an attorney acting as his diligent conscientious advocate.’ ”  (</w:t>
      </w:r>
      <w:r>
        <w:rPr>
          <w:i/>
          <w:iCs/>
        </w:rPr>
        <w:t>Ledesma</w:t>
      </w:r>
      <w:r>
        <w:t xml:space="preserve">, at p. 215.)  </w:t>
      </w:r>
      <w:r w:rsidRPr="001722C6">
        <w:t>A defendant</w:t>
      </w:r>
      <w:r>
        <w:t xml:space="preserve"> </w:t>
      </w:r>
      <w:r w:rsidRPr="001722C6">
        <w:t>challenging a conviction on the ground that counsel was</w:t>
      </w:r>
      <w:r>
        <w:t xml:space="preserve"> </w:t>
      </w:r>
      <w:r w:rsidRPr="001722C6">
        <w:t>ineffective must show “counsel</w:t>
      </w:r>
      <w:r>
        <w:t>’</w:t>
      </w:r>
      <w:r w:rsidRPr="001722C6">
        <w:t>s performance was</w:t>
      </w:r>
      <w:r>
        <w:t xml:space="preserve"> </w:t>
      </w:r>
      <w:r w:rsidRPr="001722C6">
        <w:t>deficient” and “the deficient performance prejudiced the</w:t>
      </w:r>
      <w:r>
        <w:t xml:space="preserve"> </w:t>
      </w:r>
      <w:r w:rsidRPr="001722C6">
        <w:t>defense.”</w:t>
      </w:r>
      <w:r>
        <w:t xml:space="preserve">  </w:t>
      </w:r>
      <w:r w:rsidRPr="001722C6">
        <w:t>(</w:t>
      </w:r>
      <w:r w:rsidRPr="001722C6">
        <w:rPr>
          <w:i/>
          <w:iCs/>
        </w:rPr>
        <w:t>Strickland</w:t>
      </w:r>
      <w:r w:rsidRPr="001722C6">
        <w:t>, at p.</w:t>
      </w:r>
      <w:r>
        <w:t> </w:t>
      </w:r>
      <w:r w:rsidRPr="001722C6">
        <w:t>687; accord</w:t>
      </w:r>
      <w:r>
        <w:t xml:space="preserve">, </w:t>
      </w:r>
      <w:r w:rsidRPr="001722C6">
        <w:rPr>
          <w:i/>
          <w:iCs/>
        </w:rPr>
        <w:t>Ledesma</w:t>
      </w:r>
      <w:r w:rsidRPr="001722C6">
        <w:t>, at p.</w:t>
      </w:r>
      <w:r>
        <w:t> </w:t>
      </w:r>
      <w:r w:rsidRPr="001722C6">
        <w:t>216.)</w:t>
      </w:r>
      <w:r>
        <w:t xml:space="preserve">  </w:t>
      </w:r>
    </w:p>
    <w:p w:rsidR="00631577" w:rsidP="00631577" w14:paraId="10D98467" w14:textId="77777777">
      <w:pPr>
        <w:pStyle w:val="BodyText"/>
        <w:ind w:firstLine="720"/>
      </w:pPr>
      <w:r>
        <w:t>To establish deficient performance, a defendant must demonstrate “errors so serious that counsel was not functioning as the ‘counsel’ guaranteed the defendant by the Sixth Amendment.”  (</w:t>
      </w:r>
      <w:r w:rsidRPr="0002357E">
        <w:rPr>
          <w:i/>
          <w:iCs/>
        </w:rPr>
        <w:t>Strickland</w:t>
      </w:r>
      <w:r>
        <w:t xml:space="preserve">, </w:t>
      </w:r>
      <w:r>
        <w:rPr>
          <w:i/>
        </w:rPr>
        <w:t>supra</w:t>
      </w:r>
      <w:r>
        <w:t>, 466 U.S. at p. 687.)  Courts examine “whether counsel’s assistance was reasonable considering all the circumstances.”  (</w:t>
      </w:r>
      <w:r w:rsidRPr="0095684D">
        <w:rPr>
          <w:i/>
          <w:iCs/>
        </w:rPr>
        <w:t>Id.</w:t>
      </w:r>
      <w:r>
        <w:t xml:space="preserve"> at p. 688.)  In making this determination, courts may look to “[p]revailing norms of practice as reflected in American Bar Association standards and the like . . . [as] guides to determining what is reasonable,” but “[n]o particular set of detailed rules for counsel’s conduct can satisfactorily take account of the variety of circumstances faced by defense counsel.”  (</w:t>
      </w:r>
      <w:r w:rsidRPr="00E12F29">
        <w:rPr>
          <w:i/>
          <w:iCs/>
        </w:rPr>
        <w:t>Id.</w:t>
      </w:r>
      <w:r>
        <w:t xml:space="preserve"> at pp. 688–689.)</w:t>
      </w:r>
    </w:p>
    <w:p w:rsidR="00631577" w:rsidP="00631577" w14:paraId="03B91B05" w14:textId="77777777">
      <w:pPr>
        <w:pStyle w:val="BodyText"/>
        <w:ind w:firstLine="720"/>
      </w:pPr>
      <w:r>
        <w:t>P</w:t>
      </w:r>
      <w:r w:rsidRPr="00E95964">
        <w:t xml:space="preserve">lea negotiation “is a critical stage in the criminal process at which a defendant is entitled to the effective assistance of counsel guaranteed by the federal and California constitutions.” </w:t>
      </w:r>
      <w:r>
        <w:t xml:space="preserve"> (</w:t>
      </w:r>
      <w:r>
        <w:rPr>
          <w:i/>
          <w:iCs/>
        </w:rPr>
        <w:t xml:space="preserve">In re </w:t>
      </w:r>
      <w:r w:rsidRPr="001D723E">
        <w:rPr>
          <w:i/>
          <w:iCs/>
        </w:rPr>
        <w:t>Alvernaz</w:t>
      </w:r>
      <w:r>
        <w:t xml:space="preserve"> (1992) 2 Cal.4th 924, 933 (</w:t>
      </w:r>
      <w:r>
        <w:rPr>
          <w:i/>
          <w:iCs/>
        </w:rPr>
        <w:t>Alvernaz</w:t>
      </w:r>
      <w:r>
        <w:t xml:space="preserve">).)  </w:t>
      </w:r>
      <w:r w:rsidRPr="00AD2D62">
        <w:t>Like “most criminal defendants,” Tellez was “faced with the crucial decision whether to plead guilty pursuant to a plea bargain or instead proceed to trial.”  (</w:t>
      </w:r>
      <w:r>
        <w:rPr>
          <w:i/>
          <w:iCs/>
        </w:rPr>
        <w:t>Ibid</w:t>
      </w:r>
      <w:r w:rsidRPr="00AD2D62">
        <w:t xml:space="preserve">.)  “Although this decision ultimately is one made by the defendant, it is the attorney, not the client, who is particularly qualified to make an informed evaluation of a proffered plea bargain.  The defendant can be expected to rely on counsel’s independent evaluation of the charges, the applicable law, and evidence, and </w:t>
      </w:r>
      <w:r>
        <w:t xml:space="preserve">of </w:t>
      </w:r>
      <w:r w:rsidRPr="00AD2D62">
        <w:t>the risk</w:t>
      </w:r>
      <w:r>
        <w:t>s</w:t>
      </w:r>
      <w:r w:rsidRPr="00AD2D62">
        <w:t xml:space="preserve"> and probable outcome of trial.”  (</w:t>
      </w:r>
      <w:r w:rsidRPr="00AD2D62">
        <w:rPr>
          <w:i/>
          <w:iCs/>
        </w:rPr>
        <w:t>Ibid.</w:t>
      </w:r>
      <w:r w:rsidRPr="00AD2D62">
        <w:t>)</w:t>
      </w:r>
    </w:p>
    <w:p w:rsidR="00631577" w:rsidP="00631577" w14:paraId="6F4E39BF" w14:textId="77777777">
      <w:pPr>
        <w:pStyle w:val="BodyText"/>
        <w:ind w:firstLine="720"/>
      </w:pPr>
      <w:r>
        <w:t>I</w:t>
      </w:r>
      <w:r w:rsidRPr="00AD2D62">
        <w:t>t is undisputed that Tellez’s counsel did not advise him of the consequences of pleading guilty to Penal Code section 288, subdivision (a)</w:t>
      </w:r>
      <w:r>
        <w:t>, a SVPA-qualifying offense.  The SVPA</w:t>
      </w:r>
      <w:r w:rsidRPr="00AD2D62">
        <w:t xml:space="preserve"> </w:t>
      </w:r>
      <w:r>
        <w:t>was</w:t>
      </w:r>
      <w:r w:rsidRPr="00AD2D62">
        <w:t xml:space="preserve"> an “applicable law” relevant to his </w:t>
      </w:r>
      <w:r>
        <w:t>decision whether to plead guilty, but it was not discussed</w:t>
      </w:r>
      <w:r w:rsidRPr="00AD2D62">
        <w:t>.  (</w:t>
      </w:r>
      <w:r w:rsidRPr="00AD2D62">
        <w:rPr>
          <w:i/>
          <w:iCs/>
        </w:rPr>
        <w:t>Alvernaz</w:t>
      </w:r>
      <w:r w:rsidRPr="00AD2D62">
        <w:t>,</w:t>
      </w:r>
      <w:r>
        <w:t xml:space="preserve"> </w:t>
      </w:r>
      <w:r>
        <w:rPr>
          <w:i/>
        </w:rPr>
        <w:t>supra</w:t>
      </w:r>
      <w:r>
        <w:t>, 2 Cal.4th</w:t>
      </w:r>
      <w:r w:rsidRPr="00AD2D62">
        <w:t xml:space="preserve"> at p. 933.)  </w:t>
      </w:r>
      <w:r>
        <w:t xml:space="preserve">Tellez’s counsel failed to advise him of these consequences </w:t>
      </w:r>
      <w:r w:rsidRPr="00AD2D62">
        <w:t xml:space="preserve">even though “Sexually Violent Predator Law” </w:t>
      </w:r>
      <w:r>
        <w:t xml:space="preserve">(item 14) </w:t>
      </w:r>
      <w:r w:rsidRPr="00AD2D62">
        <w:t>was listed</w:t>
      </w:r>
      <w:r>
        <w:t xml:space="preserve"> but not circled on his plea form</w:t>
      </w:r>
      <w:r w:rsidRPr="00AD2D62">
        <w:t xml:space="preserve"> </w:t>
      </w:r>
      <w:r>
        <w:t xml:space="preserve">under a heading that says “My attorney has explained to me that other </w:t>
      </w:r>
      <w:r w:rsidRPr="00AD2D62">
        <w:t xml:space="preserve">possible consequences of </w:t>
      </w:r>
      <w:r>
        <w:t xml:space="preserve">this </w:t>
      </w:r>
      <w:r w:rsidRPr="00AD2D62">
        <w:t>plea</w:t>
      </w:r>
      <w:r>
        <w:t xml:space="preserve"> may be: (Circle applicable consequences.)”</w:t>
      </w:r>
      <w:r w:rsidRPr="00AD2D62">
        <w:t xml:space="preserve">  </w:t>
      </w:r>
      <w:r>
        <w:t xml:space="preserve">(The relevant part of the form is reprinted below.)  </w:t>
      </w:r>
      <w:r w:rsidRPr="00AD2D62">
        <w:t xml:space="preserve">This fact </w:t>
      </w:r>
      <w:r>
        <w:t xml:space="preserve">alone may be </w:t>
      </w:r>
      <w:r w:rsidRPr="00AD2D62">
        <w:t>dispositive</w:t>
      </w:r>
      <w:r>
        <w:t xml:space="preserve"> for the performance inquiry in this case</w:t>
      </w:r>
      <w:r w:rsidRPr="00AD2D62">
        <w:t xml:space="preserve">.  As </w:t>
      </w:r>
      <w:r>
        <w:t>the</w:t>
      </w:r>
      <w:r w:rsidRPr="00AD2D62">
        <w:t xml:space="preserve"> plea form makes clear, </w:t>
      </w:r>
      <w:r>
        <w:t>the superior court</w:t>
      </w:r>
      <w:r w:rsidRPr="00AD2D62">
        <w:t xml:space="preserve"> </w:t>
      </w:r>
      <w:r>
        <w:t xml:space="preserve">expects </w:t>
      </w:r>
      <w:r w:rsidRPr="00AD2D62">
        <w:t xml:space="preserve">counsel to advise </w:t>
      </w:r>
      <w:r>
        <w:t>defendants</w:t>
      </w:r>
      <w:r w:rsidRPr="00AD2D62">
        <w:t xml:space="preserve"> on the SVPA consequences of a guilty plea.  The failure of Tellez’s public defender to discuss this potential consequence with him</w:t>
      </w:r>
      <w:r>
        <w:t>, even after being prompted to do so on the plea form,</w:t>
      </w:r>
      <w:r w:rsidRPr="00AD2D62">
        <w:t xml:space="preserve"> fell </w:t>
      </w:r>
      <w:r>
        <w:t>“outside the wide range of professionally competent assistance.”  (</w:t>
      </w:r>
      <w:r w:rsidRPr="00241C6C">
        <w:rPr>
          <w:i/>
          <w:iCs/>
        </w:rPr>
        <w:t>Strickland</w:t>
      </w:r>
      <w:r>
        <w:t xml:space="preserve">, </w:t>
      </w:r>
      <w:r>
        <w:rPr>
          <w:i/>
        </w:rPr>
        <w:t>supra</w:t>
      </w:r>
      <w:r>
        <w:t>, 466 U.S. at p. 690.)  As Tellez argues, either counsel did not understand the relevance of the SVPA to his case, or counsel did understand but failed to advise anyway.  Either way, counsel’s performance was objectively unreasonable and therefore constitutionally deficient.</w:t>
      </w:r>
    </w:p>
    <w:p w:rsidR="00631577" w:rsidP="00631577" w14:paraId="270A57AA" w14:textId="77777777">
      <w:pPr>
        <w:pStyle w:val="Heading2"/>
        <w:ind w:left="0" w:firstLine="0"/>
      </w:pPr>
    </w:p>
    <w:p w:rsidR="00631577" w:rsidRPr="00787269" w:rsidP="00631577" w14:paraId="52D1D139" w14:textId="77777777">
      <w:pPr>
        <w:pStyle w:val="Heading2"/>
        <w:ind w:left="0" w:firstLine="0"/>
        <w:jc w:val="cente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292100</wp:posOffset>
            </wp:positionV>
            <wp:extent cx="5010150" cy="1722755"/>
            <wp:effectExtent l="19050" t="19050" r="19050" b="1079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010150" cy="172275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t>Plea Form Section 7f</w:t>
      </w:r>
    </w:p>
    <w:p w:rsidR="00631577" w:rsidP="00631577" w14:paraId="565467F3" w14:textId="77777777"/>
    <w:p w:rsidR="00631577" w:rsidP="00631577" w14:paraId="7F24B2DC" w14:textId="77777777">
      <w:pPr>
        <w:pStyle w:val="BodyText"/>
        <w:ind w:firstLine="720"/>
      </w:pPr>
      <w:r>
        <w:t>This omission is also contrary to “prevailing professional norms” for criminal defense attorneys in California.  (</w:t>
      </w:r>
      <w:r w:rsidRPr="00241C6C">
        <w:rPr>
          <w:i/>
          <w:iCs/>
        </w:rPr>
        <w:t>Strickland</w:t>
      </w:r>
      <w:r>
        <w:t xml:space="preserve">, </w:t>
      </w:r>
      <w:r>
        <w:rPr>
          <w:i/>
        </w:rPr>
        <w:t>supra</w:t>
      </w:r>
      <w:r>
        <w:t>, 466 U.S. at p. 690.)  Amici curiae Contra Costa Public Defender and the</w:t>
      </w:r>
      <w:r w:rsidRPr="00AD2D62">
        <w:t xml:space="preserve"> California Public Defenders Association </w:t>
      </w:r>
      <w:r>
        <w:t>assert, and the Attorney General does not dispute, that</w:t>
      </w:r>
      <w:r w:rsidRPr="00AD2D62">
        <w:t xml:space="preserve"> advice on SVPA consequences is standard practice among public defenders in this state</w:t>
      </w:r>
      <w:r>
        <w:t>.  Amici curiae attached evidence from the public defenders of five</w:t>
      </w:r>
      <w:r w:rsidRPr="00001202">
        <w:t xml:space="preserve"> </w:t>
      </w:r>
      <w:r>
        <w:t>counties — Los Angeles, San Francisco, Contra Costa, San Bernardino, and Ventura — stating</w:t>
      </w:r>
      <w:r w:rsidRPr="00001202">
        <w:t xml:space="preserve"> that their practice is to advise clients when a possible </w:t>
      </w:r>
      <w:r>
        <w:t>SVPA</w:t>
      </w:r>
      <w:r w:rsidRPr="00001202">
        <w:t xml:space="preserve"> proceeding is a risk of conviction.</w:t>
      </w:r>
      <w:r>
        <w:t xml:space="preserve"> </w:t>
      </w:r>
    </w:p>
    <w:p w:rsidR="00631577" w:rsidP="00631577" w14:paraId="3DEE9D1B" w14:textId="77777777">
      <w:pPr>
        <w:pStyle w:val="BodyText"/>
        <w:ind w:firstLine="720"/>
      </w:pPr>
      <w:r w:rsidRPr="00B44E27">
        <w:t xml:space="preserve">An attorney working </w:t>
      </w:r>
      <w:r>
        <w:t xml:space="preserve">in </w:t>
      </w:r>
      <w:r w:rsidRPr="00B44E27">
        <w:t xml:space="preserve">the San Bernardino County Public Defender’s Office for </w:t>
      </w:r>
      <w:r>
        <w:t>over two decades</w:t>
      </w:r>
      <w:r w:rsidRPr="00B44E27">
        <w:t xml:space="preserve"> declared that his </w:t>
      </w:r>
      <w:r>
        <w:t>unit is tasked with</w:t>
      </w:r>
      <w:r w:rsidRPr="00B44E27">
        <w:t xml:space="preserve"> </w:t>
      </w:r>
      <w:r>
        <w:t>providing</w:t>
      </w:r>
      <w:r w:rsidRPr="00B44E27">
        <w:t xml:space="preserve"> </w:t>
      </w:r>
      <w:r>
        <w:t>“</w:t>
      </w:r>
      <w:r w:rsidRPr="00B44E27">
        <w:t xml:space="preserve">education and training on accurately advising clients who have the potential of facing </w:t>
      </w:r>
      <w:r>
        <w:t>[SVPA]</w:t>
      </w:r>
      <w:r w:rsidRPr="00B44E27">
        <w:t xml:space="preserve"> proceedings at the end of their prison sentence.</w:t>
      </w:r>
      <w:r>
        <w:t xml:space="preserve">”  </w:t>
      </w:r>
      <w:r w:rsidRPr="00B44E27">
        <w:t xml:space="preserve">The Training Director at the San Francisco County Public Defender’s Office declared that she </w:t>
      </w:r>
      <w:r>
        <w:t>provides “</w:t>
      </w:r>
      <w:r w:rsidRPr="00B44E27">
        <w:t xml:space="preserve">a training to all attorneys who enter the felony rotation called ‘Sex Sentencing,’ which includes a section on the SVPA and how to advise </w:t>
      </w:r>
      <w:r>
        <w:t>[their]</w:t>
      </w:r>
      <w:r w:rsidRPr="00B44E27">
        <w:t xml:space="preserve"> clients.”  </w:t>
      </w:r>
      <w:r>
        <w:t>T</w:t>
      </w:r>
      <w:r w:rsidRPr="00B44E27">
        <w:t>he Ventura County Public Defender’s policies state</w:t>
      </w:r>
      <w:r>
        <w:t xml:space="preserve">, </w:t>
      </w:r>
      <w:r w:rsidRPr="00B44E27">
        <w:t>“</w:t>
      </w:r>
      <w:r>
        <w:t>P</w:t>
      </w:r>
      <w:r w:rsidRPr="00B44E27">
        <w:t xml:space="preserve">rior to the entry of a plea of guilty to [a] sexually violent offense, the attorney should inform the client of such a possible future filing and answer any questions the client may have about the current SVPA law.”  Two public defenders from Contra Costa and Los Angeles, respectively, declared that it is “standard of practice” for attorneys in their offices to advise clients of potential consequences under the SVPA.  </w:t>
      </w:r>
      <w:r>
        <w:t xml:space="preserve">And the </w:t>
      </w:r>
      <w:r w:rsidRPr="008B6C8E">
        <w:t>California Public Defenders Association</w:t>
      </w:r>
      <w:r w:rsidRPr="00B44E27">
        <w:t xml:space="preserve"> </w:t>
      </w:r>
      <w:r>
        <w:t>says it provides “</w:t>
      </w:r>
      <w:r w:rsidRPr="00B44E27">
        <w:t xml:space="preserve">regular trainings on the consequences of the SVPA.”  </w:t>
      </w:r>
    </w:p>
    <w:p w:rsidR="00631577" w:rsidRPr="00AD2D62" w:rsidP="00631577" w14:paraId="060DDFF7" w14:textId="77777777">
      <w:pPr>
        <w:pStyle w:val="BodyText"/>
        <w:ind w:firstLine="720"/>
      </w:pPr>
      <w:r>
        <w:t>Further</w:t>
      </w:r>
      <w:r w:rsidRPr="00841680">
        <w:t>, the American Bar Association (ABA) Standards for Criminal Justice section 14-3.2(f) provides that “defense counsel should determine and advise the defendant, sufficiently in advance of the entry of any plea, as to the possible collateral consequences that might ensue from entry of the contemplated plea.”  (ABA Stds. for Crim. Justice (3d ed. 1999) std.</w:t>
      </w:r>
      <w:r>
        <w:t> </w:t>
      </w:r>
      <w:r w:rsidRPr="00841680">
        <w:t>14-3.2, subd.</w:t>
      </w:r>
      <w:r>
        <w:t> </w:t>
      </w:r>
      <w:r w:rsidRPr="00841680">
        <w:t>(f), p.</w:t>
      </w:r>
      <w:r>
        <w:t> 9; see also ABA Criminal Justice Section, Plea Bargain Task Force Report (2023), p. 26 [“Defense attorneys, at minimum, should review potential collateral consequences with a client before the client accepts a plea.”].</w:t>
      </w:r>
      <w:r w:rsidRPr="00841680">
        <w:t xml:space="preserve">)  </w:t>
      </w:r>
      <w:r>
        <w:t>The</w:t>
      </w:r>
      <w:r w:rsidRPr="00841680">
        <w:t xml:space="preserve"> </w:t>
      </w:r>
      <w:r>
        <w:t>ABA commentary for this standard makes clear that defense counsel should ensure they are aware specifically of the consequences that attend to convictions for “controlled substance crimes and sex offenses because convictions for such offense conduct are,</w:t>
      </w:r>
      <w:r w:rsidRPr="00841680">
        <w:t xml:space="preserve"> </w:t>
      </w:r>
      <w:r>
        <w:t>u</w:t>
      </w:r>
      <w:r w:rsidRPr="00841680">
        <w:t>nder existing statutory schemes, the most likely to carry with them serious and wide-ranging collateral consequences.”  (ABA Stds. for Crim. Justice (3d ed. 1999) com. to std. 14-3.2, subd.</w:t>
      </w:r>
      <w:r>
        <w:t> </w:t>
      </w:r>
      <w:r w:rsidRPr="00841680">
        <w:t>(f), p.</w:t>
      </w:r>
      <w:r>
        <w:t> </w:t>
      </w:r>
      <w:r w:rsidRPr="00841680">
        <w:t>127.</w:t>
      </w:r>
      <w:r>
        <w:t>)  Indefinite civil commitment as a “sexually violent predator” is undoubtedly one of the most serious consequences that could result from a criminal conviction.</w:t>
      </w:r>
      <w:r w:rsidRPr="00841680">
        <w:t xml:space="preserve"> </w:t>
      </w:r>
      <w:r>
        <w:t xml:space="preserve"> Even if SVPA commitment proceedings are considered a “</w:t>
      </w:r>
      <w:r w:rsidRPr="00841680">
        <w:t>collateral</w:t>
      </w:r>
      <w:r>
        <w:t>” rather than “</w:t>
      </w:r>
      <w:r w:rsidRPr="00841680">
        <w:t>direct</w:t>
      </w:r>
      <w:r>
        <w:t>”</w:t>
      </w:r>
      <w:r w:rsidRPr="00841680">
        <w:t xml:space="preserve"> consequence</w:t>
      </w:r>
      <w:r>
        <w:t xml:space="preserve"> of a conviction (but see </w:t>
      </w:r>
      <w:r w:rsidRPr="00C72AF7">
        <w:rPr>
          <w:i/>
          <w:iCs/>
        </w:rPr>
        <w:t>post</w:t>
      </w:r>
      <w:r>
        <w:t xml:space="preserve">, at pp. 8–9), </w:t>
      </w:r>
      <w:r w:rsidRPr="00841680">
        <w:t xml:space="preserve">the ABA standards </w:t>
      </w:r>
      <w:r>
        <w:t>indicate a prevailing professional norm of advisement in this context</w:t>
      </w:r>
      <w:r w:rsidRPr="00841680">
        <w:t>.</w:t>
      </w:r>
    </w:p>
    <w:p w:rsidR="00631577" w:rsidRPr="00DC5F54" w:rsidP="00631577" w14:paraId="5D55C153" w14:textId="77777777">
      <w:pPr>
        <w:pStyle w:val="BodyText"/>
        <w:ind w:firstLine="720"/>
      </w:pPr>
      <w:r>
        <w:t xml:space="preserve">The </w:t>
      </w:r>
      <w:r w:rsidRPr="00AD2D62">
        <w:t xml:space="preserve">failure to advise </w:t>
      </w:r>
      <w:r>
        <w:t xml:space="preserve">of SVPA consequences is also </w:t>
      </w:r>
      <w:r w:rsidRPr="00AD2D62">
        <w:t xml:space="preserve">constitutionally inadequate under the logic of </w:t>
      </w:r>
      <w:r w:rsidRPr="00AD2D62">
        <w:rPr>
          <w:i/>
          <w:iCs/>
        </w:rPr>
        <w:t xml:space="preserve">Padilla v. Kentucky </w:t>
      </w:r>
      <w:r w:rsidRPr="00AD2D62">
        <w:t>(2010) 5</w:t>
      </w:r>
      <w:r>
        <w:t>5</w:t>
      </w:r>
      <w:r w:rsidRPr="00AD2D62">
        <w:t>9 U.S. 356</w:t>
      </w:r>
      <w:r>
        <w:t xml:space="preserve"> (</w:t>
      </w:r>
      <w:r>
        <w:rPr>
          <w:i/>
          <w:iCs/>
        </w:rPr>
        <w:t>Padilla</w:t>
      </w:r>
      <w:r>
        <w:t xml:space="preserve">).  In </w:t>
      </w:r>
      <w:r>
        <w:rPr>
          <w:i/>
          <w:iCs/>
        </w:rPr>
        <w:t>Padilla</w:t>
      </w:r>
      <w:r>
        <w:t xml:space="preserve">, the </w:t>
      </w:r>
      <w:r w:rsidRPr="006E6732">
        <w:t xml:space="preserve">high court held that failure to advise criminal defendants of the immigration consequences of their guilty plea violates the Sixth Amendment.  </w:t>
      </w:r>
      <w:r>
        <w:t>(</w:t>
      </w:r>
      <w:r w:rsidRPr="00CE7A72">
        <w:rPr>
          <w:i/>
          <w:iCs/>
        </w:rPr>
        <w:t>Id.</w:t>
      </w:r>
      <w:r>
        <w:t xml:space="preserve"> at pp. 360, 374.)  The court noted that it has “never applied a distinction between direct and collateral consequences to define the scope of constitutionally ‘reasonable professional assistance’ required under </w:t>
      </w:r>
      <w:r>
        <w:rPr>
          <w:i/>
          <w:iCs/>
        </w:rPr>
        <w:t>Strickland</w:t>
      </w:r>
      <w:r>
        <w:t>.”  (</w:t>
      </w:r>
      <w:r w:rsidRPr="00912AC3">
        <w:rPr>
          <w:i/>
          <w:iCs/>
        </w:rPr>
        <w:t>Id.</w:t>
      </w:r>
      <w:r>
        <w:t xml:space="preserve"> at p. 365; see </w:t>
      </w:r>
      <w:r>
        <w:rPr>
          <w:i/>
          <w:iCs/>
        </w:rPr>
        <w:t>id.</w:t>
      </w:r>
      <w:r>
        <w:t xml:space="preserve"> at p. 364 [“collateral matters” are “those matters not within the sentencing authority of the state trial court”].)  Advisement of the risk of deportation was constitutionally required because removal,</w:t>
      </w:r>
      <w:r w:rsidRPr="0096246B">
        <w:t xml:space="preserve"> </w:t>
      </w:r>
      <w:r>
        <w:t>though civil in nature, is “a particularly severe ‘penalty’ ” that is</w:t>
      </w:r>
      <w:r w:rsidRPr="00D7593E">
        <w:t xml:space="preserve"> “intimately related to the criminal process”</w:t>
      </w:r>
      <w:r>
        <w:t xml:space="preserve"> and has become a “nearly an automatic result for a broad class of noncitizen offenders.”  </w:t>
      </w:r>
      <w:r w:rsidRPr="00D7593E">
        <w:t>(</w:t>
      </w:r>
      <w:r w:rsidRPr="00D7593E">
        <w:rPr>
          <w:i/>
          <w:iCs/>
        </w:rPr>
        <w:t>Id.</w:t>
      </w:r>
      <w:r w:rsidRPr="00D7593E">
        <w:t xml:space="preserve"> at pp. 365–36</w:t>
      </w:r>
      <w:r>
        <w:t>6</w:t>
      </w:r>
      <w:r w:rsidRPr="00D7593E">
        <w:t xml:space="preserve">).  </w:t>
      </w:r>
      <w:r>
        <w:t xml:space="preserve">Given the risk of deportation’s “close connection to the criminal process,” the court determined that </w:t>
      </w:r>
      <w:r>
        <w:rPr>
          <w:i/>
          <w:iCs/>
        </w:rPr>
        <w:t xml:space="preserve">Strickland </w:t>
      </w:r>
      <w:r>
        <w:t>applied and that immigration advisement is a prevailing professional norm.  (</w:t>
      </w:r>
      <w:r w:rsidRPr="002A147E">
        <w:rPr>
          <w:i/>
          <w:iCs/>
        </w:rPr>
        <w:t>Id.</w:t>
      </w:r>
      <w:r>
        <w:t xml:space="preserve"> at p. 366; see </w:t>
      </w:r>
      <w:r w:rsidRPr="005E632C">
        <w:rPr>
          <w:i/>
          <w:iCs/>
        </w:rPr>
        <w:t xml:space="preserve">id. </w:t>
      </w:r>
      <w:r>
        <w:t xml:space="preserve">at pp. 366–369.)  </w:t>
      </w:r>
    </w:p>
    <w:p w:rsidR="00631577" w:rsidP="00631577" w14:paraId="3DE668A4" w14:textId="77777777">
      <w:pPr>
        <w:pStyle w:val="BodyText"/>
        <w:ind w:firstLine="720"/>
      </w:pPr>
      <w:r>
        <w:t>Although t</w:t>
      </w:r>
      <w:r w:rsidRPr="007B326B">
        <w:t>he</w:t>
      </w:r>
      <w:r>
        <w:t xml:space="preserve"> </w:t>
      </w:r>
      <w:r w:rsidRPr="00AD2D62">
        <w:t xml:space="preserve">Attorney General </w:t>
      </w:r>
      <w:r>
        <w:t>says</w:t>
      </w:r>
      <w:r w:rsidRPr="00AD2D62">
        <w:t xml:space="preserve"> civil commitment is not an “automatic” result of a guilty plea to an SVP</w:t>
      </w:r>
      <w:r>
        <w:t>A</w:t>
      </w:r>
      <w:r w:rsidRPr="00AD2D62">
        <w:t xml:space="preserve">-qualifying offense, neither is deportation.  </w:t>
      </w:r>
      <w:r>
        <w:t>Like an order of removal, commitment under the SVPA is imposed only after additional, separate civil proceedings.</w:t>
      </w:r>
      <w:r w:rsidRPr="00AD2D62">
        <w:t xml:space="preserve">  Further, screening</w:t>
      </w:r>
      <w:r w:rsidRPr="00AD2D62">
        <w:rPr>
          <w:i/>
          <w:iCs/>
        </w:rPr>
        <w:t xml:space="preserve"> </w:t>
      </w:r>
      <w:r w:rsidRPr="00AD2D62">
        <w:t xml:space="preserve">for civil commitment </w:t>
      </w:r>
      <w:r w:rsidRPr="00AD2D62">
        <w:rPr>
          <w:i/>
          <w:iCs/>
        </w:rPr>
        <w:t>is</w:t>
      </w:r>
      <w:r w:rsidRPr="00AD2D62">
        <w:t xml:space="preserve"> an automatic result for anyone who pleads guilty to an SVPA-qualifying offense and is sentenced to a prison term.  </w:t>
      </w:r>
      <w:r>
        <w:t>(</w:t>
      </w:r>
      <w:r w:rsidRPr="00AD2D62">
        <w:t>Welf. &amp; Inst. Code</w:t>
      </w:r>
      <w:r>
        <w:t>,</w:t>
      </w:r>
      <w:r w:rsidRPr="00AD2D62">
        <w:t xml:space="preserve"> §§</w:t>
      </w:r>
      <w:r>
        <w:t> </w:t>
      </w:r>
      <w:r w:rsidRPr="00AD2D62">
        <w:t>6600, subd.</w:t>
      </w:r>
      <w:r>
        <w:t> </w:t>
      </w:r>
      <w:r w:rsidRPr="00AD2D62">
        <w:t>(a), 6601, subds.</w:t>
      </w:r>
      <w:r>
        <w:t> </w:t>
      </w:r>
      <w:r w:rsidRPr="00AD2D62">
        <w:t>(a), (b).</w:t>
      </w:r>
      <w:r>
        <w:t>)</w:t>
      </w:r>
      <w:r w:rsidRPr="00AD2D62">
        <w:t xml:space="preserve">  Indeed, because </w:t>
      </w:r>
      <w:r>
        <w:t>SVPA</w:t>
      </w:r>
      <w:r w:rsidRPr="00AD2D62">
        <w:t xml:space="preserve"> commitment proceedings </w:t>
      </w:r>
      <w:r>
        <w:t>can</w:t>
      </w:r>
      <w:r w:rsidRPr="00AD2D62">
        <w:t xml:space="preserve"> </w:t>
      </w:r>
      <w:r w:rsidRPr="00AD2D62">
        <w:rPr>
          <w:i/>
          <w:iCs/>
        </w:rPr>
        <w:t>only</w:t>
      </w:r>
      <w:r w:rsidRPr="00AD2D62">
        <w:t xml:space="preserve"> </w:t>
      </w:r>
      <w:r>
        <w:t xml:space="preserve">be </w:t>
      </w:r>
      <w:r w:rsidRPr="00AD2D62">
        <w:t>triggered by a qualifying conviction and</w:t>
      </w:r>
      <w:r>
        <w:t xml:space="preserve"> are prosecuted by the same district attorney as the original criminal charges,</w:t>
      </w:r>
      <w:r w:rsidRPr="00AD2D62">
        <w:t xml:space="preserve"> </w:t>
      </w:r>
      <w:r>
        <w:t>they</w:t>
      </w:r>
      <w:r w:rsidRPr="00AD2D62">
        <w:t xml:space="preserve"> </w:t>
      </w:r>
      <w:r>
        <w:t>are</w:t>
      </w:r>
      <w:r w:rsidRPr="00AD2D62">
        <w:t xml:space="preserve"> even more “enmeshed” with the criminal legal system than immigration consequences</w:t>
      </w:r>
      <w:r>
        <w:t>,</w:t>
      </w:r>
      <w:r w:rsidRPr="00AD2D62">
        <w:t xml:space="preserve"> which could result from any law enforcement action, civil or criminal</w:t>
      </w:r>
      <w:r>
        <w:t>, and are adjudicated in an entirely separate forum</w:t>
      </w:r>
      <w:r w:rsidRPr="00AD2D62">
        <w:t>.  (</w:t>
      </w:r>
      <w:r w:rsidRPr="00AD2D62">
        <w:rPr>
          <w:i/>
          <w:iCs/>
        </w:rPr>
        <w:t>Padilla</w:t>
      </w:r>
      <w:r w:rsidRPr="00AD2D62">
        <w:t xml:space="preserve">, </w:t>
      </w:r>
      <w:r w:rsidRPr="00AD2D62">
        <w:rPr>
          <w:i/>
          <w:iCs/>
        </w:rPr>
        <w:t>supra</w:t>
      </w:r>
      <w:r w:rsidRPr="00AD2D62">
        <w:t>, 559 U.S. at pp. 365–366; see Welf. &amp; Inst. Code</w:t>
      </w:r>
      <w:r>
        <w:t>,</w:t>
      </w:r>
      <w:r w:rsidRPr="00AD2D62">
        <w:t xml:space="preserve"> § 6600, subd. (a) [defining “[s]exually violent predator” as a person “who has been convicted of a sexually violent offense” listed in subdivision (b)].)  </w:t>
      </w:r>
      <w:r>
        <w:t>And</w:t>
      </w:r>
      <w:r w:rsidRPr="00AD2D62">
        <w:t xml:space="preserve"> the Attorney General’s suggestion that civil commitment to a state hospital “lacks the punitive character that deportation carries”</w:t>
      </w:r>
      <w:r>
        <w:t xml:space="preserve"> is especially dubious.</w:t>
      </w:r>
      <w:r w:rsidRPr="00AD2D62">
        <w:t xml:space="preserve">  Although deportation is often a harsh event that results in severed familial and community ties, so too is civil commitment.  Inde</w:t>
      </w:r>
      <w:r>
        <w:t>finite</w:t>
      </w:r>
      <w:r w:rsidRPr="00AD2D62">
        <w:t xml:space="preserve"> commitment to a state hospital, while </w:t>
      </w:r>
      <w:r>
        <w:t xml:space="preserve">nominally </w:t>
      </w:r>
      <w:r w:rsidRPr="00AD2D62">
        <w:t>“civil”</w:t>
      </w:r>
      <w:r>
        <w:t xml:space="preserve"> and imposed for the purpose of treatment, as a practical matter restricts </w:t>
      </w:r>
      <w:r w:rsidRPr="00AD2D62">
        <w:t xml:space="preserve">a defendant’s liberty in </w:t>
      </w:r>
      <w:r>
        <w:t>ways</w:t>
      </w:r>
      <w:r w:rsidRPr="00AD2D62">
        <w:t xml:space="preserve"> indistinguishable from incarceration.  </w:t>
      </w:r>
    </w:p>
    <w:p w:rsidR="00631577" w:rsidRPr="00AD2D62" w:rsidP="00631577" w14:paraId="4B492D1A" w14:textId="77777777">
      <w:pPr>
        <w:pStyle w:val="BodyText"/>
        <w:ind w:firstLine="720"/>
      </w:pPr>
      <w:r>
        <w:t xml:space="preserve">In sum, defense counsel have a constitutional obligation to advise their clients of the potential for civil commitment under the SVPA when entering a plea to a qualifying offense.  </w:t>
      </w:r>
    </w:p>
    <w:p w:rsidR="00631577" w:rsidP="00631577" w14:paraId="515409E6" w14:textId="77777777">
      <w:pPr>
        <w:pStyle w:val="Heading1"/>
      </w:pPr>
      <w:r>
        <w:t xml:space="preserve">II. </w:t>
      </w:r>
    </w:p>
    <w:p w:rsidR="00631577" w:rsidRPr="00B62557" w:rsidP="00631577" w14:paraId="200C9306" w14:textId="77777777">
      <w:pPr>
        <w:ind w:firstLine="720"/>
      </w:pPr>
      <w:r>
        <w:t xml:space="preserve">Today’s opinion announces a new supervisory rule requiring trial courts to advise defendant of the potential SVPA consequences of their guilty or no contest plea.  (Maj. opn., </w:t>
      </w:r>
      <w:r w:rsidRPr="007D7AD2">
        <w:rPr>
          <w:i/>
          <w:iCs/>
        </w:rPr>
        <w:t>ante</w:t>
      </w:r>
      <w:r>
        <w:t xml:space="preserve">, at p. 14.)  This salutary result breaks little new ground.  As the court notes, we announced an analogous rule nearly 50 years ago in </w:t>
      </w:r>
      <w:r w:rsidRPr="003A7824">
        <w:rPr>
          <w:i/>
          <w:iCs/>
        </w:rPr>
        <w:t>Bunnell</w:t>
      </w:r>
      <w:r>
        <w:t xml:space="preserve">, </w:t>
      </w:r>
      <w:r>
        <w:rPr>
          <w:i/>
          <w:iCs/>
        </w:rPr>
        <w:t>supra</w:t>
      </w:r>
      <w:r>
        <w:t>,</w:t>
      </w:r>
      <w:r w:rsidRPr="003A7824">
        <w:t xml:space="preserve"> 13 Cal.3d 592</w:t>
      </w:r>
      <w:r>
        <w:t xml:space="preserve">.  </w:t>
      </w:r>
      <w:r w:rsidRPr="003A7824">
        <w:rPr>
          <w:i/>
          <w:iCs/>
        </w:rPr>
        <w:t>Bunnell</w:t>
      </w:r>
      <w:r w:rsidRPr="003A7824">
        <w:t xml:space="preserve"> </w:t>
      </w:r>
      <w:r>
        <w:t>instructed:  “In all guilty plea and submission cases the defendant shall be advised of the direct consequences of conviction such as the permissible range of punishment provided by statute, registration requirements, if any (e.g., [Pen. Code,] § 290; Health &amp; Saf. Code, § 11590), and, in appropriate cases the possibility of commitment pursuant to Welfare and Institutions Code, sections 3050, 3051, or 6302.”  (</w:t>
      </w:r>
      <w:r w:rsidRPr="00807DCD">
        <w:rPr>
          <w:i/>
          <w:iCs/>
        </w:rPr>
        <w:t>Bunnell</w:t>
      </w:r>
      <w:r>
        <w:t xml:space="preserve">, at p. 605.)  Welfare and Institutions Code section </w:t>
      </w:r>
      <w:r w:rsidRPr="003A7824">
        <w:t>6302</w:t>
      </w:r>
      <w:r>
        <w:t xml:space="preserve">, which governed the civil commitment of “Mentally Disordered Sex Offenders,” </w:t>
      </w:r>
      <w:r w:rsidRPr="003A7824">
        <w:t>was the precursor to the SVPA</w:t>
      </w:r>
      <w:r>
        <w:t>.  Penal Code sections 290 to 290.024 comprise the Sex Offender Registration Act.</w:t>
      </w:r>
    </w:p>
    <w:p w:rsidR="00631577" w:rsidP="00631577" w14:paraId="1D71182F" w14:textId="77777777">
      <w:pPr>
        <w:ind w:firstLine="720"/>
      </w:pPr>
      <w:r>
        <w:t xml:space="preserve">In </w:t>
      </w:r>
      <w:r w:rsidRPr="005A319B">
        <w:rPr>
          <w:i/>
          <w:iCs/>
        </w:rPr>
        <w:t>Bunnell</w:t>
      </w:r>
      <w:r>
        <w:t>,</w:t>
      </w:r>
      <w:r>
        <w:rPr>
          <w:i/>
          <w:iCs/>
        </w:rPr>
        <w:t xml:space="preserve"> </w:t>
      </w:r>
      <w:r>
        <w:t xml:space="preserve">we characterized both sex offender civil commitment and sex offender civil registration as “direct consequences of conviction,” and </w:t>
      </w:r>
      <w:r w:rsidRPr="00AD285F">
        <w:t>required</w:t>
      </w:r>
      <w:r>
        <w:t xml:space="preserve"> trial courts to advise defendants as to both before accepting a guilty plea.  (</w:t>
      </w:r>
      <w:r w:rsidRPr="00BA2661">
        <w:rPr>
          <w:i/>
          <w:iCs/>
        </w:rPr>
        <w:t>Bunnell</w:t>
      </w:r>
      <w:r>
        <w:t xml:space="preserve">, </w:t>
      </w:r>
      <w:r>
        <w:rPr>
          <w:i/>
        </w:rPr>
        <w:t>supra</w:t>
      </w:r>
      <w:r>
        <w:t xml:space="preserve">, 13 Cal.3d at p. 605.)  The SVPA differs from the prior statute in that under the former scheme, the superior court could order civil commitment proceedings in lieu of criminal sentencing for eligible offenders.  (See </w:t>
      </w:r>
      <w:r>
        <w:rPr>
          <w:i/>
          <w:iCs/>
        </w:rPr>
        <w:t xml:space="preserve">People v. </w:t>
      </w:r>
      <w:r w:rsidRPr="0013616C">
        <w:rPr>
          <w:i/>
          <w:iCs/>
        </w:rPr>
        <w:t>Moore</w:t>
      </w:r>
      <w:r>
        <w:rPr>
          <w:i/>
          <w:iCs/>
        </w:rPr>
        <w:t xml:space="preserve"> </w:t>
      </w:r>
      <w:r>
        <w:t xml:space="preserve">(1998) 69 Cal.App.4th 626, 633.)  </w:t>
      </w:r>
      <w:r w:rsidRPr="0013616C">
        <w:t>But</w:t>
      </w:r>
      <w:r>
        <w:t xml:space="preserve"> the statutes share a common purpose:  treatment of sex offenders.  They both may result in indefinite civil commitment to the state hospital system.  Under both regimes, a commitment order could be made only after extensive civil proceedings; it could </w:t>
      </w:r>
      <w:r w:rsidRPr="0022408B">
        <w:t>not</w:t>
      </w:r>
      <w:r>
        <w:t xml:space="preserve"> be directly ordered by the superior court.  And under both statutes, defendants may suffer both criminal incarceration and civil commitment following the same offense.  Thus, civil commitment under the SVPA is no less a “direct” consequence of conviction as civil commitment under the prior sex offender commitment statute.</w:t>
      </w:r>
    </w:p>
    <w:p w:rsidR="00631577" w:rsidP="00631577" w14:paraId="16B99619" w14:textId="77777777">
      <w:pPr>
        <w:ind w:firstLine="720"/>
      </w:pPr>
      <w:r>
        <w:t xml:space="preserve">As noted, </w:t>
      </w:r>
      <w:r>
        <w:rPr>
          <w:i/>
          <w:iCs/>
        </w:rPr>
        <w:t>Padilla</w:t>
      </w:r>
      <w:r>
        <w:t xml:space="preserve"> cast doubt on the relevance of the distinction between “direct” and “collateral” consequences for determining whether defense counsel have a constitutional duty to advise clients prior to entering a guilty or no contest plea.  (</w:t>
      </w:r>
      <w:r w:rsidRPr="000A1A24">
        <w:t>See</w:t>
      </w:r>
      <w:r>
        <w:t xml:space="preserve"> </w:t>
      </w:r>
      <w:r w:rsidRPr="000A1A24">
        <w:rPr>
          <w:i/>
          <w:iCs/>
        </w:rPr>
        <w:t>Padilla</w:t>
      </w:r>
      <w:r>
        <w:t xml:space="preserve">, </w:t>
      </w:r>
      <w:r>
        <w:rPr>
          <w:i/>
        </w:rPr>
        <w:t>supra</w:t>
      </w:r>
      <w:r>
        <w:t xml:space="preserve">, 559 U.S. at pp. 365–366.)  But even if classification of a consequence as “direct” is relevant to defining the scope of the court’s advisement duty (maj. opn., </w:t>
      </w:r>
      <w:r w:rsidRPr="00EC0DC4">
        <w:rPr>
          <w:i/>
          <w:iCs/>
        </w:rPr>
        <w:t>ante</w:t>
      </w:r>
      <w:r>
        <w:t>, at p. 16 [citing cases]), today’s decision — separate and apart from its announcement of a prospective supervisory rule — does not foreclose relief for defendants who pleaded guilty to an SVPA-qualifying offense without advisement if they are able to demonstrate prejudice.</w:t>
      </w:r>
    </w:p>
    <w:p w:rsidR="00631577" w:rsidP="00631577" w14:paraId="68BFFA72" w14:textId="77777777">
      <w:pPr>
        <w:ind w:firstLine="720"/>
        <w:rPr>
          <w:b/>
          <w:bCs/>
        </w:rPr>
      </w:pPr>
      <w:r>
        <w:tab/>
      </w:r>
      <w:r>
        <w:tab/>
      </w:r>
      <w:r>
        <w:tab/>
      </w:r>
      <w:r>
        <w:tab/>
      </w:r>
      <w:r>
        <w:tab/>
      </w:r>
      <w:r>
        <w:tab/>
      </w:r>
      <w:r w:rsidRPr="001303ED">
        <w:rPr>
          <w:b/>
          <w:bCs/>
        </w:rPr>
        <w:t xml:space="preserve">LIU, J. </w:t>
      </w:r>
    </w:p>
    <w:p w:rsidR="00631577" w:rsidP="00631577" w14:paraId="0313012A" w14:textId="77777777">
      <w:pPr>
        <w:keepLines/>
        <w:rPr>
          <w:b/>
        </w:rPr>
      </w:pPr>
      <w:r>
        <w:rPr>
          <w:b/>
          <w:szCs w:val="26"/>
        </w:rPr>
        <w:t>I Concur:</w:t>
      </w:r>
    </w:p>
    <w:p w:rsidR="00631577" w:rsidP="00631577" w14:paraId="0B204928" w14:textId="77777777">
      <w:pPr>
        <w:spacing w:after="0" w:line="240" w:lineRule="auto"/>
        <w:jc w:val="left"/>
        <w:rPr>
          <w:b/>
        </w:rPr>
      </w:pPr>
      <w:bookmarkStart w:id="8" w:name="_Hlk134778552"/>
      <w:r>
        <w:rPr>
          <w:b/>
        </w:rPr>
        <w:t>EVANS, J.</w:t>
      </w:r>
      <w:bookmarkEnd w:id="8"/>
    </w:p>
    <w:p w:rsidR="00631577" w:rsidP="00631577" w14:paraId="70A32D0B" w14:textId="77777777">
      <w:pPr>
        <w:spacing w:after="0" w:line="240" w:lineRule="auto"/>
        <w:jc w:val="left"/>
        <w:rPr>
          <w:b/>
          <w:bCs/>
        </w:rPr>
      </w:pPr>
    </w:p>
    <w:p w:rsidR="00631577" w:rsidP="003C4D19" w14:paraId="52A4D67D" w14:textId="77777777">
      <w:pPr>
        <w:spacing w:after="0" w:line="240" w:lineRule="auto"/>
        <w:rPr>
          <w:b/>
          <w:bCs/>
          <w:szCs w:val="27"/>
        </w:rPr>
        <w:sectPr w:rsidSect="00596A1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code="1"/>
          <w:pgMar w:top="1800" w:right="2160" w:bottom="1440" w:left="2160" w:header="720" w:footer="720" w:gutter="0"/>
          <w:pgNumType w:start="1"/>
          <w:cols w:space="720"/>
          <w:titlePg/>
        </w:sectPr>
      </w:pPr>
    </w:p>
    <w:p w:rsidR="00596A19" w:rsidRPr="00596A19" w:rsidP="00596A19" w14:paraId="5FFA1C85" w14:textId="77777777">
      <w:pPr>
        <w:spacing w:after="0" w:line="240" w:lineRule="auto"/>
        <w:jc w:val="left"/>
        <w:rPr>
          <w:i/>
          <w:sz w:val="24"/>
          <w:szCs w:val="24"/>
        </w:rPr>
      </w:pPr>
      <w:r w:rsidRPr="00596A19">
        <w:rPr>
          <w:i/>
          <w:sz w:val="24"/>
          <w:szCs w:val="24"/>
        </w:rPr>
        <w:t>See next page for addresses and telephone numbers for counsel who argued in Supreme Court.</w:t>
      </w:r>
    </w:p>
    <w:p w:rsidR="00596A19" w:rsidRPr="00596A19" w:rsidP="00596A19" w14:paraId="1925083D" w14:textId="77777777">
      <w:pPr>
        <w:spacing w:after="0" w:line="240" w:lineRule="auto"/>
        <w:jc w:val="left"/>
        <w:rPr>
          <w:i/>
          <w:sz w:val="24"/>
          <w:szCs w:val="24"/>
        </w:rPr>
      </w:pPr>
    </w:p>
    <w:p w:rsidR="00596A19" w:rsidRPr="00596A19" w:rsidP="00596A19" w14:paraId="3CB9D18B" w14:textId="77777777">
      <w:pPr>
        <w:spacing w:after="0" w:line="240" w:lineRule="auto"/>
        <w:jc w:val="left"/>
        <w:rPr>
          <w:bCs/>
          <w:sz w:val="24"/>
          <w:szCs w:val="24"/>
        </w:rPr>
      </w:pPr>
      <w:r w:rsidRPr="00596A19">
        <w:rPr>
          <w:b/>
          <w:sz w:val="24"/>
          <w:szCs w:val="24"/>
        </w:rPr>
        <w:t xml:space="preserve">Name of Opinion  </w:t>
      </w:r>
      <w:r w:rsidRPr="00596A19">
        <w:rPr>
          <w:bCs/>
          <w:sz w:val="24"/>
          <w:szCs w:val="24"/>
        </w:rPr>
        <w:t>In re Tellez</w:t>
      </w:r>
    </w:p>
    <w:p w:rsidR="00596A19" w:rsidRPr="00596A19" w:rsidP="00596A19" w14:paraId="3FA8A2FA" w14:textId="77777777">
      <w:pPr>
        <w:spacing w:after="0" w:line="240" w:lineRule="auto"/>
        <w:jc w:val="left"/>
        <w:rPr>
          <w:b/>
          <w:sz w:val="24"/>
          <w:szCs w:val="24"/>
        </w:rPr>
      </w:pPr>
      <w:r w:rsidRPr="00596A19">
        <w:rPr>
          <w:b/>
          <w:sz w:val="24"/>
          <w:szCs w:val="24"/>
        </w:rPr>
        <w:t xml:space="preserve">__________________________________________________________ </w:t>
      </w:r>
    </w:p>
    <w:p w:rsidR="00596A19" w:rsidRPr="00596A19" w:rsidP="00596A19" w14:paraId="438136B9" w14:textId="77777777">
      <w:pPr>
        <w:spacing w:after="0" w:line="240" w:lineRule="auto"/>
        <w:jc w:val="left"/>
        <w:rPr>
          <w:b/>
          <w:sz w:val="24"/>
          <w:szCs w:val="24"/>
        </w:rPr>
      </w:pPr>
    </w:p>
    <w:p w:rsidR="00596A19" w:rsidRPr="00596A19" w:rsidP="00596A19" w14:paraId="4F1D323F" w14:textId="77777777">
      <w:pPr>
        <w:spacing w:after="0" w:line="240" w:lineRule="auto"/>
        <w:jc w:val="left"/>
        <w:rPr>
          <w:sz w:val="24"/>
          <w:szCs w:val="24"/>
        </w:rPr>
      </w:pPr>
      <w:r w:rsidRPr="00596A19">
        <w:rPr>
          <w:b/>
          <w:bCs/>
          <w:sz w:val="24"/>
          <w:szCs w:val="24"/>
          <w:u w:val="single"/>
        </w:rPr>
        <w:t>Procedural Posture</w:t>
      </w:r>
      <w:r w:rsidRPr="00596A19">
        <w:rPr>
          <w:b/>
          <w:bCs/>
          <w:sz w:val="24"/>
          <w:szCs w:val="24"/>
        </w:rPr>
        <w:t xml:space="preserve"> </w:t>
      </w:r>
      <w:r w:rsidRPr="00596A19">
        <w:rPr>
          <w:sz w:val="24"/>
          <w:szCs w:val="24"/>
        </w:rPr>
        <w:t>(see XX below)</w:t>
      </w:r>
    </w:p>
    <w:p w:rsidR="00596A19" w:rsidRPr="00596A19" w:rsidP="00596A19" w14:paraId="2E1D68F7" w14:textId="77777777">
      <w:pPr>
        <w:spacing w:after="0" w:line="240" w:lineRule="auto"/>
        <w:jc w:val="left"/>
        <w:rPr>
          <w:sz w:val="24"/>
          <w:szCs w:val="24"/>
        </w:rPr>
      </w:pPr>
      <w:r w:rsidRPr="00596A19">
        <w:rPr>
          <w:b/>
          <w:bCs/>
          <w:sz w:val="24"/>
          <w:szCs w:val="24"/>
        </w:rPr>
        <w:t>Original Appeal</w:t>
      </w:r>
      <w:r w:rsidRPr="00596A19">
        <w:rPr>
          <w:sz w:val="24"/>
          <w:szCs w:val="24"/>
        </w:rPr>
        <w:t xml:space="preserve"> </w:t>
      </w:r>
    </w:p>
    <w:p w:rsidR="00596A19" w:rsidRPr="00596A19" w:rsidP="00596A19" w14:paraId="3950898C" w14:textId="77777777">
      <w:pPr>
        <w:spacing w:after="0" w:line="240" w:lineRule="auto"/>
        <w:jc w:val="left"/>
        <w:rPr>
          <w:b/>
          <w:bCs/>
          <w:sz w:val="24"/>
          <w:szCs w:val="24"/>
        </w:rPr>
      </w:pPr>
      <w:r w:rsidRPr="00596A19">
        <w:rPr>
          <w:b/>
          <w:bCs/>
          <w:sz w:val="24"/>
          <w:szCs w:val="24"/>
        </w:rPr>
        <w:t>Original Proceeding</w:t>
      </w:r>
    </w:p>
    <w:p w:rsidR="00596A19" w:rsidRPr="00596A19" w:rsidP="00596A19" w14:paraId="61B99414" w14:textId="77777777">
      <w:pPr>
        <w:spacing w:after="0" w:line="240" w:lineRule="auto"/>
        <w:jc w:val="left"/>
        <w:rPr>
          <w:sz w:val="24"/>
          <w:szCs w:val="24"/>
        </w:rPr>
      </w:pPr>
      <w:r w:rsidRPr="00596A19">
        <w:rPr>
          <w:b/>
          <w:bCs/>
          <w:sz w:val="24"/>
          <w:szCs w:val="24"/>
        </w:rPr>
        <w:t>Review Granted</w:t>
      </w:r>
      <w:r w:rsidRPr="00596A19">
        <w:rPr>
          <w:sz w:val="24"/>
          <w:szCs w:val="24"/>
        </w:rPr>
        <w:t xml:space="preserve"> </w:t>
      </w:r>
      <w:r w:rsidRPr="00596A19">
        <w:rPr>
          <w:b/>
          <w:bCs/>
          <w:sz w:val="24"/>
          <w:szCs w:val="24"/>
        </w:rPr>
        <w:t xml:space="preserve">(published) </w:t>
      </w:r>
      <w:r w:rsidRPr="00596A19">
        <w:rPr>
          <w:sz w:val="24"/>
          <w:szCs w:val="24"/>
        </w:rPr>
        <w:t>XX 84 Cal.App.5th 292</w:t>
      </w:r>
    </w:p>
    <w:p w:rsidR="00596A19" w:rsidRPr="00596A19" w:rsidP="00596A19" w14:paraId="2772A367" w14:textId="77777777">
      <w:pPr>
        <w:spacing w:after="0" w:line="240" w:lineRule="auto"/>
        <w:jc w:val="left"/>
        <w:rPr>
          <w:sz w:val="24"/>
          <w:szCs w:val="24"/>
        </w:rPr>
      </w:pPr>
      <w:r w:rsidRPr="00596A19">
        <w:rPr>
          <w:b/>
          <w:bCs/>
          <w:sz w:val="24"/>
          <w:szCs w:val="24"/>
        </w:rPr>
        <w:t xml:space="preserve">Review Granted (unpublished) </w:t>
      </w:r>
    </w:p>
    <w:p w:rsidR="00596A19" w:rsidRPr="00596A19" w:rsidP="00596A19" w14:paraId="73F35B9D" w14:textId="77777777">
      <w:pPr>
        <w:spacing w:after="0" w:line="240" w:lineRule="auto"/>
        <w:jc w:val="left"/>
        <w:rPr>
          <w:b/>
          <w:bCs/>
          <w:sz w:val="24"/>
          <w:szCs w:val="24"/>
        </w:rPr>
      </w:pPr>
      <w:r w:rsidRPr="00596A19">
        <w:rPr>
          <w:b/>
          <w:bCs/>
          <w:sz w:val="24"/>
          <w:szCs w:val="24"/>
        </w:rPr>
        <w:t>Rehearing Granted</w:t>
      </w:r>
    </w:p>
    <w:p w:rsidR="00596A19" w:rsidRPr="00596A19" w:rsidP="00596A19" w14:paraId="5A0E94E3" w14:textId="77777777">
      <w:pPr>
        <w:spacing w:after="0" w:line="240" w:lineRule="auto"/>
        <w:jc w:val="left"/>
        <w:rPr>
          <w:b/>
          <w:sz w:val="24"/>
          <w:szCs w:val="24"/>
        </w:rPr>
      </w:pPr>
      <w:r w:rsidRPr="00596A19">
        <w:rPr>
          <w:b/>
          <w:sz w:val="24"/>
          <w:szCs w:val="24"/>
        </w:rPr>
        <w:t xml:space="preserve">__________________________________________________________ </w:t>
      </w:r>
    </w:p>
    <w:p w:rsidR="00596A19" w:rsidRPr="00596A19" w:rsidP="00596A19" w14:paraId="7C72B63B" w14:textId="77777777">
      <w:pPr>
        <w:spacing w:after="0" w:line="240" w:lineRule="auto"/>
        <w:jc w:val="left"/>
        <w:rPr>
          <w:b/>
          <w:sz w:val="24"/>
          <w:szCs w:val="24"/>
        </w:rPr>
      </w:pPr>
    </w:p>
    <w:p w:rsidR="00596A19" w:rsidRPr="00596A19" w:rsidP="00596A19" w14:paraId="57C5F99B" w14:textId="77777777">
      <w:pPr>
        <w:spacing w:after="0" w:line="240" w:lineRule="auto"/>
        <w:jc w:val="left"/>
        <w:rPr>
          <w:bCs/>
          <w:sz w:val="24"/>
          <w:szCs w:val="24"/>
        </w:rPr>
      </w:pPr>
      <w:r w:rsidRPr="00596A19">
        <w:rPr>
          <w:b/>
          <w:sz w:val="24"/>
          <w:szCs w:val="24"/>
        </w:rPr>
        <w:t>Opinion No.</w:t>
      </w:r>
      <w:r w:rsidRPr="00596A19">
        <w:rPr>
          <w:sz w:val="24"/>
          <w:szCs w:val="24"/>
        </w:rPr>
        <w:t xml:space="preserve"> S277072</w:t>
      </w:r>
    </w:p>
    <w:p w:rsidR="00596A19" w:rsidRPr="00596A19" w:rsidP="00596A19" w14:paraId="61059908" w14:textId="77777777">
      <w:pPr>
        <w:spacing w:after="0" w:line="240" w:lineRule="auto"/>
        <w:jc w:val="left"/>
        <w:rPr>
          <w:bCs/>
          <w:sz w:val="24"/>
          <w:szCs w:val="24"/>
        </w:rPr>
      </w:pPr>
      <w:r w:rsidRPr="00596A19">
        <w:rPr>
          <w:b/>
          <w:sz w:val="24"/>
          <w:szCs w:val="24"/>
        </w:rPr>
        <w:t>Date Filed:</w:t>
      </w:r>
      <w:r w:rsidRPr="00596A19">
        <w:rPr>
          <w:sz w:val="24"/>
          <w:szCs w:val="24"/>
        </w:rPr>
        <w:t xml:space="preserve">  August 26, 2024</w:t>
      </w:r>
    </w:p>
    <w:p w:rsidR="00596A19" w:rsidRPr="00596A19" w:rsidP="00596A19" w14:paraId="2ECCAD10" w14:textId="77777777">
      <w:pPr>
        <w:spacing w:after="0" w:line="240" w:lineRule="auto"/>
        <w:jc w:val="left"/>
        <w:rPr>
          <w:b/>
          <w:sz w:val="24"/>
          <w:szCs w:val="24"/>
        </w:rPr>
      </w:pPr>
      <w:r w:rsidRPr="00596A19">
        <w:rPr>
          <w:b/>
          <w:sz w:val="24"/>
          <w:szCs w:val="24"/>
        </w:rPr>
        <w:t xml:space="preserve">__________________________________________________________ </w:t>
      </w:r>
    </w:p>
    <w:p w:rsidR="00596A19" w:rsidRPr="00596A19" w:rsidP="00596A19" w14:paraId="7D17FA87" w14:textId="77777777">
      <w:pPr>
        <w:spacing w:after="0" w:line="240" w:lineRule="auto"/>
        <w:jc w:val="left"/>
        <w:rPr>
          <w:b/>
          <w:sz w:val="24"/>
          <w:szCs w:val="24"/>
        </w:rPr>
      </w:pPr>
    </w:p>
    <w:p w:rsidR="00596A19" w:rsidRPr="00596A19" w:rsidP="00596A19" w14:paraId="1BF30455" w14:textId="77777777">
      <w:pPr>
        <w:spacing w:after="0" w:line="240" w:lineRule="auto"/>
        <w:jc w:val="left"/>
        <w:rPr>
          <w:bCs/>
          <w:sz w:val="24"/>
          <w:szCs w:val="24"/>
        </w:rPr>
      </w:pPr>
      <w:r w:rsidRPr="00596A19">
        <w:rPr>
          <w:b/>
          <w:sz w:val="24"/>
          <w:szCs w:val="24"/>
        </w:rPr>
        <w:t xml:space="preserve">Court:  </w:t>
      </w:r>
      <w:r w:rsidRPr="00596A19">
        <w:rPr>
          <w:bCs/>
          <w:sz w:val="24"/>
          <w:szCs w:val="24"/>
        </w:rPr>
        <w:t>Superior</w:t>
      </w:r>
      <w:r w:rsidRPr="00596A19">
        <w:rPr>
          <w:b/>
          <w:sz w:val="24"/>
          <w:szCs w:val="24"/>
        </w:rPr>
        <w:t xml:space="preserve"> </w:t>
      </w:r>
    </w:p>
    <w:p w:rsidR="00596A19" w:rsidRPr="00596A19" w:rsidP="00596A19" w14:paraId="54F9EAF3" w14:textId="77777777">
      <w:pPr>
        <w:spacing w:after="0" w:line="240" w:lineRule="auto"/>
        <w:jc w:val="left"/>
        <w:rPr>
          <w:bCs/>
          <w:sz w:val="24"/>
          <w:szCs w:val="24"/>
        </w:rPr>
      </w:pPr>
      <w:r w:rsidRPr="00596A19">
        <w:rPr>
          <w:b/>
          <w:sz w:val="24"/>
          <w:szCs w:val="24"/>
        </w:rPr>
        <w:t xml:space="preserve">County:  </w:t>
      </w:r>
      <w:r w:rsidRPr="00596A19">
        <w:rPr>
          <w:bCs/>
          <w:sz w:val="24"/>
          <w:szCs w:val="24"/>
        </w:rPr>
        <w:t>San Diego</w:t>
      </w:r>
    </w:p>
    <w:p w:rsidR="00596A19" w:rsidRPr="00596A19" w:rsidP="00596A19" w14:paraId="12B73D5A" w14:textId="77777777">
      <w:pPr>
        <w:spacing w:after="0" w:line="240" w:lineRule="auto"/>
        <w:ind w:left="720" w:hanging="720"/>
        <w:jc w:val="left"/>
        <w:rPr>
          <w:bCs/>
          <w:sz w:val="24"/>
          <w:szCs w:val="24"/>
        </w:rPr>
      </w:pPr>
      <w:r w:rsidRPr="00596A19">
        <w:rPr>
          <w:b/>
          <w:sz w:val="24"/>
          <w:szCs w:val="24"/>
        </w:rPr>
        <w:t xml:space="preserve">Judge: </w:t>
      </w:r>
      <w:r w:rsidRPr="00596A19">
        <w:rPr>
          <w:bCs/>
          <w:sz w:val="24"/>
          <w:szCs w:val="24"/>
        </w:rPr>
        <w:t xml:space="preserve"> Roderick Ward Shelton</w:t>
      </w:r>
    </w:p>
    <w:p w:rsidR="00596A19" w:rsidRPr="00596A19" w:rsidP="00596A19" w14:paraId="1AB96DB4" w14:textId="77777777">
      <w:pPr>
        <w:spacing w:after="0" w:line="240" w:lineRule="auto"/>
        <w:jc w:val="left"/>
        <w:rPr>
          <w:b/>
          <w:sz w:val="24"/>
          <w:szCs w:val="24"/>
        </w:rPr>
      </w:pPr>
      <w:r w:rsidRPr="00596A19">
        <w:rPr>
          <w:b/>
          <w:sz w:val="24"/>
          <w:szCs w:val="24"/>
        </w:rPr>
        <w:t xml:space="preserve">__________________________________________________________  </w:t>
      </w:r>
    </w:p>
    <w:p w:rsidR="00596A19" w:rsidRPr="00596A19" w:rsidP="00596A19" w14:paraId="56B25B38" w14:textId="77777777">
      <w:pPr>
        <w:spacing w:after="0" w:line="240" w:lineRule="auto"/>
        <w:jc w:val="left"/>
        <w:rPr>
          <w:b/>
          <w:sz w:val="24"/>
          <w:szCs w:val="24"/>
        </w:rPr>
      </w:pPr>
    </w:p>
    <w:p w:rsidR="00596A19" w:rsidRPr="00596A19" w:rsidP="00596A19" w14:paraId="13626277" w14:textId="77777777">
      <w:pPr>
        <w:spacing w:after="0" w:line="240" w:lineRule="auto"/>
        <w:jc w:val="left"/>
        <w:rPr>
          <w:b/>
          <w:sz w:val="24"/>
          <w:szCs w:val="24"/>
        </w:rPr>
      </w:pPr>
      <w:r w:rsidRPr="00596A19">
        <w:rPr>
          <w:b/>
          <w:sz w:val="24"/>
          <w:szCs w:val="24"/>
        </w:rPr>
        <w:t>Counsel:</w:t>
      </w:r>
    </w:p>
    <w:p w:rsidR="00596A19" w:rsidRPr="00596A19" w:rsidP="00596A19" w14:paraId="40683105" w14:textId="77777777">
      <w:pPr>
        <w:spacing w:after="0" w:line="240" w:lineRule="auto"/>
        <w:jc w:val="left"/>
        <w:rPr>
          <w:b/>
          <w:sz w:val="24"/>
          <w:szCs w:val="24"/>
        </w:rPr>
      </w:pPr>
    </w:p>
    <w:p w:rsidR="00596A19" w:rsidRPr="00596A19" w:rsidP="00596A19" w14:paraId="782D52B9" w14:textId="77777777">
      <w:pPr>
        <w:spacing w:after="0" w:line="240" w:lineRule="auto"/>
        <w:jc w:val="left"/>
        <w:rPr>
          <w:color w:val="212121"/>
          <w:sz w:val="24"/>
          <w:szCs w:val="24"/>
          <w:shd w:val="clear" w:color="auto" w:fill="FFFFFF"/>
        </w:rPr>
      </w:pPr>
      <w:r w:rsidRPr="00596A19">
        <w:rPr>
          <w:color w:val="212121"/>
          <w:sz w:val="24"/>
          <w:szCs w:val="24"/>
          <w:shd w:val="clear" w:color="auto" w:fill="FFFFFF"/>
        </w:rPr>
        <w:t xml:space="preserve">Megan Marcotte, Chief Deputy Alternate Public Defender, Vickie Fernandes, Gilson Gray and Anthony B. Parker, Deputy Alternate Public Defenders, for Petitioner Victor Raul Tellez. </w:t>
      </w:r>
    </w:p>
    <w:p w:rsidR="00596A19" w:rsidRPr="00596A19" w:rsidP="00596A19" w14:paraId="7DCB6F1A" w14:textId="77777777">
      <w:pPr>
        <w:spacing w:after="0" w:line="240" w:lineRule="auto"/>
        <w:jc w:val="left"/>
        <w:rPr>
          <w:color w:val="212121"/>
          <w:sz w:val="24"/>
          <w:szCs w:val="24"/>
          <w:shd w:val="clear" w:color="auto" w:fill="FFFFFF"/>
        </w:rPr>
      </w:pPr>
    </w:p>
    <w:p w:rsidR="00596A19" w:rsidRPr="00596A19" w:rsidP="00596A19" w14:paraId="007227DE" w14:textId="77777777">
      <w:pPr>
        <w:spacing w:after="0" w:line="240" w:lineRule="auto"/>
        <w:jc w:val="left"/>
        <w:rPr>
          <w:color w:val="212121"/>
          <w:sz w:val="24"/>
          <w:szCs w:val="24"/>
          <w:shd w:val="clear" w:color="auto" w:fill="FFFFFF"/>
        </w:rPr>
      </w:pPr>
      <w:r w:rsidRPr="00596A19">
        <w:rPr>
          <w:color w:val="212121"/>
          <w:sz w:val="24"/>
          <w:szCs w:val="24"/>
          <w:shd w:val="clear" w:color="auto" w:fill="FFFFFF"/>
        </w:rPr>
        <w:t>Ellen McDonnell, Public Defender (Contra Costa), Rachel Draznin-Nagy and Gilbert Rivera, Deputy Public Defenders, for the California Public Defenders Association as Amicus Curiae on behalf of Petitioner Victor Raul Tellez.</w:t>
      </w:r>
    </w:p>
    <w:p w:rsidR="00596A19" w:rsidRPr="00596A19" w:rsidP="00596A19" w14:paraId="36702705" w14:textId="77777777">
      <w:pPr>
        <w:spacing w:after="0" w:line="240" w:lineRule="auto"/>
        <w:jc w:val="left"/>
        <w:rPr>
          <w:color w:val="212121"/>
          <w:sz w:val="24"/>
          <w:szCs w:val="24"/>
          <w:shd w:val="clear" w:color="auto" w:fill="FFFFFF"/>
        </w:rPr>
      </w:pPr>
    </w:p>
    <w:p w:rsidR="00596A19" w:rsidRPr="00596A19" w:rsidP="00596A19" w14:paraId="0795CD94" w14:textId="77777777">
      <w:pPr>
        <w:spacing w:after="0" w:line="240" w:lineRule="auto"/>
        <w:jc w:val="left"/>
        <w:rPr>
          <w:color w:val="212121"/>
          <w:sz w:val="24"/>
          <w:szCs w:val="24"/>
          <w:shd w:val="clear" w:color="auto" w:fill="FFFFFF"/>
        </w:rPr>
      </w:pPr>
      <w:r w:rsidRPr="00596A19">
        <w:rPr>
          <w:color w:val="212121"/>
          <w:sz w:val="24"/>
          <w:szCs w:val="24"/>
          <w:shd w:val="clear" w:color="auto" w:fill="FFFFFF"/>
        </w:rPr>
        <w:t xml:space="preserve">Rob Bonta, Attorney General, Lance E. Winters, Chief Assistant Attorney General, Charles C. Ragland, Assistant Attorney General, Eric A. Swenson, Collette C. Cavalier, Melissa Mandel, Nora Weyl, Christine Y. Friedman and Joy Utomi, Deputy Attorneys General, for Respondent the People. </w:t>
      </w:r>
      <w:r w:rsidRPr="00596A19">
        <w:rPr>
          <w:color w:val="212121"/>
          <w:sz w:val="24"/>
          <w:szCs w:val="24"/>
          <w:shd w:val="clear" w:color="auto" w:fill="FFFFFF"/>
        </w:rPr>
        <w:br w:type="page"/>
      </w:r>
      <w:r w:rsidRPr="00596A19">
        <w:rPr>
          <w:b/>
          <w:sz w:val="24"/>
          <w:szCs w:val="24"/>
        </w:rPr>
        <w:t xml:space="preserve">Counsel who argued in Supreme Court (not intended for publication with opinion): </w:t>
      </w:r>
    </w:p>
    <w:p w:rsidR="00596A19" w:rsidRPr="00596A19" w:rsidP="00596A19" w14:paraId="18FC4EC8" w14:textId="77777777">
      <w:pPr>
        <w:spacing w:after="0" w:line="240" w:lineRule="auto"/>
        <w:jc w:val="left"/>
        <w:rPr>
          <w:color w:val="212121"/>
          <w:sz w:val="24"/>
          <w:szCs w:val="24"/>
          <w:shd w:val="clear" w:color="auto" w:fill="FFFFFF"/>
        </w:rPr>
      </w:pPr>
    </w:p>
    <w:p w:rsidR="00596A19" w:rsidRPr="00596A19" w:rsidP="00596A19" w14:paraId="226701FC" w14:textId="77777777">
      <w:pPr>
        <w:spacing w:after="0" w:line="240" w:lineRule="auto"/>
        <w:jc w:val="left"/>
        <w:rPr>
          <w:color w:val="212121"/>
          <w:sz w:val="24"/>
          <w:szCs w:val="24"/>
          <w:shd w:val="clear" w:color="auto" w:fill="FFFFFF"/>
        </w:rPr>
      </w:pPr>
      <w:r w:rsidRPr="00596A19">
        <w:rPr>
          <w:color w:val="212121"/>
          <w:sz w:val="24"/>
          <w:szCs w:val="24"/>
          <w:shd w:val="clear" w:color="auto" w:fill="FFFFFF"/>
        </w:rPr>
        <w:t>Anthony B. Parker</w:t>
      </w:r>
    </w:p>
    <w:p w:rsidR="00596A19" w:rsidRPr="00596A19" w:rsidP="00596A19" w14:paraId="64C3E448" w14:textId="77777777">
      <w:pPr>
        <w:spacing w:after="0" w:line="240" w:lineRule="auto"/>
        <w:jc w:val="left"/>
        <w:rPr>
          <w:color w:val="212121"/>
          <w:sz w:val="24"/>
          <w:szCs w:val="24"/>
          <w:shd w:val="clear" w:color="auto" w:fill="FFFFFF"/>
        </w:rPr>
      </w:pPr>
      <w:r w:rsidRPr="00596A19">
        <w:rPr>
          <w:color w:val="212121"/>
          <w:sz w:val="24"/>
          <w:szCs w:val="24"/>
          <w:shd w:val="clear" w:color="auto" w:fill="FFFFFF"/>
        </w:rPr>
        <w:t>Deputy Alternate Public Defender</w:t>
      </w:r>
    </w:p>
    <w:p w:rsidR="00596A19" w:rsidRPr="00596A19" w:rsidP="00596A19" w14:paraId="4A197FCA" w14:textId="77777777">
      <w:pPr>
        <w:spacing w:after="0" w:line="240" w:lineRule="auto"/>
        <w:jc w:val="left"/>
        <w:rPr>
          <w:color w:val="212121"/>
          <w:sz w:val="24"/>
          <w:szCs w:val="24"/>
          <w:shd w:val="clear" w:color="auto" w:fill="FFFFFF"/>
        </w:rPr>
      </w:pPr>
      <w:r w:rsidRPr="00596A19">
        <w:rPr>
          <w:color w:val="212121"/>
          <w:sz w:val="24"/>
          <w:szCs w:val="24"/>
          <w:shd w:val="clear" w:color="auto" w:fill="FFFFFF"/>
        </w:rPr>
        <w:t>451 A Street, Suite 1200</w:t>
      </w:r>
    </w:p>
    <w:p w:rsidR="00596A19" w:rsidRPr="00596A19" w:rsidP="00596A19" w14:paraId="4F4835DC" w14:textId="77777777">
      <w:pPr>
        <w:spacing w:after="0" w:line="240" w:lineRule="auto"/>
        <w:jc w:val="left"/>
        <w:rPr>
          <w:color w:val="212121"/>
          <w:sz w:val="24"/>
          <w:szCs w:val="24"/>
          <w:shd w:val="clear" w:color="auto" w:fill="FFFFFF"/>
        </w:rPr>
      </w:pPr>
      <w:r w:rsidRPr="00596A19">
        <w:rPr>
          <w:color w:val="212121"/>
          <w:sz w:val="24"/>
          <w:szCs w:val="24"/>
          <w:shd w:val="clear" w:color="auto" w:fill="FFFFFF"/>
        </w:rPr>
        <w:t>San Diego, CA 92101</w:t>
      </w:r>
    </w:p>
    <w:p w:rsidR="00596A19" w:rsidRPr="00596A19" w:rsidP="00596A19" w14:paraId="20470BB8" w14:textId="77777777">
      <w:pPr>
        <w:spacing w:after="0" w:line="240" w:lineRule="auto"/>
        <w:jc w:val="left"/>
        <w:rPr>
          <w:color w:val="212121"/>
          <w:sz w:val="24"/>
          <w:szCs w:val="24"/>
          <w:shd w:val="clear" w:color="auto" w:fill="FFFFFF"/>
        </w:rPr>
      </w:pPr>
      <w:r w:rsidRPr="00596A19">
        <w:rPr>
          <w:color w:val="212121"/>
          <w:sz w:val="24"/>
          <w:szCs w:val="24"/>
          <w:shd w:val="clear" w:color="auto" w:fill="FFFFFF"/>
        </w:rPr>
        <w:t>(619) 446-2934</w:t>
      </w:r>
    </w:p>
    <w:p w:rsidR="00596A19" w:rsidRPr="00596A19" w:rsidP="00596A19" w14:paraId="609960AB" w14:textId="77777777">
      <w:pPr>
        <w:spacing w:after="0" w:line="240" w:lineRule="auto"/>
        <w:jc w:val="left"/>
        <w:rPr>
          <w:color w:val="212121"/>
          <w:sz w:val="24"/>
          <w:szCs w:val="24"/>
          <w:shd w:val="clear" w:color="auto" w:fill="FFFFFF"/>
        </w:rPr>
      </w:pPr>
    </w:p>
    <w:p w:rsidR="00596A19" w:rsidRPr="00596A19" w:rsidP="00596A19" w14:paraId="771E5D41" w14:textId="77777777">
      <w:pPr>
        <w:spacing w:after="0" w:line="240" w:lineRule="auto"/>
        <w:jc w:val="left"/>
        <w:rPr>
          <w:color w:val="212121"/>
          <w:sz w:val="24"/>
          <w:szCs w:val="24"/>
          <w:shd w:val="clear" w:color="auto" w:fill="FFFFFF"/>
        </w:rPr>
      </w:pPr>
      <w:r w:rsidRPr="00596A19">
        <w:rPr>
          <w:color w:val="212121"/>
          <w:sz w:val="24"/>
          <w:szCs w:val="24"/>
          <w:shd w:val="clear" w:color="auto" w:fill="FFFFFF"/>
        </w:rPr>
        <w:t>Joy Utomi</w:t>
      </w:r>
    </w:p>
    <w:p w:rsidR="00596A19" w:rsidRPr="00596A19" w:rsidP="00596A19" w14:paraId="62EC7E59" w14:textId="77777777">
      <w:pPr>
        <w:spacing w:after="0" w:line="240" w:lineRule="auto"/>
        <w:jc w:val="left"/>
        <w:rPr>
          <w:color w:val="212121"/>
          <w:sz w:val="24"/>
          <w:szCs w:val="24"/>
          <w:shd w:val="clear" w:color="auto" w:fill="FFFFFF"/>
        </w:rPr>
      </w:pPr>
      <w:r w:rsidRPr="00596A19">
        <w:rPr>
          <w:color w:val="212121"/>
          <w:sz w:val="24"/>
          <w:szCs w:val="24"/>
          <w:shd w:val="clear" w:color="auto" w:fill="FFFFFF"/>
        </w:rPr>
        <w:t>Deputy Attorney General</w:t>
      </w:r>
    </w:p>
    <w:p w:rsidR="00596A19" w:rsidRPr="00596A19" w:rsidP="00596A19" w14:paraId="25B8005D" w14:textId="77777777">
      <w:pPr>
        <w:spacing w:after="0" w:line="240" w:lineRule="auto"/>
        <w:jc w:val="left"/>
        <w:rPr>
          <w:color w:val="212121"/>
          <w:sz w:val="24"/>
          <w:szCs w:val="24"/>
          <w:shd w:val="clear" w:color="auto" w:fill="FFFFFF"/>
        </w:rPr>
      </w:pPr>
      <w:r w:rsidRPr="00596A19">
        <w:rPr>
          <w:color w:val="212121"/>
          <w:sz w:val="24"/>
          <w:szCs w:val="24"/>
          <w:shd w:val="clear" w:color="auto" w:fill="FFFFFF"/>
        </w:rPr>
        <w:t>600 West Broadway, Suite 1800</w:t>
      </w:r>
    </w:p>
    <w:p w:rsidR="00596A19" w:rsidRPr="00596A19" w:rsidP="00596A19" w14:paraId="1EF2B612" w14:textId="77777777">
      <w:pPr>
        <w:spacing w:after="0" w:line="240" w:lineRule="auto"/>
        <w:jc w:val="left"/>
        <w:rPr>
          <w:color w:val="212121"/>
          <w:sz w:val="24"/>
          <w:szCs w:val="24"/>
          <w:shd w:val="clear" w:color="auto" w:fill="FFFFFF"/>
        </w:rPr>
      </w:pPr>
      <w:r w:rsidRPr="00596A19">
        <w:rPr>
          <w:color w:val="212121"/>
          <w:sz w:val="24"/>
          <w:szCs w:val="24"/>
          <w:shd w:val="clear" w:color="auto" w:fill="FFFFFF"/>
        </w:rPr>
        <w:t>San Diego, CA 92101</w:t>
      </w:r>
    </w:p>
    <w:p w:rsidR="00596A19" w:rsidRPr="00596A19" w:rsidP="00596A19" w14:paraId="603F928D" w14:textId="77777777">
      <w:pPr>
        <w:spacing w:after="0" w:line="240" w:lineRule="auto"/>
        <w:jc w:val="left"/>
        <w:rPr>
          <w:sz w:val="24"/>
          <w:szCs w:val="24"/>
        </w:rPr>
      </w:pPr>
      <w:r w:rsidRPr="00596A19">
        <w:rPr>
          <w:color w:val="212121"/>
          <w:sz w:val="24"/>
          <w:szCs w:val="24"/>
          <w:shd w:val="clear" w:color="auto" w:fill="FFFFFF"/>
        </w:rPr>
        <w:t>(619) 738-9117</w:t>
      </w:r>
    </w:p>
    <w:p w:rsidR="00995648" w:rsidRPr="00332B1B" w:rsidP="003C4D19" w14:paraId="382ED357" w14:textId="77777777">
      <w:pPr>
        <w:spacing w:after="0" w:line="240" w:lineRule="auto"/>
        <w:rPr>
          <w:b/>
          <w:bCs/>
          <w:szCs w:val="27"/>
        </w:rPr>
      </w:pPr>
    </w:p>
    <w:sectPr w:rsidSect="00596A19">
      <w:headerReference w:type="even" r:id="rId21"/>
      <w:headerReference w:type="default" r:id="rId22"/>
      <w:footerReference w:type="even" r:id="rId23"/>
      <w:footerReference w:type="default" r:id="rId24"/>
      <w:headerReference w:type="first" r:id="rId25"/>
      <w:footerReference w:type="first" r:id="rId26"/>
      <w:pgSz w:w="12240" w:h="15840"/>
      <w:pgMar w:top="1800" w:right="2160" w:bottom="1440" w:left="216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332D21" w14:paraId="39EDF757" w14:textId="77777777">
      <w:r>
        <w:separator/>
      </w:r>
    </w:p>
  </w:endnote>
  <w:endnote w:type="continuationSeparator" w:id="1">
    <w:p w:rsidR="00332D21" w14:paraId="413AF823" w14:textId="77777777">
      <w:r>
        <w:continuationSeparator/>
      </w:r>
    </w:p>
  </w:endnote>
  <w:endnote w:type="continuationNotice" w:id="2">
    <w:p w:rsidR="00332D21" w14:paraId="664824A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5DD" w14:paraId="0D8E5357"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3B1" w14:paraId="38C11F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5330" w14:paraId="1324B3C4" w14:textId="77777777">
    <w:pPr>
      <w:pStyle w:val="Footer"/>
    </w:pPr>
    <w:r>
      <w:fldChar w:fldCharType="begin"/>
    </w:r>
    <w:r>
      <w:instrText>PAGE</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5DD" w14:paraId="712E4F1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3EDE" w14:paraId="1F2610DC" w14:textId="77777777">
    <w:pPr>
      <w:pStyle w:val="Footer"/>
    </w:pPr>
    <w: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3B1" w14:paraId="4646DB8B"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3B1" w14:paraId="58FF17F7" w14:textId="77777777">
    <w:pPr>
      <w:pStyle w:val="Footer"/>
    </w:pPr>
    <w:r>
      <w:fldChar w:fldCharType="begin"/>
    </w:r>
    <w:r>
      <w:instrText>PAGE</w:instrText>
    </w:r>
    <w:r>
      <w:fldChar w:fldCharType="separate"/>
    </w:r>
    <w:r>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99732836"/>
      <w:docPartObj>
        <w:docPartGallery w:val="Page Numbers (Bottom of Page)"/>
        <w:docPartUnique/>
      </w:docPartObj>
    </w:sdtPr>
    <w:sdtEndPr>
      <w:rPr>
        <w:noProof/>
      </w:rPr>
    </w:sdtEndPr>
    <w:sdtContent>
      <w:p w:rsidR="006263B1" w14:paraId="4440EB51"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6263B1" w14:paraId="09906CC1"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3B1" w14:paraId="3CC828BA"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3B1" w14:paraId="5894C7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32D21" w14:paraId="77FDF1A6" w14:textId="77777777">
      <w:r>
        <w:separator/>
      </w:r>
    </w:p>
  </w:footnote>
  <w:footnote w:type="continuationSeparator" w:id="1">
    <w:p w:rsidR="00332D21" w14:paraId="16C56DBC" w14:textId="77777777">
      <w:pPr>
        <w:rPr>
          <w:sz w:val="22"/>
        </w:rPr>
      </w:pPr>
      <w:r>
        <w:continuationSeparator/>
      </w:r>
    </w:p>
  </w:footnote>
  <w:footnote w:type="continuationNotice" w:id="2">
    <w:p w:rsidR="00332D21" w14:paraId="03228CDE" w14:textId="77777777">
      <w:pPr>
        <w:jc w:val="right"/>
        <w:rPr>
          <w:i/>
          <w:sz w:val="20"/>
        </w:rPr>
      </w:pPr>
    </w:p>
  </w:footnote>
  <w:footnote w:id="3">
    <w:p w:rsidR="00434202" w14:paraId="664DF1DD" w14:textId="7D15D0C4">
      <w:pPr>
        <w:pStyle w:val="FootnoteText"/>
      </w:pPr>
      <w:r>
        <w:rPr>
          <w:rStyle w:val="FootnoteReference"/>
        </w:rPr>
        <w:footnoteRef/>
      </w:r>
      <w:r>
        <w:t xml:space="preserve"> </w:t>
      </w:r>
      <w:r>
        <w:tab/>
        <w:t>Subsequent unspecified statutory provisions refer to the Welfare and Institutions Code.</w:t>
      </w:r>
    </w:p>
  </w:footnote>
  <w:footnote w:id="4">
    <w:p w:rsidR="00F068B0" w:rsidP="00F068B0" w14:paraId="0921F655" w14:textId="77777777">
      <w:pPr>
        <w:pStyle w:val="FootnoteText"/>
      </w:pPr>
      <w:r>
        <w:rPr>
          <w:rStyle w:val="FootnoteReference"/>
        </w:rPr>
        <w:footnoteRef/>
      </w:r>
      <w:r>
        <w:t xml:space="preserve"> </w:t>
      </w:r>
      <w:r>
        <w:tab/>
        <w:t xml:space="preserve">The statutory scheme sets out steps to be taken if the originally appointed evaluators disagree as to their assessment.  (See § 6601, subds. (e), (f).)  </w:t>
      </w:r>
    </w:p>
  </w:footnote>
  <w:footnote w:id="5">
    <w:p w:rsidR="00706F64" w14:paraId="53CEB91C" w14:textId="58E9652D">
      <w:pPr>
        <w:pStyle w:val="FootnoteText"/>
      </w:pPr>
      <w:r>
        <w:rPr>
          <w:rStyle w:val="FootnoteReference"/>
        </w:rPr>
        <w:footnoteRef/>
      </w:r>
      <w:r>
        <w:t xml:space="preserve"> </w:t>
      </w:r>
      <w:r w:rsidR="00134509">
        <w:tab/>
      </w:r>
      <w:r w:rsidRPr="00706F64">
        <w:t>The county prosecutor may retain its own expert to independently review and testify whether an individual undergoing SVPA proceedings qualifies for civil commitment, but that expert cannot compel an individual to be interviewed or participate in testing before trial.  (</w:t>
      </w:r>
      <w:r w:rsidRPr="00706F64">
        <w:rPr>
          <w:i/>
          <w:iCs/>
        </w:rPr>
        <w:t>Needham v. Superior Court</w:t>
      </w:r>
      <w:r w:rsidRPr="00706F64">
        <w:t xml:space="preserve"> (</w:t>
      </w:r>
      <w:r w:rsidR="00D5243B">
        <w:t xml:space="preserve">July 1, </w:t>
      </w:r>
      <w:r w:rsidRPr="00706F64">
        <w:t>2024</w:t>
      </w:r>
      <w:r w:rsidR="00D5243B">
        <w:t>, S27</w:t>
      </w:r>
      <w:r w:rsidR="00953348">
        <w:t>6395</w:t>
      </w:r>
      <w:r w:rsidRPr="00706F64">
        <w:t xml:space="preserve">) </w:t>
      </w:r>
      <w:r w:rsidR="001C08B3">
        <w:t>16</w:t>
      </w:r>
      <w:r w:rsidRPr="00706F64">
        <w:t xml:space="preserve"> Cal.</w:t>
      </w:r>
      <w:r w:rsidR="005E70B1">
        <w:t>5th</w:t>
      </w:r>
      <w:r w:rsidRPr="00706F64">
        <w:t xml:space="preserve"> </w:t>
      </w:r>
      <w:r w:rsidR="001C08B3">
        <w:t>333</w:t>
      </w:r>
      <w:r w:rsidRPr="00706F64">
        <w:t xml:space="preserve">.) </w:t>
      </w:r>
    </w:p>
  </w:footnote>
  <w:footnote w:id="6">
    <w:p w:rsidR="0089549D" w:rsidP="0089549D" w14:paraId="4EF16BBD" w14:textId="77777777">
      <w:pPr>
        <w:pStyle w:val="FootnoteText"/>
      </w:pPr>
      <w:r>
        <w:rPr>
          <w:rStyle w:val="FootnoteReference"/>
        </w:rPr>
        <w:footnoteRef/>
      </w:r>
      <w:r>
        <w:t xml:space="preserve"> </w:t>
      </w:r>
      <w:r>
        <w:tab/>
        <w:t xml:space="preserve">Many factors can result in postponement of a final adjudication, including continuances to allow for an individual’s further treatment and evaluation.  </w:t>
      </w:r>
    </w:p>
  </w:footnote>
  <w:footnote w:id="7">
    <w:p w:rsidR="006A21E1" w:rsidRPr="007A4E09" w:rsidP="00BF3EDE" w14:paraId="4969DFDF" w14:textId="375F82EC">
      <w:pPr>
        <w:pStyle w:val="FootnoteText"/>
      </w:pPr>
      <w:r w:rsidRPr="007A4E09">
        <w:rPr>
          <w:rStyle w:val="FootnoteReference"/>
        </w:rPr>
        <w:footnoteRef/>
      </w:r>
      <w:r w:rsidRPr="007A4E09">
        <w:t xml:space="preserve"> </w:t>
      </w:r>
      <w:r w:rsidRPr="007A4E09">
        <w:tab/>
      </w:r>
      <w:r w:rsidRPr="007A4E09" w:rsidR="008C2395">
        <w:t>All internet citations in this opinion are archived by year, docket number and case name at &lt;http://www.courts.ca.gov/</w:t>
      </w:r>
      <w:r w:rsidR="00FF3E2E">
        <w:t xml:space="preserve"> </w:t>
      </w:r>
      <w:r w:rsidRPr="007A4E09" w:rsidR="008C2395">
        <w:t>38324.htm&gt;.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5DD" w14:paraId="5E22D1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3EDE" w14:paraId="567F1E93" w14:textId="0A27720E">
    <w:pPr>
      <w:pStyle w:val="Header"/>
    </w:pPr>
    <w:r>
      <w:t>In re TELLEZ</w:t>
    </w:r>
  </w:p>
  <w:p w:rsidR="00BF3EDE" w14:paraId="7DBB57CD" w14:textId="17244A89">
    <w:pPr>
      <w:pStyle w:val="Header"/>
    </w:pPr>
    <w:r>
      <w:t>Opinion of the Court by Evans, J.</w:t>
    </w:r>
  </w:p>
  <w:p w:rsidR="00BF3EDE" w14:paraId="14A861E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45DD" w14:paraId="69FF50F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3B1" w14:paraId="75040EA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3B1" w14:paraId="7080C510" w14:textId="7FC1C08B">
    <w:pPr>
      <w:pStyle w:val="Header"/>
    </w:pPr>
    <w:r>
      <w:t>I</w:t>
    </w:r>
    <w:r w:rsidR="00596B16">
      <w:t>n re</w:t>
    </w:r>
    <w:r>
      <w:t xml:space="preserve"> TELLEZ </w:t>
    </w:r>
  </w:p>
  <w:p w:rsidR="006263B1" w14:paraId="1714E4A9" w14:textId="77777777">
    <w:pPr>
      <w:pStyle w:val="Header"/>
    </w:pPr>
    <w:r>
      <w:t>Liu, J., concurring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3B1" w14:paraId="4097079B"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3B1" w14:paraId="01E6060A"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3B1" w14:paraId="55AEB704"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3B1" w14:paraId="3E499E0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intFractionalCharacterWidth/>
  <w:defaultTabStop w:val="720"/>
  <w:doNotHyphenateCaps/>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00"/>
    <w:rsid w:val="00000A18"/>
    <w:rsid w:val="00001202"/>
    <w:rsid w:val="000035FF"/>
    <w:rsid w:val="00005768"/>
    <w:rsid w:val="00010112"/>
    <w:rsid w:val="00010731"/>
    <w:rsid w:val="00010BB8"/>
    <w:rsid w:val="00012781"/>
    <w:rsid w:val="00013A0A"/>
    <w:rsid w:val="000161B1"/>
    <w:rsid w:val="00016476"/>
    <w:rsid w:val="0001664D"/>
    <w:rsid w:val="000228F7"/>
    <w:rsid w:val="00022CDB"/>
    <w:rsid w:val="0002357E"/>
    <w:rsid w:val="00023925"/>
    <w:rsid w:val="000245E5"/>
    <w:rsid w:val="000257AB"/>
    <w:rsid w:val="00025EDD"/>
    <w:rsid w:val="00027AA2"/>
    <w:rsid w:val="00032DDF"/>
    <w:rsid w:val="000336FA"/>
    <w:rsid w:val="00040043"/>
    <w:rsid w:val="000403C3"/>
    <w:rsid w:val="000411FD"/>
    <w:rsid w:val="0004221D"/>
    <w:rsid w:val="00042514"/>
    <w:rsid w:val="00043F21"/>
    <w:rsid w:val="00043FAC"/>
    <w:rsid w:val="000469CA"/>
    <w:rsid w:val="00050508"/>
    <w:rsid w:val="000527E2"/>
    <w:rsid w:val="000535DA"/>
    <w:rsid w:val="00054999"/>
    <w:rsid w:val="000553FF"/>
    <w:rsid w:val="00055AF5"/>
    <w:rsid w:val="0005612A"/>
    <w:rsid w:val="0005620F"/>
    <w:rsid w:val="0005667D"/>
    <w:rsid w:val="00056733"/>
    <w:rsid w:val="0005738C"/>
    <w:rsid w:val="00057755"/>
    <w:rsid w:val="00057AB2"/>
    <w:rsid w:val="00057BC0"/>
    <w:rsid w:val="00057D6E"/>
    <w:rsid w:val="0006030A"/>
    <w:rsid w:val="0006378C"/>
    <w:rsid w:val="00063BF0"/>
    <w:rsid w:val="00064769"/>
    <w:rsid w:val="000659AE"/>
    <w:rsid w:val="00066D78"/>
    <w:rsid w:val="00070998"/>
    <w:rsid w:val="00071C72"/>
    <w:rsid w:val="0007415C"/>
    <w:rsid w:val="00074DA7"/>
    <w:rsid w:val="000761B9"/>
    <w:rsid w:val="00077870"/>
    <w:rsid w:val="00077B7F"/>
    <w:rsid w:val="00080DA7"/>
    <w:rsid w:val="000831AD"/>
    <w:rsid w:val="00084E7A"/>
    <w:rsid w:val="00094850"/>
    <w:rsid w:val="0009533B"/>
    <w:rsid w:val="00096A87"/>
    <w:rsid w:val="00097195"/>
    <w:rsid w:val="00097EDD"/>
    <w:rsid w:val="000A0750"/>
    <w:rsid w:val="000A0D5C"/>
    <w:rsid w:val="000A17F1"/>
    <w:rsid w:val="000A1A24"/>
    <w:rsid w:val="000A1AC0"/>
    <w:rsid w:val="000A3E93"/>
    <w:rsid w:val="000A4537"/>
    <w:rsid w:val="000A7496"/>
    <w:rsid w:val="000A75D3"/>
    <w:rsid w:val="000A782C"/>
    <w:rsid w:val="000B1755"/>
    <w:rsid w:val="000B29F3"/>
    <w:rsid w:val="000B2F7B"/>
    <w:rsid w:val="000B4BBA"/>
    <w:rsid w:val="000B6818"/>
    <w:rsid w:val="000B7FBB"/>
    <w:rsid w:val="000C323F"/>
    <w:rsid w:val="000C3BB7"/>
    <w:rsid w:val="000D34D2"/>
    <w:rsid w:val="000E208D"/>
    <w:rsid w:val="000E22E9"/>
    <w:rsid w:val="000E5B4A"/>
    <w:rsid w:val="000E781E"/>
    <w:rsid w:val="000F26C1"/>
    <w:rsid w:val="000F40C1"/>
    <w:rsid w:val="000F4825"/>
    <w:rsid w:val="000F4851"/>
    <w:rsid w:val="000F5139"/>
    <w:rsid w:val="000F7338"/>
    <w:rsid w:val="00100758"/>
    <w:rsid w:val="00102F99"/>
    <w:rsid w:val="00103227"/>
    <w:rsid w:val="0010386A"/>
    <w:rsid w:val="00104AD0"/>
    <w:rsid w:val="00107018"/>
    <w:rsid w:val="0010710C"/>
    <w:rsid w:val="001109A0"/>
    <w:rsid w:val="00114348"/>
    <w:rsid w:val="0011481C"/>
    <w:rsid w:val="00114B06"/>
    <w:rsid w:val="00114BF6"/>
    <w:rsid w:val="0011540D"/>
    <w:rsid w:val="001157E6"/>
    <w:rsid w:val="001165A6"/>
    <w:rsid w:val="00117E55"/>
    <w:rsid w:val="001221F2"/>
    <w:rsid w:val="00125E7A"/>
    <w:rsid w:val="0012636F"/>
    <w:rsid w:val="0012670F"/>
    <w:rsid w:val="001300AE"/>
    <w:rsid w:val="001303ED"/>
    <w:rsid w:val="00131359"/>
    <w:rsid w:val="0013181D"/>
    <w:rsid w:val="00131873"/>
    <w:rsid w:val="00132C74"/>
    <w:rsid w:val="00133E1E"/>
    <w:rsid w:val="00134509"/>
    <w:rsid w:val="00136023"/>
    <w:rsid w:val="0013616C"/>
    <w:rsid w:val="0013685D"/>
    <w:rsid w:val="00142261"/>
    <w:rsid w:val="00143C64"/>
    <w:rsid w:val="001440A0"/>
    <w:rsid w:val="00144A0A"/>
    <w:rsid w:val="00150157"/>
    <w:rsid w:val="00153764"/>
    <w:rsid w:val="00154560"/>
    <w:rsid w:val="00157FD9"/>
    <w:rsid w:val="00162F0D"/>
    <w:rsid w:val="001651C3"/>
    <w:rsid w:val="00171F59"/>
    <w:rsid w:val="001721EC"/>
    <w:rsid w:val="001722C6"/>
    <w:rsid w:val="00172828"/>
    <w:rsid w:val="001738D3"/>
    <w:rsid w:val="00174C6E"/>
    <w:rsid w:val="001750F7"/>
    <w:rsid w:val="00175521"/>
    <w:rsid w:val="00176F17"/>
    <w:rsid w:val="00181EA6"/>
    <w:rsid w:val="0018263D"/>
    <w:rsid w:val="00183806"/>
    <w:rsid w:val="00183C8D"/>
    <w:rsid w:val="00185C67"/>
    <w:rsid w:val="0019030E"/>
    <w:rsid w:val="00193D00"/>
    <w:rsid w:val="00195B5A"/>
    <w:rsid w:val="001974B6"/>
    <w:rsid w:val="00197D3B"/>
    <w:rsid w:val="001A1622"/>
    <w:rsid w:val="001A2A89"/>
    <w:rsid w:val="001A2D31"/>
    <w:rsid w:val="001A3448"/>
    <w:rsid w:val="001A3816"/>
    <w:rsid w:val="001A47D7"/>
    <w:rsid w:val="001A5C73"/>
    <w:rsid w:val="001A704B"/>
    <w:rsid w:val="001A75B8"/>
    <w:rsid w:val="001B0220"/>
    <w:rsid w:val="001B0314"/>
    <w:rsid w:val="001B0D35"/>
    <w:rsid w:val="001B1FE6"/>
    <w:rsid w:val="001B3A1F"/>
    <w:rsid w:val="001B42A6"/>
    <w:rsid w:val="001B5A30"/>
    <w:rsid w:val="001B64E5"/>
    <w:rsid w:val="001B7FB9"/>
    <w:rsid w:val="001C08B3"/>
    <w:rsid w:val="001C1F87"/>
    <w:rsid w:val="001C4519"/>
    <w:rsid w:val="001C4664"/>
    <w:rsid w:val="001C5860"/>
    <w:rsid w:val="001C6459"/>
    <w:rsid w:val="001C7214"/>
    <w:rsid w:val="001D0DFD"/>
    <w:rsid w:val="001D1D51"/>
    <w:rsid w:val="001D1E43"/>
    <w:rsid w:val="001D275B"/>
    <w:rsid w:val="001D2D54"/>
    <w:rsid w:val="001D34B1"/>
    <w:rsid w:val="001D350C"/>
    <w:rsid w:val="001D365C"/>
    <w:rsid w:val="001D45B6"/>
    <w:rsid w:val="001D521C"/>
    <w:rsid w:val="001D5C31"/>
    <w:rsid w:val="001D6F51"/>
    <w:rsid w:val="001D723E"/>
    <w:rsid w:val="001D7485"/>
    <w:rsid w:val="001D76E7"/>
    <w:rsid w:val="001E0200"/>
    <w:rsid w:val="001E0D98"/>
    <w:rsid w:val="001E163C"/>
    <w:rsid w:val="001E2367"/>
    <w:rsid w:val="001E3A1F"/>
    <w:rsid w:val="001E3C7D"/>
    <w:rsid w:val="001E3D61"/>
    <w:rsid w:val="001E64BA"/>
    <w:rsid w:val="001E7E3A"/>
    <w:rsid w:val="001F1836"/>
    <w:rsid w:val="001F6203"/>
    <w:rsid w:val="001F6634"/>
    <w:rsid w:val="001F77EB"/>
    <w:rsid w:val="001F7E0C"/>
    <w:rsid w:val="001F7FE3"/>
    <w:rsid w:val="0020254A"/>
    <w:rsid w:val="002025C6"/>
    <w:rsid w:val="002030CF"/>
    <w:rsid w:val="00203958"/>
    <w:rsid w:val="00205C72"/>
    <w:rsid w:val="00205D8A"/>
    <w:rsid w:val="00211ED6"/>
    <w:rsid w:val="00212457"/>
    <w:rsid w:val="00212F27"/>
    <w:rsid w:val="00213253"/>
    <w:rsid w:val="002154C9"/>
    <w:rsid w:val="00216972"/>
    <w:rsid w:val="002215C7"/>
    <w:rsid w:val="002222E6"/>
    <w:rsid w:val="00223CDF"/>
    <w:rsid w:val="0022408B"/>
    <w:rsid w:val="00224FF9"/>
    <w:rsid w:val="00225C6C"/>
    <w:rsid w:val="00230518"/>
    <w:rsid w:val="002316B1"/>
    <w:rsid w:val="00233D2E"/>
    <w:rsid w:val="00236E01"/>
    <w:rsid w:val="002370F1"/>
    <w:rsid w:val="00237FAD"/>
    <w:rsid w:val="0024052D"/>
    <w:rsid w:val="00240834"/>
    <w:rsid w:val="00241061"/>
    <w:rsid w:val="002410C2"/>
    <w:rsid w:val="002417F0"/>
    <w:rsid w:val="00241C6C"/>
    <w:rsid w:val="00242367"/>
    <w:rsid w:val="0024311A"/>
    <w:rsid w:val="00245530"/>
    <w:rsid w:val="0024567D"/>
    <w:rsid w:val="00250E01"/>
    <w:rsid w:val="002515AF"/>
    <w:rsid w:val="00253542"/>
    <w:rsid w:val="00254237"/>
    <w:rsid w:val="00255C12"/>
    <w:rsid w:val="00257FCB"/>
    <w:rsid w:val="00260026"/>
    <w:rsid w:val="00260CD2"/>
    <w:rsid w:val="00261391"/>
    <w:rsid w:val="00261E69"/>
    <w:rsid w:val="00263C22"/>
    <w:rsid w:val="002641DB"/>
    <w:rsid w:val="00267524"/>
    <w:rsid w:val="002676A0"/>
    <w:rsid w:val="00271662"/>
    <w:rsid w:val="00276CEE"/>
    <w:rsid w:val="00280A55"/>
    <w:rsid w:val="00281042"/>
    <w:rsid w:val="0028288F"/>
    <w:rsid w:val="00283D58"/>
    <w:rsid w:val="00283E6D"/>
    <w:rsid w:val="002846D5"/>
    <w:rsid w:val="00285B55"/>
    <w:rsid w:val="00285C85"/>
    <w:rsid w:val="00286A0B"/>
    <w:rsid w:val="00286D91"/>
    <w:rsid w:val="00286F11"/>
    <w:rsid w:val="00287047"/>
    <w:rsid w:val="002959AF"/>
    <w:rsid w:val="00296405"/>
    <w:rsid w:val="002A147E"/>
    <w:rsid w:val="002A3C11"/>
    <w:rsid w:val="002A40CB"/>
    <w:rsid w:val="002A537E"/>
    <w:rsid w:val="002A5417"/>
    <w:rsid w:val="002A69EE"/>
    <w:rsid w:val="002A7A1F"/>
    <w:rsid w:val="002B02F9"/>
    <w:rsid w:val="002B09E0"/>
    <w:rsid w:val="002B3F6F"/>
    <w:rsid w:val="002B4506"/>
    <w:rsid w:val="002B4F76"/>
    <w:rsid w:val="002B6A03"/>
    <w:rsid w:val="002B7105"/>
    <w:rsid w:val="002B7ED8"/>
    <w:rsid w:val="002C06E6"/>
    <w:rsid w:val="002C1F99"/>
    <w:rsid w:val="002C5E9E"/>
    <w:rsid w:val="002D3005"/>
    <w:rsid w:val="002D333B"/>
    <w:rsid w:val="002D486A"/>
    <w:rsid w:val="002D595E"/>
    <w:rsid w:val="002D5F6F"/>
    <w:rsid w:val="002D76AC"/>
    <w:rsid w:val="002E46F4"/>
    <w:rsid w:val="002F05A7"/>
    <w:rsid w:val="002F2331"/>
    <w:rsid w:val="003013E7"/>
    <w:rsid w:val="00306E91"/>
    <w:rsid w:val="0030718F"/>
    <w:rsid w:val="00310711"/>
    <w:rsid w:val="003111D1"/>
    <w:rsid w:val="003111EE"/>
    <w:rsid w:val="00311405"/>
    <w:rsid w:val="00313A0A"/>
    <w:rsid w:val="00313DCC"/>
    <w:rsid w:val="00313DED"/>
    <w:rsid w:val="0031427A"/>
    <w:rsid w:val="0031543E"/>
    <w:rsid w:val="0031766D"/>
    <w:rsid w:val="00321F9B"/>
    <w:rsid w:val="0032257E"/>
    <w:rsid w:val="00322F0C"/>
    <w:rsid w:val="00324C2C"/>
    <w:rsid w:val="00324F68"/>
    <w:rsid w:val="0032799D"/>
    <w:rsid w:val="00332B1B"/>
    <w:rsid w:val="00332D21"/>
    <w:rsid w:val="00333C46"/>
    <w:rsid w:val="00336099"/>
    <w:rsid w:val="00337390"/>
    <w:rsid w:val="0034221B"/>
    <w:rsid w:val="00343235"/>
    <w:rsid w:val="00344366"/>
    <w:rsid w:val="00347264"/>
    <w:rsid w:val="00350D31"/>
    <w:rsid w:val="00351565"/>
    <w:rsid w:val="00351ACD"/>
    <w:rsid w:val="0035321D"/>
    <w:rsid w:val="0035355F"/>
    <w:rsid w:val="00355125"/>
    <w:rsid w:val="00355CAB"/>
    <w:rsid w:val="003579B3"/>
    <w:rsid w:val="00362355"/>
    <w:rsid w:val="0036404C"/>
    <w:rsid w:val="003677D6"/>
    <w:rsid w:val="00367E0D"/>
    <w:rsid w:val="00371281"/>
    <w:rsid w:val="00372838"/>
    <w:rsid w:val="00373149"/>
    <w:rsid w:val="0037321E"/>
    <w:rsid w:val="0037354D"/>
    <w:rsid w:val="00373B64"/>
    <w:rsid w:val="0037490D"/>
    <w:rsid w:val="003813B3"/>
    <w:rsid w:val="003826BA"/>
    <w:rsid w:val="00384D88"/>
    <w:rsid w:val="00386A28"/>
    <w:rsid w:val="00393D61"/>
    <w:rsid w:val="00394EB4"/>
    <w:rsid w:val="0039775B"/>
    <w:rsid w:val="003A2F92"/>
    <w:rsid w:val="003A3A91"/>
    <w:rsid w:val="003A5E15"/>
    <w:rsid w:val="003A61E3"/>
    <w:rsid w:val="003A67A1"/>
    <w:rsid w:val="003A6BDD"/>
    <w:rsid w:val="003A7824"/>
    <w:rsid w:val="003B19A9"/>
    <w:rsid w:val="003B5F7A"/>
    <w:rsid w:val="003B680B"/>
    <w:rsid w:val="003B6E21"/>
    <w:rsid w:val="003B7980"/>
    <w:rsid w:val="003C06F7"/>
    <w:rsid w:val="003C2A13"/>
    <w:rsid w:val="003C3CDA"/>
    <w:rsid w:val="003C4D19"/>
    <w:rsid w:val="003C51E8"/>
    <w:rsid w:val="003C7126"/>
    <w:rsid w:val="003D20B7"/>
    <w:rsid w:val="003D2D88"/>
    <w:rsid w:val="003D3F0F"/>
    <w:rsid w:val="003D4F16"/>
    <w:rsid w:val="003D6D01"/>
    <w:rsid w:val="003E0146"/>
    <w:rsid w:val="003E0347"/>
    <w:rsid w:val="003E4AFA"/>
    <w:rsid w:val="003E55DB"/>
    <w:rsid w:val="003E665D"/>
    <w:rsid w:val="003F00D1"/>
    <w:rsid w:val="003F1795"/>
    <w:rsid w:val="003F2037"/>
    <w:rsid w:val="003F3121"/>
    <w:rsid w:val="003F4355"/>
    <w:rsid w:val="003F6AB3"/>
    <w:rsid w:val="003F76D9"/>
    <w:rsid w:val="003F7C55"/>
    <w:rsid w:val="00400CDB"/>
    <w:rsid w:val="004016FA"/>
    <w:rsid w:val="004023B9"/>
    <w:rsid w:val="0040433F"/>
    <w:rsid w:val="00406728"/>
    <w:rsid w:val="004075DC"/>
    <w:rsid w:val="00411078"/>
    <w:rsid w:val="004119A7"/>
    <w:rsid w:val="00414F34"/>
    <w:rsid w:val="00414F71"/>
    <w:rsid w:val="00421852"/>
    <w:rsid w:val="00422DB3"/>
    <w:rsid w:val="004234BC"/>
    <w:rsid w:val="0042743C"/>
    <w:rsid w:val="00427DEC"/>
    <w:rsid w:val="004318C4"/>
    <w:rsid w:val="00434202"/>
    <w:rsid w:val="00434F06"/>
    <w:rsid w:val="00435954"/>
    <w:rsid w:val="00435A6C"/>
    <w:rsid w:val="00435C83"/>
    <w:rsid w:val="0043721C"/>
    <w:rsid w:val="0044148C"/>
    <w:rsid w:val="004504A4"/>
    <w:rsid w:val="00451001"/>
    <w:rsid w:val="00452D01"/>
    <w:rsid w:val="00457B87"/>
    <w:rsid w:val="00457C83"/>
    <w:rsid w:val="00457F44"/>
    <w:rsid w:val="00460764"/>
    <w:rsid w:val="00460D42"/>
    <w:rsid w:val="00461B89"/>
    <w:rsid w:val="00461C48"/>
    <w:rsid w:val="00461D0E"/>
    <w:rsid w:val="00466E69"/>
    <w:rsid w:val="004733B2"/>
    <w:rsid w:val="00473DA9"/>
    <w:rsid w:val="00473DB6"/>
    <w:rsid w:val="00474906"/>
    <w:rsid w:val="00475335"/>
    <w:rsid w:val="00475469"/>
    <w:rsid w:val="00476440"/>
    <w:rsid w:val="00480039"/>
    <w:rsid w:val="00484486"/>
    <w:rsid w:val="00490876"/>
    <w:rsid w:val="0049194B"/>
    <w:rsid w:val="004935A1"/>
    <w:rsid w:val="004A0EBD"/>
    <w:rsid w:val="004A1AFB"/>
    <w:rsid w:val="004A299E"/>
    <w:rsid w:val="004A3DF5"/>
    <w:rsid w:val="004A5B8E"/>
    <w:rsid w:val="004A6DAD"/>
    <w:rsid w:val="004A7FA5"/>
    <w:rsid w:val="004B09D9"/>
    <w:rsid w:val="004B15E3"/>
    <w:rsid w:val="004B3BB4"/>
    <w:rsid w:val="004B3CDF"/>
    <w:rsid w:val="004B4A86"/>
    <w:rsid w:val="004B57E5"/>
    <w:rsid w:val="004B6FC0"/>
    <w:rsid w:val="004C0365"/>
    <w:rsid w:val="004C1756"/>
    <w:rsid w:val="004C22F8"/>
    <w:rsid w:val="004C47BD"/>
    <w:rsid w:val="004D0BCF"/>
    <w:rsid w:val="004D1F64"/>
    <w:rsid w:val="004D3D6D"/>
    <w:rsid w:val="004D3F9D"/>
    <w:rsid w:val="004D51FC"/>
    <w:rsid w:val="004D6689"/>
    <w:rsid w:val="004E1310"/>
    <w:rsid w:val="004E2702"/>
    <w:rsid w:val="004E3DF1"/>
    <w:rsid w:val="004E3F2C"/>
    <w:rsid w:val="004E5E5F"/>
    <w:rsid w:val="004E6149"/>
    <w:rsid w:val="004E661D"/>
    <w:rsid w:val="004E7982"/>
    <w:rsid w:val="004F2070"/>
    <w:rsid w:val="004F31EC"/>
    <w:rsid w:val="004F79BE"/>
    <w:rsid w:val="005007E6"/>
    <w:rsid w:val="005029AC"/>
    <w:rsid w:val="005029FE"/>
    <w:rsid w:val="00507759"/>
    <w:rsid w:val="00507EFB"/>
    <w:rsid w:val="00510CE5"/>
    <w:rsid w:val="00511179"/>
    <w:rsid w:val="0051487C"/>
    <w:rsid w:val="00514AF4"/>
    <w:rsid w:val="0051510B"/>
    <w:rsid w:val="00515C85"/>
    <w:rsid w:val="00515FEB"/>
    <w:rsid w:val="005207C8"/>
    <w:rsid w:val="00520FDF"/>
    <w:rsid w:val="00522530"/>
    <w:rsid w:val="00522D4D"/>
    <w:rsid w:val="00523B2A"/>
    <w:rsid w:val="00523E76"/>
    <w:rsid w:val="00523F40"/>
    <w:rsid w:val="00525004"/>
    <w:rsid w:val="00525B7E"/>
    <w:rsid w:val="00526187"/>
    <w:rsid w:val="005266D0"/>
    <w:rsid w:val="005267F0"/>
    <w:rsid w:val="00527E2C"/>
    <w:rsid w:val="005329FF"/>
    <w:rsid w:val="00532BD9"/>
    <w:rsid w:val="00534997"/>
    <w:rsid w:val="00535CE8"/>
    <w:rsid w:val="00535FF8"/>
    <w:rsid w:val="00536058"/>
    <w:rsid w:val="00537A9B"/>
    <w:rsid w:val="00540E27"/>
    <w:rsid w:val="00543767"/>
    <w:rsid w:val="00544458"/>
    <w:rsid w:val="00545A6B"/>
    <w:rsid w:val="005470C5"/>
    <w:rsid w:val="0054713A"/>
    <w:rsid w:val="00547A71"/>
    <w:rsid w:val="00547C51"/>
    <w:rsid w:val="0055004E"/>
    <w:rsid w:val="00552E68"/>
    <w:rsid w:val="00553B86"/>
    <w:rsid w:val="0055743C"/>
    <w:rsid w:val="00561CCE"/>
    <w:rsid w:val="0056297C"/>
    <w:rsid w:val="00562B7C"/>
    <w:rsid w:val="0056550B"/>
    <w:rsid w:val="00565861"/>
    <w:rsid w:val="005669C6"/>
    <w:rsid w:val="00570BD8"/>
    <w:rsid w:val="00570EFC"/>
    <w:rsid w:val="00570F0F"/>
    <w:rsid w:val="00573065"/>
    <w:rsid w:val="00574073"/>
    <w:rsid w:val="005749DC"/>
    <w:rsid w:val="00576863"/>
    <w:rsid w:val="005779BF"/>
    <w:rsid w:val="00582A9D"/>
    <w:rsid w:val="00582C15"/>
    <w:rsid w:val="005831AF"/>
    <w:rsid w:val="0058728A"/>
    <w:rsid w:val="005905A7"/>
    <w:rsid w:val="00592584"/>
    <w:rsid w:val="00594D44"/>
    <w:rsid w:val="005963F5"/>
    <w:rsid w:val="00596A19"/>
    <w:rsid w:val="00596B16"/>
    <w:rsid w:val="005A11CE"/>
    <w:rsid w:val="005A132F"/>
    <w:rsid w:val="005A28B0"/>
    <w:rsid w:val="005A319B"/>
    <w:rsid w:val="005A674E"/>
    <w:rsid w:val="005B08BD"/>
    <w:rsid w:val="005B0C75"/>
    <w:rsid w:val="005B33B4"/>
    <w:rsid w:val="005B5E15"/>
    <w:rsid w:val="005B62A2"/>
    <w:rsid w:val="005B6472"/>
    <w:rsid w:val="005B76D5"/>
    <w:rsid w:val="005B791F"/>
    <w:rsid w:val="005C05EF"/>
    <w:rsid w:val="005C414F"/>
    <w:rsid w:val="005C42FA"/>
    <w:rsid w:val="005C4D3C"/>
    <w:rsid w:val="005C53AB"/>
    <w:rsid w:val="005C5976"/>
    <w:rsid w:val="005C615D"/>
    <w:rsid w:val="005C6E45"/>
    <w:rsid w:val="005D52BC"/>
    <w:rsid w:val="005D5C70"/>
    <w:rsid w:val="005D603C"/>
    <w:rsid w:val="005D657E"/>
    <w:rsid w:val="005E364A"/>
    <w:rsid w:val="005E5DEB"/>
    <w:rsid w:val="005E6076"/>
    <w:rsid w:val="005E632C"/>
    <w:rsid w:val="005E70B1"/>
    <w:rsid w:val="005F0D60"/>
    <w:rsid w:val="005F1619"/>
    <w:rsid w:val="005F2251"/>
    <w:rsid w:val="005F3D2D"/>
    <w:rsid w:val="005F4861"/>
    <w:rsid w:val="005F5480"/>
    <w:rsid w:val="005F5C4B"/>
    <w:rsid w:val="006015CB"/>
    <w:rsid w:val="00602DE2"/>
    <w:rsid w:val="0060334D"/>
    <w:rsid w:val="00603EEE"/>
    <w:rsid w:val="00607738"/>
    <w:rsid w:val="00610707"/>
    <w:rsid w:val="0061223D"/>
    <w:rsid w:val="006129D0"/>
    <w:rsid w:val="00613147"/>
    <w:rsid w:val="00614449"/>
    <w:rsid w:val="00615050"/>
    <w:rsid w:val="0061675C"/>
    <w:rsid w:val="00620592"/>
    <w:rsid w:val="00620A71"/>
    <w:rsid w:val="00620AFC"/>
    <w:rsid w:val="00620D67"/>
    <w:rsid w:val="00623227"/>
    <w:rsid w:val="006263B1"/>
    <w:rsid w:val="006266E2"/>
    <w:rsid w:val="00626765"/>
    <w:rsid w:val="00627447"/>
    <w:rsid w:val="00631577"/>
    <w:rsid w:val="00631912"/>
    <w:rsid w:val="00633487"/>
    <w:rsid w:val="00633C1F"/>
    <w:rsid w:val="0063657E"/>
    <w:rsid w:val="006379BC"/>
    <w:rsid w:val="00641F66"/>
    <w:rsid w:val="00642C3B"/>
    <w:rsid w:val="00646122"/>
    <w:rsid w:val="006464AE"/>
    <w:rsid w:val="00646601"/>
    <w:rsid w:val="006478C0"/>
    <w:rsid w:val="00647A78"/>
    <w:rsid w:val="00647EC3"/>
    <w:rsid w:val="006503AC"/>
    <w:rsid w:val="00650434"/>
    <w:rsid w:val="006527DD"/>
    <w:rsid w:val="00656B6A"/>
    <w:rsid w:val="00661A54"/>
    <w:rsid w:val="00661D63"/>
    <w:rsid w:val="00661EBE"/>
    <w:rsid w:val="006630CB"/>
    <w:rsid w:val="0066359C"/>
    <w:rsid w:val="00664999"/>
    <w:rsid w:val="00666D4A"/>
    <w:rsid w:val="006726F5"/>
    <w:rsid w:val="0067570F"/>
    <w:rsid w:val="006763FA"/>
    <w:rsid w:val="00681516"/>
    <w:rsid w:val="00682128"/>
    <w:rsid w:val="00682B1F"/>
    <w:rsid w:val="00683DF4"/>
    <w:rsid w:val="0068490D"/>
    <w:rsid w:val="00684CD7"/>
    <w:rsid w:val="00685371"/>
    <w:rsid w:val="00685CE9"/>
    <w:rsid w:val="00686D52"/>
    <w:rsid w:val="00690BE1"/>
    <w:rsid w:val="00692F58"/>
    <w:rsid w:val="00694E8A"/>
    <w:rsid w:val="00694FAF"/>
    <w:rsid w:val="006968CA"/>
    <w:rsid w:val="006A1026"/>
    <w:rsid w:val="006A2060"/>
    <w:rsid w:val="006A2135"/>
    <w:rsid w:val="006A21E1"/>
    <w:rsid w:val="006A221F"/>
    <w:rsid w:val="006A22AA"/>
    <w:rsid w:val="006A3133"/>
    <w:rsid w:val="006A6812"/>
    <w:rsid w:val="006A6D8B"/>
    <w:rsid w:val="006B10AD"/>
    <w:rsid w:val="006B2061"/>
    <w:rsid w:val="006B3454"/>
    <w:rsid w:val="006B3AF8"/>
    <w:rsid w:val="006B57F6"/>
    <w:rsid w:val="006B6477"/>
    <w:rsid w:val="006B6497"/>
    <w:rsid w:val="006C1087"/>
    <w:rsid w:val="006C4A4B"/>
    <w:rsid w:val="006C6F64"/>
    <w:rsid w:val="006C798A"/>
    <w:rsid w:val="006D2611"/>
    <w:rsid w:val="006D2E23"/>
    <w:rsid w:val="006D6C17"/>
    <w:rsid w:val="006D6C27"/>
    <w:rsid w:val="006D6DC9"/>
    <w:rsid w:val="006E11C0"/>
    <w:rsid w:val="006E2155"/>
    <w:rsid w:val="006E23B5"/>
    <w:rsid w:val="006E415F"/>
    <w:rsid w:val="006E6732"/>
    <w:rsid w:val="006F09D7"/>
    <w:rsid w:val="006F25E0"/>
    <w:rsid w:val="006F34C5"/>
    <w:rsid w:val="006F491B"/>
    <w:rsid w:val="006F7C45"/>
    <w:rsid w:val="00704FF0"/>
    <w:rsid w:val="00705324"/>
    <w:rsid w:val="00706F64"/>
    <w:rsid w:val="00711A4B"/>
    <w:rsid w:val="0071245F"/>
    <w:rsid w:val="00713418"/>
    <w:rsid w:val="00713716"/>
    <w:rsid w:val="00713A18"/>
    <w:rsid w:val="00713D07"/>
    <w:rsid w:val="00713D3F"/>
    <w:rsid w:val="0071403B"/>
    <w:rsid w:val="00716C1A"/>
    <w:rsid w:val="007179F6"/>
    <w:rsid w:val="00720B1D"/>
    <w:rsid w:val="0072366A"/>
    <w:rsid w:val="0072481F"/>
    <w:rsid w:val="007265DA"/>
    <w:rsid w:val="00726CD9"/>
    <w:rsid w:val="007271D0"/>
    <w:rsid w:val="00731310"/>
    <w:rsid w:val="00731C9A"/>
    <w:rsid w:val="00736436"/>
    <w:rsid w:val="007365D8"/>
    <w:rsid w:val="007370DE"/>
    <w:rsid w:val="00737926"/>
    <w:rsid w:val="007421F0"/>
    <w:rsid w:val="00742B26"/>
    <w:rsid w:val="00742F7B"/>
    <w:rsid w:val="00747D64"/>
    <w:rsid w:val="007511D6"/>
    <w:rsid w:val="00751422"/>
    <w:rsid w:val="00751692"/>
    <w:rsid w:val="00751C0C"/>
    <w:rsid w:val="00752188"/>
    <w:rsid w:val="0075272C"/>
    <w:rsid w:val="00754DFE"/>
    <w:rsid w:val="007628E4"/>
    <w:rsid w:val="007634CC"/>
    <w:rsid w:val="00763A9F"/>
    <w:rsid w:val="00763ADD"/>
    <w:rsid w:val="0076499F"/>
    <w:rsid w:val="00764BC2"/>
    <w:rsid w:val="00765BAF"/>
    <w:rsid w:val="007671CC"/>
    <w:rsid w:val="007703D6"/>
    <w:rsid w:val="0077305D"/>
    <w:rsid w:val="007736C7"/>
    <w:rsid w:val="00776101"/>
    <w:rsid w:val="00776792"/>
    <w:rsid w:val="0077768E"/>
    <w:rsid w:val="0078123A"/>
    <w:rsid w:val="00782DA7"/>
    <w:rsid w:val="00783BBD"/>
    <w:rsid w:val="00784653"/>
    <w:rsid w:val="00785469"/>
    <w:rsid w:val="0078572E"/>
    <w:rsid w:val="00786C00"/>
    <w:rsid w:val="00787269"/>
    <w:rsid w:val="007951B3"/>
    <w:rsid w:val="00795819"/>
    <w:rsid w:val="007959F8"/>
    <w:rsid w:val="007975D8"/>
    <w:rsid w:val="00797F06"/>
    <w:rsid w:val="007A037A"/>
    <w:rsid w:val="007A4E09"/>
    <w:rsid w:val="007A5B74"/>
    <w:rsid w:val="007A67EB"/>
    <w:rsid w:val="007A70E3"/>
    <w:rsid w:val="007B0181"/>
    <w:rsid w:val="007B075E"/>
    <w:rsid w:val="007B0D93"/>
    <w:rsid w:val="007B1CE3"/>
    <w:rsid w:val="007B26DC"/>
    <w:rsid w:val="007B326B"/>
    <w:rsid w:val="007B37D3"/>
    <w:rsid w:val="007B60F4"/>
    <w:rsid w:val="007B7A2D"/>
    <w:rsid w:val="007B7D16"/>
    <w:rsid w:val="007C0957"/>
    <w:rsid w:val="007C3261"/>
    <w:rsid w:val="007D120E"/>
    <w:rsid w:val="007D7399"/>
    <w:rsid w:val="007D7AD2"/>
    <w:rsid w:val="007E11B3"/>
    <w:rsid w:val="007E1B02"/>
    <w:rsid w:val="007E22E9"/>
    <w:rsid w:val="007E4998"/>
    <w:rsid w:val="007E4A13"/>
    <w:rsid w:val="007E5831"/>
    <w:rsid w:val="007E5CCF"/>
    <w:rsid w:val="007E66EF"/>
    <w:rsid w:val="007E7621"/>
    <w:rsid w:val="007E7B81"/>
    <w:rsid w:val="007E7DEC"/>
    <w:rsid w:val="007F515A"/>
    <w:rsid w:val="007F556E"/>
    <w:rsid w:val="007F6C5D"/>
    <w:rsid w:val="00800C18"/>
    <w:rsid w:val="00802E9D"/>
    <w:rsid w:val="0080714B"/>
    <w:rsid w:val="00807DCD"/>
    <w:rsid w:val="00810F89"/>
    <w:rsid w:val="008112D3"/>
    <w:rsid w:val="008124F7"/>
    <w:rsid w:val="00814C32"/>
    <w:rsid w:val="00815C3A"/>
    <w:rsid w:val="008164DA"/>
    <w:rsid w:val="0081681C"/>
    <w:rsid w:val="00816EB6"/>
    <w:rsid w:val="00821088"/>
    <w:rsid w:val="00822AE9"/>
    <w:rsid w:val="008234DD"/>
    <w:rsid w:val="00824662"/>
    <w:rsid w:val="008264DE"/>
    <w:rsid w:val="00830EAF"/>
    <w:rsid w:val="00831CEE"/>
    <w:rsid w:val="00831CFB"/>
    <w:rsid w:val="00832E29"/>
    <w:rsid w:val="0083396D"/>
    <w:rsid w:val="00833EC0"/>
    <w:rsid w:val="00834199"/>
    <w:rsid w:val="00834499"/>
    <w:rsid w:val="0083622E"/>
    <w:rsid w:val="00836A5D"/>
    <w:rsid w:val="00840332"/>
    <w:rsid w:val="00841680"/>
    <w:rsid w:val="00841CFF"/>
    <w:rsid w:val="008424C7"/>
    <w:rsid w:val="008453F3"/>
    <w:rsid w:val="00845595"/>
    <w:rsid w:val="00846241"/>
    <w:rsid w:val="00846D5C"/>
    <w:rsid w:val="0084787D"/>
    <w:rsid w:val="00850DDE"/>
    <w:rsid w:val="00853535"/>
    <w:rsid w:val="00853712"/>
    <w:rsid w:val="00853FB5"/>
    <w:rsid w:val="00856CC3"/>
    <w:rsid w:val="0085782B"/>
    <w:rsid w:val="00860B39"/>
    <w:rsid w:val="0086123A"/>
    <w:rsid w:val="008615B9"/>
    <w:rsid w:val="00861786"/>
    <w:rsid w:val="00863048"/>
    <w:rsid w:val="008636DB"/>
    <w:rsid w:val="00865EC8"/>
    <w:rsid w:val="00865FB8"/>
    <w:rsid w:val="00866B76"/>
    <w:rsid w:val="00867F76"/>
    <w:rsid w:val="008713A2"/>
    <w:rsid w:val="00871479"/>
    <w:rsid w:val="00873F53"/>
    <w:rsid w:val="00875161"/>
    <w:rsid w:val="00876F3C"/>
    <w:rsid w:val="00881962"/>
    <w:rsid w:val="0088307B"/>
    <w:rsid w:val="008830FC"/>
    <w:rsid w:val="00885895"/>
    <w:rsid w:val="00886DAF"/>
    <w:rsid w:val="00890E01"/>
    <w:rsid w:val="00891B84"/>
    <w:rsid w:val="008927DF"/>
    <w:rsid w:val="0089549D"/>
    <w:rsid w:val="00897CF7"/>
    <w:rsid w:val="008A237B"/>
    <w:rsid w:val="008A4BD4"/>
    <w:rsid w:val="008A5A69"/>
    <w:rsid w:val="008A79EE"/>
    <w:rsid w:val="008A7DCB"/>
    <w:rsid w:val="008B184A"/>
    <w:rsid w:val="008B1CF2"/>
    <w:rsid w:val="008B21D5"/>
    <w:rsid w:val="008B3C0A"/>
    <w:rsid w:val="008B4BB8"/>
    <w:rsid w:val="008B5201"/>
    <w:rsid w:val="008B5738"/>
    <w:rsid w:val="008B6C8E"/>
    <w:rsid w:val="008B717A"/>
    <w:rsid w:val="008C1872"/>
    <w:rsid w:val="008C188D"/>
    <w:rsid w:val="008C2395"/>
    <w:rsid w:val="008D07BF"/>
    <w:rsid w:val="008D38B0"/>
    <w:rsid w:val="008D3A45"/>
    <w:rsid w:val="008D527E"/>
    <w:rsid w:val="008D52B5"/>
    <w:rsid w:val="008D6810"/>
    <w:rsid w:val="008D694F"/>
    <w:rsid w:val="008D6CDD"/>
    <w:rsid w:val="008D77F4"/>
    <w:rsid w:val="008E1940"/>
    <w:rsid w:val="008E2439"/>
    <w:rsid w:val="008E3848"/>
    <w:rsid w:val="008E4F53"/>
    <w:rsid w:val="008E59A2"/>
    <w:rsid w:val="008E5C1C"/>
    <w:rsid w:val="008E6BBC"/>
    <w:rsid w:val="008F1E6E"/>
    <w:rsid w:val="008F20D1"/>
    <w:rsid w:val="008F2D6B"/>
    <w:rsid w:val="008F44E2"/>
    <w:rsid w:val="008F4B26"/>
    <w:rsid w:val="008F662B"/>
    <w:rsid w:val="008F665A"/>
    <w:rsid w:val="00902608"/>
    <w:rsid w:val="00902822"/>
    <w:rsid w:val="00902C04"/>
    <w:rsid w:val="00903B9E"/>
    <w:rsid w:val="009045A3"/>
    <w:rsid w:val="00904A14"/>
    <w:rsid w:val="00906553"/>
    <w:rsid w:val="00911174"/>
    <w:rsid w:val="00911175"/>
    <w:rsid w:val="00912AC3"/>
    <w:rsid w:val="00914B3F"/>
    <w:rsid w:val="00914FBA"/>
    <w:rsid w:val="00922456"/>
    <w:rsid w:val="00923919"/>
    <w:rsid w:val="009268E5"/>
    <w:rsid w:val="00930EB4"/>
    <w:rsid w:val="00937D88"/>
    <w:rsid w:val="00942FF8"/>
    <w:rsid w:val="00944233"/>
    <w:rsid w:val="00945683"/>
    <w:rsid w:val="00947CBD"/>
    <w:rsid w:val="00950994"/>
    <w:rsid w:val="00950CE1"/>
    <w:rsid w:val="009515C6"/>
    <w:rsid w:val="00951AA4"/>
    <w:rsid w:val="00953348"/>
    <w:rsid w:val="0095362F"/>
    <w:rsid w:val="00954473"/>
    <w:rsid w:val="00955E86"/>
    <w:rsid w:val="009560E1"/>
    <w:rsid w:val="0095684D"/>
    <w:rsid w:val="00957C3B"/>
    <w:rsid w:val="0096075F"/>
    <w:rsid w:val="0096246B"/>
    <w:rsid w:val="00962471"/>
    <w:rsid w:val="00966144"/>
    <w:rsid w:val="00966B88"/>
    <w:rsid w:val="00966CFE"/>
    <w:rsid w:val="009679B7"/>
    <w:rsid w:val="00970F0E"/>
    <w:rsid w:val="009730B5"/>
    <w:rsid w:val="00975CF1"/>
    <w:rsid w:val="00976099"/>
    <w:rsid w:val="0097721B"/>
    <w:rsid w:val="0098138B"/>
    <w:rsid w:val="0098198C"/>
    <w:rsid w:val="00981ADB"/>
    <w:rsid w:val="00982B11"/>
    <w:rsid w:val="009838AE"/>
    <w:rsid w:val="00983BED"/>
    <w:rsid w:val="00984D73"/>
    <w:rsid w:val="00985C8F"/>
    <w:rsid w:val="00987392"/>
    <w:rsid w:val="0098750C"/>
    <w:rsid w:val="00990F9E"/>
    <w:rsid w:val="00993F84"/>
    <w:rsid w:val="00994A5B"/>
    <w:rsid w:val="009953A3"/>
    <w:rsid w:val="00995648"/>
    <w:rsid w:val="00996355"/>
    <w:rsid w:val="00996750"/>
    <w:rsid w:val="00997CBE"/>
    <w:rsid w:val="009A05AC"/>
    <w:rsid w:val="009A0B4D"/>
    <w:rsid w:val="009A64E1"/>
    <w:rsid w:val="009A74FB"/>
    <w:rsid w:val="009B1951"/>
    <w:rsid w:val="009B2265"/>
    <w:rsid w:val="009B29B7"/>
    <w:rsid w:val="009B2C8D"/>
    <w:rsid w:val="009B35CA"/>
    <w:rsid w:val="009B4DC7"/>
    <w:rsid w:val="009B61DC"/>
    <w:rsid w:val="009B708B"/>
    <w:rsid w:val="009C14E4"/>
    <w:rsid w:val="009C1F49"/>
    <w:rsid w:val="009C3F04"/>
    <w:rsid w:val="009C3FDB"/>
    <w:rsid w:val="009C44AE"/>
    <w:rsid w:val="009C759B"/>
    <w:rsid w:val="009C765A"/>
    <w:rsid w:val="009D0D25"/>
    <w:rsid w:val="009D1993"/>
    <w:rsid w:val="009D1E5C"/>
    <w:rsid w:val="009E3E42"/>
    <w:rsid w:val="009E3EDD"/>
    <w:rsid w:val="009E4E0F"/>
    <w:rsid w:val="009F01DA"/>
    <w:rsid w:val="009F21BA"/>
    <w:rsid w:val="009F5CCA"/>
    <w:rsid w:val="009F77D2"/>
    <w:rsid w:val="00A01A35"/>
    <w:rsid w:val="00A02B59"/>
    <w:rsid w:val="00A0372C"/>
    <w:rsid w:val="00A039A0"/>
    <w:rsid w:val="00A0446D"/>
    <w:rsid w:val="00A060E0"/>
    <w:rsid w:val="00A07154"/>
    <w:rsid w:val="00A100C9"/>
    <w:rsid w:val="00A10693"/>
    <w:rsid w:val="00A118C5"/>
    <w:rsid w:val="00A12514"/>
    <w:rsid w:val="00A1301D"/>
    <w:rsid w:val="00A14098"/>
    <w:rsid w:val="00A152B2"/>
    <w:rsid w:val="00A16815"/>
    <w:rsid w:val="00A178DC"/>
    <w:rsid w:val="00A21CA6"/>
    <w:rsid w:val="00A22C84"/>
    <w:rsid w:val="00A23C74"/>
    <w:rsid w:val="00A24B2D"/>
    <w:rsid w:val="00A25716"/>
    <w:rsid w:val="00A30ED7"/>
    <w:rsid w:val="00A31DA5"/>
    <w:rsid w:val="00A32300"/>
    <w:rsid w:val="00A3592E"/>
    <w:rsid w:val="00A366B7"/>
    <w:rsid w:val="00A3681B"/>
    <w:rsid w:val="00A40300"/>
    <w:rsid w:val="00A40E55"/>
    <w:rsid w:val="00A416D4"/>
    <w:rsid w:val="00A4378E"/>
    <w:rsid w:val="00A43A00"/>
    <w:rsid w:val="00A43E6C"/>
    <w:rsid w:val="00A451DC"/>
    <w:rsid w:val="00A45A25"/>
    <w:rsid w:val="00A4684D"/>
    <w:rsid w:val="00A475A0"/>
    <w:rsid w:val="00A478C4"/>
    <w:rsid w:val="00A50215"/>
    <w:rsid w:val="00A50ABB"/>
    <w:rsid w:val="00A50F8E"/>
    <w:rsid w:val="00A52667"/>
    <w:rsid w:val="00A55FAF"/>
    <w:rsid w:val="00A5647D"/>
    <w:rsid w:val="00A64A9C"/>
    <w:rsid w:val="00A660AB"/>
    <w:rsid w:val="00A66150"/>
    <w:rsid w:val="00A66463"/>
    <w:rsid w:val="00A66E6A"/>
    <w:rsid w:val="00A675DC"/>
    <w:rsid w:val="00A67870"/>
    <w:rsid w:val="00A7119B"/>
    <w:rsid w:val="00A71D9C"/>
    <w:rsid w:val="00A72C42"/>
    <w:rsid w:val="00A742BC"/>
    <w:rsid w:val="00A75249"/>
    <w:rsid w:val="00A76F32"/>
    <w:rsid w:val="00A80911"/>
    <w:rsid w:val="00A83565"/>
    <w:rsid w:val="00A842C0"/>
    <w:rsid w:val="00A84682"/>
    <w:rsid w:val="00A87432"/>
    <w:rsid w:val="00A91F39"/>
    <w:rsid w:val="00AA08C5"/>
    <w:rsid w:val="00AA4511"/>
    <w:rsid w:val="00AA569C"/>
    <w:rsid w:val="00AA5B01"/>
    <w:rsid w:val="00AA6B93"/>
    <w:rsid w:val="00AB0C32"/>
    <w:rsid w:val="00AB10EA"/>
    <w:rsid w:val="00AB37A6"/>
    <w:rsid w:val="00AB6B55"/>
    <w:rsid w:val="00AB70D4"/>
    <w:rsid w:val="00AC0300"/>
    <w:rsid w:val="00AC03DD"/>
    <w:rsid w:val="00AC1962"/>
    <w:rsid w:val="00AC3216"/>
    <w:rsid w:val="00AC37AA"/>
    <w:rsid w:val="00AC408A"/>
    <w:rsid w:val="00AC4E20"/>
    <w:rsid w:val="00AD1766"/>
    <w:rsid w:val="00AD1ECC"/>
    <w:rsid w:val="00AD23BF"/>
    <w:rsid w:val="00AD285F"/>
    <w:rsid w:val="00AD2D62"/>
    <w:rsid w:val="00AD4090"/>
    <w:rsid w:val="00AD47CA"/>
    <w:rsid w:val="00AD4DC8"/>
    <w:rsid w:val="00AD5605"/>
    <w:rsid w:val="00AD5867"/>
    <w:rsid w:val="00AD5F45"/>
    <w:rsid w:val="00AD77D2"/>
    <w:rsid w:val="00AD7CD4"/>
    <w:rsid w:val="00AE07D6"/>
    <w:rsid w:val="00AE4A48"/>
    <w:rsid w:val="00AE5602"/>
    <w:rsid w:val="00AE609C"/>
    <w:rsid w:val="00AF0158"/>
    <w:rsid w:val="00AF02DD"/>
    <w:rsid w:val="00AF11F1"/>
    <w:rsid w:val="00AF1C8B"/>
    <w:rsid w:val="00AF225A"/>
    <w:rsid w:val="00AF2897"/>
    <w:rsid w:val="00AF2EB2"/>
    <w:rsid w:val="00AF3DAE"/>
    <w:rsid w:val="00AF5F88"/>
    <w:rsid w:val="00AF7B6F"/>
    <w:rsid w:val="00AF7D2A"/>
    <w:rsid w:val="00AF7EF3"/>
    <w:rsid w:val="00B00E8A"/>
    <w:rsid w:val="00B02D76"/>
    <w:rsid w:val="00B047C5"/>
    <w:rsid w:val="00B04C2E"/>
    <w:rsid w:val="00B052F2"/>
    <w:rsid w:val="00B11072"/>
    <w:rsid w:val="00B11B05"/>
    <w:rsid w:val="00B14FE7"/>
    <w:rsid w:val="00B17D88"/>
    <w:rsid w:val="00B203FD"/>
    <w:rsid w:val="00B20F17"/>
    <w:rsid w:val="00B229AC"/>
    <w:rsid w:val="00B23F2E"/>
    <w:rsid w:val="00B25348"/>
    <w:rsid w:val="00B255E3"/>
    <w:rsid w:val="00B265B4"/>
    <w:rsid w:val="00B304DB"/>
    <w:rsid w:val="00B30A83"/>
    <w:rsid w:val="00B3497C"/>
    <w:rsid w:val="00B34B08"/>
    <w:rsid w:val="00B34B1F"/>
    <w:rsid w:val="00B358B7"/>
    <w:rsid w:val="00B3664F"/>
    <w:rsid w:val="00B4198F"/>
    <w:rsid w:val="00B4371B"/>
    <w:rsid w:val="00B44E27"/>
    <w:rsid w:val="00B45F69"/>
    <w:rsid w:val="00B46197"/>
    <w:rsid w:val="00B468FB"/>
    <w:rsid w:val="00B47A58"/>
    <w:rsid w:val="00B50689"/>
    <w:rsid w:val="00B55B4F"/>
    <w:rsid w:val="00B5711B"/>
    <w:rsid w:val="00B60004"/>
    <w:rsid w:val="00B615CF"/>
    <w:rsid w:val="00B623DB"/>
    <w:rsid w:val="00B62557"/>
    <w:rsid w:val="00B67301"/>
    <w:rsid w:val="00B6731B"/>
    <w:rsid w:val="00B7119B"/>
    <w:rsid w:val="00B7175A"/>
    <w:rsid w:val="00B73DFB"/>
    <w:rsid w:val="00B77D80"/>
    <w:rsid w:val="00B80C94"/>
    <w:rsid w:val="00B8191D"/>
    <w:rsid w:val="00B8216A"/>
    <w:rsid w:val="00B83E40"/>
    <w:rsid w:val="00B8626A"/>
    <w:rsid w:val="00B871BE"/>
    <w:rsid w:val="00B876EF"/>
    <w:rsid w:val="00B87C0B"/>
    <w:rsid w:val="00B948C2"/>
    <w:rsid w:val="00B94F61"/>
    <w:rsid w:val="00B96F55"/>
    <w:rsid w:val="00B971F0"/>
    <w:rsid w:val="00B977B3"/>
    <w:rsid w:val="00BA1F83"/>
    <w:rsid w:val="00BA2661"/>
    <w:rsid w:val="00BA4460"/>
    <w:rsid w:val="00BA6A41"/>
    <w:rsid w:val="00BA73FA"/>
    <w:rsid w:val="00BA7C75"/>
    <w:rsid w:val="00BB7C93"/>
    <w:rsid w:val="00BB7C98"/>
    <w:rsid w:val="00BC0424"/>
    <w:rsid w:val="00BC131B"/>
    <w:rsid w:val="00BC1933"/>
    <w:rsid w:val="00BC221D"/>
    <w:rsid w:val="00BC3179"/>
    <w:rsid w:val="00BC3BB4"/>
    <w:rsid w:val="00BC4B44"/>
    <w:rsid w:val="00BC61CD"/>
    <w:rsid w:val="00BC7247"/>
    <w:rsid w:val="00BC7B89"/>
    <w:rsid w:val="00BD1E4B"/>
    <w:rsid w:val="00BD2B71"/>
    <w:rsid w:val="00BD2BC0"/>
    <w:rsid w:val="00BD41BC"/>
    <w:rsid w:val="00BD5C08"/>
    <w:rsid w:val="00BD607C"/>
    <w:rsid w:val="00BD7B6C"/>
    <w:rsid w:val="00BE15EF"/>
    <w:rsid w:val="00BE34D6"/>
    <w:rsid w:val="00BE6817"/>
    <w:rsid w:val="00BE6C67"/>
    <w:rsid w:val="00BF2A4D"/>
    <w:rsid w:val="00BF3EDE"/>
    <w:rsid w:val="00BF4186"/>
    <w:rsid w:val="00BF5B98"/>
    <w:rsid w:val="00BF77ED"/>
    <w:rsid w:val="00C0147B"/>
    <w:rsid w:val="00C03438"/>
    <w:rsid w:val="00C04AA8"/>
    <w:rsid w:val="00C04C57"/>
    <w:rsid w:val="00C0702B"/>
    <w:rsid w:val="00C07616"/>
    <w:rsid w:val="00C07FB4"/>
    <w:rsid w:val="00C10C99"/>
    <w:rsid w:val="00C1143C"/>
    <w:rsid w:val="00C15A21"/>
    <w:rsid w:val="00C23BF6"/>
    <w:rsid w:val="00C24597"/>
    <w:rsid w:val="00C246DD"/>
    <w:rsid w:val="00C25873"/>
    <w:rsid w:val="00C26EA6"/>
    <w:rsid w:val="00C3034D"/>
    <w:rsid w:val="00C303F0"/>
    <w:rsid w:val="00C31164"/>
    <w:rsid w:val="00C339AE"/>
    <w:rsid w:val="00C3439E"/>
    <w:rsid w:val="00C35DDD"/>
    <w:rsid w:val="00C36B10"/>
    <w:rsid w:val="00C400CE"/>
    <w:rsid w:val="00C40DBE"/>
    <w:rsid w:val="00C4135D"/>
    <w:rsid w:val="00C41DD0"/>
    <w:rsid w:val="00C43899"/>
    <w:rsid w:val="00C46DEE"/>
    <w:rsid w:val="00C47E58"/>
    <w:rsid w:val="00C51269"/>
    <w:rsid w:val="00C52471"/>
    <w:rsid w:val="00C528FD"/>
    <w:rsid w:val="00C5441C"/>
    <w:rsid w:val="00C575D6"/>
    <w:rsid w:val="00C627FB"/>
    <w:rsid w:val="00C66738"/>
    <w:rsid w:val="00C667EA"/>
    <w:rsid w:val="00C66BF4"/>
    <w:rsid w:val="00C7199B"/>
    <w:rsid w:val="00C7201E"/>
    <w:rsid w:val="00C7207D"/>
    <w:rsid w:val="00C7261A"/>
    <w:rsid w:val="00C72AF7"/>
    <w:rsid w:val="00C72E64"/>
    <w:rsid w:val="00C749CB"/>
    <w:rsid w:val="00C77013"/>
    <w:rsid w:val="00C7717C"/>
    <w:rsid w:val="00C8229C"/>
    <w:rsid w:val="00C8294A"/>
    <w:rsid w:val="00C83B88"/>
    <w:rsid w:val="00C83D6F"/>
    <w:rsid w:val="00C90196"/>
    <w:rsid w:val="00C902E0"/>
    <w:rsid w:val="00C90858"/>
    <w:rsid w:val="00C933F8"/>
    <w:rsid w:val="00C937C4"/>
    <w:rsid w:val="00C945DD"/>
    <w:rsid w:val="00C946D1"/>
    <w:rsid w:val="00C94EE5"/>
    <w:rsid w:val="00C953FF"/>
    <w:rsid w:val="00C96549"/>
    <w:rsid w:val="00C96C99"/>
    <w:rsid w:val="00CA089E"/>
    <w:rsid w:val="00CA2FF9"/>
    <w:rsid w:val="00CA3C78"/>
    <w:rsid w:val="00CA471B"/>
    <w:rsid w:val="00CA4FE5"/>
    <w:rsid w:val="00CA574D"/>
    <w:rsid w:val="00CA64A9"/>
    <w:rsid w:val="00CA7A08"/>
    <w:rsid w:val="00CB132F"/>
    <w:rsid w:val="00CB2840"/>
    <w:rsid w:val="00CB364D"/>
    <w:rsid w:val="00CB372D"/>
    <w:rsid w:val="00CB5B0B"/>
    <w:rsid w:val="00CB6A56"/>
    <w:rsid w:val="00CC0119"/>
    <w:rsid w:val="00CC0715"/>
    <w:rsid w:val="00CC2BFF"/>
    <w:rsid w:val="00CC345D"/>
    <w:rsid w:val="00CC3B00"/>
    <w:rsid w:val="00CC4B7D"/>
    <w:rsid w:val="00CC5472"/>
    <w:rsid w:val="00CC5ED4"/>
    <w:rsid w:val="00CC6B79"/>
    <w:rsid w:val="00CD04F0"/>
    <w:rsid w:val="00CD2451"/>
    <w:rsid w:val="00CD2DA3"/>
    <w:rsid w:val="00CD2F4E"/>
    <w:rsid w:val="00CD36BC"/>
    <w:rsid w:val="00CD3D72"/>
    <w:rsid w:val="00CD4E39"/>
    <w:rsid w:val="00CD562F"/>
    <w:rsid w:val="00CD5DBE"/>
    <w:rsid w:val="00CD6EA6"/>
    <w:rsid w:val="00CD73E3"/>
    <w:rsid w:val="00CD78F7"/>
    <w:rsid w:val="00CD7B9A"/>
    <w:rsid w:val="00CE490C"/>
    <w:rsid w:val="00CE4A9B"/>
    <w:rsid w:val="00CE56C3"/>
    <w:rsid w:val="00CE5CDE"/>
    <w:rsid w:val="00CE6943"/>
    <w:rsid w:val="00CE7A72"/>
    <w:rsid w:val="00CF0F09"/>
    <w:rsid w:val="00CF330D"/>
    <w:rsid w:val="00CF38D0"/>
    <w:rsid w:val="00CF63A5"/>
    <w:rsid w:val="00CF71C7"/>
    <w:rsid w:val="00D00362"/>
    <w:rsid w:val="00D0100B"/>
    <w:rsid w:val="00D01610"/>
    <w:rsid w:val="00D02DBE"/>
    <w:rsid w:val="00D03689"/>
    <w:rsid w:val="00D03B9A"/>
    <w:rsid w:val="00D0463E"/>
    <w:rsid w:val="00D10961"/>
    <w:rsid w:val="00D12946"/>
    <w:rsid w:val="00D14705"/>
    <w:rsid w:val="00D15C45"/>
    <w:rsid w:val="00D1627A"/>
    <w:rsid w:val="00D1778C"/>
    <w:rsid w:val="00D17E01"/>
    <w:rsid w:val="00D20B08"/>
    <w:rsid w:val="00D227B7"/>
    <w:rsid w:val="00D236BC"/>
    <w:rsid w:val="00D25CBA"/>
    <w:rsid w:val="00D2631C"/>
    <w:rsid w:val="00D30003"/>
    <w:rsid w:val="00D31EC1"/>
    <w:rsid w:val="00D32782"/>
    <w:rsid w:val="00D328B0"/>
    <w:rsid w:val="00D32B8D"/>
    <w:rsid w:val="00D337D7"/>
    <w:rsid w:val="00D34791"/>
    <w:rsid w:val="00D351BD"/>
    <w:rsid w:val="00D363FC"/>
    <w:rsid w:val="00D36A8B"/>
    <w:rsid w:val="00D4031B"/>
    <w:rsid w:val="00D42D34"/>
    <w:rsid w:val="00D4559B"/>
    <w:rsid w:val="00D47941"/>
    <w:rsid w:val="00D519CD"/>
    <w:rsid w:val="00D5243B"/>
    <w:rsid w:val="00D52DF7"/>
    <w:rsid w:val="00D55B33"/>
    <w:rsid w:val="00D5772B"/>
    <w:rsid w:val="00D6007F"/>
    <w:rsid w:val="00D62512"/>
    <w:rsid w:val="00D63D0D"/>
    <w:rsid w:val="00D63EE3"/>
    <w:rsid w:val="00D650A6"/>
    <w:rsid w:val="00D71154"/>
    <w:rsid w:val="00D73BAC"/>
    <w:rsid w:val="00D7593E"/>
    <w:rsid w:val="00D776D0"/>
    <w:rsid w:val="00D81C2D"/>
    <w:rsid w:val="00D829C0"/>
    <w:rsid w:val="00D8350A"/>
    <w:rsid w:val="00D8497E"/>
    <w:rsid w:val="00D85571"/>
    <w:rsid w:val="00D86317"/>
    <w:rsid w:val="00D86ADE"/>
    <w:rsid w:val="00D87017"/>
    <w:rsid w:val="00D87355"/>
    <w:rsid w:val="00D91961"/>
    <w:rsid w:val="00D926E0"/>
    <w:rsid w:val="00D936BE"/>
    <w:rsid w:val="00D94544"/>
    <w:rsid w:val="00D957BF"/>
    <w:rsid w:val="00D967C1"/>
    <w:rsid w:val="00D9707A"/>
    <w:rsid w:val="00D97AFB"/>
    <w:rsid w:val="00DA00CC"/>
    <w:rsid w:val="00DA2A03"/>
    <w:rsid w:val="00DA3879"/>
    <w:rsid w:val="00DA3AA5"/>
    <w:rsid w:val="00DB111F"/>
    <w:rsid w:val="00DB32EF"/>
    <w:rsid w:val="00DB4112"/>
    <w:rsid w:val="00DB7873"/>
    <w:rsid w:val="00DB7D64"/>
    <w:rsid w:val="00DC0499"/>
    <w:rsid w:val="00DC0BCD"/>
    <w:rsid w:val="00DC0FDA"/>
    <w:rsid w:val="00DC1522"/>
    <w:rsid w:val="00DC261A"/>
    <w:rsid w:val="00DC31BE"/>
    <w:rsid w:val="00DC5F54"/>
    <w:rsid w:val="00DD1354"/>
    <w:rsid w:val="00DD2DB7"/>
    <w:rsid w:val="00DD3B4C"/>
    <w:rsid w:val="00DD6226"/>
    <w:rsid w:val="00DD6872"/>
    <w:rsid w:val="00DE00FC"/>
    <w:rsid w:val="00DE0D6B"/>
    <w:rsid w:val="00DE0FEE"/>
    <w:rsid w:val="00DE107D"/>
    <w:rsid w:val="00DE6DFB"/>
    <w:rsid w:val="00DF00A3"/>
    <w:rsid w:val="00DF169A"/>
    <w:rsid w:val="00DF35C4"/>
    <w:rsid w:val="00DF3DA6"/>
    <w:rsid w:val="00DF586C"/>
    <w:rsid w:val="00DF59BC"/>
    <w:rsid w:val="00DF5DB1"/>
    <w:rsid w:val="00DF630B"/>
    <w:rsid w:val="00DF643E"/>
    <w:rsid w:val="00DF682C"/>
    <w:rsid w:val="00DF7D57"/>
    <w:rsid w:val="00E01BF4"/>
    <w:rsid w:val="00E03215"/>
    <w:rsid w:val="00E05330"/>
    <w:rsid w:val="00E05C2A"/>
    <w:rsid w:val="00E06A17"/>
    <w:rsid w:val="00E079C0"/>
    <w:rsid w:val="00E11D4C"/>
    <w:rsid w:val="00E12F29"/>
    <w:rsid w:val="00E13355"/>
    <w:rsid w:val="00E1704D"/>
    <w:rsid w:val="00E170DD"/>
    <w:rsid w:val="00E229D0"/>
    <w:rsid w:val="00E25230"/>
    <w:rsid w:val="00E25947"/>
    <w:rsid w:val="00E25AD9"/>
    <w:rsid w:val="00E27672"/>
    <w:rsid w:val="00E313C8"/>
    <w:rsid w:val="00E339AA"/>
    <w:rsid w:val="00E33E4A"/>
    <w:rsid w:val="00E3445A"/>
    <w:rsid w:val="00E35626"/>
    <w:rsid w:val="00E41DDB"/>
    <w:rsid w:val="00E427B9"/>
    <w:rsid w:val="00E42BEF"/>
    <w:rsid w:val="00E4331A"/>
    <w:rsid w:val="00E43524"/>
    <w:rsid w:val="00E45845"/>
    <w:rsid w:val="00E460A5"/>
    <w:rsid w:val="00E50E90"/>
    <w:rsid w:val="00E51833"/>
    <w:rsid w:val="00E53ABF"/>
    <w:rsid w:val="00E54987"/>
    <w:rsid w:val="00E57C73"/>
    <w:rsid w:val="00E60D6B"/>
    <w:rsid w:val="00E60E48"/>
    <w:rsid w:val="00E61D2F"/>
    <w:rsid w:val="00E64879"/>
    <w:rsid w:val="00E667F4"/>
    <w:rsid w:val="00E671B6"/>
    <w:rsid w:val="00E6734C"/>
    <w:rsid w:val="00E67A11"/>
    <w:rsid w:val="00E72670"/>
    <w:rsid w:val="00E728CF"/>
    <w:rsid w:val="00E77261"/>
    <w:rsid w:val="00E80AA2"/>
    <w:rsid w:val="00E835B7"/>
    <w:rsid w:val="00E93183"/>
    <w:rsid w:val="00E937B9"/>
    <w:rsid w:val="00E941E8"/>
    <w:rsid w:val="00E95964"/>
    <w:rsid w:val="00E961C0"/>
    <w:rsid w:val="00E9791B"/>
    <w:rsid w:val="00E97B4C"/>
    <w:rsid w:val="00EA1932"/>
    <w:rsid w:val="00EA1EB8"/>
    <w:rsid w:val="00EA32E0"/>
    <w:rsid w:val="00EA6B54"/>
    <w:rsid w:val="00EA72CC"/>
    <w:rsid w:val="00EB147B"/>
    <w:rsid w:val="00EB33D5"/>
    <w:rsid w:val="00EB34EB"/>
    <w:rsid w:val="00EB5067"/>
    <w:rsid w:val="00EB625B"/>
    <w:rsid w:val="00EB7268"/>
    <w:rsid w:val="00EB7282"/>
    <w:rsid w:val="00EC0410"/>
    <w:rsid w:val="00EC06B4"/>
    <w:rsid w:val="00EC0BA6"/>
    <w:rsid w:val="00EC0DC4"/>
    <w:rsid w:val="00EC3416"/>
    <w:rsid w:val="00EC363B"/>
    <w:rsid w:val="00EC4330"/>
    <w:rsid w:val="00EC43C5"/>
    <w:rsid w:val="00EC4430"/>
    <w:rsid w:val="00EC4A74"/>
    <w:rsid w:val="00EC5211"/>
    <w:rsid w:val="00EC546F"/>
    <w:rsid w:val="00EC54D7"/>
    <w:rsid w:val="00EC77E5"/>
    <w:rsid w:val="00ED41D3"/>
    <w:rsid w:val="00ED4709"/>
    <w:rsid w:val="00ED68FA"/>
    <w:rsid w:val="00ED6E51"/>
    <w:rsid w:val="00ED7784"/>
    <w:rsid w:val="00ED7BAE"/>
    <w:rsid w:val="00ED7C1F"/>
    <w:rsid w:val="00EE07E6"/>
    <w:rsid w:val="00EE1013"/>
    <w:rsid w:val="00EE1800"/>
    <w:rsid w:val="00EE2203"/>
    <w:rsid w:val="00EE3690"/>
    <w:rsid w:val="00EE4E04"/>
    <w:rsid w:val="00EE54AF"/>
    <w:rsid w:val="00EE5A77"/>
    <w:rsid w:val="00EE5B47"/>
    <w:rsid w:val="00EE62B0"/>
    <w:rsid w:val="00EF1FB3"/>
    <w:rsid w:val="00EF6137"/>
    <w:rsid w:val="00EF7E68"/>
    <w:rsid w:val="00F0111A"/>
    <w:rsid w:val="00F01BCD"/>
    <w:rsid w:val="00F04667"/>
    <w:rsid w:val="00F046A5"/>
    <w:rsid w:val="00F068B0"/>
    <w:rsid w:val="00F06E5B"/>
    <w:rsid w:val="00F07D0C"/>
    <w:rsid w:val="00F10061"/>
    <w:rsid w:val="00F10261"/>
    <w:rsid w:val="00F13C94"/>
    <w:rsid w:val="00F148AE"/>
    <w:rsid w:val="00F15506"/>
    <w:rsid w:val="00F16231"/>
    <w:rsid w:val="00F1777F"/>
    <w:rsid w:val="00F17863"/>
    <w:rsid w:val="00F213FC"/>
    <w:rsid w:val="00F23354"/>
    <w:rsid w:val="00F26D1D"/>
    <w:rsid w:val="00F27713"/>
    <w:rsid w:val="00F30E65"/>
    <w:rsid w:val="00F3137C"/>
    <w:rsid w:val="00F32DA5"/>
    <w:rsid w:val="00F34757"/>
    <w:rsid w:val="00F40E20"/>
    <w:rsid w:val="00F40FAA"/>
    <w:rsid w:val="00F43984"/>
    <w:rsid w:val="00F44C18"/>
    <w:rsid w:val="00F459CE"/>
    <w:rsid w:val="00F45C34"/>
    <w:rsid w:val="00F47495"/>
    <w:rsid w:val="00F5047A"/>
    <w:rsid w:val="00F51619"/>
    <w:rsid w:val="00F5385A"/>
    <w:rsid w:val="00F54973"/>
    <w:rsid w:val="00F552E2"/>
    <w:rsid w:val="00F5633B"/>
    <w:rsid w:val="00F5644B"/>
    <w:rsid w:val="00F56C0E"/>
    <w:rsid w:val="00F57EFA"/>
    <w:rsid w:val="00F606BD"/>
    <w:rsid w:val="00F61A40"/>
    <w:rsid w:val="00F638E8"/>
    <w:rsid w:val="00F64345"/>
    <w:rsid w:val="00F669C2"/>
    <w:rsid w:val="00F6781C"/>
    <w:rsid w:val="00F73534"/>
    <w:rsid w:val="00F75A10"/>
    <w:rsid w:val="00F768CB"/>
    <w:rsid w:val="00F76D64"/>
    <w:rsid w:val="00F77D40"/>
    <w:rsid w:val="00F81B16"/>
    <w:rsid w:val="00F829F3"/>
    <w:rsid w:val="00F84919"/>
    <w:rsid w:val="00F8497F"/>
    <w:rsid w:val="00F85757"/>
    <w:rsid w:val="00F86E07"/>
    <w:rsid w:val="00F915BA"/>
    <w:rsid w:val="00F91D0E"/>
    <w:rsid w:val="00F93188"/>
    <w:rsid w:val="00F96147"/>
    <w:rsid w:val="00F97C29"/>
    <w:rsid w:val="00FA0F8C"/>
    <w:rsid w:val="00FA19AB"/>
    <w:rsid w:val="00FA1F71"/>
    <w:rsid w:val="00FA3086"/>
    <w:rsid w:val="00FA3715"/>
    <w:rsid w:val="00FA40B5"/>
    <w:rsid w:val="00FB253D"/>
    <w:rsid w:val="00FB6D86"/>
    <w:rsid w:val="00FC095D"/>
    <w:rsid w:val="00FC113C"/>
    <w:rsid w:val="00FC3BD5"/>
    <w:rsid w:val="00FC405B"/>
    <w:rsid w:val="00FC52FF"/>
    <w:rsid w:val="00FC5F9F"/>
    <w:rsid w:val="00FD0D11"/>
    <w:rsid w:val="00FD1413"/>
    <w:rsid w:val="00FD3418"/>
    <w:rsid w:val="00FD5779"/>
    <w:rsid w:val="00FD618A"/>
    <w:rsid w:val="00FD6C7F"/>
    <w:rsid w:val="00FD6F07"/>
    <w:rsid w:val="00FD734F"/>
    <w:rsid w:val="00FD7875"/>
    <w:rsid w:val="00FE0583"/>
    <w:rsid w:val="00FE09E5"/>
    <w:rsid w:val="00FE36B1"/>
    <w:rsid w:val="00FF08FE"/>
    <w:rsid w:val="00FF1EF8"/>
    <w:rsid w:val="00FF204B"/>
    <w:rsid w:val="00FF2E8C"/>
    <w:rsid w:val="00FF3E2E"/>
    <w:rsid w:val="00FF46DB"/>
    <w:rsid w:val="00FF600C"/>
    <w:rsid w:val="00FF7A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53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B44"/>
    <w:pPr>
      <w:spacing w:after="100" w:line="400" w:lineRule="exact"/>
      <w:jc w:val="both"/>
    </w:pPr>
    <w:rPr>
      <w:rFonts w:ascii="Century Schoolbook" w:hAnsi="Century Schoolbook"/>
      <w:sz w:val="27"/>
    </w:rPr>
  </w:style>
  <w:style w:type="paragraph" w:styleId="Heading1">
    <w:name w:val="heading 1"/>
    <w:basedOn w:val="Normal"/>
    <w:next w:val="Normal"/>
    <w:qFormat/>
    <w:rsid w:val="00BF3EDE"/>
    <w:pPr>
      <w:keepNext/>
      <w:spacing w:before="140" w:line="240" w:lineRule="atLeast"/>
      <w:jc w:val="center"/>
      <w:outlineLvl w:val="0"/>
    </w:pPr>
    <w:rPr>
      <w:b/>
      <w:smallCaps/>
    </w:rPr>
  </w:style>
  <w:style w:type="paragraph" w:styleId="Heading2">
    <w:name w:val="heading 2"/>
    <w:basedOn w:val="Normal"/>
    <w:next w:val="Normal"/>
    <w:qFormat/>
    <w:rsid w:val="00BF3EDE"/>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qFormat/>
    <w:rsid w:val="00BF3EDE"/>
    <w:pPr>
      <w:keepNext/>
      <w:tabs>
        <w:tab w:val="left" w:pos="1584"/>
      </w:tabs>
      <w:spacing w:before="140" w:line="240" w:lineRule="atLeast"/>
      <w:ind w:left="1584" w:hanging="432"/>
      <w:jc w:val="left"/>
      <w:outlineLvl w:val="2"/>
    </w:pPr>
    <w:rPr>
      <w:i/>
    </w:rPr>
  </w:style>
  <w:style w:type="paragraph" w:styleId="Heading4">
    <w:name w:val="heading 4"/>
    <w:basedOn w:val="Normal"/>
    <w:rsid w:val="00BF3EDE"/>
    <w:pPr>
      <w:keepNext/>
      <w:tabs>
        <w:tab w:val="left" w:pos="2016"/>
      </w:tabs>
      <w:spacing w:before="140" w:line="240" w:lineRule="atLeast"/>
      <w:ind w:left="2016" w:hanging="432"/>
      <w:jc w:val="left"/>
      <w:outlineLvl w:val="3"/>
    </w:pPr>
    <w:rPr>
      <w:i/>
    </w:rPr>
  </w:style>
  <w:style w:type="paragraph" w:styleId="Heading5">
    <w:name w:val="heading 5"/>
    <w:basedOn w:val="Normal"/>
    <w:rsid w:val="00BF3EDE"/>
    <w:pPr>
      <w:keepNext/>
      <w:tabs>
        <w:tab w:val="left" w:pos="2448"/>
      </w:tabs>
      <w:spacing w:before="140" w:line="240" w:lineRule="atLeast"/>
      <w:ind w:left="2448" w:hanging="432"/>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BF3EDE"/>
    <w:pPr>
      <w:ind w:left="720"/>
    </w:pPr>
  </w:style>
  <w:style w:type="paragraph" w:styleId="Footer">
    <w:name w:val="footer"/>
    <w:basedOn w:val="Normal"/>
    <w:link w:val="FooterChar"/>
    <w:uiPriority w:val="99"/>
    <w:qFormat/>
    <w:rsid w:val="00BF3EDE"/>
    <w:pPr>
      <w:tabs>
        <w:tab w:val="center" w:pos="3960"/>
        <w:tab w:val="right" w:pos="10080"/>
      </w:tabs>
      <w:spacing w:after="0" w:line="240" w:lineRule="auto"/>
      <w:jc w:val="center"/>
    </w:pPr>
    <w:rPr>
      <w:sz w:val="22"/>
    </w:rPr>
  </w:style>
  <w:style w:type="paragraph" w:styleId="Header">
    <w:name w:val="header"/>
    <w:basedOn w:val="Normal"/>
    <w:qFormat/>
    <w:rsid w:val="00BF3EDE"/>
    <w:pPr>
      <w:tabs>
        <w:tab w:val="center" w:pos="3960"/>
        <w:tab w:val="right" w:pos="10080"/>
      </w:tabs>
      <w:spacing w:after="80" w:line="240" w:lineRule="auto"/>
      <w:jc w:val="center"/>
    </w:pPr>
    <w:rPr>
      <w:sz w:val="22"/>
    </w:rPr>
  </w:style>
  <w:style w:type="character" w:styleId="FootnoteReference">
    <w:name w:val="footnote reference"/>
    <w:basedOn w:val="DefaultParagraphFont"/>
    <w:rsid w:val="00BF3EDE"/>
    <w:rPr>
      <w:rFonts w:ascii="Century Schoolbook" w:hAnsi="Century Schoolbook"/>
      <w:b/>
      <w:i w:val="0"/>
      <w:position w:val="4"/>
      <w:sz w:val="27"/>
      <w:vertAlign w:val="superscript"/>
    </w:rPr>
  </w:style>
  <w:style w:type="paragraph" w:styleId="FootnoteText">
    <w:name w:val="footnote text"/>
    <w:basedOn w:val="Normal"/>
    <w:link w:val="FootnoteTextChar"/>
    <w:rsid w:val="00BF3EDE"/>
    <w:pPr>
      <w:spacing w:line="300" w:lineRule="exact"/>
    </w:pPr>
  </w:style>
  <w:style w:type="paragraph" w:customStyle="1" w:styleId="Title1">
    <w:name w:val="Title1"/>
    <w:basedOn w:val="Normal"/>
    <w:rsid w:val="00BF3EDE"/>
    <w:pPr>
      <w:tabs>
        <w:tab w:val="left" w:pos="5760"/>
        <w:tab w:val="left" w:pos="6480"/>
      </w:tabs>
      <w:spacing w:line="240" w:lineRule="atLeast"/>
    </w:pPr>
  </w:style>
  <w:style w:type="paragraph" w:customStyle="1" w:styleId="Recommend">
    <w:name w:val="Recommend"/>
    <w:basedOn w:val="Normal"/>
    <w:rsid w:val="00BF3EDE"/>
  </w:style>
  <w:style w:type="paragraph" w:customStyle="1" w:styleId="Summary">
    <w:name w:val="Summary"/>
    <w:basedOn w:val="Normal"/>
    <w:rsid w:val="00BF3EDE"/>
    <w:pPr>
      <w:ind w:left="2160" w:hanging="2160"/>
    </w:pPr>
  </w:style>
  <w:style w:type="paragraph" w:customStyle="1" w:styleId="Text">
    <w:name w:val="Text"/>
    <w:basedOn w:val="Normal"/>
    <w:rsid w:val="00BF3EDE"/>
    <w:pPr>
      <w:tabs>
        <w:tab w:val="left" w:pos="720"/>
        <w:tab w:val="left" w:pos="1440"/>
        <w:tab w:val="left" w:pos="2160"/>
        <w:tab w:val="center" w:pos="4320"/>
      </w:tabs>
      <w:spacing w:line="480" w:lineRule="atLeast"/>
      <w:ind w:firstLine="540"/>
    </w:pPr>
  </w:style>
  <w:style w:type="paragraph" w:styleId="Date">
    <w:name w:val="Date"/>
    <w:basedOn w:val="Normal"/>
    <w:semiHidden/>
    <w:rsid w:val="00BF3EDE"/>
    <w:pPr>
      <w:jc w:val="right"/>
    </w:pPr>
  </w:style>
  <w:style w:type="character" w:styleId="PageNumber">
    <w:name w:val="page number"/>
    <w:basedOn w:val="DefaultParagraphFont"/>
    <w:rsid w:val="00BF3EDE"/>
  </w:style>
  <w:style w:type="paragraph" w:customStyle="1" w:styleId="subject">
    <w:name w:val="subject"/>
    <w:basedOn w:val="Normal"/>
    <w:rsid w:val="00BF3EDE"/>
    <w:pPr>
      <w:tabs>
        <w:tab w:val="left" w:pos="1008"/>
      </w:tabs>
      <w:ind w:left="990" w:hanging="990"/>
    </w:pPr>
    <w:rPr>
      <w:b/>
    </w:rPr>
  </w:style>
  <w:style w:type="paragraph" w:customStyle="1" w:styleId="Titles">
    <w:name w:val="Titles"/>
    <w:basedOn w:val="Normal"/>
    <w:rsid w:val="00BF3EDE"/>
    <w:pPr>
      <w:tabs>
        <w:tab w:val="left" w:pos="2160"/>
      </w:tabs>
      <w:ind w:left="2160" w:hanging="2160"/>
    </w:pPr>
    <w:rPr>
      <w:b/>
    </w:rPr>
  </w:style>
  <w:style w:type="paragraph" w:styleId="TOAHeading">
    <w:name w:val="toa heading"/>
    <w:basedOn w:val="Normal"/>
    <w:next w:val="Normal"/>
    <w:semiHidden/>
    <w:rsid w:val="00BF3EDE"/>
    <w:pPr>
      <w:spacing w:before="120"/>
    </w:pPr>
    <w:rPr>
      <w:b/>
    </w:rPr>
  </w:style>
  <w:style w:type="paragraph" w:styleId="TOC1">
    <w:name w:val="toc 1"/>
    <w:basedOn w:val="Normal"/>
    <w:next w:val="Normal"/>
    <w:autoRedefine/>
    <w:semiHidden/>
    <w:rsid w:val="00BF3EDE"/>
  </w:style>
  <w:style w:type="paragraph" w:styleId="TOC2">
    <w:name w:val="toc 2"/>
    <w:basedOn w:val="Normal"/>
    <w:next w:val="Normal"/>
    <w:autoRedefine/>
    <w:semiHidden/>
    <w:rsid w:val="00BF3EDE"/>
    <w:pPr>
      <w:ind w:left="259"/>
    </w:pPr>
  </w:style>
  <w:style w:type="paragraph" w:styleId="TOC3">
    <w:name w:val="toc 3"/>
    <w:basedOn w:val="Normal"/>
    <w:next w:val="Normal"/>
    <w:autoRedefine/>
    <w:semiHidden/>
    <w:rsid w:val="00BF3EDE"/>
    <w:pPr>
      <w:ind w:left="520"/>
    </w:pPr>
  </w:style>
  <w:style w:type="paragraph" w:styleId="TOC4">
    <w:name w:val="toc 4"/>
    <w:basedOn w:val="Normal"/>
    <w:next w:val="Normal"/>
    <w:autoRedefine/>
    <w:semiHidden/>
    <w:rsid w:val="00BF3EDE"/>
    <w:pPr>
      <w:ind w:left="780"/>
    </w:pPr>
  </w:style>
  <w:style w:type="paragraph" w:styleId="TOC5">
    <w:name w:val="toc 5"/>
    <w:basedOn w:val="Normal"/>
    <w:next w:val="Normal"/>
    <w:autoRedefine/>
    <w:semiHidden/>
    <w:rsid w:val="00BF3EDE"/>
    <w:pPr>
      <w:ind w:left="1040"/>
    </w:pPr>
  </w:style>
  <w:style w:type="paragraph" w:styleId="TOC6">
    <w:name w:val="toc 6"/>
    <w:basedOn w:val="Normal"/>
    <w:next w:val="Normal"/>
    <w:autoRedefine/>
    <w:semiHidden/>
    <w:rsid w:val="00BF3EDE"/>
    <w:pPr>
      <w:ind w:left="1300"/>
    </w:pPr>
  </w:style>
  <w:style w:type="paragraph" w:styleId="TOC7">
    <w:name w:val="toc 7"/>
    <w:basedOn w:val="Normal"/>
    <w:next w:val="Normal"/>
    <w:autoRedefine/>
    <w:semiHidden/>
    <w:rsid w:val="00BF3EDE"/>
    <w:pPr>
      <w:ind w:left="1560"/>
    </w:pPr>
  </w:style>
  <w:style w:type="paragraph" w:styleId="TOC8">
    <w:name w:val="toc 8"/>
    <w:basedOn w:val="Normal"/>
    <w:next w:val="Normal"/>
    <w:autoRedefine/>
    <w:semiHidden/>
    <w:rsid w:val="00BF3EDE"/>
    <w:pPr>
      <w:ind w:left="1820"/>
    </w:pPr>
  </w:style>
  <w:style w:type="paragraph" w:styleId="TOC9">
    <w:name w:val="toc 9"/>
    <w:basedOn w:val="Normal"/>
    <w:next w:val="Normal"/>
    <w:autoRedefine/>
    <w:semiHidden/>
    <w:rsid w:val="00BF3EDE"/>
    <w:pPr>
      <w:ind w:left="2080"/>
    </w:pPr>
  </w:style>
  <w:style w:type="paragraph" w:customStyle="1" w:styleId="Contents">
    <w:name w:val="Contents"/>
    <w:basedOn w:val="Normal"/>
    <w:rsid w:val="00BF3EDE"/>
    <w:pPr>
      <w:jc w:val="center"/>
    </w:pPr>
    <w:rPr>
      <w:b/>
      <w:spacing w:val="100"/>
    </w:rPr>
  </w:style>
  <w:style w:type="character" w:styleId="PlaceholderText">
    <w:name w:val="Placeholder Text"/>
    <w:basedOn w:val="DefaultParagraphFont"/>
    <w:uiPriority w:val="99"/>
    <w:semiHidden/>
    <w:rsid w:val="00C3034D"/>
    <w:rPr>
      <w:color w:val="808080"/>
    </w:rPr>
  </w:style>
  <w:style w:type="character" w:styleId="CommentReference">
    <w:name w:val="annotation reference"/>
    <w:basedOn w:val="DefaultParagraphFont"/>
    <w:uiPriority w:val="99"/>
    <w:semiHidden/>
    <w:unhideWhenUsed/>
    <w:rsid w:val="00B25348"/>
    <w:rPr>
      <w:sz w:val="16"/>
      <w:szCs w:val="16"/>
    </w:rPr>
  </w:style>
  <w:style w:type="paragraph" w:styleId="CommentText">
    <w:name w:val="annotation text"/>
    <w:basedOn w:val="Normal"/>
    <w:link w:val="CommentTextChar"/>
    <w:uiPriority w:val="99"/>
    <w:unhideWhenUsed/>
    <w:rsid w:val="00B25348"/>
    <w:rPr>
      <w:sz w:val="20"/>
    </w:rPr>
  </w:style>
  <w:style w:type="character" w:customStyle="1" w:styleId="CommentTextChar">
    <w:name w:val="Comment Text Char"/>
    <w:basedOn w:val="DefaultParagraphFont"/>
    <w:link w:val="CommentText"/>
    <w:uiPriority w:val="99"/>
    <w:rsid w:val="00B25348"/>
  </w:style>
  <w:style w:type="paragraph" w:styleId="CommentSubject">
    <w:name w:val="annotation subject"/>
    <w:basedOn w:val="CommentText"/>
    <w:next w:val="CommentText"/>
    <w:link w:val="CommentSubjectChar"/>
    <w:uiPriority w:val="99"/>
    <w:semiHidden/>
    <w:unhideWhenUsed/>
    <w:rsid w:val="00B25348"/>
    <w:rPr>
      <w:b/>
      <w:bCs/>
    </w:rPr>
  </w:style>
  <w:style w:type="character" w:customStyle="1" w:styleId="CommentSubjectChar">
    <w:name w:val="Comment Subject Char"/>
    <w:basedOn w:val="CommentTextChar"/>
    <w:link w:val="CommentSubject"/>
    <w:uiPriority w:val="99"/>
    <w:semiHidden/>
    <w:rsid w:val="00B25348"/>
    <w:rPr>
      <w:b/>
      <w:bCs/>
    </w:rPr>
  </w:style>
  <w:style w:type="paragraph" w:styleId="Revision">
    <w:name w:val="Revision"/>
    <w:hidden/>
    <w:uiPriority w:val="99"/>
    <w:semiHidden/>
    <w:rsid w:val="004E3DF1"/>
    <w:rPr>
      <w:sz w:val="26"/>
    </w:rPr>
  </w:style>
  <w:style w:type="character" w:styleId="Hyperlink">
    <w:name w:val="Hyperlink"/>
    <w:basedOn w:val="DefaultParagraphFont"/>
    <w:uiPriority w:val="99"/>
    <w:unhideWhenUsed/>
    <w:rsid w:val="005D5C70"/>
    <w:rPr>
      <w:color w:val="0000FF" w:themeColor="hyperlink"/>
      <w:u w:val="single"/>
    </w:rPr>
  </w:style>
  <w:style w:type="character" w:styleId="UnresolvedMention">
    <w:name w:val="Unresolved Mention"/>
    <w:basedOn w:val="DefaultParagraphFont"/>
    <w:uiPriority w:val="99"/>
    <w:semiHidden/>
    <w:unhideWhenUsed/>
    <w:rsid w:val="005D5C70"/>
    <w:rPr>
      <w:color w:val="605E5C"/>
      <w:shd w:val="clear" w:color="auto" w:fill="E1DFDD"/>
    </w:rPr>
  </w:style>
  <w:style w:type="character" w:styleId="FollowedHyperlink">
    <w:name w:val="FollowedHyperlink"/>
    <w:basedOn w:val="DefaultParagraphFont"/>
    <w:uiPriority w:val="99"/>
    <w:semiHidden/>
    <w:unhideWhenUsed/>
    <w:rsid w:val="00D17E01"/>
    <w:rPr>
      <w:color w:val="800080" w:themeColor="followedHyperlink"/>
      <w:u w:val="single"/>
    </w:rPr>
  </w:style>
  <w:style w:type="paragraph" w:styleId="BodyText">
    <w:name w:val="Body Text"/>
    <w:basedOn w:val="Normal"/>
    <w:link w:val="BodyTextChar"/>
    <w:qFormat/>
    <w:rsid w:val="00BF3EDE"/>
  </w:style>
  <w:style w:type="character" w:customStyle="1" w:styleId="BodyTextChar">
    <w:name w:val="Body Text Char"/>
    <w:basedOn w:val="DefaultParagraphFont"/>
    <w:link w:val="BodyText"/>
    <w:rsid w:val="00BF3EDE"/>
    <w:rPr>
      <w:rFonts w:ascii="Century Schoolbook" w:hAnsi="Century Schoolbook"/>
      <w:sz w:val="27"/>
    </w:rPr>
  </w:style>
  <w:style w:type="character" w:customStyle="1" w:styleId="cohl">
    <w:name w:val="co_hl"/>
    <w:basedOn w:val="DefaultParagraphFont"/>
    <w:rsid w:val="00AA5B01"/>
  </w:style>
  <w:style w:type="character" w:customStyle="1" w:styleId="FootnoteTextChar">
    <w:name w:val="Footnote Text Char"/>
    <w:basedOn w:val="DefaultParagraphFont"/>
    <w:link w:val="FootnoteText"/>
    <w:rsid w:val="00BC4B44"/>
    <w:rPr>
      <w:rFonts w:ascii="Century Schoolbook" w:hAnsi="Century Schoolbook"/>
      <w:sz w:val="27"/>
    </w:rPr>
  </w:style>
  <w:style w:type="character" w:customStyle="1" w:styleId="FooterChar">
    <w:name w:val="Footer Char"/>
    <w:basedOn w:val="DefaultParagraphFont"/>
    <w:link w:val="Footer"/>
    <w:uiPriority w:val="99"/>
    <w:rsid w:val="00631577"/>
    <w:rPr>
      <w:rFonts w:ascii="Century Schoolbook" w:hAnsi="Century School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image" Target="media/image1.png"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header" Target="header6.xml" /><Relationship Id="rId2" Type="http://schemas.openxmlformats.org/officeDocument/2006/relationships/endnotes" Target="endnotes.xml" /><Relationship Id="rId20" Type="http://schemas.openxmlformats.org/officeDocument/2006/relationships/footer" Target="footer7.xml" /><Relationship Id="rId21" Type="http://schemas.openxmlformats.org/officeDocument/2006/relationships/header" Target="header7.xml" /><Relationship Id="rId22" Type="http://schemas.openxmlformats.org/officeDocument/2006/relationships/header" Target="header8.xml" /><Relationship Id="rId23" Type="http://schemas.openxmlformats.org/officeDocument/2006/relationships/footer" Target="footer8.xml" /><Relationship Id="rId24" Type="http://schemas.openxmlformats.org/officeDocument/2006/relationships/footer" Target="footer9.xml" /><Relationship Id="rId25" Type="http://schemas.openxmlformats.org/officeDocument/2006/relationships/header" Target="header9.xml" /><Relationship Id="rId26" Type="http://schemas.openxmlformats.org/officeDocument/2006/relationships/footer" Target="footer10.xm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5E3D5-D9F4-4A09-BF2D-D1AAA205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6787</Words>
  <Characters>38686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2024-08-26T14:02:03Z</dcterms:created>
  <dcterms:modified xsi:type="dcterms:W3CDTF">2024-08-26T14:02:03Z</dcterms:modified>
</cp:coreProperties>
</file>