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EF7E64" w:rsidP="00C76FE0" w14:paraId="2B05F40E" w14:textId="77777777">
      <w:pPr>
        <w:tabs>
          <w:tab w:val="left" w:pos="1440"/>
          <w:tab w:val="left" w:pos="4680"/>
          <w:tab w:val="center" w:pos="7200"/>
        </w:tabs>
        <w:spacing w:after="0"/>
        <w:jc w:val="center"/>
        <w:rPr>
          <w:sz w:val="36"/>
          <w:szCs w:val="26"/>
        </w:rPr>
      </w:pPr>
      <w:bookmarkStart w:id="0" w:name="MarkDocLoc"/>
      <w:bookmarkEnd w:id="0"/>
      <w:r>
        <w:rPr>
          <w:b/>
          <w:sz w:val="36"/>
          <w:szCs w:val="26"/>
        </w:rPr>
        <w:t>IN THE SUPREME COURT OF CALIFORNIA</w:t>
      </w:r>
    </w:p>
    <w:p w:rsidR="00C76FE0" w:rsidP="00C76FE0" w14:paraId="2B05F40F" w14:textId="77777777">
      <w:pPr>
        <w:tabs>
          <w:tab w:val="left" w:pos="1440"/>
          <w:tab w:val="left" w:pos="4680"/>
          <w:tab w:val="center" w:pos="7200"/>
        </w:tabs>
        <w:spacing w:after="0"/>
        <w:jc w:val="center"/>
        <w:rPr>
          <w:szCs w:val="26"/>
        </w:rPr>
      </w:pPr>
    </w:p>
    <w:p w:rsidR="00C76FE0" w:rsidP="00C76FE0" w14:paraId="2B05F410" w14:textId="77777777">
      <w:pPr>
        <w:tabs>
          <w:tab w:val="left" w:pos="1440"/>
          <w:tab w:val="left" w:pos="4680"/>
          <w:tab w:val="center" w:pos="7200"/>
        </w:tabs>
        <w:spacing w:after="0"/>
        <w:jc w:val="center"/>
        <w:rPr>
          <w:szCs w:val="26"/>
        </w:rPr>
      </w:pPr>
      <w:r>
        <w:rPr>
          <w:szCs w:val="26"/>
        </w:rPr>
        <w:t>MARK HARROD</w:t>
      </w:r>
      <w:r w:rsidR="00D60BA6">
        <w:rPr>
          <w:szCs w:val="26"/>
        </w:rPr>
        <w:t>,</w:t>
      </w:r>
    </w:p>
    <w:p w:rsidR="00C76FE0" w:rsidP="00C76FE0" w14:paraId="2B05F411" w14:textId="77777777">
      <w:pPr>
        <w:tabs>
          <w:tab w:val="left" w:pos="1440"/>
          <w:tab w:val="left" w:pos="4680"/>
          <w:tab w:val="center" w:pos="7200"/>
        </w:tabs>
        <w:spacing w:after="0"/>
        <w:jc w:val="center"/>
        <w:rPr>
          <w:szCs w:val="26"/>
        </w:rPr>
      </w:pPr>
      <w:r>
        <w:rPr>
          <w:szCs w:val="26"/>
        </w:rPr>
        <w:t>Plaintiff and Respondent</w:t>
      </w:r>
      <w:r w:rsidR="00D60BA6">
        <w:rPr>
          <w:szCs w:val="26"/>
        </w:rPr>
        <w:t>,</w:t>
      </w:r>
    </w:p>
    <w:p w:rsidR="00C76FE0" w:rsidP="00C76FE0" w14:paraId="2B05F412" w14:textId="77777777">
      <w:pPr>
        <w:tabs>
          <w:tab w:val="left" w:pos="1440"/>
          <w:tab w:val="left" w:pos="4680"/>
          <w:tab w:val="center" w:pos="7200"/>
        </w:tabs>
        <w:spacing w:after="0"/>
        <w:jc w:val="center"/>
        <w:rPr>
          <w:szCs w:val="26"/>
        </w:rPr>
      </w:pPr>
      <w:r>
        <w:rPr>
          <w:szCs w:val="26"/>
        </w:rPr>
        <w:t>v.</w:t>
      </w:r>
    </w:p>
    <w:p w:rsidR="00C76FE0" w:rsidP="00C76FE0" w14:paraId="2B05F413" w14:textId="77777777">
      <w:pPr>
        <w:tabs>
          <w:tab w:val="left" w:pos="1440"/>
          <w:tab w:val="left" w:pos="4680"/>
          <w:tab w:val="center" w:pos="7200"/>
        </w:tabs>
        <w:spacing w:after="0"/>
        <w:jc w:val="center"/>
        <w:rPr>
          <w:szCs w:val="26"/>
        </w:rPr>
      </w:pPr>
      <w:r>
        <w:rPr>
          <w:szCs w:val="26"/>
        </w:rPr>
        <w:t>COUNTRY OAK</w:t>
      </w:r>
      <w:r w:rsidR="003923BE">
        <w:rPr>
          <w:szCs w:val="26"/>
        </w:rPr>
        <w:t>S</w:t>
      </w:r>
      <w:r>
        <w:rPr>
          <w:szCs w:val="26"/>
        </w:rPr>
        <w:t xml:space="preserve"> PARTNERS, LLC</w:t>
      </w:r>
      <w:r w:rsidR="00340854">
        <w:rPr>
          <w:szCs w:val="26"/>
        </w:rPr>
        <w:t>,</w:t>
      </w:r>
      <w:r>
        <w:rPr>
          <w:szCs w:val="26"/>
        </w:rPr>
        <w:t xml:space="preserve"> et al.</w:t>
      </w:r>
      <w:r w:rsidR="00E20DE7">
        <w:rPr>
          <w:szCs w:val="26"/>
        </w:rPr>
        <w:t>,</w:t>
      </w:r>
    </w:p>
    <w:p w:rsidR="00C76FE0" w:rsidP="00C76FE0" w14:paraId="2B05F414" w14:textId="77777777">
      <w:pPr>
        <w:tabs>
          <w:tab w:val="left" w:pos="1440"/>
          <w:tab w:val="left" w:pos="4680"/>
          <w:tab w:val="center" w:pos="7200"/>
        </w:tabs>
        <w:spacing w:after="0"/>
        <w:jc w:val="center"/>
        <w:rPr>
          <w:szCs w:val="26"/>
        </w:rPr>
      </w:pPr>
      <w:r>
        <w:rPr>
          <w:szCs w:val="26"/>
        </w:rPr>
        <w:t>Defendants and Appellants.</w:t>
      </w:r>
    </w:p>
    <w:p w:rsidR="00C76FE0" w:rsidP="00C76FE0" w14:paraId="2B05F415" w14:textId="77777777">
      <w:pPr>
        <w:tabs>
          <w:tab w:val="left" w:pos="1440"/>
          <w:tab w:val="left" w:pos="4680"/>
          <w:tab w:val="center" w:pos="7200"/>
        </w:tabs>
        <w:spacing w:after="0"/>
        <w:jc w:val="center"/>
        <w:rPr>
          <w:szCs w:val="26"/>
        </w:rPr>
      </w:pPr>
    </w:p>
    <w:p w:rsidR="00C76FE0" w:rsidP="00C76FE0" w14:paraId="2B05F416" w14:textId="77777777">
      <w:pPr>
        <w:tabs>
          <w:tab w:val="left" w:pos="1440"/>
          <w:tab w:val="left" w:pos="4680"/>
          <w:tab w:val="center" w:pos="7200"/>
        </w:tabs>
        <w:spacing w:after="0"/>
        <w:jc w:val="center"/>
        <w:rPr>
          <w:szCs w:val="26"/>
        </w:rPr>
      </w:pPr>
      <w:r>
        <w:rPr>
          <w:szCs w:val="26"/>
        </w:rPr>
        <w:t>S276545</w:t>
      </w:r>
    </w:p>
    <w:p w:rsidR="00C76FE0" w:rsidP="00C76FE0" w14:paraId="2B05F417" w14:textId="77777777">
      <w:pPr>
        <w:tabs>
          <w:tab w:val="left" w:pos="1440"/>
          <w:tab w:val="left" w:pos="4680"/>
          <w:tab w:val="center" w:pos="7200"/>
        </w:tabs>
        <w:spacing w:after="0"/>
        <w:jc w:val="center"/>
        <w:rPr>
          <w:szCs w:val="26"/>
        </w:rPr>
      </w:pPr>
    </w:p>
    <w:p w:rsidR="00C76FE0" w:rsidP="00C76FE0" w14:paraId="2B05F418" w14:textId="612244D1">
      <w:pPr>
        <w:tabs>
          <w:tab w:val="left" w:pos="1440"/>
          <w:tab w:val="left" w:pos="4680"/>
          <w:tab w:val="center" w:pos="7200"/>
        </w:tabs>
        <w:spacing w:after="0"/>
        <w:jc w:val="center"/>
        <w:rPr>
          <w:szCs w:val="26"/>
        </w:rPr>
      </w:pPr>
      <w:r>
        <w:rPr>
          <w:szCs w:val="26"/>
        </w:rPr>
        <w:t xml:space="preserve">Second Appellate District, Division </w:t>
      </w:r>
      <w:r w:rsidR="008D734B">
        <w:rPr>
          <w:szCs w:val="26"/>
        </w:rPr>
        <w:t>Four</w:t>
      </w:r>
    </w:p>
    <w:p w:rsidR="00C76FE0" w:rsidP="00C76FE0" w14:paraId="2B05F419" w14:textId="77777777">
      <w:pPr>
        <w:tabs>
          <w:tab w:val="left" w:pos="1440"/>
          <w:tab w:val="left" w:pos="4680"/>
          <w:tab w:val="center" w:pos="7200"/>
        </w:tabs>
        <w:spacing w:after="0"/>
        <w:jc w:val="center"/>
        <w:rPr>
          <w:szCs w:val="26"/>
        </w:rPr>
      </w:pPr>
      <w:r>
        <w:rPr>
          <w:szCs w:val="26"/>
        </w:rPr>
        <w:t>B312967</w:t>
      </w:r>
    </w:p>
    <w:p w:rsidR="00C76FE0" w:rsidP="00C76FE0" w14:paraId="2B05F41A" w14:textId="77777777">
      <w:pPr>
        <w:tabs>
          <w:tab w:val="left" w:pos="1440"/>
          <w:tab w:val="left" w:pos="4680"/>
          <w:tab w:val="center" w:pos="7200"/>
        </w:tabs>
        <w:spacing w:after="0"/>
        <w:jc w:val="center"/>
        <w:rPr>
          <w:szCs w:val="26"/>
        </w:rPr>
      </w:pPr>
    </w:p>
    <w:p w:rsidR="00C76FE0" w:rsidP="00C76FE0" w14:paraId="2B05F41B" w14:textId="77777777">
      <w:pPr>
        <w:tabs>
          <w:tab w:val="left" w:pos="1440"/>
          <w:tab w:val="left" w:pos="4680"/>
          <w:tab w:val="center" w:pos="7200"/>
        </w:tabs>
        <w:spacing w:after="0"/>
        <w:jc w:val="center"/>
        <w:rPr>
          <w:szCs w:val="26"/>
        </w:rPr>
      </w:pPr>
      <w:r>
        <w:rPr>
          <w:szCs w:val="26"/>
        </w:rPr>
        <w:t xml:space="preserve">Los Angeles County </w:t>
      </w:r>
      <w:r w:rsidR="007C7021">
        <w:rPr>
          <w:szCs w:val="26"/>
        </w:rPr>
        <w:t>Superior Court</w:t>
      </w:r>
    </w:p>
    <w:p w:rsidR="00C76FE0" w:rsidP="00C76FE0" w14:paraId="2B05F41C" w14:textId="77777777">
      <w:pPr>
        <w:tabs>
          <w:tab w:val="left" w:pos="1440"/>
          <w:tab w:val="left" w:pos="4680"/>
          <w:tab w:val="center" w:pos="7200"/>
        </w:tabs>
        <w:spacing w:after="0"/>
        <w:jc w:val="center"/>
        <w:rPr>
          <w:szCs w:val="26"/>
        </w:rPr>
      </w:pPr>
      <w:r>
        <w:rPr>
          <w:szCs w:val="26"/>
        </w:rPr>
        <w:t>20STCV26536</w:t>
      </w:r>
    </w:p>
    <w:p w:rsidR="00C76FE0" w:rsidP="00C76FE0" w14:paraId="2B05F41D" w14:textId="77777777">
      <w:pPr>
        <w:pBdr>
          <w:bottom w:val="single" w:sz="4" w:space="1" w:color="auto"/>
        </w:pBdr>
        <w:tabs>
          <w:tab w:val="left" w:pos="1440"/>
          <w:tab w:val="left" w:pos="4680"/>
          <w:tab w:val="center" w:pos="7200"/>
        </w:tabs>
        <w:spacing w:after="0"/>
        <w:jc w:val="center"/>
        <w:rPr>
          <w:szCs w:val="26"/>
        </w:rPr>
      </w:pPr>
    </w:p>
    <w:p w:rsidR="00C76FE0" w:rsidP="00C76FE0" w14:paraId="2B05F41E" w14:textId="77777777">
      <w:pPr>
        <w:tabs>
          <w:tab w:val="left" w:pos="1440"/>
          <w:tab w:val="left" w:pos="4680"/>
          <w:tab w:val="center" w:pos="7200"/>
        </w:tabs>
        <w:spacing w:after="0"/>
        <w:jc w:val="center"/>
        <w:rPr>
          <w:szCs w:val="26"/>
        </w:rPr>
      </w:pPr>
    </w:p>
    <w:p w:rsidR="00C76FE0" w:rsidP="00C76FE0" w14:paraId="2B05F41F" w14:textId="5D700DBD">
      <w:pPr>
        <w:tabs>
          <w:tab w:val="left" w:pos="1440"/>
          <w:tab w:val="left" w:pos="4680"/>
          <w:tab w:val="center" w:pos="7200"/>
        </w:tabs>
        <w:spacing w:after="0"/>
        <w:jc w:val="center"/>
      </w:pPr>
      <w:r>
        <w:t>March 28</w:t>
      </w:r>
      <w:r w:rsidR="001C4982">
        <w:t>,</w:t>
      </w:r>
      <w:r>
        <w:t xml:space="preserve"> 2024</w:t>
      </w:r>
    </w:p>
    <w:p w:rsidR="00C76FE0" w:rsidP="00C76FE0" w14:paraId="2B05F420" w14:textId="77777777">
      <w:pPr>
        <w:tabs>
          <w:tab w:val="left" w:pos="1440"/>
          <w:tab w:val="left" w:pos="4680"/>
          <w:tab w:val="center" w:pos="7200"/>
        </w:tabs>
        <w:spacing w:after="0"/>
        <w:jc w:val="center"/>
      </w:pPr>
    </w:p>
    <w:p w:rsidR="006D27C7" w:rsidP="006D27C7" w14:paraId="2B05F421" w14:textId="77777777">
      <w:pPr>
        <w:pBdr>
          <w:bottom w:val="single" w:sz="4" w:space="1" w:color="auto"/>
        </w:pBdr>
        <w:tabs>
          <w:tab w:val="left" w:pos="1440"/>
          <w:tab w:val="left" w:pos="4680"/>
          <w:tab w:val="center" w:pos="7200"/>
        </w:tabs>
        <w:spacing w:after="0"/>
        <w:jc w:val="left"/>
      </w:pPr>
      <w:bookmarkStart w:id="1" w:name="Return"/>
      <w:bookmarkEnd w:id="1"/>
      <w:r w:rsidRPr="006A434A">
        <w:t xml:space="preserve">Justice </w:t>
      </w:r>
      <w:r>
        <w:t>Jenkins</w:t>
      </w:r>
      <w:r w:rsidRPr="006A434A">
        <w:t xml:space="preserve"> authored the opinion of the Court, </w:t>
      </w:r>
      <w:r>
        <w:t>in which Chief Justice Guerrero and Justices Corrigan, Liu, Kruger, Groban, and Evans concurred.</w:t>
      </w:r>
    </w:p>
    <w:p w:rsidR="00C76FE0" w:rsidRPr="00C76FE0" w:rsidP="00C76FE0" w14:paraId="2B05F422" w14:textId="77777777">
      <w:pPr>
        <w:pBdr>
          <w:bottom w:val="single" w:sz="4" w:space="1" w:color="auto"/>
        </w:pBdr>
        <w:tabs>
          <w:tab w:val="left" w:pos="1440"/>
          <w:tab w:val="left" w:pos="4680"/>
          <w:tab w:val="center" w:pos="7200"/>
        </w:tabs>
        <w:spacing w:line="480" w:lineRule="atLeast"/>
        <w:jc w:val="left"/>
        <w:rPr>
          <w:szCs w:val="26"/>
        </w:rPr>
      </w:pPr>
    </w:p>
    <w:p w:rsidR="00C76FE0" w:rsidP="00EF7E64" w14:paraId="2B05F423" w14:textId="77777777">
      <w:pPr>
        <w:tabs>
          <w:tab w:val="left" w:pos="1440"/>
          <w:tab w:val="left" w:pos="4680"/>
          <w:tab w:val="center" w:pos="7200"/>
        </w:tabs>
        <w:spacing w:line="480" w:lineRule="atLeast"/>
        <w:rPr>
          <w:sz w:val="26"/>
          <w:szCs w:val="26"/>
        </w:rPr>
        <w:sectPr w:rsidSect="00C76FE0">
          <w:headerReference w:type="default" r:id="rId6"/>
          <w:footerReference w:type="default" r:id="rId7"/>
          <w:pgSz w:w="12240" w:h="15840"/>
          <w:pgMar w:top="1800" w:right="2160" w:bottom="1440" w:left="2160" w:header="720" w:footer="720" w:gutter="0"/>
          <w:cols w:space="720"/>
          <w:titlePg/>
          <w:docGrid w:linePitch="367"/>
        </w:sectPr>
      </w:pPr>
    </w:p>
    <w:p w:rsidR="00C76FE0" w:rsidP="00C76FE0" w14:paraId="2B05F424" w14:textId="77777777">
      <w:pPr>
        <w:tabs>
          <w:tab w:val="left" w:pos="1440"/>
          <w:tab w:val="left" w:pos="4680"/>
          <w:tab w:val="center" w:pos="7200"/>
        </w:tabs>
        <w:jc w:val="center"/>
        <w:rPr>
          <w:szCs w:val="26"/>
        </w:rPr>
      </w:pPr>
      <w:r>
        <w:rPr>
          <w:szCs w:val="26"/>
        </w:rPr>
        <w:t>HARROD v. COUNTRY OAK</w:t>
      </w:r>
      <w:r w:rsidR="003923BE">
        <w:rPr>
          <w:szCs w:val="26"/>
        </w:rPr>
        <w:t>S</w:t>
      </w:r>
      <w:r>
        <w:rPr>
          <w:szCs w:val="26"/>
        </w:rPr>
        <w:t xml:space="preserve"> PARTNERS</w:t>
      </w:r>
      <w:r w:rsidR="00770F3E">
        <w:rPr>
          <w:szCs w:val="26"/>
        </w:rPr>
        <w:t>, LLC</w:t>
      </w:r>
    </w:p>
    <w:p w:rsidR="00C76FE0" w:rsidP="00C76FE0" w14:paraId="2B05F425" w14:textId="77777777">
      <w:pPr>
        <w:tabs>
          <w:tab w:val="left" w:pos="1440"/>
          <w:tab w:val="left" w:pos="4680"/>
          <w:tab w:val="center" w:pos="7200"/>
        </w:tabs>
        <w:jc w:val="center"/>
        <w:rPr>
          <w:szCs w:val="26"/>
        </w:rPr>
      </w:pPr>
      <w:r>
        <w:rPr>
          <w:szCs w:val="26"/>
        </w:rPr>
        <w:t>S276545</w:t>
      </w:r>
    </w:p>
    <w:p w:rsidR="00C76FE0" w:rsidP="00C76FE0" w14:paraId="2B05F426" w14:textId="77777777">
      <w:pPr>
        <w:tabs>
          <w:tab w:val="left" w:pos="1440"/>
          <w:tab w:val="left" w:pos="4680"/>
          <w:tab w:val="center" w:pos="7200"/>
        </w:tabs>
        <w:jc w:val="center"/>
        <w:rPr>
          <w:szCs w:val="26"/>
        </w:rPr>
      </w:pPr>
    </w:p>
    <w:p w:rsidR="00C76FE0" w:rsidP="00C76FE0" w14:paraId="2B05F427" w14:textId="77777777">
      <w:pPr>
        <w:tabs>
          <w:tab w:val="left" w:pos="1440"/>
          <w:tab w:val="left" w:pos="4680"/>
          <w:tab w:val="center" w:pos="7200"/>
        </w:tabs>
        <w:jc w:val="center"/>
        <w:rPr>
          <w:szCs w:val="26"/>
        </w:rPr>
      </w:pPr>
      <w:r>
        <w:rPr>
          <w:szCs w:val="26"/>
        </w:rPr>
        <w:t>Opinion of the Court by Jenkins, J.</w:t>
      </w:r>
    </w:p>
    <w:p w:rsidR="00C76FE0" w:rsidRPr="00C76FE0" w:rsidP="00C76FE0" w14:paraId="2B05F428" w14:textId="77777777">
      <w:pPr>
        <w:tabs>
          <w:tab w:val="left" w:pos="1440"/>
          <w:tab w:val="left" w:pos="4680"/>
          <w:tab w:val="center" w:pos="7200"/>
        </w:tabs>
        <w:jc w:val="center"/>
        <w:rPr>
          <w:szCs w:val="26"/>
        </w:rPr>
      </w:pPr>
    </w:p>
    <w:p w:rsidR="00676921" w:rsidRPr="00C76FE0" w:rsidP="00C76FE0" w14:paraId="2B05F429" w14:textId="77777777">
      <w:pPr>
        <w:ind w:firstLine="720"/>
        <w:rPr>
          <w:szCs w:val="26"/>
        </w:rPr>
      </w:pPr>
      <w:r w:rsidRPr="00C76FE0">
        <w:rPr>
          <w:szCs w:val="26"/>
        </w:rPr>
        <w:t xml:space="preserve">Under </w:t>
      </w:r>
      <w:r w:rsidRPr="00C76FE0" w:rsidR="002247B7">
        <w:rPr>
          <w:szCs w:val="26"/>
        </w:rPr>
        <w:t>California</w:t>
      </w:r>
      <w:r w:rsidRPr="00C76FE0">
        <w:rPr>
          <w:szCs w:val="26"/>
        </w:rPr>
        <w:t xml:space="preserve">’s Health Care Decisions Law (Prob. Code, </w:t>
      </w:r>
      <w:r w:rsidR="00306865">
        <w:rPr>
          <w:szCs w:val="26"/>
        </w:rPr>
        <w:t>§ </w:t>
      </w:r>
      <w:r w:rsidRPr="00C76FE0">
        <w:rPr>
          <w:szCs w:val="26"/>
        </w:rPr>
        <w:t>4</w:t>
      </w:r>
      <w:r w:rsidR="00AF50B9">
        <w:rPr>
          <w:szCs w:val="26"/>
        </w:rPr>
        <w:t>600</w:t>
      </w:r>
      <w:r w:rsidR="00035B60">
        <w:rPr>
          <w:szCs w:val="26"/>
        </w:rPr>
        <w:t xml:space="preserve"> </w:t>
      </w:r>
      <w:r w:rsidRPr="00C76FE0">
        <w:rPr>
          <w:szCs w:val="26"/>
        </w:rPr>
        <w:t>et seq.),</w:t>
      </w:r>
      <w:r>
        <w:rPr>
          <w:rStyle w:val="FootnoteReference"/>
          <w:position w:val="0"/>
        </w:rPr>
        <w:footnoteReference w:id="3"/>
      </w:r>
      <w:r w:rsidRPr="00C76FE0">
        <w:rPr>
          <w:szCs w:val="26"/>
        </w:rPr>
        <w:t xml:space="preserve"> </w:t>
      </w:r>
      <w:r w:rsidRPr="00C76FE0" w:rsidR="002247B7">
        <w:rPr>
          <w:szCs w:val="26"/>
        </w:rPr>
        <w:t xml:space="preserve">a principal </w:t>
      </w:r>
      <w:r w:rsidRPr="00C76FE0">
        <w:rPr>
          <w:szCs w:val="26"/>
        </w:rPr>
        <w:t xml:space="preserve">may </w:t>
      </w:r>
      <w:r w:rsidRPr="00C76FE0" w:rsidR="002247B7">
        <w:rPr>
          <w:szCs w:val="26"/>
        </w:rPr>
        <w:t xml:space="preserve">appoint a health care agent to make health care decisions should the principal later </w:t>
      </w:r>
      <w:r w:rsidRPr="00C76FE0" w:rsidR="00CF4276">
        <w:rPr>
          <w:szCs w:val="26"/>
        </w:rPr>
        <w:t>lack</w:t>
      </w:r>
      <w:r w:rsidRPr="00C76FE0">
        <w:rPr>
          <w:szCs w:val="26"/>
        </w:rPr>
        <w:t xml:space="preserve"> </w:t>
      </w:r>
      <w:r w:rsidRPr="00C76FE0" w:rsidR="002247B7">
        <w:rPr>
          <w:szCs w:val="26"/>
        </w:rPr>
        <w:t xml:space="preserve">capacity to make </w:t>
      </w:r>
      <w:r w:rsidRPr="00C76FE0">
        <w:rPr>
          <w:szCs w:val="26"/>
        </w:rPr>
        <w:t>them</w:t>
      </w:r>
      <w:r w:rsidRPr="00C76FE0" w:rsidR="00767780">
        <w:rPr>
          <w:szCs w:val="26"/>
        </w:rPr>
        <w:t>.</w:t>
      </w:r>
      <w:r w:rsidRPr="00C76FE0" w:rsidR="002247B7">
        <w:rPr>
          <w:szCs w:val="26"/>
        </w:rPr>
        <w:t xml:space="preserve">  </w:t>
      </w:r>
      <w:r w:rsidRPr="00C76FE0">
        <w:rPr>
          <w:szCs w:val="26"/>
        </w:rPr>
        <w:t xml:space="preserve">In this case, a health care agent </w:t>
      </w:r>
      <w:r w:rsidRPr="00C76FE0" w:rsidR="002247B7">
        <w:rPr>
          <w:szCs w:val="26"/>
        </w:rPr>
        <w:t xml:space="preserve">signed two </w:t>
      </w:r>
      <w:r w:rsidRPr="00C76FE0" w:rsidR="00030069">
        <w:rPr>
          <w:szCs w:val="26"/>
        </w:rPr>
        <w:t xml:space="preserve">contracts </w:t>
      </w:r>
      <w:r w:rsidRPr="00C76FE0" w:rsidR="002247B7">
        <w:rPr>
          <w:szCs w:val="26"/>
        </w:rPr>
        <w:t>with a skilled nursing facility.  One</w:t>
      </w:r>
      <w:r w:rsidRPr="00C76FE0" w:rsidR="007D38AB">
        <w:rPr>
          <w:szCs w:val="26"/>
        </w:rPr>
        <w:t>, with state-dictated terms,</w:t>
      </w:r>
      <w:r w:rsidRPr="00C76FE0" w:rsidR="002247B7">
        <w:rPr>
          <w:szCs w:val="26"/>
        </w:rPr>
        <w:t xml:space="preserve"> secured the principal’s admission to the facility.  The other</w:t>
      </w:r>
      <w:r w:rsidRPr="00C76FE0" w:rsidR="00ED5AE5">
        <w:rPr>
          <w:szCs w:val="26"/>
        </w:rPr>
        <w:t xml:space="preserve"> </w:t>
      </w:r>
      <w:r w:rsidRPr="00C76FE0" w:rsidR="00F01D11">
        <w:rPr>
          <w:szCs w:val="26"/>
        </w:rPr>
        <w:t xml:space="preserve">made </w:t>
      </w:r>
      <w:r w:rsidRPr="00C76FE0" w:rsidR="00030069">
        <w:rPr>
          <w:szCs w:val="26"/>
        </w:rPr>
        <w:t xml:space="preserve">arbitration the exclusive </w:t>
      </w:r>
      <w:r w:rsidRPr="00C76FE0" w:rsidR="00F01D11">
        <w:rPr>
          <w:szCs w:val="26"/>
        </w:rPr>
        <w:t xml:space="preserve">pathway for </w:t>
      </w:r>
      <w:r w:rsidRPr="00C76FE0" w:rsidR="00030069">
        <w:rPr>
          <w:szCs w:val="26"/>
        </w:rPr>
        <w:t>resolv</w:t>
      </w:r>
      <w:r w:rsidRPr="00C76FE0" w:rsidR="00F01D11">
        <w:rPr>
          <w:szCs w:val="26"/>
        </w:rPr>
        <w:t>ing</w:t>
      </w:r>
      <w:r w:rsidRPr="00C76FE0" w:rsidR="00030069">
        <w:rPr>
          <w:szCs w:val="26"/>
        </w:rPr>
        <w:t xml:space="preserve"> disputes</w:t>
      </w:r>
      <w:r w:rsidRPr="00C76FE0" w:rsidR="00F01D11">
        <w:rPr>
          <w:szCs w:val="26"/>
        </w:rPr>
        <w:t xml:space="preserve"> </w:t>
      </w:r>
      <w:r w:rsidRPr="00C76FE0" w:rsidR="002D3255">
        <w:rPr>
          <w:szCs w:val="26"/>
        </w:rPr>
        <w:t>with</w:t>
      </w:r>
      <w:r w:rsidRPr="00C76FE0" w:rsidR="00F01D11">
        <w:rPr>
          <w:szCs w:val="26"/>
        </w:rPr>
        <w:t xml:space="preserve"> the facility.</w:t>
      </w:r>
      <w:r w:rsidRPr="00C76FE0" w:rsidR="00030069">
        <w:rPr>
          <w:szCs w:val="26"/>
        </w:rPr>
        <w:t xml:space="preserve"> </w:t>
      </w:r>
      <w:r w:rsidRPr="00C76FE0" w:rsidR="00F01D11">
        <w:rPr>
          <w:szCs w:val="26"/>
        </w:rPr>
        <w:t xml:space="preserve"> </w:t>
      </w:r>
      <w:r w:rsidRPr="00C76FE0" w:rsidR="00232355">
        <w:rPr>
          <w:szCs w:val="26"/>
        </w:rPr>
        <w:t xml:space="preserve">This second contract </w:t>
      </w:r>
      <w:r w:rsidRPr="00C76FE0" w:rsidR="00ED5AE5">
        <w:rPr>
          <w:szCs w:val="26"/>
        </w:rPr>
        <w:t xml:space="preserve">was optional and had no bearing on whether the principal could access the facility or receive care.  </w:t>
      </w:r>
      <w:r w:rsidRPr="00C76FE0" w:rsidR="00B040B1">
        <w:rPr>
          <w:szCs w:val="26"/>
        </w:rPr>
        <w:t xml:space="preserve">The issue before us is </w:t>
      </w:r>
      <w:r w:rsidRPr="00C76FE0">
        <w:rPr>
          <w:szCs w:val="26"/>
        </w:rPr>
        <w:t xml:space="preserve">whether </w:t>
      </w:r>
      <w:r w:rsidRPr="00C76FE0" w:rsidR="00B040B1">
        <w:rPr>
          <w:szCs w:val="26"/>
        </w:rPr>
        <w:t xml:space="preserve">execution of </w:t>
      </w:r>
      <w:r w:rsidRPr="00C76FE0">
        <w:rPr>
          <w:szCs w:val="26"/>
        </w:rPr>
        <w:t>the second</w:t>
      </w:r>
      <w:r w:rsidRPr="00C76FE0" w:rsidR="00ED5AE5">
        <w:rPr>
          <w:szCs w:val="26"/>
        </w:rPr>
        <w:t>, separate, and optional</w:t>
      </w:r>
      <w:r w:rsidRPr="00C76FE0">
        <w:rPr>
          <w:szCs w:val="26"/>
        </w:rPr>
        <w:t xml:space="preserve"> contract</w:t>
      </w:r>
      <w:r w:rsidRPr="00C76FE0" w:rsidR="00ED5AE5">
        <w:rPr>
          <w:szCs w:val="26"/>
        </w:rPr>
        <w:t xml:space="preserve"> </w:t>
      </w:r>
      <w:r w:rsidRPr="00C76FE0">
        <w:rPr>
          <w:szCs w:val="26"/>
        </w:rPr>
        <w:t>for arbitration</w:t>
      </w:r>
      <w:r w:rsidRPr="00C76FE0" w:rsidR="00ED5AE5">
        <w:rPr>
          <w:szCs w:val="26"/>
        </w:rPr>
        <w:t xml:space="preserve"> </w:t>
      </w:r>
      <w:r w:rsidRPr="00C76FE0">
        <w:rPr>
          <w:szCs w:val="26"/>
        </w:rPr>
        <w:t xml:space="preserve">was a health care decision within the health care agent’s authority.  </w:t>
      </w:r>
      <w:r w:rsidRPr="00C76FE0" w:rsidR="005A649F">
        <w:rPr>
          <w:szCs w:val="26"/>
        </w:rPr>
        <w:t>I</w:t>
      </w:r>
      <w:r w:rsidRPr="00C76FE0">
        <w:rPr>
          <w:szCs w:val="26"/>
        </w:rPr>
        <w:t xml:space="preserve">t was not, and </w:t>
      </w:r>
      <w:r w:rsidRPr="00C76FE0" w:rsidR="00F01D11">
        <w:rPr>
          <w:szCs w:val="26"/>
        </w:rPr>
        <w:t>the facility</w:t>
      </w:r>
      <w:r w:rsidRPr="00C76FE0" w:rsidR="00BF334A">
        <w:rPr>
          <w:szCs w:val="26"/>
        </w:rPr>
        <w:t>’s owners and operators</w:t>
      </w:r>
      <w:r w:rsidR="00163450">
        <w:rPr>
          <w:szCs w:val="26"/>
        </w:rPr>
        <w:t xml:space="preserve"> </w:t>
      </w:r>
      <w:r w:rsidRPr="00C76FE0" w:rsidR="00B040B1">
        <w:rPr>
          <w:szCs w:val="26"/>
        </w:rPr>
        <w:t>may not</w:t>
      </w:r>
      <w:r w:rsidRPr="00C76FE0" w:rsidR="00163450">
        <w:rPr>
          <w:szCs w:val="26"/>
        </w:rPr>
        <w:t>, therefore,</w:t>
      </w:r>
      <w:r w:rsidRPr="00C76FE0" w:rsidR="00B040B1">
        <w:rPr>
          <w:szCs w:val="26"/>
        </w:rPr>
        <w:t xml:space="preserve"> </w:t>
      </w:r>
      <w:r w:rsidRPr="00C76FE0" w:rsidR="0011213B">
        <w:rPr>
          <w:szCs w:val="26"/>
        </w:rPr>
        <w:t xml:space="preserve">rely on the </w:t>
      </w:r>
      <w:r w:rsidRPr="00C76FE0" w:rsidR="000F7A14">
        <w:rPr>
          <w:szCs w:val="26"/>
        </w:rPr>
        <w:t>agent</w:t>
      </w:r>
      <w:r w:rsidR="000F7A14">
        <w:rPr>
          <w:szCs w:val="26"/>
        </w:rPr>
        <w:t>’</w:t>
      </w:r>
      <w:r w:rsidRPr="00C76FE0" w:rsidR="000F7A14">
        <w:rPr>
          <w:szCs w:val="26"/>
        </w:rPr>
        <w:t xml:space="preserve">s </w:t>
      </w:r>
      <w:r w:rsidRPr="00C76FE0" w:rsidR="0011213B">
        <w:rPr>
          <w:szCs w:val="26"/>
        </w:rPr>
        <w:t xml:space="preserve">execution of that second agreement to </w:t>
      </w:r>
      <w:r w:rsidRPr="00C76FE0" w:rsidR="00796911">
        <w:rPr>
          <w:szCs w:val="26"/>
        </w:rPr>
        <w:t xml:space="preserve">compel </w:t>
      </w:r>
      <w:r w:rsidRPr="00C76FE0" w:rsidR="00B040B1">
        <w:rPr>
          <w:szCs w:val="26"/>
        </w:rPr>
        <w:t>arbitrat</w:t>
      </w:r>
      <w:r w:rsidRPr="00C76FE0" w:rsidR="00796911">
        <w:rPr>
          <w:szCs w:val="26"/>
        </w:rPr>
        <w:t>ion of</w:t>
      </w:r>
      <w:r w:rsidRPr="00C76FE0" w:rsidR="00B040B1">
        <w:rPr>
          <w:szCs w:val="26"/>
        </w:rPr>
        <w:t xml:space="preserve"> </w:t>
      </w:r>
      <w:r w:rsidRPr="00C76FE0" w:rsidR="00796911">
        <w:rPr>
          <w:szCs w:val="26"/>
        </w:rPr>
        <w:t xml:space="preserve">claims arising from the principal’s alleged </w:t>
      </w:r>
      <w:r w:rsidRPr="00C76FE0" w:rsidR="00B040B1">
        <w:rPr>
          <w:szCs w:val="26"/>
        </w:rPr>
        <w:t xml:space="preserve">maltreatment that </w:t>
      </w:r>
      <w:r w:rsidRPr="00C76FE0" w:rsidR="004916C6">
        <w:rPr>
          <w:szCs w:val="26"/>
        </w:rPr>
        <w:t>have been filed in court</w:t>
      </w:r>
      <w:r w:rsidRPr="00C76FE0" w:rsidR="00F01D11">
        <w:rPr>
          <w:szCs w:val="26"/>
        </w:rPr>
        <w:t xml:space="preserve">.  </w:t>
      </w:r>
      <w:r w:rsidRPr="00C76FE0" w:rsidR="005A649F">
        <w:rPr>
          <w:szCs w:val="26"/>
        </w:rPr>
        <w:t>W</w:t>
      </w:r>
      <w:r w:rsidRPr="00C76FE0" w:rsidR="00491290">
        <w:rPr>
          <w:szCs w:val="26"/>
        </w:rPr>
        <w:t xml:space="preserve">e </w:t>
      </w:r>
      <w:r w:rsidRPr="00C76FE0" w:rsidR="00F01D11">
        <w:rPr>
          <w:szCs w:val="26"/>
        </w:rPr>
        <w:t>affirm the judgment of the Court of Appeal and remand for further court proceedings.</w:t>
      </w:r>
      <w:r w:rsidRPr="00C76FE0" w:rsidR="00DD2CFA">
        <w:rPr>
          <w:szCs w:val="26"/>
        </w:rPr>
        <w:t xml:space="preserve"> </w:t>
      </w:r>
    </w:p>
    <w:p w:rsidR="00676921" w:rsidRPr="00C76FE0" w:rsidP="00C76FE0" w14:paraId="2B05F42A" w14:textId="77777777">
      <w:pPr>
        <w:outlineLvl w:val="0"/>
        <w:rPr>
          <w:szCs w:val="26"/>
        </w:rPr>
      </w:pPr>
      <w:r w:rsidRPr="00C76FE0">
        <w:rPr>
          <w:b/>
          <w:bCs/>
          <w:szCs w:val="26"/>
        </w:rPr>
        <w:t>I.</w:t>
      </w:r>
      <w:r w:rsidRPr="00C76FE0">
        <w:rPr>
          <w:b/>
          <w:bCs/>
          <w:szCs w:val="26"/>
        </w:rPr>
        <w:tab/>
      </w:r>
      <w:r w:rsidRPr="00C76FE0" w:rsidR="00441B95">
        <w:rPr>
          <w:b/>
          <w:bCs/>
          <w:szCs w:val="26"/>
        </w:rPr>
        <w:t>BACKGROUND</w:t>
      </w:r>
    </w:p>
    <w:p w:rsidR="00C44373" w:rsidRPr="00C76FE0" w:rsidP="00C76FE0" w14:paraId="2B05F42B" w14:textId="77777777">
      <w:pPr>
        <w:ind w:firstLine="720"/>
        <w:rPr>
          <w:szCs w:val="26"/>
        </w:rPr>
      </w:pPr>
      <w:r w:rsidRPr="00C76FE0">
        <w:rPr>
          <w:szCs w:val="26"/>
        </w:rPr>
        <w:t>The Health Care Decisions Law</w:t>
      </w:r>
      <w:r w:rsidRPr="00C76FE0" w:rsidR="00EA5883">
        <w:rPr>
          <w:szCs w:val="26"/>
        </w:rPr>
        <w:t xml:space="preserve"> a</w:t>
      </w:r>
      <w:r w:rsidRPr="00C76FE0">
        <w:rPr>
          <w:szCs w:val="26"/>
        </w:rPr>
        <w:t>uthorizes competent adults to draft powers of attorney for health care</w:t>
      </w:r>
      <w:r w:rsidRPr="00C76FE0" w:rsidR="00143501">
        <w:rPr>
          <w:szCs w:val="26"/>
        </w:rPr>
        <w:t>, a type of advance health care directive,</w:t>
      </w:r>
      <w:r w:rsidRPr="00C76FE0">
        <w:rPr>
          <w:szCs w:val="26"/>
        </w:rPr>
        <w:t xml:space="preserve"> </w:t>
      </w:r>
      <w:r w:rsidRPr="00C76FE0" w:rsidR="002825F0">
        <w:rPr>
          <w:szCs w:val="26"/>
        </w:rPr>
        <w:t>and thereby</w:t>
      </w:r>
      <w:r w:rsidRPr="00C76FE0">
        <w:rPr>
          <w:szCs w:val="26"/>
        </w:rPr>
        <w:t xml:space="preserve"> “authorize [an] agent to make health care decisions.”  (</w:t>
      </w:r>
      <w:r w:rsidR="00306865">
        <w:rPr>
          <w:szCs w:val="26"/>
        </w:rPr>
        <w:t>§ </w:t>
      </w:r>
      <w:r w:rsidRPr="00C76FE0">
        <w:rPr>
          <w:szCs w:val="26"/>
        </w:rPr>
        <w:t>467</w:t>
      </w:r>
      <w:r w:rsidRPr="00C76FE0" w:rsidR="000D4264">
        <w:rPr>
          <w:szCs w:val="26"/>
        </w:rPr>
        <w:t>1</w:t>
      </w:r>
      <w:r w:rsidRPr="00C76FE0">
        <w:rPr>
          <w:szCs w:val="26"/>
        </w:rPr>
        <w:t>, subd. (a)</w:t>
      </w:r>
      <w:r w:rsidRPr="00C76FE0" w:rsidR="00143501">
        <w:rPr>
          <w:szCs w:val="26"/>
        </w:rPr>
        <w:t>; see §</w:t>
      </w:r>
      <w:r w:rsidR="00306865">
        <w:rPr>
          <w:szCs w:val="26"/>
        </w:rPr>
        <w:t>§ </w:t>
      </w:r>
      <w:r w:rsidRPr="00C76FE0" w:rsidR="00143501">
        <w:rPr>
          <w:szCs w:val="26"/>
        </w:rPr>
        <w:t>4605, 4629.</w:t>
      </w:r>
      <w:r w:rsidRPr="00C76FE0">
        <w:rPr>
          <w:szCs w:val="26"/>
        </w:rPr>
        <w:t xml:space="preserve">)  </w:t>
      </w:r>
      <w:r w:rsidRPr="00C76FE0" w:rsidR="00B962FF">
        <w:rPr>
          <w:szCs w:val="26"/>
        </w:rPr>
        <w:t xml:space="preserve">The law defines </w:t>
      </w:r>
      <w:r w:rsidRPr="00C76FE0">
        <w:rPr>
          <w:szCs w:val="26"/>
        </w:rPr>
        <w:t>“</w:t>
      </w:r>
      <w:r w:rsidRPr="00C76FE0" w:rsidR="00BC2526">
        <w:rPr>
          <w:szCs w:val="26"/>
        </w:rPr>
        <w:t xml:space="preserve">health </w:t>
      </w:r>
      <w:r w:rsidRPr="00C76FE0">
        <w:rPr>
          <w:szCs w:val="26"/>
        </w:rPr>
        <w:t>care</w:t>
      </w:r>
      <w:r w:rsidRPr="00C76FE0" w:rsidR="00B962FF">
        <w:rPr>
          <w:szCs w:val="26"/>
        </w:rPr>
        <w:t>”</w:t>
      </w:r>
      <w:r w:rsidRPr="00C76FE0">
        <w:rPr>
          <w:szCs w:val="26"/>
        </w:rPr>
        <w:t xml:space="preserve"> </w:t>
      </w:r>
      <w:r w:rsidRPr="00C76FE0" w:rsidR="00B962FF">
        <w:rPr>
          <w:szCs w:val="26"/>
        </w:rPr>
        <w:t>as “</w:t>
      </w:r>
      <w:r w:rsidRPr="00C76FE0">
        <w:rPr>
          <w:szCs w:val="26"/>
        </w:rPr>
        <w:t>any care, treatment, service, or procedure to maintain, diagnose, or otherwise affect a patient’s physical or mental health condition.”  (</w:t>
      </w:r>
      <w:r w:rsidR="00306865">
        <w:rPr>
          <w:szCs w:val="26"/>
        </w:rPr>
        <w:t>§ </w:t>
      </w:r>
      <w:r w:rsidRPr="00C76FE0">
        <w:rPr>
          <w:szCs w:val="26"/>
        </w:rPr>
        <w:t xml:space="preserve">4615.)  </w:t>
      </w:r>
      <w:r w:rsidRPr="00C76FE0" w:rsidR="00B962FF">
        <w:rPr>
          <w:szCs w:val="26"/>
        </w:rPr>
        <w:t>It further</w:t>
      </w:r>
      <w:r w:rsidRPr="00C76FE0" w:rsidR="00B2575D">
        <w:rPr>
          <w:szCs w:val="26"/>
        </w:rPr>
        <w:t xml:space="preserve"> define</w:t>
      </w:r>
      <w:r w:rsidRPr="00C76FE0" w:rsidR="00B962FF">
        <w:rPr>
          <w:szCs w:val="26"/>
        </w:rPr>
        <w:t>s</w:t>
      </w:r>
      <w:r w:rsidRPr="00C76FE0">
        <w:rPr>
          <w:szCs w:val="26"/>
        </w:rPr>
        <w:t xml:space="preserve"> a “he</w:t>
      </w:r>
      <w:r w:rsidRPr="00035B60">
        <w:rPr>
          <w:szCs w:val="26"/>
        </w:rPr>
        <w:t xml:space="preserve">alth care decision” </w:t>
      </w:r>
      <w:r w:rsidRPr="00035B60" w:rsidR="00B962FF">
        <w:rPr>
          <w:szCs w:val="26"/>
        </w:rPr>
        <w:t>a</w:t>
      </w:r>
      <w:r w:rsidRPr="00035B60">
        <w:rPr>
          <w:szCs w:val="26"/>
        </w:rPr>
        <w:t>s one “regarding the patient’s health care, including</w:t>
      </w:r>
      <w:r w:rsidRPr="00035B60" w:rsidR="00D04C08">
        <w:rPr>
          <w:szCs w:val="26"/>
        </w:rPr>
        <w:t> . . .</w:t>
      </w:r>
      <w:r w:rsidRPr="00035B60">
        <w:rPr>
          <w:szCs w:val="26"/>
        </w:rPr>
        <w:t xml:space="preserve"> </w:t>
      </w:r>
      <w:r w:rsidRPr="00035B60" w:rsidR="00917679">
        <w:rPr>
          <w:szCs w:val="26"/>
        </w:rPr>
        <w:t xml:space="preserve"> </w:t>
      </w:r>
      <w:r w:rsidRPr="00035B60" w:rsidR="00917679">
        <w:rPr>
          <w:color w:val="000000"/>
        </w:rPr>
        <w:t>[¶]</w:t>
      </w:r>
      <w:r w:rsidRPr="00035B60" w:rsidR="00917679">
        <w:rPr>
          <w:szCs w:val="26"/>
        </w:rPr>
        <w:t xml:space="preserve"> </w:t>
      </w:r>
      <w:r w:rsidRPr="00035B60">
        <w:rPr>
          <w:szCs w:val="26"/>
        </w:rPr>
        <w:t>(</w:t>
      </w:r>
      <w:r w:rsidRPr="00035B60" w:rsidR="00E12016">
        <w:rPr>
          <w:szCs w:val="26"/>
        </w:rPr>
        <w:t>1</w:t>
      </w:r>
      <w:r w:rsidRPr="00035B60">
        <w:rPr>
          <w:szCs w:val="26"/>
        </w:rPr>
        <w:t xml:space="preserve">) Selection and discharge of health care providers and institutions[;] </w:t>
      </w:r>
      <w:r w:rsidRPr="00035B60" w:rsidR="00E81384">
        <w:rPr>
          <w:color w:val="000000"/>
        </w:rPr>
        <w:t>[¶]</w:t>
      </w:r>
      <w:r w:rsidRPr="00035B60" w:rsidR="00E81384">
        <w:rPr>
          <w:szCs w:val="26"/>
        </w:rPr>
        <w:t xml:space="preserve"> </w:t>
      </w:r>
      <w:r w:rsidRPr="00035B60">
        <w:rPr>
          <w:szCs w:val="26"/>
        </w:rPr>
        <w:t>(</w:t>
      </w:r>
      <w:r w:rsidRPr="00035B60" w:rsidR="00E12016">
        <w:rPr>
          <w:szCs w:val="26"/>
        </w:rPr>
        <w:t>2</w:t>
      </w:r>
      <w:r w:rsidRPr="00035B60">
        <w:rPr>
          <w:szCs w:val="26"/>
        </w:rPr>
        <w:t xml:space="preserve">) Approval or disapproval of diagnostic tests, surgical procedures, and programs of medication, including mental health conditions[;] </w:t>
      </w:r>
      <w:r w:rsidRPr="00035B60" w:rsidR="00E81384">
        <w:rPr>
          <w:color w:val="000000"/>
        </w:rPr>
        <w:t>[¶]</w:t>
      </w:r>
      <w:r w:rsidRPr="00035B60" w:rsidR="00E81384">
        <w:rPr>
          <w:szCs w:val="26"/>
        </w:rPr>
        <w:t xml:space="preserve"> </w:t>
      </w:r>
      <w:r w:rsidRPr="00035B60">
        <w:rPr>
          <w:szCs w:val="26"/>
        </w:rPr>
        <w:t>(</w:t>
      </w:r>
      <w:r w:rsidRPr="00035B60" w:rsidR="00E12016">
        <w:rPr>
          <w:szCs w:val="26"/>
        </w:rPr>
        <w:t>3</w:t>
      </w:r>
      <w:r w:rsidRPr="00035B60">
        <w:rPr>
          <w:szCs w:val="26"/>
        </w:rPr>
        <w:t>)</w:t>
      </w:r>
      <w:r w:rsidRPr="00C76FE0">
        <w:rPr>
          <w:szCs w:val="26"/>
        </w:rPr>
        <w:t xml:space="preserve"> Directions to provide, withhold, or withdraw artificial nutrition and hydration and all other forms of health care, including cardiopulmonary resuscitation.”  (</w:t>
      </w:r>
      <w:r w:rsidR="00306865">
        <w:rPr>
          <w:szCs w:val="26"/>
        </w:rPr>
        <w:t>§ </w:t>
      </w:r>
      <w:r w:rsidRPr="00C76FE0">
        <w:rPr>
          <w:szCs w:val="26"/>
        </w:rPr>
        <w:t>4617</w:t>
      </w:r>
      <w:r w:rsidR="009F0DE8">
        <w:rPr>
          <w:szCs w:val="26"/>
        </w:rPr>
        <w:t>, subd. (a)</w:t>
      </w:r>
      <w:r w:rsidRPr="00C76FE0">
        <w:rPr>
          <w:szCs w:val="26"/>
        </w:rPr>
        <w:t xml:space="preserve">.)  “Subject to any limitations in the power of attorney for health care,” an agent “may make health care decisions” and </w:t>
      </w:r>
      <w:r w:rsidRPr="00C76FE0" w:rsidR="006B7707">
        <w:rPr>
          <w:szCs w:val="26"/>
        </w:rPr>
        <w:t xml:space="preserve">“may </w:t>
      </w:r>
      <w:r w:rsidRPr="00C76FE0">
        <w:rPr>
          <w:szCs w:val="26"/>
        </w:rPr>
        <w:t xml:space="preserve">also </w:t>
      </w:r>
      <w:r w:rsidRPr="00C76FE0" w:rsidR="006B7707">
        <w:rPr>
          <w:szCs w:val="26"/>
        </w:rPr>
        <w:t xml:space="preserve">make </w:t>
      </w:r>
      <w:r w:rsidRPr="00C76FE0">
        <w:rPr>
          <w:szCs w:val="26"/>
        </w:rPr>
        <w:t>decisions that may be effective after</w:t>
      </w:r>
      <w:r w:rsidR="007E331E">
        <w:rPr>
          <w:szCs w:val="26"/>
        </w:rPr>
        <w:t xml:space="preserve"> the principal’s </w:t>
      </w:r>
      <w:r w:rsidRPr="00C76FE0">
        <w:rPr>
          <w:szCs w:val="26"/>
        </w:rPr>
        <w:t>death</w:t>
      </w:r>
      <w:r w:rsidRPr="00C76FE0" w:rsidR="006B7707">
        <w:rPr>
          <w:szCs w:val="26"/>
        </w:rPr>
        <w:t>,</w:t>
      </w:r>
      <w:r w:rsidRPr="00C76FE0">
        <w:rPr>
          <w:szCs w:val="26"/>
        </w:rPr>
        <w:t>”</w:t>
      </w:r>
      <w:r w:rsidRPr="00C76FE0" w:rsidR="006B7707">
        <w:rPr>
          <w:szCs w:val="26"/>
        </w:rPr>
        <w:t xml:space="preserve"> such as</w:t>
      </w:r>
      <w:r w:rsidRPr="00C76FE0" w:rsidR="00F55ACE">
        <w:rPr>
          <w:szCs w:val="26"/>
        </w:rPr>
        <w:t xml:space="preserve"> approving </w:t>
      </w:r>
      <w:r w:rsidRPr="00C76FE0" w:rsidR="006B7707">
        <w:rPr>
          <w:szCs w:val="26"/>
        </w:rPr>
        <w:t>organ donation, autops</w:t>
      </w:r>
      <w:r w:rsidRPr="00C76FE0" w:rsidR="00F55ACE">
        <w:rPr>
          <w:szCs w:val="26"/>
        </w:rPr>
        <w:t>ies,</w:t>
      </w:r>
      <w:r w:rsidRPr="00C76FE0" w:rsidR="006B7707">
        <w:rPr>
          <w:szCs w:val="26"/>
        </w:rPr>
        <w:t xml:space="preserve"> disposition of </w:t>
      </w:r>
      <w:r w:rsidRPr="00C76FE0" w:rsidR="00F55ACE">
        <w:rPr>
          <w:szCs w:val="26"/>
        </w:rPr>
        <w:t>remains</w:t>
      </w:r>
      <w:r w:rsidRPr="00C76FE0" w:rsidR="006B7707">
        <w:rPr>
          <w:szCs w:val="26"/>
        </w:rPr>
        <w:t xml:space="preserve">, and records releases.  </w:t>
      </w:r>
      <w:r w:rsidRPr="00C76FE0">
        <w:rPr>
          <w:szCs w:val="26"/>
        </w:rPr>
        <w:t>(</w:t>
      </w:r>
      <w:r w:rsidR="00306865">
        <w:rPr>
          <w:szCs w:val="26"/>
        </w:rPr>
        <w:t>§ </w:t>
      </w:r>
      <w:r w:rsidRPr="00C76FE0">
        <w:rPr>
          <w:szCs w:val="26"/>
        </w:rPr>
        <w:t>4683.)</w:t>
      </w:r>
    </w:p>
    <w:p w:rsidR="00315A12" w:rsidRPr="00C76FE0" w:rsidP="00C76FE0" w14:paraId="2B05F42C" w14:textId="77777777">
      <w:pPr>
        <w:ind w:firstLine="720"/>
        <w:rPr>
          <w:szCs w:val="26"/>
        </w:rPr>
      </w:pPr>
      <w:r w:rsidRPr="00C76FE0">
        <w:rPr>
          <w:szCs w:val="26"/>
        </w:rPr>
        <w:t xml:space="preserve">A competent adult desiring a power of attorney for health care may, but need not, </w:t>
      </w:r>
      <w:r w:rsidRPr="00C76FE0" w:rsidR="00793CC6">
        <w:rPr>
          <w:szCs w:val="26"/>
        </w:rPr>
        <w:t xml:space="preserve">use </w:t>
      </w:r>
      <w:r w:rsidRPr="00C76FE0" w:rsidR="009C3BB7">
        <w:rPr>
          <w:szCs w:val="26"/>
        </w:rPr>
        <w:t>the</w:t>
      </w:r>
      <w:r w:rsidRPr="00C76FE0">
        <w:rPr>
          <w:szCs w:val="26"/>
        </w:rPr>
        <w:t xml:space="preserve"> form found in section 4701.  (</w:t>
      </w:r>
      <w:r w:rsidR="00306865">
        <w:rPr>
          <w:szCs w:val="26"/>
        </w:rPr>
        <w:t>§ </w:t>
      </w:r>
      <w:r w:rsidRPr="00C76FE0">
        <w:rPr>
          <w:szCs w:val="26"/>
        </w:rPr>
        <w:t xml:space="preserve">4700.)  Regardless of whether the adult </w:t>
      </w:r>
      <w:r w:rsidRPr="00C76FE0" w:rsidR="009C3BB7">
        <w:rPr>
          <w:szCs w:val="26"/>
        </w:rPr>
        <w:t>executes</w:t>
      </w:r>
      <w:r w:rsidRPr="00C76FE0">
        <w:rPr>
          <w:szCs w:val="26"/>
        </w:rPr>
        <w:t xml:space="preserve"> </w:t>
      </w:r>
      <w:r w:rsidRPr="00C76FE0" w:rsidR="003740A9">
        <w:rPr>
          <w:szCs w:val="26"/>
        </w:rPr>
        <w:t xml:space="preserve">this </w:t>
      </w:r>
      <w:r w:rsidRPr="00C76FE0">
        <w:rPr>
          <w:szCs w:val="26"/>
        </w:rPr>
        <w:t xml:space="preserve">“form or any other writing” </w:t>
      </w:r>
      <w:r w:rsidRPr="00C76FE0" w:rsidR="00FB7FB6">
        <w:rPr>
          <w:szCs w:val="26"/>
        </w:rPr>
        <w:t xml:space="preserve">to </w:t>
      </w:r>
      <w:r w:rsidRPr="00C76FE0" w:rsidR="00097BC9">
        <w:rPr>
          <w:szCs w:val="26"/>
        </w:rPr>
        <w:t xml:space="preserve">establish a </w:t>
      </w:r>
      <w:r w:rsidRPr="00C76FE0">
        <w:rPr>
          <w:szCs w:val="26"/>
        </w:rPr>
        <w:t>power of attorney, the provisions of the Health Care Decisions Law “govern the effect” of th</w:t>
      </w:r>
      <w:r w:rsidRPr="00C76FE0" w:rsidR="004C4E72">
        <w:rPr>
          <w:szCs w:val="26"/>
        </w:rPr>
        <w:t>e</w:t>
      </w:r>
      <w:r w:rsidRPr="00C76FE0">
        <w:rPr>
          <w:szCs w:val="26"/>
        </w:rPr>
        <w:t xml:space="preserve"> </w:t>
      </w:r>
      <w:r w:rsidRPr="00C76FE0" w:rsidR="004C4E72">
        <w:rPr>
          <w:szCs w:val="26"/>
        </w:rPr>
        <w:t>writing</w:t>
      </w:r>
      <w:r w:rsidRPr="00C76FE0">
        <w:rPr>
          <w:szCs w:val="26"/>
        </w:rPr>
        <w:t>.  (</w:t>
      </w:r>
      <w:r w:rsidRPr="00C76FE0">
        <w:rPr>
          <w:i/>
          <w:iCs/>
          <w:szCs w:val="26"/>
        </w:rPr>
        <w:t>Ibid.</w:t>
      </w:r>
      <w:r w:rsidRPr="00C76FE0">
        <w:rPr>
          <w:szCs w:val="26"/>
        </w:rPr>
        <w:t xml:space="preserve">)  </w:t>
      </w:r>
    </w:p>
    <w:p w:rsidR="00315A12" w:rsidRPr="00C76FE0" w:rsidP="00C76FE0" w14:paraId="2B05F42D" w14:textId="77777777">
      <w:pPr>
        <w:ind w:firstLine="720"/>
        <w:rPr>
          <w:szCs w:val="26"/>
        </w:rPr>
      </w:pPr>
      <w:r w:rsidRPr="00C76FE0">
        <w:rPr>
          <w:szCs w:val="26"/>
        </w:rPr>
        <w:t xml:space="preserve">Charles </w:t>
      </w:r>
      <w:r w:rsidRPr="00C76FE0" w:rsidR="004C3E91">
        <w:rPr>
          <w:szCs w:val="26"/>
        </w:rPr>
        <w:t>Logan</w:t>
      </w:r>
      <w:r w:rsidRPr="00C76FE0" w:rsidR="00C016A1">
        <w:rPr>
          <w:szCs w:val="26"/>
        </w:rPr>
        <w:t xml:space="preserve"> </w:t>
      </w:r>
      <w:r w:rsidRPr="00C76FE0" w:rsidR="004C3E91">
        <w:rPr>
          <w:szCs w:val="26"/>
        </w:rPr>
        <w:t>executed a</w:t>
      </w:r>
      <w:r w:rsidRPr="00C76FE0" w:rsidR="003C35EC">
        <w:rPr>
          <w:szCs w:val="26"/>
        </w:rPr>
        <w:t xml:space="preserve"> power of attorney for health care</w:t>
      </w:r>
      <w:r w:rsidRPr="00C76FE0" w:rsidR="00886E24">
        <w:rPr>
          <w:szCs w:val="26"/>
        </w:rPr>
        <w:t xml:space="preserve">.  </w:t>
      </w:r>
      <w:r w:rsidRPr="00C76FE0" w:rsidR="00793CC6">
        <w:rPr>
          <w:szCs w:val="26"/>
        </w:rPr>
        <w:t xml:space="preserve">He used, </w:t>
      </w:r>
      <w:r w:rsidRPr="00C76FE0">
        <w:rPr>
          <w:szCs w:val="26"/>
        </w:rPr>
        <w:t>not the statutory form</w:t>
      </w:r>
      <w:r w:rsidRPr="00C76FE0" w:rsidR="00793CC6">
        <w:rPr>
          <w:szCs w:val="26"/>
        </w:rPr>
        <w:t xml:space="preserve">, but </w:t>
      </w:r>
      <w:r w:rsidRPr="00C76FE0">
        <w:rPr>
          <w:szCs w:val="26"/>
        </w:rPr>
        <w:t xml:space="preserve">a California Medical Association </w:t>
      </w:r>
      <w:r w:rsidR="00163450">
        <w:rPr>
          <w:szCs w:val="26"/>
        </w:rPr>
        <w:t xml:space="preserve">form </w:t>
      </w:r>
      <w:r w:rsidRPr="00C76FE0" w:rsidR="00205BEA">
        <w:rPr>
          <w:szCs w:val="26"/>
        </w:rPr>
        <w:t xml:space="preserve">patterned </w:t>
      </w:r>
      <w:r w:rsidRPr="00C76FE0" w:rsidR="00866BCB">
        <w:rPr>
          <w:szCs w:val="26"/>
        </w:rPr>
        <w:t>on</w:t>
      </w:r>
      <w:r w:rsidRPr="00C76FE0" w:rsidR="005A649F">
        <w:rPr>
          <w:szCs w:val="26"/>
        </w:rPr>
        <w:t>, and specifically citing to,</w:t>
      </w:r>
      <w:r w:rsidRPr="00C76FE0" w:rsidR="00866BCB">
        <w:rPr>
          <w:szCs w:val="26"/>
        </w:rPr>
        <w:t xml:space="preserve"> </w:t>
      </w:r>
      <w:r w:rsidRPr="00C76FE0" w:rsidR="00886E24">
        <w:rPr>
          <w:szCs w:val="26"/>
        </w:rPr>
        <w:t xml:space="preserve">the Health Care Decisions Law.  Logan appointed </w:t>
      </w:r>
      <w:r w:rsidRPr="00C76FE0" w:rsidR="004C3E91">
        <w:rPr>
          <w:szCs w:val="26"/>
        </w:rPr>
        <w:t>his nephew, Mark Harrod, as his “health care agent” to make “health care decisions”</w:t>
      </w:r>
      <w:r w:rsidRPr="00C76FE0" w:rsidR="00662419">
        <w:rPr>
          <w:szCs w:val="26"/>
        </w:rPr>
        <w:t xml:space="preserve"> should </w:t>
      </w:r>
      <w:r w:rsidRPr="00C76FE0" w:rsidR="003C35EC">
        <w:rPr>
          <w:szCs w:val="26"/>
        </w:rPr>
        <w:t>Logan’s</w:t>
      </w:r>
      <w:r w:rsidRPr="00C76FE0" w:rsidR="00662419">
        <w:rPr>
          <w:szCs w:val="26"/>
        </w:rPr>
        <w:t xml:space="preserve"> primary physician find </w:t>
      </w:r>
      <w:r w:rsidRPr="00C76FE0" w:rsidR="00793CC6">
        <w:rPr>
          <w:szCs w:val="26"/>
        </w:rPr>
        <w:t xml:space="preserve">Logan </w:t>
      </w:r>
      <w:r w:rsidRPr="00C76FE0" w:rsidR="00662419">
        <w:rPr>
          <w:szCs w:val="26"/>
        </w:rPr>
        <w:t xml:space="preserve">unable to make </w:t>
      </w:r>
      <w:r w:rsidRPr="00C76FE0" w:rsidR="003740A9">
        <w:rPr>
          <w:szCs w:val="26"/>
        </w:rPr>
        <w:t>those</w:t>
      </w:r>
      <w:r w:rsidRPr="00C76FE0" w:rsidR="00662419">
        <w:rPr>
          <w:szCs w:val="26"/>
        </w:rPr>
        <w:t xml:space="preserve"> decisions</w:t>
      </w:r>
      <w:r w:rsidRPr="00C76FE0" w:rsidR="003740A9">
        <w:rPr>
          <w:szCs w:val="26"/>
        </w:rPr>
        <w:t xml:space="preserve"> himself</w:t>
      </w:r>
      <w:r w:rsidRPr="00C76FE0" w:rsidR="00662419">
        <w:rPr>
          <w:szCs w:val="26"/>
        </w:rPr>
        <w:t xml:space="preserve">.  </w:t>
      </w:r>
      <w:r w:rsidRPr="00C76FE0" w:rsidR="008043DB">
        <w:rPr>
          <w:szCs w:val="26"/>
        </w:rPr>
        <w:t xml:space="preserve">Paraphrasing </w:t>
      </w:r>
      <w:r w:rsidRPr="00C76FE0" w:rsidR="003740A9">
        <w:rPr>
          <w:szCs w:val="26"/>
        </w:rPr>
        <w:t xml:space="preserve">the </w:t>
      </w:r>
      <w:r w:rsidRPr="00C76FE0" w:rsidR="008043DB">
        <w:rPr>
          <w:szCs w:val="26"/>
        </w:rPr>
        <w:t>portions of the Health Care Decisions Law</w:t>
      </w:r>
      <w:r w:rsidRPr="00C76FE0" w:rsidR="00866BCB">
        <w:rPr>
          <w:szCs w:val="26"/>
        </w:rPr>
        <w:t xml:space="preserve"> defining health care decisions (</w:t>
      </w:r>
      <w:r w:rsidR="00306865">
        <w:rPr>
          <w:szCs w:val="26"/>
        </w:rPr>
        <w:t>§ </w:t>
      </w:r>
      <w:r w:rsidRPr="00C76FE0" w:rsidR="008043DB">
        <w:rPr>
          <w:szCs w:val="26"/>
        </w:rPr>
        <w:t>4617</w:t>
      </w:r>
      <w:r w:rsidRPr="00C76FE0" w:rsidR="00866BCB">
        <w:rPr>
          <w:szCs w:val="26"/>
        </w:rPr>
        <w:t>) and decisions after death (</w:t>
      </w:r>
      <w:r w:rsidR="00306865">
        <w:rPr>
          <w:szCs w:val="26"/>
        </w:rPr>
        <w:t>§</w:t>
      </w:r>
      <w:r w:rsidR="00A7211C">
        <w:rPr>
          <w:szCs w:val="26"/>
        </w:rPr>
        <w:t> </w:t>
      </w:r>
      <w:r w:rsidRPr="00C76FE0" w:rsidR="008043DB">
        <w:rPr>
          <w:szCs w:val="26"/>
        </w:rPr>
        <w:t xml:space="preserve">4683), </w:t>
      </w:r>
      <w:r w:rsidRPr="00C76FE0" w:rsidR="00793CC6">
        <w:rPr>
          <w:szCs w:val="26"/>
        </w:rPr>
        <w:t xml:space="preserve">the form </w:t>
      </w:r>
      <w:r w:rsidRPr="00C76FE0">
        <w:rPr>
          <w:szCs w:val="26"/>
        </w:rPr>
        <w:t xml:space="preserve">Logan </w:t>
      </w:r>
      <w:r w:rsidRPr="00C76FE0" w:rsidR="00793CC6">
        <w:rPr>
          <w:szCs w:val="26"/>
        </w:rPr>
        <w:t xml:space="preserve">signed </w:t>
      </w:r>
      <w:r w:rsidRPr="00C76FE0" w:rsidR="009C3BB7">
        <w:rPr>
          <w:szCs w:val="26"/>
        </w:rPr>
        <w:t>authorized</w:t>
      </w:r>
      <w:r w:rsidRPr="00C76FE0" w:rsidR="003740A9">
        <w:rPr>
          <w:szCs w:val="26"/>
        </w:rPr>
        <w:t xml:space="preserve"> </w:t>
      </w:r>
      <w:r w:rsidRPr="00C76FE0" w:rsidR="00793CC6">
        <w:rPr>
          <w:szCs w:val="26"/>
        </w:rPr>
        <w:t xml:space="preserve">Harrod </w:t>
      </w:r>
      <w:r w:rsidRPr="00C76FE0" w:rsidR="00662419">
        <w:rPr>
          <w:szCs w:val="26"/>
        </w:rPr>
        <w:t xml:space="preserve">to </w:t>
      </w:r>
      <w:r w:rsidRPr="00C76FE0" w:rsidR="00904CB6">
        <w:rPr>
          <w:szCs w:val="26"/>
        </w:rPr>
        <w:t xml:space="preserve">(1) </w:t>
      </w:r>
      <w:r w:rsidRPr="00C76FE0" w:rsidR="00662419">
        <w:rPr>
          <w:szCs w:val="26"/>
        </w:rPr>
        <w:t>“consent, refuse consent, or withdraw consent to any medical care,”</w:t>
      </w:r>
      <w:r w:rsidRPr="00C76FE0" w:rsidR="00B645FF">
        <w:rPr>
          <w:szCs w:val="26"/>
        </w:rPr>
        <w:t xml:space="preserve"> including care to artificially sustain life</w:t>
      </w:r>
      <w:r w:rsidRPr="00C76FE0" w:rsidR="00FE0505">
        <w:rPr>
          <w:szCs w:val="26"/>
        </w:rPr>
        <w:t>;</w:t>
      </w:r>
      <w:r w:rsidRPr="00C76FE0" w:rsidR="00662419">
        <w:rPr>
          <w:szCs w:val="26"/>
        </w:rPr>
        <w:t xml:space="preserve"> </w:t>
      </w:r>
      <w:r w:rsidRPr="00C76FE0" w:rsidR="00904CB6">
        <w:rPr>
          <w:szCs w:val="26"/>
        </w:rPr>
        <w:t xml:space="preserve">(2) </w:t>
      </w:r>
      <w:r w:rsidRPr="00C76FE0" w:rsidR="00662419">
        <w:rPr>
          <w:szCs w:val="26"/>
        </w:rPr>
        <w:t>“choose or reject [the principal’s] physician, other health care professionals or health care facilities</w:t>
      </w:r>
      <w:r w:rsidRPr="00C76FE0" w:rsidR="00FE0505">
        <w:rPr>
          <w:szCs w:val="26"/>
        </w:rPr>
        <w:t>;</w:t>
      </w:r>
      <w:r w:rsidRPr="00C76FE0" w:rsidR="00662419">
        <w:rPr>
          <w:szCs w:val="26"/>
        </w:rPr>
        <w:t>”</w:t>
      </w:r>
      <w:r w:rsidRPr="00C76FE0" w:rsidR="00904CB6">
        <w:rPr>
          <w:szCs w:val="26"/>
        </w:rPr>
        <w:t xml:space="preserve"> (3) “receive and consent to the release of medical information</w:t>
      </w:r>
      <w:r w:rsidRPr="00C76FE0" w:rsidR="00FE0505">
        <w:rPr>
          <w:szCs w:val="26"/>
        </w:rPr>
        <w:t>;</w:t>
      </w:r>
      <w:r w:rsidRPr="00C76FE0" w:rsidR="00904CB6">
        <w:rPr>
          <w:szCs w:val="26"/>
        </w:rPr>
        <w:t>” and (4) authorize organ donation, an autopsy, and disposal</w:t>
      </w:r>
      <w:r w:rsidRPr="00C76FE0" w:rsidR="00FF4F3E">
        <w:rPr>
          <w:szCs w:val="26"/>
        </w:rPr>
        <w:t xml:space="preserve"> of remains</w:t>
      </w:r>
      <w:r w:rsidRPr="00C76FE0" w:rsidR="00904CB6">
        <w:rPr>
          <w:szCs w:val="26"/>
        </w:rPr>
        <w:t>.</w:t>
      </w:r>
    </w:p>
    <w:p w:rsidR="002F68E5" w:rsidRPr="00C76FE0" w:rsidP="00C76FE0" w14:paraId="2B05F42E" w14:textId="77777777">
      <w:pPr>
        <w:ind w:firstLine="720"/>
        <w:rPr>
          <w:szCs w:val="26"/>
        </w:rPr>
      </w:pPr>
      <w:r w:rsidRPr="00C76FE0">
        <w:rPr>
          <w:szCs w:val="26"/>
        </w:rPr>
        <w:t xml:space="preserve">About two years </w:t>
      </w:r>
      <w:r w:rsidRPr="00C76FE0" w:rsidR="003740A9">
        <w:rPr>
          <w:szCs w:val="26"/>
        </w:rPr>
        <w:t>after executing this power of attorney</w:t>
      </w:r>
      <w:r w:rsidRPr="00C76FE0">
        <w:rPr>
          <w:szCs w:val="26"/>
        </w:rPr>
        <w:t xml:space="preserve">, </w:t>
      </w:r>
      <w:r w:rsidRPr="00C76FE0" w:rsidR="002A4BE4">
        <w:rPr>
          <w:szCs w:val="26"/>
        </w:rPr>
        <w:t>Logan</w:t>
      </w:r>
      <w:r w:rsidRPr="00C76FE0" w:rsidR="00193029">
        <w:rPr>
          <w:szCs w:val="26"/>
        </w:rPr>
        <w:t xml:space="preserve">, then </w:t>
      </w:r>
      <w:r w:rsidRPr="00C76FE0" w:rsidR="009E44F4">
        <w:rPr>
          <w:szCs w:val="26"/>
        </w:rPr>
        <w:t>approaching his 77th birthday</w:t>
      </w:r>
      <w:r w:rsidRPr="00C76FE0" w:rsidR="00193029">
        <w:rPr>
          <w:szCs w:val="26"/>
        </w:rPr>
        <w:t>,</w:t>
      </w:r>
      <w:r w:rsidRPr="00C76FE0" w:rsidR="002A4BE4">
        <w:rPr>
          <w:szCs w:val="26"/>
        </w:rPr>
        <w:t xml:space="preserve"> </w:t>
      </w:r>
      <w:r w:rsidRPr="00C76FE0" w:rsidR="00C80DDA">
        <w:rPr>
          <w:szCs w:val="26"/>
        </w:rPr>
        <w:t xml:space="preserve">fell, </w:t>
      </w:r>
      <w:r w:rsidRPr="00C76FE0" w:rsidR="00793CC6">
        <w:rPr>
          <w:szCs w:val="26"/>
        </w:rPr>
        <w:t>broke a femur</w:t>
      </w:r>
      <w:r w:rsidRPr="00C76FE0" w:rsidR="00C80DDA">
        <w:rPr>
          <w:szCs w:val="26"/>
        </w:rPr>
        <w:t>,</w:t>
      </w:r>
      <w:r w:rsidRPr="00C76FE0" w:rsidR="00793CC6">
        <w:rPr>
          <w:szCs w:val="26"/>
        </w:rPr>
        <w:t xml:space="preserve"> </w:t>
      </w:r>
      <w:r w:rsidRPr="00C76FE0" w:rsidR="002A4BE4">
        <w:rPr>
          <w:szCs w:val="26"/>
        </w:rPr>
        <w:t xml:space="preserve">and became </w:t>
      </w:r>
      <w:r w:rsidRPr="00C76FE0" w:rsidR="00B6047A">
        <w:rPr>
          <w:szCs w:val="26"/>
        </w:rPr>
        <w:t>unable to walk</w:t>
      </w:r>
      <w:r w:rsidRPr="00C76FE0" w:rsidR="002A4BE4">
        <w:rPr>
          <w:szCs w:val="26"/>
        </w:rPr>
        <w:t xml:space="preserve">.  He entered </w:t>
      </w:r>
      <w:r w:rsidRPr="00C76FE0" w:rsidR="00FD213E">
        <w:rPr>
          <w:szCs w:val="26"/>
        </w:rPr>
        <w:t>the Country Oaks</w:t>
      </w:r>
      <w:r w:rsidRPr="00C76FE0" w:rsidR="002A4BE4">
        <w:rPr>
          <w:szCs w:val="26"/>
        </w:rPr>
        <w:t xml:space="preserve"> </w:t>
      </w:r>
      <w:r w:rsidRPr="00C76FE0" w:rsidR="00B205E6">
        <w:rPr>
          <w:szCs w:val="26"/>
        </w:rPr>
        <w:t>Care Center</w:t>
      </w:r>
      <w:r w:rsidRPr="00C76FE0">
        <w:rPr>
          <w:szCs w:val="26"/>
        </w:rPr>
        <w:t xml:space="preserve"> (Country Oaks)</w:t>
      </w:r>
      <w:r w:rsidRPr="00C76FE0" w:rsidR="00B205E6">
        <w:rPr>
          <w:szCs w:val="26"/>
        </w:rPr>
        <w:t xml:space="preserve">, a </w:t>
      </w:r>
      <w:r w:rsidRPr="00C76FE0" w:rsidR="00B6047A">
        <w:rPr>
          <w:szCs w:val="26"/>
        </w:rPr>
        <w:t>skilled nursing facility</w:t>
      </w:r>
      <w:r w:rsidRPr="00C76FE0" w:rsidR="00B205E6">
        <w:rPr>
          <w:szCs w:val="26"/>
        </w:rPr>
        <w:t xml:space="preserve">, </w:t>
      </w:r>
      <w:r w:rsidRPr="00C76FE0" w:rsidR="009E7421">
        <w:rPr>
          <w:szCs w:val="26"/>
        </w:rPr>
        <w:t>to obtain</w:t>
      </w:r>
      <w:r w:rsidRPr="00C76FE0" w:rsidR="00B6047A">
        <w:rPr>
          <w:szCs w:val="26"/>
        </w:rPr>
        <w:t xml:space="preserve"> </w:t>
      </w:r>
      <w:r w:rsidRPr="00C76FE0" w:rsidR="00A209F1">
        <w:rPr>
          <w:szCs w:val="26"/>
        </w:rPr>
        <w:t>living assistance</w:t>
      </w:r>
      <w:r w:rsidRPr="00C76FE0" w:rsidR="00B6047A">
        <w:rPr>
          <w:szCs w:val="26"/>
        </w:rPr>
        <w:t xml:space="preserve"> and rehabilitative treatment.  </w:t>
      </w:r>
      <w:r w:rsidRPr="00C76FE0" w:rsidR="00FD213E">
        <w:rPr>
          <w:szCs w:val="26"/>
        </w:rPr>
        <w:t>Harrod</w:t>
      </w:r>
      <w:r w:rsidRPr="00C76FE0" w:rsidR="00862CBF">
        <w:rPr>
          <w:szCs w:val="26"/>
        </w:rPr>
        <w:t xml:space="preserve"> </w:t>
      </w:r>
      <w:r w:rsidRPr="00C76FE0" w:rsidR="00FD213E">
        <w:rPr>
          <w:szCs w:val="26"/>
        </w:rPr>
        <w:t xml:space="preserve">signed </w:t>
      </w:r>
      <w:r w:rsidRPr="00C76FE0" w:rsidR="00B2575D">
        <w:rPr>
          <w:szCs w:val="26"/>
        </w:rPr>
        <w:t xml:space="preserve">two </w:t>
      </w:r>
      <w:r w:rsidRPr="00C76FE0" w:rsidR="00FD213E">
        <w:rPr>
          <w:szCs w:val="26"/>
        </w:rPr>
        <w:t xml:space="preserve">agreements with </w:t>
      </w:r>
      <w:r w:rsidRPr="00C76FE0" w:rsidR="00B205E6">
        <w:rPr>
          <w:szCs w:val="26"/>
        </w:rPr>
        <w:t>the facility</w:t>
      </w:r>
      <w:r w:rsidRPr="00C76FE0" w:rsidR="005908B1">
        <w:rPr>
          <w:szCs w:val="26"/>
        </w:rPr>
        <w:t xml:space="preserve"> on </w:t>
      </w:r>
      <w:r w:rsidRPr="00C76FE0" w:rsidR="00094A29">
        <w:rPr>
          <w:szCs w:val="26"/>
        </w:rPr>
        <w:t xml:space="preserve">Logan’s </w:t>
      </w:r>
      <w:r w:rsidRPr="00C76FE0" w:rsidR="005908B1">
        <w:rPr>
          <w:szCs w:val="26"/>
        </w:rPr>
        <w:t>behalf</w:t>
      </w:r>
      <w:r w:rsidRPr="00C76FE0" w:rsidR="00FD213E">
        <w:rPr>
          <w:szCs w:val="26"/>
        </w:rPr>
        <w:t xml:space="preserve">.  </w:t>
      </w:r>
      <w:r w:rsidRPr="00C76FE0" w:rsidR="00862CBF">
        <w:rPr>
          <w:szCs w:val="26"/>
        </w:rPr>
        <w:t xml:space="preserve">The first was </w:t>
      </w:r>
      <w:r w:rsidRPr="00C76FE0" w:rsidR="00FD213E">
        <w:rPr>
          <w:szCs w:val="26"/>
        </w:rPr>
        <w:t>a</w:t>
      </w:r>
      <w:r w:rsidRPr="00C76FE0" w:rsidR="00225933">
        <w:rPr>
          <w:szCs w:val="26"/>
        </w:rPr>
        <w:t xml:space="preserve">n </w:t>
      </w:r>
      <w:r w:rsidRPr="00C76FE0" w:rsidR="00FD213E">
        <w:rPr>
          <w:szCs w:val="26"/>
        </w:rPr>
        <w:t xml:space="preserve">admission agreement </w:t>
      </w:r>
      <w:r w:rsidRPr="00C76FE0" w:rsidR="00862CBF">
        <w:rPr>
          <w:szCs w:val="26"/>
        </w:rPr>
        <w:t xml:space="preserve">that entitled Logan to care at the facility and </w:t>
      </w:r>
      <w:r w:rsidRPr="00C76FE0" w:rsidR="0051565D">
        <w:rPr>
          <w:szCs w:val="26"/>
        </w:rPr>
        <w:t>specif</w:t>
      </w:r>
      <w:r w:rsidRPr="00C76FE0" w:rsidR="00862CBF">
        <w:rPr>
          <w:szCs w:val="26"/>
        </w:rPr>
        <w:t>ied</w:t>
      </w:r>
      <w:r w:rsidRPr="00C76FE0" w:rsidR="00CE1F16">
        <w:rPr>
          <w:szCs w:val="26"/>
        </w:rPr>
        <w:t xml:space="preserve"> the services to be rendered</w:t>
      </w:r>
      <w:r w:rsidRPr="00C76FE0" w:rsidR="005908B1">
        <w:rPr>
          <w:szCs w:val="26"/>
        </w:rPr>
        <w:t xml:space="preserve">, </w:t>
      </w:r>
      <w:r w:rsidRPr="00C76FE0" w:rsidR="00CE1F16">
        <w:rPr>
          <w:szCs w:val="26"/>
        </w:rPr>
        <w:t>payment terms</w:t>
      </w:r>
      <w:r w:rsidRPr="00C76FE0" w:rsidR="005908B1">
        <w:rPr>
          <w:szCs w:val="26"/>
        </w:rPr>
        <w:t xml:space="preserve">, and facility rules.  </w:t>
      </w:r>
      <w:r w:rsidRPr="00C76FE0" w:rsidR="00862CBF">
        <w:rPr>
          <w:szCs w:val="26"/>
        </w:rPr>
        <w:t xml:space="preserve">It </w:t>
      </w:r>
      <w:r w:rsidRPr="00C76FE0" w:rsidR="004B4CAB">
        <w:rPr>
          <w:szCs w:val="26"/>
        </w:rPr>
        <w:t>was unalterable and</w:t>
      </w:r>
      <w:r w:rsidRPr="00C76FE0" w:rsidR="00225933">
        <w:rPr>
          <w:szCs w:val="26"/>
        </w:rPr>
        <w:t xml:space="preserve"> its terms were </w:t>
      </w:r>
      <w:r w:rsidRPr="00C76FE0" w:rsidR="004B4CAB">
        <w:rPr>
          <w:szCs w:val="26"/>
        </w:rPr>
        <w:t>state-mandated</w:t>
      </w:r>
      <w:r w:rsidRPr="00C76FE0" w:rsidR="003F3F9A">
        <w:rPr>
          <w:szCs w:val="26"/>
        </w:rPr>
        <w:t xml:space="preserve">.  (Health &amp; Saf. Code, </w:t>
      </w:r>
      <w:r w:rsidR="00306865">
        <w:rPr>
          <w:szCs w:val="26"/>
        </w:rPr>
        <w:t>§ </w:t>
      </w:r>
      <w:r w:rsidRPr="00C76FE0" w:rsidR="003F3F9A">
        <w:rPr>
          <w:szCs w:val="26"/>
        </w:rPr>
        <w:t>1559.61 [“all skilled nursing facilities</w:t>
      </w:r>
      <w:r w:rsidRPr="00C76FE0" w:rsidR="00D04C08">
        <w:rPr>
          <w:szCs w:val="26"/>
        </w:rPr>
        <w:t> . . .</w:t>
      </w:r>
      <w:r w:rsidRPr="00C76FE0" w:rsidR="003F3F9A">
        <w:rPr>
          <w:szCs w:val="26"/>
        </w:rPr>
        <w:t xml:space="preserve"> shall use a standard admission agreement developed and adopted by the”</w:t>
      </w:r>
      <w:r w:rsidRPr="00C76FE0" w:rsidR="00A447A1">
        <w:rPr>
          <w:szCs w:val="26"/>
        </w:rPr>
        <w:t xml:space="preserve"> state</w:t>
      </w:r>
      <w:r w:rsidRPr="00C76FE0" w:rsidR="00574813">
        <w:rPr>
          <w:szCs w:val="26"/>
        </w:rPr>
        <w:t xml:space="preserve"> </w:t>
      </w:r>
      <w:r w:rsidRPr="00C76FE0" w:rsidR="003F3F9A">
        <w:rPr>
          <w:szCs w:val="26"/>
        </w:rPr>
        <w:t>and “</w:t>
      </w:r>
      <w:r w:rsidR="0011310A">
        <w:rPr>
          <w:szCs w:val="26"/>
        </w:rPr>
        <w:t>[</w:t>
      </w:r>
      <w:r w:rsidRPr="00C76FE0" w:rsidR="003F3F9A">
        <w:rPr>
          <w:szCs w:val="26"/>
        </w:rPr>
        <w:t>n</w:t>
      </w:r>
      <w:r w:rsidR="0011310A">
        <w:rPr>
          <w:szCs w:val="26"/>
        </w:rPr>
        <w:t>]</w:t>
      </w:r>
      <w:r w:rsidRPr="00C76FE0" w:rsidR="003F3F9A">
        <w:rPr>
          <w:szCs w:val="26"/>
        </w:rPr>
        <w:t>o facility shall alter” it</w:t>
      </w:r>
      <w:r w:rsidRPr="00C76FE0" w:rsidR="00574813">
        <w:rPr>
          <w:szCs w:val="26"/>
        </w:rPr>
        <w:t xml:space="preserve"> unless directed</w:t>
      </w:r>
      <w:r w:rsidRPr="00C76FE0" w:rsidR="003F3F9A">
        <w:rPr>
          <w:szCs w:val="26"/>
        </w:rPr>
        <w:t>]</w:t>
      </w:r>
      <w:r w:rsidRPr="00C76FE0" w:rsidR="00BD6A04">
        <w:rPr>
          <w:szCs w:val="26"/>
        </w:rPr>
        <w:t>.</w:t>
      </w:r>
      <w:r w:rsidRPr="00C76FE0" w:rsidR="00574813">
        <w:rPr>
          <w:szCs w:val="26"/>
        </w:rPr>
        <w:t xml:space="preserve">)  </w:t>
      </w:r>
      <w:r w:rsidRPr="00C76FE0" w:rsidR="00862CBF">
        <w:rPr>
          <w:szCs w:val="26"/>
        </w:rPr>
        <w:t>The s</w:t>
      </w:r>
      <w:r w:rsidRPr="00C76FE0" w:rsidR="005908B1">
        <w:rPr>
          <w:szCs w:val="26"/>
        </w:rPr>
        <w:t>econd</w:t>
      </w:r>
      <w:r w:rsidRPr="00C76FE0" w:rsidR="00862CBF">
        <w:rPr>
          <w:szCs w:val="26"/>
        </w:rPr>
        <w:t xml:space="preserve"> agreement </w:t>
      </w:r>
      <w:r w:rsidRPr="00C76FE0" w:rsidR="0051565D">
        <w:rPr>
          <w:szCs w:val="26"/>
        </w:rPr>
        <w:t>Harrod</w:t>
      </w:r>
      <w:r w:rsidRPr="00C76FE0" w:rsidR="005908B1">
        <w:rPr>
          <w:szCs w:val="26"/>
        </w:rPr>
        <w:t xml:space="preserve"> signed </w:t>
      </w:r>
      <w:r w:rsidRPr="00C76FE0" w:rsidR="00862CBF">
        <w:rPr>
          <w:szCs w:val="26"/>
        </w:rPr>
        <w:t xml:space="preserve">was </w:t>
      </w:r>
      <w:r w:rsidRPr="00C76FE0" w:rsidR="005908B1">
        <w:rPr>
          <w:szCs w:val="26"/>
        </w:rPr>
        <w:t xml:space="preserve">an arbitration agreement. </w:t>
      </w:r>
      <w:r w:rsidRPr="00C76FE0" w:rsidR="00110988">
        <w:rPr>
          <w:szCs w:val="26"/>
        </w:rPr>
        <w:t xml:space="preserve"> </w:t>
      </w:r>
      <w:r w:rsidRPr="00C76FE0" w:rsidR="00EA4C1A">
        <w:rPr>
          <w:szCs w:val="26"/>
        </w:rPr>
        <w:t>Per the</w:t>
      </w:r>
      <w:r w:rsidRPr="00C76FE0" w:rsidR="00646A8C">
        <w:rPr>
          <w:szCs w:val="26"/>
        </w:rPr>
        <w:t xml:space="preserve"> require</w:t>
      </w:r>
      <w:r w:rsidRPr="00C76FE0" w:rsidR="00EA4C1A">
        <w:rPr>
          <w:szCs w:val="26"/>
        </w:rPr>
        <w:t>ments of</w:t>
      </w:r>
      <w:r w:rsidRPr="00C76FE0" w:rsidR="00646A8C">
        <w:rPr>
          <w:szCs w:val="26"/>
        </w:rPr>
        <w:t xml:space="preserve"> </w:t>
      </w:r>
      <w:r w:rsidRPr="00C76FE0" w:rsidR="00DD7090">
        <w:rPr>
          <w:szCs w:val="26"/>
        </w:rPr>
        <w:t>state law</w:t>
      </w:r>
      <w:r w:rsidRPr="00C76FE0" w:rsidR="00EA4C1A">
        <w:rPr>
          <w:szCs w:val="26"/>
        </w:rPr>
        <w:t xml:space="preserve"> </w:t>
      </w:r>
      <w:r w:rsidRPr="00C76FE0" w:rsidR="00356EE3">
        <w:rPr>
          <w:szCs w:val="26"/>
        </w:rPr>
        <w:t xml:space="preserve">applicable to long-term health care facilities </w:t>
      </w:r>
      <w:r w:rsidRPr="00C76FE0" w:rsidR="00EA4C1A">
        <w:rPr>
          <w:szCs w:val="26"/>
        </w:rPr>
        <w:t xml:space="preserve">and </w:t>
      </w:r>
      <w:r w:rsidRPr="00C76FE0" w:rsidR="00646A8C">
        <w:rPr>
          <w:szCs w:val="26"/>
        </w:rPr>
        <w:t>federal regulation</w:t>
      </w:r>
      <w:r w:rsidRPr="00C76FE0" w:rsidR="00EA4C1A">
        <w:rPr>
          <w:szCs w:val="26"/>
        </w:rPr>
        <w:t xml:space="preserve">s governing </w:t>
      </w:r>
      <w:r w:rsidRPr="00C76FE0" w:rsidR="00356EE3">
        <w:rPr>
          <w:szCs w:val="26"/>
        </w:rPr>
        <w:t xml:space="preserve">such </w:t>
      </w:r>
      <w:r w:rsidRPr="00C76FE0" w:rsidR="00EA4C1A">
        <w:rPr>
          <w:szCs w:val="26"/>
        </w:rPr>
        <w:t>facilities participating in Medicare and Medicaid</w:t>
      </w:r>
      <w:r w:rsidRPr="00C76FE0" w:rsidR="00225933">
        <w:rPr>
          <w:szCs w:val="26"/>
        </w:rPr>
        <w:t>,</w:t>
      </w:r>
      <w:r w:rsidRPr="00C76FE0" w:rsidR="00A272D6">
        <w:rPr>
          <w:szCs w:val="26"/>
        </w:rPr>
        <w:t xml:space="preserve"> </w:t>
      </w:r>
      <w:r w:rsidRPr="00C76FE0" w:rsidR="00356EE3">
        <w:rPr>
          <w:szCs w:val="26"/>
        </w:rPr>
        <w:t xml:space="preserve">the arbitration agreement </w:t>
      </w:r>
      <w:r w:rsidRPr="00C76FE0" w:rsidR="0029334A">
        <w:rPr>
          <w:szCs w:val="26"/>
        </w:rPr>
        <w:t>appeared</w:t>
      </w:r>
      <w:r w:rsidRPr="00C76FE0" w:rsidR="00A272D6">
        <w:rPr>
          <w:szCs w:val="26"/>
        </w:rPr>
        <w:t xml:space="preserve"> </w:t>
      </w:r>
      <w:r w:rsidRPr="00C76FE0" w:rsidR="00225933">
        <w:rPr>
          <w:szCs w:val="26"/>
        </w:rPr>
        <w:t xml:space="preserve">on </w:t>
      </w:r>
      <w:r w:rsidRPr="00C76FE0" w:rsidR="00A272D6">
        <w:rPr>
          <w:szCs w:val="26"/>
        </w:rPr>
        <w:t>a separate form and was</w:t>
      </w:r>
      <w:r w:rsidRPr="00C76FE0" w:rsidR="00A447A1">
        <w:rPr>
          <w:szCs w:val="26"/>
        </w:rPr>
        <w:t xml:space="preserve"> </w:t>
      </w:r>
      <w:r w:rsidRPr="00C76FE0" w:rsidR="00A272D6">
        <w:rPr>
          <w:szCs w:val="26"/>
        </w:rPr>
        <w:t>presented</w:t>
      </w:r>
      <w:r w:rsidRPr="00C76FE0" w:rsidR="00225933">
        <w:rPr>
          <w:szCs w:val="26"/>
        </w:rPr>
        <w:t xml:space="preserve"> </w:t>
      </w:r>
      <w:r w:rsidRPr="00C76FE0" w:rsidR="00A272D6">
        <w:rPr>
          <w:szCs w:val="26"/>
        </w:rPr>
        <w:t xml:space="preserve">as </w:t>
      </w:r>
      <w:r w:rsidRPr="00C76FE0" w:rsidR="00A447A1">
        <w:rPr>
          <w:szCs w:val="26"/>
        </w:rPr>
        <w:t xml:space="preserve">optional.  (See </w:t>
      </w:r>
      <w:r w:rsidRPr="00C76FE0" w:rsidR="00A447A1">
        <w:rPr>
          <w:i/>
          <w:iCs/>
          <w:szCs w:val="26"/>
        </w:rPr>
        <w:t>id.</w:t>
      </w:r>
      <w:r w:rsidRPr="00C76FE0" w:rsidR="00A447A1">
        <w:rPr>
          <w:szCs w:val="26"/>
        </w:rPr>
        <w:t xml:space="preserve">, </w:t>
      </w:r>
      <w:r w:rsidR="00306865">
        <w:rPr>
          <w:szCs w:val="26"/>
        </w:rPr>
        <w:t>§ </w:t>
      </w:r>
      <w:r w:rsidRPr="00C76FE0" w:rsidR="00A447A1">
        <w:rPr>
          <w:szCs w:val="26"/>
        </w:rPr>
        <w:t>1599.81, subds. (a), (b) [an arbitration agreement must not be a precondition to facility admission and must “be included on a form separate from the rest of the admission contract”]</w:t>
      </w:r>
      <w:r w:rsidRPr="00C76FE0" w:rsidR="00646A8C">
        <w:rPr>
          <w:szCs w:val="26"/>
        </w:rPr>
        <w:t xml:space="preserve">; </w:t>
      </w:r>
      <w:r w:rsidRPr="00C76FE0" w:rsidR="00646A8C">
        <w:rPr>
          <w:rFonts w:cstheme="minorHAnsi"/>
          <w:szCs w:val="26"/>
        </w:rPr>
        <w:t xml:space="preserve">42 C.F.R. </w:t>
      </w:r>
      <w:r w:rsidR="00306865">
        <w:rPr>
          <w:rFonts w:cstheme="minorHAnsi"/>
          <w:szCs w:val="26"/>
        </w:rPr>
        <w:t>§ </w:t>
      </w:r>
      <w:r w:rsidRPr="00C76FE0" w:rsidR="00646A8C">
        <w:rPr>
          <w:rFonts w:cstheme="minorHAnsi"/>
          <w:szCs w:val="26"/>
        </w:rPr>
        <w:t xml:space="preserve">483.70(n) </w:t>
      </w:r>
      <w:r w:rsidR="006E0281">
        <w:rPr>
          <w:rFonts w:cstheme="minorHAnsi"/>
          <w:szCs w:val="26"/>
        </w:rPr>
        <w:t>(</w:t>
      </w:r>
      <w:r w:rsidR="00FE0A80">
        <w:rPr>
          <w:rFonts w:cstheme="minorHAnsi"/>
          <w:szCs w:val="26"/>
        </w:rPr>
        <w:t>2019</w:t>
      </w:r>
      <w:r w:rsidR="006E0281">
        <w:rPr>
          <w:rFonts w:cstheme="minorHAnsi"/>
          <w:szCs w:val="26"/>
        </w:rPr>
        <w:t xml:space="preserve">) </w:t>
      </w:r>
      <w:r w:rsidRPr="00C76FE0" w:rsidR="00646A8C">
        <w:rPr>
          <w:rFonts w:cstheme="minorHAnsi"/>
          <w:szCs w:val="26"/>
        </w:rPr>
        <w:t>[facilities participating in Medicare and Medicaid “must not require any resident or his or her representative to sign an agreement for binding arbitration as a condition of admission</w:t>
      </w:r>
      <w:r w:rsidRPr="00C76FE0" w:rsidR="00646A8C">
        <w:t>”]</w:t>
      </w:r>
      <w:r w:rsidRPr="00C76FE0" w:rsidR="00A447A1">
        <w:rPr>
          <w:szCs w:val="26"/>
        </w:rPr>
        <w:t>.)</w:t>
      </w:r>
      <w:r>
        <w:rPr>
          <w:rStyle w:val="FootnoteReference"/>
          <w:position w:val="0"/>
        </w:rPr>
        <w:footnoteReference w:id="4"/>
      </w:r>
      <w:r w:rsidRPr="00C76FE0" w:rsidR="00C772A0">
        <w:rPr>
          <w:szCs w:val="26"/>
        </w:rPr>
        <w:t xml:space="preserve">  </w:t>
      </w:r>
      <w:r w:rsidRPr="00C76FE0" w:rsidR="00193029">
        <w:rPr>
          <w:szCs w:val="26"/>
        </w:rPr>
        <w:t>A boxed warning atop this agreement stated</w:t>
      </w:r>
      <w:r w:rsidRPr="00C76FE0" w:rsidR="00761F21">
        <w:rPr>
          <w:szCs w:val="26"/>
        </w:rPr>
        <w:t>,</w:t>
      </w:r>
      <w:r w:rsidRPr="00C76FE0" w:rsidR="00193029">
        <w:rPr>
          <w:szCs w:val="26"/>
        </w:rPr>
        <w:t xml:space="preserve"> “READ CAREFULLY</w:t>
      </w:r>
      <w:r w:rsidR="00306865">
        <w:rPr>
          <w:szCs w:val="26"/>
        </w:rPr>
        <w:t> —</w:t>
      </w:r>
      <w:r w:rsidRPr="00C76FE0" w:rsidR="00193029">
        <w:rPr>
          <w:szCs w:val="26"/>
        </w:rPr>
        <w:t xml:space="preserve"> Not Part of Admission Agreement</w:t>
      </w:r>
      <w:r w:rsidRPr="00C76FE0" w:rsidR="00761F21">
        <w:rPr>
          <w:szCs w:val="26"/>
        </w:rPr>
        <w:t>,</w:t>
      </w:r>
      <w:r w:rsidRPr="00C76FE0" w:rsidR="00193029">
        <w:rPr>
          <w:szCs w:val="26"/>
        </w:rPr>
        <w:t>” and continued</w:t>
      </w:r>
      <w:r w:rsidRPr="00C76FE0" w:rsidR="00761F21">
        <w:rPr>
          <w:szCs w:val="26"/>
        </w:rPr>
        <w:t>,</w:t>
      </w:r>
      <w:r w:rsidRPr="00C76FE0" w:rsidR="00193029">
        <w:rPr>
          <w:szCs w:val="26"/>
        </w:rPr>
        <w:t xml:space="preserve"> “</w:t>
      </w:r>
      <w:r w:rsidRPr="00C76FE0" w:rsidR="00225933">
        <w:rPr>
          <w:szCs w:val="26"/>
        </w:rPr>
        <w:t>R</w:t>
      </w:r>
      <w:r w:rsidRPr="00C76FE0" w:rsidR="00193029">
        <w:rPr>
          <w:szCs w:val="26"/>
        </w:rPr>
        <w:t>esident shall not be required to sign this arbitration agreement as a condition of admission to this facility or to continue to receive care at the facility.”</w:t>
      </w:r>
      <w:r>
        <w:rPr>
          <w:rStyle w:val="FootnoteReference"/>
          <w:position w:val="0"/>
        </w:rPr>
        <w:footnoteReference w:id="5"/>
      </w:r>
      <w:r w:rsidRPr="00C76FE0" w:rsidR="00193029">
        <w:rPr>
          <w:szCs w:val="26"/>
        </w:rPr>
        <w:t xml:space="preserve">  </w:t>
      </w:r>
      <w:r w:rsidRPr="00C76FE0" w:rsidR="00A272D6">
        <w:rPr>
          <w:szCs w:val="26"/>
        </w:rPr>
        <w:t>The arbitration agreement state</w:t>
      </w:r>
      <w:r w:rsidRPr="00C76FE0" w:rsidR="00FC7D67">
        <w:rPr>
          <w:szCs w:val="26"/>
        </w:rPr>
        <w:t>d</w:t>
      </w:r>
      <w:r w:rsidRPr="00C76FE0" w:rsidR="00A272D6">
        <w:rPr>
          <w:szCs w:val="26"/>
        </w:rPr>
        <w:t xml:space="preserve"> </w:t>
      </w:r>
      <w:r w:rsidRPr="00C76FE0" w:rsidR="00940914">
        <w:rPr>
          <w:szCs w:val="26"/>
        </w:rPr>
        <w:t xml:space="preserve">disputes concerning </w:t>
      </w:r>
      <w:r w:rsidRPr="00C76FE0" w:rsidR="00A570EB">
        <w:rPr>
          <w:szCs w:val="26"/>
        </w:rPr>
        <w:t xml:space="preserve">medical </w:t>
      </w:r>
      <w:r w:rsidRPr="00C76FE0" w:rsidR="00940914">
        <w:rPr>
          <w:szCs w:val="26"/>
        </w:rPr>
        <w:t>care</w:t>
      </w:r>
      <w:r w:rsidRPr="00C76FE0" w:rsidR="00A570EB">
        <w:rPr>
          <w:szCs w:val="26"/>
        </w:rPr>
        <w:t>,</w:t>
      </w:r>
      <w:r w:rsidRPr="00C76FE0" w:rsidR="00842B51">
        <w:rPr>
          <w:szCs w:val="26"/>
        </w:rPr>
        <w:t xml:space="preserve"> </w:t>
      </w:r>
      <w:r w:rsidRPr="00C76FE0" w:rsidR="00940914">
        <w:rPr>
          <w:szCs w:val="26"/>
        </w:rPr>
        <w:t>the provision of services</w:t>
      </w:r>
      <w:r w:rsidRPr="00C76FE0" w:rsidR="00842B51">
        <w:rPr>
          <w:szCs w:val="26"/>
        </w:rPr>
        <w:t xml:space="preserve">, </w:t>
      </w:r>
      <w:r w:rsidRPr="00C76FE0" w:rsidR="00940914">
        <w:rPr>
          <w:szCs w:val="26"/>
        </w:rPr>
        <w:t xml:space="preserve">and </w:t>
      </w:r>
      <w:r w:rsidRPr="00C76FE0" w:rsidR="00A570EB">
        <w:rPr>
          <w:szCs w:val="26"/>
        </w:rPr>
        <w:t xml:space="preserve">the admission </w:t>
      </w:r>
      <w:r w:rsidRPr="00C76FE0" w:rsidR="00940914">
        <w:rPr>
          <w:szCs w:val="26"/>
        </w:rPr>
        <w:t xml:space="preserve">agreement or </w:t>
      </w:r>
      <w:r w:rsidRPr="00C76FE0" w:rsidR="00A570EB">
        <w:rPr>
          <w:szCs w:val="26"/>
        </w:rPr>
        <w:t>arbitration agreement</w:t>
      </w:r>
      <w:r w:rsidRPr="00C76FE0" w:rsidR="00940914">
        <w:rPr>
          <w:szCs w:val="26"/>
        </w:rPr>
        <w:t xml:space="preserve"> </w:t>
      </w:r>
      <w:r w:rsidRPr="00C76FE0" w:rsidR="00842B51">
        <w:rPr>
          <w:szCs w:val="26"/>
        </w:rPr>
        <w:t>would be arbitrated</w:t>
      </w:r>
      <w:r w:rsidRPr="00C76FE0" w:rsidR="00DD7090">
        <w:rPr>
          <w:szCs w:val="26"/>
        </w:rPr>
        <w:t xml:space="preserve">, </w:t>
      </w:r>
      <w:r w:rsidRPr="00C76FE0" w:rsidR="00842B51">
        <w:rPr>
          <w:szCs w:val="26"/>
        </w:rPr>
        <w:t xml:space="preserve">not litigated in court.  </w:t>
      </w:r>
      <w:r w:rsidRPr="00C76FE0" w:rsidR="00193029">
        <w:rPr>
          <w:szCs w:val="26"/>
        </w:rPr>
        <w:t xml:space="preserve">Under </w:t>
      </w:r>
      <w:r w:rsidRPr="00C76FE0" w:rsidR="00916A71">
        <w:rPr>
          <w:szCs w:val="26"/>
        </w:rPr>
        <w:t xml:space="preserve">the </w:t>
      </w:r>
      <w:r w:rsidRPr="00C76FE0" w:rsidR="00193029">
        <w:rPr>
          <w:szCs w:val="26"/>
        </w:rPr>
        <w:t>agreement, both parties abjured “their constitutional right to have any such dispute decided in a court of law before a jury.”</w:t>
      </w:r>
    </w:p>
    <w:p w:rsidR="002F68E5" w:rsidRPr="00C76FE0" w:rsidP="00C76FE0" w14:paraId="2B05F42F" w14:textId="77777777">
      <w:pPr>
        <w:ind w:firstLine="720"/>
        <w:rPr>
          <w:szCs w:val="26"/>
        </w:rPr>
      </w:pPr>
      <w:r>
        <w:rPr>
          <w:szCs w:val="26"/>
        </w:rPr>
        <w:t xml:space="preserve">Based on </w:t>
      </w:r>
      <w:r w:rsidRPr="00C76FE0" w:rsidR="00AF292A">
        <w:rPr>
          <w:szCs w:val="26"/>
        </w:rPr>
        <w:t>the care he received during his approximately one-month stay at Country Oaks, Logan</w:t>
      </w:r>
      <w:r w:rsidRPr="00C76FE0" w:rsidR="00FC7D67">
        <w:rPr>
          <w:szCs w:val="26"/>
        </w:rPr>
        <w:t>, with Harrod acting as his guardian ad litem,</w:t>
      </w:r>
      <w:r>
        <w:rPr>
          <w:rStyle w:val="FootnoteReference"/>
          <w:position w:val="0"/>
        </w:rPr>
        <w:footnoteReference w:id="6"/>
      </w:r>
      <w:r w:rsidRPr="00C76FE0" w:rsidR="00AF292A">
        <w:rPr>
          <w:szCs w:val="26"/>
        </w:rPr>
        <w:t xml:space="preserve"> </w:t>
      </w:r>
      <w:r w:rsidRPr="00C76FE0" w:rsidR="00B205E6">
        <w:rPr>
          <w:szCs w:val="26"/>
        </w:rPr>
        <w:t>filed a lawsuit in a California superior court</w:t>
      </w:r>
      <w:r w:rsidRPr="00C76FE0" w:rsidR="00494A6E">
        <w:rPr>
          <w:szCs w:val="26"/>
        </w:rPr>
        <w:t xml:space="preserve"> against the facility’s owners and operators, Country Oaks Partners, LLC</w:t>
      </w:r>
      <w:r w:rsidR="00D338C7">
        <w:rPr>
          <w:szCs w:val="26"/>
        </w:rPr>
        <w:t>,</w:t>
      </w:r>
      <w:r w:rsidRPr="00C76FE0" w:rsidR="00494A6E">
        <w:rPr>
          <w:szCs w:val="26"/>
        </w:rPr>
        <w:t xml:space="preserve"> and Sun-Mar Management Services, Inc.  </w:t>
      </w:r>
      <w:r w:rsidRPr="00C76FE0" w:rsidR="00B205E6">
        <w:rPr>
          <w:szCs w:val="26"/>
        </w:rPr>
        <w:t>Logan alleged</w:t>
      </w:r>
      <w:r w:rsidRPr="00C76FE0" w:rsidR="00494A6E">
        <w:rPr>
          <w:szCs w:val="26"/>
        </w:rPr>
        <w:t xml:space="preserve"> these defendants </w:t>
      </w:r>
      <w:r w:rsidRPr="00C76FE0" w:rsidR="00F61C1E">
        <w:rPr>
          <w:szCs w:val="26"/>
        </w:rPr>
        <w:t>negligent</w:t>
      </w:r>
      <w:r w:rsidRPr="00C76FE0" w:rsidR="00AF292A">
        <w:rPr>
          <w:szCs w:val="26"/>
        </w:rPr>
        <w:t>ly</w:t>
      </w:r>
      <w:r w:rsidRPr="00C76FE0" w:rsidR="00F61C1E">
        <w:rPr>
          <w:szCs w:val="26"/>
        </w:rPr>
        <w:t xml:space="preserve"> withheld appropriate care, resulting in Logan suffering </w:t>
      </w:r>
      <w:r w:rsidRPr="00C76FE0" w:rsidR="00B4419A">
        <w:rPr>
          <w:szCs w:val="26"/>
        </w:rPr>
        <w:t>a</w:t>
      </w:r>
      <w:r w:rsidRPr="00C76FE0" w:rsidR="00736EE2">
        <w:rPr>
          <w:szCs w:val="26"/>
        </w:rPr>
        <w:t xml:space="preserve"> second</w:t>
      </w:r>
      <w:r w:rsidRPr="00C76FE0" w:rsidR="00B4419A">
        <w:rPr>
          <w:szCs w:val="26"/>
        </w:rPr>
        <w:t xml:space="preserve"> fall and fracture</w:t>
      </w:r>
      <w:r w:rsidRPr="00C76FE0" w:rsidR="004C52A7">
        <w:rPr>
          <w:szCs w:val="26"/>
        </w:rPr>
        <w:t>,</w:t>
      </w:r>
      <w:r w:rsidRPr="00C76FE0" w:rsidR="00F61C1E">
        <w:rPr>
          <w:szCs w:val="26"/>
        </w:rPr>
        <w:t xml:space="preserve"> being unnecessarily diapered, and developing pressure ulcers.  In addition to </w:t>
      </w:r>
      <w:r w:rsidRPr="00C76FE0" w:rsidR="00B4419A">
        <w:rPr>
          <w:szCs w:val="26"/>
        </w:rPr>
        <w:t>pleading</w:t>
      </w:r>
      <w:r w:rsidRPr="00C76FE0" w:rsidR="00F61C1E">
        <w:rPr>
          <w:szCs w:val="26"/>
        </w:rPr>
        <w:t xml:space="preserve"> a cause of action for common law negligence, Logan asserted causes of action for elder abuse and violations of </w:t>
      </w:r>
      <w:r w:rsidR="00A00DF5">
        <w:rPr>
          <w:szCs w:val="26"/>
        </w:rPr>
        <w:t>his right as a resident</w:t>
      </w:r>
      <w:r w:rsidRPr="00C76FE0" w:rsidR="00A00DF5">
        <w:rPr>
          <w:szCs w:val="26"/>
        </w:rPr>
        <w:t xml:space="preserve"> </w:t>
      </w:r>
      <w:r w:rsidR="00A00DF5">
        <w:rPr>
          <w:szCs w:val="26"/>
        </w:rPr>
        <w:t>of a skilled nursing facility</w:t>
      </w:r>
      <w:r w:rsidRPr="00C76FE0" w:rsidR="00F61C1E">
        <w:rPr>
          <w:szCs w:val="26"/>
        </w:rPr>
        <w:t xml:space="preserve"> (Health &amp; </w:t>
      </w:r>
      <w:r w:rsidRPr="00C76FE0" w:rsidR="00AF292A">
        <w:rPr>
          <w:szCs w:val="26"/>
        </w:rPr>
        <w:t>Saf.</w:t>
      </w:r>
      <w:r w:rsidRPr="00C76FE0" w:rsidR="00F61C1E">
        <w:rPr>
          <w:szCs w:val="26"/>
        </w:rPr>
        <w:t xml:space="preserve"> Code, </w:t>
      </w:r>
      <w:r w:rsidR="00306865">
        <w:rPr>
          <w:szCs w:val="26"/>
        </w:rPr>
        <w:t>§ </w:t>
      </w:r>
      <w:r w:rsidRPr="00C76FE0" w:rsidR="00F61C1E">
        <w:rPr>
          <w:szCs w:val="26"/>
        </w:rPr>
        <w:t>1430</w:t>
      </w:r>
      <w:r w:rsidR="00A00DF5">
        <w:rPr>
          <w:szCs w:val="26"/>
        </w:rPr>
        <w:t>, subd. (b)</w:t>
      </w:r>
      <w:r w:rsidRPr="00C76FE0" w:rsidR="00F61C1E">
        <w:rPr>
          <w:szCs w:val="26"/>
        </w:rPr>
        <w:t xml:space="preserve">).  </w:t>
      </w:r>
      <w:r w:rsidRPr="00C76FE0" w:rsidR="00AF292A">
        <w:rPr>
          <w:szCs w:val="26"/>
        </w:rPr>
        <w:t xml:space="preserve">Logan further </w:t>
      </w:r>
      <w:r w:rsidRPr="00C76FE0" w:rsidR="00F4517E">
        <w:rPr>
          <w:szCs w:val="26"/>
        </w:rPr>
        <w:t xml:space="preserve">asked the superior court </w:t>
      </w:r>
      <w:r w:rsidRPr="00C76FE0" w:rsidR="00AF292A">
        <w:rPr>
          <w:szCs w:val="26"/>
        </w:rPr>
        <w:t>for a</w:t>
      </w:r>
      <w:r w:rsidRPr="00C76FE0" w:rsidR="00F4517E">
        <w:rPr>
          <w:szCs w:val="26"/>
        </w:rPr>
        <w:t xml:space="preserve"> declar</w:t>
      </w:r>
      <w:r w:rsidRPr="00C76FE0" w:rsidR="00AF292A">
        <w:rPr>
          <w:szCs w:val="26"/>
        </w:rPr>
        <w:t>ation that</w:t>
      </w:r>
      <w:r w:rsidRPr="00C76FE0" w:rsidR="00F4517E">
        <w:rPr>
          <w:szCs w:val="26"/>
        </w:rPr>
        <w:t xml:space="preserve"> he was not bound by the arbitration agreement </w:t>
      </w:r>
      <w:r w:rsidRPr="00C76FE0" w:rsidR="0038477B">
        <w:rPr>
          <w:szCs w:val="26"/>
        </w:rPr>
        <w:t xml:space="preserve">that </w:t>
      </w:r>
      <w:r w:rsidRPr="00C76FE0" w:rsidR="00F4517E">
        <w:rPr>
          <w:szCs w:val="26"/>
        </w:rPr>
        <w:t>his health care agent, Harrod, had signed.</w:t>
      </w:r>
    </w:p>
    <w:p w:rsidR="00CF162B" w:rsidRPr="00C76FE0" w:rsidP="00C76FE0" w14:paraId="2B05F430" w14:textId="77777777">
      <w:pPr>
        <w:ind w:firstLine="720"/>
        <w:rPr>
          <w:szCs w:val="26"/>
        </w:rPr>
      </w:pPr>
      <w:r w:rsidRPr="00C76FE0">
        <w:rPr>
          <w:szCs w:val="26"/>
        </w:rPr>
        <w:t xml:space="preserve">Defendants </w:t>
      </w:r>
      <w:r w:rsidRPr="00C76FE0" w:rsidR="007654AE">
        <w:rPr>
          <w:szCs w:val="26"/>
        </w:rPr>
        <w:t>moved to compel arbitration.  The superior court denied the motion</w:t>
      </w:r>
      <w:r w:rsidRPr="00C76FE0" w:rsidR="007B658E">
        <w:rPr>
          <w:szCs w:val="26"/>
        </w:rPr>
        <w:t>.</w:t>
      </w:r>
      <w:r w:rsidRPr="00C76FE0" w:rsidR="007654AE">
        <w:rPr>
          <w:szCs w:val="26"/>
        </w:rPr>
        <w:t xml:space="preserve">  </w:t>
      </w:r>
      <w:r w:rsidRPr="00C76FE0" w:rsidR="007B658E">
        <w:rPr>
          <w:szCs w:val="26"/>
        </w:rPr>
        <w:t xml:space="preserve">It </w:t>
      </w:r>
      <w:r w:rsidRPr="00C76FE0" w:rsidR="00A45857">
        <w:rPr>
          <w:szCs w:val="26"/>
        </w:rPr>
        <w:t>reason</w:t>
      </w:r>
      <w:r w:rsidRPr="00C76FE0" w:rsidR="007B658E">
        <w:rPr>
          <w:szCs w:val="26"/>
        </w:rPr>
        <w:t>ed</w:t>
      </w:r>
      <w:r w:rsidRPr="00C76FE0" w:rsidR="00A45857">
        <w:rPr>
          <w:szCs w:val="26"/>
        </w:rPr>
        <w:t xml:space="preserve"> </w:t>
      </w:r>
      <w:r w:rsidRPr="00C76FE0" w:rsidR="007654AE">
        <w:rPr>
          <w:szCs w:val="26"/>
        </w:rPr>
        <w:t>Harrod</w:t>
      </w:r>
      <w:r w:rsidRPr="00C76FE0" w:rsidR="00A45857">
        <w:rPr>
          <w:szCs w:val="26"/>
        </w:rPr>
        <w:t>’s</w:t>
      </w:r>
      <w:r w:rsidRPr="00C76FE0" w:rsidR="007654AE">
        <w:rPr>
          <w:szCs w:val="26"/>
        </w:rPr>
        <w:t xml:space="preserve"> power to </w:t>
      </w:r>
      <w:r w:rsidRPr="00C76FE0" w:rsidR="00A45857">
        <w:rPr>
          <w:szCs w:val="26"/>
        </w:rPr>
        <w:t xml:space="preserve">make health care decisions for Logan as his </w:t>
      </w:r>
      <w:r w:rsidRPr="00C76FE0" w:rsidR="007654AE">
        <w:rPr>
          <w:szCs w:val="26"/>
        </w:rPr>
        <w:t xml:space="preserve">health care agent did not encompass the power to sign the </w:t>
      </w:r>
      <w:r w:rsidRPr="00C76FE0" w:rsidR="006D2F9A">
        <w:rPr>
          <w:szCs w:val="26"/>
        </w:rPr>
        <w:t xml:space="preserve">optional </w:t>
      </w:r>
      <w:r w:rsidRPr="00C76FE0" w:rsidR="007654AE">
        <w:rPr>
          <w:szCs w:val="26"/>
        </w:rPr>
        <w:t xml:space="preserve">arbitration agreement.  </w:t>
      </w:r>
      <w:r w:rsidRPr="00C76FE0" w:rsidR="00CF1E8C">
        <w:rPr>
          <w:szCs w:val="26"/>
        </w:rPr>
        <w:t>The Court of Appeal affirmed</w:t>
      </w:r>
      <w:r w:rsidRPr="00C76FE0" w:rsidR="007B658E">
        <w:rPr>
          <w:szCs w:val="26"/>
        </w:rPr>
        <w:t>,</w:t>
      </w:r>
      <w:r w:rsidRPr="00C76FE0" w:rsidR="00A45857">
        <w:rPr>
          <w:szCs w:val="26"/>
        </w:rPr>
        <w:t xml:space="preserve"> </w:t>
      </w:r>
      <w:r w:rsidRPr="00C76FE0" w:rsidR="00F04AF9">
        <w:rPr>
          <w:szCs w:val="26"/>
        </w:rPr>
        <w:t>agreeing</w:t>
      </w:r>
      <w:r w:rsidRPr="00C76FE0" w:rsidR="00A45857">
        <w:rPr>
          <w:szCs w:val="26"/>
        </w:rPr>
        <w:t xml:space="preserve"> </w:t>
      </w:r>
      <w:r w:rsidRPr="00C76FE0" w:rsidR="00CF22B2">
        <w:rPr>
          <w:szCs w:val="26"/>
        </w:rPr>
        <w:t xml:space="preserve">that </w:t>
      </w:r>
      <w:r w:rsidRPr="00C76FE0" w:rsidR="00F04AF9">
        <w:rPr>
          <w:szCs w:val="26"/>
        </w:rPr>
        <w:t>a</w:t>
      </w:r>
      <w:r w:rsidRPr="00C76FE0" w:rsidR="00A45857">
        <w:rPr>
          <w:szCs w:val="26"/>
        </w:rPr>
        <w:t xml:space="preserve"> </w:t>
      </w:r>
      <w:r w:rsidRPr="00C76FE0" w:rsidR="00996C74">
        <w:rPr>
          <w:szCs w:val="26"/>
        </w:rPr>
        <w:t xml:space="preserve">health care decision </w:t>
      </w:r>
      <w:r w:rsidRPr="00C76FE0" w:rsidR="00A45857">
        <w:rPr>
          <w:szCs w:val="26"/>
        </w:rPr>
        <w:t xml:space="preserve">does not encompass </w:t>
      </w:r>
      <w:r w:rsidRPr="00C76FE0" w:rsidR="006D2F9A">
        <w:rPr>
          <w:szCs w:val="26"/>
        </w:rPr>
        <w:t>optional</w:t>
      </w:r>
      <w:r w:rsidRPr="00C76FE0" w:rsidR="000A5DAF">
        <w:rPr>
          <w:szCs w:val="26"/>
        </w:rPr>
        <w:t>, separate</w:t>
      </w:r>
      <w:r w:rsidRPr="00C76FE0" w:rsidR="006D2F9A">
        <w:rPr>
          <w:szCs w:val="26"/>
        </w:rPr>
        <w:t xml:space="preserve"> arbitration agreements</w:t>
      </w:r>
      <w:r w:rsidRPr="00C76FE0">
        <w:rPr>
          <w:szCs w:val="26"/>
        </w:rPr>
        <w:t xml:space="preserve"> presented alongside </w:t>
      </w:r>
      <w:r w:rsidRPr="00C76FE0" w:rsidR="00BF2809">
        <w:rPr>
          <w:szCs w:val="26"/>
        </w:rPr>
        <w:t>mandatory</w:t>
      </w:r>
      <w:r w:rsidRPr="00C76FE0">
        <w:rPr>
          <w:szCs w:val="26"/>
        </w:rPr>
        <w:t xml:space="preserve"> facility admissions paperwork</w:t>
      </w:r>
      <w:r w:rsidRPr="00C76FE0" w:rsidR="00A45857">
        <w:rPr>
          <w:szCs w:val="26"/>
        </w:rPr>
        <w:t>.</w:t>
      </w:r>
      <w:r w:rsidRPr="00C76FE0" w:rsidR="007B658E">
        <w:rPr>
          <w:szCs w:val="26"/>
        </w:rPr>
        <w:t xml:space="preserve">  (</w:t>
      </w:r>
      <w:r w:rsidRPr="00C76FE0" w:rsidR="007B658E">
        <w:rPr>
          <w:i/>
          <w:iCs/>
          <w:szCs w:val="26"/>
        </w:rPr>
        <w:t>Logan v. Country Oaks Partners, LLC</w:t>
      </w:r>
      <w:r w:rsidRPr="00C76FE0" w:rsidR="007B658E">
        <w:rPr>
          <w:szCs w:val="26"/>
        </w:rPr>
        <w:t xml:space="preserve"> (2022) 82 Cal.App.5th 365</w:t>
      </w:r>
      <w:r w:rsidRPr="00C76FE0" w:rsidR="009F366D">
        <w:rPr>
          <w:szCs w:val="26"/>
        </w:rPr>
        <w:t>.</w:t>
      </w:r>
      <w:r w:rsidRPr="00C76FE0" w:rsidR="007B658E">
        <w:rPr>
          <w:szCs w:val="26"/>
        </w:rPr>
        <w:t>)</w:t>
      </w:r>
      <w:r w:rsidRPr="00C76FE0" w:rsidR="009F366D">
        <w:rPr>
          <w:szCs w:val="26"/>
        </w:rPr>
        <w:t xml:space="preserve">  </w:t>
      </w:r>
      <w:r w:rsidRPr="00C76FE0" w:rsidR="00A45857">
        <w:rPr>
          <w:szCs w:val="26"/>
        </w:rPr>
        <w:t>S</w:t>
      </w:r>
      <w:r w:rsidRPr="00C76FE0" w:rsidR="00472491">
        <w:rPr>
          <w:szCs w:val="26"/>
        </w:rPr>
        <w:t>everal courts of appeal have reached the opposite conclusion</w:t>
      </w:r>
      <w:r w:rsidRPr="00C76FE0" w:rsidR="00A45857">
        <w:rPr>
          <w:szCs w:val="26"/>
        </w:rPr>
        <w:t xml:space="preserve"> regarding a health care agent’s health care decisionmaking authority</w:t>
      </w:r>
      <w:r w:rsidRPr="00C76FE0" w:rsidR="006D2F9A">
        <w:rPr>
          <w:szCs w:val="26"/>
        </w:rPr>
        <w:t>.  (See</w:t>
      </w:r>
      <w:r w:rsidR="003224D5">
        <w:rPr>
          <w:szCs w:val="26"/>
        </w:rPr>
        <w:t>,</w:t>
      </w:r>
      <w:r w:rsidRPr="00C76FE0" w:rsidR="006D2F9A">
        <w:rPr>
          <w:szCs w:val="26"/>
        </w:rPr>
        <w:t xml:space="preserve"> </w:t>
      </w:r>
      <w:r w:rsidRPr="00C76FE0" w:rsidR="008B03DF">
        <w:rPr>
          <w:szCs w:val="26"/>
        </w:rPr>
        <w:t>e.g.</w:t>
      </w:r>
      <w:r w:rsidR="003224D5">
        <w:rPr>
          <w:szCs w:val="26"/>
        </w:rPr>
        <w:t>,</w:t>
      </w:r>
      <w:r w:rsidRPr="00C76FE0" w:rsidR="008B03DF">
        <w:rPr>
          <w:szCs w:val="26"/>
        </w:rPr>
        <w:t xml:space="preserve"> </w:t>
      </w:r>
      <w:r w:rsidRPr="00C76FE0" w:rsidR="00996C74">
        <w:rPr>
          <w:i/>
          <w:iCs/>
          <w:szCs w:val="26"/>
        </w:rPr>
        <w:t>Garrison v. Superior Court</w:t>
      </w:r>
      <w:r w:rsidRPr="00C76FE0" w:rsidR="00996C74">
        <w:rPr>
          <w:szCs w:val="26"/>
        </w:rPr>
        <w:t xml:space="preserve"> (2005) 132 Cal.App.4th 253</w:t>
      </w:r>
      <w:r w:rsidRPr="00C76FE0" w:rsidR="006D2F9A">
        <w:rPr>
          <w:szCs w:val="26"/>
        </w:rPr>
        <w:t xml:space="preserve"> [“The revocable arbitration agreements were executed as part of the health care decisionmaking process.”]</w:t>
      </w:r>
      <w:r w:rsidRPr="00C76FE0" w:rsidR="00F12721">
        <w:rPr>
          <w:szCs w:val="26"/>
        </w:rPr>
        <w:t xml:space="preserve">; </w:t>
      </w:r>
      <w:r w:rsidRPr="00C76FE0" w:rsidR="00F12721">
        <w:rPr>
          <w:i/>
          <w:iCs/>
          <w:szCs w:val="26"/>
        </w:rPr>
        <w:t>Hogan v. Country Villa Health Services</w:t>
      </w:r>
      <w:r w:rsidRPr="00C76FE0" w:rsidR="00F12721">
        <w:rPr>
          <w:szCs w:val="26"/>
        </w:rPr>
        <w:t xml:space="preserve"> (2007) 148 Cal.App.4th 259, 268 [agreeing with </w:t>
      </w:r>
      <w:r w:rsidRPr="00C76FE0" w:rsidR="00F12721">
        <w:rPr>
          <w:i/>
          <w:iCs/>
          <w:szCs w:val="26"/>
        </w:rPr>
        <w:t>Garrison</w:t>
      </w:r>
      <w:r w:rsidRPr="00C76FE0" w:rsidR="00F12721">
        <w:rPr>
          <w:szCs w:val="26"/>
        </w:rPr>
        <w:t>].</w:t>
      </w:r>
      <w:r w:rsidRPr="00C76FE0" w:rsidR="006D2F9A">
        <w:rPr>
          <w:szCs w:val="26"/>
        </w:rPr>
        <w:t xml:space="preserve">)  </w:t>
      </w:r>
      <w:r w:rsidRPr="00C76FE0" w:rsidR="00CF1E8C">
        <w:rPr>
          <w:szCs w:val="26"/>
        </w:rPr>
        <w:t xml:space="preserve">We </w:t>
      </w:r>
      <w:r w:rsidRPr="00C76FE0" w:rsidR="008B03DF">
        <w:rPr>
          <w:szCs w:val="26"/>
        </w:rPr>
        <w:t>now</w:t>
      </w:r>
      <w:r w:rsidRPr="00C76FE0" w:rsidR="009566D0">
        <w:rPr>
          <w:szCs w:val="26"/>
        </w:rPr>
        <w:t xml:space="preserve">, in the context of Logan’s </w:t>
      </w:r>
      <w:r w:rsidRPr="00C76FE0" w:rsidR="00F12721">
        <w:rPr>
          <w:szCs w:val="26"/>
        </w:rPr>
        <w:t>power of attorney for health care,</w:t>
      </w:r>
      <w:r w:rsidRPr="00C76FE0" w:rsidR="00CF1E8C">
        <w:rPr>
          <w:szCs w:val="26"/>
        </w:rPr>
        <w:t xml:space="preserve"> </w:t>
      </w:r>
      <w:r w:rsidRPr="00C76FE0" w:rsidR="0094469F">
        <w:rPr>
          <w:szCs w:val="26"/>
        </w:rPr>
        <w:t>address th</w:t>
      </w:r>
      <w:r w:rsidRPr="00C76FE0" w:rsidR="00A76573">
        <w:rPr>
          <w:szCs w:val="26"/>
        </w:rPr>
        <w:t>is</w:t>
      </w:r>
      <w:r w:rsidRPr="00C76FE0" w:rsidR="0094469F">
        <w:rPr>
          <w:szCs w:val="26"/>
        </w:rPr>
        <w:t xml:space="preserve"> </w:t>
      </w:r>
      <w:r w:rsidRPr="00C76FE0" w:rsidR="00FA097B">
        <w:rPr>
          <w:szCs w:val="26"/>
        </w:rPr>
        <w:t>conflict</w:t>
      </w:r>
      <w:r w:rsidR="00DD2AD7">
        <w:rPr>
          <w:szCs w:val="26"/>
        </w:rPr>
        <w:t>ing</w:t>
      </w:r>
      <w:r w:rsidRPr="00C76FE0" w:rsidR="00A45857">
        <w:rPr>
          <w:szCs w:val="26"/>
        </w:rPr>
        <w:t xml:space="preserve"> authority</w:t>
      </w:r>
      <w:r w:rsidRPr="00C76FE0" w:rsidR="00A654E2">
        <w:rPr>
          <w:szCs w:val="26"/>
        </w:rPr>
        <w:t>.</w:t>
      </w:r>
      <w:r>
        <w:rPr>
          <w:rStyle w:val="FootnoteReference"/>
        </w:rPr>
        <w:footnoteReference w:id="7"/>
      </w:r>
    </w:p>
    <w:p w:rsidR="002F68E5" w:rsidRPr="00C76FE0" w:rsidP="00C76FE0" w14:paraId="2B05F431" w14:textId="77777777">
      <w:pPr>
        <w:keepNext/>
        <w:outlineLvl w:val="0"/>
        <w:rPr>
          <w:szCs w:val="26"/>
        </w:rPr>
      </w:pPr>
      <w:r w:rsidRPr="00C76FE0">
        <w:rPr>
          <w:b/>
          <w:bCs/>
          <w:szCs w:val="26"/>
        </w:rPr>
        <w:t>II.</w:t>
      </w:r>
      <w:r w:rsidRPr="00C76FE0">
        <w:rPr>
          <w:b/>
          <w:bCs/>
          <w:szCs w:val="26"/>
        </w:rPr>
        <w:tab/>
      </w:r>
      <w:r w:rsidRPr="00C76FE0" w:rsidR="00441B95">
        <w:rPr>
          <w:b/>
          <w:bCs/>
          <w:szCs w:val="26"/>
        </w:rPr>
        <w:t>DISCUSSION</w:t>
      </w:r>
    </w:p>
    <w:p w:rsidR="004F5299" w:rsidRPr="00C76FE0" w:rsidP="00C76FE0" w14:paraId="2B05F432" w14:textId="77777777">
      <w:pPr>
        <w:ind w:firstLine="720"/>
        <w:rPr>
          <w:szCs w:val="26"/>
        </w:rPr>
      </w:pPr>
      <w:r w:rsidRPr="00C76FE0">
        <w:rPr>
          <w:szCs w:val="26"/>
        </w:rPr>
        <w:t xml:space="preserve">The parties </w:t>
      </w:r>
      <w:r w:rsidRPr="00C76FE0" w:rsidR="00C00F5A">
        <w:rPr>
          <w:szCs w:val="26"/>
        </w:rPr>
        <w:t>assume</w:t>
      </w:r>
      <w:r w:rsidRPr="00C76FE0" w:rsidR="00812C29">
        <w:rPr>
          <w:szCs w:val="26"/>
        </w:rPr>
        <w:t xml:space="preserve"> </w:t>
      </w:r>
      <w:r w:rsidRPr="00C76FE0" w:rsidR="004C3822">
        <w:rPr>
          <w:szCs w:val="26"/>
        </w:rPr>
        <w:t xml:space="preserve">Harrod’s selection of a </w:t>
      </w:r>
      <w:r w:rsidRPr="00C76FE0" w:rsidR="005B2B26">
        <w:rPr>
          <w:szCs w:val="26"/>
        </w:rPr>
        <w:t xml:space="preserve">skilled nursing </w:t>
      </w:r>
      <w:r w:rsidRPr="00C76FE0" w:rsidR="004C3822">
        <w:rPr>
          <w:szCs w:val="26"/>
        </w:rPr>
        <w:t>facility for Logan</w:t>
      </w:r>
      <w:r w:rsidRPr="00C76FE0" w:rsidR="007C686A">
        <w:rPr>
          <w:szCs w:val="26"/>
        </w:rPr>
        <w:t>, pursuant to the first, mandatory contract for admission,</w:t>
      </w:r>
      <w:r w:rsidRPr="00C76FE0" w:rsidR="004C3822">
        <w:rPr>
          <w:szCs w:val="26"/>
        </w:rPr>
        <w:t xml:space="preserve"> was </w:t>
      </w:r>
      <w:r w:rsidRPr="00C76FE0" w:rsidR="0046157E">
        <w:rPr>
          <w:szCs w:val="26"/>
        </w:rPr>
        <w:t>within the scope of Harrod’s agency.</w:t>
      </w:r>
      <w:r w:rsidRPr="00C76FE0" w:rsidR="005B2B26">
        <w:rPr>
          <w:szCs w:val="26"/>
        </w:rPr>
        <w:t xml:space="preserve"> </w:t>
      </w:r>
      <w:r w:rsidRPr="00C76FE0" w:rsidR="00726007">
        <w:rPr>
          <w:szCs w:val="26"/>
        </w:rPr>
        <w:t xml:space="preserve"> </w:t>
      </w:r>
      <w:r w:rsidRPr="00C76FE0" w:rsidR="0046157E">
        <w:rPr>
          <w:szCs w:val="26"/>
        </w:rPr>
        <w:t xml:space="preserve">They disagree, however, whether </w:t>
      </w:r>
      <w:r w:rsidRPr="00C76FE0" w:rsidR="00562783">
        <w:rPr>
          <w:szCs w:val="26"/>
        </w:rPr>
        <w:t xml:space="preserve">Harrod’s </w:t>
      </w:r>
      <w:r w:rsidRPr="00C76FE0" w:rsidR="00BF615D">
        <w:rPr>
          <w:szCs w:val="26"/>
        </w:rPr>
        <w:t>authority to make “health care decisions”</w:t>
      </w:r>
      <w:r w:rsidR="00306865">
        <w:rPr>
          <w:szCs w:val="26"/>
        </w:rPr>
        <w:t> —</w:t>
      </w:r>
      <w:r w:rsidRPr="00C76FE0" w:rsidR="00562783">
        <w:rPr>
          <w:szCs w:val="26"/>
        </w:rPr>
        <w:t xml:space="preserve"> </w:t>
      </w:r>
      <w:r w:rsidRPr="00C76FE0" w:rsidR="001E053D">
        <w:rPr>
          <w:szCs w:val="26"/>
        </w:rPr>
        <w:t xml:space="preserve">as granted by </w:t>
      </w:r>
      <w:r w:rsidRPr="00C76FE0" w:rsidR="00BA1005">
        <w:rPr>
          <w:szCs w:val="26"/>
        </w:rPr>
        <w:t>Logan’s</w:t>
      </w:r>
      <w:r w:rsidRPr="00C76FE0" w:rsidR="009E44F4">
        <w:rPr>
          <w:szCs w:val="26"/>
        </w:rPr>
        <w:t xml:space="preserve"> power of attorney</w:t>
      </w:r>
      <w:r w:rsidRPr="00C76FE0" w:rsidR="00BA1005">
        <w:rPr>
          <w:szCs w:val="26"/>
        </w:rPr>
        <w:t xml:space="preserve"> for health care</w:t>
      </w:r>
      <w:r w:rsidR="00306865">
        <w:rPr>
          <w:szCs w:val="26"/>
        </w:rPr>
        <w:t> —</w:t>
      </w:r>
      <w:r w:rsidRPr="00C76FE0" w:rsidR="00A803EA">
        <w:rPr>
          <w:szCs w:val="26"/>
        </w:rPr>
        <w:t xml:space="preserve"> </w:t>
      </w:r>
      <w:r w:rsidRPr="00C76FE0" w:rsidR="00FC22ED">
        <w:rPr>
          <w:szCs w:val="26"/>
        </w:rPr>
        <w:t>encompasse</w:t>
      </w:r>
      <w:r w:rsidRPr="00C76FE0" w:rsidR="009D0EBA">
        <w:rPr>
          <w:szCs w:val="26"/>
        </w:rPr>
        <w:t>d</w:t>
      </w:r>
      <w:r w:rsidRPr="00C76FE0" w:rsidR="0046157E">
        <w:rPr>
          <w:szCs w:val="26"/>
        </w:rPr>
        <w:t xml:space="preserve"> </w:t>
      </w:r>
      <w:r w:rsidRPr="00C76FE0" w:rsidR="00812C29">
        <w:rPr>
          <w:szCs w:val="26"/>
        </w:rPr>
        <w:t xml:space="preserve">Harrod’s </w:t>
      </w:r>
      <w:r w:rsidRPr="00C76FE0" w:rsidR="00BD1DEA">
        <w:rPr>
          <w:szCs w:val="26"/>
        </w:rPr>
        <w:t>separate and optional</w:t>
      </w:r>
      <w:r w:rsidRPr="00C76FE0" w:rsidR="0046157E">
        <w:rPr>
          <w:szCs w:val="26"/>
        </w:rPr>
        <w:t xml:space="preserve"> </w:t>
      </w:r>
      <w:r w:rsidRPr="00C76FE0" w:rsidR="004C3822">
        <w:rPr>
          <w:szCs w:val="26"/>
        </w:rPr>
        <w:t>decision</w:t>
      </w:r>
      <w:r w:rsidRPr="00C76FE0" w:rsidR="00721665">
        <w:rPr>
          <w:szCs w:val="26"/>
        </w:rPr>
        <w:t>, pursuant to the second contract,</w:t>
      </w:r>
      <w:r w:rsidRPr="00C76FE0" w:rsidR="004C3822">
        <w:rPr>
          <w:szCs w:val="26"/>
        </w:rPr>
        <w:t xml:space="preserve"> </w:t>
      </w:r>
      <w:r w:rsidRPr="00C76FE0" w:rsidR="00BF615D">
        <w:rPr>
          <w:szCs w:val="26"/>
        </w:rPr>
        <w:t>to bind</w:t>
      </w:r>
      <w:r w:rsidRPr="00C76FE0" w:rsidR="004C3822">
        <w:rPr>
          <w:szCs w:val="26"/>
        </w:rPr>
        <w:t xml:space="preserve"> Logan</w:t>
      </w:r>
      <w:r w:rsidRPr="00C76FE0" w:rsidR="00BF615D">
        <w:rPr>
          <w:szCs w:val="26"/>
        </w:rPr>
        <w:t xml:space="preserve"> to </w:t>
      </w:r>
      <w:r w:rsidRPr="00C76FE0" w:rsidR="004C3822">
        <w:rPr>
          <w:szCs w:val="26"/>
        </w:rPr>
        <w:t>arbitrate disputes with th</w:t>
      </w:r>
      <w:r w:rsidRPr="00C76FE0" w:rsidR="0046157E">
        <w:rPr>
          <w:szCs w:val="26"/>
        </w:rPr>
        <w:t>e</w:t>
      </w:r>
      <w:r w:rsidRPr="00C76FE0" w:rsidR="004C3822">
        <w:rPr>
          <w:szCs w:val="26"/>
        </w:rPr>
        <w:t xml:space="preserve"> facility</w:t>
      </w:r>
      <w:r w:rsidRPr="00C76FE0" w:rsidR="0046157E">
        <w:rPr>
          <w:szCs w:val="26"/>
        </w:rPr>
        <w:t>.</w:t>
      </w:r>
      <w:r w:rsidRPr="00C76FE0" w:rsidR="00E33AC6">
        <w:rPr>
          <w:szCs w:val="26"/>
        </w:rPr>
        <w:t xml:space="preserve"> </w:t>
      </w:r>
    </w:p>
    <w:p w:rsidR="006C34CD" w:rsidRPr="00C76FE0" w:rsidP="00C76FE0" w14:paraId="2B05F433" w14:textId="77777777">
      <w:pPr>
        <w:ind w:firstLine="720"/>
        <w:rPr>
          <w:szCs w:val="26"/>
        </w:rPr>
      </w:pPr>
      <w:r w:rsidRPr="00C76FE0">
        <w:rPr>
          <w:szCs w:val="26"/>
        </w:rPr>
        <w:t xml:space="preserve">The </w:t>
      </w:r>
      <w:r w:rsidRPr="00C76FE0" w:rsidR="00DB0FD5">
        <w:rPr>
          <w:szCs w:val="26"/>
        </w:rPr>
        <w:t xml:space="preserve">meaning </w:t>
      </w:r>
      <w:r w:rsidRPr="00C76FE0">
        <w:rPr>
          <w:szCs w:val="26"/>
        </w:rPr>
        <w:t>of a “health care decision” in Logan’s power of attorney is</w:t>
      </w:r>
      <w:r w:rsidRPr="00C76FE0" w:rsidR="00B311AE">
        <w:rPr>
          <w:szCs w:val="26"/>
        </w:rPr>
        <w:t xml:space="preserve"> </w:t>
      </w:r>
      <w:r w:rsidRPr="00C76FE0" w:rsidR="00DB0FD5">
        <w:rPr>
          <w:szCs w:val="26"/>
        </w:rPr>
        <w:t>firmly</w:t>
      </w:r>
      <w:r w:rsidRPr="00C76FE0">
        <w:rPr>
          <w:szCs w:val="26"/>
        </w:rPr>
        <w:t xml:space="preserve"> </w:t>
      </w:r>
      <w:r w:rsidRPr="00C76FE0" w:rsidR="00DB0FD5">
        <w:rPr>
          <w:szCs w:val="26"/>
        </w:rPr>
        <w:t xml:space="preserve">linked to the meaning of that term in the Health Care Decisions Law.  </w:t>
      </w:r>
      <w:r w:rsidRPr="00C76FE0" w:rsidR="00EA7EF2">
        <w:rPr>
          <w:szCs w:val="26"/>
        </w:rPr>
        <w:t>T</w:t>
      </w:r>
      <w:r w:rsidRPr="00C76FE0" w:rsidR="00DB0FD5">
        <w:rPr>
          <w:szCs w:val="26"/>
        </w:rPr>
        <w:t>hat law, which authorizes powers of attorney for health care (</w:t>
      </w:r>
      <w:r w:rsidR="00306865">
        <w:rPr>
          <w:szCs w:val="26"/>
        </w:rPr>
        <w:t>§ </w:t>
      </w:r>
      <w:r w:rsidRPr="00C76FE0" w:rsidR="00DB0FD5">
        <w:rPr>
          <w:szCs w:val="26"/>
        </w:rPr>
        <w:t>4671), provides a definition of the term “health care decisions” (</w:t>
      </w:r>
      <w:r w:rsidR="00306865">
        <w:rPr>
          <w:szCs w:val="26"/>
        </w:rPr>
        <w:t>§ </w:t>
      </w:r>
      <w:r w:rsidRPr="00C76FE0" w:rsidR="00DB0FD5">
        <w:rPr>
          <w:szCs w:val="26"/>
        </w:rPr>
        <w:t>4617) and instructs that its provisions “govern the effect” of writings created under its authority (</w:t>
      </w:r>
      <w:r w:rsidR="00306865">
        <w:rPr>
          <w:szCs w:val="26"/>
        </w:rPr>
        <w:t>§ </w:t>
      </w:r>
      <w:r w:rsidRPr="00C76FE0" w:rsidR="00DB0FD5">
        <w:rPr>
          <w:szCs w:val="26"/>
        </w:rPr>
        <w:t xml:space="preserve">4700).  In turn, Logan’s power of attorney, at its very top, </w:t>
      </w:r>
      <w:r w:rsidRPr="00C76FE0" w:rsidR="000E2876">
        <w:rPr>
          <w:szCs w:val="26"/>
        </w:rPr>
        <w:t>indicates</w:t>
      </w:r>
      <w:r w:rsidRPr="00C76FE0" w:rsidR="00DB0FD5">
        <w:rPr>
          <w:szCs w:val="26"/>
        </w:rPr>
        <w:t xml:space="preserve"> that it is created under</w:t>
      </w:r>
      <w:r w:rsidRPr="00C76FE0" w:rsidR="00A632B3">
        <w:rPr>
          <w:szCs w:val="26"/>
        </w:rPr>
        <w:t xml:space="preserve"> the authority of the Health Care Decisions Law</w:t>
      </w:r>
      <w:r w:rsidRPr="00C76FE0" w:rsidR="000E2876">
        <w:rPr>
          <w:szCs w:val="26"/>
        </w:rPr>
        <w:t xml:space="preserve">, </w:t>
      </w:r>
      <w:r w:rsidRPr="00C76FE0" w:rsidR="00A632B3">
        <w:rPr>
          <w:szCs w:val="26"/>
        </w:rPr>
        <w:t>invoking the Probate Code sections</w:t>
      </w:r>
      <w:r w:rsidRPr="00C76FE0" w:rsidR="000E2876">
        <w:rPr>
          <w:szCs w:val="26"/>
        </w:rPr>
        <w:t xml:space="preserve"> 4600</w:t>
      </w:r>
      <w:r w:rsidR="00974E17">
        <w:rPr>
          <w:szCs w:val="26"/>
        </w:rPr>
        <w:t>–</w:t>
      </w:r>
      <w:r w:rsidRPr="00C76FE0" w:rsidR="000E2876">
        <w:rPr>
          <w:szCs w:val="26"/>
        </w:rPr>
        <w:t xml:space="preserve">4805 that contain the </w:t>
      </w:r>
      <w:r w:rsidRPr="00C76FE0" w:rsidR="00A632B3">
        <w:rPr>
          <w:szCs w:val="26"/>
        </w:rPr>
        <w:t xml:space="preserve">law.  </w:t>
      </w:r>
      <w:r w:rsidR="002B69B5">
        <w:rPr>
          <w:szCs w:val="26"/>
        </w:rPr>
        <w:t xml:space="preserve">Intention is the pole star when </w:t>
      </w:r>
      <w:r w:rsidRPr="00C76FE0" w:rsidR="000E2876">
        <w:rPr>
          <w:szCs w:val="26"/>
        </w:rPr>
        <w:t>interpretati</w:t>
      </w:r>
      <w:r w:rsidR="002B69B5">
        <w:rPr>
          <w:szCs w:val="26"/>
        </w:rPr>
        <w:t>ng written instruments</w:t>
      </w:r>
      <w:r w:rsidRPr="00C76FE0" w:rsidR="000E2876">
        <w:rPr>
          <w:szCs w:val="26"/>
        </w:rPr>
        <w:t>.  (</w:t>
      </w:r>
      <w:r w:rsidR="002B69B5">
        <w:rPr>
          <w:szCs w:val="26"/>
        </w:rPr>
        <w:t xml:space="preserve">See </w:t>
      </w:r>
      <w:r w:rsidRPr="00C76FE0" w:rsidR="000E2876">
        <w:rPr>
          <w:szCs w:val="26"/>
        </w:rPr>
        <w:t xml:space="preserve">Civ. Code, </w:t>
      </w:r>
      <w:r w:rsidR="00306865">
        <w:rPr>
          <w:szCs w:val="26"/>
        </w:rPr>
        <w:t>§ </w:t>
      </w:r>
      <w:r w:rsidRPr="00C76FE0" w:rsidR="000E2876">
        <w:rPr>
          <w:szCs w:val="26"/>
        </w:rPr>
        <w:t>1636</w:t>
      </w:r>
      <w:r w:rsidR="002B69B5">
        <w:rPr>
          <w:szCs w:val="26"/>
        </w:rPr>
        <w:t xml:space="preserve">; </w:t>
      </w:r>
      <w:r w:rsidRPr="00C76FE0" w:rsidR="000E2876">
        <w:rPr>
          <w:i/>
          <w:iCs/>
          <w:szCs w:val="26"/>
        </w:rPr>
        <w:t>Hartford Casualty Ins. Co. v. Swift Distribution, Inc.</w:t>
      </w:r>
      <w:r w:rsidRPr="00C76FE0" w:rsidR="000E2876">
        <w:rPr>
          <w:szCs w:val="26"/>
        </w:rPr>
        <w:t xml:space="preserve"> (2014) 59 Cal.4th 277, 288</w:t>
      </w:r>
      <w:r w:rsidR="00EB4653">
        <w:rPr>
          <w:szCs w:val="26"/>
        </w:rPr>
        <w:t xml:space="preserve">; </w:t>
      </w:r>
      <w:r w:rsidRPr="000F7A14" w:rsidR="002B69B5">
        <w:rPr>
          <w:i/>
          <w:iCs/>
          <w:szCs w:val="26"/>
        </w:rPr>
        <w:t>Boyer v. Murphy</w:t>
      </w:r>
      <w:r w:rsidRPr="002B69B5" w:rsidR="002B69B5">
        <w:rPr>
          <w:szCs w:val="26"/>
        </w:rPr>
        <w:t xml:space="preserve"> (1927) 202 Cal. 23, 28 [</w:t>
      </w:r>
      <w:r w:rsidR="002B69B5">
        <w:rPr>
          <w:szCs w:val="26"/>
        </w:rPr>
        <w:t xml:space="preserve">intent is </w:t>
      </w:r>
      <w:r w:rsidR="007D7520">
        <w:rPr>
          <w:szCs w:val="26"/>
        </w:rPr>
        <w:t>“</w:t>
      </w:r>
      <w:r w:rsidR="002B69B5">
        <w:rPr>
          <w:szCs w:val="26"/>
        </w:rPr>
        <w:t xml:space="preserve">pole-star” in interpreting deed]; </w:t>
      </w:r>
      <w:r w:rsidRPr="000F7A14" w:rsidR="00EB4653">
        <w:rPr>
          <w:i/>
          <w:iCs/>
          <w:szCs w:val="26"/>
        </w:rPr>
        <w:t>Todd v. Superior Court of San Francisco</w:t>
      </w:r>
      <w:r w:rsidRPr="00EB4653" w:rsidR="00EB4653">
        <w:rPr>
          <w:szCs w:val="26"/>
        </w:rPr>
        <w:t xml:space="preserve"> (1919) 181 Cal. 406, 419 [</w:t>
      </w:r>
      <w:r w:rsidR="00EB4653">
        <w:rPr>
          <w:szCs w:val="26"/>
        </w:rPr>
        <w:t>seeking “</w:t>
      </w:r>
      <w:r w:rsidRPr="00EB4653" w:rsidR="00EB4653">
        <w:rPr>
          <w:szCs w:val="26"/>
        </w:rPr>
        <w:t>the general intent or predominant purpose of the ins</w:t>
      </w:r>
      <w:r w:rsidR="00EB4653">
        <w:rPr>
          <w:szCs w:val="26"/>
        </w:rPr>
        <w:t>trument”</w:t>
      </w:r>
      <w:r w:rsidRPr="00EB4653" w:rsidR="00EB4653">
        <w:rPr>
          <w:szCs w:val="26"/>
        </w:rPr>
        <w:t>]</w:t>
      </w:r>
      <w:r w:rsidR="00EB4653">
        <w:rPr>
          <w:szCs w:val="26"/>
        </w:rPr>
        <w:t xml:space="preserve">; </w:t>
      </w:r>
      <w:r w:rsidRPr="000F7A14" w:rsidR="00EB4653">
        <w:rPr>
          <w:i/>
          <w:iCs/>
          <w:szCs w:val="26"/>
        </w:rPr>
        <w:t>Sullivan v. Davis</w:t>
      </w:r>
      <w:r w:rsidRPr="00EB4653" w:rsidR="00EB4653">
        <w:rPr>
          <w:szCs w:val="26"/>
        </w:rPr>
        <w:t xml:space="preserve"> (1854) 4 Cal. 291, 292</w:t>
      </w:r>
      <w:r w:rsidR="00EB4653">
        <w:rPr>
          <w:szCs w:val="26"/>
        </w:rPr>
        <w:t xml:space="preserve"> [describing </w:t>
      </w:r>
      <w:r w:rsidR="002B69B5">
        <w:rPr>
          <w:szCs w:val="26"/>
        </w:rPr>
        <w:t xml:space="preserve">power of attorney </w:t>
      </w:r>
      <w:r w:rsidR="00EB4653">
        <w:rPr>
          <w:szCs w:val="26"/>
        </w:rPr>
        <w:t>language as an “index of intention”].</w:t>
      </w:r>
      <w:r w:rsidRPr="00EB4653" w:rsidR="00EB4653">
        <w:rPr>
          <w:szCs w:val="26"/>
        </w:rPr>
        <w:t>)</w:t>
      </w:r>
      <w:r w:rsidRPr="00C76FE0" w:rsidR="000E2876">
        <w:rPr>
          <w:szCs w:val="26"/>
        </w:rPr>
        <w:t xml:space="preserve">  Logan’s intention to invoke and be governed by the Health Care Decisions Law, in this case, seems plain.  </w:t>
      </w:r>
      <w:r w:rsidRPr="00C76FE0" w:rsidR="00014B21">
        <w:rPr>
          <w:szCs w:val="26"/>
        </w:rPr>
        <w:t>Moreover</w:t>
      </w:r>
      <w:r w:rsidRPr="00C76FE0" w:rsidR="000E2876">
        <w:rPr>
          <w:szCs w:val="26"/>
        </w:rPr>
        <w:t xml:space="preserve">, neither party to this case asserts any deviation between the meaning of “health care decision” in Logan’s power of attorney and the Health Care Decisions Law.  </w:t>
      </w:r>
      <w:r w:rsidRPr="00C76FE0" w:rsidR="00014B21">
        <w:rPr>
          <w:szCs w:val="26"/>
        </w:rPr>
        <w:t xml:space="preserve">(Cf. </w:t>
      </w:r>
      <w:r w:rsidR="00306865">
        <w:rPr>
          <w:szCs w:val="26"/>
        </w:rPr>
        <w:t>§ </w:t>
      </w:r>
      <w:r w:rsidRPr="00C76FE0" w:rsidR="00014B21">
        <w:rPr>
          <w:szCs w:val="26"/>
        </w:rPr>
        <w:t xml:space="preserve">4681 [“Except as provided in subdivision (b), the principal may limit the application of any provision of this division” in the power of attorney].)  </w:t>
      </w:r>
      <w:r w:rsidRPr="00C76FE0" w:rsidR="00473779">
        <w:rPr>
          <w:szCs w:val="26"/>
        </w:rPr>
        <w:t>Thus, we interpret Logan’s power of attorney by reference not only to its terms, but also to the relevant statutory provisions that govern it.  (</w:t>
      </w:r>
      <w:r w:rsidR="00493171">
        <w:rPr>
          <w:szCs w:val="26"/>
        </w:rPr>
        <w:t>Cf.</w:t>
      </w:r>
      <w:r w:rsidRPr="00C76FE0" w:rsidR="00493171">
        <w:rPr>
          <w:szCs w:val="26"/>
        </w:rPr>
        <w:t xml:space="preserve"> </w:t>
      </w:r>
      <w:r w:rsidRPr="00C76FE0" w:rsidR="0070740C">
        <w:rPr>
          <w:i/>
          <w:iCs/>
          <w:szCs w:val="26"/>
        </w:rPr>
        <w:t>Montrose Chemical Corp. of California v. Superior Court</w:t>
      </w:r>
      <w:r w:rsidRPr="00C76FE0" w:rsidR="0070740C">
        <w:rPr>
          <w:szCs w:val="26"/>
        </w:rPr>
        <w:t xml:space="preserve"> (2020) 9 Cal.5th 215, 226 [reading insurance agreement “in light of background principles of insurance law”]; </w:t>
      </w:r>
      <w:r w:rsidRPr="00C76FE0" w:rsidR="00473779">
        <w:rPr>
          <w:i/>
          <w:iCs/>
          <w:szCs w:val="26"/>
        </w:rPr>
        <w:t>Samson v. Transamerica Ins. Co.</w:t>
      </w:r>
      <w:r w:rsidRPr="00C76FE0" w:rsidR="00473779">
        <w:rPr>
          <w:szCs w:val="26"/>
        </w:rPr>
        <w:t xml:space="preserve"> (1981) 30 Cal.3d 220, 231</w:t>
      </w:r>
      <w:r w:rsidRPr="00C76FE0" w:rsidR="00B03E7E">
        <w:rPr>
          <w:szCs w:val="26"/>
        </w:rPr>
        <w:t xml:space="preserve">; </w:t>
      </w:r>
      <w:r w:rsidRPr="00C76FE0" w:rsidR="00B03E7E">
        <w:rPr>
          <w:i/>
          <w:iCs/>
          <w:szCs w:val="26"/>
        </w:rPr>
        <w:t>Swenson v. File</w:t>
      </w:r>
      <w:r w:rsidRPr="00C76FE0" w:rsidR="00B03E7E">
        <w:rPr>
          <w:szCs w:val="26"/>
        </w:rPr>
        <w:t xml:space="preserve"> (1970) 3 Cal.3d 389, 393 [contracting parties “are presumed to know and to have had in mind” the “existing law”].)  </w:t>
      </w:r>
    </w:p>
    <w:p w:rsidR="003C7703" w:rsidRPr="00C76FE0" w:rsidP="00C76FE0" w14:paraId="2B05F434" w14:textId="77777777">
      <w:pPr>
        <w:ind w:firstLine="720"/>
        <w:rPr>
          <w:szCs w:val="26"/>
        </w:rPr>
      </w:pPr>
      <w:r w:rsidRPr="00C76FE0">
        <w:rPr>
          <w:szCs w:val="26"/>
        </w:rPr>
        <w:t xml:space="preserve">Additionally, the Health Care Decisions Law instructs that when it “does not provide a rule governing agents under powers of attorney, the law of agency applies.”  </w:t>
      </w:r>
      <w:r w:rsidRPr="00C76FE0">
        <w:rPr>
          <w:szCs w:val="26"/>
          <w:bdr w:val="none" w:sz="0" w:space="0" w:color="auto" w:frame="1"/>
        </w:rPr>
        <w:t>(</w:t>
      </w:r>
      <w:r w:rsidR="00306865">
        <w:rPr>
          <w:szCs w:val="26"/>
          <w:bdr w:val="none" w:sz="0" w:space="0" w:color="auto" w:frame="1"/>
        </w:rPr>
        <w:t>§ </w:t>
      </w:r>
      <w:r w:rsidRPr="00C76FE0">
        <w:rPr>
          <w:szCs w:val="26"/>
        </w:rPr>
        <w:t>4688</w:t>
      </w:r>
      <w:r w:rsidRPr="00C76FE0">
        <w:rPr>
          <w:szCs w:val="26"/>
          <w:bdr w:val="none" w:sz="0" w:space="0" w:color="auto" w:frame="1"/>
        </w:rPr>
        <w:t xml:space="preserve">.)  </w:t>
      </w:r>
      <w:r w:rsidRPr="00C76FE0">
        <w:rPr>
          <w:szCs w:val="26"/>
        </w:rPr>
        <w:t xml:space="preserve">Absent disputed facts, </w:t>
      </w:r>
      <w:r w:rsidRPr="00C76FE0" w:rsidR="002F019C">
        <w:rPr>
          <w:szCs w:val="26"/>
        </w:rPr>
        <w:t>the meaning of a written instrument (</w:t>
      </w:r>
      <w:r w:rsidRPr="00C76FE0" w:rsidR="002F019C">
        <w:rPr>
          <w:i/>
          <w:iCs/>
          <w:szCs w:val="26"/>
        </w:rPr>
        <w:t>Johnson v. Greenelsh</w:t>
      </w:r>
      <w:r w:rsidRPr="00C76FE0" w:rsidR="002F019C">
        <w:rPr>
          <w:szCs w:val="26"/>
        </w:rPr>
        <w:t xml:space="preserve"> (2009) 47 Cal.4th 598, 604), questions of statutory interpretation (</w:t>
      </w:r>
      <w:r w:rsidRPr="00C76FE0" w:rsidR="002F019C">
        <w:rPr>
          <w:i/>
          <w:iCs/>
          <w:szCs w:val="26"/>
        </w:rPr>
        <w:t>Davis v. Fresno Unified School Dist.</w:t>
      </w:r>
      <w:r w:rsidRPr="00C76FE0" w:rsidR="002F019C">
        <w:rPr>
          <w:szCs w:val="26"/>
        </w:rPr>
        <w:t xml:space="preserve"> (2023) 14 Cal.5th 671, 687), and </w:t>
      </w:r>
      <w:r w:rsidRPr="00C76FE0">
        <w:rPr>
          <w:szCs w:val="26"/>
        </w:rPr>
        <w:t xml:space="preserve">the scope of an agent’s authority </w:t>
      </w:r>
      <w:r w:rsidRPr="00C76FE0" w:rsidR="002F019C">
        <w:rPr>
          <w:szCs w:val="26"/>
        </w:rPr>
        <w:t>(</w:t>
      </w:r>
      <w:r w:rsidRPr="00C76FE0" w:rsidR="002F019C">
        <w:rPr>
          <w:i/>
          <w:iCs/>
          <w:szCs w:val="26"/>
        </w:rPr>
        <w:t>Metropolitan Life Ins. Co. v. State Bd. of Equalization</w:t>
      </w:r>
      <w:r w:rsidRPr="00C76FE0" w:rsidR="002F019C">
        <w:rPr>
          <w:szCs w:val="26"/>
        </w:rPr>
        <w:t xml:space="preserve"> (1982) 32 Cal.3d 649, 658; </w:t>
      </w:r>
      <w:r w:rsidRPr="00C76FE0" w:rsidR="002F019C">
        <w:rPr>
          <w:i/>
          <w:iCs/>
          <w:szCs w:val="26"/>
        </w:rPr>
        <w:t>Oswald Machine &amp; Equipment, Inc. v. Yip</w:t>
      </w:r>
      <w:r w:rsidRPr="00C76FE0" w:rsidR="002F019C">
        <w:rPr>
          <w:szCs w:val="26"/>
        </w:rPr>
        <w:t xml:space="preserve"> (1992) 10 Cal.App.4th 1238, 1247) are </w:t>
      </w:r>
      <w:r w:rsidRPr="00C76FE0">
        <w:rPr>
          <w:szCs w:val="26"/>
        </w:rPr>
        <w:t>matter</w:t>
      </w:r>
      <w:r w:rsidRPr="00C76FE0" w:rsidR="002F019C">
        <w:rPr>
          <w:szCs w:val="26"/>
        </w:rPr>
        <w:t>s</w:t>
      </w:r>
      <w:r w:rsidRPr="00C76FE0">
        <w:rPr>
          <w:szCs w:val="26"/>
        </w:rPr>
        <w:t xml:space="preserve"> we determine independently</w:t>
      </w:r>
      <w:r w:rsidRPr="00C76FE0" w:rsidR="0000480B">
        <w:rPr>
          <w:szCs w:val="26"/>
        </w:rPr>
        <w:t xml:space="preserve"> as a matter of law</w:t>
      </w:r>
      <w:r w:rsidRPr="00C76FE0">
        <w:rPr>
          <w:szCs w:val="26"/>
        </w:rPr>
        <w:t xml:space="preserve">. </w:t>
      </w:r>
      <w:r w:rsidRPr="00C76FE0" w:rsidR="00D230A9">
        <w:rPr>
          <w:szCs w:val="26"/>
        </w:rPr>
        <w:t xml:space="preserve"> With these governing standards in mind, </w:t>
      </w:r>
      <w:r w:rsidRPr="00C76FE0" w:rsidR="002F019C">
        <w:rPr>
          <w:szCs w:val="26"/>
        </w:rPr>
        <w:t>we</w:t>
      </w:r>
      <w:r w:rsidRPr="00C76FE0" w:rsidR="006C34CD">
        <w:rPr>
          <w:szCs w:val="26"/>
        </w:rPr>
        <w:t xml:space="preserve"> </w:t>
      </w:r>
      <w:r w:rsidRPr="00C76FE0">
        <w:rPr>
          <w:szCs w:val="26"/>
        </w:rPr>
        <w:t>probe the meaning of “health care decision” under Logan’s power o</w:t>
      </w:r>
      <w:r w:rsidRPr="00C76FE0" w:rsidR="006A2559">
        <w:rPr>
          <w:szCs w:val="26"/>
        </w:rPr>
        <w:t>f</w:t>
      </w:r>
      <w:r w:rsidRPr="00C76FE0">
        <w:rPr>
          <w:szCs w:val="26"/>
        </w:rPr>
        <w:t xml:space="preserve"> attorney, the Health Care Decisions Law, and the law of agency.</w:t>
      </w:r>
    </w:p>
    <w:p w:rsidR="0016567F" w:rsidRPr="00C76FE0" w:rsidP="00C76FE0" w14:paraId="2B05F435" w14:textId="77777777">
      <w:pPr>
        <w:outlineLvl w:val="1"/>
        <w:rPr>
          <w:szCs w:val="26"/>
        </w:rPr>
      </w:pPr>
      <w:r w:rsidRPr="00C76FE0">
        <w:rPr>
          <w:b/>
          <w:bCs/>
          <w:szCs w:val="26"/>
        </w:rPr>
        <w:t>A.</w:t>
      </w:r>
      <w:r w:rsidRPr="00C76FE0">
        <w:rPr>
          <w:b/>
          <w:bCs/>
          <w:szCs w:val="26"/>
        </w:rPr>
        <w:tab/>
      </w:r>
      <w:r w:rsidR="00443D14">
        <w:rPr>
          <w:b/>
          <w:bCs/>
          <w:szCs w:val="26"/>
        </w:rPr>
        <w:t>“</w:t>
      </w:r>
      <w:r w:rsidRPr="00C76FE0" w:rsidR="00CE20E8">
        <w:rPr>
          <w:b/>
          <w:bCs/>
          <w:szCs w:val="26"/>
        </w:rPr>
        <w:t>Health Care Decision</w:t>
      </w:r>
      <w:r w:rsidR="00443D14">
        <w:rPr>
          <w:b/>
          <w:bCs/>
          <w:szCs w:val="26"/>
        </w:rPr>
        <w:t>”</w:t>
      </w:r>
      <w:r w:rsidRPr="00C76FE0" w:rsidR="0083369F">
        <w:rPr>
          <w:b/>
          <w:bCs/>
          <w:szCs w:val="26"/>
        </w:rPr>
        <w:t xml:space="preserve"> in the Power of Attorney and Statute</w:t>
      </w:r>
    </w:p>
    <w:p w:rsidR="00237B51" w:rsidRPr="00C76FE0" w:rsidP="00C76FE0" w14:paraId="2B05F436" w14:textId="77777777">
      <w:pPr>
        <w:ind w:firstLine="720"/>
        <w:rPr>
          <w:szCs w:val="26"/>
        </w:rPr>
      </w:pPr>
      <w:r w:rsidRPr="00C76FE0">
        <w:rPr>
          <w:szCs w:val="26"/>
        </w:rPr>
        <w:t xml:space="preserve">Whether interpreting </w:t>
      </w:r>
      <w:r w:rsidRPr="00C76FE0" w:rsidR="00141487">
        <w:rPr>
          <w:szCs w:val="26"/>
        </w:rPr>
        <w:t>a provision of a</w:t>
      </w:r>
      <w:r w:rsidRPr="00C76FE0">
        <w:rPr>
          <w:szCs w:val="26"/>
        </w:rPr>
        <w:t xml:space="preserve"> </w:t>
      </w:r>
      <w:r w:rsidRPr="00C76FE0" w:rsidR="001C2DB2">
        <w:rPr>
          <w:szCs w:val="26"/>
        </w:rPr>
        <w:t>written instrument</w:t>
      </w:r>
      <w:r w:rsidRPr="00C76FE0" w:rsidR="003C7703">
        <w:rPr>
          <w:szCs w:val="26"/>
        </w:rPr>
        <w:t xml:space="preserve"> or statute</w:t>
      </w:r>
      <w:r w:rsidRPr="00C76FE0" w:rsidR="00F2187B">
        <w:rPr>
          <w:szCs w:val="26"/>
        </w:rPr>
        <w:t xml:space="preserve">, </w:t>
      </w:r>
      <w:r w:rsidRPr="00C76FE0" w:rsidR="00F41494">
        <w:rPr>
          <w:szCs w:val="26"/>
        </w:rPr>
        <w:t xml:space="preserve">we seek the drafters’ intent, and </w:t>
      </w:r>
      <w:r w:rsidRPr="00C76FE0" w:rsidR="00F2187B">
        <w:rPr>
          <w:szCs w:val="26"/>
        </w:rPr>
        <w:t xml:space="preserve">we start with the plain meaning of </w:t>
      </w:r>
      <w:r w:rsidRPr="00C76FE0" w:rsidR="00E00B8C">
        <w:rPr>
          <w:szCs w:val="26"/>
        </w:rPr>
        <w:t xml:space="preserve">the </w:t>
      </w:r>
      <w:r w:rsidRPr="00C76FE0" w:rsidR="00141487">
        <w:rPr>
          <w:szCs w:val="26"/>
        </w:rPr>
        <w:t xml:space="preserve">provision’s </w:t>
      </w:r>
      <w:r w:rsidRPr="00C76FE0" w:rsidR="00F2187B">
        <w:rPr>
          <w:szCs w:val="26"/>
        </w:rPr>
        <w:t xml:space="preserve">text </w:t>
      </w:r>
      <w:r w:rsidRPr="00C76FE0">
        <w:rPr>
          <w:szCs w:val="26"/>
        </w:rPr>
        <w:t xml:space="preserve">and </w:t>
      </w:r>
      <w:r w:rsidRPr="00C76FE0" w:rsidR="00451791">
        <w:rPr>
          <w:szCs w:val="26"/>
        </w:rPr>
        <w:t xml:space="preserve">with </w:t>
      </w:r>
      <w:r w:rsidRPr="00C76FE0">
        <w:rPr>
          <w:szCs w:val="26"/>
        </w:rPr>
        <w:t xml:space="preserve">its </w:t>
      </w:r>
      <w:r w:rsidRPr="00C76FE0" w:rsidR="00F2187B">
        <w:rPr>
          <w:szCs w:val="26"/>
        </w:rPr>
        <w:t>context</w:t>
      </w:r>
      <w:r w:rsidRPr="00C76FE0">
        <w:rPr>
          <w:szCs w:val="26"/>
        </w:rPr>
        <w:t xml:space="preserve"> within the statute or instrument</w:t>
      </w:r>
      <w:r w:rsidRPr="00C76FE0" w:rsidR="00F2187B">
        <w:rPr>
          <w:szCs w:val="26"/>
        </w:rPr>
        <w:t>.  (</w:t>
      </w:r>
      <w:r w:rsidRPr="00C76FE0" w:rsidR="00F2187B">
        <w:rPr>
          <w:i/>
          <w:iCs/>
          <w:szCs w:val="26"/>
        </w:rPr>
        <w:t>People v. Braden</w:t>
      </w:r>
      <w:r w:rsidRPr="00C76FE0" w:rsidR="00F2187B">
        <w:rPr>
          <w:szCs w:val="26"/>
        </w:rPr>
        <w:t xml:space="preserve"> (2023) 14 Cal.5th 791, 804 [statutes]; (</w:t>
      </w:r>
      <w:r w:rsidRPr="00C76FE0" w:rsidR="00F2187B">
        <w:rPr>
          <w:i/>
          <w:iCs/>
          <w:szCs w:val="26"/>
        </w:rPr>
        <w:t>Hartford Casualty Ins. Co. v. Swift Distribution, Inc.</w:t>
      </w:r>
      <w:r w:rsidRPr="00C76FE0" w:rsidR="007C7C42">
        <w:rPr>
          <w:szCs w:val="26"/>
        </w:rPr>
        <w:t xml:space="preserve">, </w:t>
      </w:r>
      <w:r w:rsidRPr="00C76FE0" w:rsidR="007C7C42">
        <w:rPr>
          <w:i/>
          <w:iCs/>
          <w:szCs w:val="26"/>
        </w:rPr>
        <w:t>supra</w:t>
      </w:r>
      <w:r w:rsidRPr="00C76FE0" w:rsidR="007C7C42">
        <w:rPr>
          <w:szCs w:val="26"/>
        </w:rPr>
        <w:t xml:space="preserve">, </w:t>
      </w:r>
      <w:r w:rsidRPr="00C76FE0" w:rsidR="00F2187B">
        <w:rPr>
          <w:szCs w:val="26"/>
        </w:rPr>
        <w:t xml:space="preserve">59 Cal.4th </w:t>
      </w:r>
      <w:r w:rsidRPr="00C76FE0" w:rsidR="007C7C42">
        <w:rPr>
          <w:szCs w:val="26"/>
        </w:rPr>
        <w:t xml:space="preserve">at p. </w:t>
      </w:r>
      <w:r w:rsidRPr="00C76FE0" w:rsidR="00F2187B">
        <w:rPr>
          <w:szCs w:val="26"/>
        </w:rPr>
        <w:t>288 [written instruments].)</w:t>
      </w:r>
      <w:r w:rsidRPr="00C76FE0" w:rsidR="00456691">
        <w:t xml:space="preserve">  </w:t>
      </w:r>
      <w:r w:rsidRPr="00C76FE0" w:rsidR="00456691">
        <w:rPr>
          <w:szCs w:val="26"/>
        </w:rPr>
        <w:t xml:space="preserve">When a power of attorney is at issue, </w:t>
      </w:r>
      <w:r w:rsidR="00AD77A1">
        <w:rPr>
          <w:szCs w:val="26"/>
        </w:rPr>
        <w:t xml:space="preserve">we have </w:t>
      </w:r>
      <w:r w:rsidR="007A373F">
        <w:rPr>
          <w:szCs w:val="26"/>
        </w:rPr>
        <w:t>highlighted</w:t>
      </w:r>
      <w:r w:rsidR="00AD77A1">
        <w:rPr>
          <w:szCs w:val="26"/>
        </w:rPr>
        <w:t xml:space="preserve"> the importance of plain meaning</w:t>
      </w:r>
      <w:r w:rsidR="007A373F">
        <w:rPr>
          <w:szCs w:val="26"/>
        </w:rPr>
        <w:t xml:space="preserve"> by</w:t>
      </w:r>
      <w:r w:rsidR="00AD77A1">
        <w:rPr>
          <w:szCs w:val="26"/>
        </w:rPr>
        <w:t xml:space="preserve"> stating </w:t>
      </w:r>
      <w:r w:rsidRPr="00F85183" w:rsidR="00456691">
        <w:rPr>
          <w:szCs w:val="26"/>
        </w:rPr>
        <w:t>an agent operating under a power of attorney may not “go beyond it nor beside it.”</w:t>
      </w:r>
      <w:r w:rsidRPr="00C76FE0" w:rsidR="00456691">
        <w:rPr>
          <w:szCs w:val="26"/>
        </w:rPr>
        <w:t xml:space="preserve">  (</w:t>
      </w:r>
      <w:r w:rsidRPr="00C76FE0" w:rsidR="00456691">
        <w:rPr>
          <w:i/>
          <w:iCs/>
          <w:szCs w:val="26"/>
        </w:rPr>
        <w:t>Blum v. Robertson</w:t>
      </w:r>
      <w:r w:rsidRPr="00C76FE0" w:rsidR="00456691">
        <w:rPr>
          <w:szCs w:val="26"/>
        </w:rPr>
        <w:t xml:space="preserve"> (1864) 24 Cal. 128, 140</w:t>
      </w:r>
      <w:r w:rsidR="00AD77A1">
        <w:rPr>
          <w:szCs w:val="26"/>
        </w:rPr>
        <w:t xml:space="preserve">; see also </w:t>
      </w:r>
      <w:r w:rsidRPr="00C76FE0" w:rsidR="00AD77A1">
        <w:rPr>
          <w:i/>
          <w:iCs/>
          <w:szCs w:val="26"/>
        </w:rPr>
        <w:t>Johnston v. Wright</w:t>
      </w:r>
      <w:r w:rsidRPr="00C76FE0" w:rsidR="00AD77A1">
        <w:rPr>
          <w:szCs w:val="26"/>
        </w:rPr>
        <w:t xml:space="preserve"> (1856) 6 Cal. 373, 375</w:t>
      </w:r>
      <w:r w:rsidR="00AD77A1">
        <w:rPr>
          <w:szCs w:val="26"/>
        </w:rPr>
        <w:t>.</w:t>
      </w:r>
      <w:r w:rsidRPr="00C76FE0" w:rsidR="00456691">
        <w:rPr>
          <w:szCs w:val="26"/>
        </w:rPr>
        <w:t>)</w:t>
      </w:r>
    </w:p>
    <w:p w:rsidR="005A2423" w:rsidRPr="00C76FE0" w:rsidP="00C76FE0" w14:paraId="2B05F437" w14:textId="77777777">
      <w:pPr>
        <w:keepNext/>
        <w:ind w:left="720" w:firstLine="720"/>
        <w:outlineLvl w:val="2"/>
        <w:rPr>
          <w:b/>
          <w:bCs/>
          <w:i/>
          <w:iCs/>
          <w:szCs w:val="26"/>
        </w:rPr>
      </w:pPr>
      <w:r w:rsidRPr="00C76FE0">
        <w:rPr>
          <w:b/>
          <w:bCs/>
          <w:i/>
          <w:iCs/>
          <w:szCs w:val="26"/>
        </w:rPr>
        <w:t xml:space="preserve">1. </w:t>
      </w:r>
      <w:r w:rsidRPr="00C76FE0">
        <w:rPr>
          <w:b/>
          <w:bCs/>
          <w:i/>
          <w:iCs/>
          <w:szCs w:val="26"/>
        </w:rPr>
        <w:tab/>
      </w:r>
      <w:r w:rsidRPr="00C76FE0" w:rsidR="0083369F">
        <w:rPr>
          <w:b/>
          <w:bCs/>
          <w:i/>
          <w:iCs/>
          <w:szCs w:val="26"/>
        </w:rPr>
        <w:t>Definitional Provisions</w:t>
      </w:r>
    </w:p>
    <w:p w:rsidR="0013511C" w:rsidRPr="00C76FE0" w:rsidP="00C76FE0" w14:paraId="2B05F438" w14:textId="77777777">
      <w:pPr>
        <w:ind w:firstLine="720"/>
        <w:rPr>
          <w:szCs w:val="26"/>
        </w:rPr>
      </w:pPr>
      <w:r w:rsidRPr="00C76FE0">
        <w:rPr>
          <w:szCs w:val="26"/>
        </w:rPr>
        <w:t xml:space="preserve">As noted above, </w:t>
      </w:r>
      <w:r w:rsidR="003E0661">
        <w:rPr>
          <w:szCs w:val="26"/>
        </w:rPr>
        <w:t>t</w:t>
      </w:r>
      <w:r w:rsidRPr="00C76FE0" w:rsidR="00B46996">
        <w:rPr>
          <w:szCs w:val="26"/>
        </w:rPr>
        <w:t>he Health Care Decisions Law specifies a “health care decision” is one “regarding the patient’s health care” (</w:t>
      </w:r>
      <w:r w:rsidR="00306865">
        <w:rPr>
          <w:szCs w:val="26"/>
        </w:rPr>
        <w:t>§ </w:t>
      </w:r>
      <w:r w:rsidRPr="00C76FE0" w:rsidR="00B46996">
        <w:rPr>
          <w:szCs w:val="26"/>
        </w:rPr>
        <w:t>4617</w:t>
      </w:r>
      <w:r w:rsidR="000F542B">
        <w:rPr>
          <w:szCs w:val="26"/>
        </w:rPr>
        <w:t>, subd. (a)</w:t>
      </w:r>
      <w:r w:rsidRPr="00C76FE0" w:rsidR="00B46996">
        <w:rPr>
          <w:szCs w:val="26"/>
        </w:rPr>
        <w:t xml:space="preserve">), </w:t>
      </w:r>
      <w:r w:rsidRPr="00C76FE0" w:rsidR="006D6074">
        <w:rPr>
          <w:szCs w:val="26"/>
        </w:rPr>
        <w:t>with “health care” defined as</w:t>
      </w:r>
      <w:r w:rsidRPr="00C76FE0" w:rsidR="00B46996">
        <w:rPr>
          <w:szCs w:val="26"/>
        </w:rPr>
        <w:t xml:space="preserve"> “any care, treatment, service, or procedure to maintain, diagnose, or otherwise affect a patient’s physical or mental health condition” (</w:t>
      </w:r>
      <w:r w:rsidR="00306865">
        <w:rPr>
          <w:szCs w:val="26"/>
        </w:rPr>
        <w:t>§ </w:t>
      </w:r>
      <w:r w:rsidRPr="00C76FE0" w:rsidR="00B46996">
        <w:rPr>
          <w:szCs w:val="26"/>
        </w:rPr>
        <w:t xml:space="preserve">4615).  </w:t>
      </w:r>
      <w:r w:rsidRPr="00C76FE0" w:rsidR="006D6074">
        <w:rPr>
          <w:szCs w:val="26"/>
        </w:rPr>
        <w:t xml:space="preserve">Logan’s power of attorney </w:t>
      </w:r>
      <w:r w:rsidRPr="00C76FE0" w:rsidR="0072205F">
        <w:rPr>
          <w:szCs w:val="26"/>
        </w:rPr>
        <w:t xml:space="preserve">does not </w:t>
      </w:r>
      <w:r w:rsidRPr="00C76FE0" w:rsidR="00A25C80">
        <w:rPr>
          <w:szCs w:val="26"/>
        </w:rPr>
        <w:t xml:space="preserve">quote </w:t>
      </w:r>
      <w:r w:rsidRPr="00C76FE0" w:rsidR="006D6074">
        <w:rPr>
          <w:szCs w:val="26"/>
        </w:rPr>
        <w:t xml:space="preserve">these </w:t>
      </w:r>
      <w:r w:rsidRPr="00C76FE0" w:rsidR="004D7117">
        <w:rPr>
          <w:szCs w:val="26"/>
        </w:rPr>
        <w:t xml:space="preserve">basic </w:t>
      </w:r>
      <w:r w:rsidRPr="00C76FE0" w:rsidR="006D6074">
        <w:rPr>
          <w:szCs w:val="26"/>
        </w:rPr>
        <w:t xml:space="preserve">definitional provisions.  But </w:t>
      </w:r>
      <w:r w:rsidRPr="00C76FE0" w:rsidR="00CA30DA">
        <w:rPr>
          <w:szCs w:val="26"/>
        </w:rPr>
        <w:t>Logan’s power of attorney</w:t>
      </w:r>
      <w:r w:rsidRPr="00C76FE0" w:rsidR="004232CD">
        <w:rPr>
          <w:szCs w:val="26"/>
        </w:rPr>
        <w:t xml:space="preserve">, as well as </w:t>
      </w:r>
      <w:r w:rsidRPr="00C76FE0" w:rsidR="002A3C9F">
        <w:rPr>
          <w:szCs w:val="26"/>
        </w:rPr>
        <w:t>t</w:t>
      </w:r>
      <w:r w:rsidRPr="00C76FE0" w:rsidR="00EB54B5">
        <w:rPr>
          <w:szCs w:val="26"/>
        </w:rPr>
        <w:t>he Health Care Decisions Law</w:t>
      </w:r>
      <w:r w:rsidRPr="00C76FE0" w:rsidR="00CA30DA">
        <w:rPr>
          <w:szCs w:val="26"/>
        </w:rPr>
        <w:t>,</w:t>
      </w:r>
      <w:r w:rsidRPr="00C76FE0" w:rsidR="00A25C80">
        <w:rPr>
          <w:szCs w:val="26"/>
        </w:rPr>
        <w:t xml:space="preserve"> both</w:t>
      </w:r>
      <w:r w:rsidRPr="00C76FE0" w:rsidR="00B46996">
        <w:rPr>
          <w:szCs w:val="26"/>
        </w:rPr>
        <w:t xml:space="preserve"> </w:t>
      </w:r>
      <w:r w:rsidRPr="00C76FE0" w:rsidR="008311A9">
        <w:rPr>
          <w:szCs w:val="26"/>
        </w:rPr>
        <w:t>inform our interpretation of the term</w:t>
      </w:r>
      <w:r w:rsidRPr="00C76FE0" w:rsidR="005F7BB2">
        <w:rPr>
          <w:szCs w:val="26"/>
        </w:rPr>
        <w:t xml:space="preserve"> </w:t>
      </w:r>
      <w:r w:rsidRPr="00C76FE0" w:rsidR="00EB54B5">
        <w:rPr>
          <w:szCs w:val="26"/>
        </w:rPr>
        <w:t>“health care decision”</w:t>
      </w:r>
      <w:r w:rsidRPr="00C76FE0" w:rsidR="000A6A37">
        <w:rPr>
          <w:szCs w:val="26"/>
        </w:rPr>
        <w:t xml:space="preserve"> </w:t>
      </w:r>
      <w:r w:rsidRPr="00C76FE0" w:rsidR="00A34037">
        <w:rPr>
          <w:szCs w:val="26"/>
        </w:rPr>
        <w:t xml:space="preserve">by listing </w:t>
      </w:r>
      <w:r w:rsidRPr="00C76FE0" w:rsidR="00B94184">
        <w:rPr>
          <w:szCs w:val="26"/>
        </w:rPr>
        <w:t xml:space="preserve">equivalent </w:t>
      </w:r>
      <w:r w:rsidRPr="00C76FE0" w:rsidR="00A34037">
        <w:rPr>
          <w:szCs w:val="26"/>
        </w:rPr>
        <w:t>examples</w:t>
      </w:r>
      <w:r w:rsidRPr="00C76FE0" w:rsidR="002C4369">
        <w:rPr>
          <w:szCs w:val="26"/>
        </w:rPr>
        <w:t>.</w:t>
      </w:r>
      <w:r w:rsidRPr="00C76FE0" w:rsidR="000A6A37">
        <w:rPr>
          <w:szCs w:val="26"/>
        </w:rPr>
        <w:t xml:space="preserve">  </w:t>
      </w:r>
      <w:r w:rsidRPr="00C76FE0" w:rsidR="005F7BB2">
        <w:rPr>
          <w:szCs w:val="26"/>
        </w:rPr>
        <w:t>Section 4617 states health care decisions include “</w:t>
      </w:r>
      <w:r w:rsidR="004511B6">
        <w:rPr>
          <w:szCs w:val="26"/>
        </w:rPr>
        <w:t>[</w:t>
      </w:r>
      <w:r w:rsidRPr="00C76FE0" w:rsidR="005F7BB2">
        <w:rPr>
          <w:szCs w:val="26"/>
        </w:rPr>
        <w:t>s</w:t>
      </w:r>
      <w:r w:rsidR="004511B6">
        <w:rPr>
          <w:szCs w:val="26"/>
        </w:rPr>
        <w:t>]</w:t>
      </w:r>
      <w:r w:rsidRPr="00C76FE0" w:rsidR="005F7BB2">
        <w:rPr>
          <w:szCs w:val="26"/>
        </w:rPr>
        <w:t>election and discharge of health care providers and institutions.</w:t>
      </w:r>
      <w:r w:rsidR="004511B6">
        <w:rPr>
          <w:szCs w:val="26"/>
        </w:rPr>
        <w:t>”</w:t>
      </w:r>
      <w:r w:rsidRPr="00C76FE0" w:rsidR="005F7BB2">
        <w:rPr>
          <w:szCs w:val="26"/>
        </w:rPr>
        <w:t xml:space="preserve">  (</w:t>
      </w:r>
      <w:r w:rsidR="00306865">
        <w:rPr>
          <w:szCs w:val="26"/>
        </w:rPr>
        <w:t>§ </w:t>
      </w:r>
      <w:r w:rsidRPr="00C76FE0" w:rsidR="005F7BB2">
        <w:rPr>
          <w:szCs w:val="26"/>
        </w:rPr>
        <w:t>4617, subd. (a)</w:t>
      </w:r>
      <w:r w:rsidR="004511B6">
        <w:rPr>
          <w:szCs w:val="26"/>
        </w:rPr>
        <w:t>(1)</w:t>
      </w:r>
      <w:r w:rsidRPr="00C76FE0" w:rsidR="005F7BB2">
        <w:rPr>
          <w:szCs w:val="26"/>
        </w:rPr>
        <w:t>.)  Logan’s power</w:t>
      </w:r>
      <w:r w:rsidRPr="00C76FE0" w:rsidR="00A96802">
        <w:rPr>
          <w:szCs w:val="26"/>
        </w:rPr>
        <w:t xml:space="preserve"> of attorney allows the agent to “choose or reject</w:t>
      </w:r>
      <w:r w:rsidRPr="00C76FE0" w:rsidR="00D04C08">
        <w:rPr>
          <w:szCs w:val="26"/>
        </w:rPr>
        <w:t> . . .</w:t>
      </w:r>
      <w:r w:rsidRPr="00C76FE0" w:rsidR="00A96802">
        <w:rPr>
          <w:szCs w:val="26"/>
        </w:rPr>
        <w:t xml:space="preserve"> health care professionals or health care facilities.”  Section 4617</w:t>
      </w:r>
      <w:r w:rsidRPr="00C76FE0" w:rsidR="00707364">
        <w:rPr>
          <w:szCs w:val="26"/>
        </w:rPr>
        <w:t xml:space="preserve"> also</w:t>
      </w:r>
      <w:r w:rsidRPr="00C76FE0" w:rsidR="00A96802">
        <w:rPr>
          <w:szCs w:val="26"/>
        </w:rPr>
        <w:t xml:space="preserve"> </w:t>
      </w:r>
      <w:r w:rsidRPr="00C76FE0" w:rsidR="00C00F5A">
        <w:rPr>
          <w:szCs w:val="26"/>
        </w:rPr>
        <w:t>provides</w:t>
      </w:r>
      <w:r w:rsidRPr="00C76FE0" w:rsidR="00A96802">
        <w:rPr>
          <w:szCs w:val="26"/>
        </w:rPr>
        <w:t xml:space="preserve"> </w:t>
      </w:r>
      <w:r w:rsidRPr="00C76FE0" w:rsidR="00DD311D">
        <w:rPr>
          <w:szCs w:val="26"/>
        </w:rPr>
        <w:t xml:space="preserve">that </w:t>
      </w:r>
      <w:r w:rsidRPr="00C76FE0" w:rsidR="00A96802">
        <w:rPr>
          <w:szCs w:val="26"/>
        </w:rPr>
        <w:t>health care decisions include “</w:t>
      </w:r>
      <w:r w:rsidR="00496761">
        <w:rPr>
          <w:szCs w:val="26"/>
        </w:rPr>
        <w:t>[</w:t>
      </w:r>
      <w:r w:rsidRPr="00C76FE0" w:rsidR="00A96802">
        <w:rPr>
          <w:szCs w:val="26"/>
        </w:rPr>
        <w:t>a</w:t>
      </w:r>
      <w:r w:rsidR="00496761">
        <w:rPr>
          <w:szCs w:val="26"/>
        </w:rPr>
        <w:t>]</w:t>
      </w:r>
      <w:r w:rsidRPr="00C76FE0" w:rsidR="005F7BB2">
        <w:rPr>
          <w:szCs w:val="26"/>
        </w:rPr>
        <w:t>pproval or disapproval of diagnostic tests, surgical procedures, and programs of medication, including mental health conditions</w:t>
      </w:r>
      <w:r w:rsidRPr="00C76FE0" w:rsidR="00A96802">
        <w:rPr>
          <w:szCs w:val="26"/>
        </w:rPr>
        <w:t>” (</w:t>
      </w:r>
      <w:r w:rsidR="00306865">
        <w:rPr>
          <w:szCs w:val="26"/>
        </w:rPr>
        <w:t>§ </w:t>
      </w:r>
      <w:r w:rsidRPr="00C76FE0" w:rsidR="00A96802">
        <w:rPr>
          <w:szCs w:val="26"/>
        </w:rPr>
        <w:t>4617, subd. (</w:t>
      </w:r>
      <w:r w:rsidR="003F79C5">
        <w:rPr>
          <w:szCs w:val="26"/>
        </w:rPr>
        <w:t>a</w:t>
      </w:r>
      <w:r w:rsidRPr="00C76FE0" w:rsidR="00A96802">
        <w:rPr>
          <w:szCs w:val="26"/>
        </w:rPr>
        <w:t>)</w:t>
      </w:r>
      <w:r w:rsidR="003F79C5">
        <w:rPr>
          <w:szCs w:val="26"/>
        </w:rPr>
        <w:t>(2)</w:t>
      </w:r>
      <w:r w:rsidRPr="00C76FE0" w:rsidR="004232CD">
        <w:rPr>
          <w:szCs w:val="26"/>
        </w:rPr>
        <w:t>)</w:t>
      </w:r>
      <w:r w:rsidRPr="00C76FE0" w:rsidR="00A96802">
        <w:rPr>
          <w:szCs w:val="26"/>
        </w:rPr>
        <w:t>, and also whether “</w:t>
      </w:r>
      <w:r w:rsidRPr="00C76FE0" w:rsidR="005F7BB2">
        <w:rPr>
          <w:szCs w:val="26"/>
        </w:rPr>
        <w:t>to provide, withhold, or withdraw artificial nutrition and hydration and all other forms of health care, including cardiopulmonary resuscitation” (</w:t>
      </w:r>
      <w:r w:rsidR="00306865">
        <w:rPr>
          <w:szCs w:val="26"/>
        </w:rPr>
        <w:t>§ </w:t>
      </w:r>
      <w:r w:rsidRPr="00C76FE0" w:rsidR="005F7BB2">
        <w:rPr>
          <w:szCs w:val="26"/>
        </w:rPr>
        <w:t>4617</w:t>
      </w:r>
      <w:r w:rsidRPr="00C76FE0" w:rsidR="00A96802">
        <w:rPr>
          <w:szCs w:val="26"/>
        </w:rPr>
        <w:t>, subd. (</w:t>
      </w:r>
      <w:r w:rsidR="003F79C5">
        <w:rPr>
          <w:szCs w:val="26"/>
        </w:rPr>
        <w:t>a</w:t>
      </w:r>
      <w:r w:rsidRPr="00C76FE0" w:rsidR="00A96802">
        <w:rPr>
          <w:szCs w:val="26"/>
        </w:rPr>
        <w:t>)</w:t>
      </w:r>
      <w:r w:rsidR="003F79C5">
        <w:rPr>
          <w:szCs w:val="26"/>
        </w:rPr>
        <w:t>(3)</w:t>
      </w:r>
      <w:r w:rsidRPr="00C76FE0" w:rsidR="005F7BB2">
        <w:rPr>
          <w:szCs w:val="26"/>
        </w:rPr>
        <w:t>)</w:t>
      </w:r>
      <w:r w:rsidRPr="00C76FE0" w:rsidR="00A96802">
        <w:rPr>
          <w:szCs w:val="26"/>
        </w:rPr>
        <w:t xml:space="preserve">.  Logan’s power of attorney </w:t>
      </w:r>
      <w:r w:rsidRPr="00C76FE0" w:rsidR="00B47D90">
        <w:rPr>
          <w:szCs w:val="26"/>
        </w:rPr>
        <w:t xml:space="preserve">likewise </w:t>
      </w:r>
      <w:r w:rsidRPr="00C76FE0" w:rsidR="00707364">
        <w:rPr>
          <w:szCs w:val="26"/>
        </w:rPr>
        <w:t>authorizes</w:t>
      </w:r>
      <w:r w:rsidRPr="00C76FE0" w:rsidR="00A96802">
        <w:rPr>
          <w:szCs w:val="26"/>
        </w:rPr>
        <w:t xml:space="preserve"> these types of decisions</w:t>
      </w:r>
      <w:r w:rsidRPr="00C76FE0" w:rsidR="00CA30DA">
        <w:rPr>
          <w:szCs w:val="26"/>
        </w:rPr>
        <w:t xml:space="preserve">, allowing the agent to consent to or refuse “tests, drugs, surgery,” “any medical care or services,” or “the provision, withholding, or withdrawal of artificial nutrition </w:t>
      </w:r>
      <w:r w:rsidRPr="00C76FE0" w:rsidR="00E60683">
        <w:rPr>
          <w:szCs w:val="26"/>
        </w:rPr>
        <w:t>and hydration</w:t>
      </w:r>
      <w:r w:rsidR="00306865">
        <w:rPr>
          <w:szCs w:val="26"/>
        </w:rPr>
        <w:t> . . .</w:t>
      </w:r>
      <w:r w:rsidRPr="00C76FE0" w:rsidR="00E60683">
        <w:rPr>
          <w:szCs w:val="26"/>
        </w:rPr>
        <w:t xml:space="preserve"> and all other forms of health care, including cardiopulmonary resuscitation</w:t>
      </w:r>
      <w:r w:rsidRPr="00C76FE0" w:rsidR="00A96802">
        <w:rPr>
          <w:szCs w:val="26"/>
        </w:rPr>
        <w:t>.</w:t>
      </w:r>
      <w:r w:rsidRPr="00C76FE0" w:rsidR="00E60683">
        <w:rPr>
          <w:szCs w:val="26"/>
        </w:rPr>
        <w:t>”</w:t>
      </w:r>
      <w:r w:rsidRPr="00C76FE0" w:rsidR="00A96802">
        <w:rPr>
          <w:szCs w:val="26"/>
        </w:rPr>
        <w:t xml:space="preserve">  </w:t>
      </w:r>
      <w:r w:rsidRPr="00C76FE0">
        <w:rPr>
          <w:szCs w:val="26"/>
        </w:rPr>
        <w:t>Logan’s</w:t>
      </w:r>
      <w:r w:rsidRPr="00C76FE0" w:rsidR="00B46996">
        <w:rPr>
          <w:szCs w:val="26"/>
        </w:rPr>
        <w:t xml:space="preserve"> power of attorney, </w:t>
      </w:r>
      <w:r w:rsidRPr="00C76FE0" w:rsidR="00AD4CFD">
        <w:rPr>
          <w:szCs w:val="26"/>
        </w:rPr>
        <w:t xml:space="preserve">in accord with </w:t>
      </w:r>
      <w:r w:rsidRPr="00C76FE0" w:rsidR="008873B8">
        <w:rPr>
          <w:szCs w:val="26"/>
        </w:rPr>
        <w:t xml:space="preserve">other provisions of </w:t>
      </w:r>
      <w:r w:rsidRPr="00C76FE0" w:rsidR="00AD4CFD">
        <w:rPr>
          <w:szCs w:val="26"/>
        </w:rPr>
        <w:t xml:space="preserve">the </w:t>
      </w:r>
      <w:r w:rsidRPr="00C76FE0" w:rsidR="00A34037">
        <w:rPr>
          <w:szCs w:val="26"/>
        </w:rPr>
        <w:t>H</w:t>
      </w:r>
      <w:r w:rsidRPr="00C76FE0" w:rsidR="00AD4CFD">
        <w:rPr>
          <w:szCs w:val="26"/>
        </w:rPr>
        <w:t xml:space="preserve">ealth </w:t>
      </w:r>
      <w:r w:rsidRPr="00C76FE0" w:rsidR="00A34037">
        <w:rPr>
          <w:szCs w:val="26"/>
        </w:rPr>
        <w:t>C</w:t>
      </w:r>
      <w:r w:rsidRPr="00C76FE0" w:rsidR="00AD4CFD">
        <w:rPr>
          <w:szCs w:val="26"/>
        </w:rPr>
        <w:t xml:space="preserve">are </w:t>
      </w:r>
      <w:r w:rsidRPr="00C76FE0" w:rsidR="00A34037">
        <w:rPr>
          <w:szCs w:val="26"/>
        </w:rPr>
        <w:t>D</w:t>
      </w:r>
      <w:r w:rsidRPr="00C76FE0" w:rsidR="00AD4CFD">
        <w:rPr>
          <w:szCs w:val="26"/>
        </w:rPr>
        <w:t xml:space="preserve">ecisions </w:t>
      </w:r>
      <w:r w:rsidRPr="00C76FE0" w:rsidR="00A34037">
        <w:rPr>
          <w:szCs w:val="26"/>
        </w:rPr>
        <w:t>L</w:t>
      </w:r>
      <w:r w:rsidRPr="00C76FE0" w:rsidR="00AD4CFD">
        <w:rPr>
          <w:szCs w:val="26"/>
        </w:rPr>
        <w:t>aw</w:t>
      </w:r>
      <w:r w:rsidRPr="00C76FE0" w:rsidR="0016567F">
        <w:rPr>
          <w:szCs w:val="26"/>
        </w:rPr>
        <w:t xml:space="preserve"> </w:t>
      </w:r>
      <w:r w:rsidRPr="00C76FE0" w:rsidR="00B46996">
        <w:rPr>
          <w:szCs w:val="26"/>
        </w:rPr>
        <w:t>(</w:t>
      </w:r>
      <w:r w:rsidRPr="00C76FE0" w:rsidR="00F645C4">
        <w:rPr>
          <w:szCs w:val="26"/>
        </w:rPr>
        <w:t>§</w:t>
      </w:r>
      <w:r w:rsidR="00306865">
        <w:rPr>
          <w:szCs w:val="26"/>
        </w:rPr>
        <w:t>§ </w:t>
      </w:r>
      <w:r w:rsidRPr="00C76FE0" w:rsidR="00F645C4">
        <w:rPr>
          <w:szCs w:val="26"/>
        </w:rPr>
        <w:t xml:space="preserve">4678, </w:t>
      </w:r>
      <w:r w:rsidRPr="00C76FE0" w:rsidR="00B46996">
        <w:rPr>
          <w:szCs w:val="26"/>
        </w:rPr>
        <w:t xml:space="preserve">4683), </w:t>
      </w:r>
      <w:r w:rsidRPr="00C76FE0" w:rsidR="00141487">
        <w:rPr>
          <w:szCs w:val="26"/>
        </w:rPr>
        <w:t>further</w:t>
      </w:r>
      <w:r w:rsidRPr="00C76FE0" w:rsidR="00B46996">
        <w:rPr>
          <w:szCs w:val="26"/>
        </w:rPr>
        <w:t xml:space="preserve"> permits the </w:t>
      </w:r>
      <w:r w:rsidRPr="00C76FE0" w:rsidR="0016567F">
        <w:rPr>
          <w:szCs w:val="26"/>
        </w:rPr>
        <w:t xml:space="preserve">agent to </w:t>
      </w:r>
      <w:r w:rsidRPr="00C76FE0" w:rsidR="00F645C4">
        <w:rPr>
          <w:szCs w:val="26"/>
        </w:rPr>
        <w:t xml:space="preserve">receive and </w:t>
      </w:r>
      <w:r w:rsidRPr="00C76FE0" w:rsidR="0016567F">
        <w:rPr>
          <w:szCs w:val="26"/>
        </w:rPr>
        <w:t xml:space="preserve">release </w:t>
      </w:r>
      <w:r w:rsidRPr="00C76FE0" w:rsidR="003D6B5C">
        <w:rPr>
          <w:szCs w:val="26"/>
        </w:rPr>
        <w:t xml:space="preserve">medical records </w:t>
      </w:r>
      <w:r w:rsidRPr="00C76FE0" w:rsidR="00F645C4">
        <w:rPr>
          <w:szCs w:val="26"/>
        </w:rPr>
        <w:t xml:space="preserve">so the agent can perform his or her duties </w:t>
      </w:r>
      <w:r w:rsidRPr="00C76FE0" w:rsidR="003D6B5C">
        <w:rPr>
          <w:szCs w:val="26"/>
        </w:rPr>
        <w:t>and</w:t>
      </w:r>
      <w:r w:rsidRPr="00C76FE0" w:rsidR="006E30C6">
        <w:rPr>
          <w:szCs w:val="26"/>
        </w:rPr>
        <w:t xml:space="preserve"> to</w:t>
      </w:r>
      <w:r w:rsidRPr="00C76FE0" w:rsidR="003D6B5C">
        <w:rPr>
          <w:szCs w:val="26"/>
        </w:rPr>
        <w:t xml:space="preserve"> </w:t>
      </w:r>
      <w:r w:rsidRPr="00C76FE0" w:rsidR="00A34037">
        <w:rPr>
          <w:szCs w:val="26"/>
        </w:rPr>
        <w:t xml:space="preserve">make </w:t>
      </w:r>
      <w:r w:rsidRPr="00C76FE0" w:rsidR="0016567F">
        <w:rPr>
          <w:szCs w:val="26"/>
        </w:rPr>
        <w:t xml:space="preserve">decisions regarding </w:t>
      </w:r>
      <w:r w:rsidRPr="00C76FE0" w:rsidR="003D6B5C">
        <w:rPr>
          <w:szCs w:val="26"/>
        </w:rPr>
        <w:t>disposition of the body after death</w:t>
      </w:r>
      <w:r w:rsidRPr="00C76FE0" w:rsidR="006B7707">
        <w:rPr>
          <w:szCs w:val="26"/>
        </w:rPr>
        <w:t xml:space="preserve">.  </w:t>
      </w:r>
    </w:p>
    <w:p w:rsidR="002272CB" w:rsidRPr="00C76FE0" w:rsidP="00C76FE0" w14:paraId="2B05F439" w14:textId="77777777">
      <w:pPr>
        <w:ind w:firstLine="720"/>
        <w:rPr>
          <w:szCs w:val="26"/>
        </w:rPr>
      </w:pPr>
      <w:r w:rsidRPr="00C76FE0">
        <w:rPr>
          <w:szCs w:val="26"/>
        </w:rPr>
        <w:t>E</w:t>
      </w:r>
      <w:r w:rsidRPr="00C76FE0" w:rsidR="004232CD">
        <w:rPr>
          <w:szCs w:val="26"/>
        </w:rPr>
        <w:t xml:space="preserve">stablished </w:t>
      </w:r>
      <w:r w:rsidRPr="00C76FE0" w:rsidR="00C8334A">
        <w:rPr>
          <w:szCs w:val="26"/>
        </w:rPr>
        <w:t>canon</w:t>
      </w:r>
      <w:r w:rsidRPr="00C76FE0">
        <w:rPr>
          <w:szCs w:val="26"/>
        </w:rPr>
        <w:t xml:space="preserve">s of </w:t>
      </w:r>
      <w:r w:rsidRPr="00C76FE0" w:rsidR="004232CD">
        <w:rPr>
          <w:szCs w:val="26"/>
        </w:rPr>
        <w:t xml:space="preserve">statutory </w:t>
      </w:r>
      <w:r w:rsidRPr="00C76FE0">
        <w:rPr>
          <w:szCs w:val="26"/>
        </w:rPr>
        <w:t>construction</w:t>
      </w:r>
      <w:r w:rsidRPr="00C76FE0" w:rsidR="00C8334A">
        <w:rPr>
          <w:szCs w:val="26"/>
        </w:rPr>
        <w:t xml:space="preserve"> </w:t>
      </w:r>
      <w:r w:rsidRPr="00C76FE0">
        <w:rPr>
          <w:szCs w:val="26"/>
        </w:rPr>
        <w:t xml:space="preserve">assist us in ascertaining the meaning of a term primarily defined by way of </w:t>
      </w:r>
      <w:r w:rsidRPr="00C76FE0" w:rsidR="00DD311D">
        <w:rPr>
          <w:szCs w:val="26"/>
        </w:rPr>
        <w:t xml:space="preserve">a list of </w:t>
      </w:r>
      <w:r w:rsidRPr="00C76FE0">
        <w:rPr>
          <w:szCs w:val="26"/>
        </w:rPr>
        <w:t>examples and the meaning of examples enumerated on such a list</w:t>
      </w:r>
      <w:r w:rsidRPr="00C76FE0" w:rsidR="00053D91">
        <w:rPr>
          <w:szCs w:val="26"/>
        </w:rPr>
        <w:t>.</w:t>
      </w:r>
      <w:r w:rsidRPr="00C76FE0" w:rsidR="00C8334A">
        <w:rPr>
          <w:szCs w:val="26"/>
        </w:rPr>
        <w:t xml:space="preserve">  </w:t>
      </w:r>
      <w:r w:rsidRPr="00C76FE0" w:rsidR="003E24FA">
        <w:rPr>
          <w:szCs w:val="26"/>
        </w:rPr>
        <w:t>“</w:t>
      </w:r>
      <w:r w:rsidR="00323A1D">
        <w:rPr>
          <w:szCs w:val="26"/>
        </w:rPr>
        <w:t> </w:t>
      </w:r>
      <w:r w:rsidRPr="00C76FE0" w:rsidR="003E24FA">
        <w:rPr>
          <w:szCs w:val="26"/>
        </w:rPr>
        <w:t>‘[W]hen a statute contains a list or catalogue of items, a court should determine the meaning of each by reference to the others, giving preference to an interpretation that uniformly treats items similar in nature and scope.’</w:t>
      </w:r>
      <w:r w:rsidR="00323A1D">
        <w:rPr>
          <w:szCs w:val="26"/>
        </w:rPr>
        <w:t> </w:t>
      </w:r>
      <w:r w:rsidRPr="00C76FE0" w:rsidR="003E24FA">
        <w:rPr>
          <w:szCs w:val="26"/>
        </w:rPr>
        <w:t>”  (</w:t>
      </w:r>
      <w:r w:rsidRPr="00C76FE0" w:rsidR="003E24FA">
        <w:rPr>
          <w:i/>
          <w:iCs/>
          <w:szCs w:val="26"/>
        </w:rPr>
        <w:t>Kleffman v. Vonage Holdings Corp.</w:t>
      </w:r>
      <w:r w:rsidRPr="00C76FE0" w:rsidR="003E24FA">
        <w:rPr>
          <w:szCs w:val="26"/>
        </w:rPr>
        <w:t xml:space="preserve"> (2010) 49 Cal.4th 334, 343.)  </w:t>
      </w:r>
      <w:r w:rsidRPr="00C76FE0" w:rsidR="004232CD">
        <w:rPr>
          <w:szCs w:val="26"/>
        </w:rPr>
        <w:t>W</w:t>
      </w:r>
      <w:r w:rsidRPr="00C76FE0" w:rsidR="00EC53C9">
        <w:rPr>
          <w:szCs w:val="26"/>
        </w:rPr>
        <w:t xml:space="preserve">hen we consider the meaning of </w:t>
      </w:r>
      <w:r w:rsidRPr="00C76FE0" w:rsidR="00053D91">
        <w:rPr>
          <w:szCs w:val="26"/>
        </w:rPr>
        <w:t xml:space="preserve">one </w:t>
      </w:r>
      <w:r w:rsidRPr="00C76FE0" w:rsidR="00EC53C9">
        <w:rPr>
          <w:szCs w:val="26"/>
        </w:rPr>
        <w:t xml:space="preserve">item on a list, we tend to adopt a more </w:t>
      </w:r>
      <w:r w:rsidRPr="00C76FE0" w:rsidR="00DD311D">
        <w:rPr>
          <w:szCs w:val="26"/>
        </w:rPr>
        <w:t>“</w:t>
      </w:r>
      <w:r w:rsidRPr="00C76FE0" w:rsidR="00EC53C9">
        <w:rPr>
          <w:szCs w:val="26"/>
        </w:rPr>
        <w:t>restrictive meaning</w:t>
      </w:r>
      <w:r w:rsidRPr="00C76FE0" w:rsidR="00DD311D">
        <w:rPr>
          <w:szCs w:val="26"/>
        </w:rPr>
        <w:t>”</w:t>
      </w:r>
      <w:r w:rsidRPr="00C76FE0" w:rsidR="00EC53C9">
        <w:rPr>
          <w:szCs w:val="26"/>
        </w:rPr>
        <w:t xml:space="preserve"> when to do otherwise would “make the item markedly dissimilar to the other items in the list.”  (</w:t>
      </w:r>
      <w:r w:rsidRPr="00C76FE0" w:rsidR="00EC53C9">
        <w:rPr>
          <w:i/>
          <w:iCs/>
          <w:szCs w:val="26"/>
        </w:rPr>
        <w:t>Moore v. Cal</w:t>
      </w:r>
      <w:r w:rsidR="00326744">
        <w:rPr>
          <w:i/>
          <w:iCs/>
          <w:szCs w:val="26"/>
        </w:rPr>
        <w:t>ifornia</w:t>
      </w:r>
      <w:r w:rsidRPr="00C76FE0" w:rsidR="00EC53C9">
        <w:rPr>
          <w:i/>
          <w:iCs/>
          <w:szCs w:val="26"/>
        </w:rPr>
        <w:t xml:space="preserve"> State Bd. of Acc</w:t>
      </w:r>
      <w:r w:rsidR="00326744">
        <w:rPr>
          <w:i/>
          <w:iCs/>
          <w:szCs w:val="26"/>
        </w:rPr>
        <w:t>ountancy</w:t>
      </w:r>
      <w:r w:rsidRPr="00C76FE0" w:rsidR="00EC53C9">
        <w:rPr>
          <w:szCs w:val="26"/>
        </w:rPr>
        <w:t xml:space="preserve"> (1992) 2 Cal.4th 999, 1012.)  </w:t>
      </w:r>
      <w:r w:rsidRPr="00C76FE0" w:rsidR="005C7935">
        <w:rPr>
          <w:szCs w:val="26"/>
        </w:rPr>
        <w:t>W</w:t>
      </w:r>
      <w:r w:rsidRPr="00C76FE0" w:rsidR="004A72C9">
        <w:rPr>
          <w:szCs w:val="26"/>
        </w:rPr>
        <w:t>hen a general term is defined through a list of example</w:t>
      </w:r>
      <w:r w:rsidRPr="00C76FE0" w:rsidR="00F75D41">
        <w:rPr>
          <w:szCs w:val="26"/>
        </w:rPr>
        <w:t>s</w:t>
      </w:r>
      <w:r w:rsidRPr="00C76FE0" w:rsidR="004A72C9">
        <w:rPr>
          <w:szCs w:val="26"/>
        </w:rPr>
        <w:t>, we tend towards a definition of the general term that is in concert with the items listed.  (</w:t>
      </w:r>
      <w:r w:rsidRPr="00C76FE0" w:rsidR="00DE13A5">
        <w:rPr>
          <w:i/>
          <w:iCs/>
          <w:szCs w:val="26"/>
        </w:rPr>
        <w:t>Winn v. Pioneer Medical Group, Inc.</w:t>
      </w:r>
      <w:r w:rsidRPr="00C76FE0" w:rsidR="00DE13A5">
        <w:rPr>
          <w:szCs w:val="26"/>
        </w:rPr>
        <w:t xml:space="preserve"> (2016) 63 Cal.4th 148, 159; </w:t>
      </w:r>
      <w:r w:rsidRPr="00C76FE0" w:rsidR="00B40DE1">
        <w:rPr>
          <w:i/>
          <w:iCs/>
          <w:szCs w:val="26"/>
        </w:rPr>
        <w:t>International Federation of Professional &amp; Technical Engineers, Local 21, AFL-CIO v. Superior Court</w:t>
      </w:r>
      <w:r w:rsidRPr="00C76FE0" w:rsidR="00B40DE1">
        <w:rPr>
          <w:szCs w:val="26"/>
        </w:rPr>
        <w:t xml:space="preserve"> (2007) 42 Cal.4th 319, 342; </w:t>
      </w:r>
      <w:r w:rsidRPr="00C76FE0" w:rsidR="004A72C9">
        <w:rPr>
          <w:i/>
          <w:iCs/>
          <w:szCs w:val="26"/>
        </w:rPr>
        <w:t>Commission on Peace Officer Standards &amp; Training v. Superior Court</w:t>
      </w:r>
      <w:r w:rsidRPr="00C76FE0" w:rsidR="004A72C9">
        <w:rPr>
          <w:szCs w:val="26"/>
        </w:rPr>
        <w:t xml:space="preserve"> (2007) 42 Cal.4th 278, 294</w:t>
      </w:r>
      <w:r w:rsidRPr="00C76FE0" w:rsidR="009438AF">
        <w:rPr>
          <w:szCs w:val="26"/>
        </w:rPr>
        <w:t xml:space="preserve">; see also Civ. Code, </w:t>
      </w:r>
      <w:r w:rsidR="00306865">
        <w:rPr>
          <w:szCs w:val="26"/>
        </w:rPr>
        <w:t>§ </w:t>
      </w:r>
      <w:r w:rsidRPr="00C76FE0" w:rsidR="009438AF">
        <w:rPr>
          <w:szCs w:val="26"/>
        </w:rPr>
        <w:t>3534 [“Particular expressions qualify those which are general</w:t>
      </w:r>
      <w:r w:rsidR="00FD1B78">
        <w:rPr>
          <w:szCs w:val="26"/>
        </w:rPr>
        <w:t>.</w:t>
      </w:r>
      <w:r w:rsidRPr="00C76FE0" w:rsidR="009438AF">
        <w:rPr>
          <w:szCs w:val="26"/>
        </w:rPr>
        <w:t>”].</w:t>
      </w:r>
      <w:r w:rsidRPr="00C76FE0" w:rsidR="004A72C9">
        <w:rPr>
          <w:szCs w:val="26"/>
        </w:rPr>
        <w:t xml:space="preserve">)  </w:t>
      </w:r>
      <w:r w:rsidRPr="00C76FE0" w:rsidR="00E93F99">
        <w:rPr>
          <w:szCs w:val="26"/>
        </w:rPr>
        <w:t xml:space="preserve">These </w:t>
      </w:r>
      <w:r w:rsidRPr="00C76FE0" w:rsidR="005C7935">
        <w:rPr>
          <w:szCs w:val="26"/>
        </w:rPr>
        <w:t xml:space="preserve">guidelines </w:t>
      </w:r>
      <w:r w:rsidRPr="00C76FE0" w:rsidR="00E93F99">
        <w:rPr>
          <w:szCs w:val="26"/>
        </w:rPr>
        <w:t xml:space="preserve">have particular force when, as here, there is no broadening catchall provision amongst the </w:t>
      </w:r>
      <w:r w:rsidRPr="00C76FE0" w:rsidR="00BE7F5B">
        <w:rPr>
          <w:szCs w:val="26"/>
        </w:rPr>
        <w:t xml:space="preserve">listed </w:t>
      </w:r>
      <w:r w:rsidRPr="00C76FE0" w:rsidR="00E93F99">
        <w:rPr>
          <w:szCs w:val="26"/>
        </w:rPr>
        <w:t>items.  (</w:t>
      </w:r>
      <w:r w:rsidRPr="00C76FE0" w:rsidR="00E93F99">
        <w:rPr>
          <w:i/>
          <w:iCs/>
          <w:szCs w:val="26"/>
        </w:rPr>
        <w:t>Bernard v. Foley</w:t>
      </w:r>
      <w:r w:rsidRPr="00C76FE0" w:rsidR="00E93F99">
        <w:rPr>
          <w:szCs w:val="26"/>
        </w:rPr>
        <w:t xml:space="preserve"> (2006) 39 Cal.4th 794, 807.)</w:t>
      </w:r>
    </w:p>
    <w:p w:rsidR="007B4560" w:rsidRPr="00C76FE0" w:rsidP="00C76FE0" w14:paraId="2B05F43A" w14:textId="77777777">
      <w:pPr>
        <w:ind w:firstLine="720"/>
        <w:rPr>
          <w:szCs w:val="26"/>
        </w:rPr>
      </w:pPr>
      <w:r w:rsidRPr="00C76FE0">
        <w:rPr>
          <w:szCs w:val="26"/>
        </w:rPr>
        <w:t>T</w:t>
      </w:r>
      <w:r w:rsidRPr="00C76FE0" w:rsidR="00EC53C9">
        <w:rPr>
          <w:szCs w:val="26"/>
        </w:rPr>
        <w:t>h</w:t>
      </w:r>
      <w:r w:rsidRPr="00C76FE0" w:rsidR="003E24FA">
        <w:rPr>
          <w:szCs w:val="26"/>
        </w:rPr>
        <w:t>ese</w:t>
      </w:r>
      <w:r w:rsidRPr="00C76FE0" w:rsidR="00EC53C9">
        <w:rPr>
          <w:szCs w:val="26"/>
        </w:rPr>
        <w:t xml:space="preserve"> </w:t>
      </w:r>
      <w:r w:rsidRPr="00C76FE0" w:rsidR="00015EA4">
        <w:rPr>
          <w:szCs w:val="26"/>
        </w:rPr>
        <w:t>canons of construction</w:t>
      </w:r>
      <w:r w:rsidRPr="00C76FE0">
        <w:rPr>
          <w:szCs w:val="26"/>
        </w:rPr>
        <w:t xml:space="preserve"> weigh against </w:t>
      </w:r>
      <w:r w:rsidRPr="00C76FE0" w:rsidR="005C7935">
        <w:rPr>
          <w:szCs w:val="26"/>
        </w:rPr>
        <w:t xml:space="preserve">construing </w:t>
      </w:r>
      <w:r w:rsidRPr="00C76FE0" w:rsidR="00EC53C9">
        <w:rPr>
          <w:szCs w:val="26"/>
        </w:rPr>
        <w:t>the authority to select health care providers</w:t>
      </w:r>
      <w:r w:rsidRPr="00C76FE0" w:rsidR="00647670">
        <w:rPr>
          <w:szCs w:val="26"/>
        </w:rPr>
        <w:t xml:space="preserve"> and institutions (</w:t>
      </w:r>
      <w:r w:rsidR="00306865">
        <w:rPr>
          <w:szCs w:val="26"/>
        </w:rPr>
        <w:t>§ </w:t>
      </w:r>
      <w:r w:rsidRPr="00C76FE0" w:rsidR="00647670">
        <w:rPr>
          <w:szCs w:val="26"/>
        </w:rPr>
        <w:t>4617, subd. (a))</w:t>
      </w:r>
      <w:r w:rsidRPr="00C76FE0" w:rsidR="00EC53C9">
        <w:rPr>
          <w:szCs w:val="26"/>
        </w:rPr>
        <w:t xml:space="preserve"> </w:t>
      </w:r>
      <w:r w:rsidRPr="00C76FE0" w:rsidR="005C7935">
        <w:rPr>
          <w:szCs w:val="26"/>
        </w:rPr>
        <w:t xml:space="preserve">to include </w:t>
      </w:r>
      <w:r w:rsidRPr="00C76FE0" w:rsidR="00EC53C9">
        <w:rPr>
          <w:szCs w:val="26"/>
        </w:rPr>
        <w:t>the power to enter optional</w:t>
      </w:r>
      <w:r w:rsidRPr="00C76FE0" w:rsidR="002A1E03">
        <w:rPr>
          <w:szCs w:val="26"/>
        </w:rPr>
        <w:t>, separate</w:t>
      </w:r>
      <w:r w:rsidRPr="00C76FE0" w:rsidR="00EC53C9">
        <w:rPr>
          <w:szCs w:val="26"/>
        </w:rPr>
        <w:t xml:space="preserve"> dispute resolution agreements</w:t>
      </w:r>
      <w:r w:rsidRPr="00C76FE0" w:rsidR="005C7935">
        <w:rPr>
          <w:szCs w:val="26"/>
        </w:rPr>
        <w:t xml:space="preserve">, </w:t>
      </w:r>
      <w:r w:rsidRPr="00C76FE0" w:rsidR="00B30FFC">
        <w:rPr>
          <w:szCs w:val="26"/>
        </w:rPr>
        <w:t>and against</w:t>
      </w:r>
      <w:r w:rsidRPr="00C76FE0">
        <w:rPr>
          <w:szCs w:val="26"/>
        </w:rPr>
        <w:t xml:space="preserve"> </w:t>
      </w:r>
      <w:r w:rsidRPr="00C76FE0" w:rsidR="00BB6F49">
        <w:rPr>
          <w:szCs w:val="26"/>
        </w:rPr>
        <w:t xml:space="preserve">interpreting the </w:t>
      </w:r>
      <w:r w:rsidRPr="00C76FE0">
        <w:rPr>
          <w:szCs w:val="26"/>
        </w:rPr>
        <w:t>general term “health care decision”</w:t>
      </w:r>
      <w:r w:rsidRPr="00C76FE0" w:rsidR="00BB6F49">
        <w:rPr>
          <w:szCs w:val="26"/>
        </w:rPr>
        <w:t xml:space="preserve"> </w:t>
      </w:r>
      <w:r w:rsidRPr="00C76FE0" w:rsidR="007330CE">
        <w:rPr>
          <w:szCs w:val="26"/>
        </w:rPr>
        <w:t xml:space="preserve">that </w:t>
      </w:r>
      <w:r w:rsidRPr="00C76FE0" w:rsidR="002C4369">
        <w:rPr>
          <w:szCs w:val="26"/>
        </w:rPr>
        <w:t>expansive</w:t>
      </w:r>
      <w:r w:rsidRPr="00C76FE0" w:rsidR="007330CE">
        <w:rPr>
          <w:szCs w:val="26"/>
        </w:rPr>
        <w:t>ly</w:t>
      </w:r>
      <w:r w:rsidRPr="00C76FE0" w:rsidR="002C4369">
        <w:rPr>
          <w:szCs w:val="26"/>
        </w:rPr>
        <w:t xml:space="preserve">. </w:t>
      </w:r>
      <w:r w:rsidRPr="00C76FE0" w:rsidR="001B2453">
        <w:rPr>
          <w:szCs w:val="26"/>
        </w:rPr>
        <w:t xml:space="preserve"> </w:t>
      </w:r>
      <w:r w:rsidRPr="00C76FE0" w:rsidR="00FF7D93">
        <w:rPr>
          <w:szCs w:val="26"/>
        </w:rPr>
        <w:t xml:space="preserve">Each </w:t>
      </w:r>
      <w:r w:rsidRPr="00C76FE0" w:rsidR="005C7935">
        <w:rPr>
          <w:szCs w:val="26"/>
        </w:rPr>
        <w:t xml:space="preserve">enumerated </w:t>
      </w:r>
      <w:r w:rsidRPr="00C76FE0" w:rsidR="00FF7D93">
        <w:rPr>
          <w:szCs w:val="26"/>
        </w:rPr>
        <w:t xml:space="preserve">example of a health care decision in the Health Care Decisions Law </w:t>
      </w:r>
      <w:r w:rsidRPr="00C76FE0" w:rsidR="00B343DE">
        <w:rPr>
          <w:szCs w:val="26"/>
        </w:rPr>
        <w:t>and</w:t>
      </w:r>
      <w:r w:rsidRPr="00C76FE0" w:rsidR="00FF7D93">
        <w:rPr>
          <w:szCs w:val="26"/>
        </w:rPr>
        <w:t xml:space="preserve"> </w:t>
      </w:r>
      <w:r w:rsidRPr="00C76FE0" w:rsidR="005C7935">
        <w:rPr>
          <w:szCs w:val="26"/>
        </w:rPr>
        <w:t xml:space="preserve">in </w:t>
      </w:r>
      <w:r w:rsidRPr="00C76FE0" w:rsidR="00FF7D93">
        <w:rPr>
          <w:szCs w:val="26"/>
        </w:rPr>
        <w:t>Logan’s power of attorney directly pertains to who provides health care and what may be done to a principal’s body in health, sickness, or death</w:t>
      </w:r>
      <w:r w:rsidRPr="00C76FE0" w:rsidR="005C7935">
        <w:rPr>
          <w:szCs w:val="26"/>
        </w:rPr>
        <w:t xml:space="preserve">.  </w:t>
      </w:r>
      <w:r w:rsidRPr="00C76FE0" w:rsidR="00EB5BD7">
        <w:rPr>
          <w:szCs w:val="26"/>
        </w:rPr>
        <w:t>There is no</w:t>
      </w:r>
      <w:r w:rsidRPr="00C76FE0" w:rsidR="00FF7D93">
        <w:rPr>
          <w:szCs w:val="26"/>
        </w:rPr>
        <w:t xml:space="preserve"> </w:t>
      </w:r>
      <w:r w:rsidRPr="00C76FE0" w:rsidR="005C7935">
        <w:rPr>
          <w:szCs w:val="26"/>
        </w:rPr>
        <w:t xml:space="preserve">catchall provision, no </w:t>
      </w:r>
      <w:r w:rsidRPr="00C76FE0" w:rsidR="00FF7D93">
        <w:rPr>
          <w:szCs w:val="26"/>
        </w:rPr>
        <w:t>express delegation of power to make decisions that serve other purposes</w:t>
      </w:r>
      <w:r w:rsidRPr="00C76FE0" w:rsidR="005C7935">
        <w:rPr>
          <w:szCs w:val="26"/>
        </w:rPr>
        <w:t xml:space="preserve">, and no express grant of </w:t>
      </w:r>
      <w:r w:rsidRPr="00C76FE0" w:rsidR="00FF7D93">
        <w:rPr>
          <w:szCs w:val="26"/>
        </w:rPr>
        <w:t xml:space="preserve">power to waive access to the courts, agree to arbitration, or to otherwise negotiate about or accept any dispute resolution method.  </w:t>
      </w:r>
      <w:r w:rsidRPr="00C76FE0" w:rsidR="00EB5BD7">
        <w:rPr>
          <w:szCs w:val="26"/>
        </w:rPr>
        <w:t>A</w:t>
      </w:r>
      <w:r w:rsidRPr="00C76FE0" w:rsidR="00A23E44">
        <w:rPr>
          <w:szCs w:val="26"/>
        </w:rPr>
        <w:t xml:space="preserve"> </w:t>
      </w:r>
      <w:r w:rsidRPr="00C76FE0" w:rsidR="0004038D">
        <w:rPr>
          <w:szCs w:val="26"/>
        </w:rPr>
        <w:t xml:space="preserve">standalone arbitration agreement would be “markedly dissimilar” </w:t>
      </w:r>
      <w:r w:rsidRPr="00C76FE0" w:rsidR="00B40AD9">
        <w:rPr>
          <w:szCs w:val="26"/>
        </w:rPr>
        <w:t>(</w:t>
      </w:r>
      <w:r w:rsidRPr="00C76FE0" w:rsidR="00B40AD9">
        <w:rPr>
          <w:i/>
          <w:iCs/>
          <w:szCs w:val="26"/>
        </w:rPr>
        <w:t>Moore</w:t>
      </w:r>
      <w:r w:rsidRPr="00C76FE0" w:rsidR="002F714A">
        <w:rPr>
          <w:i/>
          <w:iCs/>
          <w:szCs w:val="26"/>
        </w:rPr>
        <w:t xml:space="preserve"> v. Cal</w:t>
      </w:r>
      <w:r w:rsidR="002F714A">
        <w:rPr>
          <w:i/>
          <w:iCs/>
          <w:szCs w:val="26"/>
        </w:rPr>
        <w:t>ifornia</w:t>
      </w:r>
      <w:r w:rsidRPr="00C76FE0" w:rsidR="002F714A">
        <w:rPr>
          <w:i/>
          <w:iCs/>
          <w:szCs w:val="26"/>
        </w:rPr>
        <w:t xml:space="preserve"> State Bd. of Acc</w:t>
      </w:r>
      <w:r w:rsidR="002F714A">
        <w:rPr>
          <w:i/>
          <w:iCs/>
          <w:szCs w:val="26"/>
        </w:rPr>
        <w:t>ountancy</w:t>
      </w:r>
      <w:r w:rsidR="0009113E">
        <w:rPr>
          <w:szCs w:val="26"/>
        </w:rPr>
        <w:t xml:space="preserve">, </w:t>
      </w:r>
      <w:r w:rsidR="0009113E">
        <w:rPr>
          <w:i/>
          <w:iCs/>
          <w:szCs w:val="26"/>
        </w:rPr>
        <w:t>supra</w:t>
      </w:r>
      <w:r w:rsidR="0009113E">
        <w:rPr>
          <w:szCs w:val="26"/>
        </w:rPr>
        <w:t xml:space="preserve">, </w:t>
      </w:r>
      <w:r w:rsidRPr="00C76FE0" w:rsidR="002F714A">
        <w:rPr>
          <w:szCs w:val="26"/>
        </w:rPr>
        <w:t>2 Cal.4th</w:t>
      </w:r>
      <w:r w:rsidRPr="00C76FE0" w:rsidR="00B40AD9">
        <w:rPr>
          <w:szCs w:val="26"/>
        </w:rPr>
        <w:t xml:space="preserve"> at p. 1012) </w:t>
      </w:r>
      <w:r w:rsidRPr="00C76FE0" w:rsidR="0004038D">
        <w:rPr>
          <w:szCs w:val="26"/>
        </w:rPr>
        <w:t>from agreements about who provides medical care</w:t>
      </w:r>
      <w:r w:rsidRPr="00C76FE0" w:rsidR="00A61477">
        <w:rPr>
          <w:szCs w:val="26"/>
        </w:rPr>
        <w:t xml:space="preserve"> or</w:t>
      </w:r>
      <w:r w:rsidRPr="00C76FE0" w:rsidR="0004038D">
        <w:rPr>
          <w:szCs w:val="26"/>
        </w:rPr>
        <w:t xml:space="preserve"> what care they provide. </w:t>
      </w:r>
      <w:r w:rsidRPr="00C76FE0" w:rsidR="00B40AD9">
        <w:rPr>
          <w:szCs w:val="26"/>
        </w:rPr>
        <w:t xml:space="preserve"> Thus, defining </w:t>
      </w:r>
      <w:r w:rsidRPr="00C76FE0" w:rsidR="005C7935">
        <w:rPr>
          <w:szCs w:val="26"/>
        </w:rPr>
        <w:t>the term “</w:t>
      </w:r>
      <w:r w:rsidRPr="00C76FE0" w:rsidR="00B40AD9">
        <w:rPr>
          <w:szCs w:val="26"/>
        </w:rPr>
        <w:t>health care decision</w:t>
      </w:r>
      <w:r w:rsidRPr="00C76FE0" w:rsidR="005C7935">
        <w:rPr>
          <w:szCs w:val="26"/>
        </w:rPr>
        <w:t xml:space="preserve">” to </w:t>
      </w:r>
      <w:r w:rsidRPr="00C76FE0" w:rsidR="00B40AD9">
        <w:rPr>
          <w:szCs w:val="26"/>
        </w:rPr>
        <w:t>includ</w:t>
      </w:r>
      <w:r w:rsidRPr="00C76FE0" w:rsidR="005C7935">
        <w:rPr>
          <w:szCs w:val="26"/>
        </w:rPr>
        <w:t>e</w:t>
      </w:r>
      <w:r w:rsidRPr="00C76FE0" w:rsidR="00B40AD9">
        <w:rPr>
          <w:szCs w:val="26"/>
        </w:rPr>
        <w:t xml:space="preserve"> a standalone arbitration agreement would not be “in concert with” (</w:t>
      </w:r>
      <w:r w:rsidRPr="00C76FE0" w:rsidR="00B40AD9">
        <w:rPr>
          <w:i/>
          <w:iCs/>
          <w:szCs w:val="26"/>
        </w:rPr>
        <w:t>Winn</w:t>
      </w:r>
      <w:r w:rsidRPr="00C76FE0" w:rsidR="00BA03E9">
        <w:rPr>
          <w:i/>
          <w:iCs/>
          <w:szCs w:val="26"/>
        </w:rPr>
        <w:t xml:space="preserve"> v. Pioneer Medical Group, Inc.</w:t>
      </w:r>
      <w:r w:rsidR="00BA03E9">
        <w:rPr>
          <w:szCs w:val="26"/>
        </w:rPr>
        <w:t xml:space="preserve">, </w:t>
      </w:r>
      <w:r w:rsidR="00BA03E9">
        <w:rPr>
          <w:i/>
          <w:iCs/>
          <w:szCs w:val="26"/>
        </w:rPr>
        <w:t>supra</w:t>
      </w:r>
      <w:r w:rsidR="00BA03E9">
        <w:rPr>
          <w:szCs w:val="26"/>
        </w:rPr>
        <w:t xml:space="preserve">, </w:t>
      </w:r>
      <w:r w:rsidRPr="00C76FE0" w:rsidR="00BA03E9">
        <w:rPr>
          <w:szCs w:val="26"/>
        </w:rPr>
        <w:t>63 Cal.4th</w:t>
      </w:r>
      <w:r w:rsidRPr="00C76FE0" w:rsidR="00B40AD9">
        <w:rPr>
          <w:szCs w:val="26"/>
        </w:rPr>
        <w:t xml:space="preserve"> at p. 159) the items listed</w:t>
      </w:r>
      <w:r w:rsidRPr="00C76FE0" w:rsidR="00E800F8">
        <w:rPr>
          <w:szCs w:val="26"/>
        </w:rPr>
        <w:t xml:space="preserve"> and, therefore, </w:t>
      </w:r>
      <w:r w:rsidRPr="00C76FE0" w:rsidR="005C7935">
        <w:rPr>
          <w:szCs w:val="26"/>
        </w:rPr>
        <w:t xml:space="preserve">with </w:t>
      </w:r>
      <w:r w:rsidRPr="00C76FE0" w:rsidR="00E800F8">
        <w:rPr>
          <w:szCs w:val="26"/>
        </w:rPr>
        <w:t xml:space="preserve">the apparent </w:t>
      </w:r>
      <w:r w:rsidRPr="00C76FE0" w:rsidR="00BE7F5B">
        <w:rPr>
          <w:szCs w:val="26"/>
        </w:rPr>
        <w:t xml:space="preserve">intent </w:t>
      </w:r>
      <w:r w:rsidRPr="00C76FE0" w:rsidR="00B3114D">
        <w:rPr>
          <w:szCs w:val="26"/>
        </w:rPr>
        <w:t xml:space="preserve">evidenced by the </w:t>
      </w:r>
      <w:r w:rsidRPr="00C76FE0" w:rsidR="00DD311D">
        <w:rPr>
          <w:szCs w:val="26"/>
        </w:rPr>
        <w:t xml:space="preserve">definitional provisions of </w:t>
      </w:r>
      <w:r w:rsidRPr="00C76FE0" w:rsidR="00BE7F5B">
        <w:rPr>
          <w:szCs w:val="26"/>
        </w:rPr>
        <w:t xml:space="preserve">Logan’s power of attorney </w:t>
      </w:r>
      <w:r w:rsidRPr="00C76FE0" w:rsidR="00DD311D">
        <w:rPr>
          <w:szCs w:val="26"/>
        </w:rPr>
        <w:t xml:space="preserve">or </w:t>
      </w:r>
      <w:r w:rsidRPr="00C76FE0" w:rsidR="00E800F8">
        <w:rPr>
          <w:szCs w:val="26"/>
        </w:rPr>
        <w:t xml:space="preserve">the </w:t>
      </w:r>
      <w:r w:rsidRPr="00C76FE0" w:rsidR="00706001">
        <w:rPr>
          <w:szCs w:val="26"/>
        </w:rPr>
        <w:t>Health Care Decisions Law</w:t>
      </w:r>
      <w:r w:rsidRPr="00C76FE0" w:rsidR="00BE7F5B">
        <w:rPr>
          <w:szCs w:val="26"/>
        </w:rPr>
        <w:t xml:space="preserve"> it invokes</w:t>
      </w:r>
      <w:r w:rsidRPr="00C76FE0" w:rsidR="00706001">
        <w:rPr>
          <w:szCs w:val="26"/>
        </w:rPr>
        <w:t>.</w:t>
      </w:r>
    </w:p>
    <w:p w:rsidR="005A2423" w:rsidRPr="00C76FE0" w:rsidP="00C76FE0" w14:paraId="2B05F43B" w14:textId="77777777">
      <w:pPr>
        <w:ind w:left="720" w:firstLine="720"/>
        <w:outlineLvl w:val="2"/>
        <w:rPr>
          <w:b/>
          <w:bCs/>
          <w:i/>
          <w:iCs/>
          <w:szCs w:val="26"/>
        </w:rPr>
      </w:pPr>
      <w:r w:rsidRPr="00C76FE0">
        <w:rPr>
          <w:b/>
          <w:bCs/>
          <w:i/>
          <w:iCs/>
          <w:szCs w:val="26"/>
        </w:rPr>
        <w:t xml:space="preserve">2. </w:t>
      </w:r>
      <w:r w:rsidR="00607C08">
        <w:rPr>
          <w:b/>
          <w:bCs/>
          <w:i/>
          <w:iCs/>
          <w:szCs w:val="26"/>
        </w:rPr>
        <w:tab/>
      </w:r>
      <w:r w:rsidRPr="00C76FE0" w:rsidR="0083369F">
        <w:rPr>
          <w:b/>
          <w:bCs/>
          <w:i/>
          <w:iCs/>
          <w:szCs w:val="26"/>
        </w:rPr>
        <w:t>Further Context</w:t>
      </w:r>
    </w:p>
    <w:p w:rsidR="00BE7F5B" w:rsidRPr="00C76FE0" w:rsidP="00C76FE0" w14:paraId="2B05F43C" w14:textId="77777777">
      <w:pPr>
        <w:ind w:firstLine="720"/>
        <w:rPr>
          <w:szCs w:val="26"/>
        </w:rPr>
      </w:pPr>
      <w:r w:rsidRPr="00C76FE0">
        <w:rPr>
          <w:szCs w:val="26"/>
        </w:rPr>
        <w:t xml:space="preserve">Other portions of Logan’s power of attorney, as well as the </w:t>
      </w:r>
      <w:r w:rsidRPr="00C76FE0">
        <w:t>Health Care Decisions Law and</w:t>
      </w:r>
      <w:r w:rsidRPr="00C76FE0" w:rsidR="00A04E11">
        <w:t xml:space="preserve"> </w:t>
      </w:r>
      <w:r w:rsidRPr="00C76FE0" w:rsidR="00A04E11">
        <w:rPr>
          <w:szCs w:val="26"/>
        </w:rPr>
        <w:t xml:space="preserve">the </w:t>
      </w:r>
      <w:r w:rsidRPr="00C76FE0" w:rsidR="00A04E11">
        <w:t>Probate Code</w:t>
      </w:r>
      <w:r w:rsidRPr="00C76FE0" w:rsidR="00A04E11">
        <w:rPr>
          <w:szCs w:val="26"/>
        </w:rPr>
        <w:t>,</w:t>
      </w:r>
      <w:r w:rsidRPr="00C76FE0" w:rsidR="00E66B55">
        <w:rPr>
          <w:szCs w:val="26"/>
        </w:rPr>
        <w:t xml:space="preserve"> </w:t>
      </w:r>
      <w:r w:rsidRPr="00C76FE0" w:rsidR="0003335A">
        <w:rPr>
          <w:szCs w:val="26"/>
        </w:rPr>
        <w:t xml:space="preserve">support </w:t>
      </w:r>
      <w:r w:rsidRPr="00C76FE0" w:rsidR="00B3114D">
        <w:rPr>
          <w:szCs w:val="26"/>
        </w:rPr>
        <w:t xml:space="preserve">this </w:t>
      </w:r>
      <w:r w:rsidRPr="00C76FE0" w:rsidR="0003335A">
        <w:rPr>
          <w:szCs w:val="26"/>
        </w:rPr>
        <w:t>interpretation of the term “health care decision</w:t>
      </w:r>
      <w:r w:rsidRPr="00C76FE0" w:rsidR="005C7935">
        <w:rPr>
          <w:szCs w:val="26"/>
        </w:rPr>
        <w:t>.</w:t>
      </w:r>
      <w:r w:rsidRPr="00C76FE0" w:rsidR="0003335A">
        <w:rPr>
          <w:szCs w:val="26"/>
        </w:rPr>
        <w:t>”</w:t>
      </w:r>
      <w:r w:rsidRPr="00C76FE0" w:rsidR="00A41A95">
        <w:rPr>
          <w:szCs w:val="26"/>
        </w:rPr>
        <w:t xml:space="preserve"> </w:t>
      </w:r>
      <w:r w:rsidRPr="00C76FE0" w:rsidR="009D764D">
        <w:rPr>
          <w:szCs w:val="26"/>
        </w:rPr>
        <w:t xml:space="preserve"> </w:t>
      </w:r>
      <w:r w:rsidRPr="00C76FE0" w:rsidR="006D7F9E">
        <w:rPr>
          <w:szCs w:val="26"/>
        </w:rPr>
        <w:t xml:space="preserve">(See </w:t>
      </w:r>
      <w:r w:rsidRPr="00C76FE0" w:rsidR="006D7F9E">
        <w:rPr>
          <w:i/>
          <w:iCs/>
          <w:szCs w:val="26"/>
        </w:rPr>
        <w:t>People v. Braden</w:t>
      </w:r>
      <w:r w:rsidRPr="00C76FE0" w:rsidR="006D7F9E">
        <w:rPr>
          <w:szCs w:val="26"/>
        </w:rPr>
        <w:t xml:space="preserve">, </w:t>
      </w:r>
      <w:r w:rsidRPr="00C76FE0" w:rsidR="006D7F9E">
        <w:rPr>
          <w:i/>
          <w:iCs/>
          <w:szCs w:val="26"/>
        </w:rPr>
        <w:t>supra</w:t>
      </w:r>
      <w:r w:rsidRPr="00C76FE0" w:rsidR="006D7F9E">
        <w:rPr>
          <w:szCs w:val="26"/>
        </w:rPr>
        <w:t xml:space="preserve">, 14 Cal.5th at p. </w:t>
      </w:r>
      <w:r w:rsidRPr="00F85183" w:rsidR="006D7F9E">
        <w:rPr>
          <w:szCs w:val="26"/>
        </w:rPr>
        <w:t>841 [“</w:t>
      </w:r>
      <w:r w:rsidRPr="00A61C47" w:rsidR="00226489">
        <w:rPr>
          <w:szCs w:val="26"/>
        </w:rPr>
        <w:t> </w:t>
      </w:r>
      <w:r w:rsidRPr="00F85183" w:rsidR="009B42D6">
        <w:rPr>
          <w:szCs w:val="26"/>
        </w:rPr>
        <w:t>‘</w:t>
      </w:r>
      <w:r w:rsidRPr="00A61C47" w:rsidR="00226489">
        <w:rPr>
          <w:szCs w:val="26"/>
        </w:rPr>
        <w:t> </w:t>
      </w:r>
      <w:r w:rsidRPr="00F85183" w:rsidR="005C51D8">
        <w:rPr>
          <w:szCs w:val="26"/>
        </w:rPr>
        <w:t>“</w:t>
      </w:r>
      <w:r w:rsidRPr="00A61C47" w:rsidR="00226489">
        <w:rPr>
          <w:szCs w:val="26"/>
        </w:rPr>
        <w:t> </w:t>
      </w:r>
      <w:r w:rsidRPr="00A61C47" w:rsidR="004D17D9">
        <w:rPr>
          <w:szCs w:val="26"/>
        </w:rPr>
        <w:t>‘</w:t>
      </w:r>
      <w:r w:rsidRPr="00A61C47" w:rsidR="00226489">
        <w:rPr>
          <w:szCs w:val="26"/>
        </w:rPr>
        <w:t> </w:t>
      </w:r>
      <w:r w:rsidRPr="00F85183" w:rsidR="00D15B70">
        <w:rPr>
          <w:szCs w:val="26"/>
        </w:rPr>
        <w:t>“</w:t>
      </w:r>
      <w:r w:rsidRPr="001348B9" w:rsidR="006D7F9E">
        <w:rPr>
          <w:szCs w:val="26"/>
        </w:rPr>
        <w:t>[W]e consider portions of a statute in the context of the entire statute and the statutory scheme of which it is a part, giving significance to every word, phrase, sentence, and part of an act in pursuance of the legislative purpose</w:t>
      </w:r>
      <w:r w:rsidRPr="00F85183" w:rsidR="00670DEF">
        <w:rPr>
          <w:szCs w:val="26"/>
        </w:rPr>
        <w:t>.</w:t>
      </w:r>
      <w:r w:rsidRPr="00F85183" w:rsidR="00311C3E">
        <w:rPr>
          <w:szCs w:val="26"/>
        </w:rPr>
        <w:t>”</w:t>
      </w:r>
      <w:r w:rsidRPr="00A61C47" w:rsidR="00CB75CA">
        <w:rPr>
          <w:szCs w:val="26"/>
        </w:rPr>
        <w:t> </w:t>
      </w:r>
      <w:r w:rsidRPr="00F85183" w:rsidR="00670DEF">
        <w:rPr>
          <w:szCs w:val="26"/>
        </w:rPr>
        <w:t>’</w:t>
      </w:r>
      <w:r w:rsidRPr="00A61C47" w:rsidR="00CB75CA">
        <w:rPr>
          <w:szCs w:val="26"/>
        </w:rPr>
        <w:t> </w:t>
      </w:r>
      <w:r w:rsidRPr="00F85183" w:rsidR="006D7F9E">
        <w:rPr>
          <w:szCs w:val="26"/>
        </w:rPr>
        <w:t>”</w:t>
      </w:r>
      <w:r w:rsidRPr="00A61C47" w:rsidR="00CB75CA">
        <w:rPr>
          <w:szCs w:val="26"/>
        </w:rPr>
        <w:t> </w:t>
      </w:r>
      <w:r w:rsidRPr="00F85183" w:rsidR="00D15B70">
        <w:rPr>
          <w:szCs w:val="26"/>
        </w:rPr>
        <w:t>’</w:t>
      </w:r>
      <w:r w:rsidRPr="00A61C47" w:rsidR="00CB75CA">
        <w:rPr>
          <w:szCs w:val="26"/>
        </w:rPr>
        <w:t> </w:t>
      </w:r>
      <w:r w:rsidRPr="00F85183" w:rsidR="00D15B70">
        <w:rPr>
          <w:szCs w:val="26"/>
        </w:rPr>
        <w:t>”</w:t>
      </w:r>
      <w:r w:rsidRPr="00F85183" w:rsidR="006D7F9E">
        <w:rPr>
          <w:szCs w:val="26"/>
        </w:rPr>
        <w:t>]</w:t>
      </w:r>
      <w:r w:rsidRPr="00F85183" w:rsidR="00A04E11">
        <w:rPr>
          <w:szCs w:val="26"/>
        </w:rPr>
        <w:t>;</w:t>
      </w:r>
      <w:r w:rsidRPr="00C76FE0" w:rsidR="00A04E11">
        <w:rPr>
          <w:szCs w:val="26"/>
        </w:rPr>
        <w:t xml:space="preserve"> </w:t>
      </w:r>
      <w:r w:rsidRPr="00C76FE0" w:rsidR="00A04E11">
        <w:rPr>
          <w:i/>
          <w:iCs/>
          <w:szCs w:val="26"/>
        </w:rPr>
        <w:t>Hartford Casualty Ins. Co.</w:t>
      </w:r>
      <w:r w:rsidRPr="00C76FE0" w:rsidR="00A04E11">
        <w:rPr>
          <w:i/>
        </w:rPr>
        <w:t xml:space="preserve"> v. </w:t>
      </w:r>
      <w:r w:rsidRPr="00C76FE0" w:rsidR="00A04E11">
        <w:rPr>
          <w:i/>
          <w:iCs/>
          <w:szCs w:val="26"/>
        </w:rPr>
        <w:t>Swift Distribution, Inc.</w:t>
      </w:r>
      <w:r w:rsidRPr="00C76FE0" w:rsidR="00A04E11">
        <w:rPr>
          <w:szCs w:val="26"/>
        </w:rPr>
        <w:t>,</w:t>
      </w:r>
      <w:r w:rsidRPr="00C76FE0" w:rsidR="00A04E11">
        <w:rPr>
          <w:i/>
          <w:iCs/>
          <w:szCs w:val="26"/>
        </w:rPr>
        <w:t xml:space="preserve"> supra</w:t>
      </w:r>
      <w:r w:rsidRPr="00C76FE0" w:rsidR="00A04E11">
        <w:rPr>
          <w:szCs w:val="26"/>
        </w:rPr>
        <w:t>, 59 Cal.4th at p. 288 [we interpret the language of a written instrument “in context”].</w:t>
      </w:r>
      <w:r w:rsidRPr="00C76FE0" w:rsidR="006D7F9E">
        <w:rPr>
          <w:szCs w:val="26"/>
        </w:rPr>
        <w:t xml:space="preserve">)  </w:t>
      </w:r>
    </w:p>
    <w:p w:rsidR="00905F81" w:rsidRPr="00C76FE0" w:rsidP="00C76FE0" w14:paraId="2B05F43D" w14:textId="77777777">
      <w:pPr>
        <w:ind w:firstLine="720"/>
        <w:rPr>
          <w:szCs w:val="26"/>
        </w:rPr>
      </w:pPr>
      <w:r w:rsidRPr="00C76FE0">
        <w:rPr>
          <w:szCs w:val="26"/>
        </w:rPr>
        <w:t>We start with the Health Care Decisions Law’s enacted legislative findings.  The Legislature couched the law as recognizing “the dignity and privacy a person has a right to expect” and the “fundamental right to control the decisions relating to [one’s] own health care, including the decision to have life-sustaining treatment withheld or withdrawn.”  (</w:t>
      </w:r>
      <w:r w:rsidR="00306865">
        <w:rPr>
          <w:szCs w:val="26"/>
        </w:rPr>
        <w:t>§ </w:t>
      </w:r>
      <w:r w:rsidRPr="00C76FE0">
        <w:rPr>
          <w:szCs w:val="26"/>
        </w:rPr>
        <w:t>4650, subd. (a).)  The Legislature referenced “</w:t>
      </w:r>
      <w:r w:rsidR="009557A2">
        <w:rPr>
          <w:szCs w:val="26"/>
        </w:rPr>
        <w:t>[</w:t>
      </w:r>
      <w:r w:rsidRPr="00C76FE0">
        <w:rPr>
          <w:szCs w:val="26"/>
        </w:rPr>
        <w:t>m</w:t>
      </w:r>
      <w:r w:rsidR="009557A2">
        <w:rPr>
          <w:szCs w:val="26"/>
        </w:rPr>
        <w:t>]</w:t>
      </w:r>
      <w:r w:rsidRPr="00C76FE0">
        <w:rPr>
          <w:szCs w:val="26"/>
        </w:rPr>
        <w:t>odern medical technology” and the “artificial prolongation of human life” while noting the need to protect “individual autonomy” and the “dignity” of patients facing end of life scenarios.  (</w:t>
      </w:r>
      <w:r w:rsidRPr="00C76FE0">
        <w:rPr>
          <w:i/>
          <w:iCs/>
          <w:szCs w:val="26"/>
        </w:rPr>
        <w:t>Id.</w:t>
      </w:r>
      <w:r w:rsidRPr="00C76FE0">
        <w:rPr>
          <w:szCs w:val="26"/>
        </w:rPr>
        <w:t xml:space="preserve">, subd. (b).)  These findings reflect that the Health Care Decision Law’s roots trace back to California’s pioneering “living will” statute, passed in 1976, and the principle that advanced health care directives are intended to ensure a patient’s consent to medical treatment.  (See Sabatino, </w:t>
      </w:r>
      <w:r w:rsidRPr="00A61C47">
        <w:rPr>
          <w:i/>
          <w:iCs/>
          <w:szCs w:val="26"/>
        </w:rPr>
        <w:t>The Evolution of Health Care Advance Planning Law and Policy</w:t>
      </w:r>
      <w:r w:rsidRPr="00C76FE0">
        <w:rPr>
          <w:szCs w:val="26"/>
        </w:rPr>
        <w:t xml:space="preserve"> (2010) </w:t>
      </w:r>
      <w:r w:rsidR="003D0EC0">
        <w:rPr>
          <w:szCs w:val="26"/>
        </w:rPr>
        <w:t>v</w:t>
      </w:r>
      <w:r w:rsidRPr="00C76FE0">
        <w:rPr>
          <w:szCs w:val="26"/>
        </w:rPr>
        <w:t>ol. 88, No. 2,</w:t>
      </w:r>
      <w:r w:rsidRPr="00B36653" w:rsidR="00B36653">
        <w:rPr>
          <w:szCs w:val="26"/>
        </w:rPr>
        <w:t xml:space="preserve"> </w:t>
      </w:r>
      <w:r w:rsidRPr="00C76FE0" w:rsidR="00B36653">
        <w:rPr>
          <w:szCs w:val="26"/>
        </w:rPr>
        <w:t>16 Millbank Q.,</w:t>
      </w:r>
      <w:r w:rsidRPr="00C76FE0">
        <w:rPr>
          <w:szCs w:val="26"/>
        </w:rPr>
        <w:t xml:space="preserve"> 212–</w:t>
      </w:r>
      <w:r w:rsidR="002B6153">
        <w:rPr>
          <w:szCs w:val="26"/>
        </w:rPr>
        <w:t>2</w:t>
      </w:r>
      <w:r w:rsidRPr="00C76FE0">
        <w:rPr>
          <w:szCs w:val="26"/>
        </w:rPr>
        <w:t xml:space="preserve">14.)  </w:t>
      </w:r>
      <w:r w:rsidRPr="00C76FE0" w:rsidR="00B3114D">
        <w:rPr>
          <w:szCs w:val="26"/>
        </w:rPr>
        <w:t>T</w:t>
      </w:r>
      <w:r w:rsidRPr="00C76FE0" w:rsidR="00B343DE">
        <w:rPr>
          <w:szCs w:val="26"/>
        </w:rPr>
        <w:t xml:space="preserve">hese findings </w:t>
      </w:r>
      <w:r w:rsidRPr="00C76FE0">
        <w:rPr>
          <w:szCs w:val="26"/>
        </w:rPr>
        <w:t xml:space="preserve">also </w:t>
      </w:r>
      <w:r w:rsidRPr="00C76FE0" w:rsidR="006277CF">
        <w:rPr>
          <w:szCs w:val="26"/>
        </w:rPr>
        <w:t xml:space="preserve">align with </w:t>
      </w:r>
      <w:r w:rsidRPr="00C76FE0">
        <w:rPr>
          <w:szCs w:val="26"/>
        </w:rPr>
        <w:t xml:space="preserve">a view </w:t>
      </w:r>
      <w:r w:rsidRPr="00C76FE0" w:rsidR="006277CF">
        <w:rPr>
          <w:szCs w:val="26"/>
        </w:rPr>
        <w:t xml:space="preserve">of </w:t>
      </w:r>
      <w:r w:rsidRPr="00C76FE0">
        <w:rPr>
          <w:szCs w:val="26"/>
        </w:rPr>
        <w:t xml:space="preserve">health care decisions </w:t>
      </w:r>
      <w:r w:rsidRPr="00C76FE0" w:rsidR="006277CF">
        <w:rPr>
          <w:szCs w:val="26"/>
        </w:rPr>
        <w:t xml:space="preserve">as </w:t>
      </w:r>
      <w:r w:rsidR="00493171">
        <w:rPr>
          <w:szCs w:val="26"/>
        </w:rPr>
        <w:t>personal</w:t>
      </w:r>
      <w:r w:rsidRPr="00C76FE0">
        <w:rPr>
          <w:szCs w:val="26"/>
        </w:rPr>
        <w:t>, private, and about treatment</w:t>
      </w:r>
      <w:r w:rsidRPr="00C76FE0" w:rsidR="00B3114D">
        <w:rPr>
          <w:szCs w:val="26"/>
        </w:rPr>
        <w:t>.</w:t>
      </w:r>
      <w:r w:rsidRPr="00C76FE0">
        <w:rPr>
          <w:szCs w:val="26"/>
        </w:rPr>
        <w:t xml:space="preserve"> </w:t>
      </w:r>
      <w:r w:rsidRPr="00C76FE0" w:rsidR="00B3114D">
        <w:rPr>
          <w:szCs w:val="26"/>
        </w:rPr>
        <w:t xml:space="preserve"> This </w:t>
      </w:r>
      <w:r w:rsidRPr="00C76FE0">
        <w:rPr>
          <w:szCs w:val="26"/>
        </w:rPr>
        <w:t xml:space="preserve">tends to suggest that </w:t>
      </w:r>
      <w:r w:rsidRPr="00C76FE0" w:rsidR="006277CF">
        <w:rPr>
          <w:szCs w:val="26"/>
        </w:rPr>
        <w:t xml:space="preserve">neither the Legislature nor Logan would have viewed </w:t>
      </w:r>
      <w:r w:rsidRPr="00C76FE0">
        <w:rPr>
          <w:szCs w:val="26"/>
        </w:rPr>
        <w:t>decisions</w:t>
      </w:r>
      <w:r w:rsidRPr="00C76FE0" w:rsidR="006277CF">
        <w:rPr>
          <w:szCs w:val="26"/>
        </w:rPr>
        <w:t xml:space="preserve"> well beyond this ambit</w:t>
      </w:r>
      <w:r w:rsidR="00306865">
        <w:rPr>
          <w:szCs w:val="26"/>
        </w:rPr>
        <w:t> —</w:t>
      </w:r>
      <w:r w:rsidRPr="00C76FE0" w:rsidR="002414DC">
        <w:rPr>
          <w:szCs w:val="26"/>
        </w:rPr>
        <w:t xml:space="preserve"> such as </w:t>
      </w:r>
      <w:r w:rsidRPr="00C76FE0" w:rsidR="006277CF">
        <w:rPr>
          <w:szCs w:val="26"/>
        </w:rPr>
        <w:t xml:space="preserve">whether to select </w:t>
      </w:r>
      <w:r w:rsidRPr="00C76FE0" w:rsidR="006C64B5">
        <w:rPr>
          <w:szCs w:val="26"/>
        </w:rPr>
        <w:t xml:space="preserve">optional </w:t>
      </w:r>
      <w:r w:rsidRPr="00C76FE0">
        <w:rPr>
          <w:szCs w:val="26"/>
        </w:rPr>
        <w:t>arbitration</w:t>
      </w:r>
      <w:r w:rsidR="00306865">
        <w:rPr>
          <w:szCs w:val="26"/>
        </w:rPr>
        <w:t> —</w:t>
      </w:r>
      <w:r w:rsidRPr="00C76FE0">
        <w:rPr>
          <w:szCs w:val="26"/>
        </w:rPr>
        <w:t xml:space="preserve"> </w:t>
      </w:r>
      <w:r w:rsidRPr="00C76FE0" w:rsidR="006277CF">
        <w:rPr>
          <w:szCs w:val="26"/>
        </w:rPr>
        <w:t>as health care decisions</w:t>
      </w:r>
      <w:r w:rsidRPr="00C76FE0" w:rsidR="002414DC">
        <w:rPr>
          <w:szCs w:val="26"/>
        </w:rPr>
        <w:t>.</w:t>
      </w:r>
      <w:r w:rsidRPr="00C76FE0" w:rsidR="0036609D">
        <w:rPr>
          <w:szCs w:val="26"/>
        </w:rPr>
        <w:t xml:space="preserve"> </w:t>
      </w:r>
    </w:p>
    <w:p w:rsidR="002A673B" w:rsidRPr="00C76FE0" w:rsidP="00C76FE0" w14:paraId="2B05F43E" w14:textId="77777777">
      <w:pPr>
        <w:ind w:firstLine="720"/>
        <w:rPr>
          <w:szCs w:val="26"/>
        </w:rPr>
      </w:pPr>
      <w:r w:rsidRPr="00C76FE0">
        <w:rPr>
          <w:szCs w:val="26"/>
        </w:rPr>
        <w:t>In addition, e</w:t>
      </w:r>
      <w:r w:rsidRPr="00C76FE0" w:rsidR="00905F81">
        <w:rPr>
          <w:szCs w:val="26"/>
        </w:rPr>
        <w:t xml:space="preserve">xplanatory language within the Health Care Decisions Law’s </w:t>
      </w:r>
      <w:r w:rsidRPr="00C76FE0" w:rsidR="0003335A">
        <w:rPr>
          <w:szCs w:val="26"/>
        </w:rPr>
        <w:t xml:space="preserve">optional form </w:t>
      </w:r>
      <w:r w:rsidRPr="00C76FE0" w:rsidR="00905F81">
        <w:rPr>
          <w:szCs w:val="26"/>
        </w:rPr>
        <w:t xml:space="preserve">for </w:t>
      </w:r>
      <w:r w:rsidRPr="00C76FE0" w:rsidR="002114DA">
        <w:rPr>
          <w:szCs w:val="26"/>
        </w:rPr>
        <w:t>advance health care directive</w:t>
      </w:r>
      <w:r w:rsidRPr="00C76FE0" w:rsidR="00355B54">
        <w:rPr>
          <w:szCs w:val="26"/>
        </w:rPr>
        <w:t>s</w:t>
      </w:r>
      <w:r w:rsidRPr="00C76FE0" w:rsidR="00905F81">
        <w:rPr>
          <w:szCs w:val="26"/>
        </w:rPr>
        <w:t xml:space="preserve"> and within Logan’s power of attorney both </w:t>
      </w:r>
      <w:r w:rsidRPr="00C76FE0" w:rsidR="00355B54">
        <w:rPr>
          <w:szCs w:val="26"/>
        </w:rPr>
        <w:t>point in the same direction as the legislative findings.</w:t>
      </w:r>
      <w:r w:rsidRPr="00C76FE0" w:rsidR="00905F81">
        <w:rPr>
          <w:szCs w:val="26"/>
        </w:rPr>
        <w:t xml:space="preserve">  </w:t>
      </w:r>
      <w:r w:rsidRPr="00C76FE0" w:rsidR="002114DA">
        <w:rPr>
          <w:szCs w:val="26"/>
        </w:rPr>
        <w:t xml:space="preserve">The statutory form begins </w:t>
      </w:r>
      <w:r w:rsidRPr="00C76FE0" w:rsidR="00254E8B">
        <w:rPr>
          <w:szCs w:val="26"/>
        </w:rPr>
        <w:t xml:space="preserve">by explaining to the </w:t>
      </w:r>
      <w:r w:rsidRPr="00C76FE0" w:rsidR="007B4560">
        <w:rPr>
          <w:szCs w:val="26"/>
        </w:rPr>
        <w:t>potential principal</w:t>
      </w:r>
      <w:r w:rsidRPr="00C76FE0" w:rsidR="00254E8B">
        <w:rPr>
          <w:szCs w:val="26"/>
        </w:rPr>
        <w:t xml:space="preserve">, </w:t>
      </w:r>
      <w:r w:rsidRPr="00C76FE0" w:rsidR="002114DA">
        <w:rPr>
          <w:szCs w:val="26"/>
        </w:rPr>
        <w:t xml:space="preserve">“You have the right to give instructions about your own physical and mental health care.  You also have the right to name someone else to make those health care decisions for you.  This form lets you do either or both of these things. </w:t>
      </w:r>
      <w:r w:rsidRPr="00C76FE0">
        <w:rPr>
          <w:szCs w:val="26"/>
        </w:rPr>
        <w:t xml:space="preserve"> </w:t>
      </w:r>
      <w:r w:rsidRPr="00C76FE0" w:rsidR="002114DA">
        <w:rPr>
          <w:szCs w:val="26"/>
        </w:rPr>
        <w:t>It also lets you express your wishes regarding donation of organs and the designation of your primary physician.”  (</w:t>
      </w:r>
      <w:r w:rsidR="00306865">
        <w:rPr>
          <w:szCs w:val="26"/>
        </w:rPr>
        <w:t>§ </w:t>
      </w:r>
      <w:r w:rsidRPr="00C76FE0" w:rsidR="002114DA">
        <w:rPr>
          <w:szCs w:val="26"/>
        </w:rPr>
        <w:t>4701.)</w:t>
      </w:r>
      <w:r w:rsidRPr="00C76FE0" w:rsidR="00FC4966">
        <w:rPr>
          <w:szCs w:val="26"/>
        </w:rPr>
        <w:t xml:space="preserve">  </w:t>
      </w:r>
      <w:r w:rsidRPr="00C76FE0" w:rsidR="00E277F6">
        <w:rPr>
          <w:szCs w:val="26"/>
        </w:rPr>
        <w:t xml:space="preserve">The form goes on to </w:t>
      </w:r>
      <w:r w:rsidRPr="00C76FE0" w:rsidR="00A82A1E">
        <w:rPr>
          <w:szCs w:val="26"/>
        </w:rPr>
        <w:t xml:space="preserve">state that an agent whose health care </w:t>
      </w:r>
      <w:r w:rsidRPr="00C76FE0" w:rsidR="00772281">
        <w:rPr>
          <w:szCs w:val="26"/>
        </w:rPr>
        <w:t>decisionmaking</w:t>
      </w:r>
      <w:r w:rsidRPr="00C76FE0" w:rsidR="00A82A1E">
        <w:rPr>
          <w:szCs w:val="26"/>
        </w:rPr>
        <w:t xml:space="preserve"> power is not otherwise limited </w:t>
      </w:r>
      <w:r w:rsidRPr="00C76FE0" w:rsidR="00254E8B">
        <w:rPr>
          <w:szCs w:val="26"/>
        </w:rPr>
        <w:t xml:space="preserve">may </w:t>
      </w:r>
      <w:r w:rsidRPr="00C76FE0" w:rsidR="00A82A1E">
        <w:rPr>
          <w:szCs w:val="26"/>
        </w:rPr>
        <w:t xml:space="preserve">make decisions about health care </w:t>
      </w:r>
      <w:r w:rsidRPr="00C76FE0" w:rsidR="009D764D">
        <w:rPr>
          <w:szCs w:val="26"/>
        </w:rPr>
        <w:t>and about disposition of remains and autopsies after death</w:t>
      </w:r>
      <w:r w:rsidRPr="00C76FE0" w:rsidR="00A82A1E">
        <w:rPr>
          <w:szCs w:val="26"/>
        </w:rPr>
        <w:t>, mirroring the language of section</w:t>
      </w:r>
      <w:r w:rsidR="00A12078">
        <w:rPr>
          <w:szCs w:val="26"/>
        </w:rPr>
        <w:t>s</w:t>
      </w:r>
      <w:r w:rsidRPr="00C76FE0" w:rsidR="00A82A1E">
        <w:rPr>
          <w:szCs w:val="26"/>
        </w:rPr>
        <w:t xml:space="preserve"> 4617 and 4683.  (</w:t>
      </w:r>
      <w:r w:rsidR="00306865">
        <w:rPr>
          <w:szCs w:val="26"/>
        </w:rPr>
        <w:t>§ </w:t>
      </w:r>
      <w:r w:rsidRPr="00C76FE0" w:rsidR="00A82A1E">
        <w:rPr>
          <w:szCs w:val="26"/>
        </w:rPr>
        <w:t xml:space="preserve">4701.)  The </w:t>
      </w:r>
      <w:r w:rsidRPr="00C76FE0" w:rsidR="00254E8B">
        <w:rPr>
          <w:szCs w:val="26"/>
        </w:rPr>
        <w:t xml:space="preserve">form’s </w:t>
      </w:r>
      <w:r w:rsidRPr="00C76FE0" w:rsidR="00A82A1E">
        <w:rPr>
          <w:szCs w:val="26"/>
        </w:rPr>
        <w:t xml:space="preserve">actual grant of health care </w:t>
      </w:r>
      <w:r w:rsidRPr="00C76FE0" w:rsidR="00772281">
        <w:rPr>
          <w:szCs w:val="26"/>
        </w:rPr>
        <w:t>decisionmaking</w:t>
      </w:r>
      <w:r w:rsidRPr="00C76FE0" w:rsidR="00A82A1E">
        <w:rPr>
          <w:szCs w:val="26"/>
        </w:rPr>
        <w:t xml:space="preserve"> authority </w:t>
      </w:r>
      <w:r w:rsidRPr="00C76FE0" w:rsidR="00037B4E">
        <w:rPr>
          <w:szCs w:val="26"/>
        </w:rPr>
        <w:t>states</w:t>
      </w:r>
      <w:r w:rsidRPr="00C76FE0" w:rsidR="00254E8B">
        <w:rPr>
          <w:szCs w:val="26"/>
        </w:rPr>
        <w:t>,</w:t>
      </w:r>
      <w:r w:rsidRPr="00C76FE0" w:rsidR="00037B4E">
        <w:rPr>
          <w:szCs w:val="26"/>
        </w:rPr>
        <w:t xml:space="preserve"> “My agent is authorized to make all physical and mental health care decisions for me, including decisions to provide, withhold, or withdraw artificial nutrition and hydration and all other forms of health care to keep me alive, except as I state here:”  (</w:t>
      </w:r>
      <w:r w:rsidRPr="00A61C47" w:rsidR="00A61C47">
        <w:rPr>
          <w:i/>
          <w:iCs/>
          <w:szCs w:val="26"/>
        </w:rPr>
        <w:t>Ibid</w:t>
      </w:r>
      <w:r w:rsidRPr="00A61C47" w:rsidR="00037B4E">
        <w:rPr>
          <w:i/>
          <w:iCs/>
          <w:szCs w:val="26"/>
        </w:rPr>
        <w:t>.</w:t>
      </w:r>
      <w:r w:rsidRPr="00C76FE0" w:rsidR="00037B4E">
        <w:rPr>
          <w:szCs w:val="26"/>
        </w:rPr>
        <w:t xml:space="preserve">)  </w:t>
      </w:r>
      <w:r w:rsidRPr="00C76FE0">
        <w:rPr>
          <w:szCs w:val="26"/>
        </w:rPr>
        <w:t xml:space="preserve">The </w:t>
      </w:r>
      <w:r w:rsidRPr="00C76FE0" w:rsidR="00A41A95">
        <w:rPr>
          <w:szCs w:val="26"/>
        </w:rPr>
        <w:t xml:space="preserve">form </w:t>
      </w:r>
      <w:r w:rsidR="00A61C47">
        <w:rPr>
          <w:szCs w:val="26"/>
        </w:rPr>
        <w:t xml:space="preserve">thus </w:t>
      </w:r>
      <w:r w:rsidRPr="00C76FE0" w:rsidR="00534B01">
        <w:rPr>
          <w:szCs w:val="26"/>
        </w:rPr>
        <w:t>equates health care decisions with</w:t>
      </w:r>
      <w:r w:rsidRPr="00C76FE0" w:rsidR="00A41A95">
        <w:rPr>
          <w:szCs w:val="26"/>
        </w:rPr>
        <w:t xml:space="preserve"> </w:t>
      </w:r>
      <w:r w:rsidRPr="00C76FE0" w:rsidR="00534B01">
        <w:rPr>
          <w:szCs w:val="26"/>
        </w:rPr>
        <w:t>“instructions about [the principal’s] physical and mental health care</w:t>
      </w:r>
      <w:r w:rsidRPr="00C76FE0" w:rsidR="001B3C7F">
        <w:rPr>
          <w:szCs w:val="26"/>
        </w:rPr>
        <w:t>.</w:t>
      </w:r>
      <w:r w:rsidRPr="00C76FE0" w:rsidR="00534B01">
        <w:rPr>
          <w:szCs w:val="26"/>
        </w:rPr>
        <w:t>”</w:t>
      </w:r>
      <w:r w:rsidRPr="00C76FE0" w:rsidR="001B3C7F">
        <w:rPr>
          <w:szCs w:val="26"/>
        </w:rPr>
        <w:t xml:space="preserve">  </w:t>
      </w:r>
      <w:r w:rsidRPr="00C76FE0" w:rsidR="00905F81">
        <w:rPr>
          <w:rFonts w:cstheme="minorHAnsi"/>
          <w:szCs w:val="26"/>
        </w:rPr>
        <w:t>The California Medical Association form that Logan used contained similarly limited explanatory language</w:t>
      </w:r>
      <w:r w:rsidR="009074F0">
        <w:rPr>
          <w:rFonts w:cstheme="minorHAnsi"/>
          <w:szCs w:val="26"/>
        </w:rPr>
        <w:t>:</w:t>
      </w:r>
      <w:r w:rsidRPr="00C76FE0" w:rsidR="00905F81">
        <w:rPr>
          <w:rFonts w:cstheme="minorHAnsi"/>
          <w:szCs w:val="26"/>
        </w:rPr>
        <w:t xml:space="preserve">  “This form lets you give instructions about your future health care.</w:t>
      </w:r>
      <w:r w:rsidR="009074F0">
        <w:t> . . .</w:t>
      </w:r>
      <w:r w:rsidRPr="00C76FE0" w:rsidR="00905F81">
        <w:rPr>
          <w:rFonts w:cstheme="minorHAnsi"/>
          <w:szCs w:val="26"/>
        </w:rPr>
        <w:t xml:space="preserve">  Your agent must make health care decisions that are consistent with the instructions in this document and your known desires.  It is important that you discuss your health care desires with the person(s) you appoint as your health care agent, and with your doctor(s).”  </w:t>
      </w:r>
      <w:r w:rsidRPr="00C76FE0" w:rsidR="00A93ECF">
        <w:rPr>
          <w:szCs w:val="26"/>
        </w:rPr>
        <w:t>Notably a</w:t>
      </w:r>
      <w:r w:rsidRPr="00C76FE0" w:rsidR="00920AA5">
        <w:rPr>
          <w:szCs w:val="26"/>
        </w:rPr>
        <w:t xml:space="preserve">bsent from the form </w:t>
      </w:r>
      <w:r w:rsidRPr="00C76FE0" w:rsidR="00905F81">
        <w:rPr>
          <w:szCs w:val="26"/>
        </w:rPr>
        <w:t xml:space="preserve">and Logan’s power of attorney </w:t>
      </w:r>
      <w:r w:rsidRPr="00C76FE0" w:rsidR="00920AA5">
        <w:rPr>
          <w:szCs w:val="26"/>
        </w:rPr>
        <w:t>is a</w:t>
      </w:r>
      <w:r w:rsidRPr="00C76FE0" w:rsidR="00C8334A">
        <w:rPr>
          <w:szCs w:val="26"/>
        </w:rPr>
        <w:t>ny</w:t>
      </w:r>
      <w:r w:rsidRPr="00C76FE0" w:rsidR="00920AA5">
        <w:rPr>
          <w:szCs w:val="26"/>
        </w:rPr>
        <w:t xml:space="preserve"> </w:t>
      </w:r>
      <w:r w:rsidRPr="00C76FE0" w:rsidR="00FC4966">
        <w:rPr>
          <w:szCs w:val="26"/>
        </w:rPr>
        <w:t xml:space="preserve">suggestion that </w:t>
      </w:r>
      <w:r w:rsidRPr="00C76FE0">
        <w:rPr>
          <w:szCs w:val="26"/>
        </w:rPr>
        <w:t xml:space="preserve">an appointed health care agent </w:t>
      </w:r>
      <w:r w:rsidRPr="00C76FE0" w:rsidR="00920AA5">
        <w:rPr>
          <w:szCs w:val="26"/>
        </w:rPr>
        <w:t xml:space="preserve">is authorized to </w:t>
      </w:r>
      <w:r w:rsidRPr="00C76FE0">
        <w:rPr>
          <w:szCs w:val="26"/>
        </w:rPr>
        <w:t xml:space="preserve">make </w:t>
      </w:r>
      <w:r w:rsidRPr="00C76FE0" w:rsidR="00842097">
        <w:rPr>
          <w:szCs w:val="26"/>
        </w:rPr>
        <w:t>decisions</w:t>
      </w:r>
      <w:r w:rsidRPr="00C76FE0">
        <w:rPr>
          <w:szCs w:val="26"/>
        </w:rPr>
        <w:t xml:space="preserve"> </w:t>
      </w:r>
      <w:r w:rsidRPr="00C76FE0" w:rsidR="00842097">
        <w:rPr>
          <w:szCs w:val="26"/>
        </w:rPr>
        <w:t xml:space="preserve">concerning </w:t>
      </w:r>
      <w:r w:rsidRPr="00C76FE0" w:rsidR="00FC4966">
        <w:rPr>
          <w:szCs w:val="26"/>
        </w:rPr>
        <w:t>dispute resolution</w:t>
      </w:r>
      <w:r w:rsidRPr="00C76FE0" w:rsidR="00920AA5">
        <w:rPr>
          <w:szCs w:val="26"/>
        </w:rPr>
        <w:t>.</w:t>
      </w:r>
      <w:r w:rsidRPr="00C76FE0" w:rsidR="00842097">
        <w:rPr>
          <w:szCs w:val="26"/>
        </w:rPr>
        <w:t xml:space="preserve"> </w:t>
      </w:r>
    </w:p>
    <w:p w:rsidR="002A673B" w:rsidRPr="00C76FE0" w:rsidP="00C76FE0" w14:paraId="2B05F43F" w14:textId="77777777">
      <w:pPr>
        <w:ind w:firstLine="720"/>
        <w:rPr>
          <w:szCs w:val="26"/>
        </w:rPr>
      </w:pPr>
      <w:r w:rsidRPr="00C76FE0">
        <w:rPr>
          <w:szCs w:val="26"/>
        </w:rPr>
        <w:t>In assessing what a health care decision includes, it is also helpful to consider</w:t>
      </w:r>
      <w:r w:rsidRPr="00C76FE0" w:rsidR="00D04C08">
        <w:rPr>
          <w:szCs w:val="26"/>
        </w:rPr>
        <w:t> </w:t>
      </w:r>
      <w:r w:rsidRPr="00C76FE0" w:rsidR="004C2D66">
        <w:rPr>
          <w:szCs w:val="26"/>
        </w:rPr>
        <w:t xml:space="preserve">what the Legislature appears to have viewed as </w:t>
      </w:r>
      <w:r w:rsidRPr="00C76FE0" w:rsidR="004C2D66">
        <w:rPr>
          <w:i/>
          <w:iCs/>
          <w:szCs w:val="26"/>
        </w:rPr>
        <w:t>not</w:t>
      </w:r>
      <w:r w:rsidRPr="00C76FE0" w:rsidR="004C2D66">
        <w:rPr>
          <w:szCs w:val="26"/>
        </w:rPr>
        <w:t xml:space="preserve"> amounting to </w:t>
      </w:r>
      <w:r w:rsidRPr="00C76FE0">
        <w:rPr>
          <w:szCs w:val="26"/>
        </w:rPr>
        <w:t xml:space="preserve">such </w:t>
      </w:r>
      <w:r w:rsidRPr="00C76FE0" w:rsidR="004C2D66">
        <w:rPr>
          <w:szCs w:val="26"/>
        </w:rPr>
        <w:t xml:space="preserve">decisions.  </w:t>
      </w:r>
      <w:r w:rsidRPr="00C76FE0" w:rsidR="00DC2B93">
        <w:rPr>
          <w:szCs w:val="26"/>
        </w:rPr>
        <w:t xml:space="preserve">For example, </w:t>
      </w:r>
      <w:r w:rsidRPr="00C76FE0" w:rsidR="00E90A75">
        <w:rPr>
          <w:szCs w:val="26"/>
        </w:rPr>
        <w:t xml:space="preserve">the </w:t>
      </w:r>
      <w:r w:rsidRPr="00C76FE0" w:rsidR="00DC0921">
        <w:rPr>
          <w:szCs w:val="26"/>
        </w:rPr>
        <w:t xml:space="preserve">Health Care Decisions Law distinguishes health care decisions </w:t>
      </w:r>
      <w:r w:rsidRPr="00C76FE0" w:rsidR="000A32D9">
        <w:rPr>
          <w:szCs w:val="26"/>
        </w:rPr>
        <w:t xml:space="preserve">(see </w:t>
      </w:r>
      <w:r w:rsidR="00306865">
        <w:rPr>
          <w:szCs w:val="26"/>
        </w:rPr>
        <w:t>§ </w:t>
      </w:r>
      <w:r w:rsidRPr="00C76FE0" w:rsidR="000A32D9">
        <w:rPr>
          <w:szCs w:val="26"/>
        </w:rPr>
        <w:t xml:space="preserve">4617) </w:t>
      </w:r>
      <w:r w:rsidRPr="00C76FE0" w:rsidR="006E63FF">
        <w:rPr>
          <w:szCs w:val="26"/>
        </w:rPr>
        <w:t>from “decisions relating to personal care</w:t>
      </w:r>
      <w:r w:rsidRPr="00C76FE0" w:rsidR="001352E9">
        <w:rPr>
          <w:szCs w:val="26"/>
        </w:rPr>
        <w:t>,</w:t>
      </w:r>
      <w:r w:rsidRPr="00C76FE0" w:rsidR="006E63FF">
        <w:rPr>
          <w:szCs w:val="26"/>
        </w:rPr>
        <w:t>”</w:t>
      </w:r>
      <w:r w:rsidRPr="00C76FE0" w:rsidR="001352E9">
        <w:rPr>
          <w:szCs w:val="26"/>
        </w:rPr>
        <w:t xml:space="preserve"> which a principal may optionally delegate</w:t>
      </w:r>
      <w:r w:rsidRPr="00C76FE0">
        <w:rPr>
          <w:szCs w:val="26"/>
        </w:rPr>
        <w:t xml:space="preserve"> in a power of attorney for health care</w:t>
      </w:r>
      <w:r w:rsidRPr="00C76FE0" w:rsidR="00296B49">
        <w:rPr>
          <w:szCs w:val="26"/>
        </w:rPr>
        <w:t xml:space="preserve"> (</w:t>
      </w:r>
      <w:r w:rsidR="00306865">
        <w:rPr>
          <w:szCs w:val="26"/>
        </w:rPr>
        <w:t>§ </w:t>
      </w:r>
      <w:r w:rsidRPr="00C76FE0" w:rsidR="00296B49">
        <w:rPr>
          <w:szCs w:val="26"/>
        </w:rPr>
        <w:t>4671, subd. (b))</w:t>
      </w:r>
      <w:r w:rsidRPr="00C76FE0">
        <w:rPr>
          <w:szCs w:val="26"/>
        </w:rPr>
        <w:t xml:space="preserve">.  </w:t>
      </w:r>
      <w:r w:rsidRPr="00C76FE0" w:rsidR="00296B49">
        <w:rPr>
          <w:szCs w:val="26"/>
        </w:rPr>
        <w:t xml:space="preserve">Personal care decisions include </w:t>
      </w:r>
      <w:r w:rsidRPr="00C76FE0" w:rsidR="006E63FF">
        <w:rPr>
          <w:szCs w:val="26"/>
        </w:rPr>
        <w:t>“determining where the principal will live, providing meals, hiring household employees, providing transportation, handling mail, and arranging recreation and entertainment</w:t>
      </w:r>
      <w:r w:rsidRPr="00C76FE0" w:rsidR="00296B49">
        <w:rPr>
          <w:szCs w:val="26"/>
        </w:rPr>
        <w:t>.</w:t>
      </w:r>
      <w:r w:rsidRPr="00C76FE0" w:rsidR="006E63FF">
        <w:rPr>
          <w:szCs w:val="26"/>
        </w:rPr>
        <w:t xml:space="preserve">” </w:t>
      </w:r>
      <w:r w:rsidRPr="00C76FE0" w:rsidR="00296B49">
        <w:rPr>
          <w:szCs w:val="26"/>
        </w:rPr>
        <w:t xml:space="preserve"> </w:t>
      </w:r>
      <w:r w:rsidRPr="00C76FE0" w:rsidR="006E63FF">
        <w:rPr>
          <w:szCs w:val="26"/>
        </w:rPr>
        <w:t>(</w:t>
      </w:r>
      <w:r w:rsidRPr="00A61C47" w:rsidR="00A61C47">
        <w:rPr>
          <w:i/>
          <w:iCs/>
          <w:szCs w:val="26"/>
        </w:rPr>
        <w:t>Ibid.</w:t>
      </w:r>
      <w:r w:rsidRPr="00C76FE0" w:rsidR="001352E9">
        <w:rPr>
          <w:szCs w:val="26"/>
        </w:rPr>
        <w:t>)</w:t>
      </w:r>
      <w:r w:rsidRPr="00C76FE0" w:rsidR="006E63FF">
        <w:rPr>
          <w:szCs w:val="26"/>
        </w:rPr>
        <w:t xml:space="preserve">  The statute further contrasts the making of health care decisions with the nomination of a conservator of the person or estate.  (</w:t>
      </w:r>
      <w:r w:rsidR="00306865">
        <w:rPr>
          <w:szCs w:val="26"/>
        </w:rPr>
        <w:t>§ </w:t>
      </w:r>
      <w:r w:rsidRPr="00C76FE0" w:rsidR="006E63FF">
        <w:rPr>
          <w:szCs w:val="26"/>
        </w:rPr>
        <w:t>4672</w:t>
      </w:r>
      <w:r w:rsidRPr="00C76FE0" w:rsidR="004355FF">
        <w:rPr>
          <w:szCs w:val="26"/>
        </w:rPr>
        <w:t>.</w:t>
      </w:r>
      <w:r w:rsidRPr="00C76FE0" w:rsidR="006E63FF">
        <w:rPr>
          <w:szCs w:val="26"/>
        </w:rPr>
        <w:t xml:space="preserve">)  And </w:t>
      </w:r>
      <w:r w:rsidRPr="00C76FE0" w:rsidR="00E17081">
        <w:rPr>
          <w:szCs w:val="26"/>
        </w:rPr>
        <w:t xml:space="preserve">although </w:t>
      </w:r>
      <w:r w:rsidRPr="00C76FE0" w:rsidR="006E63FF">
        <w:rPr>
          <w:szCs w:val="26"/>
        </w:rPr>
        <w:t>a power of attorney for health care</w:t>
      </w:r>
      <w:r w:rsidRPr="00C76FE0" w:rsidR="00E17081">
        <w:rPr>
          <w:szCs w:val="26"/>
        </w:rPr>
        <w:t xml:space="preserve"> may</w:t>
      </w:r>
      <w:r w:rsidRPr="00C76FE0" w:rsidR="00F20E5C">
        <w:rPr>
          <w:szCs w:val="26"/>
        </w:rPr>
        <w:t>, as Logan’s does,</w:t>
      </w:r>
      <w:r w:rsidRPr="00C76FE0" w:rsidR="006E63FF">
        <w:rPr>
          <w:szCs w:val="26"/>
        </w:rPr>
        <w:t xml:space="preserve"> permit an agent to make “decisions that may be effective after the principal’s death”</w:t>
      </w:r>
      <w:r w:rsidR="00306865">
        <w:rPr>
          <w:szCs w:val="26"/>
        </w:rPr>
        <w:t> —</w:t>
      </w:r>
      <w:r w:rsidRPr="00C76FE0" w:rsidR="00E17081">
        <w:rPr>
          <w:szCs w:val="26"/>
        </w:rPr>
        <w:t xml:space="preserve"> </w:t>
      </w:r>
      <w:r w:rsidRPr="00C76FE0" w:rsidR="006E63FF">
        <w:rPr>
          <w:szCs w:val="26"/>
        </w:rPr>
        <w:t>including directing the disposition of remains, an autopsy, or the release of records</w:t>
      </w:r>
      <w:r w:rsidR="00306865">
        <w:rPr>
          <w:szCs w:val="26"/>
        </w:rPr>
        <w:t> —</w:t>
      </w:r>
      <w:r w:rsidRPr="00C76FE0" w:rsidR="00E17081">
        <w:rPr>
          <w:szCs w:val="26"/>
        </w:rPr>
        <w:t xml:space="preserve"> </w:t>
      </w:r>
      <w:r w:rsidRPr="00C76FE0" w:rsidR="006E63FF">
        <w:rPr>
          <w:szCs w:val="26"/>
        </w:rPr>
        <w:t>these decisions</w:t>
      </w:r>
      <w:r w:rsidRPr="00C76FE0" w:rsidR="000A32D9">
        <w:rPr>
          <w:szCs w:val="26"/>
        </w:rPr>
        <w:t>, too,</w:t>
      </w:r>
      <w:r w:rsidRPr="00C76FE0" w:rsidR="006E63FF">
        <w:rPr>
          <w:szCs w:val="26"/>
        </w:rPr>
        <w:t xml:space="preserve"> are set forth outside the statutory definition of health care</w:t>
      </w:r>
      <w:r w:rsidRPr="00C76FE0" w:rsidR="00DA27AB">
        <w:rPr>
          <w:szCs w:val="26"/>
        </w:rPr>
        <w:t xml:space="preserve"> decisions</w:t>
      </w:r>
      <w:r w:rsidRPr="00C76FE0" w:rsidR="006E63FF">
        <w:rPr>
          <w:szCs w:val="26"/>
        </w:rPr>
        <w:t>.  (</w:t>
      </w:r>
      <w:r w:rsidR="00306865">
        <w:rPr>
          <w:szCs w:val="26"/>
        </w:rPr>
        <w:t>§ </w:t>
      </w:r>
      <w:r w:rsidRPr="00C76FE0" w:rsidR="00DA27AB">
        <w:rPr>
          <w:szCs w:val="26"/>
        </w:rPr>
        <w:t>4617; see §</w:t>
      </w:r>
      <w:r w:rsidR="00306865">
        <w:rPr>
          <w:szCs w:val="26"/>
        </w:rPr>
        <w:t>§ </w:t>
      </w:r>
      <w:r w:rsidRPr="00C76FE0" w:rsidR="006E63FF">
        <w:rPr>
          <w:szCs w:val="26"/>
        </w:rPr>
        <w:t>4678</w:t>
      </w:r>
      <w:r w:rsidRPr="00C76FE0" w:rsidR="00DA27AB">
        <w:rPr>
          <w:szCs w:val="26"/>
        </w:rPr>
        <w:t>, 4683</w:t>
      </w:r>
      <w:r w:rsidRPr="00C76FE0" w:rsidR="006E63FF">
        <w:rPr>
          <w:szCs w:val="26"/>
        </w:rPr>
        <w:t xml:space="preserve">.)  That the Health Care Decisions Law </w:t>
      </w:r>
      <w:r w:rsidRPr="00C76FE0" w:rsidR="00675892">
        <w:rPr>
          <w:szCs w:val="26"/>
        </w:rPr>
        <w:t xml:space="preserve">specifically </w:t>
      </w:r>
      <w:r w:rsidRPr="00C76FE0" w:rsidR="00995C79">
        <w:rPr>
          <w:szCs w:val="26"/>
        </w:rPr>
        <w:t xml:space="preserve">permits delegation of </w:t>
      </w:r>
      <w:r w:rsidRPr="00C76FE0" w:rsidR="006E63FF">
        <w:rPr>
          <w:szCs w:val="26"/>
        </w:rPr>
        <w:t xml:space="preserve">some </w:t>
      </w:r>
      <w:r w:rsidRPr="00C76FE0" w:rsidR="004E76E7">
        <w:rPr>
          <w:szCs w:val="26"/>
        </w:rPr>
        <w:t xml:space="preserve">arguably </w:t>
      </w:r>
      <w:r w:rsidRPr="00C76FE0" w:rsidR="006E63FF">
        <w:rPr>
          <w:szCs w:val="26"/>
        </w:rPr>
        <w:t>collateral decisions</w:t>
      </w:r>
      <w:r w:rsidRPr="00C76FE0" w:rsidR="001D501F">
        <w:rPr>
          <w:szCs w:val="26"/>
        </w:rPr>
        <w:t>, such as those pertaining to medical records</w:t>
      </w:r>
      <w:r w:rsidRPr="00C76FE0" w:rsidR="00675892">
        <w:rPr>
          <w:szCs w:val="26"/>
        </w:rPr>
        <w:t xml:space="preserve"> or disposition of remains, </w:t>
      </w:r>
      <w:r w:rsidRPr="00C76FE0" w:rsidR="00025375">
        <w:rPr>
          <w:szCs w:val="26"/>
        </w:rPr>
        <w:t>suggests</w:t>
      </w:r>
      <w:r w:rsidRPr="00C76FE0" w:rsidR="00675892">
        <w:rPr>
          <w:szCs w:val="26"/>
        </w:rPr>
        <w:t xml:space="preserve"> other, unspecified decisions</w:t>
      </w:r>
      <w:r w:rsidR="00306865">
        <w:rPr>
          <w:szCs w:val="26"/>
        </w:rPr>
        <w:t> —</w:t>
      </w:r>
      <w:r w:rsidRPr="00C76FE0" w:rsidR="00675892">
        <w:rPr>
          <w:szCs w:val="26"/>
        </w:rPr>
        <w:t xml:space="preserve"> such as</w:t>
      </w:r>
      <w:r w:rsidRPr="00C76FE0" w:rsidR="00025375">
        <w:rPr>
          <w:szCs w:val="26"/>
        </w:rPr>
        <w:t xml:space="preserve"> </w:t>
      </w:r>
      <w:r w:rsidRPr="00C76FE0" w:rsidR="00F20E5C">
        <w:rPr>
          <w:szCs w:val="26"/>
        </w:rPr>
        <w:t xml:space="preserve">a separate, </w:t>
      </w:r>
      <w:r w:rsidRPr="00C76FE0">
        <w:rPr>
          <w:szCs w:val="26"/>
        </w:rPr>
        <w:t xml:space="preserve">optional </w:t>
      </w:r>
      <w:r w:rsidRPr="00C76FE0" w:rsidR="006E63FF">
        <w:rPr>
          <w:szCs w:val="26"/>
        </w:rPr>
        <w:t>decision regarding dispute resolution</w:t>
      </w:r>
      <w:r w:rsidR="00306865">
        <w:rPr>
          <w:szCs w:val="26"/>
        </w:rPr>
        <w:t> —</w:t>
      </w:r>
      <w:r w:rsidRPr="00C76FE0" w:rsidR="00675892">
        <w:rPr>
          <w:szCs w:val="26"/>
        </w:rPr>
        <w:t xml:space="preserve"> </w:t>
      </w:r>
      <w:r w:rsidRPr="00C76FE0" w:rsidR="006E63FF">
        <w:rPr>
          <w:szCs w:val="26"/>
        </w:rPr>
        <w:t xml:space="preserve">fall outside </w:t>
      </w:r>
      <w:r w:rsidRPr="00C76FE0" w:rsidR="00675892">
        <w:rPr>
          <w:szCs w:val="26"/>
        </w:rPr>
        <w:t xml:space="preserve">the </w:t>
      </w:r>
      <w:r w:rsidRPr="00C76FE0" w:rsidR="00CC0610">
        <w:rPr>
          <w:szCs w:val="26"/>
        </w:rPr>
        <w:t xml:space="preserve">bounds of </w:t>
      </w:r>
      <w:r w:rsidRPr="00C76FE0" w:rsidR="00B70956">
        <w:rPr>
          <w:szCs w:val="26"/>
        </w:rPr>
        <w:t xml:space="preserve">what </w:t>
      </w:r>
      <w:r w:rsidRPr="00C76FE0" w:rsidR="00296B49">
        <w:rPr>
          <w:szCs w:val="26"/>
        </w:rPr>
        <w:t xml:space="preserve">legislators and </w:t>
      </w:r>
      <w:r w:rsidRPr="00C76FE0" w:rsidR="00B70956">
        <w:rPr>
          <w:szCs w:val="26"/>
        </w:rPr>
        <w:t xml:space="preserve">principals to a power of attorney for health care would </w:t>
      </w:r>
      <w:r w:rsidR="00AB1E4F">
        <w:rPr>
          <w:szCs w:val="26"/>
        </w:rPr>
        <w:t>consider</w:t>
      </w:r>
      <w:r w:rsidRPr="00C76FE0" w:rsidR="00B70956">
        <w:rPr>
          <w:szCs w:val="26"/>
        </w:rPr>
        <w:t xml:space="preserve"> a</w:t>
      </w:r>
      <w:r w:rsidRPr="00C76FE0" w:rsidR="00025375">
        <w:rPr>
          <w:szCs w:val="26"/>
        </w:rPr>
        <w:t xml:space="preserve"> health care decision</w:t>
      </w:r>
      <w:r w:rsidRPr="00C76FE0" w:rsidR="006E63FF">
        <w:rPr>
          <w:szCs w:val="26"/>
        </w:rPr>
        <w:t>.</w:t>
      </w:r>
    </w:p>
    <w:p w:rsidR="0078725E" w:rsidRPr="00C76FE0" w:rsidP="00C76FE0" w14:paraId="2B05F440" w14:textId="77777777">
      <w:pPr>
        <w:ind w:firstLine="720"/>
        <w:rPr>
          <w:szCs w:val="26"/>
        </w:rPr>
      </w:pPr>
      <w:r>
        <w:rPr>
          <w:szCs w:val="26"/>
        </w:rPr>
        <w:t>T</w:t>
      </w:r>
      <w:r w:rsidRPr="00C76FE0" w:rsidR="000A32D9">
        <w:rPr>
          <w:szCs w:val="26"/>
        </w:rPr>
        <w:t xml:space="preserve">he </w:t>
      </w:r>
      <w:r>
        <w:rPr>
          <w:szCs w:val="26"/>
        </w:rPr>
        <w:t xml:space="preserve">definition of powers </w:t>
      </w:r>
      <w:r w:rsidRPr="00C76FE0" w:rsidR="000A32D9">
        <w:rPr>
          <w:szCs w:val="26"/>
        </w:rPr>
        <w:t>under the Health Care Decisions Law</w:t>
      </w:r>
      <w:r w:rsidRPr="00C76FE0" w:rsidR="00C31975">
        <w:rPr>
          <w:szCs w:val="26"/>
        </w:rPr>
        <w:t xml:space="preserve"> (contained in Division 4.7 of the Probate Code)</w:t>
      </w:r>
      <w:r w:rsidRPr="00C76FE0" w:rsidR="000A32D9">
        <w:rPr>
          <w:szCs w:val="26"/>
        </w:rPr>
        <w:t xml:space="preserve"> </w:t>
      </w:r>
      <w:r>
        <w:rPr>
          <w:szCs w:val="26"/>
        </w:rPr>
        <w:t xml:space="preserve">contrasts with </w:t>
      </w:r>
      <w:r w:rsidRPr="00C76FE0" w:rsidR="00CC0610">
        <w:rPr>
          <w:szCs w:val="26"/>
        </w:rPr>
        <w:t>the</w:t>
      </w:r>
      <w:r w:rsidRPr="00C76FE0" w:rsidR="00ED31F6">
        <w:rPr>
          <w:szCs w:val="26"/>
        </w:rPr>
        <w:t xml:space="preserve"> </w:t>
      </w:r>
      <w:r>
        <w:rPr>
          <w:szCs w:val="26"/>
        </w:rPr>
        <w:t xml:space="preserve">definition of powers under the </w:t>
      </w:r>
      <w:r w:rsidRPr="00C76FE0" w:rsidR="00D8033C">
        <w:rPr>
          <w:szCs w:val="26"/>
        </w:rPr>
        <w:t>Uniform Statutory Form Power of Attorney Act</w:t>
      </w:r>
      <w:r w:rsidRPr="00C76FE0" w:rsidR="00C31975">
        <w:rPr>
          <w:szCs w:val="26"/>
        </w:rPr>
        <w:t xml:space="preserve">, a subsidiary of the Power of Attorney Law (both contained in Division 4.5 of the Probate Code).  The Power of Attorney Law governs powers of attorney “with respect to all lawful subjects and purposes” </w:t>
      </w:r>
      <w:r w:rsidRPr="00F85183" w:rsidR="00C31975">
        <w:rPr>
          <w:szCs w:val="26"/>
        </w:rPr>
        <w:t>(</w:t>
      </w:r>
      <w:r w:rsidR="00306865">
        <w:rPr>
          <w:szCs w:val="26"/>
        </w:rPr>
        <w:t>§ </w:t>
      </w:r>
      <w:r w:rsidRPr="00F85183" w:rsidR="00145983">
        <w:rPr>
          <w:szCs w:val="26"/>
        </w:rPr>
        <w:t>4000</w:t>
      </w:r>
      <w:r w:rsidRPr="00F85183" w:rsidR="002A2A4C">
        <w:rPr>
          <w:szCs w:val="26"/>
        </w:rPr>
        <w:t xml:space="preserve"> et seq.</w:t>
      </w:r>
      <w:r w:rsidRPr="00F85183" w:rsidR="00C31975">
        <w:rPr>
          <w:szCs w:val="26"/>
        </w:rPr>
        <w:t xml:space="preserve">; see </w:t>
      </w:r>
      <w:r w:rsidR="00306865">
        <w:rPr>
          <w:szCs w:val="26"/>
        </w:rPr>
        <w:t>§ </w:t>
      </w:r>
      <w:r w:rsidRPr="00F85183" w:rsidR="00C31975">
        <w:rPr>
          <w:szCs w:val="26"/>
        </w:rPr>
        <w:t>4</w:t>
      </w:r>
      <w:r w:rsidRPr="00F85183" w:rsidR="002A2A4C">
        <w:rPr>
          <w:szCs w:val="26"/>
        </w:rPr>
        <w:t>123</w:t>
      </w:r>
      <w:r w:rsidRPr="00C76FE0" w:rsidR="00C31975">
        <w:rPr>
          <w:szCs w:val="26"/>
        </w:rPr>
        <w:t xml:space="preserve">) and the Uniform Statutory Form Power of Attorney Act </w:t>
      </w:r>
      <w:r w:rsidRPr="00C76FE0" w:rsidR="00D8033C">
        <w:rPr>
          <w:szCs w:val="26"/>
        </w:rPr>
        <w:t>streamlines creation of such document</w:t>
      </w:r>
      <w:r w:rsidRPr="00C76FE0" w:rsidR="00C31975">
        <w:rPr>
          <w:szCs w:val="26"/>
        </w:rPr>
        <w:t>s</w:t>
      </w:r>
      <w:r w:rsidRPr="00C76FE0" w:rsidR="00006DB3">
        <w:rPr>
          <w:szCs w:val="26"/>
        </w:rPr>
        <w:t>, enabling easy delegation of statutoril</w:t>
      </w:r>
      <w:r w:rsidRPr="00C76FE0" w:rsidR="00D04C08">
        <w:rPr>
          <w:szCs w:val="26"/>
        </w:rPr>
        <w:t xml:space="preserve">y </w:t>
      </w:r>
      <w:r w:rsidRPr="00C76FE0" w:rsidR="00006DB3">
        <w:rPr>
          <w:szCs w:val="26"/>
        </w:rPr>
        <w:t xml:space="preserve">defined </w:t>
      </w:r>
      <w:r w:rsidRPr="00C76FE0" w:rsidR="00C31975">
        <w:rPr>
          <w:szCs w:val="26"/>
        </w:rPr>
        <w:t>powers</w:t>
      </w:r>
      <w:r w:rsidRPr="00C76FE0" w:rsidR="00D8033C">
        <w:rPr>
          <w:szCs w:val="26"/>
        </w:rPr>
        <w:t xml:space="preserve"> </w:t>
      </w:r>
      <w:r w:rsidRPr="00F85183" w:rsidR="00D8033C">
        <w:rPr>
          <w:szCs w:val="26"/>
        </w:rPr>
        <w:t>(</w:t>
      </w:r>
      <w:r w:rsidR="00306865">
        <w:rPr>
          <w:szCs w:val="26"/>
        </w:rPr>
        <w:t>§ </w:t>
      </w:r>
      <w:r w:rsidRPr="00F85183" w:rsidR="00D8033C">
        <w:rPr>
          <w:szCs w:val="26"/>
        </w:rPr>
        <w:t>4400</w:t>
      </w:r>
      <w:r w:rsidRPr="00F85183" w:rsidR="000528C4">
        <w:rPr>
          <w:szCs w:val="26"/>
        </w:rPr>
        <w:t xml:space="preserve"> et seq.</w:t>
      </w:r>
      <w:r w:rsidR="00426E8E">
        <w:rPr>
          <w:szCs w:val="26"/>
        </w:rPr>
        <w:t>;</w:t>
      </w:r>
      <w:r w:rsidRPr="00F85183" w:rsidR="000528C4">
        <w:rPr>
          <w:szCs w:val="26"/>
        </w:rPr>
        <w:t xml:space="preserve"> </w:t>
      </w:r>
      <w:r w:rsidRPr="00F85183" w:rsidR="00AA7514">
        <w:rPr>
          <w:szCs w:val="26"/>
        </w:rPr>
        <w:t>see §</w:t>
      </w:r>
      <w:r w:rsidR="00306865">
        <w:rPr>
          <w:szCs w:val="26"/>
        </w:rPr>
        <w:t>§ </w:t>
      </w:r>
      <w:r w:rsidRPr="00F85183" w:rsidR="00D8033C">
        <w:rPr>
          <w:szCs w:val="26"/>
        </w:rPr>
        <w:t>4401</w:t>
      </w:r>
      <w:r w:rsidRPr="00C76FE0" w:rsidR="00006DB3">
        <w:rPr>
          <w:szCs w:val="26"/>
        </w:rPr>
        <w:t>, 4450–4463</w:t>
      </w:r>
      <w:r w:rsidRPr="00C76FE0" w:rsidR="00D8033C">
        <w:rPr>
          <w:szCs w:val="26"/>
        </w:rPr>
        <w:t>).</w:t>
      </w:r>
      <w:r w:rsidRPr="00C76FE0" w:rsidR="00C31975">
        <w:rPr>
          <w:szCs w:val="26"/>
        </w:rPr>
        <w:t xml:space="preserve">  We should be attuned to differences in laws that are statutory neighbors and have, as shall be explained, provisions that share history or interrelate.  (See </w:t>
      </w:r>
      <w:bookmarkStart w:id="2" w:name="_Hlk158997752"/>
      <w:r w:rsidRPr="00C76FE0" w:rsidR="00C31975">
        <w:rPr>
          <w:i/>
          <w:iCs/>
          <w:szCs w:val="26"/>
        </w:rPr>
        <w:t>Los Angeles County Metropolitan Transportation Authority v. Alameda Produce Market, LLC</w:t>
      </w:r>
      <w:r w:rsidRPr="00C76FE0" w:rsidR="00C31975">
        <w:rPr>
          <w:szCs w:val="26"/>
        </w:rPr>
        <w:t xml:space="preserve"> (2011) 52 Cal.4th 1100</w:t>
      </w:r>
      <w:bookmarkEnd w:id="2"/>
      <w:r w:rsidRPr="00C76FE0" w:rsidR="00C31975">
        <w:rPr>
          <w:szCs w:val="26"/>
        </w:rPr>
        <w:t>, 1108 [“</w:t>
      </w:r>
      <w:r w:rsidR="004D3A93">
        <w:rPr>
          <w:szCs w:val="26"/>
        </w:rPr>
        <w:t> </w:t>
      </w:r>
      <w:r w:rsidRPr="00C76FE0" w:rsidR="00C31975">
        <w:rPr>
          <w:szCs w:val="26"/>
        </w:rPr>
        <w:t>‘</w:t>
      </w:r>
      <w:r w:rsidR="00F85183">
        <w:rPr>
          <w:szCs w:val="26"/>
        </w:rPr>
        <w:t> </w:t>
      </w:r>
      <w:r w:rsidRPr="00C76FE0" w:rsidR="00C31975">
        <w:rPr>
          <w:szCs w:val="26"/>
        </w:rPr>
        <w:t>“where a statute, with reference to one subject contains a given provision, the omission of such provision from a similar statute concerning a related subject is significant to show that a different legislative intent existed with reference to the different statutes”</w:t>
      </w:r>
      <w:r w:rsidR="004D3A93">
        <w:rPr>
          <w:szCs w:val="26"/>
        </w:rPr>
        <w:t> </w:t>
      </w:r>
      <w:r w:rsidRPr="00C76FE0" w:rsidR="00C31975">
        <w:rPr>
          <w:szCs w:val="26"/>
        </w:rPr>
        <w:t>’</w:t>
      </w:r>
      <w:r w:rsidR="004D3A93">
        <w:rPr>
          <w:szCs w:val="26"/>
        </w:rPr>
        <w:t> </w:t>
      </w:r>
      <w:r w:rsidRPr="00C76FE0" w:rsidR="00C31975">
        <w:rPr>
          <w:szCs w:val="26"/>
        </w:rPr>
        <w:t xml:space="preserve">”]; </w:t>
      </w:r>
      <w:r w:rsidRPr="00C76FE0" w:rsidR="00C31975">
        <w:rPr>
          <w:i/>
          <w:iCs/>
          <w:szCs w:val="26"/>
        </w:rPr>
        <w:t>Wells v. One2One Learning Foundation</w:t>
      </w:r>
      <w:r w:rsidRPr="00C76FE0" w:rsidR="00C31975">
        <w:rPr>
          <w:szCs w:val="26"/>
        </w:rPr>
        <w:t xml:space="preserve"> (2006) 39 Cal.4th 1164, 1190 [“specific enumeration</w:t>
      </w:r>
      <w:r w:rsidRPr="00C76FE0" w:rsidR="00D04C08">
        <w:rPr>
          <w:szCs w:val="26"/>
        </w:rPr>
        <w:t> . . .</w:t>
      </w:r>
      <w:r w:rsidRPr="00C76FE0" w:rsidR="00C31975">
        <w:rPr>
          <w:szCs w:val="26"/>
        </w:rPr>
        <w:t xml:space="preserve"> in one context, but not in the other, weighs heavily”]; see also </w:t>
      </w:r>
      <w:r w:rsidRPr="00C76FE0" w:rsidR="00C31975">
        <w:rPr>
          <w:i/>
          <w:iCs/>
          <w:szCs w:val="26"/>
        </w:rPr>
        <w:t>FilmOn.com Inc. v. DoubleVerify Inc.</w:t>
      </w:r>
      <w:r w:rsidRPr="00C76FE0" w:rsidR="00C31975">
        <w:rPr>
          <w:szCs w:val="26"/>
        </w:rPr>
        <w:t xml:space="preserve"> (2019) 7 Cal.5th 133, 144 [“we interpret statutory language</w:t>
      </w:r>
      <w:r w:rsidRPr="00C76FE0" w:rsidR="00D04C08">
        <w:rPr>
          <w:szCs w:val="26"/>
        </w:rPr>
        <w:t> . . .</w:t>
      </w:r>
      <w:r w:rsidRPr="00C76FE0" w:rsidR="00C31975">
        <w:rPr>
          <w:szCs w:val="26"/>
        </w:rPr>
        <w:t xml:space="preserve"> in light of</w:t>
      </w:r>
      <w:r w:rsidRPr="00C76FE0" w:rsidR="00D04C08">
        <w:rPr>
          <w:szCs w:val="26"/>
        </w:rPr>
        <w:t> . . .</w:t>
      </w:r>
      <w:r w:rsidRPr="00C76FE0" w:rsidR="00C31975">
        <w:rPr>
          <w:szCs w:val="26"/>
        </w:rPr>
        <w:t xml:space="preserve"> analogous provisions” and in “the context of its neighboring provisions”].)</w:t>
      </w:r>
    </w:p>
    <w:p w:rsidR="008C3953" w:rsidRPr="00C76FE0" w:rsidP="00C76FE0" w14:paraId="2B05F441" w14:textId="77777777">
      <w:pPr>
        <w:ind w:firstLine="720"/>
        <w:rPr>
          <w:szCs w:val="26"/>
        </w:rPr>
      </w:pPr>
      <w:r w:rsidRPr="00C76FE0">
        <w:rPr>
          <w:szCs w:val="26"/>
        </w:rPr>
        <w:t>The Power of Attorney Law, the Uniform Statutory Form Power of Attorney Act, and the predecessor to the Health Care Decisions Law</w:t>
      </w:r>
      <w:r w:rsidR="00306865">
        <w:rPr>
          <w:szCs w:val="26"/>
        </w:rPr>
        <w:t> —</w:t>
      </w:r>
      <w:r w:rsidRPr="00C76FE0" w:rsidR="00E17081">
        <w:rPr>
          <w:szCs w:val="26"/>
        </w:rPr>
        <w:t xml:space="preserve"> which governed</w:t>
      </w:r>
      <w:r w:rsidRPr="00C76FE0" w:rsidR="00D8033C">
        <w:rPr>
          <w:szCs w:val="26"/>
        </w:rPr>
        <w:t xml:space="preserve"> </w:t>
      </w:r>
      <w:r w:rsidRPr="00C76FE0">
        <w:rPr>
          <w:szCs w:val="26"/>
        </w:rPr>
        <w:t>durable powers of attorney for health care</w:t>
      </w:r>
      <w:r w:rsidRPr="00C76FE0" w:rsidR="009A492A">
        <w:rPr>
          <w:szCs w:val="26"/>
        </w:rPr>
        <w:t xml:space="preserve"> </w:t>
      </w:r>
      <w:r w:rsidRPr="00C76FE0" w:rsidR="00B30FFC">
        <w:rPr>
          <w:szCs w:val="26"/>
        </w:rPr>
        <w:t>decisionmaking</w:t>
      </w:r>
      <w:r>
        <w:rPr>
          <w:rStyle w:val="FootnoteReference"/>
          <w:position w:val="0"/>
        </w:rPr>
        <w:footnoteReference w:id="8"/>
      </w:r>
      <w:r w:rsidR="00306865">
        <w:rPr>
          <w:szCs w:val="26"/>
        </w:rPr>
        <w:t> —</w:t>
      </w:r>
      <w:r w:rsidRPr="00C76FE0">
        <w:rPr>
          <w:szCs w:val="26"/>
        </w:rPr>
        <w:t xml:space="preserve"> were </w:t>
      </w:r>
      <w:r w:rsidRPr="00C76FE0" w:rsidR="00C31975">
        <w:rPr>
          <w:szCs w:val="26"/>
        </w:rPr>
        <w:t>codified</w:t>
      </w:r>
      <w:r w:rsidRPr="00C76FE0">
        <w:rPr>
          <w:szCs w:val="26"/>
        </w:rPr>
        <w:t xml:space="preserve"> by a single, integrated enactment in 1994.  (Stats. 1994, ch. 307</w:t>
      </w:r>
      <w:r w:rsidRPr="00C76FE0" w:rsidR="009A492A">
        <w:rPr>
          <w:szCs w:val="26"/>
        </w:rPr>
        <w:t xml:space="preserve">, </w:t>
      </w:r>
      <w:r w:rsidR="00306865">
        <w:rPr>
          <w:szCs w:val="26"/>
        </w:rPr>
        <w:t>§ </w:t>
      </w:r>
      <w:r w:rsidRPr="00C76FE0" w:rsidR="009A492A">
        <w:rPr>
          <w:szCs w:val="26"/>
        </w:rPr>
        <w:t>16</w:t>
      </w:r>
      <w:r w:rsidR="00E2751E">
        <w:rPr>
          <w:szCs w:val="26"/>
        </w:rPr>
        <w:t>, p</w:t>
      </w:r>
      <w:r w:rsidR="00A943BA">
        <w:rPr>
          <w:szCs w:val="26"/>
        </w:rPr>
        <w:t>p</w:t>
      </w:r>
      <w:r w:rsidR="00E2751E">
        <w:rPr>
          <w:szCs w:val="26"/>
        </w:rPr>
        <w:t>.</w:t>
      </w:r>
      <w:r w:rsidR="00A943BA">
        <w:rPr>
          <w:szCs w:val="26"/>
        </w:rPr>
        <w:t xml:space="preserve"> 1983–</w:t>
      </w:r>
      <w:r w:rsidR="00E37A03">
        <w:rPr>
          <w:szCs w:val="26"/>
        </w:rPr>
        <w:t>2038</w:t>
      </w:r>
      <w:r w:rsidRPr="00C76FE0">
        <w:rPr>
          <w:szCs w:val="26"/>
        </w:rPr>
        <w:t>; see Legis. Counsel’s Dig., Sen. Bill No. 1907 (1993–1994 Reg. Sess.)</w:t>
      </w:r>
      <w:r w:rsidR="00E37A03">
        <w:rPr>
          <w:szCs w:val="26"/>
        </w:rPr>
        <w:t xml:space="preserve"> 5 Stats. 199</w:t>
      </w:r>
      <w:r w:rsidR="0063005F">
        <w:rPr>
          <w:szCs w:val="26"/>
        </w:rPr>
        <w:t>4</w:t>
      </w:r>
      <w:r w:rsidR="00E37A03">
        <w:rPr>
          <w:szCs w:val="26"/>
        </w:rPr>
        <w:t>, Summary Dig., p.</w:t>
      </w:r>
      <w:r w:rsidR="0063005F">
        <w:rPr>
          <w:szCs w:val="26"/>
        </w:rPr>
        <w:t xml:space="preserve"> 117</w:t>
      </w:r>
      <w:r w:rsidRPr="00C76FE0">
        <w:rPr>
          <w:szCs w:val="26"/>
        </w:rPr>
        <w:t>.)  The bill enacting the Health Care Decisions Law in 1999</w:t>
      </w:r>
      <w:r w:rsidRPr="00C76FE0" w:rsidR="00233CA1">
        <w:rPr>
          <w:szCs w:val="26"/>
        </w:rPr>
        <w:t>, which revised and recast the 1994 provisions authorizing durable powers of attorney for health care, acknowledged the</w:t>
      </w:r>
      <w:r w:rsidRPr="00C76FE0">
        <w:rPr>
          <w:szCs w:val="26"/>
        </w:rPr>
        <w:t xml:space="preserve"> Power of Attorney Law</w:t>
      </w:r>
      <w:r w:rsidRPr="00C76FE0" w:rsidR="00233CA1">
        <w:rPr>
          <w:szCs w:val="26"/>
        </w:rPr>
        <w:t xml:space="preserve"> and the </w:t>
      </w:r>
      <w:r w:rsidRPr="00C76FE0" w:rsidR="00E47631">
        <w:rPr>
          <w:szCs w:val="26"/>
        </w:rPr>
        <w:t>Uniform Statutory Form Power of Attorney Act</w:t>
      </w:r>
      <w:r w:rsidRPr="00C76FE0" w:rsidR="00233CA1">
        <w:rPr>
          <w:szCs w:val="26"/>
        </w:rPr>
        <w:t xml:space="preserve">, </w:t>
      </w:r>
      <w:r w:rsidRPr="00C76FE0" w:rsidR="004E76E7">
        <w:rPr>
          <w:szCs w:val="26"/>
        </w:rPr>
        <w:t>referencing</w:t>
      </w:r>
      <w:r w:rsidRPr="00C76FE0" w:rsidR="00233CA1">
        <w:rPr>
          <w:szCs w:val="26"/>
        </w:rPr>
        <w:t xml:space="preserve"> both </w:t>
      </w:r>
      <w:r w:rsidRPr="00C76FE0" w:rsidR="004E76E7">
        <w:rPr>
          <w:szCs w:val="26"/>
        </w:rPr>
        <w:t>in</w:t>
      </w:r>
      <w:r w:rsidRPr="00C76FE0" w:rsidR="00233965">
        <w:rPr>
          <w:szCs w:val="26"/>
        </w:rPr>
        <w:t xml:space="preserve"> mak</w:t>
      </w:r>
      <w:r w:rsidRPr="00C76FE0" w:rsidR="004E76E7">
        <w:rPr>
          <w:szCs w:val="26"/>
        </w:rPr>
        <w:t>ing</w:t>
      </w:r>
      <w:r w:rsidRPr="00C76FE0" w:rsidR="00233965">
        <w:rPr>
          <w:szCs w:val="26"/>
        </w:rPr>
        <w:t xml:space="preserve"> “related and conforming changes</w:t>
      </w:r>
      <w:r w:rsidRPr="00C76FE0">
        <w:rPr>
          <w:szCs w:val="26"/>
        </w:rPr>
        <w:t>.</w:t>
      </w:r>
      <w:r w:rsidRPr="00C76FE0" w:rsidR="00233965">
        <w:rPr>
          <w:szCs w:val="26"/>
        </w:rPr>
        <w:t>”</w:t>
      </w:r>
      <w:r w:rsidRPr="00C76FE0">
        <w:rPr>
          <w:szCs w:val="26"/>
        </w:rPr>
        <w:t xml:space="preserve">  (See </w:t>
      </w:r>
      <w:r w:rsidRPr="00C76FE0">
        <w:rPr>
          <w:rFonts w:cstheme="minorHAnsi"/>
          <w:szCs w:val="26"/>
        </w:rPr>
        <w:t>Stats. 1999, ch. 658</w:t>
      </w:r>
      <w:r w:rsidRPr="00C76FE0" w:rsidR="00E47631">
        <w:rPr>
          <w:rFonts w:cstheme="minorHAnsi"/>
          <w:szCs w:val="26"/>
        </w:rPr>
        <w:t>, §</w:t>
      </w:r>
      <w:r w:rsidR="00306865">
        <w:rPr>
          <w:rFonts w:cstheme="minorHAnsi"/>
          <w:szCs w:val="26"/>
        </w:rPr>
        <w:t>§ </w:t>
      </w:r>
      <w:r w:rsidRPr="00C76FE0" w:rsidR="00E47631">
        <w:rPr>
          <w:rFonts w:cstheme="minorHAnsi"/>
          <w:szCs w:val="26"/>
        </w:rPr>
        <w:t>27–36</w:t>
      </w:r>
      <w:r w:rsidR="0063005F">
        <w:rPr>
          <w:rFonts w:cstheme="minorHAnsi"/>
          <w:szCs w:val="26"/>
        </w:rPr>
        <w:t xml:space="preserve">, </w:t>
      </w:r>
      <w:r w:rsidR="0034506D">
        <w:rPr>
          <w:rFonts w:cstheme="minorHAnsi"/>
          <w:szCs w:val="26"/>
        </w:rPr>
        <w:t>pp. 4853</w:t>
      </w:r>
      <w:r w:rsidR="0034506D">
        <w:rPr>
          <w:szCs w:val="26"/>
        </w:rPr>
        <w:t>–4856</w:t>
      </w:r>
      <w:r w:rsidRPr="00C76FE0">
        <w:rPr>
          <w:rFonts w:cstheme="minorHAnsi"/>
          <w:szCs w:val="26"/>
        </w:rPr>
        <w:t>;</w:t>
      </w:r>
      <w:r w:rsidRPr="00C76FE0">
        <w:rPr>
          <w:szCs w:val="26"/>
        </w:rPr>
        <w:t xml:space="preserve"> see Legis. Counsel’s Dig., Assem. Bill No. 891 (1999–2000 Reg. Sess.</w:t>
      </w:r>
      <w:r w:rsidRPr="00C76FE0" w:rsidR="00E47631">
        <w:rPr>
          <w:szCs w:val="26"/>
        </w:rPr>
        <w:t>)</w:t>
      </w:r>
      <w:r w:rsidR="00D7751D">
        <w:rPr>
          <w:szCs w:val="26"/>
        </w:rPr>
        <w:t xml:space="preserve"> </w:t>
      </w:r>
      <w:r w:rsidR="0063005F">
        <w:rPr>
          <w:szCs w:val="26"/>
        </w:rPr>
        <w:t>5</w:t>
      </w:r>
      <w:r w:rsidR="00A00B95">
        <w:rPr>
          <w:szCs w:val="26"/>
        </w:rPr>
        <w:t xml:space="preserve"> </w:t>
      </w:r>
      <w:r w:rsidR="00D7751D">
        <w:rPr>
          <w:szCs w:val="26"/>
        </w:rPr>
        <w:t xml:space="preserve">Stats. </w:t>
      </w:r>
      <w:r w:rsidR="007E30BA">
        <w:rPr>
          <w:szCs w:val="26"/>
        </w:rPr>
        <w:t xml:space="preserve">1999, Summary Dig., p. </w:t>
      </w:r>
      <w:r w:rsidR="00D64B02">
        <w:rPr>
          <w:szCs w:val="26"/>
        </w:rPr>
        <w:t>296.</w:t>
      </w:r>
      <w:r w:rsidR="0002445B">
        <w:rPr>
          <w:szCs w:val="26"/>
        </w:rPr>
        <w:t>)</w:t>
      </w:r>
    </w:p>
    <w:p w:rsidR="006E2261" w:rsidRPr="00C76FE0" w:rsidP="00C76FE0" w14:paraId="2B05F442" w14:textId="77777777">
      <w:pPr>
        <w:ind w:firstLine="720"/>
        <w:rPr>
          <w:szCs w:val="26"/>
        </w:rPr>
      </w:pPr>
      <w:r w:rsidRPr="00C76FE0">
        <w:rPr>
          <w:szCs w:val="26"/>
        </w:rPr>
        <w:t xml:space="preserve">The Uniform Statutory Form Power of Attorney Act offers a form that lists categories of </w:t>
      </w:r>
      <w:r w:rsidRPr="00C76FE0" w:rsidR="00270BC8">
        <w:rPr>
          <w:szCs w:val="26"/>
        </w:rPr>
        <w:t>statutoril</w:t>
      </w:r>
      <w:r w:rsidRPr="00C76FE0" w:rsidR="00D04C08">
        <w:rPr>
          <w:szCs w:val="26"/>
        </w:rPr>
        <w:t xml:space="preserve">y </w:t>
      </w:r>
      <w:r w:rsidRPr="00C76FE0" w:rsidR="00270BC8">
        <w:rPr>
          <w:szCs w:val="26"/>
        </w:rPr>
        <w:t xml:space="preserve">defined </w:t>
      </w:r>
      <w:r w:rsidRPr="00C76FE0">
        <w:rPr>
          <w:szCs w:val="26"/>
        </w:rPr>
        <w:t>powers that a principal may choose to delegate.  (§</w:t>
      </w:r>
      <w:r w:rsidR="00306865">
        <w:rPr>
          <w:szCs w:val="26"/>
        </w:rPr>
        <w:t>§ </w:t>
      </w:r>
      <w:r w:rsidRPr="00C76FE0">
        <w:rPr>
          <w:szCs w:val="26"/>
        </w:rPr>
        <w:t>4400, 4401</w:t>
      </w:r>
      <w:r w:rsidRPr="00C76FE0" w:rsidR="002E1993">
        <w:rPr>
          <w:szCs w:val="26"/>
        </w:rPr>
        <w:t>, 4450–4463</w:t>
      </w:r>
      <w:r w:rsidRPr="00C76FE0">
        <w:rPr>
          <w:szCs w:val="26"/>
        </w:rPr>
        <w:t xml:space="preserve">.)  By placing initials </w:t>
      </w:r>
      <w:r w:rsidRPr="00C76FE0" w:rsidR="00887427">
        <w:rPr>
          <w:szCs w:val="26"/>
        </w:rPr>
        <w:t>next to</w:t>
      </w:r>
      <w:r w:rsidRPr="00C76FE0">
        <w:rPr>
          <w:szCs w:val="26"/>
        </w:rPr>
        <w:t xml:space="preserve"> </w:t>
      </w:r>
      <w:r w:rsidRPr="00C76FE0" w:rsidR="002E1993">
        <w:rPr>
          <w:szCs w:val="26"/>
        </w:rPr>
        <w:t xml:space="preserve">a </w:t>
      </w:r>
      <w:r w:rsidRPr="00C76FE0">
        <w:rPr>
          <w:szCs w:val="26"/>
        </w:rPr>
        <w:t>listed</w:t>
      </w:r>
      <w:r w:rsidRPr="00C76FE0" w:rsidR="00270BC8">
        <w:rPr>
          <w:szCs w:val="26"/>
        </w:rPr>
        <w:t>, pre-defined</w:t>
      </w:r>
      <w:r w:rsidRPr="00C76FE0">
        <w:rPr>
          <w:szCs w:val="26"/>
        </w:rPr>
        <w:t xml:space="preserve"> power, the principal </w:t>
      </w:r>
      <w:r w:rsidRPr="00C76FE0" w:rsidR="00887427">
        <w:rPr>
          <w:szCs w:val="26"/>
        </w:rPr>
        <w:t>may authorize</w:t>
      </w:r>
      <w:r w:rsidRPr="00C76FE0" w:rsidR="002E1993">
        <w:rPr>
          <w:szCs w:val="26"/>
        </w:rPr>
        <w:t xml:space="preserve"> an agent </w:t>
      </w:r>
      <w:r w:rsidRPr="00C76FE0" w:rsidR="00E17081">
        <w:rPr>
          <w:szCs w:val="26"/>
        </w:rPr>
        <w:t xml:space="preserve">to </w:t>
      </w:r>
      <w:r w:rsidRPr="00C76FE0">
        <w:rPr>
          <w:szCs w:val="26"/>
        </w:rPr>
        <w:t xml:space="preserve">act in “any lawful way with respect to </w:t>
      </w:r>
      <w:r w:rsidRPr="00C76FE0" w:rsidR="002E1993">
        <w:rPr>
          <w:szCs w:val="26"/>
        </w:rPr>
        <w:t>the</w:t>
      </w:r>
      <w:r w:rsidRPr="00C76FE0" w:rsidR="00D04C08">
        <w:rPr>
          <w:szCs w:val="26"/>
        </w:rPr>
        <w:t> . . .</w:t>
      </w:r>
      <w:r w:rsidRPr="00C76FE0" w:rsidR="002E1993">
        <w:rPr>
          <w:szCs w:val="26"/>
        </w:rPr>
        <w:t xml:space="preserve"> initialed </w:t>
      </w:r>
      <w:r w:rsidRPr="00C76FE0">
        <w:rPr>
          <w:szCs w:val="26"/>
        </w:rPr>
        <w:t>subjects</w:t>
      </w:r>
      <w:r w:rsidRPr="00C76FE0" w:rsidR="002E1993">
        <w:rPr>
          <w:szCs w:val="26"/>
        </w:rPr>
        <w:t>,</w:t>
      </w:r>
      <w:r w:rsidRPr="00C76FE0">
        <w:rPr>
          <w:szCs w:val="26"/>
        </w:rPr>
        <w:t xml:space="preserve">” </w:t>
      </w:r>
      <w:r w:rsidRPr="00C76FE0" w:rsidR="002E1993">
        <w:rPr>
          <w:szCs w:val="26"/>
        </w:rPr>
        <w:t xml:space="preserve">which include </w:t>
      </w:r>
      <w:r w:rsidRPr="00C76FE0">
        <w:rPr>
          <w:szCs w:val="26"/>
        </w:rPr>
        <w:t>real or personal property transactions, banking transactions, business operating transactions, beneficiary transactions, claims and litigation, or personal and family maintenance.  (</w:t>
      </w:r>
      <w:r w:rsidR="00306865">
        <w:rPr>
          <w:szCs w:val="26"/>
        </w:rPr>
        <w:t>§ </w:t>
      </w:r>
      <w:r w:rsidRPr="00C76FE0">
        <w:rPr>
          <w:szCs w:val="26"/>
        </w:rPr>
        <w:t>4401.)  The preamble to the form states</w:t>
      </w:r>
      <w:r w:rsidRPr="00C76FE0" w:rsidR="00E17081">
        <w:rPr>
          <w:szCs w:val="26"/>
        </w:rPr>
        <w:t>,</w:t>
      </w:r>
      <w:r w:rsidRPr="00C76FE0">
        <w:rPr>
          <w:szCs w:val="26"/>
        </w:rPr>
        <w:t xml:space="preserve"> “THIS DOCUMENT DOES NOT AUTHORIZE ANYONE TO MAKE MEDICAL AND OTHER HEALTH-CARE DECISIONS FOR YOU.”  (</w:t>
      </w:r>
      <w:r w:rsidR="00306865">
        <w:rPr>
          <w:szCs w:val="26"/>
        </w:rPr>
        <w:t>§ </w:t>
      </w:r>
      <w:r w:rsidRPr="00C76FE0">
        <w:rPr>
          <w:szCs w:val="26"/>
        </w:rPr>
        <w:t xml:space="preserve">4401; see </w:t>
      </w:r>
      <w:r w:rsidRPr="00C76FE0" w:rsidR="00D04C08">
        <w:rPr>
          <w:szCs w:val="26"/>
        </w:rPr>
        <w:t xml:space="preserve"> </w:t>
      </w:r>
      <w:r w:rsidRPr="00C76FE0">
        <w:rPr>
          <w:szCs w:val="26"/>
        </w:rPr>
        <w:t xml:space="preserve">Stats. 1994, ch. 307, </w:t>
      </w:r>
      <w:r w:rsidR="00306865">
        <w:rPr>
          <w:szCs w:val="26"/>
        </w:rPr>
        <w:t>§ </w:t>
      </w:r>
      <w:r w:rsidRPr="00C76FE0">
        <w:rPr>
          <w:szCs w:val="26"/>
        </w:rPr>
        <w:t xml:space="preserve">16.)  This </w:t>
      </w:r>
      <w:r w:rsidRPr="00C76FE0" w:rsidR="002E1993">
        <w:rPr>
          <w:szCs w:val="26"/>
        </w:rPr>
        <w:t xml:space="preserve">admonition </w:t>
      </w:r>
      <w:r w:rsidRPr="00C76FE0">
        <w:rPr>
          <w:szCs w:val="26"/>
        </w:rPr>
        <w:t>dovetails with the Legislature’s prescription that the Power of Attorney Law applies to “statutory form powers of attorney” but not to “powers of attorney for health care” under the Health Care Decisions Law.  (</w:t>
      </w:r>
      <w:r w:rsidR="00306865">
        <w:rPr>
          <w:szCs w:val="26"/>
        </w:rPr>
        <w:t>§ </w:t>
      </w:r>
      <w:r w:rsidRPr="00C76FE0">
        <w:rPr>
          <w:szCs w:val="26"/>
        </w:rPr>
        <w:t xml:space="preserve">4050, subd. (a)(1)–(2); see </w:t>
      </w:r>
      <w:r w:rsidRPr="00C76FE0">
        <w:rPr>
          <w:rFonts w:cstheme="minorHAnsi"/>
          <w:szCs w:val="26"/>
        </w:rPr>
        <w:t xml:space="preserve">Stats. 1999, ch. 658, </w:t>
      </w:r>
      <w:r w:rsidR="00306865">
        <w:rPr>
          <w:rFonts w:cstheme="minorHAnsi"/>
          <w:szCs w:val="26"/>
        </w:rPr>
        <w:t>§ </w:t>
      </w:r>
      <w:r w:rsidRPr="00C76FE0">
        <w:rPr>
          <w:rFonts w:cstheme="minorHAnsi"/>
          <w:szCs w:val="26"/>
        </w:rPr>
        <w:t>27</w:t>
      </w:r>
      <w:r w:rsidR="00BC4A14">
        <w:rPr>
          <w:rFonts w:cstheme="minorHAnsi"/>
          <w:szCs w:val="26"/>
        </w:rPr>
        <w:t>, p.</w:t>
      </w:r>
      <w:r w:rsidR="005D0F67">
        <w:rPr>
          <w:rFonts w:cstheme="minorHAnsi"/>
          <w:szCs w:val="26"/>
        </w:rPr>
        <w:t xml:space="preserve"> 4853</w:t>
      </w:r>
      <w:r w:rsidRPr="00C76FE0">
        <w:rPr>
          <w:rFonts w:cstheme="minorHAnsi"/>
          <w:szCs w:val="26"/>
        </w:rPr>
        <w:t>.</w:t>
      </w:r>
      <w:r w:rsidRPr="00C76FE0">
        <w:rPr>
          <w:szCs w:val="26"/>
        </w:rPr>
        <w:t>)</w:t>
      </w:r>
    </w:p>
    <w:p w:rsidR="00415001" w:rsidRPr="00C76FE0" w:rsidP="00C76FE0" w14:paraId="2B05F443" w14:textId="77777777">
      <w:pPr>
        <w:ind w:firstLine="720"/>
        <w:rPr>
          <w:szCs w:val="26"/>
        </w:rPr>
      </w:pPr>
      <w:r w:rsidRPr="00C76FE0">
        <w:rPr>
          <w:szCs w:val="26"/>
        </w:rPr>
        <w:t xml:space="preserve">Looking at </w:t>
      </w:r>
      <w:r w:rsidRPr="00C76FE0" w:rsidR="002E1993">
        <w:rPr>
          <w:szCs w:val="26"/>
        </w:rPr>
        <w:t xml:space="preserve">the definitions of the powers selectable </w:t>
      </w:r>
      <w:r w:rsidRPr="00C76FE0" w:rsidR="00887427">
        <w:rPr>
          <w:szCs w:val="26"/>
        </w:rPr>
        <w:t>under</w:t>
      </w:r>
      <w:r w:rsidRPr="00C76FE0" w:rsidR="002E1993">
        <w:rPr>
          <w:szCs w:val="26"/>
        </w:rPr>
        <w:t xml:space="preserve"> the Uniform Statutory Form Power of Attorney Act</w:t>
      </w:r>
      <w:r w:rsidR="00306865">
        <w:rPr>
          <w:szCs w:val="26"/>
        </w:rPr>
        <w:t> —</w:t>
      </w:r>
      <w:r w:rsidRPr="00C76FE0" w:rsidR="002E1993">
        <w:rPr>
          <w:szCs w:val="26"/>
        </w:rPr>
        <w:t xml:space="preserve"> powers </w:t>
      </w:r>
      <w:r w:rsidRPr="00C76FE0" w:rsidR="007C74F9">
        <w:rPr>
          <w:szCs w:val="26"/>
        </w:rPr>
        <w:t xml:space="preserve">the statute </w:t>
      </w:r>
      <w:r w:rsidRPr="00C76FE0" w:rsidR="002E1993">
        <w:rPr>
          <w:szCs w:val="26"/>
        </w:rPr>
        <w:t>distinguishe</w:t>
      </w:r>
      <w:r w:rsidRPr="00C76FE0" w:rsidR="007C74F9">
        <w:rPr>
          <w:szCs w:val="26"/>
        </w:rPr>
        <w:t>s</w:t>
      </w:r>
      <w:r w:rsidRPr="00C76FE0" w:rsidR="002E1993">
        <w:rPr>
          <w:szCs w:val="26"/>
        </w:rPr>
        <w:t xml:space="preserve"> from health care decisions</w:t>
      </w:r>
      <w:r w:rsidR="00306865">
        <w:rPr>
          <w:szCs w:val="26"/>
        </w:rPr>
        <w:t> —</w:t>
      </w:r>
      <w:r w:rsidRPr="00C76FE0" w:rsidR="002E1993">
        <w:rPr>
          <w:szCs w:val="26"/>
        </w:rPr>
        <w:t xml:space="preserve"> there are notable inclusions.  F</w:t>
      </w:r>
      <w:r w:rsidRPr="00C76FE0">
        <w:rPr>
          <w:szCs w:val="26"/>
        </w:rPr>
        <w:t xml:space="preserve">or instance, </w:t>
      </w:r>
      <w:r w:rsidRPr="00C76FE0" w:rsidR="002E1993">
        <w:rPr>
          <w:szCs w:val="26"/>
        </w:rPr>
        <w:t xml:space="preserve">the power </w:t>
      </w:r>
      <w:r w:rsidRPr="00C76FE0" w:rsidR="00C8258D">
        <w:rPr>
          <w:szCs w:val="26"/>
        </w:rPr>
        <w:t>to make decisions about “personal and family maintenance” includes the power to “[p]ay for</w:t>
      </w:r>
      <w:r w:rsidRPr="00C76FE0" w:rsidR="00D04C08">
        <w:rPr>
          <w:szCs w:val="26"/>
        </w:rPr>
        <w:t> . . .</w:t>
      </w:r>
      <w:r w:rsidRPr="00C76FE0" w:rsidR="00C8258D">
        <w:rPr>
          <w:szCs w:val="26"/>
        </w:rPr>
        <w:t xml:space="preserve"> necessary medical, dental, and</w:t>
      </w:r>
      <w:r w:rsidRPr="00C76FE0" w:rsidR="00025375">
        <w:rPr>
          <w:szCs w:val="26"/>
        </w:rPr>
        <w:t xml:space="preserve"> </w:t>
      </w:r>
      <w:r w:rsidRPr="00C76FE0" w:rsidR="00C8258D">
        <w:rPr>
          <w:szCs w:val="26"/>
        </w:rPr>
        <w:t>surgical care, hospitalization, and custodial care.”  (</w:t>
      </w:r>
      <w:r w:rsidR="00306865">
        <w:rPr>
          <w:szCs w:val="26"/>
        </w:rPr>
        <w:t>§ </w:t>
      </w:r>
      <w:r w:rsidRPr="00C76FE0" w:rsidR="00C8258D">
        <w:rPr>
          <w:szCs w:val="26"/>
        </w:rPr>
        <w:t xml:space="preserve">4460, subd. (a)(3).)  </w:t>
      </w:r>
      <w:r w:rsidRPr="00C76FE0" w:rsidR="005100AC">
        <w:rPr>
          <w:szCs w:val="26"/>
        </w:rPr>
        <w:t>T</w:t>
      </w:r>
      <w:r w:rsidRPr="00C76FE0" w:rsidR="00C8258D">
        <w:rPr>
          <w:szCs w:val="26"/>
        </w:rPr>
        <w:t>he power to make decisions about “claims and litigation</w:t>
      </w:r>
      <w:r w:rsidRPr="00C76FE0" w:rsidR="005100AC">
        <w:rPr>
          <w:szCs w:val="26"/>
        </w:rPr>
        <w:t>,</w:t>
      </w:r>
      <w:r w:rsidRPr="00C76FE0" w:rsidR="00C8258D">
        <w:rPr>
          <w:szCs w:val="26"/>
        </w:rPr>
        <w:t>”</w:t>
      </w:r>
      <w:r w:rsidRPr="00C76FE0" w:rsidR="005100AC">
        <w:rPr>
          <w:szCs w:val="26"/>
        </w:rPr>
        <w:t xml:space="preserve"> moreover,</w:t>
      </w:r>
      <w:r w:rsidRPr="00C76FE0" w:rsidR="00C8258D">
        <w:rPr>
          <w:szCs w:val="26"/>
        </w:rPr>
        <w:t xml:space="preserve"> includes the power to “submit to arbitration</w:t>
      </w:r>
      <w:r w:rsidRPr="00C76FE0" w:rsidR="00D04C08">
        <w:rPr>
          <w:szCs w:val="26"/>
        </w:rPr>
        <w:t> . . .</w:t>
      </w:r>
      <w:r w:rsidRPr="00C76FE0" w:rsidR="00C8258D">
        <w:rPr>
          <w:szCs w:val="26"/>
        </w:rPr>
        <w:t xml:space="preserve"> with respect to a claim or litigation” and to “execute and file or deliver a</w:t>
      </w:r>
      <w:r w:rsidRPr="00C76FE0" w:rsidR="00D04C08">
        <w:rPr>
          <w:szCs w:val="26"/>
        </w:rPr>
        <w:t> . . .</w:t>
      </w:r>
      <w:r w:rsidRPr="00C76FE0" w:rsidR="00C8258D">
        <w:rPr>
          <w:szCs w:val="26"/>
        </w:rPr>
        <w:t xml:space="preserve"> waiver</w:t>
      </w:r>
      <w:r w:rsidRPr="00C76FE0" w:rsidR="00036D13">
        <w:rPr>
          <w:szCs w:val="26"/>
        </w:rPr>
        <w:t>,</w:t>
      </w:r>
      <w:r w:rsidRPr="00C76FE0" w:rsidR="00D04C08">
        <w:rPr>
          <w:szCs w:val="26"/>
        </w:rPr>
        <w:t> . . .</w:t>
      </w:r>
      <w:r w:rsidRPr="00C76FE0" w:rsidR="00036D13">
        <w:rPr>
          <w:szCs w:val="26"/>
        </w:rPr>
        <w:t xml:space="preserve"> agreement, or other instrument in connection with the prosecution, settlement, or defense of a claim or litigation.”  (</w:t>
      </w:r>
      <w:r w:rsidR="00306865">
        <w:rPr>
          <w:szCs w:val="26"/>
        </w:rPr>
        <w:t>§ </w:t>
      </w:r>
      <w:r w:rsidRPr="00C76FE0" w:rsidR="00036D13">
        <w:rPr>
          <w:szCs w:val="26"/>
        </w:rPr>
        <w:t>4459, subds. (d), (e).)</w:t>
      </w:r>
      <w:r w:rsidRPr="00C76FE0" w:rsidR="00ED6E5B">
        <w:rPr>
          <w:szCs w:val="26"/>
        </w:rPr>
        <w:t xml:space="preserve">  </w:t>
      </w:r>
      <w:r w:rsidRPr="00C76FE0" w:rsidR="002E1993">
        <w:rPr>
          <w:szCs w:val="26"/>
        </w:rPr>
        <w:t>Additionally, f</w:t>
      </w:r>
      <w:r w:rsidRPr="00C76FE0" w:rsidR="00ED6E5B">
        <w:rPr>
          <w:szCs w:val="26"/>
        </w:rPr>
        <w:t>or each power granted in a statutory form power of attorney</w:t>
      </w:r>
      <w:r w:rsidR="00306865">
        <w:rPr>
          <w:szCs w:val="26"/>
        </w:rPr>
        <w:t> —</w:t>
      </w:r>
      <w:r w:rsidRPr="00C76FE0" w:rsidR="00B9187A">
        <w:rPr>
          <w:szCs w:val="26"/>
        </w:rPr>
        <w:t xml:space="preserve"> be it </w:t>
      </w:r>
      <w:r w:rsidRPr="00C76FE0" w:rsidR="004E5D9A">
        <w:rPr>
          <w:szCs w:val="26"/>
        </w:rPr>
        <w:t>a power over personal maintenance or other matters</w:t>
      </w:r>
      <w:r w:rsidR="00306865">
        <w:rPr>
          <w:szCs w:val="26"/>
        </w:rPr>
        <w:t> —</w:t>
      </w:r>
      <w:r w:rsidRPr="00C76FE0" w:rsidR="00ED6E5B">
        <w:rPr>
          <w:szCs w:val="26"/>
        </w:rPr>
        <w:t xml:space="preserve"> the agent is</w:t>
      </w:r>
      <w:r w:rsidRPr="00C76FE0" w:rsidR="005100AC">
        <w:rPr>
          <w:szCs w:val="26"/>
        </w:rPr>
        <w:t xml:space="preserve"> </w:t>
      </w:r>
      <w:r w:rsidRPr="00C76FE0" w:rsidR="0098638F">
        <w:rPr>
          <w:szCs w:val="26"/>
        </w:rPr>
        <w:t>separately</w:t>
      </w:r>
      <w:r w:rsidRPr="00C76FE0" w:rsidR="005100AC">
        <w:rPr>
          <w:szCs w:val="26"/>
        </w:rPr>
        <w:t xml:space="preserve"> </w:t>
      </w:r>
      <w:r w:rsidRPr="00C76FE0">
        <w:rPr>
          <w:szCs w:val="26"/>
        </w:rPr>
        <w:t>authorized</w:t>
      </w:r>
      <w:r w:rsidRPr="00C76FE0" w:rsidR="00ED6E5B">
        <w:rPr>
          <w:szCs w:val="26"/>
        </w:rPr>
        <w:t xml:space="preserve">, in exercising power for that subject, to do a variety of things, including to “[p]rosecute, defend, submit to arbitration, settle, and </w:t>
      </w:r>
      <w:r w:rsidRPr="00C76FE0" w:rsidR="00895177">
        <w:rPr>
          <w:szCs w:val="26"/>
        </w:rPr>
        <w:t>propose or accept a compromise with respect to, a claim existing in favor or against the principal</w:t>
      </w:r>
      <w:r w:rsidRPr="00C76FE0" w:rsidR="005E1B34">
        <w:rPr>
          <w:szCs w:val="26"/>
        </w:rPr>
        <w:t>,</w:t>
      </w:r>
      <w:r w:rsidRPr="00C76FE0" w:rsidR="00895177">
        <w:rPr>
          <w:szCs w:val="26"/>
        </w:rPr>
        <w:t>”</w:t>
      </w:r>
      <w:r w:rsidRPr="00C76FE0" w:rsidR="005E1B34">
        <w:rPr>
          <w:szCs w:val="26"/>
        </w:rPr>
        <w:t xml:space="preserve"> and to “do any other lawful act with respect to the subject.” </w:t>
      </w:r>
      <w:r w:rsidRPr="00C76FE0" w:rsidR="00895177">
        <w:rPr>
          <w:szCs w:val="26"/>
        </w:rPr>
        <w:t xml:space="preserve"> (</w:t>
      </w:r>
      <w:r w:rsidR="00306865">
        <w:rPr>
          <w:szCs w:val="26"/>
        </w:rPr>
        <w:t>§ </w:t>
      </w:r>
      <w:r w:rsidRPr="00C76FE0" w:rsidR="00895177">
        <w:rPr>
          <w:szCs w:val="26"/>
        </w:rPr>
        <w:t>4450, subds. (b), (d)</w:t>
      </w:r>
      <w:r w:rsidRPr="00C76FE0" w:rsidR="005E1B34">
        <w:rPr>
          <w:szCs w:val="26"/>
        </w:rPr>
        <w:t>, (j).</w:t>
      </w:r>
      <w:r w:rsidRPr="00C76FE0" w:rsidR="00895177">
        <w:rPr>
          <w:szCs w:val="26"/>
        </w:rPr>
        <w:t>)</w:t>
      </w:r>
      <w:r w:rsidRPr="00C76FE0" w:rsidR="00647670">
        <w:rPr>
          <w:szCs w:val="26"/>
        </w:rPr>
        <w:t xml:space="preserve">  </w:t>
      </w:r>
    </w:p>
    <w:p w:rsidR="0019108C" w:rsidRPr="00C76FE0" w:rsidP="00C76FE0" w14:paraId="2B05F444" w14:textId="77777777">
      <w:pPr>
        <w:ind w:firstLine="720"/>
        <w:rPr>
          <w:szCs w:val="26"/>
        </w:rPr>
      </w:pPr>
      <w:r w:rsidRPr="00C76FE0">
        <w:rPr>
          <w:szCs w:val="26"/>
        </w:rPr>
        <w:t>C</w:t>
      </w:r>
      <w:r w:rsidRPr="00C76FE0" w:rsidR="00B83CF8">
        <w:rPr>
          <w:szCs w:val="26"/>
        </w:rPr>
        <w:t xml:space="preserve">omparing </w:t>
      </w:r>
      <w:r w:rsidRPr="00C76FE0" w:rsidR="00415001">
        <w:rPr>
          <w:szCs w:val="26"/>
        </w:rPr>
        <w:t xml:space="preserve">the Health Care Decisions Law </w:t>
      </w:r>
      <w:r w:rsidRPr="00C76FE0" w:rsidR="00623EAB">
        <w:rPr>
          <w:szCs w:val="26"/>
        </w:rPr>
        <w:t xml:space="preserve">and </w:t>
      </w:r>
      <w:r w:rsidRPr="00C76FE0" w:rsidR="00415001">
        <w:rPr>
          <w:szCs w:val="26"/>
        </w:rPr>
        <w:t>the Uniform Statutory Form Power of Attorney Act</w:t>
      </w:r>
      <w:r w:rsidRPr="00C76FE0" w:rsidR="00B7192F">
        <w:rPr>
          <w:szCs w:val="26"/>
        </w:rPr>
        <w:t xml:space="preserve"> </w:t>
      </w:r>
      <w:r w:rsidRPr="00C76FE0">
        <w:rPr>
          <w:szCs w:val="26"/>
        </w:rPr>
        <w:t xml:space="preserve">is </w:t>
      </w:r>
      <w:r w:rsidRPr="00C76FE0" w:rsidR="00B7192F">
        <w:rPr>
          <w:szCs w:val="26"/>
        </w:rPr>
        <w:t>instructive in several ways</w:t>
      </w:r>
      <w:r w:rsidRPr="00C76FE0" w:rsidR="00F97D6D">
        <w:rPr>
          <w:szCs w:val="26"/>
        </w:rPr>
        <w:t xml:space="preserve">.  </w:t>
      </w:r>
      <w:r w:rsidRPr="00C76FE0" w:rsidR="00B7192F">
        <w:rPr>
          <w:szCs w:val="26"/>
        </w:rPr>
        <w:t>W</w:t>
      </w:r>
      <w:r w:rsidRPr="00C76FE0" w:rsidR="00B83CF8">
        <w:rPr>
          <w:szCs w:val="26"/>
        </w:rPr>
        <w:t xml:space="preserve">e </w:t>
      </w:r>
      <w:r w:rsidRPr="00C76FE0" w:rsidR="00B7192F">
        <w:rPr>
          <w:szCs w:val="26"/>
        </w:rPr>
        <w:t xml:space="preserve">first </w:t>
      </w:r>
      <w:r w:rsidRPr="00C76FE0" w:rsidR="00B83CF8">
        <w:rPr>
          <w:szCs w:val="26"/>
        </w:rPr>
        <w:t>note the Legislature’s specific references in the Uniform Statutory Form Power of Attorney Act to an agent’s power to settle claims or submit claims to arbitration.  Such references are absent from the Health Care Decisions Law.  Th</w:t>
      </w:r>
      <w:r w:rsidRPr="00C76FE0" w:rsidR="007C74F9">
        <w:rPr>
          <w:szCs w:val="26"/>
        </w:rPr>
        <w:t>e</w:t>
      </w:r>
      <w:r w:rsidRPr="00C76FE0" w:rsidR="00B83CF8">
        <w:rPr>
          <w:szCs w:val="26"/>
        </w:rPr>
        <w:t xml:space="preserve"> “specific enumeration” </w:t>
      </w:r>
      <w:r w:rsidRPr="00C76FE0" w:rsidR="00270BC8">
        <w:rPr>
          <w:szCs w:val="26"/>
        </w:rPr>
        <w:t xml:space="preserve">of these powers </w:t>
      </w:r>
      <w:r w:rsidRPr="00C76FE0" w:rsidR="00B83CF8">
        <w:rPr>
          <w:szCs w:val="26"/>
        </w:rPr>
        <w:t xml:space="preserve">in the </w:t>
      </w:r>
      <w:r w:rsidRPr="00C76FE0" w:rsidR="00FB7B50">
        <w:rPr>
          <w:szCs w:val="26"/>
        </w:rPr>
        <w:t xml:space="preserve">power-defining provisions of the Uniform Statutory Form Power of Attorney Act </w:t>
      </w:r>
      <w:r w:rsidRPr="00C76FE0" w:rsidR="00B83CF8">
        <w:rPr>
          <w:szCs w:val="26"/>
        </w:rPr>
        <w:t xml:space="preserve">“weighs heavily against” implying </w:t>
      </w:r>
      <w:r w:rsidRPr="00C76FE0" w:rsidR="00270BC8">
        <w:rPr>
          <w:szCs w:val="26"/>
        </w:rPr>
        <w:t xml:space="preserve">similar or related powers </w:t>
      </w:r>
      <w:r w:rsidRPr="00C76FE0" w:rsidR="00B83CF8">
        <w:rPr>
          <w:szCs w:val="26"/>
        </w:rPr>
        <w:t xml:space="preserve">in the </w:t>
      </w:r>
      <w:r w:rsidRPr="00C76FE0" w:rsidR="00FB7B50">
        <w:rPr>
          <w:szCs w:val="26"/>
        </w:rPr>
        <w:t>context of a health care decision defined under the Heal</w:t>
      </w:r>
      <w:r w:rsidRPr="00C76FE0" w:rsidR="00B7192F">
        <w:rPr>
          <w:szCs w:val="26"/>
        </w:rPr>
        <w:t>t</w:t>
      </w:r>
      <w:r w:rsidRPr="00C76FE0" w:rsidR="00006DB3">
        <w:rPr>
          <w:szCs w:val="26"/>
        </w:rPr>
        <w:t>h</w:t>
      </w:r>
      <w:r w:rsidRPr="00C76FE0" w:rsidR="00FB7B50">
        <w:rPr>
          <w:szCs w:val="26"/>
        </w:rPr>
        <w:t xml:space="preserve"> Care Decisions Law</w:t>
      </w:r>
      <w:r w:rsidRPr="00C76FE0" w:rsidR="00B83CF8">
        <w:rPr>
          <w:szCs w:val="26"/>
        </w:rPr>
        <w:t xml:space="preserve">. </w:t>
      </w:r>
      <w:r w:rsidRPr="00C76FE0" w:rsidR="00B93936">
        <w:rPr>
          <w:szCs w:val="26"/>
        </w:rPr>
        <w:t xml:space="preserve"> (See </w:t>
      </w:r>
      <w:r w:rsidRPr="00C76FE0" w:rsidR="00B93936">
        <w:rPr>
          <w:i/>
          <w:iCs/>
          <w:szCs w:val="26"/>
        </w:rPr>
        <w:t>Wells v. One2One Learning Foundation</w:t>
      </w:r>
      <w:r w:rsidRPr="00C76FE0" w:rsidR="001224C7">
        <w:rPr>
          <w:szCs w:val="26"/>
        </w:rPr>
        <w:t xml:space="preserve">, </w:t>
      </w:r>
      <w:r w:rsidRPr="00C76FE0" w:rsidR="001224C7">
        <w:rPr>
          <w:i/>
          <w:iCs/>
          <w:szCs w:val="26"/>
        </w:rPr>
        <w:t>supra</w:t>
      </w:r>
      <w:r w:rsidRPr="00C76FE0" w:rsidR="001224C7">
        <w:rPr>
          <w:szCs w:val="26"/>
        </w:rPr>
        <w:t>,</w:t>
      </w:r>
      <w:r w:rsidRPr="00C76FE0" w:rsidR="00B93936">
        <w:rPr>
          <w:szCs w:val="26"/>
        </w:rPr>
        <w:t xml:space="preserve"> 39 Cal.4</w:t>
      </w:r>
      <w:r w:rsidRPr="00C76FE0" w:rsidR="00871CA2">
        <w:rPr>
          <w:szCs w:val="26"/>
        </w:rPr>
        <w:t xml:space="preserve">th </w:t>
      </w:r>
      <w:r w:rsidRPr="00C76FE0" w:rsidR="001224C7">
        <w:rPr>
          <w:szCs w:val="26"/>
        </w:rPr>
        <w:t xml:space="preserve">at p. </w:t>
      </w:r>
      <w:r w:rsidRPr="00C76FE0" w:rsidR="00B93936">
        <w:rPr>
          <w:szCs w:val="26"/>
        </w:rPr>
        <w:t>1190.)</w:t>
      </w:r>
      <w:r w:rsidRPr="00C76FE0" w:rsidR="00A13A8D">
        <w:rPr>
          <w:szCs w:val="26"/>
        </w:rPr>
        <w:t xml:space="preserve">  </w:t>
      </w:r>
      <w:r w:rsidRPr="00C76FE0" w:rsidR="00B7192F">
        <w:rPr>
          <w:szCs w:val="26"/>
        </w:rPr>
        <w:t>We next note</w:t>
      </w:r>
      <w:r w:rsidRPr="00C76FE0" w:rsidR="00A13A8D">
        <w:rPr>
          <w:szCs w:val="26"/>
        </w:rPr>
        <w:t xml:space="preserve"> t</w:t>
      </w:r>
      <w:r w:rsidRPr="00C76FE0" w:rsidR="00AC2216">
        <w:rPr>
          <w:szCs w:val="26"/>
        </w:rPr>
        <w:t xml:space="preserve">he </w:t>
      </w:r>
      <w:r w:rsidRPr="00C76FE0" w:rsidR="00CD4B9D">
        <w:rPr>
          <w:szCs w:val="26"/>
        </w:rPr>
        <w:t>Uniform Statutory Form Power of Attorney Act</w:t>
      </w:r>
      <w:r w:rsidRPr="00C76FE0" w:rsidR="00A13A8D">
        <w:rPr>
          <w:szCs w:val="26"/>
        </w:rPr>
        <w:t xml:space="preserve"> </w:t>
      </w:r>
      <w:r w:rsidRPr="00C76FE0" w:rsidR="00270BC8">
        <w:rPr>
          <w:szCs w:val="26"/>
        </w:rPr>
        <w:t xml:space="preserve">expressly </w:t>
      </w:r>
      <w:r w:rsidRPr="00C76FE0" w:rsidR="00AC2216">
        <w:rPr>
          <w:szCs w:val="26"/>
        </w:rPr>
        <w:t>acknowledges a distinction between</w:t>
      </w:r>
      <w:r w:rsidRPr="00C76FE0" w:rsidR="0077380F">
        <w:rPr>
          <w:szCs w:val="26"/>
        </w:rPr>
        <w:t xml:space="preserve"> </w:t>
      </w:r>
      <w:r w:rsidRPr="00C76FE0" w:rsidR="00CD4B9D">
        <w:rPr>
          <w:szCs w:val="26"/>
        </w:rPr>
        <w:t xml:space="preserve">the decisions it authorizes, such as those related to claims and litigation, and </w:t>
      </w:r>
      <w:r w:rsidRPr="00C76FE0" w:rsidR="00AC2216">
        <w:rPr>
          <w:szCs w:val="26"/>
        </w:rPr>
        <w:t>health care decisions</w:t>
      </w:r>
      <w:r w:rsidRPr="00C76FE0" w:rsidR="00CD4B9D">
        <w:rPr>
          <w:szCs w:val="26"/>
        </w:rPr>
        <w:t xml:space="preserve">.  </w:t>
      </w:r>
      <w:r w:rsidRPr="00C76FE0" w:rsidR="00ED25D1">
        <w:rPr>
          <w:szCs w:val="26"/>
        </w:rPr>
        <w:t>In particular</w:t>
      </w:r>
      <w:r w:rsidRPr="00C76FE0" w:rsidR="00BB0626">
        <w:rPr>
          <w:szCs w:val="26"/>
        </w:rPr>
        <w:t>, t</w:t>
      </w:r>
      <w:r w:rsidRPr="00C76FE0" w:rsidR="00B83CF8">
        <w:rPr>
          <w:szCs w:val="26"/>
        </w:rPr>
        <w:t xml:space="preserve">he </w:t>
      </w:r>
      <w:r w:rsidRPr="00C76FE0" w:rsidR="00025375">
        <w:rPr>
          <w:szCs w:val="26"/>
        </w:rPr>
        <w:t xml:space="preserve">warning atop the </w:t>
      </w:r>
      <w:r w:rsidRPr="00C76FE0" w:rsidR="00B83CF8">
        <w:rPr>
          <w:szCs w:val="26"/>
        </w:rPr>
        <w:t>traditional power of attorney form</w:t>
      </w:r>
      <w:r w:rsidRPr="00C76FE0" w:rsidR="00CD4B9D">
        <w:rPr>
          <w:szCs w:val="26"/>
        </w:rPr>
        <w:t xml:space="preserve"> ca</w:t>
      </w:r>
      <w:r w:rsidRPr="00C76FE0" w:rsidR="00B7192F">
        <w:rPr>
          <w:szCs w:val="26"/>
        </w:rPr>
        <w:t>u</w:t>
      </w:r>
      <w:r w:rsidRPr="00C76FE0" w:rsidR="00CD4B9D">
        <w:rPr>
          <w:szCs w:val="26"/>
        </w:rPr>
        <w:t>tions</w:t>
      </w:r>
      <w:r w:rsidRPr="00C76FE0" w:rsidR="00C0214D">
        <w:rPr>
          <w:szCs w:val="26"/>
        </w:rPr>
        <w:t xml:space="preserve">, in block capital letters, </w:t>
      </w:r>
      <w:r w:rsidRPr="00C76FE0" w:rsidR="00DE7E09">
        <w:rPr>
          <w:szCs w:val="26"/>
        </w:rPr>
        <w:t>that i</w:t>
      </w:r>
      <w:r w:rsidRPr="00C76FE0" w:rsidR="00271D73">
        <w:rPr>
          <w:szCs w:val="26"/>
        </w:rPr>
        <w:t>t does not authorize</w:t>
      </w:r>
      <w:r w:rsidRPr="00C76FE0" w:rsidR="00CD4B9D">
        <w:rPr>
          <w:szCs w:val="26"/>
        </w:rPr>
        <w:t xml:space="preserve"> </w:t>
      </w:r>
      <w:r w:rsidRPr="00C76FE0" w:rsidR="00B83CF8">
        <w:rPr>
          <w:szCs w:val="26"/>
        </w:rPr>
        <w:t>health care decisions.  (</w:t>
      </w:r>
      <w:r w:rsidR="00306865">
        <w:rPr>
          <w:szCs w:val="26"/>
        </w:rPr>
        <w:t>§ </w:t>
      </w:r>
      <w:r w:rsidRPr="00C76FE0" w:rsidR="00B83CF8">
        <w:rPr>
          <w:szCs w:val="26"/>
        </w:rPr>
        <w:t>4401.)</w:t>
      </w:r>
    </w:p>
    <w:p w:rsidR="004F32DC" w:rsidRPr="00C76FE0" w:rsidP="00C76FE0" w14:paraId="2B05F445" w14:textId="77777777">
      <w:pPr>
        <w:ind w:firstLine="720"/>
        <w:rPr>
          <w:szCs w:val="26"/>
        </w:rPr>
      </w:pPr>
      <w:r w:rsidRPr="00C76FE0">
        <w:rPr>
          <w:szCs w:val="26"/>
        </w:rPr>
        <w:t>Furthermore</w:t>
      </w:r>
      <w:r w:rsidRPr="00C76FE0" w:rsidR="00211E22">
        <w:rPr>
          <w:szCs w:val="26"/>
        </w:rPr>
        <w:t>, i</w:t>
      </w:r>
      <w:r w:rsidRPr="00C76FE0" w:rsidR="00765BB5">
        <w:rPr>
          <w:szCs w:val="26"/>
        </w:rPr>
        <w:t xml:space="preserve">n </w:t>
      </w:r>
      <w:r w:rsidRPr="00C76FE0" w:rsidR="00A13F2A">
        <w:rPr>
          <w:szCs w:val="26"/>
        </w:rPr>
        <w:t xml:space="preserve">discerning the </w:t>
      </w:r>
      <w:r w:rsidRPr="00C76FE0" w:rsidR="00045F18">
        <w:rPr>
          <w:szCs w:val="26"/>
        </w:rPr>
        <w:t xml:space="preserve">scope of the </w:t>
      </w:r>
      <w:r w:rsidRPr="00C76FE0" w:rsidR="00A13F2A">
        <w:rPr>
          <w:szCs w:val="26"/>
        </w:rPr>
        <w:t>term “</w:t>
      </w:r>
      <w:r w:rsidRPr="00C76FE0" w:rsidR="00765BB5">
        <w:rPr>
          <w:szCs w:val="26"/>
        </w:rPr>
        <w:t>health care decision</w:t>
      </w:r>
      <w:r w:rsidRPr="00C76FE0" w:rsidR="00045F18">
        <w:rPr>
          <w:szCs w:val="26"/>
        </w:rPr>
        <w:t>,</w:t>
      </w:r>
      <w:r w:rsidRPr="00C76FE0" w:rsidR="004D19E1">
        <w:rPr>
          <w:szCs w:val="26"/>
        </w:rPr>
        <w:t>”</w:t>
      </w:r>
      <w:r w:rsidRPr="00C76FE0" w:rsidR="00045F18">
        <w:rPr>
          <w:szCs w:val="26"/>
        </w:rPr>
        <w:t xml:space="preserve"> as envisioned by the </w:t>
      </w:r>
      <w:r w:rsidRPr="00C76FE0" w:rsidR="00B7192F">
        <w:rPr>
          <w:szCs w:val="26"/>
        </w:rPr>
        <w:t>L</w:t>
      </w:r>
      <w:r w:rsidRPr="00C76FE0" w:rsidR="00045F18">
        <w:rPr>
          <w:szCs w:val="26"/>
        </w:rPr>
        <w:t>egislature</w:t>
      </w:r>
      <w:r w:rsidRPr="00C76FE0" w:rsidR="004E5D9A">
        <w:rPr>
          <w:szCs w:val="26"/>
        </w:rPr>
        <w:t xml:space="preserve"> and, in turn, Logan</w:t>
      </w:r>
      <w:r w:rsidRPr="00C76FE0" w:rsidR="00BB0626">
        <w:rPr>
          <w:szCs w:val="26"/>
        </w:rPr>
        <w:t>’s power of attorney</w:t>
      </w:r>
      <w:r w:rsidRPr="00C76FE0" w:rsidR="00765BB5">
        <w:rPr>
          <w:szCs w:val="26"/>
        </w:rPr>
        <w:t xml:space="preserve">, </w:t>
      </w:r>
      <w:r w:rsidRPr="00C76FE0" w:rsidR="00BB0626">
        <w:rPr>
          <w:szCs w:val="26"/>
        </w:rPr>
        <w:t xml:space="preserve">our </w:t>
      </w:r>
      <w:r w:rsidRPr="00C76FE0">
        <w:rPr>
          <w:szCs w:val="26"/>
        </w:rPr>
        <w:t xml:space="preserve">precedent instructs </w:t>
      </w:r>
      <w:r w:rsidRPr="00C76FE0" w:rsidR="00765BB5">
        <w:rPr>
          <w:szCs w:val="26"/>
        </w:rPr>
        <w:t xml:space="preserve">we should not only address the differences in the various </w:t>
      </w:r>
      <w:r w:rsidR="0011623F">
        <w:rPr>
          <w:szCs w:val="26"/>
        </w:rPr>
        <w:t>P</w:t>
      </w:r>
      <w:r w:rsidRPr="00C76FE0" w:rsidR="00765BB5">
        <w:rPr>
          <w:szCs w:val="26"/>
        </w:rPr>
        <w:t xml:space="preserve">robate </w:t>
      </w:r>
      <w:r w:rsidR="0011623F">
        <w:rPr>
          <w:szCs w:val="26"/>
        </w:rPr>
        <w:t>C</w:t>
      </w:r>
      <w:r w:rsidRPr="00C76FE0" w:rsidR="00765BB5">
        <w:rPr>
          <w:szCs w:val="26"/>
        </w:rPr>
        <w:t>ode provisions, but strive to harmonize them</w:t>
      </w:r>
      <w:r w:rsidRPr="00C76FE0" w:rsidR="0072205F">
        <w:rPr>
          <w:szCs w:val="26"/>
        </w:rPr>
        <w:t>, avoiding anomalies</w:t>
      </w:r>
      <w:r w:rsidRPr="00C76FE0" w:rsidR="00765BB5">
        <w:rPr>
          <w:szCs w:val="26"/>
        </w:rPr>
        <w:t>.  (</w:t>
      </w:r>
      <w:r w:rsidRPr="00C76FE0" w:rsidR="00765BB5">
        <w:rPr>
          <w:i/>
          <w:iCs/>
          <w:szCs w:val="26"/>
        </w:rPr>
        <w:t>First Student Cases</w:t>
      </w:r>
      <w:r w:rsidRPr="00C76FE0" w:rsidR="00765BB5">
        <w:rPr>
          <w:szCs w:val="26"/>
        </w:rPr>
        <w:t xml:space="preserve"> (2018) 5 Cal.5th 1026, 1035 [“We construe statutory language in the context of the statutory framework, seeking to discern the </w:t>
      </w:r>
      <w:r w:rsidRPr="00C76FE0" w:rsidR="00A12078">
        <w:rPr>
          <w:szCs w:val="26"/>
        </w:rPr>
        <w:t>statute</w:t>
      </w:r>
      <w:r w:rsidR="00A12078">
        <w:rPr>
          <w:szCs w:val="26"/>
        </w:rPr>
        <w:t>’</w:t>
      </w:r>
      <w:r w:rsidRPr="00C76FE0" w:rsidR="00A12078">
        <w:rPr>
          <w:szCs w:val="26"/>
        </w:rPr>
        <w:t xml:space="preserve">s </w:t>
      </w:r>
      <w:r w:rsidRPr="00C76FE0" w:rsidR="00765BB5">
        <w:rPr>
          <w:szCs w:val="26"/>
        </w:rPr>
        <w:t xml:space="preserve">underlying purpose and to harmonize its different components”].)  </w:t>
      </w:r>
      <w:r w:rsidRPr="00C76FE0" w:rsidR="00E26897">
        <w:rPr>
          <w:szCs w:val="26"/>
        </w:rPr>
        <w:t>D</w:t>
      </w:r>
      <w:r w:rsidRPr="00C76FE0" w:rsidR="00ED6D4D">
        <w:rPr>
          <w:szCs w:val="26"/>
        </w:rPr>
        <w:t>efin</w:t>
      </w:r>
      <w:r w:rsidRPr="00C76FE0" w:rsidR="00E26897">
        <w:rPr>
          <w:szCs w:val="26"/>
        </w:rPr>
        <w:t>ing</w:t>
      </w:r>
      <w:r w:rsidRPr="00C76FE0" w:rsidR="00ED6D4D">
        <w:rPr>
          <w:szCs w:val="26"/>
        </w:rPr>
        <w:t xml:space="preserve"> health care decisions as including decisions </w:t>
      </w:r>
      <w:r w:rsidRPr="00C76FE0" w:rsidR="0018464D">
        <w:rPr>
          <w:szCs w:val="26"/>
        </w:rPr>
        <w:t>about</w:t>
      </w:r>
      <w:r w:rsidRPr="00C76FE0" w:rsidR="00ED6D4D">
        <w:rPr>
          <w:szCs w:val="26"/>
        </w:rPr>
        <w:t xml:space="preserve"> dispute resolution that </w:t>
      </w:r>
      <w:r w:rsidRPr="00C76FE0" w:rsidR="00B7192F">
        <w:rPr>
          <w:szCs w:val="26"/>
        </w:rPr>
        <w:t xml:space="preserve">are </w:t>
      </w:r>
      <w:r w:rsidRPr="00C76FE0" w:rsidR="00ED6D4D">
        <w:rPr>
          <w:szCs w:val="26"/>
        </w:rPr>
        <w:t>not necessary</w:t>
      </w:r>
      <w:r w:rsidRPr="00C76FE0" w:rsidR="005D74AC">
        <w:rPr>
          <w:szCs w:val="26"/>
        </w:rPr>
        <w:t xml:space="preserve"> </w:t>
      </w:r>
      <w:r w:rsidRPr="00C76FE0" w:rsidR="00ED6D4D">
        <w:rPr>
          <w:szCs w:val="26"/>
        </w:rPr>
        <w:t>for health care</w:t>
      </w:r>
      <w:r w:rsidRPr="00C76FE0" w:rsidR="00E26897">
        <w:rPr>
          <w:szCs w:val="26"/>
        </w:rPr>
        <w:t xml:space="preserve"> </w:t>
      </w:r>
      <w:r w:rsidRPr="00C76FE0" w:rsidR="00211E22">
        <w:rPr>
          <w:szCs w:val="26"/>
        </w:rPr>
        <w:t xml:space="preserve">might </w:t>
      </w:r>
      <w:r w:rsidRPr="00C76FE0" w:rsidR="00896831">
        <w:rPr>
          <w:szCs w:val="26"/>
        </w:rPr>
        <w:t xml:space="preserve">create </w:t>
      </w:r>
      <w:r w:rsidRPr="00C76FE0" w:rsidR="003C236A">
        <w:rPr>
          <w:szCs w:val="26"/>
        </w:rPr>
        <w:t xml:space="preserve">unnecessary </w:t>
      </w:r>
      <w:r w:rsidRPr="00C76FE0" w:rsidR="00211E22">
        <w:rPr>
          <w:szCs w:val="26"/>
        </w:rPr>
        <w:t xml:space="preserve">tension </w:t>
      </w:r>
      <w:r w:rsidRPr="00C76FE0" w:rsidR="00896831">
        <w:rPr>
          <w:szCs w:val="26"/>
        </w:rPr>
        <w:t xml:space="preserve">between </w:t>
      </w:r>
      <w:r w:rsidRPr="00C76FE0" w:rsidR="0077380F">
        <w:rPr>
          <w:szCs w:val="26"/>
        </w:rPr>
        <w:t xml:space="preserve">the two regimes for powers of attorney and between </w:t>
      </w:r>
      <w:r w:rsidRPr="00C76FE0" w:rsidR="00896831">
        <w:rPr>
          <w:szCs w:val="26"/>
        </w:rPr>
        <w:t>agents</w:t>
      </w:r>
      <w:r w:rsidRPr="00C76FE0" w:rsidR="0077380F">
        <w:rPr>
          <w:szCs w:val="26"/>
        </w:rPr>
        <w:t xml:space="preserve"> designated under them</w:t>
      </w:r>
      <w:r w:rsidRPr="00C76FE0" w:rsidR="00896831">
        <w:rPr>
          <w:szCs w:val="26"/>
        </w:rPr>
        <w:t xml:space="preserve">.  </w:t>
      </w:r>
      <w:r w:rsidRPr="00C76FE0" w:rsidR="00BB0626">
        <w:rPr>
          <w:szCs w:val="26"/>
        </w:rPr>
        <w:t>Doing so, for example,</w:t>
      </w:r>
      <w:r w:rsidRPr="00C76FE0" w:rsidR="00896831">
        <w:rPr>
          <w:szCs w:val="26"/>
        </w:rPr>
        <w:t xml:space="preserve"> could </w:t>
      </w:r>
      <w:r w:rsidRPr="00C76FE0" w:rsidR="00ED6D4D">
        <w:rPr>
          <w:szCs w:val="26"/>
        </w:rPr>
        <w:t>undermine the expectations of a principal who designate</w:t>
      </w:r>
      <w:r w:rsidRPr="00C76FE0" w:rsidR="0026553E">
        <w:rPr>
          <w:szCs w:val="26"/>
        </w:rPr>
        <w:t>s</w:t>
      </w:r>
      <w:r w:rsidRPr="00C76FE0" w:rsidR="00ED6D4D">
        <w:rPr>
          <w:szCs w:val="26"/>
        </w:rPr>
        <w:t xml:space="preserve"> one </w:t>
      </w:r>
      <w:r w:rsidRPr="00C76FE0" w:rsidR="00896831">
        <w:rPr>
          <w:szCs w:val="26"/>
        </w:rPr>
        <w:t xml:space="preserve">agent </w:t>
      </w:r>
      <w:r w:rsidRPr="00C76FE0" w:rsidR="00ED6D4D">
        <w:rPr>
          <w:szCs w:val="26"/>
        </w:rPr>
        <w:t>to make health care decisions a</w:t>
      </w:r>
      <w:r w:rsidRPr="00C76FE0" w:rsidR="0077380F">
        <w:rPr>
          <w:szCs w:val="26"/>
        </w:rPr>
        <w:t>nd another agent</w:t>
      </w:r>
      <w:r w:rsidRPr="00C76FE0" w:rsidR="00ED6D4D">
        <w:rPr>
          <w:szCs w:val="26"/>
        </w:rPr>
        <w:t xml:space="preserve">, under the </w:t>
      </w:r>
      <w:r w:rsidRPr="00C76FE0" w:rsidR="0026553E">
        <w:rPr>
          <w:szCs w:val="26"/>
        </w:rPr>
        <w:t>form</w:t>
      </w:r>
      <w:r w:rsidRPr="00C76FE0" w:rsidR="00ED6D4D">
        <w:rPr>
          <w:szCs w:val="26"/>
        </w:rPr>
        <w:t xml:space="preserve"> power of attorney, to make decisions about claims and litigation.  </w:t>
      </w:r>
      <w:bookmarkStart w:id="3" w:name="_Hlk154588275"/>
      <w:r w:rsidRPr="00C76FE0" w:rsidR="0077380F">
        <w:rPr>
          <w:szCs w:val="26"/>
        </w:rPr>
        <w:t xml:space="preserve">A principal executing </w:t>
      </w:r>
      <w:r w:rsidRPr="00C76FE0" w:rsidR="00F12E8D">
        <w:rPr>
          <w:szCs w:val="26"/>
        </w:rPr>
        <w:t xml:space="preserve">both </w:t>
      </w:r>
      <w:r w:rsidRPr="00C76FE0" w:rsidR="0077380F">
        <w:rPr>
          <w:szCs w:val="26"/>
        </w:rPr>
        <w:t>form power</w:t>
      </w:r>
      <w:r w:rsidRPr="00C76FE0" w:rsidR="002976A1">
        <w:rPr>
          <w:szCs w:val="26"/>
        </w:rPr>
        <w:t>s</w:t>
      </w:r>
      <w:r w:rsidRPr="00C76FE0" w:rsidR="0077380F">
        <w:rPr>
          <w:szCs w:val="26"/>
        </w:rPr>
        <w:t xml:space="preserve"> of attorney found in section</w:t>
      </w:r>
      <w:r w:rsidRPr="00C76FE0" w:rsidR="00E26897">
        <w:rPr>
          <w:szCs w:val="26"/>
        </w:rPr>
        <w:t>s</w:t>
      </w:r>
      <w:r w:rsidRPr="00C76FE0" w:rsidR="0077380F">
        <w:rPr>
          <w:szCs w:val="26"/>
        </w:rPr>
        <w:t xml:space="preserve"> 4401 </w:t>
      </w:r>
      <w:r w:rsidRPr="00C76FE0" w:rsidR="002976A1">
        <w:rPr>
          <w:szCs w:val="26"/>
        </w:rPr>
        <w:t xml:space="preserve">and 4701 </w:t>
      </w:r>
      <w:r w:rsidRPr="00C76FE0" w:rsidR="0077380F">
        <w:rPr>
          <w:szCs w:val="26"/>
        </w:rPr>
        <w:t>could readily view health care decisions as separate from decisions involving claims and litigation</w:t>
      </w:r>
      <w:r w:rsidRPr="00C76FE0" w:rsidR="0026553E">
        <w:rPr>
          <w:szCs w:val="26"/>
        </w:rPr>
        <w:t>, because the form</w:t>
      </w:r>
      <w:r w:rsidRPr="00C76FE0" w:rsidR="002976A1">
        <w:rPr>
          <w:szCs w:val="26"/>
        </w:rPr>
        <w:t xml:space="preserve">s </w:t>
      </w:r>
      <w:r w:rsidRPr="00C76FE0" w:rsidR="0026553E">
        <w:rPr>
          <w:szCs w:val="26"/>
        </w:rPr>
        <w:t xml:space="preserve">expressly </w:t>
      </w:r>
      <w:r w:rsidRPr="00C76FE0" w:rsidR="0004180F">
        <w:rPr>
          <w:szCs w:val="26"/>
        </w:rPr>
        <w:t xml:space="preserve">make this </w:t>
      </w:r>
      <w:r w:rsidRPr="00C76FE0" w:rsidR="00B30FFC">
        <w:rPr>
          <w:szCs w:val="26"/>
        </w:rPr>
        <w:t>distinction</w:t>
      </w:r>
      <w:r w:rsidRPr="00C76FE0" w:rsidR="0077380F">
        <w:rPr>
          <w:szCs w:val="26"/>
        </w:rPr>
        <w:t>.  In that case, the</w:t>
      </w:r>
      <w:r w:rsidRPr="00C76FE0" w:rsidR="00ED6D4D">
        <w:rPr>
          <w:szCs w:val="26"/>
        </w:rPr>
        <w:t xml:space="preserve"> principal </w:t>
      </w:r>
      <w:r w:rsidRPr="00C76FE0" w:rsidR="0026553E">
        <w:rPr>
          <w:szCs w:val="26"/>
        </w:rPr>
        <w:t>might</w:t>
      </w:r>
      <w:r w:rsidRPr="00C76FE0" w:rsidR="00ED6D4D">
        <w:rPr>
          <w:szCs w:val="26"/>
        </w:rPr>
        <w:t xml:space="preserve"> expect</w:t>
      </w:r>
      <w:r w:rsidRPr="00C76FE0" w:rsidR="00FF66F6">
        <w:rPr>
          <w:szCs w:val="26"/>
        </w:rPr>
        <w:t xml:space="preserve"> and prefer</w:t>
      </w:r>
      <w:r w:rsidRPr="00C76FE0" w:rsidR="00ED6D4D">
        <w:rPr>
          <w:szCs w:val="26"/>
        </w:rPr>
        <w:t xml:space="preserve"> the agent in charge of claims and litigation to </w:t>
      </w:r>
      <w:r w:rsidRPr="00C76FE0" w:rsidR="0026553E">
        <w:rPr>
          <w:szCs w:val="26"/>
        </w:rPr>
        <w:t xml:space="preserve">accept or reject </w:t>
      </w:r>
      <w:r w:rsidRPr="00C76FE0" w:rsidR="00EE7C25">
        <w:rPr>
          <w:szCs w:val="26"/>
        </w:rPr>
        <w:t>optional arbitration agreements</w:t>
      </w:r>
      <w:r w:rsidRPr="00C76FE0" w:rsidR="00ED6D4D">
        <w:rPr>
          <w:szCs w:val="26"/>
        </w:rPr>
        <w:t xml:space="preserve">.  </w:t>
      </w:r>
      <w:bookmarkEnd w:id="3"/>
      <w:r w:rsidRPr="00C76FE0" w:rsidR="00896831">
        <w:rPr>
          <w:szCs w:val="26"/>
        </w:rPr>
        <w:t>A</w:t>
      </w:r>
      <w:r w:rsidRPr="00C76FE0" w:rsidR="00ED6D4D">
        <w:rPr>
          <w:szCs w:val="26"/>
        </w:rPr>
        <w:t xml:space="preserve"> broad construction of </w:t>
      </w:r>
      <w:r w:rsidRPr="00C76FE0" w:rsidR="00E26897">
        <w:rPr>
          <w:szCs w:val="26"/>
        </w:rPr>
        <w:t xml:space="preserve">the term </w:t>
      </w:r>
      <w:r w:rsidRPr="00C76FE0" w:rsidR="00ED6D4D">
        <w:rPr>
          <w:szCs w:val="26"/>
        </w:rPr>
        <w:t xml:space="preserve">health care decision </w:t>
      </w:r>
      <w:r w:rsidRPr="00C76FE0" w:rsidR="00FF66F6">
        <w:rPr>
          <w:szCs w:val="26"/>
        </w:rPr>
        <w:t xml:space="preserve">might, </w:t>
      </w:r>
      <w:r w:rsidRPr="00C76FE0" w:rsidR="004E5D9A">
        <w:rPr>
          <w:szCs w:val="26"/>
        </w:rPr>
        <w:t xml:space="preserve">therefore, and </w:t>
      </w:r>
      <w:r w:rsidRPr="00C76FE0" w:rsidR="00FF66F6">
        <w:rPr>
          <w:szCs w:val="26"/>
        </w:rPr>
        <w:t xml:space="preserve">contrary to </w:t>
      </w:r>
      <w:r w:rsidRPr="00C76FE0" w:rsidR="00BB0626">
        <w:rPr>
          <w:szCs w:val="26"/>
        </w:rPr>
        <w:t>the p</w:t>
      </w:r>
      <w:r w:rsidRPr="00C76FE0" w:rsidR="00F12E8D">
        <w:rPr>
          <w:szCs w:val="26"/>
        </w:rPr>
        <w:t xml:space="preserve">rincipal’s </w:t>
      </w:r>
      <w:r w:rsidRPr="00C76FE0" w:rsidR="00FF66F6">
        <w:rPr>
          <w:szCs w:val="26"/>
        </w:rPr>
        <w:t xml:space="preserve">expectations, </w:t>
      </w:r>
      <w:r w:rsidRPr="00C76FE0" w:rsidR="00ED6D4D">
        <w:rPr>
          <w:szCs w:val="26"/>
        </w:rPr>
        <w:t xml:space="preserve">“override” </w:t>
      </w:r>
      <w:r w:rsidRPr="00C76FE0" w:rsidR="0077380F">
        <w:rPr>
          <w:szCs w:val="26"/>
        </w:rPr>
        <w:t>a</w:t>
      </w:r>
      <w:r w:rsidRPr="00C76FE0" w:rsidR="006C7CA9">
        <w:rPr>
          <w:szCs w:val="26"/>
        </w:rPr>
        <w:t xml:space="preserve"> </w:t>
      </w:r>
      <w:r w:rsidRPr="00C76FE0" w:rsidR="00ED6D4D">
        <w:rPr>
          <w:szCs w:val="26"/>
        </w:rPr>
        <w:t>grant of power</w:t>
      </w:r>
      <w:r w:rsidRPr="00C76FE0" w:rsidR="0077380F">
        <w:rPr>
          <w:szCs w:val="26"/>
        </w:rPr>
        <w:t xml:space="preserve"> over claims and litigation decisions</w:t>
      </w:r>
      <w:r w:rsidRPr="00C76FE0" w:rsidR="00896831">
        <w:rPr>
          <w:szCs w:val="26"/>
        </w:rPr>
        <w:t xml:space="preserve">.  </w:t>
      </w:r>
      <w:r w:rsidRPr="00C76FE0" w:rsidR="00ED6D4D">
        <w:rPr>
          <w:szCs w:val="26"/>
        </w:rPr>
        <w:t>(</w:t>
      </w:r>
      <w:r w:rsidRPr="00C76FE0" w:rsidR="00896831">
        <w:rPr>
          <w:szCs w:val="26"/>
        </w:rPr>
        <w:t xml:space="preserve">See </w:t>
      </w:r>
      <w:r w:rsidRPr="00C044B2" w:rsidR="00ED6D4D">
        <w:rPr>
          <w:i/>
          <w:iCs/>
          <w:szCs w:val="26"/>
        </w:rPr>
        <w:t>Johnson v. Kindred Healthcare, Inc.</w:t>
      </w:r>
      <w:r w:rsidRPr="00C044B2" w:rsidR="00896831">
        <w:rPr>
          <w:szCs w:val="26"/>
        </w:rPr>
        <w:t xml:space="preserve"> (</w:t>
      </w:r>
      <w:r w:rsidRPr="00C044B2" w:rsidR="00C8663E">
        <w:rPr>
          <w:szCs w:val="26"/>
        </w:rPr>
        <w:t xml:space="preserve">Mass. </w:t>
      </w:r>
      <w:r w:rsidRPr="00C044B2" w:rsidR="00896831">
        <w:rPr>
          <w:szCs w:val="26"/>
        </w:rPr>
        <w:t xml:space="preserve">2014) </w:t>
      </w:r>
      <w:r w:rsidRPr="00C044B2" w:rsidR="00C8663E">
        <w:rPr>
          <w:szCs w:val="26"/>
        </w:rPr>
        <w:t>2 N.E.3d 849</w:t>
      </w:r>
      <w:r w:rsidRPr="00D909BC" w:rsidR="00C8663E">
        <w:rPr>
          <w:szCs w:val="26"/>
        </w:rPr>
        <w:t>, 856</w:t>
      </w:r>
      <w:r w:rsidRPr="00D909BC" w:rsidR="00ED6D4D">
        <w:rPr>
          <w:szCs w:val="26"/>
        </w:rPr>
        <w:t xml:space="preserve">, </w:t>
      </w:r>
      <w:r w:rsidRPr="00D909BC" w:rsidR="00C8663E">
        <w:rPr>
          <w:szCs w:val="26"/>
        </w:rPr>
        <w:t>859</w:t>
      </w:r>
      <w:r w:rsidRPr="00D909BC" w:rsidR="00ED6D4D">
        <w:rPr>
          <w:szCs w:val="26"/>
        </w:rPr>
        <w:t xml:space="preserve"> [reaching a similar conclusion under Massachusetts law].)</w:t>
      </w:r>
      <w:r>
        <w:rPr>
          <w:rStyle w:val="FootnoteReference"/>
        </w:rPr>
        <w:footnoteReference w:id="9"/>
      </w:r>
      <w:r w:rsidRPr="00D909BC" w:rsidR="0004180F">
        <w:rPr>
          <w:szCs w:val="26"/>
        </w:rPr>
        <w:t xml:space="preserve">  On the other hand, if arbitration is, as here, not a condition of treatment, a health care agent’s lack of authority to enter </w:t>
      </w:r>
      <w:r w:rsidRPr="00D909BC" w:rsidR="005E0404">
        <w:rPr>
          <w:szCs w:val="26"/>
        </w:rPr>
        <w:t xml:space="preserve">arbitration </w:t>
      </w:r>
      <w:r w:rsidRPr="00D909BC" w:rsidR="0004180F">
        <w:rPr>
          <w:szCs w:val="26"/>
        </w:rPr>
        <w:t>agreements would n</w:t>
      </w:r>
      <w:r w:rsidRPr="00D909BC" w:rsidR="00593B7D">
        <w:rPr>
          <w:szCs w:val="26"/>
        </w:rPr>
        <w:t xml:space="preserve">ot </w:t>
      </w:r>
      <w:r w:rsidRPr="00D909BC" w:rsidR="0004180F">
        <w:rPr>
          <w:szCs w:val="26"/>
        </w:rPr>
        <w:t>deprive a principal of health care.</w:t>
      </w:r>
      <w:r w:rsidRPr="00D909BC" w:rsidR="008A621F">
        <w:rPr>
          <w:szCs w:val="26"/>
        </w:rPr>
        <w:t xml:space="preserve">  (Cf. </w:t>
      </w:r>
      <w:r w:rsidRPr="00691C73" w:rsidR="008A621F">
        <w:rPr>
          <w:i/>
          <w:iCs/>
          <w:szCs w:val="26"/>
        </w:rPr>
        <w:t>Owens v. Nat’l Health Corp.</w:t>
      </w:r>
      <w:r w:rsidRPr="00691C73" w:rsidR="008A621F">
        <w:rPr>
          <w:szCs w:val="26"/>
        </w:rPr>
        <w:t xml:space="preserve"> (Tenn. 2007) 263 S.W.3d 876</w:t>
      </w:r>
      <w:r w:rsidRPr="00D909BC" w:rsidR="008A621F">
        <w:rPr>
          <w:szCs w:val="26"/>
        </w:rPr>
        <w:t xml:space="preserve">, 885 [raising this concern </w:t>
      </w:r>
      <w:r w:rsidRPr="00D909BC" w:rsidR="00C8663E">
        <w:rPr>
          <w:szCs w:val="26"/>
        </w:rPr>
        <w:t xml:space="preserve">regarding </w:t>
      </w:r>
      <w:r w:rsidRPr="00D909BC" w:rsidR="008A621F">
        <w:rPr>
          <w:szCs w:val="26"/>
        </w:rPr>
        <w:t>arbitration agreements included in a contract required for admission].)</w:t>
      </w:r>
    </w:p>
    <w:p w:rsidR="004F32DC" w:rsidRPr="00C76FE0" w:rsidP="00C76FE0" w14:paraId="2B05F446" w14:textId="77777777">
      <w:pPr>
        <w:ind w:firstLine="720"/>
        <w:rPr>
          <w:szCs w:val="26"/>
        </w:rPr>
      </w:pPr>
      <w:r w:rsidRPr="00C76FE0">
        <w:rPr>
          <w:szCs w:val="26"/>
        </w:rPr>
        <w:t xml:space="preserve">Moreover, </w:t>
      </w:r>
      <w:r w:rsidRPr="00C76FE0" w:rsidR="004D19E1">
        <w:rPr>
          <w:szCs w:val="26"/>
        </w:rPr>
        <w:t xml:space="preserve">interpreting </w:t>
      </w:r>
      <w:r w:rsidRPr="00C76FE0">
        <w:rPr>
          <w:szCs w:val="26"/>
        </w:rPr>
        <w:t xml:space="preserve">the term </w:t>
      </w:r>
      <w:r w:rsidRPr="00C76FE0" w:rsidR="00F17455">
        <w:rPr>
          <w:szCs w:val="26"/>
        </w:rPr>
        <w:t xml:space="preserve">“health care decision” </w:t>
      </w:r>
      <w:r w:rsidRPr="00C76FE0" w:rsidR="004D19E1">
        <w:rPr>
          <w:szCs w:val="26"/>
        </w:rPr>
        <w:t>to exclude</w:t>
      </w:r>
      <w:r w:rsidRPr="00C76FE0" w:rsidR="00F17455">
        <w:rPr>
          <w:szCs w:val="26"/>
        </w:rPr>
        <w:t xml:space="preserve"> optional and separate agreements to arbitrate </w:t>
      </w:r>
      <w:r w:rsidRPr="00C76FE0" w:rsidR="00515D0F">
        <w:rPr>
          <w:szCs w:val="26"/>
        </w:rPr>
        <w:t>fit</w:t>
      </w:r>
      <w:r w:rsidRPr="00C76FE0" w:rsidR="00813ECE">
        <w:rPr>
          <w:szCs w:val="26"/>
        </w:rPr>
        <w:t>s best</w:t>
      </w:r>
      <w:r w:rsidRPr="00C76FE0" w:rsidR="00515D0F">
        <w:rPr>
          <w:szCs w:val="26"/>
        </w:rPr>
        <w:t xml:space="preserve"> with the Legislature</w:t>
      </w:r>
      <w:r w:rsidRPr="00C76FE0" w:rsidR="00813ECE">
        <w:rPr>
          <w:szCs w:val="26"/>
        </w:rPr>
        <w:t>’s</w:t>
      </w:r>
      <w:r w:rsidRPr="00C76FE0" w:rsidR="00515D0F">
        <w:rPr>
          <w:szCs w:val="26"/>
        </w:rPr>
        <w:t xml:space="preserve"> decision to use th</w:t>
      </w:r>
      <w:r w:rsidRPr="00C76FE0" w:rsidR="006E63FF">
        <w:rPr>
          <w:szCs w:val="26"/>
        </w:rPr>
        <w:t>at</w:t>
      </w:r>
      <w:r w:rsidRPr="00C76FE0" w:rsidR="00515D0F">
        <w:rPr>
          <w:szCs w:val="26"/>
        </w:rPr>
        <w:t xml:space="preserve"> term </w:t>
      </w:r>
      <w:r w:rsidRPr="00C76FE0" w:rsidR="006E63FF">
        <w:rPr>
          <w:szCs w:val="26"/>
        </w:rPr>
        <w:t xml:space="preserve">in the Health Care Decisions Law </w:t>
      </w:r>
      <w:r w:rsidRPr="00C76FE0" w:rsidR="00515D0F">
        <w:rPr>
          <w:szCs w:val="26"/>
        </w:rPr>
        <w:t>to describe</w:t>
      </w:r>
      <w:r w:rsidRPr="00C76FE0" w:rsidR="00813ECE">
        <w:rPr>
          <w:szCs w:val="26"/>
        </w:rPr>
        <w:t xml:space="preserve"> </w:t>
      </w:r>
      <w:r w:rsidRPr="00C76FE0" w:rsidR="00515D0F">
        <w:rPr>
          <w:szCs w:val="26"/>
        </w:rPr>
        <w:t xml:space="preserve">the </w:t>
      </w:r>
      <w:r w:rsidRPr="00C76FE0" w:rsidR="00F12E8D">
        <w:rPr>
          <w:szCs w:val="26"/>
        </w:rPr>
        <w:t xml:space="preserve">scope </w:t>
      </w:r>
      <w:r w:rsidRPr="00C76FE0" w:rsidR="00515D0F">
        <w:rPr>
          <w:szCs w:val="26"/>
        </w:rPr>
        <w:t xml:space="preserve">of authority </w:t>
      </w:r>
      <w:r w:rsidRPr="00C76FE0" w:rsidR="004D19E1">
        <w:rPr>
          <w:szCs w:val="26"/>
        </w:rPr>
        <w:t xml:space="preserve">not only </w:t>
      </w:r>
      <w:r w:rsidRPr="00C76FE0" w:rsidR="00515D0F">
        <w:rPr>
          <w:szCs w:val="26"/>
        </w:rPr>
        <w:t xml:space="preserve">for those </w:t>
      </w:r>
      <w:r w:rsidRPr="00C76FE0" w:rsidR="004D19E1">
        <w:rPr>
          <w:szCs w:val="26"/>
        </w:rPr>
        <w:t>(</w:t>
      </w:r>
      <w:r w:rsidRPr="00C76FE0" w:rsidR="00F17455">
        <w:rPr>
          <w:szCs w:val="26"/>
        </w:rPr>
        <w:t>like Harrod</w:t>
      </w:r>
      <w:r w:rsidRPr="00C76FE0" w:rsidR="004D19E1">
        <w:rPr>
          <w:szCs w:val="26"/>
        </w:rPr>
        <w:t>)</w:t>
      </w:r>
      <w:r w:rsidRPr="00C76FE0" w:rsidR="00F17455">
        <w:rPr>
          <w:szCs w:val="26"/>
        </w:rPr>
        <w:t xml:space="preserve"> who act pursuant to powers of attorney for health care, </w:t>
      </w:r>
      <w:r w:rsidRPr="00C76FE0" w:rsidR="00813ECE">
        <w:rPr>
          <w:szCs w:val="26"/>
        </w:rPr>
        <w:t xml:space="preserve">but also </w:t>
      </w:r>
      <w:r w:rsidRPr="00C76FE0" w:rsidR="004D19E1">
        <w:rPr>
          <w:szCs w:val="26"/>
        </w:rPr>
        <w:t xml:space="preserve">for </w:t>
      </w:r>
      <w:r w:rsidRPr="00C76FE0" w:rsidR="00F17455">
        <w:rPr>
          <w:szCs w:val="26"/>
        </w:rPr>
        <w:t xml:space="preserve">surrogates, </w:t>
      </w:r>
      <w:r w:rsidRPr="00C76FE0" w:rsidR="00813ECE">
        <w:rPr>
          <w:szCs w:val="26"/>
        </w:rPr>
        <w:t>including next of kin or close friends</w:t>
      </w:r>
      <w:r w:rsidRPr="00C76FE0" w:rsidR="00F12E8D">
        <w:rPr>
          <w:szCs w:val="26"/>
        </w:rPr>
        <w:t>.</w:t>
      </w:r>
      <w:r w:rsidRPr="00C76FE0" w:rsidR="00813ECE">
        <w:rPr>
          <w:szCs w:val="26"/>
        </w:rPr>
        <w:t xml:space="preserve"> </w:t>
      </w:r>
      <w:bookmarkStart w:id="4" w:name="_Hlk148946147"/>
      <w:r w:rsidRPr="00C76FE0" w:rsidR="00F12E8D">
        <w:rPr>
          <w:szCs w:val="26"/>
        </w:rPr>
        <w:t xml:space="preserve"> These surrogates </w:t>
      </w:r>
      <w:r w:rsidRPr="00C76FE0" w:rsidR="004D19E1">
        <w:rPr>
          <w:szCs w:val="26"/>
        </w:rPr>
        <w:t xml:space="preserve">may be selected by </w:t>
      </w:r>
      <w:r w:rsidRPr="00C76FE0" w:rsidR="005B7865">
        <w:rPr>
          <w:szCs w:val="26"/>
        </w:rPr>
        <w:t>the patient in haste upon entering a facility (</w:t>
      </w:r>
      <w:r w:rsidR="00306865">
        <w:rPr>
          <w:szCs w:val="26"/>
        </w:rPr>
        <w:t>§ </w:t>
      </w:r>
      <w:r w:rsidRPr="00C76FE0" w:rsidR="005B7865">
        <w:rPr>
          <w:szCs w:val="26"/>
        </w:rPr>
        <w:t>4711)</w:t>
      </w:r>
      <w:r>
        <w:rPr>
          <w:rStyle w:val="FootnoteReference"/>
          <w:position w:val="0"/>
        </w:rPr>
        <w:footnoteReference w:id="10"/>
      </w:r>
      <w:r w:rsidRPr="00C76FE0" w:rsidR="005B7865">
        <w:rPr>
          <w:szCs w:val="26"/>
        </w:rPr>
        <w:t xml:space="preserve"> or</w:t>
      </w:r>
      <w:r w:rsidRPr="00C76FE0" w:rsidR="00C31CF7">
        <w:rPr>
          <w:szCs w:val="26"/>
        </w:rPr>
        <w:t xml:space="preserve"> selected</w:t>
      </w:r>
      <w:r w:rsidRPr="00C76FE0" w:rsidR="005B7865">
        <w:rPr>
          <w:szCs w:val="26"/>
        </w:rPr>
        <w:t xml:space="preserve"> </w:t>
      </w:r>
      <w:r w:rsidRPr="00C76FE0" w:rsidR="004D19E1">
        <w:rPr>
          <w:szCs w:val="26"/>
        </w:rPr>
        <w:t xml:space="preserve">for the patient by </w:t>
      </w:r>
      <w:r w:rsidRPr="00C76FE0" w:rsidR="00C2781A">
        <w:rPr>
          <w:szCs w:val="26"/>
        </w:rPr>
        <w:t>a provider or</w:t>
      </w:r>
      <w:r w:rsidRPr="00C76FE0" w:rsidR="005B7865">
        <w:rPr>
          <w:szCs w:val="26"/>
        </w:rPr>
        <w:t xml:space="preserve"> facility when there is no recognized health care decisionmaker (</w:t>
      </w:r>
      <w:bookmarkEnd w:id="4"/>
      <w:r w:rsidR="00306865">
        <w:rPr>
          <w:szCs w:val="26"/>
        </w:rPr>
        <w:t>§ </w:t>
      </w:r>
      <w:r w:rsidRPr="00C76FE0" w:rsidR="005B7865">
        <w:rPr>
          <w:szCs w:val="26"/>
        </w:rPr>
        <w:t>4712).</w:t>
      </w:r>
      <w:r>
        <w:rPr>
          <w:rStyle w:val="FootnoteReference"/>
          <w:position w:val="0"/>
        </w:rPr>
        <w:footnoteReference w:id="11"/>
      </w:r>
      <w:r w:rsidRPr="00C76FE0" w:rsidR="005B7865">
        <w:rPr>
          <w:szCs w:val="26"/>
        </w:rPr>
        <w:t xml:space="preserve">  </w:t>
      </w:r>
      <w:r w:rsidRPr="00C76FE0" w:rsidR="00A311BF">
        <w:rPr>
          <w:szCs w:val="26"/>
        </w:rPr>
        <w:t>One of the purposes of the Health Care Decisions Law was to “set[] out uniform standards for the making of health care decisions by third parties,” whether by conservators, agents, or surrogates.  (</w:t>
      </w:r>
      <w:r w:rsidRPr="00C76FE0" w:rsidR="00A311BF">
        <w:rPr>
          <w:i/>
          <w:iCs/>
          <w:szCs w:val="26"/>
        </w:rPr>
        <w:t>Conservatorship of Wendland</w:t>
      </w:r>
      <w:r w:rsidRPr="00C76FE0" w:rsidR="00A311BF">
        <w:rPr>
          <w:szCs w:val="26"/>
        </w:rPr>
        <w:t xml:space="preserve"> (2001) 26 Cal.4th 519, 539–540; see </w:t>
      </w:r>
      <w:r w:rsidR="00306865">
        <w:rPr>
          <w:szCs w:val="26"/>
        </w:rPr>
        <w:t>§ </w:t>
      </w:r>
      <w:r w:rsidRPr="00C76FE0" w:rsidR="00A311BF">
        <w:rPr>
          <w:szCs w:val="26"/>
        </w:rPr>
        <w:t>4617 [defining a health care decision as one “made by a patient or the patient’s agent, conservator, or surrogate</w:t>
      </w:r>
      <w:r w:rsidR="00BA0987">
        <w:rPr>
          <w:szCs w:val="26"/>
        </w:rPr>
        <w:t>”</w:t>
      </w:r>
      <w:r w:rsidRPr="00C76FE0" w:rsidR="00A311BF">
        <w:rPr>
          <w:szCs w:val="26"/>
        </w:rPr>
        <w:t xml:space="preserve">].)  </w:t>
      </w:r>
    </w:p>
    <w:p w:rsidR="004F32DC" w:rsidRPr="00C76FE0" w:rsidP="00C76FE0" w14:paraId="2B05F447" w14:textId="77777777">
      <w:pPr>
        <w:ind w:firstLine="720"/>
        <w:rPr>
          <w:szCs w:val="26"/>
        </w:rPr>
      </w:pPr>
      <w:r w:rsidRPr="00C76FE0">
        <w:rPr>
          <w:szCs w:val="26"/>
        </w:rPr>
        <w:t>Before the</w:t>
      </w:r>
      <w:r w:rsidRPr="00C76FE0" w:rsidR="006A2B05">
        <w:rPr>
          <w:szCs w:val="26"/>
        </w:rPr>
        <w:t xml:space="preserve"> </w:t>
      </w:r>
      <w:r w:rsidRPr="00C76FE0">
        <w:rPr>
          <w:szCs w:val="26"/>
        </w:rPr>
        <w:t>Health Care Decision Law</w:t>
      </w:r>
      <w:r w:rsidRPr="00C76FE0" w:rsidR="004D19E1">
        <w:rPr>
          <w:szCs w:val="26"/>
        </w:rPr>
        <w:t>’s enactment</w:t>
      </w:r>
      <w:r w:rsidRPr="00C76FE0">
        <w:rPr>
          <w:szCs w:val="26"/>
        </w:rPr>
        <w:t xml:space="preserve">, </w:t>
      </w:r>
      <w:r w:rsidRPr="00C76FE0" w:rsidR="00F17455">
        <w:rPr>
          <w:szCs w:val="26"/>
        </w:rPr>
        <w:t>Health and Safety Code section 1418.8</w:t>
      </w:r>
      <w:r w:rsidRPr="00C76FE0" w:rsidR="009715E4">
        <w:rPr>
          <w:szCs w:val="26"/>
        </w:rPr>
        <w:t xml:space="preserve"> </w:t>
      </w:r>
      <w:r w:rsidRPr="00C76FE0">
        <w:rPr>
          <w:szCs w:val="26"/>
        </w:rPr>
        <w:t xml:space="preserve">addressed the ability of next of kin to represent </w:t>
      </w:r>
      <w:r w:rsidRPr="00C76FE0" w:rsidR="00813ECE">
        <w:rPr>
          <w:szCs w:val="26"/>
        </w:rPr>
        <w:t xml:space="preserve">residents in </w:t>
      </w:r>
      <w:r w:rsidRPr="00C76FE0" w:rsidR="009715E4">
        <w:rPr>
          <w:szCs w:val="26"/>
        </w:rPr>
        <w:t xml:space="preserve">skilled </w:t>
      </w:r>
      <w:r w:rsidRPr="00C76FE0" w:rsidR="00813ECE">
        <w:rPr>
          <w:szCs w:val="26"/>
        </w:rPr>
        <w:t xml:space="preserve">nursing </w:t>
      </w:r>
      <w:r w:rsidRPr="00C76FE0" w:rsidR="009715E4">
        <w:rPr>
          <w:szCs w:val="26"/>
        </w:rPr>
        <w:t xml:space="preserve">facilities or intermediate care facilities </w:t>
      </w:r>
      <w:r w:rsidRPr="00C76FE0" w:rsidR="00F12E8D">
        <w:rPr>
          <w:szCs w:val="26"/>
        </w:rPr>
        <w:t xml:space="preserve">who </w:t>
      </w:r>
      <w:r w:rsidRPr="00C76FE0" w:rsidR="00813ECE">
        <w:rPr>
          <w:szCs w:val="26"/>
        </w:rPr>
        <w:t>lack</w:t>
      </w:r>
      <w:r w:rsidRPr="00C76FE0" w:rsidR="00F12E8D">
        <w:rPr>
          <w:szCs w:val="26"/>
        </w:rPr>
        <w:t>ed</w:t>
      </w:r>
      <w:r w:rsidRPr="00C76FE0" w:rsidR="00813ECE">
        <w:rPr>
          <w:szCs w:val="26"/>
        </w:rPr>
        <w:t xml:space="preserve"> capacity</w:t>
      </w:r>
      <w:r w:rsidRPr="00C76FE0" w:rsidR="009715E4">
        <w:rPr>
          <w:szCs w:val="26"/>
        </w:rPr>
        <w:t xml:space="preserve"> to make health care decisions.  (Health &amp; Saf. Code, </w:t>
      </w:r>
      <w:r w:rsidR="00306865">
        <w:rPr>
          <w:szCs w:val="26"/>
        </w:rPr>
        <w:t>§ </w:t>
      </w:r>
      <w:r w:rsidRPr="00C76FE0" w:rsidR="009715E4">
        <w:rPr>
          <w:szCs w:val="26"/>
        </w:rPr>
        <w:t>1418.8; see Stats 1992 ch. 1303</w:t>
      </w:r>
      <w:r w:rsidR="009723B0">
        <w:rPr>
          <w:szCs w:val="26"/>
        </w:rPr>
        <w:t>,</w:t>
      </w:r>
      <w:r w:rsidRPr="00C76FE0" w:rsidR="009715E4">
        <w:rPr>
          <w:szCs w:val="26"/>
        </w:rPr>
        <w:t xml:space="preserve"> </w:t>
      </w:r>
      <w:r w:rsidR="00306865">
        <w:rPr>
          <w:szCs w:val="26"/>
        </w:rPr>
        <w:t>§ </w:t>
      </w:r>
      <w:r w:rsidRPr="00C76FE0" w:rsidR="009715E4">
        <w:rPr>
          <w:szCs w:val="26"/>
        </w:rPr>
        <w:t>1</w:t>
      </w:r>
      <w:r w:rsidR="00D670F2">
        <w:rPr>
          <w:szCs w:val="26"/>
        </w:rPr>
        <w:t>, p</w:t>
      </w:r>
      <w:r w:rsidR="00F3057A">
        <w:rPr>
          <w:szCs w:val="26"/>
        </w:rPr>
        <w:t>p</w:t>
      </w:r>
      <w:r w:rsidR="00D670F2">
        <w:rPr>
          <w:szCs w:val="26"/>
        </w:rPr>
        <w:t xml:space="preserve">. </w:t>
      </w:r>
      <w:r w:rsidR="00CE3FCC">
        <w:rPr>
          <w:szCs w:val="26"/>
        </w:rPr>
        <w:t>6326</w:t>
      </w:r>
      <w:r w:rsidR="009E5011">
        <w:rPr>
          <w:szCs w:val="26"/>
        </w:rPr>
        <w:t>–6328</w:t>
      </w:r>
      <w:r w:rsidRPr="00C76FE0" w:rsidR="009715E4">
        <w:rPr>
          <w:szCs w:val="26"/>
        </w:rPr>
        <w:t xml:space="preserve">.)  </w:t>
      </w:r>
      <w:r w:rsidRPr="00C76FE0" w:rsidR="00A71471">
        <w:rPr>
          <w:szCs w:val="26"/>
        </w:rPr>
        <w:t>Under that provision, w</w:t>
      </w:r>
      <w:r w:rsidRPr="00C76FE0" w:rsidR="00F17455">
        <w:rPr>
          <w:szCs w:val="26"/>
        </w:rPr>
        <w:t>hen “there is no person with legal authority to make</w:t>
      </w:r>
      <w:r w:rsidRPr="00C76FE0" w:rsidR="00D04C08">
        <w:rPr>
          <w:szCs w:val="26"/>
        </w:rPr>
        <w:t> . . .</w:t>
      </w:r>
      <w:r w:rsidRPr="00C76FE0" w:rsidR="009715E4">
        <w:rPr>
          <w:szCs w:val="26"/>
        </w:rPr>
        <w:t xml:space="preserve"> </w:t>
      </w:r>
      <w:r w:rsidRPr="00C76FE0" w:rsidR="00F17455">
        <w:rPr>
          <w:szCs w:val="26"/>
        </w:rPr>
        <w:t>decisions</w:t>
      </w:r>
      <w:r w:rsidRPr="00C76FE0" w:rsidR="009715E4">
        <w:rPr>
          <w:szCs w:val="26"/>
        </w:rPr>
        <w:t xml:space="preserve"> </w:t>
      </w:r>
      <w:r w:rsidRPr="00C76FE0" w:rsidR="00F17455">
        <w:rPr>
          <w:szCs w:val="26"/>
        </w:rPr>
        <w:t xml:space="preserve">concerning </w:t>
      </w:r>
      <w:r w:rsidRPr="00C76FE0" w:rsidR="009715E4">
        <w:rPr>
          <w:szCs w:val="26"/>
        </w:rPr>
        <w:t xml:space="preserve">[a] </w:t>
      </w:r>
      <w:r w:rsidRPr="00C76FE0" w:rsidR="00F17455">
        <w:rPr>
          <w:szCs w:val="26"/>
        </w:rPr>
        <w:t>resident’s health care,” an attending physician at the facility</w:t>
      </w:r>
      <w:r w:rsidRPr="00C76FE0" w:rsidR="006A20F1">
        <w:rPr>
          <w:szCs w:val="26"/>
        </w:rPr>
        <w:t>, after following certain procedures,</w:t>
      </w:r>
      <w:r w:rsidRPr="00C76FE0" w:rsidR="00F17455">
        <w:rPr>
          <w:szCs w:val="26"/>
        </w:rPr>
        <w:t xml:space="preserve"> </w:t>
      </w:r>
      <w:r w:rsidRPr="00C76FE0" w:rsidR="006A20F1">
        <w:rPr>
          <w:szCs w:val="26"/>
        </w:rPr>
        <w:t xml:space="preserve">may </w:t>
      </w:r>
      <w:r w:rsidRPr="00C76FE0" w:rsidR="00F17455">
        <w:rPr>
          <w:szCs w:val="26"/>
        </w:rPr>
        <w:t xml:space="preserve">pursue an intervention that would otherwise require informed consent.  (Health &amp; Saf. Code, </w:t>
      </w:r>
      <w:r w:rsidR="00306865">
        <w:rPr>
          <w:szCs w:val="26"/>
        </w:rPr>
        <w:t>§ </w:t>
      </w:r>
      <w:r w:rsidRPr="00C76FE0" w:rsidR="00F17455">
        <w:rPr>
          <w:szCs w:val="26"/>
        </w:rPr>
        <w:t xml:space="preserve">1418.8, subd. (a).)  A person with legal authority </w:t>
      </w:r>
      <w:r w:rsidRPr="00C76FE0" w:rsidR="009715E4">
        <w:rPr>
          <w:szCs w:val="26"/>
        </w:rPr>
        <w:t xml:space="preserve">to make these decisions </w:t>
      </w:r>
      <w:r w:rsidRPr="00C76FE0" w:rsidR="00F17455">
        <w:rPr>
          <w:szCs w:val="26"/>
        </w:rPr>
        <w:t xml:space="preserve">includes a </w:t>
      </w:r>
      <w:r w:rsidRPr="00C76FE0" w:rsidR="009715E4">
        <w:rPr>
          <w:szCs w:val="26"/>
        </w:rPr>
        <w:t>“</w:t>
      </w:r>
      <w:r w:rsidRPr="00C76FE0" w:rsidR="00F17455">
        <w:rPr>
          <w:szCs w:val="26"/>
        </w:rPr>
        <w:t>next of kin.”  (</w:t>
      </w:r>
      <w:r w:rsidRPr="00C76FE0" w:rsidR="00F17455">
        <w:rPr>
          <w:i/>
          <w:iCs/>
          <w:szCs w:val="26"/>
        </w:rPr>
        <w:t>Id.</w:t>
      </w:r>
      <w:r w:rsidRPr="00C76FE0" w:rsidR="00F17455">
        <w:rPr>
          <w:szCs w:val="26"/>
        </w:rPr>
        <w:t xml:space="preserve">, subd. (c).)  Our appellate courts </w:t>
      </w:r>
      <w:r w:rsidRPr="00C76FE0" w:rsidR="00984EE0">
        <w:rPr>
          <w:szCs w:val="26"/>
        </w:rPr>
        <w:t xml:space="preserve">have held </w:t>
      </w:r>
      <w:r w:rsidRPr="00C76FE0" w:rsidR="00F17455">
        <w:rPr>
          <w:szCs w:val="26"/>
        </w:rPr>
        <w:t xml:space="preserve">that next of kin, whether empowered to make medical decisions </w:t>
      </w:r>
      <w:r w:rsidRPr="00C76FE0" w:rsidR="006A20F1">
        <w:rPr>
          <w:szCs w:val="26"/>
        </w:rPr>
        <w:t xml:space="preserve">either </w:t>
      </w:r>
      <w:r w:rsidRPr="00C76FE0" w:rsidR="00F17455">
        <w:rPr>
          <w:szCs w:val="26"/>
        </w:rPr>
        <w:t xml:space="preserve">under this statute or </w:t>
      </w:r>
      <w:r w:rsidRPr="00C76FE0" w:rsidR="00754C10">
        <w:rPr>
          <w:szCs w:val="26"/>
        </w:rPr>
        <w:t xml:space="preserve">through principles of </w:t>
      </w:r>
      <w:r w:rsidRPr="00C76FE0" w:rsidR="00F17455">
        <w:rPr>
          <w:szCs w:val="26"/>
        </w:rPr>
        <w:t>ostensible agency, lack authority to enter separate</w:t>
      </w:r>
      <w:r w:rsidRPr="00C76FE0" w:rsidR="002976A1">
        <w:rPr>
          <w:szCs w:val="26"/>
        </w:rPr>
        <w:t>, optional</w:t>
      </w:r>
      <w:r w:rsidRPr="00C76FE0" w:rsidR="00F17455">
        <w:rPr>
          <w:szCs w:val="26"/>
        </w:rPr>
        <w:t xml:space="preserve"> arbitration agreements with nursing facilities.  (</w:t>
      </w:r>
      <w:r w:rsidRPr="00C76FE0" w:rsidR="00F17455">
        <w:rPr>
          <w:i/>
          <w:iCs/>
          <w:szCs w:val="26"/>
        </w:rPr>
        <w:t>Pagarigan v. Libby Care Center, Inc.</w:t>
      </w:r>
      <w:r w:rsidRPr="00C76FE0" w:rsidR="00F17455">
        <w:rPr>
          <w:szCs w:val="26"/>
        </w:rPr>
        <w:t xml:space="preserve"> (2002) 99 Cal.App.4</w:t>
      </w:r>
      <w:r w:rsidRPr="00C76FE0" w:rsidR="006C6804">
        <w:rPr>
          <w:szCs w:val="26"/>
        </w:rPr>
        <w:t xml:space="preserve">th </w:t>
      </w:r>
      <w:r w:rsidRPr="00C76FE0" w:rsidR="00F17455">
        <w:rPr>
          <w:szCs w:val="26"/>
        </w:rPr>
        <w:t xml:space="preserve">298, 302 [applying </w:t>
      </w:r>
      <w:r w:rsidR="007833A1">
        <w:rPr>
          <w:szCs w:val="26"/>
        </w:rPr>
        <w:t>Health &amp; Saf</w:t>
      </w:r>
      <w:r w:rsidR="0054176E">
        <w:rPr>
          <w:szCs w:val="26"/>
        </w:rPr>
        <w:t xml:space="preserve">. Code, </w:t>
      </w:r>
      <w:r w:rsidR="00306865">
        <w:rPr>
          <w:szCs w:val="26"/>
        </w:rPr>
        <w:t>§ </w:t>
      </w:r>
      <w:r w:rsidRPr="00C76FE0" w:rsidR="00F17455">
        <w:rPr>
          <w:szCs w:val="26"/>
        </w:rPr>
        <w:t>1418.8 and concluding “Defendants do not explain how the next of kin</w:t>
      </w:r>
      <w:r w:rsidRPr="00C76FE0" w:rsidR="00A71471">
        <w:rPr>
          <w:szCs w:val="26"/>
        </w:rPr>
        <w:t>’</w:t>
      </w:r>
      <w:r w:rsidRPr="00C76FE0" w:rsidR="00F17455">
        <w:rPr>
          <w:szCs w:val="26"/>
        </w:rPr>
        <w:t>s authority to make medical treatment decisions for the patient at the request of the treating physician translates into authority to sign an arbitration agreement on the patient</w:t>
      </w:r>
      <w:r w:rsidRPr="00C76FE0" w:rsidR="00A71471">
        <w:rPr>
          <w:szCs w:val="26"/>
        </w:rPr>
        <w:t>’</w:t>
      </w:r>
      <w:r w:rsidRPr="00C76FE0" w:rsidR="00F17455">
        <w:rPr>
          <w:szCs w:val="26"/>
        </w:rPr>
        <w:t xml:space="preserve">s behalf at the request of the nursing home”]; </w:t>
      </w:r>
      <w:r w:rsidRPr="00C76FE0" w:rsidR="00F17455">
        <w:rPr>
          <w:i/>
          <w:iCs/>
          <w:szCs w:val="26"/>
        </w:rPr>
        <w:t>Goliger v. AMS Properties, Inc.</w:t>
      </w:r>
      <w:r w:rsidRPr="00C76FE0" w:rsidR="00F17455">
        <w:rPr>
          <w:szCs w:val="26"/>
        </w:rPr>
        <w:t xml:space="preserve"> (2004) 123 Cal.App.4</w:t>
      </w:r>
      <w:r w:rsidRPr="00C76FE0" w:rsidR="006C6804">
        <w:rPr>
          <w:szCs w:val="26"/>
        </w:rPr>
        <w:t xml:space="preserve">th </w:t>
      </w:r>
      <w:r w:rsidRPr="00C76FE0" w:rsidR="00F17455">
        <w:rPr>
          <w:szCs w:val="26"/>
        </w:rPr>
        <w:t xml:space="preserve">374, 377 [applying ostensible agency to reach a similar conclusion]; </w:t>
      </w:r>
      <w:r w:rsidRPr="00C76FE0" w:rsidR="00F17455">
        <w:rPr>
          <w:i/>
          <w:iCs/>
          <w:szCs w:val="26"/>
        </w:rPr>
        <w:t>Flores v. Evergreen at San Diego, LLC</w:t>
      </w:r>
      <w:r w:rsidRPr="00C76FE0" w:rsidR="00F17455">
        <w:rPr>
          <w:szCs w:val="26"/>
        </w:rPr>
        <w:t xml:space="preserve"> (2007) 148 Cal.App.4</w:t>
      </w:r>
      <w:r w:rsidRPr="00C76FE0" w:rsidR="006C6804">
        <w:rPr>
          <w:szCs w:val="26"/>
        </w:rPr>
        <w:t>th</w:t>
      </w:r>
      <w:r w:rsidRPr="00C76FE0" w:rsidR="00F17455">
        <w:rPr>
          <w:szCs w:val="26"/>
        </w:rPr>
        <w:t xml:space="preserve"> 581, 594 [applying </w:t>
      </w:r>
      <w:r w:rsidR="0054176E">
        <w:rPr>
          <w:szCs w:val="26"/>
        </w:rPr>
        <w:t xml:space="preserve">Health &amp; Saf. Code, </w:t>
      </w:r>
      <w:r w:rsidR="00306865">
        <w:rPr>
          <w:szCs w:val="26"/>
        </w:rPr>
        <w:t>§ </w:t>
      </w:r>
      <w:r w:rsidRPr="00C76FE0" w:rsidR="00F17455">
        <w:rPr>
          <w:szCs w:val="26"/>
        </w:rPr>
        <w:t>1418.8 and concluding “Unlike admission decisions and medical care decisions, the decision whether to agree to an arbitration provision in a nursing home contract is not a necessary decision that must be made to preserve a person</w:t>
      </w:r>
      <w:r w:rsidRPr="00C76FE0" w:rsidR="00A71471">
        <w:rPr>
          <w:szCs w:val="26"/>
        </w:rPr>
        <w:t>’</w:t>
      </w:r>
      <w:r w:rsidRPr="00C76FE0" w:rsidR="00F17455">
        <w:rPr>
          <w:szCs w:val="26"/>
        </w:rPr>
        <w:t>s well-being. Rather, an arbitration agreement pertains to the patient</w:t>
      </w:r>
      <w:r w:rsidRPr="00C76FE0" w:rsidR="00A71471">
        <w:rPr>
          <w:szCs w:val="26"/>
        </w:rPr>
        <w:t>’</w:t>
      </w:r>
      <w:r w:rsidRPr="00C76FE0" w:rsidR="00F17455">
        <w:rPr>
          <w:szCs w:val="26"/>
        </w:rPr>
        <w:t>s legal rights, and results in a waiver of the right to a jury trial”].)</w:t>
      </w:r>
    </w:p>
    <w:p w:rsidR="00491313" w:rsidRPr="00C76FE0" w:rsidP="00C76FE0" w14:paraId="2B05F448" w14:textId="77777777">
      <w:pPr>
        <w:ind w:firstLine="720"/>
        <w:rPr>
          <w:szCs w:val="26"/>
        </w:rPr>
      </w:pPr>
      <w:r w:rsidRPr="00C76FE0">
        <w:rPr>
          <w:szCs w:val="26"/>
        </w:rPr>
        <w:t>The Health Care Decisions Law</w:t>
      </w:r>
      <w:r w:rsidRPr="00C76FE0" w:rsidR="00BC5FCA">
        <w:rPr>
          <w:szCs w:val="26"/>
        </w:rPr>
        <w:t xml:space="preserve"> </w:t>
      </w:r>
      <w:r w:rsidRPr="00C76FE0" w:rsidR="00222285">
        <w:rPr>
          <w:szCs w:val="26"/>
        </w:rPr>
        <w:t>buil</w:t>
      </w:r>
      <w:r w:rsidRPr="00C76FE0" w:rsidR="009715E4">
        <w:rPr>
          <w:szCs w:val="26"/>
        </w:rPr>
        <w:t>t</w:t>
      </w:r>
      <w:r w:rsidRPr="00C76FE0" w:rsidR="00222285">
        <w:rPr>
          <w:szCs w:val="26"/>
        </w:rPr>
        <w:t xml:space="preserve"> on Health and Safety Code section 1418.8, </w:t>
      </w:r>
      <w:r w:rsidRPr="00C76FE0" w:rsidR="007C74F9">
        <w:rPr>
          <w:szCs w:val="26"/>
        </w:rPr>
        <w:t xml:space="preserve">and it </w:t>
      </w:r>
      <w:r w:rsidRPr="00C76FE0" w:rsidR="00222285">
        <w:rPr>
          <w:szCs w:val="26"/>
        </w:rPr>
        <w:t xml:space="preserve">expressly </w:t>
      </w:r>
      <w:r w:rsidRPr="00C76FE0">
        <w:rPr>
          <w:szCs w:val="26"/>
        </w:rPr>
        <w:t>allow</w:t>
      </w:r>
      <w:r w:rsidRPr="00C76FE0" w:rsidR="007C74F9">
        <w:rPr>
          <w:szCs w:val="26"/>
        </w:rPr>
        <w:t>s</w:t>
      </w:r>
      <w:r w:rsidRPr="00C76FE0" w:rsidR="00222285">
        <w:rPr>
          <w:szCs w:val="26"/>
        </w:rPr>
        <w:t xml:space="preserve"> a health care provider or health care facility designee to appoint</w:t>
      </w:r>
      <w:r w:rsidRPr="00C76FE0" w:rsidR="0068258C">
        <w:rPr>
          <w:szCs w:val="26"/>
        </w:rPr>
        <w:t>, as needed,</w:t>
      </w:r>
      <w:r w:rsidRPr="00C76FE0" w:rsidR="00222285">
        <w:rPr>
          <w:szCs w:val="26"/>
        </w:rPr>
        <w:t xml:space="preserve"> next of kin and other close family or friends as surrogates.</w:t>
      </w:r>
      <w:r>
        <w:rPr>
          <w:rStyle w:val="FootnoteReference"/>
          <w:position w:val="0"/>
        </w:rPr>
        <w:footnoteReference w:id="12"/>
      </w:r>
      <w:r w:rsidRPr="00C76FE0" w:rsidR="00222285">
        <w:rPr>
          <w:szCs w:val="26"/>
        </w:rPr>
        <w:t xml:space="preserve">  (</w:t>
      </w:r>
      <w:r w:rsidR="00306865">
        <w:rPr>
          <w:szCs w:val="26"/>
        </w:rPr>
        <w:t>§ </w:t>
      </w:r>
      <w:r w:rsidRPr="00C76FE0" w:rsidR="00222285">
        <w:rPr>
          <w:szCs w:val="26"/>
        </w:rPr>
        <w:t>4712,</w:t>
      </w:r>
      <w:r w:rsidR="009767D3">
        <w:rPr>
          <w:szCs w:val="26"/>
        </w:rPr>
        <w:t xml:space="preserve"> added by</w:t>
      </w:r>
      <w:r w:rsidRPr="00C76FE0" w:rsidR="00222285">
        <w:rPr>
          <w:szCs w:val="26"/>
        </w:rPr>
        <w:t xml:space="preserve"> </w:t>
      </w:r>
      <w:r w:rsidRPr="00E43119" w:rsidR="00222285">
        <w:rPr>
          <w:szCs w:val="26"/>
        </w:rPr>
        <w:t xml:space="preserve">Stats. 2022, </w:t>
      </w:r>
      <w:r w:rsidRPr="007E3AAD" w:rsidR="009767D3">
        <w:rPr>
          <w:szCs w:val="26"/>
        </w:rPr>
        <w:t>c</w:t>
      </w:r>
      <w:r w:rsidRPr="00E43119" w:rsidR="00222285">
        <w:rPr>
          <w:szCs w:val="26"/>
        </w:rPr>
        <w:t xml:space="preserve">h. 782, </w:t>
      </w:r>
      <w:r w:rsidR="00306865">
        <w:rPr>
          <w:szCs w:val="26"/>
        </w:rPr>
        <w:t>§ </w:t>
      </w:r>
      <w:r w:rsidRPr="00E43119" w:rsidR="00222285">
        <w:rPr>
          <w:szCs w:val="26"/>
        </w:rPr>
        <w:t>2; 2000 Health Care Decisions Law and Revised Power of Attorney Law</w:t>
      </w:r>
      <w:r w:rsidRPr="00E43119" w:rsidR="00920E08">
        <w:rPr>
          <w:szCs w:val="26"/>
        </w:rPr>
        <w:t xml:space="preserve">, </w:t>
      </w:r>
      <w:r w:rsidRPr="00E43119" w:rsidR="00920E08">
        <w:rPr>
          <w:i/>
          <w:iCs/>
          <w:szCs w:val="26"/>
        </w:rPr>
        <w:t>supra</w:t>
      </w:r>
      <w:r w:rsidRPr="00E43119" w:rsidR="00920E08">
        <w:rPr>
          <w:szCs w:val="26"/>
        </w:rPr>
        <w:t xml:space="preserve">, </w:t>
      </w:r>
      <w:r w:rsidRPr="00E43119" w:rsidR="00222285">
        <w:rPr>
          <w:szCs w:val="26"/>
        </w:rPr>
        <w:t xml:space="preserve">30 Cal. Law Revision Com. Rep. </w:t>
      </w:r>
      <w:r w:rsidRPr="00E43119" w:rsidR="00920E08">
        <w:rPr>
          <w:szCs w:val="26"/>
        </w:rPr>
        <w:t xml:space="preserve">at </w:t>
      </w:r>
      <w:r w:rsidRPr="00E43119" w:rsidR="00222285">
        <w:rPr>
          <w:szCs w:val="26"/>
        </w:rPr>
        <w:t>p. 18</w:t>
      </w:r>
      <w:r w:rsidRPr="00C76FE0" w:rsidR="00222285">
        <w:rPr>
          <w:szCs w:val="26"/>
        </w:rPr>
        <w:t>.)</w:t>
      </w:r>
      <w:r w:rsidRPr="00C76FE0" w:rsidR="00F17455">
        <w:rPr>
          <w:szCs w:val="26"/>
        </w:rPr>
        <w:t xml:space="preserve"> </w:t>
      </w:r>
      <w:r w:rsidRPr="00C76FE0" w:rsidR="00BC5FCA">
        <w:rPr>
          <w:szCs w:val="26"/>
        </w:rPr>
        <w:t xml:space="preserve"> </w:t>
      </w:r>
      <w:r w:rsidRPr="00C76FE0" w:rsidR="007C74F9">
        <w:rPr>
          <w:szCs w:val="26"/>
        </w:rPr>
        <w:t>Thus t</w:t>
      </w:r>
      <w:r w:rsidRPr="00C76FE0" w:rsidR="00BC5FCA">
        <w:rPr>
          <w:szCs w:val="26"/>
        </w:rPr>
        <w:t>oday, the health care decisionmaker for an incapacitated patient is, first, a patient-selected surrogate, second, a patient’s “agent pursuant to an advance health care directive or a power of attorney for health care,</w:t>
      </w:r>
      <w:r w:rsidRPr="00C76FE0" w:rsidR="006A20F1">
        <w:rPr>
          <w:szCs w:val="26"/>
        </w:rPr>
        <w:t>”</w:t>
      </w:r>
      <w:r w:rsidRPr="00C76FE0" w:rsidR="00BC5FCA">
        <w:rPr>
          <w:szCs w:val="26"/>
        </w:rPr>
        <w:t xml:space="preserve"> third, </w:t>
      </w:r>
      <w:r w:rsidRPr="00C76FE0" w:rsidR="00784C65">
        <w:rPr>
          <w:szCs w:val="26"/>
        </w:rPr>
        <w:t>a “conservator or guardian of the patient having the authority to make health care decisions for the patient,” and, fourth, a close family member or friend designated by a health care provider or facility.  (</w:t>
      </w:r>
      <w:r w:rsidR="00306865">
        <w:rPr>
          <w:szCs w:val="26"/>
        </w:rPr>
        <w:t>§ </w:t>
      </w:r>
      <w:r w:rsidRPr="00C76FE0" w:rsidR="00784C65">
        <w:rPr>
          <w:szCs w:val="26"/>
        </w:rPr>
        <w:t>4712</w:t>
      </w:r>
      <w:r w:rsidRPr="00C76FE0" w:rsidR="00A71471">
        <w:rPr>
          <w:szCs w:val="26"/>
        </w:rPr>
        <w:t>, subds. (a), (b)</w:t>
      </w:r>
      <w:r w:rsidRPr="00C76FE0" w:rsidR="009715E4">
        <w:rPr>
          <w:szCs w:val="26"/>
        </w:rPr>
        <w:t xml:space="preserve">; see also </w:t>
      </w:r>
      <w:r w:rsidR="00306865">
        <w:rPr>
          <w:szCs w:val="26"/>
        </w:rPr>
        <w:t>§ </w:t>
      </w:r>
      <w:r w:rsidRPr="00C76FE0" w:rsidR="009715E4">
        <w:rPr>
          <w:szCs w:val="26"/>
        </w:rPr>
        <w:t>4643 [“</w:t>
      </w:r>
      <w:r w:rsidR="00073D38">
        <w:rPr>
          <w:szCs w:val="26"/>
        </w:rPr>
        <w:t> </w:t>
      </w:r>
      <w:r w:rsidRPr="00C76FE0" w:rsidR="009715E4">
        <w:rPr>
          <w:szCs w:val="26"/>
        </w:rPr>
        <w:t>‘Surrogate’ means an adult, other than a patient’s agent or conservator, authorized under this division to make a health care decision for the patient”].)</w:t>
      </w:r>
    </w:p>
    <w:p w:rsidR="009C4C08" w:rsidRPr="00C76FE0" w:rsidP="00C76FE0" w14:paraId="2B05F449" w14:textId="77777777">
      <w:pPr>
        <w:ind w:firstLine="720"/>
        <w:rPr>
          <w:szCs w:val="26"/>
        </w:rPr>
      </w:pPr>
      <w:r w:rsidRPr="00C76FE0">
        <w:rPr>
          <w:szCs w:val="26"/>
        </w:rPr>
        <w:t xml:space="preserve">The Legislature’s </w:t>
      </w:r>
      <w:r w:rsidRPr="00C76FE0" w:rsidR="006A20F1">
        <w:rPr>
          <w:szCs w:val="26"/>
        </w:rPr>
        <w:t xml:space="preserve">decision </w:t>
      </w:r>
      <w:r w:rsidRPr="00C76FE0">
        <w:rPr>
          <w:szCs w:val="26"/>
        </w:rPr>
        <w:t xml:space="preserve">to </w:t>
      </w:r>
      <w:r w:rsidRPr="00C76FE0" w:rsidR="00FC631E">
        <w:rPr>
          <w:szCs w:val="26"/>
        </w:rPr>
        <w:t>invest in</w:t>
      </w:r>
      <w:r w:rsidRPr="00C76FE0" w:rsidR="00784C65">
        <w:rPr>
          <w:szCs w:val="26"/>
        </w:rPr>
        <w:t xml:space="preserve"> each of these four categories of representatives</w:t>
      </w:r>
      <w:r w:rsidRPr="00C76FE0" w:rsidR="00FC631E">
        <w:rPr>
          <w:szCs w:val="26"/>
        </w:rPr>
        <w:t xml:space="preserve"> the authority </w:t>
      </w:r>
      <w:r w:rsidRPr="00C76FE0" w:rsidR="00784C65">
        <w:rPr>
          <w:szCs w:val="26"/>
        </w:rPr>
        <w:t>to make “</w:t>
      </w:r>
      <w:r w:rsidRPr="00C76FE0">
        <w:rPr>
          <w:szCs w:val="26"/>
        </w:rPr>
        <w:t xml:space="preserve">health care </w:t>
      </w:r>
      <w:r w:rsidRPr="00C76FE0" w:rsidR="00784C65">
        <w:rPr>
          <w:szCs w:val="26"/>
        </w:rPr>
        <w:t>decisions” further suggests</w:t>
      </w:r>
      <w:r w:rsidRPr="00C76FE0" w:rsidR="00252E38">
        <w:rPr>
          <w:szCs w:val="26"/>
        </w:rPr>
        <w:t xml:space="preserve">, whether or not </w:t>
      </w:r>
      <w:r w:rsidRPr="00C76FE0" w:rsidR="0080016E">
        <w:rPr>
          <w:szCs w:val="26"/>
        </w:rPr>
        <w:t>the</w:t>
      </w:r>
      <w:r w:rsidRPr="00C76FE0" w:rsidR="00252E38">
        <w:rPr>
          <w:szCs w:val="26"/>
        </w:rPr>
        <w:t xml:space="preserve"> </w:t>
      </w:r>
      <w:r w:rsidRPr="00C76FE0" w:rsidR="0080016E">
        <w:rPr>
          <w:szCs w:val="26"/>
        </w:rPr>
        <w:t>power</w:t>
      </w:r>
      <w:r w:rsidRPr="00C76FE0" w:rsidR="00252E38">
        <w:rPr>
          <w:szCs w:val="26"/>
        </w:rPr>
        <w:t xml:space="preserve"> </w:t>
      </w:r>
      <w:r w:rsidRPr="00C76FE0" w:rsidR="0080016E">
        <w:rPr>
          <w:szCs w:val="26"/>
        </w:rPr>
        <w:t xml:space="preserve">of </w:t>
      </w:r>
      <w:r w:rsidRPr="00C76FE0" w:rsidR="00252E38">
        <w:rPr>
          <w:szCs w:val="26"/>
        </w:rPr>
        <w:t>each type of representative</w:t>
      </w:r>
      <w:r w:rsidRPr="00C76FE0" w:rsidR="0080016E">
        <w:rPr>
          <w:szCs w:val="26"/>
        </w:rPr>
        <w:t xml:space="preserve"> is fully equivalent</w:t>
      </w:r>
      <w:r w:rsidRPr="00C76FE0" w:rsidR="00252E38">
        <w:rPr>
          <w:szCs w:val="26"/>
        </w:rPr>
        <w:t>,</w:t>
      </w:r>
      <w:r w:rsidRPr="00C76FE0" w:rsidR="00784C65">
        <w:rPr>
          <w:szCs w:val="26"/>
        </w:rPr>
        <w:t xml:space="preserve"> that </w:t>
      </w:r>
      <w:r w:rsidRPr="00C76FE0" w:rsidR="00DF4605">
        <w:rPr>
          <w:szCs w:val="26"/>
        </w:rPr>
        <w:t xml:space="preserve">the Legislature </w:t>
      </w:r>
      <w:r w:rsidRPr="00C76FE0" w:rsidR="00784C65">
        <w:rPr>
          <w:szCs w:val="26"/>
        </w:rPr>
        <w:t xml:space="preserve">intended </w:t>
      </w:r>
      <w:r w:rsidRPr="00C76FE0" w:rsidR="0080016E">
        <w:rPr>
          <w:szCs w:val="26"/>
        </w:rPr>
        <w:t xml:space="preserve">the authority to make health care decisions </w:t>
      </w:r>
      <w:r w:rsidRPr="00C76FE0" w:rsidR="00784C65">
        <w:rPr>
          <w:szCs w:val="26"/>
        </w:rPr>
        <w:t xml:space="preserve">to concern matters </w:t>
      </w:r>
      <w:r w:rsidRPr="00C76FE0" w:rsidR="00835A3F">
        <w:rPr>
          <w:szCs w:val="26"/>
        </w:rPr>
        <w:t xml:space="preserve">more </w:t>
      </w:r>
      <w:r w:rsidRPr="00C76FE0" w:rsidR="00502756">
        <w:rPr>
          <w:szCs w:val="26"/>
        </w:rPr>
        <w:t xml:space="preserve">closely </w:t>
      </w:r>
      <w:r w:rsidRPr="00C76FE0" w:rsidR="00784C65">
        <w:rPr>
          <w:szCs w:val="26"/>
        </w:rPr>
        <w:t>related to health care</w:t>
      </w:r>
      <w:r w:rsidRPr="00C76FE0" w:rsidR="00491BAB">
        <w:rPr>
          <w:szCs w:val="26"/>
        </w:rPr>
        <w:t xml:space="preserve">.  </w:t>
      </w:r>
      <w:r w:rsidRPr="00C76FE0" w:rsidR="0034117F">
        <w:rPr>
          <w:szCs w:val="26"/>
        </w:rPr>
        <w:t>Th</w:t>
      </w:r>
      <w:r w:rsidRPr="00C76FE0" w:rsidR="004A15A7">
        <w:rPr>
          <w:szCs w:val="26"/>
        </w:rPr>
        <w:t>e</w:t>
      </w:r>
      <w:r w:rsidRPr="00C76FE0" w:rsidR="0034117F">
        <w:rPr>
          <w:szCs w:val="26"/>
        </w:rPr>
        <w:t xml:space="preserve"> authority </w:t>
      </w:r>
      <w:r w:rsidRPr="00C76FE0" w:rsidR="004A15A7">
        <w:rPr>
          <w:szCs w:val="26"/>
        </w:rPr>
        <w:t xml:space="preserve">to make health care decisions </w:t>
      </w:r>
      <w:r w:rsidRPr="00C76FE0" w:rsidR="0034117F">
        <w:rPr>
          <w:szCs w:val="26"/>
        </w:rPr>
        <w:t xml:space="preserve">may devolve upon not only </w:t>
      </w:r>
      <w:r w:rsidRPr="00C76FE0" w:rsidR="004A15A7">
        <w:rPr>
          <w:szCs w:val="26"/>
        </w:rPr>
        <w:t xml:space="preserve">agents </w:t>
      </w:r>
      <w:r w:rsidRPr="00C76FE0" w:rsidR="0034117F">
        <w:rPr>
          <w:szCs w:val="26"/>
        </w:rPr>
        <w:t>carefully selected in advance</w:t>
      </w:r>
      <w:r w:rsidRPr="00C76FE0" w:rsidR="004A15A7">
        <w:rPr>
          <w:szCs w:val="26"/>
        </w:rPr>
        <w:t xml:space="preserve">, but </w:t>
      </w:r>
      <w:r w:rsidR="00123391">
        <w:rPr>
          <w:szCs w:val="26"/>
        </w:rPr>
        <w:t xml:space="preserve">also </w:t>
      </w:r>
      <w:r w:rsidRPr="00C76FE0" w:rsidR="0054363F">
        <w:rPr>
          <w:szCs w:val="26"/>
        </w:rPr>
        <w:t xml:space="preserve">on </w:t>
      </w:r>
      <w:r w:rsidRPr="00C76FE0" w:rsidR="004A15A7">
        <w:rPr>
          <w:szCs w:val="26"/>
        </w:rPr>
        <w:t xml:space="preserve">surrogates </w:t>
      </w:r>
      <w:r w:rsidRPr="00C76FE0" w:rsidR="0080016E">
        <w:rPr>
          <w:szCs w:val="26"/>
        </w:rPr>
        <w:t xml:space="preserve">the principal </w:t>
      </w:r>
      <w:r w:rsidRPr="00C76FE0" w:rsidR="004A15A7">
        <w:rPr>
          <w:szCs w:val="26"/>
        </w:rPr>
        <w:t>cho</w:t>
      </w:r>
      <w:r w:rsidRPr="00C76FE0" w:rsidR="0080016E">
        <w:rPr>
          <w:szCs w:val="26"/>
        </w:rPr>
        <w:t>oses</w:t>
      </w:r>
      <w:r w:rsidRPr="00C76FE0" w:rsidR="004A15A7">
        <w:rPr>
          <w:szCs w:val="26"/>
        </w:rPr>
        <w:t xml:space="preserve"> in emergency situations</w:t>
      </w:r>
      <w:r w:rsidRPr="00C76FE0" w:rsidR="007C74F9">
        <w:rPr>
          <w:szCs w:val="26"/>
        </w:rPr>
        <w:t xml:space="preserve"> or </w:t>
      </w:r>
      <w:r w:rsidRPr="00C76FE0" w:rsidR="0080016E">
        <w:rPr>
          <w:szCs w:val="26"/>
        </w:rPr>
        <w:t xml:space="preserve">even </w:t>
      </w:r>
      <w:r w:rsidRPr="00C76FE0" w:rsidR="007C74F9">
        <w:rPr>
          <w:szCs w:val="26"/>
        </w:rPr>
        <w:t xml:space="preserve">those </w:t>
      </w:r>
      <w:r w:rsidRPr="00C76FE0" w:rsidR="0080016E">
        <w:rPr>
          <w:szCs w:val="26"/>
        </w:rPr>
        <w:t xml:space="preserve">the </w:t>
      </w:r>
      <w:r w:rsidRPr="00C76FE0" w:rsidR="004A15A7">
        <w:rPr>
          <w:szCs w:val="26"/>
        </w:rPr>
        <w:t>health care provider</w:t>
      </w:r>
      <w:r w:rsidRPr="00C76FE0" w:rsidR="00045C6E">
        <w:rPr>
          <w:szCs w:val="26"/>
        </w:rPr>
        <w:t xml:space="preserve"> </w:t>
      </w:r>
      <w:r w:rsidRPr="00C76FE0" w:rsidR="0080016E">
        <w:rPr>
          <w:szCs w:val="26"/>
        </w:rPr>
        <w:t>choose</w:t>
      </w:r>
      <w:r w:rsidR="003F663E">
        <w:rPr>
          <w:szCs w:val="26"/>
        </w:rPr>
        <w:t>s</w:t>
      </w:r>
      <w:r w:rsidRPr="00C76FE0" w:rsidR="0080016E">
        <w:rPr>
          <w:szCs w:val="26"/>
        </w:rPr>
        <w:t xml:space="preserve"> </w:t>
      </w:r>
      <w:r w:rsidR="003F663E">
        <w:rPr>
          <w:szCs w:val="26"/>
        </w:rPr>
        <w:t>it</w:t>
      </w:r>
      <w:r w:rsidRPr="00C76FE0" w:rsidR="003F663E">
        <w:rPr>
          <w:szCs w:val="26"/>
        </w:rPr>
        <w:t>sel</w:t>
      </w:r>
      <w:r w:rsidR="003F663E">
        <w:rPr>
          <w:szCs w:val="26"/>
        </w:rPr>
        <w:t>f</w:t>
      </w:r>
      <w:r w:rsidRPr="00C76FE0" w:rsidR="004A15A7">
        <w:rPr>
          <w:szCs w:val="26"/>
        </w:rPr>
        <w:t xml:space="preserve">.  </w:t>
      </w:r>
      <w:r w:rsidRPr="00C76FE0" w:rsidR="006A20F1">
        <w:rPr>
          <w:szCs w:val="26"/>
        </w:rPr>
        <w:t xml:space="preserve">Because </w:t>
      </w:r>
      <w:r w:rsidRPr="00C76FE0" w:rsidR="00045C6E">
        <w:rPr>
          <w:szCs w:val="26"/>
        </w:rPr>
        <w:t>the statute</w:t>
      </w:r>
      <w:r w:rsidRPr="00C76FE0" w:rsidR="006A20F1">
        <w:rPr>
          <w:szCs w:val="26"/>
        </w:rPr>
        <w:t xml:space="preserve"> </w:t>
      </w:r>
      <w:r w:rsidRPr="00C76FE0" w:rsidR="00704720">
        <w:rPr>
          <w:szCs w:val="26"/>
        </w:rPr>
        <w:t xml:space="preserve">gives both </w:t>
      </w:r>
      <w:r w:rsidRPr="00C76FE0" w:rsidR="00045C6E">
        <w:rPr>
          <w:szCs w:val="26"/>
        </w:rPr>
        <w:t>agents and as-needed surrogates</w:t>
      </w:r>
      <w:r w:rsidRPr="00C76FE0" w:rsidR="00704720">
        <w:rPr>
          <w:szCs w:val="26"/>
        </w:rPr>
        <w:t xml:space="preserve"> authority to make</w:t>
      </w:r>
      <w:r w:rsidRPr="00C76FE0" w:rsidR="00926389">
        <w:rPr>
          <w:szCs w:val="26"/>
        </w:rPr>
        <w:t xml:space="preserve"> </w:t>
      </w:r>
      <w:r w:rsidRPr="00C76FE0" w:rsidR="00045C6E">
        <w:rPr>
          <w:szCs w:val="26"/>
        </w:rPr>
        <w:t>health care decisions</w:t>
      </w:r>
      <w:r w:rsidRPr="00C76FE0" w:rsidR="00704720">
        <w:rPr>
          <w:szCs w:val="26"/>
        </w:rPr>
        <w:t>, th</w:t>
      </w:r>
      <w:r w:rsidRPr="00C76FE0" w:rsidR="00926389">
        <w:rPr>
          <w:szCs w:val="26"/>
        </w:rPr>
        <w:t>at</w:t>
      </w:r>
      <w:r w:rsidRPr="00C76FE0" w:rsidR="00704720">
        <w:rPr>
          <w:szCs w:val="26"/>
        </w:rPr>
        <w:t xml:space="preserve"> </w:t>
      </w:r>
      <w:r w:rsidRPr="00C76FE0" w:rsidR="00926389">
        <w:rPr>
          <w:szCs w:val="26"/>
        </w:rPr>
        <w:t>authority</w:t>
      </w:r>
      <w:r w:rsidRPr="00C76FE0" w:rsidR="00704720">
        <w:rPr>
          <w:szCs w:val="26"/>
        </w:rPr>
        <w:t xml:space="preserve">, when </w:t>
      </w:r>
      <w:r w:rsidRPr="00C76FE0" w:rsidR="00926389">
        <w:rPr>
          <w:szCs w:val="26"/>
        </w:rPr>
        <w:t xml:space="preserve">exercised </w:t>
      </w:r>
      <w:r w:rsidRPr="00C76FE0" w:rsidR="00704720">
        <w:rPr>
          <w:szCs w:val="26"/>
        </w:rPr>
        <w:t>pursuant to a power of attorney such as Logan’s,</w:t>
      </w:r>
      <w:r w:rsidRPr="00C76FE0" w:rsidR="00491BAB">
        <w:rPr>
          <w:szCs w:val="26"/>
        </w:rPr>
        <w:t xml:space="preserve"> </w:t>
      </w:r>
      <w:r w:rsidRPr="00C76FE0" w:rsidR="00926389">
        <w:rPr>
          <w:szCs w:val="26"/>
        </w:rPr>
        <w:t xml:space="preserve">is </w:t>
      </w:r>
      <w:r w:rsidRPr="00C76FE0" w:rsidR="00491BAB">
        <w:rPr>
          <w:szCs w:val="26"/>
        </w:rPr>
        <w:t xml:space="preserve">not </w:t>
      </w:r>
      <w:r w:rsidRPr="00C76FE0" w:rsidR="004A15A7">
        <w:rPr>
          <w:szCs w:val="26"/>
        </w:rPr>
        <w:t xml:space="preserve">best understood as </w:t>
      </w:r>
      <w:r w:rsidRPr="00C76FE0" w:rsidR="00593B7D">
        <w:rPr>
          <w:szCs w:val="26"/>
        </w:rPr>
        <w:t>relat</w:t>
      </w:r>
      <w:r w:rsidRPr="00C76FE0" w:rsidR="004A15A7">
        <w:rPr>
          <w:szCs w:val="26"/>
        </w:rPr>
        <w:t>ing</w:t>
      </w:r>
      <w:r w:rsidRPr="00C76FE0" w:rsidR="00593B7D">
        <w:rPr>
          <w:szCs w:val="26"/>
        </w:rPr>
        <w:t xml:space="preserve"> to </w:t>
      </w:r>
      <w:r w:rsidRPr="00C76FE0" w:rsidR="00B30DFB">
        <w:rPr>
          <w:szCs w:val="26"/>
        </w:rPr>
        <w:t xml:space="preserve">every possible aspect of a transaction with a </w:t>
      </w:r>
      <w:r w:rsidRPr="00C76FE0" w:rsidR="007D38AB">
        <w:rPr>
          <w:szCs w:val="26"/>
        </w:rPr>
        <w:t>skilled nursing facility</w:t>
      </w:r>
      <w:r w:rsidRPr="00C76FE0" w:rsidR="00B30DFB">
        <w:rPr>
          <w:szCs w:val="26"/>
        </w:rPr>
        <w:t xml:space="preserve">, </w:t>
      </w:r>
      <w:r w:rsidRPr="00C76FE0" w:rsidR="004A15A7">
        <w:rPr>
          <w:szCs w:val="26"/>
        </w:rPr>
        <w:t xml:space="preserve">such as </w:t>
      </w:r>
      <w:r w:rsidRPr="00C76FE0" w:rsidR="00784C65">
        <w:rPr>
          <w:szCs w:val="26"/>
        </w:rPr>
        <w:t xml:space="preserve">optional, separate agreements that </w:t>
      </w:r>
      <w:r w:rsidRPr="00C76FE0" w:rsidR="0068258C">
        <w:rPr>
          <w:szCs w:val="26"/>
        </w:rPr>
        <w:t xml:space="preserve">do not affect health </w:t>
      </w:r>
      <w:r w:rsidRPr="00C76FE0" w:rsidR="005E0404">
        <w:rPr>
          <w:szCs w:val="26"/>
        </w:rPr>
        <w:t>care or the selection of the facility</w:t>
      </w:r>
      <w:r w:rsidRPr="00C76FE0" w:rsidR="00784C65">
        <w:rPr>
          <w:szCs w:val="26"/>
        </w:rPr>
        <w:t>.</w:t>
      </w:r>
      <w:r>
        <w:rPr>
          <w:rStyle w:val="FootnoteReference"/>
        </w:rPr>
        <w:footnoteReference w:id="13"/>
      </w:r>
    </w:p>
    <w:p w:rsidR="00A10AD6" w:rsidRPr="00C76FE0" w:rsidP="00C76FE0" w14:paraId="2B05F44A" w14:textId="77777777">
      <w:pPr>
        <w:keepNext/>
        <w:outlineLvl w:val="1"/>
        <w:rPr>
          <w:b/>
          <w:bCs/>
          <w:szCs w:val="26"/>
        </w:rPr>
      </w:pPr>
      <w:r w:rsidRPr="00C76FE0">
        <w:rPr>
          <w:b/>
          <w:bCs/>
          <w:szCs w:val="26"/>
        </w:rPr>
        <w:t>B.</w:t>
      </w:r>
      <w:r w:rsidRPr="00C76FE0">
        <w:rPr>
          <w:b/>
          <w:bCs/>
          <w:szCs w:val="26"/>
        </w:rPr>
        <w:tab/>
        <w:t>Agency Law</w:t>
      </w:r>
    </w:p>
    <w:p w:rsidR="00AB7778" w:rsidRPr="00C76FE0" w:rsidP="00C76FE0" w14:paraId="2B05F44B" w14:textId="77777777">
      <w:pPr>
        <w:ind w:firstLine="720"/>
        <w:rPr>
          <w:szCs w:val="26"/>
        </w:rPr>
      </w:pPr>
      <w:r w:rsidRPr="00C76FE0">
        <w:rPr>
          <w:szCs w:val="26"/>
        </w:rPr>
        <w:t>Defendants</w:t>
      </w:r>
      <w:r w:rsidRPr="00C76FE0" w:rsidR="002E356F">
        <w:rPr>
          <w:szCs w:val="26"/>
        </w:rPr>
        <w:t xml:space="preserve">, the facility owners and operators, </w:t>
      </w:r>
      <w:r w:rsidRPr="00C76FE0">
        <w:rPr>
          <w:szCs w:val="26"/>
        </w:rPr>
        <w:t xml:space="preserve">contend Civil Code section 2319, part of our state’s law of agency, imbued Logan’s </w:t>
      </w:r>
      <w:r w:rsidRPr="00C76FE0" w:rsidR="007C74F9">
        <w:rPr>
          <w:szCs w:val="26"/>
        </w:rPr>
        <w:t xml:space="preserve">health care decisionmaking </w:t>
      </w:r>
      <w:r w:rsidRPr="00C76FE0">
        <w:rPr>
          <w:szCs w:val="26"/>
        </w:rPr>
        <w:t xml:space="preserve">agent with authority to agree to arbitration.  </w:t>
      </w:r>
      <w:r w:rsidRPr="00C76FE0" w:rsidR="002E356F">
        <w:rPr>
          <w:szCs w:val="26"/>
        </w:rPr>
        <w:t>As noted</w:t>
      </w:r>
      <w:r w:rsidRPr="00C76FE0" w:rsidR="00BB0626">
        <w:rPr>
          <w:szCs w:val="26"/>
        </w:rPr>
        <w:t xml:space="preserve"> above</w:t>
      </w:r>
      <w:r w:rsidRPr="00C76FE0" w:rsidR="002E356F">
        <w:rPr>
          <w:szCs w:val="26"/>
        </w:rPr>
        <w:t>, w</w:t>
      </w:r>
      <w:r w:rsidRPr="00C76FE0">
        <w:rPr>
          <w:szCs w:val="26"/>
        </w:rPr>
        <w:t>here the Health Care Decisions Law</w:t>
      </w:r>
      <w:r w:rsidRPr="00C76FE0" w:rsidR="002E356F">
        <w:rPr>
          <w:szCs w:val="26"/>
        </w:rPr>
        <w:t xml:space="preserve"> “</w:t>
      </w:r>
      <w:r w:rsidRPr="00C76FE0">
        <w:rPr>
          <w:szCs w:val="26"/>
        </w:rPr>
        <w:t xml:space="preserve">does not provide a rule governing agents under powers of attorney, the law of agency applies.”  </w:t>
      </w:r>
      <w:r w:rsidRPr="00C76FE0" w:rsidR="00A10AD6">
        <w:rPr>
          <w:szCs w:val="26"/>
          <w:bdr w:val="none" w:sz="0" w:space="0" w:color="auto" w:frame="1"/>
        </w:rPr>
        <w:t>(</w:t>
      </w:r>
      <w:r w:rsidR="00306865">
        <w:rPr>
          <w:szCs w:val="26"/>
          <w:bdr w:val="none" w:sz="0" w:space="0" w:color="auto" w:frame="1"/>
        </w:rPr>
        <w:t>§ </w:t>
      </w:r>
      <w:r w:rsidRPr="00C76FE0" w:rsidR="00A10AD6">
        <w:rPr>
          <w:szCs w:val="26"/>
        </w:rPr>
        <w:t>4</w:t>
      </w:r>
      <w:r w:rsidRPr="00C76FE0" w:rsidR="006F7DE9">
        <w:rPr>
          <w:szCs w:val="26"/>
        </w:rPr>
        <w:t>688</w:t>
      </w:r>
      <w:r w:rsidRPr="00C76FE0">
        <w:rPr>
          <w:szCs w:val="26"/>
          <w:bdr w:val="none" w:sz="0" w:space="0" w:color="auto" w:frame="1"/>
        </w:rPr>
        <w:t>.)</w:t>
      </w:r>
      <w:r w:rsidRPr="00C76FE0" w:rsidR="00835A3F">
        <w:rPr>
          <w:szCs w:val="26"/>
          <w:bdr w:val="none" w:sz="0" w:space="0" w:color="auto" w:frame="1"/>
        </w:rPr>
        <w:t xml:space="preserve">  </w:t>
      </w:r>
      <w:r w:rsidRPr="00C76FE0" w:rsidR="00984EE0">
        <w:rPr>
          <w:szCs w:val="26"/>
        </w:rPr>
        <w:t xml:space="preserve">Since 1872, section </w:t>
      </w:r>
      <w:r w:rsidRPr="00C76FE0">
        <w:rPr>
          <w:szCs w:val="26"/>
        </w:rPr>
        <w:t xml:space="preserve">2319 of the Civil Code </w:t>
      </w:r>
      <w:r w:rsidRPr="00C76FE0" w:rsidR="00984EE0">
        <w:rPr>
          <w:szCs w:val="26"/>
        </w:rPr>
        <w:t xml:space="preserve">has conferred an agent </w:t>
      </w:r>
      <w:r w:rsidRPr="00C76FE0">
        <w:rPr>
          <w:szCs w:val="26"/>
        </w:rPr>
        <w:t xml:space="preserve">with </w:t>
      </w:r>
      <w:r w:rsidRPr="00C76FE0" w:rsidR="00984EE0">
        <w:rPr>
          <w:szCs w:val="26"/>
        </w:rPr>
        <w:t xml:space="preserve">authority “[t]o do everything necessary or proper and usual, in the ordinary course of business, for effecting the purpose of his agency.”  (Civ. Code, </w:t>
      </w:r>
      <w:r w:rsidR="00306865">
        <w:rPr>
          <w:szCs w:val="26"/>
        </w:rPr>
        <w:t>§ </w:t>
      </w:r>
      <w:r w:rsidRPr="00C76FE0" w:rsidR="00984EE0">
        <w:rPr>
          <w:szCs w:val="26"/>
        </w:rPr>
        <w:t>2319, subd. (1).)</w:t>
      </w:r>
    </w:p>
    <w:p w:rsidR="009235D8" w:rsidRPr="00C76FE0" w:rsidP="00C76FE0" w14:paraId="2B05F44C" w14:textId="77777777">
      <w:pPr>
        <w:ind w:firstLine="720"/>
        <w:rPr>
          <w:szCs w:val="26"/>
        </w:rPr>
      </w:pPr>
      <w:r w:rsidRPr="00C76FE0">
        <w:rPr>
          <w:szCs w:val="26"/>
        </w:rPr>
        <w:t>Defendants</w:t>
      </w:r>
      <w:r w:rsidRPr="00C76FE0" w:rsidR="00AE452B">
        <w:rPr>
          <w:szCs w:val="26"/>
        </w:rPr>
        <w:t xml:space="preserve"> </w:t>
      </w:r>
      <w:r w:rsidRPr="00C76FE0" w:rsidR="00593B7D">
        <w:rPr>
          <w:szCs w:val="26"/>
        </w:rPr>
        <w:t xml:space="preserve">assert </w:t>
      </w:r>
      <w:r w:rsidRPr="00C76FE0" w:rsidR="00AE452B">
        <w:rPr>
          <w:szCs w:val="26"/>
        </w:rPr>
        <w:t xml:space="preserve">selecting arbitration for dispute resolution is </w:t>
      </w:r>
      <w:r w:rsidRPr="00C76FE0" w:rsidR="00E454EF">
        <w:rPr>
          <w:szCs w:val="26"/>
        </w:rPr>
        <w:t xml:space="preserve">a </w:t>
      </w:r>
      <w:r w:rsidRPr="00C76FE0" w:rsidR="00AE452B">
        <w:rPr>
          <w:szCs w:val="26"/>
        </w:rPr>
        <w:t xml:space="preserve">“proper and usual” </w:t>
      </w:r>
      <w:r w:rsidRPr="00C76FE0" w:rsidR="00E454EF">
        <w:rPr>
          <w:szCs w:val="26"/>
        </w:rPr>
        <w:t xml:space="preserve">act </w:t>
      </w:r>
      <w:r w:rsidRPr="00C76FE0" w:rsidR="00AE452B">
        <w:rPr>
          <w:szCs w:val="26"/>
        </w:rPr>
        <w:t xml:space="preserve">for someone </w:t>
      </w:r>
      <w:r w:rsidRPr="00C76FE0" w:rsidR="00182A8E">
        <w:rPr>
          <w:szCs w:val="26"/>
        </w:rPr>
        <w:t xml:space="preserve">otherwise </w:t>
      </w:r>
      <w:r w:rsidRPr="00C76FE0" w:rsidR="00AE452B">
        <w:rPr>
          <w:szCs w:val="26"/>
        </w:rPr>
        <w:t>empowered to</w:t>
      </w:r>
      <w:r w:rsidRPr="00C76FE0" w:rsidR="00544F58">
        <w:rPr>
          <w:szCs w:val="26"/>
        </w:rPr>
        <w:t xml:space="preserve"> make health care decisions and to</w:t>
      </w:r>
      <w:r w:rsidRPr="00C76FE0" w:rsidR="00AE452B">
        <w:rPr>
          <w:szCs w:val="26"/>
        </w:rPr>
        <w:t xml:space="preserve"> contract with a health care provider.  </w:t>
      </w:r>
      <w:r w:rsidRPr="00C76FE0" w:rsidR="006C6804">
        <w:rPr>
          <w:szCs w:val="26"/>
        </w:rPr>
        <w:t xml:space="preserve">Civil Code section 2319, in defendants’ view, </w:t>
      </w:r>
      <w:r w:rsidRPr="00C76FE0" w:rsidR="006658D2">
        <w:rPr>
          <w:szCs w:val="26"/>
        </w:rPr>
        <w:t xml:space="preserve">either provides guidance on the scope of “health care decisions” otherwise missing from the Health Care Decisions Law or </w:t>
      </w:r>
      <w:r w:rsidRPr="00C76FE0" w:rsidR="006C6804">
        <w:rPr>
          <w:szCs w:val="26"/>
        </w:rPr>
        <w:t>counteracts any narrow construction of “health care decision”</w:t>
      </w:r>
      <w:r w:rsidRPr="00C76FE0" w:rsidR="006658D2">
        <w:rPr>
          <w:szCs w:val="26"/>
        </w:rPr>
        <w:t xml:space="preserve"> otherwise</w:t>
      </w:r>
      <w:r w:rsidRPr="00C76FE0" w:rsidR="006C6804">
        <w:rPr>
          <w:szCs w:val="26"/>
        </w:rPr>
        <w:t xml:space="preserve"> inherent </w:t>
      </w:r>
      <w:r w:rsidRPr="00C76FE0" w:rsidR="006658D2">
        <w:rPr>
          <w:szCs w:val="26"/>
        </w:rPr>
        <w:t>in that law or Logan’s power of attorney</w:t>
      </w:r>
      <w:r w:rsidRPr="00C76FE0" w:rsidR="006C6804">
        <w:rPr>
          <w:szCs w:val="26"/>
        </w:rPr>
        <w:t xml:space="preserve">.  </w:t>
      </w:r>
      <w:r w:rsidRPr="00C76FE0" w:rsidR="002E356F">
        <w:rPr>
          <w:szCs w:val="26"/>
        </w:rPr>
        <w:t xml:space="preserve">Harrod </w:t>
      </w:r>
      <w:r w:rsidRPr="00C76FE0" w:rsidR="00E454EF">
        <w:rPr>
          <w:szCs w:val="26"/>
        </w:rPr>
        <w:t xml:space="preserve">disagrees, asserting there are </w:t>
      </w:r>
      <w:r w:rsidRPr="00C76FE0" w:rsidR="00A459C6">
        <w:rPr>
          <w:szCs w:val="26"/>
        </w:rPr>
        <w:t xml:space="preserve">no gaps in the Health Care Decisions Law and </w:t>
      </w:r>
      <w:r w:rsidRPr="00C76FE0" w:rsidR="00E454EF">
        <w:rPr>
          <w:szCs w:val="26"/>
        </w:rPr>
        <w:t xml:space="preserve">there is </w:t>
      </w:r>
      <w:r w:rsidRPr="00C76FE0" w:rsidR="00AE452B">
        <w:rPr>
          <w:szCs w:val="26"/>
        </w:rPr>
        <w:t xml:space="preserve">nothing about </w:t>
      </w:r>
      <w:r w:rsidRPr="00C76FE0" w:rsidR="00C835BE">
        <w:rPr>
          <w:szCs w:val="26"/>
        </w:rPr>
        <w:t>an optional</w:t>
      </w:r>
      <w:r w:rsidRPr="00C76FE0">
        <w:rPr>
          <w:szCs w:val="26"/>
        </w:rPr>
        <w:t>, separate</w:t>
      </w:r>
      <w:r w:rsidRPr="00C76FE0" w:rsidR="00C835BE">
        <w:rPr>
          <w:szCs w:val="26"/>
        </w:rPr>
        <w:t xml:space="preserve"> arbitration </w:t>
      </w:r>
      <w:r w:rsidRPr="00C76FE0">
        <w:rPr>
          <w:szCs w:val="26"/>
        </w:rPr>
        <w:t xml:space="preserve">agreement </w:t>
      </w:r>
      <w:r w:rsidRPr="00C76FE0" w:rsidR="00C835BE">
        <w:rPr>
          <w:szCs w:val="26"/>
        </w:rPr>
        <w:t xml:space="preserve">that effectuates the purpose </w:t>
      </w:r>
      <w:r w:rsidRPr="00C76FE0">
        <w:rPr>
          <w:szCs w:val="26"/>
        </w:rPr>
        <w:t xml:space="preserve">of </w:t>
      </w:r>
      <w:r w:rsidRPr="00C76FE0" w:rsidR="00C835BE">
        <w:rPr>
          <w:szCs w:val="26"/>
        </w:rPr>
        <w:t xml:space="preserve">health care </w:t>
      </w:r>
      <w:r w:rsidRPr="00C76FE0" w:rsidR="00E36DC0">
        <w:rPr>
          <w:szCs w:val="26"/>
        </w:rPr>
        <w:t>decisionmaking</w:t>
      </w:r>
      <w:r w:rsidRPr="00C76FE0">
        <w:rPr>
          <w:szCs w:val="26"/>
        </w:rPr>
        <w:t xml:space="preserve"> </w:t>
      </w:r>
      <w:r w:rsidRPr="00C76FE0" w:rsidR="00182A8E">
        <w:rPr>
          <w:szCs w:val="26"/>
        </w:rPr>
        <w:t>and Harrod’s agency</w:t>
      </w:r>
      <w:r w:rsidRPr="00C76FE0" w:rsidR="00C835BE">
        <w:rPr>
          <w:szCs w:val="26"/>
        </w:rPr>
        <w:t xml:space="preserve">.  </w:t>
      </w:r>
      <w:r w:rsidRPr="00C76FE0" w:rsidR="002E356F">
        <w:rPr>
          <w:szCs w:val="26"/>
        </w:rPr>
        <w:t>Harrod</w:t>
      </w:r>
      <w:r w:rsidRPr="00C76FE0" w:rsidR="00501721">
        <w:rPr>
          <w:szCs w:val="26"/>
        </w:rPr>
        <w:t>’s view is closer to the mark.</w:t>
      </w:r>
    </w:p>
    <w:p w:rsidR="00B85275" w:rsidRPr="00A002F1" w:rsidP="009157E6" w14:paraId="2B05F44D" w14:textId="77777777">
      <w:pPr>
        <w:ind w:firstLine="720"/>
        <w:rPr>
          <w:szCs w:val="26"/>
          <w:bdr w:val="none" w:sz="0" w:space="0" w:color="auto" w:frame="1"/>
        </w:rPr>
      </w:pPr>
      <w:r w:rsidRPr="00C76FE0">
        <w:rPr>
          <w:szCs w:val="26"/>
        </w:rPr>
        <w:t xml:space="preserve">Civil Code </w:t>
      </w:r>
      <w:r w:rsidRPr="00C76FE0" w:rsidR="00953F8A">
        <w:rPr>
          <w:szCs w:val="26"/>
        </w:rPr>
        <w:t xml:space="preserve">section </w:t>
      </w:r>
      <w:r w:rsidRPr="00C76FE0" w:rsidR="00C63233">
        <w:rPr>
          <w:szCs w:val="26"/>
        </w:rPr>
        <w:t xml:space="preserve">2319 embodies the </w:t>
      </w:r>
      <w:r w:rsidRPr="00C76FE0" w:rsidR="008B4319">
        <w:rPr>
          <w:szCs w:val="26"/>
        </w:rPr>
        <w:t>notion</w:t>
      </w:r>
      <w:r w:rsidRPr="00C76FE0" w:rsidR="00C63233">
        <w:rPr>
          <w:szCs w:val="26"/>
        </w:rPr>
        <w:t xml:space="preserve"> </w:t>
      </w:r>
      <w:r w:rsidRPr="00C76FE0" w:rsidR="00E36DC0">
        <w:rPr>
          <w:szCs w:val="26"/>
        </w:rPr>
        <w:t>of implied authority</w:t>
      </w:r>
      <w:r w:rsidR="00306865">
        <w:rPr>
          <w:szCs w:val="26"/>
        </w:rPr>
        <w:t> —</w:t>
      </w:r>
      <w:r w:rsidRPr="00C76FE0" w:rsidR="00E36DC0">
        <w:rPr>
          <w:szCs w:val="26"/>
        </w:rPr>
        <w:t xml:space="preserve"> </w:t>
      </w:r>
      <w:r w:rsidRPr="00C76FE0" w:rsidR="00C63233">
        <w:rPr>
          <w:szCs w:val="26"/>
        </w:rPr>
        <w:t xml:space="preserve">that an agent </w:t>
      </w:r>
      <w:r w:rsidRPr="00C76FE0">
        <w:rPr>
          <w:szCs w:val="26"/>
        </w:rPr>
        <w:t xml:space="preserve">expressly </w:t>
      </w:r>
      <w:r w:rsidRPr="00C76FE0" w:rsidR="00C63233">
        <w:rPr>
          <w:szCs w:val="26"/>
        </w:rPr>
        <w:t xml:space="preserve">granted a specific power </w:t>
      </w:r>
      <w:r w:rsidRPr="00C76FE0" w:rsidR="008B4319">
        <w:rPr>
          <w:szCs w:val="26"/>
        </w:rPr>
        <w:t>should have</w:t>
      </w:r>
      <w:r w:rsidRPr="00C76FE0" w:rsidR="00C63233">
        <w:rPr>
          <w:szCs w:val="26"/>
        </w:rPr>
        <w:t xml:space="preserve"> </w:t>
      </w:r>
      <w:r w:rsidR="00AD2491">
        <w:rPr>
          <w:szCs w:val="26"/>
        </w:rPr>
        <w:t xml:space="preserve">sufficient </w:t>
      </w:r>
      <w:r w:rsidRPr="00C76FE0" w:rsidR="00C63233">
        <w:rPr>
          <w:szCs w:val="26"/>
        </w:rPr>
        <w:t xml:space="preserve">authority to effectuate </w:t>
      </w:r>
      <w:r w:rsidRPr="00C76FE0" w:rsidR="00E36DC0">
        <w:rPr>
          <w:szCs w:val="26"/>
        </w:rPr>
        <w:t>it</w:t>
      </w:r>
      <w:r w:rsidRPr="00C76FE0" w:rsidR="00C63233">
        <w:rPr>
          <w:szCs w:val="26"/>
        </w:rPr>
        <w:t>.</w:t>
      </w:r>
      <w:r w:rsidRPr="00C76FE0" w:rsidR="00DE15D0">
        <w:rPr>
          <w:szCs w:val="26"/>
        </w:rPr>
        <w:t xml:space="preserve"> </w:t>
      </w:r>
      <w:r w:rsidRPr="00C76FE0" w:rsidR="003C7B51">
        <w:rPr>
          <w:szCs w:val="26"/>
        </w:rPr>
        <w:t xml:space="preserve"> </w:t>
      </w:r>
      <w:r w:rsidRPr="00C76FE0" w:rsidR="00B85F5C">
        <w:rPr>
          <w:szCs w:val="26"/>
        </w:rPr>
        <w:t xml:space="preserve">(See </w:t>
      </w:r>
      <w:r w:rsidRPr="00C76FE0" w:rsidR="00D264A2">
        <w:rPr>
          <w:i/>
          <w:iCs/>
          <w:szCs w:val="26"/>
          <w:bdr w:val="none" w:sz="0" w:space="0" w:color="auto" w:frame="1"/>
        </w:rPr>
        <w:t>Madden v. Kaiser Foundation Hospitals</w:t>
      </w:r>
      <w:r w:rsidRPr="00C76FE0" w:rsidR="00D264A2">
        <w:rPr>
          <w:szCs w:val="26"/>
          <w:bdr w:val="none" w:sz="0" w:space="0" w:color="auto" w:frame="1"/>
        </w:rPr>
        <w:t xml:space="preserve"> (1976) 17 Cal.3d 699, 706</w:t>
      </w:r>
      <w:r w:rsidRPr="00C76FE0" w:rsidR="006C394D">
        <w:rPr>
          <w:szCs w:val="26"/>
          <w:bdr w:val="none" w:sz="0" w:space="0" w:color="auto" w:frame="1"/>
        </w:rPr>
        <w:t xml:space="preserve"> (</w:t>
      </w:r>
      <w:r w:rsidRPr="00C76FE0" w:rsidR="006C394D">
        <w:rPr>
          <w:i/>
          <w:iCs/>
          <w:szCs w:val="26"/>
          <w:bdr w:val="none" w:sz="0" w:space="0" w:color="auto" w:frame="1"/>
        </w:rPr>
        <w:t>Madden</w:t>
      </w:r>
      <w:r w:rsidRPr="00C76FE0" w:rsidR="006C394D">
        <w:rPr>
          <w:szCs w:val="26"/>
          <w:bdr w:val="none" w:sz="0" w:space="0" w:color="auto" w:frame="1"/>
        </w:rPr>
        <w:t>)</w:t>
      </w:r>
      <w:r w:rsidRPr="009157E6" w:rsidR="009157E6">
        <w:t xml:space="preserve"> </w:t>
      </w:r>
      <w:r w:rsidRPr="00A002F1" w:rsidR="009157E6">
        <w:rPr>
          <w:i/>
          <w:iCs/>
          <w:szCs w:val="26"/>
          <w:bdr w:val="none" w:sz="0" w:space="0" w:color="auto" w:frame="1"/>
        </w:rPr>
        <w:t>Robbins v. Pacific Eastern Corp.</w:t>
      </w:r>
      <w:r w:rsidRPr="009157E6" w:rsidR="009157E6">
        <w:rPr>
          <w:szCs w:val="26"/>
          <w:bdr w:val="none" w:sz="0" w:space="0" w:color="auto" w:frame="1"/>
        </w:rPr>
        <w:t xml:space="preserve"> (1937) 8 Cal.2d 241, 285</w:t>
      </w:r>
      <w:r w:rsidR="009157E6">
        <w:rPr>
          <w:szCs w:val="26"/>
          <w:bdr w:val="none" w:sz="0" w:space="0" w:color="auto" w:frame="1"/>
        </w:rPr>
        <w:t>.)</w:t>
      </w:r>
      <w:r w:rsidRPr="00C76FE0" w:rsidR="00B85F5C">
        <w:rPr>
          <w:szCs w:val="26"/>
          <w:bdr w:val="none" w:sz="0" w:space="0" w:color="auto" w:frame="1"/>
        </w:rPr>
        <w:t xml:space="preserve"> </w:t>
      </w:r>
      <w:r w:rsidR="009157E6">
        <w:rPr>
          <w:szCs w:val="26"/>
          <w:bdr w:val="none" w:sz="0" w:space="0" w:color="auto" w:frame="1"/>
        </w:rPr>
        <w:t xml:space="preserve"> </w:t>
      </w:r>
      <w:r w:rsidRPr="00C76FE0" w:rsidR="00B85F5C">
        <w:rPr>
          <w:szCs w:val="26"/>
        </w:rPr>
        <w:t xml:space="preserve">This </w:t>
      </w:r>
      <w:r w:rsidRPr="00C76FE0" w:rsidR="003B240B">
        <w:rPr>
          <w:szCs w:val="26"/>
        </w:rPr>
        <w:t xml:space="preserve">rule </w:t>
      </w:r>
      <w:r w:rsidRPr="00C76FE0" w:rsidR="00B85F5C">
        <w:rPr>
          <w:szCs w:val="26"/>
        </w:rPr>
        <w:t xml:space="preserve">is </w:t>
      </w:r>
      <w:r w:rsidRPr="00C76FE0" w:rsidR="00D43C4D">
        <w:rPr>
          <w:szCs w:val="26"/>
        </w:rPr>
        <w:t xml:space="preserve">a </w:t>
      </w:r>
      <w:r w:rsidRPr="00C76FE0" w:rsidR="00B85F5C">
        <w:rPr>
          <w:szCs w:val="26"/>
        </w:rPr>
        <w:t xml:space="preserve">longstanding feature of agency law.  </w:t>
      </w:r>
      <w:r w:rsidRPr="00C76FE0" w:rsidR="003C7B51">
        <w:rPr>
          <w:szCs w:val="26"/>
        </w:rPr>
        <w:t>(</w:t>
      </w:r>
      <w:r w:rsidRPr="00370EAF" w:rsidR="00733050">
        <w:rPr>
          <w:szCs w:val="26"/>
        </w:rPr>
        <w:t xml:space="preserve">Story, Commentaries on the Law of Agency, as a Branch of Commercial and Maritime Jurisprudence, with Occasional Illustrations From the Civil and Foreign Law (8th ed., 1874) </w:t>
      </w:r>
      <w:r w:rsidR="00306865">
        <w:rPr>
          <w:szCs w:val="26"/>
        </w:rPr>
        <w:t>§ </w:t>
      </w:r>
      <w:r w:rsidRPr="00370EAF" w:rsidR="00733050">
        <w:rPr>
          <w:szCs w:val="26"/>
        </w:rPr>
        <w:t>58, p. 71</w:t>
      </w:r>
      <w:r w:rsidRPr="00370EAF" w:rsidR="009168CA">
        <w:rPr>
          <w:szCs w:val="26"/>
        </w:rPr>
        <w:t xml:space="preserve"> </w:t>
      </w:r>
      <w:r w:rsidRPr="008612B6" w:rsidR="009168CA">
        <w:rPr>
          <w:szCs w:val="26"/>
        </w:rPr>
        <w:t>(</w:t>
      </w:r>
      <w:r w:rsidRPr="008612B6" w:rsidR="003C7B51">
        <w:rPr>
          <w:szCs w:val="26"/>
        </w:rPr>
        <w:t>Story on Agency</w:t>
      </w:r>
      <w:r w:rsidRPr="002E62BD" w:rsidR="009168CA">
        <w:rPr>
          <w:szCs w:val="26"/>
        </w:rPr>
        <w:t>)</w:t>
      </w:r>
      <w:r w:rsidRPr="008612B6" w:rsidR="003C7B51">
        <w:rPr>
          <w:szCs w:val="26"/>
        </w:rPr>
        <w:t xml:space="preserve">; </w:t>
      </w:r>
      <w:r w:rsidRPr="008612B6" w:rsidR="007012FB">
        <w:rPr>
          <w:szCs w:val="26"/>
        </w:rPr>
        <w:t>Reynolds, Bowstead &amp; Reynolds on Agency</w:t>
      </w:r>
      <w:r w:rsidRPr="002E62BD" w:rsidR="00F93A14">
        <w:rPr>
          <w:szCs w:val="26"/>
        </w:rPr>
        <w:t xml:space="preserve"> (17th ed. 2001)</w:t>
      </w:r>
      <w:r w:rsidRPr="008612B6" w:rsidR="007012FB">
        <w:rPr>
          <w:szCs w:val="26"/>
        </w:rPr>
        <w:t xml:space="preserve"> ¶¶ 3–018, 3–019, p. 102; </w:t>
      </w:r>
      <w:r w:rsidRPr="008612B6" w:rsidR="0098407D">
        <w:rPr>
          <w:szCs w:val="26"/>
        </w:rPr>
        <w:t>1 Mechem, A Treatise on the Law of Agency</w:t>
      </w:r>
      <w:r w:rsidRPr="002E62BD" w:rsidR="001C40D4">
        <w:rPr>
          <w:szCs w:val="26"/>
        </w:rPr>
        <w:t xml:space="preserve"> (2d ed. 1914)</w:t>
      </w:r>
      <w:r w:rsidRPr="008612B6" w:rsidR="0098407D">
        <w:rPr>
          <w:szCs w:val="26"/>
        </w:rPr>
        <w:t xml:space="preserve"> </w:t>
      </w:r>
      <w:r w:rsidR="00306865">
        <w:rPr>
          <w:szCs w:val="26"/>
        </w:rPr>
        <w:t>§ </w:t>
      </w:r>
      <w:r w:rsidRPr="008612B6" w:rsidR="0098407D">
        <w:rPr>
          <w:szCs w:val="26"/>
        </w:rPr>
        <w:t>715</w:t>
      </w:r>
      <w:r w:rsidRPr="008612B6" w:rsidR="001F3EEE">
        <w:rPr>
          <w:szCs w:val="26"/>
        </w:rPr>
        <w:t>, p. 502</w:t>
      </w:r>
      <w:r w:rsidRPr="008612B6" w:rsidR="0098407D">
        <w:rPr>
          <w:szCs w:val="26"/>
        </w:rPr>
        <w:t xml:space="preserve">; </w:t>
      </w:r>
      <w:r w:rsidRPr="008612B6" w:rsidR="003C7B51">
        <w:rPr>
          <w:szCs w:val="26"/>
        </w:rPr>
        <w:t>Rest</w:t>
      </w:r>
      <w:r w:rsidRPr="008612B6" w:rsidR="00760951">
        <w:rPr>
          <w:szCs w:val="26"/>
        </w:rPr>
        <w:t>.3d</w:t>
      </w:r>
      <w:r w:rsidRPr="008612B6" w:rsidR="003C7B51">
        <w:rPr>
          <w:szCs w:val="26"/>
        </w:rPr>
        <w:t xml:space="preserve"> Agency</w:t>
      </w:r>
      <w:r w:rsidRPr="008612B6" w:rsidR="00760951">
        <w:rPr>
          <w:szCs w:val="26"/>
        </w:rPr>
        <w:t>,</w:t>
      </w:r>
      <w:r w:rsidRPr="008612B6" w:rsidR="003C7B51">
        <w:rPr>
          <w:szCs w:val="26"/>
        </w:rPr>
        <w:t xml:space="preserve"> </w:t>
      </w:r>
      <w:r w:rsidR="00306865">
        <w:rPr>
          <w:szCs w:val="26"/>
        </w:rPr>
        <w:t>§ </w:t>
      </w:r>
      <w:r w:rsidRPr="008612B6" w:rsidR="003C7B51">
        <w:rPr>
          <w:szCs w:val="26"/>
        </w:rPr>
        <w:t>2.02</w:t>
      </w:r>
      <w:r w:rsidRPr="008612B6" w:rsidR="007012FB">
        <w:rPr>
          <w:szCs w:val="26"/>
        </w:rPr>
        <w:t xml:space="preserve">, </w:t>
      </w:r>
      <w:r w:rsidRPr="008612B6" w:rsidR="00E6784C">
        <w:rPr>
          <w:szCs w:val="26"/>
        </w:rPr>
        <w:t>com</w:t>
      </w:r>
      <w:r w:rsidRPr="008612B6" w:rsidR="00760951">
        <w:rPr>
          <w:szCs w:val="26"/>
        </w:rPr>
        <w:t>.</w:t>
      </w:r>
      <w:r w:rsidRPr="008612B6" w:rsidR="00E6784C">
        <w:rPr>
          <w:szCs w:val="26"/>
        </w:rPr>
        <w:t xml:space="preserve"> d and </w:t>
      </w:r>
      <w:r w:rsidRPr="008612B6" w:rsidR="007012FB">
        <w:rPr>
          <w:szCs w:val="26"/>
        </w:rPr>
        <w:t>reporter’s note d</w:t>
      </w:r>
      <w:r w:rsidRPr="00C76FE0" w:rsidR="007012FB">
        <w:rPr>
          <w:szCs w:val="26"/>
        </w:rPr>
        <w:t>.)</w:t>
      </w:r>
      <w:r w:rsidRPr="00C76FE0" w:rsidR="00E6784C">
        <w:rPr>
          <w:szCs w:val="26"/>
        </w:rPr>
        <w:t xml:space="preserve">  The assumption is “the principal does not wish to authorize what cannot be achieved if necessary steps are not taken by the agent, and that the principal</w:t>
      </w:r>
      <w:r w:rsidRPr="00C76FE0" w:rsidR="00143943">
        <w:rPr>
          <w:szCs w:val="26"/>
        </w:rPr>
        <w:t>’</w:t>
      </w:r>
      <w:r w:rsidRPr="00C76FE0" w:rsidR="00E6784C">
        <w:rPr>
          <w:szCs w:val="26"/>
        </w:rPr>
        <w:t>s manifestation often will not specify all steps necessary to translate it into action.”  (</w:t>
      </w:r>
      <w:r w:rsidRPr="00F003FE" w:rsidR="00760951">
        <w:rPr>
          <w:szCs w:val="26"/>
        </w:rPr>
        <w:t xml:space="preserve">Rest.3d Agency, </w:t>
      </w:r>
      <w:r w:rsidR="00306865">
        <w:rPr>
          <w:szCs w:val="26"/>
        </w:rPr>
        <w:t>§ </w:t>
      </w:r>
      <w:r w:rsidRPr="00F003FE" w:rsidR="00760951">
        <w:rPr>
          <w:szCs w:val="26"/>
        </w:rPr>
        <w:t>2.02, com. d</w:t>
      </w:r>
      <w:r w:rsidRPr="00F003FE" w:rsidR="00E6784C">
        <w:rPr>
          <w:szCs w:val="26"/>
        </w:rPr>
        <w:t>.</w:t>
      </w:r>
      <w:r w:rsidRPr="00C76FE0" w:rsidR="00E6784C">
        <w:rPr>
          <w:szCs w:val="26"/>
        </w:rPr>
        <w:t xml:space="preserve">)  </w:t>
      </w:r>
    </w:p>
    <w:p w:rsidR="00564D35" w:rsidRPr="00C76FE0" w:rsidP="00BA6EAE" w14:paraId="2B05F44E" w14:textId="77777777">
      <w:pPr>
        <w:ind w:firstLine="720"/>
        <w:rPr>
          <w:szCs w:val="26"/>
        </w:rPr>
      </w:pPr>
      <w:bookmarkStart w:id="5" w:name="_Hlk154589876"/>
      <w:r>
        <w:rPr>
          <w:szCs w:val="26"/>
        </w:rPr>
        <w:t>T</w:t>
      </w:r>
      <w:r w:rsidRPr="00C76FE0" w:rsidR="00B85275">
        <w:rPr>
          <w:szCs w:val="26"/>
        </w:rPr>
        <w:t xml:space="preserve">he nature of the </w:t>
      </w:r>
      <w:r w:rsidRPr="00C76FE0" w:rsidR="00E36DC0">
        <w:rPr>
          <w:szCs w:val="26"/>
        </w:rPr>
        <w:t xml:space="preserve">task </w:t>
      </w:r>
      <w:r>
        <w:rPr>
          <w:szCs w:val="26"/>
        </w:rPr>
        <w:t xml:space="preserve">delegated in a power of attorney </w:t>
      </w:r>
      <w:r w:rsidRPr="00C76FE0" w:rsidR="00E36DC0">
        <w:rPr>
          <w:szCs w:val="26"/>
        </w:rPr>
        <w:t>itself provides a limit on the powers to be implied</w:t>
      </w:r>
      <w:r w:rsidRPr="00C76FE0" w:rsidR="00B85F5C">
        <w:rPr>
          <w:szCs w:val="26"/>
        </w:rPr>
        <w:t>.</w:t>
      </w:r>
      <w:r w:rsidRPr="00C76FE0" w:rsidR="00233A8D">
        <w:rPr>
          <w:szCs w:val="26"/>
          <w:bdr w:val="none" w:sz="0" w:space="0" w:color="auto" w:frame="1"/>
        </w:rPr>
        <w:t xml:space="preserve">  </w:t>
      </w:r>
      <w:bookmarkEnd w:id="5"/>
      <w:r w:rsidRPr="00C76FE0" w:rsidR="00B10511">
        <w:rPr>
          <w:color w:val="202124"/>
          <w:szCs w:val="26"/>
          <w:shd w:val="clear" w:color="auto" w:fill="FFFFFF"/>
        </w:rPr>
        <w:t>An agent operating under a power of attorney may not “go beyond it nor beside it, though it is competent for [the agent] to perform all such subordinate acts as are usually incident to or necessary to effectuate the object expressed.  In order to bind the principal in such case, it must appear that the act done by the agent was in the exercise of the power delegated, and within its limits.”  (</w:t>
      </w:r>
      <w:r w:rsidRPr="00C76FE0" w:rsidR="00B10511">
        <w:rPr>
          <w:i/>
          <w:iCs/>
          <w:color w:val="202124"/>
          <w:szCs w:val="26"/>
          <w:shd w:val="clear" w:color="auto" w:fill="FFFFFF"/>
        </w:rPr>
        <w:t>Blum v. Robertson</w:t>
      </w:r>
      <w:r w:rsidRPr="00C76FE0" w:rsidR="007C7C42">
        <w:rPr>
          <w:color w:val="202124"/>
          <w:szCs w:val="26"/>
          <w:shd w:val="clear" w:color="auto" w:fill="FFFFFF"/>
        </w:rPr>
        <w:t xml:space="preserve">, </w:t>
      </w:r>
      <w:r w:rsidRPr="00C76FE0" w:rsidR="007C7C42">
        <w:rPr>
          <w:i/>
          <w:iCs/>
          <w:color w:val="202124"/>
          <w:szCs w:val="26"/>
          <w:shd w:val="clear" w:color="auto" w:fill="FFFFFF"/>
        </w:rPr>
        <w:t>supra</w:t>
      </w:r>
      <w:r w:rsidRPr="00C76FE0" w:rsidR="007C7C42">
        <w:rPr>
          <w:color w:val="202124"/>
          <w:szCs w:val="26"/>
          <w:shd w:val="clear" w:color="auto" w:fill="FFFFFF"/>
        </w:rPr>
        <w:t xml:space="preserve">, </w:t>
      </w:r>
      <w:r w:rsidRPr="00C76FE0" w:rsidR="00B10511">
        <w:rPr>
          <w:color w:val="202124"/>
          <w:szCs w:val="26"/>
          <w:shd w:val="clear" w:color="auto" w:fill="FFFFFF"/>
        </w:rPr>
        <w:t xml:space="preserve">24 Cal. </w:t>
      </w:r>
      <w:r w:rsidRPr="00C76FE0" w:rsidR="007C7C42">
        <w:rPr>
          <w:color w:val="202124"/>
          <w:shd w:val="clear" w:color="auto" w:fill="FFFFFF"/>
        </w:rPr>
        <w:t>at p.</w:t>
      </w:r>
      <w:r w:rsidRPr="00C76FE0" w:rsidR="007C7C42">
        <w:rPr>
          <w:color w:val="202124"/>
          <w:szCs w:val="26"/>
          <w:shd w:val="clear" w:color="auto" w:fill="FFFFFF"/>
        </w:rPr>
        <w:t xml:space="preserve"> </w:t>
      </w:r>
      <w:r w:rsidRPr="00C76FE0" w:rsidR="00B10511">
        <w:rPr>
          <w:color w:val="202124"/>
          <w:szCs w:val="26"/>
          <w:shd w:val="clear" w:color="auto" w:fill="FFFFFF"/>
        </w:rPr>
        <w:t>140</w:t>
      </w:r>
      <w:r w:rsidRPr="00C76FE0" w:rsidR="00B60BC0">
        <w:rPr>
          <w:color w:val="202124"/>
          <w:szCs w:val="26"/>
          <w:shd w:val="clear" w:color="auto" w:fill="FFFFFF"/>
        </w:rPr>
        <w:t>.)</w:t>
      </w:r>
      <w:r w:rsidRPr="00C76FE0">
        <w:rPr>
          <w:szCs w:val="26"/>
          <w:bdr w:val="none" w:sz="0" w:space="0" w:color="auto" w:frame="1"/>
        </w:rPr>
        <w:t xml:space="preserve">  </w:t>
      </w:r>
      <w:r w:rsidRPr="00C76FE0" w:rsidR="00DA3F3D">
        <w:rPr>
          <w:szCs w:val="26"/>
          <w:bdr w:val="none" w:sz="0" w:space="0" w:color="auto" w:frame="1"/>
        </w:rPr>
        <w:t xml:space="preserve">Put </w:t>
      </w:r>
      <w:r w:rsidRPr="00C76FE0" w:rsidR="00DA3F3D">
        <w:rPr>
          <w:color w:val="202124"/>
          <w:szCs w:val="26"/>
          <w:shd w:val="clear" w:color="auto" w:fill="FFFFFF"/>
        </w:rPr>
        <w:t>another way, an implied power “must be within the ultimate objective of the principal . .</w:t>
      </w:r>
      <w:r w:rsidRPr="00C76FE0" w:rsidR="00DA3F3D">
        <w:t> </w:t>
      </w:r>
      <w:r w:rsidRPr="00C76FE0" w:rsidR="00DA3F3D">
        <w:rPr>
          <w:color w:val="202124"/>
          <w:szCs w:val="26"/>
          <w:shd w:val="clear" w:color="auto" w:fill="FFFFFF"/>
        </w:rPr>
        <w:t>. .’</w:t>
      </w:r>
      <w:r w:rsidR="00A7211C">
        <w:rPr>
          <w:color w:val="202124"/>
          <w:szCs w:val="26"/>
          <w:shd w:val="clear" w:color="auto" w:fill="FFFFFF"/>
        </w:rPr>
        <w:t> </w:t>
      </w:r>
      <w:r w:rsidRPr="00C76FE0" w:rsidR="00DA3F3D">
        <w:rPr>
          <w:color w:val="202124"/>
          <w:szCs w:val="26"/>
          <w:shd w:val="clear" w:color="auto" w:fill="FFFFFF"/>
        </w:rPr>
        <w:t xml:space="preserve">”  </w:t>
      </w:r>
      <w:r w:rsidRPr="00C76FE0" w:rsidR="00DA3F3D">
        <w:rPr>
          <w:szCs w:val="26"/>
          <w:bdr w:val="none" w:sz="0" w:space="0" w:color="auto" w:frame="1"/>
        </w:rPr>
        <w:t>(</w:t>
      </w:r>
      <w:r w:rsidRPr="00C76FE0" w:rsidR="00DA3F3D">
        <w:rPr>
          <w:i/>
          <w:iCs/>
          <w:szCs w:val="26"/>
          <w:bdr w:val="none" w:sz="0" w:space="0" w:color="auto" w:frame="1"/>
        </w:rPr>
        <w:t>Garber v. Prudential Ins. Co.</w:t>
      </w:r>
      <w:r w:rsidRPr="00C76FE0" w:rsidR="00DA3F3D">
        <w:rPr>
          <w:szCs w:val="26"/>
          <w:bdr w:val="none" w:sz="0" w:space="0" w:color="auto" w:frame="1"/>
        </w:rPr>
        <w:t xml:space="preserve"> (1962) 203 Cal.App.2d 693, 701–702, quoting </w:t>
      </w:r>
      <w:r w:rsidRPr="00340C5A" w:rsidR="00DA3F3D">
        <w:rPr>
          <w:color w:val="202124"/>
          <w:szCs w:val="26"/>
          <w:shd w:val="clear" w:color="auto" w:fill="FFFFFF"/>
        </w:rPr>
        <w:t xml:space="preserve">Rest.2d Agency, </w:t>
      </w:r>
      <w:r w:rsidR="00306865">
        <w:rPr>
          <w:color w:val="202124"/>
          <w:szCs w:val="26"/>
          <w:shd w:val="clear" w:color="auto" w:fill="FFFFFF"/>
        </w:rPr>
        <w:t>§ </w:t>
      </w:r>
      <w:r w:rsidRPr="00340C5A" w:rsidR="00DA3F3D">
        <w:rPr>
          <w:color w:val="202124"/>
          <w:szCs w:val="26"/>
          <w:shd w:val="clear" w:color="auto" w:fill="FFFFFF"/>
        </w:rPr>
        <w:t>229, com. B, p. 508</w:t>
      </w:r>
      <w:r w:rsidRPr="00C76FE0" w:rsidR="00DA3F3D">
        <w:rPr>
          <w:color w:val="202124"/>
          <w:szCs w:val="26"/>
          <w:shd w:val="clear" w:color="auto" w:fill="FFFFFF"/>
        </w:rPr>
        <w:t xml:space="preserve">.)  The question is “whether the agent was engaged strictly in an endeavor to bring about a result for which his services were engaged.”  </w:t>
      </w:r>
      <w:r w:rsidRPr="00C76FE0" w:rsidR="00DA3F3D">
        <w:rPr>
          <w:szCs w:val="26"/>
          <w:bdr w:val="none" w:sz="0" w:space="0" w:color="auto" w:frame="1"/>
        </w:rPr>
        <w:t>(</w:t>
      </w:r>
      <w:r w:rsidRPr="00C76FE0" w:rsidR="00DA3F3D">
        <w:rPr>
          <w:i/>
          <w:iCs/>
          <w:szCs w:val="26"/>
          <w:bdr w:val="none" w:sz="0" w:space="0" w:color="auto" w:frame="1"/>
        </w:rPr>
        <w:t>Garber</w:t>
      </w:r>
      <w:r w:rsidRPr="00C76FE0" w:rsidR="00DA3F3D">
        <w:rPr>
          <w:szCs w:val="26"/>
          <w:bdr w:val="none" w:sz="0" w:space="0" w:color="auto" w:frame="1"/>
        </w:rPr>
        <w:t>,</w:t>
      </w:r>
      <w:r w:rsidR="00DA3F3D">
        <w:rPr>
          <w:szCs w:val="26"/>
          <w:bdr w:val="none" w:sz="0" w:space="0" w:color="auto" w:frame="1"/>
        </w:rPr>
        <w:t xml:space="preserve"> </w:t>
      </w:r>
      <w:r w:rsidRPr="00C76FE0" w:rsidR="00DA3F3D">
        <w:rPr>
          <w:szCs w:val="26"/>
          <w:bdr w:val="none" w:sz="0" w:space="0" w:color="auto" w:frame="1"/>
        </w:rPr>
        <w:t xml:space="preserve">at p. 703.) </w:t>
      </w:r>
      <w:r w:rsidR="00DA3F3D">
        <w:rPr>
          <w:szCs w:val="26"/>
          <w:bdr w:val="none" w:sz="0" w:space="0" w:color="auto" w:frame="1"/>
        </w:rPr>
        <w:t xml:space="preserve"> </w:t>
      </w:r>
      <w:r w:rsidRPr="00C76FE0">
        <w:rPr>
          <w:szCs w:val="26"/>
          <w:bdr w:val="none" w:sz="0" w:space="0" w:color="auto" w:frame="1"/>
        </w:rPr>
        <w:t>“[G]eneral words in powers of attorney are always limited by the express purposes of the power” s</w:t>
      </w:r>
      <w:r w:rsidR="009157E6">
        <w:rPr>
          <w:szCs w:val="26"/>
          <w:bdr w:val="none" w:sz="0" w:space="0" w:color="auto" w:frame="1"/>
        </w:rPr>
        <w:t>uch</w:t>
      </w:r>
      <w:r w:rsidRPr="00C76FE0">
        <w:rPr>
          <w:szCs w:val="26"/>
          <w:bdr w:val="none" w:sz="0" w:space="0" w:color="auto" w:frame="1"/>
        </w:rPr>
        <w:t xml:space="preserve"> that </w:t>
      </w:r>
      <w:r w:rsidR="009157E6">
        <w:rPr>
          <w:szCs w:val="26"/>
          <w:bdr w:val="none" w:sz="0" w:space="0" w:color="auto" w:frame="1"/>
        </w:rPr>
        <w:t xml:space="preserve">we have said </w:t>
      </w:r>
      <w:r w:rsidRPr="00C76FE0">
        <w:rPr>
          <w:szCs w:val="26"/>
          <w:bdr w:val="none" w:sz="0" w:space="0" w:color="auto" w:frame="1"/>
        </w:rPr>
        <w:t xml:space="preserve">if an agency </w:t>
      </w:r>
      <w:r w:rsidRPr="00C76FE0" w:rsidR="00E454EF">
        <w:rPr>
          <w:szCs w:val="26"/>
          <w:bdr w:val="none" w:sz="0" w:space="0" w:color="auto" w:frame="1"/>
        </w:rPr>
        <w:t xml:space="preserve">may </w:t>
      </w:r>
      <w:r w:rsidRPr="00C76FE0">
        <w:rPr>
          <w:szCs w:val="26"/>
          <w:bdr w:val="none" w:sz="0" w:space="0" w:color="auto" w:frame="1"/>
        </w:rPr>
        <w:t>be “fully performed without</w:t>
      </w:r>
      <w:r w:rsidR="00FB4711">
        <w:rPr>
          <w:szCs w:val="26"/>
          <w:bdr w:val="none" w:sz="0" w:space="0" w:color="auto" w:frame="1"/>
        </w:rPr>
        <w:t>”</w:t>
      </w:r>
      <w:r w:rsidRPr="00C76FE0">
        <w:rPr>
          <w:szCs w:val="26"/>
          <w:bdr w:val="none" w:sz="0" w:space="0" w:color="auto" w:frame="1"/>
        </w:rPr>
        <w:t xml:space="preserve"> a</w:t>
      </w:r>
      <w:r w:rsidR="00DA3F3D">
        <w:rPr>
          <w:szCs w:val="26"/>
          <w:bdr w:val="none" w:sz="0" w:space="0" w:color="auto" w:frame="1"/>
        </w:rPr>
        <w:t>n</w:t>
      </w:r>
      <w:r w:rsidR="00D125D5">
        <w:rPr>
          <w:szCs w:val="26"/>
          <w:bdr w:val="none" w:sz="0" w:space="0" w:color="auto" w:frame="1"/>
        </w:rPr>
        <w:t xml:space="preserve"> unenumerated</w:t>
      </w:r>
      <w:r w:rsidRPr="00C76FE0">
        <w:rPr>
          <w:szCs w:val="26"/>
          <w:bdr w:val="none" w:sz="0" w:space="0" w:color="auto" w:frame="1"/>
        </w:rPr>
        <w:t xml:space="preserve"> power, th</w:t>
      </w:r>
      <w:r w:rsidR="00DA3F3D">
        <w:rPr>
          <w:szCs w:val="26"/>
          <w:bdr w:val="none" w:sz="0" w:space="0" w:color="auto" w:frame="1"/>
        </w:rPr>
        <w:t>at</w:t>
      </w:r>
      <w:r w:rsidRPr="00C76FE0">
        <w:rPr>
          <w:szCs w:val="26"/>
          <w:bdr w:val="none" w:sz="0" w:space="0" w:color="auto" w:frame="1"/>
        </w:rPr>
        <w:t xml:space="preserve"> power will not be viewed as within the agent’s purview.  (</w:t>
      </w:r>
      <w:r w:rsidRPr="00C76FE0">
        <w:rPr>
          <w:i/>
          <w:iCs/>
          <w:szCs w:val="26"/>
          <w:bdr w:val="none" w:sz="0" w:space="0" w:color="auto" w:frame="1"/>
        </w:rPr>
        <w:t>Palomo v. State Bar</w:t>
      </w:r>
      <w:r w:rsidRPr="00C76FE0">
        <w:rPr>
          <w:szCs w:val="26"/>
          <w:bdr w:val="none" w:sz="0" w:space="0" w:color="auto" w:frame="1"/>
        </w:rPr>
        <w:t xml:space="preserve"> (1984) 36 Cal.3d 785, 794 &amp; fn. 5.)</w:t>
      </w:r>
      <w:r w:rsidRPr="00C76FE0" w:rsidR="00875218">
        <w:rPr>
          <w:szCs w:val="26"/>
          <w:bdr w:val="none" w:sz="0" w:space="0" w:color="auto" w:frame="1"/>
        </w:rPr>
        <w:t xml:space="preserve">  </w:t>
      </w:r>
      <w:r w:rsidR="00FB4711">
        <w:rPr>
          <w:szCs w:val="26"/>
          <w:bdr w:val="none" w:sz="0" w:space="0" w:color="auto" w:frame="1"/>
        </w:rPr>
        <w:t>To be implied, a power would have to be “in pursuit of ‘the said services’</w:t>
      </w:r>
      <w:r w:rsidR="000E158B">
        <w:rPr>
          <w:szCs w:val="26"/>
          <w:bdr w:val="none" w:sz="0" w:space="0" w:color="auto" w:frame="1"/>
        </w:rPr>
        <w:t> </w:t>
      </w:r>
      <w:r w:rsidR="00FB4711">
        <w:rPr>
          <w:szCs w:val="26"/>
          <w:bdr w:val="none" w:sz="0" w:space="0" w:color="auto" w:frame="1"/>
        </w:rPr>
        <w:t>” identified in the power of attorney.  (</w:t>
      </w:r>
      <w:r w:rsidRPr="00A002F1" w:rsidR="00FB4711">
        <w:rPr>
          <w:i/>
          <w:iCs/>
          <w:szCs w:val="26"/>
          <w:bdr w:val="none" w:sz="0" w:space="0" w:color="auto" w:frame="1"/>
        </w:rPr>
        <w:t>Ibid.</w:t>
      </w:r>
      <w:r w:rsidR="00FB4711">
        <w:rPr>
          <w:szCs w:val="26"/>
          <w:bdr w:val="none" w:sz="0" w:space="0" w:color="auto" w:frame="1"/>
        </w:rPr>
        <w:t>)</w:t>
      </w:r>
    </w:p>
    <w:p w:rsidR="00282D61" w:rsidRPr="00C76FE0" w:rsidP="00C76FE0" w14:paraId="2B05F44F" w14:textId="77777777">
      <w:pPr>
        <w:ind w:firstLine="720"/>
        <w:rPr>
          <w:szCs w:val="26"/>
          <w:bdr w:val="none" w:sz="0" w:space="0" w:color="auto" w:frame="1"/>
        </w:rPr>
      </w:pPr>
      <w:r w:rsidRPr="00C76FE0">
        <w:rPr>
          <w:szCs w:val="26"/>
        </w:rPr>
        <w:t xml:space="preserve">In </w:t>
      </w:r>
      <w:r w:rsidRPr="00C76FE0">
        <w:rPr>
          <w:i/>
          <w:iCs/>
          <w:szCs w:val="26"/>
        </w:rPr>
        <w:t>Madden</w:t>
      </w:r>
      <w:r w:rsidRPr="00C76FE0">
        <w:rPr>
          <w:szCs w:val="26"/>
        </w:rPr>
        <w:t xml:space="preserve">, </w:t>
      </w:r>
      <w:r w:rsidRPr="00C76FE0" w:rsidR="00192F40">
        <w:rPr>
          <w:szCs w:val="26"/>
        </w:rPr>
        <w:t xml:space="preserve">a case </w:t>
      </w:r>
      <w:r w:rsidRPr="00C76FE0" w:rsidR="00007CE3">
        <w:rPr>
          <w:szCs w:val="26"/>
        </w:rPr>
        <w:t>defendants</w:t>
      </w:r>
      <w:r w:rsidRPr="00C76FE0" w:rsidR="00192F40">
        <w:rPr>
          <w:szCs w:val="26"/>
        </w:rPr>
        <w:t xml:space="preserve"> view as dispositive to our agency analysis</w:t>
      </w:r>
      <w:r w:rsidRPr="00C76FE0" w:rsidR="00E97684">
        <w:rPr>
          <w:szCs w:val="26"/>
        </w:rPr>
        <w:t xml:space="preserve">, </w:t>
      </w:r>
      <w:r w:rsidRPr="00C76FE0" w:rsidR="00192F40">
        <w:rPr>
          <w:szCs w:val="26"/>
        </w:rPr>
        <w:t xml:space="preserve">we addressed the intersection of implied agency, contracting for medical services, and arbitration.  </w:t>
      </w:r>
      <w:bookmarkStart w:id="6" w:name="_Hlk154589971"/>
      <w:r w:rsidRPr="00C76FE0" w:rsidR="00973B15">
        <w:rPr>
          <w:szCs w:val="26"/>
        </w:rPr>
        <w:t>W</w:t>
      </w:r>
      <w:r w:rsidRPr="00C76FE0">
        <w:rPr>
          <w:szCs w:val="26"/>
        </w:rPr>
        <w:t>e asked “whether an agent or representative, contracting for medical services on behalf of a group of employees, has implied authority to agree to arbitration of malpractice claims of enrolled employees arising under the contract.”  (</w:t>
      </w:r>
      <w:r w:rsidRPr="00C76FE0">
        <w:rPr>
          <w:i/>
          <w:iCs/>
          <w:szCs w:val="26"/>
        </w:rPr>
        <w:t>Madden</w:t>
      </w:r>
      <w:r w:rsidRPr="00C76FE0" w:rsidR="00192F40">
        <w:rPr>
          <w:szCs w:val="26"/>
        </w:rPr>
        <w:t xml:space="preserve">, </w:t>
      </w:r>
      <w:r w:rsidRPr="00C76FE0" w:rsidR="00192F40">
        <w:rPr>
          <w:i/>
          <w:iCs/>
          <w:szCs w:val="26"/>
        </w:rPr>
        <w:t>supra</w:t>
      </w:r>
      <w:r w:rsidRPr="00C76FE0" w:rsidR="00192F40">
        <w:rPr>
          <w:szCs w:val="26"/>
        </w:rPr>
        <w:t xml:space="preserve">, </w:t>
      </w:r>
      <w:r w:rsidRPr="00C76FE0">
        <w:rPr>
          <w:szCs w:val="26"/>
        </w:rPr>
        <w:t xml:space="preserve">17 Cal.3d </w:t>
      </w:r>
      <w:r w:rsidRPr="00C76FE0" w:rsidR="00192F40">
        <w:rPr>
          <w:szCs w:val="26"/>
        </w:rPr>
        <w:t xml:space="preserve">at p. </w:t>
      </w:r>
      <w:r w:rsidRPr="00C76FE0">
        <w:rPr>
          <w:szCs w:val="26"/>
        </w:rPr>
        <w:t xml:space="preserve">702.)  We </w:t>
      </w:r>
      <w:r w:rsidRPr="00C76FE0" w:rsidR="00CB0B58">
        <w:rPr>
          <w:szCs w:val="26"/>
        </w:rPr>
        <w:t xml:space="preserve">first </w:t>
      </w:r>
      <w:r w:rsidRPr="00C76FE0">
        <w:rPr>
          <w:szCs w:val="26"/>
        </w:rPr>
        <w:t xml:space="preserve">noted that </w:t>
      </w:r>
      <w:r w:rsidRPr="00C76FE0" w:rsidR="00CB0B58">
        <w:rPr>
          <w:szCs w:val="26"/>
        </w:rPr>
        <w:t xml:space="preserve">the Government Code authorized a state retirement board </w:t>
      </w:r>
      <w:r w:rsidRPr="00C76FE0">
        <w:rPr>
          <w:szCs w:val="26"/>
        </w:rPr>
        <w:t>“to negotiate contracts for group medical plans for state employees</w:t>
      </w:r>
      <w:r w:rsidRPr="00C76FE0" w:rsidR="00CB0B58">
        <w:rPr>
          <w:szCs w:val="26"/>
        </w:rPr>
        <w:t>” (</w:t>
      </w:r>
      <w:r w:rsidRPr="00C76FE0" w:rsidR="00B0535E">
        <w:rPr>
          <w:i/>
          <w:iCs/>
          <w:szCs w:val="26"/>
        </w:rPr>
        <w:t>id.</w:t>
      </w:r>
      <w:r w:rsidRPr="00C76FE0" w:rsidR="00CB0B58">
        <w:rPr>
          <w:szCs w:val="26"/>
        </w:rPr>
        <w:t xml:space="preserve"> at p. 705) and required inclusion of “a grievance procedure to protect the rights of the employees” (</w:t>
      </w:r>
      <w:r w:rsidRPr="00C76FE0" w:rsidR="00B0535E">
        <w:rPr>
          <w:i/>
          <w:iCs/>
          <w:szCs w:val="26"/>
        </w:rPr>
        <w:t>id.</w:t>
      </w:r>
      <w:r w:rsidRPr="00C76FE0" w:rsidR="00CB0B58">
        <w:rPr>
          <w:szCs w:val="26"/>
        </w:rPr>
        <w:t xml:space="preserve"> at p. 704).  </w:t>
      </w:r>
      <w:bookmarkEnd w:id="6"/>
      <w:r w:rsidRPr="00C76FE0" w:rsidR="00CB0B58">
        <w:rPr>
          <w:szCs w:val="26"/>
        </w:rPr>
        <w:t xml:space="preserve">We concluded the board </w:t>
      </w:r>
      <w:r w:rsidRPr="00C76FE0">
        <w:rPr>
          <w:szCs w:val="26"/>
        </w:rPr>
        <w:t>acted as the agent of employees when negotiati</w:t>
      </w:r>
      <w:r w:rsidRPr="00C76FE0" w:rsidR="007629CE">
        <w:rPr>
          <w:szCs w:val="26"/>
        </w:rPr>
        <w:t>ng</w:t>
      </w:r>
      <w:r w:rsidRPr="00C76FE0">
        <w:rPr>
          <w:szCs w:val="26"/>
        </w:rPr>
        <w:t xml:space="preserve"> </w:t>
      </w:r>
      <w:r w:rsidRPr="00C76FE0" w:rsidR="007629CE">
        <w:rPr>
          <w:szCs w:val="26"/>
        </w:rPr>
        <w:t>contract terms within the scope of its authority.  (</w:t>
      </w:r>
      <w:r w:rsidRPr="00C76FE0" w:rsidR="00B0535E">
        <w:rPr>
          <w:i/>
          <w:iCs/>
          <w:szCs w:val="26"/>
        </w:rPr>
        <w:t>Id.</w:t>
      </w:r>
      <w:r w:rsidRPr="00C76FE0" w:rsidR="007629CE">
        <w:rPr>
          <w:szCs w:val="26"/>
        </w:rPr>
        <w:t xml:space="preserve"> at pp. 705–706; see Gov. Code, </w:t>
      </w:r>
      <w:r w:rsidR="00306865">
        <w:rPr>
          <w:szCs w:val="26"/>
        </w:rPr>
        <w:t>§ </w:t>
      </w:r>
      <w:r w:rsidRPr="00C76FE0" w:rsidR="007629CE">
        <w:rPr>
          <w:szCs w:val="26"/>
        </w:rPr>
        <w:t>22793 [empowering the board to contract for health benefit plans].)  Th</w:t>
      </w:r>
      <w:r w:rsidRPr="00C76FE0" w:rsidR="002174E9">
        <w:rPr>
          <w:szCs w:val="26"/>
        </w:rPr>
        <w:t>us, the</w:t>
      </w:r>
      <w:r w:rsidRPr="00C76FE0" w:rsidR="007629CE">
        <w:rPr>
          <w:szCs w:val="26"/>
        </w:rPr>
        <w:t xml:space="preserve"> board </w:t>
      </w:r>
      <w:r w:rsidRPr="00C76FE0">
        <w:rPr>
          <w:szCs w:val="26"/>
        </w:rPr>
        <w:t>could, under Civil Code section 2319, agree to things “proper and usual” to further that purpose.  (</w:t>
      </w:r>
      <w:r w:rsidRPr="00C76FE0" w:rsidR="007629CE">
        <w:rPr>
          <w:i/>
          <w:iCs/>
          <w:szCs w:val="26"/>
        </w:rPr>
        <w:t>Madden</w:t>
      </w:r>
      <w:r w:rsidRPr="00C76FE0" w:rsidR="007629CE">
        <w:rPr>
          <w:szCs w:val="26"/>
        </w:rPr>
        <w:t>,</w:t>
      </w:r>
      <w:r w:rsidRPr="00C76FE0" w:rsidR="007629CE">
        <w:rPr>
          <w:i/>
          <w:iCs/>
          <w:szCs w:val="26"/>
        </w:rPr>
        <w:t xml:space="preserve"> </w:t>
      </w:r>
      <w:r w:rsidRPr="00C76FE0" w:rsidR="007629CE">
        <w:rPr>
          <w:szCs w:val="26"/>
        </w:rPr>
        <w:t>at p. 706</w:t>
      </w:r>
      <w:r w:rsidRPr="00C76FE0">
        <w:rPr>
          <w:szCs w:val="26"/>
        </w:rPr>
        <w:t xml:space="preserve">.)  We then </w:t>
      </w:r>
      <w:r w:rsidRPr="00C76FE0" w:rsidR="00464B39">
        <w:rPr>
          <w:szCs w:val="26"/>
        </w:rPr>
        <w:t xml:space="preserve">held that </w:t>
      </w:r>
      <w:r w:rsidRPr="00C76FE0">
        <w:rPr>
          <w:szCs w:val="26"/>
        </w:rPr>
        <w:t>arbitration is a “</w:t>
      </w:r>
      <w:r w:rsidR="00EA31F9">
        <w:rPr>
          <w:szCs w:val="26"/>
        </w:rPr>
        <w:t> </w:t>
      </w:r>
      <w:r w:rsidRPr="00C76FE0">
        <w:rPr>
          <w:szCs w:val="26"/>
        </w:rPr>
        <w:t>‘proper and usual’ means of resolving malpractice disputes</w:t>
      </w:r>
      <w:r w:rsidRPr="00C76FE0" w:rsidR="007629CE">
        <w:rPr>
          <w:szCs w:val="26"/>
        </w:rPr>
        <w:t>”</w:t>
      </w:r>
      <w:r w:rsidRPr="00C76FE0">
        <w:rPr>
          <w:szCs w:val="26"/>
        </w:rPr>
        <w:t xml:space="preserve"> and that the board, as </w:t>
      </w:r>
      <w:r w:rsidRPr="00C76FE0" w:rsidR="007629CE">
        <w:rPr>
          <w:szCs w:val="26"/>
        </w:rPr>
        <w:t xml:space="preserve">an </w:t>
      </w:r>
      <w:r w:rsidRPr="00C76FE0">
        <w:rPr>
          <w:szCs w:val="26"/>
        </w:rPr>
        <w:t>agent</w:t>
      </w:r>
      <w:r w:rsidRPr="00C76FE0" w:rsidR="007629CE">
        <w:rPr>
          <w:szCs w:val="26"/>
        </w:rPr>
        <w:t xml:space="preserve"> “empowered to negotiate a group medical contract” for the state employees, </w:t>
      </w:r>
      <w:r w:rsidRPr="00C76FE0">
        <w:rPr>
          <w:szCs w:val="26"/>
        </w:rPr>
        <w:t>could agree to an arbitration clause.  (</w:t>
      </w:r>
      <w:r w:rsidRPr="00C76FE0" w:rsidR="00B0535E">
        <w:rPr>
          <w:i/>
          <w:iCs/>
          <w:szCs w:val="26"/>
        </w:rPr>
        <w:t>Id.</w:t>
      </w:r>
      <w:r w:rsidRPr="00C76FE0">
        <w:rPr>
          <w:szCs w:val="26"/>
        </w:rPr>
        <w:t xml:space="preserve"> </w:t>
      </w:r>
      <w:r w:rsidRPr="00C76FE0" w:rsidR="00464B39">
        <w:rPr>
          <w:szCs w:val="26"/>
        </w:rPr>
        <w:t xml:space="preserve">at </w:t>
      </w:r>
      <w:r w:rsidRPr="00C76FE0">
        <w:rPr>
          <w:szCs w:val="26"/>
        </w:rPr>
        <w:t>p. 706.)</w:t>
      </w:r>
    </w:p>
    <w:p w:rsidR="000F10E3" w:rsidRPr="00C76FE0" w:rsidP="00C76FE0" w14:paraId="2B05F450" w14:textId="77777777">
      <w:pPr>
        <w:ind w:firstLine="720"/>
        <w:rPr>
          <w:szCs w:val="26"/>
        </w:rPr>
      </w:pPr>
      <w:r w:rsidRPr="00C76FE0">
        <w:rPr>
          <w:i/>
          <w:iCs/>
          <w:szCs w:val="26"/>
        </w:rPr>
        <w:t>Madden</w:t>
      </w:r>
      <w:r w:rsidRPr="00C76FE0">
        <w:rPr>
          <w:szCs w:val="26"/>
        </w:rPr>
        <w:t xml:space="preserve"> </w:t>
      </w:r>
      <w:r w:rsidRPr="00C76FE0" w:rsidR="003318D7">
        <w:rPr>
          <w:szCs w:val="26"/>
        </w:rPr>
        <w:t>is distinguishable</w:t>
      </w:r>
      <w:r w:rsidRPr="00C76FE0">
        <w:rPr>
          <w:szCs w:val="26"/>
        </w:rPr>
        <w:t>.</w:t>
      </w:r>
      <w:r>
        <w:rPr>
          <w:rStyle w:val="FootnoteReference"/>
          <w:position w:val="0"/>
        </w:rPr>
        <w:footnoteReference w:id="14"/>
      </w:r>
      <w:r w:rsidRPr="00C76FE0">
        <w:rPr>
          <w:szCs w:val="26"/>
        </w:rPr>
        <w:t xml:space="preserve">  </w:t>
      </w:r>
      <w:r w:rsidRPr="00C76FE0" w:rsidR="00464B39">
        <w:rPr>
          <w:szCs w:val="26"/>
        </w:rPr>
        <w:t>There</w:t>
      </w:r>
      <w:r w:rsidRPr="00C76FE0">
        <w:rPr>
          <w:szCs w:val="26"/>
        </w:rPr>
        <w:t xml:space="preserve">, </w:t>
      </w:r>
      <w:r w:rsidRPr="00C76FE0" w:rsidR="003C1873">
        <w:rPr>
          <w:szCs w:val="26"/>
        </w:rPr>
        <w:t xml:space="preserve">a state board had </w:t>
      </w:r>
      <w:r w:rsidRPr="00C76FE0" w:rsidR="00E36DC0">
        <w:rPr>
          <w:szCs w:val="26"/>
        </w:rPr>
        <w:t xml:space="preserve">express </w:t>
      </w:r>
      <w:r w:rsidRPr="00C76FE0" w:rsidR="003C1873">
        <w:rPr>
          <w:szCs w:val="26"/>
        </w:rPr>
        <w:t>power</w:t>
      </w:r>
      <w:r w:rsidRPr="00C76FE0" w:rsidR="004252DC">
        <w:rPr>
          <w:szCs w:val="26"/>
        </w:rPr>
        <w:t>, pursuant to statute,</w:t>
      </w:r>
      <w:r w:rsidRPr="00C76FE0" w:rsidR="003C1873">
        <w:rPr>
          <w:szCs w:val="26"/>
        </w:rPr>
        <w:t xml:space="preserve"> to “negotiate contracts for group medical plans</w:t>
      </w:r>
      <w:r w:rsidRPr="00C76FE0" w:rsidR="00282D61">
        <w:rPr>
          <w:szCs w:val="26"/>
        </w:rPr>
        <w:t>” that included a “grievance procedure</w:t>
      </w:r>
      <w:r w:rsidRPr="00C76FE0" w:rsidR="008F04BD">
        <w:rPr>
          <w:szCs w:val="26"/>
        </w:rPr>
        <w:t>.</w:t>
      </w:r>
      <w:r w:rsidRPr="00C76FE0" w:rsidR="00282D61">
        <w:rPr>
          <w:szCs w:val="26"/>
        </w:rPr>
        <w:t>”</w:t>
      </w:r>
      <w:r w:rsidRPr="00C76FE0" w:rsidR="003C1873">
        <w:rPr>
          <w:szCs w:val="26"/>
        </w:rPr>
        <w:t xml:space="preserve">  The</w:t>
      </w:r>
      <w:r w:rsidRPr="00C76FE0" w:rsidR="002C5448">
        <w:rPr>
          <w:szCs w:val="26"/>
        </w:rPr>
        <w:t>refore, the</w:t>
      </w:r>
      <w:r w:rsidRPr="00C76FE0" w:rsidR="003C1873">
        <w:rPr>
          <w:szCs w:val="26"/>
        </w:rPr>
        <w:t xml:space="preserve"> state board, under agency law, could adopt proper and usual means in pursuit of </w:t>
      </w:r>
      <w:r w:rsidRPr="00C76FE0" w:rsidR="00DF4605">
        <w:rPr>
          <w:szCs w:val="26"/>
        </w:rPr>
        <w:t xml:space="preserve">this </w:t>
      </w:r>
      <w:r w:rsidRPr="00C76FE0" w:rsidR="003C1873">
        <w:rPr>
          <w:szCs w:val="26"/>
        </w:rPr>
        <w:t>contract</w:t>
      </w:r>
      <w:r w:rsidRPr="00C76FE0" w:rsidR="003B240B">
        <w:rPr>
          <w:szCs w:val="26"/>
        </w:rPr>
        <w:t>ing</w:t>
      </w:r>
      <w:r w:rsidRPr="00C76FE0" w:rsidR="002E356F">
        <w:rPr>
          <w:szCs w:val="26"/>
        </w:rPr>
        <w:t xml:space="preserve"> authority</w:t>
      </w:r>
      <w:r w:rsidRPr="00C76FE0" w:rsidR="003C1873">
        <w:rPr>
          <w:szCs w:val="26"/>
        </w:rPr>
        <w:t xml:space="preserve">, including choosing proper and usual terms for dispute resolution, such as arbitration.  </w:t>
      </w:r>
      <w:r w:rsidRPr="00C76FE0" w:rsidR="008F04BD">
        <w:rPr>
          <w:szCs w:val="26"/>
        </w:rPr>
        <w:t xml:space="preserve">In contrast to the </w:t>
      </w:r>
      <w:r w:rsidRPr="00C76FE0" w:rsidR="004252DC">
        <w:rPr>
          <w:szCs w:val="26"/>
        </w:rPr>
        <w:t xml:space="preserve">statutory </w:t>
      </w:r>
      <w:r w:rsidRPr="00C76FE0" w:rsidR="008F04BD">
        <w:rPr>
          <w:szCs w:val="26"/>
        </w:rPr>
        <w:t xml:space="preserve">grant of authority in </w:t>
      </w:r>
      <w:r w:rsidRPr="00C76FE0" w:rsidR="008F04BD">
        <w:rPr>
          <w:i/>
          <w:iCs/>
          <w:szCs w:val="26"/>
        </w:rPr>
        <w:t>Madden</w:t>
      </w:r>
      <w:r w:rsidRPr="00C76FE0" w:rsidR="008F04BD">
        <w:rPr>
          <w:szCs w:val="26"/>
        </w:rPr>
        <w:t xml:space="preserve">, </w:t>
      </w:r>
      <w:r w:rsidRPr="00C76FE0" w:rsidR="00464B39">
        <w:rPr>
          <w:szCs w:val="26"/>
        </w:rPr>
        <w:t xml:space="preserve">the grant of power to </w:t>
      </w:r>
      <w:r w:rsidRPr="00C76FE0" w:rsidR="003C1873">
        <w:rPr>
          <w:szCs w:val="26"/>
        </w:rPr>
        <w:t>Harrod</w:t>
      </w:r>
      <w:r w:rsidRPr="00C76FE0" w:rsidR="008F04BD">
        <w:rPr>
          <w:szCs w:val="26"/>
        </w:rPr>
        <w:t xml:space="preserve"> </w:t>
      </w:r>
      <w:r w:rsidRPr="00C76FE0" w:rsidR="00464B39">
        <w:rPr>
          <w:szCs w:val="26"/>
        </w:rPr>
        <w:t>in this case</w:t>
      </w:r>
      <w:r w:rsidRPr="00C76FE0" w:rsidR="004252DC">
        <w:rPr>
          <w:szCs w:val="26"/>
        </w:rPr>
        <w:t>, under a power of attorney for health care,</w:t>
      </w:r>
      <w:r w:rsidRPr="00C76FE0" w:rsidR="00464B39">
        <w:rPr>
          <w:szCs w:val="26"/>
        </w:rPr>
        <w:t xml:space="preserve"> did not </w:t>
      </w:r>
      <w:r w:rsidRPr="00C76FE0" w:rsidR="002E356F">
        <w:rPr>
          <w:szCs w:val="26"/>
        </w:rPr>
        <w:t>mention</w:t>
      </w:r>
      <w:r w:rsidRPr="00C76FE0" w:rsidR="00464B39">
        <w:rPr>
          <w:szCs w:val="26"/>
        </w:rPr>
        <w:t xml:space="preserve"> </w:t>
      </w:r>
      <w:r w:rsidRPr="00C76FE0" w:rsidR="003C1873">
        <w:rPr>
          <w:szCs w:val="26"/>
        </w:rPr>
        <w:t xml:space="preserve">the power to </w:t>
      </w:r>
      <w:r w:rsidRPr="00C76FE0" w:rsidR="004252DC">
        <w:rPr>
          <w:szCs w:val="26"/>
        </w:rPr>
        <w:t xml:space="preserve">broadly </w:t>
      </w:r>
      <w:r w:rsidRPr="00C76FE0" w:rsidR="003C1873">
        <w:rPr>
          <w:szCs w:val="26"/>
        </w:rPr>
        <w:t>negotiate contracts</w:t>
      </w:r>
      <w:r w:rsidRPr="00C76FE0" w:rsidR="00282D61">
        <w:rPr>
          <w:szCs w:val="26"/>
        </w:rPr>
        <w:t xml:space="preserve"> or </w:t>
      </w:r>
      <w:r w:rsidRPr="00C76FE0" w:rsidR="002E356F">
        <w:rPr>
          <w:szCs w:val="26"/>
        </w:rPr>
        <w:t xml:space="preserve">select </w:t>
      </w:r>
      <w:r w:rsidRPr="00C76FE0" w:rsidR="00282D61">
        <w:rPr>
          <w:szCs w:val="26"/>
        </w:rPr>
        <w:t>a dispute resolution method</w:t>
      </w:r>
      <w:r w:rsidRPr="00C76FE0" w:rsidR="003C1873">
        <w:rPr>
          <w:szCs w:val="26"/>
        </w:rPr>
        <w:t xml:space="preserve">. </w:t>
      </w:r>
      <w:r w:rsidRPr="00C76FE0" w:rsidR="003B240B">
        <w:rPr>
          <w:szCs w:val="26"/>
        </w:rPr>
        <w:t xml:space="preserve"> </w:t>
      </w:r>
      <w:r w:rsidRPr="00C76FE0" w:rsidR="008D557B">
        <w:rPr>
          <w:szCs w:val="26"/>
        </w:rPr>
        <w:t>Rather, i</w:t>
      </w:r>
      <w:r w:rsidRPr="00C76FE0" w:rsidR="00464B39">
        <w:rPr>
          <w:szCs w:val="26"/>
        </w:rPr>
        <w:t xml:space="preserve">t merely granted </w:t>
      </w:r>
      <w:r w:rsidRPr="00C76FE0" w:rsidR="008F04BD">
        <w:rPr>
          <w:szCs w:val="26"/>
        </w:rPr>
        <w:t xml:space="preserve">Harrod the </w:t>
      </w:r>
      <w:r w:rsidRPr="00C76FE0" w:rsidR="00DF2EF7">
        <w:rPr>
          <w:szCs w:val="26"/>
        </w:rPr>
        <w:t>authority</w:t>
      </w:r>
      <w:r w:rsidRPr="00C76FE0" w:rsidR="008F04BD">
        <w:rPr>
          <w:szCs w:val="26"/>
        </w:rPr>
        <w:t xml:space="preserve"> to make “health care decisions</w:t>
      </w:r>
      <w:r w:rsidRPr="00C76FE0" w:rsidR="00796947">
        <w:rPr>
          <w:szCs w:val="26"/>
        </w:rPr>
        <w:t>.</w:t>
      </w:r>
      <w:r w:rsidRPr="00C76FE0" w:rsidR="008F04BD">
        <w:rPr>
          <w:szCs w:val="26"/>
        </w:rPr>
        <w:t>”</w:t>
      </w:r>
      <w:r w:rsidRPr="00C76FE0" w:rsidR="003B240B">
        <w:rPr>
          <w:szCs w:val="26"/>
        </w:rPr>
        <w:t xml:space="preserve">  </w:t>
      </w:r>
      <w:r w:rsidRPr="00C76FE0">
        <w:rPr>
          <w:szCs w:val="26"/>
        </w:rPr>
        <w:t xml:space="preserve"> </w:t>
      </w:r>
    </w:p>
    <w:p w:rsidR="00282D61" w:rsidRPr="00C76FE0" w:rsidP="009157E6" w14:paraId="2B05F451" w14:textId="77777777">
      <w:pPr>
        <w:ind w:firstLine="720"/>
        <w:rPr>
          <w:szCs w:val="26"/>
        </w:rPr>
      </w:pPr>
      <w:r w:rsidRPr="00C76FE0">
        <w:rPr>
          <w:szCs w:val="26"/>
        </w:rPr>
        <w:t>I</w:t>
      </w:r>
      <w:r w:rsidRPr="00C76FE0" w:rsidR="008F04BD">
        <w:rPr>
          <w:szCs w:val="26"/>
        </w:rPr>
        <w:t>f</w:t>
      </w:r>
      <w:r w:rsidRPr="00C76FE0" w:rsidR="000F10E3">
        <w:rPr>
          <w:szCs w:val="26"/>
        </w:rPr>
        <w:t xml:space="preserve">, under </w:t>
      </w:r>
      <w:r w:rsidRPr="00C76FE0" w:rsidR="000F10E3">
        <w:rPr>
          <w:i/>
          <w:iCs/>
          <w:szCs w:val="26"/>
        </w:rPr>
        <w:t>Madden</w:t>
      </w:r>
      <w:r w:rsidRPr="00C76FE0" w:rsidR="000F10E3">
        <w:rPr>
          <w:szCs w:val="26"/>
        </w:rPr>
        <w:t>,</w:t>
      </w:r>
      <w:r w:rsidRPr="00C76FE0" w:rsidR="008F04BD">
        <w:rPr>
          <w:szCs w:val="26"/>
        </w:rPr>
        <w:t xml:space="preserve"> </w:t>
      </w:r>
      <w:r w:rsidRPr="00C76FE0" w:rsidR="003C1873">
        <w:rPr>
          <w:szCs w:val="26"/>
        </w:rPr>
        <w:t xml:space="preserve">selecting </w:t>
      </w:r>
      <w:r w:rsidRPr="00C76FE0">
        <w:rPr>
          <w:szCs w:val="26"/>
        </w:rPr>
        <w:t>arbitration</w:t>
      </w:r>
      <w:r w:rsidRPr="00C76FE0" w:rsidR="009D7D5B">
        <w:rPr>
          <w:szCs w:val="26"/>
        </w:rPr>
        <w:t xml:space="preserve"> </w:t>
      </w:r>
      <w:r w:rsidRPr="00C76FE0">
        <w:rPr>
          <w:szCs w:val="26"/>
        </w:rPr>
        <w:t xml:space="preserve">as a contract term </w:t>
      </w:r>
      <w:r w:rsidRPr="00C76FE0" w:rsidR="003C1873">
        <w:rPr>
          <w:szCs w:val="26"/>
        </w:rPr>
        <w:t>serves the purpose</w:t>
      </w:r>
      <w:r w:rsidRPr="00C76FE0" w:rsidR="009D7D5B">
        <w:rPr>
          <w:szCs w:val="26"/>
        </w:rPr>
        <w:t xml:space="preserve"> of </w:t>
      </w:r>
      <w:r w:rsidRPr="00C76FE0" w:rsidR="00252E38">
        <w:rPr>
          <w:szCs w:val="26"/>
        </w:rPr>
        <w:t>statutorily</w:t>
      </w:r>
      <w:r w:rsidRPr="00C76FE0" w:rsidR="008E0499">
        <w:rPr>
          <w:szCs w:val="26"/>
        </w:rPr>
        <w:t xml:space="preserve"> </w:t>
      </w:r>
      <w:r w:rsidRPr="00C76FE0" w:rsidR="00663A8B">
        <w:rPr>
          <w:szCs w:val="26"/>
        </w:rPr>
        <w:t xml:space="preserve">authorized </w:t>
      </w:r>
      <w:r w:rsidRPr="00C76FE0">
        <w:rPr>
          <w:szCs w:val="26"/>
        </w:rPr>
        <w:t>contract negotiation</w:t>
      </w:r>
      <w:r w:rsidRPr="00C76FE0" w:rsidR="009D7D5B">
        <w:rPr>
          <w:szCs w:val="26"/>
        </w:rPr>
        <w:t xml:space="preserve">, </w:t>
      </w:r>
      <w:r w:rsidRPr="00C76FE0" w:rsidR="00E36DC0">
        <w:rPr>
          <w:szCs w:val="26"/>
        </w:rPr>
        <w:t>choosing</w:t>
      </w:r>
      <w:r w:rsidRPr="00C76FE0" w:rsidR="009D7D5B">
        <w:rPr>
          <w:szCs w:val="26"/>
        </w:rPr>
        <w:t xml:space="preserve"> </w:t>
      </w:r>
      <w:r w:rsidRPr="00C76FE0">
        <w:rPr>
          <w:szCs w:val="26"/>
        </w:rPr>
        <w:t>a dispute resolution method</w:t>
      </w:r>
      <w:r w:rsidRPr="00C76FE0" w:rsidR="009D7D5B">
        <w:rPr>
          <w:szCs w:val="26"/>
        </w:rPr>
        <w:t xml:space="preserve"> </w:t>
      </w:r>
      <w:r w:rsidRPr="00C76FE0" w:rsidR="003C1873">
        <w:rPr>
          <w:szCs w:val="26"/>
        </w:rPr>
        <w:t>does not similarly serve the purpose of making “health care decisions”</w:t>
      </w:r>
      <w:r w:rsidRPr="00C76FE0" w:rsidR="00AA71DB">
        <w:rPr>
          <w:szCs w:val="26"/>
        </w:rPr>
        <w:t xml:space="preserve"> when that </w:t>
      </w:r>
      <w:r w:rsidRPr="00C76FE0" w:rsidR="00BB78B3">
        <w:rPr>
          <w:szCs w:val="26"/>
        </w:rPr>
        <w:t xml:space="preserve">choice </w:t>
      </w:r>
      <w:r w:rsidRPr="00C76FE0" w:rsidR="00AA71DB">
        <w:rPr>
          <w:szCs w:val="26"/>
        </w:rPr>
        <w:t>is contained in a side agreement with no impact on health care</w:t>
      </w:r>
      <w:r w:rsidRPr="00C76FE0" w:rsidR="00BB78B3">
        <w:rPr>
          <w:szCs w:val="26"/>
        </w:rPr>
        <w:t xml:space="preserve"> or who administers it</w:t>
      </w:r>
      <w:r w:rsidRPr="00C76FE0" w:rsidR="00AA71DB">
        <w:rPr>
          <w:szCs w:val="26"/>
        </w:rPr>
        <w:t>.</w:t>
      </w:r>
      <w:r w:rsidRPr="00C76FE0" w:rsidR="009D7D5B">
        <w:rPr>
          <w:szCs w:val="26"/>
        </w:rPr>
        <w:t xml:space="preserve">  </w:t>
      </w:r>
      <w:r w:rsidR="00DA3F3D">
        <w:rPr>
          <w:szCs w:val="26"/>
        </w:rPr>
        <w:t>T</w:t>
      </w:r>
      <w:r w:rsidRPr="00C76FE0" w:rsidR="008F04BD">
        <w:rPr>
          <w:szCs w:val="26"/>
        </w:rPr>
        <w:t xml:space="preserve">he authority to </w:t>
      </w:r>
      <w:r w:rsidRPr="00C76FE0">
        <w:rPr>
          <w:szCs w:val="26"/>
        </w:rPr>
        <w:t>make</w:t>
      </w:r>
      <w:r w:rsidRPr="00C76FE0" w:rsidR="008F04BD">
        <w:rPr>
          <w:szCs w:val="26"/>
        </w:rPr>
        <w:t xml:space="preserve"> </w:t>
      </w:r>
      <w:r w:rsidRPr="00C76FE0">
        <w:rPr>
          <w:szCs w:val="26"/>
        </w:rPr>
        <w:t>health ca</w:t>
      </w:r>
      <w:r w:rsidRPr="00C76FE0" w:rsidR="008F04BD">
        <w:rPr>
          <w:szCs w:val="26"/>
        </w:rPr>
        <w:t>re</w:t>
      </w:r>
      <w:r w:rsidRPr="00C76FE0">
        <w:rPr>
          <w:szCs w:val="26"/>
        </w:rPr>
        <w:t xml:space="preserve"> decision</w:t>
      </w:r>
      <w:r w:rsidRPr="00C76FE0" w:rsidR="008F04BD">
        <w:rPr>
          <w:szCs w:val="26"/>
        </w:rPr>
        <w:t>s</w:t>
      </w:r>
      <w:r w:rsidR="00306865">
        <w:rPr>
          <w:szCs w:val="26"/>
        </w:rPr>
        <w:t> —</w:t>
      </w:r>
      <w:r w:rsidRPr="00C76FE0" w:rsidR="00BB78B3">
        <w:rPr>
          <w:szCs w:val="26"/>
        </w:rPr>
        <w:t xml:space="preserve"> </w:t>
      </w:r>
      <w:r w:rsidRPr="00C76FE0">
        <w:rPr>
          <w:szCs w:val="26"/>
        </w:rPr>
        <w:t>here, the authority to obtain skilled nursing care</w:t>
      </w:r>
      <w:r w:rsidR="00306865">
        <w:rPr>
          <w:szCs w:val="26"/>
        </w:rPr>
        <w:t> —</w:t>
      </w:r>
      <w:r w:rsidRPr="00C76FE0">
        <w:rPr>
          <w:szCs w:val="26"/>
        </w:rPr>
        <w:t xml:space="preserve"> </w:t>
      </w:r>
      <w:r w:rsidR="00DA3F3D">
        <w:rPr>
          <w:szCs w:val="26"/>
        </w:rPr>
        <w:t>could</w:t>
      </w:r>
      <w:r w:rsidRPr="00C76FE0" w:rsidR="00DA3F3D">
        <w:rPr>
          <w:szCs w:val="26"/>
        </w:rPr>
        <w:t xml:space="preserve"> </w:t>
      </w:r>
      <w:r w:rsidRPr="00C76FE0">
        <w:rPr>
          <w:szCs w:val="26"/>
        </w:rPr>
        <w:t xml:space="preserve">be “fully performed” without </w:t>
      </w:r>
      <w:r w:rsidR="006649F9">
        <w:rPr>
          <w:szCs w:val="26"/>
        </w:rPr>
        <w:t>reference to</w:t>
      </w:r>
      <w:r w:rsidR="00DA3F3D">
        <w:rPr>
          <w:szCs w:val="26"/>
        </w:rPr>
        <w:t xml:space="preserve"> that </w:t>
      </w:r>
      <w:r w:rsidRPr="00C76FE0">
        <w:rPr>
          <w:szCs w:val="26"/>
        </w:rPr>
        <w:t xml:space="preserve">side agreement.  </w:t>
      </w:r>
      <w:r w:rsidRPr="00C76FE0">
        <w:rPr>
          <w:szCs w:val="26"/>
          <w:bdr w:val="none" w:sz="0" w:space="0" w:color="auto" w:frame="1"/>
        </w:rPr>
        <w:t>(</w:t>
      </w:r>
      <w:r w:rsidRPr="00C76FE0">
        <w:rPr>
          <w:i/>
          <w:iCs/>
          <w:szCs w:val="26"/>
          <w:bdr w:val="none" w:sz="0" w:space="0" w:color="auto" w:frame="1"/>
        </w:rPr>
        <w:t>Palomo v. State Bar</w:t>
      </w:r>
      <w:r w:rsidRPr="00C76FE0">
        <w:rPr>
          <w:szCs w:val="26"/>
          <w:bdr w:val="none" w:sz="0" w:space="0" w:color="auto" w:frame="1"/>
        </w:rPr>
        <w:t xml:space="preserve">, </w:t>
      </w:r>
      <w:r w:rsidRPr="00C76FE0">
        <w:rPr>
          <w:i/>
          <w:iCs/>
          <w:szCs w:val="26"/>
          <w:bdr w:val="none" w:sz="0" w:space="0" w:color="auto" w:frame="1"/>
        </w:rPr>
        <w:t>supra</w:t>
      </w:r>
      <w:r w:rsidRPr="00C76FE0">
        <w:rPr>
          <w:szCs w:val="26"/>
          <w:bdr w:val="none" w:sz="0" w:space="0" w:color="auto" w:frame="1"/>
        </w:rPr>
        <w:t>, 36 Cal.3d at p. 794 &amp; fn. 5</w:t>
      </w:r>
      <w:r w:rsidRPr="00C76FE0" w:rsidR="004F3ED7">
        <w:rPr>
          <w:szCs w:val="26"/>
          <w:bdr w:val="none" w:sz="0" w:space="0" w:color="auto" w:frame="1"/>
        </w:rPr>
        <w:t>.</w:t>
      </w:r>
      <w:r w:rsidRPr="00C76FE0">
        <w:rPr>
          <w:szCs w:val="26"/>
          <w:bdr w:val="none" w:sz="0" w:space="0" w:color="auto" w:frame="1"/>
        </w:rPr>
        <w:t>)</w:t>
      </w:r>
      <w:r w:rsidRPr="00C76FE0" w:rsidR="009D7D5B">
        <w:rPr>
          <w:szCs w:val="26"/>
        </w:rPr>
        <w:t xml:space="preserve">  </w:t>
      </w:r>
      <w:r w:rsidR="009157E6">
        <w:rPr>
          <w:szCs w:val="26"/>
        </w:rPr>
        <w:t xml:space="preserve">And </w:t>
      </w:r>
      <w:r w:rsidR="00DA3F3D">
        <w:rPr>
          <w:szCs w:val="26"/>
        </w:rPr>
        <w:t xml:space="preserve">accepting or rejecting that </w:t>
      </w:r>
      <w:r w:rsidR="009157E6">
        <w:rPr>
          <w:szCs w:val="26"/>
        </w:rPr>
        <w:t xml:space="preserve">side agreement </w:t>
      </w:r>
      <w:r w:rsidR="00DA3F3D">
        <w:rPr>
          <w:szCs w:val="26"/>
        </w:rPr>
        <w:t>could not</w:t>
      </w:r>
      <w:r w:rsidR="009157E6">
        <w:rPr>
          <w:szCs w:val="26"/>
        </w:rPr>
        <w:t xml:space="preserve"> be said to</w:t>
      </w:r>
      <w:r w:rsidR="006649F9">
        <w:rPr>
          <w:szCs w:val="26"/>
        </w:rPr>
        <w:t xml:space="preserve"> be “in pursuit of” </w:t>
      </w:r>
      <w:r w:rsidRPr="00C76FE0" w:rsidR="006649F9">
        <w:rPr>
          <w:szCs w:val="26"/>
          <w:bdr w:val="none" w:sz="0" w:space="0" w:color="auto" w:frame="1"/>
        </w:rPr>
        <w:t>(</w:t>
      </w:r>
      <w:r w:rsidRPr="00226320" w:rsidR="006649F9">
        <w:rPr>
          <w:i/>
          <w:iCs/>
          <w:szCs w:val="26"/>
          <w:bdr w:val="none" w:sz="0" w:space="0" w:color="auto" w:frame="1"/>
        </w:rPr>
        <w:t>ibid.</w:t>
      </w:r>
      <w:r w:rsidR="006649F9">
        <w:rPr>
          <w:szCs w:val="26"/>
          <w:bdr w:val="none" w:sz="0" w:space="0" w:color="auto" w:frame="1"/>
        </w:rPr>
        <w:t>) or to</w:t>
      </w:r>
      <w:r w:rsidR="00306865">
        <w:rPr>
          <w:szCs w:val="26"/>
          <w:bdr w:val="none" w:sz="0" w:space="0" w:color="auto" w:frame="1"/>
        </w:rPr>
        <w:t xml:space="preserve"> </w:t>
      </w:r>
      <w:r w:rsidR="009157E6">
        <w:rPr>
          <w:szCs w:val="26"/>
        </w:rPr>
        <w:t xml:space="preserve">“effectuate” </w:t>
      </w:r>
      <w:r w:rsidRPr="00C76FE0" w:rsidR="006649F9">
        <w:rPr>
          <w:color w:val="202124"/>
          <w:szCs w:val="26"/>
          <w:shd w:val="clear" w:color="auto" w:fill="FFFFFF"/>
        </w:rPr>
        <w:t>(</w:t>
      </w:r>
      <w:r w:rsidRPr="00C76FE0" w:rsidR="006649F9">
        <w:rPr>
          <w:i/>
          <w:iCs/>
          <w:color w:val="202124"/>
          <w:szCs w:val="26"/>
          <w:shd w:val="clear" w:color="auto" w:fill="FFFFFF"/>
        </w:rPr>
        <w:t>Blum v. Robertson</w:t>
      </w:r>
      <w:r w:rsidRPr="00C76FE0" w:rsidR="006649F9">
        <w:rPr>
          <w:color w:val="202124"/>
          <w:szCs w:val="26"/>
          <w:shd w:val="clear" w:color="auto" w:fill="FFFFFF"/>
        </w:rPr>
        <w:t xml:space="preserve">, </w:t>
      </w:r>
      <w:r w:rsidRPr="00C76FE0" w:rsidR="006649F9">
        <w:rPr>
          <w:i/>
          <w:iCs/>
          <w:color w:val="202124"/>
          <w:szCs w:val="26"/>
          <w:shd w:val="clear" w:color="auto" w:fill="FFFFFF"/>
        </w:rPr>
        <w:t>supra</w:t>
      </w:r>
      <w:r w:rsidRPr="00C76FE0" w:rsidR="006649F9">
        <w:rPr>
          <w:color w:val="202124"/>
          <w:szCs w:val="26"/>
          <w:shd w:val="clear" w:color="auto" w:fill="FFFFFF"/>
        </w:rPr>
        <w:t xml:space="preserve">, 24 Cal. </w:t>
      </w:r>
      <w:r w:rsidRPr="00C76FE0" w:rsidR="006649F9">
        <w:rPr>
          <w:color w:val="202124"/>
          <w:shd w:val="clear" w:color="auto" w:fill="FFFFFF"/>
        </w:rPr>
        <w:t>at p.</w:t>
      </w:r>
      <w:r w:rsidRPr="00C76FE0" w:rsidR="006649F9">
        <w:rPr>
          <w:color w:val="202124"/>
          <w:szCs w:val="26"/>
          <w:shd w:val="clear" w:color="auto" w:fill="FFFFFF"/>
        </w:rPr>
        <w:t xml:space="preserve"> 140)</w:t>
      </w:r>
      <w:r w:rsidR="006649F9">
        <w:rPr>
          <w:color w:val="202124"/>
          <w:szCs w:val="26"/>
          <w:shd w:val="clear" w:color="auto" w:fill="FFFFFF"/>
        </w:rPr>
        <w:t xml:space="preserve"> </w:t>
      </w:r>
      <w:r w:rsidR="009157E6">
        <w:rPr>
          <w:szCs w:val="26"/>
        </w:rPr>
        <w:t>a health care decision.</w:t>
      </w:r>
      <w:r w:rsidR="00DA3F3D">
        <w:rPr>
          <w:color w:val="202124"/>
          <w:szCs w:val="26"/>
          <w:shd w:val="clear" w:color="auto" w:fill="FFFFFF"/>
        </w:rPr>
        <w:t xml:space="preserve"> </w:t>
      </w:r>
      <w:r w:rsidR="009157E6">
        <w:rPr>
          <w:szCs w:val="26"/>
        </w:rPr>
        <w:t xml:space="preserve"> </w:t>
      </w:r>
      <w:r w:rsidRPr="00C76FE0" w:rsidR="009052AB">
        <w:rPr>
          <w:szCs w:val="26"/>
        </w:rPr>
        <w:t>“</w:t>
      </w:r>
      <w:r w:rsidR="009157E6">
        <w:rPr>
          <w:szCs w:val="26"/>
        </w:rPr>
        <w:t>T</w:t>
      </w:r>
      <w:r w:rsidRPr="00C76FE0" w:rsidR="009052AB">
        <w:rPr>
          <w:szCs w:val="26"/>
        </w:rPr>
        <w:t>he power” bestowed upon an agent “is to be construed with reference to the subject-matter, and all the words used in conferring it</w:t>
      </w:r>
      <w:r w:rsidRPr="00C76FE0" w:rsidR="00D04C08">
        <w:rPr>
          <w:szCs w:val="26"/>
        </w:rPr>
        <w:t> .</w:t>
      </w:r>
      <w:r w:rsidRPr="00C76FE0" w:rsidR="009052AB">
        <w:rPr>
          <w:szCs w:val="26"/>
        </w:rPr>
        <w:t> .</w:t>
      </w:r>
      <w:r w:rsidRPr="00C76FE0" w:rsidR="009052AB">
        <w:t xml:space="preserve"> . .”  </w:t>
      </w:r>
      <w:r w:rsidRPr="00C76FE0" w:rsidR="009052AB">
        <w:rPr>
          <w:szCs w:val="26"/>
        </w:rPr>
        <w:t>(</w:t>
      </w:r>
      <w:r w:rsidRPr="00C76FE0" w:rsidR="009052AB">
        <w:rPr>
          <w:i/>
          <w:iCs/>
          <w:szCs w:val="26"/>
        </w:rPr>
        <w:t>Beckman v. Wilson</w:t>
      </w:r>
      <w:r w:rsidRPr="00C76FE0" w:rsidR="009052AB">
        <w:rPr>
          <w:szCs w:val="26"/>
        </w:rPr>
        <w:t xml:space="preserve"> (1882) 61 Cal. 335, 336.)  Thus, to the extent general agency principles might aid us here in divining the scope of a health care decision (see </w:t>
      </w:r>
      <w:r w:rsidR="00306865">
        <w:rPr>
          <w:szCs w:val="26"/>
        </w:rPr>
        <w:t>§ </w:t>
      </w:r>
      <w:r w:rsidRPr="00C76FE0" w:rsidR="009052AB">
        <w:rPr>
          <w:szCs w:val="26"/>
        </w:rPr>
        <w:t xml:space="preserve">4688), we employ them consistently with what we have gleaned from </w:t>
      </w:r>
      <w:r w:rsidRPr="00C76FE0" w:rsidR="003C49CB">
        <w:rPr>
          <w:szCs w:val="26"/>
        </w:rPr>
        <w:t xml:space="preserve">examining </w:t>
      </w:r>
      <w:r w:rsidRPr="00C76FE0" w:rsidR="009052AB">
        <w:rPr>
          <w:szCs w:val="26"/>
        </w:rPr>
        <w:t xml:space="preserve">the Health Care Decisions Law </w:t>
      </w:r>
      <w:r w:rsidRPr="00C76FE0" w:rsidR="003C49CB">
        <w:rPr>
          <w:szCs w:val="26"/>
        </w:rPr>
        <w:t xml:space="preserve">and Logan’s power of attorney </w:t>
      </w:r>
      <w:r w:rsidRPr="00C76FE0" w:rsidR="009052AB">
        <w:rPr>
          <w:szCs w:val="26"/>
        </w:rPr>
        <w:t>on th</w:t>
      </w:r>
      <w:r w:rsidRPr="00C76FE0" w:rsidR="003C49CB">
        <w:rPr>
          <w:szCs w:val="26"/>
        </w:rPr>
        <w:t>is</w:t>
      </w:r>
      <w:r w:rsidRPr="00C76FE0" w:rsidR="009052AB">
        <w:rPr>
          <w:szCs w:val="26"/>
        </w:rPr>
        <w:t xml:space="preserve"> subject.  We remain mindful that the Legislature</w:t>
      </w:r>
      <w:r w:rsidRPr="00C76FE0" w:rsidR="003C49CB">
        <w:rPr>
          <w:szCs w:val="26"/>
        </w:rPr>
        <w:t xml:space="preserve">, and in turn Logan, </w:t>
      </w:r>
      <w:r w:rsidRPr="00C76FE0" w:rsidR="009052AB">
        <w:rPr>
          <w:szCs w:val="26"/>
        </w:rPr>
        <w:t xml:space="preserve">contemplated a “health care decision” would concern </w:t>
      </w:r>
      <w:r w:rsidR="00AB1E4F">
        <w:rPr>
          <w:szCs w:val="26"/>
        </w:rPr>
        <w:t>personal</w:t>
      </w:r>
      <w:r w:rsidRPr="00C76FE0" w:rsidR="00AB1E4F">
        <w:rPr>
          <w:szCs w:val="26"/>
        </w:rPr>
        <w:t xml:space="preserve"> </w:t>
      </w:r>
      <w:r w:rsidRPr="00C76FE0" w:rsidR="009052AB">
        <w:rPr>
          <w:szCs w:val="26"/>
        </w:rPr>
        <w:t xml:space="preserve">decisions such as provider and treatment selection.  </w:t>
      </w:r>
    </w:p>
    <w:p w:rsidR="00CE3463" w:rsidRPr="00C76FE0" w:rsidP="00C76FE0" w14:paraId="2B05F452" w14:textId="77777777">
      <w:pPr>
        <w:ind w:firstLine="720"/>
        <w:rPr>
          <w:szCs w:val="26"/>
        </w:rPr>
      </w:pPr>
      <w:r w:rsidRPr="00C76FE0">
        <w:rPr>
          <w:szCs w:val="26"/>
        </w:rPr>
        <w:t xml:space="preserve">Despite the different grants of authority at issue in </w:t>
      </w:r>
      <w:r w:rsidRPr="00C76FE0">
        <w:rPr>
          <w:i/>
          <w:iCs/>
          <w:szCs w:val="26"/>
        </w:rPr>
        <w:t>Madden</w:t>
      </w:r>
      <w:r w:rsidRPr="00C76FE0">
        <w:rPr>
          <w:szCs w:val="26"/>
        </w:rPr>
        <w:t xml:space="preserve"> and in cases involving the Health Care Decisions Law, </w:t>
      </w:r>
      <w:r w:rsidRPr="00C76FE0" w:rsidR="00615660">
        <w:rPr>
          <w:szCs w:val="26"/>
        </w:rPr>
        <w:t>s</w:t>
      </w:r>
      <w:r w:rsidRPr="00C76FE0" w:rsidR="003C1873">
        <w:rPr>
          <w:szCs w:val="26"/>
        </w:rPr>
        <w:t>everal Court</w:t>
      </w:r>
      <w:r w:rsidRPr="00C76FE0" w:rsidR="003B240B">
        <w:rPr>
          <w:szCs w:val="26"/>
        </w:rPr>
        <w:t>s</w:t>
      </w:r>
      <w:r w:rsidRPr="00C76FE0" w:rsidR="003C1873">
        <w:rPr>
          <w:szCs w:val="26"/>
        </w:rPr>
        <w:t xml:space="preserve"> of Appeal </w:t>
      </w:r>
      <w:r w:rsidRPr="00C76FE0" w:rsidR="00464B39">
        <w:rPr>
          <w:szCs w:val="26"/>
        </w:rPr>
        <w:t xml:space="preserve">have </w:t>
      </w:r>
      <w:r w:rsidRPr="00C76FE0" w:rsidR="00615660">
        <w:rPr>
          <w:szCs w:val="26"/>
        </w:rPr>
        <w:t xml:space="preserve">read </w:t>
      </w:r>
      <w:r w:rsidRPr="00C76FE0" w:rsidR="009D7D5B">
        <w:rPr>
          <w:i/>
          <w:iCs/>
          <w:szCs w:val="26"/>
        </w:rPr>
        <w:t>Madden</w:t>
      </w:r>
      <w:r w:rsidRPr="00C76FE0" w:rsidR="009D7D5B">
        <w:rPr>
          <w:szCs w:val="26"/>
        </w:rPr>
        <w:t xml:space="preserve"> </w:t>
      </w:r>
      <w:r w:rsidRPr="00C76FE0" w:rsidR="003B240B">
        <w:rPr>
          <w:szCs w:val="26"/>
        </w:rPr>
        <w:t xml:space="preserve">as </w:t>
      </w:r>
      <w:r w:rsidRPr="00C76FE0" w:rsidR="00A1325E">
        <w:rPr>
          <w:szCs w:val="26"/>
        </w:rPr>
        <w:t>support</w:t>
      </w:r>
      <w:r w:rsidRPr="00C76FE0" w:rsidR="003B240B">
        <w:rPr>
          <w:szCs w:val="26"/>
        </w:rPr>
        <w:t>ing</w:t>
      </w:r>
      <w:r w:rsidRPr="00C76FE0" w:rsidR="009D7D5B">
        <w:rPr>
          <w:szCs w:val="26"/>
        </w:rPr>
        <w:t xml:space="preserve"> </w:t>
      </w:r>
      <w:r w:rsidRPr="00C76FE0" w:rsidR="004D3E62">
        <w:rPr>
          <w:szCs w:val="26"/>
        </w:rPr>
        <w:t xml:space="preserve">defendants’ position </w:t>
      </w:r>
      <w:r w:rsidRPr="00C76FE0" w:rsidR="009D7D5B">
        <w:rPr>
          <w:szCs w:val="26"/>
        </w:rPr>
        <w:t>that the power to make health care decisions</w:t>
      </w:r>
      <w:r w:rsidRPr="00C76FE0" w:rsidR="006D0DAF">
        <w:rPr>
          <w:szCs w:val="26"/>
        </w:rPr>
        <w:t xml:space="preserve">, </w:t>
      </w:r>
      <w:r w:rsidRPr="00C76FE0">
        <w:rPr>
          <w:szCs w:val="26"/>
        </w:rPr>
        <w:t>under the law</w:t>
      </w:r>
      <w:r w:rsidRPr="00C76FE0" w:rsidR="006D0DAF">
        <w:rPr>
          <w:szCs w:val="26"/>
        </w:rPr>
        <w:t xml:space="preserve"> and power</w:t>
      </w:r>
      <w:r w:rsidRPr="00C76FE0" w:rsidR="003B240B">
        <w:rPr>
          <w:szCs w:val="26"/>
        </w:rPr>
        <w:t>s</w:t>
      </w:r>
      <w:r w:rsidRPr="00C76FE0" w:rsidR="006D0DAF">
        <w:rPr>
          <w:szCs w:val="26"/>
        </w:rPr>
        <w:t xml:space="preserve"> of attorney invoking </w:t>
      </w:r>
      <w:r w:rsidRPr="00C76FE0">
        <w:rPr>
          <w:szCs w:val="26"/>
        </w:rPr>
        <w:t>it</w:t>
      </w:r>
      <w:r w:rsidRPr="00C76FE0" w:rsidR="006D0DAF">
        <w:rPr>
          <w:szCs w:val="26"/>
        </w:rPr>
        <w:t>,</w:t>
      </w:r>
      <w:r w:rsidRPr="00C76FE0" w:rsidR="009D7D5B">
        <w:rPr>
          <w:szCs w:val="26"/>
        </w:rPr>
        <w:t xml:space="preserve"> </w:t>
      </w:r>
      <w:r w:rsidRPr="00C76FE0" w:rsidR="002339E3">
        <w:rPr>
          <w:szCs w:val="26"/>
        </w:rPr>
        <w:t xml:space="preserve">does </w:t>
      </w:r>
      <w:r w:rsidRPr="00C76FE0" w:rsidR="009D7D5B">
        <w:rPr>
          <w:szCs w:val="26"/>
        </w:rPr>
        <w:t xml:space="preserve">include the power </w:t>
      </w:r>
      <w:r w:rsidRPr="00C76FE0" w:rsidR="003B7C0E">
        <w:rPr>
          <w:szCs w:val="26"/>
        </w:rPr>
        <w:t xml:space="preserve">to enter </w:t>
      </w:r>
      <w:r w:rsidRPr="00C76FE0" w:rsidR="002339E3">
        <w:rPr>
          <w:szCs w:val="26"/>
        </w:rPr>
        <w:t xml:space="preserve">optional, separate </w:t>
      </w:r>
      <w:r w:rsidRPr="00C76FE0" w:rsidR="003B7C0E">
        <w:rPr>
          <w:szCs w:val="26"/>
        </w:rPr>
        <w:t>arbitration agreements with health care providers.  (</w:t>
      </w:r>
      <w:r w:rsidRPr="00C76FE0" w:rsidR="003B7C0E">
        <w:rPr>
          <w:i/>
          <w:iCs/>
          <w:szCs w:val="26"/>
        </w:rPr>
        <w:t>Garrison v. Superior Court</w:t>
      </w:r>
      <w:r w:rsidRPr="00C76FE0" w:rsidR="0002244B">
        <w:rPr>
          <w:szCs w:val="26"/>
        </w:rPr>
        <w:t xml:space="preserve">, </w:t>
      </w:r>
      <w:r w:rsidRPr="00C76FE0" w:rsidR="0002244B">
        <w:rPr>
          <w:i/>
          <w:iCs/>
          <w:szCs w:val="26"/>
        </w:rPr>
        <w:t>supra</w:t>
      </w:r>
      <w:r w:rsidRPr="00C76FE0" w:rsidR="0002244B">
        <w:rPr>
          <w:szCs w:val="26"/>
        </w:rPr>
        <w:t>,</w:t>
      </w:r>
      <w:r w:rsidRPr="00C76FE0" w:rsidR="003B7C0E">
        <w:rPr>
          <w:szCs w:val="26"/>
        </w:rPr>
        <w:t xml:space="preserve"> 132 Cal.App.4th </w:t>
      </w:r>
      <w:r w:rsidRPr="00C76FE0" w:rsidR="0002244B">
        <w:rPr>
          <w:szCs w:val="26"/>
        </w:rPr>
        <w:t xml:space="preserve">at p. </w:t>
      </w:r>
      <w:r w:rsidRPr="00C76FE0" w:rsidR="003B7C0E">
        <w:rPr>
          <w:szCs w:val="26"/>
        </w:rPr>
        <w:t>267</w:t>
      </w:r>
      <w:r w:rsidRPr="00C76FE0" w:rsidR="00E67F67">
        <w:rPr>
          <w:szCs w:val="26"/>
        </w:rPr>
        <w:t xml:space="preserve">; </w:t>
      </w:r>
      <w:r w:rsidRPr="00C76FE0" w:rsidR="00E67F67">
        <w:rPr>
          <w:i/>
          <w:iCs/>
          <w:szCs w:val="26"/>
        </w:rPr>
        <w:t>Hogan v. Country Villa Health Services</w:t>
      </w:r>
      <w:r w:rsidRPr="00C76FE0" w:rsidR="00F12721">
        <w:rPr>
          <w:szCs w:val="26"/>
        </w:rPr>
        <w:t xml:space="preserve">, </w:t>
      </w:r>
      <w:r w:rsidRPr="00C76FE0" w:rsidR="00F12721">
        <w:rPr>
          <w:i/>
          <w:iCs/>
          <w:szCs w:val="26"/>
        </w:rPr>
        <w:t>supra</w:t>
      </w:r>
      <w:r w:rsidRPr="00C76FE0" w:rsidR="00F12721">
        <w:rPr>
          <w:szCs w:val="26"/>
        </w:rPr>
        <w:t xml:space="preserve">, </w:t>
      </w:r>
      <w:r w:rsidRPr="00C76FE0" w:rsidR="00E67F67">
        <w:rPr>
          <w:szCs w:val="26"/>
        </w:rPr>
        <w:t xml:space="preserve">148 Cal.App.4th </w:t>
      </w:r>
      <w:r w:rsidRPr="00C76FE0" w:rsidR="00F12721">
        <w:rPr>
          <w:szCs w:val="26"/>
        </w:rPr>
        <w:t xml:space="preserve">at p. </w:t>
      </w:r>
      <w:r w:rsidRPr="00C76FE0" w:rsidR="00E67F67">
        <w:rPr>
          <w:szCs w:val="26"/>
        </w:rPr>
        <w:t>267</w:t>
      </w:r>
      <w:r w:rsidRPr="00C76FE0" w:rsidR="003B7C0E">
        <w:rPr>
          <w:szCs w:val="26"/>
        </w:rPr>
        <w:t xml:space="preserve">.)  But having reviewed the deep-seated agency principles governing implied powers </w:t>
      </w:r>
      <w:r w:rsidR="003B6D3D">
        <w:rPr>
          <w:szCs w:val="26"/>
        </w:rPr>
        <w:t xml:space="preserve">under powers of attorney </w:t>
      </w:r>
      <w:r w:rsidRPr="00C76FE0" w:rsidR="00AE4394">
        <w:rPr>
          <w:szCs w:val="26"/>
        </w:rPr>
        <w:t>and</w:t>
      </w:r>
      <w:r w:rsidRPr="00C76FE0" w:rsidR="003B7C0E">
        <w:rPr>
          <w:szCs w:val="26"/>
        </w:rPr>
        <w:t xml:space="preserve"> the </w:t>
      </w:r>
      <w:r w:rsidRPr="00C76FE0" w:rsidR="003B7C0E">
        <w:rPr>
          <w:i/>
          <w:iCs/>
          <w:szCs w:val="26"/>
        </w:rPr>
        <w:t>Madden</w:t>
      </w:r>
      <w:r w:rsidRPr="00C76FE0" w:rsidR="003B7C0E">
        <w:rPr>
          <w:szCs w:val="26"/>
        </w:rPr>
        <w:t xml:space="preserve"> decision, and having recognized the difference between </w:t>
      </w:r>
      <w:r w:rsidRPr="00C76FE0" w:rsidR="001F662F">
        <w:rPr>
          <w:szCs w:val="26"/>
        </w:rPr>
        <w:t xml:space="preserve">the </w:t>
      </w:r>
      <w:r w:rsidRPr="00C76FE0" w:rsidR="003B7C0E">
        <w:rPr>
          <w:szCs w:val="26"/>
        </w:rPr>
        <w:t xml:space="preserve">power to contract </w:t>
      </w:r>
      <w:r w:rsidRPr="00C76FE0" w:rsidR="001F662F">
        <w:rPr>
          <w:szCs w:val="26"/>
        </w:rPr>
        <w:t xml:space="preserve">delegated in </w:t>
      </w:r>
      <w:r w:rsidRPr="00C76FE0" w:rsidR="001F662F">
        <w:rPr>
          <w:i/>
          <w:iCs/>
          <w:szCs w:val="26"/>
        </w:rPr>
        <w:t>Madden</w:t>
      </w:r>
      <w:r w:rsidRPr="00C76FE0" w:rsidR="001F662F">
        <w:rPr>
          <w:szCs w:val="26"/>
        </w:rPr>
        <w:t xml:space="preserve"> </w:t>
      </w:r>
      <w:r w:rsidRPr="00C76FE0" w:rsidR="003B7C0E">
        <w:rPr>
          <w:szCs w:val="26"/>
        </w:rPr>
        <w:t>and the power to make health care decisions</w:t>
      </w:r>
      <w:r w:rsidR="003B6D3D">
        <w:rPr>
          <w:szCs w:val="26"/>
        </w:rPr>
        <w:t xml:space="preserve"> delegated here</w:t>
      </w:r>
      <w:r w:rsidRPr="00C76FE0" w:rsidR="003B7C0E">
        <w:rPr>
          <w:szCs w:val="26"/>
        </w:rPr>
        <w:t xml:space="preserve">, </w:t>
      </w:r>
      <w:r w:rsidRPr="00C76FE0" w:rsidR="00E67F67">
        <w:rPr>
          <w:szCs w:val="26"/>
        </w:rPr>
        <w:t xml:space="preserve">these </w:t>
      </w:r>
      <w:r w:rsidRPr="00C76FE0" w:rsidR="001F662F">
        <w:rPr>
          <w:szCs w:val="26"/>
        </w:rPr>
        <w:t xml:space="preserve">Courts of Appeal </w:t>
      </w:r>
      <w:r w:rsidRPr="00C76FE0" w:rsidR="00E67F67">
        <w:rPr>
          <w:szCs w:val="26"/>
        </w:rPr>
        <w:t xml:space="preserve">appear to have </w:t>
      </w:r>
      <w:r w:rsidRPr="00C76FE0" w:rsidR="008F5240">
        <w:rPr>
          <w:szCs w:val="26"/>
        </w:rPr>
        <w:t>taken</w:t>
      </w:r>
      <w:r w:rsidRPr="00C76FE0" w:rsidR="00E67F67">
        <w:rPr>
          <w:szCs w:val="26"/>
        </w:rPr>
        <w:t xml:space="preserve"> </w:t>
      </w:r>
      <w:r w:rsidRPr="00C76FE0" w:rsidR="00E67F67">
        <w:rPr>
          <w:i/>
          <w:iCs/>
          <w:szCs w:val="26"/>
        </w:rPr>
        <w:t>Madden</w:t>
      </w:r>
      <w:r w:rsidRPr="00C76FE0" w:rsidR="008F5240">
        <w:rPr>
          <w:szCs w:val="26"/>
        </w:rPr>
        <w:t xml:space="preserve"> farther than</w:t>
      </w:r>
      <w:r w:rsidRPr="00C76FE0" w:rsidR="002339E3">
        <w:rPr>
          <w:szCs w:val="26"/>
        </w:rPr>
        <w:t xml:space="preserve"> it </w:t>
      </w:r>
      <w:r w:rsidRPr="00C76FE0" w:rsidR="00F84ED3">
        <w:rPr>
          <w:szCs w:val="26"/>
        </w:rPr>
        <w:t>and the law of agency should go</w:t>
      </w:r>
      <w:r w:rsidRPr="00C76FE0" w:rsidR="009052AB">
        <w:rPr>
          <w:szCs w:val="26"/>
        </w:rPr>
        <w:t xml:space="preserve"> in this context</w:t>
      </w:r>
      <w:r w:rsidRPr="00C76FE0" w:rsidR="00426B62">
        <w:rPr>
          <w:szCs w:val="26"/>
        </w:rPr>
        <w:t>.</w:t>
      </w:r>
      <w:r>
        <w:rPr>
          <w:rStyle w:val="FootnoteReference"/>
          <w:position w:val="0"/>
        </w:rPr>
        <w:footnoteReference w:id="15"/>
      </w:r>
      <w:r w:rsidRPr="00C76FE0" w:rsidR="00E67F67">
        <w:rPr>
          <w:szCs w:val="26"/>
        </w:rPr>
        <w:t xml:space="preserve">  (</w:t>
      </w:r>
      <w:r w:rsidRPr="00C76FE0" w:rsidR="00CB55C4">
        <w:rPr>
          <w:szCs w:val="26"/>
        </w:rPr>
        <w:t xml:space="preserve">See </w:t>
      </w:r>
      <w:r w:rsidRPr="00C76FE0" w:rsidR="00CB55C4">
        <w:rPr>
          <w:i/>
          <w:iCs/>
          <w:szCs w:val="26"/>
        </w:rPr>
        <w:t>Logan v. Country Oaks Partners, LLC</w:t>
      </w:r>
      <w:r w:rsidRPr="00C76FE0" w:rsidR="00BA150F">
        <w:rPr>
          <w:szCs w:val="26"/>
        </w:rPr>
        <w:t xml:space="preserve">, </w:t>
      </w:r>
      <w:r w:rsidRPr="00C76FE0" w:rsidR="00BA150F">
        <w:rPr>
          <w:i/>
          <w:iCs/>
          <w:szCs w:val="26"/>
        </w:rPr>
        <w:t>supra</w:t>
      </w:r>
      <w:r w:rsidRPr="00C76FE0" w:rsidR="00BA150F">
        <w:rPr>
          <w:szCs w:val="26"/>
        </w:rPr>
        <w:t xml:space="preserve">, </w:t>
      </w:r>
      <w:r w:rsidRPr="00C76FE0" w:rsidR="00CB55C4">
        <w:rPr>
          <w:szCs w:val="26"/>
        </w:rPr>
        <w:t xml:space="preserve">82 Cal.App.5th </w:t>
      </w:r>
      <w:r w:rsidRPr="00C76FE0" w:rsidR="00BA150F">
        <w:rPr>
          <w:szCs w:val="26"/>
        </w:rPr>
        <w:t>at p.</w:t>
      </w:r>
      <w:r w:rsidRPr="00C76FE0" w:rsidR="00CB55C4">
        <w:rPr>
          <w:szCs w:val="26"/>
        </w:rPr>
        <w:t xml:space="preserve"> 373 [“The holding in </w:t>
      </w:r>
      <w:r w:rsidRPr="00C76FE0" w:rsidR="00CB55C4">
        <w:rPr>
          <w:i/>
          <w:iCs/>
          <w:szCs w:val="26"/>
        </w:rPr>
        <w:t>Madden</w:t>
      </w:r>
      <w:r w:rsidRPr="00C76FE0" w:rsidR="00CB55C4">
        <w:rPr>
          <w:szCs w:val="26"/>
        </w:rPr>
        <w:t xml:space="preserve"> is inapplicable” as “[t]here is nothing</w:t>
      </w:r>
      <w:r w:rsidRPr="00C76FE0" w:rsidR="00D04C08">
        <w:rPr>
          <w:szCs w:val="26"/>
        </w:rPr>
        <w:t> . . .</w:t>
      </w:r>
      <w:r w:rsidRPr="00C76FE0" w:rsidR="00CB55C4">
        <w:rPr>
          <w:szCs w:val="26"/>
        </w:rPr>
        <w:t xml:space="preserve"> ‘necessary or proper and usual’ about signing an optional arbitration agreement ‘for effecting the purpose of [the] agency,’ i.e., placing [the principal] into a skilled nursing facility”]</w:t>
      </w:r>
      <w:r w:rsidRPr="00C76FE0" w:rsidR="002339E3">
        <w:rPr>
          <w:szCs w:val="26"/>
        </w:rPr>
        <w:t xml:space="preserve">; cf. </w:t>
      </w:r>
      <w:r w:rsidRPr="00C76FE0" w:rsidR="002339E3">
        <w:rPr>
          <w:i/>
          <w:iCs/>
          <w:szCs w:val="26"/>
        </w:rPr>
        <w:t>Young v. Horizon West, Inc.</w:t>
      </w:r>
      <w:r w:rsidRPr="00C76FE0" w:rsidR="002339E3">
        <w:rPr>
          <w:szCs w:val="26"/>
        </w:rPr>
        <w:t xml:space="preserve"> (2013) 220 Cal.App.4th 1122, 1129 [“to the extent” </w:t>
      </w:r>
      <w:r w:rsidRPr="00C76FE0" w:rsidR="002339E3">
        <w:rPr>
          <w:i/>
          <w:iCs/>
          <w:szCs w:val="26"/>
        </w:rPr>
        <w:t>Garrison</w:t>
      </w:r>
      <w:r w:rsidRPr="00C76FE0" w:rsidR="002339E3">
        <w:rPr>
          <w:szCs w:val="26"/>
        </w:rPr>
        <w:t xml:space="preserve"> broadly interpreted “health care decision” as including an arbitration decision, “we disagree with </w:t>
      </w:r>
      <w:r w:rsidRPr="00C76FE0" w:rsidR="00615660">
        <w:rPr>
          <w:szCs w:val="26"/>
        </w:rPr>
        <w:t>i</w:t>
      </w:r>
      <w:r w:rsidRPr="00C76FE0" w:rsidR="002339E3">
        <w:rPr>
          <w:szCs w:val="26"/>
        </w:rPr>
        <w:t>ts conclusion”].</w:t>
      </w:r>
      <w:r w:rsidRPr="00C76FE0" w:rsidR="00CB55C4">
        <w:rPr>
          <w:szCs w:val="26"/>
        </w:rPr>
        <w:t>)</w:t>
      </w:r>
      <w:r w:rsidRPr="00C76FE0" w:rsidR="002A395B">
        <w:rPr>
          <w:szCs w:val="26"/>
        </w:rPr>
        <w:t xml:space="preserve">  </w:t>
      </w:r>
      <w:r w:rsidRPr="00C76FE0" w:rsidR="006A6E61">
        <w:rPr>
          <w:szCs w:val="26"/>
        </w:rPr>
        <w:t xml:space="preserve">We </w:t>
      </w:r>
      <w:r w:rsidRPr="00C76FE0" w:rsidR="00F1187B">
        <w:rPr>
          <w:szCs w:val="26"/>
        </w:rPr>
        <w:t xml:space="preserve">therefore </w:t>
      </w:r>
      <w:r w:rsidRPr="00C76FE0" w:rsidR="003B240B">
        <w:rPr>
          <w:szCs w:val="26"/>
        </w:rPr>
        <w:t>can</w:t>
      </w:r>
      <w:r w:rsidRPr="00C76FE0" w:rsidR="006A6E61">
        <w:rPr>
          <w:szCs w:val="26"/>
        </w:rPr>
        <w:t>not</w:t>
      </w:r>
      <w:r w:rsidRPr="00C76FE0" w:rsidR="002E7CA9">
        <w:rPr>
          <w:szCs w:val="26"/>
        </w:rPr>
        <w:t xml:space="preserve">, and do not, </w:t>
      </w:r>
      <w:r w:rsidRPr="00C76FE0" w:rsidR="006A6E61">
        <w:rPr>
          <w:szCs w:val="26"/>
        </w:rPr>
        <w:t xml:space="preserve">equate all agreements between a patient and a health care facility, </w:t>
      </w:r>
      <w:r w:rsidRPr="00C76FE0" w:rsidR="00B30763">
        <w:rPr>
          <w:szCs w:val="26"/>
        </w:rPr>
        <w:t>regardless</w:t>
      </w:r>
      <w:r w:rsidRPr="00C76FE0" w:rsidR="00642601">
        <w:rPr>
          <w:szCs w:val="26"/>
        </w:rPr>
        <w:t xml:space="preserve"> of their </w:t>
      </w:r>
      <w:r w:rsidRPr="00C76FE0" w:rsidR="006A6E61">
        <w:rPr>
          <w:szCs w:val="26"/>
        </w:rPr>
        <w:t>circumstances and their relation to obtaining health care</w:t>
      </w:r>
      <w:r w:rsidRPr="00C76FE0" w:rsidR="00642601">
        <w:rPr>
          <w:szCs w:val="26"/>
        </w:rPr>
        <w:t>, with health care decisions</w:t>
      </w:r>
      <w:r w:rsidRPr="00C76FE0" w:rsidR="006A6E61">
        <w:rPr>
          <w:szCs w:val="26"/>
        </w:rPr>
        <w:t>.</w:t>
      </w:r>
      <w:r>
        <w:rPr>
          <w:rStyle w:val="FootnoteReference"/>
          <w:position w:val="0"/>
        </w:rPr>
        <w:footnoteReference w:id="16"/>
      </w:r>
      <w:r w:rsidRPr="00C76FE0" w:rsidR="0057456A">
        <w:rPr>
          <w:szCs w:val="26"/>
        </w:rPr>
        <w:t xml:space="preserve">  </w:t>
      </w:r>
    </w:p>
    <w:p w:rsidR="00CE3463" w:rsidRPr="00C76FE0" w:rsidP="00C76FE0" w14:paraId="2B05F453" w14:textId="77777777">
      <w:pPr>
        <w:ind w:firstLine="720"/>
        <w:rPr>
          <w:szCs w:val="26"/>
        </w:rPr>
      </w:pPr>
      <w:r w:rsidRPr="00C76FE0">
        <w:rPr>
          <w:szCs w:val="26"/>
        </w:rPr>
        <w:t xml:space="preserve">Having considered the meaning of a “health care decision” within </w:t>
      </w:r>
      <w:r w:rsidRPr="00C76FE0" w:rsidR="0077697D">
        <w:rPr>
          <w:szCs w:val="26"/>
        </w:rPr>
        <w:t>Logan’s power of attorney</w:t>
      </w:r>
      <w:r w:rsidRPr="00C76FE0" w:rsidR="00FD6F39">
        <w:rPr>
          <w:szCs w:val="26"/>
        </w:rPr>
        <w:t xml:space="preserve">, in light of </w:t>
      </w:r>
      <w:r w:rsidRPr="00C76FE0">
        <w:rPr>
          <w:szCs w:val="26"/>
        </w:rPr>
        <w:t>the Health Care Decisions Law</w:t>
      </w:r>
      <w:r w:rsidRPr="00C76FE0" w:rsidR="00FD6F39">
        <w:rPr>
          <w:szCs w:val="26"/>
        </w:rPr>
        <w:t xml:space="preserve"> and the </w:t>
      </w:r>
      <w:r w:rsidRPr="00C76FE0">
        <w:rPr>
          <w:szCs w:val="26"/>
        </w:rPr>
        <w:t xml:space="preserve">Probate Code, </w:t>
      </w:r>
      <w:r w:rsidRPr="00C76FE0" w:rsidR="00172EA1">
        <w:rPr>
          <w:szCs w:val="26"/>
        </w:rPr>
        <w:t xml:space="preserve">we conclude that </w:t>
      </w:r>
      <w:r w:rsidRPr="00C76FE0">
        <w:rPr>
          <w:szCs w:val="26"/>
        </w:rPr>
        <w:t xml:space="preserve">the most reasonable construction of that term </w:t>
      </w:r>
      <w:r w:rsidRPr="00C76FE0" w:rsidR="002E7CA9">
        <w:rPr>
          <w:szCs w:val="26"/>
        </w:rPr>
        <w:t xml:space="preserve">excludes </w:t>
      </w:r>
      <w:r w:rsidRPr="00C76FE0" w:rsidR="002C0549">
        <w:rPr>
          <w:szCs w:val="26"/>
        </w:rPr>
        <w:t xml:space="preserve">the </w:t>
      </w:r>
      <w:r w:rsidRPr="00C76FE0">
        <w:rPr>
          <w:szCs w:val="26"/>
        </w:rPr>
        <w:t xml:space="preserve">optional, separate </w:t>
      </w:r>
      <w:r w:rsidRPr="00C76FE0" w:rsidR="002C0549">
        <w:rPr>
          <w:szCs w:val="26"/>
        </w:rPr>
        <w:t xml:space="preserve">arbitration </w:t>
      </w:r>
      <w:r w:rsidRPr="00C76FE0">
        <w:rPr>
          <w:szCs w:val="26"/>
        </w:rPr>
        <w:t xml:space="preserve">agreement with </w:t>
      </w:r>
      <w:r w:rsidRPr="00C76FE0" w:rsidR="002C0549">
        <w:rPr>
          <w:szCs w:val="26"/>
        </w:rPr>
        <w:t>defendants</w:t>
      </w:r>
      <w:r w:rsidRPr="00C76FE0">
        <w:rPr>
          <w:szCs w:val="26"/>
        </w:rPr>
        <w:t>.  Resort to agency law bolster</w:t>
      </w:r>
      <w:r w:rsidRPr="00C76FE0" w:rsidR="00172EA1">
        <w:rPr>
          <w:szCs w:val="26"/>
        </w:rPr>
        <w:t>s</w:t>
      </w:r>
      <w:r w:rsidRPr="00C76FE0" w:rsidR="005F4815">
        <w:rPr>
          <w:szCs w:val="26"/>
        </w:rPr>
        <w:t xml:space="preserve">, </w:t>
      </w:r>
      <w:r w:rsidRPr="00C76FE0" w:rsidR="00172EA1">
        <w:rPr>
          <w:szCs w:val="26"/>
        </w:rPr>
        <w:t xml:space="preserve">rather than </w:t>
      </w:r>
      <w:r w:rsidRPr="00C76FE0" w:rsidR="005F4815">
        <w:rPr>
          <w:szCs w:val="26"/>
        </w:rPr>
        <w:t>undermine</w:t>
      </w:r>
      <w:r w:rsidRPr="00C76FE0" w:rsidR="00172EA1">
        <w:rPr>
          <w:szCs w:val="26"/>
        </w:rPr>
        <w:t>s</w:t>
      </w:r>
      <w:r w:rsidRPr="00C76FE0" w:rsidR="005F4815">
        <w:rPr>
          <w:szCs w:val="26"/>
        </w:rPr>
        <w:t>,</w:t>
      </w:r>
      <w:r w:rsidRPr="00C76FE0">
        <w:rPr>
          <w:szCs w:val="26"/>
        </w:rPr>
        <w:t xml:space="preserve"> this conclusion.</w:t>
      </w:r>
      <w:r>
        <w:rPr>
          <w:rStyle w:val="FootnoteReference"/>
        </w:rPr>
        <w:footnoteReference w:id="17"/>
      </w:r>
    </w:p>
    <w:p w:rsidR="00653AF2" w:rsidRPr="00C76FE0" w:rsidP="00C76FE0" w14:paraId="2B05F454" w14:textId="77777777">
      <w:pPr>
        <w:outlineLvl w:val="1"/>
        <w:rPr>
          <w:b/>
          <w:bCs/>
          <w:szCs w:val="26"/>
          <w:bdr w:val="none" w:sz="0" w:space="0" w:color="auto" w:frame="1"/>
        </w:rPr>
      </w:pPr>
      <w:r w:rsidRPr="00C76FE0">
        <w:rPr>
          <w:b/>
          <w:bdr w:val="none" w:sz="0" w:space="0" w:color="auto" w:frame="1"/>
        </w:rPr>
        <w:t>C.</w:t>
      </w:r>
      <w:r w:rsidRPr="00C76FE0">
        <w:rPr>
          <w:b/>
          <w:bdr w:val="none" w:sz="0" w:space="0" w:color="auto" w:frame="1"/>
        </w:rPr>
        <w:tab/>
      </w:r>
      <w:r w:rsidRPr="00C76FE0">
        <w:rPr>
          <w:b/>
          <w:i/>
          <w:bdr w:val="none" w:sz="0" w:space="0" w:color="auto" w:frame="1"/>
        </w:rPr>
        <w:t>Kindred</w:t>
      </w:r>
      <w:r w:rsidRPr="00C76FE0" w:rsidR="00864FF6">
        <w:rPr>
          <w:b/>
          <w:i/>
          <w:bdr w:val="none" w:sz="0" w:space="0" w:color="auto" w:frame="1"/>
        </w:rPr>
        <w:t xml:space="preserve"> </w:t>
      </w:r>
      <w:r w:rsidRPr="00C76FE0" w:rsidR="00864FF6">
        <w:rPr>
          <w:b/>
          <w:bCs/>
          <w:i/>
          <w:iCs/>
          <w:szCs w:val="26"/>
          <w:bdr w:val="none" w:sz="0" w:space="0" w:color="auto" w:frame="1"/>
        </w:rPr>
        <w:t xml:space="preserve"> </w:t>
      </w:r>
    </w:p>
    <w:p w:rsidR="00653AF2" w:rsidRPr="00C76FE0" w:rsidP="00C76FE0" w14:paraId="2B05F455" w14:textId="77777777">
      <w:pPr>
        <w:rPr>
          <w:szCs w:val="26"/>
        </w:rPr>
      </w:pPr>
      <w:r w:rsidRPr="00C76FE0">
        <w:rPr>
          <w:szCs w:val="26"/>
        </w:rPr>
        <w:tab/>
        <w:t>Defendants argue if we interpret</w:t>
      </w:r>
      <w:r w:rsidRPr="00C76FE0" w:rsidR="00CA2E7B">
        <w:rPr>
          <w:szCs w:val="26"/>
        </w:rPr>
        <w:t>, as we have,</w:t>
      </w:r>
      <w:r w:rsidRPr="00C76FE0">
        <w:rPr>
          <w:szCs w:val="26"/>
        </w:rPr>
        <w:t xml:space="preserve"> the term “health care decision” </w:t>
      </w:r>
      <w:r w:rsidRPr="00C76FE0" w:rsidR="00CA2E7B">
        <w:rPr>
          <w:szCs w:val="26"/>
        </w:rPr>
        <w:t xml:space="preserve">in Logan’s power of attorney </w:t>
      </w:r>
      <w:r w:rsidRPr="00C76FE0">
        <w:rPr>
          <w:szCs w:val="26"/>
        </w:rPr>
        <w:t xml:space="preserve">to exclude the decision to accept </w:t>
      </w:r>
      <w:r w:rsidRPr="00C76FE0" w:rsidR="00AF6B7F">
        <w:rPr>
          <w:szCs w:val="26"/>
        </w:rPr>
        <w:t xml:space="preserve">an </w:t>
      </w:r>
      <w:r w:rsidRPr="00C76FE0">
        <w:rPr>
          <w:szCs w:val="26"/>
        </w:rPr>
        <w:t>optional, separate arbitration agreement</w:t>
      </w:r>
      <w:r w:rsidRPr="00C76FE0" w:rsidR="000F1A10">
        <w:rPr>
          <w:szCs w:val="26"/>
        </w:rPr>
        <w:t xml:space="preserve">, </w:t>
      </w:r>
      <w:r w:rsidRPr="00C76FE0" w:rsidR="00271BD5">
        <w:rPr>
          <w:szCs w:val="26"/>
        </w:rPr>
        <w:t xml:space="preserve">that decision would so </w:t>
      </w:r>
      <w:r w:rsidRPr="00C76FE0" w:rsidR="000F1A10">
        <w:rPr>
          <w:szCs w:val="26"/>
        </w:rPr>
        <w:t xml:space="preserve">disfavor arbitration </w:t>
      </w:r>
      <w:r w:rsidRPr="00C76FE0" w:rsidR="00271BD5">
        <w:rPr>
          <w:szCs w:val="26"/>
        </w:rPr>
        <w:t xml:space="preserve">as to violate </w:t>
      </w:r>
      <w:r w:rsidRPr="00C76FE0" w:rsidR="005532CC">
        <w:rPr>
          <w:szCs w:val="26"/>
        </w:rPr>
        <w:t xml:space="preserve">the Federal Arbitration Act (FAA) </w:t>
      </w:r>
      <w:r w:rsidR="001B37BF">
        <w:rPr>
          <w:szCs w:val="26"/>
        </w:rPr>
        <w:t>(</w:t>
      </w:r>
      <w:r w:rsidR="00A61CAB">
        <w:rPr>
          <w:szCs w:val="26"/>
        </w:rPr>
        <w:t>9 U.S.C.</w:t>
      </w:r>
      <w:r w:rsidR="00DF25D7">
        <w:rPr>
          <w:szCs w:val="26"/>
        </w:rPr>
        <w:t xml:space="preserve"> </w:t>
      </w:r>
      <w:r w:rsidR="00306865">
        <w:rPr>
          <w:szCs w:val="26"/>
        </w:rPr>
        <w:t>§ </w:t>
      </w:r>
      <w:r w:rsidR="00DF25D7">
        <w:rPr>
          <w:szCs w:val="26"/>
        </w:rPr>
        <w:t>1</w:t>
      </w:r>
      <w:r w:rsidR="001B37BF">
        <w:rPr>
          <w:szCs w:val="26"/>
        </w:rPr>
        <w:t xml:space="preserve"> </w:t>
      </w:r>
      <w:r w:rsidR="00DF25D7">
        <w:rPr>
          <w:szCs w:val="26"/>
        </w:rPr>
        <w:t>et seq.</w:t>
      </w:r>
      <w:r w:rsidR="001B37BF">
        <w:rPr>
          <w:szCs w:val="26"/>
        </w:rPr>
        <w:t xml:space="preserve">) </w:t>
      </w:r>
      <w:r w:rsidRPr="00C76FE0" w:rsidR="005532CC">
        <w:rPr>
          <w:szCs w:val="26"/>
        </w:rPr>
        <w:t xml:space="preserve">and, in particular, the high court’s decision in </w:t>
      </w:r>
      <w:r w:rsidRPr="00C76FE0" w:rsidR="005532CC">
        <w:rPr>
          <w:i/>
          <w:iCs/>
          <w:szCs w:val="26"/>
        </w:rPr>
        <w:t>Kindred Nursing C</w:t>
      </w:r>
      <w:r w:rsidRPr="00C76FE0" w:rsidR="008C4656">
        <w:rPr>
          <w:i/>
          <w:iCs/>
          <w:szCs w:val="26"/>
        </w:rPr>
        <w:t>enters</w:t>
      </w:r>
      <w:r w:rsidRPr="00C76FE0" w:rsidR="005532CC">
        <w:rPr>
          <w:i/>
          <w:iCs/>
          <w:szCs w:val="26"/>
        </w:rPr>
        <w:t xml:space="preserve">. </w:t>
      </w:r>
      <w:r w:rsidRPr="00C76FE0" w:rsidR="008C4656">
        <w:rPr>
          <w:i/>
          <w:iCs/>
          <w:szCs w:val="26"/>
        </w:rPr>
        <w:t>L.P</w:t>
      </w:r>
      <w:r w:rsidRPr="00C76FE0" w:rsidR="005532CC">
        <w:rPr>
          <w:i/>
          <w:iCs/>
          <w:szCs w:val="26"/>
        </w:rPr>
        <w:t>. v. Clark</w:t>
      </w:r>
      <w:r w:rsidRPr="00C76FE0" w:rsidR="005532CC">
        <w:rPr>
          <w:szCs w:val="26"/>
        </w:rPr>
        <w:t xml:space="preserve"> (2017) 581 U.S. 246, 250</w:t>
      </w:r>
      <w:r w:rsidRPr="00C76FE0" w:rsidR="00C7227F">
        <w:rPr>
          <w:szCs w:val="26"/>
        </w:rPr>
        <w:t xml:space="preserve"> (</w:t>
      </w:r>
      <w:r w:rsidRPr="00C76FE0" w:rsidR="00C7227F">
        <w:rPr>
          <w:i/>
          <w:iCs/>
          <w:szCs w:val="26"/>
        </w:rPr>
        <w:t>Kindred</w:t>
      </w:r>
      <w:r w:rsidRPr="00C76FE0" w:rsidR="00C7227F">
        <w:rPr>
          <w:szCs w:val="26"/>
        </w:rPr>
        <w:t>)</w:t>
      </w:r>
      <w:r w:rsidRPr="00C76FE0" w:rsidR="005532CC">
        <w:rPr>
          <w:szCs w:val="26"/>
        </w:rPr>
        <w:t xml:space="preserve">.)  </w:t>
      </w:r>
      <w:r w:rsidRPr="00C76FE0" w:rsidR="00CA2E7B">
        <w:rPr>
          <w:szCs w:val="26"/>
        </w:rPr>
        <w:t>W</w:t>
      </w:r>
      <w:r w:rsidRPr="00C76FE0" w:rsidR="005532CC">
        <w:rPr>
          <w:szCs w:val="26"/>
        </w:rPr>
        <w:t>e disagree.</w:t>
      </w:r>
    </w:p>
    <w:p w:rsidR="00E5113A" w:rsidRPr="00C76FE0" w:rsidP="00C76FE0" w14:paraId="2B05F456" w14:textId="2578E0AF">
      <w:pPr>
        <w:rPr>
          <w:szCs w:val="26"/>
        </w:rPr>
      </w:pPr>
      <w:r w:rsidRPr="00C76FE0">
        <w:rPr>
          <w:szCs w:val="26"/>
        </w:rPr>
        <w:tab/>
      </w:r>
      <w:r w:rsidRPr="00C76FE0" w:rsidR="000F1A10">
        <w:rPr>
          <w:szCs w:val="26"/>
        </w:rPr>
        <w:t xml:space="preserve">Congress enacted the </w:t>
      </w:r>
      <w:r w:rsidRPr="00C76FE0">
        <w:rPr>
          <w:szCs w:val="26"/>
        </w:rPr>
        <w:t xml:space="preserve">FAA </w:t>
      </w:r>
      <w:r w:rsidRPr="00C76FE0" w:rsidR="000F1A10">
        <w:rPr>
          <w:szCs w:val="26"/>
        </w:rPr>
        <w:t>“</w:t>
      </w:r>
      <w:r w:rsidRPr="00C76FE0">
        <w:rPr>
          <w:szCs w:val="26"/>
        </w:rPr>
        <w:t>in response to judicial hostility to arbitration.</w:t>
      </w:r>
      <w:r w:rsidRPr="00C76FE0" w:rsidR="008C4656">
        <w:rPr>
          <w:szCs w:val="26"/>
        </w:rPr>
        <w:t xml:space="preserve">  Section 2 of the statute</w:t>
      </w:r>
      <w:r w:rsidRPr="00C76FE0" w:rsidR="000F1A10">
        <w:rPr>
          <w:szCs w:val="26"/>
        </w:rPr>
        <w:t xml:space="preserve">, by making </w:t>
      </w:r>
      <w:r w:rsidRPr="00C76FE0" w:rsidR="008C4656">
        <w:rPr>
          <w:szCs w:val="26"/>
        </w:rPr>
        <w:t>arbitration agreements ‘valid, irrevocable, and enforceable, save upon such grounds as exist at law or in equity for the revocation of any contract</w:t>
      </w:r>
      <w:r w:rsidRPr="00C76FE0" w:rsidR="000F1A10">
        <w:rPr>
          <w:szCs w:val="26"/>
        </w:rPr>
        <w:t>,</w:t>
      </w:r>
      <w:r w:rsidRPr="00C76FE0" w:rsidR="008C4656">
        <w:rPr>
          <w:szCs w:val="26"/>
        </w:rPr>
        <w:t>’</w:t>
      </w:r>
      <w:r w:rsidR="00C8154F">
        <w:rPr>
          <w:szCs w:val="26"/>
        </w:rPr>
        <w:t> </w:t>
      </w:r>
      <w:r w:rsidRPr="00C76FE0">
        <w:rPr>
          <w:szCs w:val="26"/>
        </w:rPr>
        <w:t xml:space="preserve">”  </w:t>
      </w:r>
      <w:r w:rsidRPr="00C76FE0" w:rsidR="008C4656">
        <w:rPr>
          <w:szCs w:val="26"/>
        </w:rPr>
        <w:t>establishes an “</w:t>
      </w:r>
      <w:r w:rsidR="00844458">
        <w:rPr>
          <w:szCs w:val="26"/>
        </w:rPr>
        <w:t> </w:t>
      </w:r>
      <w:r w:rsidR="00594890">
        <w:rPr>
          <w:szCs w:val="26"/>
        </w:rPr>
        <w:t>‘</w:t>
      </w:r>
      <w:r w:rsidRPr="00C76FE0" w:rsidR="008C4656">
        <w:rPr>
          <w:szCs w:val="26"/>
        </w:rPr>
        <w:t xml:space="preserve">an equal-treatment principle:  A court may invalidate an arbitration agreement based on </w:t>
      </w:r>
      <w:r w:rsidR="00594890">
        <w:rPr>
          <w:szCs w:val="26"/>
        </w:rPr>
        <w:t>“</w:t>
      </w:r>
      <w:r w:rsidRPr="00C76FE0" w:rsidR="008C4656">
        <w:rPr>
          <w:szCs w:val="26"/>
        </w:rPr>
        <w:t>generally applicable contract defenses</w:t>
      </w:r>
      <w:r w:rsidR="00594890">
        <w:rPr>
          <w:szCs w:val="26"/>
        </w:rPr>
        <w:t>”</w:t>
      </w:r>
      <w:r w:rsidRPr="00C76FE0" w:rsidR="008C4656">
        <w:rPr>
          <w:szCs w:val="26"/>
        </w:rPr>
        <w:t xml:space="preserve"> like fraud or unconscionability, but not on legal rules that </w:t>
      </w:r>
      <w:r w:rsidR="00594890">
        <w:rPr>
          <w:szCs w:val="26"/>
        </w:rPr>
        <w:t>“</w:t>
      </w:r>
      <w:r w:rsidRPr="00C76FE0" w:rsidR="008C4656">
        <w:rPr>
          <w:szCs w:val="26"/>
        </w:rPr>
        <w:t>apply only to arbitration or that derive their meaning from the fact that an agreement to arbitrate is at issue.</w:t>
      </w:r>
      <w:r w:rsidR="00594890">
        <w:rPr>
          <w:szCs w:val="26"/>
        </w:rPr>
        <w:t>”</w:t>
      </w:r>
      <w:r w:rsidR="00844458">
        <w:rPr>
          <w:szCs w:val="26"/>
        </w:rPr>
        <w:t> </w:t>
      </w:r>
      <w:r w:rsidRPr="00C76FE0" w:rsidR="008C4656">
        <w:rPr>
          <w:szCs w:val="26"/>
        </w:rPr>
        <w:t>’</w:t>
      </w:r>
      <w:r w:rsidR="00844458">
        <w:rPr>
          <w:szCs w:val="26"/>
        </w:rPr>
        <w:t> </w:t>
      </w:r>
      <w:r w:rsidRPr="00C76FE0" w:rsidR="008C4656">
        <w:rPr>
          <w:szCs w:val="26"/>
        </w:rPr>
        <w:t>”  (</w:t>
      </w:r>
      <w:r w:rsidRPr="00C76FE0" w:rsidR="000F1A10">
        <w:rPr>
          <w:i/>
          <w:iCs/>
          <w:szCs w:val="26"/>
        </w:rPr>
        <w:t>Viking River Cruises, Inc. v. Moriana</w:t>
      </w:r>
      <w:r w:rsidRPr="00C76FE0" w:rsidR="000F1A10">
        <w:rPr>
          <w:szCs w:val="26"/>
        </w:rPr>
        <w:t xml:space="preserve"> (2022) </w:t>
      </w:r>
      <w:r w:rsidR="007A357E">
        <w:rPr>
          <w:szCs w:val="26"/>
        </w:rPr>
        <w:t xml:space="preserve">596 </w:t>
      </w:r>
      <w:r w:rsidRPr="00C76FE0" w:rsidR="000F1A10">
        <w:rPr>
          <w:szCs w:val="26"/>
        </w:rPr>
        <w:t>U.S.</w:t>
      </w:r>
      <w:r w:rsidR="007A357E">
        <w:rPr>
          <w:szCs w:val="26"/>
        </w:rPr>
        <w:t xml:space="preserve"> 639</w:t>
      </w:r>
      <w:r w:rsidRPr="00C76FE0" w:rsidR="000F1A10">
        <w:rPr>
          <w:szCs w:val="26"/>
        </w:rPr>
        <w:t xml:space="preserve">, </w:t>
      </w:r>
      <w:r w:rsidR="007A357E">
        <w:rPr>
          <w:szCs w:val="26"/>
        </w:rPr>
        <w:t>649–650</w:t>
      </w:r>
      <w:r w:rsidRPr="00C76FE0" w:rsidR="000F1A10">
        <w:rPr>
          <w:szCs w:val="26"/>
        </w:rPr>
        <w:t xml:space="preserve">, quoting 9 U. S. C., </w:t>
      </w:r>
      <w:r w:rsidR="00306865">
        <w:rPr>
          <w:szCs w:val="26"/>
        </w:rPr>
        <w:t>§ </w:t>
      </w:r>
      <w:r w:rsidRPr="00C76FE0" w:rsidR="000F1A10">
        <w:rPr>
          <w:szCs w:val="26"/>
        </w:rPr>
        <w:t xml:space="preserve">2, and </w:t>
      </w:r>
      <w:r w:rsidRPr="00C76FE0" w:rsidR="008C4656">
        <w:rPr>
          <w:i/>
          <w:iCs/>
          <w:szCs w:val="26"/>
        </w:rPr>
        <w:t>Kindred</w:t>
      </w:r>
      <w:r w:rsidRPr="00C76FE0" w:rsidR="008C4656">
        <w:rPr>
          <w:szCs w:val="26"/>
        </w:rPr>
        <w:t xml:space="preserve">, </w:t>
      </w:r>
      <w:r w:rsidRPr="00C76FE0" w:rsidR="00C7227F">
        <w:rPr>
          <w:i/>
          <w:iCs/>
          <w:szCs w:val="26"/>
        </w:rPr>
        <w:t>supra</w:t>
      </w:r>
      <w:r w:rsidRPr="00C76FE0" w:rsidR="00C7227F">
        <w:rPr>
          <w:szCs w:val="26"/>
        </w:rPr>
        <w:t xml:space="preserve">, 581 U.S. </w:t>
      </w:r>
      <w:r w:rsidRPr="00C76FE0" w:rsidR="008C4656">
        <w:rPr>
          <w:szCs w:val="26"/>
        </w:rPr>
        <w:t>at p. 251.)</w:t>
      </w:r>
      <w:r w:rsidRPr="00C76FE0" w:rsidR="003F2458">
        <w:rPr>
          <w:szCs w:val="26"/>
        </w:rPr>
        <w:t xml:space="preserve">  </w:t>
      </w:r>
      <w:r w:rsidRPr="00C76FE0" w:rsidR="0051766E">
        <w:rPr>
          <w:szCs w:val="26"/>
        </w:rPr>
        <w:t>When the</w:t>
      </w:r>
      <w:r w:rsidRPr="00C76FE0" w:rsidR="003F2458">
        <w:rPr>
          <w:szCs w:val="26"/>
        </w:rPr>
        <w:t xml:space="preserve"> FAA applies</w:t>
      </w:r>
      <w:r w:rsidR="00306865">
        <w:rPr>
          <w:szCs w:val="26"/>
        </w:rPr>
        <w:t> —</w:t>
      </w:r>
      <w:r w:rsidRPr="00C76FE0" w:rsidR="003F2458">
        <w:rPr>
          <w:szCs w:val="26"/>
        </w:rPr>
        <w:t xml:space="preserve"> </w:t>
      </w:r>
      <w:r w:rsidRPr="00C76FE0" w:rsidR="00B260BF">
        <w:rPr>
          <w:szCs w:val="26"/>
        </w:rPr>
        <w:t xml:space="preserve">that is, </w:t>
      </w:r>
      <w:r w:rsidRPr="00C76FE0" w:rsidR="007E2184">
        <w:rPr>
          <w:szCs w:val="26"/>
        </w:rPr>
        <w:t>when</w:t>
      </w:r>
      <w:r w:rsidRPr="00C76FE0" w:rsidR="003F2458">
        <w:rPr>
          <w:szCs w:val="26"/>
        </w:rPr>
        <w:t xml:space="preserve"> </w:t>
      </w:r>
      <w:r w:rsidRPr="00C76FE0" w:rsidR="00B260BF">
        <w:rPr>
          <w:szCs w:val="26"/>
        </w:rPr>
        <w:t xml:space="preserve">the contracting parties are sufficiently involved in </w:t>
      </w:r>
      <w:r w:rsidRPr="00C76FE0" w:rsidR="003F2458">
        <w:rPr>
          <w:szCs w:val="26"/>
        </w:rPr>
        <w:t xml:space="preserve">interstate commerce </w:t>
      </w:r>
      <w:r w:rsidRPr="00C76FE0" w:rsidR="00F06E11">
        <w:rPr>
          <w:szCs w:val="26"/>
        </w:rPr>
        <w:t xml:space="preserve">(see </w:t>
      </w:r>
      <w:r w:rsidRPr="00C76FE0" w:rsidR="00F06E11">
        <w:rPr>
          <w:i/>
          <w:iCs/>
          <w:szCs w:val="26"/>
        </w:rPr>
        <w:t>Allied-Bruce Terminix Cos. v. Dobson</w:t>
      </w:r>
      <w:r w:rsidRPr="00C76FE0" w:rsidR="00F06E11">
        <w:rPr>
          <w:szCs w:val="26"/>
        </w:rPr>
        <w:t xml:space="preserve"> (1995) 513 U.S. 265)</w:t>
      </w:r>
      <w:r w:rsidR="00306865">
        <w:rPr>
          <w:szCs w:val="26"/>
        </w:rPr>
        <w:t> —</w:t>
      </w:r>
      <w:r w:rsidRPr="00C76FE0" w:rsidR="003F2458">
        <w:rPr>
          <w:szCs w:val="26"/>
        </w:rPr>
        <w:t xml:space="preserve"> the FAA “preempts any state rule discriminating on its face against arbitration” and “displaces any rule that covertly accomplishes the same objective by disfavoring contracts that (oh so coincidentally) have the defining features of arbitration agreements.”  (</w:t>
      </w:r>
      <w:r w:rsidRPr="00C76FE0" w:rsidR="003F2458">
        <w:rPr>
          <w:i/>
          <w:iCs/>
          <w:szCs w:val="26"/>
        </w:rPr>
        <w:t>Kindred</w:t>
      </w:r>
      <w:r w:rsidRPr="00C76FE0" w:rsidR="003F2458">
        <w:rPr>
          <w:szCs w:val="26"/>
        </w:rPr>
        <w:t>, at p. 251.)</w:t>
      </w:r>
    </w:p>
    <w:p w:rsidR="00882A25" w:rsidRPr="00C76FE0" w:rsidP="00C76FE0" w14:paraId="2B05F457" w14:textId="299587E9">
      <w:pPr>
        <w:rPr>
          <w:szCs w:val="26"/>
        </w:rPr>
      </w:pPr>
      <w:r w:rsidRPr="00C76FE0">
        <w:rPr>
          <w:szCs w:val="26"/>
        </w:rPr>
        <w:tab/>
        <w:t xml:space="preserve">In </w:t>
      </w:r>
      <w:r w:rsidRPr="00C76FE0">
        <w:rPr>
          <w:i/>
          <w:iCs/>
          <w:szCs w:val="26"/>
        </w:rPr>
        <w:t>Kindred</w:t>
      </w:r>
      <w:r w:rsidRPr="00C76FE0">
        <w:rPr>
          <w:szCs w:val="26"/>
        </w:rPr>
        <w:t xml:space="preserve">, Kentucky’s </w:t>
      </w:r>
      <w:r w:rsidRPr="00C76FE0" w:rsidR="00591B55">
        <w:rPr>
          <w:szCs w:val="26"/>
        </w:rPr>
        <w:t>Supreme</w:t>
      </w:r>
      <w:r w:rsidRPr="00C76FE0">
        <w:rPr>
          <w:szCs w:val="26"/>
        </w:rPr>
        <w:t xml:space="preserve"> </w:t>
      </w:r>
      <w:r w:rsidRPr="00C76FE0" w:rsidR="00591B55">
        <w:rPr>
          <w:szCs w:val="26"/>
        </w:rPr>
        <w:t>C</w:t>
      </w:r>
      <w:r w:rsidRPr="00C76FE0">
        <w:rPr>
          <w:szCs w:val="26"/>
        </w:rPr>
        <w:t xml:space="preserve">ourt had invalidated </w:t>
      </w:r>
      <w:r w:rsidRPr="00C76FE0" w:rsidR="002539C7">
        <w:rPr>
          <w:szCs w:val="26"/>
        </w:rPr>
        <w:t>two</w:t>
      </w:r>
      <w:r w:rsidRPr="00C76FE0">
        <w:rPr>
          <w:szCs w:val="26"/>
        </w:rPr>
        <w:t xml:space="preserve"> agent-signed arbitration agreement</w:t>
      </w:r>
      <w:r w:rsidRPr="00C76FE0" w:rsidR="002539C7">
        <w:rPr>
          <w:szCs w:val="26"/>
        </w:rPr>
        <w:t>s</w:t>
      </w:r>
      <w:r w:rsidR="00306865">
        <w:rPr>
          <w:szCs w:val="26"/>
        </w:rPr>
        <w:t> —</w:t>
      </w:r>
      <w:r w:rsidRPr="00C76FE0" w:rsidR="002539C7">
        <w:rPr>
          <w:szCs w:val="26"/>
        </w:rPr>
        <w:t xml:space="preserve"> in one </w:t>
      </w:r>
      <w:r w:rsidRPr="00C76FE0" w:rsidR="00AB159F">
        <w:rPr>
          <w:szCs w:val="26"/>
        </w:rPr>
        <w:t>instance</w:t>
      </w:r>
      <w:r w:rsidRPr="00C76FE0" w:rsidR="002539C7">
        <w:rPr>
          <w:szCs w:val="26"/>
        </w:rPr>
        <w:t xml:space="preserve">, where </w:t>
      </w:r>
      <w:r w:rsidRPr="00C76FE0">
        <w:rPr>
          <w:szCs w:val="26"/>
        </w:rPr>
        <w:t>a power of attorney was plainly broad enough to give the agent the power to sign</w:t>
      </w:r>
      <w:r w:rsidRPr="00C76FE0" w:rsidR="002539C7">
        <w:rPr>
          <w:szCs w:val="26"/>
        </w:rPr>
        <w:t xml:space="preserve">, and in another </w:t>
      </w:r>
      <w:r w:rsidRPr="00C76FE0" w:rsidR="00AB159F">
        <w:rPr>
          <w:szCs w:val="26"/>
        </w:rPr>
        <w:t>instance</w:t>
      </w:r>
      <w:r w:rsidRPr="00C76FE0" w:rsidR="002539C7">
        <w:rPr>
          <w:szCs w:val="26"/>
        </w:rPr>
        <w:t>, where this was not so</w:t>
      </w:r>
      <w:r w:rsidRPr="00C76FE0">
        <w:rPr>
          <w:szCs w:val="26"/>
        </w:rPr>
        <w:t>.  (</w:t>
      </w:r>
      <w:r w:rsidRPr="00C76FE0">
        <w:rPr>
          <w:i/>
          <w:iCs/>
          <w:szCs w:val="26"/>
        </w:rPr>
        <w:t>Kindred</w:t>
      </w:r>
      <w:r w:rsidRPr="00C76FE0">
        <w:rPr>
          <w:szCs w:val="26"/>
        </w:rPr>
        <w:t xml:space="preserve">, </w:t>
      </w:r>
      <w:r w:rsidRPr="00C76FE0" w:rsidR="00C7227F">
        <w:rPr>
          <w:i/>
          <w:iCs/>
          <w:szCs w:val="26"/>
        </w:rPr>
        <w:t>supra</w:t>
      </w:r>
      <w:r w:rsidRPr="00C76FE0" w:rsidR="00C7227F">
        <w:rPr>
          <w:szCs w:val="26"/>
        </w:rPr>
        <w:t xml:space="preserve">, 581 U.S. </w:t>
      </w:r>
      <w:r w:rsidRPr="00C76FE0">
        <w:rPr>
          <w:szCs w:val="26"/>
        </w:rPr>
        <w:t xml:space="preserve">at p. 250.) </w:t>
      </w:r>
      <w:r w:rsidRPr="00C76FE0" w:rsidR="00AF6B7F">
        <w:rPr>
          <w:szCs w:val="26"/>
        </w:rPr>
        <w:t xml:space="preserve"> Regarding</w:t>
      </w:r>
      <w:r w:rsidRPr="00C76FE0" w:rsidR="002539C7">
        <w:rPr>
          <w:szCs w:val="26"/>
        </w:rPr>
        <w:t xml:space="preserve"> the broader </w:t>
      </w:r>
      <w:r w:rsidR="00506156">
        <w:rPr>
          <w:szCs w:val="26"/>
        </w:rPr>
        <w:t>power of attorney</w:t>
      </w:r>
      <w:r w:rsidRPr="00C76FE0" w:rsidR="002539C7">
        <w:rPr>
          <w:szCs w:val="26"/>
        </w:rPr>
        <w:t xml:space="preserve">, the </w:t>
      </w:r>
      <w:r w:rsidR="00710E3F">
        <w:rPr>
          <w:szCs w:val="26"/>
        </w:rPr>
        <w:t>state</w:t>
      </w:r>
      <w:r w:rsidRPr="00C76FE0" w:rsidR="002539C7">
        <w:rPr>
          <w:szCs w:val="26"/>
        </w:rPr>
        <w:t xml:space="preserve"> </w:t>
      </w:r>
      <w:r w:rsidR="00193D10">
        <w:rPr>
          <w:szCs w:val="26"/>
        </w:rPr>
        <w:t xml:space="preserve">court </w:t>
      </w:r>
      <w:r w:rsidRPr="00C76FE0" w:rsidR="002539C7">
        <w:rPr>
          <w:szCs w:val="26"/>
        </w:rPr>
        <w:t>held “</w:t>
      </w:r>
      <w:r w:rsidRPr="00C76FE0">
        <w:rPr>
          <w:szCs w:val="26"/>
        </w:rPr>
        <w:t>an agent could deprive her principal of an ‘adjudication by judge or jury’ only if the power of attorney ‘expressly so provide[d]</w:t>
      </w:r>
      <w:r w:rsidR="00506156">
        <w:rPr>
          <w:szCs w:val="26"/>
        </w:rPr>
        <w:t>,</w:t>
      </w:r>
      <w:r w:rsidRPr="00C76FE0">
        <w:rPr>
          <w:szCs w:val="26"/>
        </w:rPr>
        <w:t>’</w:t>
      </w:r>
      <w:r w:rsidR="00D83670">
        <w:rPr>
          <w:szCs w:val="26"/>
        </w:rPr>
        <w:t> </w:t>
      </w:r>
      <w:r w:rsidRPr="00C76FE0">
        <w:rPr>
          <w:szCs w:val="26"/>
        </w:rPr>
        <w:t>”</w:t>
      </w:r>
      <w:r w:rsidR="00506156">
        <w:rPr>
          <w:szCs w:val="26"/>
        </w:rPr>
        <w:t xml:space="preserve"> which it had not.</w:t>
      </w:r>
      <w:r w:rsidRPr="00C76FE0">
        <w:rPr>
          <w:szCs w:val="26"/>
        </w:rPr>
        <w:t xml:space="preserve">  (</w:t>
      </w:r>
      <w:r w:rsidRPr="00C76FE0">
        <w:rPr>
          <w:i/>
          <w:iCs/>
          <w:szCs w:val="26"/>
        </w:rPr>
        <w:t>Ibid.</w:t>
      </w:r>
      <w:r w:rsidRPr="00C76FE0">
        <w:rPr>
          <w:szCs w:val="26"/>
        </w:rPr>
        <w:t xml:space="preserve">)  </w:t>
      </w:r>
      <w:r w:rsidRPr="00C76FE0" w:rsidR="000F1A10">
        <w:rPr>
          <w:szCs w:val="26"/>
        </w:rPr>
        <w:t xml:space="preserve">In so holding, </w:t>
      </w:r>
      <w:r w:rsidR="00710E3F">
        <w:rPr>
          <w:szCs w:val="26"/>
        </w:rPr>
        <w:t>the state court</w:t>
      </w:r>
      <w:r w:rsidRPr="00C76FE0" w:rsidR="00710E3F">
        <w:rPr>
          <w:szCs w:val="26"/>
        </w:rPr>
        <w:t xml:space="preserve"> </w:t>
      </w:r>
      <w:r w:rsidRPr="00C76FE0" w:rsidR="00AF6B7F">
        <w:rPr>
          <w:szCs w:val="26"/>
        </w:rPr>
        <w:t>emphasiz</w:t>
      </w:r>
      <w:r w:rsidRPr="00C76FE0" w:rsidR="000F1A10">
        <w:rPr>
          <w:szCs w:val="26"/>
        </w:rPr>
        <w:t>ed</w:t>
      </w:r>
      <w:r w:rsidRPr="00C76FE0" w:rsidR="00AF6B7F">
        <w:rPr>
          <w:szCs w:val="26"/>
        </w:rPr>
        <w:t xml:space="preserve"> </w:t>
      </w:r>
      <w:r w:rsidRPr="00C76FE0" w:rsidR="00EA6EFD">
        <w:rPr>
          <w:szCs w:val="26"/>
        </w:rPr>
        <w:t>the “sacred,” “inviolate” nature of the jury-trial right</w:t>
      </w:r>
      <w:r w:rsidRPr="00C76FE0" w:rsidR="00647D30">
        <w:rPr>
          <w:szCs w:val="26"/>
        </w:rPr>
        <w:t xml:space="preserve">.  </w:t>
      </w:r>
      <w:r w:rsidRPr="00C76FE0" w:rsidR="00EA6EFD">
        <w:rPr>
          <w:szCs w:val="26"/>
        </w:rPr>
        <w:t>(</w:t>
      </w:r>
      <w:r w:rsidRPr="00C76FE0" w:rsidR="00B0535E">
        <w:rPr>
          <w:i/>
          <w:iCs/>
          <w:szCs w:val="26"/>
        </w:rPr>
        <w:t>Id.</w:t>
      </w:r>
      <w:r w:rsidRPr="00C76FE0" w:rsidR="00EA6EFD">
        <w:rPr>
          <w:szCs w:val="26"/>
        </w:rPr>
        <w:t xml:space="preserve"> at p. 252.) </w:t>
      </w:r>
      <w:r w:rsidRPr="00C76FE0" w:rsidR="00815690">
        <w:rPr>
          <w:szCs w:val="26"/>
        </w:rPr>
        <w:t xml:space="preserve"> </w:t>
      </w:r>
      <w:r w:rsidRPr="00C76FE0" w:rsidR="00647D30">
        <w:rPr>
          <w:szCs w:val="26"/>
        </w:rPr>
        <w:t xml:space="preserve">The high court </w:t>
      </w:r>
      <w:r w:rsidRPr="00C76FE0" w:rsidR="00B972ED">
        <w:rPr>
          <w:szCs w:val="26"/>
        </w:rPr>
        <w:t xml:space="preserve">held that the FAA preempted </w:t>
      </w:r>
      <w:r w:rsidRPr="00C76FE0" w:rsidR="00647D30">
        <w:rPr>
          <w:szCs w:val="26"/>
        </w:rPr>
        <w:t>this “clear-statement rule</w:t>
      </w:r>
      <w:r w:rsidRPr="00C76FE0" w:rsidR="00B972ED">
        <w:rPr>
          <w:szCs w:val="26"/>
        </w:rPr>
        <w:t>.</w:t>
      </w:r>
      <w:r w:rsidRPr="00C76FE0" w:rsidR="00647D30">
        <w:rPr>
          <w:szCs w:val="26"/>
        </w:rPr>
        <w:t xml:space="preserve">” </w:t>
      </w:r>
      <w:r w:rsidR="00193D10">
        <w:rPr>
          <w:szCs w:val="26"/>
        </w:rPr>
        <w:t xml:space="preserve"> </w:t>
      </w:r>
      <w:r w:rsidRPr="00C76FE0" w:rsidR="00647D30">
        <w:rPr>
          <w:szCs w:val="26"/>
        </w:rPr>
        <w:t>(</w:t>
      </w:r>
      <w:r w:rsidRPr="00C76FE0" w:rsidR="00337A7D">
        <w:rPr>
          <w:i/>
          <w:iCs/>
          <w:szCs w:val="26"/>
        </w:rPr>
        <w:t>Kindred</w:t>
      </w:r>
      <w:r w:rsidRPr="00C76FE0" w:rsidR="00337A7D">
        <w:rPr>
          <w:szCs w:val="26"/>
        </w:rPr>
        <w:t xml:space="preserve">, </w:t>
      </w:r>
      <w:r w:rsidRPr="00C76FE0" w:rsidR="00337A7D">
        <w:rPr>
          <w:i/>
          <w:iCs/>
          <w:szCs w:val="26"/>
        </w:rPr>
        <w:t>supra</w:t>
      </w:r>
      <w:r w:rsidRPr="00C76FE0" w:rsidR="00337A7D">
        <w:rPr>
          <w:szCs w:val="26"/>
        </w:rPr>
        <w:t>, 581 U.S.</w:t>
      </w:r>
      <w:r w:rsidRPr="00C76FE0" w:rsidR="00647D30">
        <w:rPr>
          <w:szCs w:val="26"/>
        </w:rPr>
        <w:t xml:space="preserve"> at pp. 251–254.)  Th</w:t>
      </w:r>
      <w:r w:rsidRPr="00C76FE0" w:rsidR="002C0549">
        <w:rPr>
          <w:szCs w:val="26"/>
        </w:rPr>
        <w:t>is</w:t>
      </w:r>
      <w:r w:rsidRPr="00C76FE0" w:rsidR="00647D30">
        <w:rPr>
          <w:szCs w:val="26"/>
        </w:rPr>
        <w:t xml:space="preserve"> rule</w:t>
      </w:r>
      <w:r w:rsidRPr="00C76FE0" w:rsidR="00B972ED">
        <w:rPr>
          <w:szCs w:val="26"/>
        </w:rPr>
        <w:t>, the high court reasoned,</w:t>
      </w:r>
      <w:r w:rsidRPr="00C76FE0" w:rsidR="00647D30">
        <w:rPr>
          <w:szCs w:val="26"/>
        </w:rPr>
        <w:t xml:space="preserve"> “hing[ed] on the primary characteristic of an arbitration agreement</w:t>
      </w:r>
      <w:r w:rsidR="00306865">
        <w:rPr>
          <w:szCs w:val="26"/>
        </w:rPr>
        <w:t> —</w:t>
      </w:r>
      <w:r w:rsidRPr="00C76FE0" w:rsidR="00647D30">
        <w:rPr>
          <w:szCs w:val="26"/>
        </w:rPr>
        <w:t xml:space="preserve"> namely, a waiver of the right to go to court and receive a jury trial.”  (</w:t>
      </w:r>
      <w:r w:rsidRPr="00C76FE0" w:rsidR="00B0535E">
        <w:rPr>
          <w:i/>
          <w:iCs/>
          <w:szCs w:val="26"/>
        </w:rPr>
        <w:t>Id.</w:t>
      </w:r>
      <w:r w:rsidRPr="00C76FE0" w:rsidR="00647D30">
        <w:rPr>
          <w:szCs w:val="26"/>
        </w:rPr>
        <w:t xml:space="preserve"> at p. 252.)  The high court found it telling that </w:t>
      </w:r>
      <w:r w:rsidRPr="00C76FE0" w:rsidR="00815690">
        <w:rPr>
          <w:szCs w:val="26"/>
        </w:rPr>
        <w:t>no other Kentucky court had identified any other “</w:t>
      </w:r>
      <w:r w:rsidRPr="00C76FE0" w:rsidR="004913C6">
        <w:rPr>
          <w:szCs w:val="26"/>
        </w:rPr>
        <w:t> </w:t>
      </w:r>
      <w:r w:rsidRPr="00C76FE0" w:rsidR="00815690">
        <w:rPr>
          <w:szCs w:val="26"/>
        </w:rPr>
        <w:t>‘fundamental constitutional rights’ held by a principal” that, to be waived, required an explicit grant of authority in a power of attorney.  (</w:t>
      </w:r>
      <w:r w:rsidRPr="00C76FE0" w:rsidR="00B0535E">
        <w:rPr>
          <w:i/>
          <w:iCs/>
          <w:szCs w:val="26"/>
        </w:rPr>
        <w:t>Id.</w:t>
      </w:r>
      <w:r w:rsidRPr="00C76FE0" w:rsidR="00815690">
        <w:rPr>
          <w:szCs w:val="26"/>
        </w:rPr>
        <w:t xml:space="preserve"> at p. 253.)  </w:t>
      </w:r>
      <w:r w:rsidRPr="00C76FE0" w:rsidR="00B972ED">
        <w:rPr>
          <w:szCs w:val="26"/>
        </w:rPr>
        <w:t xml:space="preserve">As for the </w:t>
      </w:r>
      <w:r w:rsidRPr="00C76FE0" w:rsidR="00591B55">
        <w:rPr>
          <w:szCs w:val="26"/>
        </w:rPr>
        <w:t>Kentucky Supreme Court</w:t>
      </w:r>
      <w:r w:rsidRPr="00C76FE0" w:rsidR="00B972ED">
        <w:rPr>
          <w:szCs w:val="26"/>
        </w:rPr>
        <w:t xml:space="preserve">’s conjecture that </w:t>
      </w:r>
      <w:r w:rsidRPr="00C76FE0" w:rsidR="002539C7">
        <w:rPr>
          <w:szCs w:val="26"/>
        </w:rPr>
        <w:t xml:space="preserve">its clear-statement rule </w:t>
      </w:r>
      <w:r w:rsidRPr="00C76FE0" w:rsidR="00E35A11">
        <w:rPr>
          <w:szCs w:val="26"/>
        </w:rPr>
        <w:t xml:space="preserve">might </w:t>
      </w:r>
      <w:r w:rsidRPr="00C76FE0" w:rsidR="00591B55">
        <w:rPr>
          <w:szCs w:val="26"/>
        </w:rPr>
        <w:t xml:space="preserve">require </w:t>
      </w:r>
      <w:r w:rsidRPr="00C76FE0" w:rsidR="004913C6">
        <w:rPr>
          <w:szCs w:val="26"/>
        </w:rPr>
        <w:t xml:space="preserve">a principal’s </w:t>
      </w:r>
      <w:r w:rsidRPr="00C76FE0" w:rsidR="00591B55">
        <w:rPr>
          <w:szCs w:val="26"/>
        </w:rPr>
        <w:t xml:space="preserve">explicit authorizations for an agent to </w:t>
      </w:r>
      <w:r w:rsidRPr="00C76FE0" w:rsidR="00AB159F">
        <w:rPr>
          <w:szCs w:val="26"/>
        </w:rPr>
        <w:t xml:space="preserve">intrude on </w:t>
      </w:r>
      <w:r w:rsidRPr="00C76FE0" w:rsidR="00591B55">
        <w:rPr>
          <w:szCs w:val="26"/>
        </w:rPr>
        <w:t>certain other fundamental rights</w:t>
      </w:r>
      <w:r w:rsidR="00306865">
        <w:rPr>
          <w:szCs w:val="26"/>
        </w:rPr>
        <w:t> —</w:t>
      </w:r>
      <w:r w:rsidRPr="00C76FE0" w:rsidR="00B972ED">
        <w:rPr>
          <w:szCs w:val="26"/>
        </w:rPr>
        <w:t xml:space="preserve"> </w:t>
      </w:r>
      <w:r w:rsidRPr="00C76FE0" w:rsidR="00591B55">
        <w:rPr>
          <w:szCs w:val="26"/>
        </w:rPr>
        <w:t xml:space="preserve">such as </w:t>
      </w:r>
      <w:r w:rsidRPr="00C76FE0" w:rsidR="00D85B5D">
        <w:rPr>
          <w:szCs w:val="26"/>
        </w:rPr>
        <w:t xml:space="preserve">by waiving a </w:t>
      </w:r>
      <w:r w:rsidRPr="00C76FE0" w:rsidR="00591B55">
        <w:rPr>
          <w:szCs w:val="26"/>
        </w:rPr>
        <w:t xml:space="preserve">right to worship freely, or </w:t>
      </w:r>
      <w:r w:rsidRPr="00C76FE0" w:rsidR="00D85B5D">
        <w:rPr>
          <w:szCs w:val="26"/>
        </w:rPr>
        <w:t xml:space="preserve">by </w:t>
      </w:r>
      <w:r w:rsidRPr="00C76FE0" w:rsidR="00591B55">
        <w:rPr>
          <w:szCs w:val="26"/>
        </w:rPr>
        <w:t>arrang</w:t>
      </w:r>
      <w:r w:rsidRPr="00C76FE0" w:rsidR="00D85B5D">
        <w:rPr>
          <w:szCs w:val="26"/>
        </w:rPr>
        <w:t>ing</w:t>
      </w:r>
      <w:r w:rsidRPr="00C76FE0" w:rsidR="00591B55">
        <w:rPr>
          <w:szCs w:val="26"/>
        </w:rPr>
        <w:t xml:space="preserve"> a principal’s marriage or bind</w:t>
      </w:r>
      <w:r w:rsidRPr="00C76FE0" w:rsidR="00D85B5D">
        <w:rPr>
          <w:szCs w:val="26"/>
        </w:rPr>
        <w:t>ing</w:t>
      </w:r>
      <w:r w:rsidRPr="00C76FE0" w:rsidR="00591B55">
        <w:rPr>
          <w:szCs w:val="26"/>
        </w:rPr>
        <w:t xml:space="preserve"> the principal to servitude</w:t>
      </w:r>
      <w:r w:rsidR="00306865">
        <w:rPr>
          <w:szCs w:val="26"/>
        </w:rPr>
        <w:t> —</w:t>
      </w:r>
      <w:r w:rsidRPr="00C76FE0" w:rsidR="00271BD5">
        <w:rPr>
          <w:szCs w:val="26"/>
        </w:rPr>
        <w:t xml:space="preserve"> </w:t>
      </w:r>
      <w:r w:rsidRPr="00C76FE0" w:rsidR="00E35A11">
        <w:rPr>
          <w:szCs w:val="26"/>
        </w:rPr>
        <w:t>the high court called such examples “patently objectionable and utterly fanciful</w:t>
      </w:r>
      <w:r w:rsidRPr="00C76FE0" w:rsidR="00D85B5D">
        <w:rPr>
          <w:szCs w:val="26"/>
        </w:rPr>
        <w:t>.</w:t>
      </w:r>
      <w:r w:rsidRPr="00C76FE0" w:rsidR="00E35A11">
        <w:rPr>
          <w:szCs w:val="26"/>
        </w:rPr>
        <w:t xml:space="preserve">” </w:t>
      </w:r>
      <w:r w:rsidRPr="00C76FE0" w:rsidR="00D85B5D">
        <w:rPr>
          <w:szCs w:val="26"/>
        </w:rPr>
        <w:t xml:space="preserve"> (</w:t>
      </w:r>
      <w:r w:rsidRPr="00C76FE0" w:rsidR="00D85B5D">
        <w:rPr>
          <w:i/>
          <w:iCs/>
          <w:szCs w:val="26"/>
        </w:rPr>
        <w:t>Id.</w:t>
      </w:r>
      <w:r w:rsidRPr="00C76FE0" w:rsidR="00D85B5D">
        <w:rPr>
          <w:szCs w:val="26"/>
        </w:rPr>
        <w:t xml:space="preserve"> </w:t>
      </w:r>
      <w:r w:rsidRPr="00C76FE0" w:rsidR="00D85B5D">
        <w:t xml:space="preserve">at p. </w:t>
      </w:r>
      <w:r w:rsidRPr="00C76FE0" w:rsidR="00D85B5D">
        <w:rPr>
          <w:szCs w:val="26"/>
        </w:rPr>
        <w:t xml:space="preserve">253.)  It </w:t>
      </w:r>
      <w:r w:rsidRPr="00C76FE0" w:rsidR="00E35A11">
        <w:rPr>
          <w:szCs w:val="26"/>
        </w:rPr>
        <w:t xml:space="preserve">concluded that placing </w:t>
      </w:r>
      <w:r w:rsidRPr="00C76FE0" w:rsidR="00591B55">
        <w:rPr>
          <w:szCs w:val="26"/>
        </w:rPr>
        <w:t xml:space="preserve">the choice to arbitrate alongside these </w:t>
      </w:r>
      <w:r w:rsidRPr="00C76FE0" w:rsidR="00E35A11">
        <w:rPr>
          <w:szCs w:val="26"/>
        </w:rPr>
        <w:t xml:space="preserve">other </w:t>
      </w:r>
      <w:r w:rsidRPr="00C76FE0" w:rsidR="00591B55">
        <w:rPr>
          <w:szCs w:val="26"/>
        </w:rPr>
        <w:t>decisions evidenced</w:t>
      </w:r>
      <w:r w:rsidRPr="00C76FE0" w:rsidR="00E35A11">
        <w:rPr>
          <w:szCs w:val="26"/>
        </w:rPr>
        <w:t xml:space="preserve"> </w:t>
      </w:r>
      <w:r w:rsidRPr="00C76FE0" w:rsidR="00591B55">
        <w:rPr>
          <w:szCs w:val="26"/>
        </w:rPr>
        <w:t>a</w:t>
      </w:r>
      <w:r w:rsidRPr="00C76FE0" w:rsidR="00B972ED">
        <w:rPr>
          <w:szCs w:val="26"/>
        </w:rPr>
        <w:t xml:space="preserve">n </w:t>
      </w:r>
      <w:r w:rsidRPr="00C76FE0" w:rsidR="00271BD5">
        <w:rPr>
          <w:szCs w:val="26"/>
        </w:rPr>
        <w:t>impermissible</w:t>
      </w:r>
      <w:r w:rsidRPr="00C76FE0" w:rsidR="00591B55">
        <w:rPr>
          <w:szCs w:val="26"/>
        </w:rPr>
        <w:t xml:space="preserve"> </w:t>
      </w:r>
      <w:r w:rsidRPr="00C76FE0" w:rsidR="00815690">
        <w:rPr>
          <w:szCs w:val="26"/>
        </w:rPr>
        <w:t>“</w:t>
      </w:r>
      <w:r w:rsidRPr="00C76FE0" w:rsidR="00591B55">
        <w:rPr>
          <w:szCs w:val="26"/>
        </w:rPr>
        <w:t> </w:t>
      </w:r>
      <w:r w:rsidRPr="00C76FE0" w:rsidR="00815690">
        <w:rPr>
          <w:szCs w:val="26"/>
        </w:rPr>
        <w:t>‘hostility to arbitration’</w:t>
      </w:r>
      <w:r w:rsidR="00D116BB">
        <w:rPr>
          <w:szCs w:val="26"/>
        </w:rPr>
        <w:t> </w:t>
      </w:r>
      <w:r w:rsidRPr="00C76FE0" w:rsidR="00815690">
        <w:rPr>
          <w:szCs w:val="26"/>
        </w:rPr>
        <w:t>” because of its nature.</w:t>
      </w:r>
      <w:r w:rsidRPr="00C76FE0" w:rsidR="00D85B5D">
        <w:rPr>
          <w:szCs w:val="26"/>
        </w:rPr>
        <w:t xml:space="preserve">  (</w:t>
      </w:r>
      <w:r w:rsidRPr="00C76FE0" w:rsidR="00D85B5D">
        <w:rPr>
          <w:i/>
          <w:iCs/>
          <w:szCs w:val="26"/>
        </w:rPr>
        <w:t>Id.</w:t>
      </w:r>
      <w:r w:rsidRPr="00C76FE0" w:rsidR="00D85B5D">
        <w:rPr>
          <w:szCs w:val="26"/>
        </w:rPr>
        <w:t xml:space="preserve"> at p. 254.) </w:t>
      </w:r>
      <w:r w:rsidRPr="00C76FE0" w:rsidR="00815690">
        <w:rPr>
          <w:szCs w:val="26"/>
        </w:rPr>
        <w:t xml:space="preserve"> </w:t>
      </w:r>
      <w:r w:rsidRPr="00C76FE0" w:rsidR="002539C7">
        <w:rPr>
          <w:szCs w:val="26"/>
        </w:rPr>
        <w:t xml:space="preserve">Accordingly, the high court reversed the Kentucky Supreme Court </w:t>
      </w:r>
      <w:r w:rsidRPr="00C76FE0" w:rsidR="00D85B5D">
        <w:rPr>
          <w:szCs w:val="26"/>
        </w:rPr>
        <w:t xml:space="preserve">as to </w:t>
      </w:r>
      <w:r w:rsidRPr="00C76FE0" w:rsidR="002539C7">
        <w:rPr>
          <w:szCs w:val="26"/>
        </w:rPr>
        <w:t xml:space="preserve">the broad </w:t>
      </w:r>
      <w:r w:rsidRPr="00C76FE0">
        <w:rPr>
          <w:szCs w:val="26"/>
        </w:rPr>
        <w:t>power of attorney</w:t>
      </w:r>
      <w:r w:rsidRPr="00C76FE0" w:rsidR="00523E3C">
        <w:rPr>
          <w:szCs w:val="26"/>
        </w:rPr>
        <w:t xml:space="preserve"> and ordered </w:t>
      </w:r>
      <w:r w:rsidRPr="00C76FE0">
        <w:rPr>
          <w:szCs w:val="26"/>
        </w:rPr>
        <w:t>arbitration</w:t>
      </w:r>
      <w:r w:rsidRPr="00C76FE0" w:rsidR="002539C7">
        <w:rPr>
          <w:szCs w:val="26"/>
        </w:rPr>
        <w:t xml:space="preserve">.  </w:t>
      </w:r>
      <w:r w:rsidRPr="00C76FE0" w:rsidR="00D85B5D">
        <w:rPr>
          <w:szCs w:val="26"/>
        </w:rPr>
        <w:t xml:space="preserve">Regarding </w:t>
      </w:r>
      <w:r w:rsidRPr="00C76FE0" w:rsidR="002539C7">
        <w:rPr>
          <w:szCs w:val="26"/>
        </w:rPr>
        <w:t xml:space="preserve">the narrower </w:t>
      </w:r>
      <w:r w:rsidRPr="00C76FE0">
        <w:rPr>
          <w:szCs w:val="26"/>
        </w:rPr>
        <w:t>power of attorney</w:t>
      </w:r>
      <w:r w:rsidRPr="00C76FE0" w:rsidR="00B972ED">
        <w:rPr>
          <w:szCs w:val="26"/>
        </w:rPr>
        <w:t>,</w:t>
      </w:r>
      <w:r w:rsidRPr="00C76FE0" w:rsidR="00D85B5D">
        <w:rPr>
          <w:szCs w:val="26"/>
        </w:rPr>
        <w:t xml:space="preserve"> however,</w:t>
      </w:r>
      <w:r w:rsidRPr="00C76FE0" w:rsidR="00B972ED">
        <w:rPr>
          <w:szCs w:val="26"/>
        </w:rPr>
        <w:t xml:space="preserve"> the high court remanded, reasoning that </w:t>
      </w:r>
      <w:r w:rsidRPr="00C76FE0">
        <w:rPr>
          <w:szCs w:val="26"/>
        </w:rPr>
        <w:t xml:space="preserve">if the </w:t>
      </w:r>
      <w:r w:rsidRPr="00C76FE0" w:rsidR="002539C7">
        <w:rPr>
          <w:szCs w:val="26"/>
        </w:rPr>
        <w:t xml:space="preserve">interpretation </w:t>
      </w:r>
      <w:r w:rsidRPr="00C76FE0">
        <w:rPr>
          <w:szCs w:val="26"/>
        </w:rPr>
        <w:t>of the narrower power of attorney was “</w:t>
      </w:r>
      <w:r w:rsidRPr="00C76FE0" w:rsidR="002539C7">
        <w:rPr>
          <w:szCs w:val="26"/>
        </w:rPr>
        <w:t>wholly independent of the</w:t>
      </w:r>
      <w:r w:rsidRPr="00C76FE0" w:rsidR="00D04C08">
        <w:rPr>
          <w:szCs w:val="26"/>
        </w:rPr>
        <w:t> . . .</w:t>
      </w:r>
      <w:r w:rsidRPr="00C76FE0">
        <w:rPr>
          <w:szCs w:val="26"/>
        </w:rPr>
        <w:t xml:space="preserve"> </w:t>
      </w:r>
      <w:r w:rsidRPr="00C76FE0" w:rsidR="002539C7">
        <w:rPr>
          <w:szCs w:val="26"/>
        </w:rPr>
        <w:t>clear-statement rule, then nothing we have said disturbs it.</w:t>
      </w:r>
      <w:r w:rsidRPr="00C76FE0">
        <w:rPr>
          <w:szCs w:val="26"/>
        </w:rPr>
        <w:t>”</w:t>
      </w:r>
      <w:r>
        <w:rPr>
          <w:rStyle w:val="FootnoteReference"/>
          <w:position w:val="0"/>
        </w:rPr>
        <w:footnoteReference w:id="18"/>
      </w:r>
      <w:r w:rsidRPr="00C76FE0">
        <w:rPr>
          <w:szCs w:val="26"/>
        </w:rPr>
        <w:t xml:space="preserve">  </w:t>
      </w:r>
      <w:r w:rsidRPr="00C76FE0" w:rsidR="00B972ED">
        <w:rPr>
          <w:szCs w:val="26"/>
        </w:rPr>
        <w:t>(</w:t>
      </w:r>
      <w:r w:rsidRPr="00C76FE0" w:rsidR="00EE32DC">
        <w:rPr>
          <w:i/>
          <w:iCs/>
          <w:szCs w:val="26"/>
        </w:rPr>
        <w:t>Kindred</w:t>
      </w:r>
      <w:r w:rsidRPr="00C76FE0" w:rsidR="00EE32DC">
        <w:rPr>
          <w:szCs w:val="26"/>
        </w:rPr>
        <w:t xml:space="preserve">, </w:t>
      </w:r>
      <w:r w:rsidRPr="00C76FE0" w:rsidR="00EE32DC">
        <w:rPr>
          <w:i/>
          <w:iCs/>
          <w:szCs w:val="26"/>
        </w:rPr>
        <w:t>supra</w:t>
      </w:r>
      <w:r w:rsidRPr="00C76FE0" w:rsidR="00EE32DC">
        <w:rPr>
          <w:szCs w:val="26"/>
        </w:rPr>
        <w:t xml:space="preserve">, 581 U.S. </w:t>
      </w:r>
      <w:r w:rsidRPr="00C76FE0" w:rsidR="00B972ED">
        <w:rPr>
          <w:szCs w:val="26"/>
        </w:rPr>
        <w:t xml:space="preserve">at p. 256.)  </w:t>
      </w:r>
    </w:p>
    <w:p w:rsidR="00FB62E2" w:rsidRPr="00C76FE0" w:rsidP="00C76FE0" w14:paraId="2B05F458" w14:textId="77777777">
      <w:pPr>
        <w:rPr>
          <w:szCs w:val="26"/>
        </w:rPr>
      </w:pPr>
      <w:r w:rsidRPr="00C76FE0">
        <w:rPr>
          <w:szCs w:val="26"/>
        </w:rPr>
        <w:tab/>
      </w:r>
      <w:r w:rsidRPr="00C76FE0" w:rsidR="00410849">
        <w:rPr>
          <w:szCs w:val="26"/>
        </w:rPr>
        <w:t xml:space="preserve">Assuming the FAA applies here, </w:t>
      </w:r>
      <w:r w:rsidRPr="00C76FE0" w:rsidR="002539C7">
        <w:rPr>
          <w:i/>
          <w:iCs/>
          <w:szCs w:val="26"/>
        </w:rPr>
        <w:t>Kindred</w:t>
      </w:r>
      <w:r w:rsidRPr="00C76FE0" w:rsidR="002539C7">
        <w:rPr>
          <w:szCs w:val="26"/>
        </w:rPr>
        <w:t xml:space="preserve"> </w:t>
      </w:r>
      <w:r w:rsidRPr="00C76FE0" w:rsidR="008142CD">
        <w:rPr>
          <w:szCs w:val="26"/>
        </w:rPr>
        <w:t xml:space="preserve">does </w:t>
      </w:r>
      <w:r w:rsidRPr="00C76FE0" w:rsidR="002539C7">
        <w:rPr>
          <w:szCs w:val="26"/>
        </w:rPr>
        <w:t xml:space="preserve">not </w:t>
      </w:r>
      <w:r w:rsidRPr="00C76FE0" w:rsidR="00C06C99">
        <w:rPr>
          <w:szCs w:val="26"/>
        </w:rPr>
        <w:t>“disturb”</w:t>
      </w:r>
      <w:r w:rsidRPr="00C76FE0" w:rsidR="002539C7">
        <w:rPr>
          <w:szCs w:val="26"/>
        </w:rPr>
        <w:t xml:space="preserve"> </w:t>
      </w:r>
      <w:r w:rsidRPr="00C76FE0" w:rsidR="004D4A57">
        <w:rPr>
          <w:szCs w:val="26"/>
        </w:rPr>
        <w:t xml:space="preserve">our conclusions regarding the scope of a health care agent’s powers.  </w:t>
      </w:r>
      <w:r w:rsidRPr="00C76FE0" w:rsidR="008142CD">
        <w:rPr>
          <w:szCs w:val="26"/>
        </w:rPr>
        <w:t xml:space="preserve">For instance, we have not </w:t>
      </w:r>
      <w:r w:rsidRPr="00C76FE0" w:rsidR="004D4A57">
        <w:rPr>
          <w:szCs w:val="26"/>
        </w:rPr>
        <w:t>revisit</w:t>
      </w:r>
      <w:r w:rsidRPr="00C76FE0" w:rsidR="008142CD">
        <w:rPr>
          <w:szCs w:val="26"/>
        </w:rPr>
        <w:t>ed</w:t>
      </w:r>
      <w:r w:rsidRPr="00C76FE0" w:rsidR="004D4A57">
        <w:rPr>
          <w:szCs w:val="26"/>
        </w:rPr>
        <w:t xml:space="preserve"> </w:t>
      </w:r>
      <w:r w:rsidRPr="00C76FE0" w:rsidR="00884F77">
        <w:rPr>
          <w:szCs w:val="26"/>
        </w:rPr>
        <w:t>the</w:t>
      </w:r>
      <w:r w:rsidRPr="00C76FE0" w:rsidR="00605B9D">
        <w:rPr>
          <w:szCs w:val="26"/>
        </w:rPr>
        <w:t xml:space="preserve"> holding in </w:t>
      </w:r>
      <w:r w:rsidRPr="00C76FE0">
        <w:rPr>
          <w:i/>
          <w:iCs/>
          <w:szCs w:val="26"/>
        </w:rPr>
        <w:t>Madden</w:t>
      </w:r>
      <w:r w:rsidRPr="00C76FE0">
        <w:rPr>
          <w:szCs w:val="26"/>
        </w:rPr>
        <w:t xml:space="preserve">, </w:t>
      </w:r>
      <w:r w:rsidRPr="00C76FE0">
        <w:rPr>
          <w:i/>
          <w:iCs/>
          <w:szCs w:val="26"/>
        </w:rPr>
        <w:t>supra</w:t>
      </w:r>
      <w:r w:rsidRPr="00C76FE0">
        <w:rPr>
          <w:szCs w:val="26"/>
        </w:rPr>
        <w:t xml:space="preserve">, 17 Cal.3d </w:t>
      </w:r>
      <w:r w:rsidRPr="00C76FE0" w:rsidR="00B972ED">
        <w:rPr>
          <w:szCs w:val="26"/>
        </w:rPr>
        <w:t>at page</w:t>
      </w:r>
      <w:r w:rsidRPr="00C76FE0" w:rsidR="00271BD5">
        <w:rPr>
          <w:szCs w:val="26"/>
        </w:rPr>
        <w:t xml:space="preserve"> </w:t>
      </w:r>
      <w:r w:rsidRPr="00C76FE0">
        <w:rPr>
          <w:szCs w:val="26"/>
        </w:rPr>
        <w:t xml:space="preserve">706, </w:t>
      </w:r>
      <w:r w:rsidRPr="00C76FE0" w:rsidR="00605B9D">
        <w:rPr>
          <w:szCs w:val="26"/>
        </w:rPr>
        <w:t>that</w:t>
      </w:r>
      <w:r w:rsidRPr="00C76FE0" w:rsidR="004913C6">
        <w:rPr>
          <w:szCs w:val="26"/>
        </w:rPr>
        <w:t xml:space="preserve"> </w:t>
      </w:r>
      <w:r w:rsidRPr="00C76FE0">
        <w:rPr>
          <w:szCs w:val="26"/>
        </w:rPr>
        <w:t>arbitration</w:t>
      </w:r>
      <w:r w:rsidRPr="00C76FE0" w:rsidR="004913C6">
        <w:rPr>
          <w:szCs w:val="26"/>
        </w:rPr>
        <w:t xml:space="preserve">, if agreed to, </w:t>
      </w:r>
      <w:r w:rsidRPr="00C76FE0">
        <w:rPr>
          <w:szCs w:val="26"/>
        </w:rPr>
        <w:t>is a “</w:t>
      </w:r>
      <w:r w:rsidRPr="00C76FE0" w:rsidR="00D85B5D">
        <w:rPr>
          <w:szCs w:val="26"/>
        </w:rPr>
        <w:t> </w:t>
      </w:r>
      <w:r w:rsidRPr="00C76FE0">
        <w:rPr>
          <w:szCs w:val="26"/>
        </w:rPr>
        <w:t>‘proper and usual’ means of resolving malpractice disputes.”</w:t>
      </w:r>
      <w:r w:rsidRPr="00C76FE0" w:rsidR="00605B9D">
        <w:rPr>
          <w:szCs w:val="26"/>
        </w:rPr>
        <w:t xml:space="preserve">  </w:t>
      </w:r>
      <w:r w:rsidRPr="00C76FE0" w:rsidR="003D7CC8">
        <w:rPr>
          <w:szCs w:val="26"/>
        </w:rPr>
        <w:t>A principal or any properly authorized agent may</w:t>
      </w:r>
      <w:r w:rsidRPr="00C76FE0" w:rsidR="00280339">
        <w:rPr>
          <w:szCs w:val="26"/>
        </w:rPr>
        <w:t xml:space="preserve">, under </w:t>
      </w:r>
      <w:r w:rsidRPr="00C76FE0" w:rsidR="00280339">
        <w:rPr>
          <w:i/>
          <w:iCs/>
          <w:szCs w:val="26"/>
        </w:rPr>
        <w:t>Madden</w:t>
      </w:r>
      <w:r w:rsidRPr="00C76FE0" w:rsidR="00280339">
        <w:rPr>
          <w:szCs w:val="26"/>
        </w:rPr>
        <w:t xml:space="preserve">, </w:t>
      </w:r>
      <w:r w:rsidRPr="00C76FE0" w:rsidR="003D7CC8">
        <w:rPr>
          <w:szCs w:val="26"/>
        </w:rPr>
        <w:t xml:space="preserve">agree to </w:t>
      </w:r>
      <w:r w:rsidRPr="00C76FE0" w:rsidR="00864FF6">
        <w:rPr>
          <w:szCs w:val="26"/>
        </w:rPr>
        <w:t>arbitration.</w:t>
      </w:r>
      <w:r w:rsidRPr="00C76FE0" w:rsidR="003D7CC8">
        <w:rPr>
          <w:szCs w:val="26"/>
        </w:rPr>
        <w:t xml:space="preserve">  </w:t>
      </w:r>
      <w:bookmarkStart w:id="8" w:name="_Hlk154590404"/>
      <w:r w:rsidRPr="00C76FE0" w:rsidR="00025633">
        <w:rPr>
          <w:szCs w:val="26"/>
        </w:rPr>
        <w:t>What</w:t>
      </w:r>
      <w:r w:rsidRPr="00C76FE0" w:rsidR="008D557B">
        <w:rPr>
          <w:szCs w:val="26"/>
        </w:rPr>
        <w:t xml:space="preserve"> </w:t>
      </w:r>
      <w:r w:rsidRPr="00C76FE0" w:rsidR="00605B9D">
        <w:rPr>
          <w:szCs w:val="26"/>
        </w:rPr>
        <w:t xml:space="preserve">we conclude </w:t>
      </w:r>
      <w:r w:rsidRPr="00C76FE0" w:rsidR="00025633">
        <w:rPr>
          <w:szCs w:val="26"/>
        </w:rPr>
        <w:t xml:space="preserve">is </w:t>
      </w:r>
      <w:r w:rsidRPr="00C76FE0" w:rsidR="00605B9D">
        <w:rPr>
          <w:szCs w:val="26"/>
        </w:rPr>
        <w:t xml:space="preserve">that a “health care decision,” under our Health Care Decisions Law and Logan’s power of attorney for health care, excludes </w:t>
      </w:r>
      <w:r w:rsidRPr="00C76FE0" w:rsidR="00025633">
        <w:rPr>
          <w:szCs w:val="26"/>
        </w:rPr>
        <w:t xml:space="preserve">an </w:t>
      </w:r>
      <w:r w:rsidRPr="00C76FE0" w:rsidR="00605B9D">
        <w:rPr>
          <w:szCs w:val="26"/>
        </w:rPr>
        <w:t>optional, separate agreement that do</w:t>
      </w:r>
      <w:r w:rsidRPr="00C76FE0" w:rsidR="00025633">
        <w:rPr>
          <w:szCs w:val="26"/>
        </w:rPr>
        <w:t>es</w:t>
      </w:r>
      <w:r w:rsidRPr="00C76FE0" w:rsidR="00605B9D">
        <w:rPr>
          <w:szCs w:val="26"/>
        </w:rPr>
        <w:t xml:space="preserve"> not accomplish health care objectives.  </w:t>
      </w:r>
      <w:r w:rsidRPr="00C76FE0" w:rsidR="003D7CC8">
        <w:rPr>
          <w:szCs w:val="26"/>
        </w:rPr>
        <w:t xml:space="preserve">This outcome does not emerge from </w:t>
      </w:r>
      <w:r w:rsidRPr="00C76FE0" w:rsidR="00B972ED">
        <w:rPr>
          <w:szCs w:val="26"/>
        </w:rPr>
        <w:t xml:space="preserve">or reflect </w:t>
      </w:r>
      <w:r w:rsidRPr="00C76FE0" w:rsidR="003D7CC8">
        <w:rPr>
          <w:szCs w:val="26"/>
        </w:rPr>
        <w:t>hostility towards arbitration</w:t>
      </w:r>
      <w:r w:rsidRPr="00C76FE0" w:rsidR="00605B9D">
        <w:rPr>
          <w:szCs w:val="26"/>
        </w:rPr>
        <w:t xml:space="preserve">.  </w:t>
      </w:r>
      <w:r w:rsidRPr="00C76FE0" w:rsidR="00882A25">
        <w:rPr>
          <w:szCs w:val="26"/>
        </w:rPr>
        <w:t xml:space="preserve">Nor </w:t>
      </w:r>
      <w:r w:rsidRPr="00C76FE0" w:rsidR="003D7CC8">
        <w:rPr>
          <w:szCs w:val="26"/>
        </w:rPr>
        <w:t xml:space="preserve">does </w:t>
      </w:r>
      <w:r w:rsidRPr="00C76FE0" w:rsidR="00882A25">
        <w:rPr>
          <w:szCs w:val="26"/>
        </w:rPr>
        <w:t xml:space="preserve">it </w:t>
      </w:r>
      <w:r w:rsidRPr="00C76FE0" w:rsidR="003D7CC8">
        <w:rPr>
          <w:szCs w:val="26"/>
        </w:rPr>
        <w:t xml:space="preserve">depend on </w:t>
      </w:r>
      <w:r w:rsidRPr="00C76FE0" w:rsidR="00882A25">
        <w:rPr>
          <w:szCs w:val="26"/>
        </w:rPr>
        <w:t>a clear</w:t>
      </w:r>
      <w:r w:rsidRPr="00C76FE0" w:rsidR="00B972ED">
        <w:rPr>
          <w:szCs w:val="26"/>
        </w:rPr>
        <w:t>-</w:t>
      </w:r>
      <w:r w:rsidRPr="00C76FE0" w:rsidR="00882A25">
        <w:rPr>
          <w:szCs w:val="26"/>
        </w:rPr>
        <w:t xml:space="preserve">statement rule.  </w:t>
      </w:r>
      <w:r w:rsidRPr="00C76FE0" w:rsidR="003D7CC8">
        <w:rPr>
          <w:szCs w:val="26"/>
        </w:rPr>
        <w:t xml:space="preserve">Rather, </w:t>
      </w:r>
      <w:r w:rsidRPr="00C76FE0" w:rsidR="00B972ED">
        <w:rPr>
          <w:szCs w:val="26"/>
        </w:rPr>
        <w:t xml:space="preserve">it </w:t>
      </w:r>
      <w:r w:rsidRPr="00C76FE0" w:rsidR="003D7CC8">
        <w:rPr>
          <w:szCs w:val="26"/>
        </w:rPr>
        <w:t xml:space="preserve">derives from </w:t>
      </w:r>
      <w:r w:rsidRPr="00C76FE0" w:rsidR="00605B9D">
        <w:rPr>
          <w:szCs w:val="26"/>
        </w:rPr>
        <w:t xml:space="preserve">the scope of the </w:t>
      </w:r>
      <w:r w:rsidRPr="00C76FE0" w:rsidR="003476BE">
        <w:rPr>
          <w:szCs w:val="26"/>
        </w:rPr>
        <w:t xml:space="preserve">health care decisionmaking </w:t>
      </w:r>
      <w:r w:rsidRPr="00C76FE0" w:rsidR="00605B9D">
        <w:rPr>
          <w:szCs w:val="26"/>
        </w:rPr>
        <w:t>power Logan granted to Harrod</w:t>
      </w:r>
      <w:r w:rsidR="00306865">
        <w:rPr>
          <w:szCs w:val="26"/>
        </w:rPr>
        <w:t> —</w:t>
      </w:r>
      <w:r w:rsidRPr="00C76FE0" w:rsidR="00B972ED">
        <w:rPr>
          <w:szCs w:val="26"/>
        </w:rPr>
        <w:t xml:space="preserve"> as </w:t>
      </w:r>
      <w:r w:rsidRPr="00C76FE0" w:rsidR="00882A25">
        <w:rPr>
          <w:szCs w:val="26"/>
        </w:rPr>
        <w:t>determined from generally applicable legal principles</w:t>
      </w:r>
      <w:r w:rsidR="00306865">
        <w:rPr>
          <w:szCs w:val="26"/>
        </w:rPr>
        <w:t> —</w:t>
      </w:r>
      <w:r w:rsidRPr="00C76FE0" w:rsidR="00B972ED">
        <w:rPr>
          <w:szCs w:val="26"/>
        </w:rPr>
        <w:t xml:space="preserve"> </w:t>
      </w:r>
      <w:r w:rsidRPr="00C76FE0" w:rsidR="00196954">
        <w:rPr>
          <w:szCs w:val="26"/>
        </w:rPr>
        <w:t xml:space="preserve">and </w:t>
      </w:r>
      <w:r w:rsidRPr="00C76FE0" w:rsidR="00182283">
        <w:rPr>
          <w:szCs w:val="26"/>
        </w:rPr>
        <w:t>the conclusion that</w:t>
      </w:r>
      <w:r w:rsidRPr="00C76FE0" w:rsidR="00196954">
        <w:rPr>
          <w:szCs w:val="26"/>
        </w:rPr>
        <w:t xml:space="preserve"> agreeing to an optional, separate arbitration agreement with a skilled nursing facility is not a health care decision</w:t>
      </w:r>
      <w:r w:rsidRPr="00C76FE0" w:rsidR="00882A25">
        <w:rPr>
          <w:szCs w:val="26"/>
        </w:rPr>
        <w:t>.</w:t>
      </w:r>
      <w:r w:rsidRPr="00C76FE0" w:rsidR="00276FA9">
        <w:rPr>
          <w:szCs w:val="26"/>
        </w:rPr>
        <w:t xml:space="preserve">  </w:t>
      </w:r>
      <w:bookmarkEnd w:id="8"/>
      <w:r w:rsidRPr="00C76FE0" w:rsidR="00F43C55">
        <w:rPr>
          <w:szCs w:val="26"/>
        </w:rPr>
        <w:t xml:space="preserve">(See </w:t>
      </w:r>
      <w:r w:rsidRPr="00C76FE0" w:rsidR="00F43C55">
        <w:rPr>
          <w:i/>
          <w:iCs/>
          <w:szCs w:val="26"/>
        </w:rPr>
        <w:t>Garcia v. KND Development 52, LLC</w:t>
      </w:r>
      <w:r w:rsidRPr="00C76FE0" w:rsidR="00F43C55">
        <w:rPr>
          <w:szCs w:val="26"/>
        </w:rPr>
        <w:t xml:space="preserve"> (2020) 58 Cal.App.5th 736, 747 [discussing </w:t>
      </w:r>
      <w:r w:rsidRPr="00C76FE0" w:rsidR="00F43C55">
        <w:rPr>
          <w:i/>
          <w:iCs/>
          <w:szCs w:val="26"/>
        </w:rPr>
        <w:t>Kindred</w:t>
      </w:r>
      <w:r w:rsidRPr="00C76FE0" w:rsidR="00F43C55">
        <w:rPr>
          <w:szCs w:val="26"/>
        </w:rPr>
        <w:t xml:space="preserve">’s inapplicability when court relied on “generally applicable law”].)  </w:t>
      </w:r>
      <w:r w:rsidRPr="00C76FE0" w:rsidR="003D7CC8">
        <w:rPr>
          <w:szCs w:val="26"/>
        </w:rPr>
        <w:t xml:space="preserve">Logan himself </w:t>
      </w:r>
      <w:r w:rsidRPr="00C76FE0" w:rsidR="00FE7B18">
        <w:rPr>
          <w:szCs w:val="26"/>
        </w:rPr>
        <w:t xml:space="preserve">could have agreed to arbitration, whether before or after any dispute arose.  Likewise, </w:t>
      </w:r>
      <w:r w:rsidRPr="00C76FE0" w:rsidR="003D7CC8">
        <w:rPr>
          <w:szCs w:val="26"/>
        </w:rPr>
        <w:t>a</w:t>
      </w:r>
      <w:r w:rsidRPr="00C76FE0" w:rsidR="00276FA9">
        <w:rPr>
          <w:szCs w:val="26"/>
        </w:rPr>
        <w:t>ny agent of Logan operating under a</w:t>
      </w:r>
      <w:r w:rsidRPr="00C76FE0" w:rsidR="00FE7B18">
        <w:rPr>
          <w:szCs w:val="26"/>
        </w:rPr>
        <w:t xml:space="preserve"> broader power of attorney</w:t>
      </w:r>
      <w:r w:rsidRPr="00C76FE0" w:rsidR="00F60E62">
        <w:rPr>
          <w:szCs w:val="26"/>
        </w:rPr>
        <w:t xml:space="preserve">, whether </w:t>
      </w:r>
      <w:r w:rsidRPr="00C76FE0" w:rsidR="00FE7B18">
        <w:rPr>
          <w:szCs w:val="26"/>
        </w:rPr>
        <w:t xml:space="preserve">that power of attorney contained </w:t>
      </w:r>
      <w:r w:rsidRPr="00C76FE0" w:rsidR="00F60E62">
        <w:rPr>
          <w:szCs w:val="26"/>
        </w:rPr>
        <w:t xml:space="preserve">a clear statement </w:t>
      </w:r>
      <w:r w:rsidRPr="00C76FE0" w:rsidR="00FE7B18">
        <w:rPr>
          <w:szCs w:val="26"/>
        </w:rPr>
        <w:t xml:space="preserve">of the power to agree to arbitration </w:t>
      </w:r>
      <w:r w:rsidRPr="00C76FE0" w:rsidR="00F60E62">
        <w:rPr>
          <w:szCs w:val="26"/>
        </w:rPr>
        <w:t xml:space="preserve">or </w:t>
      </w:r>
      <w:r w:rsidRPr="00C76FE0" w:rsidR="008142CD">
        <w:rPr>
          <w:szCs w:val="26"/>
        </w:rPr>
        <w:t>utilized more general language encompassing that power</w:t>
      </w:r>
      <w:r w:rsidRPr="00C76FE0" w:rsidR="00F60E62">
        <w:rPr>
          <w:szCs w:val="26"/>
        </w:rPr>
        <w:t>,</w:t>
      </w:r>
      <w:r w:rsidRPr="00C76FE0" w:rsidR="00276FA9">
        <w:rPr>
          <w:szCs w:val="26"/>
        </w:rPr>
        <w:t xml:space="preserve"> </w:t>
      </w:r>
      <w:r w:rsidRPr="00C76FE0" w:rsidR="00FE7B18">
        <w:rPr>
          <w:szCs w:val="26"/>
        </w:rPr>
        <w:t xml:space="preserve">might </w:t>
      </w:r>
      <w:r w:rsidRPr="00C76FE0" w:rsidR="00276FA9">
        <w:rPr>
          <w:szCs w:val="26"/>
        </w:rPr>
        <w:t>have bound Logan</w:t>
      </w:r>
      <w:r w:rsidRPr="00C76FE0" w:rsidR="00D85B5D">
        <w:rPr>
          <w:szCs w:val="26"/>
        </w:rPr>
        <w:t xml:space="preserve"> to arbitrate</w:t>
      </w:r>
      <w:r w:rsidRPr="00C76FE0" w:rsidR="00FE7B18">
        <w:rPr>
          <w:szCs w:val="26"/>
        </w:rPr>
        <w:t xml:space="preserve">.  Logan’s power of attorney here, </w:t>
      </w:r>
      <w:r w:rsidRPr="00C76FE0" w:rsidR="00C95EC0">
        <w:rPr>
          <w:szCs w:val="26"/>
        </w:rPr>
        <w:t>however,</w:t>
      </w:r>
      <w:r w:rsidRPr="00C76FE0" w:rsidR="00276FA9">
        <w:rPr>
          <w:szCs w:val="26"/>
        </w:rPr>
        <w:t xml:space="preserve"> </w:t>
      </w:r>
      <w:r w:rsidRPr="00C76FE0" w:rsidR="00FE7B18">
        <w:rPr>
          <w:szCs w:val="26"/>
        </w:rPr>
        <w:t xml:space="preserve">did not make Harrod such an </w:t>
      </w:r>
      <w:r w:rsidRPr="00C76FE0" w:rsidR="00276FA9">
        <w:rPr>
          <w:szCs w:val="26"/>
        </w:rPr>
        <w:t>agent.</w:t>
      </w:r>
    </w:p>
    <w:p w:rsidR="0097015B" w:rsidRPr="00C76FE0" w:rsidP="000E1F93" w14:paraId="2B05F459" w14:textId="77777777">
      <w:pPr>
        <w:keepNext/>
        <w:outlineLvl w:val="0"/>
        <w:rPr>
          <w:b/>
          <w:bCs/>
          <w:szCs w:val="26"/>
        </w:rPr>
      </w:pPr>
      <w:r w:rsidRPr="00C76FE0">
        <w:rPr>
          <w:b/>
          <w:bCs/>
          <w:szCs w:val="26"/>
        </w:rPr>
        <w:t>III.</w:t>
      </w:r>
      <w:r w:rsidRPr="00C76FE0">
        <w:rPr>
          <w:b/>
          <w:bCs/>
          <w:szCs w:val="26"/>
        </w:rPr>
        <w:tab/>
      </w:r>
      <w:r w:rsidRPr="00C76FE0" w:rsidR="00D85B5D">
        <w:rPr>
          <w:b/>
          <w:bCs/>
          <w:szCs w:val="26"/>
        </w:rPr>
        <w:t>DISPOSITION</w:t>
      </w:r>
    </w:p>
    <w:p w:rsidR="009B3C6F" w:rsidP="00C76FE0" w14:paraId="2B05F45A" w14:textId="77777777">
      <w:pPr>
        <w:rPr>
          <w:szCs w:val="26"/>
        </w:rPr>
      </w:pPr>
      <w:r w:rsidRPr="00C76FE0">
        <w:rPr>
          <w:szCs w:val="26"/>
        </w:rPr>
        <w:tab/>
      </w:r>
      <w:r w:rsidRPr="00C76FE0" w:rsidR="007C7C42">
        <w:rPr>
          <w:szCs w:val="26"/>
        </w:rPr>
        <w:t>W</w:t>
      </w:r>
      <w:r w:rsidRPr="00C76FE0">
        <w:rPr>
          <w:szCs w:val="26"/>
        </w:rPr>
        <w:t>e affirm the judgment of the Court of Appeal.</w:t>
      </w:r>
      <w:r>
        <w:rPr>
          <w:rStyle w:val="FootnoteReference"/>
          <w:position w:val="0"/>
        </w:rPr>
        <w:footnoteReference w:id="19"/>
      </w:r>
    </w:p>
    <w:p w:rsidR="006D27C7" w:rsidRPr="006E05DF" w:rsidP="006D27C7" w14:paraId="2B05F45B" w14:textId="77777777">
      <w:pPr>
        <w:spacing w:before="320"/>
        <w:ind w:left="5040"/>
        <w:rPr>
          <w:b/>
          <w:bCs/>
          <w:color w:val="212121"/>
          <w:szCs w:val="26"/>
        </w:rPr>
      </w:pPr>
      <w:r w:rsidRPr="006E05DF">
        <w:rPr>
          <w:b/>
          <w:bCs/>
          <w:color w:val="212121"/>
          <w:szCs w:val="26"/>
        </w:rPr>
        <w:t>JENKINS, J.</w:t>
      </w:r>
    </w:p>
    <w:p w:rsidR="006D27C7" w:rsidP="00BB3697" w14:paraId="2B05F45C" w14:textId="77777777">
      <w:pPr>
        <w:tabs>
          <w:tab w:val="left" w:pos="1440"/>
        </w:tabs>
        <w:rPr>
          <w:b/>
          <w:bCs/>
        </w:rPr>
      </w:pPr>
      <w:r w:rsidRPr="00DA7ADF">
        <w:rPr>
          <w:b/>
          <w:bCs/>
        </w:rPr>
        <w:t>We Concur:</w:t>
      </w:r>
    </w:p>
    <w:p w:rsidR="006D27C7" w:rsidP="006D27C7" w14:paraId="2B05F45D" w14:textId="77777777">
      <w:pPr>
        <w:tabs>
          <w:tab w:val="left" w:pos="1440"/>
        </w:tabs>
        <w:spacing w:after="0" w:line="240" w:lineRule="auto"/>
        <w:rPr>
          <w:b/>
          <w:bCs/>
        </w:rPr>
      </w:pPr>
      <w:r>
        <w:rPr>
          <w:b/>
          <w:bCs/>
        </w:rPr>
        <w:t>GUERRERO, C. J.</w:t>
      </w:r>
    </w:p>
    <w:p w:rsidR="006D27C7" w:rsidP="006D27C7" w14:paraId="2B05F45E" w14:textId="77777777">
      <w:pPr>
        <w:tabs>
          <w:tab w:val="left" w:pos="1440"/>
        </w:tabs>
        <w:spacing w:after="0" w:line="240" w:lineRule="auto"/>
        <w:rPr>
          <w:b/>
          <w:bCs/>
        </w:rPr>
      </w:pPr>
      <w:r>
        <w:rPr>
          <w:b/>
          <w:bCs/>
        </w:rPr>
        <w:t>CORRIGAN, J.</w:t>
      </w:r>
    </w:p>
    <w:p w:rsidR="006D27C7" w:rsidP="006D27C7" w14:paraId="2B05F45F" w14:textId="77777777">
      <w:pPr>
        <w:tabs>
          <w:tab w:val="left" w:pos="1440"/>
        </w:tabs>
        <w:spacing w:after="0" w:line="240" w:lineRule="auto"/>
        <w:rPr>
          <w:b/>
          <w:bCs/>
        </w:rPr>
      </w:pPr>
      <w:r>
        <w:rPr>
          <w:b/>
          <w:bCs/>
        </w:rPr>
        <w:t>LIU, J.</w:t>
      </w:r>
    </w:p>
    <w:p w:rsidR="006D27C7" w:rsidP="006D27C7" w14:paraId="2B05F460" w14:textId="77777777">
      <w:pPr>
        <w:tabs>
          <w:tab w:val="left" w:pos="1440"/>
        </w:tabs>
        <w:spacing w:after="0" w:line="240" w:lineRule="auto"/>
        <w:rPr>
          <w:b/>
          <w:bCs/>
        </w:rPr>
      </w:pPr>
      <w:r>
        <w:rPr>
          <w:b/>
          <w:bCs/>
        </w:rPr>
        <w:t>KRUGER, J.</w:t>
      </w:r>
    </w:p>
    <w:p w:rsidR="006D27C7" w:rsidP="006D27C7" w14:paraId="2B05F461" w14:textId="77777777">
      <w:pPr>
        <w:tabs>
          <w:tab w:val="left" w:pos="1440"/>
        </w:tabs>
        <w:spacing w:after="0" w:line="240" w:lineRule="auto"/>
        <w:rPr>
          <w:b/>
          <w:bCs/>
        </w:rPr>
      </w:pPr>
      <w:r>
        <w:rPr>
          <w:b/>
          <w:bCs/>
        </w:rPr>
        <w:t>GROBAN, J.</w:t>
      </w:r>
    </w:p>
    <w:p w:rsidR="006D27C7" w:rsidP="006D27C7" w14:paraId="2B05F462" w14:textId="77777777">
      <w:pPr>
        <w:tabs>
          <w:tab w:val="left" w:pos="1440"/>
        </w:tabs>
        <w:spacing w:after="0" w:line="240" w:lineRule="auto"/>
        <w:rPr>
          <w:b/>
          <w:bCs/>
        </w:rPr>
      </w:pPr>
      <w:r>
        <w:rPr>
          <w:b/>
          <w:bCs/>
        </w:rPr>
        <w:t>EVANS, J.</w:t>
      </w:r>
    </w:p>
    <w:p w:rsidR="00BB0780" w:rsidP="006D27C7" w14:paraId="2A6432ED" w14:textId="77777777">
      <w:pPr>
        <w:tabs>
          <w:tab w:val="left" w:pos="1440"/>
        </w:tabs>
        <w:spacing w:after="0" w:line="240" w:lineRule="auto"/>
        <w:rPr>
          <w:color w:val="212121"/>
          <w:szCs w:val="27"/>
        </w:rPr>
        <w:sectPr w:rsidSect="00C76FE0">
          <w:footerReference w:type="first" r:id="rId8"/>
          <w:pgSz w:w="12240" w:h="15840"/>
          <w:pgMar w:top="1800" w:right="2160" w:bottom="1440" w:left="2160" w:header="720" w:footer="720" w:gutter="0"/>
          <w:pgNumType w:start="1"/>
          <w:cols w:space="720"/>
          <w:titlePg/>
          <w:docGrid w:linePitch="367"/>
        </w:sectPr>
      </w:pPr>
    </w:p>
    <w:p w:rsidR="00A14DB8" w:rsidRPr="00A14DB8" w:rsidP="00A14DB8" w14:paraId="35D1C572" w14:textId="77777777">
      <w:pPr>
        <w:spacing w:after="0" w:line="240" w:lineRule="auto"/>
        <w:jc w:val="left"/>
        <w:rPr>
          <w:i/>
          <w:sz w:val="24"/>
          <w:szCs w:val="24"/>
        </w:rPr>
      </w:pPr>
      <w:r w:rsidRPr="00A14DB8">
        <w:rPr>
          <w:i/>
          <w:sz w:val="24"/>
          <w:szCs w:val="24"/>
        </w:rPr>
        <w:t>See next page for addresses and telephone numbers for counsel who argued in Supreme Court.</w:t>
      </w:r>
    </w:p>
    <w:p w:rsidR="00A14DB8" w:rsidRPr="00A14DB8" w:rsidP="00A14DB8" w14:paraId="4B906847" w14:textId="77777777">
      <w:pPr>
        <w:spacing w:after="0" w:line="240" w:lineRule="auto"/>
        <w:jc w:val="left"/>
        <w:rPr>
          <w:i/>
          <w:sz w:val="24"/>
          <w:szCs w:val="24"/>
        </w:rPr>
      </w:pPr>
    </w:p>
    <w:p w:rsidR="00A14DB8" w:rsidRPr="00A14DB8" w:rsidP="00A14DB8" w14:paraId="7DFD38AA" w14:textId="77777777">
      <w:pPr>
        <w:spacing w:after="0" w:line="240" w:lineRule="auto"/>
        <w:jc w:val="left"/>
        <w:rPr>
          <w:bCs/>
          <w:sz w:val="24"/>
          <w:szCs w:val="24"/>
        </w:rPr>
      </w:pPr>
      <w:r w:rsidRPr="00A14DB8">
        <w:rPr>
          <w:b/>
          <w:sz w:val="24"/>
          <w:szCs w:val="24"/>
        </w:rPr>
        <w:t xml:space="preserve">Name of Opinion  </w:t>
      </w:r>
      <w:r w:rsidRPr="00A14DB8">
        <w:rPr>
          <w:bCs/>
          <w:sz w:val="24"/>
          <w:szCs w:val="24"/>
        </w:rPr>
        <w:t>Harrod v. Country Oaks Partners, LLC</w:t>
      </w:r>
    </w:p>
    <w:p w:rsidR="00A14DB8" w:rsidRPr="00A14DB8" w:rsidP="00A14DB8" w14:paraId="7673DFE5" w14:textId="77777777">
      <w:pPr>
        <w:spacing w:after="0" w:line="240" w:lineRule="auto"/>
        <w:jc w:val="left"/>
        <w:rPr>
          <w:b/>
          <w:sz w:val="24"/>
          <w:szCs w:val="24"/>
        </w:rPr>
      </w:pPr>
      <w:r w:rsidRPr="00A14DB8">
        <w:rPr>
          <w:b/>
          <w:sz w:val="24"/>
          <w:szCs w:val="24"/>
        </w:rPr>
        <w:t xml:space="preserve">__________________________________________________________ </w:t>
      </w:r>
    </w:p>
    <w:p w:rsidR="00A14DB8" w:rsidRPr="00A14DB8" w:rsidP="00A14DB8" w14:paraId="5661440F" w14:textId="77777777">
      <w:pPr>
        <w:spacing w:after="0" w:line="240" w:lineRule="auto"/>
        <w:jc w:val="left"/>
        <w:rPr>
          <w:b/>
          <w:sz w:val="24"/>
          <w:szCs w:val="24"/>
        </w:rPr>
      </w:pPr>
    </w:p>
    <w:p w:rsidR="00A14DB8" w:rsidRPr="00A14DB8" w:rsidP="00A14DB8" w14:paraId="6C7CD4A1" w14:textId="77777777">
      <w:pPr>
        <w:spacing w:after="0" w:line="240" w:lineRule="auto"/>
        <w:jc w:val="left"/>
        <w:rPr>
          <w:sz w:val="24"/>
          <w:szCs w:val="24"/>
        </w:rPr>
      </w:pPr>
      <w:r w:rsidRPr="00A14DB8">
        <w:rPr>
          <w:b/>
          <w:bCs/>
          <w:sz w:val="24"/>
          <w:szCs w:val="24"/>
          <w:u w:val="single"/>
        </w:rPr>
        <w:t>Procedural Posture</w:t>
      </w:r>
      <w:r w:rsidRPr="00A14DB8">
        <w:rPr>
          <w:b/>
          <w:bCs/>
          <w:sz w:val="24"/>
          <w:szCs w:val="24"/>
        </w:rPr>
        <w:t xml:space="preserve"> </w:t>
      </w:r>
      <w:r w:rsidRPr="00A14DB8">
        <w:rPr>
          <w:sz w:val="24"/>
          <w:szCs w:val="24"/>
        </w:rPr>
        <w:t>(see XX below)</w:t>
      </w:r>
    </w:p>
    <w:p w:rsidR="00A14DB8" w:rsidRPr="00A14DB8" w:rsidP="00A14DB8" w14:paraId="0BF614E2" w14:textId="77777777">
      <w:pPr>
        <w:spacing w:after="0" w:line="240" w:lineRule="auto"/>
        <w:jc w:val="left"/>
        <w:rPr>
          <w:sz w:val="24"/>
          <w:szCs w:val="24"/>
        </w:rPr>
      </w:pPr>
      <w:r w:rsidRPr="00A14DB8">
        <w:rPr>
          <w:b/>
          <w:bCs/>
          <w:sz w:val="24"/>
          <w:szCs w:val="24"/>
        </w:rPr>
        <w:t>Original Appeal</w:t>
      </w:r>
      <w:r w:rsidRPr="00A14DB8">
        <w:rPr>
          <w:sz w:val="24"/>
          <w:szCs w:val="24"/>
        </w:rPr>
        <w:t xml:space="preserve"> </w:t>
      </w:r>
    </w:p>
    <w:p w:rsidR="00A14DB8" w:rsidRPr="00A14DB8" w:rsidP="00A14DB8" w14:paraId="7A8BE742" w14:textId="77777777">
      <w:pPr>
        <w:spacing w:after="0" w:line="240" w:lineRule="auto"/>
        <w:jc w:val="left"/>
        <w:rPr>
          <w:b/>
          <w:bCs/>
          <w:sz w:val="24"/>
          <w:szCs w:val="24"/>
        </w:rPr>
      </w:pPr>
      <w:r w:rsidRPr="00A14DB8">
        <w:rPr>
          <w:b/>
          <w:bCs/>
          <w:sz w:val="24"/>
          <w:szCs w:val="24"/>
        </w:rPr>
        <w:t>Original Proceeding</w:t>
      </w:r>
    </w:p>
    <w:p w:rsidR="00A14DB8" w:rsidRPr="00A14DB8" w:rsidP="00A14DB8" w14:paraId="6433C1EA" w14:textId="77777777">
      <w:pPr>
        <w:spacing w:after="0" w:line="240" w:lineRule="auto"/>
        <w:jc w:val="left"/>
        <w:rPr>
          <w:sz w:val="24"/>
          <w:szCs w:val="24"/>
        </w:rPr>
      </w:pPr>
      <w:r w:rsidRPr="00A14DB8">
        <w:rPr>
          <w:b/>
          <w:bCs/>
          <w:sz w:val="24"/>
          <w:szCs w:val="24"/>
        </w:rPr>
        <w:t>Review Granted</w:t>
      </w:r>
      <w:r w:rsidRPr="00A14DB8">
        <w:rPr>
          <w:sz w:val="24"/>
          <w:szCs w:val="24"/>
        </w:rPr>
        <w:t xml:space="preserve"> </w:t>
      </w:r>
      <w:r w:rsidRPr="00A14DB8">
        <w:rPr>
          <w:b/>
          <w:bCs/>
          <w:sz w:val="24"/>
          <w:szCs w:val="24"/>
        </w:rPr>
        <w:t xml:space="preserve">(published) </w:t>
      </w:r>
      <w:r w:rsidRPr="00A14DB8">
        <w:rPr>
          <w:sz w:val="24"/>
          <w:szCs w:val="24"/>
        </w:rPr>
        <w:t xml:space="preserve">XX 82 Cal.App.5th 365 </w:t>
      </w:r>
    </w:p>
    <w:p w:rsidR="00A14DB8" w:rsidRPr="00A14DB8" w:rsidP="00A14DB8" w14:paraId="30A3206D" w14:textId="77777777">
      <w:pPr>
        <w:spacing w:after="0" w:line="240" w:lineRule="auto"/>
        <w:jc w:val="left"/>
        <w:rPr>
          <w:sz w:val="24"/>
          <w:szCs w:val="24"/>
        </w:rPr>
      </w:pPr>
      <w:r w:rsidRPr="00A14DB8">
        <w:rPr>
          <w:b/>
          <w:bCs/>
          <w:sz w:val="24"/>
          <w:szCs w:val="24"/>
        </w:rPr>
        <w:t xml:space="preserve">Review Granted (unpublished) </w:t>
      </w:r>
    </w:p>
    <w:p w:rsidR="00A14DB8" w:rsidRPr="00A14DB8" w:rsidP="00A14DB8" w14:paraId="7D1FB715" w14:textId="77777777">
      <w:pPr>
        <w:spacing w:after="0" w:line="240" w:lineRule="auto"/>
        <w:jc w:val="left"/>
        <w:rPr>
          <w:b/>
          <w:bCs/>
          <w:sz w:val="24"/>
          <w:szCs w:val="24"/>
        </w:rPr>
      </w:pPr>
      <w:r w:rsidRPr="00A14DB8">
        <w:rPr>
          <w:b/>
          <w:bCs/>
          <w:sz w:val="24"/>
          <w:szCs w:val="24"/>
        </w:rPr>
        <w:t>Rehearing Granted</w:t>
      </w:r>
    </w:p>
    <w:p w:rsidR="00A14DB8" w:rsidRPr="00A14DB8" w:rsidP="00A14DB8" w14:paraId="44BF9764" w14:textId="77777777">
      <w:pPr>
        <w:spacing w:after="0" w:line="240" w:lineRule="auto"/>
        <w:jc w:val="left"/>
        <w:rPr>
          <w:b/>
          <w:sz w:val="24"/>
          <w:szCs w:val="24"/>
        </w:rPr>
      </w:pPr>
      <w:r w:rsidRPr="00A14DB8">
        <w:rPr>
          <w:b/>
          <w:sz w:val="24"/>
          <w:szCs w:val="24"/>
        </w:rPr>
        <w:t xml:space="preserve">__________________________________________________________ </w:t>
      </w:r>
    </w:p>
    <w:p w:rsidR="00A14DB8" w:rsidRPr="00A14DB8" w:rsidP="00A14DB8" w14:paraId="051FAD6D" w14:textId="77777777">
      <w:pPr>
        <w:spacing w:after="0" w:line="240" w:lineRule="auto"/>
        <w:jc w:val="left"/>
        <w:rPr>
          <w:b/>
          <w:sz w:val="24"/>
          <w:szCs w:val="24"/>
        </w:rPr>
      </w:pPr>
    </w:p>
    <w:p w:rsidR="00A14DB8" w:rsidRPr="00A14DB8" w:rsidP="00A14DB8" w14:paraId="2B4CD6C3" w14:textId="77777777">
      <w:pPr>
        <w:spacing w:after="0" w:line="240" w:lineRule="auto"/>
        <w:jc w:val="left"/>
        <w:rPr>
          <w:bCs/>
          <w:sz w:val="24"/>
          <w:szCs w:val="24"/>
        </w:rPr>
      </w:pPr>
      <w:r w:rsidRPr="00A14DB8">
        <w:rPr>
          <w:b/>
          <w:sz w:val="24"/>
          <w:szCs w:val="24"/>
        </w:rPr>
        <w:t>Opinion No.</w:t>
      </w:r>
      <w:r w:rsidRPr="00A14DB8">
        <w:rPr>
          <w:sz w:val="24"/>
          <w:szCs w:val="24"/>
        </w:rPr>
        <w:t xml:space="preserve"> S276545</w:t>
      </w:r>
    </w:p>
    <w:p w:rsidR="00A14DB8" w:rsidRPr="00A14DB8" w:rsidP="00A14DB8" w14:paraId="3DD7B81A" w14:textId="77777777">
      <w:pPr>
        <w:spacing w:after="0" w:line="240" w:lineRule="auto"/>
        <w:jc w:val="left"/>
        <w:rPr>
          <w:bCs/>
          <w:sz w:val="24"/>
          <w:szCs w:val="24"/>
        </w:rPr>
      </w:pPr>
      <w:r w:rsidRPr="00A14DB8">
        <w:rPr>
          <w:b/>
          <w:sz w:val="24"/>
          <w:szCs w:val="24"/>
        </w:rPr>
        <w:t>Date Filed:</w:t>
      </w:r>
      <w:r w:rsidRPr="00A14DB8">
        <w:rPr>
          <w:sz w:val="24"/>
          <w:szCs w:val="24"/>
        </w:rPr>
        <w:t xml:space="preserve">  March 28, 2024</w:t>
      </w:r>
    </w:p>
    <w:p w:rsidR="00A14DB8" w:rsidRPr="00A14DB8" w:rsidP="00A14DB8" w14:paraId="17BE9F4E" w14:textId="77777777">
      <w:pPr>
        <w:spacing w:after="0" w:line="240" w:lineRule="auto"/>
        <w:jc w:val="left"/>
        <w:rPr>
          <w:b/>
          <w:sz w:val="24"/>
          <w:szCs w:val="24"/>
        </w:rPr>
      </w:pPr>
      <w:r w:rsidRPr="00A14DB8">
        <w:rPr>
          <w:b/>
          <w:sz w:val="24"/>
          <w:szCs w:val="24"/>
        </w:rPr>
        <w:t xml:space="preserve">__________________________________________________________ </w:t>
      </w:r>
    </w:p>
    <w:p w:rsidR="00A14DB8" w:rsidRPr="00A14DB8" w:rsidP="00A14DB8" w14:paraId="06F22F5B" w14:textId="77777777">
      <w:pPr>
        <w:spacing w:after="0" w:line="240" w:lineRule="auto"/>
        <w:jc w:val="left"/>
        <w:rPr>
          <w:b/>
          <w:sz w:val="24"/>
          <w:szCs w:val="24"/>
        </w:rPr>
      </w:pPr>
    </w:p>
    <w:p w:rsidR="00A14DB8" w:rsidRPr="00A14DB8" w:rsidP="00A14DB8" w14:paraId="140F7C7F" w14:textId="77777777">
      <w:pPr>
        <w:spacing w:after="0" w:line="240" w:lineRule="auto"/>
        <w:jc w:val="left"/>
        <w:rPr>
          <w:bCs/>
          <w:sz w:val="24"/>
          <w:szCs w:val="24"/>
        </w:rPr>
      </w:pPr>
      <w:r w:rsidRPr="00A14DB8">
        <w:rPr>
          <w:b/>
          <w:sz w:val="24"/>
          <w:szCs w:val="24"/>
        </w:rPr>
        <w:t xml:space="preserve">Court:  </w:t>
      </w:r>
      <w:r w:rsidRPr="00A14DB8">
        <w:rPr>
          <w:bCs/>
          <w:sz w:val="24"/>
          <w:szCs w:val="24"/>
        </w:rPr>
        <w:t>Superior</w:t>
      </w:r>
      <w:r w:rsidRPr="00A14DB8">
        <w:rPr>
          <w:b/>
          <w:sz w:val="24"/>
          <w:szCs w:val="24"/>
        </w:rPr>
        <w:t xml:space="preserve"> </w:t>
      </w:r>
    </w:p>
    <w:p w:rsidR="00A14DB8" w:rsidRPr="00A14DB8" w:rsidP="00A14DB8" w14:paraId="3127BDB9" w14:textId="77777777">
      <w:pPr>
        <w:spacing w:after="0" w:line="240" w:lineRule="auto"/>
        <w:jc w:val="left"/>
        <w:rPr>
          <w:bCs/>
          <w:sz w:val="24"/>
          <w:szCs w:val="24"/>
        </w:rPr>
      </w:pPr>
      <w:r w:rsidRPr="00A14DB8">
        <w:rPr>
          <w:b/>
          <w:sz w:val="24"/>
          <w:szCs w:val="24"/>
        </w:rPr>
        <w:t xml:space="preserve">County:  </w:t>
      </w:r>
      <w:r w:rsidRPr="00A14DB8">
        <w:rPr>
          <w:bCs/>
          <w:sz w:val="24"/>
          <w:szCs w:val="24"/>
        </w:rPr>
        <w:t>Los Angeles</w:t>
      </w:r>
    </w:p>
    <w:p w:rsidR="00A14DB8" w:rsidRPr="00A14DB8" w:rsidP="00A14DB8" w14:paraId="5CA634C7" w14:textId="77777777">
      <w:pPr>
        <w:spacing w:after="0" w:line="240" w:lineRule="auto"/>
        <w:ind w:left="720" w:hanging="720"/>
        <w:jc w:val="left"/>
        <w:rPr>
          <w:bCs/>
          <w:sz w:val="24"/>
          <w:szCs w:val="24"/>
        </w:rPr>
      </w:pPr>
      <w:r w:rsidRPr="00A14DB8">
        <w:rPr>
          <w:b/>
          <w:sz w:val="24"/>
          <w:szCs w:val="24"/>
        </w:rPr>
        <w:t xml:space="preserve">Judge: </w:t>
      </w:r>
      <w:r w:rsidRPr="00A14DB8">
        <w:rPr>
          <w:bCs/>
          <w:sz w:val="24"/>
          <w:szCs w:val="24"/>
        </w:rPr>
        <w:t xml:space="preserve"> Monica Bachner</w:t>
      </w:r>
    </w:p>
    <w:p w:rsidR="00A14DB8" w:rsidRPr="00A14DB8" w:rsidP="00A14DB8" w14:paraId="6F439693" w14:textId="77777777">
      <w:pPr>
        <w:spacing w:after="0" w:line="240" w:lineRule="auto"/>
        <w:jc w:val="left"/>
        <w:rPr>
          <w:b/>
          <w:sz w:val="24"/>
          <w:szCs w:val="24"/>
        </w:rPr>
      </w:pPr>
      <w:r w:rsidRPr="00A14DB8">
        <w:rPr>
          <w:b/>
          <w:sz w:val="24"/>
          <w:szCs w:val="24"/>
        </w:rPr>
        <w:t xml:space="preserve">__________________________________________________________  </w:t>
      </w:r>
    </w:p>
    <w:p w:rsidR="00A14DB8" w:rsidRPr="00A14DB8" w:rsidP="00A14DB8" w14:paraId="0EF46EE8" w14:textId="77777777">
      <w:pPr>
        <w:spacing w:after="0" w:line="240" w:lineRule="auto"/>
        <w:jc w:val="left"/>
        <w:rPr>
          <w:b/>
          <w:sz w:val="24"/>
          <w:szCs w:val="24"/>
        </w:rPr>
      </w:pPr>
    </w:p>
    <w:p w:rsidR="00A14DB8" w:rsidRPr="00A14DB8" w:rsidP="00A14DB8" w14:paraId="524F642A" w14:textId="77777777">
      <w:pPr>
        <w:spacing w:after="0" w:line="240" w:lineRule="auto"/>
        <w:jc w:val="left"/>
        <w:rPr>
          <w:b/>
          <w:sz w:val="24"/>
          <w:szCs w:val="24"/>
        </w:rPr>
      </w:pPr>
      <w:r w:rsidRPr="00A14DB8">
        <w:rPr>
          <w:b/>
          <w:sz w:val="24"/>
          <w:szCs w:val="24"/>
        </w:rPr>
        <w:t>Counsel:</w:t>
      </w:r>
    </w:p>
    <w:p w:rsidR="00A14DB8" w:rsidRPr="00A14DB8" w:rsidP="00A14DB8" w14:paraId="4AC28DB4" w14:textId="77777777">
      <w:pPr>
        <w:spacing w:after="0" w:line="240" w:lineRule="auto"/>
        <w:jc w:val="left"/>
        <w:rPr>
          <w:b/>
          <w:sz w:val="24"/>
          <w:szCs w:val="24"/>
        </w:rPr>
      </w:pPr>
    </w:p>
    <w:p w:rsidR="00A14DB8" w:rsidRPr="00A14DB8" w:rsidP="00A14DB8" w14:paraId="24C30231"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Cole Pedroza, Kenneth R. Pedroza, Cassidy C. Davenport; Buchalter, Harry W.R. Chamberlain II, Robert M. Dato; Sun Mar Management Services, Trent Evans, Kevin Khachatryan, Julieta Y. Echeverria and Brittany A. Ortiz for Defendants and Appellants.</w:t>
      </w:r>
    </w:p>
    <w:p w:rsidR="00A14DB8" w:rsidRPr="00A14DB8" w:rsidP="00A14DB8" w14:paraId="6837D66F" w14:textId="77777777">
      <w:pPr>
        <w:spacing w:after="0" w:line="240" w:lineRule="auto"/>
        <w:jc w:val="left"/>
        <w:rPr>
          <w:color w:val="212121"/>
          <w:sz w:val="24"/>
          <w:szCs w:val="24"/>
          <w:shd w:val="clear" w:color="auto" w:fill="FFFFFF"/>
        </w:rPr>
      </w:pPr>
    </w:p>
    <w:p w:rsidR="00A14DB8" w:rsidRPr="00A14DB8" w:rsidP="00A14DB8" w14:paraId="412A48D9"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Tucker Ellis and Traci L. Shafroth for California Medical Association,  California Dental Association and California Hospital Association as Amici Curiae on behalf of Defendants and Appellants.</w:t>
      </w:r>
    </w:p>
    <w:p w:rsidR="00A14DB8" w:rsidRPr="00A14DB8" w:rsidP="00A14DB8" w14:paraId="0E399596" w14:textId="77777777">
      <w:pPr>
        <w:spacing w:after="0" w:line="240" w:lineRule="auto"/>
        <w:jc w:val="left"/>
        <w:rPr>
          <w:color w:val="212121"/>
          <w:sz w:val="24"/>
          <w:szCs w:val="24"/>
          <w:shd w:val="clear" w:color="auto" w:fill="FFFFFF"/>
        </w:rPr>
      </w:pPr>
    </w:p>
    <w:p w:rsidR="00A14DB8" w:rsidRPr="00A14DB8" w:rsidP="00A14DB8" w14:paraId="522C4C6B"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Hooper, Lundy &amp; Bookman, Mark E. Reagan and Jeffrey Lin for California Association of Health Facilities as Amicus Curiae on behalf of Defendants and Appellants.</w:t>
      </w:r>
    </w:p>
    <w:p w:rsidR="00A14DB8" w:rsidRPr="00A14DB8" w:rsidP="00A14DB8" w14:paraId="087C962B" w14:textId="77777777">
      <w:pPr>
        <w:spacing w:after="0" w:line="240" w:lineRule="auto"/>
        <w:jc w:val="left"/>
        <w:rPr>
          <w:color w:val="212121"/>
          <w:sz w:val="24"/>
          <w:szCs w:val="24"/>
          <w:shd w:val="clear" w:color="auto" w:fill="FFFFFF"/>
        </w:rPr>
      </w:pPr>
    </w:p>
    <w:p w:rsidR="00A14DB8" w:rsidRPr="00A14DB8" w:rsidP="00A14DB8" w14:paraId="2E999550"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Carroll, Kelly, Trotter &amp; Franzen, David P. Pruett; and Fred J. Hiestand for the Association of Southern California Defense Counsel and the Civil Justice Association of California</w:t>
      </w:r>
      <w:r w:rsidRPr="00A14DB8">
        <w:rPr>
          <w:rFonts w:ascii="Times New Roman" w:hAnsi="Times New Roman"/>
          <w:sz w:val="26"/>
        </w:rPr>
        <w:t xml:space="preserve"> </w:t>
      </w:r>
      <w:r w:rsidRPr="00A14DB8">
        <w:rPr>
          <w:color w:val="212121"/>
          <w:sz w:val="24"/>
          <w:szCs w:val="24"/>
          <w:shd w:val="clear" w:color="auto" w:fill="FFFFFF"/>
        </w:rPr>
        <w:t>as Amici Curiae on behalf of Defendants and Appellants.</w:t>
      </w:r>
    </w:p>
    <w:p w:rsidR="00A14DB8" w:rsidRPr="00A14DB8" w:rsidP="00A14DB8" w14:paraId="5501DF8D" w14:textId="77777777">
      <w:pPr>
        <w:spacing w:after="0" w:line="240" w:lineRule="auto"/>
        <w:jc w:val="left"/>
        <w:rPr>
          <w:color w:val="212121"/>
          <w:sz w:val="24"/>
          <w:szCs w:val="24"/>
          <w:shd w:val="clear" w:color="auto" w:fill="FFFFFF"/>
        </w:rPr>
      </w:pPr>
    </w:p>
    <w:p w:rsidR="00A14DB8" w:rsidRPr="00A14DB8" w:rsidP="00A14DB8" w14:paraId="43E9F49F"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 xml:space="preserve">Lanzone Morgan, Ayman R. Mourad, Alexander S. Rynerson, Suzanne M. Voas; BraunHagey &amp; Borden, Matthew Borden and Kory J. DeClark for Plaintiff and Respondent. </w:t>
      </w:r>
    </w:p>
    <w:p w:rsidR="00A14DB8" w:rsidRPr="00A14DB8" w:rsidP="00A14DB8" w14:paraId="015A4DC9" w14:textId="77777777">
      <w:pPr>
        <w:spacing w:after="0" w:line="240" w:lineRule="auto"/>
        <w:jc w:val="left"/>
        <w:rPr>
          <w:color w:val="212121"/>
          <w:sz w:val="24"/>
          <w:szCs w:val="24"/>
          <w:shd w:val="clear" w:color="auto" w:fill="FFFFFF"/>
        </w:rPr>
      </w:pPr>
    </w:p>
    <w:p w:rsidR="00A14DB8" w:rsidRPr="00A14DB8" w:rsidP="00A14DB8" w14:paraId="0066B938"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Stiller Law Firm and Ari J. Stiller for Consumer Attorneys of California, Compassion &amp; Choices, American Association for Justice and Public Justice as Amici Curiae on behalf of Plaintiff and Respondent.</w:t>
      </w:r>
    </w:p>
    <w:p w:rsidR="00A14DB8" w:rsidRPr="00A14DB8" w:rsidP="00A14DB8" w14:paraId="7FDC385D" w14:textId="77777777">
      <w:pPr>
        <w:spacing w:after="0" w:line="240" w:lineRule="auto"/>
        <w:jc w:val="left"/>
        <w:rPr>
          <w:color w:val="212121"/>
          <w:sz w:val="24"/>
          <w:szCs w:val="24"/>
          <w:shd w:val="clear" w:color="auto" w:fill="FFFFFF"/>
        </w:rPr>
      </w:pPr>
    </w:p>
    <w:p w:rsidR="00A14DB8" w:rsidRPr="00A14DB8" w:rsidP="00A14DB8" w14:paraId="3E6B34C4"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William Alvarado Rivera; and Eric M. Carlson for AARP, AARP Foundation, Justice in Aging, California Advocates for Nursing Home Reform, California Long-Term Care Ombudsman Association and The National Consumer Voice for Quality Long-Term Care as Amici Curiae on behalf of Plaintiff and Respondent.</w:t>
      </w:r>
      <w:r w:rsidRPr="00A14DB8">
        <w:rPr>
          <w:color w:val="212121"/>
          <w:sz w:val="24"/>
          <w:szCs w:val="24"/>
          <w:shd w:val="clear" w:color="auto" w:fill="FFFFFF"/>
        </w:rPr>
        <w:br w:type="page"/>
      </w:r>
      <w:r w:rsidRPr="00A14DB8">
        <w:rPr>
          <w:b/>
          <w:sz w:val="24"/>
          <w:szCs w:val="24"/>
        </w:rPr>
        <w:t xml:space="preserve">Counsel who argued in Supreme Court (not intended for publication with opinion): </w:t>
      </w:r>
    </w:p>
    <w:p w:rsidR="00A14DB8" w:rsidRPr="00A14DB8" w:rsidP="00A14DB8" w14:paraId="31D423A3" w14:textId="77777777">
      <w:pPr>
        <w:spacing w:after="0" w:line="240" w:lineRule="auto"/>
        <w:jc w:val="left"/>
        <w:rPr>
          <w:sz w:val="24"/>
          <w:szCs w:val="24"/>
        </w:rPr>
      </w:pPr>
    </w:p>
    <w:p w:rsidR="00A14DB8" w:rsidRPr="00A14DB8" w:rsidP="00A14DB8" w14:paraId="3267F54A"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Harry W.R. Chamberlain II</w:t>
      </w:r>
    </w:p>
    <w:p w:rsidR="00A14DB8" w:rsidRPr="00A14DB8" w:rsidP="00A14DB8" w14:paraId="5939DFE3" w14:textId="77777777">
      <w:pPr>
        <w:spacing w:after="0" w:line="240" w:lineRule="auto"/>
        <w:jc w:val="left"/>
        <w:rPr>
          <w:color w:val="212121"/>
          <w:sz w:val="24"/>
          <w:szCs w:val="24"/>
          <w:shd w:val="clear" w:color="auto" w:fill="FFFFFF"/>
        </w:rPr>
      </w:pPr>
      <w:r w:rsidRPr="00A14DB8">
        <w:rPr>
          <w:color w:val="212121"/>
          <w:sz w:val="24"/>
          <w:szCs w:val="24"/>
          <w:shd w:val="clear" w:color="auto" w:fill="FFFFFF"/>
        </w:rPr>
        <w:t>Buchalter, A Professional Corporation</w:t>
      </w:r>
    </w:p>
    <w:p w:rsidR="00A14DB8" w:rsidRPr="00A14DB8" w:rsidP="00A14DB8" w14:paraId="1C4EF6A9" w14:textId="77777777">
      <w:pPr>
        <w:spacing w:after="0" w:line="240" w:lineRule="auto"/>
        <w:jc w:val="left"/>
        <w:rPr>
          <w:sz w:val="24"/>
          <w:szCs w:val="24"/>
        </w:rPr>
      </w:pPr>
      <w:r w:rsidRPr="00A14DB8">
        <w:rPr>
          <w:sz w:val="24"/>
          <w:szCs w:val="24"/>
        </w:rPr>
        <w:t>1000 Wilshire Boulevard, Suite 1500</w:t>
      </w:r>
    </w:p>
    <w:p w:rsidR="00A14DB8" w:rsidRPr="00A14DB8" w:rsidP="00A14DB8" w14:paraId="1C597A27" w14:textId="77777777">
      <w:pPr>
        <w:spacing w:after="0" w:line="240" w:lineRule="auto"/>
        <w:jc w:val="left"/>
        <w:rPr>
          <w:sz w:val="24"/>
          <w:szCs w:val="24"/>
        </w:rPr>
      </w:pPr>
      <w:r w:rsidRPr="00A14DB8">
        <w:rPr>
          <w:sz w:val="24"/>
          <w:szCs w:val="24"/>
        </w:rPr>
        <w:t>Los Angeles, CA 90017</w:t>
      </w:r>
    </w:p>
    <w:p w:rsidR="00A14DB8" w:rsidRPr="00A14DB8" w:rsidP="00A14DB8" w14:paraId="2FAFEBF5" w14:textId="77777777">
      <w:pPr>
        <w:spacing w:after="0" w:line="240" w:lineRule="auto"/>
        <w:jc w:val="left"/>
        <w:rPr>
          <w:sz w:val="24"/>
          <w:szCs w:val="24"/>
        </w:rPr>
      </w:pPr>
      <w:r w:rsidRPr="00A14DB8">
        <w:rPr>
          <w:sz w:val="24"/>
          <w:szCs w:val="24"/>
        </w:rPr>
        <w:t>(213) 891-5115</w:t>
      </w:r>
    </w:p>
    <w:p w:rsidR="00A14DB8" w:rsidRPr="00A14DB8" w:rsidP="00A14DB8" w14:paraId="0AFBDBEA" w14:textId="77777777">
      <w:pPr>
        <w:spacing w:after="0" w:line="240" w:lineRule="auto"/>
        <w:jc w:val="left"/>
        <w:rPr>
          <w:sz w:val="24"/>
          <w:szCs w:val="24"/>
        </w:rPr>
      </w:pPr>
    </w:p>
    <w:p w:rsidR="00A14DB8" w:rsidRPr="00A14DB8" w:rsidP="00A14DB8" w14:paraId="7B30658A" w14:textId="77777777">
      <w:pPr>
        <w:spacing w:after="0" w:line="240" w:lineRule="auto"/>
        <w:jc w:val="left"/>
        <w:rPr>
          <w:sz w:val="24"/>
          <w:szCs w:val="24"/>
        </w:rPr>
      </w:pPr>
      <w:r w:rsidRPr="00A14DB8">
        <w:rPr>
          <w:sz w:val="24"/>
          <w:szCs w:val="24"/>
        </w:rPr>
        <w:t>Mark E. Reagan</w:t>
      </w:r>
    </w:p>
    <w:p w:rsidR="00A14DB8" w:rsidRPr="00A14DB8" w:rsidP="00A14DB8" w14:paraId="0AB44E8E" w14:textId="77777777">
      <w:pPr>
        <w:spacing w:after="0" w:line="240" w:lineRule="auto"/>
        <w:jc w:val="left"/>
        <w:rPr>
          <w:sz w:val="24"/>
          <w:szCs w:val="24"/>
        </w:rPr>
      </w:pPr>
      <w:r w:rsidRPr="00A14DB8">
        <w:rPr>
          <w:sz w:val="24"/>
          <w:szCs w:val="24"/>
        </w:rPr>
        <w:t>Hooper, Lundy &amp; Bookman, P.C.</w:t>
      </w:r>
    </w:p>
    <w:p w:rsidR="00A14DB8" w:rsidRPr="00A14DB8" w:rsidP="00A14DB8" w14:paraId="423654F5" w14:textId="77777777">
      <w:pPr>
        <w:spacing w:after="0" w:line="240" w:lineRule="auto"/>
        <w:jc w:val="left"/>
        <w:rPr>
          <w:sz w:val="24"/>
          <w:szCs w:val="24"/>
        </w:rPr>
      </w:pPr>
      <w:r w:rsidRPr="00A14DB8">
        <w:rPr>
          <w:sz w:val="24"/>
          <w:szCs w:val="24"/>
        </w:rPr>
        <w:t>44 Montgomery Street, Suite 3500</w:t>
      </w:r>
    </w:p>
    <w:p w:rsidR="00A14DB8" w:rsidRPr="00A14DB8" w:rsidP="00A14DB8" w14:paraId="39661DC3" w14:textId="77777777">
      <w:pPr>
        <w:spacing w:after="0" w:line="240" w:lineRule="auto"/>
        <w:jc w:val="left"/>
        <w:rPr>
          <w:sz w:val="24"/>
          <w:szCs w:val="24"/>
        </w:rPr>
      </w:pPr>
      <w:r w:rsidRPr="00A14DB8">
        <w:rPr>
          <w:sz w:val="24"/>
          <w:szCs w:val="24"/>
        </w:rPr>
        <w:t>San Francisco, CA 94104</w:t>
      </w:r>
    </w:p>
    <w:p w:rsidR="00A14DB8" w:rsidRPr="00A14DB8" w:rsidP="00A14DB8" w14:paraId="1D9084C1" w14:textId="77777777">
      <w:pPr>
        <w:spacing w:after="0" w:line="240" w:lineRule="auto"/>
        <w:jc w:val="left"/>
        <w:rPr>
          <w:sz w:val="24"/>
          <w:szCs w:val="24"/>
        </w:rPr>
      </w:pPr>
      <w:r w:rsidRPr="00A14DB8">
        <w:rPr>
          <w:sz w:val="24"/>
          <w:szCs w:val="24"/>
        </w:rPr>
        <w:t>(415) 875-8501</w:t>
      </w:r>
    </w:p>
    <w:p w:rsidR="00A14DB8" w:rsidRPr="00A14DB8" w:rsidP="00A14DB8" w14:paraId="4C419B75" w14:textId="77777777">
      <w:pPr>
        <w:spacing w:after="0" w:line="240" w:lineRule="auto"/>
        <w:jc w:val="left"/>
        <w:rPr>
          <w:sz w:val="24"/>
          <w:szCs w:val="24"/>
        </w:rPr>
      </w:pPr>
    </w:p>
    <w:p w:rsidR="00A14DB8" w:rsidRPr="00A14DB8" w:rsidP="00A14DB8" w14:paraId="0BF5ABF4" w14:textId="77777777">
      <w:pPr>
        <w:spacing w:after="0" w:line="240" w:lineRule="auto"/>
        <w:jc w:val="left"/>
        <w:rPr>
          <w:sz w:val="24"/>
          <w:szCs w:val="24"/>
        </w:rPr>
      </w:pPr>
      <w:r w:rsidRPr="00A14DB8">
        <w:rPr>
          <w:sz w:val="24"/>
          <w:szCs w:val="24"/>
        </w:rPr>
        <w:t>Matthew Borden</w:t>
      </w:r>
    </w:p>
    <w:p w:rsidR="00A14DB8" w:rsidRPr="00A14DB8" w:rsidP="00A14DB8" w14:paraId="6AD257F3" w14:textId="77777777">
      <w:pPr>
        <w:spacing w:after="0" w:line="240" w:lineRule="auto"/>
        <w:jc w:val="left"/>
        <w:rPr>
          <w:sz w:val="24"/>
          <w:szCs w:val="24"/>
        </w:rPr>
      </w:pPr>
      <w:r w:rsidRPr="00A14DB8">
        <w:rPr>
          <w:color w:val="212121"/>
          <w:sz w:val="24"/>
          <w:szCs w:val="24"/>
          <w:shd w:val="clear" w:color="auto" w:fill="FFFFFF"/>
        </w:rPr>
        <w:t>BraunHagey &amp; Borden LLP</w:t>
      </w:r>
    </w:p>
    <w:p w:rsidR="00A14DB8" w:rsidRPr="00A14DB8" w:rsidP="00A14DB8" w14:paraId="2284FAD8" w14:textId="77777777">
      <w:pPr>
        <w:spacing w:after="0" w:line="240" w:lineRule="auto"/>
        <w:jc w:val="left"/>
        <w:rPr>
          <w:sz w:val="24"/>
          <w:szCs w:val="24"/>
        </w:rPr>
      </w:pPr>
      <w:r w:rsidRPr="00A14DB8">
        <w:rPr>
          <w:sz w:val="24"/>
          <w:szCs w:val="24"/>
        </w:rPr>
        <w:t>351 California Street, 10th Floor</w:t>
      </w:r>
    </w:p>
    <w:p w:rsidR="00A14DB8" w:rsidRPr="00A14DB8" w:rsidP="00A14DB8" w14:paraId="6297E3CB" w14:textId="77777777">
      <w:pPr>
        <w:spacing w:after="0" w:line="240" w:lineRule="auto"/>
        <w:jc w:val="left"/>
        <w:rPr>
          <w:sz w:val="24"/>
          <w:szCs w:val="24"/>
        </w:rPr>
      </w:pPr>
      <w:r w:rsidRPr="00A14DB8">
        <w:rPr>
          <w:sz w:val="24"/>
          <w:szCs w:val="24"/>
        </w:rPr>
        <w:t>San Francisco, CA 94104</w:t>
      </w:r>
    </w:p>
    <w:p w:rsidR="00A14DB8" w:rsidRPr="00A14DB8" w:rsidP="00A14DB8" w14:paraId="780ACCD7" w14:textId="77777777">
      <w:pPr>
        <w:spacing w:after="0" w:line="240" w:lineRule="auto"/>
        <w:jc w:val="left"/>
        <w:rPr>
          <w:sz w:val="24"/>
          <w:szCs w:val="24"/>
        </w:rPr>
      </w:pPr>
      <w:r w:rsidRPr="00A14DB8">
        <w:rPr>
          <w:sz w:val="24"/>
          <w:szCs w:val="24"/>
        </w:rPr>
        <w:t>(415) 599-0210</w:t>
      </w:r>
    </w:p>
    <w:p w:rsidR="00BB0780" w:rsidRPr="00B5115D" w:rsidP="006D27C7" w14:paraId="2BAF57BA" w14:textId="77777777">
      <w:pPr>
        <w:tabs>
          <w:tab w:val="left" w:pos="1440"/>
        </w:tabs>
        <w:spacing w:after="0" w:line="240" w:lineRule="auto"/>
        <w:rPr>
          <w:color w:val="212121"/>
          <w:szCs w:val="27"/>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8824410"/>
      <w:docPartObj>
        <w:docPartGallery w:val="Page Numbers (Bottom of Page)"/>
        <w:docPartUnique/>
      </w:docPartObj>
    </w:sdtPr>
    <w:sdtEndPr>
      <w:rPr>
        <w:noProof/>
        <w:sz w:val="26"/>
        <w:szCs w:val="26"/>
      </w:rPr>
    </w:sdtEndPr>
    <w:sdtContent>
      <w:p w:rsidR="002D3255" w:rsidRPr="002D3255" w14:paraId="2B05F469" w14:textId="77777777">
        <w:pPr>
          <w:pStyle w:val="Footer"/>
          <w:rPr>
            <w:sz w:val="26"/>
            <w:szCs w:val="26"/>
          </w:rPr>
        </w:pPr>
        <w:r w:rsidRPr="002D3255">
          <w:rPr>
            <w:sz w:val="26"/>
            <w:szCs w:val="26"/>
          </w:rPr>
          <w:fldChar w:fldCharType="begin"/>
        </w:r>
        <w:r w:rsidRPr="002D3255">
          <w:rPr>
            <w:sz w:val="26"/>
            <w:szCs w:val="26"/>
          </w:rPr>
          <w:instrText xml:space="preserve"> PAGE   \* MERGEFORMAT </w:instrText>
        </w:r>
        <w:r w:rsidRPr="002D3255">
          <w:rPr>
            <w:sz w:val="26"/>
            <w:szCs w:val="26"/>
          </w:rPr>
          <w:fldChar w:fldCharType="separate"/>
        </w:r>
        <w:r w:rsidRPr="002D3255">
          <w:rPr>
            <w:noProof/>
            <w:sz w:val="26"/>
            <w:szCs w:val="26"/>
          </w:rPr>
          <w:t>2</w:t>
        </w:r>
        <w:r w:rsidRPr="002D3255">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FE0" w14:paraId="2B05F46A"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5B2" w:rsidRPr="002D3255" w14:paraId="4D82415F" w14:textId="2357978D">
    <w:pPr>
      <w:pStyle w:val="Foo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4614" w:rsidP="00B652C6" w14:paraId="2B05F463" w14:textId="77777777">
      <w:r>
        <w:separator/>
      </w:r>
    </w:p>
  </w:footnote>
  <w:footnote w:type="continuationSeparator" w:id="1">
    <w:p w:rsidR="009F4614" w:rsidP="00B652C6" w14:paraId="2B05F464" w14:textId="77777777">
      <w:r>
        <w:continuationSeparator/>
      </w:r>
    </w:p>
  </w:footnote>
  <w:footnote w:type="continuationNotice" w:id="2">
    <w:p w:rsidR="009F4614" w14:paraId="2B05F465" w14:textId="77777777"/>
  </w:footnote>
  <w:footnote w:id="3">
    <w:p w:rsidR="00035B60" w:rsidRPr="000E1F93" w:rsidP="00035B60" w14:paraId="2B05F46B"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 xml:space="preserve"> </w:t>
      </w:r>
      <w:r w:rsidRPr="000E1F93">
        <w:rPr>
          <w:rFonts w:cstheme="minorHAnsi"/>
          <w:szCs w:val="27"/>
        </w:rPr>
        <w:tab/>
        <w:t>Unless specified, further statutory references are to the Probate Code.</w:t>
      </w:r>
    </w:p>
  </w:footnote>
  <w:footnote w:id="4">
    <w:p w:rsidR="00C772A0" w:rsidRPr="000E1F93" w:rsidP="00C76FE0" w14:paraId="2B05F46C" w14:textId="77777777">
      <w:pPr>
        <w:pStyle w:val="FootnoteText"/>
        <w:rPr>
          <w:rFonts w:cstheme="minorHAnsi"/>
          <w:szCs w:val="27"/>
        </w:rPr>
      </w:pPr>
      <w:r w:rsidRPr="000E1F93">
        <w:rPr>
          <w:rStyle w:val="FootnoteReference"/>
          <w:rFonts w:cstheme="minorHAnsi"/>
          <w:szCs w:val="27"/>
        </w:rPr>
        <w:footnoteRef/>
      </w:r>
      <w:r w:rsidRPr="000E1F93">
        <w:rPr>
          <w:rFonts w:cstheme="minorHAnsi"/>
          <w:szCs w:val="27"/>
        </w:rPr>
        <w:t xml:space="preserve"> </w:t>
      </w:r>
      <w:r w:rsidRPr="000E1F93">
        <w:rPr>
          <w:rFonts w:cstheme="minorHAnsi"/>
          <w:szCs w:val="27"/>
        </w:rPr>
        <w:tab/>
      </w:r>
      <w:r w:rsidRPr="000E1F93" w:rsidR="00225933">
        <w:rPr>
          <w:rFonts w:cstheme="minorHAnsi"/>
          <w:szCs w:val="27"/>
        </w:rPr>
        <w:t>Neither c</w:t>
      </w:r>
      <w:r w:rsidRPr="000E1F93">
        <w:rPr>
          <w:rFonts w:cstheme="minorHAnsi"/>
          <w:szCs w:val="27"/>
        </w:rPr>
        <w:t>ompliance with</w:t>
      </w:r>
      <w:r w:rsidRPr="000E1F93" w:rsidR="00862CBF">
        <w:rPr>
          <w:rFonts w:cstheme="minorHAnsi"/>
          <w:szCs w:val="27"/>
        </w:rPr>
        <w:t>, nor the enforceability of,</w:t>
      </w:r>
      <w:r w:rsidRPr="000E1F93">
        <w:rPr>
          <w:rFonts w:cstheme="minorHAnsi"/>
          <w:szCs w:val="27"/>
        </w:rPr>
        <w:t xml:space="preserve"> </w:t>
      </w:r>
      <w:r w:rsidRPr="000E1F93" w:rsidR="00862CBF">
        <w:rPr>
          <w:rFonts w:cstheme="minorHAnsi"/>
          <w:szCs w:val="27"/>
        </w:rPr>
        <w:t xml:space="preserve">the requirements for arbitration agreements under </w:t>
      </w:r>
      <w:r w:rsidRPr="000E1F93" w:rsidR="00DD7090">
        <w:rPr>
          <w:rFonts w:cstheme="minorHAnsi"/>
          <w:szCs w:val="27"/>
        </w:rPr>
        <w:t xml:space="preserve">Health and Safety Code </w:t>
      </w:r>
      <w:r w:rsidRPr="000E1F93">
        <w:rPr>
          <w:rFonts w:cstheme="minorHAnsi"/>
          <w:szCs w:val="27"/>
        </w:rPr>
        <w:t xml:space="preserve">section 1599.81 </w:t>
      </w:r>
      <w:r w:rsidRPr="000E1F93" w:rsidR="00646A8C">
        <w:rPr>
          <w:rFonts w:cstheme="minorHAnsi"/>
          <w:szCs w:val="27"/>
        </w:rPr>
        <w:t xml:space="preserve">or 42 C.F.R. </w:t>
      </w:r>
      <w:r w:rsidR="004E382D">
        <w:rPr>
          <w:rFonts w:cstheme="minorHAnsi"/>
          <w:szCs w:val="27"/>
        </w:rPr>
        <w:t>§ </w:t>
      </w:r>
      <w:r w:rsidRPr="000E1F93" w:rsidR="00646A8C">
        <w:rPr>
          <w:rFonts w:cstheme="minorHAnsi"/>
          <w:szCs w:val="27"/>
        </w:rPr>
        <w:t>483.70</w:t>
      </w:r>
      <w:r w:rsidR="00634FD1">
        <w:rPr>
          <w:rFonts w:cstheme="minorHAnsi"/>
          <w:szCs w:val="27"/>
        </w:rPr>
        <w:t xml:space="preserve"> (</w:t>
      </w:r>
      <w:r w:rsidR="00856089">
        <w:rPr>
          <w:rFonts w:cstheme="minorHAnsi"/>
          <w:szCs w:val="27"/>
        </w:rPr>
        <w:t>2019</w:t>
      </w:r>
      <w:r w:rsidR="00634FD1">
        <w:rPr>
          <w:rFonts w:cstheme="minorHAnsi"/>
          <w:szCs w:val="27"/>
        </w:rPr>
        <w:t>)</w:t>
      </w:r>
      <w:r w:rsidRPr="000E1F93" w:rsidR="00646A8C">
        <w:rPr>
          <w:rFonts w:cstheme="minorHAnsi"/>
          <w:szCs w:val="27"/>
        </w:rPr>
        <w:t xml:space="preserve"> </w:t>
      </w:r>
      <w:r w:rsidRPr="000E1F93" w:rsidR="00225933">
        <w:rPr>
          <w:rFonts w:cstheme="minorHAnsi"/>
          <w:szCs w:val="27"/>
        </w:rPr>
        <w:t xml:space="preserve">is </w:t>
      </w:r>
      <w:r w:rsidRPr="000E1F93">
        <w:rPr>
          <w:rFonts w:cstheme="minorHAnsi"/>
          <w:szCs w:val="27"/>
        </w:rPr>
        <w:t>before us.</w:t>
      </w:r>
    </w:p>
  </w:footnote>
  <w:footnote w:id="5">
    <w:p w:rsidR="00193029" w:rsidRPr="000E1F93" w:rsidP="00C76FE0" w14:paraId="2B05F46D"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ab/>
        <w:t xml:space="preserve">The admissions paperwork also included a one-page form </w:t>
      </w:r>
      <w:r w:rsidRPr="000E1F93" w:rsidR="00761F21">
        <w:rPr>
          <w:rFonts w:cstheme="minorHAnsi"/>
          <w:szCs w:val="27"/>
        </w:rPr>
        <w:t xml:space="preserve">stating, </w:t>
      </w:r>
      <w:r w:rsidRPr="000E1F93">
        <w:rPr>
          <w:rFonts w:cstheme="minorHAnsi"/>
          <w:szCs w:val="27"/>
        </w:rPr>
        <w:t>“I, Logan Charles, am able to sign for myself but would to like [sic] authorize Harrod Mark my nephew to sign the following documents on my behalf.”  Below this statement</w:t>
      </w:r>
      <w:r w:rsidRPr="000E1F93" w:rsidR="0023308B">
        <w:rPr>
          <w:rFonts w:cstheme="minorHAnsi"/>
          <w:szCs w:val="27"/>
        </w:rPr>
        <w:t>,</w:t>
      </w:r>
      <w:r w:rsidRPr="000E1F93">
        <w:rPr>
          <w:rFonts w:cstheme="minorHAnsi"/>
          <w:szCs w:val="27"/>
        </w:rPr>
        <w:t xml:space="preserve"> six </w:t>
      </w:r>
      <w:r w:rsidRPr="000E1F93" w:rsidR="008229E0">
        <w:rPr>
          <w:rFonts w:cstheme="minorHAnsi"/>
          <w:szCs w:val="27"/>
        </w:rPr>
        <w:t xml:space="preserve">categories of documents </w:t>
      </w:r>
      <w:r w:rsidRPr="000E1F93" w:rsidR="0023308B">
        <w:rPr>
          <w:rFonts w:cstheme="minorHAnsi"/>
          <w:szCs w:val="27"/>
        </w:rPr>
        <w:t>are listed and next to each is a</w:t>
      </w:r>
      <w:r w:rsidR="002F32F0">
        <w:rPr>
          <w:rFonts w:cstheme="minorHAnsi"/>
          <w:szCs w:val="27"/>
        </w:rPr>
        <w:t xml:space="preserve"> line with a </w:t>
      </w:r>
      <w:r w:rsidRPr="000E1F93" w:rsidR="00761F21">
        <w:rPr>
          <w:rFonts w:cstheme="minorHAnsi"/>
          <w:szCs w:val="27"/>
        </w:rPr>
        <w:t>check</w:t>
      </w:r>
      <w:r w:rsidR="002F32F0">
        <w:rPr>
          <w:rFonts w:cstheme="minorHAnsi"/>
          <w:szCs w:val="27"/>
        </w:rPr>
        <w:t xml:space="preserve"> mark</w:t>
      </w:r>
      <w:r w:rsidRPr="000E1F93">
        <w:rPr>
          <w:rFonts w:cstheme="minorHAnsi"/>
          <w:szCs w:val="27"/>
        </w:rPr>
        <w:t xml:space="preserve">.  The </w:t>
      </w:r>
      <w:r w:rsidRPr="000E1F93" w:rsidR="00A654E2">
        <w:rPr>
          <w:rFonts w:cstheme="minorHAnsi"/>
          <w:szCs w:val="27"/>
        </w:rPr>
        <w:t xml:space="preserve">checked </w:t>
      </w:r>
      <w:r w:rsidRPr="000E1F93" w:rsidR="008229E0">
        <w:rPr>
          <w:rFonts w:cstheme="minorHAnsi"/>
          <w:szCs w:val="27"/>
        </w:rPr>
        <w:t xml:space="preserve">categories of documents </w:t>
      </w:r>
      <w:r w:rsidRPr="000E1F93" w:rsidR="00761F21">
        <w:rPr>
          <w:rFonts w:cstheme="minorHAnsi"/>
          <w:szCs w:val="27"/>
        </w:rPr>
        <w:t>are</w:t>
      </w:r>
      <w:r w:rsidRPr="000E1F93" w:rsidR="008229E0">
        <w:rPr>
          <w:rFonts w:cstheme="minorHAnsi"/>
          <w:szCs w:val="27"/>
        </w:rPr>
        <w:t>:</w:t>
      </w:r>
      <w:r w:rsidRPr="000E1F93" w:rsidR="00A654E2">
        <w:rPr>
          <w:rFonts w:cstheme="minorHAnsi"/>
          <w:szCs w:val="27"/>
        </w:rPr>
        <w:t xml:space="preserve"> </w:t>
      </w:r>
      <w:r w:rsidRPr="000E1F93">
        <w:rPr>
          <w:rFonts w:cstheme="minorHAnsi"/>
          <w:szCs w:val="27"/>
        </w:rPr>
        <w:t xml:space="preserve">temporary consent to treat, advance directive acknowledgement, influenza vaccine/pneumonia vaccine consent, POLST (Physician Orders for Life-Sustaining Treatment), informed consent for use of device, and California admission packet.  Below these selected options is a line </w:t>
      </w:r>
      <w:r w:rsidRPr="000E1F93" w:rsidR="00761F21">
        <w:rPr>
          <w:rFonts w:cstheme="minorHAnsi"/>
          <w:szCs w:val="27"/>
        </w:rPr>
        <w:t xml:space="preserve">on which </w:t>
      </w:r>
      <w:r w:rsidRPr="000E1F93">
        <w:rPr>
          <w:rFonts w:cstheme="minorHAnsi"/>
          <w:szCs w:val="27"/>
        </w:rPr>
        <w:t xml:space="preserve">to print the patient’s name, </w:t>
      </w:r>
      <w:r w:rsidRPr="000E1F93" w:rsidR="00761F21">
        <w:rPr>
          <w:rFonts w:cstheme="minorHAnsi"/>
          <w:szCs w:val="27"/>
        </w:rPr>
        <w:t xml:space="preserve">with </w:t>
      </w:r>
      <w:r w:rsidRPr="000E1F93">
        <w:rPr>
          <w:rFonts w:cstheme="minorHAnsi"/>
          <w:szCs w:val="27"/>
        </w:rPr>
        <w:t xml:space="preserve">“Logan Charles” </w:t>
      </w:r>
      <w:r w:rsidRPr="000E1F93" w:rsidR="00761F21">
        <w:rPr>
          <w:rFonts w:cstheme="minorHAnsi"/>
          <w:szCs w:val="27"/>
        </w:rPr>
        <w:t>written in</w:t>
      </w:r>
      <w:r w:rsidRPr="000E1F93">
        <w:rPr>
          <w:rFonts w:cstheme="minorHAnsi"/>
          <w:szCs w:val="27"/>
        </w:rPr>
        <w:t>.  To the right is a line for the patient</w:t>
      </w:r>
      <w:r w:rsidRPr="000E1F93" w:rsidR="00761F21">
        <w:rPr>
          <w:rFonts w:cstheme="minorHAnsi"/>
          <w:szCs w:val="27"/>
        </w:rPr>
        <w:t>’s</w:t>
      </w:r>
      <w:r w:rsidRPr="000E1F93">
        <w:rPr>
          <w:rFonts w:cstheme="minorHAnsi"/>
          <w:szCs w:val="27"/>
        </w:rPr>
        <w:t xml:space="preserve"> signature </w:t>
      </w:r>
      <w:r w:rsidRPr="000E1F93" w:rsidR="00761F21">
        <w:rPr>
          <w:rFonts w:cstheme="minorHAnsi"/>
          <w:szCs w:val="27"/>
        </w:rPr>
        <w:t xml:space="preserve">with </w:t>
      </w:r>
      <w:r w:rsidRPr="000E1F93">
        <w:rPr>
          <w:rFonts w:cstheme="minorHAnsi"/>
          <w:szCs w:val="27"/>
        </w:rPr>
        <w:t>a script signature reading “Mark Harrod</w:t>
      </w:r>
      <w:r w:rsidRPr="000E1F93" w:rsidR="00761F21">
        <w:rPr>
          <w:rFonts w:cstheme="minorHAnsi"/>
          <w:szCs w:val="27"/>
        </w:rPr>
        <w:t>.</w:t>
      </w:r>
      <w:r w:rsidRPr="000E1F93">
        <w:rPr>
          <w:rFonts w:cstheme="minorHAnsi"/>
          <w:szCs w:val="27"/>
        </w:rPr>
        <w:t>”</w:t>
      </w:r>
      <w:r w:rsidRPr="000E1F93" w:rsidR="0023308B">
        <w:rPr>
          <w:rFonts w:cstheme="minorHAnsi"/>
          <w:szCs w:val="27"/>
        </w:rPr>
        <w:t xml:space="preserve"> </w:t>
      </w:r>
      <w:r w:rsidRPr="000E1F93">
        <w:rPr>
          <w:rFonts w:cstheme="minorHAnsi"/>
          <w:szCs w:val="27"/>
        </w:rPr>
        <w:t xml:space="preserve"> Country Oaks mentions this form in its opening brief but does not argue it has any significance </w:t>
      </w:r>
      <w:r w:rsidRPr="000E1F93" w:rsidR="00EE3CD3">
        <w:rPr>
          <w:rFonts w:cstheme="minorHAnsi"/>
          <w:szCs w:val="27"/>
        </w:rPr>
        <w:t xml:space="preserve">to the question we face </w:t>
      </w:r>
      <w:r w:rsidRPr="000E1F93">
        <w:rPr>
          <w:rFonts w:cstheme="minorHAnsi"/>
          <w:szCs w:val="27"/>
        </w:rPr>
        <w:t xml:space="preserve">here.  </w:t>
      </w:r>
      <w:r w:rsidRPr="000E1F93" w:rsidR="00761F21">
        <w:rPr>
          <w:rFonts w:cstheme="minorHAnsi"/>
          <w:szCs w:val="27"/>
        </w:rPr>
        <w:t>Thus, w</w:t>
      </w:r>
      <w:r w:rsidRPr="000E1F93">
        <w:rPr>
          <w:rFonts w:cstheme="minorHAnsi"/>
          <w:szCs w:val="27"/>
        </w:rPr>
        <w:t xml:space="preserve">e </w:t>
      </w:r>
      <w:r w:rsidRPr="000E1F93" w:rsidR="00761F21">
        <w:rPr>
          <w:rFonts w:cstheme="minorHAnsi"/>
          <w:szCs w:val="27"/>
        </w:rPr>
        <w:t xml:space="preserve">need not </w:t>
      </w:r>
      <w:r w:rsidRPr="000E1F93">
        <w:rPr>
          <w:rFonts w:cstheme="minorHAnsi"/>
          <w:szCs w:val="27"/>
        </w:rPr>
        <w:t>decide whether this form gave Harrod permission to sign the California admission packet</w:t>
      </w:r>
      <w:r w:rsidRPr="000E1F93" w:rsidR="00761F21">
        <w:rPr>
          <w:rFonts w:cstheme="minorHAnsi"/>
          <w:szCs w:val="27"/>
        </w:rPr>
        <w:t xml:space="preserve"> or, if it did, </w:t>
      </w:r>
      <w:r w:rsidRPr="000E1F93">
        <w:rPr>
          <w:rFonts w:cstheme="minorHAnsi"/>
          <w:szCs w:val="27"/>
        </w:rPr>
        <w:t xml:space="preserve">whether </w:t>
      </w:r>
      <w:r w:rsidRPr="000E1F93" w:rsidR="00761F21">
        <w:rPr>
          <w:rFonts w:cstheme="minorHAnsi"/>
          <w:szCs w:val="27"/>
        </w:rPr>
        <w:t xml:space="preserve">it </w:t>
      </w:r>
      <w:r w:rsidRPr="000E1F93">
        <w:rPr>
          <w:rFonts w:cstheme="minorHAnsi"/>
          <w:szCs w:val="27"/>
        </w:rPr>
        <w:t xml:space="preserve">authorized Harrod to agree to arbitration.  Nor </w:t>
      </w:r>
      <w:r w:rsidRPr="000E1F93" w:rsidR="00761F21">
        <w:rPr>
          <w:rFonts w:cstheme="minorHAnsi"/>
          <w:szCs w:val="27"/>
        </w:rPr>
        <w:t xml:space="preserve">need we </w:t>
      </w:r>
      <w:r w:rsidRPr="000E1F93">
        <w:rPr>
          <w:rFonts w:cstheme="minorHAnsi"/>
          <w:szCs w:val="27"/>
        </w:rPr>
        <w:t>address the possibility that</w:t>
      </w:r>
      <w:r w:rsidRPr="000E1F93" w:rsidR="00761F21">
        <w:rPr>
          <w:rFonts w:cstheme="minorHAnsi"/>
          <w:szCs w:val="27"/>
        </w:rPr>
        <w:t xml:space="preserve"> Logan</w:t>
      </w:r>
      <w:r w:rsidRPr="000E1F93">
        <w:rPr>
          <w:rFonts w:cstheme="minorHAnsi"/>
          <w:szCs w:val="27"/>
        </w:rPr>
        <w:t xml:space="preserve">, </w:t>
      </w:r>
      <w:r w:rsidRPr="000E1F93" w:rsidR="00562783">
        <w:rPr>
          <w:rFonts w:cstheme="minorHAnsi"/>
          <w:szCs w:val="27"/>
        </w:rPr>
        <w:t>through</w:t>
      </w:r>
      <w:r w:rsidRPr="000E1F93" w:rsidR="00761F21">
        <w:rPr>
          <w:rFonts w:cstheme="minorHAnsi"/>
          <w:szCs w:val="27"/>
        </w:rPr>
        <w:t xml:space="preserve"> this form </w:t>
      </w:r>
      <w:r w:rsidRPr="000E1F93">
        <w:rPr>
          <w:rFonts w:cstheme="minorHAnsi"/>
          <w:szCs w:val="27"/>
        </w:rPr>
        <w:t xml:space="preserve">or </w:t>
      </w:r>
      <w:r w:rsidRPr="000E1F93" w:rsidR="00761F21">
        <w:rPr>
          <w:rFonts w:cstheme="minorHAnsi"/>
          <w:szCs w:val="27"/>
        </w:rPr>
        <w:t xml:space="preserve">by </w:t>
      </w:r>
      <w:r w:rsidRPr="000E1F93">
        <w:rPr>
          <w:rFonts w:cstheme="minorHAnsi"/>
          <w:szCs w:val="27"/>
        </w:rPr>
        <w:t xml:space="preserve">any other act, led defendants to believe Harrod had authority to act under a theory of ostensible agency.  (See Civ. Code, </w:t>
      </w:r>
      <w:r w:rsidR="004E382D">
        <w:rPr>
          <w:rFonts w:cstheme="minorHAnsi"/>
          <w:szCs w:val="27"/>
        </w:rPr>
        <w:t>§ </w:t>
      </w:r>
      <w:r w:rsidRPr="000E1F93">
        <w:rPr>
          <w:rFonts w:cstheme="minorHAnsi"/>
          <w:szCs w:val="27"/>
        </w:rPr>
        <w:t>2300 [“An agency is ostensible when the principal intentionally, or by want of ordinary care, causes a third person to believe another to be his agent who is not really employed by him”].)</w:t>
      </w:r>
    </w:p>
  </w:footnote>
  <w:footnote w:id="6">
    <w:p w:rsidR="00FC7D67" w:rsidRPr="000E1F93" w:rsidP="00C76FE0" w14:paraId="2B05F46E" w14:textId="77777777">
      <w:pPr>
        <w:pStyle w:val="FootnoteText"/>
        <w:rPr>
          <w:rFonts w:cstheme="minorHAnsi"/>
          <w:szCs w:val="27"/>
        </w:rPr>
      </w:pPr>
      <w:r w:rsidRPr="000E1F93">
        <w:rPr>
          <w:rStyle w:val="FootnoteReference"/>
          <w:rFonts w:cstheme="minorHAnsi"/>
          <w:szCs w:val="27"/>
        </w:rPr>
        <w:footnoteRef/>
      </w:r>
      <w:r w:rsidRPr="000E1F93">
        <w:rPr>
          <w:rFonts w:cstheme="minorHAnsi"/>
          <w:szCs w:val="27"/>
        </w:rPr>
        <w:tab/>
        <w:t>Ad litem m</w:t>
      </w:r>
      <w:r w:rsidRPr="00E02ADC">
        <w:rPr>
          <w:rFonts w:cstheme="minorHAnsi"/>
          <w:szCs w:val="27"/>
        </w:rPr>
        <w:t>eans “for the suit” in Latin.  (Black’s Law Dict</w:t>
      </w:r>
      <w:r w:rsidRPr="00E02ADC" w:rsidR="00A14357">
        <w:rPr>
          <w:rFonts w:cstheme="minorHAnsi"/>
          <w:szCs w:val="27"/>
        </w:rPr>
        <w:t>.</w:t>
      </w:r>
      <w:r w:rsidRPr="00E02ADC">
        <w:rPr>
          <w:rFonts w:cstheme="minorHAnsi"/>
          <w:szCs w:val="27"/>
        </w:rPr>
        <w:t xml:space="preserve"> (</w:t>
      </w:r>
      <w:r w:rsidRPr="00E02ADC" w:rsidR="007E331E">
        <w:rPr>
          <w:rFonts w:cstheme="minorHAnsi"/>
          <w:szCs w:val="27"/>
        </w:rPr>
        <w:t>11</w:t>
      </w:r>
      <w:r w:rsidRPr="00E02ADC">
        <w:rPr>
          <w:rFonts w:cstheme="minorHAnsi"/>
          <w:szCs w:val="27"/>
        </w:rPr>
        <w:t>th ed. 20</w:t>
      </w:r>
      <w:r w:rsidRPr="00E02ADC" w:rsidR="007E331E">
        <w:rPr>
          <w:rFonts w:cstheme="minorHAnsi"/>
          <w:szCs w:val="27"/>
        </w:rPr>
        <w:t>1</w:t>
      </w:r>
      <w:r w:rsidRPr="00E02ADC">
        <w:rPr>
          <w:rFonts w:cstheme="minorHAnsi"/>
          <w:szCs w:val="27"/>
        </w:rPr>
        <w:t>9)</w:t>
      </w:r>
      <w:r w:rsidRPr="00E02ADC" w:rsidR="003764B7">
        <w:rPr>
          <w:rFonts w:cstheme="minorHAnsi"/>
          <w:szCs w:val="27"/>
        </w:rPr>
        <w:t xml:space="preserve"> p. </w:t>
      </w:r>
      <w:r w:rsidRPr="00E02ADC" w:rsidR="00E02ADC">
        <w:rPr>
          <w:rFonts w:cstheme="minorHAnsi"/>
          <w:szCs w:val="27"/>
        </w:rPr>
        <w:t>53.)</w:t>
      </w:r>
      <w:r w:rsidRPr="000E1F93" w:rsidR="00E02ADC">
        <w:rPr>
          <w:rFonts w:cstheme="minorHAnsi"/>
          <w:szCs w:val="27"/>
        </w:rPr>
        <w:t xml:space="preserve">  </w:t>
      </w:r>
      <w:r w:rsidRPr="000E1F93">
        <w:rPr>
          <w:rFonts w:cstheme="minorHAnsi"/>
          <w:szCs w:val="27"/>
        </w:rPr>
        <w:t xml:space="preserve">“When . . . a person who lacks legal capacity to make decisions, or a person for whom a conservator has been appointed is a party, that person shall appear either by a guardian or conservator of the estate or by a guardian ad litem appointed by the court in which the action or proceeding is pending, or by a judge thereof, in each case.”  (Code Civ. Proc., </w:t>
      </w:r>
      <w:r w:rsidR="004E382D">
        <w:rPr>
          <w:rFonts w:cstheme="minorHAnsi"/>
          <w:szCs w:val="27"/>
        </w:rPr>
        <w:t>§ </w:t>
      </w:r>
      <w:r w:rsidRPr="000E1F93">
        <w:rPr>
          <w:rFonts w:cstheme="minorHAnsi"/>
          <w:szCs w:val="27"/>
        </w:rPr>
        <w:t>372, subd. (a)(1).)</w:t>
      </w:r>
    </w:p>
  </w:footnote>
  <w:footnote w:id="7">
    <w:p w:rsidR="00B5184D" w:rsidRPr="000E1F93" w:rsidP="00C76FE0" w14:paraId="2B05F46F" w14:textId="77777777">
      <w:pPr>
        <w:pStyle w:val="FootnoteText"/>
        <w:rPr>
          <w:szCs w:val="27"/>
        </w:rPr>
      </w:pPr>
      <w:r w:rsidRPr="000E1F93">
        <w:rPr>
          <w:rStyle w:val="FootnoteReference"/>
          <w:szCs w:val="27"/>
        </w:rPr>
        <w:footnoteRef/>
      </w:r>
      <w:r w:rsidRPr="000E1F93">
        <w:rPr>
          <w:szCs w:val="27"/>
        </w:rPr>
        <w:t xml:space="preserve"> </w:t>
      </w:r>
      <w:r w:rsidRPr="000E1F93">
        <w:rPr>
          <w:szCs w:val="27"/>
        </w:rPr>
        <w:tab/>
      </w:r>
      <w:r w:rsidRPr="000E1F93" w:rsidR="00E25A16">
        <w:rPr>
          <w:szCs w:val="27"/>
        </w:rPr>
        <w:t>Because Logan passed away while this case was pending before us, Harrod, as Logan’s successor</w:t>
      </w:r>
      <w:r w:rsidR="003224D5">
        <w:rPr>
          <w:szCs w:val="27"/>
        </w:rPr>
        <w:t xml:space="preserve"> </w:t>
      </w:r>
      <w:r w:rsidRPr="000E1F93" w:rsidR="00E25A16">
        <w:rPr>
          <w:szCs w:val="27"/>
        </w:rPr>
        <w:t>in</w:t>
      </w:r>
      <w:r w:rsidR="003224D5">
        <w:rPr>
          <w:szCs w:val="27"/>
        </w:rPr>
        <w:t xml:space="preserve"> </w:t>
      </w:r>
      <w:r w:rsidRPr="000E1F93" w:rsidR="00E25A16">
        <w:rPr>
          <w:szCs w:val="27"/>
        </w:rPr>
        <w:t xml:space="preserve">interest, is now the named plaintiff and respondent.  </w:t>
      </w:r>
      <w:r w:rsidRPr="000E1F93">
        <w:rPr>
          <w:szCs w:val="27"/>
        </w:rPr>
        <w:t>We only discuss Harrod’s authority as Logan’s agent</w:t>
      </w:r>
      <w:r w:rsidRPr="000E1F93" w:rsidR="00EE3CD3">
        <w:rPr>
          <w:szCs w:val="27"/>
        </w:rPr>
        <w:t xml:space="preserve"> pursuant to the power of attorney for health care</w:t>
      </w:r>
      <w:r w:rsidRPr="000E1F93">
        <w:rPr>
          <w:szCs w:val="27"/>
        </w:rPr>
        <w:t>.</w:t>
      </w:r>
    </w:p>
  </w:footnote>
  <w:footnote w:id="8">
    <w:p w:rsidR="00FF68BC" w:rsidRPr="000E1F93" w:rsidP="00C76FE0" w14:paraId="2B05F470" w14:textId="77777777">
      <w:pPr>
        <w:pStyle w:val="FootnoteText"/>
        <w:rPr>
          <w:szCs w:val="27"/>
        </w:rPr>
      </w:pPr>
      <w:r w:rsidRPr="000E1F93">
        <w:rPr>
          <w:rStyle w:val="FootnoteReference"/>
          <w:szCs w:val="27"/>
        </w:rPr>
        <w:footnoteRef/>
      </w:r>
      <w:r w:rsidRPr="000E1F93">
        <w:rPr>
          <w:szCs w:val="27"/>
        </w:rPr>
        <w:tab/>
        <w:t xml:space="preserve">The 1994 law governing durable powers of attorney for health care empowered designated attorneys in fact to make health care decisions, defined, then, as “consent, refusal of consent, or withdrawal of consent to health care, or a decision to begin, continue, increase, limit, discontinue, or not to begin any health care.”  (former </w:t>
      </w:r>
      <w:r w:rsidR="004E382D">
        <w:rPr>
          <w:szCs w:val="27"/>
        </w:rPr>
        <w:t>§ </w:t>
      </w:r>
      <w:r w:rsidRPr="000E1F93">
        <w:rPr>
          <w:szCs w:val="27"/>
        </w:rPr>
        <w:t xml:space="preserve">4612.)  The Law Revision Commission comments accompanying the Health Care Decisions Law </w:t>
      </w:r>
      <w:r w:rsidRPr="000E1F93" w:rsidR="00DE7E09">
        <w:rPr>
          <w:szCs w:val="27"/>
        </w:rPr>
        <w:t xml:space="preserve">stated </w:t>
      </w:r>
      <w:r w:rsidRPr="000E1F93" w:rsidR="004E76E7">
        <w:rPr>
          <w:szCs w:val="27"/>
        </w:rPr>
        <w:t xml:space="preserve">that </w:t>
      </w:r>
      <w:r w:rsidRPr="000E1F93">
        <w:rPr>
          <w:szCs w:val="27"/>
        </w:rPr>
        <w:t>new section 4617, defining “health care decision” under the current law, “supersedes former Section 4612 and is the same in substance as Section 1(6) of the Uniform Health</w:t>
      </w:r>
      <w:r w:rsidR="00A12078">
        <w:rPr>
          <w:szCs w:val="27"/>
        </w:rPr>
        <w:t>-</w:t>
      </w:r>
      <w:r w:rsidRPr="000E1F93">
        <w:rPr>
          <w:szCs w:val="27"/>
        </w:rPr>
        <w:t>Care Decisions Act (1993), with the substitution of the reference to cardiopulmonary resuscitation</w:t>
      </w:r>
      <w:r w:rsidRPr="000E1F93" w:rsidR="00D04C08">
        <w:rPr>
          <w:szCs w:val="27"/>
        </w:rPr>
        <w:t> . . .</w:t>
      </w:r>
      <w:r w:rsidRPr="000E1F93" w:rsidR="007D1486">
        <w:rPr>
          <w:szCs w:val="27"/>
        </w:rPr>
        <w:t xml:space="preserve"> </w:t>
      </w:r>
      <w:r w:rsidRPr="000E1F93">
        <w:rPr>
          <w:szCs w:val="27"/>
        </w:rPr>
        <w:t xml:space="preserve">for the uniform act reference to orders not to resuscitate. </w:t>
      </w:r>
      <w:r w:rsidRPr="000E1F93" w:rsidR="00DE7E09">
        <w:rPr>
          <w:szCs w:val="27"/>
        </w:rPr>
        <w:t xml:space="preserve"> </w:t>
      </w:r>
      <w:r w:rsidRPr="000E1F93">
        <w:rPr>
          <w:szCs w:val="27"/>
        </w:rPr>
        <w:t xml:space="preserve">Adoption of the uniform act formulation is not intended to limit the scope of health care decisions applicable under former law. </w:t>
      </w:r>
      <w:r w:rsidRPr="000E1F93" w:rsidR="00DE7E09">
        <w:rPr>
          <w:szCs w:val="27"/>
        </w:rPr>
        <w:t xml:space="preserve"> </w:t>
      </w:r>
      <w:r w:rsidRPr="000E1F93">
        <w:rPr>
          <w:szCs w:val="27"/>
        </w:rPr>
        <w:t xml:space="preserve">Thus, like former law, this section encompasses consent, refusal of consent, or withdrawal of consent to health care, or a decision to begin, continue, increase, limit, discontinue, or not to begin any health care. </w:t>
      </w:r>
      <w:r w:rsidRPr="000E1F93" w:rsidR="00DE7E09">
        <w:rPr>
          <w:szCs w:val="27"/>
        </w:rPr>
        <w:t xml:space="preserve"> </w:t>
      </w:r>
      <w:r w:rsidRPr="000E1F93">
        <w:rPr>
          <w:szCs w:val="27"/>
        </w:rPr>
        <w:t>Depending on the circumstances, a health care decision may range from a decision concerning one specific treatment through an extended course of treatment, as determined by applicable standards of medical practice.</w:t>
      </w:r>
      <w:r w:rsidRPr="000E1F93" w:rsidR="007D1486">
        <w:rPr>
          <w:szCs w:val="27"/>
        </w:rPr>
        <w:t>”</w:t>
      </w:r>
    </w:p>
  </w:footnote>
  <w:footnote w:id="9">
    <w:p w:rsidR="00EE7C25" w:rsidRPr="000E1F93" w:rsidP="00C76FE0" w14:paraId="2B05F471" w14:textId="77777777">
      <w:pPr>
        <w:pStyle w:val="FootnoteText"/>
        <w:rPr>
          <w:rFonts w:cstheme="minorHAnsi"/>
          <w:szCs w:val="27"/>
        </w:rPr>
      </w:pPr>
      <w:r w:rsidRPr="000E1F93">
        <w:rPr>
          <w:rStyle w:val="FootnoteReference"/>
          <w:rFonts w:cstheme="minorHAnsi"/>
          <w:szCs w:val="27"/>
        </w:rPr>
        <w:footnoteRef/>
      </w:r>
      <w:r w:rsidRPr="000E1F93">
        <w:rPr>
          <w:rFonts w:cstheme="minorHAnsi"/>
          <w:szCs w:val="27"/>
        </w:rPr>
        <w:tab/>
      </w:r>
      <w:r w:rsidRPr="000E1F93" w:rsidR="004E5D9A">
        <w:rPr>
          <w:rFonts w:cstheme="minorHAnsi"/>
          <w:szCs w:val="27"/>
        </w:rPr>
        <w:t>In line with this observation</w:t>
      </w:r>
      <w:r w:rsidRPr="000E1F93" w:rsidR="00FF66F6">
        <w:rPr>
          <w:rFonts w:cstheme="minorHAnsi"/>
          <w:szCs w:val="27"/>
        </w:rPr>
        <w:t xml:space="preserve">, </w:t>
      </w:r>
      <w:r w:rsidRPr="000E1F93" w:rsidR="00B60AE5">
        <w:rPr>
          <w:rFonts w:cstheme="minorHAnsi"/>
          <w:szCs w:val="27"/>
        </w:rPr>
        <w:t xml:space="preserve">we </w:t>
      </w:r>
      <w:r w:rsidRPr="000E1F93">
        <w:rPr>
          <w:rFonts w:cstheme="minorHAnsi"/>
          <w:szCs w:val="27"/>
        </w:rPr>
        <w:t xml:space="preserve">disapprove </w:t>
      </w:r>
      <w:r w:rsidRPr="000E1F93" w:rsidR="0065159B">
        <w:rPr>
          <w:rFonts w:cstheme="minorHAnsi"/>
          <w:szCs w:val="27"/>
        </w:rPr>
        <w:t>dicta in</w:t>
      </w:r>
      <w:r w:rsidRPr="000E1F93" w:rsidR="0072631B">
        <w:rPr>
          <w:rFonts w:cstheme="minorHAnsi"/>
          <w:szCs w:val="27"/>
        </w:rPr>
        <w:t xml:space="preserve"> </w:t>
      </w:r>
      <w:r w:rsidRPr="000E1F93" w:rsidR="00C8663E">
        <w:rPr>
          <w:rFonts w:cstheme="minorHAnsi"/>
          <w:i/>
          <w:iCs/>
          <w:szCs w:val="27"/>
        </w:rPr>
        <w:t>Hutcheson v. Eskaton FountainWood Lodge</w:t>
      </w:r>
      <w:r w:rsidRPr="000E1F93" w:rsidR="00C8663E">
        <w:rPr>
          <w:rFonts w:cstheme="minorHAnsi"/>
          <w:szCs w:val="27"/>
        </w:rPr>
        <w:t xml:space="preserve"> (2017) 17 Cal.App.5th 937, 956–957,</w:t>
      </w:r>
      <w:r w:rsidRPr="000E1F93">
        <w:rPr>
          <w:rFonts w:cstheme="minorHAnsi"/>
          <w:szCs w:val="27"/>
        </w:rPr>
        <w:t xml:space="preserve"> </w:t>
      </w:r>
      <w:r w:rsidRPr="000E1F93" w:rsidR="0065159B">
        <w:rPr>
          <w:rFonts w:cstheme="minorHAnsi"/>
          <w:szCs w:val="27"/>
        </w:rPr>
        <w:t>suggest</w:t>
      </w:r>
      <w:r w:rsidRPr="000E1F93" w:rsidR="00C8663E">
        <w:rPr>
          <w:rFonts w:cstheme="minorHAnsi"/>
          <w:szCs w:val="27"/>
        </w:rPr>
        <w:t>ing</w:t>
      </w:r>
      <w:r w:rsidRPr="000E1F93">
        <w:rPr>
          <w:rFonts w:cstheme="minorHAnsi"/>
          <w:szCs w:val="27"/>
        </w:rPr>
        <w:t xml:space="preserve"> a person empowered to make decisions about all a principal’s claims and litigation </w:t>
      </w:r>
      <w:r w:rsidRPr="000E1F93" w:rsidR="0065159B">
        <w:rPr>
          <w:rFonts w:cstheme="minorHAnsi"/>
          <w:szCs w:val="27"/>
        </w:rPr>
        <w:t>lacks</w:t>
      </w:r>
      <w:r w:rsidRPr="000E1F93">
        <w:rPr>
          <w:rFonts w:cstheme="minorHAnsi"/>
          <w:szCs w:val="27"/>
        </w:rPr>
        <w:t xml:space="preserve"> authority to do so when the party</w:t>
      </w:r>
      <w:r w:rsidRPr="000E1F93" w:rsidR="004E5D9A">
        <w:rPr>
          <w:rFonts w:cstheme="minorHAnsi"/>
          <w:szCs w:val="27"/>
        </w:rPr>
        <w:t xml:space="preserve"> across the contracting table</w:t>
      </w:r>
      <w:r w:rsidRPr="000E1F93">
        <w:rPr>
          <w:rFonts w:cstheme="minorHAnsi"/>
          <w:szCs w:val="27"/>
        </w:rPr>
        <w:t xml:space="preserve"> is a health care facility or provider.  </w:t>
      </w:r>
      <w:r w:rsidRPr="000E1F93" w:rsidR="00C8663E">
        <w:rPr>
          <w:rFonts w:cstheme="minorHAnsi"/>
          <w:szCs w:val="27"/>
        </w:rPr>
        <w:t>W</w:t>
      </w:r>
      <w:r w:rsidRPr="000E1F93" w:rsidR="0065159B">
        <w:rPr>
          <w:rFonts w:cstheme="minorHAnsi"/>
          <w:szCs w:val="27"/>
        </w:rPr>
        <w:t xml:space="preserve">e </w:t>
      </w:r>
      <w:r w:rsidRPr="000E1F93" w:rsidR="00C8663E">
        <w:rPr>
          <w:rFonts w:cstheme="minorHAnsi"/>
          <w:szCs w:val="27"/>
        </w:rPr>
        <w:t xml:space="preserve">have no occasion to </w:t>
      </w:r>
      <w:r w:rsidRPr="000E1F93" w:rsidR="0065159B">
        <w:rPr>
          <w:rFonts w:cstheme="minorHAnsi"/>
          <w:szCs w:val="27"/>
        </w:rPr>
        <w:t xml:space="preserve">address </w:t>
      </w:r>
      <w:r w:rsidRPr="000E1F93" w:rsidR="0065159B">
        <w:rPr>
          <w:rFonts w:cstheme="minorHAnsi"/>
          <w:i/>
          <w:iCs/>
          <w:szCs w:val="27"/>
        </w:rPr>
        <w:t>Hutcheson</w:t>
      </w:r>
      <w:r w:rsidRPr="000E1F93" w:rsidR="0065159B">
        <w:rPr>
          <w:rFonts w:cstheme="minorHAnsi"/>
          <w:szCs w:val="27"/>
        </w:rPr>
        <w:t>’s ultimate concern</w:t>
      </w:r>
      <w:r w:rsidRPr="000E1F93" w:rsidR="00C8663E">
        <w:rPr>
          <w:rFonts w:cstheme="minorHAnsi"/>
          <w:szCs w:val="27"/>
        </w:rPr>
        <w:t>:</w:t>
      </w:r>
      <w:r w:rsidRPr="000E1F93" w:rsidR="0065159B">
        <w:rPr>
          <w:rFonts w:cstheme="minorHAnsi"/>
          <w:szCs w:val="27"/>
        </w:rPr>
        <w:t xml:space="preserve"> whether an agent with power over claims and litigation, but without power over health care decisions, </w:t>
      </w:r>
      <w:r w:rsidRPr="000E1F93" w:rsidR="00E26897">
        <w:rPr>
          <w:rFonts w:cstheme="minorHAnsi"/>
          <w:szCs w:val="27"/>
        </w:rPr>
        <w:t xml:space="preserve">may </w:t>
      </w:r>
      <w:r w:rsidRPr="000E1F93" w:rsidR="0065159B">
        <w:rPr>
          <w:rFonts w:cstheme="minorHAnsi"/>
          <w:szCs w:val="27"/>
        </w:rPr>
        <w:t xml:space="preserve">agree to arbitration with a health care facility with whom </w:t>
      </w:r>
      <w:r w:rsidRPr="000E1F93" w:rsidR="00C8663E">
        <w:rPr>
          <w:rFonts w:cstheme="minorHAnsi"/>
          <w:szCs w:val="27"/>
        </w:rPr>
        <w:t xml:space="preserve">the agent </w:t>
      </w:r>
      <w:r w:rsidRPr="000E1F93" w:rsidR="0065159B">
        <w:rPr>
          <w:rFonts w:cstheme="minorHAnsi"/>
          <w:szCs w:val="27"/>
        </w:rPr>
        <w:t xml:space="preserve">had no right to contract for services in the first instance.  (See </w:t>
      </w:r>
      <w:r w:rsidRPr="000E1F93" w:rsidR="00B0535E">
        <w:rPr>
          <w:rFonts w:cstheme="minorHAnsi"/>
          <w:i/>
          <w:iCs/>
          <w:szCs w:val="27"/>
        </w:rPr>
        <w:t>id.</w:t>
      </w:r>
      <w:r w:rsidRPr="000E1F93" w:rsidR="0065159B">
        <w:rPr>
          <w:rFonts w:cstheme="minorHAnsi"/>
          <w:szCs w:val="27"/>
        </w:rPr>
        <w:t xml:space="preserve"> at p</w:t>
      </w:r>
      <w:r w:rsidRPr="000E1F93" w:rsidR="006A3F0B">
        <w:rPr>
          <w:rFonts w:cstheme="minorHAnsi"/>
          <w:szCs w:val="27"/>
        </w:rPr>
        <w:t>. 957.)</w:t>
      </w:r>
      <w:r w:rsidRPr="000E1F93" w:rsidR="00F34076">
        <w:rPr>
          <w:rFonts w:cstheme="minorHAnsi"/>
          <w:szCs w:val="27"/>
        </w:rPr>
        <w:t xml:space="preserve"> </w:t>
      </w:r>
      <w:r w:rsidRPr="000E1F93" w:rsidR="00FF66F6">
        <w:rPr>
          <w:rFonts w:cstheme="minorHAnsi"/>
          <w:szCs w:val="27"/>
        </w:rPr>
        <w:t xml:space="preserve"> </w:t>
      </w:r>
    </w:p>
  </w:footnote>
  <w:footnote w:id="10">
    <w:p w:rsidR="007E3AAD" w:rsidRPr="000E1F93" w:rsidP="007E3AAD" w14:paraId="2B05F472" w14:textId="77777777">
      <w:pPr>
        <w:pStyle w:val="FootnoteText"/>
        <w:rPr>
          <w:rFonts w:cstheme="minorHAnsi"/>
          <w:szCs w:val="27"/>
        </w:rPr>
      </w:pPr>
      <w:r w:rsidRPr="000E1F93">
        <w:rPr>
          <w:rStyle w:val="FootnoteReference"/>
          <w:rFonts w:cstheme="minorHAnsi"/>
          <w:szCs w:val="27"/>
        </w:rPr>
        <w:footnoteRef/>
      </w:r>
      <w:r w:rsidRPr="000E1F93">
        <w:rPr>
          <w:rFonts w:cstheme="minorHAnsi"/>
          <w:szCs w:val="27"/>
        </w:rPr>
        <w:tab/>
        <w:t xml:space="preserve">“A patient may designate an adult as a surrogate to make health care decisions by personally informing the supervising health care provider or a designee of the health care facility caring for the patient. </w:t>
      </w:r>
      <w:r w:rsidR="00A50900">
        <w:rPr>
          <w:rFonts w:cstheme="minorHAnsi"/>
          <w:szCs w:val="27"/>
        </w:rPr>
        <w:t xml:space="preserve"> </w:t>
      </w:r>
      <w:r w:rsidRPr="000E1F93">
        <w:rPr>
          <w:rFonts w:cstheme="minorHAnsi"/>
          <w:szCs w:val="27"/>
        </w:rPr>
        <w:t>The designation of a surrogate shall be promptly recorded in the patient’s health care record.”  (</w:t>
      </w:r>
      <w:r w:rsidR="004E382D">
        <w:rPr>
          <w:rFonts w:cstheme="minorHAnsi"/>
          <w:szCs w:val="27"/>
        </w:rPr>
        <w:t>§ </w:t>
      </w:r>
      <w:r w:rsidRPr="000E1F93">
        <w:rPr>
          <w:rFonts w:cstheme="minorHAnsi"/>
          <w:szCs w:val="27"/>
        </w:rPr>
        <w:t>4711, subd. (a).)</w:t>
      </w:r>
    </w:p>
  </w:footnote>
  <w:footnote w:id="11">
    <w:p w:rsidR="007E3AAD" w:rsidRPr="000E1F93" w:rsidP="007E3AAD" w14:paraId="2B05F473" w14:textId="77777777">
      <w:pPr>
        <w:pStyle w:val="FootnoteText"/>
        <w:rPr>
          <w:rFonts w:cstheme="minorHAnsi"/>
          <w:szCs w:val="27"/>
        </w:rPr>
      </w:pPr>
      <w:r w:rsidRPr="000E1F93">
        <w:rPr>
          <w:rStyle w:val="FootnoteReference"/>
          <w:rFonts w:cstheme="minorHAnsi"/>
          <w:szCs w:val="27"/>
        </w:rPr>
        <w:footnoteRef/>
      </w:r>
      <w:r w:rsidRPr="000E1F93">
        <w:rPr>
          <w:rFonts w:cstheme="minorHAnsi"/>
          <w:szCs w:val="27"/>
        </w:rPr>
        <w:tab/>
        <w:t>Under specified conditions, “a health care provider or a designee of the health care facility caring for the patient may choose a surrogate to make health care decisions on the patient’s behalf, as appropriate in the given situation.”  (</w:t>
      </w:r>
      <w:r w:rsidR="004E382D">
        <w:rPr>
          <w:rFonts w:cstheme="minorHAnsi"/>
          <w:szCs w:val="27"/>
        </w:rPr>
        <w:t>§ </w:t>
      </w:r>
      <w:r w:rsidRPr="000E1F93">
        <w:rPr>
          <w:rFonts w:cstheme="minorHAnsi"/>
          <w:szCs w:val="27"/>
        </w:rPr>
        <w:t>4712, subd. (b).)</w:t>
      </w:r>
    </w:p>
  </w:footnote>
  <w:footnote w:id="12">
    <w:p w:rsidR="00222285" w:rsidRPr="000E1F93" w:rsidP="00972872" w14:paraId="2B05F474"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ab/>
        <w:t>The uniform act underlying California’s Health Care Decisions Law and the initial draft of California</w:t>
      </w:r>
      <w:r w:rsidRPr="000E1F93" w:rsidR="00280339">
        <w:rPr>
          <w:rFonts w:cstheme="minorHAnsi"/>
          <w:szCs w:val="27"/>
        </w:rPr>
        <w:t xml:space="preserve">’s law </w:t>
      </w:r>
      <w:r w:rsidRPr="000E1F93">
        <w:rPr>
          <w:rFonts w:cstheme="minorHAnsi"/>
          <w:szCs w:val="27"/>
        </w:rPr>
        <w:t>would have allowed next of kin to become surrogates.  (</w:t>
      </w:r>
      <w:r w:rsidRPr="000C50F0">
        <w:rPr>
          <w:rFonts w:cstheme="minorHAnsi"/>
          <w:szCs w:val="27"/>
        </w:rPr>
        <w:t>2000 Health Care Decisions Law and Revised Power of Attorney Law (Mar. 2000) 30 Cal. Law Revision Com. Rep. (2000) pp. 25–31</w:t>
      </w:r>
      <w:r w:rsidRPr="000E1F93">
        <w:rPr>
          <w:rFonts w:cstheme="minorHAnsi"/>
          <w:szCs w:val="27"/>
        </w:rPr>
        <w:t>.)  Th</w:t>
      </w:r>
      <w:r w:rsidRPr="000E1F93" w:rsidR="00280339">
        <w:rPr>
          <w:rFonts w:cstheme="minorHAnsi"/>
          <w:szCs w:val="27"/>
        </w:rPr>
        <w:t>at draft</w:t>
      </w:r>
      <w:r w:rsidRPr="000E1F93">
        <w:rPr>
          <w:rFonts w:cstheme="minorHAnsi"/>
          <w:szCs w:val="27"/>
        </w:rPr>
        <w:t xml:space="preserve"> </w:t>
      </w:r>
      <w:r w:rsidRPr="000E1F93" w:rsidR="00281BDC">
        <w:rPr>
          <w:rFonts w:cstheme="minorHAnsi"/>
          <w:szCs w:val="27"/>
        </w:rPr>
        <w:t xml:space="preserve">of the </w:t>
      </w:r>
      <w:r w:rsidRPr="000E1F93">
        <w:rPr>
          <w:rFonts w:cstheme="minorHAnsi"/>
          <w:szCs w:val="27"/>
        </w:rPr>
        <w:t xml:space="preserve">law, as noted in Law Revision Commission’s report, would </w:t>
      </w:r>
      <w:r w:rsidRPr="000E1F93" w:rsidR="00281BDC">
        <w:rPr>
          <w:rFonts w:cstheme="minorHAnsi"/>
          <w:szCs w:val="27"/>
        </w:rPr>
        <w:t xml:space="preserve">have </w:t>
      </w:r>
      <w:r w:rsidRPr="000E1F93">
        <w:rPr>
          <w:rFonts w:cstheme="minorHAnsi"/>
          <w:szCs w:val="27"/>
        </w:rPr>
        <w:t>expand</w:t>
      </w:r>
      <w:r w:rsidRPr="000E1F93" w:rsidR="00281BDC">
        <w:rPr>
          <w:rFonts w:cstheme="minorHAnsi"/>
          <w:szCs w:val="27"/>
        </w:rPr>
        <w:t>ed</w:t>
      </w:r>
      <w:r w:rsidRPr="000E1F93">
        <w:rPr>
          <w:rFonts w:cstheme="minorHAnsi"/>
          <w:szCs w:val="27"/>
        </w:rPr>
        <w:t xml:space="preserve"> the “next of kin” provision applicable to medical treatment decisions in nursing homes to health care decisions in other contexts.  (</w:t>
      </w:r>
      <w:r w:rsidRPr="00E43119">
        <w:rPr>
          <w:rFonts w:cstheme="minorHAnsi"/>
          <w:szCs w:val="27"/>
        </w:rPr>
        <w:t>2000 Health Care Decisions Law and Revised Power of Attorney Law</w:t>
      </w:r>
      <w:r w:rsidR="001948C0">
        <w:rPr>
          <w:rFonts w:cstheme="minorHAnsi"/>
          <w:szCs w:val="27"/>
        </w:rPr>
        <w:t>,</w:t>
      </w:r>
      <w:r w:rsidRPr="00E43119">
        <w:rPr>
          <w:rFonts w:cstheme="minorHAnsi"/>
          <w:szCs w:val="27"/>
        </w:rPr>
        <w:t xml:space="preserve"> </w:t>
      </w:r>
      <w:r w:rsidRPr="00E43119" w:rsidR="00B865A1">
        <w:rPr>
          <w:rFonts w:cstheme="minorHAnsi"/>
          <w:szCs w:val="27"/>
        </w:rPr>
        <w:t>at</w:t>
      </w:r>
      <w:r w:rsidRPr="00E43119">
        <w:rPr>
          <w:rFonts w:cstheme="minorHAnsi"/>
          <w:szCs w:val="27"/>
        </w:rPr>
        <w:t xml:space="preserve"> p. 18</w:t>
      </w:r>
      <w:r w:rsidRPr="000E1F93">
        <w:rPr>
          <w:rFonts w:cstheme="minorHAnsi"/>
          <w:szCs w:val="27"/>
        </w:rPr>
        <w:t>.)  But legislators could not agree, at that time, on the provisions governing who could become a surrogate in the absence of any choice by the patient or action by a court.  (</w:t>
      </w:r>
      <w:r w:rsidRPr="003E75CD">
        <w:rPr>
          <w:rFonts w:cstheme="minorHAnsi"/>
          <w:szCs w:val="27"/>
        </w:rPr>
        <w:t xml:space="preserve">See </w:t>
      </w:r>
      <w:r w:rsidRPr="00972872" w:rsidR="00972872">
        <w:rPr>
          <w:rFonts w:cstheme="minorHAnsi"/>
          <w:szCs w:val="27"/>
        </w:rPr>
        <w:t xml:space="preserve">1 Zimring &amp; Bashaw, Cal. Guide to Tax, Estate &amp; Financial Planning for the Elderly (2023) </w:t>
      </w:r>
      <w:r w:rsidR="004E382D">
        <w:rPr>
          <w:rFonts w:cstheme="minorHAnsi"/>
          <w:szCs w:val="27"/>
        </w:rPr>
        <w:t>§ </w:t>
      </w:r>
      <w:r w:rsidRPr="00972872" w:rsidR="00972872">
        <w:rPr>
          <w:rFonts w:cstheme="minorHAnsi"/>
          <w:szCs w:val="27"/>
        </w:rPr>
        <w:t>3.04</w:t>
      </w:r>
      <w:r w:rsidRPr="003E75CD">
        <w:rPr>
          <w:rFonts w:cstheme="minorHAnsi"/>
          <w:szCs w:val="27"/>
        </w:rPr>
        <w:t>.</w:t>
      </w:r>
      <w:r w:rsidRPr="000E1F93">
        <w:rPr>
          <w:rFonts w:cstheme="minorHAnsi"/>
          <w:szCs w:val="27"/>
        </w:rPr>
        <w:t>)  Initially, then, the law simply allowed patients to designate or disqualify surrogates, but did not set forth a process for how next of kin might be selected for this role.  (</w:t>
      </w:r>
      <w:r w:rsidR="00A50900">
        <w:rPr>
          <w:rFonts w:cstheme="minorHAnsi"/>
          <w:szCs w:val="27"/>
        </w:rPr>
        <w:t>F</w:t>
      </w:r>
      <w:r w:rsidRPr="000E1F93">
        <w:rPr>
          <w:rFonts w:cstheme="minorHAnsi"/>
          <w:szCs w:val="27"/>
        </w:rPr>
        <w:t>ormer §</w:t>
      </w:r>
      <w:r w:rsidR="004E382D">
        <w:rPr>
          <w:rFonts w:cstheme="minorHAnsi"/>
          <w:szCs w:val="27"/>
        </w:rPr>
        <w:t>§ </w:t>
      </w:r>
      <w:r w:rsidRPr="000E1F93">
        <w:rPr>
          <w:rFonts w:cstheme="minorHAnsi"/>
          <w:szCs w:val="27"/>
        </w:rPr>
        <w:t xml:space="preserve">4711, 4715.)  </w:t>
      </w:r>
    </w:p>
  </w:footnote>
  <w:footnote w:id="13">
    <w:p w:rsidR="00FD6F39" w:rsidRPr="000E1F93" w:rsidP="00C76FE0" w14:paraId="2B05F475" w14:textId="77777777">
      <w:pPr>
        <w:spacing w:line="300" w:lineRule="exact"/>
        <w:rPr>
          <w:szCs w:val="27"/>
        </w:rPr>
      </w:pPr>
      <w:r w:rsidRPr="000E1F93">
        <w:rPr>
          <w:rStyle w:val="FootnoteReference"/>
          <w:szCs w:val="27"/>
        </w:rPr>
        <w:footnoteRef/>
      </w:r>
      <w:r w:rsidRPr="000E1F93">
        <w:rPr>
          <w:szCs w:val="27"/>
        </w:rPr>
        <w:t xml:space="preserve"> </w:t>
      </w:r>
      <w:r w:rsidRPr="000E1F93">
        <w:rPr>
          <w:szCs w:val="27"/>
        </w:rPr>
        <w:tab/>
        <w:t>We may consult other indicia of legislative intent, including legislative history or public policy, to derive a statute’s meaning if statutory language, read in context, “permits more than one reasonable interpretation.”  (</w:t>
      </w:r>
      <w:r w:rsidRPr="000E1F93">
        <w:rPr>
          <w:i/>
          <w:iCs/>
          <w:szCs w:val="27"/>
        </w:rPr>
        <w:t>People v. Braden</w:t>
      </w:r>
      <w:r w:rsidRPr="000E1F93">
        <w:rPr>
          <w:szCs w:val="27"/>
        </w:rPr>
        <w:t xml:space="preserve">, </w:t>
      </w:r>
      <w:r w:rsidRPr="000E1F93">
        <w:rPr>
          <w:i/>
          <w:iCs/>
          <w:szCs w:val="27"/>
        </w:rPr>
        <w:t>supra</w:t>
      </w:r>
      <w:r w:rsidRPr="000E1F93">
        <w:rPr>
          <w:szCs w:val="27"/>
        </w:rPr>
        <w:t>, 14 Cal.5th at p. 804.)  Here, neither defendants nor their supporting amici curiae identify legislative history that casts doubt on our proposed construction of “health care decision.”  Nor do their policy arguments about the general cost-savings benefits of arbitration convince us to “ ‘strain to discern (because we are not free to impose)’</w:t>
      </w:r>
      <w:r w:rsidR="00071715">
        <w:rPr>
          <w:szCs w:val="27"/>
        </w:rPr>
        <w:t> </w:t>
      </w:r>
      <w:r w:rsidRPr="000E1F93">
        <w:rPr>
          <w:szCs w:val="27"/>
        </w:rPr>
        <w:t>” a different meaning.  (</w:t>
      </w:r>
      <w:r w:rsidRPr="000E1F93">
        <w:rPr>
          <w:i/>
          <w:iCs/>
          <w:szCs w:val="27"/>
        </w:rPr>
        <w:t>Bernard v. Foley</w:t>
      </w:r>
      <w:r w:rsidRPr="000E1F93">
        <w:rPr>
          <w:szCs w:val="27"/>
        </w:rPr>
        <w:t xml:space="preserve"> (2006) 39 Cal.4th 794, 814.)</w:t>
      </w:r>
    </w:p>
  </w:footnote>
  <w:footnote w:id="14">
    <w:p w:rsidR="005704DE" w:rsidRPr="000E1F93" w:rsidP="005704DE" w14:paraId="2B05F476"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ab/>
      </w:r>
      <w:r w:rsidR="00FC0FB7">
        <w:rPr>
          <w:rFonts w:cstheme="minorHAnsi"/>
          <w:szCs w:val="27"/>
        </w:rPr>
        <w:t>Nor</w:t>
      </w:r>
      <w:r w:rsidRPr="000E1F93" w:rsidR="00FC0FB7">
        <w:rPr>
          <w:rFonts w:cstheme="minorHAnsi"/>
          <w:szCs w:val="27"/>
        </w:rPr>
        <w:t xml:space="preserve"> </w:t>
      </w:r>
      <w:r w:rsidRPr="000E1F93">
        <w:rPr>
          <w:rFonts w:cstheme="minorHAnsi"/>
          <w:szCs w:val="27"/>
        </w:rPr>
        <w:t xml:space="preserve">does the case </w:t>
      </w:r>
      <w:r w:rsidRPr="000E1F93">
        <w:rPr>
          <w:rFonts w:cstheme="minorHAnsi"/>
          <w:i/>
          <w:iCs/>
          <w:szCs w:val="27"/>
        </w:rPr>
        <w:t>Madden</w:t>
      </w:r>
      <w:r w:rsidRPr="000E1F93">
        <w:rPr>
          <w:rFonts w:cstheme="minorHAnsi"/>
          <w:szCs w:val="27"/>
        </w:rPr>
        <w:t xml:space="preserve"> draws upon in explaining its result, </w:t>
      </w:r>
      <w:r w:rsidRPr="000E1F93">
        <w:rPr>
          <w:rFonts w:cstheme="minorHAnsi"/>
          <w:i/>
          <w:iCs/>
          <w:szCs w:val="27"/>
        </w:rPr>
        <w:t>Doyle v. Giuliucci</w:t>
      </w:r>
      <w:r w:rsidRPr="000E1F93">
        <w:rPr>
          <w:rFonts w:cstheme="minorHAnsi"/>
          <w:szCs w:val="27"/>
        </w:rPr>
        <w:t xml:space="preserve"> (1965) 62 Cal.2d 606, assist defendants.  (See </w:t>
      </w:r>
      <w:r w:rsidRPr="000E1F93">
        <w:rPr>
          <w:rFonts w:cstheme="minorHAnsi"/>
          <w:i/>
          <w:iCs/>
          <w:szCs w:val="27"/>
        </w:rPr>
        <w:t>Madden</w:t>
      </w:r>
      <w:r w:rsidRPr="000E1F93">
        <w:rPr>
          <w:rFonts w:cstheme="minorHAnsi"/>
          <w:szCs w:val="27"/>
        </w:rPr>
        <w:t xml:space="preserve">, </w:t>
      </w:r>
      <w:r w:rsidRPr="000E1F93">
        <w:rPr>
          <w:i/>
          <w:iCs/>
          <w:szCs w:val="27"/>
        </w:rPr>
        <w:t>supra</w:t>
      </w:r>
      <w:r w:rsidRPr="000E1F93">
        <w:rPr>
          <w:szCs w:val="27"/>
        </w:rPr>
        <w:t xml:space="preserve">, 17 Cal.3d </w:t>
      </w:r>
      <w:r w:rsidRPr="000E1F93">
        <w:rPr>
          <w:rFonts w:cstheme="minorHAnsi"/>
          <w:szCs w:val="27"/>
        </w:rPr>
        <w:t xml:space="preserve">at p. 708.)  </w:t>
      </w:r>
      <w:r w:rsidRPr="000E1F93">
        <w:rPr>
          <w:rFonts w:cstheme="minorHAnsi"/>
          <w:i/>
          <w:iCs/>
          <w:szCs w:val="27"/>
        </w:rPr>
        <w:t>Doyle</w:t>
      </w:r>
      <w:r w:rsidRPr="000E1F93">
        <w:rPr>
          <w:rFonts w:cstheme="minorHAnsi"/>
          <w:szCs w:val="27"/>
        </w:rPr>
        <w:t xml:space="preserve"> concluded that a parent’s power to enter into a contract for medical services on behalf of a child allows the parent to bind the child to an arbitration provision included within that contract.  (</w:t>
      </w:r>
      <w:r w:rsidRPr="000E1F93">
        <w:rPr>
          <w:rFonts w:cstheme="minorHAnsi"/>
          <w:i/>
          <w:iCs/>
          <w:szCs w:val="27"/>
        </w:rPr>
        <w:t>Doyle</w:t>
      </w:r>
      <w:r>
        <w:rPr>
          <w:rFonts w:cstheme="minorHAnsi"/>
          <w:i/>
          <w:iCs/>
          <w:szCs w:val="27"/>
        </w:rPr>
        <w:t>,</w:t>
      </w:r>
      <w:r w:rsidRPr="000E1F93">
        <w:rPr>
          <w:rFonts w:cstheme="minorHAnsi"/>
          <w:szCs w:val="27"/>
        </w:rPr>
        <w:t xml:space="preserve"> at pp. 607, 610.)  No one contends that the nephew-uncle relationship between Harrod and Logan is akin to the parent-child relationship in </w:t>
      </w:r>
      <w:r w:rsidRPr="000E1F93">
        <w:rPr>
          <w:rFonts w:cstheme="minorHAnsi"/>
          <w:i/>
          <w:iCs/>
          <w:szCs w:val="27"/>
        </w:rPr>
        <w:t>Doyle</w:t>
      </w:r>
      <w:r w:rsidRPr="000E1F93">
        <w:rPr>
          <w:rFonts w:cstheme="minorHAnsi"/>
          <w:szCs w:val="27"/>
        </w:rPr>
        <w:t>, or that it implicates the “right and duty” of parents, codified by statute, “to provide for the care of [their] child.”  (</w:t>
      </w:r>
      <w:r w:rsidRPr="000E1F93">
        <w:rPr>
          <w:rFonts w:cstheme="minorHAnsi"/>
          <w:i/>
          <w:iCs/>
          <w:szCs w:val="27"/>
        </w:rPr>
        <w:t>Doyle</w:t>
      </w:r>
      <w:r w:rsidRPr="000E1F93">
        <w:rPr>
          <w:rFonts w:cstheme="minorHAnsi"/>
          <w:szCs w:val="27"/>
        </w:rPr>
        <w:t xml:space="preserve">, at p. 610, citing Civil Code, </w:t>
      </w:r>
      <w:r w:rsidRPr="000E1F93" w:rsidR="003C4F22">
        <w:rPr>
          <w:rFonts w:cstheme="minorHAnsi"/>
          <w:szCs w:val="27"/>
        </w:rPr>
        <w:t xml:space="preserve">former </w:t>
      </w:r>
      <w:r w:rsidR="004E382D">
        <w:rPr>
          <w:rFonts w:cstheme="minorHAnsi"/>
          <w:szCs w:val="27"/>
        </w:rPr>
        <w:t>§ </w:t>
      </w:r>
      <w:r w:rsidRPr="000E1F93">
        <w:rPr>
          <w:rFonts w:cstheme="minorHAnsi"/>
          <w:szCs w:val="27"/>
        </w:rPr>
        <w:t>196</w:t>
      </w:r>
      <w:r w:rsidR="003C4F22">
        <w:rPr>
          <w:rFonts w:cstheme="minorHAnsi"/>
          <w:szCs w:val="27"/>
        </w:rPr>
        <w:t>,</w:t>
      </w:r>
      <w:r w:rsidRPr="000E1F93">
        <w:rPr>
          <w:rFonts w:cstheme="minorHAnsi"/>
          <w:szCs w:val="27"/>
        </w:rPr>
        <w:t xml:space="preserve"> and Penal Code, </w:t>
      </w:r>
      <w:r w:rsidR="004E382D">
        <w:rPr>
          <w:rFonts w:cstheme="minorHAnsi"/>
          <w:szCs w:val="27"/>
        </w:rPr>
        <w:t>§ </w:t>
      </w:r>
      <w:r w:rsidRPr="000E1F93">
        <w:rPr>
          <w:rFonts w:cstheme="minorHAnsi"/>
          <w:szCs w:val="27"/>
        </w:rPr>
        <w:t xml:space="preserve">270; see Fam. Code, </w:t>
      </w:r>
      <w:r w:rsidR="004E382D">
        <w:rPr>
          <w:rFonts w:cstheme="minorHAnsi"/>
          <w:szCs w:val="27"/>
        </w:rPr>
        <w:t>§ </w:t>
      </w:r>
      <w:r w:rsidRPr="000E1F93">
        <w:rPr>
          <w:rFonts w:cstheme="minorHAnsi"/>
          <w:szCs w:val="27"/>
        </w:rPr>
        <w:t xml:space="preserve">3900.)  </w:t>
      </w:r>
      <w:r w:rsidRPr="000E1F93">
        <w:rPr>
          <w:rFonts w:cstheme="minorHAnsi"/>
          <w:i/>
          <w:iCs/>
          <w:szCs w:val="27"/>
        </w:rPr>
        <w:t>Doyle</w:t>
      </w:r>
      <w:r w:rsidRPr="000E1F93">
        <w:rPr>
          <w:rFonts w:cstheme="minorHAnsi"/>
          <w:szCs w:val="27"/>
        </w:rPr>
        <w:t xml:space="preserve"> did not evaluate the meaning of a “health care decision” that could be made by an agent, surrogate, or conservator, absent such a special familial relationship.  Nothing we say here addresses whether any particular familial relationship would itself convey authority to agree to arbitration with a skilled nursing facility.</w:t>
      </w:r>
    </w:p>
  </w:footnote>
  <w:footnote w:id="15">
    <w:p w:rsidR="0002244B" w:rsidRPr="000E1F93" w:rsidP="00C76FE0" w14:paraId="2B05F477"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ab/>
      </w:r>
      <w:r w:rsidRPr="000E1F93">
        <w:rPr>
          <w:rFonts w:cstheme="minorHAnsi"/>
          <w:i/>
          <w:iCs/>
          <w:szCs w:val="27"/>
        </w:rPr>
        <w:t>Garrison</w:t>
      </w:r>
      <w:r w:rsidRPr="000E1F93">
        <w:rPr>
          <w:rFonts w:cstheme="minorHAnsi"/>
          <w:szCs w:val="27"/>
        </w:rPr>
        <w:t xml:space="preserve">, and </w:t>
      </w:r>
      <w:r w:rsidRPr="000E1F93">
        <w:rPr>
          <w:rFonts w:cstheme="minorHAnsi"/>
          <w:i/>
          <w:iCs/>
          <w:szCs w:val="27"/>
        </w:rPr>
        <w:t>Hogan</w:t>
      </w:r>
      <w:r w:rsidRPr="000E1F93">
        <w:rPr>
          <w:rFonts w:cstheme="minorHAnsi"/>
          <w:szCs w:val="27"/>
        </w:rPr>
        <w:t xml:space="preserve"> after it, cite other </w:t>
      </w:r>
      <w:r w:rsidRPr="000E1F93" w:rsidR="00642601">
        <w:rPr>
          <w:rFonts w:cstheme="minorHAnsi"/>
          <w:szCs w:val="27"/>
        </w:rPr>
        <w:t xml:space="preserve">provisions of the </w:t>
      </w:r>
      <w:r w:rsidRPr="000E1F93" w:rsidR="00445127">
        <w:rPr>
          <w:rFonts w:cstheme="minorHAnsi"/>
          <w:szCs w:val="27"/>
        </w:rPr>
        <w:t xml:space="preserve">Health Care Decisions Law </w:t>
      </w:r>
      <w:r w:rsidRPr="000E1F93">
        <w:rPr>
          <w:rFonts w:cstheme="minorHAnsi"/>
          <w:szCs w:val="27"/>
        </w:rPr>
        <w:t>to support the result they reach</w:t>
      </w:r>
      <w:r w:rsidRPr="000E1F93" w:rsidR="00445127">
        <w:rPr>
          <w:rFonts w:cstheme="minorHAnsi"/>
          <w:szCs w:val="27"/>
        </w:rPr>
        <w:t xml:space="preserve">, noting a “combined effect” with </w:t>
      </w:r>
      <w:r w:rsidRPr="000E1F93" w:rsidR="002A1F8E">
        <w:rPr>
          <w:rFonts w:cstheme="minorHAnsi"/>
          <w:szCs w:val="27"/>
        </w:rPr>
        <w:t xml:space="preserve">the </w:t>
      </w:r>
      <w:r w:rsidRPr="000E1F93" w:rsidR="00DE2D6C">
        <w:rPr>
          <w:rFonts w:cstheme="minorHAnsi"/>
          <w:szCs w:val="27"/>
        </w:rPr>
        <w:t>implied agency principles</w:t>
      </w:r>
      <w:r w:rsidRPr="000E1F93" w:rsidR="002A1F8E">
        <w:rPr>
          <w:rFonts w:cstheme="minorHAnsi"/>
          <w:szCs w:val="27"/>
        </w:rPr>
        <w:t xml:space="preserve"> of Civil Code section 2319</w:t>
      </w:r>
      <w:r w:rsidRPr="000E1F93">
        <w:rPr>
          <w:rFonts w:cstheme="minorHAnsi"/>
          <w:szCs w:val="27"/>
        </w:rPr>
        <w:t>.  (</w:t>
      </w:r>
      <w:r w:rsidRPr="000E1F93">
        <w:rPr>
          <w:rFonts w:cstheme="minorHAnsi"/>
          <w:i/>
          <w:iCs/>
          <w:szCs w:val="27"/>
        </w:rPr>
        <w:t>Garrison</w:t>
      </w:r>
      <w:r w:rsidRPr="000E1F93">
        <w:rPr>
          <w:rFonts w:cstheme="minorHAnsi"/>
          <w:szCs w:val="27"/>
        </w:rPr>
        <w:t xml:space="preserve">, </w:t>
      </w:r>
      <w:r w:rsidRPr="000E1F93">
        <w:rPr>
          <w:rFonts w:cstheme="minorHAnsi"/>
          <w:i/>
          <w:iCs/>
          <w:szCs w:val="27"/>
        </w:rPr>
        <w:t>supra</w:t>
      </w:r>
      <w:r w:rsidRPr="000E1F93">
        <w:rPr>
          <w:rFonts w:cstheme="minorHAnsi"/>
          <w:szCs w:val="27"/>
        </w:rPr>
        <w:t xml:space="preserve">, 132 Cal.App.4th at pp. 265–267; </w:t>
      </w:r>
      <w:r w:rsidRPr="000E1F93">
        <w:rPr>
          <w:rFonts w:cstheme="minorHAnsi"/>
          <w:i/>
          <w:iCs/>
          <w:szCs w:val="27"/>
        </w:rPr>
        <w:t>Hogan</w:t>
      </w:r>
      <w:r w:rsidRPr="000E1F93">
        <w:rPr>
          <w:rFonts w:cstheme="minorHAnsi"/>
          <w:szCs w:val="27"/>
        </w:rPr>
        <w:t xml:space="preserve">, </w:t>
      </w:r>
      <w:r w:rsidRPr="000E1F93">
        <w:rPr>
          <w:rFonts w:cstheme="minorHAnsi"/>
          <w:i/>
          <w:iCs/>
          <w:szCs w:val="27"/>
        </w:rPr>
        <w:t>supra</w:t>
      </w:r>
      <w:r w:rsidRPr="000E1F93">
        <w:rPr>
          <w:rFonts w:cstheme="minorHAnsi"/>
          <w:szCs w:val="27"/>
        </w:rPr>
        <w:t xml:space="preserve">, 148 Cal.App.4th at pp. 265–267.)  </w:t>
      </w:r>
      <w:r w:rsidRPr="000E1F93" w:rsidR="00B13575">
        <w:rPr>
          <w:rFonts w:cstheme="minorHAnsi"/>
          <w:szCs w:val="27"/>
        </w:rPr>
        <w:t xml:space="preserve">But </w:t>
      </w:r>
      <w:r w:rsidRPr="000E1F93" w:rsidR="00642601">
        <w:rPr>
          <w:rFonts w:cstheme="minorHAnsi"/>
          <w:szCs w:val="27"/>
        </w:rPr>
        <w:t xml:space="preserve">those </w:t>
      </w:r>
      <w:r w:rsidRPr="000E1F93" w:rsidR="005C2E99">
        <w:rPr>
          <w:rFonts w:cstheme="minorHAnsi"/>
          <w:szCs w:val="27"/>
        </w:rPr>
        <w:t xml:space="preserve">other </w:t>
      </w:r>
      <w:r w:rsidRPr="000E1F93" w:rsidR="00B13575">
        <w:rPr>
          <w:rFonts w:cstheme="minorHAnsi"/>
          <w:szCs w:val="27"/>
        </w:rPr>
        <w:t>provisions do not bear on whether a</w:t>
      </w:r>
      <w:r w:rsidRPr="000E1F93" w:rsidR="00642601">
        <w:rPr>
          <w:rFonts w:cstheme="minorHAnsi"/>
          <w:szCs w:val="27"/>
        </w:rPr>
        <w:t>n agreement to arbitrate is a</w:t>
      </w:r>
      <w:r w:rsidRPr="000E1F93" w:rsidR="00B13575">
        <w:rPr>
          <w:rFonts w:cstheme="minorHAnsi"/>
          <w:szCs w:val="27"/>
        </w:rPr>
        <w:t xml:space="preserve"> health care decision.  </w:t>
      </w:r>
      <w:r w:rsidRPr="000E1F93">
        <w:rPr>
          <w:rFonts w:cstheme="minorHAnsi"/>
          <w:szCs w:val="27"/>
        </w:rPr>
        <w:t xml:space="preserve">Probate Code section 4683, subdivision (a), </w:t>
      </w:r>
      <w:r w:rsidRPr="000E1F93" w:rsidR="00B13575">
        <w:rPr>
          <w:rFonts w:cstheme="minorHAnsi"/>
          <w:szCs w:val="27"/>
        </w:rPr>
        <w:t>merely</w:t>
      </w:r>
      <w:r w:rsidRPr="000E1F93">
        <w:rPr>
          <w:rFonts w:cstheme="minorHAnsi"/>
          <w:szCs w:val="27"/>
        </w:rPr>
        <w:t xml:space="preserve"> states an agent for health care decisions </w:t>
      </w:r>
      <w:r w:rsidRPr="000E1F93" w:rsidR="00642601">
        <w:rPr>
          <w:rFonts w:cstheme="minorHAnsi"/>
          <w:szCs w:val="27"/>
        </w:rPr>
        <w:t xml:space="preserve">may </w:t>
      </w:r>
      <w:r w:rsidRPr="000E1F93">
        <w:rPr>
          <w:rFonts w:cstheme="minorHAnsi"/>
          <w:szCs w:val="27"/>
        </w:rPr>
        <w:t xml:space="preserve">make them “to the same extent the principal could make” them.  This offers no </w:t>
      </w:r>
      <w:r w:rsidRPr="000E1F93" w:rsidR="00ED5880">
        <w:rPr>
          <w:rFonts w:cstheme="minorHAnsi"/>
          <w:szCs w:val="27"/>
        </w:rPr>
        <w:t>definition of the critical term</w:t>
      </w:r>
      <w:r w:rsidRPr="000E1F93">
        <w:rPr>
          <w:rFonts w:cstheme="minorHAnsi"/>
          <w:szCs w:val="27"/>
        </w:rPr>
        <w:t xml:space="preserve">.  Subdivision (b) </w:t>
      </w:r>
      <w:r w:rsidRPr="000E1F93" w:rsidR="00ED5880">
        <w:rPr>
          <w:rFonts w:cstheme="minorHAnsi"/>
          <w:szCs w:val="27"/>
        </w:rPr>
        <w:t xml:space="preserve">of that section </w:t>
      </w:r>
      <w:r w:rsidRPr="000E1F93">
        <w:rPr>
          <w:rFonts w:cstheme="minorHAnsi"/>
          <w:szCs w:val="27"/>
        </w:rPr>
        <w:t xml:space="preserve">allows </w:t>
      </w:r>
      <w:r w:rsidRPr="000E1F93" w:rsidR="001A0F78">
        <w:rPr>
          <w:rFonts w:cstheme="minorHAnsi"/>
          <w:szCs w:val="27"/>
        </w:rPr>
        <w:t xml:space="preserve">an agent under a power of attorney for health care to make </w:t>
      </w:r>
      <w:r w:rsidRPr="000E1F93">
        <w:rPr>
          <w:rFonts w:cstheme="minorHAnsi"/>
          <w:szCs w:val="27"/>
        </w:rPr>
        <w:t xml:space="preserve">decisions “that may be effective after death.”  </w:t>
      </w:r>
      <w:r w:rsidRPr="000E1F93" w:rsidR="00ED5880">
        <w:rPr>
          <w:rFonts w:cstheme="minorHAnsi"/>
          <w:szCs w:val="27"/>
        </w:rPr>
        <w:t>But t</w:t>
      </w:r>
      <w:r w:rsidRPr="000E1F93">
        <w:rPr>
          <w:rFonts w:cstheme="minorHAnsi"/>
          <w:szCs w:val="27"/>
        </w:rPr>
        <w:t xml:space="preserve">his, too, </w:t>
      </w:r>
      <w:r w:rsidRPr="000E1F93" w:rsidR="00ED5880">
        <w:rPr>
          <w:rFonts w:cstheme="minorHAnsi"/>
          <w:szCs w:val="27"/>
        </w:rPr>
        <w:t>offers no guidance</w:t>
      </w:r>
      <w:r w:rsidRPr="000E1F93" w:rsidR="001F662F">
        <w:rPr>
          <w:rFonts w:cstheme="minorHAnsi"/>
          <w:szCs w:val="27"/>
        </w:rPr>
        <w:t>.</w:t>
      </w:r>
      <w:r w:rsidRPr="000E1F93">
        <w:rPr>
          <w:rFonts w:cstheme="minorHAnsi"/>
          <w:szCs w:val="27"/>
        </w:rPr>
        <w:t xml:space="preserve"> </w:t>
      </w:r>
      <w:r w:rsidRPr="000E1F93" w:rsidR="001A0F78">
        <w:rPr>
          <w:rFonts w:cstheme="minorHAnsi"/>
          <w:szCs w:val="27"/>
        </w:rPr>
        <w:t xml:space="preserve"> A</w:t>
      </w:r>
      <w:r w:rsidRPr="000E1F93" w:rsidR="005C2E99">
        <w:rPr>
          <w:rFonts w:cstheme="minorHAnsi"/>
          <w:szCs w:val="27"/>
        </w:rPr>
        <w:t xml:space="preserve">rbitration is hardly best categorized as a decision effective after death.  After all, </w:t>
      </w:r>
      <w:r w:rsidRPr="000E1F93" w:rsidR="00ED5880">
        <w:rPr>
          <w:rFonts w:cstheme="minorHAnsi"/>
          <w:szCs w:val="27"/>
        </w:rPr>
        <w:t xml:space="preserve">an agent would typically agree to arbitrate health care disputes while the principal is still alive and in need of care, an arbitration over health care might well take place while the principal is still alive, and, as discussed (at p. </w:t>
      </w:r>
      <w:r w:rsidRPr="000E1F93" w:rsidR="00CE1F1D">
        <w:rPr>
          <w:rFonts w:cstheme="minorHAnsi"/>
          <w:szCs w:val="27"/>
        </w:rPr>
        <w:t>12</w:t>
      </w:r>
      <w:r w:rsidR="005D61B5">
        <w:rPr>
          <w:rFonts w:cstheme="minorHAnsi"/>
          <w:szCs w:val="27"/>
        </w:rPr>
        <w:t xml:space="preserve">, </w:t>
      </w:r>
      <w:r w:rsidR="001A4DBD">
        <w:rPr>
          <w:rFonts w:cstheme="minorHAnsi"/>
          <w:i/>
          <w:iCs/>
          <w:szCs w:val="27"/>
        </w:rPr>
        <w:t>ante</w:t>
      </w:r>
      <w:r w:rsidRPr="000E1F93" w:rsidR="00ED5880">
        <w:rPr>
          <w:rFonts w:cstheme="minorHAnsi"/>
          <w:szCs w:val="27"/>
        </w:rPr>
        <w:t xml:space="preserve">), </w:t>
      </w:r>
      <w:r w:rsidRPr="000E1F93" w:rsidR="00642601">
        <w:rPr>
          <w:rFonts w:cstheme="minorHAnsi"/>
          <w:szCs w:val="27"/>
        </w:rPr>
        <w:t xml:space="preserve">under the Health Care Decisions Law, </w:t>
      </w:r>
      <w:r w:rsidRPr="000E1F93" w:rsidR="00ED5880">
        <w:rPr>
          <w:rFonts w:cstheme="minorHAnsi"/>
          <w:szCs w:val="27"/>
        </w:rPr>
        <w:t xml:space="preserve">these post-death decisions </w:t>
      </w:r>
      <w:r w:rsidRPr="000E1F93" w:rsidR="00642601">
        <w:rPr>
          <w:rFonts w:cstheme="minorHAnsi"/>
          <w:szCs w:val="27"/>
        </w:rPr>
        <w:t xml:space="preserve">are categorized </w:t>
      </w:r>
      <w:r w:rsidRPr="000E1F93" w:rsidR="00ED5880">
        <w:rPr>
          <w:rFonts w:cstheme="minorHAnsi"/>
          <w:szCs w:val="27"/>
        </w:rPr>
        <w:t>separately from health care decisions and are exemplified by approving organ donation, autopsies, disposition of remains, and records releases</w:t>
      </w:r>
      <w:r w:rsidRPr="000E1F93" w:rsidR="00767780">
        <w:rPr>
          <w:rFonts w:cstheme="minorHAnsi"/>
          <w:szCs w:val="27"/>
        </w:rPr>
        <w:t> </w:t>
      </w:r>
      <w:r w:rsidRPr="000E1F93" w:rsidR="001F662F">
        <w:rPr>
          <w:rFonts w:cstheme="minorHAnsi"/>
          <w:szCs w:val="27"/>
        </w:rPr>
        <w:t>—</w:t>
      </w:r>
      <w:r w:rsidRPr="000E1F93" w:rsidR="009665D8">
        <w:rPr>
          <w:rFonts w:cstheme="minorHAnsi"/>
          <w:szCs w:val="27"/>
        </w:rPr>
        <w:t xml:space="preserve"> not matters such as arbitration</w:t>
      </w:r>
      <w:r w:rsidRPr="000E1F93" w:rsidR="00ED5880">
        <w:rPr>
          <w:rFonts w:cstheme="minorHAnsi"/>
          <w:szCs w:val="27"/>
        </w:rPr>
        <w:t xml:space="preserve">.  </w:t>
      </w:r>
      <w:r w:rsidRPr="000E1F93">
        <w:rPr>
          <w:rFonts w:cstheme="minorHAnsi"/>
          <w:szCs w:val="27"/>
        </w:rPr>
        <w:t xml:space="preserve">Finally, Probate Code section 4684, in requiring an agent to </w:t>
      </w:r>
      <w:r w:rsidRPr="000E1F93" w:rsidR="001A0F78">
        <w:rPr>
          <w:rFonts w:cstheme="minorHAnsi"/>
          <w:szCs w:val="27"/>
        </w:rPr>
        <w:t>“make</w:t>
      </w:r>
      <w:r w:rsidRPr="000E1F93" w:rsidR="00767780">
        <w:rPr>
          <w:rFonts w:cstheme="minorHAnsi"/>
          <w:szCs w:val="27"/>
        </w:rPr>
        <w:t> . . .</w:t>
      </w:r>
      <w:r w:rsidRPr="000E1F93" w:rsidR="001A0F78">
        <w:rPr>
          <w:rFonts w:cstheme="minorHAnsi"/>
          <w:szCs w:val="27"/>
        </w:rPr>
        <w:t xml:space="preserve"> health care decision[s] in accordance with </w:t>
      </w:r>
      <w:r w:rsidRPr="000E1F93">
        <w:rPr>
          <w:rFonts w:cstheme="minorHAnsi"/>
          <w:szCs w:val="27"/>
        </w:rPr>
        <w:t>a princip</w:t>
      </w:r>
      <w:r w:rsidRPr="000E1F93" w:rsidR="007C7C42">
        <w:rPr>
          <w:rFonts w:cstheme="minorHAnsi"/>
          <w:szCs w:val="27"/>
        </w:rPr>
        <w:t>al</w:t>
      </w:r>
      <w:r w:rsidRPr="000E1F93">
        <w:rPr>
          <w:rFonts w:cstheme="minorHAnsi"/>
          <w:szCs w:val="27"/>
        </w:rPr>
        <w:t xml:space="preserve">’s </w:t>
      </w:r>
      <w:r w:rsidRPr="000E1F93" w:rsidR="001A0F78">
        <w:rPr>
          <w:rFonts w:cstheme="minorHAnsi"/>
          <w:szCs w:val="27"/>
        </w:rPr>
        <w:t>individual health care instructions</w:t>
      </w:r>
      <w:r w:rsidR="00A576B6">
        <w:rPr>
          <w:rFonts w:cstheme="minorHAnsi"/>
          <w:szCs w:val="27"/>
        </w:rPr>
        <w:t>” or known wishes</w:t>
      </w:r>
      <w:r w:rsidRPr="000E1F93">
        <w:rPr>
          <w:rFonts w:cstheme="minorHAnsi"/>
          <w:szCs w:val="27"/>
        </w:rPr>
        <w:t xml:space="preserve">, </w:t>
      </w:r>
      <w:r w:rsidR="00A576B6">
        <w:rPr>
          <w:rFonts w:cstheme="minorHAnsi"/>
          <w:szCs w:val="27"/>
        </w:rPr>
        <w:t xml:space="preserve">or otherwise, </w:t>
      </w:r>
      <w:r w:rsidRPr="000E1F93" w:rsidR="001A0F78">
        <w:rPr>
          <w:rFonts w:cstheme="minorHAnsi"/>
          <w:szCs w:val="27"/>
        </w:rPr>
        <w:t xml:space="preserve">“in accordance with </w:t>
      </w:r>
      <w:r w:rsidR="00A576B6">
        <w:rPr>
          <w:rFonts w:cstheme="minorHAnsi"/>
          <w:szCs w:val="27"/>
        </w:rPr>
        <w:t xml:space="preserve">the agent’s determination of </w:t>
      </w:r>
      <w:r w:rsidRPr="000E1F93" w:rsidR="001A0F78">
        <w:rPr>
          <w:rFonts w:cstheme="minorHAnsi"/>
          <w:szCs w:val="27"/>
        </w:rPr>
        <w:t>the principal’s best interest</w:t>
      </w:r>
      <w:r w:rsidR="00A576B6">
        <w:rPr>
          <w:rFonts w:cstheme="minorHAnsi"/>
          <w:szCs w:val="27"/>
        </w:rPr>
        <w:t>,</w:t>
      </w:r>
      <w:r w:rsidRPr="000E1F93" w:rsidR="001A0F78">
        <w:rPr>
          <w:rFonts w:cstheme="minorHAnsi"/>
          <w:szCs w:val="27"/>
        </w:rPr>
        <w:t xml:space="preserve">” </w:t>
      </w:r>
      <w:r w:rsidRPr="000E1F93" w:rsidR="00ED5880">
        <w:rPr>
          <w:rFonts w:cstheme="minorHAnsi"/>
          <w:szCs w:val="27"/>
        </w:rPr>
        <w:t xml:space="preserve">likewise </w:t>
      </w:r>
      <w:r w:rsidRPr="000E1F93">
        <w:rPr>
          <w:rFonts w:cstheme="minorHAnsi"/>
          <w:szCs w:val="27"/>
        </w:rPr>
        <w:t>does not resolve the matter.</w:t>
      </w:r>
      <w:r w:rsidRPr="000E1F93" w:rsidR="001A0F78">
        <w:rPr>
          <w:rFonts w:cstheme="minorHAnsi"/>
          <w:szCs w:val="27"/>
        </w:rPr>
        <w:t xml:space="preserve">  It states how health care decisions should be made, not what they encompass.</w:t>
      </w:r>
    </w:p>
  </w:footnote>
  <w:footnote w:id="16">
    <w:p w:rsidR="003C2341" w:rsidRPr="000E1F93" w:rsidP="00C76FE0" w14:paraId="2B05F478"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 xml:space="preserve"> </w:t>
      </w:r>
      <w:r w:rsidRPr="000E1F93">
        <w:rPr>
          <w:rFonts w:cstheme="minorHAnsi"/>
          <w:szCs w:val="27"/>
        </w:rPr>
        <w:tab/>
      </w:r>
      <w:r w:rsidRPr="000E1F93">
        <w:rPr>
          <w:rFonts w:cstheme="minorHAnsi"/>
          <w:i/>
          <w:iCs/>
          <w:szCs w:val="27"/>
        </w:rPr>
        <w:t>Hogan</w:t>
      </w:r>
      <w:r w:rsidRPr="000E1F93">
        <w:rPr>
          <w:rFonts w:cstheme="minorHAnsi"/>
          <w:szCs w:val="27"/>
        </w:rPr>
        <w:t xml:space="preserve">, </w:t>
      </w:r>
      <w:r w:rsidRPr="000E1F93">
        <w:rPr>
          <w:rFonts w:cstheme="minorHAnsi"/>
          <w:i/>
          <w:iCs/>
          <w:szCs w:val="27"/>
        </w:rPr>
        <w:t>supra</w:t>
      </w:r>
      <w:r w:rsidRPr="000E1F93">
        <w:rPr>
          <w:rFonts w:cstheme="minorHAnsi"/>
          <w:szCs w:val="27"/>
        </w:rPr>
        <w:t>, 148 Cal.App.4th at p. 267, is correct that Health and Safety Code section 1599.81</w:t>
      </w:r>
      <w:r w:rsidRPr="000E1F93" w:rsidR="008E73A0">
        <w:rPr>
          <w:rFonts w:cstheme="minorHAnsi"/>
          <w:szCs w:val="27"/>
        </w:rPr>
        <w:t xml:space="preserve">, which prohibits arbitration agreements from being a precondition to facility admission, plainly </w:t>
      </w:r>
      <w:r w:rsidRPr="000E1F93">
        <w:rPr>
          <w:rFonts w:cstheme="minorHAnsi"/>
          <w:szCs w:val="27"/>
        </w:rPr>
        <w:t xml:space="preserve">contemplates that patients and long-term health care facilities will enter </w:t>
      </w:r>
      <w:r w:rsidRPr="000E1F93" w:rsidR="00172EA1">
        <w:rPr>
          <w:rFonts w:cstheme="minorHAnsi"/>
          <w:szCs w:val="27"/>
        </w:rPr>
        <w:t xml:space="preserve">into </w:t>
      </w:r>
      <w:r w:rsidRPr="000E1F93">
        <w:rPr>
          <w:rFonts w:cstheme="minorHAnsi"/>
          <w:szCs w:val="27"/>
        </w:rPr>
        <w:t xml:space="preserve">arbitration agreements. </w:t>
      </w:r>
      <w:r w:rsidRPr="000E1F93" w:rsidR="008E73A0">
        <w:rPr>
          <w:rFonts w:cstheme="minorHAnsi"/>
          <w:szCs w:val="27"/>
        </w:rPr>
        <w:t xml:space="preserve"> (Cf. </w:t>
      </w:r>
      <w:r w:rsidRPr="00FB5C67" w:rsidR="008E73A0">
        <w:rPr>
          <w:rFonts w:cstheme="minorHAnsi"/>
          <w:szCs w:val="27"/>
        </w:rPr>
        <w:t xml:space="preserve">42 C.F.R. </w:t>
      </w:r>
      <w:r w:rsidR="004E382D">
        <w:rPr>
          <w:rFonts w:cstheme="minorHAnsi"/>
          <w:szCs w:val="27"/>
        </w:rPr>
        <w:t>§ </w:t>
      </w:r>
      <w:r w:rsidRPr="00FB5C67" w:rsidR="008E73A0">
        <w:rPr>
          <w:rFonts w:cstheme="minorHAnsi"/>
          <w:szCs w:val="27"/>
        </w:rPr>
        <w:t>483.70(n)</w:t>
      </w:r>
      <w:r w:rsidRPr="000E1F93" w:rsidR="008E73A0">
        <w:rPr>
          <w:rFonts w:cstheme="minorHAnsi"/>
          <w:szCs w:val="27"/>
        </w:rPr>
        <w:t xml:space="preserve"> [imposing a similar rule on facilities participating in Medicare and Medicaid].) </w:t>
      </w:r>
      <w:r w:rsidRPr="000E1F93" w:rsidR="0009053D">
        <w:rPr>
          <w:rFonts w:cstheme="minorHAnsi"/>
          <w:szCs w:val="27"/>
        </w:rPr>
        <w:t xml:space="preserve"> </w:t>
      </w:r>
      <w:r w:rsidRPr="000E1F93" w:rsidR="00172EA1">
        <w:rPr>
          <w:rFonts w:cstheme="minorHAnsi"/>
          <w:szCs w:val="27"/>
        </w:rPr>
        <w:t xml:space="preserve">Although </w:t>
      </w:r>
      <w:r w:rsidRPr="000E1F93" w:rsidR="008E73A0">
        <w:rPr>
          <w:rFonts w:cstheme="minorHAnsi"/>
          <w:szCs w:val="27"/>
        </w:rPr>
        <w:t xml:space="preserve">section 1599.81 </w:t>
      </w:r>
      <w:r w:rsidRPr="000E1F93">
        <w:rPr>
          <w:rFonts w:cstheme="minorHAnsi"/>
          <w:szCs w:val="27"/>
        </w:rPr>
        <w:t xml:space="preserve">suggests the Legislature views arbitration agreements as </w:t>
      </w:r>
      <w:r w:rsidRPr="000E1F93" w:rsidR="00646A8C">
        <w:rPr>
          <w:rFonts w:cstheme="minorHAnsi"/>
          <w:szCs w:val="27"/>
        </w:rPr>
        <w:t xml:space="preserve">permissible </w:t>
      </w:r>
      <w:r w:rsidRPr="000E1F93">
        <w:rPr>
          <w:rFonts w:cstheme="minorHAnsi"/>
          <w:szCs w:val="27"/>
        </w:rPr>
        <w:t xml:space="preserve">in this context, it does not </w:t>
      </w:r>
      <w:r w:rsidRPr="000E1F93" w:rsidR="00172EA1">
        <w:rPr>
          <w:rFonts w:cstheme="minorHAnsi"/>
          <w:szCs w:val="27"/>
        </w:rPr>
        <w:t>suggest the Legislature viewed these arbitration agreements as health care decisions</w:t>
      </w:r>
      <w:r w:rsidR="00E6786B">
        <w:rPr>
          <w:rFonts w:cstheme="minorHAnsi"/>
          <w:szCs w:val="27"/>
        </w:rPr>
        <w:t xml:space="preserve"> </w:t>
      </w:r>
      <w:r w:rsidR="00D369A8">
        <w:rPr>
          <w:rFonts w:cstheme="minorHAnsi"/>
          <w:szCs w:val="27"/>
        </w:rPr>
        <w:t xml:space="preserve">or </w:t>
      </w:r>
      <w:r w:rsidR="00506156">
        <w:rPr>
          <w:rFonts w:cstheme="minorHAnsi"/>
          <w:szCs w:val="27"/>
        </w:rPr>
        <w:t xml:space="preserve">as </w:t>
      </w:r>
      <w:r w:rsidR="00E6786B">
        <w:rPr>
          <w:rFonts w:cstheme="minorHAnsi"/>
          <w:szCs w:val="27"/>
        </w:rPr>
        <w:t>effectuating such decisions</w:t>
      </w:r>
      <w:r w:rsidRPr="000E1F93" w:rsidR="00172EA1">
        <w:rPr>
          <w:rFonts w:cstheme="minorHAnsi"/>
          <w:szCs w:val="27"/>
        </w:rPr>
        <w:t xml:space="preserve">, especially when presented as unnecessary to a patient’s admission.  Nor does </w:t>
      </w:r>
      <w:r w:rsidRPr="000E1F93" w:rsidR="008E73A0">
        <w:rPr>
          <w:rFonts w:cstheme="minorHAnsi"/>
          <w:szCs w:val="27"/>
        </w:rPr>
        <w:t xml:space="preserve">the statute </w:t>
      </w:r>
      <w:r w:rsidRPr="000E1F93">
        <w:rPr>
          <w:rFonts w:cstheme="minorHAnsi"/>
          <w:szCs w:val="27"/>
        </w:rPr>
        <w:t xml:space="preserve">tell us </w:t>
      </w:r>
      <w:r w:rsidRPr="000E1F93">
        <w:rPr>
          <w:rFonts w:cstheme="minorHAnsi"/>
          <w:i/>
          <w:iCs/>
          <w:szCs w:val="27"/>
        </w:rPr>
        <w:t>who</w:t>
      </w:r>
      <w:r w:rsidRPr="000E1F93">
        <w:rPr>
          <w:rFonts w:cstheme="minorHAnsi"/>
          <w:szCs w:val="27"/>
        </w:rPr>
        <w:t xml:space="preserve"> the Legislature thought should have authority to agree to arbitration</w:t>
      </w:r>
      <w:r w:rsidRPr="000E1F93" w:rsidR="00172EA1">
        <w:rPr>
          <w:rFonts w:cstheme="minorHAnsi"/>
          <w:szCs w:val="27"/>
        </w:rPr>
        <w:t>.</w:t>
      </w:r>
      <w:r w:rsidRPr="000E1F93">
        <w:rPr>
          <w:rFonts w:cstheme="minorHAnsi"/>
          <w:szCs w:val="27"/>
        </w:rPr>
        <w:t xml:space="preserve"> </w:t>
      </w:r>
      <w:r w:rsidRPr="000E1F93" w:rsidR="0009053D">
        <w:rPr>
          <w:rFonts w:cstheme="minorHAnsi"/>
          <w:szCs w:val="27"/>
        </w:rPr>
        <w:t xml:space="preserve"> </w:t>
      </w:r>
      <w:r w:rsidRPr="000E1F93" w:rsidR="008E73A0">
        <w:rPr>
          <w:rFonts w:cstheme="minorHAnsi"/>
          <w:szCs w:val="27"/>
        </w:rPr>
        <w:t>T</w:t>
      </w:r>
      <w:r w:rsidRPr="000E1F93" w:rsidR="0009053D">
        <w:rPr>
          <w:rFonts w:cstheme="minorHAnsi"/>
          <w:szCs w:val="27"/>
        </w:rPr>
        <w:t>he stat</w:t>
      </w:r>
      <w:r w:rsidRPr="000E1F93" w:rsidR="008E73A0">
        <w:rPr>
          <w:rFonts w:cstheme="minorHAnsi"/>
          <w:szCs w:val="27"/>
        </w:rPr>
        <w:t>ute</w:t>
      </w:r>
      <w:r w:rsidRPr="000E1F93" w:rsidR="0009053D">
        <w:rPr>
          <w:rFonts w:cstheme="minorHAnsi"/>
          <w:szCs w:val="27"/>
        </w:rPr>
        <w:t xml:space="preserve"> and </w:t>
      </w:r>
      <w:r w:rsidRPr="000E1F93" w:rsidR="008E73A0">
        <w:rPr>
          <w:rFonts w:cstheme="minorHAnsi"/>
          <w:szCs w:val="27"/>
        </w:rPr>
        <w:t xml:space="preserve">related </w:t>
      </w:r>
      <w:r w:rsidRPr="000E1F93" w:rsidR="0009053D">
        <w:rPr>
          <w:rFonts w:cstheme="minorHAnsi"/>
          <w:szCs w:val="27"/>
        </w:rPr>
        <w:t xml:space="preserve">federal regulations </w:t>
      </w:r>
      <w:r w:rsidRPr="000E1F93" w:rsidR="00BF2809">
        <w:rPr>
          <w:rFonts w:cstheme="minorHAnsi"/>
          <w:szCs w:val="27"/>
        </w:rPr>
        <w:t>show</w:t>
      </w:r>
      <w:r w:rsidRPr="000E1F93" w:rsidR="0009053D">
        <w:rPr>
          <w:rFonts w:cstheme="minorHAnsi"/>
          <w:szCs w:val="27"/>
        </w:rPr>
        <w:t xml:space="preserve">, if anything, </w:t>
      </w:r>
      <w:r w:rsidRPr="000E1F93" w:rsidR="00BF2809">
        <w:rPr>
          <w:rFonts w:cstheme="minorHAnsi"/>
          <w:szCs w:val="27"/>
        </w:rPr>
        <w:t>a view of</w:t>
      </w:r>
      <w:r w:rsidRPr="000E1F93" w:rsidR="0009053D">
        <w:rPr>
          <w:rFonts w:cstheme="minorHAnsi"/>
          <w:szCs w:val="27"/>
        </w:rPr>
        <w:t xml:space="preserve"> arbitration</w:t>
      </w:r>
      <w:r w:rsidRPr="000E1F93" w:rsidR="00495A09">
        <w:rPr>
          <w:rFonts w:cstheme="minorHAnsi"/>
          <w:szCs w:val="27"/>
        </w:rPr>
        <w:t xml:space="preserve"> agreements</w:t>
      </w:r>
      <w:r w:rsidRPr="000E1F93" w:rsidR="0009053D">
        <w:rPr>
          <w:rFonts w:cstheme="minorHAnsi"/>
          <w:szCs w:val="27"/>
        </w:rPr>
        <w:t xml:space="preserve"> </w:t>
      </w:r>
      <w:r w:rsidRPr="000E1F93" w:rsidR="00BF2809">
        <w:rPr>
          <w:rFonts w:cstheme="minorHAnsi"/>
          <w:szCs w:val="27"/>
        </w:rPr>
        <w:t xml:space="preserve">as distinct from </w:t>
      </w:r>
      <w:r w:rsidRPr="000E1F93" w:rsidR="0009053D">
        <w:rPr>
          <w:rFonts w:cstheme="minorHAnsi"/>
          <w:szCs w:val="27"/>
        </w:rPr>
        <w:t xml:space="preserve">decisions </w:t>
      </w:r>
      <w:r w:rsidRPr="000E1F93" w:rsidR="00BF2809">
        <w:rPr>
          <w:rFonts w:cstheme="minorHAnsi"/>
          <w:szCs w:val="27"/>
        </w:rPr>
        <w:t xml:space="preserve">critical to receiving </w:t>
      </w:r>
      <w:r w:rsidRPr="000E1F93" w:rsidR="0009053D">
        <w:rPr>
          <w:rFonts w:cstheme="minorHAnsi"/>
          <w:szCs w:val="27"/>
        </w:rPr>
        <w:t>health care.</w:t>
      </w:r>
    </w:p>
  </w:footnote>
  <w:footnote w:id="17">
    <w:p w:rsidR="00A3781D" w:rsidRPr="000E1F93" w:rsidP="006D27C7" w14:paraId="2B05F479" w14:textId="77777777">
      <w:pPr>
        <w:pStyle w:val="FootnoteText"/>
        <w:rPr>
          <w:szCs w:val="27"/>
          <w:bdr w:val="none" w:sz="0" w:space="0" w:color="auto" w:frame="1"/>
        </w:rPr>
      </w:pPr>
      <w:r w:rsidRPr="000E1F93">
        <w:rPr>
          <w:rStyle w:val="FootnoteReference"/>
          <w:szCs w:val="27"/>
        </w:rPr>
        <w:footnoteRef/>
      </w:r>
      <w:r w:rsidRPr="000E1F93">
        <w:rPr>
          <w:szCs w:val="27"/>
        </w:rPr>
        <w:t xml:space="preserve"> </w:t>
      </w:r>
      <w:r w:rsidRPr="000E1F93" w:rsidR="00A31745">
        <w:rPr>
          <w:szCs w:val="27"/>
        </w:rPr>
        <w:tab/>
      </w:r>
      <w:r w:rsidRPr="000E1F93" w:rsidR="00796911">
        <w:rPr>
          <w:szCs w:val="27"/>
        </w:rPr>
        <w:t xml:space="preserve">In doing so, we </w:t>
      </w:r>
      <w:r w:rsidRPr="000E1F93">
        <w:rPr>
          <w:szCs w:val="27"/>
        </w:rPr>
        <w:t>align California with the published opinions of numerous other state courts that</w:t>
      </w:r>
      <w:r w:rsidRPr="000E1F93" w:rsidR="00767780">
        <w:rPr>
          <w:szCs w:val="27"/>
        </w:rPr>
        <w:t> </w:t>
      </w:r>
      <w:r w:rsidRPr="000E1F93">
        <w:rPr>
          <w:szCs w:val="27"/>
        </w:rPr>
        <w:t xml:space="preserve">— after reviewing powers of attorney formed under state statutes akin to the Health Care Decisions </w:t>
      </w:r>
      <w:r w:rsidR="00123391">
        <w:rPr>
          <w:szCs w:val="27"/>
        </w:rPr>
        <w:t>L</w:t>
      </w:r>
      <w:r w:rsidRPr="000E1F93" w:rsidR="00123391">
        <w:rPr>
          <w:szCs w:val="27"/>
        </w:rPr>
        <w:t>aw </w:t>
      </w:r>
      <w:r w:rsidRPr="000E1F93">
        <w:rPr>
          <w:szCs w:val="27"/>
        </w:rPr>
        <w:t>—</w:t>
      </w:r>
      <w:r w:rsidRPr="000E1F93" w:rsidR="00796911">
        <w:rPr>
          <w:szCs w:val="27"/>
        </w:rPr>
        <w:t xml:space="preserve"> conclude </w:t>
      </w:r>
      <w:r w:rsidRPr="000E1F93">
        <w:rPr>
          <w:szCs w:val="27"/>
        </w:rPr>
        <w:t xml:space="preserve">an agreement to arbitrate, particularly when optional and separate, is not a health care decision within an agent’s power.  </w:t>
      </w:r>
      <w:r w:rsidRPr="000E1F93">
        <w:rPr>
          <w:szCs w:val="27"/>
          <w:bdr w:val="none" w:sz="0" w:space="0" w:color="auto" w:frame="1"/>
        </w:rPr>
        <w:t>(</w:t>
      </w:r>
      <w:r w:rsidRPr="00175548">
        <w:rPr>
          <w:i/>
          <w:iCs/>
          <w:szCs w:val="27"/>
          <w:bdr w:val="none" w:sz="0" w:space="0" w:color="auto" w:frame="1"/>
        </w:rPr>
        <w:t>Coleman v. United Health Serv</w:t>
      </w:r>
      <w:r w:rsidRPr="002E62BD" w:rsidR="005C3546">
        <w:rPr>
          <w:i/>
          <w:iCs/>
          <w:szCs w:val="27"/>
          <w:bdr w:val="none" w:sz="0" w:space="0" w:color="auto" w:frame="1"/>
        </w:rPr>
        <w:t>ices</w:t>
      </w:r>
      <w:r w:rsidRPr="00175548">
        <w:rPr>
          <w:i/>
          <w:iCs/>
          <w:szCs w:val="27"/>
          <w:bdr w:val="none" w:sz="0" w:space="0" w:color="auto" w:frame="1"/>
        </w:rPr>
        <w:t xml:space="preserve"> of G</w:t>
      </w:r>
      <w:r w:rsidR="000E3254">
        <w:rPr>
          <w:i/>
          <w:iCs/>
          <w:szCs w:val="27"/>
          <w:bdr w:val="none" w:sz="0" w:space="0" w:color="auto" w:frame="1"/>
        </w:rPr>
        <w:t>a.</w:t>
      </w:r>
      <w:r w:rsidRPr="00175548">
        <w:rPr>
          <w:szCs w:val="27"/>
          <w:bdr w:val="none" w:sz="0" w:space="0" w:color="auto" w:frame="1"/>
        </w:rPr>
        <w:t xml:space="preserve"> (Ga.Ct.App. 2018) 812 S.E.2d 24, 26; </w:t>
      </w:r>
      <w:r w:rsidRPr="00175548">
        <w:rPr>
          <w:i/>
          <w:iCs/>
          <w:szCs w:val="27"/>
          <w:bdr w:val="none" w:sz="0" w:space="0" w:color="auto" w:frame="1"/>
        </w:rPr>
        <w:t xml:space="preserve">Parker v. Symphony of Evanston Healthcare, LLC </w:t>
      </w:r>
      <w:r w:rsidRPr="00175548">
        <w:rPr>
          <w:szCs w:val="27"/>
          <w:bdr w:val="none" w:sz="0" w:space="0" w:color="auto" w:frame="1"/>
        </w:rPr>
        <w:t xml:space="preserve">(Ill.App.Ct. 2023) 220 N.E.3d 455, </w:t>
      </w:r>
      <w:r w:rsidRPr="00175548" w:rsidR="002C0549">
        <w:rPr>
          <w:szCs w:val="27"/>
          <w:bdr w:val="none" w:sz="0" w:space="0" w:color="auto" w:frame="1"/>
        </w:rPr>
        <w:t>463</w:t>
      </w:r>
      <w:r w:rsidRPr="00175548">
        <w:rPr>
          <w:szCs w:val="27"/>
          <w:bdr w:val="none" w:sz="0" w:space="0" w:color="auto" w:frame="1"/>
        </w:rPr>
        <w:t>;</w:t>
      </w:r>
      <w:r w:rsidRPr="00175548">
        <w:rPr>
          <w:i/>
          <w:iCs/>
          <w:szCs w:val="27"/>
          <w:bdr w:val="none" w:sz="0" w:space="0" w:color="auto" w:frame="1"/>
        </w:rPr>
        <w:t xml:space="preserve"> Ping v. Beverly Enters.</w:t>
      </w:r>
      <w:r w:rsidRPr="00175548">
        <w:rPr>
          <w:szCs w:val="27"/>
          <w:bdr w:val="none" w:sz="0" w:space="0" w:color="auto" w:frame="1"/>
        </w:rPr>
        <w:t xml:space="preserve"> (Ky. 2012) 376 S.W.3d 581, 592, 594; </w:t>
      </w:r>
      <w:r w:rsidRPr="00DD0D63">
        <w:rPr>
          <w:i/>
          <w:iCs/>
          <w:szCs w:val="27"/>
          <w:bdr w:val="none" w:sz="0" w:space="0" w:color="auto" w:frame="1"/>
        </w:rPr>
        <w:t>Johnson v. Kindred Healthcare, Inc.</w:t>
      </w:r>
      <w:r w:rsidRPr="00DD0D63" w:rsidR="001100C1">
        <w:rPr>
          <w:i/>
          <w:iCs/>
          <w:szCs w:val="27"/>
          <w:bdr w:val="none" w:sz="0" w:space="0" w:color="auto" w:frame="1"/>
        </w:rPr>
        <w:t>, supra</w:t>
      </w:r>
      <w:r w:rsidRPr="00DD0D63" w:rsidR="001100C1">
        <w:rPr>
          <w:szCs w:val="27"/>
          <w:bdr w:val="none" w:sz="0" w:space="0" w:color="auto" w:frame="1"/>
        </w:rPr>
        <w:t>,</w:t>
      </w:r>
      <w:r w:rsidRPr="00DD0D63" w:rsidR="001100C1">
        <w:rPr>
          <w:i/>
          <w:iCs/>
          <w:szCs w:val="27"/>
          <w:bdr w:val="none" w:sz="0" w:space="0" w:color="auto" w:frame="1"/>
        </w:rPr>
        <w:t xml:space="preserve"> </w:t>
      </w:r>
      <w:r w:rsidRPr="00DD0D63">
        <w:rPr>
          <w:szCs w:val="27"/>
          <w:bdr w:val="none" w:sz="0" w:space="0" w:color="auto" w:frame="1"/>
        </w:rPr>
        <w:t xml:space="preserve">2 N.E.3d </w:t>
      </w:r>
      <w:r w:rsidRPr="00DD0D63" w:rsidR="001100C1">
        <w:rPr>
          <w:szCs w:val="27"/>
          <w:bdr w:val="none" w:sz="0" w:space="0" w:color="auto" w:frame="1"/>
        </w:rPr>
        <w:t xml:space="preserve">at pp. </w:t>
      </w:r>
      <w:r w:rsidRPr="00DD0D63">
        <w:rPr>
          <w:szCs w:val="27"/>
          <w:bdr w:val="none" w:sz="0" w:space="0" w:color="auto" w:frame="1"/>
        </w:rPr>
        <w:t xml:space="preserve">851–859; </w:t>
      </w:r>
      <w:r w:rsidRPr="00DD0D63">
        <w:rPr>
          <w:i/>
          <w:iCs/>
          <w:szCs w:val="27"/>
          <w:bdr w:val="none" w:sz="0" w:space="0" w:color="auto" w:frame="1"/>
        </w:rPr>
        <w:t xml:space="preserve">Dickerson v. Longoria </w:t>
      </w:r>
      <w:r w:rsidRPr="00DD0D63">
        <w:rPr>
          <w:szCs w:val="27"/>
          <w:bdr w:val="none" w:sz="0" w:space="0" w:color="auto" w:frame="1"/>
        </w:rPr>
        <w:t>(Md. 2010) 995 A.2d 721, 731, 736–739</w:t>
      </w:r>
      <w:r w:rsidRPr="00942FC2">
        <w:rPr>
          <w:szCs w:val="27"/>
          <w:bdr w:val="none" w:sz="0" w:space="0" w:color="auto" w:frame="1"/>
        </w:rPr>
        <w:t xml:space="preserve">; </w:t>
      </w:r>
      <w:r w:rsidRPr="00942FC2">
        <w:rPr>
          <w:i/>
          <w:iCs/>
          <w:szCs w:val="27"/>
          <w:bdr w:val="none" w:sz="0" w:space="0" w:color="auto" w:frame="1"/>
        </w:rPr>
        <w:t>Primmer v. Healthcare Indus. Corp.</w:t>
      </w:r>
      <w:r w:rsidRPr="00942FC2">
        <w:rPr>
          <w:szCs w:val="27"/>
          <w:bdr w:val="none" w:sz="0" w:space="0" w:color="auto" w:frame="1"/>
        </w:rPr>
        <w:t xml:space="preserve"> (Ohio Ct.App. 2015) 43 N.E.3d 788, 789, 795; </w:t>
      </w:r>
      <w:bookmarkStart w:id="7" w:name="_Hlk161662505"/>
      <w:r w:rsidRPr="007A357E" w:rsidR="00131772">
        <w:rPr>
          <w:i/>
          <w:iCs/>
          <w:szCs w:val="27"/>
          <w:bdr w:val="none" w:sz="0" w:space="0" w:color="auto" w:frame="1"/>
        </w:rPr>
        <w:t>Williams v. Smyrna Residential, LLC</w:t>
      </w:r>
      <w:r w:rsidRPr="00131772" w:rsidR="00131772">
        <w:rPr>
          <w:szCs w:val="27"/>
          <w:bdr w:val="none" w:sz="0" w:space="0" w:color="auto" w:frame="1"/>
        </w:rPr>
        <w:t xml:space="preserve"> (</w:t>
      </w:r>
      <w:r w:rsidR="00131772">
        <w:rPr>
          <w:szCs w:val="27"/>
          <w:bdr w:val="none" w:sz="0" w:space="0" w:color="auto" w:frame="1"/>
        </w:rPr>
        <w:t xml:space="preserve">Tenn., </w:t>
      </w:r>
      <w:r w:rsidRPr="00131772" w:rsidR="00131772">
        <w:rPr>
          <w:szCs w:val="27"/>
          <w:bdr w:val="none" w:sz="0" w:space="0" w:color="auto" w:frame="1"/>
        </w:rPr>
        <w:t>Feb. 16, 2024</w:t>
      </w:r>
      <w:r w:rsidR="00131772">
        <w:rPr>
          <w:szCs w:val="27"/>
          <w:bdr w:val="none" w:sz="0" w:space="0" w:color="auto" w:frame="1"/>
        </w:rPr>
        <w:t>,</w:t>
      </w:r>
      <w:r w:rsidRPr="00131772" w:rsidR="00131772">
        <w:rPr>
          <w:szCs w:val="27"/>
          <w:bdr w:val="none" w:sz="0" w:space="0" w:color="auto" w:frame="1"/>
        </w:rPr>
        <w:t xml:space="preserve"> M2021-00927-SC-R11-CV) </w:t>
      </w:r>
      <w:r w:rsidR="007341F0">
        <w:rPr>
          <w:szCs w:val="27"/>
          <w:bdr w:val="none" w:sz="0" w:space="0" w:color="auto" w:frame="1"/>
        </w:rPr>
        <w:t>__ S.E.2d __ [</w:t>
      </w:r>
      <w:r w:rsidRPr="00131772" w:rsidR="00131772">
        <w:rPr>
          <w:szCs w:val="27"/>
          <w:bdr w:val="none" w:sz="0" w:space="0" w:color="auto" w:frame="1"/>
        </w:rPr>
        <w:t>2024 Tenn. LEXIS 44, at *18</w:t>
      </w:r>
      <w:r w:rsidR="007341F0">
        <w:rPr>
          <w:szCs w:val="27"/>
          <w:bdr w:val="none" w:sz="0" w:space="0" w:color="auto" w:frame="1"/>
        </w:rPr>
        <w:t xml:space="preserve">]; </w:t>
      </w:r>
      <w:bookmarkEnd w:id="7"/>
      <w:r w:rsidRPr="00FC20BB">
        <w:rPr>
          <w:i/>
          <w:iCs/>
          <w:szCs w:val="27"/>
          <w:bdr w:val="none" w:sz="0" w:space="0" w:color="auto" w:frame="1"/>
        </w:rPr>
        <w:t>Tex. Cityview Care Ctr., L.P. v. Fryer</w:t>
      </w:r>
      <w:r w:rsidRPr="00FC20BB">
        <w:rPr>
          <w:szCs w:val="27"/>
          <w:bdr w:val="none" w:sz="0" w:space="0" w:color="auto" w:frame="1"/>
        </w:rPr>
        <w:t xml:space="preserve"> (Tex.Ct.App. 2007) 227 S.W.3d 345, 349, 352–353; </w:t>
      </w:r>
      <w:r w:rsidRPr="00FC20BB">
        <w:rPr>
          <w:i/>
          <w:iCs/>
          <w:szCs w:val="27"/>
          <w:bdr w:val="none" w:sz="0" w:space="0" w:color="auto" w:frame="1"/>
        </w:rPr>
        <w:t>Miller v. Life Care Ctrs. of Am., Inc.</w:t>
      </w:r>
      <w:r w:rsidRPr="00FC20BB">
        <w:rPr>
          <w:szCs w:val="27"/>
          <w:bdr w:val="none" w:sz="0" w:space="0" w:color="auto" w:frame="1"/>
        </w:rPr>
        <w:t xml:space="preserve"> (Wyo. 2020) 478 P.3d 164, 166–167, 172–173; cf. </w:t>
      </w:r>
      <w:r w:rsidRPr="00FC20BB">
        <w:rPr>
          <w:i/>
          <w:iCs/>
          <w:szCs w:val="27"/>
          <w:bdr w:val="none" w:sz="0" w:space="0" w:color="auto" w:frame="1"/>
        </w:rPr>
        <w:t>Koricic v. Beverly Enters.– Neb., Inc.</w:t>
      </w:r>
      <w:r w:rsidRPr="00FC20BB">
        <w:rPr>
          <w:szCs w:val="27"/>
          <w:bdr w:val="none" w:sz="0" w:space="0" w:color="auto" w:frame="1"/>
        </w:rPr>
        <w:t xml:space="preserve"> (Neb. 2009) 773 N.W.2d 145, 151</w:t>
      </w:r>
      <w:r w:rsidRPr="000E1F93">
        <w:rPr>
          <w:szCs w:val="27"/>
          <w:bdr w:val="none" w:sz="0" w:space="0" w:color="auto" w:frame="1"/>
        </w:rPr>
        <w:t xml:space="preserve"> [agent with authority arising from practice of si</w:t>
      </w:r>
      <w:r w:rsidRPr="000E1F93" w:rsidR="00082036">
        <w:rPr>
          <w:szCs w:val="27"/>
          <w:bdr w:val="none" w:sz="0" w:space="0" w:color="auto" w:frame="1"/>
        </w:rPr>
        <w:t>g</w:t>
      </w:r>
      <w:r w:rsidRPr="000E1F93">
        <w:rPr>
          <w:szCs w:val="27"/>
          <w:bdr w:val="none" w:sz="0" w:space="0" w:color="auto" w:frame="1"/>
        </w:rPr>
        <w:t xml:space="preserve">ning medical documents was not empowered to execute optional arbitration agreement]; </w:t>
      </w:r>
      <w:r w:rsidRPr="00FE6A06">
        <w:rPr>
          <w:i/>
          <w:iCs/>
          <w:szCs w:val="27"/>
          <w:bdr w:val="none" w:sz="0" w:space="0" w:color="auto" w:frame="1"/>
        </w:rPr>
        <w:t>Arredondo v. SNH SE Ashley River Tenant, LLC</w:t>
      </w:r>
      <w:r w:rsidRPr="00FE6A06">
        <w:rPr>
          <w:szCs w:val="27"/>
          <w:bdr w:val="none" w:sz="0" w:space="0" w:color="auto" w:frame="1"/>
        </w:rPr>
        <w:t xml:space="preserve"> (S.C. 2021) 856 S.E.2d 550, 557–558 [optional arbitration agreement was not “necessary” to making health care decisions]; </w:t>
      </w:r>
      <w:r w:rsidRPr="00FE6A06">
        <w:rPr>
          <w:i/>
          <w:iCs/>
          <w:szCs w:val="27"/>
          <w:bdr w:val="none" w:sz="0" w:space="0" w:color="auto" w:frame="1"/>
        </w:rPr>
        <w:t xml:space="preserve">Lujan v. Life Care Centers of Am. </w:t>
      </w:r>
      <w:r w:rsidRPr="00FE6A06">
        <w:rPr>
          <w:szCs w:val="27"/>
          <w:bdr w:val="none" w:sz="0" w:space="0" w:color="auto" w:frame="1"/>
        </w:rPr>
        <w:t xml:space="preserve">(Colo.Ct.App. 2009) 222 P.3d 970, 973 [statutory surrogate for health care decisions could not agree to optional arbitration]; </w:t>
      </w:r>
      <w:r w:rsidRPr="00FE6A06">
        <w:rPr>
          <w:i/>
          <w:iCs/>
          <w:szCs w:val="27"/>
          <w:bdr w:val="none" w:sz="0" w:space="0" w:color="auto" w:frame="1"/>
        </w:rPr>
        <w:t>Blankfeld v. Richmond Health Care, Inc.</w:t>
      </w:r>
      <w:r w:rsidRPr="00FE6A06">
        <w:rPr>
          <w:szCs w:val="27"/>
          <w:bdr w:val="none" w:sz="0" w:space="0" w:color="auto" w:frame="1"/>
        </w:rPr>
        <w:t xml:space="preserve"> (Fla.Dist.Ct.App. 2005) 902 So.2d 296 [same]; </w:t>
      </w:r>
      <w:r w:rsidRPr="00FE6A06">
        <w:rPr>
          <w:i/>
          <w:iCs/>
          <w:szCs w:val="27"/>
          <w:bdr w:val="none" w:sz="0" w:space="0" w:color="auto" w:frame="1"/>
        </w:rPr>
        <w:t>Mississippi Care Ctr. of Greenville, LLC v. Hinyub</w:t>
      </w:r>
      <w:r w:rsidRPr="00FE6A06">
        <w:rPr>
          <w:szCs w:val="27"/>
          <w:bdr w:val="none" w:sz="0" w:space="0" w:color="auto" w:frame="1"/>
        </w:rPr>
        <w:t xml:space="preserve"> (Miss. 2008) 975 So. 2d 211, 218 [same]; </w:t>
      </w:r>
      <w:r w:rsidRPr="00FE6A06">
        <w:rPr>
          <w:i/>
          <w:iCs/>
          <w:szCs w:val="27"/>
          <w:bdr w:val="none" w:sz="0" w:space="0" w:color="auto" w:frame="1"/>
        </w:rPr>
        <w:t>Gayle v Regeis Care Ctr., LLC</w:t>
      </w:r>
      <w:r w:rsidRPr="00FE6A06">
        <w:rPr>
          <w:szCs w:val="27"/>
          <w:bdr w:val="none" w:sz="0" w:space="0" w:color="auto" w:frame="1"/>
        </w:rPr>
        <w:t xml:space="preserve"> (N.Y.App.Div. 2021) 191 A.D.3d 598, 599–600 [same]; </w:t>
      </w:r>
      <w:r w:rsidRPr="00FE6A06">
        <w:rPr>
          <w:i/>
          <w:iCs/>
          <w:szCs w:val="27"/>
          <w:bdr w:val="none" w:sz="0" w:space="0" w:color="auto" w:frame="1"/>
        </w:rPr>
        <w:t>State ex rel. AMFM, LLC v. King</w:t>
      </w:r>
      <w:r w:rsidRPr="00FE6A06">
        <w:rPr>
          <w:szCs w:val="27"/>
          <w:bdr w:val="none" w:sz="0" w:space="0" w:color="auto" w:frame="1"/>
        </w:rPr>
        <w:t xml:space="preserve"> (W.Va. 2013) 740 S.E.2d 66, 72</w:t>
      </w:r>
      <w:r w:rsidRPr="000E1F93">
        <w:rPr>
          <w:szCs w:val="27"/>
          <w:bdr w:val="none" w:sz="0" w:space="0" w:color="auto" w:frame="1"/>
        </w:rPr>
        <w:t xml:space="preserve"> [same].)  </w:t>
      </w:r>
      <w:r w:rsidRPr="000E1F93" w:rsidR="001203FF">
        <w:rPr>
          <w:szCs w:val="27"/>
          <w:bdr w:val="none" w:sz="0" w:space="0" w:color="auto" w:frame="1"/>
        </w:rPr>
        <w:t>One</w:t>
      </w:r>
      <w:r w:rsidRPr="000E1F93" w:rsidR="00796911">
        <w:rPr>
          <w:szCs w:val="27"/>
          <w:bdr w:val="none" w:sz="0" w:space="0" w:color="auto" w:frame="1"/>
        </w:rPr>
        <w:t xml:space="preserve"> </w:t>
      </w:r>
      <w:r w:rsidRPr="000E1F93">
        <w:rPr>
          <w:szCs w:val="27"/>
          <w:bdr w:val="none" w:sz="0" w:space="0" w:color="auto" w:frame="1"/>
        </w:rPr>
        <w:t xml:space="preserve">published opinion </w:t>
      </w:r>
      <w:r w:rsidRPr="000E1F93" w:rsidR="001203FF">
        <w:rPr>
          <w:szCs w:val="27"/>
          <w:bdr w:val="none" w:sz="0" w:space="0" w:color="auto" w:frame="1"/>
        </w:rPr>
        <w:t xml:space="preserve">appears to </w:t>
      </w:r>
      <w:r w:rsidRPr="000E1F93">
        <w:rPr>
          <w:szCs w:val="27"/>
          <w:bdr w:val="none" w:sz="0" w:space="0" w:color="auto" w:frame="1"/>
        </w:rPr>
        <w:t>take</w:t>
      </w:r>
      <w:r w:rsidRPr="000E1F93" w:rsidR="001203FF">
        <w:rPr>
          <w:szCs w:val="27"/>
          <w:bdr w:val="none" w:sz="0" w:space="0" w:color="auto" w:frame="1"/>
        </w:rPr>
        <w:t xml:space="preserve"> </w:t>
      </w:r>
      <w:r w:rsidRPr="000E1F93">
        <w:rPr>
          <w:szCs w:val="27"/>
          <w:bdr w:val="none" w:sz="0" w:space="0" w:color="auto" w:frame="1"/>
        </w:rPr>
        <w:t>the opposite approach to powers of attorney and optional arbitration agreements</w:t>
      </w:r>
      <w:r w:rsidRPr="000E1F93" w:rsidR="001203FF">
        <w:rPr>
          <w:szCs w:val="27"/>
          <w:bdr w:val="none" w:sz="0" w:space="0" w:color="auto" w:frame="1"/>
        </w:rPr>
        <w:t xml:space="preserve">. </w:t>
      </w:r>
      <w:r w:rsidRPr="000E1F93">
        <w:rPr>
          <w:szCs w:val="27"/>
          <w:bdr w:val="none" w:sz="0" w:space="0" w:color="auto" w:frame="1"/>
        </w:rPr>
        <w:t xml:space="preserve"> (</w:t>
      </w:r>
      <w:r w:rsidRPr="008B0C1E">
        <w:rPr>
          <w:i/>
          <w:iCs/>
          <w:szCs w:val="27"/>
          <w:bdr w:val="none" w:sz="0" w:space="0" w:color="auto" w:frame="1"/>
        </w:rPr>
        <w:t>Moffett v. Life Care Ctrs. of Am.</w:t>
      </w:r>
      <w:r w:rsidRPr="008B0C1E">
        <w:rPr>
          <w:szCs w:val="27"/>
          <w:bdr w:val="none" w:sz="0" w:space="0" w:color="auto" w:frame="1"/>
        </w:rPr>
        <w:t> (Colo.Ct.App. 2008) 187 P.3d 1140, 1141–1142, 1147</w:t>
      </w:r>
      <w:r w:rsidRPr="000E1F93">
        <w:rPr>
          <w:szCs w:val="27"/>
          <w:bdr w:val="none" w:sz="0" w:space="0" w:color="auto" w:frame="1"/>
        </w:rPr>
        <w:t xml:space="preserve"> [concluding the holder of a medical durable power of attorney may, in selecting a long-term health care facility, execute “applicable admissions forms” including an optional arbitration agreement, but also noting that holder had powers under a general power of attorney, and both powers of attorney, which were not in the record, would need to be reviewed on remand to see if they curtailed arbitration authority]</w:t>
      </w:r>
      <w:r w:rsidR="001C3B65">
        <w:rPr>
          <w:szCs w:val="27"/>
          <w:bdr w:val="none" w:sz="0" w:space="0" w:color="auto" w:frame="1"/>
        </w:rPr>
        <w:t>, affirmed on other ground in</w:t>
      </w:r>
      <w:r w:rsidRPr="001C3B65" w:rsidR="001C3B65">
        <w:rPr>
          <w:szCs w:val="27"/>
          <w:bdr w:val="none" w:sz="0" w:space="0" w:color="auto" w:frame="1"/>
        </w:rPr>
        <w:t xml:space="preserve"> </w:t>
      </w:r>
      <w:r w:rsidRPr="007A357E" w:rsidR="001C3B65">
        <w:rPr>
          <w:i/>
          <w:iCs/>
          <w:szCs w:val="27"/>
          <w:bdr w:val="none" w:sz="0" w:space="0" w:color="auto" w:frame="1"/>
        </w:rPr>
        <w:t>Moffett v. Life Care Ctrs. of America</w:t>
      </w:r>
      <w:r w:rsidRPr="001C3B65" w:rsidR="001C3B65">
        <w:rPr>
          <w:szCs w:val="27"/>
          <w:bdr w:val="none" w:sz="0" w:space="0" w:color="auto" w:frame="1"/>
        </w:rPr>
        <w:t xml:space="preserve"> (Colo. 2009) 219 P.3d 1068, 1071</w:t>
      </w:r>
      <w:r w:rsidR="001C3B65">
        <w:rPr>
          <w:szCs w:val="27"/>
          <w:bdr w:val="none" w:sz="0" w:space="0" w:color="auto" w:frame="1"/>
        </w:rPr>
        <w:t xml:space="preserve"> [</w:t>
      </w:r>
      <w:r w:rsidR="00C27435">
        <w:rPr>
          <w:szCs w:val="27"/>
          <w:bdr w:val="none" w:sz="0" w:space="0" w:color="auto" w:frame="1"/>
        </w:rPr>
        <w:t>declining to reach “</w:t>
      </w:r>
      <w:r w:rsidRPr="001C3B65" w:rsidR="001C3B65">
        <w:rPr>
          <w:szCs w:val="27"/>
          <w:bdr w:val="none" w:sz="0" w:space="0" w:color="auto" w:frame="1"/>
        </w:rPr>
        <w:t>whether a person holding a medical durable power of attorney is authorized to sign an arbitration agreement on behalf of an incapacitated patient</w:t>
      </w:r>
      <w:r w:rsidR="001C3B65">
        <w:rPr>
          <w:szCs w:val="27"/>
          <w:bdr w:val="none" w:sz="0" w:space="0" w:color="auto" w:frame="1"/>
        </w:rPr>
        <w:t>”].</w:t>
      </w:r>
      <w:r w:rsidRPr="001C3B65" w:rsidR="001C3B65">
        <w:rPr>
          <w:szCs w:val="27"/>
          <w:bdr w:val="none" w:sz="0" w:space="0" w:color="auto" w:frame="1"/>
        </w:rPr>
        <w:t>)</w:t>
      </w:r>
      <w:r w:rsidRPr="000E1F93" w:rsidR="001203FF">
        <w:rPr>
          <w:szCs w:val="27"/>
          <w:bdr w:val="none" w:sz="0" w:space="0" w:color="auto" w:frame="1"/>
        </w:rPr>
        <w:t xml:space="preserve">  A few others </w:t>
      </w:r>
      <w:r w:rsidRPr="000E1F93">
        <w:rPr>
          <w:szCs w:val="27"/>
          <w:bdr w:val="none" w:sz="0" w:space="0" w:color="auto" w:frame="1"/>
        </w:rPr>
        <w:t xml:space="preserve">have reached a different result based on </w:t>
      </w:r>
      <w:r w:rsidRPr="000E1F93" w:rsidR="00FD6F39">
        <w:rPr>
          <w:szCs w:val="27"/>
          <w:bdr w:val="none" w:sz="0" w:space="0" w:color="auto" w:frame="1"/>
        </w:rPr>
        <w:t xml:space="preserve">powers of attorney with </w:t>
      </w:r>
      <w:r w:rsidRPr="000E1F93">
        <w:rPr>
          <w:szCs w:val="27"/>
          <w:bdr w:val="none" w:sz="0" w:space="0" w:color="auto" w:frame="1"/>
        </w:rPr>
        <w:t>broad</w:t>
      </w:r>
      <w:r w:rsidRPr="000E1F93" w:rsidR="00FD6F39">
        <w:rPr>
          <w:szCs w:val="27"/>
          <w:bdr w:val="none" w:sz="0" w:space="0" w:color="auto" w:frame="1"/>
        </w:rPr>
        <w:t>er or different language</w:t>
      </w:r>
      <w:r w:rsidRPr="000E1F93" w:rsidR="001203FF">
        <w:rPr>
          <w:szCs w:val="27"/>
          <w:bdr w:val="none" w:sz="0" w:space="0" w:color="auto" w:frame="1"/>
        </w:rPr>
        <w:t xml:space="preserve">. </w:t>
      </w:r>
      <w:r w:rsidRPr="000E1F93">
        <w:rPr>
          <w:szCs w:val="27"/>
          <w:bdr w:val="none" w:sz="0" w:space="0" w:color="auto" w:frame="1"/>
        </w:rPr>
        <w:t xml:space="preserve"> (</w:t>
      </w:r>
      <w:r w:rsidRPr="000E1F93" w:rsidR="00971EB7">
        <w:rPr>
          <w:szCs w:val="27"/>
          <w:bdr w:val="none" w:sz="0" w:space="0" w:color="auto" w:frame="1"/>
        </w:rPr>
        <w:t>E.g.,</w:t>
      </w:r>
      <w:r w:rsidR="00C27435">
        <w:rPr>
          <w:szCs w:val="27"/>
          <w:bdr w:val="none" w:sz="0" w:space="0" w:color="auto" w:frame="1"/>
        </w:rPr>
        <w:t xml:space="preserve"> </w:t>
      </w:r>
      <w:r w:rsidRPr="000E0EBB">
        <w:rPr>
          <w:i/>
          <w:iCs/>
          <w:szCs w:val="27"/>
          <w:bdr w:val="none" w:sz="0" w:space="0" w:color="auto" w:frame="1"/>
        </w:rPr>
        <w:t xml:space="preserve">Ingram v. Chateau </w:t>
      </w:r>
      <w:r w:rsidRPr="000E0EBB">
        <w:rPr>
          <w:szCs w:val="27"/>
          <w:bdr w:val="none" w:sz="0" w:space="0" w:color="auto" w:frame="1"/>
        </w:rPr>
        <w:t>(Mo. 2019) 586 S.W.3d 772</w:t>
      </w:r>
      <w:r w:rsidRPr="000E1F93">
        <w:rPr>
          <w:szCs w:val="27"/>
          <w:bdr w:val="none" w:sz="0" w:space="0" w:color="auto" w:frame="1"/>
        </w:rPr>
        <w:t>, 776 [because a voluntary arbitration agreement “was presented in connection with Ingram’s admission to Brook Chateau, there was no reason for Hall to doubt she had the authority to sign it on Ingram’s behalf as part of her</w:t>
      </w:r>
      <w:r w:rsidR="004A2BB2">
        <w:rPr>
          <w:szCs w:val="27"/>
          <w:bdr w:val="none" w:sz="0" w:space="0" w:color="auto" w:frame="1"/>
        </w:rPr>
        <w:t xml:space="preserve"> express</w:t>
      </w:r>
      <w:r w:rsidRPr="000E1F93">
        <w:rPr>
          <w:szCs w:val="27"/>
          <w:bdr w:val="none" w:sz="0" w:space="0" w:color="auto" w:frame="1"/>
        </w:rPr>
        <w:t xml:space="preserve"> ‘full authority’</w:t>
      </w:r>
      <w:r w:rsidR="00CB0C4B">
        <w:rPr>
          <w:szCs w:val="27"/>
          <w:bdr w:val="none" w:sz="0" w:space="0" w:color="auto" w:frame="1"/>
        </w:rPr>
        <w:t> </w:t>
      </w:r>
      <w:r w:rsidRPr="000E1F93">
        <w:rPr>
          <w:szCs w:val="27"/>
          <w:bdr w:val="none" w:sz="0" w:space="0" w:color="auto" w:frame="1"/>
        </w:rPr>
        <w:t xml:space="preserve">” under a power of attorney to “move” Ingram into </w:t>
      </w:r>
      <w:r w:rsidR="002E62BD">
        <w:rPr>
          <w:szCs w:val="27"/>
          <w:bdr w:val="none" w:sz="0" w:space="0" w:color="auto" w:frame="1"/>
        </w:rPr>
        <w:t xml:space="preserve">a residential </w:t>
      </w:r>
      <w:r w:rsidRPr="000E1F93">
        <w:rPr>
          <w:szCs w:val="27"/>
          <w:bdr w:val="none" w:sz="0" w:space="0" w:color="auto" w:frame="1"/>
        </w:rPr>
        <w:t>care facility].</w:t>
      </w:r>
      <w:r w:rsidRPr="000E1F93" w:rsidR="001203FF">
        <w:rPr>
          <w:szCs w:val="27"/>
          <w:bdr w:val="none" w:sz="0" w:space="0" w:color="auto" w:frame="1"/>
        </w:rPr>
        <w:t>)</w:t>
      </w:r>
      <w:r w:rsidRPr="000E1F93">
        <w:rPr>
          <w:szCs w:val="27"/>
          <w:bdr w:val="none" w:sz="0" w:space="0" w:color="auto" w:frame="1"/>
        </w:rPr>
        <w:t xml:space="preserve">  </w:t>
      </w:r>
    </w:p>
    <w:p w:rsidR="0077697D" w:rsidRPr="000E1F93" w:rsidP="00C76FE0" w14:paraId="2B05F47A" w14:textId="77777777">
      <w:pPr>
        <w:spacing w:line="300" w:lineRule="exact"/>
        <w:ind w:firstLine="720"/>
        <w:rPr>
          <w:szCs w:val="27"/>
          <w:bdr w:val="none" w:sz="0" w:space="0" w:color="auto" w:frame="1"/>
        </w:rPr>
      </w:pPr>
      <w:r w:rsidRPr="000E1F93">
        <w:rPr>
          <w:szCs w:val="27"/>
          <w:bdr w:val="none" w:sz="0" w:space="0" w:color="auto" w:frame="1"/>
        </w:rPr>
        <w:t>Ultimately,</w:t>
      </w:r>
      <w:r w:rsidRPr="000E1F93" w:rsidR="00796911">
        <w:rPr>
          <w:szCs w:val="27"/>
          <w:bdr w:val="none" w:sz="0" w:space="0" w:color="auto" w:frame="1"/>
        </w:rPr>
        <w:t xml:space="preserve"> </w:t>
      </w:r>
      <w:r w:rsidRPr="000E1F93">
        <w:rPr>
          <w:szCs w:val="27"/>
          <w:bdr w:val="none" w:sz="0" w:space="0" w:color="auto" w:frame="1"/>
        </w:rPr>
        <w:t>the majority view better aligns with Logan’s power of attorney, the arbitration agreement here, and California’s Health Care Decisions Law</w:t>
      </w:r>
      <w:r w:rsidRPr="000E1F93" w:rsidR="00796911">
        <w:rPr>
          <w:szCs w:val="27"/>
          <w:bdr w:val="none" w:sz="0" w:space="0" w:color="auto" w:frame="1"/>
        </w:rPr>
        <w:t xml:space="preserve"> and its law of agency.</w:t>
      </w:r>
    </w:p>
  </w:footnote>
  <w:footnote w:id="18">
    <w:p w:rsidR="00194657" w:rsidRPr="000E1F93" w:rsidP="00C76FE0" w14:paraId="2B05F47B"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ab/>
        <w:t>On remand, the Kentucky Supreme Court determined the clear-statement rule had played no role in its decision</w:t>
      </w:r>
      <w:r w:rsidRPr="000E1F93" w:rsidR="007E7331">
        <w:rPr>
          <w:rFonts w:cstheme="minorHAnsi"/>
          <w:szCs w:val="27"/>
        </w:rPr>
        <w:t xml:space="preserve"> and left its previous decision, denying arbitration, in place</w:t>
      </w:r>
      <w:r w:rsidRPr="000E1F93">
        <w:rPr>
          <w:rFonts w:cstheme="minorHAnsi"/>
          <w:szCs w:val="27"/>
        </w:rPr>
        <w:t>.  (</w:t>
      </w:r>
      <w:r w:rsidRPr="000D4F18">
        <w:rPr>
          <w:rFonts w:cstheme="minorHAnsi"/>
          <w:i/>
          <w:iCs/>
          <w:szCs w:val="27"/>
        </w:rPr>
        <w:t>Kindred Nursing C</w:t>
      </w:r>
      <w:r w:rsidRPr="000D4F18" w:rsidR="007E7331">
        <w:rPr>
          <w:rFonts w:cstheme="minorHAnsi"/>
          <w:i/>
          <w:iCs/>
          <w:szCs w:val="27"/>
        </w:rPr>
        <w:t>enters</w:t>
      </w:r>
      <w:r w:rsidRPr="000D4F18">
        <w:rPr>
          <w:rFonts w:cstheme="minorHAnsi"/>
          <w:i/>
          <w:iCs/>
          <w:szCs w:val="27"/>
        </w:rPr>
        <w:t xml:space="preserve"> L.P. v. Wellner</w:t>
      </w:r>
      <w:r w:rsidRPr="000D4F18">
        <w:rPr>
          <w:rFonts w:cstheme="minorHAnsi"/>
          <w:szCs w:val="27"/>
        </w:rPr>
        <w:t xml:space="preserve"> (Ky. 2017) 533 S.W.3d 189,</w:t>
      </w:r>
      <w:r w:rsidRPr="000E1F93">
        <w:rPr>
          <w:rFonts w:cstheme="minorHAnsi"/>
          <w:szCs w:val="27"/>
        </w:rPr>
        <w:t xml:space="preserve"> 194.)</w:t>
      </w:r>
    </w:p>
  </w:footnote>
  <w:footnote w:id="19">
    <w:p w:rsidR="00D326CA" w:rsidRPr="000E1F93" w:rsidP="00C76FE0" w14:paraId="2B05F47C" w14:textId="77777777">
      <w:pPr>
        <w:pStyle w:val="FootnoteText"/>
        <w:rPr>
          <w:rFonts w:cstheme="minorHAnsi"/>
          <w:szCs w:val="27"/>
        </w:rPr>
      </w:pPr>
      <w:r w:rsidRPr="000E1F93">
        <w:rPr>
          <w:rStyle w:val="FootnoteReference"/>
          <w:rFonts w:cstheme="minorHAnsi"/>
          <w:position w:val="0"/>
          <w:szCs w:val="27"/>
        </w:rPr>
        <w:footnoteRef/>
      </w:r>
      <w:r w:rsidRPr="000E1F93">
        <w:rPr>
          <w:rFonts w:cstheme="minorHAnsi"/>
          <w:szCs w:val="27"/>
        </w:rPr>
        <w:t xml:space="preserve"> </w:t>
      </w:r>
      <w:r w:rsidRPr="000E1F93">
        <w:rPr>
          <w:rFonts w:cstheme="minorHAnsi"/>
          <w:szCs w:val="27"/>
        </w:rPr>
        <w:tab/>
      </w:r>
      <w:r w:rsidRPr="000E1F93" w:rsidR="007C7C42">
        <w:rPr>
          <w:rFonts w:cstheme="minorHAnsi"/>
          <w:szCs w:val="27"/>
        </w:rPr>
        <w:t>We</w:t>
      </w:r>
      <w:r w:rsidRPr="000E1F93">
        <w:rPr>
          <w:rFonts w:cstheme="minorHAnsi"/>
          <w:szCs w:val="27"/>
        </w:rPr>
        <w:t xml:space="preserve"> disapprove </w:t>
      </w:r>
      <w:r w:rsidRPr="000E1F93" w:rsidR="0028326A">
        <w:rPr>
          <w:i/>
          <w:iCs/>
          <w:szCs w:val="27"/>
        </w:rPr>
        <w:t>Garrison v. Superior Court</w:t>
      </w:r>
      <w:r w:rsidR="00D67161">
        <w:rPr>
          <w:szCs w:val="27"/>
        </w:rPr>
        <w:t xml:space="preserve">, </w:t>
      </w:r>
      <w:r w:rsidRPr="002E62BD" w:rsidR="00D67161">
        <w:rPr>
          <w:i/>
          <w:iCs/>
          <w:szCs w:val="27"/>
        </w:rPr>
        <w:t>supra</w:t>
      </w:r>
      <w:r w:rsidR="00D67161">
        <w:rPr>
          <w:szCs w:val="27"/>
        </w:rPr>
        <w:t xml:space="preserve">, </w:t>
      </w:r>
      <w:r w:rsidRPr="000E1F93" w:rsidR="0028326A">
        <w:rPr>
          <w:szCs w:val="27"/>
        </w:rPr>
        <w:t xml:space="preserve">132 Cal.App.4th 253 and </w:t>
      </w:r>
      <w:r w:rsidRPr="000E1F93" w:rsidR="0028326A">
        <w:rPr>
          <w:i/>
          <w:iCs/>
          <w:szCs w:val="27"/>
        </w:rPr>
        <w:t>Hogan v. Country Villa Health Services</w:t>
      </w:r>
      <w:r w:rsidR="009F14F9">
        <w:rPr>
          <w:szCs w:val="27"/>
        </w:rPr>
        <w:t xml:space="preserve">, </w:t>
      </w:r>
      <w:r w:rsidR="009F14F9">
        <w:rPr>
          <w:i/>
          <w:iCs/>
          <w:szCs w:val="27"/>
        </w:rPr>
        <w:t>supra</w:t>
      </w:r>
      <w:r w:rsidR="009F14F9">
        <w:rPr>
          <w:szCs w:val="27"/>
        </w:rPr>
        <w:t xml:space="preserve">, </w:t>
      </w:r>
      <w:r w:rsidRPr="000E1F93" w:rsidR="0028326A">
        <w:rPr>
          <w:szCs w:val="27"/>
        </w:rPr>
        <w:t>148 Cal.App.4th 259</w:t>
      </w:r>
      <w:r w:rsidRPr="000E1F93">
        <w:rPr>
          <w:rFonts w:cstheme="minorHAnsi"/>
          <w:szCs w:val="27"/>
        </w:rPr>
        <w:t xml:space="preserve"> to the extent they are inconsistent with this opinion.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FE0" w14:paraId="2B05F466" w14:textId="77777777">
    <w:pPr>
      <w:pStyle w:val="Header"/>
    </w:pPr>
    <w:r>
      <w:t>HARROD v. COUNTRY OAK</w:t>
    </w:r>
    <w:r w:rsidR="003923BE">
      <w:t>S</w:t>
    </w:r>
    <w:r>
      <w:t xml:space="preserve"> PARTNERS</w:t>
    </w:r>
    <w:r w:rsidR="00634FD1">
      <w:t>, LLC</w:t>
    </w:r>
  </w:p>
  <w:p w:rsidR="00C76FE0" w14:paraId="2B05F467" w14:textId="77777777">
    <w:pPr>
      <w:pStyle w:val="Header"/>
    </w:pPr>
    <w:r>
      <w:t>Opinion of the Court by Jenkins, J.</w:t>
    </w:r>
  </w:p>
  <w:p w:rsidR="00C76FE0" w14:paraId="2B05F4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5B2" w:rsidRPr="005605B2" w:rsidP="005605B2" w14:paraId="215A7A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F3EC3"/>
    <w:multiLevelType w:val="hybridMultilevel"/>
    <w:tmpl w:val="6658CE6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DC26833"/>
    <w:multiLevelType w:val="multilevel"/>
    <w:tmpl w:val="6D1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7A"/>
    <w:rsid w:val="00000342"/>
    <w:rsid w:val="00001644"/>
    <w:rsid w:val="00002760"/>
    <w:rsid w:val="00002D24"/>
    <w:rsid w:val="000043D3"/>
    <w:rsid w:val="0000480B"/>
    <w:rsid w:val="000063C0"/>
    <w:rsid w:val="00006DB3"/>
    <w:rsid w:val="00007CE3"/>
    <w:rsid w:val="000119E3"/>
    <w:rsid w:val="00011DE6"/>
    <w:rsid w:val="0001209E"/>
    <w:rsid w:val="00012278"/>
    <w:rsid w:val="000129FF"/>
    <w:rsid w:val="00012F7D"/>
    <w:rsid w:val="000132FA"/>
    <w:rsid w:val="00014B21"/>
    <w:rsid w:val="00015804"/>
    <w:rsid w:val="00015ADB"/>
    <w:rsid w:val="00015EA4"/>
    <w:rsid w:val="00016DA0"/>
    <w:rsid w:val="00020B03"/>
    <w:rsid w:val="0002244B"/>
    <w:rsid w:val="00022D25"/>
    <w:rsid w:val="00023DDD"/>
    <w:rsid w:val="0002445B"/>
    <w:rsid w:val="00025141"/>
    <w:rsid w:val="00025375"/>
    <w:rsid w:val="00025633"/>
    <w:rsid w:val="0002604D"/>
    <w:rsid w:val="00026442"/>
    <w:rsid w:val="00026664"/>
    <w:rsid w:val="0002764A"/>
    <w:rsid w:val="00030069"/>
    <w:rsid w:val="0003112B"/>
    <w:rsid w:val="000318F3"/>
    <w:rsid w:val="0003335A"/>
    <w:rsid w:val="00034E3E"/>
    <w:rsid w:val="00035B60"/>
    <w:rsid w:val="00036D13"/>
    <w:rsid w:val="00037B4E"/>
    <w:rsid w:val="00037FA9"/>
    <w:rsid w:val="0004038D"/>
    <w:rsid w:val="0004180F"/>
    <w:rsid w:val="0004219A"/>
    <w:rsid w:val="000444BB"/>
    <w:rsid w:val="00044974"/>
    <w:rsid w:val="000454BF"/>
    <w:rsid w:val="00045C6E"/>
    <w:rsid w:val="00045E2E"/>
    <w:rsid w:val="00045F18"/>
    <w:rsid w:val="00047F97"/>
    <w:rsid w:val="00051069"/>
    <w:rsid w:val="000528C4"/>
    <w:rsid w:val="00053D91"/>
    <w:rsid w:val="0006039D"/>
    <w:rsid w:val="00067D3F"/>
    <w:rsid w:val="00071715"/>
    <w:rsid w:val="00072049"/>
    <w:rsid w:val="00072D5D"/>
    <w:rsid w:val="000734B2"/>
    <w:rsid w:val="00073AF1"/>
    <w:rsid w:val="00073C22"/>
    <w:rsid w:val="00073D38"/>
    <w:rsid w:val="00074BBF"/>
    <w:rsid w:val="00077197"/>
    <w:rsid w:val="00081523"/>
    <w:rsid w:val="00082036"/>
    <w:rsid w:val="0008267E"/>
    <w:rsid w:val="00082E7B"/>
    <w:rsid w:val="000854EB"/>
    <w:rsid w:val="0008639A"/>
    <w:rsid w:val="000867A2"/>
    <w:rsid w:val="0009053D"/>
    <w:rsid w:val="000907FE"/>
    <w:rsid w:val="0009113E"/>
    <w:rsid w:val="00092D22"/>
    <w:rsid w:val="00093C4A"/>
    <w:rsid w:val="00094A29"/>
    <w:rsid w:val="000950DB"/>
    <w:rsid w:val="00095D02"/>
    <w:rsid w:val="00096C46"/>
    <w:rsid w:val="000974C3"/>
    <w:rsid w:val="00097748"/>
    <w:rsid w:val="00097BC9"/>
    <w:rsid w:val="000A2F2E"/>
    <w:rsid w:val="000A32D9"/>
    <w:rsid w:val="000A4ACF"/>
    <w:rsid w:val="000A5DAF"/>
    <w:rsid w:val="000A6A37"/>
    <w:rsid w:val="000B25C0"/>
    <w:rsid w:val="000B377D"/>
    <w:rsid w:val="000B5259"/>
    <w:rsid w:val="000B63B5"/>
    <w:rsid w:val="000B7C3E"/>
    <w:rsid w:val="000C0863"/>
    <w:rsid w:val="000C2998"/>
    <w:rsid w:val="000C50F0"/>
    <w:rsid w:val="000C5371"/>
    <w:rsid w:val="000C7452"/>
    <w:rsid w:val="000D160C"/>
    <w:rsid w:val="000D2ED5"/>
    <w:rsid w:val="000D3C0B"/>
    <w:rsid w:val="000D4264"/>
    <w:rsid w:val="000D4F18"/>
    <w:rsid w:val="000D53FB"/>
    <w:rsid w:val="000D6BC4"/>
    <w:rsid w:val="000D7478"/>
    <w:rsid w:val="000D7A3D"/>
    <w:rsid w:val="000D7AE7"/>
    <w:rsid w:val="000D7EC3"/>
    <w:rsid w:val="000E0EBB"/>
    <w:rsid w:val="000E158B"/>
    <w:rsid w:val="000E1EB8"/>
    <w:rsid w:val="000E1F93"/>
    <w:rsid w:val="000E2876"/>
    <w:rsid w:val="000E3254"/>
    <w:rsid w:val="000E37F4"/>
    <w:rsid w:val="000E51E4"/>
    <w:rsid w:val="000E5963"/>
    <w:rsid w:val="000E6218"/>
    <w:rsid w:val="000F10E3"/>
    <w:rsid w:val="000F1592"/>
    <w:rsid w:val="000F18E0"/>
    <w:rsid w:val="000F1A10"/>
    <w:rsid w:val="000F2538"/>
    <w:rsid w:val="000F44FD"/>
    <w:rsid w:val="000F542B"/>
    <w:rsid w:val="000F5473"/>
    <w:rsid w:val="000F5865"/>
    <w:rsid w:val="000F5F6E"/>
    <w:rsid w:val="000F7607"/>
    <w:rsid w:val="000F7A14"/>
    <w:rsid w:val="00102CBF"/>
    <w:rsid w:val="001036BE"/>
    <w:rsid w:val="00104154"/>
    <w:rsid w:val="00105073"/>
    <w:rsid w:val="001063FA"/>
    <w:rsid w:val="00107090"/>
    <w:rsid w:val="001100C1"/>
    <w:rsid w:val="00110743"/>
    <w:rsid w:val="00110988"/>
    <w:rsid w:val="0011112D"/>
    <w:rsid w:val="0011135D"/>
    <w:rsid w:val="0011213B"/>
    <w:rsid w:val="0011310A"/>
    <w:rsid w:val="00113398"/>
    <w:rsid w:val="0011623F"/>
    <w:rsid w:val="001203FF"/>
    <w:rsid w:val="00120852"/>
    <w:rsid w:val="001214FB"/>
    <w:rsid w:val="001224C7"/>
    <w:rsid w:val="00123391"/>
    <w:rsid w:val="001244C8"/>
    <w:rsid w:val="001247F8"/>
    <w:rsid w:val="00125221"/>
    <w:rsid w:val="00126549"/>
    <w:rsid w:val="00127282"/>
    <w:rsid w:val="00131772"/>
    <w:rsid w:val="001342A4"/>
    <w:rsid w:val="001348B9"/>
    <w:rsid w:val="0013511C"/>
    <w:rsid w:val="001352E9"/>
    <w:rsid w:val="00136098"/>
    <w:rsid w:val="00141487"/>
    <w:rsid w:val="00143501"/>
    <w:rsid w:val="00143943"/>
    <w:rsid w:val="00145983"/>
    <w:rsid w:val="00146F09"/>
    <w:rsid w:val="001506CC"/>
    <w:rsid w:val="00151068"/>
    <w:rsid w:val="00151AC8"/>
    <w:rsid w:val="00153D15"/>
    <w:rsid w:val="001541AF"/>
    <w:rsid w:val="001576F1"/>
    <w:rsid w:val="00160777"/>
    <w:rsid w:val="0016113C"/>
    <w:rsid w:val="00163450"/>
    <w:rsid w:val="0016567F"/>
    <w:rsid w:val="001663C8"/>
    <w:rsid w:val="001720B4"/>
    <w:rsid w:val="00172EA1"/>
    <w:rsid w:val="00175548"/>
    <w:rsid w:val="0017761D"/>
    <w:rsid w:val="00180BED"/>
    <w:rsid w:val="00180D59"/>
    <w:rsid w:val="00182283"/>
    <w:rsid w:val="00182A8E"/>
    <w:rsid w:val="0018464D"/>
    <w:rsid w:val="00185221"/>
    <w:rsid w:val="00185D31"/>
    <w:rsid w:val="00187CFF"/>
    <w:rsid w:val="0019108C"/>
    <w:rsid w:val="0019262A"/>
    <w:rsid w:val="00192F40"/>
    <w:rsid w:val="00193029"/>
    <w:rsid w:val="00193D10"/>
    <w:rsid w:val="001944EF"/>
    <w:rsid w:val="00194657"/>
    <w:rsid w:val="001948C0"/>
    <w:rsid w:val="00196103"/>
    <w:rsid w:val="0019684B"/>
    <w:rsid w:val="00196954"/>
    <w:rsid w:val="0019718B"/>
    <w:rsid w:val="00197870"/>
    <w:rsid w:val="001A0F78"/>
    <w:rsid w:val="001A17CE"/>
    <w:rsid w:val="001A496E"/>
    <w:rsid w:val="001A4BF0"/>
    <w:rsid w:val="001A4DBD"/>
    <w:rsid w:val="001A6786"/>
    <w:rsid w:val="001B15C6"/>
    <w:rsid w:val="001B2453"/>
    <w:rsid w:val="001B37BF"/>
    <w:rsid w:val="001B3C7F"/>
    <w:rsid w:val="001B57CB"/>
    <w:rsid w:val="001B684C"/>
    <w:rsid w:val="001B70EF"/>
    <w:rsid w:val="001C1E2D"/>
    <w:rsid w:val="001C2A0A"/>
    <w:rsid w:val="001C2DB2"/>
    <w:rsid w:val="001C3B65"/>
    <w:rsid w:val="001C40D4"/>
    <w:rsid w:val="001C4982"/>
    <w:rsid w:val="001C5C13"/>
    <w:rsid w:val="001D14C6"/>
    <w:rsid w:val="001D18CD"/>
    <w:rsid w:val="001D1B45"/>
    <w:rsid w:val="001D357E"/>
    <w:rsid w:val="001D4078"/>
    <w:rsid w:val="001D4A71"/>
    <w:rsid w:val="001D501F"/>
    <w:rsid w:val="001E053D"/>
    <w:rsid w:val="001E09F4"/>
    <w:rsid w:val="001E13EE"/>
    <w:rsid w:val="001E4A01"/>
    <w:rsid w:val="001E5607"/>
    <w:rsid w:val="001E7505"/>
    <w:rsid w:val="001E7A88"/>
    <w:rsid w:val="001F07AD"/>
    <w:rsid w:val="001F2F9A"/>
    <w:rsid w:val="001F3EEE"/>
    <w:rsid w:val="001F662F"/>
    <w:rsid w:val="00203CFF"/>
    <w:rsid w:val="00205BEA"/>
    <w:rsid w:val="0020654C"/>
    <w:rsid w:val="00210A5B"/>
    <w:rsid w:val="002114DA"/>
    <w:rsid w:val="00211E22"/>
    <w:rsid w:val="00213DC3"/>
    <w:rsid w:val="00214EDB"/>
    <w:rsid w:val="002174E9"/>
    <w:rsid w:val="0022172C"/>
    <w:rsid w:val="00221CB0"/>
    <w:rsid w:val="00222285"/>
    <w:rsid w:val="00223249"/>
    <w:rsid w:val="002247B7"/>
    <w:rsid w:val="00225933"/>
    <w:rsid w:val="00226320"/>
    <w:rsid w:val="00226489"/>
    <w:rsid w:val="00226671"/>
    <w:rsid w:val="0022720B"/>
    <w:rsid w:val="002272CB"/>
    <w:rsid w:val="00232355"/>
    <w:rsid w:val="00232402"/>
    <w:rsid w:val="0023294C"/>
    <w:rsid w:val="0023308B"/>
    <w:rsid w:val="00233965"/>
    <w:rsid w:val="002339E3"/>
    <w:rsid w:val="00233A8D"/>
    <w:rsid w:val="00233AA4"/>
    <w:rsid w:val="00233CA1"/>
    <w:rsid w:val="002376CD"/>
    <w:rsid w:val="00237B51"/>
    <w:rsid w:val="00237E1D"/>
    <w:rsid w:val="0024072C"/>
    <w:rsid w:val="002414DC"/>
    <w:rsid w:val="00241A97"/>
    <w:rsid w:val="0024290A"/>
    <w:rsid w:val="002502DA"/>
    <w:rsid w:val="00251714"/>
    <w:rsid w:val="002529D1"/>
    <w:rsid w:val="00252E38"/>
    <w:rsid w:val="002539C7"/>
    <w:rsid w:val="00254E8B"/>
    <w:rsid w:val="00255700"/>
    <w:rsid w:val="00256C86"/>
    <w:rsid w:val="00257A01"/>
    <w:rsid w:val="00263CFF"/>
    <w:rsid w:val="00264E82"/>
    <w:rsid w:val="002653D5"/>
    <w:rsid w:val="0026553E"/>
    <w:rsid w:val="00267E8E"/>
    <w:rsid w:val="00270BC8"/>
    <w:rsid w:val="00271BD5"/>
    <w:rsid w:val="00271D73"/>
    <w:rsid w:val="0027430F"/>
    <w:rsid w:val="00274343"/>
    <w:rsid w:val="0027461B"/>
    <w:rsid w:val="0027528E"/>
    <w:rsid w:val="0027624C"/>
    <w:rsid w:val="002769E0"/>
    <w:rsid w:val="00276FA9"/>
    <w:rsid w:val="00276FEF"/>
    <w:rsid w:val="002801C7"/>
    <w:rsid w:val="00280339"/>
    <w:rsid w:val="00280708"/>
    <w:rsid w:val="00281033"/>
    <w:rsid w:val="00281B74"/>
    <w:rsid w:val="00281BDC"/>
    <w:rsid w:val="002825F0"/>
    <w:rsid w:val="00282D61"/>
    <w:rsid w:val="0028326A"/>
    <w:rsid w:val="00283AD1"/>
    <w:rsid w:val="002857A6"/>
    <w:rsid w:val="0029051C"/>
    <w:rsid w:val="00290B9B"/>
    <w:rsid w:val="002922B6"/>
    <w:rsid w:val="0029334A"/>
    <w:rsid w:val="00295010"/>
    <w:rsid w:val="00296B49"/>
    <w:rsid w:val="002976A1"/>
    <w:rsid w:val="002A038C"/>
    <w:rsid w:val="002A0917"/>
    <w:rsid w:val="002A1E03"/>
    <w:rsid w:val="002A1F8E"/>
    <w:rsid w:val="002A2A4C"/>
    <w:rsid w:val="002A395B"/>
    <w:rsid w:val="002A3B86"/>
    <w:rsid w:val="002A3C9F"/>
    <w:rsid w:val="002A4BE4"/>
    <w:rsid w:val="002A550C"/>
    <w:rsid w:val="002A559F"/>
    <w:rsid w:val="002A673B"/>
    <w:rsid w:val="002B6153"/>
    <w:rsid w:val="002B69B5"/>
    <w:rsid w:val="002C0549"/>
    <w:rsid w:val="002C3603"/>
    <w:rsid w:val="002C4369"/>
    <w:rsid w:val="002C5448"/>
    <w:rsid w:val="002C6A11"/>
    <w:rsid w:val="002D199B"/>
    <w:rsid w:val="002D2712"/>
    <w:rsid w:val="002D289B"/>
    <w:rsid w:val="002D29E2"/>
    <w:rsid w:val="002D2A6D"/>
    <w:rsid w:val="002D2E19"/>
    <w:rsid w:val="002D3255"/>
    <w:rsid w:val="002D63C4"/>
    <w:rsid w:val="002E0865"/>
    <w:rsid w:val="002E0F7B"/>
    <w:rsid w:val="002E1993"/>
    <w:rsid w:val="002E356F"/>
    <w:rsid w:val="002E3CBA"/>
    <w:rsid w:val="002E5525"/>
    <w:rsid w:val="002E62BD"/>
    <w:rsid w:val="002E669B"/>
    <w:rsid w:val="002E6C89"/>
    <w:rsid w:val="002E7CA9"/>
    <w:rsid w:val="002F019C"/>
    <w:rsid w:val="002F214D"/>
    <w:rsid w:val="002F32F0"/>
    <w:rsid w:val="002F597F"/>
    <w:rsid w:val="002F68E5"/>
    <w:rsid w:val="002F6F91"/>
    <w:rsid w:val="002F7089"/>
    <w:rsid w:val="002F714A"/>
    <w:rsid w:val="003021A3"/>
    <w:rsid w:val="00305974"/>
    <w:rsid w:val="003063D1"/>
    <w:rsid w:val="00306865"/>
    <w:rsid w:val="00306911"/>
    <w:rsid w:val="00311C3E"/>
    <w:rsid w:val="00311CA9"/>
    <w:rsid w:val="003149C3"/>
    <w:rsid w:val="00315A12"/>
    <w:rsid w:val="00315DA7"/>
    <w:rsid w:val="003164D6"/>
    <w:rsid w:val="003224D5"/>
    <w:rsid w:val="003235CF"/>
    <w:rsid w:val="00323A1D"/>
    <w:rsid w:val="00324BA6"/>
    <w:rsid w:val="003259C5"/>
    <w:rsid w:val="00326744"/>
    <w:rsid w:val="00327760"/>
    <w:rsid w:val="003300E0"/>
    <w:rsid w:val="00330A3F"/>
    <w:rsid w:val="003314AF"/>
    <w:rsid w:val="003318D7"/>
    <w:rsid w:val="003372CA"/>
    <w:rsid w:val="00337A7D"/>
    <w:rsid w:val="00340854"/>
    <w:rsid w:val="00340C5A"/>
    <w:rsid w:val="0034117F"/>
    <w:rsid w:val="00343B0A"/>
    <w:rsid w:val="0034506D"/>
    <w:rsid w:val="003476BE"/>
    <w:rsid w:val="0035444F"/>
    <w:rsid w:val="003544FE"/>
    <w:rsid w:val="00355B54"/>
    <w:rsid w:val="0035686A"/>
    <w:rsid w:val="00356A8C"/>
    <w:rsid w:val="00356EE3"/>
    <w:rsid w:val="00360D00"/>
    <w:rsid w:val="00360F9C"/>
    <w:rsid w:val="00360FD4"/>
    <w:rsid w:val="00361E1C"/>
    <w:rsid w:val="003647B2"/>
    <w:rsid w:val="0036514D"/>
    <w:rsid w:val="00365B59"/>
    <w:rsid w:val="0036609D"/>
    <w:rsid w:val="00366ABF"/>
    <w:rsid w:val="00370EAF"/>
    <w:rsid w:val="003740A9"/>
    <w:rsid w:val="003764B7"/>
    <w:rsid w:val="003835B0"/>
    <w:rsid w:val="0038477B"/>
    <w:rsid w:val="0039204C"/>
    <w:rsid w:val="003923BE"/>
    <w:rsid w:val="00392811"/>
    <w:rsid w:val="00393E74"/>
    <w:rsid w:val="00394A2F"/>
    <w:rsid w:val="0039640D"/>
    <w:rsid w:val="00397561"/>
    <w:rsid w:val="003A01F2"/>
    <w:rsid w:val="003A1B01"/>
    <w:rsid w:val="003A29C0"/>
    <w:rsid w:val="003A3353"/>
    <w:rsid w:val="003A51DA"/>
    <w:rsid w:val="003A5602"/>
    <w:rsid w:val="003A744A"/>
    <w:rsid w:val="003B240B"/>
    <w:rsid w:val="003B6D3D"/>
    <w:rsid w:val="003B7C0E"/>
    <w:rsid w:val="003C00AD"/>
    <w:rsid w:val="003C093B"/>
    <w:rsid w:val="003C1873"/>
    <w:rsid w:val="003C208A"/>
    <w:rsid w:val="003C212D"/>
    <w:rsid w:val="003C21D7"/>
    <w:rsid w:val="003C2341"/>
    <w:rsid w:val="003C236A"/>
    <w:rsid w:val="003C3353"/>
    <w:rsid w:val="003C35EC"/>
    <w:rsid w:val="003C49CB"/>
    <w:rsid w:val="003C4F22"/>
    <w:rsid w:val="003C54DE"/>
    <w:rsid w:val="003C7703"/>
    <w:rsid w:val="003C7B51"/>
    <w:rsid w:val="003C7EF1"/>
    <w:rsid w:val="003D0EC0"/>
    <w:rsid w:val="003D1599"/>
    <w:rsid w:val="003D2C5D"/>
    <w:rsid w:val="003D6B5C"/>
    <w:rsid w:val="003D7CC8"/>
    <w:rsid w:val="003E0661"/>
    <w:rsid w:val="003E1F74"/>
    <w:rsid w:val="003E24FA"/>
    <w:rsid w:val="003E2984"/>
    <w:rsid w:val="003E2C8C"/>
    <w:rsid w:val="003E3446"/>
    <w:rsid w:val="003E3B64"/>
    <w:rsid w:val="003E75CD"/>
    <w:rsid w:val="003E786D"/>
    <w:rsid w:val="003F0FA4"/>
    <w:rsid w:val="003F2359"/>
    <w:rsid w:val="003F2458"/>
    <w:rsid w:val="003F3F9A"/>
    <w:rsid w:val="003F5349"/>
    <w:rsid w:val="003F663E"/>
    <w:rsid w:val="003F6C0A"/>
    <w:rsid w:val="003F79C5"/>
    <w:rsid w:val="00410849"/>
    <w:rsid w:val="00410D30"/>
    <w:rsid w:val="00411428"/>
    <w:rsid w:val="004148CC"/>
    <w:rsid w:val="0041492A"/>
    <w:rsid w:val="00415001"/>
    <w:rsid w:val="004166EC"/>
    <w:rsid w:val="0041694F"/>
    <w:rsid w:val="00417F4A"/>
    <w:rsid w:val="00420BB3"/>
    <w:rsid w:val="00421D08"/>
    <w:rsid w:val="004232CD"/>
    <w:rsid w:val="00424CE3"/>
    <w:rsid w:val="00424FB0"/>
    <w:rsid w:val="004252DC"/>
    <w:rsid w:val="00426B62"/>
    <w:rsid w:val="00426E8E"/>
    <w:rsid w:val="0043202E"/>
    <w:rsid w:val="004355FF"/>
    <w:rsid w:val="00435A34"/>
    <w:rsid w:val="00440632"/>
    <w:rsid w:val="00441388"/>
    <w:rsid w:val="00441A02"/>
    <w:rsid w:val="00441B95"/>
    <w:rsid w:val="00442FBB"/>
    <w:rsid w:val="00443D14"/>
    <w:rsid w:val="00444D60"/>
    <w:rsid w:val="0044508B"/>
    <w:rsid w:val="00445127"/>
    <w:rsid w:val="004511B6"/>
    <w:rsid w:val="00451791"/>
    <w:rsid w:val="00453B9B"/>
    <w:rsid w:val="00455A73"/>
    <w:rsid w:val="004560DF"/>
    <w:rsid w:val="00456691"/>
    <w:rsid w:val="00457936"/>
    <w:rsid w:val="004579DE"/>
    <w:rsid w:val="00460737"/>
    <w:rsid w:val="0046082F"/>
    <w:rsid w:val="0046157E"/>
    <w:rsid w:val="0046366D"/>
    <w:rsid w:val="00464B39"/>
    <w:rsid w:val="00467657"/>
    <w:rsid w:val="00472491"/>
    <w:rsid w:val="00473779"/>
    <w:rsid w:val="004826A7"/>
    <w:rsid w:val="00482769"/>
    <w:rsid w:val="00483ABC"/>
    <w:rsid w:val="004841E5"/>
    <w:rsid w:val="00485108"/>
    <w:rsid w:val="004874CE"/>
    <w:rsid w:val="00491290"/>
    <w:rsid w:val="00491313"/>
    <w:rsid w:val="004913C6"/>
    <w:rsid w:val="004916C6"/>
    <w:rsid w:val="00491BAB"/>
    <w:rsid w:val="00491EEA"/>
    <w:rsid w:val="00493171"/>
    <w:rsid w:val="0049437E"/>
    <w:rsid w:val="00494A6E"/>
    <w:rsid w:val="00494BFD"/>
    <w:rsid w:val="00495A09"/>
    <w:rsid w:val="00496761"/>
    <w:rsid w:val="00497B21"/>
    <w:rsid w:val="00497E76"/>
    <w:rsid w:val="004A0BB0"/>
    <w:rsid w:val="004A15A7"/>
    <w:rsid w:val="004A2BB2"/>
    <w:rsid w:val="004A6175"/>
    <w:rsid w:val="004A6668"/>
    <w:rsid w:val="004A72C9"/>
    <w:rsid w:val="004A7A74"/>
    <w:rsid w:val="004B4CAB"/>
    <w:rsid w:val="004B798F"/>
    <w:rsid w:val="004C154A"/>
    <w:rsid w:val="004C2D66"/>
    <w:rsid w:val="004C2EB9"/>
    <w:rsid w:val="004C3788"/>
    <w:rsid w:val="004C3822"/>
    <w:rsid w:val="004C3E91"/>
    <w:rsid w:val="004C4E72"/>
    <w:rsid w:val="004C52A7"/>
    <w:rsid w:val="004C7048"/>
    <w:rsid w:val="004D17D9"/>
    <w:rsid w:val="004D1838"/>
    <w:rsid w:val="004D19E1"/>
    <w:rsid w:val="004D30C8"/>
    <w:rsid w:val="004D3A93"/>
    <w:rsid w:val="004D3E62"/>
    <w:rsid w:val="004D4A57"/>
    <w:rsid w:val="004D5CBD"/>
    <w:rsid w:val="004D6250"/>
    <w:rsid w:val="004D655E"/>
    <w:rsid w:val="004D7117"/>
    <w:rsid w:val="004D728A"/>
    <w:rsid w:val="004D75EF"/>
    <w:rsid w:val="004D7600"/>
    <w:rsid w:val="004E2804"/>
    <w:rsid w:val="004E349F"/>
    <w:rsid w:val="004E382D"/>
    <w:rsid w:val="004E3AE0"/>
    <w:rsid w:val="004E3F7C"/>
    <w:rsid w:val="004E5D9A"/>
    <w:rsid w:val="004E74AF"/>
    <w:rsid w:val="004E76E7"/>
    <w:rsid w:val="004F0EF6"/>
    <w:rsid w:val="004F20EB"/>
    <w:rsid w:val="004F2EC7"/>
    <w:rsid w:val="004F32DC"/>
    <w:rsid w:val="004F3429"/>
    <w:rsid w:val="004F3ED7"/>
    <w:rsid w:val="004F4D4E"/>
    <w:rsid w:val="004F5299"/>
    <w:rsid w:val="004F5F58"/>
    <w:rsid w:val="00500CD6"/>
    <w:rsid w:val="00501721"/>
    <w:rsid w:val="005019D3"/>
    <w:rsid w:val="00502545"/>
    <w:rsid w:val="00502756"/>
    <w:rsid w:val="00506156"/>
    <w:rsid w:val="0050629A"/>
    <w:rsid w:val="0050722D"/>
    <w:rsid w:val="005100AC"/>
    <w:rsid w:val="005104CC"/>
    <w:rsid w:val="005105E7"/>
    <w:rsid w:val="00511CED"/>
    <w:rsid w:val="00512B48"/>
    <w:rsid w:val="00514E29"/>
    <w:rsid w:val="00515048"/>
    <w:rsid w:val="0051565D"/>
    <w:rsid w:val="00515D0F"/>
    <w:rsid w:val="0051766E"/>
    <w:rsid w:val="00520640"/>
    <w:rsid w:val="00520F11"/>
    <w:rsid w:val="00521955"/>
    <w:rsid w:val="0052281C"/>
    <w:rsid w:val="00523E3C"/>
    <w:rsid w:val="00523F7A"/>
    <w:rsid w:val="00527B15"/>
    <w:rsid w:val="00532ADC"/>
    <w:rsid w:val="00534362"/>
    <w:rsid w:val="00534B01"/>
    <w:rsid w:val="005359FD"/>
    <w:rsid w:val="00535ACA"/>
    <w:rsid w:val="00535B56"/>
    <w:rsid w:val="005411EB"/>
    <w:rsid w:val="0054176E"/>
    <w:rsid w:val="0054363F"/>
    <w:rsid w:val="00543DC0"/>
    <w:rsid w:val="00543E19"/>
    <w:rsid w:val="0054453D"/>
    <w:rsid w:val="0054475F"/>
    <w:rsid w:val="005447A3"/>
    <w:rsid w:val="00544F58"/>
    <w:rsid w:val="005458D3"/>
    <w:rsid w:val="00546328"/>
    <w:rsid w:val="005464CF"/>
    <w:rsid w:val="00550B12"/>
    <w:rsid w:val="005532CC"/>
    <w:rsid w:val="00553AD6"/>
    <w:rsid w:val="005605B2"/>
    <w:rsid w:val="00562783"/>
    <w:rsid w:val="00564D35"/>
    <w:rsid w:val="0056612F"/>
    <w:rsid w:val="005676E8"/>
    <w:rsid w:val="005704DE"/>
    <w:rsid w:val="00570991"/>
    <w:rsid w:val="00571AF9"/>
    <w:rsid w:val="0057456A"/>
    <w:rsid w:val="00574813"/>
    <w:rsid w:val="005754F9"/>
    <w:rsid w:val="005770C0"/>
    <w:rsid w:val="00583185"/>
    <w:rsid w:val="00583DBA"/>
    <w:rsid w:val="0058495C"/>
    <w:rsid w:val="0058562F"/>
    <w:rsid w:val="00585B71"/>
    <w:rsid w:val="00586784"/>
    <w:rsid w:val="005876BC"/>
    <w:rsid w:val="005908B1"/>
    <w:rsid w:val="00591B55"/>
    <w:rsid w:val="00593B7D"/>
    <w:rsid w:val="00593E21"/>
    <w:rsid w:val="00594890"/>
    <w:rsid w:val="005952AC"/>
    <w:rsid w:val="00595AED"/>
    <w:rsid w:val="00596CAB"/>
    <w:rsid w:val="005A03BB"/>
    <w:rsid w:val="005A0FD1"/>
    <w:rsid w:val="005A21BD"/>
    <w:rsid w:val="005A2423"/>
    <w:rsid w:val="005A34B0"/>
    <w:rsid w:val="005A3C8E"/>
    <w:rsid w:val="005A649F"/>
    <w:rsid w:val="005A6DC4"/>
    <w:rsid w:val="005A71C6"/>
    <w:rsid w:val="005A73C9"/>
    <w:rsid w:val="005B2954"/>
    <w:rsid w:val="005B2B26"/>
    <w:rsid w:val="005B307F"/>
    <w:rsid w:val="005B4233"/>
    <w:rsid w:val="005B4240"/>
    <w:rsid w:val="005B63FC"/>
    <w:rsid w:val="005B751D"/>
    <w:rsid w:val="005B7865"/>
    <w:rsid w:val="005C05EF"/>
    <w:rsid w:val="005C1F3C"/>
    <w:rsid w:val="005C22BD"/>
    <w:rsid w:val="005C22D3"/>
    <w:rsid w:val="005C2B0B"/>
    <w:rsid w:val="005C2E99"/>
    <w:rsid w:val="005C3546"/>
    <w:rsid w:val="005C51D8"/>
    <w:rsid w:val="005C7935"/>
    <w:rsid w:val="005D0F67"/>
    <w:rsid w:val="005D61B5"/>
    <w:rsid w:val="005D74AC"/>
    <w:rsid w:val="005D7FC5"/>
    <w:rsid w:val="005E0404"/>
    <w:rsid w:val="005E06FA"/>
    <w:rsid w:val="005E089F"/>
    <w:rsid w:val="005E1633"/>
    <w:rsid w:val="005E16F8"/>
    <w:rsid w:val="005E1B34"/>
    <w:rsid w:val="005E6CE8"/>
    <w:rsid w:val="005E70C0"/>
    <w:rsid w:val="005F420C"/>
    <w:rsid w:val="005F4815"/>
    <w:rsid w:val="005F49D8"/>
    <w:rsid w:val="005F7BB2"/>
    <w:rsid w:val="006001FC"/>
    <w:rsid w:val="0060045E"/>
    <w:rsid w:val="00601136"/>
    <w:rsid w:val="006016ED"/>
    <w:rsid w:val="006017FB"/>
    <w:rsid w:val="0060182D"/>
    <w:rsid w:val="00602C93"/>
    <w:rsid w:val="00604526"/>
    <w:rsid w:val="00605B9D"/>
    <w:rsid w:val="006063CA"/>
    <w:rsid w:val="00607899"/>
    <w:rsid w:val="00607C08"/>
    <w:rsid w:val="006106C7"/>
    <w:rsid w:val="00611FD7"/>
    <w:rsid w:val="00614426"/>
    <w:rsid w:val="00615660"/>
    <w:rsid w:val="00616460"/>
    <w:rsid w:val="006175C9"/>
    <w:rsid w:val="00617B29"/>
    <w:rsid w:val="00620C26"/>
    <w:rsid w:val="00622341"/>
    <w:rsid w:val="0062351D"/>
    <w:rsid w:val="00623EAB"/>
    <w:rsid w:val="0062762B"/>
    <w:rsid w:val="006277CF"/>
    <w:rsid w:val="00627F3D"/>
    <w:rsid w:val="0063005F"/>
    <w:rsid w:val="00634FD1"/>
    <w:rsid w:val="00635F23"/>
    <w:rsid w:val="00640D3A"/>
    <w:rsid w:val="00642601"/>
    <w:rsid w:val="00643EC2"/>
    <w:rsid w:val="00645172"/>
    <w:rsid w:val="00646A8C"/>
    <w:rsid w:val="00647670"/>
    <w:rsid w:val="00647D30"/>
    <w:rsid w:val="0065159B"/>
    <w:rsid w:val="00651B9A"/>
    <w:rsid w:val="00653AF2"/>
    <w:rsid w:val="00662419"/>
    <w:rsid w:val="006631D7"/>
    <w:rsid w:val="006631E3"/>
    <w:rsid w:val="006636D4"/>
    <w:rsid w:val="00663833"/>
    <w:rsid w:val="00663A8B"/>
    <w:rsid w:val="006649F9"/>
    <w:rsid w:val="00665215"/>
    <w:rsid w:val="006658D2"/>
    <w:rsid w:val="00670DEF"/>
    <w:rsid w:val="00670EF9"/>
    <w:rsid w:val="00671DB0"/>
    <w:rsid w:val="00672A59"/>
    <w:rsid w:val="006750C8"/>
    <w:rsid w:val="00675892"/>
    <w:rsid w:val="00676921"/>
    <w:rsid w:val="0068258C"/>
    <w:rsid w:val="00682809"/>
    <w:rsid w:val="00684B75"/>
    <w:rsid w:val="00685031"/>
    <w:rsid w:val="006902E8"/>
    <w:rsid w:val="0069169D"/>
    <w:rsid w:val="00691C73"/>
    <w:rsid w:val="00692E1D"/>
    <w:rsid w:val="006A1306"/>
    <w:rsid w:val="006A167A"/>
    <w:rsid w:val="006A20F1"/>
    <w:rsid w:val="006A2559"/>
    <w:rsid w:val="006A2716"/>
    <w:rsid w:val="006A2B05"/>
    <w:rsid w:val="006A3DAB"/>
    <w:rsid w:val="006A3F0B"/>
    <w:rsid w:val="006A41E2"/>
    <w:rsid w:val="006A4211"/>
    <w:rsid w:val="006A434A"/>
    <w:rsid w:val="006A6E61"/>
    <w:rsid w:val="006B04C2"/>
    <w:rsid w:val="006B1B13"/>
    <w:rsid w:val="006B3004"/>
    <w:rsid w:val="006B60E2"/>
    <w:rsid w:val="006B6985"/>
    <w:rsid w:val="006B7707"/>
    <w:rsid w:val="006C1A7F"/>
    <w:rsid w:val="006C2B75"/>
    <w:rsid w:val="006C34CD"/>
    <w:rsid w:val="006C3722"/>
    <w:rsid w:val="006C394D"/>
    <w:rsid w:val="006C3D21"/>
    <w:rsid w:val="006C4638"/>
    <w:rsid w:val="006C5E5A"/>
    <w:rsid w:val="006C64B5"/>
    <w:rsid w:val="006C6804"/>
    <w:rsid w:val="006C73C4"/>
    <w:rsid w:val="006C7CA9"/>
    <w:rsid w:val="006D045F"/>
    <w:rsid w:val="006D05FE"/>
    <w:rsid w:val="006D0DAF"/>
    <w:rsid w:val="006D12DF"/>
    <w:rsid w:val="006D27C7"/>
    <w:rsid w:val="006D2F9A"/>
    <w:rsid w:val="006D43FE"/>
    <w:rsid w:val="006D6074"/>
    <w:rsid w:val="006D7D06"/>
    <w:rsid w:val="006D7F59"/>
    <w:rsid w:val="006D7F9E"/>
    <w:rsid w:val="006E0281"/>
    <w:rsid w:val="006E05DF"/>
    <w:rsid w:val="006E0764"/>
    <w:rsid w:val="006E2261"/>
    <w:rsid w:val="006E30C6"/>
    <w:rsid w:val="006E4E21"/>
    <w:rsid w:val="006E63FF"/>
    <w:rsid w:val="006F174C"/>
    <w:rsid w:val="006F2F60"/>
    <w:rsid w:val="006F4710"/>
    <w:rsid w:val="006F5B26"/>
    <w:rsid w:val="006F6A57"/>
    <w:rsid w:val="006F7DE9"/>
    <w:rsid w:val="007012FB"/>
    <w:rsid w:val="00704720"/>
    <w:rsid w:val="00704A98"/>
    <w:rsid w:val="00706001"/>
    <w:rsid w:val="00706150"/>
    <w:rsid w:val="00707364"/>
    <w:rsid w:val="0070740C"/>
    <w:rsid w:val="00710E3F"/>
    <w:rsid w:val="00716932"/>
    <w:rsid w:val="00716E6C"/>
    <w:rsid w:val="00717FFD"/>
    <w:rsid w:val="00721475"/>
    <w:rsid w:val="00721665"/>
    <w:rsid w:val="0072205F"/>
    <w:rsid w:val="00723F84"/>
    <w:rsid w:val="00725FC5"/>
    <w:rsid w:val="00726007"/>
    <w:rsid w:val="0072631B"/>
    <w:rsid w:val="00731C81"/>
    <w:rsid w:val="00732685"/>
    <w:rsid w:val="007328F0"/>
    <w:rsid w:val="00733050"/>
    <w:rsid w:val="007330CE"/>
    <w:rsid w:val="007341F0"/>
    <w:rsid w:val="007364A5"/>
    <w:rsid w:val="007365A4"/>
    <w:rsid w:val="00736EE2"/>
    <w:rsid w:val="00743D74"/>
    <w:rsid w:val="00744AA3"/>
    <w:rsid w:val="007535FC"/>
    <w:rsid w:val="00754C10"/>
    <w:rsid w:val="00755A28"/>
    <w:rsid w:val="0075614C"/>
    <w:rsid w:val="00760951"/>
    <w:rsid w:val="007609E9"/>
    <w:rsid w:val="00760CDA"/>
    <w:rsid w:val="00761F21"/>
    <w:rsid w:val="007627C1"/>
    <w:rsid w:val="007629CE"/>
    <w:rsid w:val="007629D3"/>
    <w:rsid w:val="007654AE"/>
    <w:rsid w:val="00765BB5"/>
    <w:rsid w:val="00766961"/>
    <w:rsid w:val="0076741F"/>
    <w:rsid w:val="00767780"/>
    <w:rsid w:val="00767AA7"/>
    <w:rsid w:val="00770BB1"/>
    <w:rsid w:val="00770F3E"/>
    <w:rsid w:val="00771319"/>
    <w:rsid w:val="00772281"/>
    <w:rsid w:val="0077380F"/>
    <w:rsid w:val="007738EB"/>
    <w:rsid w:val="007767A4"/>
    <w:rsid w:val="0077697D"/>
    <w:rsid w:val="00780DF2"/>
    <w:rsid w:val="0078227B"/>
    <w:rsid w:val="007833A1"/>
    <w:rsid w:val="00783BE2"/>
    <w:rsid w:val="00784C65"/>
    <w:rsid w:val="007853E7"/>
    <w:rsid w:val="007869AD"/>
    <w:rsid w:val="00787007"/>
    <w:rsid w:val="0078725E"/>
    <w:rsid w:val="007875F8"/>
    <w:rsid w:val="007906CF"/>
    <w:rsid w:val="00791368"/>
    <w:rsid w:val="00791BB3"/>
    <w:rsid w:val="007937D2"/>
    <w:rsid w:val="00793B4C"/>
    <w:rsid w:val="00793CC6"/>
    <w:rsid w:val="00795CA8"/>
    <w:rsid w:val="00796911"/>
    <w:rsid w:val="00796947"/>
    <w:rsid w:val="00797252"/>
    <w:rsid w:val="007A13B9"/>
    <w:rsid w:val="007A1B48"/>
    <w:rsid w:val="007A2E41"/>
    <w:rsid w:val="007A357E"/>
    <w:rsid w:val="007A373F"/>
    <w:rsid w:val="007A3E81"/>
    <w:rsid w:val="007A62F0"/>
    <w:rsid w:val="007B1C85"/>
    <w:rsid w:val="007B4560"/>
    <w:rsid w:val="007B47A9"/>
    <w:rsid w:val="007B5537"/>
    <w:rsid w:val="007B5B82"/>
    <w:rsid w:val="007B658E"/>
    <w:rsid w:val="007B7882"/>
    <w:rsid w:val="007C0B9A"/>
    <w:rsid w:val="007C5CF9"/>
    <w:rsid w:val="007C686A"/>
    <w:rsid w:val="007C7021"/>
    <w:rsid w:val="007C74F9"/>
    <w:rsid w:val="007C7C42"/>
    <w:rsid w:val="007D1486"/>
    <w:rsid w:val="007D2DBF"/>
    <w:rsid w:val="007D30EC"/>
    <w:rsid w:val="007D38AB"/>
    <w:rsid w:val="007D57FA"/>
    <w:rsid w:val="007D5AE0"/>
    <w:rsid w:val="007D7520"/>
    <w:rsid w:val="007D7800"/>
    <w:rsid w:val="007E2184"/>
    <w:rsid w:val="007E30BA"/>
    <w:rsid w:val="007E331E"/>
    <w:rsid w:val="007E3AAD"/>
    <w:rsid w:val="007E5BFF"/>
    <w:rsid w:val="007E6632"/>
    <w:rsid w:val="007E7331"/>
    <w:rsid w:val="007F614B"/>
    <w:rsid w:val="007F7AD5"/>
    <w:rsid w:val="0080016E"/>
    <w:rsid w:val="008005CB"/>
    <w:rsid w:val="00800BD3"/>
    <w:rsid w:val="00800D99"/>
    <w:rsid w:val="00802056"/>
    <w:rsid w:val="008030DB"/>
    <w:rsid w:val="008043DB"/>
    <w:rsid w:val="00805EEE"/>
    <w:rsid w:val="00805F6E"/>
    <w:rsid w:val="00806497"/>
    <w:rsid w:val="008064D6"/>
    <w:rsid w:val="008128C1"/>
    <w:rsid w:val="00812C29"/>
    <w:rsid w:val="00813ECE"/>
    <w:rsid w:val="008142CD"/>
    <w:rsid w:val="00815690"/>
    <w:rsid w:val="008164FF"/>
    <w:rsid w:val="00821CC6"/>
    <w:rsid w:val="008229E0"/>
    <w:rsid w:val="00824026"/>
    <w:rsid w:val="00824262"/>
    <w:rsid w:val="00826571"/>
    <w:rsid w:val="00830E2B"/>
    <w:rsid w:val="008311A9"/>
    <w:rsid w:val="00832FB1"/>
    <w:rsid w:val="0083369F"/>
    <w:rsid w:val="00835A3F"/>
    <w:rsid w:val="00837D89"/>
    <w:rsid w:val="008406FC"/>
    <w:rsid w:val="00840DDD"/>
    <w:rsid w:val="00840FC9"/>
    <w:rsid w:val="00841F14"/>
    <w:rsid w:val="00842097"/>
    <w:rsid w:val="00842B51"/>
    <w:rsid w:val="00844458"/>
    <w:rsid w:val="008456E8"/>
    <w:rsid w:val="0085183D"/>
    <w:rsid w:val="00851901"/>
    <w:rsid w:val="00855276"/>
    <w:rsid w:val="00855B50"/>
    <w:rsid w:val="00856089"/>
    <w:rsid w:val="00857354"/>
    <w:rsid w:val="0086083C"/>
    <w:rsid w:val="008608A9"/>
    <w:rsid w:val="008612B6"/>
    <w:rsid w:val="008619F5"/>
    <w:rsid w:val="00862CBF"/>
    <w:rsid w:val="00863C5F"/>
    <w:rsid w:val="00864FF6"/>
    <w:rsid w:val="0086553E"/>
    <w:rsid w:val="00865E2A"/>
    <w:rsid w:val="008668F7"/>
    <w:rsid w:val="00866BCB"/>
    <w:rsid w:val="00871CA2"/>
    <w:rsid w:val="00872457"/>
    <w:rsid w:val="00872D0E"/>
    <w:rsid w:val="00873221"/>
    <w:rsid w:val="00875218"/>
    <w:rsid w:val="00875FEE"/>
    <w:rsid w:val="0087788F"/>
    <w:rsid w:val="00877BFA"/>
    <w:rsid w:val="00882A25"/>
    <w:rsid w:val="00882D16"/>
    <w:rsid w:val="00884CCD"/>
    <w:rsid w:val="00884F77"/>
    <w:rsid w:val="00885B22"/>
    <w:rsid w:val="00886D3F"/>
    <w:rsid w:val="00886E24"/>
    <w:rsid w:val="008873B8"/>
    <w:rsid w:val="00887427"/>
    <w:rsid w:val="0088757A"/>
    <w:rsid w:val="00892183"/>
    <w:rsid w:val="008934BD"/>
    <w:rsid w:val="008942F2"/>
    <w:rsid w:val="008948AC"/>
    <w:rsid w:val="00895177"/>
    <w:rsid w:val="008965E9"/>
    <w:rsid w:val="00896831"/>
    <w:rsid w:val="00897A9D"/>
    <w:rsid w:val="00897AA0"/>
    <w:rsid w:val="008A590D"/>
    <w:rsid w:val="008A621F"/>
    <w:rsid w:val="008A6C4B"/>
    <w:rsid w:val="008B03DF"/>
    <w:rsid w:val="008B0C1E"/>
    <w:rsid w:val="008B4319"/>
    <w:rsid w:val="008B4344"/>
    <w:rsid w:val="008B7511"/>
    <w:rsid w:val="008C076B"/>
    <w:rsid w:val="008C3953"/>
    <w:rsid w:val="008C4656"/>
    <w:rsid w:val="008C5D23"/>
    <w:rsid w:val="008D1D0D"/>
    <w:rsid w:val="008D2036"/>
    <w:rsid w:val="008D487B"/>
    <w:rsid w:val="008D557B"/>
    <w:rsid w:val="008D5D8E"/>
    <w:rsid w:val="008D734B"/>
    <w:rsid w:val="008E0499"/>
    <w:rsid w:val="008E050B"/>
    <w:rsid w:val="008E0EA1"/>
    <w:rsid w:val="008E3B44"/>
    <w:rsid w:val="008E484E"/>
    <w:rsid w:val="008E71AE"/>
    <w:rsid w:val="008E73A0"/>
    <w:rsid w:val="008F04BD"/>
    <w:rsid w:val="008F2830"/>
    <w:rsid w:val="008F31A3"/>
    <w:rsid w:val="008F32C3"/>
    <w:rsid w:val="008F5240"/>
    <w:rsid w:val="00900218"/>
    <w:rsid w:val="00901350"/>
    <w:rsid w:val="0090492F"/>
    <w:rsid w:val="00904CB6"/>
    <w:rsid w:val="00905170"/>
    <w:rsid w:val="009052AB"/>
    <w:rsid w:val="00905F81"/>
    <w:rsid w:val="009074F0"/>
    <w:rsid w:val="0091579B"/>
    <w:rsid w:val="009157E6"/>
    <w:rsid w:val="009168CA"/>
    <w:rsid w:val="00916A71"/>
    <w:rsid w:val="00917000"/>
    <w:rsid w:val="00917679"/>
    <w:rsid w:val="00920087"/>
    <w:rsid w:val="00920AA5"/>
    <w:rsid w:val="00920BAA"/>
    <w:rsid w:val="00920E08"/>
    <w:rsid w:val="00922FD3"/>
    <w:rsid w:val="009235D8"/>
    <w:rsid w:val="00924AD3"/>
    <w:rsid w:val="0092596C"/>
    <w:rsid w:val="00926389"/>
    <w:rsid w:val="00926CCA"/>
    <w:rsid w:val="00926D6A"/>
    <w:rsid w:val="009300D2"/>
    <w:rsid w:val="00936CB8"/>
    <w:rsid w:val="00940914"/>
    <w:rsid w:val="00942D43"/>
    <w:rsid w:val="00942FC2"/>
    <w:rsid w:val="009438AF"/>
    <w:rsid w:val="0094469F"/>
    <w:rsid w:val="00947CC4"/>
    <w:rsid w:val="00950015"/>
    <w:rsid w:val="00951554"/>
    <w:rsid w:val="00953F8A"/>
    <w:rsid w:val="00954FFB"/>
    <w:rsid w:val="009557A2"/>
    <w:rsid w:val="00955C01"/>
    <w:rsid w:val="009566D0"/>
    <w:rsid w:val="009665D8"/>
    <w:rsid w:val="0097015B"/>
    <w:rsid w:val="009715E4"/>
    <w:rsid w:val="00971EB7"/>
    <w:rsid w:val="009722BF"/>
    <w:rsid w:val="009723B0"/>
    <w:rsid w:val="00972872"/>
    <w:rsid w:val="009733DA"/>
    <w:rsid w:val="00973B15"/>
    <w:rsid w:val="00974E17"/>
    <w:rsid w:val="009767D3"/>
    <w:rsid w:val="009802A6"/>
    <w:rsid w:val="00980764"/>
    <w:rsid w:val="00981439"/>
    <w:rsid w:val="009831F8"/>
    <w:rsid w:val="0098407D"/>
    <w:rsid w:val="00984EE0"/>
    <w:rsid w:val="00984FE3"/>
    <w:rsid w:val="00985103"/>
    <w:rsid w:val="00985116"/>
    <w:rsid w:val="00985D74"/>
    <w:rsid w:val="0098638F"/>
    <w:rsid w:val="0098767B"/>
    <w:rsid w:val="00987D69"/>
    <w:rsid w:val="00994291"/>
    <w:rsid w:val="00995C79"/>
    <w:rsid w:val="00996048"/>
    <w:rsid w:val="00996C74"/>
    <w:rsid w:val="00996ED8"/>
    <w:rsid w:val="009A042C"/>
    <w:rsid w:val="009A19DB"/>
    <w:rsid w:val="009A2ADF"/>
    <w:rsid w:val="009A358C"/>
    <w:rsid w:val="009A3FD1"/>
    <w:rsid w:val="009A492A"/>
    <w:rsid w:val="009B1878"/>
    <w:rsid w:val="009B241D"/>
    <w:rsid w:val="009B3C6F"/>
    <w:rsid w:val="009B42D6"/>
    <w:rsid w:val="009B4666"/>
    <w:rsid w:val="009B5482"/>
    <w:rsid w:val="009B55FA"/>
    <w:rsid w:val="009B5ABE"/>
    <w:rsid w:val="009B7044"/>
    <w:rsid w:val="009C212E"/>
    <w:rsid w:val="009C29A2"/>
    <w:rsid w:val="009C3BB7"/>
    <w:rsid w:val="009C4C08"/>
    <w:rsid w:val="009C5EF3"/>
    <w:rsid w:val="009C729F"/>
    <w:rsid w:val="009D0EBA"/>
    <w:rsid w:val="009D4092"/>
    <w:rsid w:val="009D4160"/>
    <w:rsid w:val="009D764D"/>
    <w:rsid w:val="009D7D5B"/>
    <w:rsid w:val="009E44F4"/>
    <w:rsid w:val="009E5011"/>
    <w:rsid w:val="009E7421"/>
    <w:rsid w:val="009E744A"/>
    <w:rsid w:val="009E7CD2"/>
    <w:rsid w:val="009F0DE8"/>
    <w:rsid w:val="009F14F9"/>
    <w:rsid w:val="009F1772"/>
    <w:rsid w:val="009F366D"/>
    <w:rsid w:val="009F4614"/>
    <w:rsid w:val="009F57C7"/>
    <w:rsid w:val="009F672F"/>
    <w:rsid w:val="009F77C7"/>
    <w:rsid w:val="00A002F1"/>
    <w:rsid w:val="00A00B95"/>
    <w:rsid w:val="00A00DF5"/>
    <w:rsid w:val="00A014A0"/>
    <w:rsid w:val="00A01713"/>
    <w:rsid w:val="00A02955"/>
    <w:rsid w:val="00A04E11"/>
    <w:rsid w:val="00A0577E"/>
    <w:rsid w:val="00A10AD6"/>
    <w:rsid w:val="00A12078"/>
    <w:rsid w:val="00A120B4"/>
    <w:rsid w:val="00A1325E"/>
    <w:rsid w:val="00A13A8D"/>
    <w:rsid w:val="00A13F2A"/>
    <w:rsid w:val="00A14357"/>
    <w:rsid w:val="00A14DB8"/>
    <w:rsid w:val="00A15E19"/>
    <w:rsid w:val="00A20739"/>
    <w:rsid w:val="00A209F1"/>
    <w:rsid w:val="00A2103B"/>
    <w:rsid w:val="00A226BA"/>
    <w:rsid w:val="00A22E68"/>
    <w:rsid w:val="00A23E44"/>
    <w:rsid w:val="00A25C80"/>
    <w:rsid w:val="00A272D6"/>
    <w:rsid w:val="00A27E34"/>
    <w:rsid w:val="00A311BF"/>
    <w:rsid w:val="00A31745"/>
    <w:rsid w:val="00A33CE3"/>
    <w:rsid w:val="00A34037"/>
    <w:rsid w:val="00A34FB3"/>
    <w:rsid w:val="00A3781D"/>
    <w:rsid w:val="00A41A95"/>
    <w:rsid w:val="00A4454E"/>
    <w:rsid w:val="00A447A1"/>
    <w:rsid w:val="00A45857"/>
    <w:rsid w:val="00A459C6"/>
    <w:rsid w:val="00A473B8"/>
    <w:rsid w:val="00A50900"/>
    <w:rsid w:val="00A51975"/>
    <w:rsid w:val="00A52096"/>
    <w:rsid w:val="00A533D0"/>
    <w:rsid w:val="00A534FF"/>
    <w:rsid w:val="00A570EB"/>
    <w:rsid w:val="00A576B6"/>
    <w:rsid w:val="00A61477"/>
    <w:rsid w:val="00A61C47"/>
    <w:rsid w:val="00A61CAB"/>
    <w:rsid w:val="00A632B3"/>
    <w:rsid w:val="00A64C3E"/>
    <w:rsid w:val="00A654E2"/>
    <w:rsid w:val="00A70966"/>
    <w:rsid w:val="00A71471"/>
    <w:rsid w:val="00A7211C"/>
    <w:rsid w:val="00A73E47"/>
    <w:rsid w:val="00A753C1"/>
    <w:rsid w:val="00A754BE"/>
    <w:rsid w:val="00A76573"/>
    <w:rsid w:val="00A803EA"/>
    <w:rsid w:val="00A82A1E"/>
    <w:rsid w:val="00A83D43"/>
    <w:rsid w:val="00A84E1B"/>
    <w:rsid w:val="00A8781B"/>
    <w:rsid w:val="00A879CB"/>
    <w:rsid w:val="00A90F39"/>
    <w:rsid w:val="00A93ECF"/>
    <w:rsid w:val="00A943BA"/>
    <w:rsid w:val="00A95197"/>
    <w:rsid w:val="00A96802"/>
    <w:rsid w:val="00A97DA6"/>
    <w:rsid w:val="00AA0410"/>
    <w:rsid w:val="00AA194C"/>
    <w:rsid w:val="00AA1C12"/>
    <w:rsid w:val="00AA253D"/>
    <w:rsid w:val="00AA399B"/>
    <w:rsid w:val="00AA4F30"/>
    <w:rsid w:val="00AA61A3"/>
    <w:rsid w:val="00AA64A6"/>
    <w:rsid w:val="00AA6811"/>
    <w:rsid w:val="00AA6C3B"/>
    <w:rsid w:val="00AA71DB"/>
    <w:rsid w:val="00AA7230"/>
    <w:rsid w:val="00AA7514"/>
    <w:rsid w:val="00AA7BC6"/>
    <w:rsid w:val="00AB0072"/>
    <w:rsid w:val="00AB159F"/>
    <w:rsid w:val="00AB1729"/>
    <w:rsid w:val="00AB1E4F"/>
    <w:rsid w:val="00AB2593"/>
    <w:rsid w:val="00AB7778"/>
    <w:rsid w:val="00AC0A76"/>
    <w:rsid w:val="00AC2216"/>
    <w:rsid w:val="00AC35D4"/>
    <w:rsid w:val="00AC3E57"/>
    <w:rsid w:val="00AC45B8"/>
    <w:rsid w:val="00AC4B4A"/>
    <w:rsid w:val="00AD1C68"/>
    <w:rsid w:val="00AD2491"/>
    <w:rsid w:val="00AD2610"/>
    <w:rsid w:val="00AD27A3"/>
    <w:rsid w:val="00AD424C"/>
    <w:rsid w:val="00AD4855"/>
    <w:rsid w:val="00AD492C"/>
    <w:rsid w:val="00AD4CFD"/>
    <w:rsid w:val="00AD5EEA"/>
    <w:rsid w:val="00AD6783"/>
    <w:rsid w:val="00AD746C"/>
    <w:rsid w:val="00AD77A1"/>
    <w:rsid w:val="00AE17E3"/>
    <w:rsid w:val="00AE2E38"/>
    <w:rsid w:val="00AE4394"/>
    <w:rsid w:val="00AE452B"/>
    <w:rsid w:val="00AF104E"/>
    <w:rsid w:val="00AF1DA8"/>
    <w:rsid w:val="00AF292A"/>
    <w:rsid w:val="00AF50B9"/>
    <w:rsid w:val="00AF6B7F"/>
    <w:rsid w:val="00B03E7E"/>
    <w:rsid w:val="00B040B1"/>
    <w:rsid w:val="00B0535E"/>
    <w:rsid w:val="00B05A09"/>
    <w:rsid w:val="00B10511"/>
    <w:rsid w:val="00B10E9C"/>
    <w:rsid w:val="00B1352D"/>
    <w:rsid w:val="00B13575"/>
    <w:rsid w:val="00B136C8"/>
    <w:rsid w:val="00B205E6"/>
    <w:rsid w:val="00B2575D"/>
    <w:rsid w:val="00B260BF"/>
    <w:rsid w:val="00B30763"/>
    <w:rsid w:val="00B30DFB"/>
    <w:rsid w:val="00B30FFC"/>
    <w:rsid w:val="00B3114D"/>
    <w:rsid w:val="00B311AE"/>
    <w:rsid w:val="00B343DE"/>
    <w:rsid w:val="00B3489B"/>
    <w:rsid w:val="00B34E6A"/>
    <w:rsid w:val="00B3573D"/>
    <w:rsid w:val="00B36653"/>
    <w:rsid w:val="00B40AD9"/>
    <w:rsid w:val="00B40DE1"/>
    <w:rsid w:val="00B44142"/>
    <w:rsid w:val="00B4419A"/>
    <w:rsid w:val="00B44F46"/>
    <w:rsid w:val="00B4571F"/>
    <w:rsid w:val="00B46067"/>
    <w:rsid w:val="00B46996"/>
    <w:rsid w:val="00B47D90"/>
    <w:rsid w:val="00B50E0F"/>
    <w:rsid w:val="00B5115D"/>
    <w:rsid w:val="00B5184D"/>
    <w:rsid w:val="00B54EBB"/>
    <w:rsid w:val="00B56191"/>
    <w:rsid w:val="00B6047A"/>
    <w:rsid w:val="00B60AE5"/>
    <w:rsid w:val="00B60BC0"/>
    <w:rsid w:val="00B626DD"/>
    <w:rsid w:val="00B62B4C"/>
    <w:rsid w:val="00B645FF"/>
    <w:rsid w:val="00B652C6"/>
    <w:rsid w:val="00B653F4"/>
    <w:rsid w:val="00B66966"/>
    <w:rsid w:val="00B66FF9"/>
    <w:rsid w:val="00B70956"/>
    <w:rsid w:val="00B70FD1"/>
    <w:rsid w:val="00B7126B"/>
    <w:rsid w:val="00B7192F"/>
    <w:rsid w:val="00B74815"/>
    <w:rsid w:val="00B749D2"/>
    <w:rsid w:val="00B7780E"/>
    <w:rsid w:val="00B779DC"/>
    <w:rsid w:val="00B81077"/>
    <w:rsid w:val="00B82E54"/>
    <w:rsid w:val="00B83A14"/>
    <w:rsid w:val="00B83CF8"/>
    <w:rsid w:val="00B85275"/>
    <w:rsid w:val="00B85F5C"/>
    <w:rsid w:val="00B865A1"/>
    <w:rsid w:val="00B87489"/>
    <w:rsid w:val="00B9187A"/>
    <w:rsid w:val="00B93936"/>
    <w:rsid w:val="00B94184"/>
    <w:rsid w:val="00B962FF"/>
    <w:rsid w:val="00B972ED"/>
    <w:rsid w:val="00BA03E9"/>
    <w:rsid w:val="00BA0987"/>
    <w:rsid w:val="00BA1005"/>
    <w:rsid w:val="00BA139F"/>
    <w:rsid w:val="00BA150F"/>
    <w:rsid w:val="00BA3C94"/>
    <w:rsid w:val="00BA6EAE"/>
    <w:rsid w:val="00BB0626"/>
    <w:rsid w:val="00BB06B4"/>
    <w:rsid w:val="00BB0780"/>
    <w:rsid w:val="00BB0C75"/>
    <w:rsid w:val="00BB0DE6"/>
    <w:rsid w:val="00BB3697"/>
    <w:rsid w:val="00BB6F49"/>
    <w:rsid w:val="00BB78B3"/>
    <w:rsid w:val="00BC04B4"/>
    <w:rsid w:val="00BC0B67"/>
    <w:rsid w:val="00BC18A1"/>
    <w:rsid w:val="00BC1C2A"/>
    <w:rsid w:val="00BC2526"/>
    <w:rsid w:val="00BC4A14"/>
    <w:rsid w:val="00BC4E8B"/>
    <w:rsid w:val="00BC57B5"/>
    <w:rsid w:val="00BC5FCA"/>
    <w:rsid w:val="00BD0177"/>
    <w:rsid w:val="00BD154F"/>
    <w:rsid w:val="00BD1DEA"/>
    <w:rsid w:val="00BD24C5"/>
    <w:rsid w:val="00BD3822"/>
    <w:rsid w:val="00BD670C"/>
    <w:rsid w:val="00BD6A04"/>
    <w:rsid w:val="00BD7806"/>
    <w:rsid w:val="00BE2DC6"/>
    <w:rsid w:val="00BE37BC"/>
    <w:rsid w:val="00BE5FBB"/>
    <w:rsid w:val="00BE7F5B"/>
    <w:rsid w:val="00BF1730"/>
    <w:rsid w:val="00BF2076"/>
    <w:rsid w:val="00BF2809"/>
    <w:rsid w:val="00BF334A"/>
    <w:rsid w:val="00BF3EB3"/>
    <w:rsid w:val="00BF40AC"/>
    <w:rsid w:val="00BF615D"/>
    <w:rsid w:val="00BF6CDB"/>
    <w:rsid w:val="00BF77D1"/>
    <w:rsid w:val="00BF7DEE"/>
    <w:rsid w:val="00C00F5A"/>
    <w:rsid w:val="00C016A1"/>
    <w:rsid w:val="00C0214D"/>
    <w:rsid w:val="00C03CAB"/>
    <w:rsid w:val="00C044B2"/>
    <w:rsid w:val="00C04AAA"/>
    <w:rsid w:val="00C04B93"/>
    <w:rsid w:val="00C0582E"/>
    <w:rsid w:val="00C06C99"/>
    <w:rsid w:val="00C06FC4"/>
    <w:rsid w:val="00C07956"/>
    <w:rsid w:val="00C11FFF"/>
    <w:rsid w:val="00C1573B"/>
    <w:rsid w:val="00C16DB3"/>
    <w:rsid w:val="00C2154C"/>
    <w:rsid w:val="00C2319D"/>
    <w:rsid w:val="00C236C5"/>
    <w:rsid w:val="00C24B76"/>
    <w:rsid w:val="00C25195"/>
    <w:rsid w:val="00C260C0"/>
    <w:rsid w:val="00C2658C"/>
    <w:rsid w:val="00C27435"/>
    <w:rsid w:val="00C2781A"/>
    <w:rsid w:val="00C31975"/>
    <w:rsid w:val="00C31CF7"/>
    <w:rsid w:val="00C31F3E"/>
    <w:rsid w:val="00C3489E"/>
    <w:rsid w:val="00C37D4C"/>
    <w:rsid w:val="00C37DD7"/>
    <w:rsid w:val="00C37DD9"/>
    <w:rsid w:val="00C44373"/>
    <w:rsid w:val="00C44511"/>
    <w:rsid w:val="00C506FC"/>
    <w:rsid w:val="00C518FE"/>
    <w:rsid w:val="00C52ECE"/>
    <w:rsid w:val="00C536A7"/>
    <w:rsid w:val="00C54D98"/>
    <w:rsid w:val="00C6017F"/>
    <w:rsid w:val="00C60991"/>
    <w:rsid w:val="00C60CDA"/>
    <w:rsid w:val="00C6290B"/>
    <w:rsid w:val="00C62F0C"/>
    <w:rsid w:val="00C630CD"/>
    <w:rsid w:val="00C63233"/>
    <w:rsid w:val="00C64E2D"/>
    <w:rsid w:val="00C65C88"/>
    <w:rsid w:val="00C667D9"/>
    <w:rsid w:val="00C70778"/>
    <w:rsid w:val="00C7227F"/>
    <w:rsid w:val="00C76FE0"/>
    <w:rsid w:val="00C772A0"/>
    <w:rsid w:val="00C77FCF"/>
    <w:rsid w:val="00C80DDA"/>
    <w:rsid w:val="00C8154F"/>
    <w:rsid w:val="00C8258D"/>
    <w:rsid w:val="00C8334A"/>
    <w:rsid w:val="00C835BE"/>
    <w:rsid w:val="00C84CDB"/>
    <w:rsid w:val="00C8663E"/>
    <w:rsid w:val="00C93D8C"/>
    <w:rsid w:val="00C95869"/>
    <w:rsid w:val="00C95CAA"/>
    <w:rsid w:val="00C95D5D"/>
    <w:rsid w:val="00C95EC0"/>
    <w:rsid w:val="00C968DC"/>
    <w:rsid w:val="00C974C4"/>
    <w:rsid w:val="00CA1E09"/>
    <w:rsid w:val="00CA20B0"/>
    <w:rsid w:val="00CA2E7B"/>
    <w:rsid w:val="00CA30DA"/>
    <w:rsid w:val="00CA5764"/>
    <w:rsid w:val="00CA793D"/>
    <w:rsid w:val="00CB0816"/>
    <w:rsid w:val="00CB0B58"/>
    <w:rsid w:val="00CB0C4B"/>
    <w:rsid w:val="00CB55C4"/>
    <w:rsid w:val="00CB75CA"/>
    <w:rsid w:val="00CC01F6"/>
    <w:rsid w:val="00CC0610"/>
    <w:rsid w:val="00CC3BED"/>
    <w:rsid w:val="00CC43FA"/>
    <w:rsid w:val="00CC4860"/>
    <w:rsid w:val="00CC6B5F"/>
    <w:rsid w:val="00CC7044"/>
    <w:rsid w:val="00CC7D72"/>
    <w:rsid w:val="00CD126B"/>
    <w:rsid w:val="00CD4B9D"/>
    <w:rsid w:val="00CD5F40"/>
    <w:rsid w:val="00CD7781"/>
    <w:rsid w:val="00CE1E0C"/>
    <w:rsid w:val="00CE1F16"/>
    <w:rsid w:val="00CE1F1D"/>
    <w:rsid w:val="00CE20E8"/>
    <w:rsid w:val="00CE3463"/>
    <w:rsid w:val="00CE3FCC"/>
    <w:rsid w:val="00CE5E18"/>
    <w:rsid w:val="00CE71E2"/>
    <w:rsid w:val="00CE7FA9"/>
    <w:rsid w:val="00CF035D"/>
    <w:rsid w:val="00CF12DD"/>
    <w:rsid w:val="00CF162B"/>
    <w:rsid w:val="00CF1E8C"/>
    <w:rsid w:val="00CF22B2"/>
    <w:rsid w:val="00CF4276"/>
    <w:rsid w:val="00CF6885"/>
    <w:rsid w:val="00D034AC"/>
    <w:rsid w:val="00D047AB"/>
    <w:rsid w:val="00D04C08"/>
    <w:rsid w:val="00D05860"/>
    <w:rsid w:val="00D05DBD"/>
    <w:rsid w:val="00D0635D"/>
    <w:rsid w:val="00D07C76"/>
    <w:rsid w:val="00D07E0D"/>
    <w:rsid w:val="00D116BB"/>
    <w:rsid w:val="00D12096"/>
    <w:rsid w:val="00D125D5"/>
    <w:rsid w:val="00D15B70"/>
    <w:rsid w:val="00D15BCD"/>
    <w:rsid w:val="00D219C8"/>
    <w:rsid w:val="00D21DF6"/>
    <w:rsid w:val="00D230A9"/>
    <w:rsid w:val="00D264A2"/>
    <w:rsid w:val="00D27BE1"/>
    <w:rsid w:val="00D30DCF"/>
    <w:rsid w:val="00D3259A"/>
    <w:rsid w:val="00D326CA"/>
    <w:rsid w:val="00D33470"/>
    <w:rsid w:val="00D338C7"/>
    <w:rsid w:val="00D345B8"/>
    <w:rsid w:val="00D35026"/>
    <w:rsid w:val="00D3563B"/>
    <w:rsid w:val="00D36832"/>
    <w:rsid w:val="00D36850"/>
    <w:rsid w:val="00D369A8"/>
    <w:rsid w:val="00D42EBA"/>
    <w:rsid w:val="00D43C4D"/>
    <w:rsid w:val="00D50C85"/>
    <w:rsid w:val="00D52433"/>
    <w:rsid w:val="00D52DC3"/>
    <w:rsid w:val="00D60BA6"/>
    <w:rsid w:val="00D64B02"/>
    <w:rsid w:val="00D65793"/>
    <w:rsid w:val="00D65DED"/>
    <w:rsid w:val="00D67091"/>
    <w:rsid w:val="00D670F2"/>
    <w:rsid w:val="00D67161"/>
    <w:rsid w:val="00D70FB4"/>
    <w:rsid w:val="00D73D8B"/>
    <w:rsid w:val="00D73FB2"/>
    <w:rsid w:val="00D745F2"/>
    <w:rsid w:val="00D773D4"/>
    <w:rsid w:val="00D7751D"/>
    <w:rsid w:val="00D8033C"/>
    <w:rsid w:val="00D80438"/>
    <w:rsid w:val="00D8136A"/>
    <w:rsid w:val="00D82404"/>
    <w:rsid w:val="00D83665"/>
    <w:rsid w:val="00D83670"/>
    <w:rsid w:val="00D85B5D"/>
    <w:rsid w:val="00D8708D"/>
    <w:rsid w:val="00D871AC"/>
    <w:rsid w:val="00D909BC"/>
    <w:rsid w:val="00D914C9"/>
    <w:rsid w:val="00D9397D"/>
    <w:rsid w:val="00D95050"/>
    <w:rsid w:val="00D958BE"/>
    <w:rsid w:val="00D96525"/>
    <w:rsid w:val="00DA1FBC"/>
    <w:rsid w:val="00DA2309"/>
    <w:rsid w:val="00DA27AB"/>
    <w:rsid w:val="00DA39E1"/>
    <w:rsid w:val="00DA3F3D"/>
    <w:rsid w:val="00DA44CB"/>
    <w:rsid w:val="00DA7ADF"/>
    <w:rsid w:val="00DB0FD5"/>
    <w:rsid w:val="00DB29C9"/>
    <w:rsid w:val="00DB491B"/>
    <w:rsid w:val="00DB5425"/>
    <w:rsid w:val="00DB7CB4"/>
    <w:rsid w:val="00DC08F4"/>
    <w:rsid w:val="00DC0921"/>
    <w:rsid w:val="00DC1593"/>
    <w:rsid w:val="00DC2B93"/>
    <w:rsid w:val="00DC5FA4"/>
    <w:rsid w:val="00DC7937"/>
    <w:rsid w:val="00DD0BB2"/>
    <w:rsid w:val="00DD0D63"/>
    <w:rsid w:val="00DD2AD7"/>
    <w:rsid w:val="00DD2CFA"/>
    <w:rsid w:val="00DD311D"/>
    <w:rsid w:val="00DD4235"/>
    <w:rsid w:val="00DD688F"/>
    <w:rsid w:val="00DD7090"/>
    <w:rsid w:val="00DE13A5"/>
    <w:rsid w:val="00DE15D0"/>
    <w:rsid w:val="00DE1C35"/>
    <w:rsid w:val="00DE2D6C"/>
    <w:rsid w:val="00DE3279"/>
    <w:rsid w:val="00DE3F33"/>
    <w:rsid w:val="00DE69EE"/>
    <w:rsid w:val="00DE7E09"/>
    <w:rsid w:val="00DF144A"/>
    <w:rsid w:val="00DF14EB"/>
    <w:rsid w:val="00DF20B5"/>
    <w:rsid w:val="00DF25D7"/>
    <w:rsid w:val="00DF2EF7"/>
    <w:rsid w:val="00DF3BD1"/>
    <w:rsid w:val="00DF4605"/>
    <w:rsid w:val="00DF480C"/>
    <w:rsid w:val="00DF517B"/>
    <w:rsid w:val="00DF51D4"/>
    <w:rsid w:val="00DF5DA4"/>
    <w:rsid w:val="00E00B8C"/>
    <w:rsid w:val="00E01F2D"/>
    <w:rsid w:val="00E02ADC"/>
    <w:rsid w:val="00E05226"/>
    <w:rsid w:val="00E10870"/>
    <w:rsid w:val="00E12016"/>
    <w:rsid w:val="00E1206B"/>
    <w:rsid w:val="00E146CE"/>
    <w:rsid w:val="00E158A9"/>
    <w:rsid w:val="00E16299"/>
    <w:rsid w:val="00E17081"/>
    <w:rsid w:val="00E2027E"/>
    <w:rsid w:val="00E20DE7"/>
    <w:rsid w:val="00E21176"/>
    <w:rsid w:val="00E226D9"/>
    <w:rsid w:val="00E2347D"/>
    <w:rsid w:val="00E255D2"/>
    <w:rsid w:val="00E25A16"/>
    <w:rsid w:val="00E25ADA"/>
    <w:rsid w:val="00E25B4C"/>
    <w:rsid w:val="00E26897"/>
    <w:rsid w:val="00E2751E"/>
    <w:rsid w:val="00E277F6"/>
    <w:rsid w:val="00E33AC6"/>
    <w:rsid w:val="00E35A11"/>
    <w:rsid w:val="00E36307"/>
    <w:rsid w:val="00E36DC0"/>
    <w:rsid w:val="00E36DED"/>
    <w:rsid w:val="00E37A03"/>
    <w:rsid w:val="00E41BAF"/>
    <w:rsid w:val="00E43119"/>
    <w:rsid w:val="00E432C7"/>
    <w:rsid w:val="00E454EF"/>
    <w:rsid w:val="00E47631"/>
    <w:rsid w:val="00E5024A"/>
    <w:rsid w:val="00E5113A"/>
    <w:rsid w:val="00E55C86"/>
    <w:rsid w:val="00E57FB8"/>
    <w:rsid w:val="00E60683"/>
    <w:rsid w:val="00E6489D"/>
    <w:rsid w:val="00E6551C"/>
    <w:rsid w:val="00E66B55"/>
    <w:rsid w:val="00E6784C"/>
    <w:rsid w:val="00E6786B"/>
    <w:rsid w:val="00E67F67"/>
    <w:rsid w:val="00E736F1"/>
    <w:rsid w:val="00E74D16"/>
    <w:rsid w:val="00E751CF"/>
    <w:rsid w:val="00E7741A"/>
    <w:rsid w:val="00E776BC"/>
    <w:rsid w:val="00E800C5"/>
    <w:rsid w:val="00E800F8"/>
    <w:rsid w:val="00E81384"/>
    <w:rsid w:val="00E83ED9"/>
    <w:rsid w:val="00E85BC9"/>
    <w:rsid w:val="00E909A2"/>
    <w:rsid w:val="00E90A75"/>
    <w:rsid w:val="00E90A89"/>
    <w:rsid w:val="00E92A0C"/>
    <w:rsid w:val="00E93F99"/>
    <w:rsid w:val="00E9432D"/>
    <w:rsid w:val="00E95E36"/>
    <w:rsid w:val="00E96220"/>
    <w:rsid w:val="00E9693D"/>
    <w:rsid w:val="00E97082"/>
    <w:rsid w:val="00E972F7"/>
    <w:rsid w:val="00E97684"/>
    <w:rsid w:val="00EA05D1"/>
    <w:rsid w:val="00EA29B6"/>
    <w:rsid w:val="00EA31F9"/>
    <w:rsid w:val="00EA4C1A"/>
    <w:rsid w:val="00EA4C6E"/>
    <w:rsid w:val="00EA5883"/>
    <w:rsid w:val="00EA6560"/>
    <w:rsid w:val="00EA6EFD"/>
    <w:rsid w:val="00EA7309"/>
    <w:rsid w:val="00EA7EF2"/>
    <w:rsid w:val="00EB4653"/>
    <w:rsid w:val="00EB4C9F"/>
    <w:rsid w:val="00EB4CBE"/>
    <w:rsid w:val="00EB4E77"/>
    <w:rsid w:val="00EB5308"/>
    <w:rsid w:val="00EB54B5"/>
    <w:rsid w:val="00EB5940"/>
    <w:rsid w:val="00EB5BD7"/>
    <w:rsid w:val="00EC09FB"/>
    <w:rsid w:val="00EC1EE7"/>
    <w:rsid w:val="00EC208C"/>
    <w:rsid w:val="00EC2B25"/>
    <w:rsid w:val="00EC42B9"/>
    <w:rsid w:val="00EC4C64"/>
    <w:rsid w:val="00EC53C9"/>
    <w:rsid w:val="00EC591B"/>
    <w:rsid w:val="00EC5A21"/>
    <w:rsid w:val="00EC66D7"/>
    <w:rsid w:val="00EC69F3"/>
    <w:rsid w:val="00EC768A"/>
    <w:rsid w:val="00EC776C"/>
    <w:rsid w:val="00ED02E1"/>
    <w:rsid w:val="00ED0A8C"/>
    <w:rsid w:val="00ED1375"/>
    <w:rsid w:val="00ED1B22"/>
    <w:rsid w:val="00ED1C32"/>
    <w:rsid w:val="00ED25D1"/>
    <w:rsid w:val="00ED31F6"/>
    <w:rsid w:val="00ED5880"/>
    <w:rsid w:val="00ED5AE5"/>
    <w:rsid w:val="00ED5BCF"/>
    <w:rsid w:val="00ED6D4D"/>
    <w:rsid w:val="00ED6E5B"/>
    <w:rsid w:val="00ED7194"/>
    <w:rsid w:val="00EE0089"/>
    <w:rsid w:val="00EE0EC7"/>
    <w:rsid w:val="00EE1030"/>
    <w:rsid w:val="00EE1BE0"/>
    <w:rsid w:val="00EE32DC"/>
    <w:rsid w:val="00EE3CD3"/>
    <w:rsid w:val="00EE7C25"/>
    <w:rsid w:val="00EE7DE7"/>
    <w:rsid w:val="00EF0F82"/>
    <w:rsid w:val="00EF1737"/>
    <w:rsid w:val="00EF4694"/>
    <w:rsid w:val="00EF48C2"/>
    <w:rsid w:val="00EF4DBC"/>
    <w:rsid w:val="00EF63BC"/>
    <w:rsid w:val="00EF75BA"/>
    <w:rsid w:val="00EF7C26"/>
    <w:rsid w:val="00EF7E64"/>
    <w:rsid w:val="00F003FE"/>
    <w:rsid w:val="00F01D11"/>
    <w:rsid w:val="00F02D60"/>
    <w:rsid w:val="00F0494C"/>
    <w:rsid w:val="00F04AF9"/>
    <w:rsid w:val="00F06388"/>
    <w:rsid w:val="00F06E11"/>
    <w:rsid w:val="00F1080C"/>
    <w:rsid w:val="00F1187B"/>
    <w:rsid w:val="00F12721"/>
    <w:rsid w:val="00F12E8D"/>
    <w:rsid w:val="00F1327B"/>
    <w:rsid w:val="00F17455"/>
    <w:rsid w:val="00F175E1"/>
    <w:rsid w:val="00F17B85"/>
    <w:rsid w:val="00F17DA8"/>
    <w:rsid w:val="00F20E5C"/>
    <w:rsid w:val="00F2187B"/>
    <w:rsid w:val="00F21B57"/>
    <w:rsid w:val="00F24F54"/>
    <w:rsid w:val="00F2512E"/>
    <w:rsid w:val="00F25553"/>
    <w:rsid w:val="00F25AEE"/>
    <w:rsid w:val="00F276B0"/>
    <w:rsid w:val="00F3057A"/>
    <w:rsid w:val="00F320AE"/>
    <w:rsid w:val="00F338A8"/>
    <w:rsid w:val="00F34076"/>
    <w:rsid w:val="00F36322"/>
    <w:rsid w:val="00F3694F"/>
    <w:rsid w:val="00F36C9C"/>
    <w:rsid w:val="00F377C7"/>
    <w:rsid w:val="00F41494"/>
    <w:rsid w:val="00F428EC"/>
    <w:rsid w:val="00F43C55"/>
    <w:rsid w:val="00F4517E"/>
    <w:rsid w:val="00F46FED"/>
    <w:rsid w:val="00F47004"/>
    <w:rsid w:val="00F4771F"/>
    <w:rsid w:val="00F519F6"/>
    <w:rsid w:val="00F51D26"/>
    <w:rsid w:val="00F52674"/>
    <w:rsid w:val="00F538FE"/>
    <w:rsid w:val="00F55ACE"/>
    <w:rsid w:val="00F55E7F"/>
    <w:rsid w:val="00F57F3C"/>
    <w:rsid w:val="00F6059E"/>
    <w:rsid w:val="00F60E62"/>
    <w:rsid w:val="00F61733"/>
    <w:rsid w:val="00F61C1E"/>
    <w:rsid w:val="00F624B4"/>
    <w:rsid w:val="00F645C4"/>
    <w:rsid w:val="00F64F46"/>
    <w:rsid w:val="00F65565"/>
    <w:rsid w:val="00F6707B"/>
    <w:rsid w:val="00F708F1"/>
    <w:rsid w:val="00F71E3C"/>
    <w:rsid w:val="00F730DF"/>
    <w:rsid w:val="00F73C0D"/>
    <w:rsid w:val="00F759BA"/>
    <w:rsid w:val="00F75D41"/>
    <w:rsid w:val="00F75DA1"/>
    <w:rsid w:val="00F76FCF"/>
    <w:rsid w:val="00F77581"/>
    <w:rsid w:val="00F83067"/>
    <w:rsid w:val="00F83556"/>
    <w:rsid w:val="00F84ED3"/>
    <w:rsid w:val="00F85183"/>
    <w:rsid w:val="00F8570A"/>
    <w:rsid w:val="00F87342"/>
    <w:rsid w:val="00F90CEE"/>
    <w:rsid w:val="00F9179F"/>
    <w:rsid w:val="00F91FBF"/>
    <w:rsid w:val="00F93402"/>
    <w:rsid w:val="00F93A14"/>
    <w:rsid w:val="00F940C2"/>
    <w:rsid w:val="00F95211"/>
    <w:rsid w:val="00F95632"/>
    <w:rsid w:val="00F97BCD"/>
    <w:rsid w:val="00F97D6D"/>
    <w:rsid w:val="00FA097B"/>
    <w:rsid w:val="00FA3C5B"/>
    <w:rsid w:val="00FB2638"/>
    <w:rsid w:val="00FB4711"/>
    <w:rsid w:val="00FB50A5"/>
    <w:rsid w:val="00FB5C67"/>
    <w:rsid w:val="00FB5CA0"/>
    <w:rsid w:val="00FB5D3E"/>
    <w:rsid w:val="00FB60A4"/>
    <w:rsid w:val="00FB62E2"/>
    <w:rsid w:val="00FB7B50"/>
    <w:rsid w:val="00FB7FB6"/>
    <w:rsid w:val="00FC0B42"/>
    <w:rsid w:val="00FC0FB7"/>
    <w:rsid w:val="00FC20BB"/>
    <w:rsid w:val="00FC22ED"/>
    <w:rsid w:val="00FC4966"/>
    <w:rsid w:val="00FC4DD4"/>
    <w:rsid w:val="00FC5178"/>
    <w:rsid w:val="00FC631E"/>
    <w:rsid w:val="00FC7C43"/>
    <w:rsid w:val="00FC7D67"/>
    <w:rsid w:val="00FD018F"/>
    <w:rsid w:val="00FD02A7"/>
    <w:rsid w:val="00FD098D"/>
    <w:rsid w:val="00FD1368"/>
    <w:rsid w:val="00FD1B78"/>
    <w:rsid w:val="00FD213E"/>
    <w:rsid w:val="00FD5882"/>
    <w:rsid w:val="00FD695D"/>
    <w:rsid w:val="00FD6F39"/>
    <w:rsid w:val="00FE0505"/>
    <w:rsid w:val="00FE067C"/>
    <w:rsid w:val="00FE0A80"/>
    <w:rsid w:val="00FE0BEC"/>
    <w:rsid w:val="00FE2860"/>
    <w:rsid w:val="00FE3DFE"/>
    <w:rsid w:val="00FE6A06"/>
    <w:rsid w:val="00FE7B18"/>
    <w:rsid w:val="00FF228E"/>
    <w:rsid w:val="00FF4200"/>
    <w:rsid w:val="00FF4F3E"/>
    <w:rsid w:val="00FF5364"/>
    <w:rsid w:val="00FF5CCD"/>
    <w:rsid w:val="00FF66F6"/>
    <w:rsid w:val="00FF68BC"/>
    <w:rsid w:val="00FF7550"/>
    <w:rsid w:val="00FF7D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E0"/>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C76FE0"/>
    <w:pPr>
      <w:keepNext/>
      <w:spacing w:before="140" w:line="240" w:lineRule="atLeast"/>
      <w:jc w:val="center"/>
      <w:outlineLvl w:val="0"/>
    </w:pPr>
    <w:rPr>
      <w:b/>
      <w:smallCaps/>
    </w:rPr>
  </w:style>
  <w:style w:type="paragraph" w:styleId="Heading2">
    <w:name w:val="heading 2"/>
    <w:basedOn w:val="Normal"/>
    <w:next w:val="Normal"/>
    <w:link w:val="Heading2Char"/>
    <w:qFormat/>
    <w:rsid w:val="00C76FE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76FE0"/>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76FE0"/>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76FE0"/>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0C5371"/>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C5371"/>
    <w:pPr>
      <w:spacing w:before="240" w:after="60"/>
      <w:outlineLvl w:val="6"/>
    </w:pPr>
  </w:style>
  <w:style w:type="paragraph" w:styleId="Heading8">
    <w:name w:val="heading 8"/>
    <w:basedOn w:val="Normal"/>
    <w:next w:val="Normal"/>
    <w:link w:val="Heading8Char"/>
    <w:uiPriority w:val="9"/>
    <w:semiHidden/>
    <w:unhideWhenUsed/>
    <w:qFormat/>
    <w:rsid w:val="000C5371"/>
    <w:pPr>
      <w:spacing w:before="240" w:after="60"/>
      <w:outlineLvl w:val="7"/>
    </w:pPr>
    <w:rPr>
      <w:i/>
      <w:iCs/>
    </w:rPr>
  </w:style>
  <w:style w:type="paragraph" w:styleId="Heading9">
    <w:name w:val="heading 9"/>
    <w:basedOn w:val="Normal"/>
    <w:next w:val="Normal"/>
    <w:link w:val="Heading9Char"/>
    <w:uiPriority w:val="9"/>
    <w:semiHidden/>
    <w:unhideWhenUsed/>
    <w:qFormat/>
    <w:rsid w:val="000C5371"/>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71"/>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0C5371"/>
    <w:rPr>
      <w:rFonts w:ascii="Century Schoolbook" w:eastAsia="Times New Roman" w:hAnsi="Century Schoolbook"/>
      <w:b/>
      <w:sz w:val="27"/>
      <w:szCs w:val="20"/>
    </w:rPr>
  </w:style>
  <w:style w:type="character" w:customStyle="1" w:styleId="Heading3Char">
    <w:name w:val="Heading 3 Char"/>
    <w:basedOn w:val="DefaultParagraphFont"/>
    <w:link w:val="Heading3"/>
    <w:rsid w:val="000C5371"/>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0C5371"/>
    <w:rPr>
      <w:b/>
      <w:bCs/>
    </w:rPr>
  </w:style>
  <w:style w:type="character" w:customStyle="1" w:styleId="Heading7Char">
    <w:name w:val="Heading 7 Char"/>
    <w:basedOn w:val="DefaultParagraphFont"/>
    <w:link w:val="Heading7"/>
    <w:uiPriority w:val="9"/>
    <w:semiHidden/>
    <w:rsid w:val="000C5371"/>
    <w:rPr>
      <w:sz w:val="24"/>
      <w:szCs w:val="24"/>
    </w:rPr>
  </w:style>
  <w:style w:type="character" w:customStyle="1" w:styleId="Heading8Char">
    <w:name w:val="Heading 8 Char"/>
    <w:basedOn w:val="DefaultParagraphFont"/>
    <w:link w:val="Heading8"/>
    <w:uiPriority w:val="9"/>
    <w:semiHidden/>
    <w:rsid w:val="000C5371"/>
    <w:rPr>
      <w:i/>
      <w:iCs/>
      <w:sz w:val="24"/>
      <w:szCs w:val="24"/>
    </w:rPr>
  </w:style>
  <w:style w:type="character" w:customStyle="1" w:styleId="Heading9Char">
    <w:name w:val="Heading 9 Char"/>
    <w:basedOn w:val="DefaultParagraphFont"/>
    <w:link w:val="Heading9"/>
    <w:uiPriority w:val="9"/>
    <w:semiHidden/>
    <w:rsid w:val="000C5371"/>
    <w:rPr>
      <w:rFonts w:asciiTheme="majorHAnsi" w:eastAsiaTheme="majorEastAsia" w:hAnsiTheme="majorHAnsi"/>
    </w:rPr>
  </w:style>
  <w:style w:type="paragraph" w:styleId="Title">
    <w:name w:val="Title"/>
    <w:basedOn w:val="Normal"/>
    <w:next w:val="Normal"/>
    <w:link w:val="TitleChar"/>
    <w:uiPriority w:val="10"/>
    <w:qFormat/>
    <w:rsid w:val="000C53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53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53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537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C5371"/>
    <w:pPr>
      <w:outlineLvl w:val="9"/>
    </w:pPr>
  </w:style>
  <w:style w:type="paragraph" w:styleId="NormalWeb">
    <w:name w:val="Normal (Web)"/>
    <w:basedOn w:val="Normal"/>
    <w:uiPriority w:val="99"/>
    <w:unhideWhenUsed/>
    <w:rsid w:val="007F614B"/>
    <w:pPr>
      <w:spacing w:before="100" w:beforeAutospacing="1" w:afterAutospacing="1"/>
    </w:pPr>
  </w:style>
  <w:style w:type="character" w:customStyle="1" w:styleId="ssrfcpassagedeactivated">
    <w:name w:val="ss_rfcpassage_deactivated"/>
    <w:basedOn w:val="DefaultParagraphFont"/>
    <w:rsid w:val="007F614B"/>
  </w:style>
  <w:style w:type="character" w:customStyle="1" w:styleId="ssit">
    <w:name w:val="ss_it"/>
    <w:basedOn w:val="DefaultParagraphFont"/>
    <w:rsid w:val="007F614B"/>
  </w:style>
  <w:style w:type="character" w:customStyle="1" w:styleId="ssrfcsection">
    <w:name w:val="ss_rfcsection"/>
    <w:basedOn w:val="DefaultParagraphFont"/>
    <w:rsid w:val="007F614B"/>
  </w:style>
  <w:style w:type="character" w:customStyle="1" w:styleId="ssparalabel">
    <w:name w:val="ss_paralabel"/>
    <w:basedOn w:val="DefaultParagraphFont"/>
    <w:rsid w:val="00A01713"/>
  </w:style>
  <w:style w:type="character" w:customStyle="1" w:styleId="ssbf">
    <w:name w:val="ss_bf"/>
    <w:basedOn w:val="DefaultParagraphFont"/>
    <w:rsid w:val="00A01713"/>
  </w:style>
  <w:style w:type="character" w:customStyle="1" w:styleId="ssparacontent">
    <w:name w:val="ss_paracontent"/>
    <w:basedOn w:val="DefaultParagraphFont"/>
    <w:rsid w:val="00A01713"/>
  </w:style>
  <w:style w:type="character" w:styleId="FootnoteReference">
    <w:name w:val="footnote reference"/>
    <w:basedOn w:val="DefaultParagraphFont"/>
    <w:rsid w:val="00C76FE0"/>
    <w:rPr>
      <w:rFonts w:ascii="Century Schoolbook" w:hAnsi="Century Schoolbook"/>
      <w:b/>
      <w:i w:val="0"/>
      <w:position w:val="4"/>
      <w:sz w:val="27"/>
      <w:vertAlign w:val="superscript"/>
    </w:rPr>
  </w:style>
  <w:style w:type="paragraph" w:styleId="FootnoteText">
    <w:name w:val="footnote text"/>
    <w:basedOn w:val="Normal"/>
    <w:link w:val="FootnoteTextChar"/>
    <w:rsid w:val="00C76FE0"/>
    <w:pPr>
      <w:spacing w:line="300" w:lineRule="exact"/>
    </w:pPr>
  </w:style>
  <w:style w:type="character" w:customStyle="1" w:styleId="FootnoteTextChar">
    <w:name w:val="Footnote Text Char"/>
    <w:basedOn w:val="DefaultParagraphFont"/>
    <w:link w:val="FootnoteText"/>
    <w:rsid w:val="00B652C6"/>
    <w:rPr>
      <w:rFonts w:ascii="Century Schoolbook" w:eastAsia="Times New Roman" w:hAnsi="Century Schoolbook"/>
      <w:sz w:val="27"/>
      <w:szCs w:val="20"/>
    </w:rPr>
  </w:style>
  <w:style w:type="character" w:customStyle="1" w:styleId="sssh">
    <w:name w:val="ss_sh"/>
    <w:basedOn w:val="DefaultParagraphFont"/>
    <w:rsid w:val="006A3DAB"/>
  </w:style>
  <w:style w:type="character" w:styleId="Emphasis">
    <w:name w:val="Emphasis"/>
    <w:basedOn w:val="DefaultParagraphFont"/>
    <w:uiPriority w:val="20"/>
    <w:qFormat/>
    <w:rsid w:val="000907FE"/>
    <w:rPr>
      <w:i/>
      <w:iCs/>
    </w:rPr>
  </w:style>
  <w:style w:type="character" w:customStyle="1" w:styleId="costarpage">
    <w:name w:val="co_starpage"/>
    <w:basedOn w:val="DefaultParagraphFont"/>
    <w:rsid w:val="004D7600"/>
  </w:style>
  <w:style w:type="character" w:customStyle="1" w:styleId="coconcept1621">
    <w:name w:val="co_concept_16_21"/>
    <w:basedOn w:val="DefaultParagraphFont"/>
    <w:rsid w:val="004D7600"/>
  </w:style>
  <w:style w:type="character" w:customStyle="1" w:styleId="coconcept7079">
    <w:name w:val="co_concept_70_79"/>
    <w:basedOn w:val="DefaultParagraphFont"/>
    <w:rsid w:val="004D7600"/>
  </w:style>
  <w:style w:type="character" w:customStyle="1" w:styleId="coconcept2644">
    <w:name w:val="co_concept_26_44"/>
    <w:basedOn w:val="DefaultParagraphFont"/>
    <w:rsid w:val="004D7600"/>
  </w:style>
  <w:style w:type="character" w:customStyle="1" w:styleId="coconcept84101">
    <w:name w:val="co_concept_84_101"/>
    <w:basedOn w:val="DefaultParagraphFont"/>
    <w:rsid w:val="004D7600"/>
  </w:style>
  <w:style w:type="character" w:customStyle="1" w:styleId="sslistitemcontent">
    <w:name w:val="ss_listitemcontent"/>
    <w:basedOn w:val="DefaultParagraphFont"/>
    <w:rsid w:val="00F95211"/>
  </w:style>
  <w:style w:type="paragraph" w:customStyle="1" w:styleId="Default">
    <w:name w:val="Default"/>
    <w:rsid w:val="00D958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77581"/>
    <w:rPr>
      <w:color w:val="0000FF"/>
      <w:u w:val="single"/>
    </w:rPr>
  </w:style>
  <w:style w:type="character" w:customStyle="1" w:styleId="sscenteralign">
    <w:name w:val="ss_centeralign"/>
    <w:basedOn w:val="DefaultParagraphFont"/>
    <w:rsid w:val="00F77581"/>
  </w:style>
  <w:style w:type="character" w:customStyle="1" w:styleId="ssleftalign">
    <w:name w:val="ss_leftalign"/>
    <w:basedOn w:val="DefaultParagraphFont"/>
    <w:rsid w:val="00F77581"/>
  </w:style>
  <w:style w:type="character" w:customStyle="1" w:styleId="ssrightalign">
    <w:name w:val="ss_rightalign"/>
    <w:basedOn w:val="DefaultParagraphFont"/>
    <w:rsid w:val="00F77581"/>
  </w:style>
  <w:style w:type="character" w:customStyle="1" w:styleId="ssun">
    <w:name w:val="ss_un"/>
    <w:basedOn w:val="DefaultParagraphFont"/>
    <w:rsid w:val="00BC4E8B"/>
  </w:style>
  <w:style w:type="paragraph" w:styleId="ListParagraph">
    <w:name w:val="List Paragraph"/>
    <w:basedOn w:val="Normal"/>
    <w:uiPriority w:val="34"/>
    <w:rsid w:val="003E1F74"/>
    <w:pPr>
      <w:ind w:left="720"/>
      <w:contextualSpacing/>
    </w:pPr>
  </w:style>
  <w:style w:type="character" w:customStyle="1" w:styleId="UnresolvedMention1">
    <w:name w:val="Unresolved Mention1"/>
    <w:basedOn w:val="DefaultParagraphFont"/>
    <w:uiPriority w:val="99"/>
    <w:semiHidden/>
    <w:unhideWhenUsed/>
    <w:rsid w:val="0076741F"/>
    <w:rPr>
      <w:color w:val="605E5C"/>
      <w:shd w:val="clear" w:color="auto" w:fill="E1DFDD"/>
    </w:rPr>
  </w:style>
  <w:style w:type="character" w:styleId="FollowedHyperlink">
    <w:name w:val="FollowedHyperlink"/>
    <w:basedOn w:val="DefaultParagraphFont"/>
    <w:uiPriority w:val="99"/>
    <w:semiHidden/>
    <w:unhideWhenUsed/>
    <w:rsid w:val="002A550C"/>
    <w:rPr>
      <w:color w:val="800080" w:themeColor="followedHyperlink"/>
      <w:u w:val="single"/>
    </w:rPr>
  </w:style>
  <w:style w:type="character" w:styleId="CommentReference">
    <w:name w:val="annotation reference"/>
    <w:basedOn w:val="DefaultParagraphFont"/>
    <w:uiPriority w:val="99"/>
    <w:semiHidden/>
    <w:unhideWhenUsed/>
    <w:rsid w:val="0077380F"/>
    <w:rPr>
      <w:sz w:val="16"/>
      <w:szCs w:val="16"/>
    </w:rPr>
  </w:style>
  <w:style w:type="paragraph" w:styleId="CommentText">
    <w:name w:val="annotation text"/>
    <w:basedOn w:val="Normal"/>
    <w:link w:val="CommentTextChar"/>
    <w:uiPriority w:val="99"/>
    <w:unhideWhenUsed/>
    <w:rsid w:val="0077380F"/>
    <w:rPr>
      <w:sz w:val="20"/>
    </w:rPr>
  </w:style>
  <w:style w:type="character" w:customStyle="1" w:styleId="CommentTextChar">
    <w:name w:val="Comment Text Char"/>
    <w:basedOn w:val="DefaultParagraphFont"/>
    <w:link w:val="CommentText"/>
    <w:uiPriority w:val="99"/>
    <w:rsid w:val="0077380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80F"/>
    <w:rPr>
      <w:b/>
      <w:bCs/>
    </w:rPr>
  </w:style>
  <w:style w:type="character" w:customStyle="1" w:styleId="CommentSubjectChar">
    <w:name w:val="Comment Subject Char"/>
    <w:basedOn w:val="CommentTextChar"/>
    <w:link w:val="CommentSubject"/>
    <w:uiPriority w:val="99"/>
    <w:semiHidden/>
    <w:rsid w:val="0077380F"/>
    <w:rPr>
      <w:rFonts w:ascii="Times New Roman" w:eastAsia="Times New Roman" w:hAnsi="Times New Roman"/>
      <w:b/>
      <w:bCs/>
      <w:sz w:val="20"/>
      <w:szCs w:val="20"/>
    </w:rPr>
  </w:style>
  <w:style w:type="character" w:styleId="Strong">
    <w:name w:val="Strong"/>
    <w:basedOn w:val="DefaultParagraphFont"/>
    <w:uiPriority w:val="22"/>
    <w:qFormat/>
    <w:rsid w:val="009C5EF3"/>
    <w:rPr>
      <w:b/>
      <w:bCs/>
    </w:rPr>
  </w:style>
  <w:style w:type="paragraph" w:customStyle="1" w:styleId="coindentleft">
    <w:name w:val="co_indentleft"/>
    <w:basedOn w:val="Normal"/>
    <w:rsid w:val="009C5EF3"/>
    <w:pPr>
      <w:spacing w:before="100" w:beforeAutospacing="1" w:afterAutospacing="1"/>
    </w:pPr>
  </w:style>
  <w:style w:type="paragraph" w:styleId="Header">
    <w:name w:val="header"/>
    <w:basedOn w:val="Normal"/>
    <w:link w:val="HeaderChar"/>
    <w:qFormat/>
    <w:rsid w:val="00C76FE0"/>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2D3255"/>
    <w:rPr>
      <w:rFonts w:ascii="Century Schoolbook" w:eastAsia="Times New Roman" w:hAnsi="Century Schoolbook"/>
      <w:sz w:val="22"/>
      <w:szCs w:val="20"/>
    </w:rPr>
  </w:style>
  <w:style w:type="paragraph" w:styleId="Footer">
    <w:name w:val="footer"/>
    <w:basedOn w:val="Normal"/>
    <w:link w:val="FooterChar"/>
    <w:qFormat/>
    <w:rsid w:val="00C76FE0"/>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2D3255"/>
    <w:rPr>
      <w:rFonts w:ascii="Century Schoolbook" w:eastAsia="Times New Roman" w:hAnsi="Century Schoolbook"/>
      <w:sz w:val="22"/>
      <w:szCs w:val="20"/>
    </w:rPr>
  </w:style>
  <w:style w:type="paragraph" w:styleId="Revision">
    <w:name w:val="Revision"/>
    <w:hidden/>
    <w:uiPriority w:val="99"/>
    <w:semiHidden/>
    <w:rsid w:val="00B2575D"/>
    <w:rPr>
      <w:rFonts w:ascii="Times New Roman" w:eastAsia="Times New Roman" w:hAnsi="Times New Roman"/>
      <w:sz w:val="24"/>
      <w:szCs w:val="24"/>
    </w:rPr>
  </w:style>
  <w:style w:type="character" w:customStyle="1" w:styleId="Heading4Char">
    <w:name w:val="Heading 4 Char"/>
    <w:basedOn w:val="DefaultParagraphFont"/>
    <w:link w:val="Heading4"/>
    <w:rsid w:val="00C76FE0"/>
    <w:rPr>
      <w:rFonts w:ascii="Century Schoolbook" w:eastAsia="Times New Roman" w:hAnsi="Century Schoolbook"/>
      <w:i/>
      <w:sz w:val="27"/>
      <w:szCs w:val="20"/>
    </w:rPr>
  </w:style>
  <w:style w:type="character" w:customStyle="1" w:styleId="Heading5Char">
    <w:name w:val="Heading 5 Char"/>
    <w:basedOn w:val="DefaultParagraphFont"/>
    <w:link w:val="Heading5"/>
    <w:rsid w:val="00C76FE0"/>
    <w:rPr>
      <w:rFonts w:ascii="Century Schoolbook" w:eastAsia="Times New Roman" w:hAnsi="Century Schoolbook"/>
      <w:i/>
      <w:sz w:val="27"/>
      <w:szCs w:val="20"/>
    </w:rPr>
  </w:style>
  <w:style w:type="paragraph" w:styleId="Date">
    <w:name w:val="Date"/>
    <w:basedOn w:val="Normal"/>
    <w:link w:val="DateChar"/>
    <w:semiHidden/>
    <w:rsid w:val="00C76FE0"/>
    <w:pPr>
      <w:jc w:val="right"/>
    </w:pPr>
  </w:style>
  <w:style w:type="character" w:customStyle="1" w:styleId="DateChar">
    <w:name w:val="Date Char"/>
    <w:basedOn w:val="DefaultParagraphFont"/>
    <w:link w:val="Date"/>
    <w:semiHidden/>
    <w:rsid w:val="00C76FE0"/>
    <w:rPr>
      <w:rFonts w:ascii="Century Schoolbook" w:eastAsia="Times New Roman" w:hAnsi="Century Schoolbook"/>
      <w:sz w:val="27"/>
      <w:szCs w:val="20"/>
    </w:rPr>
  </w:style>
  <w:style w:type="paragraph" w:styleId="NormalIndent">
    <w:name w:val="Normal Indent"/>
    <w:basedOn w:val="Normal"/>
    <w:semiHidden/>
    <w:rsid w:val="00C76FE0"/>
    <w:pPr>
      <w:ind w:left="720"/>
    </w:pPr>
  </w:style>
  <w:style w:type="character" w:styleId="PageNumber">
    <w:name w:val="page number"/>
    <w:basedOn w:val="DefaultParagraphFont"/>
    <w:semiHidden/>
    <w:rsid w:val="00C76FE0"/>
  </w:style>
  <w:style w:type="paragraph" w:customStyle="1" w:styleId="Recommend">
    <w:name w:val="Recommend"/>
    <w:basedOn w:val="Normal"/>
    <w:rsid w:val="00C76FE0"/>
  </w:style>
  <w:style w:type="paragraph" w:customStyle="1" w:styleId="subject">
    <w:name w:val="subject"/>
    <w:basedOn w:val="Normal"/>
    <w:rsid w:val="00C76FE0"/>
    <w:pPr>
      <w:tabs>
        <w:tab w:val="left" w:pos="1008"/>
      </w:tabs>
      <w:ind w:left="990" w:hanging="990"/>
    </w:pPr>
    <w:rPr>
      <w:b/>
    </w:rPr>
  </w:style>
  <w:style w:type="paragraph" w:customStyle="1" w:styleId="Summary">
    <w:name w:val="Summary"/>
    <w:basedOn w:val="Normal"/>
    <w:rsid w:val="00C76FE0"/>
    <w:pPr>
      <w:ind w:left="2160" w:hanging="2160"/>
    </w:pPr>
  </w:style>
  <w:style w:type="paragraph" w:customStyle="1" w:styleId="Text">
    <w:name w:val="Text"/>
    <w:basedOn w:val="Normal"/>
    <w:rsid w:val="00C76FE0"/>
    <w:pPr>
      <w:tabs>
        <w:tab w:val="left" w:pos="720"/>
        <w:tab w:val="left" w:pos="1440"/>
        <w:tab w:val="left" w:pos="2160"/>
        <w:tab w:val="center" w:pos="4320"/>
      </w:tabs>
      <w:spacing w:line="480" w:lineRule="atLeast"/>
      <w:ind w:firstLine="540"/>
    </w:pPr>
  </w:style>
  <w:style w:type="paragraph" w:customStyle="1" w:styleId="Title1">
    <w:name w:val="Title1"/>
    <w:basedOn w:val="Normal"/>
    <w:rsid w:val="00C76FE0"/>
    <w:pPr>
      <w:tabs>
        <w:tab w:val="left" w:pos="5760"/>
        <w:tab w:val="left" w:pos="6480"/>
      </w:tabs>
      <w:spacing w:line="240" w:lineRule="atLeast"/>
    </w:pPr>
  </w:style>
  <w:style w:type="paragraph" w:customStyle="1" w:styleId="Titles">
    <w:name w:val="Titles"/>
    <w:basedOn w:val="Normal"/>
    <w:rsid w:val="00C76FE0"/>
    <w:pPr>
      <w:tabs>
        <w:tab w:val="left" w:pos="2160"/>
      </w:tabs>
      <w:ind w:left="2160" w:hanging="2160"/>
    </w:pPr>
    <w:rPr>
      <w:b/>
    </w:rPr>
  </w:style>
  <w:style w:type="paragraph" w:styleId="TOAHeading">
    <w:name w:val="toa heading"/>
    <w:basedOn w:val="Normal"/>
    <w:next w:val="Normal"/>
    <w:semiHidden/>
    <w:rsid w:val="00C76FE0"/>
    <w:pPr>
      <w:spacing w:before="120"/>
    </w:pPr>
    <w:rPr>
      <w:b/>
    </w:rPr>
  </w:style>
  <w:style w:type="paragraph" w:styleId="TOC1">
    <w:name w:val="toc 1"/>
    <w:basedOn w:val="Normal"/>
    <w:next w:val="Normal"/>
    <w:autoRedefine/>
    <w:semiHidden/>
    <w:rsid w:val="00C76FE0"/>
  </w:style>
  <w:style w:type="paragraph" w:styleId="TOC2">
    <w:name w:val="toc 2"/>
    <w:basedOn w:val="Normal"/>
    <w:next w:val="Normal"/>
    <w:autoRedefine/>
    <w:semiHidden/>
    <w:rsid w:val="00C76FE0"/>
    <w:pPr>
      <w:ind w:left="259"/>
    </w:pPr>
  </w:style>
  <w:style w:type="paragraph" w:styleId="TOC3">
    <w:name w:val="toc 3"/>
    <w:basedOn w:val="Normal"/>
    <w:next w:val="Normal"/>
    <w:autoRedefine/>
    <w:semiHidden/>
    <w:rsid w:val="00C76FE0"/>
    <w:pPr>
      <w:ind w:left="520"/>
    </w:pPr>
  </w:style>
  <w:style w:type="paragraph" w:styleId="TOC4">
    <w:name w:val="toc 4"/>
    <w:basedOn w:val="Normal"/>
    <w:next w:val="Normal"/>
    <w:autoRedefine/>
    <w:semiHidden/>
    <w:rsid w:val="00C76FE0"/>
    <w:pPr>
      <w:ind w:left="780"/>
    </w:pPr>
  </w:style>
  <w:style w:type="paragraph" w:styleId="TOC5">
    <w:name w:val="toc 5"/>
    <w:basedOn w:val="Normal"/>
    <w:next w:val="Normal"/>
    <w:autoRedefine/>
    <w:semiHidden/>
    <w:rsid w:val="00C76FE0"/>
    <w:pPr>
      <w:ind w:left="1040"/>
    </w:pPr>
  </w:style>
  <w:style w:type="paragraph" w:styleId="TOC6">
    <w:name w:val="toc 6"/>
    <w:basedOn w:val="Normal"/>
    <w:next w:val="Normal"/>
    <w:autoRedefine/>
    <w:semiHidden/>
    <w:rsid w:val="00C76FE0"/>
    <w:pPr>
      <w:ind w:left="1300"/>
    </w:pPr>
  </w:style>
  <w:style w:type="paragraph" w:styleId="TOC7">
    <w:name w:val="toc 7"/>
    <w:basedOn w:val="Normal"/>
    <w:next w:val="Normal"/>
    <w:autoRedefine/>
    <w:semiHidden/>
    <w:rsid w:val="00C76FE0"/>
    <w:pPr>
      <w:ind w:left="1560"/>
    </w:pPr>
  </w:style>
  <w:style w:type="paragraph" w:styleId="TOC8">
    <w:name w:val="toc 8"/>
    <w:basedOn w:val="Normal"/>
    <w:next w:val="Normal"/>
    <w:autoRedefine/>
    <w:semiHidden/>
    <w:rsid w:val="00C76FE0"/>
    <w:pPr>
      <w:ind w:left="1820"/>
    </w:pPr>
  </w:style>
  <w:style w:type="paragraph" w:styleId="TOC9">
    <w:name w:val="toc 9"/>
    <w:basedOn w:val="Normal"/>
    <w:next w:val="Normal"/>
    <w:autoRedefine/>
    <w:semiHidden/>
    <w:rsid w:val="00C76FE0"/>
    <w:pPr>
      <w:ind w:left="2080"/>
    </w:pPr>
  </w:style>
  <w:style w:type="paragraph" w:customStyle="1" w:styleId="Contents">
    <w:name w:val="Contents"/>
    <w:basedOn w:val="Normal"/>
    <w:rsid w:val="00C76FE0"/>
    <w:pPr>
      <w:jc w:val="center"/>
    </w:pPr>
    <w:rPr>
      <w:b/>
      <w:spacing w:val="100"/>
    </w:rPr>
  </w:style>
  <w:style w:type="paragraph" w:styleId="BodyText">
    <w:name w:val="Body Text"/>
    <w:basedOn w:val="Normal"/>
    <w:link w:val="BodyTextChar"/>
    <w:qFormat/>
    <w:rsid w:val="00C76FE0"/>
  </w:style>
  <w:style w:type="character" w:customStyle="1" w:styleId="BodyTextChar">
    <w:name w:val="Body Text Char"/>
    <w:basedOn w:val="DefaultParagraphFont"/>
    <w:link w:val="BodyText"/>
    <w:rsid w:val="00C76FE0"/>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9ABB-976A-4973-9C64-0979ACEF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7912</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2024-03-28T15:21:28Z</dcterms:created>
  <dcterms:modified xsi:type="dcterms:W3CDTF">2024-03-28T15:21:28Z</dcterms:modified>
</cp:coreProperties>
</file>