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95F30" w:rsidRPr="00F95F30" w:rsidP="00F95F30" w14:paraId="3C86BD66" w14:textId="77777777">
      <w:pPr>
        <w:spacing w:after="0"/>
        <w:jc w:val="center"/>
        <w:rPr>
          <w:b/>
          <w:sz w:val="36"/>
        </w:rPr>
      </w:pPr>
      <w:r w:rsidRPr="00F95F30">
        <w:rPr>
          <w:b/>
          <w:sz w:val="36"/>
        </w:rPr>
        <w:t xml:space="preserve">IN THE SUPREME COURT OF </w:t>
      </w:r>
      <w:r w:rsidRPr="00F95F30" w:rsidR="00290AC7">
        <w:rPr>
          <w:b/>
          <w:sz w:val="36"/>
        </w:rPr>
        <w:t>CALIFORNIA</w:t>
      </w:r>
    </w:p>
    <w:p w:rsidR="00F95F30" w:rsidP="00F95F30" w14:paraId="3C86BD67" w14:textId="77777777">
      <w:pPr>
        <w:spacing w:after="0"/>
        <w:jc w:val="center"/>
        <w:rPr>
          <w:spacing w:val="100"/>
        </w:rPr>
      </w:pPr>
    </w:p>
    <w:p w:rsidR="00F95F30" w:rsidRPr="00F95F30" w:rsidP="00F95F30" w14:paraId="3C86BD68" w14:textId="77777777">
      <w:pPr>
        <w:spacing w:after="0"/>
        <w:jc w:val="center"/>
      </w:pPr>
      <w:r w:rsidRPr="00F95F30">
        <w:t>THE PEOPLE</w:t>
      </w:r>
      <w:r w:rsidR="00BC4430">
        <w:t>,</w:t>
      </w:r>
    </w:p>
    <w:p w:rsidR="00D634EC" w:rsidP="00F95F30" w14:paraId="3C86BD69" w14:textId="77777777">
      <w:pPr>
        <w:spacing w:after="0"/>
        <w:jc w:val="center"/>
      </w:pPr>
      <w:r w:rsidRPr="00F95F30">
        <w:t>Plaintiff and Respondent</w:t>
      </w:r>
      <w:r w:rsidR="00BC4430">
        <w:t>,</w:t>
      </w:r>
      <w:r>
        <w:t xml:space="preserve"> </w:t>
      </w:r>
    </w:p>
    <w:p w:rsidR="00F95F30" w:rsidRPr="00F95F30" w:rsidP="00F95F30" w14:paraId="3C86BD6A" w14:textId="77777777">
      <w:pPr>
        <w:spacing w:after="0"/>
        <w:jc w:val="center"/>
      </w:pPr>
      <w:r>
        <w:t>v.</w:t>
      </w:r>
    </w:p>
    <w:p w:rsidR="00F95F30" w:rsidRPr="00F95F30" w:rsidP="00F95F30" w14:paraId="3C86BD6B" w14:textId="77777777">
      <w:pPr>
        <w:spacing w:after="0"/>
        <w:jc w:val="center"/>
      </w:pPr>
      <w:r w:rsidRPr="00F95F30">
        <w:t>KEJUAN DARCELL CLARK</w:t>
      </w:r>
      <w:r w:rsidR="00BC4430">
        <w:t>,</w:t>
      </w:r>
    </w:p>
    <w:p w:rsidR="00F95F30" w:rsidRPr="00F95F30" w:rsidP="00F95F30" w14:paraId="3C86BD6C" w14:textId="77777777">
      <w:pPr>
        <w:spacing w:after="0"/>
        <w:jc w:val="center"/>
      </w:pPr>
      <w:r w:rsidRPr="00F95F30">
        <w:t>Defendant and Appellant</w:t>
      </w:r>
      <w:r w:rsidR="00923367">
        <w:t>.</w:t>
      </w:r>
    </w:p>
    <w:p w:rsidR="00F95F30" w:rsidP="00F95F30" w14:paraId="3C86BD6D" w14:textId="77777777">
      <w:pPr>
        <w:spacing w:after="0"/>
        <w:jc w:val="center"/>
        <w:rPr>
          <w:spacing w:val="100"/>
        </w:rPr>
      </w:pPr>
    </w:p>
    <w:p w:rsidR="00F95F30" w:rsidRPr="00F95F30" w:rsidP="00F95F30" w14:paraId="3C86BD6E" w14:textId="77777777">
      <w:pPr>
        <w:spacing w:after="0"/>
        <w:jc w:val="center"/>
      </w:pPr>
      <w:r w:rsidRPr="00F95F30">
        <w:t>S275746</w:t>
      </w:r>
    </w:p>
    <w:p w:rsidR="00F95F30" w:rsidRPr="00F95F30" w:rsidP="00F95F30" w14:paraId="3C86BD6F" w14:textId="77777777">
      <w:pPr>
        <w:spacing w:after="0"/>
        <w:jc w:val="center"/>
      </w:pPr>
    </w:p>
    <w:p w:rsidR="00F95F30" w:rsidRPr="00F95F30" w:rsidP="00F95F30" w14:paraId="3C86BD70" w14:textId="77777777">
      <w:pPr>
        <w:spacing w:after="0"/>
        <w:jc w:val="center"/>
      </w:pPr>
      <w:r w:rsidRPr="00F95F30">
        <w:t>Fourth Appellate District, Division Two</w:t>
      </w:r>
    </w:p>
    <w:p w:rsidR="00F95F30" w:rsidRPr="00F95F30" w:rsidP="00F95F30" w14:paraId="3C86BD71" w14:textId="77777777">
      <w:pPr>
        <w:spacing w:after="0"/>
        <w:jc w:val="center"/>
      </w:pPr>
      <w:r w:rsidRPr="00F95F30">
        <w:t>E075532</w:t>
      </w:r>
    </w:p>
    <w:p w:rsidR="00F95F30" w:rsidRPr="00F95F30" w:rsidP="00F95F30" w14:paraId="3C86BD72" w14:textId="77777777">
      <w:pPr>
        <w:spacing w:after="0"/>
        <w:jc w:val="center"/>
      </w:pPr>
    </w:p>
    <w:p w:rsidR="00F95F30" w:rsidRPr="00F95F30" w:rsidP="00F95F30" w14:paraId="3C86BD73" w14:textId="77777777">
      <w:pPr>
        <w:spacing w:after="0"/>
        <w:jc w:val="center"/>
      </w:pPr>
      <w:r w:rsidRPr="00F95F30">
        <w:t>Riverside County</w:t>
      </w:r>
      <w:r>
        <w:t xml:space="preserve"> Superior Court</w:t>
      </w:r>
    </w:p>
    <w:p w:rsidR="00F95F30" w:rsidRPr="00F95F30" w:rsidP="00F95F30" w14:paraId="3C86BD74" w14:textId="77777777">
      <w:pPr>
        <w:spacing w:after="0"/>
        <w:jc w:val="center"/>
      </w:pPr>
      <w:r w:rsidRPr="00F95F30">
        <w:t>RIF1503800</w:t>
      </w:r>
    </w:p>
    <w:p w:rsidR="00F95F30" w:rsidP="00F95F30" w14:paraId="3C86BD75" w14:textId="77777777">
      <w:pPr>
        <w:pBdr>
          <w:bottom w:val="single" w:sz="4" w:space="1" w:color="auto"/>
        </w:pBdr>
        <w:spacing w:after="0"/>
        <w:jc w:val="center"/>
        <w:rPr>
          <w:spacing w:val="100"/>
        </w:rPr>
      </w:pPr>
    </w:p>
    <w:p w:rsidR="00F95F30" w:rsidP="00F95F30" w14:paraId="3C86BD76" w14:textId="77777777">
      <w:pPr>
        <w:spacing w:after="0"/>
        <w:jc w:val="center"/>
        <w:rPr>
          <w:spacing w:val="100"/>
        </w:rPr>
      </w:pPr>
    </w:p>
    <w:p w:rsidR="00F95F30" w:rsidP="00F95F30" w14:paraId="3C86BD77" w14:textId="77777777">
      <w:pPr>
        <w:spacing w:after="0"/>
        <w:jc w:val="center"/>
      </w:pPr>
      <w:r>
        <w:t>February 22, 202</w:t>
      </w:r>
      <w:r w:rsidR="00900D30">
        <w:t>4</w:t>
      </w:r>
    </w:p>
    <w:p w:rsidR="002F412C" w:rsidP="00F95F30" w14:paraId="3C86BD78" w14:textId="77777777">
      <w:pPr>
        <w:spacing w:after="0"/>
        <w:jc w:val="center"/>
      </w:pPr>
    </w:p>
    <w:p w:rsidR="00F95F30" w:rsidRPr="00F95F30" w:rsidP="00900D30" w14:paraId="3C86BD79" w14:textId="77777777">
      <w:pPr>
        <w:spacing w:after="0"/>
        <w:jc w:val="left"/>
      </w:pPr>
      <w:r>
        <w:t xml:space="preserve">Justice Kruger authored the opinion of the Court, in which </w:t>
      </w:r>
      <w:r w:rsidR="00C73A85">
        <w:t>Chief Justice Guerrero and Justices Corrigan, Liu, Groban, Jenkins, and Evans</w:t>
      </w:r>
      <w:r>
        <w:t xml:space="preserve"> concurred.</w:t>
      </w:r>
    </w:p>
    <w:p w:rsidR="00F95F30" w:rsidP="00F95F30" w14:paraId="3C86BD7A" w14:textId="77777777">
      <w:pPr>
        <w:pBdr>
          <w:bottom w:val="single" w:sz="4" w:space="1" w:color="auto"/>
        </w:pBdr>
        <w:spacing w:after="0"/>
        <w:jc w:val="left"/>
        <w:rPr>
          <w:spacing w:val="100"/>
        </w:rPr>
      </w:pPr>
    </w:p>
    <w:p w:rsidR="00F95F30" w:rsidRPr="00F95F30" w:rsidP="00F95F30" w14:paraId="3C86BD7B" w14:textId="77777777">
      <w:pPr>
        <w:pBdr>
          <w:bottom w:val="single" w:sz="4" w:space="1" w:color="auto"/>
        </w:pBdr>
        <w:jc w:val="left"/>
        <w:rPr>
          <w:spacing w:val="100"/>
        </w:rPr>
        <w:sectPr w:rsidSect="00BC4430">
          <w:headerReference w:type="default" r:id="rId6"/>
          <w:footerReference w:type="default" r:id="rId7"/>
          <w:headerReference w:type="first" r:id="rId8"/>
          <w:pgSz w:w="12240" w:h="15840"/>
          <w:pgMar w:top="1800" w:right="2160" w:bottom="1440" w:left="2160" w:header="720" w:footer="720" w:gutter="0"/>
          <w:cols w:space="720"/>
          <w:titlePg/>
          <w:docGrid w:linePitch="367"/>
        </w:sectPr>
      </w:pPr>
      <w:bookmarkStart w:id="0" w:name="Return"/>
      <w:bookmarkEnd w:id="0"/>
    </w:p>
    <w:p w:rsidR="009D48B4" w:rsidP="00457B7F" w14:paraId="3C86BD7C" w14:textId="77777777">
      <w:pPr>
        <w:jc w:val="center"/>
      </w:pPr>
      <w:r>
        <w:t>PEOPLE v. CLARK</w:t>
      </w:r>
    </w:p>
    <w:p w:rsidR="002B747A" w:rsidRPr="00457B7F" w:rsidP="00457B7F" w14:paraId="3C86BD7D" w14:textId="77777777">
      <w:pPr>
        <w:jc w:val="center"/>
      </w:pPr>
      <w:r w:rsidRPr="00457B7F">
        <w:t>S275746</w:t>
      </w:r>
    </w:p>
    <w:p w:rsidR="002B747A" w:rsidRPr="00457B7F" w:rsidP="00457B7F" w14:paraId="3C86BD7E" w14:textId="77777777">
      <w:pPr>
        <w:jc w:val="center"/>
      </w:pPr>
    </w:p>
    <w:p w:rsidR="00F95F30" w:rsidRPr="00F95F30" w:rsidP="00457B7F" w14:paraId="3C86BD7F" w14:textId="77777777">
      <w:pPr>
        <w:jc w:val="center"/>
      </w:pPr>
      <w:r w:rsidRPr="00457B7F">
        <w:t>Opinion of the Court by Kruger, J.</w:t>
      </w:r>
    </w:p>
    <w:p w:rsidR="0009354D" w:rsidRPr="00F95F30" w:rsidP="00F95F30" w14:paraId="3C86BD80" w14:textId="77777777">
      <w:pPr>
        <w:spacing w:after="0"/>
        <w:jc w:val="center"/>
      </w:pPr>
    </w:p>
    <w:p w:rsidR="00DC29DA" w:rsidP="00F95F30" w14:paraId="3C86BD81" w14:textId="77777777">
      <w:pPr>
        <w:widowControl w:val="0"/>
        <w:tabs>
          <w:tab w:val="left" w:pos="1440"/>
        </w:tabs>
        <w:ind w:firstLine="720"/>
      </w:pPr>
      <w:r>
        <w:t xml:space="preserve">This is one </w:t>
      </w:r>
      <w:r w:rsidR="000D15B2">
        <w:t xml:space="preserve">in </w:t>
      </w:r>
      <w:r>
        <w:t xml:space="preserve">a series of cases </w:t>
      </w:r>
      <w:r w:rsidR="000D15B2">
        <w:t xml:space="preserve">concerning </w:t>
      </w:r>
      <w:r w:rsidRPr="00F95F30" w:rsidR="009B3906">
        <w:t xml:space="preserve">the gang sentencing provisions </w:t>
      </w:r>
      <w:r w:rsidRPr="00F95F30" w:rsidR="00A72177">
        <w:t xml:space="preserve">in </w:t>
      </w:r>
      <w:r w:rsidRPr="00F95F30" w:rsidR="009B3906">
        <w:t>Penal Code section 186.22 (section 186.22)</w:t>
      </w:r>
      <w:r w:rsidRPr="00F95F30" w:rsidR="00F55E11">
        <w:t>,</w:t>
      </w:r>
      <w:r w:rsidRPr="00F95F30" w:rsidR="008461E4">
        <w:t xml:space="preserve"> </w:t>
      </w:r>
      <w:r w:rsidRPr="00F95F30" w:rsidR="00F55E11">
        <w:t xml:space="preserve">as </w:t>
      </w:r>
      <w:r w:rsidRPr="00F95F30" w:rsidR="00C6032F">
        <w:t xml:space="preserve">they were </w:t>
      </w:r>
      <w:r w:rsidRPr="00F95F30" w:rsidR="00F55E11">
        <w:t xml:space="preserve">recently amended </w:t>
      </w:r>
      <w:r w:rsidRPr="00F95F30" w:rsidR="008461E4">
        <w:t>by Assembly Bill No</w:t>
      </w:r>
      <w:r w:rsidRPr="00F95F30" w:rsidR="00C034F0">
        <w:t>. </w:t>
      </w:r>
      <w:r w:rsidRPr="00F95F30" w:rsidR="008461E4">
        <w:t>333 (2021–2022 Reg. Sess.)</w:t>
      </w:r>
      <w:r w:rsidR="00A54A78">
        <w:t xml:space="preserve"> (Assembly Bill 333)</w:t>
      </w:r>
      <w:r w:rsidRPr="00433047" w:rsidR="002B747A">
        <w:t xml:space="preserve">, </w:t>
      </w:r>
      <w:r w:rsidR="00A54A78">
        <w:t xml:space="preserve">which was </w:t>
      </w:r>
      <w:r w:rsidRPr="00433047" w:rsidR="002B747A">
        <w:t>signed into law in 2021 (</w:t>
      </w:r>
      <w:r w:rsidR="00A54A78">
        <w:t xml:space="preserve">see </w:t>
      </w:r>
      <w:r w:rsidRPr="00433047" w:rsidR="002B747A">
        <w:t>Stats. 2021, ch. 699, §3)</w:t>
      </w:r>
      <w:r w:rsidR="009D48B4">
        <w:t>.</w:t>
      </w:r>
    </w:p>
    <w:p w:rsidR="00021101" w:rsidRPr="00F95F30" w:rsidP="00F95F30" w14:paraId="3C86BD82" w14:textId="77777777">
      <w:pPr>
        <w:widowControl w:val="0"/>
        <w:tabs>
          <w:tab w:val="left" w:pos="1440"/>
        </w:tabs>
        <w:ind w:firstLine="720"/>
      </w:pPr>
      <w:r w:rsidRPr="00F95F30">
        <w:t xml:space="preserve">The question </w:t>
      </w:r>
      <w:r w:rsidR="00DA2718">
        <w:t xml:space="preserve">in this case </w:t>
      </w:r>
      <w:r w:rsidRPr="00F95F30">
        <w:t xml:space="preserve">concerns </w:t>
      </w:r>
      <w:r w:rsidRPr="00F95F30" w:rsidR="00C6032F">
        <w:t>A</w:t>
      </w:r>
      <w:r w:rsidRPr="00F95F30" w:rsidR="00B43172">
        <w:t xml:space="preserve">ssembly Bill </w:t>
      </w:r>
      <w:r w:rsidRPr="00F95F30" w:rsidR="00C6032F">
        <w:t xml:space="preserve">333’s </w:t>
      </w:r>
      <w:r w:rsidRPr="00F95F30" w:rsidR="0014332F">
        <w:t xml:space="preserve">changes to the </w:t>
      </w:r>
      <w:r w:rsidRPr="00F95F30">
        <w:t xml:space="preserve">requirements </w:t>
      </w:r>
      <w:r w:rsidRPr="00F95F30" w:rsidR="00157310">
        <w:t>for proving the predicate offenses constituting a</w:t>
      </w:r>
      <w:r w:rsidRPr="00F95F30" w:rsidR="00C6032F">
        <w:t xml:space="preserve"> “pattern of criminal gang activity”</w:t>
      </w:r>
      <w:r w:rsidRPr="00F95F30" w:rsidR="002D6BC2">
        <w:t> </w:t>
      </w:r>
      <w:r w:rsidRPr="00F95F30" w:rsidR="009A47C6">
        <w:t xml:space="preserve">— </w:t>
      </w:r>
      <w:r w:rsidRPr="00F95F30" w:rsidR="00C6032F">
        <w:t>one of the requirements for proving the existence of a “criminal street gang.”  (§</w:t>
      </w:r>
      <w:r w:rsidRPr="00F95F30" w:rsidR="0071258F">
        <w:t> </w:t>
      </w:r>
      <w:r w:rsidRPr="00F95F30" w:rsidR="00C6032F">
        <w:t>186.22, subds. (e), (f)</w:t>
      </w:r>
      <w:r w:rsidRPr="00F95F30" w:rsidR="00D142F5">
        <w:t>.)</w:t>
      </w:r>
      <w:r w:rsidRPr="00F95F30" w:rsidR="00A95258">
        <w:t xml:space="preserve">  </w:t>
      </w:r>
      <w:r w:rsidRPr="00F95F30" w:rsidR="00FD6B74">
        <w:t>A</w:t>
      </w:r>
      <w:r w:rsidRPr="00F95F30">
        <w:t>s amended by A</w:t>
      </w:r>
      <w:r w:rsidRPr="00F95F30" w:rsidR="001748A8">
        <w:t>ssembly Bill</w:t>
      </w:r>
      <w:r w:rsidRPr="00F95F30">
        <w:t xml:space="preserve"> 333, section 186.22</w:t>
      </w:r>
      <w:r w:rsidRPr="00F95F30" w:rsidR="006C46EA">
        <w:t xml:space="preserve"> </w:t>
      </w:r>
      <w:r w:rsidRPr="00F95F30" w:rsidR="00BA0FEC">
        <w:t xml:space="preserve">defines </w:t>
      </w:r>
      <w:r w:rsidRPr="00F95F30" w:rsidR="0072537B">
        <w:t>the term</w:t>
      </w:r>
      <w:r w:rsidRPr="00F95F30" w:rsidR="00740AA6">
        <w:t xml:space="preserve"> “</w:t>
      </w:r>
      <w:r w:rsidRPr="00F95F30" w:rsidR="001748A8">
        <w:t> ‘</w:t>
      </w:r>
      <w:r w:rsidRPr="00F95F30" w:rsidR="00740AA6">
        <w:t>criminal street gang</w:t>
      </w:r>
      <w:r w:rsidRPr="00F95F30" w:rsidR="001748A8">
        <w:t>’ </w:t>
      </w:r>
      <w:r w:rsidRPr="00F95F30" w:rsidR="00740AA6">
        <w:t xml:space="preserve">” </w:t>
      </w:r>
      <w:r w:rsidRPr="00F95F30" w:rsidR="0072537B">
        <w:t>to mean</w:t>
      </w:r>
      <w:r w:rsidRPr="00F95F30" w:rsidR="00740AA6">
        <w:t xml:space="preserve"> “an ongoing, organized association or group of three or more persons</w:t>
      </w:r>
      <w:r w:rsidRPr="00F95F30" w:rsidR="00C554F5">
        <w:t>,</w:t>
      </w:r>
      <w:r w:rsidRPr="00F95F30" w:rsidR="00740AA6">
        <w:t xml:space="preserve"> </w:t>
      </w:r>
      <w:r w:rsidRPr="00F95F30" w:rsidR="00C554F5">
        <w:t>. . . </w:t>
      </w:r>
      <w:r w:rsidRPr="00F95F30" w:rsidR="00740AA6">
        <w:t xml:space="preserve">whose members </w:t>
      </w:r>
      <w:r w:rsidRPr="00F95F30" w:rsidR="00740AA6">
        <w:rPr>
          <w:i/>
          <w:iCs/>
        </w:rPr>
        <w:t>collectively</w:t>
      </w:r>
      <w:r w:rsidRPr="00F95F30" w:rsidR="00850C86">
        <w:rPr>
          <w:i/>
          <w:iCs/>
        </w:rPr>
        <w:t xml:space="preserve"> </w:t>
      </w:r>
      <w:r w:rsidRPr="00F95F30" w:rsidR="00740AA6">
        <w:t>engage in, or have engaged in, a pattern of criminal gang activity.</w:t>
      </w:r>
      <w:r w:rsidRPr="00F95F30" w:rsidR="00C554F5">
        <w:t>”  (</w:t>
      </w:r>
      <w:r w:rsidRPr="00F95F30" w:rsidR="007263EC">
        <w:t>§ 186.22, subd. (f)</w:t>
      </w:r>
      <w:r w:rsidRPr="00F95F30" w:rsidR="000A4B6B">
        <w:t>, italics added</w:t>
      </w:r>
      <w:r w:rsidR="009D11F5">
        <w:t xml:space="preserve"> </w:t>
      </w:r>
      <w:r w:rsidRPr="00F95F30" w:rsidR="009D11F5">
        <w:t>(section 186.22(f))</w:t>
      </w:r>
      <w:r w:rsidRPr="00F95F30" w:rsidR="007263EC">
        <w:t>.)</w:t>
      </w:r>
      <w:r w:rsidRPr="00F95F30" w:rsidR="00FB3CA3">
        <w:t xml:space="preserve">  </w:t>
      </w:r>
      <w:r w:rsidRPr="00F95F30" w:rsidR="00A95258">
        <w:t xml:space="preserve">The </w:t>
      </w:r>
      <w:r w:rsidRPr="00F95F30" w:rsidR="00583820">
        <w:t xml:space="preserve">amended statute defines the </w:t>
      </w:r>
      <w:r w:rsidRPr="00F95F30" w:rsidR="00F04A2B">
        <w:t>“</w:t>
      </w:r>
      <w:r w:rsidRPr="00F95F30" w:rsidR="001748A8">
        <w:t> ‘</w:t>
      </w:r>
      <w:r w:rsidRPr="00F95F30" w:rsidR="00F04A2B">
        <w:t>pattern of criminal gang activity</w:t>
      </w:r>
      <w:r w:rsidRPr="00F95F30" w:rsidR="00850C86">
        <w:t>,</w:t>
      </w:r>
      <w:r w:rsidRPr="00F95F30" w:rsidR="001748A8">
        <w:t>’ </w:t>
      </w:r>
      <w:r w:rsidRPr="00F95F30" w:rsidR="00F04A2B">
        <w:t xml:space="preserve">” </w:t>
      </w:r>
      <w:r w:rsidRPr="00F95F30" w:rsidR="00850C86">
        <w:t>in turn, to mean</w:t>
      </w:r>
      <w:r w:rsidRPr="00F95F30" w:rsidR="00205312">
        <w:t xml:space="preserve">, in pertinent part, the </w:t>
      </w:r>
      <w:r w:rsidRPr="00F95F30" w:rsidR="00A95258">
        <w:t xml:space="preserve">commission </w:t>
      </w:r>
      <w:r w:rsidRPr="00F95F30" w:rsidR="00850C86">
        <w:t xml:space="preserve">of (or other specified forms of involvement in) </w:t>
      </w:r>
      <w:r w:rsidRPr="00F95F30" w:rsidR="00A95258">
        <w:t xml:space="preserve">two </w:t>
      </w:r>
      <w:r w:rsidRPr="00F95F30" w:rsidR="00E64508">
        <w:t>offenses</w:t>
      </w:r>
      <w:r w:rsidRPr="00F95F30" w:rsidR="00A95258">
        <w:t xml:space="preserve"> </w:t>
      </w:r>
      <w:r w:rsidRPr="00F95F30" w:rsidR="00850C86">
        <w:t xml:space="preserve">enumerated in the statute, </w:t>
      </w:r>
      <w:r w:rsidRPr="00F95F30" w:rsidR="00F04A2B">
        <w:t>“</w:t>
      </w:r>
      <w:r w:rsidRPr="00F95F30" w:rsidR="00850C86">
        <w:t>provided</w:t>
      </w:r>
      <w:r w:rsidRPr="00F95F30" w:rsidR="00EC0005">
        <w:t xml:space="preserve"> .</w:t>
      </w:r>
      <w:r w:rsidRPr="00F95F30" w:rsidR="0071258F">
        <w:t> </w:t>
      </w:r>
      <w:r w:rsidRPr="00F95F30" w:rsidR="00EC0005">
        <w:t>.</w:t>
      </w:r>
      <w:r w:rsidRPr="00F95F30" w:rsidR="0071258F">
        <w:t> </w:t>
      </w:r>
      <w:r w:rsidRPr="00F95F30" w:rsidR="00EC0005">
        <w:t xml:space="preserve">. </w:t>
      </w:r>
      <w:r w:rsidRPr="00F95F30" w:rsidR="001748A8">
        <w:t>[</w:t>
      </w:r>
      <w:r w:rsidRPr="00F95F30" w:rsidR="00EC0005">
        <w:t>they</w:t>
      </w:r>
      <w:r w:rsidRPr="00F95F30" w:rsidR="001748A8">
        <w:t>]</w:t>
      </w:r>
      <w:r w:rsidRPr="00F95F30" w:rsidR="00EC0005">
        <w:t xml:space="preserve"> were committed </w:t>
      </w:r>
      <w:r w:rsidRPr="00F95F30" w:rsidR="00F04A2B">
        <w:rPr>
          <w:i/>
          <w:iCs/>
        </w:rPr>
        <w:t>on separate occasions or by two or more members</w:t>
      </w:r>
      <w:r w:rsidRPr="00F95F30" w:rsidR="00617A6D">
        <w:t>”</w:t>
      </w:r>
      <w:r w:rsidRPr="00F95F30" w:rsidR="001254ED">
        <w:t xml:space="preserve"> of the gang</w:t>
      </w:r>
      <w:r w:rsidRPr="00F95F30" w:rsidR="00B63D48">
        <w:t xml:space="preserve"> and</w:t>
      </w:r>
      <w:r w:rsidRPr="00F95F30" w:rsidR="00736CB8">
        <w:t xml:space="preserve"> the offenses </w:t>
      </w:r>
      <w:r w:rsidRPr="00F95F30" w:rsidR="00B46458">
        <w:t>provid</w:t>
      </w:r>
      <w:r w:rsidRPr="00F95F30" w:rsidR="00B63D48">
        <w:t>ed</w:t>
      </w:r>
      <w:r w:rsidRPr="00F95F30" w:rsidR="00B46458">
        <w:t xml:space="preserve"> a benefit to the gang that</w:t>
      </w:r>
      <w:r w:rsidRPr="00F95F30" w:rsidR="00736CB8">
        <w:t xml:space="preserve"> is more than reputational</w:t>
      </w:r>
      <w:r w:rsidRPr="00F95F30" w:rsidR="001254ED">
        <w:t>.</w:t>
      </w:r>
      <w:r w:rsidRPr="00F95F30" w:rsidR="00153469">
        <w:t xml:space="preserve">  </w:t>
      </w:r>
      <w:r w:rsidRPr="00F95F30" w:rsidR="00F04A2B">
        <w:t>(§ 186.22, subd. (e</w:t>
      </w:r>
      <w:r w:rsidRPr="00F95F30" w:rsidR="00617A6D">
        <w:t>)(1)</w:t>
      </w:r>
      <w:r w:rsidRPr="00F95F30" w:rsidR="00E63B10">
        <w:t>, italics added</w:t>
      </w:r>
      <w:r w:rsidR="00BF3B39">
        <w:t xml:space="preserve"> </w:t>
      </w:r>
      <w:r w:rsidRPr="00F95F30" w:rsidR="00BF3B39">
        <w:t>(section 186.22(e)(1))</w:t>
      </w:r>
      <w:r w:rsidRPr="00F95F30" w:rsidR="00617A6D">
        <w:t>.)</w:t>
      </w:r>
    </w:p>
    <w:p w:rsidR="001254ED" w:rsidRPr="00F95F30" w:rsidP="00487891" w14:paraId="3C86BD83" w14:textId="77777777">
      <w:pPr>
        <w:widowControl w:val="0"/>
        <w:tabs>
          <w:tab w:val="left" w:pos="1440"/>
        </w:tabs>
        <w:ind w:firstLine="720"/>
      </w:pPr>
      <w:r w:rsidRPr="00F95F30">
        <w:t>The Courts of Appeal have divided over whether, under the statute as amended by A</w:t>
      </w:r>
      <w:r w:rsidRPr="00F95F30" w:rsidR="001748A8">
        <w:t>ssembly Bill</w:t>
      </w:r>
      <w:r w:rsidRPr="00F95F30">
        <w:t xml:space="preserve"> 333, </w:t>
      </w:r>
      <w:r w:rsidRPr="00F95F30" w:rsidR="001C61C5">
        <w:t xml:space="preserve">the statutory reference to “collective[]” engagement in a pattern of criminal </w:t>
      </w:r>
      <w:r w:rsidRPr="00F95F30" w:rsidR="001C61C5">
        <w:t xml:space="preserve">gang activity </w:t>
      </w:r>
      <w:r w:rsidR="00DC29DA">
        <w:t xml:space="preserve">is properly read to </w:t>
      </w:r>
      <w:r w:rsidRPr="00F95F30" w:rsidR="001C61C5">
        <w:t xml:space="preserve">mean that </w:t>
      </w:r>
      <w:r w:rsidRPr="00F95F30">
        <w:t>each of the two predicate offenses must be committed in concert with other gang members</w:t>
      </w:r>
      <w:r w:rsidRPr="00F95F30" w:rsidR="00F646DB">
        <w:t xml:space="preserve"> </w:t>
      </w:r>
      <w:r w:rsidRPr="00F95F30" w:rsidR="00DA79E0">
        <w:t>and cannot be committed by individual gang members acting alone</w:t>
      </w:r>
      <w:r w:rsidRPr="00F95F30" w:rsidR="001C61C5">
        <w:t>.</w:t>
      </w:r>
      <w:r w:rsidRPr="00F95F30" w:rsidR="00C77D25">
        <w:t xml:space="preserve">  </w:t>
      </w:r>
      <w:r w:rsidR="00DA5018">
        <w:t xml:space="preserve">We conclude </w:t>
      </w:r>
      <w:r w:rsidRPr="00F95F30" w:rsidR="003519C9">
        <w:t xml:space="preserve">that </w:t>
      </w:r>
      <w:r w:rsidRPr="00F95F30" w:rsidR="003B733C">
        <w:t xml:space="preserve">this </w:t>
      </w:r>
      <w:r w:rsidR="00DC29DA">
        <w:t>reading</w:t>
      </w:r>
      <w:r w:rsidRPr="00F95F30" w:rsidR="00DC29DA">
        <w:t xml:space="preserve"> </w:t>
      </w:r>
      <w:r w:rsidRPr="00F95F30" w:rsidR="000318AE">
        <w:t xml:space="preserve">is refuted </w:t>
      </w:r>
      <w:r w:rsidRPr="00F95F30" w:rsidR="005D7144">
        <w:t xml:space="preserve">by the plain language of the statute, which says that the </w:t>
      </w:r>
      <w:r w:rsidRPr="00F95F30" w:rsidR="00D02DAE">
        <w:t xml:space="preserve">predicate offenses must be “committed on separate occasions </w:t>
      </w:r>
      <w:r w:rsidRPr="00F95F30" w:rsidR="00D02DAE">
        <w:rPr>
          <w:i/>
          <w:iCs/>
        </w:rPr>
        <w:t>or</w:t>
      </w:r>
      <w:r w:rsidRPr="00F95F30" w:rsidR="00D02DAE">
        <w:t xml:space="preserve"> by two or more members.”  (</w:t>
      </w:r>
      <w:r w:rsidRPr="00F95F30" w:rsidR="002D6BC2">
        <w:t>§ 186.22(e)(1), i</w:t>
      </w:r>
      <w:r w:rsidRPr="00F95F30" w:rsidR="003A6D50">
        <w:t>talics added.)</w:t>
      </w:r>
      <w:r w:rsidR="00487891">
        <w:t xml:space="preserve">  </w:t>
      </w:r>
      <w:r w:rsidR="006A50DB">
        <w:t xml:space="preserve">We </w:t>
      </w:r>
      <w:r w:rsidR="00145628">
        <w:t>go on</w:t>
      </w:r>
      <w:r w:rsidR="006D36B9">
        <w:t xml:space="preserve">, however, to </w:t>
      </w:r>
      <w:r w:rsidR="006A50DB">
        <w:t>consider what t</w:t>
      </w:r>
      <w:r w:rsidRPr="00F95F30" w:rsidR="00B92FA2">
        <w:t>he collective engagement requirement does mean.  R</w:t>
      </w:r>
      <w:r w:rsidRPr="00F95F30" w:rsidR="001E5918">
        <w:t xml:space="preserve">eading the statutory text in light of the Legislature’s purpose of more narrowly targeting the threats posed by organized group activity, </w:t>
      </w:r>
      <w:r w:rsidRPr="00F95F30" w:rsidR="00B92FA2">
        <w:t xml:space="preserve">we </w:t>
      </w:r>
      <w:r w:rsidRPr="00F95F30" w:rsidR="00DB6F63">
        <w:t xml:space="preserve">hold </w:t>
      </w:r>
      <w:r w:rsidRPr="00F95F30" w:rsidR="001E5918">
        <w:t xml:space="preserve">that collective engagement </w:t>
      </w:r>
      <w:r w:rsidRPr="00F95F30" w:rsidR="00244155">
        <w:t xml:space="preserve">requires a </w:t>
      </w:r>
      <w:r w:rsidRPr="00F95F30" w:rsidR="00773981">
        <w:t>nexus between</w:t>
      </w:r>
      <w:r w:rsidRPr="00F95F30" w:rsidR="003B6302">
        <w:t xml:space="preserve"> </w:t>
      </w:r>
      <w:r w:rsidRPr="00F95F30" w:rsidR="00244155">
        <w:t xml:space="preserve">the </w:t>
      </w:r>
      <w:r w:rsidRPr="00F95F30" w:rsidR="00DB6F63">
        <w:t xml:space="preserve">individual predicate </w:t>
      </w:r>
      <w:r w:rsidRPr="00F95F30" w:rsidR="006E63B3">
        <w:t xml:space="preserve">offenses </w:t>
      </w:r>
      <w:r w:rsidRPr="00F95F30" w:rsidR="00326D6E">
        <w:t>and</w:t>
      </w:r>
      <w:r w:rsidRPr="00F95F30" w:rsidR="00DB6F63">
        <w:t xml:space="preserve"> </w:t>
      </w:r>
      <w:r w:rsidRPr="00F95F30" w:rsidR="006E24C4">
        <w:t>the gang as a</w:t>
      </w:r>
      <w:r w:rsidR="001869FA">
        <w:t>n organized,</w:t>
      </w:r>
      <w:r w:rsidRPr="00F95F30" w:rsidR="006E24C4">
        <w:t xml:space="preserve"> collective enterprise.  </w:t>
      </w:r>
      <w:r w:rsidR="001A4AA7">
        <w:t>T</w:t>
      </w:r>
      <w:r w:rsidRPr="00F95F30" w:rsidR="006E24C4">
        <w:t xml:space="preserve">his organizational nexus requirement is satisfied by showing a connection between the predicate offenses and </w:t>
      </w:r>
      <w:r w:rsidR="008B354B">
        <w:t xml:space="preserve">the </w:t>
      </w:r>
      <w:r w:rsidRPr="00F95F30" w:rsidR="003F01FE">
        <w:t xml:space="preserve">organizational </w:t>
      </w:r>
      <w:r w:rsidRPr="00F95F30" w:rsidR="007F4DF8">
        <w:t xml:space="preserve">structure, </w:t>
      </w:r>
      <w:r w:rsidRPr="00F95F30" w:rsidR="0065413C">
        <w:t xml:space="preserve">primary activities, </w:t>
      </w:r>
      <w:r w:rsidRPr="00F95F30" w:rsidR="007F4DF8">
        <w:t>or common goals and principles of the gang</w:t>
      </w:r>
      <w:r w:rsidRPr="00F95F30" w:rsidR="004242AC">
        <w:t xml:space="preserve">.  </w:t>
      </w:r>
      <w:r w:rsidRPr="00F95F30" w:rsidR="005A26E6">
        <w:t>Because t</w:t>
      </w:r>
      <w:r w:rsidRPr="00F95F30" w:rsidR="00736CB8">
        <w:t xml:space="preserve">he Court of Appeal did not account for </w:t>
      </w:r>
      <w:r w:rsidRPr="00F95F30" w:rsidR="00EE3FE3">
        <w:t xml:space="preserve">this </w:t>
      </w:r>
      <w:r w:rsidRPr="00F95F30" w:rsidR="005F704F">
        <w:t xml:space="preserve">feature of the </w:t>
      </w:r>
      <w:r w:rsidRPr="00F95F30" w:rsidR="00366DCD">
        <w:t>statute,</w:t>
      </w:r>
      <w:r w:rsidRPr="00F95F30" w:rsidR="008F471F">
        <w:t xml:space="preserve"> </w:t>
      </w:r>
      <w:r w:rsidRPr="00F95F30" w:rsidR="000F14F5">
        <w:t>w</w:t>
      </w:r>
      <w:r w:rsidRPr="00F95F30" w:rsidR="00F30C88">
        <w:t>e</w:t>
      </w:r>
      <w:r w:rsidRPr="00F95F30" w:rsidR="00E26508">
        <w:t xml:space="preserve"> reverse</w:t>
      </w:r>
      <w:r w:rsidRPr="00F95F30" w:rsidR="000475F7">
        <w:t xml:space="preserve"> and remand for further proceedings</w:t>
      </w:r>
      <w:r w:rsidRPr="00F95F30" w:rsidR="00E26508">
        <w:t>.</w:t>
      </w:r>
    </w:p>
    <w:p w:rsidR="00A601E1" w:rsidRPr="00F95F30" w:rsidP="00F95F30" w14:paraId="3C86BD84" w14:textId="77777777">
      <w:pPr>
        <w:pStyle w:val="Heading1"/>
      </w:pPr>
      <w:r w:rsidRPr="00F95F30">
        <w:t>I.</w:t>
      </w:r>
    </w:p>
    <w:p w:rsidR="001869FA" w:rsidP="00F95F30" w14:paraId="3C86BD85" w14:textId="77777777">
      <w:pPr>
        <w:widowControl w:val="0"/>
        <w:ind w:firstLine="720"/>
      </w:pPr>
      <w:r w:rsidRPr="00F95F30">
        <w:t xml:space="preserve">Defendant Kejuan </w:t>
      </w:r>
      <w:r w:rsidR="0054094D">
        <w:t xml:space="preserve">Darcell </w:t>
      </w:r>
      <w:r w:rsidRPr="00F95F30">
        <w:t>Clark was charged with several offenses stemming from a July 2015 incident in which he and other</w:t>
      </w:r>
      <w:r w:rsidRPr="00F95F30" w:rsidR="00E50F23">
        <w:t>s</w:t>
      </w:r>
      <w:r w:rsidRPr="00F95F30">
        <w:t xml:space="preserve"> </w:t>
      </w:r>
      <w:r w:rsidRPr="00F95F30" w:rsidR="00375FB7">
        <w:t xml:space="preserve">entered a woman’s home without permission.  </w:t>
      </w:r>
      <w:r w:rsidR="00E15319">
        <w:t xml:space="preserve">The prosecution alleged that </w:t>
      </w:r>
      <w:r w:rsidRPr="00F95F30" w:rsidR="00375FB7">
        <w:t xml:space="preserve">Clark </w:t>
      </w:r>
      <w:r w:rsidR="00D95F15">
        <w:t xml:space="preserve">proceeded </w:t>
      </w:r>
      <w:r w:rsidRPr="00F95F30" w:rsidR="00375FB7">
        <w:t xml:space="preserve">to </w:t>
      </w:r>
      <w:r w:rsidR="00C73D07">
        <w:t xml:space="preserve">the woman’s </w:t>
      </w:r>
      <w:r w:rsidRPr="00F95F30" w:rsidR="00375FB7">
        <w:t xml:space="preserve">bedroom, where he raped </w:t>
      </w:r>
      <w:r w:rsidRPr="00F95F30" w:rsidR="00B046C0">
        <w:t xml:space="preserve">her, then stole her </w:t>
      </w:r>
      <w:r w:rsidRPr="00F95F30" w:rsidR="005C0B3B">
        <w:t>laptop computer and phone</w:t>
      </w:r>
      <w:r w:rsidRPr="00F95F30" w:rsidR="00274177">
        <w:t>.</w:t>
      </w:r>
      <w:r w:rsidRPr="00F95F30" w:rsidR="0059739A">
        <w:t xml:space="preserve"> </w:t>
      </w:r>
      <w:r w:rsidRPr="00F95F30" w:rsidR="003F0C58">
        <w:t xml:space="preserve"> </w:t>
      </w:r>
      <w:r w:rsidRPr="00F95F30" w:rsidR="0059739A">
        <w:t>(</w:t>
      </w:r>
      <w:r w:rsidRPr="00F95F30" w:rsidR="0059739A">
        <w:rPr>
          <w:i/>
          <w:iCs/>
        </w:rPr>
        <w:t xml:space="preserve">People v. </w:t>
      </w:r>
      <w:r w:rsidRPr="00F95F30" w:rsidR="00050401">
        <w:rPr>
          <w:i/>
          <w:iCs/>
        </w:rPr>
        <w:t>Clark</w:t>
      </w:r>
      <w:r w:rsidRPr="00F95F30" w:rsidR="00716A39">
        <w:t xml:space="preserve"> (2022) </w:t>
      </w:r>
      <w:r w:rsidRPr="00F95F30" w:rsidR="00050401">
        <w:t>81 Cal.App.5</w:t>
      </w:r>
      <w:r w:rsidR="002F412C">
        <w:t xml:space="preserve">th 133, </w:t>
      </w:r>
      <w:r w:rsidRPr="00F95F30" w:rsidR="008A7EC0">
        <w:t>137–141</w:t>
      </w:r>
      <w:r w:rsidRPr="00F95F30" w:rsidR="00D92164">
        <w:t xml:space="preserve"> (</w:t>
      </w:r>
      <w:r w:rsidRPr="00F95F30" w:rsidR="00D92164">
        <w:rPr>
          <w:i/>
          <w:iCs/>
        </w:rPr>
        <w:t>Clark</w:t>
      </w:r>
      <w:r w:rsidRPr="00F95F30" w:rsidR="00D92164">
        <w:t>)</w:t>
      </w:r>
      <w:r w:rsidRPr="00F95F30" w:rsidR="008A7EC0">
        <w:t>.)</w:t>
      </w:r>
      <w:r w:rsidRPr="00F95F30" w:rsidR="0077158F">
        <w:t xml:space="preserve">  </w:t>
      </w:r>
    </w:p>
    <w:p w:rsidR="000A4A70" w:rsidP="00F95F30" w14:paraId="3C86BD86" w14:textId="77777777">
      <w:pPr>
        <w:widowControl w:val="0"/>
        <w:ind w:firstLine="720"/>
      </w:pPr>
      <w:r w:rsidRPr="00F95F30">
        <w:t xml:space="preserve">At the time, </w:t>
      </w:r>
      <w:r w:rsidRPr="00F95F30" w:rsidR="00E50F23">
        <w:t xml:space="preserve">Clark </w:t>
      </w:r>
      <w:r w:rsidR="00D3553F">
        <w:t xml:space="preserve">was a </w:t>
      </w:r>
      <w:r w:rsidRPr="00F95F30" w:rsidR="00E50F23">
        <w:t xml:space="preserve">member of the </w:t>
      </w:r>
      <w:r w:rsidRPr="00F95F30" w:rsidR="000059D8">
        <w:t>Northside Parkland street gang, a subset of the Sex Cash Money street gang.</w:t>
      </w:r>
      <w:r w:rsidRPr="00F95F30" w:rsidR="00D92164">
        <w:t xml:space="preserve">  (</w:t>
      </w:r>
      <w:r w:rsidRPr="00900D30" w:rsidR="00900D30">
        <w:rPr>
          <w:i/>
          <w:iCs/>
        </w:rPr>
        <w:t>Clark</w:t>
      </w:r>
      <w:r w:rsidR="00900D30">
        <w:t xml:space="preserve">, </w:t>
      </w:r>
      <w:r w:rsidRPr="00900D30" w:rsidR="00900D30">
        <w:rPr>
          <w:i/>
          <w:iCs/>
        </w:rPr>
        <w:t>supra</w:t>
      </w:r>
      <w:r w:rsidR="00900D30">
        <w:t>, 81 Cal.App.5th</w:t>
      </w:r>
      <w:r w:rsidRPr="00F95F30" w:rsidR="00D92164">
        <w:t xml:space="preserve"> at p.</w:t>
      </w:r>
      <w:r w:rsidRPr="00F95F30" w:rsidR="00C034F0">
        <w:t> </w:t>
      </w:r>
      <w:r w:rsidRPr="00F95F30" w:rsidR="001C7387">
        <w:t>138.)</w:t>
      </w:r>
      <w:r w:rsidRPr="00F95F30" w:rsidR="00B907E3">
        <w:t xml:space="preserve">  </w:t>
      </w:r>
      <w:r w:rsidRPr="00F95F30" w:rsidR="00DC462F">
        <w:t xml:space="preserve">In addition to </w:t>
      </w:r>
      <w:r w:rsidRPr="00F95F30" w:rsidR="00DC462F">
        <w:t xml:space="preserve">charging </w:t>
      </w:r>
      <w:r w:rsidRPr="00F95F30" w:rsidR="008017B2">
        <w:t xml:space="preserve">the </w:t>
      </w:r>
      <w:r w:rsidRPr="00F95F30" w:rsidR="00DC462F">
        <w:t xml:space="preserve">substantive offenses, the prosecution alleged various gang enhancements </w:t>
      </w:r>
      <w:r w:rsidRPr="00F95F30" w:rsidR="007B060E">
        <w:t>under section 186.22, subdivision (b)</w:t>
      </w:r>
      <w:r w:rsidRPr="00F95F30" w:rsidR="00C03C94">
        <w:t>.</w:t>
      </w:r>
      <w:r w:rsidR="00425DDD">
        <w:t xml:space="preserve">  To establish the gang enhancements, the prosecution introduced the testimony of a gang expert.  The </w:t>
      </w:r>
      <w:r w:rsidR="008678B9">
        <w:t xml:space="preserve">gang </w:t>
      </w:r>
      <w:r w:rsidR="00425DDD">
        <w:t xml:space="preserve">expert </w:t>
      </w:r>
      <w:r w:rsidR="00121855">
        <w:t xml:space="preserve">testified </w:t>
      </w:r>
      <w:r w:rsidR="000F635B">
        <w:t xml:space="preserve">that the </w:t>
      </w:r>
      <w:r w:rsidRPr="00D3553F" w:rsidR="00D3553F">
        <w:t>primary activities of the gang includ</w:t>
      </w:r>
      <w:r w:rsidR="000F635B">
        <w:t>ed</w:t>
      </w:r>
      <w:r w:rsidRPr="00D3553F" w:rsidR="00D3553F">
        <w:t xml:space="preserve"> a variety of </w:t>
      </w:r>
      <w:r w:rsidR="000F635B">
        <w:t xml:space="preserve">criminal </w:t>
      </w:r>
      <w:r w:rsidRPr="00D3553F" w:rsidR="00D3553F">
        <w:t>offenses, including robbery and burglary</w:t>
      </w:r>
      <w:r w:rsidR="00C93E12">
        <w:t xml:space="preserve">.  </w:t>
      </w:r>
      <w:r w:rsidRPr="00D3553F" w:rsidR="00D3553F">
        <w:t>The expert described Sex Cash Money as a loosely controlled organization</w:t>
      </w:r>
      <w:r w:rsidR="00D3553F">
        <w:t>.  The gang</w:t>
      </w:r>
      <w:r w:rsidRPr="00D3553F" w:rsidR="00D3553F">
        <w:t xml:space="preserve"> did not have a leader and formal structure</w:t>
      </w:r>
      <w:r w:rsidR="00D3553F">
        <w:t>; instead</w:t>
      </w:r>
      <w:r w:rsidR="005441FF">
        <w:t>,</w:t>
      </w:r>
      <w:r w:rsidR="00D3553F">
        <w:t xml:space="preserve"> there were</w:t>
      </w:r>
      <w:r w:rsidRPr="00D3553F" w:rsidR="00D3553F">
        <w:t xml:space="preserve"> “big homies” </w:t>
      </w:r>
      <w:r w:rsidR="00D3553F">
        <w:t xml:space="preserve">in the gang </w:t>
      </w:r>
      <w:r w:rsidRPr="00D3553F" w:rsidR="00D3553F">
        <w:t xml:space="preserve">who were older and looked up to by other members.  The expert was not aware of any expectation for Sex Cash Money members to give proceeds from a robbery or burglary to the gang, unlike some gangs that had specific requirements to “pay upstairs” after such crimes.  </w:t>
      </w:r>
      <w:r w:rsidRPr="00D3553F" w:rsidR="00B27581">
        <w:t xml:space="preserve">Much of the expert’s testimony was devoted to establishing that </w:t>
      </w:r>
      <w:r w:rsidR="00B27581">
        <w:t xml:space="preserve">the individuals </w:t>
      </w:r>
      <w:r w:rsidRPr="00D3553F" w:rsidR="00B27581">
        <w:t xml:space="preserve">with Clark on the night of the charged burglary were </w:t>
      </w:r>
      <w:r w:rsidR="00B27581">
        <w:t xml:space="preserve">also </w:t>
      </w:r>
      <w:r w:rsidRPr="00D3553F" w:rsidR="00B27581">
        <w:t xml:space="preserve">gang members and that the charged burglary would benefit the gang.  </w:t>
      </w:r>
    </w:p>
    <w:p w:rsidR="00D3553F" w:rsidRPr="00F95F30" w:rsidP="00F95F30" w14:paraId="3C86BD87" w14:textId="77777777">
      <w:pPr>
        <w:widowControl w:val="0"/>
        <w:ind w:firstLine="720"/>
      </w:pPr>
      <w:r>
        <w:t>T</w:t>
      </w:r>
      <w:r w:rsidR="00CA1144">
        <w:t xml:space="preserve">o prove the requisite pattern of criminal </w:t>
      </w:r>
      <w:r w:rsidR="00DD2ADA">
        <w:t xml:space="preserve">gang activity by </w:t>
      </w:r>
      <w:r w:rsidR="00A86D36">
        <w:t>the gang</w:t>
      </w:r>
      <w:r w:rsidR="00DD2ADA">
        <w:t xml:space="preserve">, the prosecution </w:t>
      </w:r>
      <w:r w:rsidR="00BE1199">
        <w:t xml:space="preserve">introduced </w:t>
      </w:r>
      <w:r w:rsidR="00E53A32">
        <w:t>certified convictions showing that another gang member, Damon Ridgeway, had pleaded guilty to robbery in 2014</w:t>
      </w:r>
      <w:r w:rsidR="00C13692">
        <w:t xml:space="preserve"> and </w:t>
      </w:r>
      <w:r w:rsidR="002B36F1">
        <w:t xml:space="preserve">to </w:t>
      </w:r>
      <w:r w:rsidR="00C13692">
        <w:t>residential burglary in 2009</w:t>
      </w:r>
      <w:r w:rsidR="00E53A32">
        <w:t xml:space="preserve">, and that Clark had pleaded guilty to </w:t>
      </w:r>
      <w:r w:rsidR="002F08F8">
        <w:t>attempted burglary in 2014.</w:t>
      </w:r>
      <w:r w:rsidRPr="00D3553F">
        <w:t xml:space="preserve"> </w:t>
      </w:r>
      <w:r w:rsidR="0048072B">
        <w:t xml:space="preserve"> </w:t>
      </w:r>
      <w:r w:rsidRPr="00D3553F">
        <w:t>The expert testified that those offenses, and the conviction or pleas of Clark’s codefendants in the charged burglary, showed a pattern of criminal activity by Sex Cash Money.</w:t>
      </w:r>
      <w:r w:rsidR="00A43D72">
        <w:t xml:space="preserve">  </w:t>
      </w:r>
      <w:r w:rsidRPr="00D3553F">
        <w:t xml:space="preserve">The </w:t>
      </w:r>
      <w:r w:rsidR="00E37457">
        <w:t xml:space="preserve">testimony </w:t>
      </w:r>
      <w:r w:rsidRPr="00D3553F">
        <w:t>did not address whether the predicate offenses, as distinct from the charged burglary, benefited the gang</w:t>
      </w:r>
      <w:r>
        <w:t>,</w:t>
      </w:r>
      <w:r w:rsidRPr="00D3553F">
        <w:t xml:space="preserve"> or </w:t>
      </w:r>
      <w:r>
        <w:t xml:space="preserve">how they were otherwise related to </w:t>
      </w:r>
      <w:r w:rsidRPr="00D3553F">
        <w:t xml:space="preserve">the gang.  </w:t>
      </w:r>
    </w:p>
    <w:p w:rsidR="00345EEB" w:rsidRPr="00F95F30" w:rsidP="0098345E" w14:paraId="3C86BD88" w14:textId="77777777">
      <w:pPr>
        <w:widowControl w:val="0"/>
        <w:ind w:firstLine="720"/>
      </w:pPr>
      <w:r w:rsidRPr="00F95F30">
        <w:t xml:space="preserve">The jury </w:t>
      </w:r>
      <w:r w:rsidRPr="00F95F30" w:rsidR="0062060F">
        <w:t xml:space="preserve">convicted Clark </w:t>
      </w:r>
      <w:r w:rsidR="00373782">
        <w:t>of rape (Pen. Code, § 261, subd. (a)(2)), forced oral copulation (</w:t>
      </w:r>
      <w:r w:rsidRPr="002B36F1" w:rsidR="00373782">
        <w:rPr>
          <w:i/>
          <w:iCs/>
        </w:rPr>
        <w:t>id</w:t>
      </w:r>
      <w:r w:rsidR="00373782">
        <w:t>., § 287, subd. (c)(2)(A)), false imprisonment (</w:t>
      </w:r>
      <w:r w:rsidRPr="002B36F1" w:rsidR="00373782">
        <w:rPr>
          <w:i/>
          <w:iCs/>
        </w:rPr>
        <w:t>id</w:t>
      </w:r>
      <w:r w:rsidR="00373782">
        <w:t>., § 236), first degree burglary (</w:t>
      </w:r>
      <w:r w:rsidRPr="002B36F1" w:rsidR="00373782">
        <w:rPr>
          <w:i/>
          <w:iCs/>
        </w:rPr>
        <w:t>id</w:t>
      </w:r>
      <w:r w:rsidR="00373782">
        <w:t xml:space="preserve">., §§ 459, </w:t>
      </w:r>
      <w:r w:rsidR="00373782">
        <w:t>460, subd. (a)), and robbery in concert inside an inhabited dwelling (</w:t>
      </w:r>
      <w:r w:rsidRPr="002B36F1" w:rsidR="00373782">
        <w:rPr>
          <w:i/>
          <w:iCs/>
        </w:rPr>
        <w:t>id</w:t>
      </w:r>
      <w:r w:rsidR="00373782">
        <w:t>., §§ 211, 213, subd. (a)(1)(A))</w:t>
      </w:r>
      <w:r w:rsidR="002B36F1">
        <w:t>.</w:t>
      </w:r>
      <w:r w:rsidR="00526425">
        <w:t xml:space="preserve">  The jury found the gang enhancement allegations true as to the </w:t>
      </w:r>
      <w:r w:rsidRPr="00F95F30">
        <w:t xml:space="preserve">burglary, robbery, and false imprisonment </w:t>
      </w:r>
      <w:r w:rsidR="00526425">
        <w:t xml:space="preserve">counts.  </w:t>
      </w:r>
      <w:r w:rsidRPr="00F95F30">
        <w:t>(</w:t>
      </w:r>
      <w:r w:rsidRPr="00F95F30" w:rsidR="00630A10">
        <w:rPr>
          <w:i/>
          <w:iCs/>
        </w:rPr>
        <w:t>Clark</w:t>
      </w:r>
      <w:r w:rsidRPr="00F95F30" w:rsidR="00630A10">
        <w:t xml:space="preserve">, </w:t>
      </w:r>
      <w:r w:rsidRPr="00F95F30" w:rsidR="00630A10">
        <w:rPr>
          <w:i/>
          <w:iCs/>
        </w:rPr>
        <w:t>supra</w:t>
      </w:r>
      <w:r w:rsidRPr="00F95F30" w:rsidR="00630A10">
        <w:t>, 81 Cal.App.5th</w:t>
      </w:r>
      <w:r w:rsidRPr="00F95F30">
        <w:t xml:space="preserve"> at p</w:t>
      </w:r>
      <w:r w:rsidR="0098345E">
        <w:t>p</w:t>
      </w:r>
      <w:r w:rsidRPr="00F95F30">
        <w:t>. </w:t>
      </w:r>
      <w:r w:rsidR="0098345E">
        <w:t>135–</w:t>
      </w:r>
      <w:r w:rsidRPr="00F95F30">
        <w:t xml:space="preserve">136; </w:t>
      </w:r>
      <w:r w:rsidR="0054094D">
        <w:t xml:space="preserve">see </w:t>
      </w:r>
      <w:r w:rsidRPr="00F95F30">
        <w:t xml:space="preserve">§ 186.22, subd. (b)(1)(C).)  </w:t>
      </w:r>
      <w:r w:rsidRPr="00F95F30" w:rsidR="00C510FD">
        <w:t xml:space="preserve">Clark </w:t>
      </w:r>
      <w:r w:rsidRPr="00F95F30" w:rsidR="006A3EAB">
        <w:t xml:space="preserve">was sentenced to </w:t>
      </w:r>
      <w:r w:rsidRPr="00F95F30" w:rsidR="00C510FD">
        <w:t>20 years plus an indeterminate term of 90</w:t>
      </w:r>
      <w:r w:rsidRPr="00F95F30" w:rsidR="00166233">
        <w:t xml:space="preserve"> </w:t>
      </w:r>
      <w:r w:rsidRPr="00F95F30" w:rsidR="00C510FD">
        <w:t>years</w:t>
      </w:r>
      <w:r w:rsidRPr="00F95F30" w:rsidR="00166233">
        <w:t xml:space="preserve"> </w:t>
      </w:r>
      <w:r w:rsidRPr="00F95F30" w:rsidR="00C510FD">
        <w:t>to</w:t>
      </w:r>
      <w:r w:rsidRPr="00F95F30" w:rsidR="00166233">
        <w:t xml:space="preserve"> </w:t>
      </w:r>
      <w:r w:rsidRPr="00F95F30" w:rsidR="00C510FD">
        <w:t>life</w:t>
      </w:r>
      <w:r w:rsidRPr="00F95F30" w:rsidR="003A51A3">
        <w:t xml:space="preserve">, including a </w:t>
      </w:r>
      <w:r w:rsidRPr="00F95F30" w:rsidR="00C510FD">
        <w:t>10</w:t>
      </w:r>
      <w:r w:rsidRPr="00F95F30" w:rsidR="003A7EBF">
        <w:t>-</w:t>
      </w:r>
      <w:r w:rsidRPr="00F95F30" w:rsidR="00C510FD">
        <w:t>year term for the gang enhancement.</w:t>
      </w:r>
      <w:r w:rsidRPr="00F95F30" w:rsidR="000B7186">
        <w:t xml:space="preserve"> </w:t>
      </w:r>
    </w:p>
    <w:p w:rsidR="00E37457" w:rsidP="00F95F30" w14:paraId="3C86BD89" w14:textId="77777777">
      <w:pPr>
        <w:widowControl w:val="0"/>
        <w:tabs>
          <w:tab w:val="left" w:pos="1440"/>
        </w:tabs>
        <w:ind w:firstLine="720"/>
      </w:pPr>
      <w:r w:rsidRPr="00F95F30">
        <w:t>Clark appealed</w:t>
      </w:r>
      <w:r w:rsidRPr="00F95F30" w:rsidR="00DF631B">
        <w:t xml:space="preserve"> his convictions and sentence</w:t>
      </w:r>
      <w:r w:rsidRPr="00F95F30">
        <w:t xml:space="preserve">.  While his appeal was pending, </w:t>
      </w:r>
      <w:r w:rsidRPr="00F95F30" w:rsidR="00EE3143">
        <w:t>the A</w:t>
      </w:r>
      <w:r w:rsidRPr="00F95F30" w:rsidR="008B51CA">
        <w:t>ssembly Bill</w:t>
      </w:r>
      <w:r w:rsidRPr="00F95F30" w:rsidR="00EE3143">
        <w:t xml:space="preserve"> 333 amendments</w:t>
      </w:r>
      <w:r w:rsidRPr="00F95F30" w:rsidR="00394196">
        <w:t xml:space="preserve"> </w:t>
      </w:r>
      <w:r w:rsidRPr="00F95F30" w:rsidR="00EE3143">
        <w:t xml:space="preserve">to section 186.22 </w:t>
      </w:r>
      <w:r w:rsidRPr="00F95F30" w:rsidR="00394196">
        <w:t>took effect</w:t>
      </w:r>
      <w:r w:rsidRPr="00F95F30" w:rsidR="00002414">
        <w:t xml:space="preserve">.  </w:t>
      </w:r>
      <w:r w:rsidRPr="00F95F30" w:rsidR="005D58A3">
        <w:t xml:space="preserve">Clark argued, and the People did not dispute, that the amendments applied retroactively to cases on direct review.  </w:t>
      </w:r>
      <w:r w:rsidRPr="00F95F30" w:rsidR="00AC539C">
        <w:t>(</w:t>
      </w:r>
      <w:r w:rsidRPr="00F95F30" w:rsidR="00AC539C">
        <w:rPr>
          <w:i/>
          <w:iCs/>
        </w:rPr>
        <w:t>Clark</w:t>
      </w:r>
      <w:r w:rsidRPr="00F95F30" w:rsidR="00AC539C">
        <w:t xml:space="preserve">, </w:t>
      </w:r>
      <w:r w:rsidRPr="00F95F30" w:rsidR="00AC539C">
        <w:rPr>
          <w:i/>
          <w:iCs/>
        </w:rPr>
        <w:t>supra</w:t>
      </w:r>
      <w:r w:rsidRPr="00F95F30" w:rsidR="00AC539C">
        <w:t xml:space="preserve">, </w:t>
      </w:r>
      <w:r w:rsidRPr="00F95F30" w:rsidR="00B4740D">
        <w:t xml:space="preserve">81 Cal.App.5th </w:t>
      </w:r>
      <w:r w:rsidRPr="00F95F30" w:rsidR="006F5EBD">
        <w:t>at p.</w:t>
      </w:r>
      <w:r w:rsidRPr="00F95F30" w:rsidR="00465613">
        <w:t> </w:t>
      </w:r>
      <w:r w:rsidRPr="00F95F30" w:rsidR="006F5EBD">
        <w:t>144, fn.</w:t>
      </w:r>
      <w:r w:rsidRPr="00F95F30" w:rsidR="00465613">
        <w:t> </w:t>
      </w:r>
      <w:r w:rsidRPr="00F95F30" w:rsidR="006F5EBD">
        <w:t>11.)</w:t>
      </w:r>
      <w:r w:rsidRPr="00F95F30" w:rsidR="00CE02C3">
        <w:t xml:space="preserve"> </w:t>
      </w:r>
      <w:r w:rsidRPr="00F95F30" w:rsidR="00345EEB">
        <w:t xml:space="preserve"> </w:t>
      </w:r>
      <w:r w:rsidRPr="00F95F30" w:rsidR="00B53781">
        <w:t xml:space="preserve">Invoking the </w:t>
      </w:r>
      <w:r w:rsidR="00BB5B13">
        <w:t xml:space="preserve">collective engagement provision of the </w:t>
      </w:r>
      <w:r w:rsidRPr="00F95F30" w:rsidR="00B53781">
        <w:t xml:space="preserve">new law, </w:t>
      </w:r>
      <w:r w:rsidRPr="00F95F30" w:rsidR="006E0DA6">
        <w:t>Clark</w:t>
      </w:r>
      <w:r w:rsidRPr="00F95F30" w:rsidR="00A47D02">
        <w:t xml:space="preserve"> </w:t>
      </w:r>
      <w:r w:rsidRPr="00F95F30" w:rsidR="00070854">
        <w:t>asserted</w:t>
      </w:r>
      <w:r w:rsidRPr="00F95F30" w:rsidR="00A47D02">
        <w:t xml:space="preserve"> </w:t>
      </w:r>
      <w:r w:rsidRPr="00F95F30" w:rsidR="006E0DA6">
        <w:t xml:space="preserve">that </w:t>
      </w:r>
      <w:r w:rsidRPr="00F95F30" w:rsidR="001E3728">
        <w:t xml:space="preserve">the </w:t>
      </w:r>
      <w:r w:rsidRPr="00F95F30" w:rsidR="00BF0F5A">
        <w:t>evidence</w:t>
      </w:r>
      <w:r w:rsidRPr="00F95F30" w:rsidR="00B92FA2">
        <w:t xml:space="preserve"> of predicate offenses</w:t>
      </w:r>
      <w:r w:rsidRPr="00F95F30" w:rsidR="00BF0F5A">
        <w:t xml:space="preserve"> </w:t>
      </w:r>
      <w:r w:rsidRPr="00F95F30" w:rsidR="001E3728">
        <w:t xml:space="preserve">at trial was insufficient </w:t>
      </w:r>
      <w:r w:rsidRPr="00F95F30" w:rsidR="00BF0F5A">
        <w:t>to support the</w:t>
      </w:r>
      <w:r w:rsidRPr="00F95F30" w:rsidR="0072364B">
        <w:t xml:space="preserve"> </w:t>
      </w:r>
      <w:r w:rsidRPr="00F95F30" w:rsidR="00BF0F5A">
        <w:t>gang enhancement</w:t>
      </w:r>
      <w:r>
        <w:t>s</w:t>
      </w:r>
      <w:r w:rsidRPr="00F95F30" w:rsidR="00BF0F5A">
        <w:t xml:space="preserve"> because the </w:t>
      </w:r>
      <w:r w:rsidRPr="00F95F30" w:rsidR="005F16CC">
        <w:t>evidence showed only the commission of offenses by individual gang members</w:t>
      </w:r>
      <w:r>
        <w:t>.</w:t>
      </w:r>
      <w:r w:rsidRPr="00F95F30" w:rsidR="00070854">
        <w:t xml:space="preserve"> </w:t>
      </w:r>
      <w:r w:rsidR="000624B2">
        <w:t xml:space="preserve"> </w:t>
      </w:r>
      <w:r w:rsidRPr="00F95F30" w:rsidR="00070854">
        <w:t>Clark argued that</w:t>
      </w:r>
      <w:r w:rsidRPr="00F95F30" w:rsidR="005F16CC">
        <w:t xml:space="preserve"> the </w:t>
      </w:r>
      <w:r w:rsidRPr="00F95F30" w:rsidR="00BF0F5A">
        <w:t>statute</w:t>
      </w:r>
      <w:r w:rsidRPr="00F95F30" w:rsidR="00EC7E54">
        <w:t xml:space="preserve">, as </w:t>
      </w:r>
      <w:r w:rsidRPr="00F95F30" w:rsidR="002C7044">
        <w:t>amended</w:t>
      </w:r>
      <w:r w:rsidRPr="00F95F30" w:rsidR="0006609B">
        <w:t xml:space="preserve"> by A</w:t>
      </w:r>
      <w:r w:rsidRPr="00F95F30" w:rsidR="008B51CA">
        <w:t>ssembly Bill</w:t>
      </w:r>
      <w:r w:rsidRPr="00F95F30" w:rsidR="0006609B">
        <w:t xml:space="preserve"> 333</w:t>
      </w:r>
      <w:r w:rsidRPr="00F95F30" w:rsidR="00EC7E54">
        <w:t>,</w:t>
      </w:r>
      <w:r w:rsidRPr="00F95F30" w:rsidR="00BF0F5A">
        <w:t xml:space="preserve"> </w:t>
      </w:r>
      <w:r w:rsidRPr="00F95F30" w:rsidR="006E0DA6">
        <w:t xml:space="preserve">required </w:t>
      </w:r>
      <w:r w:rsidRPr="00F95F30" w:rsidR="006D7FE4">
        <w:t>two or more gang members</w:t>
      </w:r>
      <w:r w:rsidRPr="00F95F30" w:rsidR="000B0F7E">
        <w:t>, acting in concert,</w:t>
      </w:r>
      <w:r w:rsidRPr="00F95F30" w:rsidR="006D7FE4">
        <w:t xml:space="preserve"> to commit </w:t>
      </w:r>
      <w:r w:rsidRPr="00F95F30" w:rsidR="00E26508">
        <w:t xml:space="preserve">each of the </w:t>
      </w:r>
      <w:r w:rsidRPr="00F95F30" w:rsidR="00B92FA2">
        <w:t xml:space="preserve">two </w:t>
      </w:r>
      <w:r>
        <w:t xml:space="preserve">required </w:t>
      </w:r>
      <w:r w:rsidRPr="00F95F30" w:rsidR="006E0DA6">
        <w:t>predicate offenses.</w:t>
      </w:r>
      <w:r w:rsidRPr="00F95F30" w:rsidR="00345EEB">
        <w:t xml:space="preserve">  (</w:t>
      </w:r>
      <w:r w:rsidRPr="00F95F30" w:rsidR="006E0DA6">
        <w:rPr>
          <w:i/>
          <w:iCs/>
        </w:rPr>
        <w:t>Clark</w:t>
      </w:r>
      <w:r w:rsidRPr="00F95F30" w:rsidR="006E0DA6">
        <w:t xml:space="preserve">, </w:t>
      </w:r>
      <w:r w:rsidRPr="00F95F30" w:rsidR="00345EEB">
        <w:t>at pp. </w:t>
      </w:r>
      <w:r w:rsidRPr="00F95F30" w:rsidR="006E0DA6">
        <w:t>143</w:t>
      </w:r>
      <w:r w:rsidRPr="00F95F30" w:rsidR="00345EEB">
        <w:t>–</w:t>
      </w:r>
      <w:r w:rsidRPr="00F95F30" w:rsidR="006E0DA6">
        <w:t>144</w:t>
      </w:r>
      <w:r w:rsidRPr="00F95F30" w:rsidR="00345EEB">
        <w:t xml:space="preserve">.)  </w:t>
      </w:r>
    </w:p>
    <w:p w:rsidR="00E26508" w:rsidRPr="00F95F30" w:rsidP="00F95F30" w14:paraId="3C86BD8A" w14:textId="77777777">
      <w:pPr>
        <w:widowControl w:val="0"/>
        <w:tabs>
          <w:tab w:val="left" w:pos="1440"/>
        </w:tabs>
        <w:ind w:firstLine="720"/>
      </w:pPr>
      <w:r w:rsidRPr="00F95F30">
        <w:t xml:space="preserve">The </w:t>
      </w:r>
      <w:r w:rsidR="00E37457">
        <w:t xml:space="preserve">Court of Appeal </w:t>
      </w:r>
      <w:r w:rsidRPr="00F95F30">
        <w:t>rejected th</w:t>
      </w:r>
      <w:r w:rsidRPr="00F95F30" w:rsidR="0097122A">
        <w:t>is</w:t>
      </w:r>
      <w:r w:rsidRPr="00F95F30">
        <w:t xml:space="preserve"> argument as inconsistent with the </w:t>
      </w:r>
      <w:r w:rsidRPr="00F95F30" w:rsidR="009340E2">
        <w:t xml:space="preserve">definition of </w:t>
      </w:r>
      <w:r w:rsidRPr="00F95F30" w:rsidR="00BD726F">
        <w:t xml:space="preserve">a </w:t>
      </w:r>
      <w:r w:rsidRPr="00F95F30" w:rsidR="009340E2">
        <w:t>“</w:t>
      </w:r>
      <w:r w:rsidRPr="00F95F30" w:rsidR="008B51CA">
        <w:t> ‘</w:t>
      </w:r>
      <w:r w:rsidRPr="00F95F30" w:rsidR="009340E2">
        <w:t>pattern of criminal gang activity</w:t>
      </w:r>
      <w:r w:rsidRPr="00F95F30" w:rsidR="008B51CA">
        <w:t>’ </w:t>
      </w:r>
      <w:r w:rsidRPr="00F95F30" w:rsidR="009340E2">
        <w:t>” in section 186.22(e)</w:t>
      </w:r>
      <w:r w:rsidRPr="00F95F30" w:rsidR="005D3A7B">
        <w:t>(1)</w:t>
      </w:r>
      <w:r w:rsidRPr="00F95F30" w:rsidR="002C324D">
        <w:t xml:space="preserve">, which </w:t>
      </w:r>
      <w:r w:rsidRPr="00F95F30" w:rsidR="009340E2">
        <w:t>requires that the two predicate offenses “</w:t>
      </w:r>
      <w:r w:rsidRPr="00F95F30" w:rsidR="00345EEB">
        <w:t>were committed on separate occasions or by two or more members</w:t>
      </w:r>
      <w:r w:rsidRPr="00F95F30" w:rsidR="009340E2">
        <w:t xml:space="preserve">.” </w:t>
      </w:r>
      <w:r w:rsidR="00E37457">
        <w:t xml:space="preserve"> The court reasoned that, under the plain language of the statute, </w:t>
      </w:r>
      <w:r w:rsidRPr="00F95F30" w:rsidR="00345EEB">
        <w:t xml:space="preserve">“there are two options for establishing the requisite pattern [of predicate offenses]: </w:t>
      </w:r>
      <w:r w:rsidRPr="00F95F30" w:rsidR="00304C57">
        <w:t xml:space="preserve"> </w:t>
      </w:r>
      <w:r w:rsidRPr="00F95F30" w:rsidR="00345EEB">
        <w:t>(1)</w:t>
      </w:r>
      <w:r w:rsidRPr="00F95F30" w:rsidR="0062103A">
        <w:t> </w:t>
      </w:r>
      <w:r w:rsidRPr="00F95F30" w:rsidR="00345EEB">
        <w:t>prove two different gang members separately committed crimes on two occasions; or (2)</w:t>
      </w:r>
      <w:r w:rsidRPr="00F95F30" w:rsidR="00B4740D">
        <w:t> </w:t>
      </w:r>
      <w:r w:rsidRPr="00F95F30" w:rsidR="00345EEB">
        <w:t>prove two different gang members committed a crime together on a single occasion.”  (</w:t>
      </w:r>
      <w:r w:rsidRPr="00F95F30" w:rsidR="00AB3A44">
        <w:rPr>
          <w:i/>
          <w:iCs/>
        </w:rPr>
        <w:t>Clark</w:t>
      </w:r>
      <w:r w:rsidRPr="00F95F30" w:rsidR="00AB3A44">
        <w:t>,</w:t>
      </w:r>
      <w:r w:rsidRPr="00F95F30" w:rsidR="00345EEB">
        <w:t xml:space="preserve"> </w:t>
      </w:r>
      <w:r w:rsidRPr="00F95F30" w:rsidR="009357F1">
        <w:rPr>
          <w:i/>
          <w:iCs/>
        </w:rPr>
        <w:t>supra</w:t>
      </w:r>
      <w:r w:rsidRPr="00F95F30" w:rsidR="009357F1">
        <w:t xml:space="preserve">, 81 Cal.App.5th </w:t>
      </w:r>
      <w:r w:rsidRPr="00F95F30" w:rsidR="00345EEB">
        <w:t>at p. 144.)</w:t>
      </w:r>
      <w:r w:rsidRPr="00F95F30" w:rsidR="00F30C88">
        <w:t xml:space="preserve">  </w:t>
      </w:r>
      <w:r w:rsidR="00163481">
        <w:t>Here,</w:t>
      </w:r>
      <w:r w:rsidR="00FB1818">
        <w:t xml:space="preserve"> the evidence was sufficient </w:t>
      </w:r>
      <w:r w:rsidR="00FB1818">
        <w:t xml:space="preserve">because it showed that </w:t>
      </w:r>
      <w:r w:rsidRPr="00F95F30" w:rsidR="00024D16">
        <w:t xml:space="preserve">“two </w:t>
      </w:r>
      <w:r w:rsidRPr="00F95F30" w:rsidR="00024D16">
        <w:rPr>
          <w:i/>
          <w:iCs/>
        </w:rPr>
        <w:t>different</w:t>
      </w:r>
      <w:r w:rsidRPr="00F95F30" w:rsidR="00024D16">
        <w:t xml:space="preserve"> gang members separately committed crimes on two occasions.”  (</w:t>
      </w:r>
      <w:r w:rsidRPr="008E423A" w:rsidR="009357F1">
        <w:rPr>
          <w:i/>
          <w:iCs/>
        </w:rPr>
        <w:t>Ibid</w:t>
      </w:r>
      <w:r w:rsidR="009357F1">
        <w:t>.</w:t>
      </w:r>
      <w:r w:rsidRPr="00F95F30" w:rsidR="008B51CA">
        <w:t xml:space="preserve">, </w:t>
      </w:r>
      <w:r w:rsidRPr="00F95F30" w:rsidR="00024D16">
        <w:t xml:space="preserve">italics added.)  </w:t>
      </w:r>
    </w:p>
    <w:p w:rsidR="00973A01" w:rsidP="00F95F30" w14:paraId="3C86BD8B" w14:textId="77777777">
      <w:pPr>
        <w:widowControl w:val="0"/>
        <w:tabs>
          <w:tab w:val="left" w:pos="1440"/>
        </w:tabs>
        <w:ind w:firstLine="720"/>
      </w:pPr>
      <w:r>
        <w:t>T</w:t>
      </w:r>
      <w:r w:rsidRPr="00F95F30" w:rsidR="009340E2">
        <w:t xml:space="preserve">he Court of Appeal </w:t>
      </w:r>
      <w:r w:rsidR="00716F6B">
        <w:t xml:space="preserve">expressly </w:t>
      </w:r>
      <w:r w:rsidRPr="00F95F30" w:rsidR="009340E2">
        <w:t xml:space="preserve">disagreed with </w:t>
      </w:r>
      <w:r w:rsidRPr="00F95F30" w:rsidR="00900BE1">
        <w:rPr>
          <w:i/>
          <w:iCs/>
        </w:rPr>
        <w:t>People v. Delgado</w:t>
      </w:r>
      <w:r w:rsidRPr="00F95F30" w:rsidR="00900BE1">
        <w:t xml:space="preserve"> (2022) 74 Cal.App.5th 1067</w:t>
      </w:r>
      <w:r w:rsidRPr="00F95F30" w:rsidR="004A39E9">
        <w:t xml:space="preserve">, which held that </w:t>
      </w:r>
      <w:r w:rsidRPr="00F95F30" w:rsidR="00B4740D">
        <w:t xml:space="preserve">collective engagement under </w:t>
      </w:r>
      <w:r w:rsidRPr="00F95F30" w:rsidR="00D90CF2">
        <w:t>section 186.22(e)</w:t>
      </w:r>
      <w:r w:rsidRPr="00F95F30" w:rsidR="00070854">
        <w:t>(1)</w:t>
      </w:r>
      <w:r w:rsidRPr="00F95F30" w:rsidR="00D90CF2">
        <w:t xml:space="preserve"> require</w:t>
      </w:r>
      <w:r w:rsidRPr="00F95F30" w:rsidR="00B4740D">
        <w:t>s</w:t>
      </w:r>
      <w:r w:rsidRPr="00F95F30" w:rsidR="00D90CF2">
        <w:t xml:space="preserve"> proof that each of the predicate offenses w</w:t>
      </w:r>
      <w:r w:rsidRPr="00F95F30" w:rsidR="00B4740D">
        <w:t>as</w:t>
      </w:r>
      <w:r w:rsidRPr="00F95F30" w:rsidR="00D90CF2">
        <w:t xml:space="preserve"> committed by at least two gang members acting in concert</w:t>
      </w:r>
      <w:r w:rsidRPr="00F95F30" w:rsidR="005576D0">
        <w:t xml:space="preserve">, </w:t>
      </w:r>
      <w:r w:rsidR="0098345E">
        <w:t>and with</w:t>
      </w:r>
      <w:r w:rsidR="003778E3">
        <w:t xml:space="preserve"> </w:t>
      </w:r>
      <w:r w:rsidRPr="00900D30" w:rsidR="003778E3">
        <w:rPr>
          <w:i/>
          <w:iCs/>
        </w:rPr>
        <w:t>People v.</w:t>
      </w:r>
      <w:r w:rsidRPr="00900D30" w:rsidR="003778E3">
        <w:t xml:space="preserve"> </w:t>
      </w:r>
      <w:r w:rsidRPr="00F95F30" w:rsidR="003778E3">
        <w:rPr>
          <w:i/>
          <w:iCs/>
        </w:rPr>
        <w:t>Lopez</w:t>
      </w:r>
      <w:r w:rsidR="003778E3">
        <w:t xml:space="preserve"> (2021)</w:t>
      </w:r>
      <w:r w:rsidR="00EC1C25">
        <w:t xml:space="preserve"> </w:t>
      </w:r>
      <w:r w:rsidR="003778E3">
        <w:t xml:space="preserve">73 Cal.App.5th 327, </w:t>
      </w:r>
      <w:r w:rsidRPr="00F95F30" w:rsidR="003778E3">
        <w:t>345</w:t>
      </w:r>
      <w:r w:rsidRPr="00F95F30" w:rsidR="009340E2">
        <w:t xml:space="preserve">, which had </w:t>
      </w:r>
      <w:r w:rsidRPr="00F95F30" w:rsidR="005576D0">
        <w:t xml:space="preserve">reversed </w:t>
      </w:r>
      <w:r w:rsidRPr="00F95F30" w:rsidR="00FB5966">
        <w:t>gang enhancements where “[n]o evidence was introduced at trial to establish that the crimes committed by [individual gang members] constitute collective criminal activity.”</w:t>
      </w:r>
    </w:p>
    <w:p w:rsidR="002A3157" w:rsidRPr="00F95F30" w:rsidP="00F95F30" w14:paraId="3C86BD8C" w14:textId="77777777">
      <w:pPr>
        <w:widowControl w:val="0"/>
        <w:tabs>
          <w:tab w:val="left" w:pos="1440"/>
        </w:tabs>
        <w:ind w:firstLine="720"/>
      </w:pPr>
      <w:r>
        <w:t>We granted review</w:t>
      </w:r>
      <w:r w:rsidR="003A19A6">
        <w:t xml:space="preserve"> to address the issue</w:t>
      </w:r>
      <w:r>
        <w:t>.</w:t>
      </w:r>
    </w:p>
    <w:p w:rsidR="00BF0F5A" w:rsidRPr="00F95F30" w:rsidP="00F95F30" w14:paraId="3C86BD8D" w14:textId="77777777">
      <w:pPr>
        <w:pStyle w:val="Heading1"/>
      </w:pPr>
      <w:r w:rsidRPr="00F95F30">
        <w:t>II.</w:t>
      </w:r>
    </w:p>
    <w:p w:rsidR="009973E3" w:rsidRPr="00F95F30" w:rsidP="00DB41D0" w14:paraId="3C86BD8E" w14:textId="77777777">
      <w:pPr>
        <w:pStyle w:val="Heading2"/>
      </w:pPr>
      <w:r w:rsidRPr="00F95F30">
        <w:t>A.</w:t>
      </w:r>
    </w:p>
    <w:p w:rsidR="007E5760" w:rsidRPr="00F95F30" w:rsidP="00F95F30" w14:paraId="3C86BD8F" w14:textId="77777777">
      <w:pPr>
        <w:widowControl w:val="0"/>
        <w:tabs>
          <w:tab w:val="left" w:pos="1440"/>
        </w:tabs>
        <w:ind w:firstLine="720"/>
      </w:pPr>
      <w:r w:rsidRPr="00F95F30">
        <w:t xml:space="preserve">The Legislature first enacted section 186.22 in 1988 as part of the </w:t>
      </w:r>
      <w:r w:rsidR="00C966DE">
        <w:t>C</w:t>
      </w:r>
      <w:r w:rsidRPr="00FF2F45" w:rsidR="00C966DE">
        <w:t>alifornia</w:t>
      </w:r>
      <w:r w:rsidRPr="00C37695" w:rsidR="00C966DE">
        <w:t xml:space="preserve"> </w:t>
      </w:r>
      <w:r w:rsidRPr="00F95F30">
        <w:t>Street Terrorism Enforcement and Prevention Act</w:t>
      </w:r>
      <w:r w:rsidRPr="00C37695" w:rsidR="00C61A3F">
        <w:t xml:space="preserve"> (Pen. Code, §</w:t>
      </w:r>
      <w:r w:rsidR="009D48B4">
        <w:t> </w:t>
      </w:r>
      <w:r w:rsidRPr="00C37695" w:rsidR="00C61A3F">
        <w:t>186.20 et se</w:t>
      </w:r>
      <w:r w:rsidRPr="00052CAE" w:rsidR="00C61A3F">
        <w:t>q.)</w:t>
      </w:r>
      <w:r w:rsidRPr="00F95F30">
        <w:t>, also known as the STEP Act.  (</w:t>
      </w:r>
      <w:r w:rsidRPr="00F95F30" w:rsidR="00CA0AFB">
        <w:t xml:space="preserve">See </w:t>
      </w:r>
      <w:r w:rsidRPr="00F95F30" w:rsidR="006E1BFE">
        <w:t>Stats</w:t>
      </w:r>
      <w:r w:rsidRPr="00F95F30" w:rsidR="00C034F0">
        <w:t>.</w:t>
      </w:r>
      <w:r w:rsidRPr="00F95F30" w:rsidR="006E1BFE">
        <w:t xml:space="preserve"> 1988</w:t>
      </w:r>
      <w:r w:rsidRPr="00F95F30" w:rsidR="00C034F0">
        <w:t>,</w:t>
      </w:r>
      <w:r w:rsidRPr="00F95F30" w:rsidR="006E1BFE">
        <w:t xml:space="preserve"> ch</w:t>
      </w:r>
      <w:r w:rsidRPr="00F95F30" w:rsidR="005A0FBD">
        <w:t>.</w:t>
      </w:r>
      <w:r w:rsidRPr="00F95F30" w:rsidR="006E1BFE">
        <w:t xml:space="preserve"> 1242</w:t>
      </w:r>
      <w:r w:rsidRPr="00F95F30" w:rsidR="00C034F0">
        <w:t>,</w:t>
      </w:r>
      <w:r w:rsidRPr="00F95F30" w:rsidR="006E1BFE">
        <w:t xml:space="preserve"> §</w:t>
      </w:r>
      <w:r w:rsidRPr="00F95F30" w:rsidR="00C034F0">
        <w:t> </w:t>
      </w:r>
      <w:r w:rsidRPr="00F95F30" w:rsidR="006E1BFE">
        <w:t>1</w:t>
      </w:r>
      <w:r w:rsidRPr="00F95F30" w:rsidR="008B51CA">
        <w:t>, pp. 4127–4130</w:t>
      </w:r>
      <w:r w:rsidRPr="00F95F30" w:rsidR="006E1BFE">
        <w:t xml:space="preserve">.)  </w:t>
      </w:r>
      <w:r w:rsidRPr="00F95F30" w:rsidR="008C5B1C">
        <w:t xml:space="preserve">Subdivision (b) of section 186.22 prescribes </w:t>
      </w:r>
      <w:r w:rsidRPr="00F95F30" w:rsidR="006E1BFE">
        <w:t xml:space="preserve">“sentence enhancements or alternate penalties of varying length for ‘any person who is convicted of a felony committed for the benefit of, at the direction of, or in association with any criminal street gang, with the specific intent to promote, further, or assist in any criminal conduct by gang members.’  (§ 186.22(b)(1); see </w:t>
      </w:r>
      <w:r w:rsidRPr="00F95F30" w:rsidR="006E1BFE">
        <w:rPr>
          <w:i/>
          <w:iCs/>
        </w:rPr>
        <w:t>id</w:t>
      </w:r>
      <w:r w:rsidRPr="00F95F30" w:rsidR="006E1BFE">
        <w:t>., subd. (b)(4).)”  (</w:t>
      </w:r>
      <w:r w:rsidRPr="00F95F30" w:rsidR="006E1BFE">
        <w:rPr>
          <w:i/>
          <w:iCs/>
        </w:rPr>
        <w:t>People v. Renteria</w:t>
      </w:r>
      <w:r w:rsidRPr="00F95F30" w:rsidR="006E1BFE">
        <w:t xml:space="preserve"> (2022) 13 Cal.5th 951, 962.)</w:t>
      </w:r>
      <w:r w:rsidRPr="00F95F30" w:rsidR="000A70CE">
        <w:t xml:space="preserve">  </w:t>
      </w:r>
      <w:r w:rsidRPr="00F95F30" w:rsidR="0011528C">
        <w:t xml:space="preserve">The </w:t>
      </w:r>
      <w:r w:rsidRPr="00F95F30" w:rsidR="00232AB5">
        <w:t xml:space="preserve">STEP </w:t>
      </w:r>
      <w:r w:rsidRPr="00F95F30" w:rsidR="0011528C">
        <w:t xml:space="preserve">Act also </w:t>
      </w:r>
      <w:r w:rsidRPr="00F95F30" w:rsidR="00A13146">
        <w:t xml:space="preserve">defines </w:t>
      </w:r>
      <w:r w:rsidRPr="00F95F30" w:rsidR="0011528C">
        <w:t xml:space="preserve">a substantive offense </w:t>
      </w:r>
      <w:r w:rsidRPr="00F95F30" w:rsidR="00A13146">
        <w:t xml:space="preserve">punishing </w:t>
      </w:r>
      <w:r w:rsidRPr="00F95F30" w:rsidR="0011528C">
        <w:t>active participation in a criminal street gang</w:t>
      </w:r>
      <w:r w:rsidRPr="00F95F30" w:rsidR="00232AB5">
        <w:t>.  (§ 186.22, subd. (a).)</w:t>
      </w:r>
      <w:r w:rsidRPr="00F95F30" w:rsidR="00051EB6">
        <w:t xml:space="preserve">  </w:t>
      </w:r>
    </w:p>
    <w:p w:rsidR="00051EB6" w:rsidRPr="00F95F30" w:rsidP="00F95F30" w14:paraId="3C86BD90" w14:textId="77777777">
      <w:pPr>
        <w:widowControl w:val="0"/>
        <w:tabs>
          <w:tab w:val="left" w:pos="1440"/>
        </w:tabs>
        <w:ind w:firstLine="720"/>
      </w:pPr>
      <w:r w:rsidRPr="00F95F30">
        <w:t>As originally enacted, t</w:t>
      </w:r>
      <w:r w:rsidRPr="00F95F30" w:rsidR="000A70CE">
        <w:t>he statute</w:t>
      </w:r>
      <w:r w:rsidRPr="00F95F30" w:rsidR="00493D33">
        <w:t xml:space="preserve"> defined</w:t>
      </w:r>
      <w:r w:rsidRPr="00F95F30" w:rsidR="000A70CE">
        <w:t xml:space="preserve"> a “</w:t>
      </w:r>
      <w:r w:rsidRPr="00F95F30" w:rsidR="00493D33">
        <w:t> ‘</w:t>
      </w:r>
      <w:r w:rsidRPr="00F95F30" w:rsidR="000A70CE">
        <w:t>criminal street gang</w:t>
      </w:r>
      <w:r w:rsidRPr="00F95F30" w:rsidR="00493D33">
        <w:t>’ </w:t>
      </w:r>
      <w:r w:rsidRPr="00F95F30" w:rsidR="000A70CE">
        <w:t xml:space="preserve">” as </w:t>
      </w:r>
      <w:r w:rsidRPr="00F95F30" w:rsidR="00493D33">
        <w:t>“</w:t>
      </w:r>
      <w:r w:rsidRPr="00F95F30" w:rsidR="000A70CE">
        <w:t xml:space="preserve">any ongoing association of three or more </w:t>
      </w:r>
      <w:r w:rsidRPr="00F95F30" w:rsidR="000A70CE">
        <w:t xml:space="preserve">persons that shares a common name or common identifying sign or symbol; has as one of its </w:t>
      </w:r>
      <w:r w:rsidRPr="00F95F30" w:rsidR="00493D33">
        <w:t>‘</w:t>
      </w:r>
      <w:r w:rsidRPr="00F95F30" w:rsidR="000A70CE">
        <w:t>primary activities</w:t>
      </w:r>
      <w:r w:rsidRPr="00F95F30" w:rsidR="00493D33">
        <w:t>’</w:t>
      </w:r>
      <w:r w:rsidRPr="00F95F30" w:rsidR="000A70CE">
        <w:t xml:space="preserve"> the commission of specified criminal offenses; and engages through its members in a </w:t>
      </w:r>
      <w:r w:rsidRPr="00F95F30" w:rsidR="00493D33">
        <w:t>‘</w:t>
      </w:r>
      <w:r w:rsidRPr="00F95F30" w:rsidR="000A70CE">
        <w:t>pattern of criminal gang activity.</w:t>
      </w:r>
      <w:r w:rsidRPr="00F95F30" w:rsidR="00493D33">
        <w:t>’  [Citation.]  Under the [STEP Act], ‘pattern of criminal gang activity’ means that gang members have, within a certain time frame, committed or attempted to commit ‘two or more’ of specified criminal offenses (so-called ‘predicate offenses’)</w:t>
      </w:r>
      <w:r w:rsidRPr="00F95F30" w:rsidR="008A6DE5">
        <w:t>.</w:t>
      </w:r>
      <w:r w:rsidRPr="00F95F30" w:rsidR="00493D33">
        <w:t>”</w:t>
      </w:r>
      <w:r w:rsidRPr="00F95F30" w:rsidR="000A70CE">
        <w:t xml:space="preserve"> </w:t>
      </w:r>
      <w:r w:rsidRPr="00F95F30" w:rsidR="00493D33">
        <w:t xml:space="preserve"> </w:t>
      </w:r>
      <w:r w:rsidRPr="00F95F30" w:rsidR="000A70CE">
        <w:t>(</w:t>
      </w:r>
      <w:r w:rsidRPr="00F95F30" w:rsidR="000A70CE">
        <w:rPr>
          <w:i/>
          <w:iCs/>
        </w:rPr>
        <w:t>People v. Gardeley</w:t>
      </w:r>
      <w:r w:rsidRPr="00F95F30" w:rsidR="000A70CE">
        <w:t xml:space="preserve"> (1996) 14 Cal.4th 605, 610</w:t>
      </w:r>
      <w:r w:rsidRPr="00F95F30" w:rsidR="009D6958">
        <w:t xml:space="preserve">, </w:t>
      </w:r>
      <w:r w:rsidRPr="00F95F30" w:rsidR="00C84165">
        <w:t xml:space="preserve">italics omitted, </w:t>
      </w:r>
      <w:r w:rsidRPr="00F95F30" w:rsidR="009D6958">
        <w:t xml:space="preserve">citing </w:t>
      </w:r>
      <w:r w:rsidRPr="00F95F30" w:rsidR="00232AB5">
        <w:t xml:space="preserve">former </w:t>
      </w:r>
      <w:r w:rsidRPr="00F95F30" w:rsidR="009D6958">
        <w:t>§</w:t>
      </w:r>
      <w:r w:rsidRPr="00F95F30" w:rsidR="00232AB5">
        <w:t> </w:t>
      </w:r>
      <w:r w:rsidRPr="00F95F30" w:rsidR="009D6958">
        <w:t>186.22</w:t>
      </w:r>
      <w:r w:rsidRPr="00F95F30" w:rsidR="000A70CE">
        <w:t>.)</w:t>
      </w:r>
      <w:r w:rsidRPr="00F95F30" w:rsidR="008A6DE5">
        <w:t xml:space="preserve">  The </w:t>
      </w:r>
      <w:r w:rsidRPr="00F95F30" w:rsidR="00C27DB1">
        <w:t xml:space="preserve">original </w:t>
      </w:r>
      <w:r w:rsidRPr="00F95F30" w:rsidR="008A6DE5">
        <w:t xml:space="preserve">statute specified </w:t>
      </w:r>
      <w:r w:rsidRPr="00F95F30" w:rsidR="0011017D">
        <w:t xml:space="preserve">seven </w:t>
      </w:r>
      <w:r w:rsidRPr="00F95F30" w:rsidR="008A6DE5">
        <w:t xml:space="preserve">offenses, such as </w:t>
      </w:r>
      <w:r w:rsidRPr="00F95F30" w:rsidR="004E4138">
        <w:t xml:space="preserve">robbery, arson, and witness intimidation, </w:t>
      </w:r>
      <w:r w:rsidRPr="00F95F30" w:rsidR="009010AA">
        <w:t>that</w:t>
      </w:r>
      <w:r w:rsidRPr="00F95F30" w:rsidR="0011017D">
        <w:t xml:space="preserve"> </w:t>
      </w:r>
      <w:r w:rsidRPr="00F95F30" w:rsidR="00FA0657">
        <w:t xml:space="preserve">made up </w:t>
      </w:r>
      <w:r w:rsidRPr="00F95F30" w:rsidR="0011017D">
        <w:t xml:space="preserve">the </w:t>
      </w:r>
      <w:r w:rsidRPr="00F95F30" w:rsidR="003A1590">
        <w:t>targeted</w:t>
      </w:r>
      <w:r w:rsidRPr="00F95F30" w:rsidR="0011017D">
        <w:t xml:space="preserve"> </w:t>
      </w:r>
      <w:r w:rsidRPr="00F95F30" w:rsidR="004E4138">
        <w:t xml:space="preserve">“primary activities” </w:t>
      </w:r>
      <w:r w:rsidRPr="00F95F30" w:rsidR="0011017D">
        <w:t xml:space="preserve">of </w:t>
      </w:r>
      <w:r w:rsidRPr="00F95F30" w:rsidR="00232AB5">
        <w:t xml:space="preserve">a </w:t>
      </w:r>
      <w:r w:rsidRPr="00F95F30" w:rsidR="0011017D">
        <w:t xml:space="preserve">gang </w:t>
      </w:r>
      <w:r w:rsidRPr="00F95F30" w:rsidR="003A1590">
        <w:t xml:space="preserve">as well as </w:t>
      </w:r>
      <w:r w:rsidRPr="00F95F30">
        <w:t xml:space="preserve">the </w:t>
      </w:r>
      <w:r w:rsidRPr="00F95F30" w:rsidR="004E4138">
        <w:t>predicate offenses</w:t>
      </w:r>
      <w:r w:rsidRPr="00F95F30" w:rsidR="0011017D">
        <w:t xml:space="preserve"> of the gang’s members.  (§ 186.22, </w:t>
      </w:r>
      <w:r w:rsidRPr="00F95F30" w:rsidR="00072B6A">
        <w:t xml:space="preserve">former </w:t>
      </w:r>
      <w:r w:rsidRPr="00F95F30" w:rsidR="0011017D">
        <w:t>subd. (c)</w:t>
      </w:r>
      <w:r w:rsidRPr="00F95F30" w:rsidR="003A1590">
        <w:t xml:space="preserve">; see also </w:t>
      </w:r>
      <w:r w:rsidRPr="00F95F30" w:rsidR="003A1590">
        <w:rPr>
          <w:i/>
          <w:iCs/>
        </w:rPr>
        <w:t>id</w:t>
      </w:r>
      <w:r w:rsidRPr="00F95F30" w:rsidR="003A1590">
        <w:t>., former subd. (d)</w:t>
      </w:r>
      <w:r w:rsidRPr="00F95F30" w:rsidR="0011017D">
        <w:t>.)</w:t>
      </w:r>
      <w:r w:rsidRPr="00F95F30" w:rsidR="008A6DE5">
        <w:t xml:space="preserve"> </w:t>
      </w:r>
    </w:p>
    <w:p w:rsidR="00CA0AFB" w:rsidRPr="00F95F30" w:rsidP="00F95F30" w14:paraId="3C86BD91" w14:textId="77777777">
      <w:pPr>
        <w:widowControl w:val="0"/>
        <w:tabs>
          <w:tab w:val="left" w:pos="1440"/>
        </w:tabs>
        <w:ind w:firstLine="720"/>
      </w:pPr>
      <w:r w:rsidRPr="00F95F30">
        <w:t xml:space="preserve">The Legislature </w:t>
      </w:r>
      <w:r w:rsidRPr="00F95F30" w:rsidR="006F3213">
        <w:t>substantially amended the STEP Act in A</w:t>
      </w:r>
      <w:r w:rsidRPr="00F95F30" w:rsidR="00072B6A">
        <w:t>ssembly Bill</w:t>
      </w:r>
      <w:r w:rsidRPr="00F95F30" w:rsidR="006F3213">
        <w:t xml:space="preserve"> 333</w:t>
      </w:r>
      <w:r w:rsidRPr="00F95F30" w:rsidR="00F97BE8">
        <w:t xml:space="preserve">, </w:t>
      </w:r>
      <w:r w:rsidR="004E0E2B">
        <w:t xml:space="preserve">also </w:t>
      </w:r>
      <w:r w:rsidRPr="00F95F30" w:rsidR="00F97BE8">
        <w:t>known as the STEP Forward Act of 2021.  (</w:t>
      </w:r>
      <w:r w:rsidRPr="00F95F30" w:rsidR="00F97BE8">
        <w:rPr>
          <w:iCs/>
        </w:rPr>
        <w:t>Stats. 2021, ch. 699, § 1.)</w:t>
      </w:r>
      <w:r w:rsidRPr="00F95F30" w:rsidR="00F97BE8">
        <w:t xml:space="preserve">  </w:t>
      </w:r>
      <w:r w:rsidRPr="00F95F30" w:rsidR="006F3213">
        <w:t xml:space="preserve">The </w:t>
      </w:r>
      <w:r w:rsidRPr="00F95F30" w:rsidR="00177B52">
        <w:t>new legislation</w:t>
      </w:r>
      <w:r w:rsidRPr="00F95F30" w:rsidR="006F3213">
        <w:t xml:space="preserve">, which became </w:t>
      </w:r>
      <w:r w:rsidRPr="00F95F30">
        <w:t>effective on January 1, 2022</w:t>
      </w:r>
      <w:r w:rsidRPr="00F95F30" w:rsidR="008113B4">
        <w:t>, ma</w:t>
      </w:r>
      <w:r w:rsidRPr="00F95F30" w:rsidR="006665D7">
        <w:t>de</w:t>
      </w:r>
      <w:r w:rsidRPr="00F95F30" w:rsidR="008113B4">
        <w:t xml:space="preserve"> several changes to the</w:t>
      </w:r>
      <w:r w:rsidRPr="00F95F30" w:rsidR="00951FE5">
        <w:t xml:space="preserve"> definition of</w:t>
      </w:r>
      <w:r w:rsidRPr="00F95F30" w:rsidR="008113B4">
        <w:t xml:space="preserve"> section 186.22 gang enhancements.</w:t>
      </w:r>
      <w:r w:rsidRPr="00F95F30">
        <w:t xml:space="preserve">  “First, it narrowed the definition of a ‘criminal street gang’ to require that any gang be an ‘ongoing, </w:t>
      </w:r>
      <w:r w:rsidRPr="00F95F30">
        <w:rPr>
          <w:i/>
          <w:iCs/>
        </w:rPr>
        <w:t>organized</w:t>
      </w:r>
      <w:r w:rsidRPr="00F95F30">
        <w:t xml:space="preserve"> association or group of three or more persons.</w:t>
      </w:r>
      <w:r w:rsidRPr="00F95F30" w:rsidR="00B43172">
        <w:t>’</w:t>
      </w:r>
      <w:r w:rsidRPr="00F95F30">
        <w:t xml:space="preserve">  (§ 186.22, subd.</w:t>
      </w:r>
      <w:r w:rsidRPr="00F95F30" w:rsidR="00051EB6">
        <w:t> </w:t>
      </w:r>
      <w:r w:rsidRPr="00F95F30">
        <w:t xml:space="preserve">(f), italics added.)  Second, whereas section 186.22, former subdivision (f) required only that a gang’s members ‘individually </w:t>
      </w:r>
      <w:r w:rsidRPr="00F95F30">
        <w:rPr>
          <w:i/>
          <w:iCs/>
        </w:rPr>
        <w:t>or</w:t>
      </w:r>
      <w:r w:rsidRPr="00F95F30">
        <w:t xml:space="preserve"> collectively engage in’ a pattern of criminal activity in order to constitute a ‘criminal street gang,’ Assembly Bill 333 requires that any such pattern have been ‘</w:t>
      </w:r>
      <w:r w:rsidRPr="00F95F30">
        <w:rPr>
          <w:i/>
          <w:iCs/>
        </w:rPr>
        <w:t>collectively</w:t>
      </w:r>
      <w:r w:rsidRPr="00F95F30">
        <w:t xml:space="preserve"> engage[d] in’ by members of the gang.  (§ 186.22, subd.</w:t>
      </w:r>
      <w:r w:rsidRPr="00F95F30" w:rsidR="00051EB6">
        <w:t> </w:t>
      </w:r>
      <w:r w:rsidRPr="00F95F30">
        <w:t>(f), italics added.)  Third, Assembly Bill 333 also narrowed the definition of a ‘pattern of criminal activity’ by requiring that (1) the last offense used to show a pattern of criminal gang activity occurred within three years of the date that the currently charged offense is alleged to have been committed; (2) the offenses were committed by two or more gang ‘members,’ as opposed to just ‘persons’; (3) the offenses commonly benefitted a criminal street gang; and (4) the offenses establishing a pattern of gang activity must be ones other than the currently charged offense.  (§ 186.22, subd.</w:t>
      </w:r>
      <w:r w:rsidRPr="00F95F30" w:rsidR="00051EB6">
        <w:t> </w:t>
      </w:r>
      <w:r w:rsidRPr="00F95F30">
        <w:t xml:space="preserve">(e)(1), (2).)  Fourth, Assembly Bill 333 narrowed what it means for an offense to have commonly benefitted a street gang, requiring that any ‘common benefit’ be ‘more than reputational.’ </w:t>
      </w:r>
      <w:r w:rsidRPr="00F95F30" w:rsidR="00D0392C">
        <w:t xml:space="preserve"> </w:t>
      </w:r>
      <w:r w:rsidRPr="00F95F30">
        <w:t>(§</w:t>
      </w:r>
      <w:r w:rsidRPr="00F95F30" w:rsidR="008113B4">
        <w:t> </w:t>
      </w:r>
      <w:r w:rsidRPr="00F95F30">
        <w:t>186.22, subd.</w:t>
      </w:r>
      <w:r w:rsidRPr="00F95F30" w:rsidR="00051EB6">
        <w:t> </w:t>
      </w:r>
      <w:r w:rsidRPr="00F95F30">
        <w:t>(g).)</w:t>
      </w:r>
      <w:r w:rsidRPr="00F95F30" w:rsidR="008113B4">
        <w:t xml:space="preserve">”  </w:t>
      </w:r>
      <w:r w:rsidRPr="00F95F30">
        <w:t>(</w:t>
      </w:r>
      <w:r w:rsidRPr="00F95F30">
        <w:rPr>
          <w:i/>
          <w:iCs/>
        </w:rPr>
        <w:t>People v. Tran</w:t>
      </w:r>
      <w:r w:rsidRPr="00F95F30" w:rsidR="009E3D75">
        <w:t xml:space="preserve"> (2022)</w:t>
      </w:r>
      <w:r w:rsidRPr="00F95F30">
        <w:t xml:space="preserve"> 13 Cal.5th 1169, 1206</w:t>
      </w:r>
      <w:r w:rsidRPr="00F95F30" w:rsidR="009E3D75">
        <w:t xml:space="preserve"> (</w:t>
      </w:r>
      <w:r w:rsidRPr="00F95F30" w:rsidR="009E3D75">
        <w:rPr>
          <w:i/>
          <w:iCs/>
        </w:rPr>
        <w:t>Tran</w:t>
      </w:r>
      <w:r w:rsidRPr="00F95F30" w:rsidR="009E3D75">
        <w:t>)</w:t>
      </w:r>
      <w:r w:rsidRPr="00F95F30">
        <w:t>.)</w:t>
      </w:r>
      <w:r w:rsidRPr="00F95F30" w:rsidR="00FF415B">
        <w:t xml:space="preserve">  </w:t>
      </w:r>
      <w:r w:rsidRPr="00F95F30" w:rsidR="001F3466">
        <w:t>And finally, A</w:t>
      </w:r>
      <w:r w:rsidRPr="00F95F30" w:rsidR="00072B6A">
        <w:t>ssembly Bill</w:t>
      </w:r>
      <w:r w:rsidRPr="00F95F30" w:rsidR="001F3466">
        <w:t xml:space="preserve"> 333 </w:t>
      </w:r>
      <w:r w:rsidRPr="00F95F30" w:rsidR="00D730FA">
        <w:t xml:space="preserve">omitted certain nonviolent offenses from the list of </w:t>
      </w:r>
      <w:r w:rsidRPr="00F95F30" w:rsidR="001F3466">
        <w:t xml:space="preserve">offenses </w:t>
      </w:r>
      <w:r w:rsidRPr="00F95F30" w:rsidR="00C27DB1">
        <w:t xml:space="preserve">that could </w:t>
      </w:r>
      <w:r w:rsidRPr="00F95F30" w:rsidR="001F3466">
        <w:t>mak</w:t>
      </w:r>
      <w:r w:rsidRPr="00F95F30" w:rsidR="00C27DB1">
        <w:t>e</w:t>
      </w:r>
      <w:r w:rsidRPr="00F95F30" w:rsidR="001F3466">
        <w:t xml:space="preserve"> up a gang’s primary activities or </w:t>
      </w:r>
      <w:r w:rsidRPr="00F95F30" w:rsidR="006956B7">
        <w:t xml:space="preserve">form the </w:t>
      </w:r>
      <w:r w:rsidRPr="00F95F30" w:rsidR="004A2918">
        <w:t xml:space="preserve">requisite pattern of criminal gang activity, </w:t>
      </w:r>
      <w:r w:rsidRPr="00F95F30" w:rsidR="00D730FA">
        <w:t xml:space="preserve">reducing </w:t>
      </w:r>
      <w:r w:rsidRPr="00F95F30" w:rsidR="006956B7">
        <w:t xml:space="preserve">the list of offenses from 33 to </w:t>
      </w:r>
      <w:r w:rsidRPr="00F95F30" w:rsidR="00707FE1">
        <w:t>26</w:t>
      </w:r>
      <w:r w:rsidRPr="00F95F30" w:rsidR="00D730FA">
        <w:t xml:space="preserve">.  </w:t>
      </w:r>
      <w:r w:rsidRPr="00F95F30" w:rsidR="001F3466">
        <w:t>(</w:t>
      </w:r>
      <w:r w:rsidRPr="00F95F30" w:rsidR="00D730FA">
        <w:t xml:space="preserve">Compare </w:t>
      </w:r>
      <w:r w:rsidRPr="00F95F30" w:rsidR="001F3466">
        <w:t xml:space="preserve">§ 186.22, </w:t>
      </w:r>
      <w:r w:rsidRPr="00F95F30" w:rsidR="00FC6D62">
        <w:t xml:space="preserve">former </w:t>
      </w:r>
      <w:r w:rsidRPr="00F95F30" w:rsidR="001F3466">
        <w:t>subd. (e)(1)–(33)</w:t>
      </w:r>
      <w:r w:rsidRPr="00F95F30" w:rsidR="00D730FA">
        <w:t xml:space="preserve">, </w:t>
      </w:r>
      <w:r w:rsidRPr="00F95F30" w:rsidR="00072B6A">
        <w:t xml:space="preserve">as amended by </w:t>
      </w:r>
      <w:r w:rsidRPr="00F95F30" w:rsidR="001F3466">
        <w:t>Stats</w:t>
      </w:r>
      <w:r w:rsidRPr="00F95F30" w:rsidR="00275246">
        <w:t>.</w:t>
      </w:r>
      <w:r w:rsidRPr="00F95F30" w:rsidR="001F3466">
        <w:t xml:space="preserve"> 2017</w:t>
      </w:r>
      <w:r w:rsidRPr="00F95F30" w:rsidR="00C034F0">
        <w:t>,</w:t>
      </w:r>
      <w:r w:rsidRPr="00F95F30" w:rsidR="001F3466">
        <w:t xml:space="preserve"> ch</w:t>
      </w:r>
      <w:r w:rsidRPr="00F95F30" w:rsidR="00275246">
        <w:t>.</w:t>
      </w:r>
      <w:r w:rsidRPr="00F95F30" w:rsidR="001F3466">
        <w:t xml:space="preserve"> 561</w:t>
      </w:r>
      <w:r w:rsidRPr="00F95F30" w:rsidR="00275246">
        <w:t>,</w:t>
      </w:r>
      <w:r w:rsidRPr="00F95F30" w:rsidR="001F3466">
        <w:t xml:space="preserve"> §</w:t>
      </w:r>
      <w:r w:rsidRPr="00F95F30" w:rsidR="00C034F0">
        <w:t> </w:t>
      </w:r>
      <w:r w:rsidRPr="00F95F30" w:rsidR="001F3466">
        <w:t xml:space="preserve">178 </w:t>
      </w:r>
      <w:r w:rsidRPr="00F95F30" w:rsidR="00D730FA">
        <w:t>with § 186.22(e)(1)(A)–(Z).</w:t>
      </w:r>
      <w:r w:rsidRPr="00F95F30" w:rsidR="001F3466">
        <w:t>)</w:t>
      </w:r>
      <w:r>
        <w:rPr>
          <w:rStyle w:val="FootnoteReference"/>
        </w:rPr>
        <w:footnoteReference w:id="3"/>
      </w:r>
    </w:p>
    <w:p w:rsidR="00BA2E5D" w:rsidRPr="00F95F30" w:rsidP="00F95F30" w14:paraId="3C86BD92" w14:textId="77777777">
      <w:pPr>
        <w:widowControl w:val="0"/>
        <w:tabs>
          <w:tab w:val="left" w:pos="1440"/>
        </w:tabs>
        <w:ind w:firstLine="720"/>
      </w:pPr>
      <w:r w:rsidRPr="00F95F30">
        <w:t xml:space="preserve">In </w:t>
      </w:r>
      <w:r w:rsidRPr="00F95F30" w:rsidR="009E3D75">
        <w:rPr>
          <w:i/>
          <w:iCs/>
        </w:rPr>
        <w:t>Tran</w:t>
      </w:r>
      <w:r w:rsidRPr="00F95F30" w:rsidR="00FF4E2C">
        <w:t xml:space="preserve">, </w:t>
      </w:r>
      <w:r w:rsidRPr="00F95F30" w:rsidR="00720925">
        <w:t xml:space="preserve">this court </w:t>
      </w:r>
      <w:r w:rsidRPr="00F95F30" w:rsidR="007E5760">
        <w:t xml:space="preserve">considered </w:t>
      </w:r>
      <w:r w:rsidRPr="00F95F30" w:rsidR="00B66DCF">
        <w:t xml:space="preserve">a number of </w:t>
      </w:r>
      <w:r w:rsidRPr="00F95F30" w:rsidR="007E5760">
        <w:t>questions concerning A</w:t>
      </w:r>
      <w:r w:rsidRPr="00F95F30" w:rsidR="00B43172">
        <w:t>ssembly Bill</w:t>
      </w:r>
      <w:r w:rsidRPr="00F95F30" w:rsidR="007E5760">
        <w:t xml:space="preserve"> 333’s application to cases tried before its effective date.  </w:t>
      </w:r>
      <w:r w:rsidRPr="00F95F30" w:rsidR="007E5760">
        <w:rPr>
          <w:i/>
          <w:iCs/>
        </w:rPr>
        <w:t>Tran</w:t>
      </w:r>
      <w:r w:rsidRPr="00F95F30" w:rsidR="007E5760">
        <w:t xml:space="preserve"> held</w:t>
      </w:r>
      <w:r w:rsidRPr="00F95F30" w:rsidR="009D3E48">
        <w:t xml:space="preserve">, in line with a substantial body of appellate authority, </w:t>
      </w:r>
      <w:r w:rsidRPr="00F95F30" w:rsidR="00720925">
        <w:t xml:space="preserve">that </w:t>
      </w:r>
      <w:r w:rsidRPr="00F95F30" w:rsidR="00951FE5">
        <w:t>A</w:t>
      </w:r>
      <w:r w:rsidRPr="00F95F30" w:rsidR="00650A22">
        <w:t xml:space="preserve">ssembly Bill </w:t>
      </w:r>
      <w:r w:rsidRPr="00F95F30" w:rsidR="00951FE5">
        <w:t xml:space="preserve">333’s amendments to </w:t>
      </w:r>
      <w:r w:rsidRPr="00F95F30" w:rsidR="00791044">
        <w:t xml:space="preserve">the definition of </w:t>
      </w:r>
      <w:r w:rsidRPr="00F95F30" w:rsidR="00951FE5">
        <w:t>section 186.22</w:t>
      </w:r>
      <w:r w:rsidRPr="00F95F30" w:rsidR="009D3E48">
        <w:t xml:space="preserve"> gang enhancements are retroactively applicable to cases on direct review.</w:t>
      </w:r>
      <w:r w:rsidRPr="00F95F30" w:rsidR="00853D13">
        <w:t xml:space="preserve">  </w:t>
      </w:r>
      <w:r w:rsidRPr="00F95F30" w:rsidR="009E3D75">
        <w:t>(</w:t>
      </w:r>
      <w:r w:rsidRPr="00F95F30" w:rsidR="009E3D75">
        <w:rPr>
          <w:i/>
          <w:iCs/>
        </w:rPr>
        <w:t>Tran</w:t>
      </w:r>
      <w:r w:rsidRPr="00F95F30" w:rsidR="009E3D75">
        <w:t xml:space="preserve">, </w:t>
      </w:r>
      <w:r w:rsidRPr="00F95F30" w:rsidR="009E3D75">
        <w:rPr>
          <w:i/>
          <w:iCs/>
        </w:rPr>
        <w:t>supra</w:t>
      </w:r>
      <w:r w:rsidRPr="00F95F30" w:rsidR="009E3D75">
        <w:t xml:space="preserve">, 13 Cal.5th at p. 1207.)  </w:t>
      </w:r>
      <w:r w:rsidRPr="00F95F30" w:rsidR="007E5760">
        <w:rPr>
          <w:i/>
          <w:iCs/>
        </w:rPr>
        <w:t>Tran</w:t>
      </w:r>
      <w:r w:rsidRPr="00F95F30" w:rsidR="007E5760">
        <w:t xml:space="preserve"> also considered </w:t>
      </w:r>
      <w:r w:rsidRPr="00F95F30" w:rsidR="002C1035">
        <w:t xml:space="preserve">a question similar to the one presented in this case, </w:t>
      </w:r>
      <w:r w:rsidRPr="00F95F30" w:rsidR="008E4E94">
        <w:t>concerning</w:t>
      </w:r>
      <w:r w:rsidRPr="00F95F30" w:rsidR="0077488D">
        <w:t xml:space="preserve"> A</w:t>
      </w:r>
      <w:r w:rsidRPr="00F95F30" w:rsidR="00650A22">
        <w:t>ssembly Bill</w:t>
      </w:r>
      <w:r w:rsidRPr="00F95F30" w:rsidR="0077488D">
        <w:t xml:space="preserve"> 333’s application to </w:t>
      </w:r>
      <w:r w:rsidRPr="00F95F30" w:rsidR="008E4E94">
        <w:t xml:space="preserve">predicate offenses involving individual gang members, </w:t>
      </w:r>
      <w:r w:rsidRPr="00F95F30" w:rsidR="000B0B42">
        <w:t xml:space="preserve">but </w:t>
      </w:r>
      <w:r w:rsidRPr="00F95F30" w:rsidR="008E4E94">
        <w:t xml:space="preserve">we </w:t>
      </w:r>
      <w:r w:rsidRPr="00F95F30" w:rsidR="000B0B42">
        <w:t>did not have occasion to decide it.</w:t>
      </w:r>
      <w:r w:rsidRPr="00F95F30" w:rsidR="008E4E94">
        <w:t xml:space="preserve"> </w:t>
      </w:r>
      <w:r w:rsidRPr="00F95F30" w:rsidR="00F724D3">
        <w:t xml:space="preserve"> </w:t>
      </w:r>
      <w:r w:rsidRPr="00F95F30" w:rsidR="00E61812">
        <w:t>Instead, accepting the Attorney General’s con</w:t>
      </w:r>
      <w:r w:rsidR="00D10208">
        <w:t>f</w:t>
      </w:r>
      <w:r w:rsidRPr="00F95F30" w:rsidR="00E61812">
        <w:t xml:space="preserve">ession of error, we </w:t>
      </w:r>
      <w:r w:rsidRPr="00F95F30" w:rsidR="001D5960">
        <w:t>revers</w:t>
      </w:r>
      <w:r w:rsidRPr="00F95F30" w:rsidR="001362ED">
        <w:t>ed</w:t>
      </w:r>
      <w:r w:rsidRPr="00F95F30" w:rsidR="001D5960">
        <w:t xml:space="preserve"> the</w:t>
      </w:r>
      <w:r w:rsidRPr="00F95F30" w:rsidR="008471E2">
        <w:t xml:space="preserve"> gang enhancement</w:t>
      </w:r>
      <w:r w:rsidRPr="00F95F30" w:rsidR="00ED163F">
        <w:t xml:space="preserve"> w</w:t>
      </w:r>
      <w:r w:rsidRPr="00F95F30" w:rsidR="001268F2">
        <w:t xml:space="preserve">ithout addressing whether the statute allows for the </w:t>
      </w:r>
      <w:r w:rsidRPr="00F95F30" w:rsidR="00EB6C3C">
        <w:t xml:space="preserve">admission </w:t>
      </w:r>
      <w:r w:rsidRPr="00F95F30" w:rsidR="001268F2">
        <w:t>of predicate offenses committed by lone gang members</w:t>
      </w:r>
      <w:r w:rsidRPr="00F95F30" w:rsidR="00ED163F">
        <w:t xml:space="preserve">.  We explained </w:t>
      </w:r>
      <w:r w:rsidRPr="00F95F30" w:rsidR="001268F2">
        <w:t xml:space="preserve">that </w:t>
      </w:r>
      <w:r w:rsidRPr="00F95F30" w:rsidR="008471E2">
        <w:t>“because the jury was not presented with any discernible theory as to how [</w:t>
      </w:r>
      <w:r w:rsidRPr="00F95F30" w:rsidR="00EB6C3C">
        <w:t xml:space="preserve">individual </w:t>
      </w:r>
      <w:r w:rsidRPr="00F95F30" w:rsidR="008471E2">
        <w:t>gang] members ‘collectively engage[d] in’ the</w:t>
      </w:r>
      <w:r w:rsidRPr="00F95F30" w:rsidR="00936104">
        <w:t>[]</w:t>
      </w:r>
      <w:r w:rsidRPr="00F95F30" w:rsidR="008471E2">
        <w:t xml:space="preserve"> predicate crimes</w:t>
      </w:r>
      <w:r w:rsidRPr="00F95F30" w:rsidR="001268F2">
        <w:t>,</w:t>
      </w:r>
      <w:r w:rsidRPr="00F95F30" w:rsidR="008471E2">
        <w:t xml:space="preserve">” “[w]e need not resolve the contours of Assembly Bill 333’s collective engagement requirement.”  </w:t>
      </w:r>
      <w:r w:rsidRPr="00F95F30" w:rsidR="00534B20">
        <w:t>(</w:t>
      </w:r>
      <w:r w:rsidRPr="00F95F30" w:rsidR="00650A22">
        <w:rPr>
          <w:i/>
          <w:iCs/>
        </w:rPr>
        <w:t>Tran</w:t>
      </w:r>
      <w:r w:rsidRPr="00F95F30" w:rsidR="00650A22">
        <w:t>, at p. 1207.</w:t>
      </w:r>
      <w:r w:rsidRPr="00F95F30" w:rsidR="00534B20">
        <w:t xml:space="preserve">) </w:t>
      </w:r>
      <w:r w:rsidRPr="00F95F30" w:rsidR="008471E2">
        <w:t xml:space="preserve"> We</w:t>
      </w:r>
      <w:r w:rsidRPr="00F95F30" w:rsidR="0071718B">
        <w:t xml:space="preserve"> now</w:t>
      </w:r>
      <w:r w:rsidRPr="00F95F30" w:rsidR="00143D86">
        <w:t xml:space="preserve"> turn to that task.</w:t>
      </w:r>
    </w:p>
    <w:p w:rsidR="009E26E8" w:rsidRPr="00F95F30" w:rsidP="00DB41D0" w14:paraId="3C86BD93" w14:textId="77777777">
      <w:pPr>
        <w:pStyle w:val="Heading2"/>
      </w:pPr>
      <w:r w:rsidRPr="00F95F30">
        <w:t>B.</w:t>
      </w:r>
    </w:p>
    <w:p w:rsidR="00463FAD" w:rsidRPr="00F95F30" w:rsidP="00F95F30" w14:paraId="3C86BD94" w14:textId="77777777">
      <w:pPr>
        <w:widowControl w:val="0"/>
        <w:tabs>
          <w:tab w:val="left" w:pos="1440"/>
        </w:tabs>
        <w:ind w:firstLine="720"/>
      </w:pPr>
      <w:r w:rsidRPr="00F95F30">
        <w:t>We begin by addressing the</w:t>
      </w:r>
      <w:r w:rsidRPr="00F95F30" w:rsidR="007F191A">
        <w:t xml:space="preserve"> </w:t>
      </w:r>
      <w:r w:rsidRPr="00F95F30" w:rsidR="00EB7069">
        <w:t xml:space="preserve">narrow </w:t>
      </w:r>
      <w:r w:rsidRPr="00F95F30" w:rsidR="007F191A">
        <w:t xml:space="preserve">conflict in the Courts of Appeal </w:t>
      </w:r>
      <w:r w:rsidR="000631A3">
        <w:t xml:space="preserve">about </w:t>
      </w:r>
      <w:r w:rsidRPr="00F95F30">
        <w:t xml:space="preserve">the </w:t>
      </w:r>
      <w:r w:rsidRPr="00F95F30" w:rsidR="003F45DE">
        <w:t>scope of A</w:t>
      </w:r>
      <w:r w:rsidRPr="00F95F30" w:rsidR="007C4661">
        <w:t>ssembly Bill</w:t>
      </w:r>
      <w:r w:rsidRPr="00F95F30" w:rsidR="003F45DE">
        <w:t xml:space="preserve"> 333’s changes to section 186.22’s predicate offense requirement</w:t>
      </w:r>
      <w:r w:rsidRPr="00F95F30">
        <w:t xml:space="preserve">.  The conflict </w:t>
      </w:r>
      <w:r w:rsidRPr="00F95F30" w:rsidR="007F191A">
        <w:t>center</w:t>
      </w:r>
      <w:r w:rsidRPr="00F95F30" w:rsidR="00EC64CC">
        <w:t>s</w:t>
      </w:r>
      <w:r w:rsidRPr="00F95F30" w:rsidR="007F191A">
        <w:t xml:space="preserve"> on the </w:t>
      </w:r>
      <w:r w:rsidRPr="00F95F30" w:rsidR="00D81786">
        <w:t xml:space="preserve">interaction </w:t>
      </w:r>
      <w:r w:rsidRPr="00F95F30" w:rsidR="007F191A">
        <w:t xml:space="preserve">between the two definitional provisions pertinent to </w:t>
      </w:r>
      <w:r w:rsidRPr="00F95F30" w:rsidR="00A53FEA">
        <w:t>the requirement.</w:t>
      </w:r>
      <w:r w:rsidRPr="00F95F30" w:rsidR="00252F26">
        <w:t xml:space="preserve">  </w:t>
      </w:r>
      <w:r w:rsidRPr="00F95F30" w:rsidR="00786380">
        <w:t>First</w:t>
      </w:r>
      <w:r w:rsidR="00176E6F">
        <w:t>,</w:t>
      </w:r>
      <w:r w:rsidRPr="00F95F30" w:rsidR="00786380">
        <w:t xml:space="preserve"> </w:t>
      </w:r>
      <w:r w:rsidRPr="00F95F30" w:rsidR="00252F26">
        <w:t xml:space="preserve">there is the definition of the term </w:t>
      </w:r>
      <w:r w:rsidRPr="00F95F30" w:rsidR="007F191A">
        <w:t>“</w:t>
      </w:r>
      <w:r w:rsidR="00900D30">
        <w:t> ‘</w:t>
      </w:r>
      <w:r w:rsidRPr="00F95F30" w:rsidR="007F191A">
        <w:t>criminal street gang</w:t>
      </w:r>
      <w:r w:rsidR="00900D30">
        <w:t>’ </w:t>
      </w:r>
      <w:r w:rsidRPr="00F95F30" w:rsidR="007F191A">
        <w:t xml:space="preserve">” </w:t>
      </w:r>
      <w:r w:rsidRPr="00F95F30" w:rsidR="00531D47">
        <w:t xml:space="preserve">to </w:t>
      </w:r>
      <w:r w:rsidRPr="00F95F30" w:rsidR="007F191A">
        <w:t>mean</w:t>
      </w:r>
      <w:r w:rsidRPr="00F95F30">
        <w:t>, as relevant here,</w:t>
      </w:r>
      <w:r w:rsidRPr="00F95F30" w:rsidR="007F191A">
        <w:t xml:space="preserve"> “an ongoing, organized association or group of three or more persons, . . . whose members </w:t>
      </w:r>
      <w:r w:rsidRPr="00F95F30" w:rsidR="007F191A">
        <w:rPr>
          <w:i/>
          <w:iCs/>
        </w:rPr>
        <w:t xml:space="preserve">collectively </w:t>
      </w:r>
      <w:r w:rsidRPr="00F95F30" w:rsidR="007F191A">
        <w:t>engage in, or have engaged in, a pattern of criminal gang activity.”  (§ 186.22(f)</w:t>
      </w:r>
      <w:r w:rsidRPr="00F95F30" w:rsidR="00A53FEA">
        <w:t>, italics added.</w:t>
      </w:r>
      <w:r w:rsidRPr="00F95F30" w:rsidR="007F191A">
        <w:t xml:space="preserve">)  </w:t>
      </w:r>
      <w:r w:rsidRPr="00F95F30" w:rsidR="00AB12F1">
        <w:t>The use of the word “collectively” represents a change to the former law, which had required that gang members “individually or collectively engage in” a pattern of criminal gang activity</w:t>
      </w:r>
      <w:r w:rsidRPr="00F95F30" w:rsidR="00F515F7">
        <w:t xml:space="preserve"> (§ 186.22, former </w:t>
      </w:r>
      <w:r w:rsidRPr="00F95F30" w:rsidR="005B010C">
        <w:t xml:space="preserve">subd. </w:t>
      </w:r>
      <w:r w:rsidRPr="00F95F30" w:rsidR="00F515F7">
        <w:t>(f))</w:t>
      </w:r>
      <w:r w:rsidRPr="00F95F30" w:rsidR="00AB12F1">
        <w:t>.</w:t>
      </w:r>
      <w:r w:rsidRPr="00F95F30" w:rsidR="00AB37E0">
        <w:t xml:space="preserve">  </w:t>
      </w:r>
      <w:r w:rsidRPr="00F95F30" w:rsidR="00786380">
        <w:t>Then</w:t>
      </w:r>
      <w:r w:rsidR="004E0E2B">
        <w:t>, second,</w:t>
      </w:r>
      <w:r w:rsidRPr="00F95F30" w:rsidR="00786380">
        <w:t xml:space="preserve"> </w:t>
      </w:r>
      <w:r w:rsidRPr="00F95F30" w:rsidR="00252F26">
        <w:t xml:space="preserve">there is the nested definition of </w:t>
      </w:r>
      <w:r w:rsidRPr="00F95F30" w:rsidR="007F191A">
        <w:t>“</w:t>
      </w:r>
      <w:r w:rsidRPr="00F95F30" w:rsidR="007C4661">
        <w:t> ‘</w:t>
      </w:r>
      <w:r w:rsidRPr="00F95F30" w:rsidR="007F191A">
        <w:t>pattern of criminal gang activity,</w:t>
      </w:r>
      <w:r w:rsidRPr="00F95F30" w:rsidR="007C4661">
        <w:t>’ </w:t>
      </w:r>
      <w:r w:rsidRPr="00F95F30" w:rsidR="007F191A">
        <w:t xml:space="preserve">” </w:t>
      </w:r>
      <w:r w:rsidRPr="00F95F30" w:rsidR="00252F26">
        <w:t xml:space="preserve">which states that the requisite pattern is established by commission of two enumerated offenses, so long as </w:t>
      </w:r>
      <w:r w:rsidRPr="00F95F30" w:rsidR="007F191A">
        <w:t xml:space="preserve">they </w:t>
      </w:r>
      <w:r w:rsidRPr="00F95F30" w:rsidR="007C4661">
        <w:t>“</w:t>
      </w:r>
      <w:r w:rsidRPr="00F95F30" w:rsidR="007F191A">
        <w:t xml:space="preserve">were committed on separate occasions or by two or more members” of the gang and the offenses provided a </w:t>
      </w:r>
      <w:r w:rsidRPr="00F95F30" w:rsidR="00193F46">
        <w:t xml:space="preserve">common </w:t>
      </w:r>
      <w:r w:rsidRPr="00F95F30" w:rsidR="007F191A">
        <w:t>benefit to the gang that is more than reputational.  (§ 186.22</w:t>
      </w:r>
      <w:r w:rsidRPr="00F95F30" w:rsidR="00554618">
        <w:t>(e)(1).)</w:t>
      </w:r>
      <w:r w:rsidRPr="00F95F30" w:rsidR="00AB12F1">
        <w:t xml:space="preserve">  </w:t>
      </w:r>
      <w:r w:rsidRPr="00F95F30">
        <w:t xml:space="preserve">In the “pattern” definition, the requirement that the </w:t>
      </w:r>
      <w:r w:rsidRPr="00F95F30" w:rsidR="00193F46">
        <w:t xml:space="preserve">predicate offenses provide a common benefit is new, </w:t>
      </w:r>
      <w:r w:rsidRPr="00F95F30">
        <w:t>but the “on separate occasions or by two or more members” language is</w:t>
      </w:r>
      <w:r w:rsidRPr="00F95F30" w:rsidR="00BF7A69">
        <w:t xml:space="preserve"> </w:t>
      </w:r>
      <w:r w:rsidRPr="00F95F30" w:rsidR="00EE2CA7">
        <w:t>largely the same</w:t>
      </w:r>
      <w:r w:rsidRPr="00F95F30" w:rsidR="00614457">
        <w:t xml:space="preserve"> as in the original STEP Act</w:t>
      </w:r>
      <w:r w:rsidRPr="00F95F30" w:rsidR="00BF7A69">
        <w:t xml:space="preserve">; </w:t>
      </w:r>
      <w:r w:rsidRPr="00F95F30" w:rsidR="00B55381">
        <w:t>A</w:t>
      </w:r>
      <w:r w:rsidRPr="00F95F30" w:rsidR="007C4661">
        <w:t>ssembly Bill</w:t>
      </w:r>
      <w:r w:rsidRPr="00F95F30" w:rsidR="00B55381">
        <w:t xml:space="preserve"> 333 replaced “two or more persons” with “two or more </w:t>
      </w:r>
      <w:r w:rsidRPr="00F95F30" w:rsidR="00B55381">
        <w:rPr>
          <w:i/>
          <w:iCs/>
        </w:rPr>
        <w:t>members</w:t>
      </w:r>
      <w:r w:rsidRPr="00F95F30" w:rsidR="00B55381">
        <w:t>”</w:t>
      </w:r>
      <w:r w:rsidRPr="00F95F30" w:rsidR="00BF7A69">
        <w:t xml:space="preserve"> but otherwise preserved the language </w:t>
      </w:r>
      <w:r w:rsidRPr="00F95F30" w:rsidR="00D54A95">
        <w:t>of</w:t>
      </w:r>
      <w:r w:rsidRPr="00F95F30" w:rsidR="00BF7A69">
        <w:t xml:space="preserve"> the original.</w:t>
      </w:r>
      <w:r w:rsidRPr="00F95F30" w:rsidR="00AB12F1">
        <w:t xml:space="preserve">  </w:t>
      </w:r>
    </w:p>
    <w:p w:rsidR="0078617C" w:rsidRPr="00F95F30" w:rsidP="00F95F30" w14:paraId="3C86BD95" w14:textId="77777777">
      <w:pPr>
        <w:widowControl w:val="0"/>
        <w:tabs>
          <w:tab w:val="left" w:pos="1440"/>
        </w:tabs>
        <w:ind w:firstLine="720"/>
      </w:pPr>
      <w:r w:rsidRPr="00F95F30">
        <w:t xml:space="preserve">In an effort to give effect to </w:t>
      </w:r>
      <w:r w:rsidRPr="00F95F30" w:rsidR="00216862">
        <w:t xml:space="preserve">the amended statute’s </w:t>
      </w:r>
      <w:r w:rsidRPr="00F95F30">
        <w:t xml:space="preserve">collective engagement </w:t>
      </w:r>
      <w:r w:rsidRPr="00F95F30" w:rsidR="00E666AC">
        <w:t>language</w:t>
      </w:r>
      <w:r w:rsidRPr="00F95F30">
        <w:t xml:space="preserve">, the Court of Appeal </w:t>
      </w:r>
      <w:r w:rsidRPr="00F95F30" w:rsidR="0051351F">
        <w:t xml:space="preserve">in </w:t>
      </w:r>
      <w:r w:rsidRPr="00F95F30" w:rsidR="0051351F">
        <w:rPr>
          <w:i/>
          <w:iCs/>
        </w:rPr>
        <w:t>Delgado</w:t>
      </w:r>
      <w:r w:rsidRPr="00F95F30" w:rsidR="0051351F">
        <w:t xml:space="preserve"> concluded that </w:t>
      </w:r>
      <w:r w:rsidRPr="00F95F30" w:rsidR="00346861">
        <w:t xml:space="preserve">each </w:t>
      </w:r>
      <w:r w:rsidRPr="00F95F30" w:rsidR="004D2F2A">
        <w:t xml:space="preserve">predicate offense </w:t>
      </w:r>
      <w:r w:rsidRPr="00F95F30" w:rsidR="003C1C18">
        <w:t xml:space="preserve">must </w:t>
      </w:r>
      <w:r w:rsidRPr="00F95F30" w:rsidR="004D2F2A">
        <w:t>be</w:t>
      </w:r>
      <w:r w:rsidRPr="00F95F30" w:rsidR="003C1C18">
        <w:t xml:space="preserve"> </w:t>
      </w:r>
      <w:r w:rsidRPr="00F95F30" w:rsidR="00605DF9">
        <w:t xml:space="preserve">committed by </w:t>
      </w:r>
      <w:r w:rsidRPr="00F95F30" w:rsidR="001A67AC">
        <w:t>two or more gang members</w:t>
      </w:r>
      <w:r w:rsidRPr="00F95F30" w:rsidR="00605DF9">
        <w:t>.  (</w:t>
      </w:r>
      <w:r w:rsidRPr="00F95F30" w:rsidR="00605DF9">
        <w:rPr>
          <w:i/>
          <w:iCs/>
        </w:rPr>
        <w:t>People v. Delgado</w:t>
      </w:r>
      <w:r w:rsidRPr="00F95F30" w:rsidR="00605DF9">
        <w:t xml:space="preserve">, </w:t>
      </w:r>
      <w:r w:rsidRPr="00F95F30" w:rsidR="00605DF9">
        <w:rPr>
          <w:i/>
          <w:iCs/>
        </w:rPr>
        <w:t>supra</w:t>
      </w:r>
      <w:r w:rsidRPr="00F95F30" w:rsidR="00605DF9">
        <w:t xml:space="preserve">, 74 Cal.App.5th at p. 1088.)  </w:t>
      </w:r>
      <w:r w:rsidRPr="00F95F30" w:rsidR="00061C7B">
        <w:t>The court relied on the “commonsense” meaning of the word “</w:t>
      </w:r>
      <w:r w:rsidRPr="00F95F30" w:rsidR="007C4661">
        <w:t> ‘</w:t>
      </w:r>
      <w:r w:rsidRPr="00F95F30" w:rsidR="00061C7B">
        <w:t>collectively</w:t>
      </w:r>
      <w:r w:rsidRPr="00F95F30" w:rsidR="00B378CE">
        <w:t>,</w:t>
      </w:r>
      <w:r w:rsidRPr="00F95F30" w:rsidR="007C4661">
        <w:t>’ </w:t>
      </w:r>
      <w:r w:rsidRPr="00F95F30" w:rsidR="00061C7B">
        <w:t xml:space="preserve">” </w:t>
      </w:r>
      <w:r w:rsidRPr="00F95F30" w:rsidR="00B378CE">
        <w:t xml:space="preserve">as well as </w:t>
      </w:r>
      <w:r w:rsidRPr="00F95F30" w:rsidR="00061C7B">
        <w:t>the history behind its deployment in A</w:t>
      </w:r>
      <w:r w:rsidRPr="00F95F30" w:rsidR="00684AD2">
        <w:t>ssembly Bill</w:t>
      </w:r>
      <w:r w:rsidRPr="00F95F30" w:rsidR="00061C7B">
        <w:t xml:space="preserve"> 333.  </w:t>
      </w:r>
      <w:r w:rsidRPr="00F95F30" w:rsidR="00684AD2">
        <w:t>(</w:t>
      </w:r>
      <w:r w:rsidRPr="00F95F30" w:rsidR="00684AD2">
        <w:rPr>
          <w:i/>
          <w:iCs/>
        </w:rPr>
        <w:t>Delgado</w:t>
      </w:r>
      <w:r w:rsidRPr="00F95F30" w:rsidR="00684AD2">
        <w:t xml:space="preserve">, at p. 1088.)  </w:t>
      </w:r>
      <w:r w:rsidRPr="00F95F30" w:rsidR="00C5274E">
        <w:t xml:space="preserve">The court </w:t>
      </w:r>
      <w:r w:rsidRPr="00F95F30" w:rsidR="00C433F4">
        <w:t xml:space="preserve">explained </w:t>
      </w:r>
      <w:r w:rsidRPr="00F95F30" w:rsidR="00C5274E">
        <w:t xml:space="preserve">that before </w:t>
      </w:r>
      <w:r w:rsidRPr="00F95F30" w:rsidR="00F41715">
        <w:t>A</w:t>
      </w:r>
      <w:r w:rsidRPr="00F95F30" w:rsidR="007C4661">
        <w:t>ssembly Bill</w:t>
      </w:r>
      <w:r w:rsidRPr="00F95F30" w:rsidR="00F41715">
        <w:t xml:space="preserve"> 333, the predicate offense requirement </w:t>
      </w:r>
      <w:r w:rsidRPr="00F95F30" w:rsidR="00254758">
        <w:t>could be established “by proving two gang members individually committed the predicate offenses on two separate occasions.”  (</w:t>
      </w:r>
      <w:r w:rsidRPr="00F95F30" w:rsidR="007C4661">
        <w:rPr>
          <w:i/>
          <w:iCs/>
        </w:rPr>
        <w:t>Delgado</w:t>
      </w:r>
      <w:r w:rsidRPr="00F95F30" w:rsidR="007C4661">
        <w:t>,</w:t>
      </w:r>
      <w:r w:rsidRPr="00F95F30" w:rsidR="00254758">
        <w:t xml:space="preserve"> at p. 1089</w:t>
      </w:r>
      <w:r w:rsidRPr="00F95F30" w:rsidR="002E2CE1">
        <w:t xml:space="preserve">, citing </w:t>
      </w:r>
      <w:r w:rsidRPr="00F95F30" w:rsidR="00C60B07">
        <w:t>§ 186.22, former subd. (e)</w:t>
      </w:r>
      <w:r w:rsidRPr="00F95F30" w:rsidR="00254758">
        <w:t xml:space="preserve">.)  </w:t>
      </w:r>
      <w:r w:rsidRPr="00F95F30" w:rsidR="00245D16">
        <w:t xml:space="preserve">A reading that </w:t>
      </w:r>
      <w:r w:rsidRPr="00F95F30" w:rsidR="00DE4762">
        <w:t xml:space="preserve">would instead require proof that at least two gang members committed each predicate offense, </w:t>
      </w:r>
      <w:r w:rsidRPr="00F95F30" w:rsidR="00245D16">
        <w:t xml:space="preserve">the Court of Appeal reasoned, </w:t>
      </w:r>
      <w:r w:rsidRPr="00F95F30" w:rsidR="00DE4762">
        <w:t xml:space="preserve">was consistent </w:t>
      </w:r>
      <w:r w:rsidRPr="00F95F30" w:rsidR="000E6B50">
        <w:t xml:space="preserve">with </w:t>
      </w:r>
      <w:r w:rsidRPr="00F95F30" w:rsidR="00BB1F28">
        <w:t>“</w:t>
      </w:r>
      <w:r w:rsidRPr="00F95F30" w:rsidR="000E6B50">
        <w:t>the Legislature</w:t>
      </w:r>
      <w:r w:rsidRPr="00F95F30">
        <w:t>’</w:t>
      </w:r>
      <w:r w:rsidRPr="00F95F30" w:rsidR="000E6B50">
        <w:t xml:space="preserve">s intent to </w:t>
      </w:r>
      <w:r w:rsidRPr="00F95F30" w:rsidR="007C4661">
        <w:t>dramatically</w:t>
      </w:r>
      <w:r w:rsidRPr="00F95F30" w:rsidR="000E6B50">
        <w:t xml:space="preserve"> limit the scope of the gang enhancement.</w:t>
      </w:r>
      <w:r w:rsidRPr="00F95F30">
        <w:t>”  (</w:t>
      </w:r>
      <w:r w:rsidRPr="00F95F30" w:rsidR="007C4661">
        <w:rPr>
          <w:i/>
          <w:iCs/>
        </w:rPr>
        <w:t>Delgado</w:t>
      </w:r>
      <w:r w:rsidRPr="00F95F30" w:rsidR="007C4661">
        <w:t>, at p. 1089.</w:t>
      </w:r>
      <w:r w:rsidRPr="00F95F30">
        <w:t>)</w:t>
      </w:r>
      <w:r w:rsidRPr="00F95F30" w:rsidR="005F7CF9">
        <w:t xml:space="preserve">  </w:t>
      </w:r>
    </w:p>
    <w:p w:rsidR="007F0C0D" w:rsidRPr="00F95F30" w:rsidP="009F2D14" w14:paraId="3C86BD96" w14:textId="77777777">
      <w:pPr>
        <w:widowControl w:val="0"/>
        <w:tabs>
          <w:tab w:val="left" w:pos="1440"/>
        </w:tabs>
        <w:ind w:firstLine="720"/>
      </w:pPr>
      <w:r w:rsidRPr="00F95F30">
        <w:t>T</w:t>
      </w:r>
      <w:r w:rsidRPr="00F95F30" w:rsidR="00005F47">
        <w:t>he</w:t>
      </w:r>
      <w:r w:rsidRPr="00F95F30" w:rsidR="009D151D">
        <w:t xml:space="preserve"> </w:t>
      </w:r>
      <w:r w:rsidRPr="00F95F30" w:rsidR="00D81786">
        <w:t xml:space="preserve">obvious </w:t>
      </w:r>
      <w:r w:rsidRPr="00F95F30" w:rsidR="00005F47">
        <w:t xml:space="preserve">difficulty with </w:t>
      </w:r>
      <w:r w:rsidRPr="00F95F30" w:rsidR="00D81786">
        <w:t xml:space="preserve">this reading is that it </w:t>
      </w:r>
      <w:r w:rsidRPr="00F95F30" w:rsidR="00DE4762">
        <w:t xml:space="preserve">fails to </w:t>
      </w:r>
      <w:r w:rsidRPr="00F95F30">
        <w:t xml:space="preserve">give meaning to </w:t>
      </w:r>
      <w:r w:rsidRPr="00F95F30" w:rsidR="00005F47">
        <w:t>the language of section 186.22(</w:t>
      </w:r>
      <w:r w:rsidRPr="00F95F30" w:rsidR="007550E1">
        <w:t>e)(1)</w:t>
      </w:r>
      <w:r w:rsidRPr="00F95F30" w:rsidR="00005F47">
        <w:t>,</w:t>
      </w:r>
      <w:r w:rsidRPr="00F95F30" w:rsidR="0026660F">
        <w:t xml:space="preserve"> which states that the requisite pattern of criminal activity is established by two offenses </w:t>
      </w:r>
      <w:r w:rsidRPr="00F95F30" w:rsidR="000624DA">
        <w:t xml:space="preserve">committed “on separate occasions </w:t>
      </w:r>
      <w:r w:rsidRPr="00F95F30" w:rsidR="000624DA">
        <w:rPr>
          <w:i/>
          <w:iCs/>
        </w:rPr>
        <w:t>or</w:t>
      </w:r>
      <w:r w:rsidRPr="00F95F30" w:rsidR="000624DA">
        <w:t xml:space="preserve"> by two or more members.”  </w:t>
      </w:r>
      <w:r w:rsidRPr="00F95F30" w:rsidR="00007A9A">
        <w:t>(</w:t>
      </w:r>
      <w:r w:rsidRPr="00F95F30" w:rsidR="000E30F6">
        <w:t>§</w:t>
      </w:r>
      <w:r w:rsidRPr="00F95F30" w:rsidR="00C034F0">
        <w:t> </w:t>
      </w:r>
      <w:r w:rsidRPr="00F95F30" w:rsidR="000E30F6">
        <w:t>186.22(</w:t>
      </w:r>
      <w:r w:rsidRPr="00F95F30" w:rsidR="007550E1">
        <w:t>e)(1)</w:t>
      </w:r>
      <w:r w:rsidRPr="00F95F30" w:rsidR="000E30F6">
        <w:t xml:space="preserve">, italics added.)  </w:t>
      </w:r>
      <w:r w:rsidR="00C75D61">
        <w:t>T</w:t>
      </w:r>
      <w:r w:rsidR="004E0E2B">
        <w:t xml:space="preserve">he </w:t>
      </w:r>
      <w:r w:rsidR="004E0E2B">
        <w:rPr>
          <w:i/>
          <w:iCs/>
        </w:rPr>
        <w:t>Delgado</w:t>
      </w:r>
      <w:r w:rsidR="004E0E2B">
        <w:t xml:space="preserve"> court </w:t>
      </w:r>
      <w:r w:rsidR="001B3D0B">
        <w:t>never attempted to explain how its approach could be squared with this provision, and we do not believe it can.</w:t>
      </w:r>
      <w:r w:rsidR="00C75D61">
        <w:t xml:space="preserve"> </w:t>
      </w:r>
      <w:r w:rsidR="00DB41D0">
        <w:t xml:space="preserve"> </w:t>
      </w:r>
      <w:r w:rsidRPr="00F95F30" w:rsidR="000624DA">
        <w:t xml:space="preserve">By </w:t>
      </w:r>
      <w:r w:rsidRPr="00F95F30" w:rsidR="005C151F">
        <w:t>contrast</w:t>
      </w:r>
      <w:r w:rsidRPr="00F95F30" w:rsidR="000624DA">
        <w:t>ing</w:t>
      </w:r>
      <w:r w:rsidRPr="00F95F30" w:rsidR="005C151F">
        <w:t xml:space="preserve"> offenses committed on “separate occasions” with those committed by “two or more members,” </w:t>
      </w:r>
      <w:r w:rsidRPr="00F95F30" w:rsidR="000624DA">
        <w:t>th</w:t>
      </w:r>
      <w:r w:rsidRPr="00F95F30" w:rsidR="00A05D6C">
        <w:t>e</w:t>
      </w:r>
      <w:r w:rsidRPr="00F95F30" w:rsidR="000624DA">
        <w:t xml:space="preserve"> language </w:t>
      </w:r>
      <w:r w:rsidRPr="00F95F30" w:rsidR="00A05D6C">
        <w:t xml:space="preserve">of section 186.22(e)(1) </w:t>
      </w:r>
      <w:r w:rsidRPr="00F95F30" w:rsidR="009E322B">
        <w:t xml:space="preserve">indicates </w:t>
      </w:r>
      <w:r w:rsidRPr="00F95F30" w:rsidR="005C151F">
        <w:t xml:space="preserve">that only the second alternative requires the participation of more than one gang member.  </w:t>
      </w:r>
      <w:r w:rsidRPr="00F95F30" w:rsidR="009E322B">
        <w:t xml:space="preserve">This is the most straightforward reading of the language of the statute.  It is also how this court </w:t>
      </w:r>
      <w:r w:rsidRPr="00F95F30" w:rsidR="0000124C">
        <w:t xml:space="preserve">understood </w:t>
      </w:r>
      <w:r w:rsidRPr="00F95F30" w:rsidR="00043A0B">
        <w:t xml:space="preserve">the </w:t>
      </w:r>
      <w:r w:rsidRPr="00F95F30" w:rsidR="009E322B">
        <w:t xml:space="preserve">same language </w:t>
      </w:r>
      <w:r w:rsidRPr="00F95F30" w:rsidR="00A51E5A">
        <w:t xml:space="preserve">when </w:t>
      </w:r>
      <w:r w:rsidRPr="00F95F30" w:rsidR="00685E2B">
        <w:t xml:space="preserve">asked to interpret it </w:t>
      </w:r>
      <w:r w:rsidRPr="00F95F30" w:rsidR="009E322B">
        <w:t>some 25 years ago</w:t>
      </w:r>
      <w:r w:rsidRPr="00F95F30" w:rsidR="00A51E5A">
        <w:t>.  (</w:t>
      </w:r>
      <w:r w:rsidRPr="00F95F30" w:rsidR="009E322B">
        <w:rPr>
          <w:i/>
          <w:iCs/>
        </w:rPr>
        <w:t>People v. Loeun</w:t>
      </w:r>
      <w:r w:rsidRPr="00F95F30" w:rsidR="009E322B">
        <w:t xml:space="preserve"> (1997) 17 Cal.4th </w:t>
      </w:r>
      <w:r w:rsidRPr="00F95F30" w:rsidR="00B9147C">
        <w:t>1</w:t>
      </w:r>
      <w:r w:rsidRPr="00F95F30" w:rsidR="00A51E5A">
        <w:t>, 9</w:t>
      </w:r>
      <w:r w:rsidRPr="00F95F30" w:rsidR="00BB0B98">
        <w:t xml:space="preserve"> (</w:t>
      </w:r>
      <w:r w:rsidRPr="00F95F30" w:rsidR="00BB0B98">
        <w:rPr>
          <w:i/>
          <w:iCs/>
        </w:rPr>
        <w:t>Loeun</w:t>
      </w:r>
      <w:r w:rsidRPr="00F95F30" w:rsidR="00A51E5A">
        <w:t>)</w:t>
      </w:r>
      <w:r w:rsidRPr="00F95F30" w:rsidR="00B9147C">
        <w:t xml:space="preserve"> [the “Legislature’s use of the disjunctive ‘or’ in [</w:t>
      </w:r>
      <w:r w:rsidRPr="00F95F30" w:rsidR="0077158F">
        <w:t>§ </w:t>
      </w:r>
      <w:r w:rsidRPr="00F95F30" w:rsidR="00B9147C">
        <w:t>186.22</w:t>
      </w:r>
      <w:r w:rsidRPr="00F95F30" w:rsidR="0023237E">
        <w:t>,</w:t>
      </w:r>
      <w:r w:rsidRPr="00F95F30" w:rsidR="00B9147C">
        <w:t xml:space="preserve"> </w:t>
      </w:r>
      <w:r w:rsidRPr="00F95F30" w:rsidR="007C4661">
        <w:t xml:space="preserve">former </w:t>
      </w:r>
      <w:r w:rsidRPr="00F95F30" w:rsidR="00B9147C">
        <w:t>subd</w:t>
      </w:r>
      <w:r w:rsidRPr="00F95F30" w:rsidR="0077158F">
        <w:t>.</w:t>
      </w:r>
      <w:r w:rsidRPr="00F95F30" w:rsidR="00B9147C">
        <w:t xml:space="preserve"> (e)] indicates an intent to designate alternative ways of satisfying the statutory requirements”]</w:t>
      </w:r>
      <w:r w:rsidRPr="00F95F30" w:rsidR="00A51E5A">
        <w:t xml:space="preserve">; see </w:t>
      </w:r>
      <w:r w:rsidRPr="00F95F30" w:rsidR="00A51E5A">
        <w:rPr>
          <w:i/>
          <w:iCs/>
        </w:rPr>
        <w:t>People v. Gardeley</w:t>
      </w:r>
      <w:r w:rsidRPr="00F95F30" w:rsidR="00A119E6">
        <w:t xml:space="preserve">, </w:t>
      </w:r>
      <w:r w:rsidRPr="00F95F30" w:rsidR="00A119E6">
        <w:rPr>
          <w:i/>
          <w:iCs/>
        </w:rPr>
        <w:t>supra</w:t>
      </w:r>
      <w:r w:rsidRPr="00F95F30" w:rsidR="00A119E6">
        <w:t xml:space="preserve">, </w:t>
      </w:r>
      <w:r w:rsidRPr="00F95F30" w:rsidR="00A51E5A">
        <w:t xml:space="preserve">14 Cal.4th </w:t>
      </w:r>
      <w:r w:rsidRPr="00F95F30" w:rsidR="00A119E6">
        <w:t>at p. </w:t>
      </w:r>
      <w:r w:rsidRPr="00F95F30" w:rsidR="00E9202A">
        <w:t>624</w:t>
      </w:r>
      <w:r w:rsidRPr="00F95F30" w:rsidR="00A51E5A">
        <w:t xml:space="preserve"> [crime committed by </w:t>
      </w:r>
      <w:r w:rsidRPr="00F95F30" w:rsidR="000E5356">
        <w:t xml:space="preserve">an </w:t>
      </w:r>
      <w:r w:rsidRPr="00F95F30" w:rsidR="00A51E5A">
        <w:t xml:space="preserve">individual gang member constituted </w:t>
      </w:r>
      <w:r w:rsidRPr="00F95F30" w:rsidR="000E5356">
        <w:t xml:space="preserve">a </w:t>
      </w:r>
      <w:r w:rsidRPr="00F95F30" w:rsidR="00A51E5A">
        <w:t>predicate offense</w:t>
      </w:r>
      <w:r w:rsidRPr="00F95F30" w:rsidR="0082735A">
        <w:t xml:space="preserve"> under </w:t>
      </w:r>
      <w:r w:rsidRPr="00F95F30" w:rsidR="0097781C">
        <w:t>§ </w:t>
      </w:r>
      <w:r w:rsidRPr="00F95F30" w:rsidR="0082735A">
        <w:t>186.22, former sub</w:t>
      </w:r>
      <w:r w:rsidRPr="00F95F30" w:rsidR="0097781C">
        <w:t>d.</w:t>
      </w:r>
      <w:r w:rsidRPr="00F95F30" w:rsidR="0082735A">
        <w:t xml:space="preserve"> (e)</w:t>
      </w:r>
      <w:r w:rsidRPr="00F95F30" w:rsidR="00A51E5A">
        <w:t xml:space="preserve">].)  </w:t>
      </w:r>
      <w:r w:rsidR="00C321DB">
        <w:t>T</w:t>
      </w:r>
      <w:r w:rsidRPr="00F95F30" w:rsidR="00766F8B">
        <w:t>he Legislature preserve</w:t>
      </w:r>
      <w:r w:rsidR="00C321DB">
        <w:t>d</w:t>
      </w:r>
      <w:r w:rsidRPr="00F95F30" w:rsidR="00766F8B">
        <w:t xml:space="preserve"> this language in A</w:t>
      </w:r>
      <w:r w:rsidRPr="00F95F30" w:rsidR="007C4661">
        <w:t>ssembly Bill</w:t>
      </w:r>
      <w:r w:rsidRPr="00F95F30" w:rsidR="00766F8B">
        <w:t xml:space="preserve"> 333, </w:t>
      </w:r>
      <w:r w:rsidR="00C321DB">
        <w:t xml:space="preserve">even as it </w:t>
      </w:r>
      <w:r w:rsidR="00F51B5C">
        <w:t xml:space="preserve">changed the language of </w:t>
      </w:r>
      <w:r w:rsidR="00C321DB">
        <w:t>section 186.22(e)(1) in other respects.</w:t>
      </w:r>
      <w:r w:rsidR="00460670">
        <w:t xml:space="preserve">  (</w:t>
      </w:r>
      <w:r w:rsidR="00A44017">
        <w:t xml:space="preserve">See </w:t>
      </w:r>
      <w:r w:rsidR="00A44017">
        <w:rPr>
          <w:i/>
          <w:iCs/>
        </w:rPr>
        <w:t>Tran</w:t>
      </w:r>
      <w:r w:rsidR="00A44017">
        <w:t xml:space="preserve">, </w:t>
      </w:r>
      <w:r w:rsidR="00A44017">
        <w:rPr>
          <w:i/>
          <w:iCs/>
        </w:rPr>
        <w:t>supra</w:t>
      </w:r>
      <w:r w:rsidR="00A44017">
        <w:t>, 13 Cal.5th at p.</w:t>
      </w:r>
      <w:r w:rsidR="00E74653">
        <w:t> </w:t>
      </w:r>
      <w:r w:rsidR="00A44017">
        <w:t>1206</w:t>
      </w:r>
      <w:r w:rsidR="00521071">
        <w:t xml:space="preserve"> [detailing changes].)</w:t>
      </w:r>
      <w:r w:rsidR="009F2D14">
        <w:t xml:space="preserve">  </w:t>
      </w:r>
      <w:r w:rsidR="00C321DB">
        <w:t xml:space="preserve">We presume the Legislature understood that the effect of </w:t>
      </w:r>
      <w:r w:rsidR="004953F9">
        <w:t>retaining</w:t>
      </w:r>
      <w:r w:rsidR="00C321DB">
        <w:t xml:space="preserve"> the </w:t>
      </w:r>
      <w:r w:rsidR="00F2614B">
        <w:t xml:space="preserve">language intact would be to preserve </w:t>
      </w:r>
      <w:r w:rsidR="00721D7B">
        <w:t xml:space="preserve">the </w:t>
      </w:r>
      <w:r w:rsidR="00F2614B">
        <w:t xml:space="preserve">long-settled </w:t>
      </w:r>
      <w:r w:rsidR="00721D7B">
        <w:t xml:space="preserve">understanding of its meaning. </w:t>
      </w:r>
      <w:r w:rsidRPr="00F95F30" w:rsidR="00560137">
        <w:t xml:space="preserve"> (</w:t>
      </w:r>
      <w:r w:rsidRPr="00F95F30" w:rsidR="00DC69AB">
        <w:t xml:space="preserve">See, e.g., </w:t>
      </w:r>
      <w:r w:rsidRPr="00F95F30" w:rsidR="006F0DF5">
        <w:rPr>
          <w:i/>
          <w:iCs/>
        </w:rPr>
        <w:t xml:space="preserve">Tuolumne Jobs &amp; Small Business Alliance v. Superior Court </w:t>
      </w:r>
      <w:r w:rsidRPr="00F95F30" w:rsidR="006F0DF5">
        <w:t>(2014) 59 Cal.4th 1029, 1039 [“ ‘The Legislature is presumed to be aware of all laws in existence when it passes or amends a statute.’ ”].)</w:t>
      </w:r>
      <w:r>
        <w:rPr>
          <w:rStyle w:val="FootnoteReference"/>
        </w:rPr>
        <w:footnoteReference w:id="4"/>
      </w:r>
    </w:p>
    <w:p w:rsidR="001955DD" w:rsidRPr="00F95F30" w:rsidP="00907393" w14:paraId="3C86BD97" w14:textId="77777777">
      <w:pPr>
        <w:widowControl w:val="0"/>
        <w:tabs>
          <w:tab w:val="left" w:pos="1440"/>
        </w:tabs>
        <w:ind w:firstLine="720"/>
      </w:pPr>
      <w:r w:rsidRPr="00F95F30">
        <w:t xml:space="preserve">Clark </w:t>
      </w:r>
      <w:r w:rsidRPr="00F95F30" w:rsidR="00EF2721">
        <w:t xml:space="preserve">argues </w:t>
      </w:r>
      <w:r w:rsidRPr="00F95F30" w:rsidR="00BC2CE3">
        <w:t xml:space="preserve">that there now exists tension </w:t>
      </w:r>
      <w:r w:rsidRPr="00F95F30">
        <w:t>between section 186.22</w:t>
      </w:r>
      <w:r w:rsidRPr="00F95F30" w:rsidR="008D0B80">
        <w:t>(e)</w:t>
      </w:r>
      <w:r w:rsidRPr="00F95F30">
        <w:t xml:space="preserve">(1) and </w:t>
      </w:r>
      <w:r w:rsidR="00AD0C60">
        <w:t xml:space="preserve">section </w:t>
      </w:r>
      <w:r w:rsidRPr="00F95F30" w:rsidR="00633C2A">
        <w:t>186.22</w:t>
      </w:r>
      <w:r w:rsidRPr="00F95F30">
        <w:t>(f)</w:t>
      </w:r>
      <w:r w:rsidRPr="00F95F30" w:rsidR="00116916">
        <w:t xml:space="preserve"> that pre-</w:t>
      </w:r>
      <w:r w:rsidRPr="00F95F30" w:rsidR="008D0B80">
        <w:t>A</w:t>
      </w:r>
      <w:r w:rsidRPr="00F95F30" w:rsidR="007C4661">
        <w:t>ssembly Bill</w:t>
      </w:r>
      <w:r w:rsidRPr="00F95F30" w:rsidR="008D0B80">
        <w:t xml:space="preserve"> 333 </w:t>
      </w:r>
      <w:r w:rsidRPr="00F95F30" w:rsidR="00116916">
        <w:t xml:space="preserve">cases such as </w:t>
      </w:r>
      <w:r w:rsidRPr="00F95F30" w:rsidR="00116916">
        <w:rPr>
          <w:i/>
          <w:iCs/>
        </w:rPr>
        <w:t>Loeun</w:t>
      </w:r>
      <w:r w:rsidRPr="00F95F30" w:rsidR="00116916">
        <w:t xml:space="preserve"> did not</w:t>
      </w:r>
      <w:r w:rsidRPr="00F95F30" w:rsidR="00796859">
        <w:t xml:space="preserve">, and could not have, </w:t>
      </w:r>
      <w:r w:rsidRPr="00F95F30" w:rsidR="00116916">
        <w:t>address</w:t>
      </w:r>
      <w:r w:rsidRPr="00F95F30" w:rsidR="00796859">
        <w:t xml:space="preserve">ed.  But </w:t>
      </w:r>
      <w:r w:rsidRPr="00F95F30" w:rsidR="00524101">
        <w:t xml:space="preserve">if there is indeed tension, the approach taken in </w:t>
      </w:r>
      <w:r w:rsidRPr="00F95F30" w:rsidR="00524101">
        <w:rPr>
          <w:i/>
          <w:iCs/>
        </w:rPr>
        <w:t>Delgado</w:t>
      </w:r>
      <w:r w:rsidRPr="00F95F30" w:rsidR="00524101">
        <w:t xml:space="preserve"> does not resolve i</w:t>
      </w:r>
      <w:r w:rsidRPr="00F95F30" w:rsidR="002B4582">
        <w:t>t</w:t>
      </w:r>
      <w:r w:rsidRPr="00F95F30" w:rsidR="007F0C0D">
        <w:t>.  Rather than harmonize the two provisions</w:t>
      </w:r>
      <w:r w:rsidR="002A7417">
        <w:t>, i</w:t>
      </w:r>
      <w:r w:rsidRPr="00F95F30" w:rsidR="00AD5D44">
        <w:t xml:space="preserve">n its effort to give meaning to </w:t>
      </w:r>
      <w:r w:rsidRPr="00F95F30" w:rsidR="00C23312">
        <w:t xml:space="preserve">section 186.22(f)’s </w:t>
      </w:r>
      <w:r w:rsidRPr="00F95F30" w:rsidR="00AD5D44">
        <w:t xml:space="preserve">reference to </w:t>
      </w:r>
      <w:r w:rsidRPr="00F95F30" w:rsidR="00F63062">
        <w:t xml:space="preserve">collective engagement, </w:t>
      </w:r>
      <w:r w:rsidRPr="00F95F30" w:rsidR="00997163">
        <w:rPr>
          <w:i/>
          <w:iCs/>
        </w:rPr>
        <w:t>Delgado</w:t>
      </w:r>
      <w:r w:rsidRPr="00F95F30" w:rsidR="00997163">
        <w:t xml:space="preserve"> </w:t>
      </w:r>
      <w:r w:rsidRPr="00F95F30" w:rsidR="00F63062">
        <w:t xml:space="preserve">effectively rewrites </w:t>
      </w:r>
      <w:r w:rsidRPr="00F95F30" w:rsidR="00793E4B">
        <w:t xml:space="preserve">section 186.22(e)(1) </w:t>
      </w:r>
      <w:r w:rsidRPr="00F95F30" w:rsidR="00360E0E">
        <w:t xml:space="preserve">to give it </w:t>
      </w:r>
      <w:r w:rsidRPr="00F95F30" w:rsidR="00793E4B">
        <w:t>a meaning at odds with its text</w:t>
      </w:r>
      <w:r w:rsidRPr="00F95F30" w:rsidR="00997163">
        <w:t> </w:t>
      </w:r>
      <w:r w:rsidRPr="00F95F30" w:rsidR="00793E4B">
        <w:t xml:space="preserve">— that predicate offenses may be </w:t>
      </w:r>
      <w:r w:rsidRPr="00F95F30" w:rsidR="002D6F43">
        <w:t>“</w:t>
      </w:r>
      <w:r w:rsidRPr="00F95F30" w:rsidR="00793E4B">
        <w:t xml:space="preserve">committed on separate occasions </w:t>
      </w:r>
      <w:r w:rsidRPr="00FF2F45" w:rsidR="00793E4B">
        <w:rPr>
          <w:i/>
          <w:iCs/>
        </w:rPr>
        <w:t>by two or more members</w:t>
      </w:r>
      <w:r w:rsidRPr="00F95F30" w:rsidR="00793E4B">
        <w:t>, or by two or more members</w:t>
      </w:r>
      <w:r w:rsidR="00BF431D">
        <w:t>.</w:t>
      </w:r>
      <w:r w:rsidRPr="00F95F30" w:rsidR="00793E4B">
        <w:t>”</w:t>
      </w:r>
      <w:r w:rsidR="00BF431D">
        <w:t xml:space="preserve">  The</w:t>
      </w:r>
      <w:r w:rsidR="00B76969">
        <w:t xml:space="preserve"> result </w:t>
      </w:r>
      <w:r w:rsidR="00B744BB">
        <w:t>of the insertion is not</w:t>
      </w:r>
      <w:r w:rsidR="00DA5018">
        <w:t xml:space="preserve"> just </w:t>
      </w:r>
      <w:r w:rsidR="00B744BB">
        <w:t xml:space="preserve">to create an awkward redundancy, but to change the meaning of the sentence by </w:t>
      </w:r>
      <w:r w:rsidR="00DA5018">
        <w:t xml:space="preserve">effectively nullifying </w:t>
      </w:r>
      <w:r w:rsidRPr="00F95F30" w:rsidR="00793E4B">
        <w:t xml:space="preserve">the disjunctive </w:t>
      </w:r>
      <w:r w:rsidR="00DA5018">
        <w:t xml:space="preserve">clause </w:t>
      </w:r>
      <w:r w:rsidRPr="00F95F30" w:rsidR="00793E4B">
        <w:t>“</w:t>
      </w:r>
      <w:r w:rsidRPr="00294F9A" w:rsidR="00793E4B">
        <w:rPr>
          <w:i/>
          <w:iCs/>
        </w:rPr>
        <w:t>or</w:t>
      </w:r>
      <w:r w:rsidRPr="00F95F30" w:rsidR="00793E4B">
        <w:t xml:space="preserve"> by two or more members</w:t>
      </w:r>
      <w:r w:rsidR="00DA5018">
        <w:t>.</w:t>
      </w:r>
      <w:r w:rsidRPr="00F95F30" w:rsidR="00793E4B">
        <w:t>”</w:t>
      </w:r>
      <w:r w:rsidR="00DA5018">
        <w:t xml:space="preserve">  </w:t>
      </w:r>
      <w:r w:rsidR="007B50F2">
        <w:t xml:space="preserve">(See </w:t>
      </w:r>
      <w:r w:rsidRPr="00294F9A" w:rsidR="007B50F2">
        <w:rPr>
          <w:i/>
          <w:iCs/>
        </w:rPr>
        <w:t>People v. Garcia</w:t>
      </w:r>
      <w:r w:rsidR="007B50F2">
        <w:t xml:space="preserve"> (1999) 21 Cal.4th 1, </w:t>
      </w:r>
      <w:r w:rsidR="00907393">
        <w:t>10</w:t>
      </w:r>
      <w:r w:rsidR="007B50F2">
        <w:t xml:space="preserve"> [</w:t>
      </w:r>
      <w:r w:rsidR="00907393">
        <w:t>a court should not “disregard or rewrite some portion of the statute”</w:t>
      </w:r>
      <w:r w:rsidR="00B05464">
        <w:t xml:space="preserve"> but should “</w:t>
      </w:r>
      <w:r w:rsidRPr="00B05464" w:rsidR="00B05464">
        <w:t>harmonize and give effect to all its provisions</w:t>
      </w:r>
      <w:r w:rsidR="00B05464">
        <w:t>”</w:t>
      </w:r>
      <w:r w:rsidR="00907393">
        <w:t>]</w:t>
      </w:r>
      <w:r w:rsidR="007B50F2">
        <w:t>.)</w:t>
      </w:r>
    </w:p>
    <w:p w:rsidR="00791FD9" w:rsidRPr="00F95F30" w:rsidP="00F95F30" w14:paraId="3C86BD98" w14:textId="77777777">
      <w:pPr>
        <w:widowControl w:val="0"/>
        <w:tabs>
          <w:tab w:val="left" w:pos="1440"/>
        </w:tabs>
        <w:ind w:firstLine="720"/>
      </w:pPr>
      <w:r w:rsidRPr="00F95F30">
        <w:t>T</w:t>
      </w:r>
      <w:r w:rsidRPr="00F95F30" w:rsidR="00A6322A">
        <w:t xml:space="preserve">he </w:t>
      </w:r>
      <w:r w:rsidRPr="00F95F30" w:rsidR="007726B9">
        <w:t xml:space="preserve">unlikely </w:t>
      </w:r>
      <w:r w:rsidRPr="00F95F30" w:rsidR="009179ED">
        <w:t xml:space="preserve">reading </w:t>
      </w:r>
      <w:r w:rsidRPr="00F95F30" w:rsidR="00A6322A">
        <w:rPr>
          <w:i/>
          <w:iCs/>
        </w:rPr>
        <w:t>Delgado</w:t>
      </w:r>
      <w:r w:rsidRPr="00F95F30" w:rsidR="00A6322A">
        <w:t xml:space="preserve"> </w:t>
      </w:r>
      <w:r w:rsidR="00B76969">
        <w:t xml:space="preserve">gives </w:t>
      </w:r>
      <w:r w:rsidRPr="00F95F30" w:rsidR="00A6322A">
        <w:t xml:space="preserve">to section 186.22(f)’s collective engagement language is </w:t>
      </w:r>
      <w:r w:rsidR="00516B2A">
        <w:t xml:space="preserve">not </w:t>
      </w:r>
      <w:r w:rsidRPr="00F95F30" w:rsidR="00835F28">
        <w:t xml:space="preserve">compelled </w:t>
      </w:r>
      <w:r w:rsidRPr="00F95F30" w:rsidR="00A6322A">
        <w:t xml:space="preserve">by the </w:t>
      </w:r>
      <w:r w:rsidRPr="00F95F30" w:rsidR="0012126B">
        <w:t xml:space="preserve">ordinary, commonsense </w:t>
      </w:r>
      <w:r w:rsidRPr="00F95F30" w:rsidR="00A6322A">
        <w:t xml:space="preserve">meaning of </w:t>
      </w:r>
      <w:r w:rsidRPr="00F95F30" w:rsidR="00DD5179">
        <w:t>the phrase</w:t>
      </w:r>
      <w:r w:rsidRPr="00F95F30" w:rsidR="00631323">
        <w:t>.</w:t>
      </w:r>
      <w:r w:rsidRPr="00F95F30" w:rsidR="0033509E">
        <w:t xml:space="preserve">  </w:t>
      </w:r>
      <w:r w:rsidR="00B744BB">
        <w:t>T</w:t>
      </w:r>
      <w:r w:rsidRPr="00F95F30" w:rsidR="0033509E">
        <w:t xml:space="preserve">he </w:t>
      </w:r>
      <w:r w:rsidRPr="00F95F30" w:rsidR="0066515E">
        <w:t xml:space="preserve">phrase </w:t>
      </w:r>
      <w:r w:rsidRPr="00F95F30" w:rsidR="0033509E">
        <w:t>“collectively</w:t>
      </w:r>
      <w:r w:rsidRPr="00F95F30" w:rsidR="0066515E">
        <w:t xml:space="preserve"> engage</w:t>
      </w:r>
      <w:r w:rsidRPr="00F95F30" w:rsidR="0033509E">
        <w:t>” is not</w:t>
      </w:r>
      <w:r w:rsidRPr="00F95F30" w:rsidR="00A60920">
        <w:t xml:space="preserve"> always a synonym for </w:t>
      </w:r>
      <w:r w:rsidRPr="00F95F30" w:rsidR="0033509E">
        <w:t>“</w:t>
      </w:r>
      <w:r w:rsidRPr="00F95F30" w:rsidR="0066515E">
        <w:t xml:space="preserve">commit </w:t>
      </w:r>
      <w:r w:rsidRPr="00F95F30" w:rsidR="0033509E">
        <w:t>in concer</w:t>
      </w:r>
      <w:r w:rsidRPr="00F95F30" w:rsidR="002E724F">
        <w:t>t</w:t>
      </w:r>
      <w:r w:rsidRPr="00F95F30" w:rsidR="00BC421C">
        <w:t xml:space="preserve">.”  </w:t>
      </w:r>
      <w:r w:rsidRPr="00F95F30" w:rsidR="007C32CB">
        <w:t xml:space="preserve">It </w:t>
      </w:r>
      <w:r w:rsidRPr="00F95F30" w:rsidR="007C32CB">
        <w:rPr>
          <w:i/>
          <w:iCs/>
        </w:rPr>
        <w:t>can</w:t>
      </w:r>
      <w:r w:rsidRPr="00F95F30" w:rsidR="007C32CB">
        <w:t xml:space="preserve"> have that meaning.  But </w:t>
      </w:r>
      <w:r w:rsidRPr="00F95F30" w:rsidR="00F57BB9">
        <w:t>the word “collectively</w:t>
      </w:r>
      <w:r w:rsidRPr="00F95F30" w:rsidR="00B44A71">
        <w:t xml:space="preserve">” is </w:t>
      </w:r>
      <w:r w:rsidRPr="00F95F30" w:rsidR="00080279">
        <w:t xml:space="preserve">just as </w:t>
      </w:r>
      <w:r w:rsidRPr="00F95F30" w:rsidR="00B44A71">
        <w:t xml:space="preserve">often used to </w:t>
      </w:r>
      <w:r w:rsidRPr="00F95F30" w:rsidR="000B5CF7">
        <w:t xml:space="preserve">refer to </w:t>
      </w:r>
      <w:r w:rsidRPr="00F95F30" w:rsidR="00984FE9">
        <w:t xml:space="preserve">distinctively </w:t>
      </w:r>
      <w:r w:rsidRPr="00F95F30" w:rsidR="000B5CF7">
        <w:t xml:space="preserve">individual acts </w:t>
      </w:r>
      <w:r w:rsidRPr="00F95F30" w:rsidR="009547E4">
        <w:t>that</w:t>
      </w:r>
      <w:r w:rsidRPr="00F95F30" w:rsidR="00984FE9">
        <w:t xml:space="preserve">, considered in the aggregate, form </w:t>
      </w:r>
      <w:r w:rsidRPr="00F95F30">
        <w:t xml:space="preserve">a </w:t>
      </w:r>
      <w:r w:rsidRPr="00F95F30" w:rsidR="00984FE9">
        <w:t xml:space="preserve">general </w:t>
      </w:r>
      <w:r w:rsidRPr="00F95F30" w:rsidR="009547E4">
        <w:t>patter</w:t>
      </w:r>
      <w:r w:rsidRPr="00F95F30" w:rsidR="00984FE9">
        <w:t>n.  (</w:t>
      </w:r>
      <w:r w:rsidRPr="00F95F30" w:rsidR="005C2AE1">
        <w:t>Webster’s 3d New Internat. Dict. (2002) p. 444 [“collective” denotes “a number of persons or things considered as constituting one group” or “aggregated”]</w:t>
      </w:r>
      <w:r w:rsidR="005C2AE1">
        <w:t>; s</w:t>
      </w:r>
      <w:r w:rsidRPr="00F95F30" w:rsidR="00984FE9">
        <w:t>ee, e.g.,</w:t>
      </w:r>
      <w:r w:rsidRPr="00F95F30" w:rsidR="00306309">
        <w:rPr>
          <w:i/>
          <w:iCs/>
        </w:rPr>
        <w:t xml:space="preserve"> People v. Miranda-Guerrero</w:t>
      </w:r>
      <w:r w:rsidRPr="00F95F30" w:rsidR="00306309">
        <w:t xml:space="preserve"> (2022) 14 Cal.5th 1, 12 [multiple interrogations </w:t>
      </w:r>
      <w:r w:rsidRPr="00F95F30" w:rsidR="00C10D90">
        <w:t>“</w:t>
      </w:r>
      <w:r w:rsidRPr="00F95F30" w:rsidR="005B5FEB">
        <w:t>collective</w:t>
      </w:r>
      <w:r w:rsidRPr="00F95F30" w:rsidR="00306309">
        <w:t xml:space="preserve">ly” spanned </w:t>
      </w:r>
      <w:r w:rsidRPr="00F95F30" w:rsidR="00953D3A">
        <w:t>a three-day period</w:t>
      </w:r>
      <w:r w:rsidRPr="00F95F30" w:rsidR="005B5FEB">
        <w:t>]</w:t>
      </w:r>
      <w:r w:rsidRPr="00F95F30" w:rsidR="004C0A15">
        <w:t xml:space="preserve">; </w:t>
      </w:r>
      <w:r w:rsidRPr="00F95F30" w:rsidR="00953D3A">
        <w:rPr>
          <w:i/>
          <w:iCs/>
        </w:rPr>
        <w:t>People v. Dalton</w:t>
      </w:r>
      <w:r w:rsidRPr="00F95F30" w:rsidR="00953D3A">
        <w:t xml:space="preserve"> (2019) 7 Cal.5th 166, 262</w:t>
      </w:r>
      <w:r w:rsidRPr="00F95F30" w:rsidR="00953D3A">
        <w:rPr>
          <w:i/>
          <w:iCs/>
        </w:rPr>
        <w:t xml:space="preserve"> </w:t>
      </w:r>
      <w:r w:rsidRPr="00F95F30" w:rsidR="00953D3A">
        <w:t>[various instructions “collectively” conveyed the appropriate concept]</w:t>
      </w:r>
      <w:r w:rsidRPr="00F95F30" w:rsidR="005B5FEB">
        <w:t>.)</w:t>
      </w:r>
      <w:r w:rsidRPr="00F95F30" w:rsidR="00201EE8">
        <w:t xml:space="preserve">  Nor is it clear that the </w:t>
      </w:r>
      <w:r w:rsidRPr="00F95F30" w:rsidR="008172D8">
        <w:t xml:space="preserve">collective engagement </w:t>
      </w:r>
      <w:r w:rsidRPr="00F95F30" w:rsidR="00AC3068">
        <w:t>language</w:t>
      </w:r>
      <w:r w:rsidR="00B744BB">
        <w:t xml:space="preserve">, as it is used in the context of </w:t>
      </w:r>
      <w:r w:rsidRPr="00F95F30" w:rsidR="00953D3A">
        <w:t>section 186.22(</w:t>
      </w:r>
      <w:r w:rsidRPr="00F95F30" w:rsidR="00094FED">
        <w:t>f</w:t>
      </w:r>
      <w:r w:rsidRPr="00F95F30" w:rsidR="00953D3A">
        <w:t>)</w:t>
      </w:r>
      <w:r w:rsidR="00B744BB">
        <w:t>,</w:t>
      </w:r>
      <w:r w:rsidRPr="00F95F30" w:rsidR="00953D3A">
        <w:t xml:space="preserve"> </w:t>
      </w:r>
      <w:r w:rsidRPr="00F95F30" w:rsidR="00201EE8">
        <w:t xml:space="preserve">was </w:t>
      </w:r>
      <w:r w:rsidRPr="00F95F30" w:rsidR="00412E6F">
        <w:t xml:space="preserve">meant </w:t>
      </w:r>
      <w:r w:rsidRPr="00F95F30" w:rsidR="00201EE8">
        <w:t xml:space="preserve">to </w:t>
      </w:r>
      <w:r w:rsidRPr="00F95F30" w:rsidR="00412E6F">
        <w:t>r</w:t>
      </w:r>
      <w:r w:rsidRPr="00F95F30" w:rsidR="00A02EC5">
        <w:t>efer</w:t>
      </w:r>
      <w:r w:rsidRPr="00F95F30" w:rsidR="00412E6F">
        <w:t xml:space="preserve"> </w:t>
      </w:r>
      <w:r w:rsidRPr="00F95F30" w:rsidR="009E7297">
        <w:t xml:space="preserve">to </w:t>
      </w:r>
      <w:r w:rsidRPr="00F95F30" w:rsidR="00201EE8">
        <w:t xml:space="preserve">the </w:t>
      </w:r>
      <w:r w:rsidRPr="00F95F30" w:rsidR="009E7297">
        <w:t>“</w:t>
      </w:r>
      <w:r w:rsidRPr="00F95F30" w:rsidR="00201EE8">
        <w:t>collective</w:t>
      </w:r>
      <w:r w:rsidRPr="00F95F30" w:rsidR="0097781C">
        <w:t>[]</w:t>
      </w:r>
      <w:r w:rsidRPr="00F95F30" w:rsidR="009E7297">
        <w:t>”</w:t>
      </w:r>
      <w:r w:rsidRPr="00F95F30" w:rsidR="00201EE8">
        <w:t xml:space="preserve"> </w:t>
      </w:r>
      <w:r w:rsidRPr="00F95F30" w:rsidR="008E5CC2">
        <w:t xml:space="preserve">engagement </w:t>
      </w:r>
      <w:r w:rsidRPr="00F95F30" w:rsidR="00201EE8">
        <w:t>of just two gang mem</w:t>
      </w:r>
      <w:r w:rsidRPr="00F95F30" w:rsidR="004F1599">
        <w:t>bers</w:t>
      </w:r>
      <w:r w:rsidRPr="00F95F30" w:rsidR="0021598B">
        <w:t>.</w:t>
      </w:r>
      <w:r w:rsidRPr="00F95F30" w:rsidR="00A900B5">
        <w:t xml:space="preserve">  </w:t>
      </w:r>
      <w:r w:rsidRPr="00F95F30" w:rsidR="00DF5F5E">
        <w:t xml:space="preserve">The </w:t>
      </w:r>
      <w:r w:rsidRPr="00F95F30" w:rsidR="00344AE6">
        <w:t>language appears in a general definition of “</w:t>
      </w:r>
      <w:r w:rsidRPr="00F95F30" w:rsidR="002D6F43">
        <w:t> ‘</w:t>
      </w:r>
      <w:r w:rsidRPr="00F95F30" w:rsidR="00344AE6">
        <w:t>criminal street gang,</w:t>
      </w:r>
      <w:r w:rsidRPr="00F95F30" w:rsidR="002D6F43">
        <w:t>’ </w:t>
      </w:r>
      <w:r w:rsidRPr="00F95F30" w:rsidR="00344AE6">
        <w:t>” following a list of attributes pertaining to the gang as a whole:  its size, its primary activities, its “common name or common identifying sign or symbol.”  (§</w:t>
      </w:r>
      <w:r w:rsidRPr="00F95F30" w:rsidR="00094FED">
        <w:t> </w:t>
      </w:r>
      <w:r w:rsidRPr="00F95F30" w:rsidR="00344AE6">
        <w:t xml:space="preserve">186.22(f).)  In that context, the reference to “whose </w:t>
      </w:r>
      <w:r w:rsidRPr="00F95F30" w:rsidR="00344AE6">
        <w:rPr>
          <w:i/>
          <w:iCs/>
        </w:rPr>
        <w:t>members</w:t>
      </w:r>
      <w:r w:rsidRPr="00F95F30" w:rsidR="00344AE6">
        <w:t xml:space="preserve"> collectively engage in, or have engaged in, a pattern of criminal gang activity” </w:t>
      </w:r>
      <w:r w:rsidRPr="00F95F30" w:rsidR="008172D8">
        <w:t>(</w:t>
      </w:r>
      <w:r w:rsidRPr="00F95F30" w:rsidR="008172D8">
        <w:rPr>
          <w:i/>
          <w:iCs/>
        </w:rPr>
        <w:t>ibid</w:t>
      </w:r>
      <w:r w:rsidRPr="00F95F30" w:rsidR="008172D8">
        <w:t xml:space="preserve">., </w:t>
      </w:r>
      <w:r w:rsidRPr="00F95F30" w:rsidR="007E0DF4">
        <w:t>italics</w:t>
      </w:r>
      <w:r w:rsidRPr="00F95F30" w:rsidR="008172D8">
        <w:t xml:space="preserve"> added) </w:t>
      </w:r>
      <w:r w:rsidRPr="00F95F30" w:rsidR="006039D8">
        <w:t xml:space="preserve">appears </w:t>
      </w:r>
      <w:r w:rsidRPr="00F95F30" w:rsidR="00E62112">
        <w:t xml:space="preserve">more </w:t>
      </w:r>
      <w:r w:rsidRPr="00F95F30" w:rsidR="00344AE6">
        <w:t xml:space="preserve">likely intended to refer to </w:t>
      </w:r>
      <w:r w:rsidRPr="00F95F30" w:rsidR="00E83207">
        <w:t xml:space="preserve">at least some measure of </w:t>
      </w:r>
      <w:r w:rsidRPr="00F95F30" w:rsidR="00DA52C9">
        <w:t xml:space="preserve">engagement by </w:t>
      </w:r>
      <w:r w:rsidRPr="00F95F30" w:rsidR="00344AE6">
        <w:t>the gang’s membership as a whole</w:t>
      </w:r>
      <w:r w:rsidRPr="00F95F30" w:rsidR="00456FCF">
        <w:t xml:space="preserve">, rather than referring </w:t>
      </w:r>
      <w:r w:rsidRPr="00F95F30" w:rsidR="00E8747F">
        <w:t xml:space="preserve">just </w:t>
      </w:r>
      <w:r w:rsidRPr="00F95F30" w:rsidR="00456FCF">
        <w:t xml:space="preserve">to </w:t>
      </w:r>
      <w:r w:rsidRPr="00F95F30" w:rsidR="001565F0">
        <w:t xml:space="preserve">the </w:t>
      </w:r>
      <w:r w:rsidRPr="00F95F30" w:rsidR="00456FCF">
        <w:t xml:space="preserve">“collective[]” </w:t>
      </w:r>
      <w:r w:rsidRPr="00F95F30" w:rsidR="00300AA5">
        <w:t xml:space="preserve">actions of </w:t>
      </w:r>
      <w:r w:rsidRPr="00F95F30" w:rsidR="0067639A">
        <w:t>a couple of individual members</w:t>
      </w:r>
      <w:r w:rsidRPr="00F95F30" w:rsidR="00344AE6">
        <w:t>.</w:t>
      </w:r>
    </w:p>
    <w:p w:rsidR="00296DD6" w:rsidRPr="00F95F30" w:rsidP="00516B2A" w14:paraId="3C86BD99" w14:textId="77777777">
      <w:pPr>
        <w:widowControl w:val="0"/>
        <w:tabs>
          <w:tab w:val="left" w:pos="1440"/>
        </w:tabs>
        <w:ind w:firstLine="720"/>
      </w:pPr>
      <w:r>
        <w:t>N</w:t>
      </w:r>
      <w:r w:rsidRPr="00F95F30">
        <w:t xml:space="preserve">or </w:t>
      </w:r>
      <w:r>
        <w:t xml:space="preserve">is the </w:t>
      </w:r>
      <w:r>
        <w:rPr>
          <w:i/>
          <w:iCs/>
        </w:rPr>
        <w:t>Delgado</w:t>
      </w:r>
      <w:r>
        <w:t xml:space="preserve"> court’s reading compelled by consideration of the functional role the collective engagement language plays in the statutory scheme.  The </w:t>
      </w:r>
      <w:r w:rsidRPr="00F95F30" w:rsidR="00C347C1">
        <w:t xml:space="preserve">law recognizes that offenses committed by lone actors </w:t>
      </w:r>
      <w:r w:rsidRPr="00F95F30" w:rsidR="00B06D6E">
        <w:t xml:space="preserve">can be </w:t>
      </w:r>
      <w:r w:rsidR="00457B7F">
        <w:t>gang-related</w:t>
      </w:r>
      <w:r w:rsidRPr="00F95F30" w:rsidR="00C347C1">
        <w:t xml:space="preserve">.  </w:t>
      </w:r>
      <w:r w:rsidRPr="00F95F30" w:rsidR="008F4454">
        <w:t>(</w:t>
      </w:r>
      <w:r w:rsidRPr="00F95F30" w:rsidR="00544354">
        <w:t xml:space="preserve">E.g., </w:t>
      </w:r>
      <w:r w:rsidRPr="00F95F30" w:rsidR="00544354">
        <w:rPr>
          <w:i/>
          <w:iCs/>
        </w:rPr>
        <w:t>People v. Renteria</w:t>
      </w:r>
      <w:r w:rsidRPr="00F95F30" w:rsidR="002D6F43">
        <w:t>,</w:t>
      </w:r>
      <w:r w:rsidRPr="00F95F30" w:rsidR="002D6F43">
        <w:rPr>
          <w:i/>
          <w:iCs/>
        </w:rPr>
        <w:t xml:space="preserve"> supra</w:t>
      </w:r>
      <w:r w:rsidRPr="00F95F30" w:rsidR="002D6F43">
        <w:t>,</w:t>
      </w:r>
      <w:r w:rsidRPr="00F95F30" w:rsidR="002D6F43">
        <w:rPr>
          <w:i/>
          <w:iCs/>
        </w:rPr>
        <w:t xml:space="preserve"> </w:t>
      </w:r>
      <w:r w:rsidRPr="00F95F30" w:rsidR="00544354">
        <w:t xml:space="preserve">13 Cal.5th </w:t>
      </w:r>
      <w:r w:rsidRPr="00F95F30" w:rsidR="002D6F43">
        <w:t>at p. </w:t>
      </w:r>
      <w:r w:rsidRPr="00F95F30" w:rsidR="00A35360">
        <w:t>964</w:t>
      </w:r>
      <w:r w:rsidRPr="00F95F30" w:rsidR="00544354">
        <w:t>.)</w:t>
      </w:r>
      <w:r w:rsidRPr="00F95F30" w:rsidR="00117972">
        <w:t xml:space="preserve">  The law also recognizes that </w:t>
      </w:r>
      <w:r w:rsidRPr="00F95F30" w:rsidR="00AC5BF7">
        <w:t>criminal street gangs typically involve “a network of participants with different roles and varying kinds of involvement.”  (</w:t>
      </w:r>
      <w:r w:rsidRPr="00F95F30" w:rsidR="00AC5BF7">
        <w:rPr>
          <w:i/>
          <w:iCs/>
        </w:rPr>
        <w:t>People v. Johnson</w:t>
      </w:r>
      <w:r w:rsidRPr="00F95F30" w:rsidR="00AC5BF7">
        <w:t xml:space="preserve"> (2013) 57 Cal.4th 250, 266.)  </w:t>
      </w:r>
      <w:r w:rsidRPr="00F95F30" w:rsidR="00F125A8">
        <w:t xml:space="preserve">As the Attorney General here notes, an individual gang member </w:t>
      </w:r>
      <w:r w:rsidRPr="00F95F30" w:rsidR="00AC5BF7">
        <w:t xml:space="preserve">could be responsible for collecting “taxes” from local drug dealers on behalf of the gang, for violently assaulting those who do not pay, or </w:t>
      </w:r>
      <w:r w:rsidRPr="00F95F30" w:rsidR="00F125A8">
        <w:t xml:space="preserve">even </w:t>
      </w:r>
      <w:r w:rsidRPr="00F95F30" w:rsidR="00AC5BF7">
        <w:t xml:space="preserve">for killing </w:t>
      </w:r>
      <w:r w:rsidRPr="00F95F30" w:rsidR="0055620B">
        <w:t>members of rival gangs</w:t>
      </w:r>
      <w:r w:rsidRPr="00F95F30" w:rsidR="00AC5BF7">
        <w:t xml:space="preserve">.  Such offenses, though committed by individual gang members, would seem </w:t>
      </w:r>
      <w:r w:rsidRPr="00F95F30" w:rsidR="00070746">
        <w:t xml:space="preserve">to present no less a concern about </w:t>
      </w:r>
      <w:r w:rsidRPr="00F95F30" w:rsidR="00185A41">
        <w:t>broader patterns of criminal gang activity</w:t>
      </w:r>
      <w:r w:rsidRPr="00F95F30" w:rsidR="00A35360">
        <w:t> </w:t>
      </w:r>
      <w:r w:rsidRPr="00F95F30" w:rsidR="005250D6">
        <w:t>— that is, collective engagement in crime</w:t>
      </w:r>
      <w:r w:rsidRPr="00F95F30" w:rsidR="00A35360">
        <w:t> </w:t>
      </w:r>
      <w:r w:rsidRPr="00F95F30" w:rsidR="005250D6">
        <w:t xml:space="preserve">— </w:t>
      </w:r>
      <w:r w:rsidRPr="00F95F30" w:rsidR="00AC5BF7">
        <w:t>than if they had been committed by two gang members acting together.</w:t>
      </w:r>
      <w:r>
        <w:rPr>
          <w:rStyle w:val="FootnoteReference"/>
        </w:rPr>
        <w:footnoteReference w:id="5"/>
      </w:r>
      <w:r w:rsidRPr="00F95F30" w:rsidR="00B06D6E">
        <w:t xml:space="preserve">  Certainly the Legislature </w:t>
      </w:r>
      <w:r w:rsidR="008A61B4">
        <w:t xml:space="preserve">that enacted Assembly Bill 333 </w:t>
      </w:r>
      <w:r w:rsidRPr="00F95F30" w:rsidR="00B06D6E">
        <w:t>could plausibly so conclude</w:t>
      </w:r>
      <w:r w:rsidR="008A61B4">
        <w:t>.  T</w:t>
      </w:r>
      <w:r w:rsidRPr="00F95F30" w:rsidR="00FA3301">
        <w:t>h</w:t>
      </w:r>
      <w:r w:rsidRPr="00F95F30" w:rsidR="00B06D6E">
        <w:t xml:space="preserve">at </w:t>
      </w:r>
      <w:r w:rsidRPr="00F95F30" w:rsidR="005C68E8">
        <w:t xml:space="preserve">it </w:t>
      </w:r>
      <w:r w:rsidRPr="00F95F30" w:rsidR="00B06D6E">
        <w:t xml:space="preserve">left intact </w:t>
      </w:r>
      <w:r w:rsidRPr="00F95F30" w:rsidR="00A35360">
        <w:t xml:space="preserve">the </w:t>
      </w:r>
      <w:r w:rsidRPr="00F95F30">
        <w:t xml:space="preserve">disjunctive reference to offenses committed “on separate occasions </w:t>
      </w:r>
      <w:r w:rsidRPr="00F95F30">
        <w:rPr>
          <w:i/>
          <w:iCs/>
        </w:rPr>
        <w:t>or</w:t>
      </w:r>
      <w:r w:rsidRPr="00F95F30">
        <w:t xml:space="preserve"> by two or more members” </w:t>
      </w:r>
      <w:r w:rsidRPr="00F95F30" w:rsidR="00A35360">
        <w:t>(§ 186.22(e)(1)</w:t>
      </w:r>
      <w:r w:rsidRPr="00F95F30" w:rsidR="007E0DF4">
        <w:t>, italics added</w:t>
      </w:r>
      <w:r w:rsidRPr="00F95F30" w:rsidR="00A35360">
        <w:t>)</w:t>
      </w:r>
      <w:r w:rsidRPr="00F95F30" w:rsidR="007E0DF4">
        <w:t>,</w:t>
      </w:r>
      <w:r w:rsidRPr="00F95F30" w:rsidR="00A35360">
        <w:t xml:space="preserve"> </w:t>
      </w:r>
      <w:r w:rsidRPr="00F95F30">
        <w:t xml:space="preserve">suggests </w:t>
      </w:r>
      <w:r w:rsidRPr="00F95F30" w:rsidR="007016EE">
        <w:t xml:space="preserve">it </w:t>
      </w:r>
      <w:r w:rsidRPr="00F95F30">
        <w:t xml:space="preserve">did just that.  </w:t>
      </w:r>
    </w:p>
    <w:p w:rsidR="00EB6CA6" w:rsidRPr="00F95F30" w:rsidP="00DB41D0" w14:paraId="3C86BD9A" w14:textId="77777777">
      <w:pPr>
        <w:pStyle w:val="Heading2"/>
      </w:pPr>
      <w:r w:rsidRPr="00F95F30">
        <w:t>C.</w:t>
      </w:r>
    </w:p>
    <w:p w:rsidR="00144F4E" w:rsidRPr="00F95F30" w:rsidP="00F95F30" w14:paraId="3C86BD9B" w14:textId="77777777">
      <w:pPr>
        <w:widowControl w:val="0"/>
        <w:tabs>
          <w:tab w:val="left" w:pos="1440"/>
        </w:tabs>
        <w:ind w:firstLine="720"/>
      </w:pPr>
      <w:r w:rsidRPr="00F95F30">
        <w:t xml:space="preserve">The question, </w:t>
      </w:r>
      <w:r w:rsidRPr="00F95F30" w:rsidR="003C22FC">
        <w:t>however</w:t>
      </w:r>
      <w:r w:rsidRPr="00F95F30">
        <w:t xml:space="preserve">, remains:  If the </w:t>
      </w:r>
      <w:r w:rsidRPr="00F95F30" w:rsidR="00724638">
        <w:t xml:space="preserve">“collectively engage” language in section 186.22(f) </w:t>
      </w:r>
      <w:r w:rsidRPr="00F95F30">
        <w:t>does not mean that each predicate offense must have been committed by at least two gang members acting in concert, then what does it mean?</w:t>
      </w:r>
      <w:r w:rsidRPr="00F95F30" w:rsidR="00382239">
        <w:t xml:space="preserve">  </w:t>
      </w:r>
      <w:r w:rsidRPr="00F95F30" w:rsidR="00632E6F">
        <w:t xml:space="preserve">The </w:t>
      </w:r>
      <w:r w:rsidRPr="00F95F30" w:rsidR="006D0097">
        <w:t>language does not point to clear answer</w:t>
      </w:r>
      <w:r w:rsidRPr="00F95F30" w:rsidR="00864A5E">
        <w:t>s</w:t>
      </w:r>
      <w:r w:rsidRPr="00F95F30" w:rsidR="00AF6A57">
        <w:t xml:space="preserve">.  </w:t>
      </w:r>
      <w:r w:rsidR="00D10208">
        <w:t xml:space="preserve">In briefing the issue in this court, </w:t>
      </w:r>
      <w:r w:rsidRPr="00F95F30" w:rsidR="006D0097">
        <w:t xml:space="preserve">the </w:t>
      </w:r>
      <w:r w:rsidRPr="00F95F30" w:rsidR="00632E6F">
        <w:t xml:space="preserve">Attorney General </w:t>
      </w:r>
      <w:r w:rsidR="00967CE0">
        <w:t xml:space="preserve">has </w:t>
      </w:r>
      <w:r w:rsidRPr="00F95F30" w:rsidR="004F54C2">
        <w:t>offer</w:t>
      </w:r>
      <w:r w:rsidR="00967CE0">
        <w:t>ed</w:t>
      </w:r>
      <w:r w:rsidRPr="00F95F30" w:rsidR="004F54C2">
        <w:t xml:space="preserve"> one possibility.</w:t>
      </w:r>
      <w:r w:rsidRPr="00F95F30" w:rsidR="00BD4020">
        <w:t xml:space="preserve">  </w:t>
      </w:r>
      <w:r w:rsidRPr="00F95F30" w:rsidR="00365EE1">
        <w:t xml:space="preserve">He </w:t>
      </w:r>
      <w:r w:rsidRPr="00F95F30" w:rsidR="00626B47">
        <w:t>suggest</w:t>
      </w:r>
      <w:r w:rsidRPr="00F95F30" w:rsidR="00365EE1">
        <w:t>s</w:t>
      </w:r>
      <w:r w:rsidRPr="00F95F30" w:rsidR="00626B47">
        <w:t xml:space="preserve"> that by eliminating the </w:t>
      </w:r>
      <w:r w:rsidRPr="00F95F30" w:rsidR="00DD7161">
        <w:t xml:space="preserve">reference to </w:t>
      </w:r>
      <w:r w:rsidRPr="00F95F30" w:rsidR="00626B47">
        <w:t xml:space="preserve">a gang’s members “individually” </w:t>
      </w:r>
      <w:r w:rsidRPr="00F95F30" w:rsidR="006742B3">
        <w:t>engag</w:t>
      </w:r>
      <w:r w:rsidRPr="00F95F30" w:rsidR="00626B47">
        <w:t>ing</w:t>
      </w:r>
      <w:r w:rsidRPr="00F95F30" w:rsidR="006742B3">
        <w:t xml:space="preserve"> </w:t>
      </w:r>
      <w:r w:rsidRPr="00F95F30" w:rsidR="00C4691C">
        <w:t>in a pattern of criminal gang activity</w:t>
      </w:r>
      <w:r w:rsidRPr="00F95F30" w:rsidR="00365EE1">
        <w:t xml:space="preserve"> and </w:t>
      </w:r>
      <w:r w:rsidRPr="00F95F30" w:rsidR="00826D21">
        <w:t xml:space="preserve">instead </w:t>
      </w:r>
      <w:r w:rsidRPr="00F95F30" w:rsidR="00365EE1">
        <w:t xml:space="preserve">focusing </w:t>
      </w:r>
      <w:r w:rsidRPr="00F95F30" w:rsidR="00826D21">
        <w:t xml:space="preserve">solely </w:t>
      </w:r>
      <w:r w:rsidRPr="00F95F30" w:rsidR="00365EE1">
        <w:t xml:space="preserve">on </w:t>
      </w:r>
      <w:r w:rsidRPr="00F95F30" w:rsidR="00EF42F3">
        <w:t>“</w:t>
      </w:r>
      <w:r w:rsidRPr="00F95F30" w:rsidR="00365EE1">
        <w:t>collective</w:t>
      </w:r>
      <w:r w:rsidRPr="00F95F30" w:rsidR="00EF42F3">
        <w:t>[]”</w:t>
      </w:r>
      <w:r w:rsidRPr="00F95F30" w:rsidR="00365EE1">
        <w:t xml:space="preserve"> </w:t>
      </w:r>
      <w:r w:rsidRPr="00F95F30" w:rsidR="00826D21">
        <w:t>engagement</w:t>
      </w:r>
      <w:r w:rsidRPr="00F95F30" w:rsidR="00C4691C">
        <w:t xml:space="preserve">, the Legislature was </w:t>
      </w:r>
      <w:r w:rsidRPr="00F95F30" w:rsidR="004810AE">
        <w:t>align</w:t>
      </w:r>
      <w:r w:rsidR="002D5B4E">
        <w:t>ing</w:t>
      </w:r>
      <w:r w:rsidRPr="00F95F30" w:rsidR="00C4691C">
        <w:t xml:space="preserve"> the </w:t>
      </w:r>
      <w:r w:rsidRPr="00F95F30" w:rsidR="009A02BC">
        <w:t xml:space="preserve">relevant portion of the </w:t>
      </w:r>
      <w:r w:rsidRPr="00F95F30" w:rsidR="00C4691C">
        <w:t>definition of a criminal street gang in section 186.22(f)</w:t>
      </w:r>
      <w:r w:rsidRPr="00F95F30" w:rsidR="005736D2">
        <w:t xml:space="preserve"> with other </w:t>
      </w:r>
      <w:r w:rsidRPr="00F95F30" w:rsidR="009153E6">
        <w:t xml:space="preserve">statutory </w:t>
      </w:r>
      <w:r w:rsidRPr="00F95F30" w:rsidR="005736D2">
        <w:t>changes</w:t>
      </w:r>
      <w:r w:rsidRPr="00F95F30" w:rsidR="009A75A5">
        <w:t>,</w:t>
      </w:r>
      <w:r w:rsidRPr="00F95F30" w:rsidR="009153E6">
        <w:t xml:space="preserve"> </w:t>
      </w:r>
      <w:r w:rsidRPr="00F95F30" w:rsidR="009A02BC">
        <w:t>primarily</w:t>
      </w:r>
      <w:r w:rsidRPr="00F95F30" w:rsidR="009153E6">
        <w:t>, the new requirement that the prosecution prove that each predicate offense confer</w:t>
      </w:r>
      <w:r w:rsidRPr="00F95F30" w:rsidR="00833975">
        <w:t>red</w:t>
      </w:r>
      <w:r w:rsidRPr="00F95F30" w:rsidR="009153E6">
        <w:t xml:space="preserve"> a “common benefit” to the gang (§</w:t>
      </w:r>
      <w:r w:rsidRPr="00F95F30" w:rsidR="007E0DF4">
        <w:t> </w:t>
      </w:r>
      <w:r w:rsidRPr="00F95F30" w:rsidR="009153E6">
        <w:t>186.22(</w:t>
      </w:r>
      <w:r w:rsidRPr="00F95F30" w:rsidR="007550E1">
        <w:t>e</w:t>
      </w:r>
      <w:r w:rsidRPr="00F95F30" w:rsidR="009153E6">
        <w:t>)</w:t>
      </w:r>
      <w:r w:rsidRPr="00F95F30" w:rsidR="007550E1">
        <w:t>(1)</w:t>
      </w:r>
      <w:r w:rsidRPr="00F95F30" w:rsidR="009A02BC">
        <w:t>)</w:t>
      </w:r>
      <w:r w:rsidRPr="00F95F30" w:rsidR="00833975">
        <w:t>.</w:t>
      </w:r>
      <w:r>
        <w:rPr>
          <w:rStyle w:val="FootnoteReference"/>
        </w:rPr>
        <w:footnoteReference w:id="6"/>
      </w:r>
    </w:p>
    <w:p w:rsidR="00AE0605" w:rsidRPr="00F95F30" w:rsidP="00F95F30" w14:paraId="3C86BD9C" w14:textId="77777777">
      <w:pPr>
        <w:widowControl w:val="0"/>
        <w:tabs>
          <w:tab w:val="left" w:pos="1440"/>
        </w:tabs>
        <w:ind w:firstLine="720"/>
      </w:pPr>
      <w:r w:rsidRPr="00F95F30">
        <w:t xml:space="preserve">Under the amended version of the statute, </w:t>
      </w:r>
      <w:r w:rsidRPr="00F95F30" w:rsidR="0074196F">
        <w:t>each predicate offense must have conferred a “common benefit,” where the common benefit is “</w:t>
      </w:r>
      <w:r w:rsidRPr="00F95F30">
        <w:t>more than reputational</w:t>
      </w:r>
      <w:r w:rsidRPr="00F95F30" w:rsidR="00146033">
        <w:t>.</w:t>
      </w:r>
      <w:r w:rsidRPr="00F95F30">
        <w:t>”</w:t>
      </w:r>
      <w:r w:rsidRPr="00F95F30" w:rsidR="00D20F0A">
        <w:t xml:space="preserve"> </w:t>
      </w:r>
      <w:r w:rsidRPr="00F95F30">
        <w:t xml:space="preserve"> (</w:t>
      </w:r>
      <w:r w:rsidRPr="00F95F30" w:rsidR="00D20F0A">
        <w:t>§ 186.22(e)(1)</w:t>
      </w:r>
      <w:r w:rsidRPr="00F95F30" w:rsidR="00043C49">
        <w:t>.</w:t>
      </w:r>
      <w:r w:rsidRPr="00F95F30">
        <w:t>)</w:t>
      </w:r>
      <w:r w:rsidRPr="00F95F30" w:rsidR="00146033">
        <w:t xml:space="preserve">  </w:t>
      </w:r>
      <w:r w:rsidRPr="00F95F30" w:rsidR="00080862">
        <w:t>“</w:t>
      </w:r>
      <w:r w:rsidRPr="001020DC" w:rsidR="00146033">
        <w:t>E</w:t>
      </w:r>
      <w:r w:rsidRPr="001020DC" w:rsidR="00080862">
        <w:t>xamples of a common benefit that are [</w:t>
      </w:r>
      <w:r w:rsidRPr="001020DC" w:rsidR="00080862">
        <w:rPr>
          <w:i/>
          <w:iCs/>
        </w:rPr>
        <w:t>sic</w:t>
      </w:r>
      <w:r w:rsidRPr="001020DC" w:rsidR="00080862">
        <w:t>] more than reputational may include, but are not limited to, financial gain or motivation, retaliation, targeting a perceived or actual gang rival, or intimidation or silencing of a potential current or previous witness or informant</w:t>
      </w:r>
      <w:r w:rsidRPr="001020DC" w:rsidR="00043C49">
        <w:t>.</w:t>
      </w:r>
      <w:r w:rsidRPr="001020DC" w:rsidR="00080862">
        <w:t>”</w:t>
      </w:r>
      <w:r w:rsidRPr="00F95F30" w:rsidR="00043C49">
        <w:t xml:space="preserve">  </w:t>
      </w:r>
      <w:r w:rsidRPr="00F95F30" w:rsidR="00080862">
        <w:t>(</w:t>
      </w:r>
      <w:r w:rsidRPr="00F95F30" w:rsidR="00043C49">
        <w:rPr>
          <w:i/>
          <w:iCs/>
        </w:rPr>
        <w:t>I</w:t>
      </w:r>
      <w:r w:rsidRPr="00F95F30" w:rsidR="00080862">
        <w:rPr>
          <w:i/>
          <w:iCs/>
        </w:rPr>
        <w:t>d.</w:t>
      </w:r>
      <w:r w:rsidRPr="00F95F30" w:rsidR="00080862">
        <w:t>, subd. (g).)</w:t>
      </w:r>
      <w:r w:rsidRPr="00F95F30" w:rsidR="00043C49">
        <w:t xml:space="preserve">  </w:t>
      </w:r>
      <w:r w:rsidRPr="00F95F30" w:rsidR="000C3D51">
        <w:t xml:space="preserve">The Attorney General </w:t>
      </w:r>
      <w:r w:rsidRPr="00F95F30" w:rsidR="008F1E16">
        <w:t xml:space="preserve">notes that this change evidences Assembly Bill 333’s “broader focus on viewing a criminal street gang as an organized, collective entity” rather than a loose grouping of individuals who </w:t>
      </w:r>
      <w:r w:rsidRPr="00F95F30" w:rsidR="00F17452">
        <w:t xml:space="preserve">may </w:t>
      </w:r>
      <w:r w:rsidRPr="00F95F30" w:rsidR="008F1E16">
        <w:t>commit crimes</w:t>
      </w:r>
      <w:r w:rsidRPr="00F95F30" w:rsidR="005A70DC">
        <w:t xml:space="preserve"> for their own purposes</w:t>
      </w:r>
      <w:r w:rsidRPr="00F95F30" w:rsidR="008F1E16">
        <w:t xml:space="preserve">.  </w:t>
      </w:r>
      <w:r w:rsidR="002D4043">
        <w:t>In the briefing, t</w:t>
      </w:r>
      <w:r w:rsidRPr="00F95F30" w:rsidR="007C7210">
        <w:t xml:space="preserve">he Attorney General </w:t>
      </w:r>
      <w:r w:rsidR="00E400D7">
        <w:t xml:space="preserve">has </w:t>
      </w:r>
      <w:r w:rsidRPr="00F95F30" w:rsidR="007C7210">
        <w:t>argue</w:t>
      </w:r>
      <w:r w:rsidR="00E400D7">
        <w:t>d</w:t>
      </w:r>
      <w:r w:rsidRPr="00F95F30" w:rsidR="0023470A">
        <w:t xml:space="preserve"> that it is consistent with that focus to regard proof of </w:t>
      </w:r>
      <w:r w:rsidR="00DB061E">
        <w:t xml:space="preserve">a </w:t>
      </w:r>
      <w:r w:rsidRPr="00F95F30" w:rsidR="0023470A">
        <w:t xml:space="preserve">common benefit </w:t>
      </w:r>
      <w:r w:rsidRPr="00F95F30" w:rsidR="005609B2">
        <w:t xml:space="preserve">from the predicate offenses </w:t>
      </w:r>
      <w:r w:rsidRPr="00F95F30" w:rsidR="0023470A">
        <w:t xml:space="preserve">as </w:t>
      </w:r>
      <w:r w:rsidRPr="00F95F30" w:rsidR="000C3D51">
        <w:t xml:space="preserve">sufficient to establish </w:t>
      </w:r>
      <w:r w:rsidRPr="00F95F30" w:rsidR="009E3684">
        <w:t xml:space="preserve">collective engagement in a </w:t>
      </w:r>
      <w:r w:rsidRPr="00F95F30" w:rsidR="000C3D51">
        <w:t xml:space="preserve">pattern of criminal gang activity.  </w:t>
      </w:r>
      <w:r w:rsidRPr="00F95F30" w:rsidR="00FD7B36">
        <w:t xml:space="preserve">The </w:t>
      </w:r>
      <w:r w:rsidRPr="00F95F30" w:rsidR="00A337DF">
        <w:t xml:space="preserve">Attorney </w:t>
      </w:r>
      <w:r w:rsidR="004E442E">
        <w:t>G</w:t>
      </w:r>
      <w:r w:rsidRPr="00F95F30" w:rsidR="00A337DF">
        <w:t>eneral offers</w:t>
      </w:r>
      <w:r w:rsidRPr="00F95F30" w:rsidR="00FD7B36">
        <w:t xml:space="preserve">, by way of example, a scenario involving offenses committed by </w:t>
      </w:r>
      <w:r w:rsidRPr="00F95F30" w:rsidR="00A337DF">
        <w:t>three individual</w:t>
      </w:r>
      <w:r w:rsidRPr="00F95F30" w:rsidR="00873D63">
        <w:t xml:space="preserve"> gang members</w:t>
      </w:r>
      <w:r w:rsidRPr="00F95F30" w:rsidR="00FD7B36">
        <w:t xml:space="preserve">:  </w:t>
      </w:r>
      <w:r w:rsidRPr="00F95F30" w:rsidR="00A337DF">
        <w:t>one who s</w:t>
      </w:r>
      <w:r w:rsidRPr="00F95F30" w:rsidR="00EB1604">
        <w:t>ells</w:t>
      </w:r>
      <w:r w:rsidRPr="00F95F30" w:rsidR="00A337DF">
        <w:t xml:space="preserve"> drugs for the gang, a second who murder</w:t>
      </w:r>
      <w:r w:rsidRPr="00F95F30" w:rsidR="00EB1604">
        <w:t>s</w:t>
      </w:r>
      <w:r w:rsidRPr="00F95F30" w:rsidR="00A337DF">
        <w:t xml:space="preserve"> a rival drug dealer, and a third who t</w:t>
      </w:r>
      <w:r w:rsidRPr="00F95F30" w:rsidR="00EB1604">
        <w:t>akes</w:t>
      </w:r>
      <w:r w:rsidRPr="00F95F30" w:rsidR="00A337DF">
        <w:t xml:space="preserve"> possession of the murder weapon </w:t>
      </w:r>
      <w:r w:rsidRPr="00F95F30" w:rsidR="00EB1604">
        <w:t>to make it difficult to identify the perpetrator</w:t>
      </w:r>
      <w:r w:rsidRPr="00F95F30" w:rsidR="00B164DF">
        <w:t xml:space="preserve"> of the murder</w:t>
      </w:r>
      <w:r w:rsidRPr="00F95F30" w:rsidR="00A337DF">
        <w:t xml:space="preserve">.  </w:t>
      </w:r>
      <w:r w:rsidRPr="00F95F30" w:rsidR="00C70C66">
        <w:t xml:space="preserve">The </w:t>
      </w:r>
      <w:r w:rsidRPr="00F95F30" w:rsidR="00FD7B36">
        <w:t>offense</w:t>
      </w:r>
      <w:r w:rsidRPr="00F95F30" w:rsidR="00C70C66">
        <w:t>s</w:t>
      </w:r>
      <w:r w:rsidRPr="00F95F30" w:rsidR="00FD7B36">
        <w:t>, though committed by individual gang member</w:t>
      </w:r>
      <w:r w:rsidRPr="00F95F30" w:rsidR="00C70C66">
        <w:t>s</w:t>
      </w:r>
      <w:r w:rsidRPr="00F95F30" w:rsidR="00FD7B36">
        <w:t xml:space="preserve">, </w:t>
      </w:r>
      <w:r w:rsidRPr="00F95F30" w:rsidR="00C70C66">
        <w:t xml:space="preserve">all </w:t>
      </w:r>
      <w:r w:rsidRPr="00F95F30" w:rsidR="00FD7B36">
        <w:t>confer a common benefit to the gang as a whole</w:t>
      </w:r>
      <w:r w:rsidRPr="00F95F30" w:rsidR="002C2351">
        <w:t xml:space="preserve">.  And in so doing, the Attorney General argues, </w:t>
      </w:r>
      <w:r w:rsidRPr="00F95F30" w:rsidR="00C70C66">
        <w:t xml:space="preserve">they </w:t>
      </w:r>
      <w:r w:rsidR="007D72EF">
        <w:t xml:space="preserve">also </w:t>
      </w:r>
      <w:r w:rsidRPr="00F95F30" w:rsidR="002C2351">
        <w:t>demonstrate the gang’s collective engagement.</w:t>
      </w:r>
    </w:p>
    <w:p w:rsidR="00EC614B" w:rsidRPr="00F95F30" w:rsidP="00F95F30" w14:paraId="3C86BD9D" w14:textId="77777777">
      <w:pPr>
        <w:widowControl w:val="0"/>
        <w:tabs>
          <w:tab w:val="left" w:pos="720"/>
        </w:tabs>
      </w:pPr>
      <w:r w:rsidRPr="00F95F30">
        <w:tab/>
      </w:r>
      <w:r w:rsidRPr="00F95F30" w:rsidR="00831F55">
        <w:t>This view</w:t>
      </w:r>
      <w:r w:rsidRPr="00F95F30" w:rsidR="00E72D8E">
        <w:t> </w:t>
      </w:r>
      <w:r w:rsidRPr="00F95F30" w:rsidR="00B412DD">
        <w:t xml:space="preserve">— under which the collective engagement </w:t>
      </w:r>
      <w:r w:rsidRPr="00F95F30" w:rsidR="00A61187">
        <w:t xml:space="preserve">language </w:t>
      </w:r>
      <w:r w:rsidRPr="00F95F30" w:rsidR="00BD0386">
        <w:t xml:space="preserve">merely </w:t>
      </w:r>
      <w:r w:rsidRPr="00F95F30" w:rsidR="00B412DD">
        <w:t>reinforces</w:t>
      </w:r>
      <w:r w:rsidRPr="00F95F30" w:rsidR="00BD0386">
        <w:t xml:space="preserve"> </w:t>
      </w:r>
      <w:r w:rsidRPr="00F95F30" w:rsidR="00B412DD">
        <w:t xml:space="preserve">the </w:t>
      </w:r>
      <w:r w:rsidRPr="00F95F30" w:rsidR="00A61187">
        <w:t>new requirement that the predicate offenses confer a common benefit on the gang</w:t>
      </w:r>
      <w:r w:rsidRPr="00F95F30" w:rsidR="00BD0386">
        <w:t>, without adding anything to it</w:t>
      </w:r>
      <w:r w:rsidRPr="00F95F30" w:rsidR="00E72D8E">
        <w:t> </w:t>
      </w:r>
      <w:r w:rsidRPr="00F95F30" w:rsidR="00B412DD">
        <w:t xml:space="preserve">— is not </w:t>
      </w:r>
      <w:r w:rsidR="00C15760">
        <w:t xml:space="preserve">entirely </w:t>
      </w:r>
      <w:r w:rsidRPr="00F95F30" w:rsidR="00B412DD">
        <w:t>implausible</w:t>
      </w:r>
      <w:r w:rsidR="00C15760">
        <w:t>.</w:t>
      </w:r>
      <w:r w:rsidRPr="00F95F30" w:rsidR="00671D17">
        <w:t xml:space="preserve"> </w:t>
      </w:r>
      <w:r w:rsidR="00C15760">
        <w:t xml:space="preserve"> B</w:t>
      </w:r>
      <w:r w:rsidRPr="00F95F30" w:rsidR="00671D17">
        <w:t xml:space="preserve">ut </w:t>
      </w:r>
      <w:r w:rsidRPr="00F95F30" w:rsidR="005F020E">
        <w:t xml:space="preserve">neither is it </w:t>
      </w:r>
      <w:r w:rsidRPr="00F95F30" w:rsidR="00947C93">
        <w:t xml:space="preserve">obviously </w:t>
      </w:r>
      <w:r w:rsidRPr="00F95F30" w:rsidR="005F020E">
        <w:t xml:space="preserve">correct.  </w:t>
      </w:r>
      <w:r w:rsidRPr="00F95F30" w:rsidR="00A61187">
        <w:t xml:space="preserve">It is certainly reasonable to conclude that </w:t>
      </w:r>
      <w:r w:rsidRPr="00F95F30" w:rsidR="00BD0386">
        <w:t xml:space="preserve">the </w:t>
      </w:r>
      <w:r w:rsidR="007D72EF">
        <w:t xml:space="preserve">collective engagement and common benefit </w:t>
      </w:r>
      <w:r w:rsidRPr="00F95F30" w:rsidR="00BD0386">
        <w:t xml:space="preserve">changes are </w:t>
      </w:r>
      <w:r w:rsidRPr="00F95F30" w:rsidR="006866B0">
        <w:t>related</w:t>
      </w:r>
      <w:r w:rsidRPr="00F95F30" w:rsidR="00BD0386">
        <w:t xml:space="preserve">, insofar as both changes represent a shift </w:t>
      </w:r>
      <w:r w:rsidRPr="00F95F30" w:rsidR="009E3DA6">
        <w:t xml:space="preserve">in emphasis </w:t>
      </w:r>
      <w:r w:rsidRPr="00F95F30" w:rsidR="00BD0386">
        <w:t>toward the attributes that connect individual criminal acts to the larger gang</w:t>
      </w:r>
      <w:r w:rsidRPr="00F95F30" w:rsidR="009E3DA6">
        <w:t xml:space="preserve"> as a collective enterprise</w:t>
      </w:r>
      <w:r w:rsidRPr="00F95F30" w:rsidR="00BD0386">
        <w:t>.</w:t>
      </w:r>
      <w:r w:rsidRPr="00F95F30" w:rsidR="009E3DA6">
        <w:t xml:space="preserve">  </w:t>
      </w:r>
      <w:r w:rsidR="007D72EF">
        <w:t>A</w:t>
      </w:r>
      <w:r w:rsidR="00266D94">
        <w:t xml:space="preserve">t the same time, </w:t>
      </w:r>
      <w:r w:rsidR="007D72EF">
        <w:t>t</w:t>
      </w:r>
      <w:r w:rsidRPr="00F95F30" w:rsidR="004A24EE">
        <w:t>he</w:t>
      </w:r>
      <w:r w:rsidRPr="00F95F30" w:rsidR="00434FCC">
        <w:t>re is</w:t>
      </w:r>
      <w:r w:rsidR="007D72EF">
        <w:t xml:space="preserve"> </w:t>
      </w:r>
      <w:r w:rsidRPr="00F95F30" w:rsidR="00434FCC">
        <w:t>a</w:t>
      </w:r>
      <w:r w:rsidRPr="00F95F30" w:rsidR="004A4D1C">
        <w:t>t least a</w:t>
      </w:r>
      <w:r w:rsidRPr="00F95F30" w:rsidR="00434FCC">
        <w:t xml:space="preserve"> conceptual difference between </w:t>
      </w:r>
      <w:r w:rsidRPr="00F95F30" w:rsidR="00F02B12">
        <w:t xml:space="preserve">a requirement that </w:t>
      </w:r>
      <w:r w:rsidRPr="00F95F30" w:rsidR="00216D6D">
        <w:t>members of a gang collectively engage in the pattern of criminal activity shown by predicate offenses, on the one hand, and a requirement that each predicate offense commonly benefited the gang, on the other.</w:t>
      </w:r>
      <w:r w:rsidRPr="00F95F30" w:rsidR="00CF5B93">
        <w:t xml:space="preserve">  </w:t>
      </w:r>
      <w:r w:rsidRPr="00F95F30" w:rsidR="007A0702">
        <w:t>A</w:t>
      </w:r>
      <w:r w:rsidRPr="00F95F30" w:rsidR="00CF5B93">
        <w:t xml:space="preserve"> group of people can benefit from the acts of another without having collectively engaged in them.</w:t>
      </w:r>
      <w:r w:rsidRPr="00F95F30" w:rsidR="0091630F">
        <w:t xml:space="preserve"> </w:t>
      </w:r>
      <w:r w:rsidRPr="00F95F30">
        <w:t xml:space="preserve"> A crime may achieve a benefit for the entire gang, and yet say little about collective engagement.  An enterprising gang member, for example, may take it upon himself to perform a one-time act of embezzlement from his workplace that generates proceeds enjoyed by the gang, though the gang is neither aware of nor </w:t>
      </w:r>
      <w:r w:rsidRPr="00F95F30" w:rsidR="00EA7AE9">
        <w:t xml:space="preserve">condones </w:t>
      </w:r>
      <w:r w:rsidRPr="00F95F30">
        <w:t xml:space="preserve">the gang member’s brand of freelancing.  </w:t>
      </w:r>
    </w:p>
    <w:p w:rsidR="000D0C7E" w:rsidRPr="00F95F30" w:rsidP="00F95F30" w14:paraId="3C86BD9E" w14:textId="77777777">
      <w:pPr>
        <w:widowControl w:val="0"/>
        <w:tabs>
          <w:tab w:val="left" w:pos="720"/>
        </w:tabs>
        <w:ind w:firstLine="720"/>
      </w:pPr>
      <w:r w:rsidRPr="00F95F30">
        <w:t xml:space="preserve">The Attorney General’s </w:t>
      </w:r>
      <w:r w:rsidRPr="00F95F30" w:rsidR="005B02A3">
        <w:t xml:space="preserve">proffered </w:t>
      </w:r>
      <w:r w:rsidRPr="00F95F30">
        <w:t>example</w:t>
      </w:r>
      <w:r w:rsidRPr="00F95F30" w:rsidR="003E5A0A">
        <w:t xml:space="preserve"> </w:t>
      </w:r>
      <w:r w:rsidRPr="00F95F30">
        <w:t>does suggest collective engagement in the predicate offenses</w:t>
      </w:r>
      <w:r w:rsidR="00DB061E">
        <w:t>, b</w:t>
      </w:r>
      <w:r w:rsidRPr="00F95F30">
        <w:t xml:space="preserve">ut there is more at work in the example than </w:t>
      </w:r>
      <w:r w:rsidRPr="00F95F30" w:rsidR="00296440">
        <w:t xml:space="preserve">just </w:t>
      </w:r>
      <w:r w:rsidR="003101E1">
        <w:t xml:space="preserve">a </w:t>
      </w:r>
      <w:r w:rsidRPr="00F95F30">
        <w:t xml:space="preserve">common benefit.  As the Attorney General himself describes it, the example is designed to show how “the term ‘collectively’ in </w:t>
      </w:r>
      <w:r w:rsidRPr="00F95F30" w:rsidR="00861527">
        <w:t>[</w:t>
      </w:r>
      <w:r w:rsidRPr="00F95F30">
        <w:t>s</w:t>
      </w:r>
      <w:r w:rsidRPr="00F95F30" w:rsidR="007A1817">
        <w:t>ection 186.22</w:t>
      </w:r>
      <w:r w:rsidRPr="00F95F30" w:rsidR="00861527">
        <w:t>]</w:t>
      </w:r>
      <w:r w:rsidRPr="00F95F30">
        <w:t xml:space="preserve">(f) is most naturally read to comport with the common structure of gangs and account for individual members’ various roles in committing crimes for the common benefit of the gang, viewed as a collective enterprise.”  </w:t>
      </w:r>
      <w:r w:rsidRPr="00F95F30" w:rsidR="00871001">
        <w:t>The concepts the Attorney General invokes here</w:t>
      </w:r>
      <w:r w:rsidRPr="00F95F30" w:rsidR="0084206A">
        <w:t> </w:t>
      </w:r>
      <w:r w:rsidRPr="00F95F30" w:rsidR="00871001">
        <w:t xml:space="preserve">— concerning the gang’s </w:t>
      </w:r>
      <w:r w:rsidRPr="00F95F30" w:rsidR="00D82213">
        <w:t xml:space="preserve">organizational </w:t>
      </w:r>
      <w:r w:rsidRPr="00F95F30" w:rsidR="00871001">
        <w:t>structure</w:t>
      </w:r>
      <w:r w:rsidRPr="00F95F30" w:rsidR="00A41DF4">
        <w:t>; the roles individual members play in carrying out its primary activities; and consideration of the gang as a collective enterprise</w:t>
      </w:r>
      <w:r w:rsidRPr="00F95F30" w:rsidR="0084206A">
        <w:t> </w:t>
      </w:r>
      <w:r w:rsidRPr="00F95F30" w:rsidR="004C0334">
        <w:t xml:space="preserve">— are all </w:t>
      </w:r>
      <w:r w:rsidRPr="00F95F30" w:rsidR="00A96875">
        <w:t xml:space="preserve">concepts </w:t>
      </w:r>
      <w:r w:rsidRPr="00F95F30" w:rsidR="004C0334">
        <w:t xml:space="preserve">that may overlap, but </w:t>
      </w:r>
      <w:r w:rsidR="00707FDD">
        <w:t xml:space="preserve">are not always </w:t>
      </w:r>
      <w:r w:rsidRPr="00F95F30" w:rsidR="004C0334">
        <w:t xml:space="preserve">coextensive with </w:t>
      </w:r>
      <w:r w:rsidRPr="00F95F30" w:rsidR="00A12678">
        <w:t xml:space="preserve">the question </w:t>
      </w:r>
      <w:r w:rsidRPr="00F95F30" w:rsidR="004C0334">
        <w:t>whether individual members’ offenses conferred a common benefit on the gang.</w:t>
      </w:r>
    </w:p>
    <w:p w:rsidR="00702077" w:rsidRPr="00F95F30" w:rsidP="00DB41D0" w14:paraId="3C86BD9F" w14:textId="77777777">
      <w:pPr>
        <w:pStyle w:val="Heading2"/>
      </w:pPr>
      <w:r w:rsidRPr="00F95F30">
        <w:t>D</w:t>
      </w:r>
      <w:r w:rsidRPr="00F95F30" w:rsidR="000D0C7E">
        <w:t>.</w:t>
      </w:r>
    </w:p>
    <w:p w:rsidR="006D0097" w:rsidRPr="00F95F30" w:rsidP="000819F1" w14:paraId="3C86BDA0" w14:textId="77777777">
      <w:pPr>
        <w:widowControl w:val="0"/>
        <w:tabs>
          <w:tab w:val="left" w:pos="720"/>
        </w:tabs>
      </w:pPr>
      <w:r w:rsidRPr="00F95F30">
        <w:tab/>
      </w:r>
      <w:r w:rsidR="00EB2746">
        <w:t>Ultimately, t</w:t>
      </w:r>
      <w:r w:rsidRPr="00F95F30" w:rsidR="00AB39C0">
        <w:t xml:space="preserve">o </w:t>
      </w:r>
      <w:r w:rsidRPr="00F95F30" w:rsidR="00DA2F5C">
        <w:t xml:space="preserve">discern </w:t>
      </w:r>
      <w:r w:rsidRPr="00F95F30">
        <w:t xml:space="preserve">the </w:t>
      </w:r>
      <w:r w:rsidRPr="00F95F30" w:rsidR="00DB06F2">
        <w:t xml:space="preserve">meaning of the </w:t>
      </w:r>
      <w:r w:rsidRPr="00F95F30">
        <w:t>collective engagement language</w:t>
      </w:r>
      <w:r w:rsidR="00B748C1">
        <w:t xml:space="preserve">, we </w:t>
      </w:r>
      <w:r w:rsidR="002D404A">
        <w:t xml:space="preserve">examine </w:t>
      </w:r>
      <w:r w:rsidR="00760FE3">
        <w:t xml:space="preserve">the </w:t>
      </w:r>
      <w:r w:rsidR="000819F1">
        <w:t>legislative history</w:t>
      </w:r>
      <w:r w:rsidR="006A06D8">
        <w:t xml:space="preserve"> for the </w:t>
      </w:r>
      <w:r w:rsidR="00AE1699">
        <w:t>light it may shed</w:t>
      </w:r>
      <w:r w:rsidR="000819F1">
        <w:t xml:space="preserve">.  </w:t>
      </w:r>
      <w:r w:rsidRPr="00F95F30" w:rsidR="00ED3F0F">
        <w:t xml:space="preserve">(See </w:t>
      </w:r>
      <w:r w:rsidRPr="00F95F30" w:rsidR="00ED3F0F">
        <w:rPr>
          <w:i/>
          <w:iCs/>
        </w:rPr>
        <w:t>Walker v. Superior Court</w:t>
      </w:r>
      <w:r w:rsidRPr="00F95F30" w:rsidR="00ED3F0F">
        <w:t xml:space="preserve"> (2021) 12 Cal.5th 177, 194 [“If the relevant statutory language is ambiguous, we look to appropriate extrinsic sources, including the legislative history, for further insights”].)</w:t>
      </w:r>
    </w:p>
    <w:p w:rsidR="00C634A0" w:rsidP="00690988" w14:paraId="3C86BDA1" w14:textId="77777777">
      <w:pPr>
        <w:widowControl w:val="0"/>
        <w:tabs>
          <w:tab w:val="left" w:pos="720"/>
        </w:tabs>
        <w:rPr>
          <w:szCs w:val="26"/>
        </w:rPr>
      </w:pPr>
      <w:r>
        <w:tab/>
      </w:r>
      <w:r w:rsidRPr="00F95F30">
        <w:t>Nothing in the legislative history speaks specifically to the Legislature’s intentions in eliminating the reference to a gang defined by members who “individually” engage in a pattern of criminal gang activity (§ 186.22, former subd. (f)), and leaving the requirement that members “collectively” engage in such a pattern (§ 186.22(f)).</w:t>
      </w:r>
      <w:r>
        <w:rPr>
          <w:rStyle w:val="FootnoteReference"/>
        </w:rPr>
        <w:footnoteReference w:id="7"/>
      </w:r>
      <w:r w:rsidR="00CD68EA">
        <w:t xml:space="preserve">  </w:t>
      </w:r>
      <w:r w:rsidR="007B037B">
        <w:t xml:space="preserve">What the history does indicate, however, is that </w:t>
      </w:r>
      <w:r w:rsidR="00BA5F9C">
        <w:rPr>
          <w:szCs w:val="26"/>
        </w:rPr>
        <w:t xml:space="preserve">the collective engagement language in section 186.22(f) was intended to have independent significance, separate and apart from the requirements for proving predicate offenses in section 186.22(e), such as the requirement to prove a common benefit to the gang.  </w:t>
      </w:r>
    </w:p>
    <w:p w:rsidR="00BA5F9C" w:rsidP="00690988" w14:paraId="3C86BDA2" w14:textId="77777777">
      <w:pPr>
        <w:widowControl w:val="0"/>
        <w:tabs>
          <w:tab w:val="left" w:pos="720"/>
        </w:tabs>
      </w:pPr>
      <w:r>
        <w:rPr>
          <w:szCs w:val="26"/>
        </w:rPr>
        <w:tab/>
        <w:t>Legislative analyses emphasized that the bill would redefine both the term “ ‘criminal street gang’ ” (§ 186.22(f)) and the term “ ‘pattern of criminal gang activity’ ” (§ 186.22(e)).  (</w:t>
      </w:r>
      <w:r w:rsidR="00F33721">
        <w:rPr>
          <w:szCs w:val="26"/>
        </w:rPr>
        <w:t xml:space="preserve">See </w:t>
      </w:r>
      <w:r w:rsidRPr="00F33721">
        <w:rPr>
          <w:szCs w:val="26"/>
        </w:rPr>
        <w:t>Assem. Com. on Public Safety, Analysis of Assem. Bill</w:t>
      </w:r>
      <w:r w:rsidRPr="00F33721" w:rsidR="005C4567">
        <w:rPr>
          <w:szCs w:val="26"/>
        </w:rPr>
        <w:t xml:space="preserve"> No. </w:t>
      </w:r>
      <w:r w:rsidRPr="00F33721">
        <w:rPr>
          <w:szCs w:val="26"/>
        </w:rPr>
        <w:t xml:space="preserve">333 (2021–2022 Reg. Sess.) as amended Mar. 30, 2021, p. 1; Sen. Com. on Public Safety, Analysis of Assem. Bill </w:t>
      </w:r>
      <w:r w:rsidRPr="00F33721" w:rsidR="005C4567">
        <w:rPr>
          <w:szCs w:val="26"/>
        </w:rPr>
        <w:t>No. </w:t>
      </w:r>
      <w:r w:rsidRPr="00F33721">
        <w:rPr>
          <w:szCs w:val="26"/>
        </w:rPr>
        <w:t>333</w:t>
      </w:r>
      <w:r w:rsidRPr="00F33721" w:rsidR="00E74653">
        <w:rPr>
          <w:szCs w:val="26"/>
        </w:rPr>
        <w:t xml:space="preserve">, </w:t>
      </w:r>
      <w:r w:rsidRPr="00F33721" w:rsidR="00E74653">
        <w:rPr>
          <w:i/>
          <w:iCs/>
          <w:szCs w:val="26"/>
        </w:rPr>
        <w:t>supra</w:t>
      </w:r>
      <w:r w:rsidRPr="00F33721" w:rsidR="00E74653">
        <w:rPr>
          <w:szCs w:val="26"/>
        </w:rPr>
        <w:t xml:space="preserve">, </w:t>
      </w:r>
      <w:r w:rsidRPr="00F33721">
        <w:rPr>
          <w:szCs w:val="26"/>
        </w:rPr>
        <w:t>as amended May 28, 2021, p. </w:t>
      </w:r>
      <w:r w:rsidRPr="00F33721" w:rsidR="003778E3">
        <w:rPr>
          <w:szCs w:val="26"/>
        </w:rPr>
        <w:t>2</w:t>
      </w:r>
      <w:r w:rsidRPr="00F33721">
        <w:rPr>
          <w:szCs w:val="26"/>
        </w:rPr>
        <w:t xml:space="preserve">; </w:t>
      </w:r>
      <w:r w:rsidRPr="00F33721">
        <w:t xml:space="preserve">Sen. Rules Com., Off. of Sen. Floor Analyses, 3d reading analysis of </w:t>
      </w:r>
      <w:r w:rsidRPr="00F33721">
        <w:rPr>
          <w:szCs w:val="26"/>
        </w:rPr>
        <w:t xml:space="preserve">Assem. Bill </w:t>
      </w:r>
      <w:r w:rsidRPr="00F33721" w:rsidR="005C4567">
        <w:rPr>
          <w:szCs w:val="26"/>
        </w:rPr>
        <w:t>No. </w:t>
      </w:r>
      <w:r w:rsidRPr="00F33721">
        <w:rPr>
          <w:szCs w:val="26"/>
        </w:rPr>
        <w:t>333</w:t>
      </w:r>
      <w:r w:rsidRPr="00F33721" w:rsidR="00E74653">
        <w:rPr>
          <w:szCs w:val="26"/>
        </w:rPr>
        <w:t xml:space="preserve">, </w:t>
      </w:r>
      <w:r w:rsidRPr="00F33721" w:rsidR="00E74653">
        <w:rPr>
          <w:i/>
          <w:iCs/>
          <w:szCs w:val="26"/>
        </w:rPr>
        <w:t>supra</w:t>
      </w:r>
      <w:r w:rsidRPr="00F33721" w:rsidR="00E74653">
        <w:rPr>
          <w:szCs w:val="26"/>
        </w:rPr>
        <w:t xml:space="preserve">, </w:t>
      </w:r>
      <w:r w:rsidRPr="00F33721">
        <w:rPr>
          <w:szCs w:val="26"/>
        </w:rPr>
        <w:t>as amended July 13, 2021, p. 4.)</w:t>
      </w:r>
      <w:r>
        <w:rPr>
          <w:szCs w:val="26"/>
        </w:rPr>
        <w:t xml:space="preserve">  And analyses not only listed the new proof that would be necessary to establish the predicate offenses — that they were committed by gang members, benefited the gang, and occurred within three years of the charged offense — but also separately described the requirements contained in section 186.22(f).  (</w:t>
      </w:r>
      <w:r w:rsidRPr="00F33721">
        <w:rPr>
          <w:szCs w:val="26"/>
        </w:rPr>
        <w:t xml:space="preserve">Assem. Com. on Public Safety, Analysis of Assem. Bill </w:t>
      </w:r>
      <w:r w:rsidRPr="00F33721" w:rsidR="005C4567">
        <w:rPr>
          <w:szCs w:val="26"/>
        </w:rPr>
        <w:t>No. </w:t>
      </w:r>
      <w:r w:rsidRPr="00F33721">
        <w:rPr>
          <w:szCs w:val="26"/>
        </w:rPr>
        <w:t xml:space="preserve">333, </w:t>
      </w:r>
      <w:r w:rsidRPr="00F33721">
        <w:rPr>
          <w:i/>
          <w:iCs/>
          <w:szCs w:val="26"/>
        </w:rPr>
        <w:t>supra</w:t>
      </w:r>
      <w:r w:rsidRPr="00F33721">
        <w:rPr>
          <w:szCs w:val="26"/>
        </w:rPr>
        <w:t>, as amended Mar. 30, 2021, p. 8</w:t>
      </w:r>
      <w:r w:rsidR="00C15760">
        <w:rPr>
          <w:szCs w:val="26"/>
        </w:rPr>
        <w:t xml:space="preserve"> [listing the requirements for proving predicate offenses under section 186.22(e) and separately noting that the revised section 186.22(f) “would also require the prosecution to prove the members collectively, rather than individually, engage in, or have engaged in a ‘pattern of criminal gang activity’</w:t>
      </w:r>
      <w:r w:rsidR="00B05464">
        <w:rPr>
          <w:szCs w:val="26"/>
        </w:rPr>
        <w:t> </w:t>
      </w:r>
      <w:r w:rsidR="00C15760">
        <w:rPr>
          <w:szCs w:val="26"/>
        </w:rPr>
        <w:t xml:space="preserve">”]; </w:t>
      </w:r>
      <w:r w:rsidRPr="00F33721">
        <w:rPr>
          <w:szCs w:val="26"/>
        </w:rPr>
        <w:t xml:space="preserve">see also </w:t>
      </w:r>
      <w:r w:rsidRPr="00F33721">
        <w:t xml:space="preserve">Sen. Rules Com., Off. of Sen. Floor Analyses, 3d reading analysis of </w:t>
      </w:r>
      <w:r w:rsidRPr="00F33721">
        <w:rPr>
          <w:szCs w:val="26"/>
        </w:rPr>
        <w:t xml:space="preserve">Assem. Bill </w:t>
      </w:r>
      <w:r w:rsidRPr="00F33721" w:rsidR="005C4567">
        <w:rPr>
          <w:szCs w:val="26"/>
        </w:rPr>
        <w:t>No. </w:t>
      </w:r>
      <w:r w:rsidRPr="00F33721">
        <w:rPr>
          <w:szCs w:val="26"/>
        </w:rPr>
        <w:t xml:space="preserve">333, </w:t>
      </w:r>
      <w:r w:rsidRPr="00F33721">
        <w:rPr>
          <w:i/>
          <w:iCs/>
          <w:szCs w:val="26"/>
        </w:rPr>
        <w:t>supra</w:t>
      </w:r>
      <w:r w:rsidRPr="00F33721">
        <w:rPr>
          <w:szCs w:val="26"/>
        </w:rPr>
        <w:t>, as amended July 13, 2021, p. 4</w:t>
      </w:r>
      <w:r>
        <w:rPr>
          <w:szCs w:val="26"/>
        </w:rPr>
        <w:t xml:space="preserve"> [same, regarding the final version of the bill].)  If the Legislature had intended changes to section 186.22(f) to simply reflect and conform to the requirements of section 186.22(e)(1), </w:t>
      </w:r>
      <w:r w:rsidR="001228DE">
        <w:rPr>
          <w:szCs w:val="26"/>
        </w:rPr>
        <w:t>as the Attorney Genera</w:t>
      </w:r>
      <w:r w:rsidR="002D49C6">
        <w:rPr>
          <w:szCs w:val="26"/>
        </w:rPr>
        <w:t>l has argued</w:t>
      </w:r>
      <w:r w:rsidR="001228DE">
        <w:rPr>
          <w:szCs w:val="26"/>
        </w:rPr>
        <w:t xml:space="preserve">, </w:t>
      </w:r>
      <w:r>
        <w:rPr>
          <w:szCs w:val="26"/>
        </w:rPr>
        <w:t>it seems unlikely that these descriptions of the bill would have listed and described collective engagement as a change with its own distinct meaning.</w:t>
      </w:r>
    </w:p>
    <w:p w:rsidR="00690988" w:rsidRPr="00F95F30" w:rsidP="00690988" w14:paraId="3C86BDA3" w14:textId="77777777">
      <w:pPr>
        <w:widowControl w:val="0"/>
        <w:tabs>
          <w:tab w:val="left" w:pos="720"/>
        </w:tabs>
      </w:pPr>
      <w:r>
        <w:tab/>
        <w:t xml:space="preserve">To </w:t>
      </w:r>
      <w:r w:rsidR="00157E4D">
        <w:t xml:space="preserve">discern that meaning, </w:t>
      </w:r>
      <w:r w:rsidR="00750CCD">
        <w:t xml:space="preserve">we turn to </w:t>
      </w:r>
      <w:r w:rsidR="00905196">
        <w:t>what the history reveals, more generally, about the Legislature’s purpose</w:t>
      </w:r>
      <w:r w:rsidR="008D317B">
        <w:t>s</w:t>
      </w:r>
      <w:r w:rsidR="00905196">
        <w:t xml:space="preserve"> in enacting Assembly Bill 333.  </w:t>
      </w:r>
      <w:r w:rsidRPr="00F95F30">
        <w:t xml:space="preserve">The </w:t>
      </w:r>
      <w:r w:rsidR="00AF2D35">
        <w:t xml:space="preserve">overarching </w:t>
      </w:r>
      <w:r w:rsidRPr="00F95F30">
        <w:t xml:space="preserve">purpose of the </w:t>
      </w:r>
      <w:r w:rsidR="00727D88">
        <w:t xml:space="preserve">original </w:t>
      </w:r>
      <w:r w:rsidRPr="00F95F30">
        <w:t>STEP Act, as articulated in the declaration accompanying its initial enactment in 1988, is “to seek the eradication of criminal activity by street gangs by focusing upon patterns of criminal gang activity and upon the organized nature of street gangs, which together, are the chief source of terror created by street gangs.”  (Pen. Code, § 186.21.)  Committee reports further explained that the STEP Act was meant to target criminal street gangs the sponsors characterized as “large scale big business and large-scale crime in California.”  (</w:t>
      </w:r>
      <w:bookmarkStart w:id="1" w:name="_Hlk155347478"/>
      <w:r w:rsidRPr="00F33721">
        <w:t xml:space="preserve">Assem. Com. on Public Safety, Analysis of Assem. Bill No. 2013 (1987–1988 Reg. Sess.) June 8, 1987, p. 4; </w:t>
      </w:r>
      <w:r w:rsidR="00F33721">
        <w:t xml:space="preserve">see also </w:t>
      </w:r>
      <w:r w:rsidRPr="00F33721">
        <w:t>Assem. Com. on Public Safety, Analysis of Sen. Bill No. 1555 (1987–1988 Reg. Sess.) as amended June 23, 1987, p. 4</w:t>
      </w:r>
      <w:r w:rsidR="00F33721">
        <w:t xml:space="preserve"> [same]</w:t>
      </w:r>
      <w:r w:rsidRPr="00F33721">
        <w:t>.</w:t>
      </w:r>
      <w:bookmarkEnd w:id="1"/>
      <w:r w:rsidRPr="00F95F30">
        <w:t xml:space="preserve">)  To effectuate this purpose, the Legislature crafted a set of requirements for proving the existence of a pattern of criminal gang activity based on the commission of predicate offenses.  </w:t>
      </w:r>
    </w:p>
    <w:p w:rsidR="00690988" w:rsidP="00690988" w14:paraId="3C86BDA4" w14:textId="77777777">
      <w:pPr>
        <w:widowControl w:val="0"/>
        <w:tabs>
          <w:tab w:val="left" w:pos="720"/>
        </w:tabs>
      </w:pPr>
      <w:r w:rsidRPr="00F95F30">
        <w:tab/>
      </w:r>
      <w:r w:rsidR="00BC1856">
        <w:t>When the Legislature undertook to revise the STEP Act i</w:t>
      </w:r>
      <w:r w:rsidRPr="00F95F30">
        <w:t xml:space="preserve">n 2021, </w:t>
      </w:r>
      <w:r w:rsidR="000B7A9B">
        <w:t>it</w:t>
      </w:r>
      <w:r w:rsidR="007A52AF">
        <w:t xml:space="preserve"> </w:t>
      </w:r>
      <w:r w:rsidR="006906C9">
        <w:t xml:space="preserve">expressed concern </w:t>
      </w:r>
      <w:r w:rsidRPr="00F95F30">
        <w:t xml:space="preserve">that </w:t>
      </w:r>
      <w:r w:rsidR="00541775">
        <w:t>the Act had strayed from this original purpos</w:t>
      </w:r>
      <w:r w:rsidR="00C1446C">
        <w:t>e, with</w:t>
      </w:r>
      <w:r w:rsidR="002D5353">
        <w:t xml:space="preserve"> </w:t>
      </w:r>
      <w:r w:rsidR="000A4DA7">
        <w:t xml:space="preserve">a </w:t>
      </w:r>
      <w:r w:rsidR="002D5353">
        <w:t xml:space="preserve">devastating impact on </w:t>
      </w:r>
      <w:r w:rsidR="002350DB">
        <w:t xml:space="preserve">California </w:t>
      </w:r>
      <w:r w:rsidR="002D5353">
        <w:t>communities</w:t>
      </w:r>
      <w:r w:rsidR="00541775">
        <w:t>.  A</w:t>
      </w:r>
      <w:r w:rsidRPr="00F95F30">
        <w:t>lthough the STEP Act “was originally enacted to target crimes committed by violent, organized criminal street gangs,” and was only meant to apply “ ‘in the most egregious cases where a pattern of criminal gang activity was clearly shown,’ ” the STEP Act “has been continuously expanded through legislative amendments and court rulings.”  (Assem. Bill 333, § 2(g).)  The result, the Legislature found, was that “[c]urrent gang enhancement statutes criminalize entire neighborhoods historically impacted by poverty, racial inequality, and mass incarceration as they punish people based on their cultural identity, who they know, and where they live.”  (</w:t>
      </w:r>
      <w:r w:rsidRPr="00F95F30">
        <w:rPr>
          <w:i/>
          <w:iCs/>
        </w:rPr>
        <w:t>Id</w:t>
      </w:r>
      <w:r w:rsidRPr="00F95F30">
        <w:t xml:space="preserve">., § 2(a).)  </w:t>
      </w:r>
      <w:r w:rsidR="00763809">
        <w:t>Groups of r</w:t>
      </w:r>
      <w:r w:rsidRPr="00F95F30">
        <w:t xml:space="preserve">esidents </w:t>
      </w:r>
      <w:r w:rsidR="00763809">
        <w:t xml:space="preserve">in </w:t>
      </w:r>
      <w:r w:rsidRPr="00F95F30">
        <w:t>certain neighborhoods “are often mischaracterized as gangs despite their lack of basic organizational requirements such as leadership, meetings, hierarchical decisionmaking, and a clear distinction between members and nonmembers.”  (</w:t>
      </w:r>
      <w:r w:rsidRPr="00F95F30">
        <w:rPr>
          <w:i/>
          <w:iCs/>
        </w:rPr>
        <w:t>Id.</w:t>
      </w:r>
      <w:r w:rsidRPr="00F95F30">
        <w:t>, § 2(d)(8).)</w:t>
      </w:r>
    </w:p>
    <w:p w:rsidR="00CF305E" w:rsidRPr="00F95F30" w:rsidP="00F95F30" w14:paraId="3C86BDA5" w14:textId="77777777">
      <w:pPr>
        <w:widowControl w:val="0"/>
        <w:tabs>
          <w:tab w:val="left" w:pos="720"/>
        </w:tabs>
      </w:pPr>
      <w:r w:rsidRPr="00F95F30">
        <w:tab/>
      </w:r>
      <w:r w:rsidRPr="00F95F30" w:rsidR="00876698">
        <w:t xml:space="preserve">Through </w:t>
      </w:r>
      <w:r w:rsidRPr="00F95F30" w:rsidR="000807D8">
        <w:t>A</w:t>
      </w:r>
      <w:r w:rsidRPr="00F95F30" w:rsidR="00BE37AA">
        <w:t>ssembly Bill</w:t>
      </w:r>
      <w:r w:rsidRPr="00F95F30" w:rsidR="000807D8">
        <w:t xml:space="preserve"> 333</w:t>
      </w:r>
      <w:r w:rsidRPr="00F95F30" w:rsidR="00876698">
        <w:t xml:space="preserve">, the Legislature sought to </w:t>
      </w:r>
      <w:r w:rsidRPr="00F95F30" w:rsidR="0050119C">
        <w:t xml:space="preserve">narrow the statute’s focus to align with its </w:t>
      </w:r>
      <w:r w:rsidRPr="00F95F30" w:rsidR="0040269B">
        <w:t>original intent</w:t>
      </w:r>
      <w:r w:rsidRPr="00F95F30" w:rsidR="009E658E">
        <w:t xml:space="preserve">:  to focus on </w:t>
      </w:r>
      <w:r w:rsidRPr="00F95F30" w:rsidR="00AD6AF2">
        <w:t xml:space="preserve">the threats posed by organized </w:t>
      </w:r>
      <w:r w:rsidRPr="00F95F30" w:rsidR="006212FC">
        <w:t>criminal street gangs</w:t>
      </w:r>
      <w:r w:rsidRPr="00F95F30" w:rsidR="0040269B">
        <w:t>.</w:t>
      </w:r>
      <w:r w:rsidRPr="00F95F30" w:rsidR="00875E9E">
        <w:t xml:space="preserve">  </w:t>
      </w:r>
      <w:r w:rsidRPr="00F95F30" w:rsidR="00720D12">
        <w:t>(See</w:t>
      </w:r>
      <w:r w:rsidRPr="00F95F30" w:rsidR="00875E9E">
        <w:t>, e.g.,</w:t>
      </w:r>
      <w:r w:rsidRPr="00F95F30" w:rsidR="00720D12">
        <w:t xml:space="preserve"> </w:t>
      </w:r>
      <w:r w:rsidRPr="00B24CB0" w:rsidR="003A711F">
        <w:t>Assem</w:t>
      </w:r>
      <w:r w:rsidRPr="00B24CB0" w:rsidR="00BE37AA">
        <w:t>.</w:t>
      </w:r>
      <w:r w:rsidRPr="00B24CB0" w:rsidR="003A711F">
        <w:t xml:space="preserve"> Com</w:t>
      </w:r>
      <w:r w:rsidRPr="00B24CB0" w:rsidR="00BE37AA">
        <w:t>.</w:t>
      </w:r>
      <w:r w:rsidRPr="00B24CB0" w:rsidR="003A711F">
        <w:t xml:space="preserve"> on Public Safety, </w:t>
      </w:r>
      <w:r w:rsidRPr="00B24CB0" w:rsidR="00BE37AA">
        <w:t xml:space="preserve">Analysis of Assem. Bill </w:t>
      </w:r>
      <w:r w:rsidRPr="00B24CB0" w:rsidR="005C4567">
        <w:t>No. </w:t>
      </w:r>
      <w:r w:rsidRPr="00B24CB0" w:rsidR="003A711F">
        <w:t>333</w:t>
      </w:r>
      <w:r w:rsidRPr="00B24CB0" w:rsidR="005C4567">
        <w:t xml:space="preserve">, </w:t>
      </w:r>
      <w:r w:rsidRPr="00B24CB0" w:rsidR="005C4567">
        <w:rPr>
          <w:i/>
          <w:iCs/>
        </w:rPr>
        <w:t>supra</w:t>
      </w:r>
      <w:r w:rsidRPr="00B24CB0" w:rsidR="005C4567">
        <w:t xml:space="preserve">, </w:t>
      </w:r>
      <w:r w:rsidRPr="00B24CB0" w:rsidR="00BE37AA">
        <w:t>as amended Mar. 30, 2021, pp. </w:t>
      </w:r>
      <w:r w:rsidR="00EE4D73">
        <w:t>7–</w:t>
      </w:r>
      <w:r w:rsidRPr="00B24CB0" w:rsidR="00BE37AA">
        <w:t>8</w:t>
      </w:r>
      <w:r w:rsidRPr="00F95F30" w:rsidR="003A711F">
        <w:t xml:space="preserve"> [A</w:t>
      </w:r>
      <w:r w:rsidRPr="00F95F30" w:rsidR="00684AD2">
        <w:t>ssem</w:t>
      </w:r>
      <w:r w:rsidRPr="00F95F30" w:rsidR="00CC3C38">
        <w:t>.</w:t>
      </w:r>
      <w:r w:rsidRPr="00F95F30" w:rsidR="00684AD2">
        <w:t xml:space="preserve"> Bill</w:t>
      </w:r>
      <w:r w:rsidRPr="00F95F30" w:rsidR="003A711F">
        <w:t xml:space="preserve"> 333 would “redefine the term ‘criminal street gang’ ” to reflect a recommendation from the </w:t>
      </w:r>
      <w:r w:rsidRPr="00F95F30" w:rsidR="00BE37AA">
        <w:t>c</w:t>
      </w:r>
      <w:r w:rsidRPr="00F95F30" w:rsidR="003A711F">
        <w:t xml:space="preserve">ommittee on </w:t>
      </w:r>
      <w:r w:rsidRPr="00F95F30" w:rsidR="00BE37AA">
        <w:t>r</w:t>
      </w:r>
      <w:r w:rsidRPr="00F95F30" w:rsidR="003A711F">
        <w:t xml:space="preserve">evision of the Penal Code to </w:t>
      </w:r>
      <w:r w:rsidRPr="00F95F30" w:rsidR="00317DC3">
        <w:t xml:space="preserve">focus the definition on </w:t>
      </w:r>
      <w:r w:rsidRPr="00F95F30" w:rsidR="003A711F">
        <w:t>“organized</w:t>
      </w:r>
      <w:r w:rsidRPr="00F95F30" w:rsidR="006F788A">
        <w:t>,</w:t>
      </w:r>
      <w:r w:rsidRPr="00F95F30" w:rsidR="003A711F">
        <w:t xml:space="preserve"> violent enterprises”</w:t>
      </w:r>
      <w:r w:rsidRPr="00F95F30" w:rsidR="00720D12">
        <w:t>].)</w:t>
      </w:r>
      <w:r w:rsidRPr="00F95F30" w:rsidR="00B02A5B">
        <w:t xml:space="preserve">  </w:t>
      </w:r>
      <w:r w:rsidRPr="00F95F30">
        <w:t xml:space="preserve">The Legislature made several changes </w:t>
      </w:r>
      <w:r w:rsidRPr="00F95F30" w:rsidR="003402EC">
        <w:t>toward this end</w:t>
      </w:r>
      <w:r w:rsidRPr="00F95F30">
        <w:t xml:space="preserve">, </w:t>
      </w:r>
      <w:r w:rsidRPr="00F95F30" w:rsidR="003A3814">
        <w:t>beginning with its revision of the term “</w:t>
      </w:r>
      <w:r w:rsidRPr="00F95F30" w:rsidR="000F4C04">
        <w:t> ‘</w:t>
      </w:r>
      <w:r w:rsidRPr="00F95F30" w:rsidR="003A3814">
        <w:t>criminal street gang</w:t>
      </w:r>
      <w:r w:rsidRPr="00F95F30" w:rsidR="000F4C04">
        <w:t>’ </w:t>
      </w:r>
      <w:r w:rsidRPr="00F95F30" w:rsidR="003A3814">
        <w:t xml:space="preserve">” to mean “an ongoing, </w:t>
      </w:r>
      <w:r w:rsidRPr="00F95F30" w:rsidR="003A3814">
        <w:rPr>
          <w:i/>
          <w:iCs/>
        </w:rPr>
        <w:t>organized</w:t>
      </w:r>
      <w:r w:rsidRPr="00F95F30" w:rsidR="003A3814">
        <w:t xml:space="preserve"> association or group of three or more persons</w:t>
      </w:r>
      <w:r w:rsidRPr="00F95F30" w:rsidR="00EB15B8">
        <w:t xml:space="preserve"> .</w:t>
      </w:r>
      <w:r w:rsidRPr="00F95F30" w:rsidR="00317DC3">
        <w:t> </w:t>
      </w:r>
      <w:r w:rsidRPr="00F95F30" w:rsidR="00EB15B8">
        <w:t>.</w:t>
      </w:r>
      <w:r w:rsidRPr="00F95F30" w:rsidR="00317DC3">
        <w:t> </w:t>
      </w:r>
      <w:r w:rsidRPr="00F95F30" w:rsidR="00EB15B8">
        <w:t xml:space="preserve">. </w:t>
      </w:r>
      <w:r w:rsidRPr="00F95F30" w:rsidR="003B4781">
        <w:t xml:space="preserve">whose members </w:t>
      </w:r>
      <w:r w:rsidRPr="00F95F30" w:rsidR="003B4781">
        <w:rPr>
          <w:i/>
          <w:iCs/>
        </w:rPr>
        <w:t>collectively</w:t>
      </w:r>
      <w:r w:rsidRPr="00F95F30" w:rsidR="003B4781">
        <w:t xml:space="preserve"> engage”</w:t>
      </w:r>
      <w:r w:rsidRPr="00F95F30">
        <w:t xml:space="preserve"> </w:t>
      </w:r>
      <w:r w:rsidRPr="00F95F30" w:rsidR="003B4781">
        <w:t xml:space="preserve">in a pattern of criminal </w:t>
      </w:r>
      <w:r w:rsidRPr="00F95F30" w:rsidR="006225F1">
        <w:t xml:space="preserve">gang </w:t>
      </w:r>
      <w:r w:rsidRPr="00F95F30" w:rsidR="003B4781">
        <w:t xml:space="preserve">activity.  </w:t>
      </w:r>
      <w:r w:rsidRPr="00F95F30">
        <w:t xml:space="preserve">(§ 186.22(f), italics added.)  </w:t>
      </w:r>
    </w:p>
    <w:p w:rsidR="002B72EC" w:rsidP="0009427D" w14:paraId="3C86BDA6" w14:textId="77777777">
      <w:pPr>
        <w:widowControl w:val="0"/>
        <w:tabs>
          <w:tab w:val="left" w:pos="720"/>
        </w:tabs>
        <w:rPr>
          <w:szCs w:val="26"/>
        </w:rPr>
      </w:pPr>
      <w:r>
        <w:tab/>
      </w:r>
      <w:r w:rsidR="0009427D">
        <w:t xml:space="preserve">While </w:t>
      </w:r>
      <w:r w:rsidR="006C6C88">
        <w:t xml:space="preserve">the legislative history </w:t>
      </w:r>
      <w:r w:rsidR="0009427D">
        <w:t>may not clear</w:t>
      </w:r>
      <w:r w:rsidR="00C36DFA">
        <w:t>ly</w:t>
      </w:r>
      <w:r w:rsidR="0009427D">
        <w:t xml:space="preserve"> indicat</w:t>
      </w:r>
      <w:r w:rsidR="00C36DFA">
        <w:t>e the</w:t>
      </w:r>
      <w:r w:rsidR="0009427D">
        <w:t xml:space="preserve"> intended meaning of </w:t>
      </w:r>
      <w:r w:rsidRPr="00F95F30" w:rsidR="00A263B0">
        <w:t xml:space="preserve">the Legislature’s switch to a requirement of collective engagement in a pattern of </w:t>
      </w:r>
      <w:r w:rsidRPr="00F95F30" w:rsidR="00BE7E65">
        <w:t xml:space="preserve">criminal </w:t>
      </w:r>
      <w:r w:rsidRPr="00F95F30" w:rsidR="00A263B0">
        <w:t xml:space="preserve">gang </w:t>
      </w:r>
      <w:r w:rsidRPr="00F95F30" w:rsidR="00BE7E65">
        <w:t>activity</w:t>
      </w:r>
      <w:r w:rsidR="00D97602">
        <w:t xml:space="preserve">, </w:t>
      </w:r>
      <w:r w:rsidR="0009427D">
        <w:t>it is clear what the Legislature meant this change to accomplish</w:t>
      </w:r>
      <w:r w:rsidR="00582090">
        <w:t xml:space="preserve">.  </w:t>
      </w:r>
      <w:r w:rsidR="0091700B">
        <w:t xml:space="preserve">The change was </w:t>
      </w:r>
      <w:r w:rsidR="00582090">
        <w:t xml:space="preserve">made </w:t>
      </w:r>
      <w:r w:rsidR="0091700B">
        <w:t xml:space="preserve">in service of the </w:t>
      </w:r>
      <w:r w:rsidRPr="00F95F30" w:rsidR="00847430">
        <w:t xml:space="preserve">Legislature’s </w:t>
      </w:r>
      <w:r w:rsidRPr="00F95F30" w:rsidR="007461FE">
        <w:t>broader goal</w:t>
      </w:r>
      <w:r w:rsidRPr="00F95F30" w:rsidR="00FA17DD">
        <w:t xml:space="preserve"> of</w:t>
      </w:r>
      <w:r w:rsidRPr="00F95F30" w:rsidR="00FB3AA7">
        <w:t xml:space="preserve"> differentiating between the threat posed by organized groups </w:t>
      </w:r>
      <w:r w:rsidRPr="00F95F30" w:rsidR="00A07B8B">
        <w:t xml:space="preserve">collectively </w:t>
      </w:r>
      <w:r w:rsidRPr="00F95F30" w:rsidR="00FB3AA7">
        <w:t>engaged in criminal activity</w:t>
      </w:r>
      <w:r w:rsidRPr="00F95F30" w:rsidR="005503D2">
        <w:t xml:space="preserve">, versus the threat posed by individual, loosely connected persons who happen to </w:t>
      </w:r>
      <w:r w:rsidRPr="00F95F30" w:rsidR="00B331CF">
        <w:t>commit crime</w:t>
      </w:r>
      <w:r w:rsidRPr="00F95F30" w:rsidR="00881118">
        <w:t>s</w:t>
      </w:r>
      <w:r w:rsidRPr="00F95F30" w:rsidR="00B331CF">
        <w:t>.</w:t>
      </w:r>
      <w:r w:rsidR="00A454C0">
        <w:t xml:space="preserve">  </w:t>
      </w:r>
      <w:r w:rsidRPr="00F95F30" w:rsidR="00684D8F">
        <w:t>T</w:t>
      </w:r>
      <w:r w:rsidRPr="00F95F30" w:rsidR="00C812FA">
        <w:t>hat differentiation</w:t>
      </w:r>
      <w:r w:rsidR="007F2F51">
        <w:t>, we now conclude,</w:t>
      </w:r>
      <w:r w:rsidRPr="00F95F30" w:rsidR="00C812FA">
        <w:t xml:space="preserve"> requires </w:t>
      </w:r>
      <w:r w:rsidRPr="00F95F30" w:rsidR="00517613">
        <w:t xml:space="preserve">a showing that links </w:t>
      </w:r>
      <w:r w:rsidRPr="00F95F30" w:rsidR="00D81FE4">
        <w:t>the two predicate offenses</w:t>
      </w:r>
      <w:r w:rsidRPr="00F95F30" w:rsidR="00684D8F">
        <w:t xml:space="preserve"> </w:t>
      </w:r>
      <w:r w:rsidRPr="00F95F30" w:rsidR="00D81FE4">
        <w:t>to the gang as a</w:t>
      </w:r>
      <w:r w:rsidR="007E3EE6">
        <w:t>n</w:t>
      </w:r>
      <w:r w:rsidRPr="00F95F30" w:rsidR="00D81FE4">
        <w:t xml:space="preserve"> </w:t>
      </w:r>
      <w:r w:rsidR="007E3EE6">
        <w:t xml:space="preserve">organized, </w:t>
      </w:r>
      <w:r w:rsidRPr="00F95F30" w:rsidR="00D81FE4">
        <w:t>collective enterprise.</w:t>
      </w:r>
      <w:r>
        <w:rPr>
          <w:rStyle w:val="FootnoteReference"/>
        </w:rPr>
        <w:footnoteReference w:id="8"/>
      </w:r>
    </w:p>
    <w:p w:rsidR="00C812FA" w:rsidRPr="00F95F30" w:rsidP="0082374D" w14:paraId="3C86BDA7" w14:textId="77777777">
      <w:pPr>
        <w:widowControl w:val="0"/>
        <w:tabs>
          <w:tab w:val="left" w:pos="720"/>
        </w:tabs>
      </w:pPr>
      <w:r>
        <w:tab/>
      </w:r>
      <w:r w:rsidR="00302294">
        <w:t>T</w:t>
      </w:r>
      <w:r w:rsidR="00C84220">
        <w:t xml:space="preserve">he Attorney General’s </w:t>
      </w:r>
      <w:r w:rsidR="00A303AF">
        <w:t xml:space="preserve">argument </w:t>
      </w:r>
      <w:r w:rsidR="009F4496">
        <w:t xml:space="preserve">proceeds </w:t>
      </w:r>
      <w:r w:rsidR="00A303AF">
        <w:t>from this same premise</w:t>
      </w:r>
      <w:r w:rsidR="00963C2A">
        <w:t>.  B</w:t>
      </w:r>
      <w:r w:rsidR="00A303AF">
        <w:t>ut</w:t>
      </w:r>
      <w:r w:rsidR="005C1AC1">
        <w:t xml:space="preserve">, as the Attorney General </w:t>
      </w:r>
      <w:r w:rsidR="00F55ECC">
        <w:t xml:space="preserve">ultimately conceded </w:t>
      </w:r>
      <w:r w:rsidR="005C1AC1">
        <w:t xml:space="preserve">at oral argument, </w:t>
      </w:r>
      <w:r w:rsidR="00B53E02">
        <w:t xml:space="preserve">a singular focus on </w:t>
      </w:r>
      <w:r w:rsidR="006556E8">
        <w:t xml:space="preserve">the </w:t>
      </w:r>
      <w:r w:rsidR="00B53E02">
        <w:t xml:space="preserve">common benefit </w:t>
      </w:r>
      <w:r w:rsidR="006556E8">
        <w:t xml:space="preserve">requirement in section 186.22(e) </w:t>
      </w:r>
      <w:r w:rsidR="00B53E02">
        <w:t xml:space="preserve">does not </w:t>
      </w:r>
      <w:r w:rsidR="006556E8">
        <w:t>prove the existence of a criminal street gang as defined in section 186.22(f)</w:t>
      </w:r>
      <w:r w:rsidR="00B53E02">
        <w:t>.</w:t>
      </w:r>
      <w:r w:rsidR="00BF56EE">
        <w:t xml:space="preserve">  </w:t>
      </w:r>
      <w:r w:rsidR="00DE308E">
        <w:t>T</w:t>
      </w:r>
      <w:r w:rsidR="00BF56EE">
        <w:t xml:space="preserve">he fact that </w:t>
      </w:r>
      <w:r w:rsidR="00B76D16">
        <w:t xml:space="preserve">a crime may have commonly benefited </w:t>
      </w:r>
      <w:r w:rsidR="00DE308E">
        <w:t xml:space="preserve">a gang certainly tells us something about the relationship between the perpetrator and the gang, but it does not </w:t>
      </w:r>
      <w:r w:rsidR="00541D7A">
        <w:t xml:space="preserve">necessarily </w:t>
      </w:r>
      <w:r w:rsidR="00DE308E">
        <w:t xml:space="preserve">tell us how the gang itself can be said to have “collectively engaged” in </w:t>
      </w:r>
      <w:r w:rsidR="005D2419">
        <w:t xml:space="preserve">a pattern of </w:t>
      </w:r>
      <w:r w:rsidR="00DE308E">
        <w:t>crime.</w:t>
      </w:r>
      <w:r w:rsidR="00E05871">
        <w:t xml:space="preserve">  </w:t>
      </w:r>
      <w:r w:rsidR="007206DF">
        <w:t xml:space="preserve">The Attorney General acknowledged that after proving that a predicate offense </w:t>
      </w:r>
      <w:r w:rsidR="00987AF6">
        <w:t>conferred</w:t>
      </w:r>
      <w:r w:rsidR="007206DF">
        <w:t xml:space="preserve"> a common benefit </w:t>
      </w:r>
      <w:r w:rsidR="00987AF6">
        <w:t>on</w:t>
      </w:r>
      <w:r w:rsidR="007206DF">
        <w:t xml:space="preserve"> the gang, it is still necessary to show that the </w:t>
      </w:r>
      <w:r w:rsidR="00C152D5">
        <w:t>offense</w:t>
      </w:r>
      <w:r w:rsidR="007206DF">
        <w:t xml:space="preserve"> </w:t>
      </w:r>
      <w:r w:rsidR="002F01DD">
        <w:t>reflected</w:t>
      </w:r>
      <w:r w:rsidR="007206DF">
        <w:t xml:space="preserve"> an “organized effort” </w:t>
      </w:r>
      <w:r w:rsidR="002F01DD">
        <w:t>by</w:t>
      </w:r>
      <w:r w:rsidR="007206DF">
        <w:t xml:space="preserve"> the criminal street gang.  </w:t>
      </w:r>
      <w:r w:rsidR="00420CAE">
        <w:t xml:space="preserve">The Legislature’s </w:t>
      </w:r>
      <w:r w:rsidR="00063E99">
        <w:t xml:space="preserve">reference to </w:t>
      </w:r>
      <w:r w:rsidR="00420CAE">
        <w:t xml:space="preserve">collective engagement </w:t>
      </w:r>
      <w:r w:rsidR="00DE216A">
        <w:t xml:space="preserve">thus </w:t>
      </w:r>
      <w:r w:rsidR="00420CAE">
        <w:t xml:space="preserve">calls </w:t>
      </w:r>
      <w:r w:rsidR="0082374D">
        <w:t xml:space="preserve">for an inquiry not just into how </w:t>
      </w:r>
      <w:r>
        <w:rPr>
          <w:szCs w:val="26"/>
        </w:rPr>
        <w:t xml:space="preserve">the </w:t>
      </w:r>
      <w:r w:rsidR="00BD2446">
        <w:rPr>
          <w:szCs w:val="26"/>
        </w:rPr>
        <w:t xml:space="preserve">predicate </w:t>
      </w:r>
      <w:r>
        <w:rPr>
          <w:szCs w:val="26"/>
        </w:rPr>
        <w:t xml:space="preserve">offenses </w:t>
      </w:r>
      <w:r w:rsidRPr="008C6234">
        <w:rPr>
          <w:szCs w:val="26"/>
        </w:rPr>
        <w:t>benefited</w:t>
      </w:r>
      <w:r w:rsidRPr="00C379BD">
        <w:rPr>
          <w:szCs w:val="26"/>
        </w:rPr>
        <w:t xml:space="preserve"> </w:t>
      </w:r>
      <w:r w:rsidRPr="008C6234">
        <w:rPr>
          <w:szCs w:val="26"/>
        </w:rPr>
        <w:t>the gang</w:t>
      </w:r>
      <w:r>
        <w:rPr>
          <w:szCs w:val="26"/>
        </w:rPr>
        <w:t xml:space="preserve">, but </w:t>
      </w:r>
      <w:r w:rsidR="00063E99">
        <w:rPr>
          <w:szCs w:val="26"/>
        </w:rPr>
        <w:t>also</w:t>
      </w:r>
      <w:r>
        <w:rPr>
          <w:szCs w:val="26"/>
        </w:rPr>
        <w:t xml:space="preserve"> how the gang </w:t>
      </w:r>
      <w:r w:rsidRPr="008C6234">
        <w:rPr>
          <w:szCs w:val="26"/>
        </w:rPr>
        <w:t>works together</w:t>
      </w:r>
      <w:r>
        <w:rPr>
          <w:i/>
          <w:iCs/>
          <w:szCs w:val="26"/>
        </w:rPr>
        <w:t xml:space="preserve"> as a gang</w:t>
      </w:r>
      <w:r>
        <w:rPr>
          <w:szCs w:val="26"/>
        </w:rPr>
        <w:t>.</w:t>
      </w:r>
      <w:r w:rsidR="00CA7C2A">
        <w:rPr>
          <w:szCs w:val="26"/>
        </w:rPr>
        <w:t xml:space="preserve">  </w:t>
      </w:r>
      <w:r w:rsidR="008E4CD0">
        <w:rPr>
          <w:szCs w:val="26"/>
        </w:rPr>
        <w:t xml:space="preserve">It calls for a showing of a connection, or nexus, </w:t>
      </w:r>
      <w:r w:rsidR="00CA7C2A">
        <w:t>between an offense committed by one or more gang members and the organization as a whole</w:t>
      </w:r>
      <w:r w:rsidR="00EB143B">
        <w:rPr>
          <w:szCs w:val="26"/>
        </w:rPr>
        <w:t>.</w:t>
      </w:r>
      <w:r w:rsidR="00F749CE">
        <w:rPr>
          <w:szCs w:val="26"/>
        </w:rPr>
        <w:t xml:space="preserve"> </w:t>
      </w:r>
      <w:r w:rsidRPr="00F95F30" w:rsidR="000A4DA3">
        <w:t xml:space="preserve">  </w:t>
      </w:r>
    </w:p>
    <w:p w:rsidR="001B3F52" w:rsidP="00B24A83" w14:paraId="3C86BDA8" w14:textId="77777777">
      <w:pPr>
        <w:widowControl w:val="0"/>
        <w:tabs>
          <w:tab w:val="left" w:pos="720"/>
        </w:tabs>
        <w:rPr>
          <w:szCs w:val="26"/>
        </w:rPr>
      </w:pPr>
      <w:r>
        <w:tab/>
      </w:r>
      <w:r w:rsidR="004919F9">
        <w:t>T</w:t>
      </w:r>
      <w:r w:rsidRPr="00F95F30" w:rsidR="002E39EC">
        <w:t>h</w:t>
      </w:r>
      <w:r w:rsidRPr="00F95F30" w:rsidR="001B5D24">
        <w:t>is</w:t>
      </w:r>
      <w:r w:rsidRPr="00F95F30" w:rsidR="002E39EC">
        <w:t xml:space="preserve"> </w:t>
      </w:r>
      <w:r w:rsidR="00652075">
        <w:t xml:space="preserve">organizational nexus </w:t>
      </w:r>
      <w:r w:rsidRPr="00F95F30" w:rsidR="000341B8">
        <w:t xml:space="preserve">may be shown </w:t>
      </w:r>
      <w:r w:rsidR="000341B8">
        <w:t>by</w:t>
      </w:r>
      <w:r w:rsidRPr="00F95F30" w:rsidR="000341B8">
        <w:t xml:space="preserve"> evidence linking the predicate offenses to the gang’s organizational structure, meaning its manner of governance; </w:t>
      </w:r>
      <w:r w:rsidR="000341B8">
        <w:t>it</w:t>
      </w:r>
      <w:r w:rsidR="0081214C">
        <w:t>s</w:t>
      </w:r>
      <w:r w:rsidR="000341B8">
        <w:t xml:space="preserve"> </w:t>
      </w:r>
      <w:r w:rsidRPr="00F95F30" w:rsidR="000341B8">
        <w:t>primary activities; or its common goals and principles.</w:t>
      </w:r>
      <w:r w:rsidR="000273E6">
        <w:t xml:space="preserve"> </w:t>
      </w:r>
      <w:r w:rsidRPr="00F95F30" w:rsidR="000341B8">
        <w:t xml:space="preserve"> </w:t>
      </w:r>
      <w:r w:rsidR="00B52056">
        <w:t xml:space="preserve">By </w:t>
      </w:r>
      <w:r w:rsidR="000B0836">
        <w:t>reference to the</w:t>
      </w:r>
      <w:r w:rsidR="00DE49ED">
        <w:t>se elements of a gang’s affairs and operations</w:t>
      </w:r>
      <w:r w:rsidR="000B0836">
        <w:t xml:space="preserve">, we do not mean to </w:t>
      </w:r>
      <w:r w:rsidR="00DD7CD1">
        <w:t xml:space="preserve">overstate the degree of formality required.  </w:t>
      </w:r>
      <w:r w:rsidR="00A86B41">
        <w:rPr>
          <w:szCs w:val="26"/>
        </w:rPr>
        <w:t xml:space="preserve">As we have recognized, </w:t>
      </w:r>
      <w:r w:rsidR="007030DC">
        <w:rPr>
          <w:szCs w:val="26"/>
        </w:rPr>
        <w:t>s</w:t>
      </w:r>
      <w:r w:rsidR="00134682">
        <w:rPr>
          <w:szCs w:val="26"/>
        </w:rPr>
        <w:t xml:space="preserve">ome gangs have a </w:t>
      </w:r>
      <w:r w:rsidRPr="007B05B1" w:rsidR="00134682">
        <w:rPr>
          <w:szCs w:val="26"/>
        </w:rPr>
        <w:t>“</w:t>
      </w:r>
      <w:r w:rsidR="00134682">
        <w:rPr>
          <w:szCs w:val="26"/>
        </w:rPr>
        <w:t> ‘</w:t>
      </w:r>
      <w:r w:rsidRPr="007B05B1" w:rsidR="00134682">
        <w:rPr>
          <w:szCs w:val="26"/>
        </w:rPr>
        <w:t>loose</w:t>
      </w:r>
      <w:r w:rsidR="00134682">
        <w:rPr>
          <w:szCs w:val="26"/>
        </w:rPr>
        <w:t>’ </w:t>
      </w:r>
      <w:r w:rsidRPr="007B05B1" w:rsidR="00134682">
        <w:rPr>
          <w:szCs w:val="26"/>
        </w:rPr>
        <w:t>” structure</w:t>
      </w:r>
      <w:r w:rsidR="00134682">
        <w:rPr>
          <w:szCs w:val="26"/>
        </w:rPr>
        <w:t xml:space="preserve"> </w:t>
      </w:r>
      <w:r w:rsidRPr="007B05B1" w:rsidR="00134682">
        <w:rPr>
          <w:szCs w:val="26"/>
        </w:rPr>
        <w:t>(</w:t>
      </w:r>
      <w:r w:rsidRPr="007B05B1" w:rsidR="00134682">
        <w:rPr>
          <w:i/>
          <w:iCs/>
          <w:szCs w:val="26"/>
        </w:rPr>
        <w:t>People v. Ware</w:t>
      </w:r>
      <w:r w:rsidRPr="007B05B1" w:rsidR="00134682">
        <w:rPr>
          <w:szCs w:val="26"/>
        </w:rPr>
        <w:t xml:space="preserve"> (2022) 14 Cal.5th 151, 170)</w:t>
      </w:r>
      <w:r w:rsidR="00134682">
        <w:rPr>
          <w:szCs w:val="26"/>
        </w:rPr>
        <w:t>, while others are “</w:t>
      </w:r>
      <w:r w:rsidRPr="00AE4E57" w:rsidR="00134682">
        <w:rPr>
          <w:szCs w:val="26"/>
        </w:rPr>
        <w:t>highly ordered</w:t>
      </w:r>
      <w:r w:rsidR="00134682">
        <w:rPr>
          <w:szCs w:val="26"/>
        </w:rPr>
        <w:t xml:space="preserve"> </w:t>
      </w:r>
      <w:r w:rsidRPr="00AE4E57" w:rsidR="00134682">
        <w:rPr>
          <w:szCs w:val="26"/>
        </w:rPr>
        <w:t>and disciplined</w:t>
      </w:r>
      <w:r w:rsidR="00134682">
        <w:rPr>
          <w:szCs w:val="26"/>
        </w:rPr>
        <w:t>,” with a “</w:t>
      </w:r>
      <w:r w:rsidRPr="00AE4E57" w:rsidR="00134682">
        <w:rPr>
          <w:szCs w:val="26"/>
        </w:rPr>
        <w:t>well-defined</w:t>
      </w:r>
      <w:r w:rsidR="00134682">
        <w:rPr>
          <w:szCs w:val="26"/>
        </w:rPr>
        <w:t xml:space="preserve">” </w:t>
      </w:r>
      <w:r w:rsidRPr="00AE4E57" w:rsidR="00134682">
        <w:rPr>
          <w:szCs w:val="26"/>
        </w:rPr>
        <w:t>hierarch</w:t>
      </w:r>
      <w:r w:rsidR="00134682">
        <w:rPr>
          <w:szCs w:val="26"/>
        </w:rPr>
        <w:t xml:space="preserve">y </w:t>
      </w:r>
      <w:r w:rsidRPr="00AE4E57" w:rsidR="00134682">
        <w:rPr>
          <w:szCs w:val="26"/>
        </w:rPr>
        <w:t>(</w:t>
      </w:r>
      <w:r w:rsidRPr="00F74B07" w:rsidR="00134682">
        <w:rPr>
          <w:i/>
          <w:iCs/>
          <w:szCs w:val="26"/>
        </w:rPr>
        <w:t>People v. Masters</w:t>
      </w:r>
      <w:r w:rsidRPr="00AE4E57" w:rsidR="00134682">
        <w:rPr>
          <w:szCs w:val="26"/>
        </w:rPr>
        <w:t xml:space="preserve"> (2016) 62 Cal.4th 1019, 1027)</w:t>
      </w:r>
      <w:r w:rsidR="00134682">
        <w:rPr>
          <w:szCs w:val="26"/>
        </w:rPr>
        <w:t>.</w:t>
      </w:r>
      <w:r w:rsidR="000273E6">
        <w:rPr>
          <w:szCs w:val="26"/>
        </w:rPr>
        <w:t xml:space="preserve">  </w:t>
      </w:r>
      <w:r w:rsidR="00155F15">
        <w:rPr>
          <w:szCs w:val="26"/>
        </w:rPr>
        <w:t xml:space="preserve">Similarly, some gangs may have loosely defined goals and principles, while others </w:t>
      </w:r>
      <w:r w:rsidR="00BF2178">
        <w:rPr>
          <w:szCs w:val="26"/>
        </w:rPr>
        <w:t>may have clearly defined mission</w:t>
      </w:r>
      <w:r w:rsidR="007C0341">
        <w:rPr>
          <w:szCs w:val="26"/>
        </w:rPr>
        <w:t>s</w:t>
      </w:r>
      <w:r w:rsidR="00BF2178">
        <w:rPr>
          <w:szCs w:val="26"/>
        </w:rPr>
        <w:t xml:space="preserve">.  </w:t>
      </w:r>
      <w:r w:rsidR="000A6306">
        <w:rPr>
          <w:szCs w:val="26"/>
        </w:rPr>
        <w:t xml:space="preserve">Given this variability, collective engagement </w:t>
      </w:r>
      <w:r w:rsidR="00CD031A">
        <w:rPr>
          <w:szCs w:val="26"/>
        </w:rPr>
        <w:t xml:space="preserve">will be established in different ways.  </w:t>
      </w:r>
    </w:p>
    <w:p w:rsidR="00D069A1" w14:paraId="3C86BDA9" w14:textId="77777777">
      <w:pPr>
        <w:widowControl w:val="0"/>
        <w:tabs>
          <w:tab w:val="left" w:pos="720"/>
        </w:tabs>
        <w:rPr>
          <w:szCs w:val="26"/>
        </w:rPr>
      </w:pPr>
      <w:r>
        <w:rPr>
          <w:szCs w:val="26"/>
        </w:rPr>
        <w:tab/>
      </w:r>
      <w:r w:rsidR="009074B3">
        <w:rPr>
          <w:szCs w:val="26"/>
        </w:rPr>
        <w:t>In some cases, for example, the</w:t>
      </w:r>
      <w:r w:rsidR="0081214C">
        <w:rPr>
          <w:szCs w:val="26"/>
        </w:rPr>
        <w:t>re might be</w:t>
      </w:r>
      <w:r w:rsidR="009074B3">
        <w:rPr>
          <w:szCs w:val="26"/>
        </w:rPr>
        <w:t xml:space="preserve"> e</w:t>
      </w:r>
      <w:r w:rsidR="00451BE7">
        <w:rPr>
          <w:szCs w:val="26"/>
        </w:rPr>
        <w:t xml:space="preserve">vidence </w:t>
      </w:r>
      <w:r w:rsidR="0081214C">
        <w:rPr>
          <w:szCs w:val="26"/>
        </w:rPr>
        <w:t xml:space="preserve">of </w:t>
      </w:r>
      <w:r w:rsidR="001472CB">
        <w:rPr>
          <w:szCs w:val="26"/>
        </w:rPr>
        <w:t xml:space="preserve">a direct </w:t>
      </w:r>
      <w:r w:rsidR="005C2281">
        <w:rPr>
          <w:szCs w:val="26"/>
        </w:rPr>
        <w:t xml:space="preserve">order </w:t>
      </w:r>
      <w:r w:rsidR="001472CB">
        <w:rPr>
          <w:szCs w:val="26"/>
        </w:rPr>
        <w:t>from the gang to commit specific crimes</w:t>
      </w:r>
      <w:r w:rsidR="008E1F82">
        <w:rPr>
          <w:szCs w:val="26"/>
        </w:rPr>
        <w:t>.</w:t>
      </w:r>
      <w:r w:rsidR="00CC7980">
        <w:rPr>
          <w:szCs w:val="26"/>
        </w:rPr>
        <w:t xml:space="preserve"> </w:t>
      </w:r>
      <w:r w:rsidR="008E1F82">
        <w:rPr>
          <w:szCs w:val="26"/>
        </w:rPr>
        <w:t xml:space="preserve"> </w:t>
      </w:r>
      <w:r w:rsidR="00CC7980">
        <w:rPr>
          <w:szCs w:val="26"/>
        </w:rPr>
        <w:t>(</w:t>
      </w:r>
      <w:r w:rsidR="00CD031A">
        <w:rPr>
          <w:szCs w:val="26"/>
        </w:rPr>
        <w:t>E</w:t>
      </w:r>
      <w:r w:rsidR="00CC7980">
        <w:rPr>
          <w:szCs w:val="26"/>
        </w:rPr>
        <w:t xml:space="preserve">.g., </w:t>
      </w:r>
      <w:r w:rsidRPr="00D069A1" w:rsidR="00CD031A">
        <w:rPr>
          <w:i/>
          <w:iCs/>
          <w:szCs w:val="26"/>
        </w:rPr>
        <w:t>People v. Lewis</w:t>
      </w:r>
      <w:r w:rsidRPr="00CD031A" w:rsidR="00CD031A">
        <w:rPr>
          <w:szCs w:val="26"/>
        </w:rPr>
        <w:t xml:space="preserve"> (2021) 11 Cal.5</w:t>
      </w:r>
      <w:r w:rsidR="00476621">
        <w:rPr>
          <w:szCs w:val="26"/>
        </w:rPr>
        <w:t>th</w:t>
      </w:r>
      <w:r w:rsidRPr="00CD031A" w:rsidR="00CD031A">
        <w:rPr>
          <w:szCs w:val="26"/>
        </w:rPr>
        <w:t xml:space="preserve"> 952, 958</w:t>
      </w:r>
      <w:r w:rsidR="00CD031A">
        <w:rPr>
          <w:szCs w:val="26"/>
        </w:rPr>
        <w:t xml:space="preserve"> [the murder would have been agreed on at a meeting called by the gang’s “ ‘ “shot caller” ’ ”]; </w:t>
      </w:r>
      <w:r w:rsidRPr="00887893" w:rsidR="00CD031A">
        <w:rPr>
          <w:i/>
          <w:iCs/>
          <w:szCs w:val="26"/>
        </w:rPr>
        <w:t>In re Masters</w:t>
      </w:r>
      <w:r w:rsidRPr="00AE4E57" w:rsidR="00CD031A">
        <w:rPr>
          <w:szCs w:val="26"/>
        </w:rPr>
        <w:t xml:space="preserve"> (2019) 7 Cal.5</w:t>
      </w:r>
      <w:r w:rsidR="00476621">
        <w:rPr>
          <w:szCs w:val="26"/>
        </w:rPr>
        <w:t>th</w:t>
      </w:r>
      <w:r w:rsidRPr="00AE4E57" w:rsidR="00CD031A">
        <w:rPr>
          <w:szCs w:val="26"/>
        </w:rPr>
        <w:t xml:space="preserve"> 1054, 1063</w:t>
      </w:r>
      <w:r w:rsidR="00CD031A">
        <w:rPr>
          <w:szCs w:val="26"/>
        </w:rPr>
        <w:t xml:space="preserve"> [a certain attack “</w:t>
      </w:r>
      <w:r w:rsidRPr="00AE4E57" w:rsidR="00CD031A">
        <w:rPr>
          <w:szCs w:val="26"/>
        </w:rPr>
        <w:t>would normally have been ordered only by the highest echelon of a gang</w:t>
      </w:r>
      <w:r w:rsidR="00CD031A">
        <w:rPr>
          <w:szCs w:val="26"/>
        </w:rPr>
        <w:t>’</w:t>
      </w:r>
      <w:r w:rsidRPr="00AE4E57" w:rsidR="00CD031A">
        <w:rPr>
          <w:szCs w:val="26"/>
        </w:rPr>
        <w:t>s leadership</w:t>
      </w:r>
      <w:r w:rsidR="00CD031A">
        <w:rPr>
          <w:szCs w:val="26"/>
        </w:rPr>
        <w:t>”]</w:t>
      </w:r>
      <w:r>
        <w:rPr>
          <w:szCs w:val="26"/>
        </w:rPr>
        <w:t xml:space="preserve">.)  Alternatively, evidence might show a more general, well-understood expectation that members must engage in certain types of offenses.  (E.g., </w:t>
      </w:r>
      <w:r w:rsidRPr="00493673" w:rsidR="00CC7980">
        <w:rPr>
          <w:i/>
          <w:iCs/>
          <w:szCs w:val="26"/>
        </w:rPr>
        <w:t>People v. Elizalde</w:t>
      </w:r>
      <w:r w:rsidRPr="002C2493" w:rsidR="00CC7980">
        <w:rPr>
          <w:szCs w:val="26"/>
        </w:rPr>
        <w:t xml:space="preserve"> (2015) 61 Cal.4</w:t>
      </w:r>
      <w:r w:rsidR="00476621">
        <w:rPr>
          <w:szCs w:val="26"/>
        </w:rPr>
        <w:t>th</w:t>
      </w:r>
      <w:r w:rsidRPr="002C2493" w:rsidR="00CC7980">
        <w:rPr>
          <w:szCs w:val="26"/>
        </w:rPr>
        <w:t xml:space="preserve"> 523,</w:t>
      </w:r>
      <w:r w:rsidR="00CC7980">
        <w:rPr>
          <w:szCs w:val="26"/>
        </w:rPr>
        <w:t xml:space="preserve"> </w:t>
      </w:r>
      <w:r w:rsidRPr="00B2642B" w:rsidR="00CC7980">
        <w:rPr>
          <w:szCs w:val="26"/>
        </w:rPr>
        <w:t>528</w:t>
      </w:r>
      <w:r w:rsidR="00CC7980">
        <w:rPr>
          <w:szCs w:val="26"/>
        </w:rPr>
        <w:t xml:space="preserve"> [junior members </w:t>
      </w:r>
      <w:r w:rsidR="00CD031A">
        <w:rPr>
          <w:szCs w:val="26"/>
        </w:rPr>
        <w:t xml:space="preserve">received a general order </w:t>
      </w:r>
      <w:r w:rsidR="00CC7980">
        <w:rPr>
          <w:szCs w:val="26"/>
        </w:rPr>
        <w:t>to attack rivals to support the gang and earn their status]</w:t>
      </w:r>
      <w:r w:rsidR="00CD031A">
        <w:rPr>
          <w:szCs w:val="26"/>
        </w:rPr>
        <w:t>.</w:t>
      </w:r>
      <w:r w:rsidRPr="00AE4E57" w:rsidR="00CC7980">
        <w:rPr>
          <w:szCs w:val="26"/>
        </w:rPr>
        <w:t>)</w:t>
      </w:r>
      <w:r w:rsidR="000A18DB">
        <w:rPr>
          <w:szCs w:val="26"/>
        </w:rPr>
        <w:t xml:space="preserve">  </w:t>
      </w:r>
      <w:r w:rsidR="00451BE7">
        <w:rPr>
          <w:szCs w:val="26"/>
        </w:rPr>
        <w:t xml:space="preserve">In </w:t>
      </w:r>
      <w:r w:rsidR="009074B3">
        <w:rPr>
          <w:szCs w:val="26"/>
        </w:rPr>
        <w:t>other</w:t>
      </w:r>
      <w:r w:rsidR="00451BE7">
        <w:rPr>
          <w:szCs w:val="26"/>
        </w:rPr>
        <w:t xml:space="preserve"> cases, c</w:t>
      </w:r>
      <w:r w:rsidR="008E1F82">
        <w:rPr>
          <w:szCs w:val="26"/>
        </w:rPr>
        <w:t xml:space="preserve">ollective engagement </w:t>
      </w:r>
      <w:r w:rsidR="000A18DB">
        <w:rPr>
          <w:szCs w:val="26"/>
        </w:rPr>
        <w:t xml:space="preserve">might be shown by demonstrating </w:t>
      </w:r>
      <w:r w:rsidR="0039347C">
        <w:rPr>
          <w:szCs w:val="26"/>
        </w:rPr>
        <w:t xml:space="preserve">that the offenses </w:t>
      </w:r>
      <w:r w:rsidR="00F7758B">
        <w:rPr>
          <w:szCs w:val="26"/>
        </w:rPr>
        <w:t xml:space="preserve">are reflective of </w:t>
      </w:r>
      <w:r w:rsidR="00B2796F">
        <w:rPr>
          <w:szCs w:val="26"/>
        </w:rPr>
        <w:t xml:space="preserve">the primary activities of the gang, or else </w:t>
      </w:r>
      <w:r w:rsidR="0039347C">
        <w:rPr>
          <w:szCs w:val="26"/>
        </w:rPr>
        <w:t xml:space="preserve">adhere </w:t>
      </w:r>
      <w:r w:rsidR="00636C0B">
        <w:rPr>
          <w:szCs w:val="26"/>
        </w:rPr>
        <w:t xml:space="preserve">to </w:t>
      </w:r>
      <w:r w:rsidR="0065413C">
        <w:rPr>
          <w:szCs w:val="26"/>
        </w:rPr>
        <w:t xml:space="preserve">a common goal or plan </w:t>
      </w:r>
      <w:r w:rsidR="008E1F82">
        <w:rPr>
          <w:szCs w:val="26"/>
        </w:rPr>
        <w:t xml:space="preserve">characteristic </w:t>
      </w:r>
      <w:r w:rsidR="0039347C">
        <w:rPr>
          <w:szCs w:val="26"/>
        </w:rPr>
        <w:t xml:space="preserve">of </w:t>
      </w:r>
      <w:r w:rsidR="00806B89">
        <w:rPr>
          <w:szCs w:val="26"/>
        </w:rPr>
        <w:t>the gang in question</w:t>
      </w:r>
      <w:r w:rsidR="0040241C">
        <w:rPr>
          <w:szCs w:val="26"/>
        </w:rPr>
        <w:t>.</w:t>
      </w:r>
      <w:r w:rsidR="00CB6D57">
        <w:rPr>
          <w:szCs w:val="26"/>
        </w:rPr>
        <w:t xml:space="preserve">  (E.g., </w:t>
      </w:r>
      <w:r w:rsidR="00597747">
        <w:rPr>
          <w:i/>
          <w:iCs/>
          <w:szCs w:val="26"/>
        </w:rPr>
        <w:t>People v. J</w:t>
      </w:r>
      <w:r w:rsidRPr="00CB7B21" w:rsidR="00CB6D57">
        <w:rPr>
          <w:i/>
          <w:iCs/>
          <w:szCs w:val="26"/>
        </w:rPr>
        <w:t>ohnson</w:t>
      </w:r>
      <w:r w:rsidR="00CB6D57">
        <w:rPr>
          <w:szCs w:val="26"/>
        </w:rPr>
        <w:t xml:space="preserve">, </w:t>
      </w:r>
      <w:r w:rsidRPr="00F37C1E" w:rsidR="00597747">
        <w:rPr>
          <w:i/>
          <w:iCs/>
          <w:szCs w:val="26"/>
        </w:rPr>
        <w:t>supra</w:t>
      </w:r>
      <w:r w:rsidR="00597747">
        <w:rPr>
          <w:szCs w:val="26"/>
        </w:rPr>
        <w:t xml:space="preserve">, </w:t>
      </w:r>
      <w:r w:rsidR="00F37C1E">
        <w:rPr>
          <w:szCs w:val="26"/>
        </w:rPr>
        <w:t>57 Cal.</w:t>
      </w:r>
      <w:r w:rsidR="009E7A8C">
        <w:rPr>
          <w:szCs w:val="26"/>
        </w:rPr>
        <w:t>4</w:t>
      </w:r>
      <w:r w:rsidR="00F37C1E">
        <w:rPr>
          <w:szCs w:val="26"/>
        </w:rPr>
        <w:t xml:space="preserve">th </w:t>
      </w:r>
      <w:r w:rsidR="00CB6D57">
        <w:rPr>
          <w:szCs w:val="26"/>
        </w:rPr>
        <w:t>at p. </w:t>
      </w:r>
      <w:r w:rsidRPr="00CB7B21" w:rsidR="00CB6D57">
        <w:rPr>
          <w:szCs w:val="26"/>
        </w:rPr>
        <w:t>256</w:t>
      </w:r>
      <w:r w:rsidR="00CB6D57">
        <w:rPr>
          <w:szCs w:val="26"/>
        </w:rPr>
        <w:t xml:space="preserve"> [members</w:t>
      </w:r>
      <w:r w:rsidR="00CD031A">
        <w:rPr>
          <w:szCs w:val="26"/>
        </w:rPr>
        <w:t xml:space="preserve"> </w:t>
      </w:r>
      <w:r w:rsidR="009074B3">
        <w:rPr>
          <w:szCs w:val="26"/>
        </w:rPr>
        <w:t xml:space="preserve">played different roles in carrying out the </w:t>
      </w:r>
      <w:r w:rsidR="00CD031A">
        <w:rPr>
          <w:szCs w:val="26"/>
        </w:rPr>
        <w:t>gang</w:t>
      </w:r>
      <w:r w:rsidR="009074B3">
        <w:rPr>
          <w:szCs w:val="26"/>
        </w:rPr>
        <w:t>’s</w:t>
      </w:r>
      <w:r w:rsidR="00CD031A">
        <w:rPr>
          <w:szCs w:val="26"/>
        </w:rPr>
        <w:t xml:space="preserve"> </w:t>
      </w:r>
      <w:r w:rsidR="009074B3">
        <w:rPr>
          <w:szCs w:val="26"/>
        </w:rPr>
        <w:t xml:space="preserve">activities, either </w:t>
      </w:r>
      <w:r w:rsidR="00CB6D57">
        <w:rPr>
          <w:szCs w:val="26"/>
        </w:rPr>
        <w:t xml:space="preserve">selling drugs, patrolling </w:t>
      </w:r>
      <w:r w:rsidRPr="00CB7B21" w:rsidR="00CB6D57">
        <w:rPr>
          <w:szCs w:val="26"/>
        </w:rPr>
        <w:t>the gang</w:t>
      </w:r>
      <w:r w:rsidR="00CB6D57">
        <w:rPr>
          <w:szCs w:val="26"/>
        </w:rPr>
        <w:t>’</w:t>
      </w:r>
      <w:r w:rsidRPr="00CB7B21" w:rsidR="00CB6D57">
        <w:rPr>
          <w:szCs w:val="26"/>
        </w:rPr>
        <w:t>s territory</w:t>
      </w:r>
      <w:r w:rsidR="00CB6D57">
        <w:rPr>
          <w:szCs w:val="26"/>
        </w:rPr>
        <w:t xml:space="preserve">, </w:t>
      </w:r>
      <w:r w:rsidR="004919F9">
        <w:rPr>
          <w:szCs w:val="26"/>
        </w:rPr>
        <w:t>or</w:t>
      </w:r>
      <w:r w:rsidR="00CB6D57">
        <w:rPr>
          <w:szCs w:val="26"/>
        </w:rPr>
        <w:t xml:space="preserve"> killing rivals]</w:t>
      </w:r>
      <w:r w:rsidR="0065413C">
        <w:rPr>
          <w:szCs w:val="26"/>
        </w:rPr>
        <w:t xml:space="preserve">; </w:t>
      </w:r>
      <w:r w:rsidRPr="00B2642B" w:rsidR="0065413C">
        <w:rPr>
          <w:i/>
          <w:iCs/>
          <w:szCs w:val="26"/>
        </w:rPr>
        <w:t>People v. Chhoun</w:t>
      </w:r>
      <w:r w:rsidRPr="00B2642B" w:rsidR="0065413C">
        <w:rPr>
          <w:szCs w:val="26"/>
        </w:rPr>
        <w:t xml:space="preserve"> (2021) 11 Cal.5th 1, 16</w:t>
      </w:r>
      <w:r w:rsidR="0065413C">
        <w:rPr>
          <w:szCs w:val="26"/>
        </w:rPr>
        <w:t xml:space="preserve"> [a gang’s complex robberies followed a common plan of targeting similar victims and relying on members to play specific roles]</w:t>
      </w:r>
      <w:r w:rsidR="004919F9">
        <w:rPr>
          <w:szCs w:val="26"/>
        </w:rPr>
        <w:t>.</w:t>
      </w:r>
      <w:r w:rsidR="00CB6D57">
        <w:rPr>
          <w:szCs w:val="26"/>
        </w:rPr>
        <w:t xml:space="preserve">) </w:t>
      </w:r>
      <w:r w:rsidR="0040241C">
        <w:rPr>
          <w:szCs w:val="26"/>
        </w:rPr>
        <w:t xml:space="preserve"> </w:t>
      </w:r>
    </w:p>
    <w:p w:rsidR="00BD50EB" w:rsidP="00991409" w14:paraId="3C86BDAA" w14:textId="77777777">
      <w:pPr>
        <w:widowControl w:val="0"/>
        <w:tabs>
          <w:tab w:val="left" w:pos="720"/>
        </w:tabs>
        <w:rPr>
          <w:szCs w:val="26"/>
        </w:rPr>
      </w:pPr>
      <w:r>
        <w:rPr>
          <w:szCs w:val="26"/>
        </w:rPr>
        <w:tab/>
      </w:r>
      <w:r w:rsidR="00991409">
        <w:rPr>
          <w:szCs w:val="26"/>
        </w:rPr>
        <w:t xml:space="preserve">The Attorney General </w:t>
      </w:r>
      <w:r w:rsidR="001626DF">
        <w:rPr>
          <w:szCs w:val="26"/>
        </w:rPr>
        <w:t xml:space="preserve">offers several </w:t>
      </w:r>
      <w:r w:rsidR="00636C0B">
        <w:rPr>
          <w:szCs w:val="26"/>
        </w:rPr>
        <w:t>illustrations</w:t>
      </w:r>
      <w:r w:rsidR="001626DF">
        <w:rPr>
          <w:szCs w:val="26"/>
        </w:rPr>
        <w:t xml:space="preserve"> of </w:t>
      </w:r>
      <w:r w:rsidR="00991409">
        <w:rPr>
          <w:szCs w:val="26"/>
        </w:rPr>
        <w:t>collective engagemen</w:t>
      </w:r>
      <w:r w:rsidR="00C71E11">
        <w:rPr>
          <w:szCs w:val="26"/>
        </w:rPr>
        <w:t>t</w:t>
      </w:r>
      <w:r w:rsidR="000B25DE">
        <w:rPr>
          <w:szCs w:val="26"/>
        </w:rPr>
        <w:t xml:space="preserve">. </w:t>
      </w:r>
      <w:r w:rsidRPr="000B25DE" w:rsidR="000B25DE">
        <w:t xml:space="preserve"> </w:t>
      </w:r>
      <w:r w:rsidR="009F4496">
        <w:t xml:space="preserve">Although nominally offered in support of the Attorney General’s common benefit argument, each in fact illustrates the </w:t>
      </w:r>
      <w:r>
        <w:t>meaning</w:t>
      </w:r>
      <w:r w:rsidR="009F4496">
        <w:t xml:space="preserve"> of collective engagement </w:t>
      </w:r>
      <w:r>
        <w:t xml:space="preserve">as </w:t>
      </w:r>
      <w:r w:rsidR="009F4496">
        <w:t>we have described</w:t>
      </w:r>
      <w:r>
        <w:t xml:space="preserve"> it</w:t>
      </w:r>
      <w:r w:rsidR="009F4496">
        <w:t xml:space="preserve">.  </w:t>
      </w:r>
      <w:r w:rsidR="000B25DE">
        <w:t>In one example, a gang tasked members with collecting</w:t>
      </w:r>
      <w:r w:rsidR="000B25DE">
        <w:rPr>
          <w:szCs w:val="26"/>
        </w:rPr>
        <w:t xml:space="preserve"> “taxes” from local businesses or drug dealers as a way of maintaining the gang’s territory.  In a second example, the gang directed members to sell drugs in the gang’s territory with proceeds from the sales used to benefit the gang.  A third example described a gang in which members were authorized to attack rivals on a “green light list” maintained by the gang.  </w:t>
      </w:r>
      <w:r w:rsidR="00BB0376">
        <w:rPr>
          <w:szCs w:val="26"/>
        </w:rPr>
        <w:t xml:space="preserve">And in another </w:t>
      </w:r>
      <w:r w:rsidR="000B25DE">
        <w:rPr>
          <w:szCs w:val="26"/>
        </w:rPr>
        <w:t>scenario</w:t>
      </w:r>
      <w:r w:rsidR="00BB0376">
        <w:rPr>
          <w:szCs w:val="26"/>
        </w:rPr>
        <w:t>,</w:t>
      </w:r>
      <w:r w:rsidR="000B25DE">
        <w:rPr>
          <w:szCs w:val="26"/>
        </w:rPr>
        <w:t xml:space="preserve"> discussed above</w:t>
      </w:r>
      <w:r w:rsidR="00BB0376">
        <w:rPr>
          <w:szCs w:val="26"/>
        </w:rPr>
        <w:t xml:space="preserve">, </w:t>
      </w:r>
      <w:r w:rsidRPr="00F95F30" w:rsidR="000B25DE">
        <w:t xml:space="preserve">one </w:t>
      </w:r>
      <w:r w:rsidR="000B25DE">
        <w:t xml:space="preserve">member </w:t>
      </w:r>
      <w:r w:rsidRPr="00F95F30" w:rsidR="000B25DE">
        <w:t>s</w:t>
      </w:r>
      <w:r w:rsidR="00434327">
        <w:t>old</w:t>
      </w:r>
      <w:r w:rsidRPr="00F95F30" w:rsidR="000B25DE">
        <w:t xml:space="preserve"> drugs for the gang, a second murder</w:t>
      </w:r>
      <w:r w:rsidR="00434327">
        <w:t>ed</w:t>
      </w:r>
      <w:r w:rsidRPr="00F95F30" w:rsidR="000B25DE">
        <w:t xml:space="preserve"> a rival drug dealer, and a third </w:t>
      </w:r>
      <w:r w:rsidR="000B25DE">
        <w:t xml:space="preserve">hid </w:t>
      </w:r>
      <w:r w:rsidRPr="00F95F30" w:rsidR="000B25DE">
        <w:t>the murder weapon</w:t>
      </w:r>
      <w:r w:rsidR="00BB0376">
        <w:t xml:space="preserve">.  In these examples, </w:t>
      </w:r>
      <w:r w:rsidRPr="00BB0376" w:rsidR="00BB0376">
        <w:t>gang members play a role in enforcing the territory and terms of the gang’s drug trade or</w:t>
      </w:r>
      <w:r w:rsidR="00BB0376">
        <w:t>,</w:t>
      </w:r>
      <w:r w:rsidRPr="00BB0376" w:rsidR="00BB0376">
        <w:t xml:space="preserve"> by killing certain targeted individuals, carry out </w:t>
      </w:r>
      <w:r w:rsidR="00980FEE">
        <w:t>an</w:t>
      </w:r>
      <w:r w:rsidRPr="00BB0376" w:rsidR="00BB0376">
        <w:t xml:space="preserve"> edict to eliminate rivals</w:t>
      </w:r>
      <w:r w:rsidR="00BB0376">
        <w:t xml:space="preserve"> who </w:t>
      </w:r>
      <w:r w:rsidR="00D62CD6">
        <w:t xml:space="preserve">pose a </w:t>
      </w:r>
      <w:r w:rsidR="00BB0376">
        <w:t>threat</w:t>
      </w:r>
      <w:r w:rsidR="00D62CD6">
        <w:t xml:space="preserve"> to the gang</w:t>
      </w:r>
      <w:r w:rsidRPr="00BB0376" w:rsidR="00BB0376">
        <w:t xml:space="preserve">.  </w:t>
      </w:r>
      <w:r w:rsidRPr="00F95F30" w:rsidR="00D62CD6">
        <w:t>In all of the examples, the predicate offenses create a common benefit to the gang.</w:t>
      </w:r>
      <w:r w:rsidR="00D62CD6">
        <w:t xml:space="preserve">  </w:t>
      </w:r>
      <w:r w:rsidRPr="00F95F30" w:rsidR="00991409">
        <w:t>But in all of the examples, the offenses</w:t>
      </w:r>
      <w:r w:rsidR="000B25DE">
        <w:t xml:space="preserve"> </w:t>
      </w:r>
      <w:r w:rsidRPr="00F95F30" w:rsidR="00991409">
        <w:t xml:space="preserve">also relate to the essential characteristics </w:t>
      </w:r>
      <w:r w:rsidR="001C1A99">
        <w:t>of the criminal street gang</w:t>
      </w:r>
      <w:r w:rsidRPr="00F95F30" w:rsidR="00991409">
        <w:t xml:space="preserve"> — its </w:t>
      </w:r>
      <w:r w:rsidRPr="00F95F30" w:rsidR="00295760">
        <w:t>organizational structure</w:t>
      </w:r>
      <w:r w:rsidR="00295760">
        <w:t>,</w:t>
      </w:r>
      <w:r w:rsidRPr="00F95F30" w:rsidR="00295760">
        <w:t xml:space="preserve"> </w:t>
      </w:r>
      <w:r w:rsidRPr="00F95F30" w:rsidR="00991409">
        <w:t>primary activities, or common goals and principles.</w:t>
      </w:r>
      <w:r>
        <w:t xml:space="preserve"> </w:t>
      </w:r>
    </w:p>
    <w:p w:rsidR="00241F00" w:rsidRPr="00F95F30" w:rsidP="00571765" w14:paraId="3C86BDAB" w14:textId="77777777">
      <w:pPr>
        <w:widowControl w:val="0"/>
        <w:tabs>
          <w:tab w:val="left" w:pos="720"/>
        </w:tabs>
      </w:pPr>
      <w:r>
        <w:rPr>
          <w:szCs w:val="26"/>
        </w:rPr>
        <w:tab/>
      </w:r>
      <w:r w:rsidR="009F4496">
        <w:t>The Attorney General’s examples thus reinforce our understanding of the collective engagement language.  T</w:t>
      </w:r>
      <w:r w:rsidR="00FF1374">
        <w:t>he core inquiry is whether the</w:t>
      </w:r>
      <w:r w:rsidR="0011073F">
        <w:t>re</w:t>
      </w:r>
      <w:r w:rsidR="00FF1374">
        <w:t xml:space="preserve"> </w:t>
      </w:r>
      <w:r w:rsidR="0011073F">
        <w:t>exists an organizational nexus between the crime and the gang.</w:t>
      </w:r>
      <w:r w:rsidR="005230D0">
        <w:t xml:space="preserve">  </w:t>
      </w:r>
      <w:r w:rsidRPr="00F95F30" w:rsidR="0078326D">
        <w:t xml:space="preserve">For reasons explained above, </w:t>
      </w:r>
      <w:r w:rsidR="006168F2">
        <w:t>this</w:t>
      </w:r>
      <w:r w:rsidRPr="00F95F30" w:rsidR="00544EF7">
        <w:t xml:space="preserve"> is </w:t>
      </w:r>
      <w:r w:rsidRPr="00F95F30" w:rsidR="009E70E9">
        <w:t xml:space="preserve">conceptually </w:t>
      </w:r>
      <w:r w:rsidRPr="00F95F30" w:rsidR="00C9529A">
        <w:t>distinct from the requirement to prove that each predicate offense “commonly benefited” the gang (§</w:t>
      </w:r>
      <w:r w:rsidRPr="00F95F30" w:rsidR="00A17904">
        <w:t> </w:t>
      </w:r>
      <w:r w:rsidRPr="00F95F30" w:rsidR="00C9529A">
        <w:t>186.22(e)</w:t>
      </w:r>
      <w:r w:rsidRPr="00F95F30" w:rsidR="00684AD2">
        <w:t>(1)</w:t>
      </w:r>
      <w:r w:rsidRPr="00F95F30" w:rsidR="00C9529A">
        <w:t>)</w:t>
      </w:r>
      <w:r w:rsidR="0065413C">
        <w:t>,</w:t>
      </w:r>
      <w:r w:rsidRPr="00F95F30" w:rsidR="00684AD2">
        <w:t xml:space="preserve"> </w:t>
      </w:r>
      <w:r w:rsidR="009D17B5">
        <w:t xml:space="preserve">even though </w:t>
      </w:r>
      <w:r w:rsidRPr="00F95F30" w:rsidR="001065EF">
        <w:t xml:space="preserve">the facts necessary to prove the two requirements will often overlap with one another.  </w:t>
      </w:r>
      <w:r w:rsidRPr="00F95F30" w:rsidR="00EF039B">
        <w:t xml:space="preserve">Though the crimes </w:t>
      </w:r>
      <w:r w:rsidR="000E2B28">
        <w:t xml:space="preserve">in the examples above </w:t>
      </w:r>
      <w:r w:rsidRPr="00F95F30" w:rsidR="00EF039B">
        <w:t xml:space="preserve">may have been committed by individual gang members, </w:t>
      </w:r>
      <w:r w:rsidR="00663971">
        <w:t>and provide</w:t>
      </w:r>
      <w:r w:rsidR="00E16321">
        <w:t>d</w:t>
      </w:r>
      <w:r w:rsidR="00663971">
        <w:t xml:space="preserve"> a benefit to the gang, </w:t>
      </w:r>
      <w:r w:rsidRPr="00F95F30" w:rsidR="00EF039B">
        <w:t xml:space="preserve">the undertakings </w:t>
      </w:r>
      <w:r w:rsidRPr="00F95F30" w:rsidR="00541989">
        <w:t>reflect the collective engagement of the gang</w:t>
      </w:r>
      <w:r w:rsidRPr="00F95F30" w:rsidR="00912C34">
        <w:t xml:space="preserve"> </w:t>
      </w:r>
      <w:r w:rsidRPr="00F95F30" w:rsidR="00B63F6C">
        <w:t>inasmuch as the</w:t>
      </w:r>
      <w:r w:rsidRPr="00F95F30" w:rsidR="003D559C">
        <w:t>re exists</w:t>
      </w:r>
      <w:r w:rsidRPr="00F95F30" w:rsidR="00B63F6C">
        <w:t xml:space="preserve"> </w:t>
      </w:r>
      <w:r w:rsidRPr="00F95F30" w:rsidR="003D559C">
        <w:t xml:space="preserve">an </w:t>
      </w:r>
      <w:r w:rsidRPr="00F95F30" w:rsidR="00732E99">
        <w:t xml:space="preserve">organizational </w:t>
      </w:r>
      <w:r w:rsidRPr="00F95F30" w:rsidR="004C2E48">
        <w:t xml:space="preserve">nexus </w:t>
      </w:r>
      <w:r w:rsidRPr="00F95F30" w:rsidR="00732E99">
        <w:t xml:space="preserve">between the crimes and </w:t>
      </w:r>
      <w:r w:rsidR="00663971">
        <w:t xml:space="preserve">the </w:t>
      </w:r>
      <w:r w:rsidR="00DF4928">
        <w:t xml:space="preserve">particular </w:t>
      </w:r>
      <w:r w:rsidR="00663971">
        <w:t xml:space="preserve">characteristics of the </w:t>
      </w:r>
      <w:r w:rsidRPr="00F95F30" w:rsidR="00732E99">
        <w:t>“</w:t>
      </w:r>
      <w:r w:rsidR="00DF2B76">
        <w:t> ‘</w:t>
      </w:r>
      <w:r w:rsidRPr="00F95F30" w:rsidR="00732E99">
        <w:t>criminal street gang</w:t>
      </w:r>
      <w:r w:rsidR="00DF2B76">
        <w:t>’ </w:t>
      </w:r>
      <w:r w:rsidRPr="00F95F30" w:rsidR="00732E99">
        <w:t xml:space="preserve">” </w:t>
      </w:r>
      <w:r w:rsidR="00E56251">
        <w:t xml:space="preserve">established </w:t>
      </w:r>
      <w:r w:rsidRPr="00F95F30" w:rsidR="00732E99">
        <w:t xml:space="preserve">under </w:t>
      </w:r>
      <w:r w:rsidR="00663971">
        <w:t>section 186.22(f)</w:t>
      </w:r>
      <w:r w:rsidRPr="00F95F30" w:rsidR="00732E99">
        <w:t>.</w:t>
      </w:r>
    </w:p>
    <w:p w:rsidR="00C70482" w:rsidRPr="00F95F30" w:rsidP="00F95F30" w14:paraId="3C86BDAC" w14:textId="77777777">
      <w:pPr>
        <w:pStyle w:val="Heading1"/>
      </w:pPr>
      <w:r w:rsidRPr="00F95F30">
        <w:t>III.</w:t>
      </w:r>
    </w:p>
    <w:p w:rsidR="00421277" w:rsidP="00D12E89" w14:paraId="3C86BDAD" w14:textId="77777777">
      <w:pPr>
        <w:widowControl w:val="0"/>
        <w:tabs>
          <w:tab w:val="left" w:pos="720"/>
        </w:tabs>
      </w:pPr>
      <w:r>
        <w:tab/>
      </w:r>
      <w:r w:rsidR="00DF617F">
        <w:t xml:space="preserve">Clark is entitled to a remand for further proceedings unless the </w:t>
      </w:r>
      <w:r w:rsidR="007C2B54">
        <w:t xml:space="preserve">lack of instruction </w:t>
      </w:r>
      <w:r w:rsidR="00DF617F">
        <w:t xml:space="preserve">on new elements </w:t>
      </w:r>
      <w:r w:rsidRPr="00DF617F" w:rsidR="00DF617F">
        <w:t xml:space="preserve">that apply retroactively under </w:t>
      </w:r>
      <w:r w:rsidRPr="00980FEE" w:rsidR="00DF617F">
        <w:rPr>
          <w:i/>
          <w:iCs/>
        </w:rPr>
        <w:t>In re Estrada</w:t>
      </w:r>
      <w:r w:rsidRPr="00DF617F" w:rsidR="00DF617F">
        <w:t xml:space="preserve"> (1965) 63 Cal.2d 740 is harmless beyond a reasonable doubt.  (</w:t>
      </w:r>
      <w:r w:rsidRPr="00980FEE" w:rsidR="00DF617F">
        <w:rPr>
          <w:i/>
          <w:iCs/>
        </w:rPr>
        <w:t>People v. Cooper</w:t>
      </w:r>
      <w:r w:rsidRPr="00DF617F" w:rsidR="00DF617F">
        <w:t xml:space="preserve"> (2023) 14 Cal.5th 735, 742; </w:t>
      </w:r>
      <w:r w:rsidRPr="00980FEE" w:rsidR="00DF617F">
        <w:rPr>
          <w:i/>
          <w:iCs/>
        </w:rPr>
        <w:t>Tran</w:t>
      </w:r>
      <w:r w:rsidRPr="00F37C1E" w:rsidR="00F37C1E">
        <w:t>,</w:t>
      </w:r>
      <w:r w:rsidR="00F37C1E">
        <w:rPr>
          <w:i/>
          <w:iCs/>
        </w:rPr>
        <w:t xml:space="preserve"> supra</w:t>
      </w:r>
      <w:r w:rsidRPr="00F37C1E" w:rsidR="00F37C1E">
        <w:t>,</w:t>
      </w:r>
      <w:r w:rsidRPr="00F37C1E" w:rsidR="00DF617F">
        <w:t xml:space="preserve"> </w:t>
      </w:r>
      <w:r w:rsidRPr="00DF617F" w:rsidR="00DF617F">
        <w:t xml:space="preserve">13 Cal.5th </w:t>
      </w:r>
      <w:r w:rsidR="00F37C1E">
        <w:t>at p. </w:t>
      </w:r>
      <w:r w:rsidRPr="00DF617F" w:rsidR="00DF617F">
        <w:t xml:space="preserve">1207.)  </w:t>
      </w:r>
      <w:r w:rsidR="00BD50EB">
        <w:t>We conclude that t</w:t>
      </w:r>
      <w:r w:rsidR="00DB45C5">
        <w:t xml:space="preserve">he lack of </w:t>
      </w:r>
      <w:r w:rsidR="00471737">
        <w:t>instruction</w:t>
      </w:r>
      <w:r w:rsidR="00242077">
        <w:t xml:space="preserve"> was not harmless.</w:t>
      </w:r>
    </w:p>
    <w:p w:rsidR="006F331A" w:rsidP="00D12E89" w14:paraId="3C86BDAE" w14:textId="77777777">
      <w:pPr>
        <w:widowControl w:val="0"/>
        <w:tabs>
          <w:tab w:val="left" w:pos="720"/>
        </w:tabs>
      </w:pPr>
      <w:r>
        <w:tab/>
      </w:r>
      <w:r w:rsidRPr="00F95F30" w:rsidR="00252360">
        <w:t xml:space="preserve">The Court of Appeal </w:t>
      </w:r>
      <w:r w:rsidRPr="00F95F30" w:rsidR="00B72032">
        <w:t xml:space="preserve">in this case </w:t>
      </w:r>
      <w:r w:rsidR="00BD50EB">
        <w:t xml:space="preserve">held </w:t>
      </w:r>
      <w:r w:rsidRPr="00F95F30" w:rsidR="000E705B">
        <w:t xml:space="preserve">that because there was evidence that two members of Sex Cash Money committed crimes on separate occasions, </w:t>
      </w:r>
      <w:r w:rsidRPr="00F95F30" w:rsidR="00282F82">
        <w:t>any reasonable jury would have concluded beyond a reasonable doubt that “</w:t>
      </w:r>
      <w:r w:rsidRPr="00F95F30" w:rsidR="003F5804">
        <w:t>members of Sex Cash Money ‘collectively . . . have engaged in . . . a pattern of criminal gang activity.’</w:t>
      </w:r>
      <w:r w:rsidRPr="00F95F30" w:rsidR="00A17904">
        <w:t xml:space="preserve">  </w:t>
      </w:r>
      <w:r w:rsidRPr="00F95F30" w:rsidR="003F5804">
        <w:t>(§</w:t>
      </w:r>
      <w:r w:rsidRPr="00F95F30" w:rsidR="00A17904">
        <w:t> </w:t>
      </w:r>
      <w:r w:rsidRPr="00F95F30" w:rsidR="003F5804">
        <w:t>186.22, subd. (f).)”  (</w:t>
      </w:r>
      <w:r w:rsidRPr="00F95F30" w:rsidR="003F5804">
        <w:rPr>
          <w:i/>
          <w:iCs/>
        </w:rPr>
        <w:t>Clark</w:t>
      </w:r>
      <w:r w:rsidRPr="00F95F30" w:rsidR="003F5804">
        <w:t xml:space="preserve">, </w:t>
      </w:r>
      <w:r w:rsidRPr="00F95F30" w:rsidR="003F5804">
        <w:rPr>
          <w:i/>
          <w:iCs/>
        </w:rPr>
        <w:t>supra</w:t>
      </w:r>
      <w:r w:rsidRPr="00F95F30" w:rsidR="003F5804">
        <w:t>, 81 Cal.App.5th at p. 146.)</w:t>
      </w:r>
      <w:r w:rsidR="00482956">
        <w:t xml:space="preserve">  </w:t>
      </w:r>
      <w:r w:rsidR="00026ADE">
        <w:t>For reasons we have explained, we do not agree; to establish collective engagement,</w:t>
      </w:r>
      <w:r w:rsidR="00D9646F">
        <w:t xml:space="preserve"> the prosecution should have established </w:t>
      </w:r>
      <w:r w:rsidR="00DD6FBE">
        <w:t>a nexus between the offenses and the gang as a collective enterprise.</w:t>
      </w:r>
      <w:r w:rsidR="001068CC">
        <w:t xml:space="preserve">  There is no evidence in the record from which a jury could have found such a nexus beyond a reasonable doubt.</w:t>
      </w:r>
    </w:p>
    <w:p w:rsidR="00D12E89" w:rsidP="004D6A9C" w14:paraId="3C86BDAF" w14:textId="77777777">
      <w:pPr>
        <w:widowControl w:val="0"/>
        <w:tabs>
          <w:tab w:val="left" w:pos="720"/>
        </w:tabs>
      </w:pPr>
      <w:r>
        <w:tab/>
      </w:r>
      <w:r w:rsidRPr="00F95F30" w:rsidR="00FE0B1D">
        <w:t xml:space="preserve">The evidence </w:t>
      </w:r>
      <w:r w:rsidR="00AA5D02">
        <w:t>of each predicate offense</w:t>
      </w:r>
      <w:r w:rsidR="00DF617F">
        <w:t xml:space="preserve"> </w:t>
      </w:r>
      <w:r w:rsidRPr="00F95F30" w:rsidR="00FE0B1D">
        <w:t xml:space="preserve">was a plea agreement that contained little information besides </w:t>
      </w:r>
      <w:r w:rsidRPr="00F95F30" w:rsidR="00F722AC">
        <w:t>the fact that Ridgeway ple</w:t>
      </w:r>
      <w:r w:rsidRPr="00F95F30" w:rsidR="005A3B19">
        <w:t>a</w:t>
      </w:r>
      <w:r w:rsidRPr="00F95F30" w:rsidR="00F722AC">
        <w:t>d</w:t>
      </w:r>
      <w:r w:rsidRPr="00F95F30" w:rsidR="005A3B19">
        <w:t>ed</w:t>
      </w:r>
      <w:r w:rsidRPr="00F95F30" w:rsidR="00F722AC">
        <w:t xml:space="preserve"> guilty to robbery and Clark ple</w:t>
      </w:r>
      <w:r w:rsidRPr="00F95F30" w:rsidR="005A3B19">
        <w:t>a</w:t>
      </w:r>
      <w:r w:rsidRPr="00F95F30" w:rsidR="00F722AC">
        <w:t>d</w:t>
      </w:r>
      <w:r w:rsidRPr="00F95F30" w:rsidR="005A3B19">
        <w:t>ed</w:t>
      </w:r>
      <w:r w:rsidRPr="00F95F30" w:rsidR="00F722AC">
        <w:t xml:space="preserve"> guilty to attempted residential burglary.</w:t>
      </w:r>
      <w:r>
        <w:rPr>
          <w:rStyle w:val="FootnoteReference"/>
        </w:rPr>
        <w:footnoteReference w:id="9"/>
      </w:r>
      <w:r w:rsidRPr="00F95F30" w:rsidR="00F722AC">
        <w:t xml:space="preserve">  </w:t>
      </w:r>
      <w:r w:rsidR="00DF617F">
        <w:t>Although t</w:t>
      </w:r>
      <w:r w:rsidR="009D17B5">
        <w:t>he expert testifying for the prosecution discussed the benefits that might flow to the gang from the charged crimes</w:t>
      </w:r>
      <w:r w:rsidR="00DF617F">
        <w:t xml:space="preserve">, the prosecution did not present evidence to establish </w:t>
      </w:r>
      <w:r w:rsidRPr="00F95F30" w:rsidR="00022133">
        <w:t>whether the</w:t>
      </w:r>
      <w:r w:rsidR="009D17B5">
        <w:t xml:space="preserve"> predicate</w:t>
      </w:r>
      <w:r w:rsidRPr="00F95F30" w:rsidR="00022133">
        <w:t xml:space="preserve"> </w:t>
      </w:r>
      <w:r w:rsidR="009D17B5">
        <w:t>offenses</w:t>
      </w:r>
      <w:r w:rsidRPr="00F95F30" w:rsidR="009D17B5">
        <w:t xml:space="preserve"> </w:t>
      </w:r>
      <w:r w:rsidRPr="00F95F30" w:rsidR="00022133">
        <w:t xml:space="preserve">were committed to benefit the gang, </w:t>
      </w:r>
      <w:r w:rsidRPr="00F95F30" w:rsidR="004234CC">
        <w:t xml:space="preserve">or </w:t>
      </w:r>
      <w:r w:rsidRPr="00F95F30" w:rsidR="004C2E48">
        <w:t>whether there existed a</w:t>
      </w:r>
      <w:r w:rsidR="006F331A">
        <w:t>n organizational</w:t>
      </w:r>
      <w:r w:rsidRPr="00F95F30" w:rsidR="004C2E48">
        <w:t xml:space="preserve"> nexus between th</w:t>
      </w:r>
      <w:r w:rsidR="009D17B5">
        <w:t>os</w:t>
      </w:r>
      <w:r w:rsidRPr="00F95F30" w:rsidR="004C2E48">
        <w:t xml:space="preserve">e </w:t>
      </w:r>
      <w:r w:rsidR="009D17B5">
        <w:t>offenses</w:t>
      </w:r>
      <w:r w:rsidRPr="00F95F30" w:rsidR="004C2E48">
        <w:t xml:space="preserve"> and </w:t>
      </w:r>
      <w:r w:rsidRPr="00F95F30" w:rsidR="00FC4F14">
        <w:t>the gang as a collective enterprise</w:t>
      </w:r>
      <w:r w:rsidR="00DF617F">
        <w:t xml:space="preserve">.  </w:t>
      </w:r>
      <w:r w:rsidR="00660979">
        <w:t>“Under these circumstances, we cannot conclude ‘beyond a reasonable doubt that the error complained of did not contribute to the verdict obtained.’ ”  (</w:t>
      </w:r>
      <w:r w:rsidRPr="00F37C1E" w:rsidR="00F37C1E">
        <w:rPr>
          <w:i/>
          <w:iCs/>
        </w:rPr>
        <w:t xml:space="preserve">People v. </w:t>
      </w:r>
      <w:r w:rsidRPr="004D6A9C" w:rsidR="00660979">
        <w:rPr>
          <w:i/>
          <w:iCs/>
        </w:rPr>
        <w:t>Cooper</w:t>
      </w:r>
      <w:r w:rsidR="00660979">
        <w:t xml:space="preserve">, </w:t>
      </w:r>
      <w:r w:rsidRPr="00F37C1E" w:rsidR="00F37C1E">
        <w:rPr>
          <w:i/>
          <w:iCs/>
        </w:rPr>
        <w:t>supra</w:t>
      </w:r>
      <w:r w:rsidR="00F37C1E">
        <w:t>, 14 Cal.</w:t>
      </w:r>
      <w:r w:rsidR="00A344CD">
        <w:t>5</w:t>
      </w:r>
      <w:r w:rsidR="00F37C1E">
        <w:t xml:space="preserve">th </w:t>
      </w:r>
      <w:r w:rsidR="00660979">
        <w:t>at p. 746.)</w:t>
      </w:r>
      <w:r w:rsidRPr="00F95F30" w:rsidR="00C55FB2">
        <w:t xml:space="preserve"> </w:t>
      </w:r>
    </w:p>
    <w:p w:rsidR="009C3991" w:rsidP="00BC4430" w14:paraId="3C86BDB0" w14:textId="77777777">
      <w:pPr>
        <w:widowControl w:val="0"/>
        <w:tabs>
          <w:tab w:val="left" w:pos="720"/>
        </w:tabs>
      </w:pPr>
      <w:r>
        <w:tab/>
      </w:r>
      <w:r w:rsidR="00AC748D">
        <w:t>W</w:t>
      </w:r>
      <w:r w:rsidRPr="00F95F30" w:rsidR="007C2DC2">
        <w:t xml:space="preserve">e reverse the judgment of the Court of Appeal as to </w:t>
      </w:r>
      <w:r w:rsidRPr="00F95F30" w:rsidR="005B66E9">
        <w:t>Clark’s</w:t>
      </w:r>
      <w:r w:rsidRPr="00F95F30" w:rsidR="007C2DC2">
        <w:t xml:space="preserve"> </w:t>
      </w:r>
      <w:r w:rsidRPr="00F95F30" w:rsidR="00BA6009">
        <w:t>gang enhancement</w:t>
      </w:r>
      <w:r w:rsidR="00AC748D">
        <w:t xml:space="preserve">, with instructions to </w:t>
      </w:r>
      <w:r w:rsidRPr="00F95F30" w:rsidR="007C2DC2">
        <w:t xml:space="preserve">remand </w:t>
      </w:r>
      <w:r w:rsidR="00E50026">
        <w:t xml:space="preserve">to the superior court </w:t>
      </w:r>
      <w:r w:rsidRPr="00F95F30" w:rsidR="007C2DC2">
        <w:t>for further proceedings consistent with this opinion.</w:t>
      </w:r>
      <w:r>
        <w:rPr>
          <w:rStyle w:val="FootnoteReference"/>
        </w:rPr>
        <w:footnoteReference w:id="10"/>
      </w:r>
      <w:r w:rsidR="00AC748D">
        <w:t xml:space="preserve">  The People are free on remand to offer additional evidence to satisfy the newly enacted requirements of section 186.22.  (See </w:t>
      </w:r>
      <w:r w:rsidRPr="004D6A9C" w:rsidR="00AC748D">
        <w:rPr>
          <w:i/>
          <w:iCs/>
        </w:rPr>
        <w:t>People v. Cooper</w:t>
      </w:r>
      <w:r w:rsidR="00AC748D">
        <w:t xml:space="preserve">, </w:t>
      </w:r>
      <w:r w:rsidRPr="004D6A9C" w:rsidR="00AC748D">
        <w:rPr>
          <w:i/>
          <w:iCs/>
        </w:rPr>
        <w:t>supra</w:t>
      </w:r>
      <w:r w:rsidR="00AC748D">
        <w:t>,</w:t>
      </w:r>
      <w:r w:rsidRPr="00AC748D" w:rsidR="00AC748D">
        <w:t xml:space="preserve"> 14 Cal.5th </w:t>
      </w:r>
      <w:r w:rsidR="00AC748D">
        <w:t>at p. </w:t>
      </w:r>
      <w:r w:rsidRPr="00AC748D" w:rsidR="00AC748D">
        <w:t>746 [reversing the pre-Assem</w:t>
      </w:r>
      <w:r w:rsidR="00802DB0">
        <w:t>.</w:t>
      </w:r>
      <w:r w:rsidRPr="00AC748D" w:rsidR="00AC748D">
        <w:t xml:space="preserve"> Bill 333 gang enhancement for insufficient proof</w:t>
      </w:r>
      <w:r w:rsidR="00AC748D">
        <w:t xml:space="preserve"> and recognizing authority entitling the People to retry the affected charges</w:t>
      </w:r>
      <w:r w:rsidR="00E50026">
        <w:t xml:space="preserve"> on remand</w:t>
      </w:r>
      <w:r w:rsidR="00AC748D">
        <w:t xml:space="preserve">].)  </w:t>
      </w:r>
    </w:p>
    <w:p w:rsidR="00BC4430" w:rsidP="00BC4430" w14:paraId="3C86BDB1" w14:textId="77777777">
      <w:pPr>
        <w:widowControl w:val="0"/>
        <w:tabs>
          <w:tab w:val="left" w:pos="720"/>
        </w:tabs>
      </w:pPr>
    </w:p>
    <w:p w:rsidR="00BC4430" w:rsidRPr="002A3612" w:rsidP="00BC4430" w14:paraId="3C86BDB2" w14:textId="77777777">
      <w:pPr>
        <w:widowControl w:val="0"/>
        <w:tabs>
          <w:tab w:val="left" w:pos="720"/>
        </w:tabs>
        <w:rPr>
          <w:b/>
          <w:bCs/>
        </w:rPr>
      </w:pPr>
      <w:r>
        <w:tab/>
      </w:r>
      <w:r>
        <w:tab/>
      </w:r>
      <w:r>
        <w:tab/>
      </w:r>
      <w:r>
        <w:tab/>
      </w:r>
      <w:r>
        <w:tab/>
      </w:r>
      <w:r>
        <w:tab/>
      </w:r>
      <w:r>
        <w:tab/>
      </w:r>
      <w:r>
        <w:tab/>
        <w:t xml:space="preserve">      </w:t>
      </w:r>
      <w:r w:rsidRPr="002A3612">
        <w:rPr>
          <w:b/>
          <w:bCs/>
        </w:rPr>
        <w:t>KRUGER J.</w:t>
      </w:r>
    </w:p>
    <w:p w:rsidR="00BC4430" w:rsidP="00BC4430" w14:paraId="3C86BDB3" w14:textId="77777777">
      <w:pPr>
        <w:widowControl w:val="0"/>
        <w:tabs>
          <w:tab w:val="left" w:pos="720"/>
        </w:tabs>
      </w:pPr>
    </w:p>
    <w:p w:rsidR="00BC4430" w:rsidP="00BC4430" w14:paraId="3C86BDB4" w14:textId="77777777">
      <w:pPr>
        <w:widowControl w:val="0"/>
        <w:tabs>
          <w:tab w:val="left" w:pos="720"/>
        </w:tabs>
        <w:rPr>
          <w:b/>
          <w:bCs/>
        </w:rPr>
      </w:pPr>
      <w:r w:rsidRPr="00BC4430">
        <w:rPr>
          <w:b/>
          <w:bCs/>
        </w:rPr>
        <w:t>We Concur:</w:t>
      </w:r>
    </w:p>
    <w:p w:rsidR="00105DA8" w:rsidP="00A2467D" w14:paraId="3C86BDB5" w14:textId="099E1C26">
      <w:pPr>
        <w:widowControl w:val="0"/>
        <w:tabs>
          <w:tab w:val="left" w:pos="720"/>
        </w:tabs>
        <w:spacing w:after="0" w:line="240" w:lineRule="auto"/>
        <w:rPr>
          <w:b/>
          <w:bCs/>
          <w:szCs w:val="26"/>
        </w:rPr>
      </w:pPr>
      <w:r>
        <w:rPr>
          <w:b/>
          <w:bCs/>
          <w:szCs w:val="26"/>
        </w:rPr>
        <w:t>GUERRERO, C.</w:t>
      </w:r>
      <w:r w:rsidR="001216BC">
        <w:rPr>
          <w:b/>
          <w:bCs/>
          <w:szCs w:val="26"/>
        </w:rPr>
        <w:t> </w:t>
      </w:r>
      <w:r>
        <w:rPr>
          <w:b/>
          <w:bCs/>
          <w:szCs w:val="26"/>
        </w:rPr>
        <w:t>J.</w:t>
      </w:r>
    </w:p>
    <w:p w:rsidR="00C73A85" w:rsidP="00A2467D" w14:paraId="3C86BDB6" w14:textId="77777777">
      <w:pPr>
        <w:widowControl w:val="0"/>
        <w:tabs>
          <w:tab w:val="left" w:pos="720"/>
        </w:tabs>
        <w:spacing w:after="0" w:line="240" w:lineRule="auto"/>
        <w:rPr>
          <w:b/>
          <w:bCs/>
          <w:szCs w:val="26"/>
        </w:rPr>
      </w:pPr>
      <w:r>
        <w:rPr>
          <w:b/>
          <w:bCs/>
          <w:szCs w:val="26"/>
        </w:rPr>
        <w:t>CORRIGAN, J.</w:t>
      </w:r>
    </w:p>
    <w:p w:rsidR="00C73A85" w:rsidP="00A2467D" w14:paraId="3C86BDB7" w14:textId="77777777">
      <w:pPr>
        <w:widowControl w:val="0"/>
        <w:tabs>
          <w:tab w:val="left" w:pos="720"/>
        </w:tabs>
        <w:spacing w:after="0" w:line="240" w:lineRule="auto"/>
        <w:rPr>
          <w:b/>
          <w:bCs/>
          <w:szCs w:val="26"/>
        </w:rPr>
      </w:pPr>
      <w:r>
        <w:rPr>
          <w:b/>
          <w:bCs/>
          <w:szCs w:val="26"/>
        </w:rPr>
        <w:t>LIU, J.</w:t>
      </w:r>
    </w:p>
    <w:p w:rsidR="00C73A85" w:rsidP="00A2467D" w14:paraId="3C86BDB8" w14:textId="77777777">
      <w:pPr>
        <w:widowControl w:val="0"/>
        <w:tabs>
          <w:tab w:val="left" w:pos="720"/>
        </w:tabs>
        <w:spacing w:after="0" w:line="240" w:lineRule="auto"/>
        <w:rPr>
          <w:b/>
          <w:bCs/>
          <w:szCs w:val="26"/>
        </w:rPr>
      </w:pPr>
      <w:r>
        <w:rPr>
          <w:b/>
          <w:bCs/>
          <w:szCs w:val="26"/>
        </w:rPr>
        <w:t>GROBAN, J.</w:t>
      </w:r>
    </w:p>
    <w:p w:rsidR="00C73A85" w:rsidP="00A2467D" w14:paraId="3C86BDB9" w14:textId="77777777">
      <w:pPr>
        <w:widowControl w:val="0"/>
        <w:tabs>
          <w:tab w:val="left" w:pos="720"/>
        </w:tabs>
        <w:spacing w:after="0" w:line="240" w:lineRule="auto"/>
        <w:rPr>
          <w:b/>
          <w:bCs/>
          <w:szCs w:val="26"/>
        </w:rPr>
      </w:pPr>
      <w:r>
        <w:rPr>
          <w:b/>
          <w:bCs/>
          <w:szCs w:val="26"/>
        </w:rPr>
        <w:t>JENKINS, J.</w:t>
      </w:r>
    </w:p>
    <w:p w:rsidR="005F0A2C" w:rsidP="00A2467D" w14:paraId="0D5F2264" w14:textId="6C8C27C2">
      <w:pPr>
        <w:widowControl w:val="0"/>
        <w:tabs>
          <w:tab w:val="left" w:pos="720"/>
        </w:tabs>
        <w:spacing w:after="0" w:line="240" w:lineRule="auto"/>
        <w:rPr>
          <w:b/>
          <w:bCs/>
          <w:szCs w:val="26"/>
        </w:rPr>
      </w:pPr>
      <w:r>
        <w:rPr>
          <w:b/>
          <w:bCs/>
          <w:szCs w:val="26"/>
        </w:rPr>
        <w:t>EVANS, J.</w:t>
      </w:r>
    </w:p>
    <w:p w:rsidR="0061162A" w:rsidP="00A2467D" w14:paraId="50EB1327" w14:textId="77777777">
      <w:pPr>
        <w:widowControl w:val="0"/>
        <w:tabs>
          <w:tab w:val="left" w:pos="720"/>
        </w:tabs>
        <w:spacing w:after="0" w:line="240" w:lineRule="auto"/>
        <w:rPr>
          <w:b/>
          <w:bCs/>
          <w:szCs w:val="26"/>
        </w:rPr>
        <w:sectPr w:rsidSect="006D28B8">
          <w:headerReference w:type="default" r:id="rId9"/>
          <w:footerReference w:type="default" r:id="rId10"/>
          <w:footerReference w:type="first" r:id="rId11"/>
          <w:pgSz w:w="12240" w:h="15840"/>
          <w:pgMar w:top="1800" w:right="2160" w:bottom="1440" w:left="2160" w:header="720" w:footer="720" w:gutter="0"/>
          <w:pgNumType w:start="1"/>
          <w:cols w:space="720"/>
          <w:titlePg/>
          <w:docGrid w:linePitch="367"/>
        </w:sectPr>
      </w:pPr>
    </w:p>
    <w:p w:rsidR="009D1A2D" w:rsidRPr="009D1A2D" w:rsidP="009D1A2D" w14:paraId="4A84606E" w14:textId="77777777">
      <w:pPr>
        <w:spacing w:after="0" w:line="240" w:lineRule="auto"/>
        <w:jc w:val="left"/>
        <w:rPr>
          <w:i/>
          <w:sz w:val="24"/>
          <w:szCs w:val="24"/>
        </w:rPr>
      </w:pPr>
      <w:r w:rsidRPr="009D1A2D">
        <w:rPr>
          <w:i/>
          <w:sz w:val="24"/>
          <w:szCs w:val="24"/>
        </w:rPr>
        <w:t>See next page for addresses and telephone numbers for counsel who argued in Supreme Court.</w:t>
      </w:r>
    </w:p>
    <w:p w:rsidR="009D1A2D" w:rsidRPr="009D1A2D" w:rsidP="009D1A2D" w14:paraId="53743221" w14:textId="77777777">
      <w:pPr>
        <w:spacing w:after="0" w:line="240" w:lineRule="auto"/>
        <w:jc w:val="left"/>
        <w:rPr>
          <w:i/>
          <w:sz w:val="24"/>
          <w:szCs w:val="24"/>
        </w:rPr>
      </w:pPr>
    </w:p>
    <w:p w:rsidR="009D1A2D" w:rsidRPr="009D1A2D" w:rsidP="009D1A2D" w14:paraId="2BB3F17C" w14:textId="77777777">
      <w:pPr>
        <w:spacing w:after="0" w:line="240" w:lineRule="auto"/>
        <w:jc w:val="left"/>
        <w:rPr>
          <w:bCs/>
          <w:sz w:val="24"/>
          <w:szCs w:val="24"/>
        </w:rPr>
      </w:pPr>
      <w:r w:rsidRPr="009D1A2D">
        <w:rPr>
          <w:b/>
          <w:sz w:val="24"/>
          <w:szCs w:val="24"/>
        </w:rPr>
        <w:t xml:space="preserve">Name of Opinion  </w:t>
      </w:r>
      <w:r w:rsidRPr="009D1A2D">
        <w:rPr>
          <w:bCs/>
          <w:sz w:val="24"/>
          <w:szCs w:val="24"/>
        </w:rPr>
        <w:t>People v. Clark</w:t>
      </w:r>
    </w:p>
    <w:p w:rsidR="009D1A2D" w:rsidRPr="009D1A2D" w:rsidP="009D1A2D" w14:paraId="3143DF31" w14:textId="77777777">
      <w:pPr>
        <w:spacing w:after="0" w:line="240" w:lineRule="auto"/>
        <w:jc w:val="left"/>
        <w:rPr>
          <w:b/>
          <w:sz w:val="24"/>
          <w:szCs w:val="24"/>
        </w:rPr>
      </w:pPr>
      <w:r w:rsidRPr="009D1A2D">
        <w:rPr>
          <w:b/>
          <w:sz w:val="24"/>
          <w:szCs w:val="24"/>
        </w:rPr>
        <w:t xml:space="preserve">__________________________________________________________ </w:t>
      </w:r>
    </w:p>
    <w:p w:rsidR="009D1A2D" w:rsidRPr="009D1A2D" w:rsidP="009D1A2D" w14:paraId="13D616AC" w14:textId="77777777">
      <w:pPr>
        <w:spacing w:after="0" w:line="240" w:lineRule="auto"/>
        <w:jc w:val="left"/>
        <w:rPr>
          <w:b/>
          <w:sz w:val="24"/>
          <w:szCs w:val="24"/>
        </w:rPr>
      </w:pPr>
    </w:p>
    <w:p w:rsidR="009D1A2D" w:rsidRPr="009D1A2D" w:rsidP="009D1A2D" w14:paraId="17307CFC" w14:textId="77777777">
      <w:pPr>
        <w:spacing w:after="0" w:line="240" w:lineRule="auto"/>
        <w:jc w:val="left"/>
        <w:rPr>
          <w:sz w:val="24"/>
          <w:szCs w:val="24"/>
        </w:rPr>
      </w:pPr>
      <w:r w:rsidRPr="009D1A2D">
        <w:rPr>
          <w:b/>
          <w:bCs/>
          <w:sz w:val="24"/>
          <w:szCs w:val="24"/>
          <w:u w:val="single"/>
        </w:rPr>
        <w:t>Procedural Posture</w:t>
      </w:r>
      <w:r w:rsidRPr="009D1A2D">
        <w:rPr>
          <w:b/>
          <w:bCs/>
          <w:sz w:val="24"/>
          <w:szCs w:val="24"/>
        </w:rPr>
        <w:t xml:space="preserve"> </w:t>
      </w:r>
      <w:r w:rsidRPr="009D1A2D">
        <w:rPr>
          <w:sz w:val="24"/>
          <w:szCs w:val="24"/>
        </w:rPr>
        <w:t>(see XX below)</w:t>
      </w:r>
    </w:p>
    <w:p w:rsidR="009D1A2D" w:rsidRPr="009D1A2D" w:rsidP="009D1A2D" w14:paraId="3A378160" w14:textId="77777777">
      <w:pPr>
        <w:spacing w:after="0" w:line="240" w:lineRule="auto"/>
        <w:jc w:val="left"/>
        <w:rPr>
          <w:sz w:val="24"/>
          <w:szCs w:val="24"/>
        </w:rPr>
      </w:pPr>
      <w:r w:rsidRPr="009D1A2D">
        <w:rPr>
          <w:b/>
          <w:bCs/>
          <w:sz w:val="24"/>
          <w:szCs w:val="24"/>
        </w:rPr>
        <w:t>Original Appeal</w:t>
      </w:r>
      <w:r w:rsidRPr="009D1A2D">
        <w:rPr>
          <w:sz w:val="24"/>
          <w:szCs w:val="24"/>
        </w:rPr>
        <w:t xml:space="preserve"> </w:t>
      </w:r>
    </w:p>
    <w:p w:rsidR="009D1A2D" w:rsidRPr="009D1A2D" w:rsidP="009D1A2D" w14:paraId="7E6B11B1" w14:textId="77777777">
      <w:pPr>
        <w:spacing w:after="0" w:line="240" w:lineRule="auto"/>
        <w:jc w:val="left"/>
        <w:rPr>
          <w:b/>
          <w:bCs/>
          <w:sz w:val="24"/>
          <w:szCs w:val="24"/>
        </w:rPr>
      </w:pPr>
      <w:r w:rsidRPr="009D1A2D">
        <w:rPr>
          <w:b/>
          <w:bCs/>
          <w:sz w:val="24"/>
          <w:szCs w:val="24"/>
        </w:rPr>
        <w:t>Original Proceeding</w:t>
      </w:r>
    </w:p>
    <w:p w:rsidR="009D1A2D" w:rsidRPr="009D1A2D" w:rsidP="009D1A2D" w14:paraId="6C92C0FD" w14:textId="77777777">
      <w:pPr>
        <w:spacing w:after="0" w:line="240" w:lineRule="auto"/>
        <w:jc w:val="left"/>
        <w:rPr>
          <w:sz w:val="24"/>
          <w:szCs w:val="24"/>
        </w:rPr>
      </w:pPr>
      <w:r w:rsidRPr="009D1A2D">
        <w:rPr>
          <w:b/>
          <w:bCs/>
          <w:sz w:val="24"/>
          <w:szCs w:val="24"/>
        </w:rPr>
        <w:t>Review Granted</w:t>
      </w:r>
      <w:r w:rsidRPr="009D1A2D">
        <w:rPr>
          <w:sz w:val="24"/>
          <w:szCs w:val="24"/>
        </w:rPr>
        <w:t xml:space="preserve"> </w:t>
      </w:r>
      <w:r w:rsidRPr="009D1A2D">
        <w:rPr>
          <w:b/>
          <w:bCs/>
          <w:sz w:val="24"/>
          <w:szCs w:val="24"/>
        </w:rPr>
        <w:t xml:space="preserve">(published) </w:t>
      </w:r>
      <w:r w:rsidRPr="009D1A2D">
        <w:rPr>
          <w:sz w:val="24"/>
          <w:szCs w:val="24"/>
        </w:rPr>
        <w:t>XX 81 Cal.App.5th 133</w:t>
      </w:r>
    </w:p>
    <w:p w:rsidR="009D1A2D" w:rsidRPr="009D1A2D" w:rsidP="009D1A2D" w14:paraId="55029655" w14:textId="77777777">
      <w:pPr>
        <w:spacing w:after="0" w:line="240" w:lineRule="auto"/>
        <w:jc w:val="left"/>
        <w:rPr>
          <w:sz w:val="24"/>
          <w:szCs w:val="24"/>
        </w:rPr>
      </w:pPr>
      <w:r w:rsidRPr="009D1A2D">
        <w:rPr>
          <w:b/>
          <w:bCs/>
          <w:sz w:val="24"/>
          <w:szCs w:val="24"/>
        </w:rPr>
        <w:t>Review Granted (unpublished)</w:t>
      </w:r>
    </w:p>
    <w:p w:rsidR="009D1A2D" w:rsidRPr="009D1A2D" w:rsidP="009D1A2D" w14:paraId="5F4E0E6C" w14:textId="77777777">
      <w:pPr>
        <w:spacing w:after="0" w:line="240" w:lineRule="auto"/>
        <w:jc w:val="left"/>
        <w:rPr>
          <w:b/>
          <w:bCs/>
          <w:sz w:val="24"/>
          <w:szCs w:val="24"/>
        </w:rPr>
      </w:pPr>
      <w:r w:rsidRPr="009D1A2D">
        <w:rPr>
          <w:b/>
          <w:bCs/>
          <w:sz w:val="24"/>
          <w:szCs w:val="24"/>
        </w:rPr>
        <w:t>Rehearing Granted</w:t>
      </w:r>
    </w:p>
    <w:p w:rsidR="009D1A2D" w:rsidRPr="009D1A2D" w:rsidP="009D1A2D" w14:paraId="508C3361" w14:textId="77777777">
      <w:pPr>
        <w:spacing w:after="0" w:line="240" w:lineRule="auto"/>
        <w:jc w:val="left"/>
        <w:rPr>
          <w:b/>
          <w:sz w:val="24"/>
          <w:szCs w:val="24"/>
        </w:rPr>
      </w:pPr>
      <w:r w:rsidRPr="009D1A2D">
        <w:rPr>
          <w:b/>
          <w:sz w:val="24"/>
          <w:szCs w:val="24"/>
        </w:rPr>
        <w:t xml:space="preserve">__________________________________________________________ </w:t>
      </w:r>
    </w:p>
    <w:p w:rsidR="009D1A2D" w:rsidRPr="009D1A2D" w:rsidP="009D1A2D" w14:paraId="2D9BEA87" w14:textId="77777777">
      <w:pPr>
        <w:spacing w:after="0" w:line="240" w:lineRule="auto"/>
        <w:jc w:val="left"/>
        <w:rPr>
          <w:b/>
          <w:sz w:val="24"/>
          <w:szCs w:val="24"/>
        </w:rPr>
      </w:pPr>
    </w:p>
    <w:p w:rsidR="009D1A2D" w:rsidRPr="009D1A2D" w:rsidP="009D1A2D" w14:paraId="51811229" w14:textId="77777777">
      <w:pPr>
        <w:spacing w:after="0" w:line="240" w:lineRule="auto"/>
        <w:jc w:val="left"/>
        <w:rPr>
          <w:bCs/>
          <w:sz w:val="24"/>
          <w:szCs w:val="24"/>
        </w:rPr>
      </w:pPr>
      <w:r w:rsidRPr="009D1A2D">
        <w:rPr>
          <w:b/>
          <w:sz w:val="24"/>
          <w:szCs w:val="24"/>
        </w:rPr>
        <w:t>Opinion No.</w:t>
      </w:r>
      <w:r w:rsidRPr="009D1A2D">
        <w:rPr>
          <w:sz w:val="24"/>
          <w:szCs w:val="24"/>
        </w:rPr>
        <w:t xml:space="preserve"> S275746</w:t>
      </w:r>
    </w:p>
    <w:p w:rsidR="009D1A2D" w:rsidRPr="009D1A2D" w:rsidP="009D1A2D" w14:paraId="5FA295EB" w14:textId="77777777">
      <w:pPr>
        <w:spacing w:after="0" w:line="240" w:lineRule="auto"/>
        <w:jc w:val="left"/>
        <w:rPr>
          <w:bCs/>
          <w:sz w:val="24"/>
          <w:szCs w:val="24"/>
        </w:rPr>
      </w:pPr>
      <w:r w:rsidRPr="009D1A2D">
        <w:rPr>
          <w:b/>
          <w:sz w:val="24"/>
          <w:szCs w:val="24"/>
        </w:rPr>
        <w:t>Date Filed:</w:t>
      </w:r>
      <w:r w:rsidRPr="009D1A2D">
        <w:rPr>
          <w:sz w:val="24"/>
          <w:szCs w:val="24"/>
        </w:rPr>
        <w:t xml:space="preserve">  February 22, 2024</w:t>
      </w:r>
    </w:p>
    <w:p w:rsidR="009D1A2D" w:rsidRPr="009D1A2D" w:rsidP="009D1A2D" w14:paraId="7B5E4F34" w14:textId="77777777">
      <w:pPr>
        <w:spacing w:after="0" w:line="240" w:lineRule="auto"/>
        <w:jc w:val="left"/>
        <w:rPr>
          <w:b/>
          <w:sz w:val="24"/>
          <w:szCs w:val="24"/>
        </w:rPr>
      </w:pPr>
      <w:r w:rsidRPr="009D1A2D">
        <w:rPr>
          <w:b/>
          <w:sz w:val="24"/>
          <w:szCs w:val="24"/>
        </w:rPr>
        <w:t xml:space="preserve">__________________________________________________________ </w:t>
      </w:r>
    </w:p>
    <w:p w:rsidR="009D1A2D" w:rsidRPr="009D1A2D" w:rsidP="009D1A2D" w14:paraId="6C11813D" w14:textId="77777777">
      <w:pPr>
        <w:spacing w:after="0" w:line="240" w:lineRule="auto"/>
        <w:jc w:val="left"/>
        <w:rPr>
          <w:b/>
          <w:sz w:val="24"/>
          <w:szCs w:val="24"/>
        </w:rPr>
      </w:pPr>
    </w:p>
    <w:p w:rsidR="009D1A2D" w:rsidRPr="009D1A2D" w:rsidP="009D1A2D" w14:paraId="7697EB08" w14:textId="77777777">
      <w:pPr>
        <w:spacing w:after="0" w:line="240" w:lineRule="auto"/>
        <w:jc w:val="left"/>
        <w:rPr>
          <w:bCs/>
          <w:sz w:val="24"/>
          <w:szCs w:val="24"/>
        </w:rPr>
      </w:pPr>
      <w:r w:rsidRPr="009D1A2D">
        <w:rPr>
          <w:b/>
          <w:sz w:val="24"/>
          <w:szCs w:val="24"/>
        </w:rPr>
        <w:t xml:space="preserve">Court:  </w:t>
      </w:r>
      <w:r w:rsidRPr="009D1A2D">
        <w:rPr>
          <w:bCs/>
          <w:sz w:val="24"/>
          <w:szCs w:val="24"/>
        </w:rPr>
        <w:t>Superior</w:t>
      </w:r>
      <w:r w:rsidRPr="009D1A2D">
        <w:rPr>
          <w:b/>
          <w:sz w:val="24"/>
          <w:szCs w:val="24"/>
        </w:rPr>
        <w:t xml:space="preserve"> </w:t>
      </w:r>
    </w:p>
    <w:p w:rsidR="009D1A2D" w:rsidRPr="009D1A2D" w:rsidP="009D1A2D" w14:paraId="3D208512" w14:textId="77777777">
      <w:pPr>
        <w:spacing w:after="0" w:line="240" w:lineRule="auto"/>
        <w:jc w:val="left"/>
        <w:rPr>
          <w:bCs/>
          <w:sz w:val="24"/>
          <w:szCs w:val="24"/>
        </w:rPr>
      </w:pPr>
      <w:r w:rsidRPr="009D1A2D">
        <w:rPr>
          <w:b/>
          <w:sz w:val="24"/>
          <w:szCs w:val="24"/>
        </w:rPr>
        <w:t xml:space="preserve">County:  </w:t>
      </w:r>
      <w:r w:rsidRPr="009D1A2D">
        <w:rPr>
          <w:bCs/>
          <w:sz w:val="24"/>
          <w:szCs w:val="24"/>
        </w:rPr>
        <w:t>Riverside</w:t>
      </w:r>
    </w:p>
    <w:p w:rsidR="009D1A2D" w:rsidRPr="009D1A2D" w:rsidP="009D1A2D" w14:paraId="239DE46C" w14:textId="77777777">
      <w:pPr>
        <w:spacing w:after="0" w:line="240" w:lineRule="auto"/>
        <w:ind w:left="720" w:hanging="720"/>
        <w:jc w:val="left"/>
        <w:rPr>
          <w:bCs/>
          <w:sz w:val="24"/>
          <w:szCs w:val="24"/>
        </w:rPr>
      </w:pPr>
      <w:r w:rsidRPr="009D1A2D">
        <w:rPr>
          <w:b/>
          <w:sz w:val="24"/>
          <w:szCs w:val="24"/>
        </w:rPr>
        <w:t xml:space="preserve">Judge: </w:t>
      </w:r>
      <w:r w:rsidRPr="009D1A2D">
        <w:rPr>
          <w:bCs/>
          <w:sz w:val="24"/>
          <w:szCs w:val="24"/>
        </w:rPr>
        <w:t xml:space="preserve"> Bambi J. Moyer</w:t>
      </w:r>
    </w:p>
    <w:p w:rsidR="009D1A2D" w:rsidRPr="009D1A2D" w:rsidP="009D1A2D" w14:paraId="7B50D7C0" w14:textId="77777777">
      <w:pPr>
        <w:spacing w:after="0" w:line="240" w:lineRule="auto"/>
        <w:jc w:val="left"/>
        <w:rPr>
          <w:b/>
          <w:sz w:val="24"/>
          <w:szCs w:val="24"/>
        </w:rPr>
      </w:pPr>
      <w:r w:rsidRPr="009D1A2D">
        <w:rPr>
          <w:b/>
          <w:sz w:val="24"/>
          <w:szCs w:val="24"/>
        </w:rPr>
        <w:t xml:space="preserve">__________________________________________________________  </w:t>
      </w:r>
    </w:p>
    <w:p w:rsidR="009D1A2D" w:rsidRPr="009D1A2D" w:rsidP="009D1A2D" w14:paraId="6771DCC1" w14:textId="77777777">
      <w:pPr>
        <w:spacing w:after="0" w:line="240" w:lineRule="auto"/>
        <w:jc w:val="left"/>
        <w:rPr>
          <w:b/>
          <w:sz w:val="24"/>
          <w:szCs w:val="24"/>
        </w:rPr>
      </w:pPr>
    </w:p>
    <w:p w:rsidR="009D1A2D" w:rsidRPr="009D1A2D" w:rsidP="009D1A2D" w14:paraId="162EC9A2" w14:textId="77777777">
      <w:pPr>
        <w:spacing w:after="0" w:line="240" w:lineRule="auto"/>
        <w:jc w:val="left"/>
        <w:rPr>
          <w:b/>
          <w:sz w:val="24"/>
          <w:szCs w:val="24"/>
        </w:rPr>
      </w:pPr>
      <w:r w:rsidRPr="009D1A2D">
        <w:rPr>
          <w:b/>
          <w:sz w:val="24"/>
          <w:szCs w:val="24"/>
        </w:rPr>
        <w:t>Counsel:</w:t>
      </w:r>
    </w:p>
    <w:p w:rsidR="009D1A2D" w:rsidRPr="009D1A2D" w:rsidP="009D1A2D" w14:paraId="1BFA0673" w14:textId="77777777">
      <w:pPr>
        <w:spacing w:after="0" w:line="240" w:lineRule="auto"/>
        <w:jc w:val="left"/>
        <w:rPr>
          <w:b/>
          <w:sz w:val="24"/>
          <w:szCs w:val="24"/>
        </w:rPr>
      </w:pPr>
    </w:p>
    <w:p w:rsidR="009D1A2D" w:rsidRPr="009D1A2D" w:rsidP="009D1A2D" w14:paraId="61D61EE6" w14:textId="77777777">
      <w:pPr>
        <w:spacing w:after="0" w:line="240" w:lineRule="auto"/>
        <w:jc w:val="left"/>
        <w:rPr>
          <w:bCs/>
          <w:sz w:val="24"/>
          <w:szCs w:val="24"/>
        </w:rPr>
      </w:pPr>
      <w:r w:rsidRPr="009D1A2D">
        <w:rPr>
          <w:bCs/>
          <w:sz w:val="24"/>
          <w:szCs w:val="24"/>
        </w:rPr>
        <w:t>Patrick Morgan Ford, under appointment by the Supreme Court, for Defendant and Appellant.</w:t>
      </w:r>
    </w:p>
    <w:p w:rsidR="009D1A2D" w:rsidRPr="009D1A2D" w:rsidP="009D1A2D" w14:paraId="6E6C5570" w14:textId="77777777">
      <w:pPr>
        <w:spacing w:after="0" w:line="240" w:lineRule="auto"/>
        <w:jc w:val="left"/>
        <w:rPr>
          <w:bCs/>
          <w:sz w:val="24"/>
          <w:szCs w:val="24"/>
        </w:rPr>
      </w:pPr>
    </w:p>
    <w:p w:rsidR="009D1A2D" w:rsidRPr="009D1A2D" w:rsidP="009D1A2D" w14:paraId="4D169B81" w14:textId="77777777">
      <w:pPr>
        <w:spacing w:after="0" w:line="240" w:lineRule="auto"/>
        <w:jc w:val="left"/>
        <w:rPr>
          <w:bCs/>
          <w:sz w:val="24"/>
          <w:szCs w:val="24"/>
        </w:rPr>
      </w:pPr>
      <w:r w:rsidRPr="009D1A2D">
        <w:rPr>
          <w:bCs/>
          <w:sz w:val="24"/>
          <w:szCs w:val="24"/>
        </w:rPr>
        <w:t>Sylvia Perez MacDonald, Lana M. Kreidie; and William Safford for Santa Clara County Independent Defense Counsel Office as Amicus Curiae on behalf of Defendant and Appellant.</w:t>
      </w:r>
    </w:p>
    <w:p w:rsidR="009D1A2D" w:rsidRPr="009D1A2D" w:rsidP="009D1A2D" w14:paraId="77587A67" w14:textId="77777777">
      <w:pPr>
        <w:spacing w:after="0" w:line="240" w:lineRule="auto"/>
        <w:jc w:val="left"/>
        <w:rPr>
          <w:bCs/>
          <w:sz w:val="24"/>
          <w:szCs w:val="24"/>
        </w:rPr>
      </w:pPr>
    </w:p>
    <w:p w:rsidR="009D1A2D" w:rsidRPr="009D1A2D" w:rsidP="009D1A2D" w14:paraId="185CB9C1" w14:textId="77777777">
      <w:pPr>
        <w:spacing w:after="0" w:line="240" w:lineRule="auto"/>
        <w:jc w:val="left"/>
        <w:rPr>
          <w:bCs/>
          <w:sz w:val="24"/>
          <w:szCs w:val="24"/>
        </w:rPr>
      </w:pPr>
      <w:r w:rsidRPr="009D1A2D">
        <w:rPr>
          <w:bCs/>
          <w:sz w:val="24"/>
          <w:szCs w:val="24"/>
        </w:rPr>
        <w:t>Sean Garcia-Leys for Peace and Justice Law Center as Amicus Curiae on behalf of Defendant and Appellant.</w:t>
      </w:r>
    </w:p>
    <w:p w:rsidR="009D1A2D" w:rsidRPr="009D1A2D" w:rsidP="009D1A2D" w14:paraId="384EF02A" w14:textId="77777777">
      <w:pPr>
        <w:spacing w:after="0" w:line="240" w:lineRule="auto"/>
        <w:jc w:val="left"/>
        <w:rPr>
          <w:bCs/>
          <w:sz w:val="24"/>
          <w:szCs w:val="24"/>
        </w:rPr>
      </w:pPr>
    </w:p>
    <w:p w:rsidR="009D1A2D" w:rsidRPr="009D1A2D" w:rsidP="009D1A2D" w14:paraId="476046EF" w14:textId="77777777">
      <w:pPr>
        <w:spacing w:after="0" w:line="240" w:lineRule="auto"/>
        <w:jc w:val="left"/>
        <w:rPr>
          <w:bCs/>
          <w:sz w:val="24"/>
          <w:szCs w:val="24"/>
        </w:rPr>
      </w:pPr>
      <w:r w:rsidRPr="009D1A2D">
        <w:rPr>
          <w:bCs/>
          <w:sz w:val="24"/>
          <w:szCs w:val="24"/>
        </w:rPr>
        <w:t>Sixth District Appellate Program and Jonathan Grossman for Pacific Juvenile Defender Center as Amicus Curiae on behalf of Defendant and Appellant.</w:t>
      </w:r>
    </w:p>
    <w:p w:rsidR="009D1A2D" w:rsidRPr="009D1A2D" w:rsidP="009D1A2D" w14:paraId="538E2A32" w14:textId="77777777">
      <w:pPr>
        <w:spacing w:after="0" w:line="240" w:lineRule="auto"/>
        <w:jc w:val="left"/>
        <w:rPr>
          <w:bCs/>
          <w:sz w:val="24"/>
          <w:szCs w:val="24"/>
        </w:rPr>
      </w:pPr>
    </w:p>
    <w:p w:rsidR="009D1A2D" w:rsidRPr="009D1A2D" w:rsidP="009D1A2D" w14:paraId="0FF5A52C" w14:textId="77777777">
      <w:pPr>
        <w:spacing w:after="0" w:line="240" w:lineRule="auto"/>
        <w:jc w:val="left"/>
        <w:rPr>
          <w:bCs/>
          <w:sz w:val="24"/>
          <w:szCs w:val="24"/>
        </w:rPr>
      </w:pPr>
      <w:r w:rsidRPr="009D1A2D">
        <w:rPr>
          <w:bCs/>
          <w:sz w:val="24"/>
          <w:szCs w:val="24"/>
        </w:rPr>
        <w:t>Mary K. McComb, State Public Defender, and Elias Batchelder, Deputy State Public Defender, for Office of the State Public Defender as Amicus Curiae on behalf of Defendant and Appellant.</w:t>
      </w:r>
    </w:p>
    <w:p w:rsidR="009D1A2D" w:rsidRPr="009D1A2D" w:rsidP="009D1A2D" w14:paraId="5DCE36C4" w14:textId="77777777">
      <w:pPr>
        <w:spacing w:after="0" w:line="240" w:lineRule="auto"/>
        <w:jc w:val="left"/>
        <w:rPr>
          <w:bCs/>
          <w:sz w:val="24"/>
          <w:szCs w:val="24"/>
        </w:rPr>
      </w:pPr>
    </w:p>
    <w:p w:rsidR="009D1A2D" w:rsidRPr="009D1A2D" w:rsidP="009D1A2D" w14:paraId="4B17D65E" w14:textId="77777777">
      <w:pPr>
        <w:spacing w:after="0" w:line="240" w:lineRule="auto"/>
        <w:jc w:val="left"/>
        <w:rPr>
          <w:bCs/>
          <w:sz w:val="24"/>
          <w:szCs w:val="24"/>
        </w:rPr>
      </w:pPr>
      <w:r w:rsidRPr="009D1A2D">
        <w:rPr>
          <w:bCs/>
          <w:sz w:val="24"/>
          <w:szCs w:val="24"/>
        </w:rPr>
        <w:t>Rob Bonta, Attorney General, Lance E. Winters, Chief Assistant Attorney General, Julie L. Garland and Charles C. Ragland, Assistant Attorneys General, Steve Oetting, Alana Cohen Butler and Paige B. Hazard, Deputy Attorneys General, for Plaintiff and Respondent.</w:t>
      </w:r>
    </w:p>
    <w:p w:rsidR="009D1A2D" w:rsidRPr="009D1A2D" w:rsidP="009D1A2D" w14:paraId="6C87B3D4" w14:textId="77777777">
      <w:pPr>
        <w:spacing w:after="0" w:line="240" w:lineRule="auto"/>
        <w:jc w:val="left"/>
        <w:rPr>
          <w:color w:val="212121"/>
          <w:sz w:val="24"/>
          <w:szCs w:val="24"/>
          <w:shd w:val="clear" w:color="auto" w:fill="FFFFFF"/>
        </w:rPr>
      </w:pPr>
      <w:r w:rsidRPr="009D1A2D">
        <w:rPr>
          <w:color w:val="212121"/>
          <w:sz w:val="24"/>
          <w:szCs w:val="24"/>
          <w:shd w:val="clear" w:color="auto" w:fill="FFFFFF"/>
        </w:rPr>
        <w:br w:type="page"/>
      </w:r>
      <w:r w:rsidRPr="009D1A2D">
        <w:rPr>
          <w:b/>
          <w:sz w:val="24"/>
          <w:szCs w:val="24"/>
        </w:rPr>
        <w:t xml:space="preserve">Counsel who argued in Supreme Court (not intended for publication with opinion): </w:t>
      </w:r>
    </w:p>
    <w:p w:rsidR="009D1A2D" w:rsidRPr="009D1A2D" w:rsidP="009D1A2D" w14:paraId="2D0ACA7F" w14:textId="77777777">
      <w:pPr>
        <w:spacing w:after="0" w:line="240" w:lineRule="auto"/>
        <w:jc w:val="left"/>
        <w:rPr>
          <w:sz w:val="24"/>
          <w:szCs w:val="24"/>
        </w:rPr>
      </w:pPr>
    </w:p>
    <w:p w:rsidR="009D1A2D" w:rsidRPr="009D1A2D" w:rsidP="009D1A2D" w14:paraId="120734FE" w14:textId="77777777">
      <w:pPr>
        <w:spacing w:after="0" w:line="240" w:lineRule="auto"/>
        <w:jc w:val="left"/>
        <w:rPr>
          <w:bCs/>
          <w:sz w:val="24"/>
          <w:szCs w:val="24"/>
        </w:rPr>
      </w:pPr>
      <w:r w:rsidRPr="009D1A2D">
        <w:rPr>
          <w:bCs/>
          <w:sz w:val="24"/>
          <w:szCs w:val="24"/>
        </w:rPr>
        <w:t>Patrick Morgan Ford</w:t>
      </w:r>
    </w:p>
    <w:p w:rsidR="009D1A2D" w:rsidRPr="009D1A2D" w:rsidP="009D1A2D" w14:paraId="3988B95C" w14:textId="77777777">
      <w:pPr>
        <w:spacing w:after="0" w:line="240" w:lineRule="auto"/>
        <w:jc w:val="left"/>
        <w:rPr>
          <w:bCs/>
          <w:sz w:val="24"/>
          <w:szCs w:val="24"/>
        </w:rPr>
      </w:pPr>
      <w:r w:rsidRPr="009D1A2D">
        <w:rPr>
          <w:bCs/>
          <w:sz w:val="24"/>
          <w:szCs w:val="24"/>
        </w:rPr>
        <w:t>Attorney at Law</w:t>
      </w:r>
    </w:p>
    <w:p w:rsidR="009D1A2D" w:rsidRPr="009D1A2D" w:rsidP="009D1A2D" w14:paraId="4D3BC408" w14:textId="77777777">
      <w:pPr>
        <w:spacing w:after="0" w:line="240" w:lineRule="auto"/>
        <w:jc w:val="left"/>
        <w:rPr>
          <w:sz w:val="24"/>
          <w:szCs w:val="24"/>
        </w:rPr>
      </w:pPr>
      <w:r w:rsidRPr="009D1A2D">
        <w:rPr>
          <w:sz w:val="24"/>
          <w:szCs w:val="24"/>
        </w:rPr>
        <w:t>1901 First Avenue, Suite 400</w:t>
      </w:r>
    </w:p>
    <w:p w:rsidR="009D1A2D" w:rsidRPr="009D1A2D" w:rsidP="009D1A2D" w14:paraId="08DC36EF" w14:textId="77777777">
      <w:pPr>
        <w:spacing w:after="0" w:line="240" w:lineRule="auto"/>
        <w:jc w:val="left"/>
        <w:rPr>
          <w:sz w:val="24"/>
          <w:szCs w:val="24"/>
        </w:rPr>
      </w:pPr>
      <w:r w:rsidRPr="009D1A2D">
        <w:rPr>
          <w:sz w:val="24"/>
          <w:szCs w:val="24"/>
        </w:rPr>
        <w:t>San Diego, CA 92101</w:t>
      </w:r>
    </w:p>
    <w:p w:rsidR="009D1A2D" w:rsidRPr="009D1A2D" w:rsidP="009D1A2D" w14:paraId="03342201" w14:textId="77777777">
      <w:pPr>
        <w:spacing w:after="0" w:line="240" w:lineRule="auto"/>
        <w:jc w:val="left"/>
        <w:rPr>
          <w:sz w:val="24"/>
          <w:szCs w:val="24"/>
        </w:rPr>
      </w:pPr>
      <w:r w:rsidRPr="009D1A2D">
        <w:rPr>
          <w:sz w:val="24"/>
          <w:szCs w:val="24"/>
        </w:rPr>
        <w:t>(619) 236-0679</w:t>
      </w:r>
    </w:p>
    <w:p w:rsidR="009D1A2D" w:rsidRPr="009D1A2D" w:rsidP="009D1A2D" w14:paraId="0209362A" w14:textId="77777777">
      <w:pPr>
        <w:spacing w:after="0" w:line="240" w:lineRule="auto"/>
        <w:jc w:val="left"/>
        <w:rPr>
          <w:sz w:val="24"/>
          <w:szCs w:val="24"/>
        </w:rPr>
      </w:pPr>
    </w:p>
    <w:p w:rsidR="009D1A2D" w:rsidRPr="009D1A2D" w:rsidP="009D1A2D" w14:paraId="366FACC5" w14:textId="77777777">
      <w:pPr>
        <w:spacing w:after="0" w:line="240" w:lineRule="auto"/>
        <w:jc w:val="left"/>
        <w:rPr>
          <w:sz w:val="24"/>
          <w:szCs w:val="24"/>
        </w:rPr>
      </w:pPr>
      <w:r w:rsidRPr="009D1A2D">
        <w:rPr>
          <w:sz w:val="24"/>
          <w:szCs w:val="24"/>
        </w:rPr>
        <w:t>Paige B. Hazard</w:t>
      </w:r>
    </w:p>
    <w:p w:rsidR="009D1A2D" w:rsidRPr="009D1A2D" w:rsidP="009D1A2D" w14:paraId="7543E54A" w14:textId="77777777">
      <w:pPr>
        <w:spacing w:after="0" w:line="240" w:lineRule="auto"/>
        <w:jc w:val="left"/>
        <w:rPr>
          <w:sz w:val="24"/>
          <w:szCs w:val="24"/>
        </w:rPr>
      </w:pPr>
      <w:r w:rsidRPr="009D1A2D">
        <w:rPr>
          <w:sz w:val="24"/>
          <w:szCs w:val="24"/>
        </w:rPr>
        <w:t>Deputy Attorney General</w:t>
      </w:r>
    </w:p>
    <w:p w:rsidR="009D1A2D" w:rsidRPr="009D1A2D" w:rsidP="009D1A2D" w14:paraId="48C03760" w14:textId="77777777">
      <w:pPr>
        <w:spacing w:after="0" w:line="240" w:lineRule="auto"/>
        <w:jc w:val="left"/>
        <w:rPr>
          <w:sz w:val="24"/>
          <w:szCs w:val="24"/>
        </w:rPr>
      </w:pPr>
      <w:r w:rsidRPr="009D1A2D">
        <w:rPr>
          <w:sz w:val="24"/>
          <w:szCs w:val="24"/>
        </w:rPr>
        <w:t>600 West Broadway, Suite 1800</w:t>
      </w:r>
    </w:p>
    <w:p w:rsidR="009D1A2D" w:rsidRPr="009D1A2D" w:rsidP="009D1A2D" w14:paraId="11194282" w14:textId="77777777">
      <w:pPr>
        <w:spacing w:after="0" w:line="240" w:lineRule="auto"/>
        <w:jc w:val="left"/>
        <w:rPr>
          <w:sz w:val="24"/>
          <w:szCs w:val="24"/>
        </w:rPr>
      </w:pPr>
      <w:r w:rsidRPr="009D1A2D">
        <w:rPr>
          <w:sz w:val="24"/>
          <w:szCs w:val="24"/>
        </w:rPr>
        <w:t>San Diego, CA 92101</w:t>
      </w:r>
    </w:p>
    <w:p w:rsidR="009D1A2D" w:rsidRPr="009D1A2D" w:rsidP="009D1A2D" w14:paraId="11192688" w14:textId="77777777">
      <w:pPr>
        <w:spacing w:after="0" w:line="240" w:lineRule="auto"/>
        <w:jc w:val="left"/>
        <w:rPr>
          <w:sz w:val="24"/>
          <w:szCs w:val="24"/>
        </w:rPr>
      </w:pPr>
      <w:r w:rsidRPr="009D1A2D">
        <w:rPr>
          <w:sz w:val="24"/>
          <w:szCs w:val="24"/>
        </w:rPr>
        <w:t>(619) 540-0201</w:t>
      </w:r>
    </w:p>
    <w:p w:rsidR="0061162A" w:rsidRPr="00BC4430" w:rsidP="00A2467D" w14:paraId="5FAB7D19" w14:textId="77777777">
      <w:pPr>
        <w:widowControl w:val="0"/>
        <w:tabs>
          <w:tab w:val="left" w:pos="720"/>
        </w:tabs>
        <w:spacing w:after="0" w:line="240" w:lineRule="auto"/>
        <w:rPr>
          <w:b/>
          <w:bCs/>
          <w:szCs w:val="26"/>
        </w:rPr>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54D" w14:paraId="3C86BDC1"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6975965"/>
      <w:docPartObj>
        <w:docPartGallery w:val="Page Numbers (Bottom of Page)"/>
        <w:docPartUnique/>
      </w:docPartObj>
    </w:sdtPr>
    <w:sdtEndPr>
      <w:rPr>
        <w:noProof/>
      </w:rPr>
    </w:sdtEndPr>
    <w:sdtContent>
      <w:p w:rsidR="005A409D" w14:paraId="3C86BDC5"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79" w14:paraId="3C86BDC6" w14:textId="77777777">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A2D" w14:paraId="69428527" w14:textId="0EAF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798" w14:paraId="67C5339E" w14:textId="77777777">
      <w:r>
        <w:separator/>
      </w:r>
    </w:p>
  </w:footnote>
  <w:footnote w:type="continuationSeparator" w:id="1">
    <w:p w:rsidR="00EA1798" w14:paraId="05E03249" w14:textId="77777777">
      <w:pPr>
        <w:rPr>
          <w:sz w:val="22"/>
        </w:rPr>
      </w:pPr>
      <w:r>
        <w:continuationSeparator/>
      </w:r>
    </w:p>
  </w:footnote>
  <w:footnote w:type="continuationNotice" w:id="2">
    <w:p w:rsidR="00EA1798" w14:paraId="65FD9505" w14:textId="77777777">
      <w:pPr>
        <w:jc w:val="right"/>
        <w:rPr>
          <w:i/>
          <w:sz w:val="20"/>
        </w:rPr>
      </w:pPr>
    </w:p>
  </w:footnote>
  <w:footnote w:id="3">
    <w:p w:rsidR="00CC7DD1" w:rsidP="00F95F30" w14:paraId="3C86BDC7" w14:textId="77777777">
      <w:pPr>
        <w:pStyle w:val="FootnoteText"/>
      </w:pPr>
      <w:r>
        <w:rPr>
          <w:rStyle w:val="FootnoteReference"/>
        </w:rPr>
        <w:footnoteRef/>
      </w:r>
      <w:r>
        <w:t xml:space="preserve"> </w:t>
      </w:r>
      <w:r>
        <w:tab/>
        <w:t>As amended, the definition of a “</w:t>
      </w:r>
      <w:r w:rsidR="00072B6A">
        <w:t> ‘</w:t>
      </w:r>
      <w:r>
        <w:t>criminal street gang</w:t>
      </w:r>
      <w:r w:rsidR="00072B6A">
        <w:t>’ </w:t>
      </w:r>
      <w:r>
        <w:t xml:space="preserve">” now reads in full:  “As used in this chapter, ‘criminal street gang’ means an ongoing, organized association or group of three or more persons, whether formal or informal, having as one of its primary activities the commission of one or more of the criminal acts enumerated in subdivision (e), having a common name or common identifying sign or symbol, and whose members collectively engage in, or have engaged in, a pattern of criminal gang activity.”  (§ 186.22(f).)  </w:t>
      </w:r>
    </w:p>
    <w:p w:rsidR="00CC7DD1" w:rsidP="00F95F30" w14:paraId="3C86BDC8" w14:textId="77777777">
      <w:pPr>
        <w:pStyle w:val="FootnoteText"/>
      </w:pPr>
      <w:r>
        <w:tab/>
      </w:r>
      <w:r w:rsidR="00703F34">
        <w:t>T</w:t>
      </w:r>
      <w:r>
        <w:t>he full definition of a “</w:t>
      </w:r>
      <w:r w:rsidR="00072B6A">
        <w:t> ‘</w:t>
      </w:r>
      <w:r>
        <w:t>pattern of criminal gang activity,</w:t>
      </w:r>
      <w:r w:rsidR="00072B6A">
        <w:t>’ </w:t>
      </w:r>
      <w:r>
        <w:t xml:space="preserve">” as amended, </w:t>
      </w:r>
      <w:r w:rsidR="00F12B63">
        <w:t>now reads:  “</w:t>
      </w:r>
      <w:r w:rsidRPr="00F12B63" w:rsidR="00F12B63">
        <w:t xml:space="preserve">As used in this chapter, </w:t>
      </w:r>
      <w:r w:rsidR="00F12B63">
        <w:t>‘</w:t>
      </w:r>
      <w:r w:rsidRPr="00F12B63" w:rsidR="00F12B63">
        <w:t>pattern of criminal gang activity</w:t>
      </w:r>
      <w:r w:rsidR="00F12B63">
        <w:t>’</w:t>
      </w:r>
      <w:r w:rsidRPr="00F12B63" w:rsidR="00F12B63">
        <w:t xml:space="preserve"> </w:t>
      </w:r>
      <w:r w:rsidRPr="00CC7DD1">
        <w:t>means the commission of, attempted commission of, conspiracy to commit, or solicitation of, sustained juvenile petition for, or conviction of, two or more of the following offenses, provided at least one of these offenses occurred after the effective date of this chapter, and the last of those offenses occurred within three years of the prior offense and within three years of the date the current offense is alleged to have been committed, the offenses were committed on separate occasions or by two or more members, the offenses commonly benefited a criminal street gang, and the common benefit from the offenses is more than reputational</w:t>
      </w:r>
      <w:r>
        <w:t>.”  (§ 186.22(e)</w:t>
      </w:r>
      <w:r w:rsidR="00CC10D9">
        <w:t>(1)</w:t>
      </w:r>
      <w:r>
        <w:t>.)</w:t>
      </w:r>
    </w:p>
  </w:footnote>
  <w:footnote w:id="4">
    <w:p w:rsidR="009D00E3" w:rsidP="00F95F30" w14:paraId="3C86BDC9" w14:textId="77777777">
      <w:pPr>
        <w:pStyle w:val="FootnoteText"/>
      </w:pPr>
      <w:r>
        <w:rPr>
          <w:rStyle w:val="FootnoteReference"/>
        </w:rPr>
        <w:footnoteRef/>
      </w:r>
      <w:r>
        <w:t xml:space="preserve"> </w:t>
      </w:r>
      <w:r>
        <w:tab/>
        <w:t xml:space="preserve">In </w:t>
      </w:r>
      <w:r>
        <w:rPr>
          <w:i/>
          <w:iCs/>
        </w:rPr>
        <w:t>Loeun</w:t>
      </w:r>
      <w:r>
        <w:t xml:space="preserve">, </w:t>
      </w:r>
      <w:r w:rsidR="008B1475">
        <w:t>we</w:t>
      </w:r>
      <w:r>
        <w:t xml:space="preserve"> interpreted the statute to mean that the prosecution could rely on the</w:t>
      </w:r>
      <w:r w:rsidR="00C87F0D">
        <w:t xml:space="preserve"> substantive offense charged in the case as one of the predicate offenses establishing a pattern of criminal gang activity.</w:t>
      </w:r>
      <w:r>
        <w:t xml:space="preserve"> </w:t>
      </w:r>
      <w:r w:rsidR="00C87F0D">
        <w:t xml:space="preserve"> </w:t>
      </w:r>
      <w:r w:rsidRPr="00C702D9">
        <w:t>(</w:t>
      </w:r>
      <w:r w:rsidRPr="00DE4762" w:rsidR="00C702D9">
        <w:rPr>
          <w:i/>
          <w:iCs/>
        </w:rPr>
        <w:t>Loeun</w:t>
      </w:r>
      <w:r w:rsidR="00C702D9">
        <w:t xml:space="preserve">, </w:t>
      </w:r>
      <w:r w:rsidRPr="00DE4762" w:rsidR="00C702D9">
        <w:rPr>
          <w:i/>
          <w:iCs/>
        </w:rPr>
        <w:t>supra</w:t>
      </w:r>
      <w:r w:rsidR="00C702D9">
        <w:t>, 17 Cal.4th at p. 5</w:t>
      </w:r>
      <w:r w:rsidRPr="00C702D9">
        <w:t>.)</w:t>
      </w:r>
      <w:r>
        <w:t xml:space="preserve">  A</w:t>
      </w:r>
      <w:r w:rsidR="007C4661">
        <w:t>ssembly Bill</w:t>
      </w:r>
      <w:r>
        <w:t xml:space="preserve"> 333 overturned this </w:t>
      </w:r>
      <w:r w:rsidR="00C87F0D">
        <w:t xml:space="preserve">aspect of </w:t>
      </w:r>
      <w:r w:rsidR="00C87F0D">
        <w:rPr>
          <w:i/>
          <w:iCs/>
        </w:rPr>
        <w:t>Loeun</w:t>
      </w:r>
      <w:r w:rsidR="00C87F0D">
        <w:t xml:space="preserve"> </w:t>
      </w:r>
      <w:r>
        <w:t xml:space="preserve">by expressly </w:t>
      </w:r>
      <w:r w:rsidR="00C87F0D">
        <w:t xml:space="preserve">requiring proof of two predicate offenses other than the charged offense.  </w:t>
      </w:r>
      <w:r w:rsidRPr="00C702D9" w:rsidR="00C87F0D">
        <w:t>(</w:t>
      </w:r>
      <w:r w:rsidRPr="00977B52" w:rsidR="00347D51">
        <w:t>Stats. 2021, ch. 699</w:t>
      </w:r>
      <w:r w:rsidR="0011100C">
        <w:t xml:space="preserve">, </w:t>
      </w:r>
      <w:r w:rsidR="007C4661">
        <w:t>§ </w:t>
      </w:r>
      <w:r w:rsidR="0011100C">
        <w:t>3</w:t>
      </w:r>
      <w:r w:rsidRPr="00977B52" w:rsidR="00347D51">
        <w:t xml:space="preserve">, </w:t>
      </w:r>
      <w:r w:rsidR="0011100C">
        <w:t xml:space="preserve">adding </w:t>
      </w:r>
      <w:r w:rsidR="00684AD2">
        <w:t>§ </w:t>
      </w:r>
      <w:r w:rsidR="0011100C">
        <w:t>1</w:t>
      </w:r>
      <w:r w:rsidR="00C702D9">
        <w:t xml:space="preserve">86.22, </w:t>
      </w:r>
      <w:r w:rsidR="0011100C">
        <w:t>subd</w:t>
      </w:r>
      <w:r w:rsidR="00684AD2">
        <w:t>.</w:t>
      </w:r>
      <w:r w:rsidR="0011100C">
        <w:t xml:space="preserve"> (e)(2)</w:t>
      </w:r>
      <w:r w:rsidRPr="00C702D9" w:rsidR="00C87F0D">
        <w:t>.)</w:t>
      </w:r>
      <w:r w:rsidR="00C87F0D">
        <w:t xml:space="preserve">  </w:t>
      </w:r>
      <w:r w:rsidR="007B23AA">
        <w:t>But A</w:t>
      </w:r>
      <w:r w:rsidR="007C4661">
        <w:t>ssembly Bill</w:t>
      </w:r>
      <w:r w:rsidR="007B23AA">
        <w:t xml:space="preserve"> </w:t>
      </w:r>
      <w:r w:rsidR="008356F7">
        <w:t xml:space="preserve">333 </w:t>
      </w:r>
      <w:r w:rsidR="007B23AA">
        <w:t xml:space="preserve">left untouched the </w:t>
      </w:r>
      <w:r w:rsidR="008356F7">
        <w:t xml:space="preserve">disjunctive </w:t>
      </w:r>
      <w:r w:rsidR="00707684">
        <w:t>formulation</w:t>
      </w:r>
      <w:r w:rsidR="008356F7">
        <w:t xml:space="preserve"> of the </w:t>
      </w:r>
      <w:r w:rsidR="007B23AA">
        <w:t>requir</w:t>
      </w:r>
      <w:r w:rsidR="008356F7">
        <w:t>ement</w:t>
      </w:r>
      <w:r w:rsidR="007B23AA">
        <w:t xml:space="preserve"> </w:t>
      </w:r>
      <w:r w:rsidRPr="00977B52" w:rsidR="00347D51">
        <w:t>in section 186.22, subdivision (e)(1)</w:t>
      </w:r>
      <w:r w:rsidR="00347D51">
        <w:t xml:space="preserve"> </w:t>
      </w:r>
      <w:r w:rsidR="007B23AA">
        <w:t xml:space="preserve">that predicate offenses be committed “on separate occasions </w:t>
      </w:r>
      <w:r w:rsidR="007B23AA">
        <w:rPr>
          <w:i/>
          <w:iCs/>
        </w:rPr>
        <w:t>or</w:t>
      </w:r>
      <w:r w:rsidR="007B23AA">
        <w:t xml:space="preserve"> by two or more</w:t>
      </w:r>
      <w:r w:rsidR="00347D51">
        <w:t>”</w:t>
      </w:r>
      <w:r w:rsidR="007B23AA">
        <w:t xml:space="preserve"> members.  (</w:t>
      </w:r>
      <w:r w:rsidR="00347D51">
        <w:t>Stats. 2021, ch. 699</w:t>
      </w:r>
      <w:r w:rsidR="007C4661">
        <w:t>, § 3</w:t>
      </w:r>
      <w:r w:rsidR="008356F7">
        <w:t>, i</w:t>
      </w:r>
      <w:r w:rsidR="007B23AA">
        <w:t>talics added.)</w:t>
      </w:r>
    </w:p>
    <w:p w:rsidR="00EA5D9D" w:rsidRPr="007B23AA" w:rsidP="005C1FBA" w14:paraId="3C86BDCA" w14:textId="77777777">
      <w:pPr>
        <w:pStyle w:val="FootnoteText"/>
        <w:ind w:firstLine="720"/>
      </w:pPr>
      <w:r>
        <w:t xml:space="preserve">Assembly Bill 333 also retained in the </w:t>
      </w:r>
      <w:r w:rsidR="005E7A47">
        <w:t xml:space="preserve">statutory </w:t>
      </w:r>
      <w:r>
        <w:t>list of</w:t>
      </w:r>
      <w:r w:rsidR="004457E4">
        <w:t xml:space="preserve"> </w:t>
      </w:r>
      <w:r>
        <w:t xml:space="preserve">qualifying predicate offenses </w:t>
      </w:r>
      <w:r w:rsidR="00B80336">
        <w:t xml:space="preserve">certain </w:t>
      </w:r>
      <w:r>
        <w:t xml:space="preserve">crimes that are ordinarily committed by individuals, such as </w:t>
      </w:r>
      <w:r w:rsidR="000E48AD">
        <w:t>carrying a concealed firearm and other similar firearm offenses</w:t>
      </w:r>
      <w:r>
        <w:t xml:space="preserve"> </w:t>
      </w:r>
      <w:r w:rsidRPr="00264E86">
        <w:t>(</w:t>
      </w:r>
      <w:r w:rsidR="005C1FBA">
        <w:t xml:space="preserve">e.g., </w:t>
      </w:r>
      <w:r w:rsidRPr="00264E86">
        <w:t>§</w:t>
      </w:r>
      <w:r>
        <w:t> </w:t>
      </w:r>
      <w:r w:rsidRPr="00264E86">
        <w:t>186.22, subd. (e)(1)</w:t>
      </w:r>
      <w:r>
        <w:t>(Y</w:t>
      </w:r>
      <w:r w:rsidRPr="00264E86">
        <w:t>)</w:t>
      </w:r>
      <w:r w:rsidR="000E48AD">
        <w:t xml:space="preserve">; see also, e.g., </w:t>
      </w:r>
      <w:r w:rsidR="000E48AD">
        <w:rPr>
          <w:i/>
          <w:iCs/>
        </w:rPr>
        <w:t>id.</w:t>
      </w:r>
      <w:r w:rsidR="000E48AD">
        <w:t>, subd. (e)(1)(U), (X))</w:t>
      </w:r>
      <w:r>
        <w:t xml:space="preserve">, and </w:t>
      </w:r>
      <w:r w:rsidRPr="00264E86">
        <w:t xml:space="preserve">rape as defined in </w:t>
      </w:r>
      <w:r>
        <w:t xml:space="preserve">Penal Code </w:t>
      </w:r>
      <w:r w:rsidRPr="00264E86">
        <w:t>section 261 (</w:t>
      </w:r>
      <w:r w:rsidRPr="008C6234">
        <w:rPr>
          <w:i/>
          <w:iCs/>
        </w:rPr>
        <w:t>id</w:t>
      </w:r>
      <w:r>
        <w:t xml:space="preserve">., </w:t>
      </w:r>
      <w:r w:rsidRPr="00264E86">
        <w:t>§</w:t>
      </w:r>
      <w:r>
        <w:t> </w:t>
      </w:r>
      <w:r w:rsidRPr="00264E86">
        <w:t>186.22, subd. (e)(1)(L)</w:t>
      </w:r>
      <w:r>
        <w:t xml:space="preserve">), </w:t>
      </w:r>
      <w:r w:rsidRPr="00264E86">
        <w:t>rather than the offense of rape in concert with another person (</w:t>
      </w:r>
      <w:r w:rsidRPr="008C6234">
        <w:rPr>
          <w:i/>
          <w:iCs/>
        </w:rPr>
        <w:t>id</w:t>
      </w:r>
      <w:r>
        <w:t xml:space="preserve">., </w:t>
      </w:r>
      <w:r w:rsidRPr="00264E86">
        <w:t>§</w:t>
      </w:r>
      <w:r>
        <w:t> </w:t>
      </w:r>
      <w:r w:rsidRPr="00264E86">
        <w:t xml:space="preserve">264.1, subd. (a)).  </w:t>
      </w:r>
      <w:r w:rsidR="00087958">
        <w:t xml:space="preserve">The Legislature’s retention of crimes ordinarily committed by persons acting alone is an additional indication that </w:t>
      </w:r>
      <w:r w:rsidR="00166DCE">
        <w:t xml:space="preserve">predicate offenses </w:t>
      </w:r>
      <w:r w:rsidR="00C933D1">
        <w:t xml:space="preserve">can be committed by individual gang members and </w:t>
      </w:r>
      <w:r w:rsidR="00166DCE">
        <w:t xml:space="preserve">do not have to be committed by multiple </w:t>
      </w:r>
      <w:r>
        <w:t>gang members acting in concert.</w:t>
      </w:r>
    </w:p>
  </w:footnote>
  <w:footnote w:id="5">
    <w:p w:rsidR="003D0DB9" w:rsidP="00F95F30" w14:paraId="3C86BDCB" w14:textId="77777777">
      <w:pPr>
        <w:pStyle w:val="FootnoteText"/>
      </w:pPr>
      <w:r>
        <w:rPr>
          <w:rStyle w:val="FootnoteReference"/>
        </w:rPr>
        <w:footnoteRef/>
      </w:r>
      <w:r>
        <w:t xml:space="preserve"> </w:t>
      </w:r>
      <w:r>
        <w:tab/>
        <w:t xml:space="preserve">Amicus </w:t>
      </w:r>
      <w:r w:rsidR="002D6F43">
        <w:t xml:space="preserve">curiae </w:t>
      </w:r>
      <w:r>
        <w:t xml:space="preserve">Peace and Justice </w:t>
      </w:r>
      <w:r w:rsidR="002D6F43">
        <w:t xml:space="preserve">Law </w:t>
      </w:r>
      <w:r>
        <w:t>Center argues that</w:t>
      </w:r>
      <w:r w:rsidRPr="00C1669E">
        <w:t xml:space="preserve"> </w:t>
      </w:r>
      <w:r>
        <w:t>the reference to predicate offenses committed “on separate occasions or by two or more members” (§ 186.22(e)</w:t>
      </w:r>
      <w:r w:rsidR="005D474A">
        <w:t>(1)</w:t>
      </w:r>
      <w:r>
        <w:t>) contains a drafting error, and that the Legislature intended to replace the preexisting “or” with “and.”  We have acknowledged that an “inadvertent” mix-up of “</w:t>
      </w:r>
      <w:r w:rsidR="002D6F43">
        <w:t> ‘</w:t>
      </w:r>
      <w:r>
        <w:t>or</w:t>
      </w:r>
      <w:r w:rsidR="002D6F43">
        <w:t>’ </w:t>
      </w:r>
      <w:r>
        <w:t>” and “</w:t>
      </w:r>
      <w:r w:rsidR="002D6F43">
        <w:t> ‘</w:t>
      </w:r>
      <w:r>
        <w:t>and</w:t>
      </w:r>
      <w:r w:rsidR="002D6F43">
        <w:t>’ </w:t>
      </w:r>
      <w:r>
        <w:t>” “is a familiar example of a drafting error which may properly be rectified by judicial construction.”  (</w:t>
      </w:r>
      <w:r w:rsidRPr="00573320">
        <w:rPr>
          <w:i/>
          <w:iCs/>
        </w:rPr>
        <w:t xml:space="preserve">People v. Skinner </w:t>
      </w:r>
      <w:r>
        <w:t>(1985) 39 Cal.3d 765, 775.)  But “[a]lthough we may properly decide upon such a construction or reformation when compelled by necessity and supported by firm evidence of the drafters’ true intent [citation], we should not do so when the statute is reasonably susceptible to an interpretation that harmonizes all its parts without disregarding or altering any of them.”  (</w:t>
      </w:r>
      <w:r w:rsidRPr="00AF52AB">
        <w:rPr>
          <w:i/>
          <w:iCs/>
        </w:rPr>
        <w:t>People v. Garcia</w:t>
      </w:r>
      <w:r>
        <w:t xml:space="preserve"> (1999) 21 Cal.4th 1, 6.)  Here, </w:t>
      </w:r>
      <w:r w:rsidR="00D55D9B">
        <w:t>t</w:t>
      </w:r>
      <w:r>
        <w:t xml:space="preserve">he amendments can be harmonized without altering a term, </w:t>
      </w:r>
      <w:r w:rsidR="00D55D9B">
        <w:t>and there is ample reason to believe the Legislature’s use of “or” was deliberate rather than inadvertent.  W</w:t>
      </w:r>
      <w:r>
        <w:t xml:space="preserve">e </w:t>
      </w:r>
      <w:r w:rsidR="00D55D9B">
        <w:t xml:space="preserve">therefore </w:t>
      </w:r>
      <w:r>
        <w:t>do not second guess the Legislature</w:t>
      </w:r>
      <w:r w:rsidR="00564CD3">
        <w:t>’s choice to leave the relevant conjunction</w:t>
      </w:r>
      <w:r>
        <w:t xml:space="preserve"> in place.</w:t>
      </w:r>
    </w:p>
  </w:footnote>
  <w:footnote w:id="6">
    <w:p w:rsidR="00144F4E" w:rsidP="009231BD" w14:paraId="3C86BDCC" w14:textId="77777777">
      <w:pPr>
        <w:pStyle w:val="FootnoteText"/>
      </w:pPr>
      <w:r>
        <w:rPr>
          <w:rStyle w:val="FootnoteReference"/>
        </w:rPr>
        <w:footnoteRef/>
      </w:r>
      <w:r>
        <w:t xml:space="preserve"> </w:t>
      </w:r>
      <w:r>
        <w:tab/>
        <w:t xml:space="preserve">The </w:t>
      </w:r>
      <w:r w:rsidR="008A5D9A">
        <w:t>Court of Appeal offered another alternative:  that, to be suggestive of collective engagement</w:t>
      </w:r>
      <w:r w:rsidR="0024412E">
        <w:t xml:space="preserve"> by “</w:t>
      </w:r>
      <w:r w:rsidR="009231BD">
        <w:t> ‘</w:t>
      </w:r>
      <w:r w:rsidR="0024412E">
        <w:t>members</w:t>
      </w:r>
      <w:r w:rsidR="009231BD">
        <w:t>’ </w:t>
      </w:r>
      <w:r w:rsidR="0024412E">
        <w:t>” of the gang</w:t>
      </w:r>
      <w:r w:rsidR="008A5D9A">
        <w:t>, predicate offenses committed on different occasions must be committed by different gang members.</w:t>
      </w:r>
      <w:r w:rsidR="0024412E">
        <w:t xml:space="preserve">  </w:t>
      </w:r>
      <w:r w:rsidR="009231BD">
        <w:t>(</w:t>
      </w:r>
      <w:r w:rsidRPr="009231BD" w:rsidR="009231BD">
        <w:rPr>
          <w:i/>
          <w:iCs/>
        </w:rPr>
        <w:t>Clark</w:t>
      </w:r>
      <w:r w:rsidR="009231BD">
        <w:t xml:space="preserve">, </w:t>
      </w:r>
      <w:r w:rsidRPr="00337375" w:rsidR="009231BD">
        <w:rPr>
          <w:i/>
          <w:iCs/>
        </w:rPr>
        <w:t>supra</w:t>
      </w:r>
      <w:r w:rsidR="009231BD">
        <w:t xml:space="preserve">, 81 Cal.App.5th at p. 144.)  </w:t>
      </w:r>
      <w:r w:rsidR="0024412E">
        <w:t>The Attorney General</w:t>
      </w:r>
      <w:r w:rsidR="00C634A0">
        <w:t xml:space="preserve"> resists that </w:t>
      </w:r>
      <w:r w:rsidR="002D4043">
        <w:t>alternative interpretation</w:t>
      </w:r>
      <w:r w:rsidR="00C634A0">
        <w:t xml:space="preserve"> but </w:t>
      </w:r>
      <w:r w:rsidR="0024412E">
        <w:t>notes that we need not decide th</w:t>
      </w:r>
      <w:r w:rsidR="002D4043">
        <w:t>e</w:t>
      </w:r>
      <w:r w:rsidR="0024412E">
        <w:t xml:space="preserve"> issue here</w:t>
      </w:r>
      <w:r w:rsidR="00B744BB">
        <w:t xml:space="preserve"> because</w:t>
      </w:r>
      <w:r>
        <w:t xml:space="preserve"> the two predicate offenses </w:t>
      </w:r>
      <w:r w:rsidR="0024412E">
        <w:t xml:space="preserve">in this case </w:t>
      </w:r>
      <w:r>
        <w:t xml:space="preserve">were </w:t>
      </w:r>
      <w:r w:rsidR="0024412E">
        <w:t xml:space="preserve">in fact </w:t>
      </w:r>
      <w:r>
        <w:t>committed by different gang members</w:t>
      </w:r>
      <w:r w:rsidRPr="00ED161A">
        <w:t>.</w:t>
      </w:r>
      <w:r w:rsidR="0024412E">
        <w:t xml:space="preserve">  We reserve for another case the question whether the use of the plural “members” means that the </w:t>
      </w:r>
      <w:r w:rsidR="00112E2A">
        <w:t xml:space="preserve">predicate offenses must be </w:t>
      </w:r>
      <w:r w:rsidR="0024412E">
        <w:t xml:space="preserve">committed </w:t>
      </w:r>
      <w:r w:rsidRPr="00FA4B7C" w:rsidR="009B30F6">
        <w:t xml:space="preserve">by </w:t>
      </w:r>
      <w:r w:rsidR="0024412E">
        <w:t xml:space="preserve">at least two </w:t>
      </w:r>
      <w:r w:rsidRPr="00FA4B7C" w:rsidR="009B30F6">
        <w:t>different gang members</w:t>
      </w:r>
      <w:r w:rsidR="0024412E">
        <w:t>, and whether or not those gang members may include the defendant</w:t>
      </w:r>
      <w:r w:rsidRPr="00FA4B7C" w:rsidR="009B30F6">
        <w:t>.</w:t>
      </w:r>
      <w:r w:rsidR="00112E2A">
        <w:t xml:space="preserve">  (</w:t>
      </w:r>
      <w:r w:rsidRPr="00FA4B7C" w:rsidR="00112E2A">
        <w:t>§</w:t>
      </w:r>
      <w:r w:rsidR="00E42CD3">
        <w:t> </w:t>
      </w:r>
      <w:r w:rsidRPr="00FA4B7C" w:rsidR="00112E2A">
        <w:t>186.22(f)</w:t>
      </w:r>
      <w:r w:rsidR="00112E2A">
        <w:t>.</w:t>
      </w:r>
      <w:r w:rsidRPr="00FA4B7C" w:rsidR="00112E2A">
        <w:t>)</w:t>
      </w:r>
      <w:r w:rsidR="00112E2A">
        <w:t xml:space="preserve">  </w:t>
      </w:r>
    </w:p>
  </w:footnote>
  <w:footnote w:id="7">
    <w:p w:rsidR="00CD68EA" w14:paraId="3C86BDCD" w14:textId="77777777">
      <w:pPr>
        <w:pStyle w:val="FootnoteText"/>
      </w:pPr>
      <w:r>
        <w:rPr>
          <w:rStyle w:val="FootnoteReference"/>
        </w:rPr>
        <w:footnoteRef/>
      </w:r>
      <w:r>
        <w:t xml:space="preserve"> </w:t>
      </w:r>
      <w:r>
        <w:tab/>
      </w:r>
      <w:r w:rsidRPr="00CD68EA">
        <w:t xml:space="preserve">One </w:t>
      </w:r>
      <w:r w:rsidR="00AC588B">
        <w:t>s</w:t>
      </w:r>
      <w:r w:rsidRPr="00CD68EA">
        <w:t xml:space="preserve">enate </w:t>
      </w:r>
      <w:r w:rsidR="00AC588B">
        <w:t>a</w:t>
      </w:r>
      <w:r w:rsidRPr="00CD68EA">
        <w:t xml:space="preserve">nalysis does describe the bill as revising the law to require, among other things, that “the offenses were committed by </w:t>
      </w:r>
      <w:r w:rsidRPr="003778E3">
        <w:rPr>
          <w:i/>
          <w:iCs/>
        </w:rPr>
        <w:t>two or more members</w:t>
      </w:r>
      <w:r w:rsidRPr="00CD68EA">
        <w:t xml:space="preserve">.”  (Sen. Rules Com., Off. of Sen. Floor Analyses, 3d reading analysis of Assem. Bill </w:t>
      </w:r>
      <w:r w:rsidR="00E654B1">
        <w:t>No. </w:t>
      </w:r>
      <w:r w:rsidRPr="00CD68EA">
        <w:t>333 (2021–2022 Reg. Sess.) as amended July 13, 2021, p.</w:t>
      </w:r>
      <w:r w:rsidR="00E74653">
        <w:t> </w:t>
      </w:r>
      <w:r w:rsidRPr="00CD68EA">
        <w:t xml:space="preserve">4, italics added.)  But as we have already explained, the actual language of the statute is to the contrary, and no similar description of section 186.22(f) appears in any of the other available legislative history documents.  (See, e.g., Sen. Com. on Appropriations, Analysis of Assem. Bill </w:t>
      </w:r>
      <w:r w:rsidR="005C4567">
        <w:t>No. </w:t>
      </w:r>
      <w:r w:rsidRPr="00CD68EA">
        <w:t>333 (2021–2022 Reg. Sess.) as amended July 13, 2021, p.</w:t>
      </w:r>
      <w:r w:rsidR="00337375">
        <w:t> </w:t>
      </w:r>
      <w:r w:rsidRPr="00CD68EA">
        <w:t xml:space="preserve">2; Sen. Com. on Public Safety, Analysis of Assem. Bill </w:t>
      </w:r>
      <w:r w:rsidR="005C4567">
        <w:t>No. </w:t>
      </w:r>
      <w:r w:rsidRPr="00CD68EA">
        <w:t xml:space="preserve">333 (2021–2022 Reg. Sess.) </w:t>
      </w:r>
      <w:r w:rsidR="00E74653">
        <w:t>as amended May 28, 2021</w:t>
      </w:r>
      <w:r w:rsidRPr="00CD68EA">
        <w:t>, p.</w:t>
      </w:r>
      <w:r w:rsidR="00337375">
        <w:t> </w:t>
      </w:r>
      <w:r w:rsidRPr="00CD68EA">
        <w:t>4.)  We thus place no weight on what appears to be a stray misdescription of the bill in a single line of a single document.</w:t>
      </w:r>
    </w:p>
  </w:footnote>
  <w:footnote w:id="8">
    <w:p w:rsidR="00E275CF" w:rsidP="00E275CF" w14:paraId="3C86BDCE" w14:textId="77777777">
      <w:pPr>
        <w:pStyle w:val="FootnoteText"/>
      </w:pPr>
      <w:r>
        <w:rPr>
          <w:rStyle w:val="FootnoteReference"/>
        </w:rPr>
        <w:footnoteRef/>
      </w:r>
      <w:r>
        <w:t xml:space="preserve"> </w:t>
      </w:r>
      <w:r>
        <w:tab/>
        <w:t xml:space="preserve">The Legislature initially added, but then dropped, a requirement that </w:t>
      </w:r>
      <w:r w:rsidRPr="006A74F9">
        <w:t>the predicate offenses “</w:t>
      </w:r>
      <w:r w:rsidRPr="00E96EB4">
        <w:t>were committed for the benefit of, at the direction of, or in association with, the criminal street gang, with the specific intent to promote, further, or assist in criminal conduct by members of the criminal street gang at issue</w:t>
      </w:r>
      <w:r>
        <w:t>.</w:t>
      </w:r>
      <w:r w:rsidRPr="006A74F9">
        <w:t xml:space="preserve">” </w:t>
      </w:r>
      <w:r>
        <w:t xml:space="preserve"> (</w:t>
      </w:r>
      <w:r w:rsidRPr="006A74F9">
        <w:t>Legis. Counsel’s Dig., Assem. Bill No. 333 (2021–2022 Reg. Sess.), as amended Ma</w:t>
      </w:r>
      <w:r>
        <w:t xml:space="preserve">r. </w:t>
      </w:r>
      <w:r w:rsidRPr="006A74F9">
        <w:t>2</w:t>
      </w:r>
      <w:r>
        <w:t>4</w:t>
      </w:r>
      <w:r w:rsidRPr="006A74F9">
        <w:t>, 2021.)</w:t>
      </w:r>
      <w:r>
        <w:t xml:space="preserve">  </w:t>
      </w:r>
      <w:r w:rsidRPr="006A74F9">
        <w:t>That provision would have required, with respect to predicate offenses, the same gang-related and specific intent showings now required of the charged offense</w:t>
      </w:r>
      <w:r>
        <w:t xml:space="preserve">, </w:t>
      </w:r>
      <w:r w:rsidRPr="00E96EB4">
        <w:t>including</w:t>
      </w:r>
      <w:r w:rsidR="00CB6D57">
        <w:t xml:space="preserve"> </w:t>
      </w:r>
      <w:r w:rsidRPr="006A74F9">
        <w:t>an inquiry into the mens rea of the typically absent third party gang member who allegedly committed the offense</w:t>
      </w:r>
      <w:r>
        <w:t xml:space="preserve">.  </w:t>
      </w:r>
      <w:r w:rsidRPr="006A74F9" w:rsidR="00094106">
        <w:t>(</w:t>
      </w:r>
      <w:r w:rsidR="00374F10">
        <w:t xml:space="preserve">See </w:t>
      </w:r>
      <w:r w:rsidRPr="006A74F9" w:rsidR="00094106">
        <w:t>§</w:t>
      </w:r>
      <w:r w:rsidR="00094106">
        <w:t> </w:t>
      </w:r>
      <w:r w:rsidRPr="006A74F9" w:rsidR="00094106">
        <w:t xml:space="preserve">186.22, subd. (b)(1), (4); </w:t>
      </w:r>
      <w:r w:rsidR="00094106">
        <w:t xml:space="preserve">see also </w:t>
      </w:r>
      <w:r w:rsidRPr="00576D70" w:rsidR="00094106">
        <w:rPr>
          <w:i/>
          <w:iCs/>
        </w:rPr>
        <w:t>People v. Renteria</w:t>
      </w:r>
      <w:r w:rsidR="00094106">
        <w:t xml:space="preserve">, </w:t>
      </w:r>
      <w:r w:rsidRPr="009231BD" w:rsidR="00094106">
        <w:rPr>
          <w:i/>
          <w:iCs/>
        </w:rPr>
        <w:t>supra</w:t>
      </w:r>
      <w:r w:rsidR="00094106">
        <w:t>,</w:t>
      </w:r>
      <w:r w:rsidRPr="006A74F9" w:rsidR="00094106">
        <w:t xml:space="preserve"> 13 Cal.5th </w:t>
      </w:r>
      <w:r w:rsidR="00094106">
        <w:t>at p. </w:t>
      </w:r>
      <w:r w:rsidRPr="006A74F9" w:rsidR="00094106">
        <w:t>965</w:t>
      </w:r>
      <w:r w:rsidR="00094106">
        <w:t xml:space="preserve"> [describing the showing</w:t>
      </w:r>
      <w:r w:rsidR="00374F10">
        <w:t xml:space="preserve"> these provisions require with respect to the charged offense</w:t>
      </w:r>
      <w:r w:rsidR="00094106">
        <w:t xml:space="preserve">].)  </w:t>
      </w:r>
      <w:r>
        <w:t>That the Legislature discarded this more onerous requirement does not a</w:t>
      </w:r>
      <w:r w:rsidR="00CB6D57">
        <w:t>ffect</w:t>
      </w:r>
      <w:r>
        <w:t xml:space="preserve"> our conclusion that </w:t>
      </w:r>
      <w:r w:rsidR="00767EA3">
        <w:t xml:space="preserve">the language the Legislature did enact requires </w:t>
      </w:r>
      <w:r w:rsidR="009E4BA8">
        <w:t xml:space="preserve">that </w:t>
      </w:r>
      <w:r w:rsidR="008941E8">
        <w:t xml:space="preserve">some </w:t>
      </w:r>
      <w:r w:rsidR="009E4BA8">
        <w:t>connection</w:t>
      </w:r>
      <w:r w:rsidR="00771FF6">
        <w:t xml:space="preserve"> be shown between</w:t>
      </w:r>
      <w:r w:rsidR="00CB6D57">
        <w:t xml:space="preserve"> </w:t>
      </w:r>
      <w:r w:rsidR="00767EA3">
        <w:t xml:space="preserve">the </w:t>
      </w:r>
      <w:r w:rsidR="00CB6D57">
        <w:t>predicate offenses</w:t>
      </w:r>
      <w:r w:rsidR="00767EA3">
        <w:t xml:space="preserve"> </w:t>
      </w:r>
      <w:r w:rsidR="00FC7E0F">
        <w:t xml:space="preserve">and </w:t>
      </w:r>
      <w:r w:rsidR="00767EA3">
        <w:t>the gang as a collective enterprise</w:t>
      </w:r>
      <w:r w:rsidRPr="006A74F9">
        <w:t xml:space="preserve">.   </w:t>
      </w:r>
    </w:p>
  </w:footnote>
  <w:footnote w:id="9">
    <w:p w:rsidR="00C137FE" w:rsidP="00F95F30" w14:paraId="3C86BDCF" w14:textId="77777777">
      <w:pPr>
        <w:pStyle w:val="FootnoteText"/>
      </w:pPr>
      <w:r>
        <w:rPr>
          <w:rStyle w:val="FootnoteReference"/>
        </w:rPr>
        <w:footnoteRef/>
      </w:r>
      <w:r>
        <w:t xml:space="preserve"> </w:t>
      </w:r>
      <w:r>
        <w:tab/>
        <w:t>A</w:t>
      </w:r>
      <w:r w:rsidR="00AA5D02">
        <w:t xml:space="preserve">s indicated, </w:t>
      </w:r>
      <w:r w:rsidR="007E2977">
        <w:t xml:space="preserve">the </w:t>
      </w:r>
      <w:r>
        <w:t xml:space="preserve">prosecution </w:t>
      </w:r>
      <w:r w:rsidR="007E2977">
        <w:t xml:space="preserve">presented evidence of additional predicate offenses:  certified convictions for </w:t>
      </w:r>
      <w:r>
        <w:t>Ridgeway</w:t>
      </w:r>
      <w:r w:rsidR="007E2977">
        <w:t>, who</w:t>
      </w:r>
      <w:r>
        <w:t xml:space="preserve"> ple</w:t>
      </w:r>
      <w:r w:rsidR="00761844">
        <w:t>a</w:t>
      </w:r>
      <w:r>
        <w:t>d</w:t>
      </w:r>
      <w:r w:rsidR="00761844">
        <w:t>ed</w:t>
      </w:r>
      <w:r>
        <w:t xml:space="preserve"> guilty to a 2009 residential burglary with a gang enhancement</w:t>
      </w:r>
      <w:r w:rsidR="007E2977">
        <w:t>, and for the three gang members with Clark during the July 2015 break-in, who each ple</w:t>
      </w:r>
      <w:r w:rsidR="00761844">
        <w:t>a</w:t>
      </w:r>
      <w:r w:rsidR="007E2977">
        <w:t>d</w:t>
      </w:r>
      <w:r w:rsidR="00761844">
        <w:t>ed</w:t>
      </w:r>
      <w:r w:rsidR="007E2977">
        <w:t xml:space="preserve"> or were found guilty of burglary for their roles in that offense.  </w:t>
      </w:r>
      <w:r>
        <w:t xml:space="preserve">After amendment, section 186.22 provides that </w:t>
      </w:r>
      <w:r w:rsidRPr="00E67A36">
        <w:t>at least one of the</w:t>
      </w:r>
      <w:r>
        <w:t xml:space="preserve"> predicat</w:t>
      </w:r>
      <w:r w:rsidRPr="00E67A36">
        <w:t xml:space="preserve">e offenses </w:t>
      </w:r>
      <w:r>
        <w:t xml:space="preserve">must have </w:t>
      </w:r>
      <w:r w:rsidRPr="00E67A36">
        <w:t xml:space="preserve">occurred </w:t>
      </w:r>
      <w:r>
        <w:t>“</w:t>
      </w:r>
      <w:r w:rsidRPr="00E67A36">
        <w:t>after the effective date of this chapter, and the last of those offenses occurred within three years of the prior offense and within three years of the date the current offense</w:t>
      </w:r>
      <w:r>
        <w:t>.”  (§ 186.22(e)(1).)  The amendments also established that the currently charged crime cannot be used as a predicate offense (</w:t>
      </w:r>
      <w:r w:rsidRPr="00565077">
        <w:rPr>
          <w:i/>
          <w:iCs/>
        </w:rPr>
        <w:t>id</w:t>
      </w:r>
      <w:r>
        <w:t>., subd. (e)(2)).  As such, evidence of Ridgeway’s 2009 burglary and the other gang members’ participation in the current offense do not qualify as predicate offenses under the amended statute.  The Attorney General asserts that Ridgeway’s 2009 conviction qualifies under the amended statute, “because there was another offense committed within three years of the</w:t>
      </w:r>
      <w:r w:rsidR="00A17904">
        <w:t xml:space="preserve"> </w:t>
      </w:r>
      <w:r>
        <w:t xml:space="preserve">charged offense.” </w:t>
      </w:r>
      <w:r w:rsidR="00A17904">
        <w:t xml:space="preserve"> </w:t>
      </w:r>
      <w:r>
        <w:t xml:space="preserve">This misreads the timing requirements.  The two 2014 convictions (one for Ridgeway and one for Clark) are within three years of the charged offense, but </w:t>
      </w:r>
      <w:r w:rsidR="00A34816">
        <w:t>Ridgeway’s prior 2009 conviction is not within three years of those offenses</w:t>
      </w:r>
      <w:r>
        <w:t xml:space="preserve">.  </w:t>
      </w:r>
    </w:p>
  </w:footnote>
  <w:footnote w:id="10">
    <w:p w:rsidR="00192D5F" w:rsidRPr="00CD2014" w:rsidP="00F95F30" w14:paraId="3C86BDD0" w14:textId="77777777">
      <w:pPr>
        <w:pStyle w:val="FootnoteText"/>
        <w:rPr>
          <w:i/>
          <w:iCs/>
        </w:rPr>
      </w:pPr>
      <w:r>
        <w:rPr>
          <w:rStyle w:val="FootnoteReference"/>
        </w:rPr>
        <w:footnoteRef/>
      </w:r>
      <w:r>
        <w:t xml:space="preserve"> </w:t>
      </w:r>
      <w:r>
        <w:tab/>
        <w:t xml:space="preserve">We disapprove </w:t>
      </w:r>
      <w:r w:rsidRPr="00F30C88">
        <w:rPr>
          <w:i/>
          <w:iCs/>
        </w:rPr>
        <w:t>People v. Delgado</w:t>
      </w:r>
      <w:r>
        <w:t xml:space="preserve">, </w:t>
      </w:r>
      <w:r w:rsidRPr="00407524">
        <w:rPr>
          <w:i/>
          <w:iCs/>
        </w:rPr>
        <w:t>supra</w:t>
      </w:r>
      <w:r>
        <w:t>,</w:t>
      </w:r>
      <w:r w:rsidRPr="00F30C88">
        <w:t xml:space="preserve"> 74 Cal.App.5th 1067</w:t>
      </w:r>
      <w:r w:rsidR="00986DEF">
        <w:t xml:space="preserve">, </w:t>
      </w:r>
      <w:r w:rsidR="00786E9D">
        <w:t xml:space="preserve">to the extent </w:t>
      </w:r>
      <w:r w:rsidR="00986DEF">
        <w:t xml:space="preserve">it </w:t>
      </w:r>
      <w:r w:rsidR="00786E9D">
        <w:t>articulate</w:t>
      </w:r>
      <w:r w:rsidR="00986DEF">
        <w:t>s</w:t>
      </w:r>
      <w:r w:rsidR="00786E9D">
        <w:t xml:space="preserve"> a</w:t>
      </w:r>
      <w:r w:rsidR="00F870A6">
        <w:t>n</w:t>
      </w:r>
      <w:r w:rsidR="00786E9D">
        <w:t xml:space="preserve"> interpretation of the collective engagement requirement </w:t>
      </w:r>
      <w:r w:rsidR="00F870A6">
        <w:t>different from</w:t>
      </w:r>
      <w:r w:rsidR="00786E9D">
        <w:t xml:space="preserve"> the one we have described here.</w:t>
      </w:r>
      <w:r w:rsidR="00B66072">
        <w:t xml:space="preserve">  </w:t>
      </w:r>
      <w:r w:rsidR="00586F00">
        <w:t xml:space="preserve">Similarly, we disapprove of </w:t>
      </w:r>
      <w:r w:rsidR="00586F00">
        <w:rPr>
          <w:i/>
          <w:iCs/>
        </w:rPr>
        <w:t xml:space="preserve">People v. </w:t>
      </w:r>
      <w:r w:rsidRPr="00FA60B1" w:rsidR="00586F00">
        <w:rPr>
          <w:i/>
          <w:iCs/>
        </w:rPr>
        <w:t>Lopez</w:t>
      </w:r>
      <w:r w:rsidR="00586F00">
        <w:t xml:space="preserve">, </w:t>
      </w:r>
      <w:r w:rsidRPr="00432D9F" w:rsidR="00586F00">
        <w:rPr>
          <w:i/>
          <w:iCs/>
        </w:rPr>
        <w:t>supra</w:t>
      </w:r>
      <w:r w:rsidR="00586F00">
        <w:t>,</w:t>
      </w:r>
      <w:r w:rsidR="00586F00">
        <w:rPr>
          <w:i/>
          <w:iCs/>
        </w:rPr>
        <w:t xml:space="preserve"> </w:t>
      </w:r>
      <w:r w:rsidRPr="00EC635E" w:rsidR="00586F00">
        <w:t xml:space="preserve">73 Cal.App.5th </w:t>
      </w:r>
      <w:r w:rsidR="00586F00">
        <w:t xml:space="preserve">327, to the extent the court’s implicit assumptions about the meaning of collective engagement may conflict with this opinion.  </w:t>
      </w:r>
      <w:r w:rsidR="00F870A6">
        <w:t xml:space="preserve">Recognizing the conflict between the Courts of Appeal in </w:t>
      </w:r>
      <w:r w:rsidRPr="00CD2014" w:rsidR="00F870A6">
        <w:rPr>
          <w:i/>
          <w:iCs/>
        </w:rPr>
        <w:t>Delgado</w:t>
      </w:r>
      <w:r w:rsidR="00F870A6">
        <w:t xml:space="preserve"> and</w:t>
      </w:r>
      <w:r w:rsidR="00F870A6">
        <w:rPr>
          <w:i/>
          <w:iCs/>
        </w:rPr>
        <w:t xml:space="preserve"> </w:t>
      </w:r>
      <w:r w:rsidR="00F870A6">
        <w:t xml:space="preserve">in this case, the court </w:t>
      </w:r>
      <w:r w:rsidR="0093216D">
        <w:t xml:space="preserve">in </w:t>
      </w:r>
      <w:r w:rsidRPr="00407524" w:rsidR="00986DEF">
        <w:rPr>
          <w:i/>
          <w:iCs/>
        </w:rPr>
        <w:t>Rodas-Gramajo v. Superior Court</w:t>
      </w:r>
      <w:r w:rsidR="00986DEF">
        <w:t xml:space="preserve"> (2023) 92 Cal.App.5th 656 assumed that </w:t>
      </w:r>
      <w:r w:rsidRPr="00CD2014" w:rsidR="00986DEF">
        <w:rPr>
          <w:i/>
          <w:iCs/>
        </w:rPr>
        <w:t>Delgado</w:t>
      </w:r>
      <w:r w:rsidR="00986DEF">
        <w:t>’s interpretation</w:t>
      </w:r>
      <w:r w:rsidR="00EB4994">
        <w:t xml:space="preserve"> applied</w:t>
      </w:r>
      <w:r w:rsidR="00986DEF">
        <w:t>, requiring predicate offenses to be</w:t>
      </w:r>
      <w:r w:rsidRPr="00407524" w:rsidR="00986DEF">
        <w:rPr>
          <w:i/>
          <w:iCs/>
        </w:rPr>
        <w:t xml:space="preserve"> </w:t>
      </w:r>
      <w:r w:rsidR="00986DEF">
        <w:t>committed by two gang members acting in concert</w:t>
      </w:r>
      <w:r w:rsidR="00EB4994">
        <w:t>.  (</w:t>
      </w:r>
      <w:r w:rsidRPr="00CD2014" w:rsidR="00EB4994">
        <w:rPr>
          <w:i/>
          <w:iCs/>
        </w:rPr>
        <w:t>Id</w:t>
      </w:r>
      <w:r w:rsidR="00EB4994">
        <w:t xml:space="preserve">. at p. 668 &amp; fn. 7.)  We disapprove of that portion of </w:t>
      </w:r>
      <w:r w:rsidRPr="00407524" w:rsidR="00EB4994">
        <w:rPr>
          <w:i/>
          <w:iCs/>
        </w:rPr>
        <w:t>Rodas-Gramajo</w:t>
      </w:r>
      <w:r w:rsidR="00802DB0">
        <w:rPr>
          <w:i/>
          <w:iCs/>
        </w:rPr>
        <w:t xml:space="preserve"> v. Superior Court</w:t>
      </w:r>
      <w:r w:rsidR="00802DB0">
        <w:t xml:space="preserve">, </w:t>
      </w:r>
      <w:r w:rsidR="00802DB0">
        <w:rPr>
          <w:i/>
          <w:iCs/>
        </w:rPr>
        <w:t>supra</w:t>
      </w:r>
      <w:r w:rsidR="00802DB0">
        <w:t>, 92 Cal.App.5th 656</w:t>
      </w:r>
      <w:r w:rsidR="00EB4994">
        <w:t xml:space="preserve">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F30" w14:paraId="3C86BDBE" w14:textId="77777777">
    <w:pPr>
      <w:pStyle w:val="Header"/>
    </w:pPr>
    <w:r>
      <w:t>THE PEOPLE v. KEJUAN DARCELL CLARK</w:t>
    </w:r>
  </w:p>
  <w:p w:rsidR="00F95F30" w14:paraId="3C86BDBF" w14:textId="77777777">
    <w:pPr>
      <w:pStyle w:val="Header"/>
    </w:pPr>
    <w:r>
      <w:t>Opinion of the Court by KRUGER, J.</w:t>
    </w:r>
  </w:p>
  <w:p w:rsidR="00F95F30" w14:paraId="3C86BD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AC7" w:rsidRPr="00290AC7" w:rsidP="00290AC7" w14:paraId="3C86BDC2" w14:textId="77777777">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15A" w:rsidP="00F95F30" w14:paraId="3C86BDC3" w14:textId="77777777">
    <w:pPr>
      <w:pStyle w:val="Header"/>
    </w:pPr>
    <w:r>
      <w:t>PEOPLE v. CLARK</w:t>
    </w:r>
  </w:p>
  <w:p w:rsidR="006D28B8" w:rsidRPr="00F95F30" w:rsidP="00F95F30" w14:paraId="3C86BDC4" w14:textId="77777777">
    <w:pPr>
      <w:pStyle w:val="Header"/>
    </w:pPr>
    <w:r>
      <w:t>Opinion of the Court by Kruger, 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A2D" w:rsidRPr="009D1A2D" w:rsidP="009D1A2D" w14:paraId="4B6D5F8A" w14:textId="6ED31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F2B72"/>
    <w:multiLevelType w:val="multilevel"/>
    <w:tmpl w:val="CC3E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C64D4"/>
    <w:multiLevelType w:val="hybridMultilevel"/>
    <w:tmpl w:val="EFA4266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2">
    <w:nsid w:val="6BA30F54"/>
    <w:multiLevelType w:val="multilevel"/>
    <w:tmpl w:val="65CA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007B0"/>
    <w:multiLevelType w:val="hybridMultilevel"/>
    <w:tmpl w:val="9B0203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362A87"/>
    <w:multiLevelType w:val="hybridMultilevel"/>
    <w:tmpl w:val="0660F1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6E"/>
    <w:rsid w:val="0000124C"/>
    <w:rsid w:val="0000137A"/>
    <w:rsid w:val="00001DF9"/>
    <w:rsid w:val="00002344"/>
    <w:rsid w:val="00002414"/>
    <w:rsid w:val="00003D6E"/>
    <w:rsid w:val="00004C87"/>
    <w:rsid w:val="00004F8A"/>
    <w:rsid w:val="000059D8"/>
    <w:rsid w:val="00005D3D"/>
    <w:rsid w:val="00005F47"/>
    <w:rsid w:val="00006E18"/>
    <w:rsid w:val="00007114"/>
    <w:rsid w:val="0000742B"/>
    <w:rsid w:val="00007532"/>
    <w:rsid w:val="000078D9"/>
    <w:rsid w:val="00007A2D"/>
    <w:rsid w:val="00007A9A"/>
    <w:rsid w:val="000116D5"/>
    <w:rsid w:val="00011A69"/>
    <w:rsid w:val="00012B7D"/>
    <w:rsid w:val="0001388B"/>
    <w:rsid w:val="00013E41"/>
    <w:rsid w:val="00014553"/>
    <w:rsid w:val="00014A21"/>
    <w:rsid w:val="00015DD2"/>
    <w:rsid w:val="0001669B"/>
    <w:rsid w:val="00017F91"/>
    <w:rsid w:val="00020D50"/>
    <w:rsid w:val="00020E57"/>
    <w:rsid w:val="00021101"/>
    <w:rsid w:val="00021924"/>
    <w:rsid w:val="00022133"/>
    <w:rsid w:val="000229F0"/>
    <w:rsid w:val="000231C7"/>
    <w:rsid w:val="0002395D"/>
    <w:rsid w:val="00023D53"/>
    <w:rsid w:val="000240DF"/>
    <w:rsid w:val="00024D16"/>
    <w:rsid w:val="00024D8A"/>
    <w:rsid w:val="00026987"/>
    <w:rsid w:val="00026ADE"/>
    <w:rsid w:val="00026E30"/>
    <w:rsid w:val="000273E6"/>
    <w:rsid w:val="0002771A"/>
    <w:rsid w:val="00027A0C"/>
    <w:rsid w:val="000318AE"/>
    <w:rsid w:val="00032189"/>
    <w:rsid w:val="0003333A"/>
    <w:rsid w:val="000341B8"/>
    <w:rsid w:val="0003460E"/>
    <w:rsid w:val="00034862"/>
    <w:rsid w:val="00035929"/>
    <w:rsid w:val="00035B7F"/>
    <w:rsid w:val="000365E1"/>
    <w:rsid w:val="00041023"/>
    <w:rsid w:val="000413CA"/>
    <w:rsid w:val="00041CBB"/>
    <w:rsid w:val="00042088"/>
    <w:rsid w:val="00043A0B"/>
    <w:rsid w:val="00043C49"/>
    <w:rsid w:val="00044714"/>
    <w:rsid w:val="0004485D"/>
    <w:rsid w:val="00044CF5"/>
    <w:rsid w:val="000474A6"/>
    <w:rsid w:val="000475F7"/>
    <w:rsid w:val="000478B5"/>
    <w:rsid w:val="00047B94"/>
    <w:rsid w:val="00050074"/>
    <w:rsid w:val="0005023D"/>
    <w:rsid w:val="00050401"/>
    <w:rsid w:val="00051355"/>
    <w:rsid w:val="000516C2"/>
    <w:rsid w:val="00051EB6"/>
    <w:rsid w:val="00052CAE"/>
    <w:rsid w:val="0005456D"/>
    <w:rsid w:val="00055B3A"/>
    <w:rsid w:val="00055C57"/>
    <w:rsid w:val="00055E68"/>
    <w:rsid w:val="00057095"/>
    <w:rsid w:val="00057B3E"/>
    <w:rsid w:val="000603E6"/>
    <w:rsid w:val="00060511"/>
    <w:rsid w:val="00060789"/>
    <w:rsid w:val="00061C7B"/>
    <w:rsid w:val="00062348"/>
    <w:rsid w:val="000624B2"/>
    <w:rsid w:val="000624DA"/>
    <w:rsid w:val="00062826"/>
    <w:rsid w:val="0006293B"/>
    <w:rsid w:val="000631A3"/>
    <w:rsid w:val="000632F2"/>
    <w:rsid w:val="00063E99"/>
    <w:rsid w:val="0006472C"/>
    <w:rsid w:val="0006609B"/>
    <w:rsid w:val="00066105"/>
    <w:rsid w:val="0006620A"/>
    <w:rsid w:val="00067EA4"/>
    <w:rsid w:val="00070746"/>
    <w:rsid w:val="00070854"/>
    <w:rsid w:val="0007195F"/>
    <w:rsid w:val="0007214C"/>
    <w:rsid w:val="0007221E"/>
    <w:rsid w:val="00072B6A"/>
    <w:rsid w:val="000731BD"/>
    <w:rsid w:val="000737E2"/>
    <w:rsid w:val="00073EEC"/>
    <w:rsid w:val="0007441D"/>
    <w:rsid w:val="000756C1"/>
    <w:rsid w:val="00075F69"/>
    <w:rsid w:val="00077827"/>
    <w:rsid w:val="00077F75"/>
    <w:rsid w:val="00080279"/>
    <w:rsid w:val="000807D8"/>
    <w:rsid w:val="00080828"/>
    <w:rsid w:val="00080862"/>
    <w:rsid w:val="00080EB5"/>
    <w:rsid w:val="000819F1"/>
    <w:rsid w:val="00083DC3"/>
    <w:rsid w:val="00084805"/>
    <w:rsid w:val="00087958"/>
    <w:rsid w:val="0009090A"/>
    <w:rsid w:val="00091288"/>
    <w:rsid w:val="00091379"/>
    <w:rsid w:val="00092BB9"/>
    <w:rsid w:val="0009354D"/>
    <w:rsid w:val="0009370A"/>
    <w:rsid w:val="00093F34"/>
    <w:rsid w:val="00094106"/>
    <w:rsid w:val="0009427D"/>
    <w:rsid w:val="000943F5"/>
    <w:rsid w:val="000945FD"/>
    <w:rsid w:val="00094D35"/>
    <w:rsid w:val="00094FED"/>
    <w:rsid w:val="0009645B"/>
    <w:rsid w:val="0009686A"/>
    <w:rsid w:val="000A0658"/>
    <w:rsid w:val="000A0A3F"/>
    <w:rsid w:val="000A0FE6"/>
    <w:rsid w:val="000A18DB"/>
    <w:rsid w:val="000A25AC"/>
    <w:rsid w:val="000A48C7"/>
    <w:rsid w:val="000A4A70"/>
    <w:rsid w:val="000A4B6B"/>
    <w:rsid w:val="000A4DA3"/>
    <w:rsid w:val="000A4DA7"/>
    <w:rsid w:val="000A58DC"/>
    <w:rsid w:val="000A59B9"/>
    <w:rsid w:val="000A6059"/>
    <w:rsid w:val="000A6306"/>
    <w:rsid w:val="000A6564"/>
    <w:rsid w:val="000A7014"/>
    <w:rsid w:val="000A70CE"/>
    <w:rsid w:val="000B0836"/>
    <w:rsid w:val="000B0B42"/>
    <w:rsid w:val="000B0F7E"/>
    <w:rsid w:val="000B1E84"/>
    <w:rsid w:val="000B25DE"/>
    <w:rsid w:val="000B2FBF"/>
    <w:rsid w:val="000B356E"/>
    <w:rsid w:val="000B387F"/>
    <w:rsid w:val="000B474F"/>
    <w:rsid w:val="000B5CF7"/>
    <w:rsid w:val="000B628D"/>
    <w:rsid w:val="000B62F3"/>
    <w:rsid w:val="000B6469"/>
    <w:rsid w:val="000B7186"/>
    <w:rsid w:val="000B7572"/>
    <w:rsid w:val="000B7A9B"/>
    <w:rsid w:val="000C0781"/>
    <w:rsid w:val="000C1ED5"/>
    <w:rsid w:val="000C2040"/>
    <w:rsid w:val="000C3613"/>
    <w:rsid w:val="000C3791"/>
    <w:rsid w:val="000C3D51"/>
    <w:rsid w:val="000C793D"/>
    <w:rsid w:val="000D066E"/>
    <w:rsid w:val="000D0C7E"/>
    <w:rsid w:val="000D15B2"/>
    <w:rsid w:val="000D18C2"/>
    <w:rsid w:val="000D1E97"/>
    <w:rsid w:val="000D3702"/>
    <w:rsid w:val="000D3ABB"/>
    <w:rsid w:val="000D41DB"/>
    <w:rsid w:val="000D4BE0"/>
    <w:rsid w:val="000D522F"/>
    <w:rsid w:val="000D618C"/>
    <w:rsid w:val="000D748C"/>
    <w:rsid w:val="000D758C"/>
    <w:rsid w:val="000E0262"/>
    <w:rsid w:val="000E090A"/>
    <w:rsid w:val="000E2944"/>
    <w:rsid w:val="000E297C"/>
    <w:rsid w:val="000E2B28"/>
    <w:rsid w:val="000E2CEF"/>
    <w:rsid w:val="000E30F6"/>
    <w:rsid w:val="000E31B6"/>
    <w:rsid w:val="000E332F"/>
    <w:rsid w:val="000E441A"/>
    <w:rsid w:val="000E470E"/>
    <w:rsid w:val="000E48AD"/>
    <w:rsid w:val="000E5356"/>
    <w:rsid w:val="000E6B50"/>
    <w:rsid w:val="000E705B"/>
    <w:rsid w:val="000E7824"/>
    <w:rsid w:val="000E7F00"/>
    <w:rsid w:val="000F0AAC"/>
    <w:rsid w:val="000F14F5"/>
    <w:rsid w:val="000F3C0A"/>
    <w:rsid w:val="000F4C04"/>
    <w:rsid w:val="000F4D15"/>
    <w:rsid w:val="000F5732"/>
    <w:rsid w:val="000F5A36"/>
    <w:rsid w:val="000F5E50"/>
    <w:rsid w:val="000F635B"/>
    <w:rsid w:val="000F6A59"/>
    <w:rsid w:val="000F6B32"/>
    <w:rsid w:val="000F74BB"/>
    <w:rsid w:val="00101543"/>
    <w:rsid w:val="001018DE"/>
    <w:rsid w:val="001020DC"/>
    <w:rsid w:val="001021B5"/>
    <w:rsid w:val="0010254F"/>
    <w:rsid w:val="00102F04"/>
    <w:rsid w:val="00103704"/>
    <w:rsid w:val="0010398C"/>
    <w:rsid w:val="00103F35"/>
    <w:rsid w:val="00104E6B"/>
    <w:rsid w:val="00105DA8"/>
    <w:rsid w:val="001063CE"/>
    <w:rsid w:val="001065EF"/>
    <w:rsid w:val="001068CC"/>
    <w:rsid w:val="00107D3C"/>
    <w:rsid w:val="0011017D"/>
    <w:rsid w:val="00110593"/>
    <w:rsid w:val="0011073F"/>
    <w:rsid w:val="00110B0C"/>
    <w:rsid w:val="00110E61"/>
    <w:rsid w:val="0011100C"/>
    <w:rsid w:val="00111A6C"/>
    <w:rsid w:val="00112E2A"/>
    <w:rsid w:val="0011353C"/>
    <w:rsid w:val="00113736"/>
    <w:rsid w:val="0011528C"/>
    <w:rsid w:val="00116916"/>
    <w:rsid w:val="00116CB9"/>
    <w:rsid w:val="00117972"/>
    <w:rsid w:val="00117F2B"/>
    <w:rsid w:val="00120222"/>
    <w:rsid w:val="001203F1"/>
    <w:rsid w:val="0012126B"/>
    <w:rsid w:val="001216BC"/>
    <w:rsid w:val="00121855"/>
    <w:rsid w:val="00121949"/>
    <w:rsid w:val="00121D0A"/>
    <w:rsid w:val="001228DE"/>
    <w:rsid w:val="00122D43"/>
    <w:rsid w:val="00124688"/>
    <w:rsid w:val="00125253"/>
    <w:rsid w:val="001254ED"/>
    <w:rsid w:val="001268F2"/>
    <w:rsid w:val="00127821"/>
    <w:rsid w:val="00130B4D"/>
    <w:rsid w:val="00130B5E"/>
    <w:rsid w:val="0013125E"/>
    <w:rsid w:val="00131671"/>
    <w:rsid w:val="001321F5"/>
    <w:rsid w:val="00132420"/>
    <w:rsid w:val="00132650"/>
    <w:rsid w:val="001326BF"/>
    <w:rsid w:val="001329AA"/>
    <w:rsid w:val="0013449A"/>
    <w:rsid w:val="00134682"/>
    <w:rsid w:val="001349E4"/>
    <w:rsid w:val="001362ED"/>
    <w:rsid w:val="001363C1"/>
    <w:rsid w:val="00136DF3"/>
    <w:rsid w:val="00137076"/>
    <w:rsid w:val="001375D6"/>
    <w:rsid w:val="00140497"/>
    <w:rsid w:val="00140AB5"/>
    <w:rsid w:val="0014268A"/>
    <w:rsid w:val="001427D3"/>
    <w:rsid w:val="0014332F"/>
    <w:rsid w:val="001433CA"/>
    <w:rsid w:val="00143AB3"/>
    <w:rsid w:val="00143D86"/>
    <w:rsid w:val="00143E65"/>
    <w:rsid w:val="00144143"/>
    <w:rsid w:val="00144255"/>
    <w:rsid w:val="00144AAE"/>
    <w:rsid w:val="00144E8A"/>
    <w:rsid w:val="00144F4E"/>
    <w:rsid w:val="00145155"/>
    <w:rsid w:val="0014545E"/>
    <w:rsid w:val="00145533"/>
    <w:rsid w:val="00145628"/>
    <w:rsid w:val="00145789"/>
    <w:rsid w:val="00146033"/>
    <w:rsid w:val="001472CB"/>
    <w:rsid w:val="00147774"/>
    <w:rsid w:val="001477D1"/>
    <w:rsid w:val="0015249B"/>
    <w:rsid w:val="00152E19"/>
    <w:rsid w:val="00153469"/>
    <w:rsid w:val="00153F21"/>
    <w:rsid w:val="00154B61"/>
    <w:rsid w:val="00155F15"/>
    <w:rsid w:val="00155FCD"/>
    <w:rsid w:val="001565F0"/>
    <w:rsid w:val="00156B64"/>
    <w:rsid w:val="00157310"/>
    <w:rsid w:val="00157E4D"/>
    <w:rsid w:val="00157F55"/>
    <w:rsid w:val="0016006D"/>
    <w:rsid w:val="001626DF"/>
    <w:rsid w:val="00163481"/>
    <w:rsid w:val="001655FA"/>
    <w:rsid w:val="00166233"/>
    <w:rsid w:val="00166C32"/>
    <w:rsid w:val="00166DCE"/>
    <w:rsid w:val="00167830"/>
    <w:rsid w:val="0017156F"/>
    <w:rsid w:val="0017389C"/>
    <w:rsid w:val="001745E1"/>
    <w:rsid w:val="001748A8"/>
    <w:rsid w:val="00174A0B"/>
    <w:rsid w:val="00174A0E"/>
    <w:rsid w:val="00175675"/>
    <w:rsid w:val="00175A33"/>
    <w:rsid w:val="00176E6F"/>
    <w:rsid w:val="001773CC"/>
    <w:rsid w:val="00177B52"/>
    <w:rsid w:val="001808EA"/>
    <w:rsid w:val="00181264"/>
    <w:rsid w:val="00182147"/>
    <w:rsid w:val="00183516"/>
    <w:rsid w:val="00185A41"/>
    <w:rsid w:val="00185F18"/>
    <w:rsid w:val="001869FA"/>
    <w:rsid w:val="00186ACF"/>
    <w:rsid w:val="00187916"/>
    <w:rsid w:val="001907DE"/>
    <w:rsid w:val="00190FF5"/>
    <w:rsid w:val="001915E0"/>
    <w:rsid w:val="001916FC"/>
    <w:rsid w:val="00192D5F"/>
    <w:rsid w:val="00193F46"/>
    <w:rsid w:val="00195162"/>
    <w:rsid w:val="00195188"/>
    <w:rsid w:val="001955DD"/>
    <w:rsid w:val="00196044"/>
    <w:rsid w:val="00196060"/>
    <w:rsid w:val="0019610D"/>
    <w:rsid w:val="0019649C"/>
    <w:rsid w:val="00196E06"/>
    <w:rsid w:val="00197DD9"/>
    <w:rsid w:val="001A0265"/>
    <w:rsid w:val="001A298F"/>
    <w:rsid w:val="001A328A"/>
    <w:rsid w:val="001A4356"/>
    <w:rsid w:val="001A4AA7"/>
    <w:rsid w:val="001A51D7"/>
    <w:rsid w:val="001A573A"/>
    <w:rsid w:val="001A66C8"/>
    <w:rsid w:val="001A67AC"/>
    <w:rsid w:val="001A6FEB"/>
    <w:rsid w:val="001A7318"/>
    <w:rsid w:val="001B205B"/>
    <w:rsid w:val="001B260D"/>
    <w:rsid w:val="001B2736"/>
    <w:rsid w:val="001B2E0E"/>
    <w:rsid w:val="001B3D0B"/>
    <w:rsid w:val="001B3F52"/>
    <w:rsid w:val="001B5CEE"/>
    <w:rsid w:val="001B5D24"/>
    <w:rsid w:val="001B6C7B"/>
    <w:rsid w:val="001B77FD"/>
    <w:rsid w:val="001C15D0"/>
    <w:rsid w:val="001C1A99"/>
    <w:rsid w:val="001C3555"/>
    <w:rsid w:val="001C4613"/>
    <w:rsid w:val="001C5DEE"/>
    <w:rsid w:val="001C6103"/>
    <w:rsid w:val="001C61C5"/>
    <w:rsid w:val="001C6F64"/>
    <w:rsid w:val="001C7387"/>
    <w:rsid w:val="001C7CB9"/>
    <w:rsid w:val="001C7EBE"/>
    <w:rsid w:val="001D04C1"/>
    <w:rsid w:val="001D271B"/>
    <w:rsid w:val="001D2C79"/>
    <w:rsid w:val="001D418D"/>
    <w:rsid w:val="001D46C0"/>
    <w:rsid w:val="001D5960"/>
    <w:rsid w:val="001D5FA5"/>
    <w:rsid w:val="001D7625"/>
    <w:rsid w:val="001D7794"/>
    <w:rsid w:val="001D7BAB"/>
    <w:rsid w:val="001E1B14"/>
    <w:rsid w:val="001E221E"/>
    <w:rsid w:val="001E2581"/>
    <w:rsid w:val="001E2D21"/>
    <w:rsid w:val="001E3728"/>
    <w:rsid w:val="001E4587"/>
    <w:rsid w:val="001E4F29"/>
    <w:rsid w:val="001E5918"/>
    <w:rsid w:val="001F08EC"/>
    <w:rsid w:val="001F0D38"/>
    <w:rsid w:val="001F16E0"/>
    <w:rsid w:val="001F231A"/>
    <w:rsid w:val="001F26F6"/>
    <w:rsid w:val="001F2792"/>
    <w:rsid w:val="001F2B21"/>
    <w:rsid w:val="001F2B27"/>
    <w:rsid w:val="001F2E51"/>
    <w:rsid w:val="001F3466"/>
    <w:rsid w:val="001F42DF"/>
    <w:rsid w:val="001F5852"/>
    <w:rsid w:val="001F6ACD"/>
    <w:rsid w:val="001F6CFA"/>
    <w:rsid w:val="00200015"/>
    <w:rsid w:val="00200C00"/>
    <w:rsid w:val="00201BB8"/>
    <w:rsid w:val="00201D4F"/>
    <w:rsid w:val="00201EE8"/>
    <w:rsid w:val="00201F15"/>
    <w:rsid w:val="00202BE8"/>
    <w:rsid w:val="00202CF8"/>
    <w:rsid w:val="002046F6"/>
    <w:rsid w:val="00204F06"/>
    <w:rsid w:val="00205312"/>
    <w:rsid w:val="002056B8"/>
    <w:rsid w:val="00206CE5"/>
    <w:rsid w:val="00210668"/>
    <w:rsid w:val="0021265B"/>
    <w:rsid w:val="00213732"/>
    <w:rsid w:val="002141C6"/>
    <w:rsid w:val="00214331"/>
    <w:rsid w:val="00214B2F"/>
    <w:rsid w:val="00214BE9"/>
    <w:rsid w:val="0021598B"/>
    <w:rsid w:val="00215A74"/>
    <w:rsid w:val="00215E2E"/>
    <w:rsid w:val="00216862"/>
    <w:rsid w:val="00216D6D"/>
    <w:rsid w:val="00217C18"/>
    <w:rsid w:val="00220C81"/>
    <w:rsid w:val="0022134D"/>
    <w:rsid w:val="00221663"/>
    <w:rsid w:val="002229DA"/>
    <w:rsid w:val="002232B2"/>
    <w:rsid w:val="00223333"/>
    <w:rsid w:val="00224D58"/>
    <w:rsid w:val="00225022"/>
    <w:rsid w:val="00225964"/>
    <w:rsid w:val="00225F5F"/>
    <w:rsid w:val="0023021A"/>
    <w:rsid w:val="002307FB"/>
    <w:rsid w:val="00230FFD"/>
    <w:rsid w:val="0023237E"/>
    <w:rsid w:val="00232AA8"/>
    <w:rsid w:val="00232AB5"/>
    <w:rsid w:val="002333A9"/>
    <w:rsid w:val="00233672"/>
    <w:rsid w:val="00233BA2"/>
    <w:rsid w:val="0023470A"/>
    <w:rsid w:val="002350DB"/>
    <w:rsid w:val="00235F88"/>
    <w:rsid w:val="0023693A"/>
    <w:rsid w:val="002374A4"/>
    <w:rsid w:val="002376B1"/>
    <w:rsid w:val="002408D8"/>
    <w:rsid w:val="00241D50"/>
    <w:rsid w:val="00241F00"/>
    <w:rsid w:val="00242077"/>
    <w:rsid w:val="0024401D"/>
    <w:rsid w:val="0024412E"/>
    <w:rsid w:val="00244155"/>
    <w:rsid w:val="00245427"/>
    <w:rsid w:val="00245D16"/>
    <w:rsid w:val="0024774B"/>
    <w:rsid w:val="00250A50"/>
    <w:rsid w:val="00251AFA"/>
    <w:rsid w:val="00252360"/>
    <w:rsid w:val="00252942"/>
    <w:rsid w:val="00252F26"/>
    <w:rsid w:val="002543D4"/>
    <w:rsid w:val="00254451"/>
    <w:rsid w:val="0025459D"/>
    <w:rsid w:val="00254758"/>
    <w:rsid w:val="00255A0D"/>
    <w:rsid w:val="00255CD2"/>
    <w:rsid w:val="00255D26"/>
    <w:rsid w:val="0025674B"/>
    <w:rsid w:val="00257BD2"/>
    <w:rsid w:val="00262D8B"/>
    <w:rsid w:val="00263958"/>
    <w:rsid w:val="00264E86"/>
    <w:rsid w:val="00265054"/>
    <w:rsid w:val="0026660F"/>
    <w:rsid w:val="00266CB5"/>
    <w:rsid w:val="00266D94"/>
    <w:rsid w:val="00267504"/>
    <w:rsid w:val="0027018B"/>
    <w:rsid w:val="0027058B"/>
    <w:rsid w:val="00270E48"/>
    <w:rsid w:val="00272DB7"/>
    <w:rsid w:val="002737B3"/>
    <w:rsid w:val="00273FB0"/>
    <w:rsid w:val="00274177"/>
    <w:rsid w:val="00274FBC"/>
    <w:rsid w:val="00275207"/>
    <w:rsid w:val="00275246"/>
    <w:rsid w:val="00280475"/>
    <w:rsid w:val="00280840"/>
    <w:rsid w:val="00281537"/>
    <w:rsid w:val="00282252"/>
    <w:rsid w:val="00282CFB"/>
    <w:rsid w:val="00282F82"/>
    <w:rsid w:val="002838C6"/>
    <w:rsid w:val="00287240"/>
    <w:rsid w:val="00287D51"/>
    <w:rsid w:val="0029031A"/>
    <w:rsid w:val="00290AC7"/>
    <w:rsid w:val="00290F05"/>
    <w:rsid w:val="002918DE"/>
    <w:rsid w:val="00292F01"/>
    <w:rsid w:val="00294F9A"/>
    <w:rsid w:val="00295760"/>
    <w:rsid w:val="00296440"/>
    <w:rsid w:val="00296492"/>
    <w:rsid w:val="002967C5"/>
    <w:rsid w:val="002969F2"/>
    <w:rsid w:val="00296DD6"/>
    <w:rsid w:val="00297466"/>
    <w:rsid w:val="002A025D"/>
    <w:rsid w:val="002A09AD"/>
    <w:rsid w:val="002A0A55"/>
    <w:rsid w:val="002A1973"/>
    <w:rsid w:val="002A1A2F"/>
    <w:rsid w:val="002A1A67"/>
    <w:rsid w:val="002A23C5"/>
    <w:rsid w:val="002A3157"/>
    <w:rsid w:val="002A3612"/>
    <w:rsid w:val="002A3F66"/>
    <w:rsid w:val="002A4A2F"/>
    <w:rsid w:val="002A50E2"/>
    <w:rsid w:val="002A54E7"/>
    <w:rsid w:val="002A5FEC"/>
    <w:rsid w:val="002A65B8"/>
    <w:rsid w:val="002A706E"/>
    <w:rsid w:val="002A7417"/>
    <w:rsid w:val="002A75F0"/>
    <w:rsid w:val="002A797E"/>
    <w:rsid w:val="002A7FB6"/>
    <w:rsid w:val="002B25C1"/>
    <w:rsid w:val="002B25F0"/>
    <w:rsid w:val="002B36F1"/>
    <w:rsid w:val="002B4582"/>
    <w:rsid w:val="002B4CFF"/>
    <w:rsid w:val="002B4E5B"/>
    <w:rsid w:val="002B4EEA"/>
    <w:rsid w:val="002B5D1E"/>
    <w:rsid w:val="002B70ED"/>
    <w:rsid w:val="002B72EC"/>
    <w:rsid w:val="002B747A"/>
    <w:rsid w:val="002B771A"/>
    <w:rsid w:val="002C0142"/>
    <w:rsid w:val="002C0BB7"/>
    <w:rsid w:val="002C0E80"/>
    <w:rsid w:val="002C1035"/>
    <w:rsid w:val="002C2351"/>
    <w:rsid w:val="002C2493"/>
    <w:rsid w:val="002C29F8"/>
    <w:rsid w:val="002C324D"/>
    <w:rsid w:val="002C3FC1"/>
    <w:rsid w:val="002C4C99"/>
    <w:rsid w:val="002C4E65"/>
    <w:rsid w:val="002C52D5"/>
    <w:rsid w:val="002C571C"/>
    <w:rsid w:val="002C60D4"/>
    <w:rsid w:val="002C7044"/>
    <w:rsid w:val="002D0068"/>
    <w:rsid w:val="002D0662"/>
    <w:rsid w:val="002D4043"/>
    <w:rsid w:val="002D404A"/>
    <w:rsid w:val="002D49C6"/>
    <w:rsid w:val="002D5353"/>
    <w:rsid w:val="002D5B4E"/>
    <w:rsid w:val="002D5ED4"/>
    <w:rsid w:val="002D67B5"/>
    <w:rsid w:val="002D6BC2"/>
    <w:rsid w:val="002D6F43"/>
    <w:rsid w:val="002D7F9A"/>
    <w:rsid w:val="002E00CB"/>
    <w:rsid w:val="002E08AF"/>
    <w:rsid w:val="002E0F8D"/>
    <w:rsid w:val="002E1274"/>
    <w:rsid w:val="002E2CE1"/>
    <w:rsid w:val="002E33BB"/>
    <w:rsid w:val="002E39EC"/>
    <w:rsid w:val="002E4FC7"/>
    <w:rsid w:val="002E5241"/>
    <w:rsid w:val="002E5BE8"/>
    <w:rsid w:val="002E6DAE"/>
    <w:rsid w:val="002E724F"/>
    <w:rsid w:val="002F01DD"/>
    <w:rsid w:val="002F08F8"/>
    <w:rsid w:val="002F34DA"/>
    <w:rsid w:val="002F3B2D"/>
    <w:rsid w:val="002F40BB"/>
    <w:rsid w:val="002F412C"/>
    <w:rsid w:val="002F606B"/>
    <w:rsid w:val="002F6C20"/>
    <w:rsid w:val="002F7E1C"/>
    <w:rsid w:val="00300AA5"/>
    <w:rsid w:val="00301931"/>
    <w:rsid w:val="00302294"/>
    <w:rsid w:val="003027EC"/>
    <w:rsid w:val="00302AA8"/>
    <w:rsid w:val="00303E18"/>
    <w:rsid w:val="003042B9"/>
    <w:rsid w:val="00304588"/>
    <w:rsid w:val="00304C57"/>
    <w:rsid w:val="00304EC7"/>
    <w:rsid w:val="00304FC1"/>
    <w:rsid w:val="00306309"/>
    <w:rsid w:val="00307857"/>
    <w:rsid w:val="00307DE1"/>
    <w:rsid w:val="003101E1"/>
    <w:rsid w:val="003105C7"/>
    <w:rsid w:val="00311D21"/>
    <w:rsid w:val="00313236"/>
    <w:rsid w:val="00313BED"/>
    <w:rsid w:val="00313CC2"/>
    <w:rsid w:val="00313F32"/>
    <w:rsid w:val="00314838"/>
    <w:rsid w:val="00315686"/>
    <w:rsid w:val="003156D7"/>
    <w:rsid w:val="00315F63"/>
    <w:rsid w:val="00315FC6"/>
    <w:rsid w:val="0031602B"/>
    <w:rsid w:val="00316A2B"/>
    <w:rsid w:val="0031785B"/>
    <w:rsid w:val="00317C07"/>
    <w:rsid w:val="00317DC3"/>
    <w:rsid w:val="0032021C"/>
    <w:rsid w:val="00320D0A"/>
    <w:rsid w:val="00321CB1"/>
    <w:rsid w:val="00321F6D"/>
    <w:rsid w:val="00322642"/>
    <w:rsid w:val="00323E9E"/>
    <w:rsid w:val="00326D6E"/>
    <w:rsid w:val="00331990"/>
    <w:rsid w:val="0033509E"/>
    <w:rsid w:val="00335337"/>
    <w:rsid w:val="003357E3"/>
    <w:rsid w:val="00335D9E"/>
    <w:rsid w:val="00337375"/>
    <w:rsid w:val="003402EC"/>
    <w:rsid w:val="00342086"/>
    <w:rsid w:val="00342135"/>
    <w:rsid w:val="0034273E"/>
    <w:rsid w:val="00343A27"/>
    <w:rsid w:val="00344207"/>
    <w:rsid w:val="00344AE6"/>
    <w:rsid w:val="00344E0A"/>
    <w:rsid w:val="00345EEB"/>
    <w:rsid w:val="00346439"/>
    <w:rsid w:val="00346861"/>
    <w:rsid w:val="00347D51"/>
    <w:rsid w:val="003519C9"/>
    <w:rsid w:val="0035285D"/>
    <w:rsid w:val="00352B89"/>
    <w:rsid w:val="00353E64"/>
    <w:rsid w:val="00354140"/>
    <w:rsid w:val="00355699"/>
    <w:rsid w:val="003558B8"/>
    <w:rsid w:val="003578FA"/>
    <w:rsid w:val="00360B1A"/>
    <w:rsid w:val="00360C95"/>
    <w:rsid w:val="00360E0E"/>
    <w:rsid w:val="00361754"/>
    <w:rsid w:val="00362397"/>
    <w:rsid w:val="00362A57"/>
    <w:rsid w:val="0036327F"/>
    <w:rsid w:val="003643CB"/>
    <w:rsid w:val="0036499B"/>
    <w:rsid w:val="00364DB9"/>
    <w:rsid w:val="00365920"/>
    <w:rsid w:val="00365EE1"/>
    <w:rsid w:val="0036648F"/>
    <w:rsid w:val="00366DCD"/>
    <w:rsid w:val="00367EF3"/>
    <w:rsid w:val="00372D60"/>
    <w:rsid w:val="00372F7A"/>
    <w:rsid w:val="003733F9"/>
    <w:rsid w:val="00373782"/>
    <w:rsid w:val="00374CC8"/>
    <w:rsid w:val="00374F10"/>
    <w:rsid w:val="00375C41"/>
    <w:rsid w:val="00375FB7"/>
    <w:rsid w:val="00376509"/>
    <w:rsid w:val="00376A8D"/>
    <w:rsid w:val="003778E3"/>
    <w:rsid w:val="00377D2E"/>
    <w:rsid w:val="0038067E"/>
    <w:rsid w:val="00380EE4"/>
    <w:rsid w:val="00381930"/>
    <w:rsid w:val="00382239"/>
    <w:rsid w:val="003823EC"/>
    <w:rsid w:val="00382A73"/>
    <w:rsid w:val="00382F53"/>
    <w:rsid w:val="00385612"/>
    <w:rsid w:val="00385960"/>
    <w:rsid w:val="00385D11"/>
    <w:rsid w:val="0038601F"/>
    <w:rsid w:val="00387C21"/>
    <w:rsid w:val="00390516"/>
    <w:rsid w:val="0039086A"/>
    <w:rsid w:val="0039142A"/>
    <w:rsid w:val="0039196F"/>
    <w:rsid w:val="00391D6E"/>
    <w:rsid w:val="00391DB9"/>
    <w:rsid w:val="00392443"/>
    <w:rsid w:val="003933E7"/>
    <w:rsid w:val="0039347C"/>
    <w:rsid w:val="0039404F"/>
    <w:rsid w:val="00394196"/>
    <w:rsid w:val="00394349"/>
    <w:rsid w:val="00397489"/>
    <w:rsid w:val="003A046F"/>
    <w:rsid w:val="003A1590"/>
    <w:rsid w:val="003A169F"/>
    <w:rsid w:val="003A19A6"/>
    <w:rsid w:val="003A1D31"/>
    <w:rsid w:val="003A2677"/>
    <w:rsid w:val="003A37A7"/>
    <w:rsid w:val="003A3814"/>
    <w:rsid w:val="003A3967"/>
    <w:rsid w:val="003A4232"/>
    <w:rsid w:val="003A51A3"/>
    <w:rsid w:val="003A6D50"/>
    <w:rsid w:val="003A711F"/>
    <w:rsid w:val="003A7924"/>
    <w:rsid w:val="003A7EBF"/>
    <w:rsid w:val="003B2361"/>
    <w:rsid w:val="003B2E55"/>
    <w:rsid w:val="003B4781"/>
    <w:rsid w:val="003B5DDF"/>
    <w:rsid w:val="003B5FC1"/>
    <w:rsid w:val="003B5FF3"/>
    <w:rsid w:val="003B6302"/>
    <w:rsid w:val="003B6E8E"/>
    <w:rsid w:val="003B733C"/>
    <w:rsid w:val="003B75DF"/>
    <w:rsid w:val="003B7ADC"/>
    <w:rsid w:val="003C1743"/>
    <w:rsid w:val="003C1C18"/>
    <w:rsid w:val="003C22FC"/>
    <w:rsid w:val="003C2B4D"/>
    <w:rsid w:val="003C2F31"/>
    <w:rsid w:val="003C3856"/>
    <w:rsid w:val="003C4468"/>
    <w:rsid w:val="003C508A"/>
    <w:rsid w:val="003C536B"/>
    <w:rsid w:val="003C6A58"/>
    <w:rsid w:val="003C747E"/>
    <w:rsid w:val="003D036A"/>
    <w:rsid w:val="003D0579"/>
    <w:rsid w:val="003D0DB9"/>
    <w:rsid w:val="003D13B8"/>
    <w:rsid w:val="003D13BB"/>
    <w:rsid w:val="003D28A9"/>
    <w:rsid w:val="003D43A3"/>
    <w:rsid w:val="003D4F8F"/>
    <w:rsid w:val="003D559C"/>
    <w:rsid w:val="003D63CF"/>
    <w:rsid w:val="003D66DA"/>
    <w:rsid w:val="003E2450"/>
    <w:rsid w:val="003E2785"/>
    <w:rsid w:val="003E38FA"/>
    <w:rsid w:val="003E3954"/>
    <w:rsid w:val="003E4186"/>
    <w:rsid w:val="003E4A69"/>
    <w:rsid w:val="003E55D7"/>
    <w:rsid w:val="003E5A0A"/>
    <w:rsid w:val="003E69A6"/>
    <w:rsid w:val="003E6A64"/>
    <w:rsid w:val="003E78D3"/>
    <w:rsid w:val="003F01FE"/>
    <w:rsid w:val="003F0BAA"/>
    <w:rsid w:val="003F0C58"/>
    <w:rsid w:val="003F0E1C"/>
    <w:rsid w:val="003F2BD9"/>
    <w:rsid w:val="003F3436"/>
    <w:rsid w:val="003F3617"/>
    <w:rsid w:val="003F45DE"/>
    <w:rsid w:val="003F5777"/>
    <w:rsid w:val="003F5804"/>
    <w:rsid w:val="003F5B68"/>
    <w:rsid w:val="003F6323"/>
    <w:rsid w:val="003F72E5"/>
    <w:rsid w:val="00401279"/>
    <w:rsid w:val="004016C6"/>
    <w:rsid w:val="004018EB"/>
    <w:rsid w:val="00401E10"/>
    <w:rsid w:val="0040241C"/>
    <w:rsid w:val="0040269B"/>
    <w:rsid w:val="0040305D"/>
    <w:rsid w:val="00403277"/>
    <w:rsid w:val="004064E4"/>
    <w:rsid w:val="00407524"/>
    <w:rsid w:val="004078AB"/>
    <w:rsid w:val="00407DE6"/>
    <w:rsid w:val="0041161E"/>
    <w:rsid w:val="00411B7E"/>
    <w:rsid w:val="004121CD"/>
    <w:rsid w:val="0041282E"/>
    <w:rsid w:val="00412E6F"/>
    <w:rsid w:val="00413ADB"/>
    <w:rsid w:val="004146CA"/>
    <w:rsid w:val="0041479D"/>
    <w:rsid w:val="004147D8"/>
    <w:rsid w:val="00414AD1"/>
    <w:rsid w:val="0041590F"/>
    <w:rsid w:val="004164A6"/>
    <w:rsid w:val="00417403"/>
    <w:rsid w:val="00417A55"/>
    <w:rsid w:val="00420CAE"/>
    <w:rsid w:val="00421277"/>
    <w:rsid w:val="004230CF"/>
    <w:rsid w:val="004234CC"/>
    <w:rsid w:val="004242AC"/>
    <w:rsid w:val="004242FC"/>
    <w:rsid w:val="00424F46"/>
    <w:rsid w:val="0042568F"/>
    <w:rsid w:val="00425DDD"/>
    <w:rsid w:val="00426E4D"/>
    <w:rsid w:val="004270FA"/>
    <w:rsid w:val="00427B45"/>
    <w:rsid w:val="00427DCC"/>
    <w:rsid w:val="0043004A"/>
    <w:rsid w:val="00430C42"/>
    <w:rsid w:val="00431C09"/>
    <w:rsid w:val="00432D9F"/>
    <w:rsid w:val="00433047"/>
    <w:rsid w:val="00433BB5"/>
    <w:rsid w:val="00433CBE"/>
    <w:rsid w:val="00434327"/>
    <w:rsid w:val="00434DB0"/>
    <w:rsid w:val="00434FCC"/>
    <w:rsid w:val="004359E7"/>
    <w:rsid w:val="004361B6"/>
    <w:rsid w:val="0043692F"/>
    <w:rsid w:val="00441F62"/>
    <w:rsid w:val="00442FB2"/>
    <w:rsid w:val="004432E9"/>
    <w:rsid w:val="004437CE"/>
    <w:rsid w:val="00444FE8"/>
    <w:rsid w:val="004457E4"/>
    <w:rsid w:val="0044665C"/>
    <w:rsid w:val="0044668D"/>
    <w:rsid w:val="004479F8"/>
    <w:rsid w:val="00447A5F"/>
    <w:rsid w:val="00447D34"/>
    <w:rsid w:val="00450416"/>
    <w:rsid w:val="004504FA"/>
    <w:rsid w:val="0045121C"/>
    <w:rsid w:val="0045144E"/>
    <w:rsid w:val="00451B27"/>
    <w:rsid w:val="00451BE7"/>
    <w:rsid w:val="00451F30"/>
    <w:rsid w:val="00453F46"/>
    <w:rsid w:val="004542FC"/>
    <w:rsid w:val="004545E9"/>
    <w:rsid w:val="00456676"/>
    <w:rsid w:val="00456FCF"/>
    <w:rsid w:val="00457B7F"/>
    <w:rsid w:val="0046057F"/>
    <w:rsid w:val="00460670"/>
    <w:rsid w:val="004613D6"/>
    <w:rsid w:val="0046166C"/>
    <w:rsid w:val="00462A1D"/>
    <w:rsid w:val="00462CA4"/>
    <w:rsid w:val="00462D13"/>
    <w:rsid w:val="00462F55"/>
    <w:rsid w:val="00463FAD"/>
    <w:rsid w:val="0046437B"/>
    <w:rsid w:val="00465175"/>
    <w:rsid w:val="00465613"/>
    <w:rsid w:val="004656BB"/>
    <w:rsid w:val="00466CD3"/>
    <w:rsid w:val="00466F8E"/>
    <w:rsid w:val="004678F3"/>
    <w:rsid w:val="00470096"/>
    <w:rsid w:val="00471737"/>
    <w:rsid w:val="004761BC"/>
    <w:rsid w:val="00476621"/>
    <w:rsid w:val="004769B4"/>
    <w:rsid w:val="00477B50"/>
    <w:rsid w:val="0048072B"/>
    <w:rsid w:val="004810AE"/>
    <w:rsid w:val="004813DE"/>
    <w:rsid w:val="0048162E"/>
    <w:rsid w:val="004825C9"/>
    <w:rsid w:val="00482956"/>
    <w:rsid w:val="004837D9"/>
    <w:rsid w:val="0048432B"/>
    <w:rsid w:val="0048546D"/>
    <w:rsid w:val="00485481"/>
    <w:rsid w:val="004855F9"/>
    <w:rsid w:val="0048637B"/>
    <w:rsid w:val="00487891"/>
    <w:rsid w:val="00487A71"/>
    <w:rsid w:val="00487EDF"/>
    <w:rsid w:val="00490613"/>
    <w:rsid w:val="00490F63"/>
    <w:rsid w:val="00491530"/>
    <w:rsid w:val="004919F9"/>
    <w:rsid w:val="00491BB1"/>
    <w:rsid w:val="00491DD8"/>
    <w:rsid w:val="00493673"/>
    <w:rsid w:val="00493D33"/>
    <w:rsid w:val="0049461C"/>
    <w:rsid w:val="0049528A"/>
    <w:rsid w:val="004953F9"/>
    <w:rsid w:val="00495908"/>
    <w:rsid w:val="0049673C"/>
    <w:rsid w:val="00496B56"/>
    <w:rsid w:val="00497012"/>
    <w:rsid w:val="004971EF"/>
    <w:rsid w:val="00497503"/>
    <w:rsid w:val="004975AF"/>
    <w:rsid w:val="004A01AD"/>
    <w:rsid w:val="004A1B90"/>
    <w:rsid w:val="004A1BD9"/>
    <w:rsid w:val="004A2360"/>
    <w:rsid w:val="004A24EE"/>
    <w:rsid w:val="004A2918"/>
    <w:rsid w:val="004A39E9"/>
    <w:rsid w:val="004A3D46"/>
    <w:rsid w:val="004A4D1C"/>
    <w:rsid w:val="004A538D"/>
    <w:rsid w:val="004A5DFB"/>
    <w:rsid w:val="004A6EDC"/>
    <w:rsid w:val="004A75A0"/>
    <w:rsid w:val="004A7781"/>
    <w:rsid w:val="004B0158"/>
    <w:rsid w:val="004B01EC"/>
    <w:rsid w:val="004B0768"/>
    <w:rsid w:val="004B1081"/>
    <w:rsid w:val="004B145C"/>
    <w:rsid w:val="004B19AF"/>
    <w:rsid w:val="004B2224"/>
    <w:rsid w:val="004B287D"/>
    <w:rsid w:val="004B2EF6"/>
    <w:rsid w:val="004B3041"/>
    <w:rsid w:val="004B4AF0"/>
    <w:rsid w:val="004B6CFB"/>
    <w:rsid w:val="004B6F01"/>
    <w:rsid w:val="004B6F2F"/>
    <w:rsid w:val="004C00E3"/>
    <w:rsid w:val="004C0282"/>
    <w:rsid w:val="004C0334"/>
    <w:rsid w:val="004C0A15"/>
    <w:rsid w:val="004C1528"/>
    <w:rsid w:val="004C1844"/>
    <w:rsid w:val="004C2C01"/>
    <w:rsid w:val="004C2E48"/>
    <w:rsid w:val="004C4498"/>
    <w:rsid w:val="004C46AB"/>
    <w:rsid w:val="004C537E"/>
    <w:rsid w:val="004D0710"/>
    <w:rsid w:val="004D1BA3"/>
    <w:rsid w:val="004D2F2A"/>
    <w:rsid w:val="004D3F7D"/>
    <w:rsid w:val="004D4124"/>
    <w:rsid w:val="004D49E4"/>
    <w:rsid w:val="004D5586"/>
    <w:rsid w:val="004D5851"/>
    <w:rsid w:val="004D6A9C"/>
    <w:rsid w:val="004D6E38"/>
    <w:rsid w:val="004D7216"/>
    <w:rsid w:val="004D7F5C"/>
    <w:rsid w:val="004E0E2B"/>
    <w:rsid w:val="004E1AC7"/>
    <w:rsid w:val="004E1B4F"/>
    <w:rsid w:val="004E33FB"/>
    <w:rsid w:val="004E3484"/>
    <w:rsid w:val="004E3D6B"/>
    <w:rsid w:val="004E4138"/>
    <w:rsid w:val="004E442E"/>
    <w:rsid w:val="004E5A64"/>
    <w:rsid w:val="004F14C9"/>
    <w:rsid w:val="004F1599"/>
    <w:rsid w:val="004F3132"/>
    <w:rsid w:val="004F3448"/>
    <w:rsid w:val="004F37D8"/>
    <w:rsid w:val="004F3E7D"/>
    <w:rsid w:val="004F510F"/>
    <w:rsid w:val="004F52EE"/>
    <w:rsid w:val="004F54C2"/>
    <w:rsid w:val="004F64C6"/>
    <w:rsid w:val="0050119C"/>
    <w:rsid w:val="005016EE"/>
    <w:rsid w:val="005029F9"/>
    <w:rsid w:val="00505F0B"/>
    <w:rsid w:val="00507EC3"/>
    <w:rsid w:val="0051014F"/>
    <w:rsid w:val="005110B7"/>
    <w:rsid w:val="00512E4E"/>
    <w:rsid w:val="005132C0"/>
    <w:rsid w:val="0051351F"/>
    <w:rsid w:val="00515459"/>
    <w:rsid w:val="00515B99"/>
    <w:rsid w:val="00516B2A"/>
    <w:rsid w:val="00516FC0"/>
    <w:rsid w:val="00517613"/>
    <w:rsid w:val="00517905"/>
    <w:rsid w:val="00520641"/>
    <w:rsid w:val="00521071"/>
    <w:rsid w:val="0052178A"/>
    <w:rsid w:val="0052212E"/>
    <w:rsid w:val="0052279C"/>
    <w:rsid w:val="005230D0"/>
    <w:rsid w:val="005231DB"/>
    <w:rsid w:val="00524101"/>
    <w:rsid w:val="00524DEA"/>
    <w:rsid w:val="005250D6"/>
    <w:rsid w:val="0052596B"/>
    <w:rsid w:val="00526043"/>
    <w:rsid w:val="00526425"/>
    <w:rsid w:val="00526739"/>
    <w:rsid w:val="0052720D"/>
    <w:rsid w:val="00530AB5"/>
    <w:rsid w:val="00530B0E"/>
    <w:rsid w:val="00531D47"/>
    <w:rsid w:val="005328E0"/>
    <w:rsid w:val="00532B59"/>
    <w:rsid w:val="00532E5D"/>
    <w:rsid w:val="005344CC"/>
    <w:rsid w:val="00534B20"/>
    <w:rsid w:val="00534EB4"/>
    <w:rsid w:val="00535986"/>
    <w:rsid w:val="00536C74"/>
    <w:rsid w:val="0053701E"/>
    <w:rsid w:val="00537616"/>
    <w:rsid w:val="00540770"/>
    <w:rsid w:val="0054094D"/>
    <w:rsid w:val="00541775"/>
    <w:rsid w:val="00541989"/>
    <w:rsid w:val="00541D7A"/>
    <w:rsid w:val="00542570"/>
    <w:rsid w:val="0054329C"/>
    <w:rsid w:val="005441FF"/>
    <w:rsid w:val="0054420D"/>
    <w:rsid w:val="00544354"/>
    <w:rsid w:val="005446DD"/>
    <w:rsid w:val="00544EF7"/>
    <w:rsid w:val="00545CD2"/>
    <w:rsid w:val="00546F19"/>
    <w:rsid w:val="00546F96"/>
    <w:rsid w:val="005475C8"/>
    <w:rsid w:val="00547C5D"/>
    <w:rsid w:val="005501E9"/>
    <w:rsid w:val="005503D2"/>
    <w:rsid w:val="00551E51"/>
    <w:rsid w:val="00551E6C"/>
    <w:rsid w:val="005530EA"/>
    <w:rsid w:val="00554104"/>
    <w:rsid w:val="00554381"/>
    <w:rsid w:val="00554618"/>
    <w:rsid w:val="00554794"/>
    <w:rsid w:val="00555040"/>
    <w:rsid w:val="0055565E"/>
    <w:rsid w:val="0055620B"/>
    <w:rsid w:val="005565FA"/>
    <w:rsid w:val="005576D0"/>
    <w:rsid w:val="00560137"/>
    <w:rsid w:val="005609B2"/>
    <w:rsid w:val="005611A3"/>
    <w:rsid w:val="00561511"/>
    <w:rsid w:val="00562589"/>
    <w:rsid w:val="00562F73"/>
    <w:rsid w:val="005631B0"/>
    <w:rsid w:val="00563BF5"/>
    <w:rsid w:val="0056471E"/>
    <w:rsid w:val="005648BA"/>
    <w:rsid w:val="00564CD3"/>
    <w:rsid w:val="00564FD4"/>
    <w:rsid w:val="00565077"/>
    <w:rsid w:val="005653E9"/>
    <w:rsid w:val="005669FA"/>
    <w:rsid w:val="00566F87"/>
    <w:rsid w:val="00571765"/>
    <w:rsid w:val="00571EE9"/>
    <w:rsid w:val="005723E7"/>
    <w:rsid w:val="0057269D"/>
    <w:rsid w:val="00572867"/>
    <w:rsid w:val="00573320"/>
    <w:rsid w:val="0057356F"/>
    <w:rsid w:val="005736D2"/>
    <w:rsid w:val="00573EFC"/>
    <w:rsid w:val="00574B68"/>
    <w:rsid w:val="00576D70"/>
    <w:rsid w:val="00576F98"/>
    <w:rsid w:val="00577061"/>
    <w:rsid w:val="00577258"/>
    <w:rsid w:val="0057762F"/>
    <w:rsid w:val="00577EB4"/>
    <w:rsid w:val="00580944"/>
    <w:rsid w:val="00581A49"/>
    <w:rsid w:val="00582052"/>
    <w:rsid w:val="00582090"/>
    <w:rsid w:val="005828C0"/>
    <w:rsid w:val="00583820"/>
    <w:rsid w:val="00584349"/>
    <w:rsid w:val="00584D9F"/>
    <w:rsid w:val="00585942"/>
    <w:rsid w:val="005859D7"/>
    <w:rsid w:val="00586F00"/>
    <w:rsid w:val="00587B71"/>
    <w:rsid w:val="005906EE"/>
    <w:rsid w:val="00592859"/>
    <w:rsid w:val="00593557"/>
    <w:rsid w:val="00595104"/>
    <w:rsid w:val="0059555F"/>
    <w:rsid w:val="005958A9"/>
    <w:rsid w:val="00595E28"/>
    <w:rsid w:val="00597297"/>
    <w:rsid w:val="0059739A"/>
    <w:rsid w:val="00597419"/>
    <w:rsid w:val="00597747"/>
    <w:rsid w:val="005A0603"/>
    <w:rsid w:val="005A0950"/>
    <w:rsid w:val="005A0FBD"/>
    <w:rsid w:val="005A1AE9"/>
    <w:rsid w:val="005A2273"/>
    <w:rsid w:val="005A26E6"/>
    <w:rsid w:val="005A3B19"/>
    <w:rsid w:val="005A409D"/>
    <w:rsid w:val="005A67DB"/>
    <w:rsid w:val="005A6B86"/>
    <w:rsid w:val="005A70DC"/>
    <w:rsid w:val="005A7210"/>
    <w:rsid w:val="005A752B"/>
    <w:rsid w:val="005A78EE"/>
    <w:rsid w:val="005B010C"/>
    <w:rsid w:val="005B02A3"/>
    <w:rsid w:val="005B2B4A"/>
    <w:rsid w:val="005B40E8"/>
    <w:rsid w:val="005B427D"/>
    <w:rsid w:val="005B56F2"/>
    <w:rsid w:val="005B5AF8"/>
    <w:rsid w:val="005B5FEB"/>
    <w:rsid w:val="005B66E9"/>
    <w:rsid w:val="005B7AC6"/>
    <w:rsid w:val="005C001D"/>
    <w:rsid w:val="005C0A01"/>
    <w:rsid w:val="005C0B3B"/>
    <w:rsid w:val="005C13AE"/>
    <w:rsid w:val="005C151F"/>
    <w:rsid w:val="005C1AC1"/>
    <w:rsid w:val="005C1FBA"/>
    <w:rsid w:val="005C2281"/>
    <w:rsid w:val="005C2AE1"/>
    <w:rsid w:val="005C2B7F"/>
    <w:rsid w:val="005C2BFD"/>
    <w:rsid w:val="005C4106"/>
    <w:rsid w:val="005C4354"/>
    <w:rsid w:val="005C4567"/>
    <w:rsid w:val="005C56C2"/>
    <w:rsid w:val="005C6700"/>
    <w:rsid w:val="005C677A"/>
    <w:rsid w:val="005C68E8"/>
    <w:rsid w:val="005C69C9"/>
    <w:rsid w:val="005C7F1D"/>
    <w:rsid w:val="005D0669"/>
    <w:rsid w:val="005D085F"/>
    <w:rsid w:val="005D0EF4"/>
    <w:rsid w:val="005D1424"/>
    <w:rsid w:val="005D230B"/>
    <w:rsid w:val="005D2419"/>
    <w:rsid w:val="005D2462"/>
    <w:rsid w:val="005D2F88"/>
    <w:rsid w:val="005D348E"/>
    <w:rsid w:val="005D3A7B"/>
    <w:rsid w:val="005D3CDD"/>
    <w:rsid w:val="005D3DEF"/>
    <w:rsid w:val="005D474A"/>
    <w:rsid w:val="005D58A3"/>
    <w:rsid w:val="005D6BEC"/>
    <w:rsid w:val="005D7144"/>
    <w:rsid w:val="005D73CD"/>
    <w:rsid w:val="005D7440"/>
    <w:rsid w:val="005E010E"/>
    <w:rsid w:val="005E0890"/>
    <w:rsid w:val="005E0E78"/>
    <w:rsid w:val="005E1547"/>
    <w:rsid w:val="005E3599"/>
    <w:rsid w:val="005E3A6F"/>
    <w:rsid w:val="005E6784"/>
    <w:rsid w:val="005E7A47"/>
    <w:rsid w:val="005F020E"/>
    <w:rsid w:val="005F04AC"/>
    <w:rsid w:val="005F0650"/>
    <w:rsid w:val="005F0A2C"/>
    <w:rsid w:val="005F16CC"/>
    <w:rsid w:val="005F1AFD"/>
    <w:rsid w:val="005F2047"/>
    <w:rsid w:val="005F2E04"/>
    <w:rsid w:val="005F3ABC"/>
    <w:rsid w:val="005F459C"/>
    <w:rsid w:val="005F5262"/>
    <w:rsid w:val="005F5978"/>
    <w:rsid w:val="005F704F"/>
    <w:rsid w:val="005F738E"/>
    <w:rsid w:val="005F75CA"/>
    <w:rsid w:val="005F7CF9"/>
    <w:rsid w:val="00600247"/>
    <w:rsid w:val="006011FE"/>
    <w:rsid w:val="00601C20"/>
    <w:rsid w:val="0060279F"/>
    <w:rsid w:val="006039D8"/>
    <w:rsid w:val="006040B8"/>
    <w:rsid w:val="00604310"/>
    <w:rsid w:val="006047BE"/>
    <w:rsid w:val="00605A18"/>
    <w:rsid w:val="00605DF9"/>
    <w:rsid w:val="0060689F"/>
    <w:rsid w:val="00606A55"/>
    <w:rsid w:val="00607F5B"/>
    <w:rsid w:val="00610EF2"/>
    <w:rsid w:val="0061162A"/>
    <w:rsid w:val="0061316B"/>
    <w:rsid w:val="006139B0"/>
    <w:rsid w:val="006143DB"/>
    <w:rsid w:val="00614457"/>
    <w:rsid w:val="0061620C"/>
    <w:rsid w:val="006168F2"/>
    <w:rsid w:val="00617239"/>
    <w:rsid w:val="00617A6D"/>
    <w:rsid w:val="00617CF2"/>
    <w:rsid w:val="0062060F"/>
    <w:rsid w:val="0062103A"/>
    <w:rsid w:val="006212FC"/>
    <w:rsid w:val="006225F1"/>
    <w:rsid w:val="00624D67"/>
    <w:rsid w:val="006260CB"/>
    <w:rsid w:val="006268E5"/>
    <w:rsid w:val="00626B47"/>
    <w:rsid w:val="00630A10"/>
    <w:rsid w:val="00630B92"/>
    <w:rsid w:val="00631323"/>
    <w:rsid w:val="00632AB2"/>
    <w:rsid w:val="00632C90"/>
    <w:rsid w:val="00632C97"/>
    <w:rsid w:val="00632E6F"/>
    <w:rsid w:val="00633707"/>
    <w:rsid w:val="00633C2A"/>
    <w:rsid w:val="00633EEB"/>
    <w:rsid w:val="006342EA"/>
    <w:rsid w:val="00636107"/>
    <w:rsid w:val="0063688F"/>
    <w:rsid w:val="00636A04"/>
    <w:rsid w:val="00636C0B"/>
    <w:rsid w:val="00636EC4"/>
    <w:rsid w:val="00640426"/>
    <w:rsid w:val="0064062A"/>
    <w:rsid w:val="00641228"/>
    <w:rsid w:val="00641438"/>
    <w:rsid w:val="006428DF"/>
    <w:rsid w:val="00642B36"/>
    <w:rsid w:val="0064410A"/>
    <w:rsid w:val="00644538"/>
    <w:rsid w:val="00644FA8"/>
    <w:rsid w:val="00646604"/>
    <w:rsid w:val="0064694D"/>
    <w:rsid w:val="00647794"/>
    <w:rsid w:val="0064787C"/>
    <w:rsid w:val="0065051D"/>
    <w:rsid w:val="00650A21"/>
    <w:rsid w:val="00650A22"/>
    <w:rsid w:val="00651A13"/>
    <w:rsid w:val="00651D8F"/>
    <w:rsid w:val="00652075"/>
    <w:rsid w:val="0065241B"/>
    <w:rsid w:val="0065301F"/>
    <w:rsid w:val="0065375A"/>
    <w:rsid w:val="00653C63"/>
    <w:rsid w:val="0065413C"/>
    <w:rsid w:val="006556E8"/>
    <w:rsid w:val="00657087"/>
    <w:rsid w:val="006579CD"/>
    <w:rsid w:val="00657EFF"/>
    <w:rsid w:val="006603A8"/>
    <w:rsid w:val="0066094D"/>
    <w:rsid w:val="00660979"/>
    <w:rsid w:val="00660F12"/>
    <w:rsid w:val="0066147C"/>
    <w:rsid w:val="00662180"/>
    <w:rsid w:val="006635D7"/>
    <w:rsid w:val="00663971"/>
    <w:rsid w:val="0066515E"/>
    <w:rsid w:val="00665D0B"/>
    <w:rsid w:val="00666071"/>
    <w:rsid w:val="0066626B"/>
    <w:rsid w:val="00666384"/>
    <w:rsid w:val="006665D7"/>
    <w:rsid w:val="00666757"/>
    <w:rsid w:val="00666F49"/>
    <w:rsid w:val="006705A0"/>
    <w:rsid w:val="00671D17"/>
    <w:rsid w:val="006742B3"/>
    <w:rsid w:val="00674653"/>
    <w:rsid w:val="006758B9"/>
    <w:rsid w:val="0067639A"/>
    <w:rsid w:val="00676BE2"/>
    <w:rsid w:val="00676CC9"/>
    <w:rsid w:val="00676D69"/>
    <w:rsid w:val="00677790"/>
    <w:rsid w:val="006805FC"/>
    <w:rsid w:val="00681147"/>
    <w:rsid w:val="0068135E"/>
    <w:rsid w:val="00681548"/>
    <w:rsid w:val="00681E11"/>
    <w:rsid w:val="006822F7"/>
    <w:rsid w:val="00682540"/>
    <w:rsid w:val="006826DD"/>
    <w:rsid w:val="006839D3"/>
    <w:rsid w:val="0068468B"/>
    <w:rsid w:val="00684AB3"/>
    <w:rsid w:val="00684AD2"/>
    <w:rsid w:val="00684B64"/>
    <w:rsid w:val="00684D8F"/>
    <w:rsid w:val="006853F3"/>
    <w:rsid w:val="00685B77"/>
    <w:rsid w:val="00685B96"/>
    <w:rsid w:val="00685E08"/>
    <w:rsid w:val="00685E2B"/>
    <w:rsid w:val="006866B0"/>
    <w:rsid w:val="00687483"/>
    <w:rsid w:val="00687690"/>
    <w:rsid w:val="00687778"/>
    <w:rsid w:val="0069017D"/>
    <w:rsid w:val="006906C9"/>
    <w:rsid w:val="006908FC"/>
    <w:rsid w:val="00690988"/>
    <w:rsid w:val="006911A2"/>
    <w:rsid w:val="0069177E"/>
    <w:rsid w:val="00692875"/>
    <w:rsid w:val="00692DF5"/>
    <w:rsid w:val="00693387"/>
    <w:rsid w:val="00693CD0"/>
    <w:rsid w:val="006942CD"/>
    <w:rsid w:val="006956B7"/>
    <w:rsid w:val="00696EAF"/>
    <w:rsid w:val="006A04A3"/>
    <w:rsid w:val="006A055D"/>
    <w:rsid w:val="006A06D8"/>
    <w:rsid w:val="006A1AEB"/>
    <w:rsid w:val="006A1B76"/>
    <w:rsid w:val="006A1F85"/>
    <w:rsid w:val="006A2A5C"/>
    <w:rsid w:val="006A37BC"/>
    <w:rsid w:val="006A3EAB"/>
    <w:rsid w:val="006A4EA7"/>
    <w:rsid w:val="006A50DB"/>
    <w:rsid w:val="006A54B2"/>
    <w:rsid w:val="006A569D"/>
    <w:rsid w:val="006A5E3D"/>
    <w:rsid w:val="006A74F9"/>
    <w:rsid w:val="006A79B9"/>
    <w:rsid w:val="006B08E5"/>
    <w:rsid w:val="006B1CF4"/>
    <w:rsid w:val="006B25BF"/>
    <w:rsid w:val="006B2C0F"/>
    <w:rsid w:val="006B35C1"/>
    <w:rsid w:val="006B4A7F"/>
    <w:rsid w:val="006B52D4"/>
    <w:rsid w:val="006B6C60"/>
    <w:rsid w:val="006C04E0"/>
    <w:rsid w:val="006C3055"/>
    <w:rsid w:val="006C4019"/>
    <w:rsid w:val="006C4583"/>
    <w:rsid w:val="006C4617"/>
    <w:rsid w:val="006C46BC"/>
    <w:rsid w:val="006C46EA"/>
    <w:rsid w:val="006C6C88"/>
    <w:rsid w:val="006C6EC3"/>
    <w:rsid w:val="006D0067"/>
    <w:rsid w:val="006D0097"/>
    <w:rsid w:val="006D059C"/>
    <w:rsid w:val="006D1DA6"/>
    <w:rsid w:val="006D1E24"/>
    <w:rsid w:val="006D28B8"/>
    <w:rsid w:val="006D3303"/>
    <w:rsid w:val="006D36B9"/>
    <w:rsid w:val="006D5438"/>
    <w:rsid w:val="006D580B"/>
    <w:rsid w:val="006D5C7E"/>
    <w:rsid w:val="006D5D9A"/>
    <w:rsid w:val="006D73EA"/>
    <w:rsid w:val="006D7C9F"/>
    <w:rsid w:val="006D7FE4"/>
    <w:rsid w:val="006E09F0"/>
    <w:rsid w:val="006E0B93"/>
    <w:rsid w:val="006E0DA6"/>
    <w:rsid w:val="006E1722"/>
    <w:rsid w:val="006E1ABA"/>
    <w:rsid w:val="006E1BFE"/>
    <w:rsid w:val="006E23B0"/>
    <w:rsid w:val="006E24C4"/>
    <w:rsid w:val="006E40A6"/>
    <w:rsid w:val="006E4510"/>
    <w:rsid w:val="006E45AA"/>
    <w:rsid w:val="006E47E0"/>
    <w:rsid w:val="006E4E0D"/>
    <w:rsid w:val="006E53F6"/>
    <w:rsid w:val="006E5777"/>
    <w:rsid w:val="006E63B3"/>
    <w:rsid w:val="006E6FAE"/>
    <w:rsid w:val="006F0AC2"/>
    <w:rsid w:val="006F0DF5"/>
    <w:rsid w:val="006F1A64"/>
    <w:rsid w:val="006F3213"/>
    <w:rsid w:val="006F3257"/>
    <w:rsid w:val="006F331A"/>
    <w:rsid w:val="006F3DF6"/>
    <w:rsid w:val="006F4254"/>
    <w:rsid w:val="006F47B1"/>
    <w:rsid w:val="006F4D03"/>
    <w:rsid w:val="006F5EBD"/>
    <w:rsid w:val="006F788A"/>
    <w:rsid w:val="00700AD7"/>
    <w:rsid w:val="007016EE"/>
    <w:rsid w:val="00701B27"/>
    <w:rsid w:val="00702077"/>
    <w:rsid w:val="00702680"/>
    <w:rsid w:val="00702C8B"/>
    <w:rsid w:val="007030DC"/>
    <w:rsid w:val="00703E21"/>
    <w:rsid w:val="00703F34"/>
    <w:rsid w:val="007043AF"/>
    <w:rsid w:val="00704505"/>
    <w:rsid w:val="0070541B"/>
    <w:rsid w:val="0070568C"/>
    <w:rsid w:val="00706A3D"/>
    <w:rsid w:val="00706AE7"/>
    <w:rsid w:val="007073E0"/>
    <w:rsid w:val="00707684"/>
    <w:rsid w:val="00707A94"/>
    <w:rsid w:val="00707FDD"/>
    <w:rsid w:val="00707FE1"/>
    <w:rsid w:val="00710EA0"/>
    <w:rsid w:val="007115FF"/>
    <w:rsid w:val="007124F0"/>
    <w:rsid w:val="0071258F"/>
    <w:rsid w:val="00712B87"/>
    <w:rsid w:val="00713861"/>
    <w:rsid w:val="00714054"/>
    <w:rsid w:val="00714B9C"/>
    <w:rsid w:val="00716A39"/>
    <w:rsid w:val="00716F6B"/>
    <w:rsid w:val="0071718B"/>
    <w:rsid w:val="007205D0"/>
    <w:rsid w:val="007206DF"/>
    <w:rsid w:val="007208C4"/>
    <w:rsid w:val="00720925"/>
    <w:rsid w:val="00720D12"/>
    <w:rsid w:val="00721D7B"/>
    <w:rsid w:val="0072248C"/>
    <w:rsid w:val="007224B6"/>
    <w:rsid w:val="00723151"/>
    <w:rsid w:val="0072364B"/>
    <w:rsid w:val="00723C06"/>
    <w:rsid w:val="00724638"/>
    <w:rsid w:val="0072537B"/>
    <w:rsid w:val="007260F7"/>
    <w:rsid w:val="007263EC"/>
    <w:rsid w:val="00727D88"/>
    <w:rsid w:val="007300F5"/>
    <w:rsid w:val="007305AA"/>
    <w:rsid w:val="007317DD"/>
    <w:rsid w:val="00732103"/>
    <w:rsid w:val="00732E99"/>
    <w:rsid w:val="0073457F"/>
    <w:rsid w:val="00736364"/>
    <w:rsid w:val="00736C2B"/>
    <w:rsid w:val="00736CB8"/>
    <w:rsid w:val="007378EB"/>
    <w:rsid w:val="007379CD"/>
    <w:rsid w:val="00737B78"/>
    <w:rsid w:val="00737F98"/>
    <w:rsid w:val="00740AA6"/>
    <w:rsid w:val="00740FAD"/>
    <w:rsid w:val="00741732"/>
    <w:rsid w:val="00741761"/>
    <w:rsid w:val="0074196F"/>
    <w:rsid w:val="00741A67"/>
    <w:rsid w:val="00742AF3"/>
    <w:rsid w:val="00742C78"/>
    <w:rsid w:val="0074486A"/>
    <w:rsid w:val="007461FE"/>
    <w:rsid w:val="00746BD4"/>
    <w:rsid w:val="00750331"/>
    <w:rsid w:val="00750432"/>
    <w:rsid w:val="00750552"/>
    <w:rsid w:val="00750CCD"/>
    <w:rsid w:val="00752B2A"/>
    <w:rsid w:val="00752C01"/>
    <w:rsid w:val="00753B1E"/>
    <w:rsid w:val="007550E1"/>
    <w:rsid w:val="0075687C"/>
    <w:rsid w:val="0075697C"/>
    <w:rsid w:val="00756A10"/>
    <w:rsid w:val="00756FEC"/>
    <w:rsid w:val="00760F83"/>
    <w:rsid w:val="00760FDC"/>
    <w:rsid w:val="00760FE3"/>
    <w:rsid w:val="00761844"/>
    <w:rsid w:val="00761DE7"/>
    <w:rsid w:val="007635CE"/>
    <w:rsid w:val="00763809"/>
    <w:rsid w:val="007648DB"/>
    <w:rsid w:val="00765AC2"/>
    <w:rsid w:val="00766CC6"/>
    <w:rsid w:val="00766F8B"/>
    <w:rsid w:val="007670F4"/>
    <w:rsid w:val="00767EA3"/>
    <w:rsid w:val="007701C3"/>
    <w:rsid w:val="00770A85"/>
    <w:rsid w:val="007710A3"/>
    <w:rsid w:val="0077158F"/>
    <w:rsid w:val="00771FF6"/>
    <w:rsid w:val="007726B9"/>
    <w:rsid w:val="0077340F"/>
    <w:rsid w:val="00773981"/>
    <w:rsid w:val="0077488D"/>
    <w:rsid w:val="0077495A"/>
    <w:rsid w:val="00775EAF"/>
    <w:rsid w:val="007760FA"/>
    <w:rsid w:val="00776205"/>
    <w:rsid w:val="00776A40"/>
    <w:rsid w:val="007770EC"/>
    <w:rsid w:val="00777154"/>
    <w:rsid w:val="007818B7"/>
    <w:rsid w:val="00782C9E"/>
    <w:rsid w:val="0078326D"/>
    <w:rsid w:val="00783460"/>
    <w:rsid w:val="00783EEF"/>
    <w:rsid w:val="0078617C"/>
    <w:rsid w:val="00786380"/>
    <w:rsid w:val="00786E9D"/>
    <w:rsid w:val="00787870"/>
    <w:rsid w:val="00790F24"/>
    <w:rsid w:val="00791044"/>
    <w:rsid w:val="007916A2"/>
    <w:rsid w:val="0079175B"/>
    <w:rsid w:val="00791EC9"/>
    <w:rsid w:val="00791FD9"/>
    <w:rsid w:val="00792481"/>
    <w:rsid w:val="00792A7F"/>
    <w:rsid w:val="00792C93"/>
    <w:rsid w:val="0079336D"/>
    <w:rsid w:val="00793E4B"/>
    <w:rsid w:val="00793ED8"/>
    <w:rsid w:val="0079626C"/>
    <w:rsid w:val="0079658E"/>
    <w:rsid w:val="00796859"/>
    <w:rsid w:val="00797812"/>
    <w:rsid w:val="00797E32"/>
    <w:rsid w:val="007A0702"/>
    <w:rsid w:val="007A0A42"/>
    <w:rsid w:val="007A0C93"/>
    <w:rsid w:val="007A10B1"/>
    <w:rsid w:val="007A1197"/>
    <w:rsid w:val="007A11CC"/>
    <w:rsid w:val="007A1488"/>
    <w:rsid w:val="007A1817"/>
    <w:rsid w:val="007A2306"/>
    <w:rsid w:val="007A24A3"/>
    <w:rsid w:val="007A3B81"/>
    <w:rsid w:val="007A3F91"/>
    <w:rsid w:val="007A41BB"/>
    <w:rsid w:val="007A4A3C"/>
    <w:rsid w:val="007A52AF"/>
    <w:rsid w:val="007A5399"/>
    <w:rsid w:val="007A6654"/>
    <w:rsid w:val="007A6EA0"/>
    <w:rsid w:val="007A7063"/>
    <w:rsid w:val="007A73DD"/>
    <w:rsid w:val="007A7B32"/>
    <w:rsid w:val="007A7F04"/>
    <w:rsid w:val="007B037B"/>
    <w:rsid w:val="007B05B1"/>
    <w:rsid w:val="007B060E"/>
    <w:rsid w:val="007B23AA"/>
    <w:rsid w:val="007B23EF"/>
    <w:rsid w:val="007B3E17"/>
    <w:rsid w:val="007B50F2"/>
    <w:rsid w:val="007B63E4"/>
    <w:rsid w:val="007B6832"/>
    <w:rsid w:val="007B6950"/>
    <w:rsid w:val="007B6C98"/>
    <w:rsid w:val="007C0099"/>
    <w:rsid w:val="007C0341"/>
    <w:rsid w:val="007C158B"/>
    <w:rsid w:val="007C21E4"/>
    <w:rsid w:val="007C2B54"/>
    <w:rsid w:val="007C2DC2"/>
    <w:rsid w:val="007C32CB"/>
    <w:rsid w:val="007C4661"/>
    <w:rsid w:val="007C47D0"/>
    <w:rsid w:val="007C626F"/>
    <w:rsid w:val="007C6A40"/>
    <w:rsid w:val="007C7210"/>
    <w:rsid w:val="007C7CEE"/>
    <w:rsid w:val="007D0E43"/>
    <w:rsid w:val="007D0F85"/>
    <w:rsid w:val="007D3009"/>
    <w:rsid w:val="007D3B68"/>
    <w:rsid w:val="007D43A3"/>
    <w:rsid w:val="007D5970"/>
    <w:rsid w:val="007D5B4F"/>
    <w:rsid w:val="007D6050"/>
    <w:rsid w:val="007D609F"/>
    <w:rsid w:val="007D61F3"/>
    <w:rsid w:val="007D7266"/>
    <w:rsid w:val="007D72EF"/>
    <w:rsid w:val="007D748A"/>
    <w:rsid w:val="007D773D"/>
    <w:rsid w:val="007D7E78"/>
    <w:rsid w:val="007E0B99"/>
    <w:rsid w:val="007E0DF4"/>
    <w:rsid w:val="007E1B7E"/>
    <w:rsid w:val="007E2194"/>
    <w:rsid w:val="007E2977"/>
    <w:rsid w:val="007E392E"/>
    <w:rsid w:val="007E3EE6"/>
    <w:rsid w:val="007E46A9"/>
    <w:rsid w:val="007E47F5"/>
    <w:rsid w:val="007E5760"/>
    <w:rsid w:val="007E729C"/>
    <w:rsid w:val="007E76BE"/>
    <w:rsid w:val="007F02A0"/>
    <w:rsid w:val="007F04ED"/>
    <w:rsid w:val="007F09D0"/>
    <w:rsid w:val="007F0C0D"/>
    <w:rsid w:val="007F1502"/>
    <w:rsid w:val="007F191A"/>
    <w:rsid w:val="007F2F51"/>
    <w:rsid w:val="007F38B8"/>
    <w:rsid w:val="007F4DF8"/>
    <w:rsid w:val="007F6ECA"/>
    <w:rsid w:val="007F7295"/>
    <w:rsid w:val="007F7D26"/>
    <w:rsid w:val="008017B2"/>
    <w:rsid w:val="00801C6B"/>
    <w:rsid w:val="00802DB0"/>
    <w:rsid w:val="008030D0"/>
    <w:rsid w:val="008035A6"/>
    <w:rsid w:val="00803B96"/>
    <w:rsid w:val="00804150"/>
    <w:rsid w:val="00804FC7"/>
    <w:rsid w:val="00805A58"/>
    <w:rsid w:val="00805D66"/>
    <w:rsid w:val="00806B89"/>
    <w:rsid w:val="00810369"/>
    <w:rsid w:val="00810BCF"/>
    <w:rsid w:val="008113B4"/>
    <w:rsid w:val="0081214C"/>
    <w:rsid w:val="008137CF"/>
    <w:rsid w:val="00813D97"/>
    <w:rsid w:val="00813EEA"/>
    <w:rsid w:val="00815F08"/>
    <w:rsid w:val="008165A7"/>
    <w:rsid w:val="0081664B"/>
    <w:rsid w:val="008172D8"/>
    <w:rsid w:val="00820028"/>
    <w:rsid w:val="008205C3"/>
    <w:rsid w:val="008220A7"/>
    <w:rsid w:val="0082311D"/>
    <w:rsid w:val="008231F5"/>
    <w:rsid w:val="0082374D"/>
    <w:rsid w:val="00824B14"/>
    <w:rsid w:val="00825572"/>
    <w:rsid w:val="00825F4D"/>
    <w:rsid w:val="008261AD"/>
    <w:rsid w:val="00826D21"/>
    <w:rsid w:val="0082735A"/>
    <w:rsid w:val="00827893"/>
    <w:rsid w:val="00831F55"/>
    <w:rsid w:val="0083265D"/>
    <w:rsid w:val="0083363D"/>
    <w:rsid w:val="008338FF"/>
    <w:rsid w:val="00833975"/>
    <w:rsid w:val="00833A74"/>
    <w:rsid w:val="00833D2B"/>
    <w:rsid w:val="008354C8"/>
    <w:rsid w:val="008356F7"/>
    <w:rsid w:val="008359A0"/>
    <w:rsid w:val="00835F28"/>
    <w:rsid w:val="0083655A"/>
    <w:rsid w:val="00836A0E"/>
    <w:rsid w:val="00837860"/>
    <w:rsid w:val="00837A61"/>
    <w:rsid w:val="00837BD3"/>
    <w:rsid w:val="00837FEF"/>
    <w:rsid w:val="00841043"/>
    <w:rsid w:val="008418CA"/>
    <w:rsid w:val="00841C1A"/>
    <w:rsid w:val="00841D17"/>
    <w:rsid w:val="0084206A"/>
    <w:rsid w:val="00842866"/>
    <w:rsid w:val="00844D24"/>
    <w:rsid w:val="00844E60"/>
    <w:rsid w:val="00845418"/>
    <w:rsid w:val="00846044"/>
    <w:rsid w:val="008461E4"/>
    <w:rsid w:val="008471E2"/>
    <w:rsid w:val="00847430"/>
    <w:rsid w:val="00850773"/>
    <w:rsid w:val="008507C6"/>
    <w:rsid w:val="00850C86"/>
    <w:rsid w:val="00851AA6"/>
    <w:rsid w:val="008529D6"/>
    <w:rsid w:val="00852CE1"/>
    <w:rsid w:val="00853D13"/>
    <w:rsid w:val="00854246"/>
    <w:rsid w:val="008555B9"/>
    <w:rsid w:val="0085582F"/>
    <w:rsid w:val="008562D9"/>
    <w:rsid w:val="0085682F"/>
    <w:rsid w:val="00856F2C"/>
    <w:rsid w:val="008577D4"/>
    <w:rsid w:val="0086059C"/>
    <w:rsid w:val="00860D76"/>
    <w:rsid w:val="008611FA"/>
    <w:rsid w:val="00861527"/>
    <w:rsid w:val="00861797"/>
    <w:rsid w:val="00861BE1"/>
    <w:rsid w:val="00862CC4"/>
    <w:rsid w:val="00863019"/>
    <w:rsid w:val="008640C2"/>
    <w:rsid w:val="0086463D"/>
    <w:rsid w:val="00864A5E"/>
    <w:rsid w:val="00864C59"/>
    <w:rsid w:val="008657CC"/>
    <w:rsid w:val="00865882"/>
    <w:rsid w:val="00866065"/>
    <w:rsid w:val="00866BDC"/>
    <w:rsid w:val="00867581"/>
    <w:rsid w:val="008675B4"/>
    <w:rsid w:val="008678B9"/>
    <w:rsid w:val="00867B47"/>
    <w:rsid w:val="00870CAF"/>
    <w:rsid w:val="00870F44"/>
    <w:rsid w:val="00871001"/>
    <w:rsid w:val="0087142F"/>
    <w:rsid w:val="00871CC2"/>
    <w:rsid w:val="00871E37"/>
    <w:rsid w:val="00871EF3"/>
    <w:rsid w:val="00872338"/>
    <w:rsid w:val="00873D63"/>
    <w:rsid w:val="00873E79"/>
    <w:rsid w:val="0087459E"/>
    <w:rsid w:val="008750C2"/>
    <w:rsid w:val="008756EE"/>
    <w:rsid w:val="00875E9E"/>
    <w:rsid w:val="008761A5"/>
    <w:rsid w:val="00876698"/>
    <w:rsid w:val="0087699E"/>
    <w:rsid w:val="00877505"/>
    <w:rsid w:val="008779D2"/>
    <w:rsid w:val="00880C26"/>
    <w:rsid w:val="00881118"/>
    <w:rsid w:val="00881151"/>
    <w:rsid w:val="00881241"/>
    <w:rsid w:val="0088165E"/>
    <w:rsid w:val="0088194E"/>
    <w:rsid w:val="00882E32"/>
    <w:rsid w:val="00884E1B"/>
    <w:rsid w:val="00885EF1"/>
    <w:rsid w:val="00887893"/>
    <w:rsid w:val="00887F13"/>
    <w:rsid w:val="008904A6"/>
    <w:rsid w:val="008919E4"/>
    <w:rsid w:val="00892549"/>
    <w:rsid w:val="00894015"/>
    <w:rsid w:val="008941E8"/>
    <w:rsid w:val="008951B5"/>
    <w:rsid w:val="008954D7"/>
    <w:rsid w:val="00895D98"/>
    <w:rsid w:val="00896321"/>
    <w:rsid w:val="008973DE"/>
    <w:rsid w:val="008974F1"/>
    <w:rsid w:val="00897A94"/>
    <w:rsid w:val="00897CED"/>
    <w:rsid w:val="008A032A"/>
    <w:rsid w:val="008A07B9"/>
    <w:rsid w:val="008A106C"/>
    <w:rsid w:val="008A2B12"/>
    <w:rsid w:val="008A494C"/>
    <w:rsid w:val="008A51DF"/>
    <w:rsid w:val="008A53CA"/>
    <w:rsid w:val="008A5C65"/>
    <w:rsid w:val="008A5CD3"/>
    <w:rsid w:val="008A5D9A"/>
    <w:rsid w:val="008A61B4"/>
    <w:rsid w:val="008A6BA1"/>
    <w:rsid w:val="008A6DE5"/>
    <w:rsid w:val="008A7AF2"/>
    <w:rsid w:val="008A7EC0"/>
    <w:rsid w:val="008B04C1"/>
    <w:rsid w:val="008B1475"/>
    <w:rsid w:val="008B2FD5"/>
    <w:rsid w:val="008B354B"/>
    <w:rsid w:val="008B516B"/>
    <w:rsid w:val="008B51CA"/>
    <w:rsid w:val="008B6648"/>
    <w:rsid w:val="008B7804"/>
    <w:rsid w:val="008C14B3"/>
    <w:rsid w:val="008C15BC"/>
    <w:rsid w:val="008C310F"/>
    <w:rsid w:val="008C362D"/>
    <w:rsid w:val="008C419A"/>
    <w:rsid w:val="008C4691"/>
    <w:rsid w:val="008C4AB0"/>
    <w:rsid w:val="008C5B1C"/>
    <w:rsid w:val="008C6234"/>
    <w:rsid w:val="008C642B"/>
    <w:rsid w:val="008C6AF9"/>
    <w:rsid w:val="008C7935"/>
    <w:rsid w:val="008D01DF"/>
    <w:rsid w:val="008D0341"/>
    <w:rsid w:val="008D0A41"/>
    <w:rsid w:val="008D0B80"/>
    <w:rsid w:val="008D257C"/>
    <w:rsid w:val="008D30BC"/>
    <w:rsid w:val="008D317B"/>
    <w:rsid w:val="008D41BA"/>
    <w:rsid w:val="008D4FB0"/>
    <w:rsid w:val="008D53B8"/>
    <w:rsid w:val="008D6300"/>
    <w:rsid w:val="008E0692"/>
    <w:rsid w:val="008E19C8"/>
    <w:rsid w:val="008E1F82"/>
    <w:rsid w:val="008E245C"/>
    <w:rsid w:val="008E423A"/>
    <w:rsid w:val="008E4CD0"/>
    <w:rsid w:val="008E4DDD"/>
    <w:rsid w:val="008E4E94"/>
    <w:rsid w:val="008E578A"/>
    <w:rsid w:val="008E5CC2"/>
    <w:rsid w:val="008E61BC"/>
    <w:rsid w:val="008E6440"/>
    <w:rsid w:val="008E6AAC"/>
    <w:rsid w:val="008E7E0C"/>
    <w:rsid w:val="008F0AB8"/>
    <w:rsid w:val="008F0B9A"/>
    <w:rsid w:val="008F0DD6"/>
    <w:rsid w:val="008F100F"/>
    <w:rsid w:val="008F1A7C"/>
    <w:rsid w:val="008F1E16"/>
    <w:rsid w:val="008F2163"/>
    <w:rsid w:val="008F21E2"/>
    <w:rsid w:val="008F240B"/>
    <w:rsid w:val="008F4454"/>
    <w:rsid w:val="008F471F"/>
    <w:rsid w:val="008F497D"/>
    <w:rsid w:val="008F693C"/>
    <w:rsid w:val="008F6B77"/>
    <w:rsid w:val="008F752D"/>
    <w:rsid w:val="00900BE1"/>
    <w:rsid w:val="00900D30"/>
    <w:rsid w:val="00900E1C"/>
    <w:rsid w:val="009010AA"/>
    <w:rsid w:val="0090289D"/>
    <w:rsid w:val="009044B0"/>
    <w:rsid w:val="00905196"/>
    <w:rsid w:val="009056CE"/>
    <w:rsid w:val="00905A40"/>
    <w:rsid w:val="00906CF9"/>
    <w:rsid w:val="00906DAE"/>
    <w:rsid w:val="00907393"/>
    <w:rsid w:val="009074B3"/>
    <w:rsid w:val="00907A8D"/>
    <w:rsid w:val="00910B3F"/>
    <w:rsid w:val="00910F31"/>
    <w:rsid w:val="00912C34"/>
    <w:rsid w:val="00913EC7"/>
    <w:rsid w:val="00914558"/>
    <w:rsid w:val="009153E6"/>
    <w:rsid w:val="0091574A"/>
    <w:rsid w:val="0091630F"/>
    <w:rsid w:val="0091700B"/>
    <w:rsid w:val="00917170"/>
    <w:rsid w:val="009179ED"/>
    <w:rsid w:val="0092003D"/>
    <w:rsid w:val="0092264D"/>
    <w:rsid w:val="00922A26"/>
    <w:rsid w:val="00922AF2"/>
    <w:rsid w:val="009231BD"/>
    <w:rsid w:val="00923367"/>
    <w:rsid w:val="00923FC8"/>
    <w:rsid w:val="00924169"/>
    <w:rsid w:val="00925D53"/>
    <w:rsid w:val="00925FF4"/>
    <w:rsid w:val="00927727"/>
    <w:rsid w:val="009277D3"/>
    <w:rsid w:val="00931384"/>
    <w:rsid w:val="0093159D"/>
    <w:rsid w:val="0093216D"/>
    <w:rsid w:val="00932443"/>
    <w:rsid w:val="009331AD"/>
    <w:rsid w:val="009340E2"/>
    <w:rsid w:val="009357F1"/>
    <w:rsid w:val="00936104"/>
    <w:rsid w:val="00936A12"/>
    <w:rsid w:val="009372D1"/>
    <w:rsid w:val="0093737C"/>
    <w:rsid w:val="00937CF8"/>
    <w:rsid w:val="009403C7"/>
    <w:rsid w:val="009409F6"/>
    <w:rsid w:val="009412A3"/>
    <w:rsid w:val="00941820"/>
    <w:rsid w:val="009418C6"/>
    <w:rsid w:val="00942AD0"/>
    <w:rsid w:val="00942AEA"/>
    <w:rsid w:val="00943735"/>
    <w:rsid w:val="0094459D"/>
    <w:rsid w:val="00944CD9"/>
    <w:rsid w:val="0094506A"/>
    <w:rsid w:val="00947C93"/>
    <w:rsid w:val="009503B3"/>
    <w:rsid w:val="00950A38"/>
    <w:rsid w:val="0095160B"/>
    <w:rsid w:val="009516FA"/>
    <w:rsid w:val="00951FE5"/>
    <w:rsid w:val="00952ABD"/>
    <w:rsid w:val="00953CBE"/>
    <w:rsid w:val="00953D3A"/>
    <w:rsid w:val="009547E4"/>
    <w:rsid w:val="00955AA1"/>
    <w:rsid w:val="0096158B"/>
    <w:rsid w:val="009623FB"/>
    <w:rsid w:val="009624CB"/>
    <w:rsid w:val="00962F01"/>
    <w:rsid w:val="009638A6"/>
    <w:rsid w:val="00963C2A"/>
    <w:rsid w:val="00965B39"/>
    <w:rsid w:val="00965BCC"/>
    <w:rsid w:val="00966F45"/>
    <w:rsid w:val="00967CE0"/>
    <w:rsid w:val="0097018C"/>
    <w:rsid w:val="0097122A"/>
    <w:rsid w:val="00971906"/>
    <w:rsid w:val="00971EFA"/>
    <w:rsid w:val="00973057"/>
    <w:rsid w:val="0097350B"/>
    <w:rsid w:val="00973A01"/>
    <w:rsid w:val="00973BDC"/>
    <w:rsid w:val="00974698"/>
    <w:rsid w:val="00976B63"/>
    <w:rsid w:val="0097781C"/>
    <w:rsid w:val="00977B52"/>
    <w:rsid w:val="00980AEC"/>
    <w:rsid w:val="00980FEE"/>
    <w:rsid w:val="00981269"/>
    <w:rsid w:val="00981740"/>
    <w:rsid w:val="00983017"/>
    <w:rsid w:val="0098345E"/>
    <w:rsid w:val="00984281"/>
    <w:rsid w:val="00984722"/>
    <w:rsid w:val="00984FE9"/>
    <w:rsid w:val="009850E2"/>
    <w:rsid w:val="00985F20"/>
    <w:rsid w:val="0098602C"/>
    <w:rsid w:val="00986941"/>
    <w:rsid w:val="00986DEF"/>
    <w:rsid w:val="0098793C"/>
    <w:rsid w:val="00987AF6"/>
    <w:rsid w:val="00987B65"/>
    <w:rsid w:val="00987CCC"/>
    <w:rsid w:val="0099064A"/>
    <w:rsid w:val="00991409"/>
    <w:rsid w:val="009937A3"/>
    <w:rsid w:val="009939EC"/>
    <w:rsid w:val="00994478"/>
    <w:rsid w:val="009965EF"/>
    <w:rsid w:val="00996F47"/>
    <w:rsid w:val="00997163"/>
    <w:rsid w:val="009973E3"/>
    <w:rsid w:val="009977C7"/>
    <w:rsid w:val="009A02BC"/>
    <w:rsid w:val="009A0B40"/>
    <w:rsid w:val="009A0D1F"/>
    <w:rsid w:val="009A11A7"/>
    <w:rsid w:val="009A17A8"/>
    <w:rsid w:val="009A1DC2"/>
    <w:rsid w:val="009A21EB"/>
    <w:rsid w:val="009A262A"/>
    <w:rsid w:val="009A47C6"/>
    <w:rsid w:val="009A4B52"/>
    <w:rsid w:val="009A54F9"/>
    <w:rsid w:val="009A5D70"/>
    <w:rsid w:val="009A6034"/>
    <w:rsid w:val="009A6846"/>
    <w:rsid w:val="009A75A5"/>
    <w:rsid w:val="009A79B4"/>
    <w:rsid w:val="009A7F3E"/>
    <w:rsid w:val="009B2250"/>
    <w:rsid w:val="009B2446"/>
    <w:rsid w:val="009B30F6"/>
    <w:rsid w:val="009B3906"/>
    <w:rsid w:val="009B4F3B"/>
    <w:rsid w:val="009B60D7"/>
    <w:rsid w:val="009B659E"/>
    <w:rsid w:val="009B6BC4"/>
    <w:rsid w:val="009C029E"/>
    <w:rsid w:val="009C138F"/>
    <w:rsid w:val="009C2412"/>
    <w:rsid w:val="009C32D6"/>
    <w:rsid w:val="009C3991"/>
    <w:rsid w:val="009C4A3F"/>
    <w:rsid w:val="009C69E9"/>
    <w:rsid w:val="009C6AA3"/>
    <w:rsid w:val="009D00E3"/>
    <w:rsid w:val="009D0E71"/>
    <w:rsid w:val="009D11F5"/>
    <w:rsid w:val="009D151D"/>
    <w:rsid w:val="009D17B5"/>
    <w:rsid w:val="009D1A2D"/>
    <w:rsid w:val="009D3E48"/>
    <w:rsid w:val="009D4368"/>
    <w:rsid w:val="009D48B4"/>
    <w:rsid w:val="009D49C4"/>
    <w:rsid w:val="009D5F5E"/>
    <w:rsid w:val="009D64F9"/>
    <w:rsid w:val="009D66CB"/>
    <w:rsid w:val="009D6958"/>
    <w:rsid w:val="009D6ADD"/>
    <w:rsid w:val="009D7186"/>
    <w:rsid w:val="009E137C"/>
    <w:rsid w:val="009E1503"/>
    <w:rsid w:val="009E1EC4"/>
    <w:rsid w:val="009E26E8"/>
    <w:rsid w:val="009E2FCF"/>
    <w:rsid w:val="009E322B"/>
    <w:rsid w:val="009E3684"/>
    <w:rsid w:val="009E3B3D"/>
    <w:rsid w:val="009E3D75"/>
    <w:rsid w:val="009E3DA6"/>
    <w:rsid w:val="009E4BA8"/>
    <w:rsid w:val="009E4C46"/>
    <w:rsid w:val="009E5340"/>
    <w:rsid w:val="009E5A7B"/>
    <w:rsid w:val="009E658E"/>
    <w:rsid w:val="009E70E9"/>
    <w:rsid w:val="009E7297"/>
    <w:rsid w:val="009E77A5"/>
    <w:rsid w:val="009E7A8C"/>
    <w:rsid w:val="009E7CA1"/>
    <w:rsid w:val="009E7E56"/>
    <w:rsid w:val="009F0755"/>
    <w:rsid w:val="009F105B"/>
    <w:rsid w:val="009F2D14"/>
    <w:rsid w:val="009F390D"/>
    <w:rsid w:val="009F4496"/>
    <w:rsid w:val="009F44B1"/>
    <w:rsid w:val="009F4696"/>
    <w:rsid w:val="009F6121"/>
    <w:rsid w:val="009F6FC5"/>
    <w:rsid w:val="009F716C"/>
    <w:rsid w:val="009F755A"/>
    <w:rsid w:val="00A00C23"/>
    <w:rsid w:val="00A00F3A"/>
    <w:rsid w:val="00A0120A"/>
    <w:rsid w:val="00A01538"/>
    <w:rsid w:val="00A02782"/>
    <w:rsid w:val="00A02EC5"/>
    <w:rsid w:val="00A05763"/>
    <w:rsid w:val="00A05D6C"/>
    <w:rsid w:val="00A076E1"/>
    <w:rsid w:val="00A07B8B"/>
    <w:rsid w:val="00A07C4E"/>
    <w:rsid w:val="00A10056"/>
    <w:rsid w:val="00A10542"/>
    <w:rsid w:val="00A119E6"/>
    <w:rsid w:val="00A11BEF"/>
    <w:rsid w:val="00A12045"/>
    <w:rsid w:val="00A12493"/>
    <w:rsid w:val="00A12678"/>
    <w:rsid w:val="00A13146"/>
    <w:rsid w:val="00A13B16"/>
    <w:rsid w:val="00A13FC0"/>
    <w:rsid w:val="00A15AA4"/>
    <w:rsid w:val="00A162D2"/>
    <w:rsid w:val="00A17904"/>
    <w:rsid w:val="00A206E0"/>
    <w:rsid w:val="00A22F84"/>
    <w:rsid w:val="00A23206"/>
    <w:rsid w:val="00A238F6"/>
    <w:rsid w:val="00A2432E"/>
    <w:rsid w:val="00A2467D"/>
    <w:rsid w:val="00A24D7B"/>
    <w:rsid w:val="00A256E1"/>
    <w:rsid w:val="00A26075"/>
    <w:rsid w:val="00A263B0"/>
    <w:rsid w:val="00A26983"/>
    <w:rsid w:val="00A303AF"/>
    <w:rsid w:val="00A30870"/>
    <w:rsid w:val="00A30BFC"/>
    <w:rsid w:val="00A31E44"/>
    <w:rsid w:val="00A337DF"/>
    <w:rsid w:val="00A341B5"/>
    <w:rsid w:val="00A344CD"/>
    <w:rsid w:val="00A34816"/>
    <w:rsid w:val="00A35360"/>
    <w:rsid w:val="00A35B93"/>
    <w:rsid w:val="00A35E0C"/>
    <w:rsid w:val="00A373A9"/>
    <w:rsid w:val="00A40759"/>
    <w:rsid w:val="00A41DF4"/>
    <w:rsid w:val="00A424EE"/>
    <w:rsid w:val="00A43605"/>
    <w:rsid w:val="00A43D72"/>
    <w:rsid w:val="00A44017"/>
    <w:rsid w:val="00A454C0"/>
    <w:rsid w:val="00A45507"/>
    <w:rsid w:val="00A456A2"/>
    <w:rsid w:val="00A4695A"/>
    <w:rsid w:val="00A46B0A"/>
    <w:rsid w:val="00A47327"/>
    <w:rsid w:val="00A47D02"/>
    <w:rsid w:val="00A50A38"/>
    <w:rsid w:val="00A515AA"/>
    <w:rsid w:val="00A51E5A"/>
    <w:rsid w:val="00A51EC1"/>
    <w:rsid w:val="00A51F23"/>
    <w:rsid w:val="00A51FC3"/>
    <w:rsid w:val="00A532A2"/>
    <w:rsid w:val="00A536D6"/>
    <w:rsid w:val="00A53FEA"/>
    <w:rsid w:val="00A54A78"/>
    <w:rsid w:val="00A54B5C"/>
    <w:rsid w:val="00A575BC"/>
    <w:rsid w:val="00A6002E"/>
    <w:rsid w:val="00A601E1"/>
    <w:rsid w:val="00A60218"/>
    <w:rsid w:val="00A6068D"/>
    <w:rsid w:val="00A60920"/>
    <w:rsid w:val="00A60A54"/>
    <w:rsid w:val="00A60AA5"/>
    <w:rsid w:val="00A61187"/>
    <w:rsid w:val="00A62249"/>
    <w:rsid w:val="00A6322A"/>
    <w:rsid w:val="00A63274"/>
    <w:rsid w:val="00A63521"/>
    <w:rsid w:val="00A63537"/>
    <w:rsid w:val="00A63F1C"/>
    <w:rsid w:val="00A667D4"/>
    <w:rsid w:val="00A668BC"/>
    <w:rsid w:val="00A66945"/>
    <w:rsid w:val="00A66A0E"/>
    <w:rsid w:val="00A67FF7"/>
    <w:rsid w:val="00A70418"/>
    <w:rsid w:val="00A71A39"/>
    <w:rsid w:val="00A71EB3"/>
    <w:rsid w:val="00A72177"/>
    <w:rsid w:val="00A73CC9"/>
    <w:rsid w:val="00A74676"/>
    <w:rsid w:val="00A74800"/>
    <w:rsid w:val="00A754FC"/>
    <w:rsid w:val="00A75C55"/>
    <w:rsid w:val="00A75E79"/>
    <w:rsid w:val="00A76237"/>
    <w:rsid w:val="00A80AD1"/>
    <w:rsid w:val="00A8104D"/>
    <w:rsid w:val="00A81E9B"/>
    <w:rsid w:val="00A827E1"/>
    <w:rsid w:val="00A82A84"/>
    <w:rsid w:val="00A83A0F"/>
    <w:rsid w:val="00A848DD"/>
    <w:rsid w:val="00A84C5F"/>
    <w:rsid w:val="00A850AB"/>
    <w:rsid w:val="00A85482"/>
    <w:rsid w:val="00A8583C"/>
    <w:rsid w:val="00A859E3"/>
    <w:rsid w:val="00A86542"/>
    <w:rsid w:val="00A86B41"/>
    <w:rsid w:val="00A86D36"/>
    <w:rsid w:val="00A8776F"/>
    <w:rsid w:val="00A87B46"/>
    <w:rsid w:val="00A87DC8"/>
    <w:rsid w:val="00A900B5"/>
    <w:rsid w:val="00A90DFF"/>
    <w:rsid w:val="00A91608"/>
    <w:rsid w:val="00A9243C"/>
    <w:rsid w:val="00A9334D"/>
    <w:rsid w:val="00A93D64"/>
    <w:rsid w:val="00A95258"/>
    <w:rsid w:val="00A958AA"/>
    <w:rsid w:val="00A96875"/>
    <w:rsid w:val="00A96C90"/>
    <w:rsid w:val="00AA1C06"/>
    <w:rsid w:val="00AA34EE"/>
    <w:rsid w:val="00AA3782"/>
    <w:rsid w:val="00AA5180"/>
    <w:rsid w:val="00AA5B03"/>
    <w:rsid w:val="00AA5D02"/>
    <w:rsid w:val="00AB12F1"/>
    <w:rsid w:val="00AB1C57"/>
    <w:rsid w:val="00AB1C58"/>
    <w:rsid w:val="00AB1C86"/>
    <w:rsid w:val="00AB26FC"/>
    <w:rsid w:val="00AB37E0"/>
    <w:rsid w:val="00AB39C0"/>
    <w:rsid w:val="00AB3A44"/>
    <w:rsid w:val="00AB42F0"/>
    <w:rsid w:val="00AB6C32"/>
    <w:rsid w:val="00AB6D6C"/>
    <w:rsid w:val="00AB7E92"/>
    <w:rsid w:val="00AC1856"/>
    <w:rsid w:val="00AC2543"/>
    <w:rsid w:val="00AC3068"/>
    <w:rsid w:val="00AC349D"/>
    <w:rsid w:val="00AC4A5F"/>
    <w:rsid w:val="00AC539C"/>
    <w:rsid w:val="00AC588B"/>
    <w:rsid w:val="00AC5BD0"/>
    <w:rsid w:val="00AC5BF7"/>
    <w:rsid w:val="00AC6071"/>
    <w:rsid w:val="00AC748D"/>
    <w:rsid w:val="00AC7562"/>
    <w:rsid w:val="00AC7700"/>
    <w:rsid w:val="00AD0C60"/>
    <w:rsid w:val="00AD1AAA"/>
    <w:rsid w:val="00AD219F"/>
    <w:rsid w:val="00AD4BD1"/>
    <w:rsid w:val="00AD5D44"/>
    <w:rsid w:val="00AD6733"/>
    <w:rsid w:val="00AD6AF2"/>
    <w:rsid w:val="00AD72BB"/>
    <w:rsid w:val="00AD7EFF"/>
    <w:rsid w:val="00AD7F1E"/>
    <w:rsid w:val="00AE0605"/>
    <w:rsid w:val="00AE14F4"/>
    <w:rsid w:val="00AE15D5"/>
    <w:rsid w:val="00AE1699"/>
    <w:rsid w:val="00AE171E"/>
    <w:rsid w:val="00AE2082"/>
    <w:rsid w:val="00AE24DA"/>
    <w:rsid w:val="00AE2A12"/>
    <w:rsid w:val="00AE3F76"/>
    <w:rsid w:val="00AE46DF"/>
    <w:rsid w:val="00AE4C5A"/>
    <w:rsid w:val="00AE4E57"/>
    <w:rsid w:val="00AE5ED8"/>
    <w:rsid w:val="00AE64F5"/>
    <w:rsid w:val="00AE7526"/>
    <w:rsid w:val="00AE76E0"/>
    <w:rsid w:val="00AF08BA"/>
    <w:rsid w:val="00AF2631"/>
    <w:rsid w:val="00AF2D35"/>
    <w:rsid w:val="00AF2F7D"/>
    <w:rsid w:val="00AF41DA"/>
    <w:rsid w:val="00AF41F4"/>
    <w:rsid w:val="00AF52AB"/>
    <w:rsid w:val="00AF6A57"/>
    <w:rsid w:val="00B00F85"/>
    <w:rsid w:val="00B01604"/>
    <w:rsid w:val="00B02A5B"/>
    <w:rsid w:val="00B03482"/>
    <w:rsid w:val="00B04254"/>
    <w:rsid w:val="00B046C0"/>
    <w:rsid w:val="00B047D8"/>
    <w:rsid w:val="00B04D73"/>
    <w:rsid w:val="00B05464"/>
    <w:rsid w:val="00B05E33"/>
    <w:rsid w:val="00B06852"/>
    <w:rsid w:val="00B06C19"/>
    <w:rsid w:val="00B06D6E"/>
    <w:rsid w:val="00B06DD0"/>
    <w:rsid w:val="00B072C9"/>
    <w:rsid w:val="00B11EB1"/>
    <w:rsid w:val="00B12E4F"/>
    <w:rsid w:val="00B131B4"/>
    <w:rsid w:val="00B13FC9"/>
    <w:rsid w:val="00B14329"/>
    <w:rsid w:val="00B14599"/>
    <w:rsid w:val="00B1489D"/>
    <w:rsid w:val="00B14E31"/>
    <w:rsid w:val="00B151FA"/>
    <w:rsid w:val="00B1520B"/>
    <w:rsid w:val="00B15459"/>
    <w:rsid w:val="00B161DA"/>
    <w:rsid w:val="00B163DA"/>
    <w:rsid w:val="00B164DF"/>
    <w:rsid w:val="00B17F74"/>
    <w:rsid w:val="00B2240F"/>
    <w:rsid w:val="00B247EE"/>
    <w:rsid w:val="00B24A83"/>
    <w:rsid w:val="00B24CB0"/>
    <w:rsid w:val="00B252AB"/>
    <w:rsid w:val="00B2559A"/>
    <w:rsid w:val="00B26124"/>
    <w:rsid w:val="00B2642B"/>
    <w:rsid w:val="00B265BD"/>
    <w:rsid w:val="00B274C6"/>
    <w:rsid w:val="00B27581"/>
    <w:rsid w:val="00B2796F"/>
    <w:rsid w:val="00B3045B"/>
    <w:rsid w:val="00B30819"/>
    <w:rsid w:val="00B30EFE"/>
    <w:rsid w:val="00B31498"/>
    <w:rsid w:val="00B32197"/>
    <w:rsid w:val="00B324BB"/>
    <w:rsid w:val="00B331CF"/>
    <w:rsid w:val="00B34493"/>
    <w:rsid w:val="00B3485C"/>
    <w:rsid w:val="00B35055"/>
    <w:rsid w:val="00B35CE6"/>
    <w:rsid w:val="00B362C2"/>
    <w:rsid w:val="00B378CE"/>
    <w:rsid w:val="00B37C31"/>
    <w:rsid w:val="00B4000A"/>
    <w:rsid w:val="00B40F3E"/>
    <w:rsid w:val="00B412DD"/>
    <w:rsid w:val="00B41A8B"/>
    <w:rsid w:val="00B42956"/>
    <w:rsid w:val="00B42D81"/>
    <w:rsid w:val="00B43172"/>
    <w:rsid w:val="00B444FF"/>
    <w:rsid w:val="00B44A71"/>
    <w:rsid w:val="00B44CF2"/>
    <w:rsid w:val="00B4512A"/>
    <w:rsid w:val="00B45D12"/>
    <w:rsid w:val="00B46458"/>
    <w:rsid w:val="00B46B2F"/>
    <w:rsid w:val="00B4740D"/>
    <w:rsid w:val="00B52056"/>
    <w:rsid w:val="00B52A07"/>
    <w:rsid w:val="00B52C0F"/>
    <w:rsid w:val="00B53781"/>
    <w:rsid w:val="00B53E02"/>
    <w:rsid w:val="00B55381"/>
    <w:rsid w:val="00B5541C"/>
    <w:rsid w:val="00B57163"/>
    <w:rsid w:val="00B572AE"/>
    <w:rsid w:val="00B579D7"/>
    <w:rsid w:val="00B57DDC"/>
    <w:rsid w:val="00B606C4"/>
    <w:rsid w:val="00B6173C"/>
    <w:rsid w:val="00B620B3"/>
    <w:rsid w:val="00B6378B"/>
    <w:rsid w:val="00B637A2"/>
    <w:rsid w:val="00B63D48"/>
    <w:rsid w:val="00B63F6C"/>
    <w:rsid w:val="00B642C3"/>
    <w:rsid w:val="00B66072"/>
    <w:rsid w:val="00B6614B"/>
    <w:rsid w:val="00B66DCF"/>
    <w:rsid w:val="00B67392"/>
    <w:rsid w:val="00B702CF"/>
    <w:rsid w:val="00B70392"/>
    <w:rsid w:val="00B70C53"/>
    <w:rsid w:val="00B70FDD"/>
    <w:rsid w:val="00B72032"/>
    <w:rsid w:val="00B73320"/>
    <w:rsid w:val="00B73337"/>
    <w:rsid w:val="00B744BB"/>
    <w:rsid w:val="00B748C1"/>
    <w:rsid w:val="00B7535F"/>
    <w:rsid w:val="00B7583D"/>
    <w:rsid w:val="00B759A8"/>
    <w:rsid w:val="00B76969"/>
    <w:rsid w:val="00B76D16"/>
    <w:rsid w:val="00B77272"/>
    <w:rsid w:val="00B77810"/>
    <w:rsid w:val="00B80336"/>
    <w:rsid w:val="00B8159F"/>
    <w:rsid w:val="00B83850"/>
    <w:rsid w:val="00B84D3D"/>
    <w:rsid w:val="00B851D0"/>
    <w:rsid w:val="00B859BF"/>
    <w:rsid w:val="00B85C2F"/>
    <w:rsid w:val="00B85E1C"/>
    <w:rsid w:val="00B86B94"/>
    <w:rsid w:val="00B907E3"/>
    <w:rsid w:val="00B9118F"/>
    <w:rsid w:val="00B9147C"/>
    <w:rsid w:val="00B9164E"/>
    <w:rsid w:val="00B92599"/>
    <w:rsid w:val="00B92EF2"/>
    <w:rsid w:val="00B92FA2"/>
    <w:rsid w:val="00B949CF"/>
    <w:rsid w:val="00B9563B"/>
    <w:rsid w:val="00B95730"/>
    <w:rsid w:val="00B95BA1"/>
    <w:rsid w:val="00B973A1"/>
    <w:rsid w:val="00B97609"/>
    <w:rsid w:val="00BA01CE"/>
    <w:rsid w:val="00BA0FEC"/>
    <w:rsid w:val="00BA123B"/>
    <w:rsid w:val="00BA1A90"/>
    <w:rsid w:val="00BA202D"/>
    <w:rsid w:val="00BA2E5D"/>
    <w:rsid w:val="00BA3008"/>
    <w:rsid w:val="00BA3A3F"/>
    <w:rsid w:val="00BA56F2"/>
    <w:rsid w:val="00BA5951"/>
    <w:rsid w:val="00BA5F9C"/>
    <w:rsid w:val="00BA6009"/>
    <w:rsid w:val="00BA6240"/>
    <w:rsid w:val="00BA676B"/>
    <w:rsid w:val="00BA67C5"/>
    <w:rsid w:val="00BA7413"/>
    <w:rsid w:val="00BA7689"/>
    <w:rsid w:val="00BA7F61"/>
    <w:rsid w:val="00BB003D"/>
    <w:rsid w:val="00BB0376"/>
    <w:rsid w:val="00BB0B98"/>
    <w:rsid w:val="00BB0C05"/>
    <w:rsid w:val="00BB1681"/>
    <w:rsid w:val="00BB1F28"/>
    <w:rsid w:val="00BB2738"/>
    <w:rsid w:val="00BB281D"/>
    <w:rsid w:val="00BB3804"/>
    <w:rsid w:val="00BB5B13"/>
    <w:rsid w:val="00BB5DA8"/>
    <w:rsid w:val="00BB5E93"/>
    <w:rsid w:val="00BB73D6"/>
    <w:rsid w:val="00BB7417"/>
    <w:rsid w:val="00BB774D"/>
    <w:rsid w:val="00BC052B"/>
    <w:rsid w:val="00BC0E55"/>
    <w:rsid w:val="00BC154B"/>
    <w:rsid w:val="00BC1856"/>
    <w:rsid w:val="00BC1FB8"/>
    <w:rsid w:val="00BC2CE3"/>
    <w:rsid w:val="00BC421C"/>
    <w:rsid w:val="00BC4430"/>
    <w:rsid w:val="00BC4703"/>
    <w:rsid w:val="00BC515E"/>
    <w:rsid w:val="00BC5C3B"/>
    <w:rsid w:val="00BC5EB0"/>
    <w:rsid w:val="00BC6103"/>
    <w:rsid w:val="00BC6AF5"/>
    <w:rsid w:val="00BC7A75"/>
    <w:rsid w:val="00BD0146"/>
    <w:rsid w:val="00BD0386"/>
    <w:rsid w:val="00BD2446"/>
    <w:rsid w:val="00BD2D54"/>
    <w:rsid w:val="00BD3A49"/>
    <w:rsid w:val="00BD4020"/>
    <w:rsid w:val="00BD408B"/>
    <w:rsid w:val="00BD50EB"/>
    <w:rsid w:val="00BD565D"/>
    <w:rsid w:val="00BD726F"/>
    <w:rsid w:val="00BD7F74"/>
    <w:rsid w:val="00BE0417"/>
    <w:rsid w:val="00BE04FC"/>
    <w:rsid w:val="00BE0FCA"/>
    <w:rsid w:val="00BE1199"/>
    <w:rsid w:val="00BE37AA"/>
    <w:rsid w:val="00BE3CB4"/>
    <w:rsid w:val="00BE43C1"/>
    <w:rsid w:val="00BE5A11"/>
    <w:rsid w:val="00BE5D0D"/>
    <w:rsid w:val="00BE7E65"/>
    <w:rsid w:val="00BF00AC"/>
    <w:rsid w:val="00BF0583"/>
    <w:rsid w:val="00BF0F5A"/>
    <w:rsid w:val="00BF2178"/>
    <w:rsid w:val="00BF348E"/>
    <w:rsid w:val="00BF3B39"/>
    <w:rsid w:val="00BF431D"/>
    <w:rsid w:val="00BF5272"/>
    <w:rsid w:val="00BF56EE"/>
    <w:rsid w:val="00BF59C7"/>
    <w:rsid w:val="00BF7A69"/>
    <w:rsid w:val="00C0105A"/>
    <w:rsid w:val="00C013FB"/>
    <w:rsid w:val="00C02801"/>
    <w:rsid w:val="00C02CE3"/>
    <w:rsid w:val="00C030D8"/>
    <w:rsid w:val="00C031F6"/>
    <w:rsid w:val="00C034F0"/>
    <w:rsid w:val="00C03641"/>
    <w:rsid w:val="00C03C94"/>
    <w:rsid w:val="00C041C6"/>
    <w:rsid w:val="00C04FE3"/>
    <w:rsid w:val="00C053AC"/>
    <w:rsid w:val="00C05505"/>
    <w:rsid w:val="00C055FF"/>
    <w:rsid w:val="00C062AC"/>
    <w:rsid w:val="00C07945"/>
    <w:rsid w:val="00C07EB7"/>
    <w:rsid w:val="00C10D90"/>
    <w:rsid w:val="00C1122C"/>
    <w:rsid w:val="00C13692"/>
    <w:rsid w:val="00C137FE"/>
    <w:rsid w:val="00C1412E"/>
    <w:rsid w:val="00C143B7"/>
    <w:rsid w:val="00C1446C"/>
    <w:rsid w:val="00C14C0C"/>
    <w:rsid w:val="00C14E27"/>
    <w:rsid w:val="00C152D5"/>
    <w:rsid w:val="00C15760"/>
    <w:rsid w:val="00C15F90"/>
    <w:rsid w:val="00C165D6"/>
    <w:rsid w:val="00C1669E"/>
    <w:rsid w:val="00C17439"/>
    <w:rsid w:val="00C176E4"/>
    <w:rsid w:val="00C214E2"/>
    <w:rsid w:val="00C2159D"/>
    <w:rsid w:val="00C219E5"/>
    <w:rsid w:val="00C22CFB"/>
    <w:rsid w:val="00C23312"/>
    <w:rsid w:val="00C23920"/>
    <w:rsid w:val="00C24ADA"/>
    <w:rsid w:val="00C2742E"/>
    <w:rsid w:val="00C277B4"/>
    <w:rsid w:val="00C27DB1"/>
    <w:rsid w:val="00C3031D"/>
    <w:rsid w:val="00C315DA"/>
    <w:rsid w:val="00C321DB"/>
    <w:rsid w:val="00C32342"/>
    <w:rsid w:val="00C32B04"/>
    <w:rsid w:val="00C33472"/>
    <w:rsid w:val="00C33C2C"/>
    <w:rsid w:val="00C33D20"/>
    <w:rsid w:val="00C347C1"/>
    <w:rsid w:val="00C355EB"/>
    <w:rsid w:val="00C360FD"/>
    <w:rsid w:val="00C36C95"/>
    <w:rsid w:val="00C36DFA"/>
    <w:rsid w:val="00C3719A"/>
    <w:rsid w:val="00C37695"/>
    <w:rsid w:val="00C379BD"/>
    <w:rsid w:val="00C37B57"/>
    <w:rsid w:val="00C40BCD"/>
    <w:rsid w:val="00C40CCD"/>
    <w:rsid w:val="00C414F6"/>
    <w:rsid w:val="00C41978"/>
    <w:rsid w:val="00C42CBB"/>
    <w:rsid w:val="00C4331F"/>
    <w:rsid w:val="00C433F4"/>
    <w:rsid w:val="00C43D7B"/>
    <w:rsid w:val="00C43DFD"/>
    <w:rsid w:val="00C446AB"/>
    <w:rsid w:val="00C4691C"/>
    <w:rsid w:val="00C46BA3"/>
    <w:rsid w:val="00C471D7"/>
    <w:rsid w:val="00C50C96"/>
    <w:rsid w:val="00C510FD"/>
    <w:rsid w:val="00C51DFA"/>
    <w:rsid w:val="00C52052"/>
    <w:rsid w:val="00C5274E"/>
    <w:rsid w:val="00C527A8"/>
    <w:rsid w:val="00C52D8D"/>
    <w:rsid w:val="00C54D55"/>
    <w:rsid w:val="00C554F5"/>
    <w:rsid w:val="00C55FB2"/>
    <w:rsid w:val="00C5622F"/>
    <w:rsid w:val="00C57E55"/>
    <w:rsid w:val="00C6032F"/>
    <w:rsid w:val="00C607ED"/>
    <w:rsid w:val="00C60B07"/>
    <w:rsid w:val="00C60B93"/>
    <w:rsid w:val="00C61A3F"/>
    <w:rsid w:val="00C62099"/>
    <w:rsid w:val="00C629A1"/>
    <w:rsid w:val="00C629DA"/>
    <w:rsid w:val="00C634A0"/>
    <w:rsid w:val="00C63F55"/>
    <w:rsid w:val="00C63FD0"/>
    <w:rsid w:val="00C6656B"/>
    <w:rsid w:val="00C66D67"/>
    <w:rsid w:val="00C702D9"/>
    <w:rsid w:val="00C70482"/>
    <w:rsid w:val="00C70C66"/>
    <w:rsid w:val="00C71E11"/>
    <w:rsid w:val="00C71E64"/>
    <w:rsid w:val="00C72D7E"/>
    <w:rsid w:val="00C73A85"/>
    <w:rsid w:val="00C73D07"/>
    <w:rsid w:val="00C74334"/>
    <w:rsid w:val="00C746BF"/>
    <w:rsid w:val="00C7575A"/>
    <w:rsid w:val="00C75D61"/>
    <w:rsid w:val="00C763A4"/>
    <w:rsid w:val="00C763B7"/>
    <w:rsid w:val="00C77689"/>
    <w:rsid w:val="00C77D25"/>
    <w:rsid w:val="00C812FA"/>
    <w:rsid w:val="00C820A6"/>
    <w:rsid w:val="00C82E65"/>
    <w:rsid w:val="00C83E98"/>
    <w:rsid w:val="00C84165"/>
    <w:rsid w:val="00C84220"/>
    <w:rsid w:val="00C84C56"/>
    <w:rsid w:val="00C859E8"/>
    <w:rsid w:val="00C8631C"/>
    <w:rsid w:val="00C87F0D"/>
    <w:rsid w:val="00C900B6"/>
    <w:rsid w:val="00C90354"/>
    <w:rsid w:val="00C90457"/>
    <w:rsid w:val="00C913BC"/>
    <w:rsid w:val="00C91A1C"/>
    <w:rsid w:val="00C92776"/>
    <w:rsid w:val="00C927A1"/>
    <w:rsid w:val="00C933D1"/>
    <w:rsid w:val="00C93E12"/>
    <w:rsid w:val="00C94CA8"/>
    <w:rsid w:val="00C9529A"/>
    <w:rsid w:val="00C9630E"/>
    <w:rsid w:val="00C966DE"/>
    <w:rsid w:val="00C96C42"/>
    <w:rsid w:val="00C97040"/>
    <w:rsid w:val="00CA05F4"/>
    <w:rsid w:val="00CA0A60"/>
    <w:rsid w:val="00CA0AFB"/>
    <w:rsid w:val="00CA1144"/>
    <w:rsid w:val="00CA12DA"/>
    <w:rsid w:val="00CA2097"/>
    <w:rsid w:val="00CA2A6F"/>
    <w:rsid w:val="00CA315A"/>
    <w:rsid w:val="00CA51ED"/>
    <w:rsid w:val="00CA5BB0"/>
    <w:rsid w:val="00CA7C2A"/>
    <w:rsid w:val="00CA7D09"/>
    <w:rsid w:val="00CB0412"/>
    <w:rsid w:val="00CB18C2"/>
    <w:rsid w:val="00CB2E85"/>
    <w:rsid w:val="00CB3B46"/>
    <w:rsid w:val="00CB6251"/>
    <w:rsid w:val="00CB6D57"/>
    <w:rsid w:val="00CB79C4"/>
    <w:rsid w:val="00CB7B21"/>
    <w:rsid w:val="00CC03E0"/>
    <w:rsid w:val="00CC10D9"/>
    <w:rsid w:val="00CC1661"/>
    <w:rsid w:val="00CC1CDF"/>
    <w:rsid w:val="00CC239B"/>
    <w:rsid w:val="00CC2712"/>
    <w:rsid w:val="00CC3A84"/>
    <w:rsid w:val="00CC3BD7"/>
    <w:rsid w:val="00CC3C38"/>
    <w:rsid w:val="00CC4E6C"/>
    <w:rsid w:val="00CC76B7"/>
    <w:rsid w:val="00CC7980"/>
    <w:rsid w:val="00CC7DD1"/>
    <w:rsid w:val="00CC7F03"/>
    <w:rsid w:val="00CD031A"/>
    <w:rsid w:val="00CD048D"/>
    <w:rsid w:val="00CD0A86"/>
    <w:rsid w:val="00CD1DC0"/>
    <w:rsid w:val="00CD1DCA"/>
    <w:rsid w:val="00CD2014"/>
    <w:rsid w:val="00CD2D18"/>
    <w:rsid w:val="00CD3315"/>
    <w:rsid w:val="00CD3A9E"/>
    <w:rsid w:val="00CD43C6"/>
    <w:rsid w:val="00CD4AF0"/>
    <w:rsid w:val="00CD68EA"/>
    <w:rsid w:val="00CD7494"/>
    <w:rsid w:val="00CE02C3"/>
    <w:rsid w:val="00CE0502"/>
    <w:rsid w:val="00CE16D8"/>
    <w:rsid w:val="00CE2924"/>
    <w:rsid w:val="00CE2B59"/>
    <w:rsid w:val="00CE43FD"/>
    <w:rsid w:val="00CE4B63"/>
    <w:rsid w:val="00CE512E"/>
    <w:rsid w:val="00CE5393"/>
    <w:rsid w:val="00CE5680"/>
    <w:rsid w:val="00CE59BD"/>
    <w:rsid w:val="00CE7F3E"/>
    <w:rsid w:val="00CF0C1D"/>
    <w:rsid w:val="00CF17C8"/>
    <w:rsid w:val="00CF2F49"/>
    <w:rsid w:val="00CF305E"/>
    <w:rsid w:val="00CF42CB"/>
    <w:rsid w:val="00CF5B93"/>
    <w:rsid w:val="00CF67A8"/>
    <w:rsid w:val="00CF6890"/>
    <w:rsid w:val="00CF6980"/>
    <w:rsid w:val="00CF6D88"/>
    <w:rsid w:val="00CF738B"/>
    <w:rsid w:val="00D004D5"/>
    <w:rsid w:val="00D01865"/>
    <w:rsid w:val="00D019FC"/>
    <w:rsid w:val="00D01C9A"/>
    <w:rsid w:val="00D02DAE"/>
    <w:rsid w:val="00D0392C"/>
    <w:rsid w:val="00D05D46"/>
    <w:rsid w:val="00D06030"/>
    <w:rsid w:val="00D063FB"/>
    <w:rsid w:val="00D069A1"/>
    <w:rsid w:val="00D06F4A"/>
    <w:rsid w:val="00D07494"/>
    <w:rsid w:val="00D10208"/>
    <w:rsid w:val="00D10A1D"/>
    <w:rsid w:val="00D118AC"/>
    <w:rsid w:val="00D12E89"/>
    <w:rsid w:val="00D13B17"/>
    <w:rsid w:val="00D142F5"/>
    <w:rsid w:val="00D153D9"/>
    <w:rsid w:val="00D1586F"/>
    <w:rsid w:val="00D20F0A"/>
    <w:rsid w:val="00D215B9"/>
    <w:rsid w:val="00D2213B"/>
    <w:rsid w:val="00D2326A"/>
    <w:rsid w:val="00D2337D"/>
    <w:rsid w:val="00D23457"/>
    <w:rsid w:val="00D24139"/>
    <w:rsid w:val="00D24C52"/>
    <w:rsid w:val="00D255CC"/>
    <w:rsid w:val="00D269DF"/>
    <w:rsid w:val="00D26CB8"/>
    <w:rsid w:val="00D27421"/>
    <w:rsid w:val="00D27487"/>
    <w:rsid w:val="00D314D9"/>
    <w:rsid w:val="00D320A3"/>
    <w:rsid w:val="00D32438"/>
    <w:rsid w:val="00D333DC"/>
    <w:rsid w:val="00D3346D"/>
    <w:rsid w:val="00D341DB"/>
    <w:rsid w:val="00D3553F"/>
    <w:rsid w:val="00D360C4"/>
    <w:rsid w:val="00D3618B"/>
    <w:rsid w:val="00D3651D"/>
    <w:rsid w:val="00D36B90"/>
    <w:rsid w:val="00D37331"/>
    <w:rsid w:val="00D37987"/>
    <w:rsid w:val="00D37A24"/>
    <w:rsid w:val="00D400A8"/>
    <w:rsid w:val="00D452B5"/>
    <w:rsid w:val="00D45A18"/>
    <w:rsid w:val="00D45DA4"/>
    <w:rsid w:val="00D461B9"/>
    <w:rsid w:val="00D47A9E"/>
    <w:rsid w:val="00D50D53"/>
    <w:rsid w:val="00D519A3"/>
    <w:rsid w:val="00D54A95"/>
    <w:rsid w:val="00D55D9B"/>
    <w:rsid w:val="00D566F2"/>
    <w:rsid w:val="00D57259"/>
    <w:rsid w:val="00D57985"/>
    <w:rsid w:val="00D61386"/>
    <w:rsid w:val="00D629B8"/>
    <w:rsid w:val="00D62CD6"/>
    <w:rsid w:val="00D634EC"/>
    <w:rsid w:val="00D64089"/>
    <w:rsid w:val="00D642FC"/>
    <w:rsid w:val="00D64480"/>
    <w:rsid w:val="00D65BD3"/>
    <w:rsid w:val="00D66331"/>
    <w:rsid w:val="00D674AB"/>
    <w:rsid w:val="00D6777D"/>
    <w:rsid w:val="00D70197"/>
    <w:rsid w:val="00D709A0"/>
    <w:rsid w:val="00D70E11"/>
    <w:rsid w:val="00D72CC5"/>
    <w:rsid w:val="00D730FA"/>
    <w:rsid w:val="00D73E78"/>
    <w:rsid w:val="00D759B6"/>
    <w:rsid w:val="00D762C3"/>
    <w:rsid w:val="00D76377"/>
    <w:rsid w:val="00D76430"/>
    <w:rsid w:val="00D7750C"/>
    <w:rsid w:val="00D8123E"/>
    <w:rsid w:val="00D81786"/>
    <w:rsid w:val="00D81F21"/>
    <w:rsid w:val="00D81F46"/>
    <w:rsid w:val="00D81FE4"/>
    <w:rsid w:val="00D82213"/>
    <w:rsid w:val="00D83BC6"/>
    <w:rsid w:val="00D85156"/>
    <w:rsid w:val="00D90CF2"/>
    <w:rsid w:val="00D92164"/>
    <w:rsid w:val="00D925DF"/>
    <w:rsid w:val="00D95136"/>
    <w:rsid w:val="00D95F15"/>
    <w:rsid w:val="00D9646F"/>
    <w:rsid w:val="00D9674F"/>
    <w:rsid w:val="00D96E5A"/>
    <w:rsid w:val="00D97602"/>
    <w:rsid w:val="00D97D74"/>
    <w:rsid w:val="00DA045A"/>
    <w:rsid w:val="00DA0C85"/>
    <w:rsid w:val="00DA0E35"/>
    <w:rsid w:val="00DA1786"/>
    <w:rsid w:val="00DA18BD"/>
    <w:rsid w:val="00DA2175"/>
    <w:rsid w:val="00DA2289"/>
    <w:rsid w:val="00DA2718"/>
    <w:rsid w:val="00DA2F5C"/>
    <w:rsid w:val="00DA38AD"/>
    <w:rsid w:val="00DA5018"/>
    <w:rsid w:val="00DA52C9"/>
    <w:rsid w:val="00DA551E"/>
    <w:rsid w:val="00DA56E5"/>
    <w:rsid w:val="00DA6688"/>
    <w:rsid w:val="00DA6B18"/>
    <w:rsid w:val="00DA6DF4"/>
    <w:rsid w:val="00DA702B"/>
    <w:rsid w:val="00DA77EA"/>
    <w:rsid w:val="00DA79E0"/>
    <w:rsid w:val="00DB061E"/>
    <w:rsid w:val="00DB06F2"/>
    <w:rsid w:val="00DB312B"/>
    <w:rsid w:val="00DB3933"/>
    <w:rsid w:val="00DB4107"/>
    <w:rsid w:val="00DB41D0"/>
    <w:rsid w:val="00DB45C5"/>
    <w:rsid w:val="00DB6108"/>
    <w:rsid w:val="00DB6F63"/>
    <w:rsid w:val="00DB772C"/>
    <w:rsid w:val="00DC0C15"/>
    <w:rsid w:val="00DC1734"/>
    <w:rsid w:val="00DC290B"/>
    <w:rsid w:val="00DC29DA"/>
    <w:rsid w:val="00DC4423"/>
    <w:rsid w:val="00DC462F"/>
    <w:rsid w:val="00DC5646"/>
    <w:rsid w:val="00DC69AB"/>
    <w:rsid w:val="00DD00DF"/>
    <w:rsid w:val="00DD01A3"/>
    <w:rsid w:val="00DD075F"/>
    <w:rsid w:val="00DD11F5"/>
    <w:rsid w:val="00DD2ADA"/>
    <w:rsid w:val="00DD5179"/>
    <w:rsid w:val="00DD5771"/>
    <w:rsid w:val="00DD6F56"/>
    <w:rsid w:val="00DD6FBE"/>
    <w:rsid w:val="00DD7161"/>
    <w:rsid w:val="00DD7C96"/>
    <w:rsid w:val="00DD7CD1"/>
    <w:rsid w:val="00DE148A"/>
    <w:rsid w:val="00DE149D"/>
    <w:rsid w:val="00DE1543"/>
    <w:rsid w:val="00DE1FB3"/>
    <w:rsid w:val="00DE216A"/>
    <w:rsid w:val="00DE26F8"/>
    <w:rsid w:val="00DE29AC"/>
    <w:rsid w:val="00DE2D1D"/>
    <w:rsid w:val="00DE308E"/>
    <w:rsid w:val="00DE3782"/>
    <w:rsid w:val="00DE397E"/>
    <w:rsid w:val="00DE4762"/>
    <w:rsid w:val="00DE49ED"/>
    <w:rsid w:val="00DE4A6B"/>
    <w:rsid w:val="00DE4CA5"/>
    <w:rsid w:val="00DE5DF2"/>
    <w:rsid w:val="00DE6D65"/>
    <w:rsid w:val="00DE6D87"/>
    <w:rsid w:val="00DE73CF"/>
    <w:rsid w:val="00DE7A69"/>
    <w:rsid w:val="00DF0000"/>
    <w:rsid w:val="00DF0542"/>
    <w:rsid w:val="00DF13AB"/>
    <w:rsid w:val="00DF14CC"/>
    <w:rsid w:val="00DF16F5"/>
    <w:rsid w:val="00DF191C"/>
    <w:rsid w:val="00DF27E9"/>
    <w:rsid w:val="00DF2B76"/>
    <w:rsid w:val="00DF2D46"/>
    <w:rsid w:val="00DF3EDE"/>
    <w:rsid w:val="00DF431D"/>
    <w:rsid w:val="00DF44FA"/>
    <w:rsid w:val="00DF4928"/>
    <w:rsid w:val="00DF5F5E"/>
    <w:rsid w:val="00DF617F"/>
    <w:rsid w:val="00DF631B"/>
    <w:rsid w:val="00DF64AA"/>
    <w:rsid w:val="00DF68F8"/>
    <w:rsid w:val="00DF6E61"/>
    <w:rsid w:val="00E03824"/>
    <w:rsid w:val="00E05188"/>
    <w:rsid w:val="00E05871"/>
    <w:rsid w:val="00E05C9C"/>
    <w:rsid w:val="00E062E2"/>
    <w:rsid w:val="00E063D3"/>
    <w:rsid w:val="00E06C97"/>
    <w:rsid w:val="00E06F61"/>
    <w:rsid w:val="00E076A2"/>
    <w:rsid w:val="00E1036B"/>
    <w:rsid w:val="00E1074C"/>
    <w:rsid w:val="00E1081B"/>
    <w:rsid w:val="00E1308B"/>
    <w:rsid w:val="00E14733"/>
    <w:rsid w:val="00E14C4E"/>
    <w:rsid w:val="00E15319"/>
    <w:rsid w:val="00E154BD"/>
    <w:rsid w:val="00E16321"/>
    <w:rsid w:val="00E1792F"/>
    <w:rsid w:val="00E17B1F"/>
    <w:rsid w:val="00E17CC1"/>
    <w:rsid w:val="00E205D0"/>
    <w:rsid w:val="00E20D73"/>
    <w:rsid w:val="00E23735"/>
    <w:rsid w:val="00E23C54"/>
    <w:rsid w:val="00E26508"/>
    <w:rsid w:val="00E275CF"/>
    <w:rsid w:val="00E27BD3"/>
    <w:rsid w:val="00E30AB1"/>
    <w:rsid w:val="00E316FB"/>
    <w:rsid w:val="00E31B03"/>
    <w:rsid w:val="00E31DBE"/>
    <w:rsid w:val="00E31E2B"/>
    <w:rsid w:val="00E326B6"/>
    <w:rsid w:val="00E329A8"/>
    <w:rsid w:val="00E32C15"/>
    <w:rsid w:val="00E33B76"/>
    <w:rsid w:val="00E33D72"/>
    <w:rsid w:val="00E341ED"/>
    <w:rsid w:val="00E36905"/>
    <w:rsid w:val="00E36D95"/>
    <w:rsid w:val="00E37457"/>
    <w:rsid w:val="00E400D7"/>
    <w:rsid w:val="00E402AD"/>
    <w:rsid w:val="00E405A0"/>
    <w:rsid w:val="00E40C63"/>
    <w:rsid w:val="00E40ED0"/>
    <w:rsid w:val="00E41625"/>
    <w:rsid w:val="00E425A0"/>
    <w:rsid w:val="00E42876"/>
    <w:rsid w:val="00E42CD3"/>
    <w:rsid w:val="00E43287"/>
    <w:rsid w:val="00E43313"/>
    <w:rsid w:val="00E50026"/>
    <w:rsid w:val="00E50B0C"/>
    <w:rsid w:val="00E50F13"/>
    <w:rsid w:val="00E50F23"/>
    <w:rsid w:val="00E52751"/>
    <w:rsid w:val="00E53A32"/>
    <w:rsid w:val="00E5494B"/>
    <w:rsid w:val="00E54958"/>
    <w:rsid w:val="00E550A1"/>
    <w:rsid w:val="00E56251"/>
    <w:rsid w:val="00E56B0F"/>
    <w:rsid w:val="00E57EAD"/>
    <w:rsid w:val="00E613E4"/>
    <w:rsid w:val="00E61812"/>
    <w:rsid w:val="00E6187C"/>
    <w:rsid w:val="00E6196D"/>
    <w:rsid w:val="00E61EA6"/>
    <w:rsid w:val="00E61F8D"/>
    <w:rsid w:val="00E62112"/>
    <w:rsid w:val="00E6267D"/>
    <w:rsid w:val="00E634DD"/>
    <w:rsid w:val="00E63B10"/>
    <w:rsid w:val="00E64508"/>
    <w:rsid w:val="00E64C1D"/>
    <w:rsid w:val="00E64C81"/>
    <w:rsid w:val="00E654B1"/>
    <w:rsid w:val="00E65A94"/>
    <w:rsid w:val="00E666AC"/>
    <w:rsid w:val="00E66BF0"/>
    <w:rsid w:val="00E678FC"/>
    <w:rsid w:val="00E67A36"/>
    <w:rsid w:val="00E7020D"/>
    <w:rsid w:val="00E708DC"/>
    <w:rsid w:val="00E70942"/>
    <w:rsid w:val="00E70CBC"/>
    <w:rsid w:val="00E715DC"/>
    <w:rsid w:val="00E724EA"/>
    <w:rsid w:val="00E72D8E"/>
    <w:rsid w:val="00E72F7E"/>
    <w:rsid w:val="00E73CA3"/>
    <w:rsid w:val="00E74653"/>
    <w:rsid w:val="00E74B0E"/>
    <w:rsid w:val="00E7505A"/>
    <w:rsid w:val="00E75A45"/>
    <w:rsid w:val="00E76567"/>
    <w:rsid w:val="00E76795"/>
    <w:rsid w:val="00E76B4D"/>
    <w:rsid w:val="00E775CC"/>
    <w:rsid w:val="00E77989"/>
    <w:rsid w:val="00E77B93"/>
    <w:rsid w:val="00E80D72"/>
    <w:rsid w:val="00E80FFE"/>
    <w:rsid w:val="00E8151B"/>
    <w:rsid w:val="00E81DEA"/>
    <w:rsid w:val="00E83207"/>
    <w:rsid w:val="00E83C80"/>
    <w:rsid w:val="00E84BAF"/>
    <w:rsid w:val="00E85599"/>
    <w:rsid w:val="00E86159"/>
    <w:rsid w:val="00E865F6"/>
    <w:rsid w:val="00E86BFB"/>
    <w:rsid w:val="00E8702C"/>
    <w:rsid w:val="00E8747F"/>
    <w:rsid w:val="00E879B7"/>
    <w:rsid w:val="00E87C50"/>
    <w:rsid w:val="00E9072A"/>
    <w:rsid w:val="00E91E5B"/>
    <w:rsid w:val="00E9202A"/>
    <w:rsid w:val="00E92096"/>
    <w:rsid w:val="00E929B2"/>
    <w:rsid w:val="00E932C8"/>
    <w:rsid w:val="00E94495"/>
    <w:rsid w:val="00E95A42"/>
    <w:rsid w:val="00E95B0D"/>
    <w:rsid w:val="00E96C91"/>
    <w:rsid w:val="00E96EB4"/>
    <w:rsid w:val="00EA0AF4"/>
    <w:rsid w:val="00EA0F39"/>
    <w:rsid w:val="00EA1798"/>
    <w:rsid w:val="00EA1875"/>
    <w:rsid w:val="00EA28A7"/>
    <w:rsid w:val="00EA43B6"/>
    <w:rsid w:val="00EA5D9D"/>
    <w:rsid w:val="00EA5E8D"/>
    <w:rsid w:val="00EA6411"/>
    <w:rsid w:val="00EA65C3"/>
    <w:rsid w:val="00EA7AE9"/>
    <w:rsid w:val="00EB143B"/>
    <w:rsid w:val="00EB15B8"/>
    <w:rsid w:val="00EB1604"/>
    <w:rsid w:val="00EB1FD4"/>
    <w:rsid w:val="00EB2746"/>
    <w:rsid w:val="00EB291F"/>
    <w:rsid w:val="00EB316A"/>
    <w:rsid w:val="00EB382A"/>
    <w:rsid w:val="00EB4994"/>
    <w:rsid w:val="00EB4FEA"/>
    <w:rsid w:val="00EB628A"/>
    <w:rsid w:val="00EB64C5"/>
    <w:rsid w:val="00EB6C3C"/>
    <w:rsid w:val="00EB6CA6"/>
    <w:rsid w:val="00EB7069"/>
    <w:rsid w:val="00EB7D68"/>
    <w:rsid w:val="00EC0005"/>
    <w:rsid w:val="00EC0E81"/>
    <w:rsid w:val="00EC113B"/>
    <w:rsid w:val="00EC129A"/>
    <w:rsid w:val="00EC1C25"/>
    <w:rsid w:val="00EC2382"/>
    <w:rsid w:val="00EC2542"/>
    <w:rsid w:val="00EC2E5F"/>
    <w:rsid w:val="00EC3E80"/>
    <w:rsid w:val="00EC4AC0"/>
    <w:rsid w:val="00EC5314"/>
    <w:rsid w:val="00EC59CA"/>
    <w:rsid w:val="00EC614B"/>
    <w:rsid w:val="00EC62F0"/>
    <w:rsid w:val="00EC635E"/>
    <w:rsid w:val="00EC64CC"/>
    <w:rsid w:val="00EC6E4B"/>
    <w:rsid w:val="00EC73BA"/>
    <w:rsid w:val="00EC7E54"/>
    <w:rsid w:val="00ED161A"/>
    <w:rsid w:val="00ED163F"/>
    <w:rsid w:val="00ED16D2"/>
    <w:rsid w:val="00ED25CD"/>
    <w:rsid w:val="00ED2800"/>
    <w:rsid w:val="00ED3C35"/>
    <w:rsid w:val="00ED3F0F"/>
    <w:rsid w:val="00ED4097"/>
    <w:rsid w:val="00ED61CB"/>
    <w:rsid w:val="00ED664A"/>
    <w:rsid w:val="00ED6D74"/>
    <w:rsid w:val="00ED79ED"/>
    <w:rsid w:val="00EE0FB1"/>
    <w:rsid w:val="00EE1592"/>
    <w:rsid w:val="00EE1DF9"/>
    <w:rsid w:val="00EE278F"/>
    <w:rsid w:val="00EE2AEC"/>
    <w:rsid w:val="00EE2CA7"/>
    <w:rsid w:val="00EE3143"/>
    <w:rsid w:val="00EE3FE3"/>
    <w:rsid w:val="00EE45B3"/>
    <w:rsid w:val="00EE4D73"/>
    <w:rsid w:val="00EE5503"/>
    <w:rsid w:val="00EE6798"/>
    <w:rsid w:val="00EE7C6F"/>
    <w:rsid w:val="00EF039B"/>
    <w:rsid w:val="00EF0E48"/>
    <w:rsid w:val="00EF0F87"/>
    <w:rsid w:val="00EF1B65"/>
    <w:rsid w:val="00EF250C"/>
    <w:rsid w:val="00EF2721"/>
    <w:rsid w:val="00EF27BC"/>
    <w:rsid w:val="00EF42F3"/>
    <w:rsid w:val="00EF6243"/>
    <w:rsid w:val="00F00044"/>
    <w:rsid w:val="00F00CA8"/>
    <w:rsid w:val="00F019B0"/>
    <w:rsid w:val="00F0293C"/>
    <w:rsid w:val="00F02B12"/>
    <w:rsid w:val="00F03113"/>
    <w:rsid w:val="00F03801"/>
    <w:rsid w:val="00F04A2B"/>
    <w:rsid w:val="00F04FC4"/>
    <w:rsid w:val="00F052C5"/>
    <w:rsid w:val="00F05888"/>
    <w:rsid w:val="00F069D4"/>
    <w:rsid w:val="00F06EAB"/>
    <w:rsid w:val="00F0797D"/>
    <w:rsid w:val="00F07AD7"/>
    <w:rsid w:val="00F11092"/>
    <w:rsid w:val="00F125A8"/>
    <w:rsid w:val="00F128B7"/>
    <w:rsid w:val="00F12B63"/>
    <w:rsid w:val="00F162D1"/>
    <w:rsid w:val="00F16644"/>
    <w:rsid w:val="00F17452"/>
    <w:rsid w:val="00F1786C"/>
    <w:rsid w:val="00F17BB2"/>
    <w:rsid w:val="00F20E89"/>
    <w:rsid w:val="00F20F84"/>
    <w:rsid w:val="00F2125D"/>
    <w:rsid w:val="00F2129A"/>
    <w:rsid w:val="00F21EE6"/>
    <w:rsid w:val="00F2224C"/>
    <w:rsid w:val="00F25018"/>
    <w:rsid w:val="00F2614B"/>
    <w:rsid w:val="00F26596"/>
    <w:rsid w:val="00F2694B"/>
    <w:rsid w:val="00F27190"/>
    <w:rsid w:val="00F27769"/>
    <w:rsid w:val="00F27984"/>
    <w:rsid w:val="00F30C88"/>
    <w:rsid w:val="00F31DF9"/>
    <w:rsid w:val="00F32E95"/>
    <w:rsid w:val="00F3325D"/>
    <w:rsid w:val="00F33721"/>
    <w:rsid w:val="00F36396"/>
    <w:rsid w:val="00F3734F"/>
    <w:rsid w:val="00F37C1E"/>
    <w:rsid w:val="00F400A9"/>
    <w:rsid w:val="00F400E2"/>
    <w:rsid w:val="00F40A95"/>
    <w:rsid w:val="00F40CF5"/>
    <w:rsid w:val="00F41715"/>
    <w:rsid w:val="00F41A18"/>
    <w:rsid w:val="00F42265"/>
    <w:rsid w:val="00F42636"/>
    <w:rsid w:val="00F427A0"/>
    <w:rsid w:val="00F428D3"/>
    <w:rsid w:val="00F441E6"/>
    <w:rsid w:val="00F449C8"/>
    <w:rsid w:val="00F44DD4"/>
    <w:rsid w:val="00F45514"/>
    <w:rsid w:val="00F455F8"/>
    <w:rsid w:val="00F46328"/>
    <w:rsid w:val="00F47228"/>
    <w:rsid w:val="00F515F7"/>
    <w:rsid w:val="00F51889"/>
    <w:rsid w:val="00F51B5C"/>
    <w:rsid w:val="00F51DF9"/>
    <w:rsid w:val="00F521F0"/>
    <w:rsid w:val="00F52859"/>
    <w:rsid w:val="00F53BC7"/>
    <w:rsid w:val="00F53E96"/>
    <w:rsid w:val="00F5436A"/>
    <w:rsid w:val="00F54940"/>
    <w:rsid w:val="00F55404"/>
    <w:rsid w:val="00F5555B"/>
    <w:rsid w:val="00F55E11"/>
    <w:rsid w:val="00F55ECC"/>
    <w:rsid w:val="00F57706"/>
    <w:rsid w:val="00F57BB9"/>
    <w:rsid w:val="00F6030E"/>
    <w:rsid w:val="00F6067C"/>
    <w:rsid w:val="00F60697"/>
    <w:rsid w:val="00F615EB"/>
    <w:rsid w:val="00F616F6"/>
    <w:rsid w:val="00F61C08"/>
    <w:rsid w:val="00F61EC9"/>
    <w:rsid w:val="00F63062"/>
    <w:rsid w:val="00F6389F"/>
    <w:rsid w:val="00F6454F"/>
    <w:rsid w:val="00F646DB"/>
    <w:rsid w:val="00F64D65"/>
    <w:rsid w:val="00F654AD"/>
    <w:rsid w:val="00F6610D"/>
    <w:rsid w:val="00F70330"/>
    <w:rsid w:val="00F707F3"/>
    <w:rsid w:val="00F722AC"/>
    <w:rsid w:val="00F724D3"/>
    <w:rsid w:val="00F73045"/>
    <w:rsid w:val="00F749CE"/>
    <w:rsid w:val="00F74B07"/>
    <w:rsid w:val="00F75425"/>
    <w:rsid w:val="00F76D40"/>
    <w:rsid w:val="00F772C7"/>
    <w:rsid w:val="00F7758B"/>
    <w:rsid w:val="00F800C5"/>
    <w:rsid w:val="00F81979"/>
    <w:rsid w:val="00F81AD6"/>
    <w:rsid w:val="00F81F09"/>
    <w:rsid w:val="00F82D42"/>
    <w:rsid w:val="00F83F18"/>
    <w:rsid w:val="00F84700"/>
    <w:rsid w:val="00F85706"/>
    <w:rsid w:val="00F86D08"/>
    <w:rsid w:val="00F870A6"/>
    <w:rsid w:val="00F873BA"/>
    <w:rsid w:val="00F90D7B"/>
    <w:rsid w:val="00F9117B"/>
    <w:rsid w:val="00F918E7"/>
    <w:rsid w:val="00F91F0F"/>
    <w:rsid w:val="00F92513"/>
    <w:rsid w:val="00F925D2"/>
    <w:rsid w:val="00F92C04"/>
    <w:rsid w:val="00F947BD"/>
    <w:rsid w:val="00F94F3E"/>
    <w:rsid w:val="00F95F30"/>
    <w:rsid w:val="00F95F37"/>
    <w:rsid w:val="00F9735A"/>
    <w:rsid w:val="00F9799D"/>
    <w:rsid w:val="00F97B57"/>
    <w:rsid w:val="00F97BE8"/>
    <w:rsid w:val="00FA0657"/>
    <w:rsid w:val="00FA0ADD"/>
    <w:rsid w:val="00FA17DD"/>
    <w:rsid w:val="00FA2E27"/>
    <w:rsid w:val="00FA3187"/>
    <w:rsid w:val="00FA3301"/>
    <w:rsid w:val="00FA3519"/>
    <w:rsid w:val="00FA4B7C"/>
    <w:rsid w:val="00FA60B1"/>
    <w:rsid w:val="00FA77F8"/>
    <w:rsid w:val="00FA780D"/>
    <w:rsid w:val="00FA7935"/>
    <w:rsid w:val="00FA7A6D"/>
    <w:rsid w:val="00FB02BD"/>
    <w:rsid w:val="00FB0AD5"/>
    <w:rsid w:val="00FB1818"/>
    <w:rsid w:val="00FB3855"/>
    <w:rsid w:val="00FB3AA7"/>
    <w:rsid w:val="00FB3CA3"/>
    <w:rsid w:val="00FB4B11"/>
    <w:rsid w:val="00FB4B49"/>
    <w:rsid w:val="00FB4BDD"/>
    <w:rsid w:val="00FB5573"/>
    <w:rsid w:val="00FB5966"/>
    <w:rsid w:val="00FB5BE3"/>
    <w:rsid w:val="00FB5ED6"/>
    <w:rsid w:val="00FB60F0"/>
    <w:rsid w:val="00FB679E"/>
    <w:rsid w:val="00FB71C7"/>
    <w:rsid w:val="00FB76D9"/>
    <w:rsid w:val="00FC1F10"/>
    <w:rsid w:val="00FC3622"/>
    <w:rsid w:val="00FC476F"/>
    <w:rsid w:val="00FC4F14"/>
    <w:rsid w:val="00FC5AAF"/>
    <w:rsid w:val="00FC5E5E"/>
    <w:rsid w:val="00FC5EB8"/>
    <w:rsid w:val="00FC6192"/>
    <w:rsid w:val="00FC6D62"/>
    <w:rsid w:val="00FC7A7D"/>
    <w:rsid w:val="00FC7E0F"/>
    <w:rsid w:val="00FD0703"/>
    <w:rsid w:val="00FD0781"/>
    <w:rsid w:val="00FD1734"/>
    <w:rsid w:val="00FD39CC"/>
    <w:rsid w:val="00FD4BA5"/>
    <w:rsid w:val="00FD64BC"/>
    <w:rsid w:val="00FD6B74"/>
    <w:rsid w:val="00FD6CCD"/>
    <w:rsid w:val="00FD6EED"/>
    <w:rsid w:val="00FD76C1"/>
    <w:rsid w:val="00FD7B36"/>
    <w:rsid w:val="00FE04D1"/>
    <w:rsid w:val="00FE06E5"/>
    <w:rsid w:val="00FE0ACD"/>
    <w:rsid w:val="00FE0B1D"/>
    <w:rsid w:val="00FE0BA9"/>
    <w:rsid w:val="00FE1034"/>
    <w:rsid w:val="00FE11CE"/>
    <w:rsid w:val="00FE26A4"/>
    <w:rsid w:val="00FE5F98"/>
    <w:rsid w:val="00FE606A"/>
    <w:rsid w:val="00FE6281"/>
    <w:rsid w:val="00FE7B21"/>
    <w:rsid w:val="00FF088C"/>
    <w:rsid w:val="00FF1003"/>
    <w:rsid w:val="00FF1214"/>
    <w:rsid w:val="00FF1374"/>
    <w:rsid w:val="00FF1487"/>
    <w:rsid w:val="00FF2058"/>
    <w:rsid w:val="00FF29A5"/>
    <w:rsid w:val="00FF2BF2"/>
    <w:rsid w:val="00FF2F45"/>
    <w:rsid w:val="00FF415B"/>
    <w:rsid w:val="00FF46AB"/>
    <w:rsid w:val="00FF4E2C"/>
    <w:rsid w:val="00FF54D2"/>
    <w:rsid w:val="00FF5D41"/>
    <w:rsid w:val="00FF6EB1"/>
    <w:rsid w:val="00FF702D"/>
    <w:rsid w:val="00FF7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30"/>
    <w:pPr>
      <w:spacing w:after="100" w:line="400" w:lineRule="exact"/>
      <w:jc w:val="both"/>
    </w:pPr>
    <w:rPr>
      <w:rFonts w:ascii="Century Schoolbook" w:hAnsi="Century Schoolbook"/>
      <w:sz w:val="27"/>
    </w:rPr>
  </w:style>
  <w:style w:type="paragraph" w:styleId="Heading1">
    <w:name w:val="heading 1"/>
    <w:basedOn w:val="Normal"/>
    <w:next w:val="Normal"/>
    <w:qFormat/>
    <w:rsid w:val="00F95F30"/>
    <w:pPr>
      <w:keepNext/>
      <w:spacing w:before="140" w:line="240" w:lineRule="atLeast"/>
      <w:jc w:val="center"/>
      <w:outlineLvl w:val="0"/>
    </w:pPr>
    <w:rPr>
      <w:b/>
      <w:smallCaps/>
    </w:rPr>
  </w:style>
  <w:style w:type="paragraph" w:styleId="Heading2">
    <w:name w:val="heading 2"/>
    <w:basedOn w:val="Normal"/>
    <w:next w:val="Normal"/>
    <w:qFormat/>
    <w:rsid w:val="00DB41D0"/>
    <w:pPr>
      <w:keepNext/>
      <w:spacing w:before="140" w:line="240" w:lineRule="atLeast"/>
      <w:ind w:left="450" w:hanging="432"/>
      <w:jc w:val="center"/>
      <w:outlineLvl w:val="1"/>
    </w:pPr>
    <w:rPr>
      <w:b/>
    </w:rPr>
  </w:style>
  <w:style w:type="paragraph" w:styleId="Heading3">
    <w:name w:val="heading 3"/>
    <w:basedOn w:val="Normal"/>
    <w:next w:val="NormalIndent"/>
    <w:qFormat/>
    <w:rsid w:val="00F95F30"/>
    <w:pPr>
      <w:keepNext/>
      <w:tabs>
        <w:tab w:val="left" w:pos="1584"/>
      </w:tabs>
      <w:spacing w:before="140" w:line="240" w:lineRule="atLeast"/>
      <w:ind w:left="1584" w:hanging="432"/>
      <w:jc w:val="left"/>
      <w:outlineLvl w:val="2"/>
    </w:pPr>
    <w:rPr>
      <w:i/>
    </w:rPr>
  </w:style>
  <w:style w:type="paragraph" w:styleId="Heading4">
    <w:name w:val="heading 4"/>
    <w:basedOn w:val="Normal"/>
    <w:rsid w:val="00F95F30"/>
    <w:pPr>
      <w:keepNext/>
      <w:tabs>
        <w:tab w:val="left" w:pos="2016"/>
      </w:tabs>
      <w:spacing w:before="140" w:line="240" w:lineRule="atLeast"/>
      <w:ind w:left="2016" w:hanging="432"/>
      <w:jc w:val="left"/>
      <w:outlineLvl w:val="3"/>
    </w:pPr>
    <w:rPr>
      <w:i/>
    </w:rPr>
  </w:style>
  <w:style w:type="paragraph" w:styleId="Heading5">
    <w:name w:val="heading 5"/>
    <w:basedOn w:val="Normal"/>
    <w:rsid w:val="00F95F3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95F30"/>
    <w:pPr>
      <w:ind w:left="720"/>
    </w:pPr>
  </w:style>
  <w:style w:type="paragraph" w:styleId="Footer">
    <w:name w:val="footer"/>
    <w:basedOn w:val="Normal"/>
    <w:link w:val="FooterChar"/>
    <w:uiPriority w:val="99"/>
    <w:qFormat/>
    <w:rsid w:val="00F95F30"/>
    <w:pPr>
      <w:tabs>
        <w:tab w:val="center" w:pos="3960"/>
        <w:tab w:val="right" w:pos="10080"/>
      </w:tabs>
      <w:spacing w:after="0" w:line="240" w:lineRule="auto"/>
      <w:jc w:val="center"/>
    </w:pPr>
    <w:rPr>
      <w:sz w:val="22"/>
    </w:rPr>
  </w:style>
  <w:style w:type="paragraph" w:styleId="Header">
    <w:name w:val="header"/>
    <w:basedOn w:val="Normal"/>
    <w:link w:val="HeaderChar"/>
    <w:uiPriority w:val="99"/>
    <w:qFormat/>
    <w:rsid w:val="00F95F3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95F30"/>
    <w:rPr>
      <w:rFonts w:ascii="Century Schoolbook" w:hAnsi="Century Schoolbook"/>
      <w:b/>
      <w:i w:val="0"/>
      <w:position w:val="4"/>
      <w:sz w:val="27"/>
      <w:vertAlign w:val="superscript"/>
    </w:rPr>
  </w:style>
  <w:style w:type="paragraph" w:styleId="FootnoteText">
    <w:name w:val="footnote text"/>
    <w:basedOn w:val="Normal"/>
    <w:link w:val="FootnoteTextChar"/>
    <w:rsid w:val="00F95F30"/>
    <w:pPr>
      <w:spacing w:line="300" w:lineRule="exact"/>
    </w:pPr>
  </w:style>
  <w:style w:type="paragraph" w:customStyle="1" w:styleId="Title1">
    <w:name w:val="Title1"/>
    <w:basedOn w:val="Normal"/>
    <w:rsid w:val="00F95F30"/>
    <w:pPr>
      <w:tabs>
        <w:tab w:val="left" w:pos="5760"/>
        <w:tab w:val="left" w:pos="6480"/>
      </w:tabs>
      <w:spacing w:line="240" w:lineRule="atLeast"/>
    </w:pPr>
  </w:style>
  <w:style w:type="paragraph" w:customStyle="1" w:styleId="Recommend">
    <w:name w:val="Recommend"/>
    <w:basedOn w:val="Normal"/>
    <w:rsid w:val="00F95F30"/>
  </w:style>
  <w:style w:type="paragraph" w:customStyle="1" w:styleId="Summary">
    <w:name w:val="Summary"/>
    <w:basedOn w:val="Normal"/>
    <w:rsid w:val="00F95F30"/>
    <w:pPr>
      <w:ind w:left="2160" w:hanging="2160"/>
    </w:pPr>
  </w:style>
  <w:style w:type="paragraph" w:customStyle="1" w:styleId="Text">
    <w:name w:val="Text"/>
    <w:basedOn w:val="Normal"/>
    <w:rsid w:val="00F95F30"/>
    <w:pPr>
      <w:tabs>
        <w:tab w:val="left" w:pos="720"/>
        <w:tab w:val="left" w:pos="1440"/>
        <w:tab w:val="left" w:pos="2160"/>
        <w:tab w:val="center" w:pos="4320"/>
      </w:tabs>
      <w:spacing w:line="480" w:lineRule="atLeast"/>
      <w:ind w:firstLine="540"/>
    </w:pPr>
  </w:style>
  <w:style w:type="paragraph" w:styleId="Date">
    <w:name w:val="Date"/>
    <w:basedOn w:val="Normal"/>
    <w:semiHidden/>
    <w:rsid w:val="00F95F30"/>
    <w:pPr>
      <w:jc w:val="right"/>
    </w:pPr>
  </w:style>
  <w:style w:type="character" w:styleId="PageNumber">
    <w:name w:val="page number"/>
    <w:basedOn w:val="DefaultParagraphFont"/>
    <w:semiHidden/>
    <w:rsid w:val="00F95F30"/>
  </w:style>
  <w:style w:type="paragraph" w:customStyle="1" w:styleId="subject">
    <w:name w:val="subject"/>
    <w:basedOn w:val="Normal"/>
    <w:rsid w:val="00F95F30"/>
    <w:pPr>
      <w:tabs>
        <w:tab w:val="left" w:pos="1008"/>
      </w:tabs>
      <w:ind w:left="990" w:hanging="990"/>
    </w:pPr>
    <w:rPr>
      <w:b/>
    </w:rPr>
  </w:style>
  <w:style w:type="paragraph" w:customStyle="1" w:styleId="Titles">
    <w:name w:val="Titles"/>
    <w:basedOn w:val="Normal"/>
    <w:rsid w:val="00F95F30"/>
    <w:pPr>
      <w:tabs>
        <w:tab w:val="left" w:pos="2160"/>
      </w:tabs>
      <w:ind w:left="2160" w:hanging="2160"/>
    </w:pPr>
    <w:rPr>
      <w:b/>
    </w:rPr>
  </w:style>
  <w:style w:type="paragraph" w:styleId="TOAHeading">
    <w:name w:val="toa heading"/>
    <w:basedOn w:val="Normal"/>
    <w:next w:val="Normal"/>
    <w:semiHidden/>
    <w:rsid w:val="00F95F30"/>
    <w:pPr>
      <w:spacing w:before="120"/>
    </w:pPr>
    <w:rPr>
      <w:b/>
    </w:rPr>
  </w:style>
  <w:style w:type="paragraph" w:styleId="TOC1">
    <w:name w:val="toc 1"/>
    <w:basedOn w:val="Normal"/>
    <w:next w:val="Normal"/>
    <w:autoRedefine/>
    <w:semiHidden/>
    <w:rsid w:val="00F95F30"/>
  </w:style>
  <w:style w:type="paragraph" w:styleId="TOC2">
    <w:name w:val="toc 2"/>
    <w:basedOn w:val="Normal"/>
    <w:next w:val="Normal"/>
    <w:autoRedefine/>
    <w:semiHidden/>
    <w:rsid w:val="00F95F30"/>
    <w:pPr>
      <w:ind w:left="259"/>
    </w:pPr>
  </w:style>
  <w:style w:type="paragraph" w:styleId="TOC3">
    <w:name w:val="toc 3"/>
    <w:basedOn w:val="Normal"/>
    <w:next w:val="Normal"/>
    <w:autoRedefine/>
    <w:semiHidden/>
    <w:rsid w:val="00F95F30"/>
    <w:pPr>
      <w:ind w:left="520"/>
    </w:pPr>
  </w:style>
  <w:style w:type="paragraph" w:styleId="TOC4">
    <w:name w:val="toc 4"/>
    <w:basedOn w:val="Normal"/>
    <w:next w:val="Normal"/>
    <w:autoRedefine/>
    <w:semiHidden/>
    <w:rsid w:val="00F95F30"/>
    <w:pPr>
      <w:ind w:left="780"/>
    </w:pPr>
  </w:style>
  <w:style w:type="paragraph" w:styleId="TOC5">
    <w:name w:val="toc 5"/>
    <w:basedOn w:val="Normal"/>
    <w:next w:val="Normal"/>
    <w:autoRedefine/>
    <w:semiHidden/>
    <w:rsid w:val="00F95F30"/>
    <w:pPr>
      <w:ind w:left="1040"/>
    </w:pPr>
  </w:style>
  <w:style w:type="paragraph" w:styleId="TOC6">
    <w:name w:val="toc 6"/>
    <w:basedOn w:val="Normal"/>
    <w:next w:val="Normal"/>
    <w:autoRedefine/>
    <w:semiHidden/>
    <w:rsid w:val="00F95F30"/>
    <w:pPr>
      <w:ind w:left="1300"/>
    </w:pPr>
  </w:style>
  <w:style w:type="paragraph" w:styleId="TOC7">
    <w:name w:val="toc 7"/>
    <w:basedOn w:val="Normal"/>
    <w:next w:val="Normal"/>
    <w:autoRedefine/>
    <w:semiHidden/>
    <w:rsid w:val="00F95F30"/>
    <w:pPr>
      <w:ind w:left="1560"/>
    </w:pPr>
  </w:style>
  <w:style w:type="paragraph" w:styleId="TOC8">
    <w:name w:val="toc 8"/>
    <w:basedOn w:val="Normal"/>
    <w:next w:val="Normal"/>
    <w:autoRedefine/>
    <w:semiHidden/>
    <w:rsid w:val="00F95F30"/>
    <w:pPr>
      <w:ind w:left="1820"/>
    </w:pPr>
  </w:style>
  <w:style w:type="paragraph" w:styleId="TOC9">
    <w:name w:val="toc 9"/>
    <w:basedOn w:val="Normal"/>
    <w:next w:val="Normal"/>
    <w:autoRedefine/>
    <w:semiHidden/>
    <w:rsid w:val="00F95F30"/>
    <w:pPr>
      <w:ind w:left="2080"/>
    </w:pPr>
  </w:style>
  <w:style w:type="paragraph" w:customStyle="1" w:styleId="Contents">
    <w:name w:val="Contents"/>
    <w:basedOn w:val="Normal"/>
    <w:rsid w:val="00F95F30"/>
    <w:pPr>
      <w:jc w:val="center"/>
    </w:pPr>
    <w:rPr>
      <w:b/>
      <w:spacing w:val="100"/>
    </w:rPr>
  </w:style>
  <w:style w:type="character" w:customStyle="1" w:styleId="ssbf">
    <w:name w:val="ss_bf"/>
    <w:basedOn w:val="DefaultParagraphFont"/>
    <w:rsid w:val="00003D6E"/>
  </w:style>
  <w:style w:type="character" w:customStyle="1" w:styleId="sschangeadd">
    <w:name w:val="ss_changeadd"/>
    <w:basedOn w:val="DefaultParagraphFont"/>
    <w:rsid w:val="00003D6E"/>
  </w:style>
  <w:style w:type="paragraph" w:styleId="NormalWeb">
    <w:name w:val="Normal (Web)"/>
    <w:basedOn w:val="Normal"/>
    <w:uiPriority w:val="99"/>
    <w:semiHidden/>
    <w:unhideWhenUsed/>
    <w:rsid w:val="00003D6E"/>
    <w:pPr>
      <w:spacing w:before="100" w:beforeAutospacing="1" w:afterAutospacing="1"/>
    </w:pPr>
    <w:rPr>
      <w:sz w:val="24"/>
      <w:szCs w:val="24"/>
    </w:rPr>
  </w:style>
  <w:style w:type="character" w:customStyle="1" w:styleId="sschangedelete">
    <w:name w:val="ss_changedelete"/>
    <w:basedOn w:val="DefaultParagraphFont"/>
    <w:rsid w:val="00003D6E"/>
  </w:style>
  <w:style w:type="table" w:styleId="TableGrid">
    <w:name w:val="Table Grid"/>
    <w:basedOn w:val="TableNormal"/>
    <w:uiPriority w:val="59"/>
    <w:rsid w:val="00EC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28A"/>
    <w:rPr>
      <w:sz w:val="16"/>
      <w:szCs w:val="16"/>
    </w:rPr>
  </w:style>
  <w:style w:type="paragraph" w:styleId="CommentText">
    <w:name w:val="annotation text"/>
    <w:basedOn w:val="Normal"/>
    <w:link w:val="CommentTextChar"/>
    <w:uiPriority w:val="99"/>
    <w:unhideWhenUsed/>
    <w:rsid w:val="00EB628A"/>
    <w:rPr>
      <w:sz w:val="20"/>
    </w:rPr>
  </w:style>
  <w:style w:type="character" w:customStyle="1" w:styleId="CommentTextChar">
    <w:name w:val="Comment Text Char"/>
    <w:basedOn w:val="DefaultParagraphFont"/>
    <w:link w:val="CommentText"/>
    <w:uiPriority w:val="99"/>
    <w:rsid w:val="00EB628A"/>
  </w:style>
  <w:style w:type="paragraph" w:styleId="CommentSubject">
    <w:name w:val="annotation subject"/>
    <w:basedOn w:val="CommentText"/>
    <w:next w:val="CommentText"/>
    <w:link w:val="CommentSubjectChar"/>
    <w:uiPriority w:val="99"/>
    <w:semiHidden/>
    <w:unhideWhenUsed/>
    <w:rsid w:val="00EB628A"/>
    <w:rPr>
      <w:b/>
      <w:bCs/>
    </w:rPr>
  </w:style>
  <w:style w:type="character" w:customStyle="1" w:styleId="CommentSubjectChar">
    <w:name w:val="Comment Subject Char"/>
    <w:basedOn w:val="CommentTextChar"/>
    <w:link w:val="CommentSubject"/>
    <w:uiPriority w:val="99"/>
    <w:semiHidden/>
    <w:rsid w:val="00EB628A"/>
    <w:rPr>
      <w:b/>
      <w:bCs/>
    </w:rPr>
  </w:style>
  <w:style w:type="character" w:styleId="Hyperlink">
    <w:name w:val="Hyperlink"/>
    <w:basedOn w:val="DefaultParagraphFont"/>
    <w:uiPriority w:val="99"/>
    <w:unhideWhenUsed/>
    <w:rsid w:val="00153F21"/>
    <w:rPr>
      <w:color w:val="0000FF" w:themeColor="hyperlink"/>
      <w:u w:val="single"/>
    </w:rPr>
  </w:style>
  <w:style w:type="character" w:customStyle="1" w:styleId="UnresolvedMention1">
    <w:name w:val="Unresolved Mention1"/>
    <w:basedOn w:val="DefaultParagraphFont"/>
    <w:uiPriority w:val="99"/>
    <w:semiHidden/>
    <w:unhideWhenUsed/>
    <w:rsid w:val="00153F21"/>
    <w:rPr>
      <w:color w:val="605E5C"/>
      <w:shd w:val="clear" w:color="auto" w:fill="E1DFDD"/>
    </w:rPr>
  </w:style>
  <w:style w:type="character" w:styleId="FollowedHyperlink">
    <w:name w:val="FollowedHyperlink"/>
    <w:basedOn w:val="DefaultParagraphFont"/>
    <w:uiPriority w:val="99"/>
    <w:semiHidden/>
    <w:unhideWhenUsed/>
    <w:rsid w:val="00797E32"/>
    <w:rPr>
      <w:color w:val="800080" w:themeColor="followedHyperlink"/>
      <w:u w:val="single"/>
    </w:rPr>
  </w:style>
  <w:style w:type="paragraph" w:styleId="Revision">
    <w:name w:val="Revision"/>
    <w:hidden/>
    <w:uiPriority w:val="99"/>
    <w:semiHidden/>
    <w:rsid w:val="00DB772C"/>
    <w:rPr>
      <w:sz w:val="26"/>
    </w:rPr>
  </w:style>
  <w:style w:type="character" w:customStyle="1" w:styleId="coconcept3554">
    <w:name w:val="co_concept_35_54"/>
    <w:basedOn w:val="DefaultParagraphFont"/>
    <w:rsid w:val="00DF3EDE"/>
  </w:style>
  <w:style w:type="character" w:customStyle="1" w:styleId="costarpage">
    <w:name w:val="co_starpage"/>
    <w:basedOn w:val="DefaultParagraphFont"/>
    <w:rsid w:val="006011FE"/>
  </w:style>
  <w:style w:type="character" w:customStyle="1" w:styleId="FootnoteTextChar">
    <w:name w:val="Footnote Text Char"/>
    <w:basedOn w:val="DefaultParagraphFont"/>
    <w:link w:val="FootnoteText"/>
    <w:rsid w:val="00720925"/>
    <w:rPr>
      <w:rFonts w:ascii="Century Schoolbook" w:hAnsi="Century Schoolbook"/>
      <w:sz w:val="27"/>
    </w:rPr>
  </w:style>
  <w:style w:type="paragraph" w:styleId="BodyText">
    <w:name w:val="Body Text"/>
    <w:basedOn w:val="Normal"/>
    <w:link w:val="BodyTextChar"/>
    <w:qFormat/>
    <w:rsid w:val="00F95F30"/>
  </w:style>
  <w:style w:type="character" w:customStyle="1" w:styleId="BodyTextChar">
    <w:name w:val="Body Text Char"/>
    <w:basedOn w:val="DefaultParagraphFont"/>
    <w:link w:val="BodyText"/>
    <w:rsid w:val="00F95F30"/>
    <w:rPr>
      <w:rFonts w:ascii="Century Schoolbook" w:hAnsi="Century Schoolbook"/>
      <w:sz w:val="27"/>
    </w:rPr>
  </w:style>
  <w:style w:type="paragraph" w:styleId="ListParagraph">
    <w:name w:val="List Paragraph"/>
    <w:basedOn w:val="Normal"/>
    <w:uiPriority w:val="34"/>
    <w:qFormat/>
    <w:rsid w:val="00CA315A"/>
    <w:pPr>
      <w:ind w:left="720"/>
      <w:contextualSpacing/>
    </w:pPr>
  </w:style>
  <w:style w:type="character" w:customStyle="1" w:styleId="HeaderChar">
    <w:name w:val="Header Char"/>
    <w:basedOn w:val="DefaultParagraphFont"/>
    <w:link w:val="Header"/>
    <w:uiPriority w:val="99"/>
    <w:rsid w:val="0004485D"/>
    <w:rPr>
      <w:rFonts w:ascii="Century Schoolbook" w:hAnsi="Century Schoolbook"/>
      <w:sz w:val="22"/>
    </w:rPr>
  </w:style>
  <w:style w:type="character" w:customStyle="1" w:styleId="FooterChar">
    <w:name w:val="Footer Char"/>
    <w:basedOn w:val="DefaultParagraphFont"/>
    <w:link w:val="Footer"/>
    <w:uiPriority w:val="99"/>
    <w:rsid w:val="0004485D"/>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0ED0-9445-4077-9D54-9378E450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2024-02-21T18:24:51Z</dcterms:created>
  <dcterms:modified xsi:type="dcterms:W3CDTF">2024-02-21T18:24:51Z</dcterms:modified>
</cp:coreProperties>
</file>