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263C7D" w:rsidP="00263C7D" w14:paraId="7C9E72EE" w14:textId="77777777">
      <w:pPr>
        <w:tabs>
          <w:tab w:val="left" w:pos="1440"/>
          <w:tab w:val="left" w:pos="4680"/>
          <w:tab w:val="center" w:pos="7200"/>
        </w:tabs>
        <w:spacing w:after="0"/>
        <w:jc w:val="center"/>
        <w:rPr>
          <w:sz w:val="36"/>
          <w:szCs w:val="24"/>
        </w:rPr>
      </w:pPr>
      <w:bookmarkStart w:id="0" w:name="MarkDocLoc"/>
      <w:bookmarkStart w:id="1" w:name="defendant"/>
      <w:bookmarkEnd w:id="0"/>
      <w:bookmarkEnd w:id="1"/>
      <w:r>
        <w:rPr>
          <w:b/>
          <w:sz w:val="36"/>
          <w:szCs w:val="24"/>
        </w:rPr>
        <w:t>IN THE SUPREME COURT OF CALIFORNIA</w:t>
      </w:r>
    </w:p>
    <w:p w:rsidR="00263C7D" w:rsidP="00263C7D" w14:paraId="65AC1303" w14:textId="77777777">
      <w:pPr>
        <w:tabs>
          <w:tab w:val="left" w:pos="1440"/>
          <w:tab w:val="left" w:pos="4680"/>
          <w:tab w:val="center" w:pos="7200"/>
        </w:tabs>
        <w:spacing w:after="0"/>
        <w:jc w:val="center"/>
        <w:rPr>
          <w:szCs w:val="24"/>
        </w:rPr>
      </w:pPr>
    </w:p>
    <w:p w:rsidR="00263C7D" w:rsidP="00263C7D" w14:paraId="1562525A" w14:textId="09BD90CA">
      <w:pPr>
        <w:tabs>
          <w:tab w:val="left" w:pos="1440"/>
          <w:tab w:val="left" w:pos="4680"/>
          <w:tab w:val="center" w:pos="7200"/>
        </w:tabs>
        <w:spacing w:after="0"/>
        <w:jc w:val="center"/>
      </w:pPr>
      <w:r>
        <w:rPr>
          <w:szCs w:val="24"/>
        </w:rPr>
        <w:t>In re DEZI C.</w:t>
      </w:r>
      <w:r w:rsidR="009F19E2">
        <w:rPr>
          <w:szCs w:val="24"/>
        </w:rPr>
        <w:t xml:space="preserve"> et al.</w:t>
      </w:r>
      <w:r>
        <w:rPr>
          <w:szCs w:val="24"/>
        </w:rPr>
        <w:t>, Person</w:t>
      </w:r>
      <w:r w:rsidR="009F19E2">
        <w:rPr>
          <w:szCs w:val="24"/>
        </w:rPr>
        <w:t>s</w:t>
      </w:r>
      <w:r>
        <w:rPr>
          <w:szCs w:val="24"/>
        </w:rPr>
        <w:t xml:space="preserve"> </w:t>
      </w:r>
      <w:r>
        <w:t xml:space="preserve">Coming </w:t>
      </w:r>
    </w:p>
    <w:p w:rsidR="00263C7D" w:rsidP="00263C7D" w14:paraId="77FE0EA0" w14:textId="77777777">
      <w:pPr>
        <w:tabs>
          <w:tab w:val="left" w:pos="1440"/>
          <w:tab w:val="left" w:pos="4680"/>
          <w:tab w:val="center" w:pos="7200"/>
        </w:tabs>
        <w:spacing w:after="0"/>
        <w:jc w:val="center"/>
      </w:pPr>
      <w:r>
        <w:t>Under the Juvenile Court Law.</w:t>
      </w:r>
    </w:p>
    <w:p w:rsidR="00263C7D" w:rsidP="00263C7D" w14:paraId="6883F859" w14:textId="77777777">
      <w:pPr>
        <w:pBdr>
          <w:bottom w:val="single" w:sz="4" w:space="1" w:color="auto"/>
        </w:pBdr>
        <w:tabs>
          <w:tab w:val="left" w:pos="1440"/>
          <w:tab w:val="left" w:pos="4680"/>
          <w:tab w:val="center" w:pos="7200"/>
        </w:tabs>
        <w:spacing w:after="0"/>
        <w:jc w:val="center"/>
      </w:pPr>
    </w:p>
    <w:p w:rsidR="00263C7D" w:rsidP="00263C7D" w14:paraId="29DB61A6" w14:textId="77777777">
      <w:pPr>
        <w:tabs>
          <w:tab w:val="left" w:pos="1440"/>
          <w:tab w:val="left" w:pos="4680"/>
          <w:tab w:val="center" w:pos="7200"/>
        </w:tabs>
        <w:spacing w:after="0"/>
      </w:pPr>
    </w:p>
    <w:p w:rsidR="00263C7D" w:rsidP="008E288C" w14:paraId="41A1563F" w14:textId="51F0BEBB">
      <w:pPr>
        <w:tabs>
          <w:tab w:val="left" w:pos="1440"/>
        </w:tabs>
        <w:spacing w:after="0"/>
        <w:jc w:val="center"/>
        <w:rPr>
          <w:caps/>
        </w:rPr>
      </w:pPr>
      <w:r>
        <w:rPr>
          <w:caps/>
        </w:rPr>
        <w:t>LOS AN</w:t>
      </w:r>
      <w:r w:rsidR="008C2E80">
        <w:rPr>
          <w:caps/>
        </w:rPr>
        <w:t>G</w:t>
      </w:r>
      <w:r>
        <w:rPr>
          <w:caps/>
        </w:rPr>
        <w:t>ELES COUNTY department of CHILDREN AND FAMILY services,</w:t>
      </w:r>
    </w:p>
    <w:p w:rsidR="00263C7D" w:rsidRPr="00043285" w:rsidP="00263C7D" w14:paraId="65768966" w14:textId="1F2086DE">
      <w:pPr>
        <w:tabs>
          <w:tab w:val="left" w:pos="1440"/>
        </w:tabs>
        <w:spacing w:after="0"/>
        <w:jc w:val="center"/>
      </w:pPr>
      <w:r>
        <w:t>Plaintiff and Respondent,</w:t>
      </w:r>
    </w:p>
    <w:p w:rsidR="00263C7D" w:rsidRPr="00043285" w:rsidP="00263C7D" w14:paraId="0F81F815" w14:textId="77777777">
      <w:pPr>
        <w:tabs>
          <w:tab w:val="left" w:pos="1440"/>
        </w:tabs>
        <w:spacing w:after="0"/>
        <w:jc w:val="center"/>
      </w:pPr>
      <w:r w:rsidRPr="00043285">
        <w:t>v.</w:t>
      </w:r>
    </w:p>
    <w:p w:rsidR="00263C7D" w:rsidP="00263C7D" w14:paraId="0816F1EF" w14:textId="56F265B5">
      <w:pPr>
        <w:tabs>
          <w:tab w:val="left" w:pos="1440"/>
        </w:tabs>
        <w:spacing w:after="0"/>
        <w:jc w:val="center"/>
        <w:rPr>
          <w:caps/>
        </w:rPr>
      </w:pPr>
      <w:r>
        <w:rPr>
          <w:caps/>
        </w:rPr>
        <w:t>angelica A.,</w:t>
      </w:r>
    </w:p>
    <w:p w:rsidR="00263C7D" w:rsidRPr="00043285" w:rsidP="00263C7D" w14:paraId="734C090E" w14:textId="77777777">
      <w:pPr>
        <w:tabs>
          <w:tab w:val="left" w:pos="1440"/>
        </w:tabs>
        <w:spacing w:after="0"/>
        <w:jc w:val="center"/>
      </w:pPr>
      <w:r w:rsidRPr="00043285">
        <w:t>Defendant and Appellant.</w:t>
      </w:r>
    </w:p>
    <w:p w:rsidR="00263C7D" w:rsidP="00263C7D" w14:paraId="470456DF" w14:textId="77777777">
      <w:pPr>
        <w:tabs>
          <w:tab w:val="left" w:pos="1440"/>
        </w:tabs>
        <w:spacing w:after="0"/>
        <w:jc w:val="center"/>
        <w:rPr>
          <w:caps/>
        </w:rPr>
      </w:pPr>
    </w:p>
    <w:p w:rsidR="00263C7D" w:rsidP="00263C7D" w14:paraId="0C857B5D" w14:textId="6CD299E8">
      <w:pPr>
        <w:tabs>
          <w:tab w:val="left" w:pos="1440"/>
        </w:tabs>
        <w:spacing w:after="0"/>
        <w:jc w:val="center"/>
        <w:rPr>
          <w:caps/>
        </w:rPr>
      </w:pPr>
      <w:r>
        <w:rPr>
          <w:caps/>
        </w:rPr>
        <w:t>S27</w:t>
      </w:r>
      <w:r w:rsidR="008E288C">
        <w:rPr>
          <w:caps/>
        </w:rPr>
        <w:t>5578</w:t>
      </w:r>
    </w:p>
    <w:p w:rsidR="00263C7D" w:rsidP="00263C7D" w14:paraId="77DA43CC" w14:textId="77777777">
      <w:pPr>
        <w:tabs>
          <w:tab w:val="left" w:pos="1440"/>
        </w:tabs>
        <w:spacing w:after="0"/>
        <w:jc w:val="center"/>
        <w:rPr>
          <w:caps/>
        </w:rPr>
      </w:pPr>
    </w:p>
    <w:p w:rsidR="00263C7D" w:rsidRPr="00043285" w:rsidP="00263C7D" w14:paraId="0B67DEFA" w14:textId="67A4EBED">
      <w:pPr>
        <w:tabs>
          <w:tab w:val="left" w:pos="1440"/>
        </w:tabs>
        <w:spacing w:after="0"/>
        <w:jc w:val="center"/>
      </w:pPr>
      <w:r>
        <w:t xml:space="preserve">Second </w:t>
      </w:r>
      <w:r w:rsidRPr="00043285">
        <w:t>Appellate District</w:t>
      </w:r>
      <w:r w:rsidR="00693D8A">
        <w:t xml:space="preserve">, Division </w:t>
      </w:r>
      <w:r w:rsidR="009B2FE3">
        <w:t>Two</w:t>
      </w:r>
    </w:p>
    <w:p w:rsidR="00263C7D" w:rsidP="00263C7D" w14:paraId="2AE1C5A8" w14:textId="38D432C8">
      <w:pPr>
        <w:tabs>
          <w:tab w:val="left" w:pos="1440"/>
        </w:tabs>
        <w:spacing w:after="0"/>
        <w:jc w:val="center"/>
        <w:rPr>
          <w:caps/>
        </w:rPr>
      </w:pPr>
      <w:r>
        <w:rPr>
          <w:caps/>
        </w:rPr>
        <w:t>B317935</w:t>
      </w:r>
    </w:p>
    <w:p w:rsidR="00263C7D" w:rsidP="00263C7D" w14:paraId="326897A6" w14:textId="77777777">
      <w:pPr>
        <w:tabs>
          <w:tab w:val="left" w:pos="1440"/>
        </w:tabs>
        <w:spacing w:after="0"/>
        <w:jc w:val="center"/>
        <w:rPr>
          <w:caps/>
        </w:rPr>
      </w:pPr>
    </w:p>
    <w:p w:rsidR="00263C7D" w:rsidRPr="00043285" w:rsidP="00263C7D" w14:paraId="718E7812" w14:textId="1763677F">
      <w:pPr>
        <w:tabs>
          <w:tab w:val="left" w:pos="1440"/>
        </w:tabs>
        <w:spacing w:after="0"/>
        <w:jc w:val="center"/>
      </w:pPr>
      <w:r>
        <w:t>Los Angeles</w:t>
      </w:r>
      <w:r w:rsidRPr="00043285">
        <w:t xml:space="preserve"> County</w:t>
      </w:r>
      <w:r>
        <w:t xml:space="preserve"> Superior Court</w:t>
      </w:r>
    </w:p>
    <w:p w:rsidR="00997855" w:rsidP="00997855" w14:paraId="2EB68AE2" w14:textId="1BBDAC55">
      <w:pPr>
        <w:tabs>
          <w:tab w:val="left" w:pos="1440"/>
        </w:tabs>
        <w:spacing w:after="0"/>
        <w:jc w:val="center"/>
        <w:rPr>
          <w:caps/>
        </w:rPr>
      </w:pPr>
      <w:r>
        <w:rPr>
          <w:caps/>
        </w:rPr>
        <w:t>19CCJP08030A</w:t>
      </w:r>
      <w:r w:rsidR="006869A1">
        <w:rPr>
          <w:caps/>
        </w:rPr>
        <w:t xml:space="preserve"> </w:t>
      </w:r>
      <w:r w:rsidRPr="004173DD" w:rsidR="006869A1">
        <w:t>and</w:t>
      </w:r>
      <w:r w:rsidR="006869A1">
        <w:rPr>
          <w:caps/>
        </w:rPr>
        <w:t xml:space="preserve"> </w:t>
      </w:r>
      <w:r w:rsidRPr="006869A1" w:rsidR="006869A1">
        <w:rPr>
          <w:caps/>
        </w:rPr>
        <w:t>19CCJP08030</w:t>
      </w:r>
      <w:r>
        <w:rPr>
          <w:caps/>
        </w:rPr>
        <w:t>B</w:t>
      </w:r>
    </w:p>
    <w:p w:rsidR="00997855" w:rsidP="00997855" w14:paraId="65080EDD" w14:textId="77777777">
      <w:pPr>
        <w:pBdr>
          <w:bottom w:val="single" w:sz="4" w:space="1" w:color="auto"/>
        </w:pBdr>
        <w:tabs>
          <w:tab w:val="left" w:pos="1440"/>
        </w:tabs>
        <w:spacing w:after="0"/>
        <w:jc w:val="center"/>
        <w:rPr>
          <w:caps/>
        </w:rPr>
      </w:pPr>
    </w:p>
    <w:p w:rsidR="00997855" w:rsidRPr="00FF5FF4" w:rsidP="00997855" w14:paraId="2AD47B2B" w14:textId="31D0947B">
      <w:pPr>
        <w:tabs>
          <w:tab w:val="left" w:pos="1440"/>
        </w:tabs>
        <w:spacing w:after="0"/>
        <w:jc w:val="center"/>
      </w:pPr>
      <w:r w:rsidRPr="00FE2759">
        <w:t>August</w:t>
      </w:r>
      <w:r>
        <w:t xml:space="preserve"> </w:t>
      </w:r>
      <w:r w:rsidR="00963C6D">
        <w:rPr>
          <w:caps/>
        </w:rPr>
        <w:t>19</w:t>
      </w:r>
      <w:r>
        <w:rPr>
          <w:caps/>
        </w:rPr>
        <w:t>, 2024</w:t>
      </w:r>
    </w:p>
    <w:p w:rsidR="00997855" w:rsidP="00997855" w14:paraId="4356EF4C" w14:textId="6DDB77A9">
      <w:pPr>
        <w:tabs>
          <w:tab w:val="left" w:pos="1440"/>
        </w:tabs>
        <w:spacing w:after="0"/>
        <w:jc w:val="center"/>
        <w:rPr>
          <w:caps/>
        </w:rPr>
      </w:pPr>
      <w:r>
        <w:rPr>
          <w:caps/>
        </w:rPr>
        <w:t xml:space="preserve"> </w:t>
      </w:r>
    </w:p>
    <w:p w:rsidR="00997855" w:rsidP="00200F50" w14:paraId="252DF335" w14:textId="533BA06B">
      <w:pPr>
        <w:pBdr>
          <w:bottom w:val="single" w:sz="4" w:space="1" w:color="auto"/>
        </w:pBdr>
        <w:tabs>
          <w:tab w:val="left" w:pos="1440"/>
          <w:tab w:val="left" w:pos="4680"/>
          <w:tab w:val="center" w:pos="7200"/>
        </w:tabs>
        <w:spacing w:after="0"/>
        <w:jc w:val="left"/>
        <w:rPr>
          <w:szCs w:val="24"/>
        </w:rPr>
      </w:pPr>
      <w:r>
        <w:rPr>
          <w:szCs w:val="24"/>
        </w:rPr>
        <w:t xml:space="preserve">Justice Evans authored the opinion of the Court, in which </w:t>
      </w:r>
      <w:r w:rsidR="00082E21">
        <w:rPr>
          <w:rStyle w:val="ui-provider"/>
        </w:rPr>
        <w:t xml:space="preserve">Justices Corrigan, Liu, Kruger, and Jenkins </w:t>
      </w:r>
      <w:r>
        <w:rPr>
          <w:szCs w:val="24"/>
        </w:rPr>
        <w:t xml:space="preserve">concurred.  </w:t>
      </w:r>
    </w:p>
    <w:p w:rsidR="001E0660" w:rsidP="00384210" w14:paraId="74FFE2CC" w14:textId="77777777">
      <w:pPr>
        <w:pBdr>
          <w:bottom w:val="single" w:sz="4" w:space="1" w:color="auto"/>
        </w:pBdr>
        <w:tabs>
          <w:tab w:val="left" w:pos="1440"/>
          <w:tab w:val="left" w:pos="4680"/>
          <w:tab w:val="center" w:pos="7200"/>
        </w:tabs>
        <w:spacing w:after="0"/>
        <w:jc w:val="left"/>
      </w:pPr>
    </w:p>
    <w:p w:rsidR="00384210" w:rsidP="00384210" w14:paraId="163633B0" w14:textId="29B3E25D">
      <w:pPr>
        <w:pBdr>
          <w:bottom w:val="single" w:sz="4" w:space="1" w:color="auto"/>
        </w:pBdr>
        <w:tabs>
          <w:tab w:val="left" w:pos="1440"/>
          <w:tab w:val="left" w:pos="4680"/>
          <w:tab w:val="center" w:pos="7200"/>
        </w:tabs>
        <w:spacing w:after="0"/>
        <w:jc w:val="left"/>
      </w:pPr>
      <w:r>
        <w:t>Justice Kruger filed a concurring opinion, in which Justice Corrigan concurred.</w:t>
      </w:r>
    </w:p>
    <w:p w:rsidR="001E0660" w:rsidP="00384210" w14:paraId="040C7080" w14:textId="77777777">
      <w:pPr>
        <w:pBdr>
          <w:bottom w:val="single" w:sz="4" w:space="1" w:color="auto"/>
        </w:pBdr>
        <w:tabs>
          <w:tab w:val="left" w:pos="1440"/>
          <w:tab w:val="left" w:pos="4680"/>
          <w:tab w:val="center" w:pos="7200"/>
        </w:tabs>
        <w:spacing w:after="0"/>
        <w:jc w:val="left"/>
        <w:rPr>
          <w:szCs w:val="24"/>
        </w:rPr>
      </w:pPr>
    </w:p>
    <w:p w:rsidR="00B75944" w:rsidP="00384210" w14:paraId="4EBB37F6" w14:textId="7A3A5161">
      <w:pPr>
        <w:pBdr>
          <w:bottom w:val="single" w:sz="4" w:space="1" w:color="auto"/>
        </w:pBdr>
        <w:tabs>
          <w:tab w:val="left" w:pos="1440"/>
          <w:tab w:val="left" w:pos="4680"/>
          <w:tab w:val="center" w:pos="7200"/>
        </w:tabs>
        <w:spacing w:after="0"/>
        <w:jc w:val="left"/>
        <w:rPr>
          <w:szCs w:val="24"/>
        </w:rPr>
      </w:pPr>
      <w:r w:rsidRPr="00486D04">
        <w:rPr>
          <w:szCs w:val="24"/>
        </w:rPr>
        <w:t>Justice Groban filed a dissenting opinion, in which Chief Justice Guerrero concurred.</w:t>
      </w:r>
    </w:p>
    <w:p w:rsidR="00262AE7" w14:paraId="21EE7D04" w14:textId="77777777">
      <w:pPr>
        <w:tabs>
          <w:tab w:val="left" w:pos="1440"/>
        </w:tabs>
        <w:spacing w:line="480" w:lineRule="atLeast"/>
        <w:jc w:val="center"/>
        <w:rPr>
          <w:b/>
          <w:caps/>
        </w:rPr>
        <w:sectPr w:rsidSect="008F7BC6">
          <w:pgSz w:w="12240" w:h="15840"/>
          <w:pgMar w:top="1080" w:right="2160" w:bottom="180" w:left="2160" w:header="720" w:footer="720" w:gutter="0"/>
          <w:cols w:space="720"/>
          <w:docGrid w:linePitch="367"/>
        </w:sectPr>
      </w:pPr>
    </w:p>
    <w:p w:rsidR="00262AE7" w:rsidP="00702A54" w14:paraId="2A50F76B" w14:textId="646E3B2C">
      <w:pPr>
        <w:tabs>
          <w:tab w:val="left" w:pos="1440"/>
        </w:tabs>
        <w:spacing w:line="480" w:lineRule="atLeast"/>
        <w:rPr>
          <w:b/>
          <w:caps/>
        </w:rPr>
        <w:sectPr w:rsidSect="00262AE7">
          <w:type w:val="continuous"/>
          <w:pgSz w:w="12240" w:h="15840"/>
          <w:pgMar w:top="1080" w:right="2160" w:bottom="180" w:left="2160" w:header="720" w:footer="720" w:gutter="0"/>
          <w:cols w:space="720"/>
          <w:docGrid w:linePitch="367"/>
        </w:sectPr>
      </w:pPr>
      <w:r w:rsidRPr="00702A54">
        <w:rPr>
          <w:sz w:val="20"/>
          <w:szCs w:val="14"/>
        </w:rPr>
        <w:t xml:space="preserve">This opinion </w:t>
      </w:r>
      <w:r>
        <w:rPr>
          <w:sz w:val="20"/>
          <w:szCs w:val="14"/>
        </w:rPr>
        <w:t>follows</w:t>
      </w:r>
      <w:r w:rsidRPr="00702A54">
        <w:rPr>
          <w:sz w:val="20"/>
          <w:szCs w:val="14"/>
        </w:rPr>
        <w:t xml:space="preserve"> companion case </w:t>
      </w:r>
      <w:r w:rsidRPr="00702A54">
        <w:rPr>
          <w:i/>
          <w:iCs/>
          <w:sz w:val="20"/>
          <w:szCs w:val="14"/>
        </w:rPr>
        <w:t xml:space="preserve">In re </w:t>
      </w:r>
      <w:r>
        <w:rPr>
          <w:i/>
          <w:iCs/>
          <w:sz w:val="20"/>
          <w:szCs w:val="14"/>
        </w:rPr>
        <w:t>Kenneth D</w:t>
      </w:r>
      <w:r w:rsidRPr="00702A54">
        <w:rPr>
          <w:i/>
          <w:iCs/>
          <w:sz w:val="20"/>
          <w:szCs w:val="14"/>
        </w:rPr>
        <w:t>.</w:t>
      </w:r>
      <w:r w:rsidRPr="00702A54">
        <w:rPr>
          <w:sz w:val="20"/>
          <w:szCs w:val="14"/>
        </w:rPr>
        <w:t>, S27</w:t>
      </w:r>
      <w:r>
        <w:rPr>
          <w:sz w:val="20"/>
          <w:szCs w:val="14"/>
        </w:rPr>
        <w:t>6649</w:t>
      </w:r>
      <w:r w:rsidRPr="00702A54">
        <w:rPr>
          <w:sz w:val="20"/>
          <w:szCs w:val="14"/>
        </w:rPr>
        <w:t>, also filed this date</w:t>
      </w:r>
      <w:r>
        <w:t>.</w:t>
      </w:r>
    </w:p>
    <w:p w:rsidR="00997855" w:rsidRPr="00327C8B" w:rsidP="00997855" w14:paraId="5A93F403" w14:textId="72E4E862">
      <w:pPr>
        <w:tabs>
          <w:tab w:val="left" w:pos="1440"/>
        </w:tabs>
        <w:jc w:val="center"/>
        <w:rPr>
          <w:bCs/>
        </w:rPr>
      </w:pPr>
      <w:r w:rsidRPr="00327C8B">
        <w:rPr>
          <w:bCs/>
        </w:rPr>
        <w:t xml:space="preserve">In re DEZI C. </w:t>
      </w:r>
    </w:p>
    <w:p w:rsidR="00997855" w:rsidRPr="00327C8B" w:rsidP="00997855" w14:paraId="34A35557" w14:textId="68AC5F6D">
      <w:pPr>
        <w:tabs>
          <w:tab w:val="left" w:pos="1440"/>
        </w:tabs>
        <w:jc w:val="center"/>
        <w:rPr>
          <w:bCs/>
        </w:rPr>
      </w:pPr>
      <w:r w:rsidRPr="00C86526">
        <w:rPr>
          <w:bCs/>
        </w:rPr>
        <w:t>S275578</w:t>
      </w:r>
    </w:p>
    <w:p w:rsidR="00997855" w:rsidRPr="00327C8B" w:rsidP="00997855" w14:paraId="1D815A42" w14:textId="77777777">
      <w:pPr>
        <w:tabs>
          <w:tab w:val="left" w:pos="1440"/>
        </w:tabs>
        <w:jc w:val="center"/>
        <w:rPr>
          <w:bCs/>
        </w:rPr>
      </w:pPr>
    </w:p>
    <w:p w:rsidR="00997855" w:rsidP="00997855" w14:paraId="26B737BC" w14:textId="77777777">
      <w:pPr>
        <w:tabs>
          <w:tab w:val="left" w:pos="1440"/>
        </w:tabs>
        <w:jc w:val="center"/>
        <w:rPr>
          <w:bCs/>
        </w:rPr>
      </w:pPr>
      <w:r w:rsidRPr="00327C8B">
        <w:rPr>
          <w:bCs/>
        </w:rPr>
        <w:t>Opinion of the Court by Evans, J.</w:t>
      </w:r>
    </w:p>
    <w:p w:rsidR="00327C8B" w:rsidRPr="00327C8B" w:rsidP="00997855" w14:paraId="5A25AEF6" w14:textId="77777777">
      <w:pPr>
        <w:tabs>
          <w:tab w:val="left" w:pos="1440"/>
        </w:tabs>
        <w:jc w:val="center"/>
        <w:rPr>
          <w:bCs/>
        </w:rPr>
      </w:pPr>
    </w:p>
    <w:p w:rsidR="00070B8E" w:rsidRPr="00997855" w:rsidP="00997855" w14:paraId="11B598DA" w14:textId="0B70CD56">
      <w:pPr>
        <w:tabs>
          <w:tab w:val="left" w:pos="1440"/>
        </w:tabs>
        <w:ind w:firstLine="720"/>
      </w:pPr>
      <w:bookmarkStart w:id="2" w:name="mainstory"/>
      <w:bookmarkEnd w:id="2"/>
      <w:r w:rsidRPr="00997855">
        <w:t>I</w:t>
      </w:r>
      <w:r w:rsidRPr="00997855" w:rsidR="00DF3219">
        <w:t xml:space="preserve">n 1978, </w:t>
      </w:r>
      <w:r w:rsidRPr="00997855">
        <w:t xml:space="preserve">Congress enacted </w:t>
      </w:r>
      <w:r w:rsidRPr="00997855" w:rsidR="00F93AEB">
        <w:t xml:space="preserve">the Indian </w:t>
      </w:r>
      <w:r w:rsidRPr="00997855" w:rsidR="003E603A">
        <w:t>Child Welfare Act (ICWA; 25 U.S.C. §</w:t>
      </w:r>
      <w:r w:rsidRPr="00997855" w:rsidR="00433373">
        <w:t> </w:t>
      </w:r>
      <w:r w:rsidRPr="00997855" w:rsidR="003E603A">
        <w:t xml:space="preserve">1901 et seq.) </w:t>
      </w:r>
      <w:r w:rsidRPr="00997855" w:rsidR="00E23CAF">
        <w:t>to “formalize[] federal policy relating to the placement of Indian children outside the family home.”  (</w:t>
      </w:r>
      <w:r w:rsidRPr="00997855" w:rsidR="00E23CAF">
        <w:rPr>
          <w:i/>
          <w:iCs/>
        </w:rPr>
        <w:t>In re W.B.</w:t>
      </w:r>
      <w:r w:rsidRPr="00997855" w:rsidR="00E23CAF">
        <w:t xml:space="preserve"> (2012) 55 Cal.4th 30, 40</w:t>
      </w:r>
      <w:r w:rsidRPr="00997855" w:rsidR="00103D63">
        <w:t xml:space="preserve"> (</w:t>
      </w:r>
      <w:r w:rsidRPr="00997855" w:rsidR="00103D63">
        <w:rPr>
          <w:i/>
          <w:iCs/>
        </w:rPr>
        <w:t>W.B.</w:t>
      </w:r>
      <w:r w:rsidRPr="00997855" w:rsidR="00103D63">
        <w:t>)</w:t>
      </w:r>
      <w:r w:rsidRPr="00997855" w:rsidR="00E23CAF">
        <w:t xml:space="preserve">.)  </w:t>
      </w:r>
      <w:r w:rsidRPr="00997855" w:rsidR="00B00C68">
        <w:t>Under ICWA’s state analogue</w:t>
      </w:r>
      <w:r w:rsidRPr="00997855" w:rsidR="00DA0BA9">
        <w:t>,</w:t>
      </w:r>
      <w:r w:rsidRPr="00997855" w:rsidR="00A753BE">
        <w:t xml:space="preserve"> </w:t>
      </w:r>
      <w:r w:rsidR="0033372A">
        <w:t xml:space="preserve">the </w:t>
      </w:r>
      <w:r w:rsidRPr="00997855" w:rsidR="00366718">
        <w:t>Cal</w:t>
      </w:r>
      <w:r w:rsidR="00B17AB1">
        <w:t xml:space="preserve">ifornia </w:t>
      </w:r>
      <w:r w:rsidRPr="00997855" w:rsidR="00366718">
        <w:t>I</w:t>
      </w:r>
      <w:r w:rsidR="00795F83">
        <w:t>n</w:t>
      </w:r>
      <w:r w:rsidR="0033372A">
        <w:t xml:space="preserve">dian </w:t>
      </w:r>
      <w:r w:rsidRPr="00997855" w:rsidR="00366718">
        <w:t>C</w:t>
      </w:r>
      <w:r w:rsidR="0033372A">
        <w:t xml:space="preserve">hild </w:t>
      </w:r>
      <w:r w:rsidRPr="00997855" w:rsidR="00366718">
        <w:t>W</w:t>
      </w:r>
      <w:r w:rsidR="0033372A">
        <w:t xml:space="preserve">elfare </w:t>
      </w:r>
      <w:r w:rsidRPr="00997855" w:rsidR="00366718">
        <w:t>A</w:t>
      </w:r>
      <w:r w:rsidR="0033372A">
        <w:t>ct</w:t>
      </w:r>
      <w:r w:rsidR="00E16EF5">
        <w:t xml:space="preserve"> (Cal-ICWA)</w:t>
      </w:r>
      <w:r w:rsidRPr="00997855" w:rsidR="00366718">
        <w:t xml:space="preserve">, </w:t>
      </w:r>
      <w:r w:rsidRPr="00997855" w:rsidR="00A753BE">
        <w:t>courts and</w:t>
      </w:r>
      <w:r w:rsidRPr="00997855" w:rsidR="00B00C68">
        <w:t xml:space="preserve"> </w:t>
      </w:r>
      <w:r w:rsidRPr="00997855" w:rsidR="006362C7">
        <w:t xml:space="preserve">child welfare agencies are charged with </w:t>
      </w:r>
      <w:r w:rsidRPr="00997855" w:rsidR="00AC5617">
        <w:t xml:space="preserve">“an affirmative and continuing </w:t>
      </w:r>
      <w:r w:rsidRPr="00997855" w:rsidR="006362C7">
        <w:t xml:space="preserve">duty to inquire whether a </w:t>
      </w:r>
      <w:r w:rsidRPr="00997855" w:rsidR="00E0503E">
        <w:t>child</w:t>
      </w:r>
      <w:r w:rsidR="00E0503E">
        <w:t> </w:t>
      </w:r>
      <w:r w:rsidRPr="00997855" w:rsidR="00E0503E">
        <w:t>.</w:t>
      </w:r>
      <w:r w:rsidR="00E0503E">
        <w:t> </w:t>
      </w:r>
      <w:r w:rsidRPr="00997855" w:rsidR="00E0503E">
        <w:t>.</w:t>
      </w:r>
      <w:r w:rsidR="00E0503E">
        <w:t> </w:t>
      </w:r>
      <w:r w:rsidRPr="00997855" w:rsidR="00DA0318">
        <w:t xml:space="preserve">. </w:t>
      </w:r>
      <w:r w:rsidRPr="00997855" w:rsidR="006362C7">
        <w:t>is or may be an Indian child</w:t>
      </w:r>
      <w:r w:rsidRPr="00997855" w:rsidR="00DA0318">
        <w:t>”</w:t>
      </w:r>
      <w:r w:rsidRPr="00997855" w:rsidR="002C701F">
        <w:t xml:space="preserve"> in dependency cases</w:t>
      </w:r>
      <w:r w:rsidRPr="00997855" w:rsidR="006362C7">
        <w:t xml:space="preserve">.  (Welf. </w:t>
      </w:r>
      <w:r w:rsidRPr="00997855" w:rsidR="002C701F">
        <w:t>&amp;</w:t>
      </w:r>
      <w:r w:rsidRPr="00997855" w:rsidR="006362C7">
        <w:t xml:space="preserve"> Inst. Code</w:t>
      </w:r>
      <w:r w:rsidR="00DA72AD">
        <w:t>,</w:t>
      </w:r>
      <w:r w:rsidRPr="00997855" w:rsidR="006362C7">
        <w:t xml:space="preserve"> </w:t>
      </w:r>
      <w:r w:rsidRPr="00997855" w:rsidR="00D21AA1">
        <w:t>§</w:t>
      </w:r>
      <w:r w:rsidRPr="00997855" w:rsidR="00713E47">
        <w:t> </w:t>
      </w:r>
      <w:r w:rsidRPr="00997855" w:rsidR="006362C7">
        <w:t>224.2</w:t>
      </w:r>
      <w:r w:rsidRPr="00997855" w:rsidR="00216E4C">
        <w:t>, subd</w:t>
      </w:r>
      <w:r w:rsidRPr="00997855" w:rsidR="00D60533">
        <w:t>.</w:t>
      </w:r>
      <w:r w:rsidRPr="00997855" w:rsidR="00713E47">
        <w:t> </w:t>
      </w:r>
      <w:r w:rsidRPr="00997855" w:rsidR="00D60533">
        <w:t>(a)</w:t>
      </w:r>
      <w:r w:rsidRPr="00997855" w:rsidR="006362C7">
        <w:t xml:space="preserve">.)  </w:t>
      </w:r>
      <w:r w:rsidRPr="00997855" w:rsidR="00A653FE">
        <w:t xml:space="preserve">Child welfare agencies discharge this </w:t>
      </w:r>
      <w:r w:rsidRPr="00997855" w:rsidR="00C66754">
        <w:t xml:space="preserve">state law </w:t>
      </w:r>
      <w:r w:rsidRPr="00997855" w:rsidR="00A653FE">
        <w:t>duty</w:t>
      </w:r>
      <w:r w:rsidRPr="00997855" w:rsidR="002E79EA">
        <w:t xml:space="preserve"> </w:t>
      </w:r>
      <w:r w:rsidRPr="00997855" w:rsidR="00C05D89">
        <w:t>by</w:t>
      </w:r>
      <w:r w:rsidRPr="00997855">
        <w:t xml:space="preserve"> “asking the child, parents, legal guardian, Indian custodian, extended family members, others who have an interest in the child, and the party reporting child abuse or neglect, whether the child is, or may be, an Indian child and where the child, the parents, or Indian custodian is domiciled.”</w:t>
      </w:r>
      <w:r>
        <w:rPr>
          <w:rStyle w:val="FootnoteReference"/>
        </w:rPr>
        <w:footnoteReference w:id="3"/>
      </w:r>
      <w:r w:rsidRPr="00997855">
        <w:t xml:space="preserve">  (</w:t>
      </w:r>
      <w:r w:rsidRPr="00997855">
        <w:rPr>
          <w:i/>
          <w:iCs/>
        </w:rPr>
        <w:t>Id.</w:t>
      </w:r>
      <w:r w:rsidRPr="00997855">
        <w:t>, subd.</w:t>
      </w:r>
      <w:r w:rsidRPr="00997855" w:rsidR="003B1226">
        <w:t> </w:t>
      </w:r>
      <w:r w:rsidRPr="00997855">
        <w:t>(b).)</w:t>
      </w:r>
    </w:p>
    <w:p w:rsidR="00BA22B5" w:rsidRPr="00997855" w:rsidP="00997855" w14:paraId="3A5F2A0A" w14:textId="6750DFD9">
      <w:pPr>
        <w:tabs>
          <w:tab w:val="left" w:pos="1440"/>
        </w:tabs>
        <w:ind w:firstLine="720"/>
      </w:pPr>
      <w:r w:rsidRPr="00997855">
        <w:t>We are tasked</w:t>
      </w:r>
      <w:r w:rsidRPr="00997855" w:rsidR="009E0B40">
        <w:t xml:space="preserve"> with determining </w:t>
      </w:r>
      <w:r w:rsidRPr="00997855" w:rsidR="00CE4C51">
        <w:t>wh</w:t>
      </w:r>
      <w:r w:rsidRPr="00997855" w:rsidR="00D02B11">
        <w:t xml:space="preserve">ether </w:t>
      </w:r>
      <w:r w:rsidRPr="00997855" w:rsidR="00C93EDE">
        <w:t xml:space="preserve">a </w:t>
      </w:r>
      <w:r w:rsidRPr="00997855" w:rsidR="00EE3B8F">
        <w:t>child welfare agency</w:t>
      </w:r>
      <w:r w:rsidRPr="00997855" w:rsidR="00966634">
        <w:t>’s</w:t>
      </w:r>
      <w:r w:rsidRPr="00997855" w:rsidR="00EE3B8F">
        <w:t xml:space="preserve"> </w:t>
      </w:r>
      <w:r w:rsidRPr="00997855" w:rsidR="00A325E1">
        <w:t>fail</w:t>
      </w:r>
      <w:r w:rsidRPr="00997855" w:rsidR="00966634">
        <w:t>ure</w:t>
      </w:r>
      <w:r w:rsidRPr="00997855" w:rsidR="00A325E1">
        <w:t xml:space="preserve"> to make </w:t>
      </w:r>
      <w:r w:rsidRPr="00997855" w:rsidR="00B35548">
        <w:t xml:space="preserve">the statutorily required </w:t>
      </w:r>
      <w:r w:rsidR="004E1EA4">
        <w:t xml:space="preserve">initial </w:t>
      </w:r>
      <w:r w:rsidRPr="00997855" w:rsidR="00A325E1">
        <w:t xml:space="preserve">inquiry </w:t>
      </w:r>
      <w:r w:rsidRPr="00997855" w:rsidR="00086065">
        <w:t>under</w:t>
      </w:r>
      <w:r w:rsidRPr="00997855" w:rsidR="004F4EA5">
        <w:t xml:space="preserve"> California’s</w:t>
      </w:r>
      <w:r w:rsidRPr="00997855" w:rsidR="00086065">
        <w:t xml:space="preserve"> </w:t>
      </w:r>
      <w:r w:rsidRPr="00997855" w:rsidR="00FA670D">
        <w:t xml:space="preserve">heightened </w:t>
      </w:r>
      <w:r w:rsidRPr="00997855" w:rsidR="00086065">
        <w:t>ICWA</w:t>
      </w:r>
      <w:r w:rsidRPr="00997855" w:rsidR="00966634">
        <w:t xml:space="preserve"> </w:t>
      </w:r>
      <w:r w:rsidRPr="00997855" w:rsidR="00FC0F17">
        <w:t xml:space="preserve">requirements </w:t>
      </w:r>
      <w:r w:rsidRPr="00997855" w:rsidR="00966634">
        <w:t>constitutes reversible error</w:t>
      </w:r>
      <w:r w:rsidRPr="00997855" w:rsidR="00800415">
        <w:t>.</w:t>
      </w:r>
      <w:r w:rsidRPr="00997855" w:rsidR="00086065">
        <w:t xml:space="preserve">  </w:t>
      </w:r>
      <w:r w:rsidRPr="00997855" w:rsidR="00BD5785">
        <w:t>California courts have reached differing conclusion</w:t>
      </w:r>
      <w:r w:rsidRPr="00997855" w:rsidR="00FF7633">
        <w:t>s</w:t>
      </w:r>
      <w:r w:rsidRPr="00997855" w:rsidR="00BD5785">
        <w:t xml:space="preserve"> on this issue</w:t>
      </w:r>
      <w:r w:rsidRPr="00997855" w:rsidR="00FF7633">
        <w:t xml:space="preserve">, and we granted review to resolve this conflict. </w:t>
      </w:r>
      <w:r w:rsidRPr="00997855" w:rsidR="005039CF">
        <w:t xml:space="preserve"> </w:t>
      </w:r>
      <w:r w:rsidRPr="00997855" w:rsidR="00D06534">
        <w:t xml:space="preserve">ICWA </w:t>
      </w:r>
      <w:r w:rsidRPr="00997855" w:rsidR="006957DB">
        <w:t>and Cal-ICWA are</w:t>
      </w:r>
      <w:r w:rsidRPr="00997855" w:rsidR="00D06534">
        <w:t xml:space="preserve"> unique statutory scheme</w:t>
      </w:r>
      <w:r w:rsidRPr="00997855" w:rsidR="006957DB">
        <w:t>s</w:t>
      </w:r>
      <w:r w:rsidRPr="00997855" w:rsidR="00D06534">
        <w:t xml:space="preserve"> that </w:t>
      </w:r>
      <w:r w:rsidRPr="00997855" w:rsidR="006957DB">
        <w:t xml:space="preserve">are </w:t>
      </w:r>
      <w:r w:rsidRPr="00997855" w:rsidR="00D06534">
        <w:t xml:space="preserve">intended to protect </w:t>
      </w:r>
      <w:r w:rsidRPr="00997855" w:rsidR="003F6D17">
        <w:t xml:space="preserve">Native American </w:t>
      </w:r>
      <w:r w:rsidRPr="00997855" w:rsidR="00D06534">
        <w:t>heritage</w:t>
      </w:r>
      <w:r w:rsidRPr="00997855" w:rsidR="00271BE1">
        <w:t xml:space="preserve">, </w:t>
      </w:r>
      <w:r w:rsidRPr="00997855" w:rsidR="009B3666">
        <w:t xml:space="preserve">cultural connections </w:t>
      </w:r>
      <w:r w:rsidRPr="00997855" w:rsidR="0067286B">
        <w:t>between tribes and children of Native American ancestry</w:t>
      </w:r>
      <w:r w:rsidRPr="00997855" w:rsidR="00D06534">
        <w:t>, the best interests of Indian children, and the stability and security of Indian tribes and families</w:t>
      </w:r>
      <w:r w:rsidRPr="00997855" w:rsidR="00271BE1">
        <w:t>.</w:t>
      </w:r>
      <w:r w:rsidRPr="00997855" w:rsidR="00D06534">
        <w:t xml:space="preserve"> </w:t>
      </w:r>
      <w:r w:rsidRPr="00997855" w:rsidR="00271BE1">
        <w:t xml:space="preserve"> </w:t>
      </w:r>
      <w:r w:rsidRPr="00997855" w:rsidR="00D06534">
        <w:t>(</w:t>
      </w:r>
      <w:r w:rsidRPr="00997855" w:rsidR="00271BE1">
        <w:t>S</w:t>
      </w:r>
      <w:r w:rsidRPr="00997855" w:rsidR="00D06534">
        <w:t xml:space="preserve">ee </w:t>
      </w:r>
      <w:r w:rsidRPr="00997855" w:rsidR="001F234B">
        <w:rPr>
          <w:i/>
          <w:iCs/>
        </w:rPr>
        <w:t xml:space="preserve">In re </w:t>
      </w:r>
      <w:r w:rsidRPr="00997855" w:rsidR="00D06534">
        <w:rPr>
          <w:i/>
          <w:iCs/>
        </w:rPr>
        <w:t>Isaiah W.</w:t>
      </w:r>
      <w:r w:rsidRPr="00997855" w:rsidR="001F234B">
        <w:t xml:space="preserve"> (2016) 1 Cal.5th 1, </w:t>
      </w:r>
      <w:r w:rsidRPr="00997855" w:rsidR="00D06534">
        <w:t>7–8</w:t>
      </w:r>
      <w:r w:rsidRPr="00997855" w:rsidR="0040285E">
        <w:t xml:space="preserve"> (</w:t>
      </w:r>
      <w:r w:rsidRPr="00997855" w:rsidR="0040285E">
        <w:rPr>
          <w:i/>
          <w:iCs/>
        </w:rPr>
        <w:t>Isaiah W.</w:t>
      </w:r>
      <w:r w:rsidRPr="00997855" w:rsidR="0040285E">
        <w:t>)</w:t>
      </w:r>
      <w:r w:rsidRPr="00997855" w:rsidR="0061281D">
        <w:t>; 25 U.S.C. §</w:t>
      </w:r>
      <w:r w:rsidRPr="00997855" w:rsidR="008D6F53">
        <w:t> </w:t>
      </w:r>
      <w:r w:rsidRPr="00997855" w:rsidR="00FB1AED">
        <w:t xml:space="preserve">1902; </w:t>
      </w:r>
      <w:r w:rsidRPr="00997855" w:rsidR="00DA72AD">
        <w:t>Welf. &amp; Inst. Code</w:t>
      </w:r>
      <w:r w:rsidR="00DA72AD">
        <w:t xml:space="preserve">, </w:t>
      </w:r>
      <w:r w:rsidRPr="00997855" w:rsidR="00794BB8">
        <w:t>§</w:t>
      </w:r>
      <w:r w:rsidRPr="00997855" w:rsidR="008D6F53">
        <w:t> </w:t>
      </w:r>
      <w:r w:rsidRPr="00997855" w:rsidR="00794BB8">
        <w:t>224, subd.</w:t>
      </w:r>
      <w:r w:rsidRPr="00997855" w:rsidR="008D6F53">
        <w:t> </w:t>
      </w:r>
      <w:r w:rsidRPr="00997855" w:rsidR="00794BB8">
        <w:t>(a)</w:t>
      </w:r>
      <w:r w:rsidRPr="00997855" w:rsidR="00271BE1">
        <w:t>.</w:t>
      </w:r>
      <w:r w:rsidRPr="00997855" w:rsidR="00D06534">
        <w:t>)</w:t>
      </w:r>
      <w:r w:rsidRPr="00997855" w:rsidR="00F62090">
        <w:t xml:space="preserve">  </w:t>
      </w:r>
      <w:r w:rsidRPr="00997855" w:rsidR="00064756">
        <w:t xml:space="preserve">When there is </w:t>
      </w:r>
      <w:r w:rsidR="00064756">
        <w:t>a</w:t>
      </w:r>
      <w:r w:rsidRPr="00997855" w:rsidR="00D20D9A">
        <w:t xml:space="preserve">n inadequate inquiry </w:t>
      </w:r>
      <w:r w:rsidRPr="00997855" w:rsidR="00064756">
        <w:t>and the record is underdeveloped</w:t>
      </w:r>
      <w:r w:rsidR="00064756">
        <w:t>,</w:t>
      </w:r>
      <w:r w:rsidRPr="00997855" w:rsidR="00064756">
        <w:t xml:space="preserve"> </w:t>
      </w:r>
      <w:r w:rsidRPr="00997855" w:rsidR="00D20D9A">
        <w:t xml:space="preserve">it </w:t>
      </w:r>
      <w:r w:rsidR="00064756">
        <w:t xml:space="preserve">is </w:t>
      </w:r>
      <w:r w:rsidRPr="00997855" w:rsidR="00D20D9A">
        <w:t xml:space="preserve">impossible </w:t>
      </w:r>
      <w:r w:rsidRPr="00997855" w:rsidR="003045CA">
        <w:t xml:space="preserve">for </w:t>
      </w:r>
      <w:r w:rsidR="00BD3D5B">
        <w:t xml:space="preserve">reviewing courts </w:t>
      </w:r>
      <w:r w:rsidRPr="00997855" w:rsidR="005A46E4">
        <w:t>to assess prejudice</w:t>
      </w:r>
      <w:r w:rsidR="00B654D5">
        <w:t xml:space="preserve"> because </w:t>
      </w:r>
      <w:r w:rsidRPr="00997855" w:rsidR="00502337">
        <w:t>we simply do not know what additional information will be revealed from an adequate inquiry</w:t>
      </w:r>
      <w:r w:rsidRPr="00997855" w:rsidR="00D20D9A">
        <w:t xml:space="preserve">.  </w:t>
      </w:r>
      <w:r w:rsidR="0071052D">
        <w:t>W</w:t>
      </w:r>
      <w:r w:rsidRPr="00997855" w:rsidR="00F62090">
        <w:t xml:space="preserve">e </w:t>
      </w:r>
      <w:r w:rsidR="0071052D">
        <w:t xml:space="preserve">therefore </w:t>
      </w:r>
      <w:r w:rsidRPr="00997855" w:rsidR="00F62090">
        <w:t xml:space="preserve">hold that </w:t>
      </w:r>
      <w:r w:rsidRPr="00766F4B" w:rsidR="00F62090">
        <w:t>a</w:t>
      </w:r>
      <w:r w:rsidRPr="00766F4B" w:rsidR="00225523">
        <w:t>n inadequate</w:t>
      </w:r>
      <w:r w:rsidRPr="00766F4B" w:rsidR="00F62090">
        <w:t xml:space="preserve"> </w:t>
      </w:r>
      <w:r w:rsidRPr="00766F4B" w:rsidR="009D1739">
        <w:t>Cal-</w:t>
      </w:r>
      <w:r w:rsidRPr="00766F4B" w:rsidR="00F62090">
        <w:t>ICWA inquiry</w:t>
      </w:r>
      <w:r w:rsidRPr="00997855" w:rsidR="00F62090">
        <w:t xml:space="preserve"> requires conditional reversal</w:t>
      </w:r>
      <w:r w:rsidR="0024068F">
        <w:t xml:space="preserve"> of the juvenile court’s </w:t>
      </w:r>
      <w:r w:rsidR="00656CA9">
        <w:t>order terminating parental rights</w:t>
      </w:r>
      <w:r w:rsidRPr="00997855" w:rsidR="00F62090">
        <w:t xml:space="preserve"> with directions to the agency to conduct an adequate inquiry</w:t>
      </w:r>
      <w:r w:rsidR="00656CA9">
        <w:t>, supported by record documentation</w:t>
      </w:r>
      <w:r w:rsidRPr="00997855" w:rsidR="00F62090">
        <w:t>.</w:t>
      </w:r>
      <w:r w:rsidR="003D1599">
        <w:t xml:space="preserve">  </w:t>
      </w:r>
      <w:r w:rsidR="008C0D3E">
        <w:t xml:space="preserve">Accordingly, </w:t>
      </w:r>
      <w:r w:rsidRPr="00997855" w:rsidR="00546938">
        <w:t xml:space="preserve">we reverse </w:t>
      </w:r>
      <w:r w:rsidRPr="00997855" w:rsidR="000D589E">
        <w:t xml:space="preserve">the </w:t>
      </w:r>
      <w:r w:rsidRPr="00997855" w:rsidR="00D504E6">
        <w:t xml:space="preserve">judgment </w:t>
      </w:r>
      <w:r w:rsidRPr="00997855" w:rsidR="00987E0F">
        <w:t xml:space="preserve">of the Court of Appeal </w:t>
      </w:r>
      <w:r w:rsidR="006D11ED">
        <w:t xml:space="preserve">with directions to conditionally reverse the </w:t>
      </w:r>
      <w:r w:rsidR="00A93AF5">
        <w:t xml:space="preserve">order terminating parental rights </w:t>
      </w:r>
      <w:r w:rsidRPr="00997855" w:rsidR="00987E0F">
        <w:t xml:space="preserve">and remand for further </w:t>
      </w:r>
      <w:r w:rsidRPr="00997855" w:rsidR="00CF0280">
        <w:t>proceedings consistent with our opinion.</w:t>
      </w:r>
    </w:p>
    <w:p w:rsidR="00781B20" w:rsidRPr="00997855" w:rsidP="00997855" w14:paraId="3376A0A1" w14:textId="5693B0B2">
      <w:pPr>
        <w:pStyle w:val="Heading1"/>
        <w:numPr>
          <w:ilvl w:val="0"/>
          <w:numId w:val="5"/>
        </w:numPr>
      </w:pPr>
      <w:r w:rsidRPr="00997855">
        <w:t>Factual and Procedural Background</w:t>
      </w:r>
    </w:p>
    <w:p w:rsidR="000A501C" w:rsidRPr="00997855" w:rsidP="00997855" w14:paraId="3ABAB3A0" w14:textId="31CA598F">
      <w:pPr>
        <w:pStyle w:val="Text"/>
        <w:tabs>
          <w:tab w:val="clear" w:pos="1440"/>
          <w:tab w:val="clear" w:pos="2160"/>
          <w:tab w:val="clear" w:pos="4320"/>
        </w:tabs>
        <w:spacing w:line="400" w:lineRule="exact"/>
        <w:ind w:firstLine="720"/>
      </w:pPr>
      <w:r w:rsidRPr="00997855">
        <w:t xml:space="preserve">Angelica A. </w:t>
      </w:r>
      <w:r w:rsidRPr="00997855" w:rsidR="00513108">
        <w:t xml:space="preserve">(mother) </w:t>
      </w:r>
      <w:r w:rsidRPr="00997855">
        <w:t>and Luis C.</w:t>
      </w:r>
      <w:r w:rsidRPr="00997855" w:rsidR="006838DA">
        <w:t xml:space="preserve"> </w:t>
      </w:r>
      <w:r w:rsidRPr="00997855" w:rsidR="00513108">
        <w:t xml:space="preserve">(father) </w:t>
      </w:r>
      <w:r w:rsidRPr="00997855" w:rsidR="006838DA">
        <w:t>have two chi</w:t>
      </w:r>
      <w:r w:rsidRPr="00997855" w:rsidR="007943C3">
        <w:t xml:space="preserve">ldren, Dezi </w:t>
      </w:r>
      <w:r w:rsidRPr="00997855" w:rsidR="00553982">
        <w:t xml:space="preserve">C. </w:t>
      </w:r>
      <w:r w:rsidRPr="00997855" w:rsidR="009E64A4">
        <w:t xml:space="preserve">(born </w:t>
      </w:r>
      <w:r w:rsidRPr="00997855" w:rsidR="00B26823">
        <w:t xml:space="preserve">in </w:t>
      </w:r>
      <w:r w:rsidRPr="00997855" w:rsidR="009E64A4">
        <w:t xml:space="preserve">May 2016) </w:t>
      </w:r>
      <w:r w:rsidRPr="00997855" w:rsidR="007943C3">
        <w:t>and Joshua C.</w:t>
      </w:r>
      <w:r w:rsidRPr="00997855" w:rsidR="009E64A4">
        <w:t xml:space="preserve"> (born </w:t>
      </w:r>
      <w:r w:rsidRPr="00997855" w:rsidR="00B26823">
        <w:t xml:space="preserve">in </w:t>
      </w:r>
      <w:r w:rsidRPr="00997855" w:rsidR="009E64A4">
        <w:t xml:space="preserve">April 2018). </w:t>
      </w:r>
      <w:r w:rsidRPr="00997855" w:rsidR="00C87F52">
        <w:t xml:space="preserve"> </w:t>
      </w:r>
      <w:r w:rsidRPr="00997855" w:rsidR="00BA398F">
        <w:t>(</w:t>
      </w:r>
      <w:r w:rsidRPr="00997855" w:rsidR="00BA398F">
        <w:rPr>
          <w:i/>
          <w:iCs/>
        </w:rPr>
        <w:t>In re Dezi C.</w:t>
      </w:r>
      <w:r w:rsidRPr="00997855" w:rsidR="00BA398F">
        <w:t xml:space="preserve"> (2022) 79</w:t>
      </w:r>
      <w:r w:rsidRPr="00997855" w:rsidR="0029592A">
        <w:t> </w:t>
      </w:r>
      <w:r w:rsidRPr="00997855" w:rsidR="00BA398F">
        <w:t>Cal.App.5th 769, 775 (</w:t>
      </w:r>
      <w:r w:rsidRPr="00997855" w:rsidR="00BA398F">
        <w:rPr>
          <w:i/>
          <w:iCs/>
        </w:rPr>
        <w:t>Dezi C.</w:t>
      </w:r>
      <w:r w:rsidRPr="00997855" w:rsidR="00BA398F">
        <w:t xml:space="preserve">).)  </w:t>
      </w:r>
      <w:r w:rsidRPr="00997855" w:rsidR="009C178A">
        <w:t>In 2019, t</w:t>
      </w:r>
      <w:r w:rsidRPr="00997855" w:rsidR="00871466">
        <w:t xml:space="preserve">he </w:t>
      </w:r>
      <w:r w:rsidR="002F04D0">
        <w:t xml:space="preserve">Los Angeles County </w:t>
      </w:r>
      <w:r w:rsidRPr="00997855" w:rsidR="00871466">
        <w:t xml:space="preserve">Department </w:t>
      </w:r>
      <w:r w:rsidR="002F04D0">
        <w:t>of Children and Family Services (</w:t>
      </w:r>
      <w:r w:rsidR="00710DC5">
        <w:t xml:space="preserve">Department) </w:t>
      </w:r>
      <w:r w:rsidRPr="00997855" w:rsidR="00871466">
        <w:t>filed petitions pursuant to Welfare and Institutions Code</w:t>
      </w:r>
      <w:r>
        <w:rPr>
          <w:rStyle w:val="FootnoteReference"/>
        </w:rPr>
        <w:footnoteReference w:id="4"/>
      </w:r>
      <w:r w:rsidRPr="00997855" w:rsidR="00871466">
        <w:t xml:space="preserve"> section 300 </w:t>
      </w:r>
      <w:r w:rsidRPr="00997855" w:rsidR="006F3283">
        <w:t xml:space="preserve">seeking to </w:t>
      </w:r>
      <w:r w:rsidRPr="00997855" w:rsidR="009447CD">
        <w:t>assert</w:t>
      </w:r>
      <w:r w:rsidRPr="00997855" w:rsidR="006F3283">
        <w:t xml:space="preserve"> dependency jurisdiction over </w:t>
      </w:r>
      <w:r w:rsidRPr="00997855" w:rsidR="001F7CE4">
        <w:t xml:space="preserve">Dezi and Joshua </w:t>
      </w:r>
      <w:r w:rsidRPr="00997855" w:rsidR="006F3283">
        <w:t xml:space="preserve">and </w:t>
      </w:r>
      <w:r w:rsidRPr="00997855" w:rsidR="00420470">
        <w:t xml:space="preserve">alleging </w:t>
      </w:r>
      <w:r w:rsidRPr="00997855" w:rsidR="001F7CE4">
        <w:t xml:space="preserve">the </w:t>
      </w:r>
      <w:r w:rsidRPr="00997855" w:rsidR="00420470">
        <w:t>minors</w:t>
      </w:r>
      <w:r w:rsidRPr="00997855" w:rsidR="00871466">
        <w:t xml:space="preserve"> were at risk of harm in the custody of </w:t>
      </w:r>
      <w:r w:rsidRPr="00997855" w:rsidR="00D15144">
        <w:t>mother</w:t>
      </w:r>
      <w:r w:rsidRPr="00997855" w:rsidR="007B0E72">
        <w:t xml:space="preserve"> </w:t>
      </w:r>
      <w:r w:rsidRPr="00997855" w:rsidR="00871466">
        <w:t xml:space="preserve">and </w:t>
      </w:r>
      <w:r w:rsidRPr="00997855" w:rsidR="00D15144">
        <w:t xml:space="preserve">father </w:t>
      </w:r>
      <w:r w:rsidRPr="00997855" w:rsidR="00871466">
        <w:t xml:space="preserve">due to </w:t>
      </w:r>
      <w:r w:rsidRPr="00997855" w:rsidR="00726F40">
        <w:t xml:space="preserve">the </w:t>
      </w:r>
      <w:r w:rsidRPr="00997855" w:rsidR="00871466">
        <w:t>parents’ substance abuse and domestic violence issues.</w:t>
      </w:r>
    </w:p>
    <w:p w:rsidR="00F3393A" w:rsidP="00997855" w14:paraId="638C8FB8" w14:textId="6C881C2D">
      <w:pPr>
        <w:pStyle w:val="Text"/>
        <w:tabs>
          <w:tab w:val="clear" w:pos="1440"/>
          <w:tab w:val="clear" w:pos="2160"/>
          <w:tab w:val="clear" w:pos="4320"/>
        </w:tabs>
        <w:spacing w:line="400" w:lineRule="exact"/>
        <w:ind w:firstLine="720"/>
      </w:pPr>
      <w:r w:rsidRPr="00997855">
        <w:t>Mother</w:t>
      </w:r>
      <w:r w:rsidRPr="00997855" w:rsidR="00462375">
        <w:t xml:space="preserve"> </w:t>
      </w:r>
      <w:r w:rsidRPr="00997855" w:rsidR="006213D9">
        <w:t xml:space="preserve">and </w:t>
      </w:r>
      <w:r w:rsidRPr="00997855">
        <w:t xml:space="preserve">father </w:t>
      </w:r>
      <w:r w:rsidRPr="00997855" w:rsidR="006213D9">
        <w:t>completed</w:t>
      </w:r>
      <w:r w:rsidR="00117142">
        <w:t xml:space="preserve"> Parental Notification of Indian Status</w:t>
      </w:r>
      <w:r w:rsidRPr="00997855" w:rsidR="006213D9">
        <w:t xml:space="preserve"> </w:t>
      </w:r>
      <w:r w:rsidR="00117142">
        <w:t>(</w:t>
      </w:r>
      <w:r w:rsidRPr="00997855" w:rsidR="006213D9">
        <w:t>ICWA-020</w:t>
      </w:r>
      <w:r w:rsidR="00117142">
        <w:t>)</w:t>
      </w:r>
      <w:r w:rsidRPr="00997855" w:rsidR="006213D9">
        <w:t xml:space="preserve"> forms prior to the detention hearing</w:t>
      </w:r>
      <w:r w:rsidR="006D5336">
        <w:t>,</w:t>
      </w:r>
      <w:r w:rsidRPr="00997855" w:rsidR="00E55CFE">
        <w:t xml:space="preserve"> </w:t>
      </w:r>
      <w:r w:rsidRPr="00997855" w:rsidR="00193335">
        <w:t xml:space="preserve">and </w:t>
      </w:r>
      <w:r w:rsidRPr="00997855" w:rsidR="00E07960">
        <w:t xml:space="preserve">each </w:t>
      </w:r>
      <w:r w:rsidRPr="00997855" w:rsidR="00193335">
        <w:t>indicated</w:t>
      </w:r>
      <w:r w:rsidRPr="00997855" w:rsidR="00E07960">
        <w:t xml:space="preserve">, “I have no </w:t>
      </w:r>
      <w:r w:rsidRPr="00997855" w:rsidR="00462375">
        <w:t xml:space="preserve">Indian ancestry as far as </w:t>
      </w:r>
      <w:r w:rsidRPr="00997855" w:rsidR="00E07960">
        <w:t xml:space="preserve">I </w:t>
      </w:r>
    </w:p>
    <w:p w:rsidR="002168F9" w:rsidRPr="00997855" w:rsidP="00F3393A" w14:paraId="3A6C9F20" w14:textId="0779D0EE">
      <w:pPr>
        <w:pStyle w:val="Text"/>
        <w:tabs>
          <w:tab w:val="clear" w:pos="1440"/>
          <w:tab w:val="clear" w:pos="2160"/>
          <w:tab w:val="clear" w:pos="4320"/>
        </w:tabs>
        <w:spacing w:line="400" w:lineRule="exact"/>
        <w:ind w:firstLine="0"/>
      </w:pPr>
      <w:r w:rsidRPr="00997855">
        <w:t>know</w:t>
      </w:r>
      <w:r w:rsidRPr="00997855" w:rsidR="00462375">
        <w:t>.”</w:t>
      </w:r>
      <w:r w:rsidRPr="00997855" w:rsidR="000D5A67">
        <w:rPr>
          <w:rStyle w:val="FootnoteReference"/>
        </w:rPr>
        <w:t xml:space="preserve"> </w:t>
      </w:r>
    </w:p>
    <w:p w:rsidR="00CF7868" w:rsidRPr="00997855" w:rsidP="00997855" w14:paraId="55EDCC16" w14:textId="22C8BE65">
      <w:pPr>
        <w:pStyle w:val="Text"/>
        <w:tabs>
          <w:tab w:val="clear" w:pos="1440"/>
          <w:tab w:val="clear" w:pos="2160"/>
          <w:tab w:val="clear" w:pos="4320"/>
        </w:tabs>
        <w:spacing w:line="400" w:lineRule="exact"/>
        <w:ind w:firstLine="720"/>
      </w:pPr>
      <w:r w:rsidRPr="00997855">
        <w:t>The initial detention hearing was held in December 201</w:t>
      </w:r>
      <w:r w:rsidRPr="00997855" w:rsidR="004D49B1">
        <w:t>9</w:t>
      </w:r>
      <w:r w:rsidRPr="00997855" w:rsidR="00AD5BCB">
        <w:t xml:space="preserve">.  </w:t>
      </w:r>
      <w:r w:rsidRPr="00997855" w:rsidR="004D49B1">
        <w:t>T</w:t>
      </w:r>
      <w:r w:rsidRPr="00997855" w:rsidR="00DB204E">
        <w:t xml:space="preserve">he court asked the parents about the accuracy of the ICWA-020 forms and whether </w:t>
      </w:r>
      <w:r w:rsidR="002B13D9">
        <w:t>the</w:t>
      </w:r>
      <w:r w:rsidR="00954C3E">
        <w:t>y</w:t>
      </w:r>
      <w:r w:rsidRPr="00997855" w:rsidR="00187CC1">
        <w:t xml:space="preserve"> had</w:t>
      </w:r>
      <w:r w:rsidRPr="00997855" w:rsidR="00955F1B">
        <w:t xml:space="preserve"> </w:t>
      </w:r>
      <w:r w:rsidRPr="00997855" w:rsidR="00187CC1">
        <w:t>Indian heritage</w:t>
      </w:r>
      <w:r w:rsidRPr="00997855" w:rsidR="00DB204E">
        <w:t>.</w:t>
      </w:r>
      <w:r w:rsidRPr="00997855" w:rsidR="00B200BD">
        <w:t xml:space="preserve">  </w:t>
      </w:r>
      <w:r w:rsidRPr="00997855" w:rsidR="00E158D5">
        <w:t xml:space="preserve">Mother </w:t>
      </w:r>
      <w:r w:rsidRPr="00997855" w:rsidR="00EE2170">
        <w:t xml:space="preserve">and </w:t>
      </w:r>
      <w:r w:rsidRPr="00997855" w:rsidR="00E158D5">
        <w:t xml:space="preserve">father </w:t>
      </w:r>
      <w:r w:rsidRPr="00997855" w:rsidR="00E21B64">
        <w:t xml:space="preserve">denied </w:t>
      </w:r>
      <w:r w:rsidRPr="00997855" w:rsidR="00975E68">
        <w:t>having Indian heritage</w:t>
      </w:r>
      <w:r w:rsidRPr="00997855" w:rsidR="00E21B64">
        <w:t>, and the court found this was not an ICWA case</w:t>
      </w:r>
      <w:r w:rsidRPr="00997855" w:rsidR="00975E68">
        <w:t>.</w:t>
      </w:r>
      <w:r w:rsidRPr="00997855" w:rsidR="00EE2170">
        <w:t xml:space="preserve">  </w:t>
      </w:r>
      <w:r w:rsidRPr="00997855" w:rsidR="00404432">
        <w:t>The court</w:t>
      </w:r>
      <w:r w:rsidRPr="00997855" w:rsidR="002202D3">
        <w:t xml:space="preserve"> ordered </w:t>
      </w:r>
      <w:r w:rsidR="00C85D4A">
        <w:t xml:space="preserve">the </w:t>
      </w:r>
      <w:r w:rsidRPr="00997855" w:rsidR="00C324D1">
        <w:t xml:space="preserve">parents to provide the Department with the name, address, and any other identifying information </w:t>
      </w:r>
      <w:r w:rsidRPr="00997855" w:rsidR="00D25ADD">
        <w:t xml:space="preserve">of maternal and paternal relatives but did not explain </w:t>
      </w:r>
      <w:r w:rsidRPr="00997855" w:rsidR="008A1F46">
        <w:t>why this information was necessary.</w:t>
      </w:r>
      <w:r w:rsidRPr="00997855" w:rsidR="009363E8">
        <w:rPr>
          <w:rStyle w:val="FootnoteReference"/>
        </w:rPr>
        <w:t xml:space="preserve"> </w:t>
      </w:r>
    </w:p>
    <w:p w:rsidR="00486668" w:rsidRPr="00997855" w:rsidP="00997855" w14:paraId="78193C74" w14:textId="01A09CB2">
      <w:pPr>
        <w:pStyle w:val="Text"/>
        <w:tabs>
          <w:tab w:val="clear" w:pos="1440"/>
          <w:tab w:val="clear" w:pos="2160"/>
          <w:tab w:val="clear" w:pos="4320"/>
        </w:tabs>
        <w:spacing w:line="400" w:lineRule="exact"/>
        <w:ind w:firstLine="720"/>
      </w:pPr>
      <w:r w:rsidRPr="00997855">
        <w:t xml:space="preserve">In February 2020, the juvenile court </w:t>
      </w:r>
      <w:r w:rsidRPr="00997855" w:rsidR="009F6B10">
        <w:t xml:space="preserve">held a combined jurisdictional and dispositional hearing.  It </w:t>
      </w:r>
      <w:r w:rsidRPr="00997855">
        <w:t xml:space="preserve">sustained the allegations of the petitions, removed </w:t>
      </w:r>
      <w:r w:rsidRPr="00997855" w:rsidR="000D520E">
        <w:t xml:space="preserve">Dezi and Joshua </w:t>
      </w:r>
      <w:r w:rsidRPr="00997855">
        <w:t>from the custody</w:t>
      </w:r>
      <w:r w:rsidRPr="00997855" w:rsidR="00070C60">
        <w:t xml:space="preserve"> of </w:t>
      </w:r>
      <w:r w:rsidRPr="00997855" w:rsidR="0021311C">
        <w:t>their parents</w:t>
      </w:r>
      <w:r w:rsidRPr="00997855">
        <w:t xml:space="preserve">, and ordered the Department to provide </w:t>
      </w:r>
      <w:r w:rsidRPr="00997855" w:rsidR="0021311C">
        <w:t xml:space="preserve">the </w:t>
      </w:r>
      <w:r w:rsidRPr="00997855">
        <w:t>parents with family reunification services</w:t>
      </w:r>
      <w:r w:rsidRPr="00997855" w:rsidR="00A95C8F">
        <w:t xml:space="preserve"> in accordance with the case plans of each parent</w:t>
      </w:r>
      <w:r w:rsidRPr="00997855">
        <w:t>.</w:t>
      </w:r>
      <w:r w:rsidRPr="00997855" w:rsidR="005A6C32">
        <w:t xml:space="preserve"> </w:t>
      </w:r>
    </w:p>
    <w:p w:rsidR="006C633D" w:rsidRPr="00997855" w:rsidP="00997855" w14:paraId="7C48B165" w14:textId="2A7D3F93">
      <w:pPr>
        <w:pStyle w:val="Text"/>
        <w:tabs>
          <w:tab w:val="clear" w:pos="1440"/>
          <w:tab w:val="clear" w:pos="2160"/>
          <w:tab w:val="clear" w:pos="4320"/>
        </w:tabs>
        <w:spacing w:line="400" w:lineRule="exact"/>
        <w:ind w:firstLine="720"/>
      </w:pPr>
      <w:r w:rsidRPr="00997855">
        <w:t xml:space="preserve">A six-month review hearing </w:t>
      </w:r>
      <w:r w:rsidRPr="00997855" w:rsidR="00823E27">
        <w:t xml:space="preserve">was </w:t>
      </w:r>
      <w:r w:rsidRPr="00997855">
        <w:t>held in August 2020</w:t>
      </w:r>
      <w:r w:rsidRPr="00997855" w:rsidR="00823E27">
        <w:t xml:space="preserve">.  </w:t>
      </w:r>
      <w:r w:rsidRPr="00997855" w:rsidR="000E30AB">
        <w:t xml:space="preserve">At that hearing, </w:t>
      </w:r>
      <w:r w:rsidRPr="00997855">
        <w:t xml:space="preserve">the </w:t>
      </w:r>
      <w:r w:rsidRPr="00997855" w:rsidR="001B71E9">
        <w:t xml:space="preserve">juvenile </w:t>
      </w:r>
      <w:r w:rsidRPr="00997855">
        <w:t>court concluded mother and father were not in compliance with their case plans, terminated reunification services, and set the matter for a permanency planning hearing pursuant to section 366.26.</w:t>
      </w:r>
    </w:p>
    <w:p w:rsidR="00A57D61" w:rsidRPr="00997855" w:rsidP="00997855" w14:paraId="2E318090" w14:textId="048DC6AA">
      <w:pPr>
        <w:pStyle w:val="Text"/>
        <w:tabs>
          <w:tab w:val="clear" w:pos="1440"/>
          <w:tab w:val="clear" w:pos="2160"/>
          <w:tab w:val="clear" w:pos="4320"/>
        </w:tabs>
        <w:spacing w:line="400" w:lineRule="exact"/>
        <w:ind w:firstLine="720"/>
      </w:pPr>
      <w:r w:rsidRPr="00997855">
        <w:t>At t</w:t>
      </w:r>
      <w:r w:rsidRPr="00997855" w:rsidR="00871466">
        <w:t>h</w:t>
      </w:r>
      <w:r w:rsidRPr="00997855" w:rsidR="006C633D">
        <w:t xml:space="preserve">e </w:t>
      </w:r>
      <w:r w:rsidRPr="00997855" w:rsidR="00165AB1">
        <w:t xml:space="preserve">section 366.26 </w:t>
      </w:r>
      <w:r w:rsidRPr="00997855">
        <w:t xml:space="preserve">permanency hearing, </w:t>
      </w:r>
      <w:r w:rsidRPr="00997855" w:rsidR="00871466">
        <w:t>held in January 2022</w:t>
      </w:r>
      <w:r w:rsidRPr="00997855">
        <w:t>, t</w:t>
      </w:r>
      <w:r w:rsidRPr="00997855" w:rsidR="00871466">
        <w:t xml:space="preserve">he juvenile court concluded </w:t>
      </w:r>
      <w:r w:rsidRPr="00997855" w:rsidR="006F4C04">
        <w:t xml:space="preserve">by clear and convincing evidence </w:t>
      </w:r>
      <w:r w:rsidRPr="00997855" w:rsidR="00871466">
        <w:t xml:space="preserve">that the children were adoptable and </w:t>
      </w:r>
      <w:r w:rsidRPr="00997855" w:rsidR="006F4C04">
        <w:t xml:space="preserve">were </w:t>
      </w:r>
      <w:r w:rsidRPr="00997855" w:rsidR="00871466">
        <w:t>likely to be adopted by their paternal grandparents.</w:t>
      </w:r>
      <w:r w:rsidRPr="00997855" w:rsidR="009F1972">
        <w:t xml:space="preserve">  </w:t>
      </w:r>
      <w:r w:rsidRPr="00997855" w:rsidR="00871466">
        <w:t xml:space="preserve">The court terminated </w:t>
      </w:r>
      <w:r w:rsidRPr="00997855" w:rsidR="00090647">
        <w:t>mother’s</w:t>
      </w:r>
      <w:r w:rsidRPr="00997855" w:rsidR="00AD087E">
        <w:t xml:space="preserve"> and </w:t>
      </w:r>
      <w:r w:rsidRPr="00997855" w:rsidR="00090647">
        <w:t xml:space="preserve">father’s </w:t>
      </w:r>
      <w:r w:rsidRPr="00997855" w:rsidR="00871466">
        <w:t>parental rights.</w:t>
      </w:r>
      <w:r w:rsidRPr="00997855" w:rsidR="004A30DF">
        <w:t xml:space="preserve">  </w:t>
      </w:r>
      <w:r w:rsidRPr="00997855">
        <w:t>ICWA was not mentioned.</w:t>
      </w:r>
    </w:p>
    <w:p w:rsidR="00375F62" w:rsidRPr="00997855" w:rsidP="00997855" w14:paraId="225B7282" w14:textId="447EEDC2">
      <w:pPr>
        <w:pStyle w:val="Text"/>
        <w:tabs>
          <w:tab w:val="clear" w:pos="1440"/>
          <w:tab w:val="clear" w:pos="2160"/>
          <w:tab w:val="clear" w:pos="4320"/>
        </w:tabs>
        <w:spacing w:line="400" w:lineRule="exact"/>
        <w:ind w:firstLine="720"/>
      </w:pPr>
      <w:r w:rsidRPr="00997855">
        <w:t>In</w:t>
      </w:r>
      <w:r w:rsidRPr="00997855" w:rsidR="002279D7">
        <w:t xml:space="preserve"> investigating</w:t>
      </w:r>
      <w:r w:rsidRPr="00997855">
        <w:t xml:space="preserve"> the allegations underlying the dependency petitions, Department social workers spoke with paternal grandparents, maternal grandparents, </w:t>
      </w:r>
      <w:r w:rsidRPr="00997855" w:rsidR="00255F60">
        <w:t xml:space="preserve">father’s </w:t>
      </w:r>
      <w:r w:rsidRPr="00997855">
        <w:t xml:space="preserve">siblings, </w:t>
      </w:r>
      <w:r w:rsidRPr="00997855" w:rsidR="00255F60">
        <w:t xml:space="preserve">mother’s </w:t>
      </w:r>
      <w:r w:rsidRPr="00997855">
        <w:t xml:space="preserve">siblings, and one of </w:t>
      </w:r>
      <w:r w:rsidRPr="00997855" w:rsidR="00255F60">
        <w:t>father’s</w:t>
      </w:r>
      <w:r w:rsidRPr="00997855">
        <w:t xml:space="preserve"> cousins.  </w:t>
      </w:r>
      <w:r w:rsidRPr="00997855" w:rsidR="00486359">
        <w:t>(</w:t>
      </w:r>
      <w:r w:rsidRPr="00997855" w:rsidR="00486359">
        <w:rPr>
          <w:i/>
          <w:iCs/>
        </w:rPr>
        <w:t>Dezi C.</w:t>
      </w:r>
      <w:r w:rsidRPr="00997855" w:rsidR="00E235DF">
        <w:t xml:space="preserve">, </w:t>
      </w:r>
      <w:r w:rsidRPr="00997855" w:rsidR="00E235DF">
        <w:rPr>
          <w:i/>
          <w:iCs/>
        </w:rPr>
        <w:t>supra</w:t>
      </w:r>
      <w:r w:rsidRPr="00997855" w:rsidR="00E235DF">
        <w:t xml:space="preserve">, </w:t>
      </w:r>
      <w:r w:rsidRPr="00997855" w:rsidR="00486359">
        <w:t xml:space="preserve">79 Cal.App.5th </w:t>
      </w:r>
      <w:r w:rsidRPr="00997855" w:rsidR="00E235DF">
        <w:t xml:space="preserve">at p. </w:t>
      </w:r>
      <w:r w:rsidRPr="00997855" w:rsidR="00486359">
        <w:t xml:space="preserve">776.)  </w:t>
      </w:r>
      <w:r w:rsidRPr="00997855">
        <w:t xml:space="preserve">It is undisputed that the social workers did not ask any of these individuals whether </w:t>
      </w:r>
      <w:r w:rsidRPr="00997855" w:rsidR="00255F60">
        <w:t>mother</w:t>
      </w:r>
      <w:r w:rsidRPr="00997855">
        <w:t xml:space="preserve">, </w:t>
      </w:r>
      <w:r w:rsidRPr="00997855" w:rsidR="00255F60">
        <w:t>father</w:t>
      </w:r>
      <w:r w:rsidRPr="00997855">
        <w:t xml:space="preserve">, </w:t>
      </w:r>
      <w:r w:rsidRPr="00997855" w:rsidR="00D1480A">
        <w:t xml:space="preserve">Dezi, or Joshua </w:t>
      </w:r>
      <w:r w:rsidRPr="00997855">
        <w:t xml:space="preserve">had Indian ancestry.  </w:t>
      </w:r>
      <w:r w:rsidRPr="00997855" w:rsidR="00486359">
        <w:t>(</w:t>
      </w:r>
      <w:r w:rsidRPr="00997855" w:rsidR="00486359">
        <w:rPr>
          <w:i/>
          <w:iCs/>
        </w:rPr>
        <w:t>Ibid.</w:t>
      </w:r>
      <w:r w:rsidRPr="00997855" w:rsidR="00486359">
        <w:t xml:space="preserve">)  </w:t>
      </w:r>
      <w:r w:rsidRPr="00997855">
        <w:t>This is despite the fact</w:t>
      </w:r>
      <w:r w:rsidR="002C4E90">
        <w:t>s</w:t>
      </w:r>
      <w:r w:rsidRPr="00997855">
        <w:t xml:space="preserve"> that</w:t>
      </w:r>
      <w:r w:rsidRPr="00997855" w:rsidR="00901A20">
        <w:t xml:space="preserve">: </w:t>
      </w:r>
      <w:r w:rsidR="00846D10">
        <w:t xml:space="preserve"> </w:t>
      </w:r>
      <w:r w:rsidRPr="00997855" w:rsidR="00D92407">
        <w:t>mother, father</w:t>
      </w:r>
      <w:r w:rsidRPr="00997855">
        <w:t xml:space="preserve">, and the children </w:t>
      </w:r>
      <w:r w:rsidRPr="00997855" w:rsidR="007956B1">
        <w:t xml:space="preserve">resided </w:t>
      </w:r>
      <w:r w:rsidRPr="00997855">
        <w:t xml:space="preserve">with paternal grandparents </w:t>
      </w:r>
      <w:r w:rsidRPr="00997855" w:rsidR="007956B1">
        <w:t>before the court asserted jurisdiction over the</w:t>
      </w:r>
      <w:r w:rsidRPr="00997855" w:rsidR="001E47EB">
        <w:t xml:space="preserve"> children</w:t>
      </w:r>
      <w:r w:rsidRPr="00997855" w:rsidR="007956B1">
        <w:t xml:space="preserve"> and</w:t>
      </w:r>
      <w:r w:rsidRPr="00997855" w:rsidR="001E47EB">
        <w:t xml:space="preserve"> throughout</w:t>
      </w:r>
      <w:r w:rsidRPr="00997855" w:rsidR="007956B1">
        <w:t xml:space="preserve"> the dependency proceedings</w:t>
      </w:r>
      <w:r w:rsidRPr="00997855" w:rsidR="00596031">
        <w:t>, and paternal grandparents were likely to adopt the children</w:t>
      </w:r>
      <w:r w:rsidRPr="00997855" w:rsidR="007956B1">
        <w:t>;</w:t>
      </w:r>
      <w:r w:rsidRPr="00997855">
        <w:t xml:space="preserve"> </w:t>
      </w:r>
      <w:r w:rsidRPr="00997855" w:rsidR="00C941E3">
        <w:t>father’s</w:t>
      </w:r>
      <w:r w:rsidRPr="00997855">
        <w:t xml:space="preserve"> cousin appeared at the detention hearing</w:t>
      </w:r>
      <w:r w:rsidRPr="00997855" w:rsidR="007956B1">
        <w:t>;</w:t>
      </w:r>
      <w:r w:rsidRPr="00997855" w:rsidR="00A31565">
        <w:t xml:space="preserve"> and</w:t>
      </w:r>
      <w:r w:rsidRPr="00997855">
        <w:t xml:space="preserve"> maternal grandparents</w:t>
      </w:r>
      <w:r w:rsidRPr="00997855" w:rsidR="002B0750">
        <w:t xml:space="preserve"> appeared at </w:t>
      </w:r>
      <w:r w:rsidRPr="00997855">
        <w:t>the adjudication and disposition hearing.</w:t>
      </w:r>
    </w:p>
    <w:p w:rsidR="008643D6" w:rsidRPr="00997855" w:rsidP="00997855" w14:paraId="10728FB1" w14:textId="183EAC16">
      <w:pPr>
        <w:pStyle w:val="Text"/>
        <w:tabs>
          <w:tab w:val="clear" w:pos="1440"/>
          <w:tab w:val="clear" w:pos="2160"/>
          <w:tab w:val="clear" w:pos="4320"/>
        </w:tabs>
        <w:spacing w:line="400" w:lineRule="exact"/>
        <w:ind w:firstLine="720"/>
      </w:pPr>
      <w:r w:rsidRPr="00997855">
        <w:t xml:space="preserve">Mother </w:t>
      </w:r>
      <w:r w:rsidRPr="00997855" w:rsidR="00AA4B96">
        <w:t>appealed</w:t>
      </w:r>
      <w:r w:rsidRPr="00997855" w:rsidR="007E6386">
        <w:t xml:space="preserve"> the termination of her parental rights</w:t>
      </w:r>
      <w:r w:rsidRPr="00997855" w:rsidR="00AA4B96">
        <w:t xml:space="preserve">.  </w:t>
      </w:r>
      <w:r w:rsidRPr="00997855" w:rsidR="00E02DD9">
        <w:t xml:space="preserve">Her sole contention on appeal was </w:t>
      </w:r>
      <w:r w:rsidRPr="00997855" w:rsidR="00DA79A3">
        <w:t xml:space="preserve">that the Department failed to comply with its duty under ICWA and related California provisions to initially inquire of “extended family members” </w:t>
      </w:r>
      <w:r w:rsidRPr="00997855" w:rsidR="00F20F53">
        <w:t>(§</w:t>
      </w:r>
      <w:r w:rsidRPr="00997855" w:rsidR="00F575A3">
        <w:t> </w:t>
      </w:r>
      <w:r w:rsidRPr="00997855" w:rsidR="00F20F53">
        <w:t>224.2, subd.</w:t>
      </w:r>
      <w:r w:rsidRPr="00997855" w:rsidR="00F575A3">
        <w:t> </w:t>
      </w:r>
      <w:r w:rsidRPr="00997855" w:rsidR="00F20F53">
        <w:t xml:space="preserve">(b)) </w:t>
      </w:r>
      <w:r w:rsidRPr="00997855" w:rsidR="00DA79A3">
        <w:t>regarding the children’s possible Indian ancestry.  The C</w:t>
      </w:r>
      <w:r w:rsidRPr="00997855" w:rsidR="00905D67">
        <w:t xml:space="preserve">ourt of Appeal found </w:t>
      </w:r>
      <w:r w:rsidRPr="00997855" w:rsidR="00DA79A3">
        <w:t xml:space="preserve">it </w:t>
      </w:r>
      <w:r w:rsidRPr="00997855" w:rsidR="009B0669">
        <w:t xml:space="preserve">was </w:t>
      </w:r>
      <w:r w:rsidRPr="00997855" w:rsidR="00DA79A3">
        <w:t>“undisputed that the Department’s initial inquiry was deficient” and</w:t>
      </w:r>
      <w:r w:rsidRPr="00997855" w:rsidR="009B0669">
        <w:t xml:space="preserve"> </w:t>
      </w:r>
      <w:r w:rsidRPr="00997855" w:rsidR="00FB6894">
        <w:t xml:space="preserve">thus </w:t>
      </w:r>
      <w:r w:rsidRPr="00997855" w:rsidR="00905D67">
        <w:t xml:space="preserve">concluded </w:t>
      </w:r>
      <w:r w:rsidRPr="00997855" w:rsidR="00DA79A3">
        <w:t xml:space="preserve">that the </w:t>
      </w:r>
      <w:r w:rsidRPr="00997855" w:rsidR="009B0669">
        <w:t xml:space="preserve">operative </w:t>
      </w:r>
      <w:r w:rsidRPr="00997855" w:rsidR="00DA79A3">
        <w:t>question was whether “the Department’s defective initial inquiry in this case render[ed] invalid the juvenile court’s subsequent finding that ICWA does not apply (and thus render[ed] invalid the court’s concomitant order terminating mother’s parental rights)</w:t>
      </w:r>
      <w:r w:rsidRPr="00997855" w:rsidR="001E2F85">
        <w:t>?</w:t>
      </w:r>
      <w:r w:rsidRPr="00997855" w:rsidR="00DA79A3">
        <w:t>”  (</w:t>
      </w:r>
      <w:r w:rsidRPr="00997855" w:rsidR="000E7D66">
        <w:rPr>
          <w:i/>
          <w:iCs/>
        </w:rPr>
        <w:t>Dezi C.</w:t>
      </w:r>
      <w:r w:rsidRPr="00997855" w:rsidR="00FB4E2E">
        <w:t xml:space="preserve">, </w:t>
      </w:r>
      <w:r w:rsidRPr="00997855" w:rsidR="00FB4E2E">
        <w:rPr>
          <w:i/>
          <w:iCs/>
        </w:rPr>
        <w:t>supra</w:t>
      </w:r>
      <w:r w:rsidRPr="00997855" w:rsidR="00FB4E2E">
        <w:t xml:space="preserve">, </w:t>
      </w:r>
      <w:r w:rsidRPr="00997855" w:rsidR="00DA79A3">
        <w:t xml:space="preserve">79 Cal.App.5th </w:t>
      </w:r>
      <w:r w:rsidRPr="00997855" w:rsidR="00FB4E2E">
        <w:t xml:space="preserve">at pp. </w:t>
      </w:r>
      <w:r w:rsidRPr="00997855" w:rsidR="00DA79A3">
        <w:t>776</w:t>
      </w:r>
      <w:r w:rsidRPr="00997855" w:rsidR="000E7D66">
        <w:t>–</w:t>
      </w:r>
      <w:r w:rsidRPr="00997855" w:rsidR="00DA79A3">
        <w:t>777.)</w:t>
      </w:r>
    </w:p>
    <w:p w:rsidR="004702BC" w:rsidRPr="00997855" w:rsidP="00997855" w14:paraId="59D5D289" w14:textId="45D2113B">
      <w:pPr>
        <w:pStyle w:val="Text"/>
        <w:tabs>
          <w:tab w:val="clear" w:pos="1440"/>
          <w:tab w:val="clear" w:pos="2160"/>
          <w:tab w:val="clear" w:pos="4320"/>
        </w:tabs>
        <w:spacing w:line="400" w:lineRule="exact"/>
        <w:ind w:firstLine="720"/>
      </w:pPr>
      <w:r w:rsidRPr="00997855">
        <w:t xml:space="preserve">The Court of Appeal </w:t>
      </w:r>
      <w:r w:rsidRPr="00997855" w:rsidR="00FB4E2E">
        <w:t>noted</w:t>
      </w:r>
      <w:r w:rsidRPr="00997855" w:rsidR="00DA79A3">
        <w:t xml:space="preserve"> that “California courts have staked out three different rules for assessing whether a defective initial inquiry is harmless.”  (</w:t>
      </w:r>
      <w:r w:rsidRPr="00997855" w:rsidR="00216501">
        <w:rPr>
          <w:i/>
          <w:iCs/>
        </w:rPr>
        <w:t>Dezi C.</w:t>
      </w:r>
      <w:r w:rsidRPr="00997855" w:rsidR="00216501">
        <w:t xml:space="preserve">, </w:t>
      </w:r>
      <w:r w:rsidRPr="00997855" w:rsidR="00216501">
        <w:rPr>
          <w:i/>
          <w:iCs/>
        </w:rPr>
        <w:t>supra</w:t>
      </w:r>
      <w:r w:rsidRPr="00997855" w:rsidR="00216501">
        <w:t>, 79 Cal.App.5th</w:t>
      </w:r>
      <w:r w:rsidRPr="00997855" w:rsidR="00FB4E2E">
        <w:rPr>
          <w:i/>
          <w:iCs/>
        </w:rPr>
        <w:t xml:space="preserve"> </w:t>
      </w:r>
      <w:r w:rsidRPr="00997855" w:rsidR="00DA79A3">
        <w:t>at p.</w:t>
      </w:r>
      <w:r w:rsidRPr="00997855" w:rsidR="003F0288">
        <w:t> </w:t>
      </w:r>
      <w:r w:rsidRPr="00997855" w:rsidR="00DA79A3">
        <w:t xml:space="preserve">777.)  </w:t>
      </w:r>
      <w:r w:rsidRPr="00997855">
        <w:t xml:space="preserve">It considered and rejected the rules </w:t>
      </w:r>
      <w:r w:rsidRPr="00997855" w:rsidR="00DA79A3">
        <w:t xml:space="preserve">in favor of its own </w:t>
      </w:r>
      <w:r w:rsidRPr="00997855" w:rsidR="00520D1C">
        <w:t>fourth rule</w:t>
      </w:r>
      <w:r w:rsidRPr="00997855" w:rsidR="00B942E7">
        <w:t xml:space="preserve">.  </w:t>
      </w:r>
      <w:r w:rsidRPr="00997855">
        <w:t xml:space="preserve">The Court of Appeal </w:t>
      </w:r>
      <w:r w:rsidRPr="00997855" w:rsidR="00B42C5C">
        <w:t>held that</w:t>
      </w:r>
      <w:r w:rsidRPr="00997855" w:rsidR="00B6555E">
        <w:t xml:space="preserve"> </w:t>
      </w:r>
      <w:r w:rsidRPr="00997855" w:rsidR="00D839EF">
        <w:t xml:space="preserve">if </w:t>
      </w:r>
      <w:r w:rsidRPr="00997855" w:rsidR="004B4C56">
        <w:t xml:space="preserve">an agency’s </w:t>
      </w:r>
      <w:r w:rsidRPr="00997855" w:rsidR="00D839EF">
        <w:t xml:space="preserve">inquiry is deficient, that defect </w:t>
      </w:r>
      <w:r w:rsidRPr="00997855" w:rsidR="008E4C19">
        <w:t xml:space="preserve">“is harmless </w:t>
      </w:r>
      <w:r w:rsidRPr="00997855" w:rsidR="008E4C19">
        <w:rPr>
          <w:i/>
          <w:iCs/>
        </w:rPr>
        <w:t xml:space="preserve">unless the record contains information suggesting a reason to believe </w:t>
      </w:r>
      <w:r w:rsidRPr="00997855" w:rsidR="008E4C19">
        <w:t>that the child may be an ‘Indian child’ within the meaning of ICWA.”  (</w:t>
      </w:r>
      <w:r w:rsidRPr="00997855" w:rsidR="008E4C19">
        <w:rPr>
          <w:i/>
          <w:iCs/>
        </w:rPr>
        <w:t>Id.</w:t>
      </w:r>
      <w:r w:rsidRPr="00997855" w:rsidR="008E4C19">
        <w:t xml:space="preserve"> at p.</w:t>
      </w:r>
      <w:r w:rsidRPr="00997855" w:rsidR="00981D7D">
        <w:t> </w:t>
      </w:r>
      <w:r w:rsidRPr="00997855" w:rsidR="008E4C19">
        <w:t>779</w:t>
      </w:r>
      <w:r w:rsidRPr="00997855" w:rsidR="009D512C">
        <w:t>, italics added</w:t>
      </w:r>
      <w:r w:rsidRPr="00997855" w:rsidR="008E4C19">
        <w:t xml:space="preserve">.)  </w:t>
      </w:r>
      <w:r w:rsidRPr="00997855" w:rsidR="00B42C5C">
        <w:t>It found this</w:t>
      </w:r>
      <w:r w:rsidRPr="00997855" w:rsidR="00E742D9">
        <w:t xml:space="preserve"> rule </w:t>
      </w:r>
      <w:r w:rsidRPr="00997855" w:rsidR="00DA79A3">
        <w:t>“best reconciles the competing policies at issue when an ICWA objection is asserted in later at the final phases of the dependency proceedings” (</w:t>
      </w:r>
      <w:r w:rsidRPr="00997855" w:rsidR="00DA79A3">
        <w:rPr>
          <w:i/>
          <w:iCs/>
        </w:rPr>
        <w:t>id</w:t>
      </w:r>
      <w:r w:rsidRPr="00997855" w:rsidR="00DA79A3">
        <w:t>. at p. 781), while also respecting the California Constitution’s requirement that a judgment not be set aside “unless it ‘has resulted in a miscarriage of justice.’</w:t>
      </w:r>
      <w:r w:rsidRPr="00997855" w:rsidR="00CA1CB9">
        <w:t> </w:t>
      </w:r>
      <w:r w:rsidRPr="00997855" w:rsidR="00DA79A3">
        <w:t>”  (</w:t>
      </w:r>
      <w:r w:rsidRPr="00997855" w:rsidR="00DA79A3">
        <w:rPr>
          <w:i/>
          <w:iCs/>
        </w:rPr>
        <w:t>Id</w:t>
      </w:r>
      <w:r w:rsidRPr="00997855" w:rsidR="00DA79A3">
        <w:t>. at p. 779</w:t>
      </w:r>
      <w:r w:rsidR="00297E91">
        <w:t>,</w:t>
      </w:r>
      <w:r w:rsidRPr="00997855" w:rsidR="00DA79A3">
        <w:t xml:space="preserve"> citing Cal. Const., art. VI, § 13.) </w:t>
      </w:r>
      <w:r w:rsidRPr="00997855" w:rsidR="00EF48A7">
        <w:t xml:space="preserve"> </w:t>
      </w:r>
      <w:r w:rsidRPr="00997855" w:rsidR="001C20C8">
        <w:t>T</w:t>
      </w:r>
      <w:r w:rsidRPr="00997855" w:rsidR="00EF48A7">
        <w:t>he Court of Appeal also observed that “[w]here, as here, there is no doubt that the Department’s inquiry was erroneous . . . we must assess whether it is reasonably probable that the juvenile court would have made the same ICWA finding had the inquiry been done properly.”  (</w:t>
      </w:r>
      <w:r w:rsidRPr="00997855" w:rsidR="00EF48A7">
        <w:rPr>
          <w:i/>
          <w:iCs/>
        </w:rPr>
        <w:t>Id</w:t>
      </w:r>
      <w:r w:rsidRPr="00997855" w:rsidR="00EF48A7">
        <w:t>. at p. 777</w:t>
      </w:r>
      <w:r w:rsidR="000837EB">
        <w:t>,</w:t>
      </w:r>
      <w:r w:rsidRPr="00997855" w:rsidR="00EF48A7">
        <w:t xml:space="preserve"> citing </w:t>
      </w:r>
      <w:r w:rsidRPr="00997855" w:rsidR="00EF48A7">
        <w:rPr>
          <w:i/>
          <w:iCs/>
        </w:rPr>
        <w:t>People v. Watson</w:t>
      </w:r>
      <w:r w:rsidRPr="00997855" w:rsidR="00EF48A7">
        <w:t xml:space="preserve"> (1956) 46 Cal.2d 818, 836.)</w:t>
      </w:r>
    </w:p>
    <w:p w:rsidR="00FF0925" w:rsidRPr="00997855" w:rsidP="00997855" w14:paraId="47154CAA" w14:textId="1778B635">
      <w:pPr>
        <w:pStyle w:val="Text"/>
        <w:tabs>
          <w:tab w:val="clear" w:pos="1440"/>
          <w:tab w:val="clear" w:pos="2160"/>
          <w:tab w:val="clear" w:pos="4320"/>
        </w:tabs>
        <w:spacing w:line="400" w:lineRule="exact"/>
        <w:ind w:firstLine="720"/>
      </w:pPr>
      <w:r w:rsidRPr="00997855">
        <w:t xml:space="preserve">We granted review.  Since that time, </w:t>
      </w:r>
      <w:r w:rsidRPr="00997855" w:rsidR="000571D0">
        <w:t>a number of Courts of Appeal have weighed in on the split of authority</w:t>
      </w:r>
      <w:r w:rsidRPr="00997855" w:rsidR="001F51AB">
        <w:t xml:space="preserve">, and we have granted review and deferred further action in </w:t>
      </w:r>
      <w:r w:rsidR="00114FCB">
        <w:t>some</w:t>
      </w:r>
      <w:r w:rsidRPr="00997855" w:rsidR="00114FCB">
        <w:t xml:space="preserve"> </w:t>
      </w:r>
      <w:r w:rsidRPr="00997855" w:rsidR="0051203A">
        <w:t xml:space="preserve">of </w:t>
      </w:r>
      <w:r w:rsidRPr="00997855" w:rsidR="001F51AB">
        <w:t>those matters until after this case is decided</w:t>
      </w:r>
      <w:r w:rsidRPr="00997855" w:rsidR="000571D0">
        <w:t xml:space="preserve">.  </w:t>
      </w:r>
      <w:r w:rsidRPr="00997855" w:rsidR="00EB07A5">
        <w:t>(</w:t>
      </w:r>
      <w:r w:rsidRPr="00997855" w:rsidR="007E42B1">
        <w:rPr>
          <w:i/>
          <w:iCs/>
        </w:rPr>
        <w:t xml:space="preserve">In re G.A. </w:t>
      </w:r>
      <w:r w:rsidRPr="00997855" w:rsidR="007E42B1">
        <w:t>(</w:t>
      </w:r>
      <w:r w:rsidRPr="00997855" w:rsidR="00054ADD">
        <w:t>2022) 81</w:t>
      </w:r>
      <w:r w:rsidRPr="00997855" w:rsidR="00A2436D">
        <w:t> </w:t>
      </w:r>
      <w:r w:rsidRPr="00997855" w:rsidR="00054ADD">
        <w:t>Cal.App.5th 355</w:t>
      </w:r>
      <w:r w:rsidRPr="00997855" w:rsidR="003A2665">
        <w:t xml:space="preserve">, </w:t>
      </w:r>
      <w:r w:rsidR="006B1C3F">
        <w:t xml:space="preserve">review </w:t>
      </w:r>
      <w:r w:rsidRPr="00997855" w:rsidR="003A2665">
        <w:t xml:space="preserve">granted and held </w:t>
      </w:r>
      <w:r w:rsidRPr="00997855" w:rsidR="00913827">
        <w:t xml:space="preserve">Oct. </w:t>
      </w:r>
      <w:r w:rsidRPr="00997855" w:rsidR="003A2665">
        <w:t>12, 2022</w:t>
      </w:r>
      <w:r w:rsidRPr="00997855" w:rsidR="006F019A">
        <w:t xml:space="preserve"> </w:t>
      </w:r>
      <w:r w:rsidRPr="00997855" w:rsidR="00D10D84">
        <w:t>[</w:t>
      </w:r>
      <w:r w:rsidRPr="00997855" w:rsidR="00416473">
        <w:t>fo</w:t>
      </w:r>
      <w:r w:rsidRPr="00997855" w:rsidR="007D72C8">
        <w:t xml:space="preserve">llowing </w:t>
      </w:r>
      <w:r w:rsidRPr="00997855" w:rsidR="007D72C8">
        <w:rPr>
          <w:i/>
          <w:iCs/>
        </w:rPr>
        <w:t>Dezi C.</w:t>
      </w:r>
      <w:r w:rsidRPr="00997855" w:rsidR="007D72C8">
        <w:t xml:space="preserve"> rule and concluding </w:t>
      </w:r>
      <w:r w:rsidRPr="00997855" w:rsidR="00D10D84">
        <w:t>error was harmless</w:t>
      </w:r>
      <w:r w:rsidRPr="00997855" w:rsidR="003027D8">
        <w:t>]</w:t>
      </w:r>
      <w:r w:rsidRPr="00997855" w:rsidR="003A2665">
        <w:t xml:space="preserve">; </w:t>
      </w:r>
      <w:r w:rsidRPr="00997855" w:rsidR="00D4459E">
        <w:rPr>
          <w:i/>
          <w:iCs/>
        </w:rPr>
        <w:t xml:space="preserve">In re M.M. </w:t>
      </w:r>
      <w:r w:rsidRPr="00997855" w:rsidR="006239CA">
        <w:t>(2022) 81</w:t>
      </w:r>
      <w:r w:rsidRPr="00997855" w:rsidR="00A2436D">
        <w:t> </w:t>
      </w:r>
      <w:r w:rsidRPr="00997855" w:rsidR="00637245">
        <w:t xml:space="preserve">Cal.App.5th 61, </w:t>
      </w:r>
      <w:r w:rsidR="006B1C3F">
        <w:t xml:space="preserve">review </w:t>
      </w:r>
      <w:r w:rsidRPr="00997855" w:rsidR="00637245">
        <w:t xml:space="preserve">granted and held </w:t>
      </w:r>
      <w:r w:rsidRPr="00997855" w:rsidR="00593033">
        <w:t xml:space="preserve">Oct. </w:t>
      </w:r>
      <w:r w:rsidRPr="00997855" w:rsidR="00637245">
        <w:t>12, 2022</w:t>
      </w:r>
      <w:r w:rsidRPr="00997855" w:rsidR="0059799A">
        <w:t xml:space="preserve"> [</w:t>
      </w:r>
      <w:r w:rsidRPr="00997855" w:rsidR="00B73FED">
        <w:t>declining to adopt “reversal per se” approach and finding error harmless under all other standards</w:t>
      </w:r>
      <w:r w:rsidRPr="00997855" w:rsidR="0059799A">
        <w:t>]</w:t>
      </w:r>
      <w:r w:rsidRPr="00997855" w:rsidR="00637245">
        <w:t xml:space="preserve">; </w:t>
      </w:r>
      <w:r w:rsidRPr="00997855" w:rsidR="0010498F">
        <w:rPr>
          <w:i/>
          <w:iCs/>
        </w:rPr>
        <w:t>In re</w:t>
      </w:r>
      <w:r w:rsidRPr="00997855" w:rsidR="00D4384B">
        <w:rPr>
          <w:i/>
          <w:iCs/>
        </w:rPr>
        <w:t xml:space="preserve"> An. L.</w:t>
      </w:r>
      <w:r w:rsidRPr="00997855" w:rsidR="0010498F">
        <w:t xml:space="preserve"> (</w:t>
      </w:r>
      <w:r w:rsidRPr="00997855" w:rsidR="00D4384B">
        <w:t>Dec</w:t>
      </w:r>
      <w:r w:rsidRPr="00997855" w:rsidR="0010498F">
        <w:t>. 8, 20</w:t>
      </w:r>
      <w:r w:rsidRPr="00997855" w:rsidR="00D4384B">
        <w:t>22</w:t>
      </w:r>
      <w:r w:rsidRPr="00997855" w:rsidR="0010498F">
        <w:t xml:space="preserve">, </w:t>
      </w:r>
      <w:r w:rsidRPr="00997855" w:rsidR="00011B29">
        <w:t>B315986</w:t>
      </w:r>
      <w:r w:rsidRPr="00997855" w:rsidR="0010498F">
        <w:t xml:space="preserve">) </w:t>
      </w:r>
      <w:r w:rsidRPr="00997855" w:rsidR="00040033">
        <w:t>[</w:t>
      </w:r>
      <w:r w:rsidR="001A6DD7">
        <w:t>non</w:t>
      </w:r>
      <w:r w:rsidRPr="00997855" w:rsidR="00040033">
        <w:t xml:space="preserve">pub. opn.], </w:t>
      </w:r>
      <w:r w:rsidR="00EA04A5">
        <w:t xml:space="preserve">review </w:t>
      </w:r>
      <w:r w:rsidRPr="00997855" w:rsidR="00040033">
        <w:t>grant</w:t>
      </w:r>
      <w:r w:rsidRPr="00997855" w:rsidR="00011B29">
        <w:t>ed</w:t>
      </w:r>
      <w:r w:rsidRPr="00997855" w:rsidR="00040033">
        <w:t xml:space="preserve"> and held </w:t>
      </w:r>
      <w:r w:rsidRPr="00997855" w:rsidR="00593033">
        <w:t xml:space="preserve">Mar. </w:t>
      </w:r>
      <w:r w:rsidRPr="00997855" w:rsidR="00152E45">
        <w:t>22, 2023</w:t>
      </w:r>
      <w:r w:rsidRPr="00997855" w:rsidR="00C90EEA">
        <w:t xml:space="preserve">; </w:t>
      </w:r>
      <w:r w:rsidRPr="00997855" w:rsidR="00FC1212">
        <w:rPr>
          <w:i/>
          <w:iCs/>
        </w:rPr>
        <w:t>In re</w:t>
      </w:r>
      <w:r w:rsidRPr="00997855" w:rsidR="00FC1212">
        <w:t xml:space="preserve"> </w:t>
      </w:r>
      <w:r w:rsidRPr="00997855" w:rsidR="00FC1212">
        <w:rPr>
          <w:i/>
          <w:iCs/>
        </w:rPr>
        <w:t xml:space="preserve">Athena R. </w:t>
      </w:r>
      <w:r w:rsidRPr="00997855" w:rsidR="00FC1212">
        <w:t>(</w:t>
      </w:r>
      <w:r w:rsidRPr="00997855" w:rsidR="00593033">
        <w:t>Dec.</w:t>
      </w:r>
      <w:r w:rsidRPr="00997855" w:rsidR="001C727B">
        <w:t xml:space="preserve"> </w:t>
      </w:r>
      <w:r w:rsidRPr="00997855" w:rsidR="005B515D">
        <w:t>13, 2022, B318751</w:t>
      </w:r>
      <w:r w:rsidRPr="00997855" w:rsidR="00FC1212">
        <w:t>)</w:t>
      </w:r>
      <w:r w:rsidRPr="00997855" w:rsidR="005B515D">
        <w:t xml:space="preserve"> [</w:t>
      </w:r>
      <w:r w:rsidR="000E1971">
        <w:t>non</w:t>
      </w:r>
      <w:r w:rsidRPr="00997855" w:rsidR="005B515D">
        <w:t>pub. opn.]</w:t>
      </w:r>
      <w:r w:rsidRPr="00997855" w:rsidR="00FC1212">
        <w:t xml:space="preserve">, </w:t>
      </w:r>
      <w:r w:rsidR="000E1971">
        <w:t xml:space="preserve">review </w:t>
      </w:r>
      <w:r w:rsidRPr="00997855" w:rsidR="007F563B">
        <w:t xml:space="preserve">granted and held </w:t>
      </w:r>
      <w:r w:rsidRPr="00997855" w:rsidR="00593033">
        <w:t xml:space="preserve">Mar. </w:t>
      </w:r>
      <w:r w:rsidRPr="00997855" w:rsidR="007F563B">
        <w:t>22, 2023</w:t>
      </w:r>
      <w:r w:rsidRPr="00997855" w:rsidR="005B515D">
        <w:t xml:space="preserve">; </w:t>
      </w:r>
      <w:r w:rsidRPr="00997855" w:rsidR="004F029E">
        <w:rPr>
          <w:i/>
          <w:iCs/>
        </w:rPr>
        <w:t>In re D.D.</w:t>
      </w:r>
      <w:r w:rsidRPr="00997855" w:rsidR="004F029E">
        <w:t xml:space="preserve"> </w:t>
      </w:r>
      <w:r w:rsidRPr="00997855" w:rsidR="003A1005">
        <w:t>(</w:t>
      </w:r>
      <w:r w:rsidRPr="00997855" w:rsidR="00593033">
        <w:t xml:space="preserve">Dec. </w:t>
      </w:r>
      <w:r w:rsidRPr="00997855" w:rsidR="00EE387F">
        <w:t xml:space="preserve">8, 2022, </w:t>
      </w:r>
      <w:r w:rsidRPr="00997855" w:rsidR="003A1005">
        <w:t>B319941) [</w:t>
      </w:r>
      <w:r w:rsidR="000E1971">
        <w:t>non</w:t>
      </w:r>
      <w:r w:rsidRPr="00997855" w:rsidR="003A1005">
        <w:t xml:space="preserve">pub. opn.], </w:t>
      </w:r>
      <w:r w:rsidR="000E1971">
        <w:t xml:space="preserve">review </w:t>
      </w:r>
      <w:r w:rsidRPr="00997855" w:rsidR="003A1005">
        <w:t xml:space="preserve">granted and held </w:t>
      </w:r>
      <w:r w:rsidRPr="00997855" w:rsidR="00593033">
        <w:t xml:space="preserve">Mar. </w:t>
      </w:r>
      <w:r w:rsidRPr="00997855" w:rsidR="003A1005">
        <w:t>1, 2023</w:t>
      </w:r>
      <w:r w:rsidRPr="00997855" w:rsidR="001A6C99">
        <w:t xml:space="preserve">; </w:t>
      </w:r>
      <w:r w:rsidRPr="00997855" w:rsidR="00AB46E4">
        <w:rPr>
          <w:i/>
          <w:iCs/>
        </w:rPr>
        <w:t>In re E.T.</w:t>
      </w:r>
      <w:r w:rsidRPr="00997855" w:rsidR="00AB46E4">
        <w:t xml:space="preserve"> </w:t>
      </w:r>
      <w:r w:rsidRPr="00997855" w:rsidR="004446CE">
        <w:t>(</w:t>
      </w:r>
      <w:r w:rsidRPr="00997855" w:rsidR="00593033">
        <w:t xml:space="preserve">Oct. </w:t>
      </w:r>
      <w:r w:rsidRPr="00997855" w:rsidR="00D00F75">
        <w:t xml:space="preserve">4, 2022, </w:t>
      </w:r>
      <w:r w:rsidRPr="00997855" w:rsidR="004446CE">
        <w:t>B315104) [</w:t>
      </w:r>
      <w:r w:rsidR="000E1971">
        <w:t>non</w:t>
      </w:r>
      <w:r w:rsidRPr="00997855" w:rsidR="004446CE">
        <w:t>pub</w:t>
      </w:r>
      <w:r w:rsidRPr="00997855" w:rsidR="007D03A9">
        <w:t xml:space="preserve">. opn.], </w:t>
      </w:r>
      <w:r w:rsidR="000E1971">
        <w:t xml:space="preserve">review </w:t>
      </w:r>
      <w:r w:rsidRPr="00997855" w:rsidR="004446CE">
        <w:t xml:space="preserve">granted and held </w:t>
      </w:r>
      <w:r w:rsidRPr="00997855" w:rsidR="00593033">
        <w:t xml:space="preserve">Dec. </w:t>
      </w:r>
      <w:r w:rsidRPr="00997855" w:rsidR="004446CE">
        <w:t>28, 2022</w:t>
      </w:r>
      <w:r w:rsidRPr="00997855" w:rsidR="007D03A9">
        <w:t xml:space="preserve">; </w:t>
      </w:r>
      <w:r w:rsidRPr="00997855" w:rsidR="00F62A88">
        <w:rPr>
          <w:i/>
          <w:iCs/>
        </w:rPr>
        <w:t xml:space="preserve">In re </w:t>
      </w:r>
      <w:r w:rsidRPr="00997855" w:rsidR="009506DE">
        <w:rPr>
          <w:i/>
          <w:iCs/>
        </w:rPr>
        <w:t>M.G.</w:t>
      </w:r>
      <w:r w:rsidRPr="00997855" w:rsidR="009506DE">
        <w:t xml:space="preserve"> </w:t>
      </w:r>
      <w:r w:rsidRPr="00997855" w:rsidR="00A86928">
        <w:t>(</w:t>
      </w:r>
      <w:r w:rsidRPr="00997855" w:rsidR="00593033">
        <w:t xml:space="preserve">Oct. </w:t>
      </w:r>
      <w:r w:rsidRPr="00997855" w:rsidR="00A86928">
        <w:t>28, 2022, B317366) [</w:t>
      </w:r>
      <w:r w:rsidR="000E1971">
        <w:t>non</w:t>
      </w:r>
      <w:r w:rsidRPr="00997855" w:rsidR="00A86928">
        <w:t xml:space="preserve">pub. opn.], </w:t>
      </w:r>
      <w:r w:rsidR="000E1971">
        <w:t xml:space="preserve">review </w:t>
      </w:r>
      <w:r w:rsidRPr="00997855" w:rsidR="00A86928">
        <w:t>granted and held</w:t>
      </w:r>
      <w:r w:rsidRPr="00997855" w:rsidR="00963615">
        <w:t xml:space="preserve"> </w:t>
      </w:r>
      <w:r w:rsidRPr="00997855" w:rsidR="00593033">
        <w:t xml:space="preserve">Jan. </w:t>
      </w:r>
      <w:r w:rsidRPr="00997855" w:rsidR="00963615">
        <w:t xml:space="preserve">18, 2023; </w:t>
      </w:r>
      <w:r w:rsidRPr="00997855" w:rsidR="00E45020">
        <w:rPr>
          <w:i/>
          <w:iCs/>
        </w:rPr>
        <w:t>In re R.T.</w:t>
      </w:r>
      <w:r w:rsidRPr="00997855" w:rsidR="00E45020">
        <w:t xml:space="preserve"> </w:t>
      </w:r>
      <w:r w:rsidRPr="00997855" w:rsidR="00477DC0">
        <w:t>(July 6, 2022, B315541) [</w:t>
      </w:r>
      <w:r w:rsidR="000E1971">
        <w:t>non</w:t>
      </w:r>
      <w:r w:rsidRPr="00997855" w:rsidR="00477DC0">
        <w:t>pub. opn.],</w:t>
      </w:r>
      <w:r w:rsidR="00FF5090">
        <w:t xml:space="preserve"> </w:t>
      </w:r>
      <w:r w:rsidR="000E1971">
        <w:t>review</w:t>
      </w:r>
      <w:r w:rsidRPr="00997855" w:rsidR="00477DC0">
        <w:t xml:space="preserve"> granted and held </w:t>
      </w:r>
      <w:r w:rsidRPr="00997855" w:rsidR="00593033">
        <w:t xml:space="preserve">Oct. </w:t>
      </w:r>
      <w:r w:rsidRPr="00997855" w:rsidR="00151DCC">
        <w:t xml:space="preserve">12, 2022; </w:t>
      </w:r>
      <w:r w:rsidRPr="00997855" w:rsidR="008242A1">
        <w:rPr>
          <w:i/>
          <w:iCs/>
        </w:rPr>
        <w:t>In re Tyler C.</w:t>
      </w:r>
      <w:r w:rsidRPr="00997855" w:rsidR="008242A1">
        <w:t xml:space="preserve"> (</w:t>
      </w:r>
      <w:r w:rsidRPr="00997855" w:rsidR="00593033">
        <w:t xml:space="preserve">Feb. </w:t>
      </w:r>
      <w:r w:rsidRPr="00997855" w:rsidR="00C6399D">
        <w:t>3, 2023, B316341) [</w:t>
      </w:r>
      <w:r w:rsidR="000E1971">
        <w:t>non</w:t>
      </w:r>
      <w:r w:rsidRPr="00997855" w:rsidR="00C6399D">
        <w:t xml:space="preserve">pub. opn.], </w:t>
      </w:r>
      <w:r w:rsidR="000E1971">
        <w:t xml:space="preserve">review </w:t>
      </w:r>
      <w:r w:rsidRPr="00997855" w:rsidR="00C6399D">
        <w:t xml:space="preserve">granted and held </w:t>
      </w:r>
      <w:r w:rsidRPr="00997855" w:rsidR="00593033">
        <w:t xml:space="preserve">Apr. </w:t>
      </w:r>
      <w:r w:rsidRPr="00997855" w:rsidR="00E90DD4">
        <w:t xml:space="preserve">26, 2023; </w:t>
      </w:r>
      <w:r w:rsidRPr="00997855" w:rsidR="00DB4BD5">
        <w:rPr>
          <w:i/>
          <w:iCs/>
        </w:rPr>
        <w:t xml:space="preserve">In re X.R. </w:t>
      </w:r>
      <w:r w:rsidRPr="00997855" w:rsidR="007B68CD">
        <w:t>(</w:t>
      </w:r>
      <w:r w:rsidRPr="00997855" w:rsidR="00593033">
        <w:t xml:space="preserve">Jan. </w:t>
      </w:r>
      <w:r w:rsidRPr="00997855" w:rsidR="007B68CD">
        <w:t>31, 2023, B318808) [</w:t>
      </w:r>
      <w:r w:rsidR="000E1971">
        <w:t>non</w:t>
      </w:r>
      <w:r w:rsidRPr="00997855" w:rsidR="007B68CD">
        <w:t xml:space="preserve">pub. opn.], </w:t>
      </w:r>
      <w:r w:rsidR="000E1971">
        <w:t xml:space="preserve">review </w:t>
      </w:r>
      <w:r w:rsidRPr="00997855" w:rsidR="007B68CD">
        <w:t xml:space="preserve">granted and held </w:t>
      </w:r>
      <w:r w:rsidRPr="00997855" w:rsidR="00593033">
        <w:t xml:space="preserve">Apr. </w:t>
      </w:r>
      <w:r w:rsidRPr="00997855" w:rsidR="006A55C5">
        <w:t xml:space="preserve">12, 2023; </w:t>
      </w:r>
      <w:r w:rsidRPr="00997855" w:rsidR="00F4190E">
        <w:rPr>
          <w:i/>
          <w:iCs/>
        </w:rPr>
        <w:t>In re Z.C.</w:t>
      </w:r>
      <w:r w:rsidRPr="00997855" w:rsidR="00F4190E">
        <w:t xml:space="preserve"> (</w:t>
      </w:r>
      <w:r w:rsidRPr="00997855" w:rsidR="00593033">
        <w:t xml:space="preserve">Sept. </w:t>
      </w:r>
      <w:r w:rsidRPr="00997855" w:rsidR="00F4190E">
        <w:t>26, 2022, C094803) [</w:t>
      </w:r>
      <w:r w:rsidR="000E1971">
        <w:t>non</w:t>
      </w:r>
      <w:r w:rsidRPr="00997855" w:rsidR="00F4190E">
        <w:t xml:space="preserve">pub. opn.], </w:t>
      </w:r>
      <w:r w:rsidR="000E1971">
        <w:t xml:space="preserve">review </w:t>
      </w:r>
      <w:r w:rsidRPr="00997855" w:rsidR="00F4190E">
        <w:t xml:space="preserve">granted and held </w:t>
      </w:r>
      <w:r w:rsidRPr="00997855" w:rsidR="00593033">
        <w:t xml:space="preserve">Dec. </w:t>
      </w:r>
      <w:r w:rsidRPr="00997855" w:rsidR="001D50D3">
        <w:t>28, 2022.)</w:t>
      </w:r>
    </w:p>
    <w:p w:rsidR="002C1EB2" w:rsidRPr="00997855" w:rsidP="00997855" w14:paraId="6FE0B27E" w14:textId="4A194B26">
      <w:pPr>
        <w:pStyle w:val="Heading1"/>
        <w:numPr>
          <w:ilvl w:val="0"/>
          <w:numId w:val="5"/>
        </w:numPr>
      </w:pPr>
      <w:r w:rsidRPr="00997855">
        <w:t>Discussion</w:t>
      </w:r>
    </w:p>
    <w:p w:rsidR="005F72C1" w:rsidRPr="00997855" w:rsidP="00997855" w14:paraId="5F4D5E41" w14:textId="5C71FA42">
      <w:pPr>
        <w:ind w:firstLine="720"/>
      </w:pPr>
      <w:r w:rsidRPr="00997855">
        <w:t xml:space="preserve">The sole question presented in this case is </w:t>
      </w:r>
      <w:r w:rsidR="00A0684C">
        <w:t xml:space="preserve">a narrow one:  </w:t>
      </w:r>
      <w:r w:rsidRPr="00997855" w:rsidR="003840A2">
        <w:t>whether a child welfare agency’s failure to make a proper inquiry under California’s heightened ICWA requirements constitutes reversible error</w:t>
      </w:r>
      <w:r w:rsidRPr="00997855">
        <w:t>.  This is a question of law that we consider de novo.  (</w:t>
      </w:r>
      <w:r w:rsidRPr="00997855">
        <w:rPr>
          <w:i/>
          <w:iCs/>
        </w:rPr>
        <w:t>Tansavatdi v. City of Rancho Palos Verdes</w:t>
      </w:r>
      <w:r w:rsidRPr="00997855">
        <w:t xml:space="preserve"> (2023) 14</w:t>
      </w:r>
      <w:r w:rsidRPr="00997855" w:rsidR="00CA1B64">
        <w:t> </w:t>
      </w:r>
      <w:r w:rsidRPr="00997855">
        <w:t>Cal.5th 639, 652.)</w:t>
      </w:r>
    </w:p>
    <w:p w:rsidR="00243627" w:rsidRPr="00997855" w:rsidP="00FF5090" w14:paraId="19607C4D" w14:textId="56216B69">
      <w:pPr>
        <w:pStyle w:val="Heading2"/>
        <w:numPr>
          <w:ilvl w:val="0"/>
          <w:numId w:val="3"/>
        </w:numPr>
        <w:ind w:left="1152" w:hanging="432"/>
      </w:pPr>
      <w:r w:rsidRPr="00997855">
        <w:t>Governing Law</w:t>
      </w:r>
      <w:r w:rsidRPr="00997855" w:rsidR="006D02A7">
        <w:t>/ICWA</w:t>
      </w:r>
    </w:p>
    <w:p w:rsidR="003C1A77" w:rsidRPr="00997855" w:rsidP="00997855" w14:paraId="561A5599" w14:textId="1C6B2291">
      <w:pPr>
        <w:pStyle w:val="Heading3"/>
      </w:pPr>
      <w:r w:rsidRPr="00997855">
        <w:t>1.</w:t>
      </w:r>
      <w:r w:rsidRPr="00997855">
        <w:tab/>
        <w:t>Background of ICWA</w:t>
      </w:r>
    </w:p>
    <w:p w:rsidR="00A24692" w:rsidRPr="00997855" w:rsidP="00997855" w14:paraId="0A70C0A4" w14:textId="7D01AC61">
      <w:pPr>
        <w:ind w:firstLine="720"/>
      </w:pPr>
      <w:r w:rsidRPr="00997855">
        <w:t>Congress enacted ICWA in 1978 in response to “rising concern in the mid–1970’s over the consequences to Indian children, Indian families, and Indian tribes of abusive child welfare practices that resulted in the separation of large numbers of Indian children from their families and tribes through adoption or foster care placement, usually in non-Indian homes.”  (</w:t>
      </w:r>
      <w:r w:rsidRPr="00997855" w:rsidR="000651BD">
        <w:rPr>
          <w:i/>
          <w:iCs/>
        </w:rPr>
        <w:t>Miss</w:t>
      </w:r>
      <w:r w:rsidR="0020375F">
        <w:rPr>
          <w:i/>
          <w:iCs/>
        </w:rPr>
        <w:t>iss</w:t>
      </w:r>
      <w:r w:rsidR="0024611E">
        <w:rPr>
          <w:i/>
          <w:iCs/>
        </w:rPr>
        <w:t>ippi</w:t>
      </w:r>
      <w:r w:rsidRPr="00997855" w:rsidR="000651BD">
        <w:rPr>
          <w:i/>
          <w:iCs/>
        </w:rPr>
        <w:t xml:space="preserve"> </w:t>
      </w:r>
      <w:r w:rsidRPr="00997855">
        <w:rPr>
          <w:i/>
          <w:iCs/>
        </w:rPr>
        <w:t xml:space="preserve">Choctaw Indians </w:t>
      </w:r>
      <w:r w:rsidR="0024611E">
        <w:rPr>
          <w:i/>
          <w:iCs/>
        </w:rPr>
        <w:t xml:space="preserve">Band </w:t>
      </w:r>
      <w:r w:rsidRPr="00997855">
        <w:rPr>
          <w:i/>
          <w:iCs/>
        </w:rPr>
        <w:t>v. Holyfield</w:t>
      </w:r>
      <w:r w:rsidRPr="00997855">
        <w:t xml:space="preserve"> (1989) 490 U.S. 30, 32 (</w:t>
      </w:r>
      <w:r w:rsidRPr="00997855">
        <w:rPr>
          <w:i/>
          <w:iCs/>
        </w:rPr>
        <w:t>Holyfield</w:t>
      </w:r>
      <w:r w:rsidRPr="00997855">
        <w:t>)</w:t>
      </w:r>
      <w:r w:rsidRPr="00997855" w:rsidR="00C8060F">
        <w:t xml:space="preserve">; see also </w:t>
      </w:r>
      <w:r w:rsidRPr="00997855" w:rsidR="00AF76CB">
        <w:t xml:space="preserve">25 U.S.C. </w:t>
      </w:r>
      <w:r w:rsidRPr="00997855" w:rsidR="006F1C23">
        <w:t>§ 1901(</w:t>
      </w:r>
      <w:r w:rsidRPr="00997855" w:rsidR="00FF2303">
        <w:t>4</w:t>
      </w:r>
      <w:r w:rsidRPr="00997855" w:rsidR="006F1C23">
        <w:t xml:space="preserve">) </w:t>
      </w:r>
      <w:r w:rsidRPr="00997855" w:rsidR="00C8060F">
        <w:t>[</w:t>
      </w:r>
      <w:r w:rsidRPr="00997855" w:rsidR="006F1C23">
        <w:t xml:space="preserve">finding “that </w:t>
      </w:r>
      <w:r w:rsidRPr="00997855" w:rsidR="00C8060F">
        <w:t>an alarmingly high percentage of Indian families are broken up by the removal, often unwarranted, of their children from them by nontribal public and private agencies”</w:t>
      </w:r>
      <w:r w:rsidRPr="00997855" w:rsidR="00236291">
        <w:t>].</w:t>
      </w:r>
      <w:r w:rsidRPr="00997855">
        <w:t xml:space="preserve">)  </w:t>
      </w:r>
      <w:r w:rsidRPr="000E596A" w:rsidR="00F51AC9">
        <w:t>After</w:t>
      </w:r>
      <w:r w:rsidRPr="00997855" w:rsidR="00F51AC9">
        <w:t xml:space="preserve"> congressional investigation</w:t>
      </w:r>
      <w:r w:rsidRPr="00997855" w:rsidR="00D95829">
        <w:t xml:space="preserve"> spanning several years and encompassing multiple hearings</w:t>
      </w:r>
      <w:r w:rsidRPr="00997855" w:rsidR="005B1826">
        <w:t xml:space="preserve">, Congress found that </w:t>
      </w:r>
      <w:r w:rsidRPr="00997855" w:rsidR="00AA32C3">
        <w:t xml:space="preserve">many of the </w:t>
      </w:r>
      <w:r w:rsidRPr="00997855" w:rsidR="00FD421E">
        <w:t xml:space="preserve">problems resulting in </w:t>
      </w:r>
      <w:r w:rsidRPr="00997855" w:rsidR="00CE3A4D">
        <w:t>the wi</w:t>
      </w:r>
      <w:r w:rsidRPr="00997855" w:rsidR="00321506">
        <w:t xml:space="preserve">despread </w:t>
      </w:r>
      <w:r w:rsidRPr="00997855" w:rsidR="00BB56CE">
        <w:t xml:space="preserve">separation of </w:t>
      </w:r>
      <w:r w:rsidRPr="00997855" w:rsidR="00C03ABC">
        <w:t xml:space="preserve">Indian children </w:t>
      </w:r>
      <w:r w:rsidRPr="00997855" w:rsidR="00321506">
        <w:t>w</w:t>
      </w:r>
      <w:r w:rsidRPr="00997855" w:rsidR="00700A2F">
        <w:t>ere</w:t>
      </w:r>
      <w:r w:rsidRPr="00997855" w:rsidR="00321506">
        <w:t xml:space="preserve"> </w:t>
      </w:r>
      <w:r w:rsidRPr="00997855" w:rsidR="00496139">
        <w:t>caused</w:t>
      </w:r>
      <w:r w:rsidRPr="00997855" w:rsidR="001D6729">
        <w:t xml:space="preserve"> by the states</w:t>
      </w:r>
      <w:r w:rsidRPr="00997855" w:rsidR="0019574E">
        <w:t>,</w:t>
      </w:r>
      <w:r w:rsidRPr="00997855" w:rsidR="00C15CA8">
        <w:t xml:space="preserve"> which </w:t>
      </w:r>
      <w:r w:rsidRPr="00997855" w:rsidR="00D043FE">
        <w:t xml:space="preserve">encouraged </w:t>
      </w:r>
      <w:r w:rsidRPr="00997855" w:rsidR="000A1068">
        <w:t xml:space="preserve">the practice and </w:t>
      </w:r>
      <w:r w:rsidRPr="00997855" w:rsidR="00C15CA8">
        <w:t>“failed to account for legitimate cultural differences in Indian families</w:t>
      </w:r>
      <w:r w:rsidRPr="00997855" w:rsidR="000A1068">
        <w:t>.</w:t>
      </w:r>
      <w:r w:rsidRPr="00997855" w:rsidR="00C15CA8">
        <w:t xml:space="preserve">” </w:t>
      </w:r>
      <w:r w:rsidRPr="00997855" w:rsidR="000A1068">
        <w:t xml:space="preserve"> </w:t>
      </w:r>
      <w:r w:rsidRPr="00997855" w:rsidR="00B742F4">
        <w:t>(</w:t>
      </w:r>
      <w:r w:rsidRPr="00997855" w:rsidR="009D71CB">
        <w:t>ICWA Proceedings, 81 Fed.Reg. 38778, 38780 (June 14, 2016)</w:t>
      </w:r>
      <w:r w:rsidR="00B3587B">
        <w:t>;</w:t>
      </w:r>
      <w:r w:rsidRPr="00997855" w:rsidR="00B742F4">
        <w:t xml:space="preserve"> see also </w:t>
      </w:r>
      <w:r w:rsidRPr="00997855" w:rsidR="00B742F4">
        <w:rPr>
          <w:i/>
          <w:iCs/>
        </w:rPr>
        <w:t>id.</w:t>
      </w:r>
      <w:r w:rsidRPr="00997855" w:rsidR="00B742F4">
        <w:t xml:space="preserve"> at </w:t>
      </w:r>
      <w:r w:rsidR="00F76042">
        <w:t xml:space="preserve">p. </w:t>
      </w:r>
      <w:r w:rsidRPr="00997855" w:rsidR="00B742F4">
        <w:t>38781.)  State procedures also frequently violated due process.  (</w:t>
      </w:r>
      <w:r w:rsidRPr="00997855" w:rsidR="00A52362">
        <w:rPr>
          <w:i/>
          <w:iCs/>
        </w:rPr>
        <w:t>Id.</w:t>
      </w:r>
      <w:r w:rsidRPr="00997855" w:rsidR="00A52362">
        <w:t xml:space="preserve"> </w:t>
      </w:r>
      <w:r w:rsidRPr="00997855" w:rsidR="00B742F4">
        <w:t xml:space="preserve">at </w:t>
      </w:r>
      <w:r w:rsidR="00F76042">
        <w:t xml:space="preserve">p. </w:t>
      </w:r>
      <w:r w:rsidRPr="00997855" w:rsidR="00B742F4">
        <w:t xml:space="preserve">38781.)  </w:t>
      </w:r>
      <w:r w:rsidRPr="00997855" w:rsidR="00FC3BCB">
        <w:t>Th</w:t>
      </w:r>
      <w:r w:rsidRPr="00997855" w:rsidR="00AE500F">
        <w:t>e</w:t>
      </w:r>
      <w:r w:rsidRPr="00997855" w:rsidR="00B35AE0">
        <w:t xml:space="preserve"> separation of Indian children</w:t>
      </w:r>
      <w:r w:rsidRPr="00997855" w:rsidR="00FC3BCB">
        <w:t xml:space="preserve"> </w:t>
      </w:r>
      <w:r w:rsidRPr="00997855" w:rsidR="00F35BEE">
        <w:t xml:space="preserve">“contributed to a number of problems, including the erosion of a generation of Indians from Tribal communities, loss of Indian traditions and culture, and long-term emotional effects on Indian children caused by loss of </w:t>
      </w:r>
      <w:r w:rsidRPr="00A13FA9" w:rsidR="00F35BEE">
        <w:t>their Indian identity</w:t>
      </w:r>
      <w:r w:rsidRPr="00A13FA9" w:rsidR="00282F5A">
        <w:t>.”  (</w:t>
      </w:r>
      <w:r w:rsidRPr="00A13FA9" w:rsidR="00282F5A">
        <w:rPr>
          <w:i/>
          <w:iCs/>
        </w:rPr>
        <w:t>Id.</w:t>
      </w:r>
      <w:r w:rsidRPr="00A13FA9" w:rsidR="00282F5A">
        <w:t xml:space="preserve"> at </w:t>
      </w:r>
      <w:r w:rsidR="00C25A2A">
        <w:t xml:space="preserve">p. </w:t>
      </w:r>
      <w:r w:rsidRPr="00A13FA9" w:rsidR="00282F5A">
        <w:t>38780.)</w:t>
      </w:r>
    </w:p>
    <w:p w:rsidR="00B02897" w:rsidRPr="00997855" w:rsidP="00997855" w14:paraId="7535187C" w14:textId="41D57A01">
      <w:pPr>
        <w:ind w:firstLine="720"/>
      </w:pPr>
      <w:r w:rsidRPr="00997855">
        <w:t>Based on these findings, i</w:t>
      </w:r>
      <w:r w:rsidRPr="00997855" w:rsidR="00A93D96">
        <w:t xml:space="preserve">n </w:t>
      </w:r>
      <w:r w:rsidRPr="00997855" w:rsidR="00365DF8">
        <w:t>enacting</w:t>
      </w:r>
      <w:r w:rsidRPr="00997855" w:rsidR="00A93D96">
        <w:t xml:space="preserve"> ICWA, Congress </w:t>
      </w:r>
      <w:r w:rsidRPr="00997855" w:rsidR="0039590A">
        <w:t xml:space="preserve">declared </w:t>
      </w:r>
      <w:r w:rsidRPr="00997855" w:rsidR="00015B1F">
        <w:t>“</w:t>
      </w:r>
      <w:r w:rsidRPr="00997855" w:rsidR="0039590A">
        <w:t xml:space="preserve">that it is the policy of this Nation to protect the best interests of Indian children and to promote the stability and security of Indian tribes and families by the establishment of minimum Federal standards for the removal of Indian children from their families and the placement of such children in foster or adoptive homes which will reflect the unique values of Indian culture </w:t>
      </w:r>
      <w:r w:rsidRPr="00997855" w:rsidR="00BF12D8">
        <w:t>.</w:t>
      </w:r>
      <w:r w:rsidR="00BF12D8">
        <w:t> </w:t>
      </w:r>
      <w:r w:rsidRPr="00997855" w:rsidR="00BF12D8">
        <w:t>.</w:t>
      </w:r>
      <w:r w:rsidR="00BF12D8">
        <w:t> </w:t>
      </w:r>
      <w:r w:rsidRPr="00997855" w:rsidR="00BF12D8">
        <w:t>.</w:t>
      </w:r>
      <w:r w:rsidR="00BF12D8">
        <w:t> </w:t>
      </w:r>
      <w:r w:rsidRPr="00997855" w:rsidR="0039590A">
        <w:t>.”  (25 U.S.C. §</w:t>
      </w:r>
      <w:r w:rsidRPr="00997855" w:rsidR="005F3C69">
        <w:t> </w:t>
      </w:r>
      <w:r w:rsidRPr="00997855" w:rsidR="0039590A">
        <w:t xml:space="preserve">1902.)  </w:t>
      </w:r>
      <w:r w:rsidRPr="00997855">
        <w:t>It also acknowledged “there is no resource that is more vital to the continued existence and integrity of Indian tribes than their children .</w:t>
      </w:r>
      <w:r w:rsidRPr="00997855" w:rsidR="0096551D">
        <w:t> </w:t>
      </w:r>
      <w:r w:rsidRPr="00997855">
        <w:t>.</w:t>
      </w:r>
      <w:r w:rsidRPr="00997855" w:rsidR="0096551D">
        <w:t> </w:t>
      </w:r>
      <w:r w:rsidRPr="00997855">
        <w:t>.” and “the States, exercising their recognized jurisdiction over Indian child custody proceedings through administrative and judicial bodies, have often failed to recognize the essential tribal relations of Indian people and the cultural and social standards prevailing in Indian communities and families.”  (25 U.S.C. §</w:t>
      </w:r>
      <w:r w:rsidRPr="00997855" w:rsidR="0096551D">
        <w:t> </w:t>
      </w:r>
      <w:r w:rsidRPr="00997855">
        <w:t>1901(3), (</w:t>
      </w:r>
      <w:r w:rsidRPr="00997855" w:rsidR="00440B46">
        <w:t>5</w:t>
      </w:r>
      <w:r w:rsidRPr="00997855">
        <w:t xml:space="preserve">); see also </w:t>
      </w:r>
      <w:r w:rsidRPr="00997855">
        <w:rPr>
          <w:i/>
          <w:iCs/>
        </w:rPr>
        <w:t>Holyfield</w:t>
      </w:r>
      <w:r w:rsidRPr="00997855">
        <w:t xml:space="preserve">, </w:t>
      </w:r>
      <w:r w:rsidRPr="00997855" w:rsidR="0096551D">
        <w:rPr>
          <w:i/>
          <w:iCs/>
        </w:rPr>
        <w:t>supra</w:t>
      </w:r>
      <w:r w:rsidRPr="00997855" w:rsidR="0096551D">
        <w:t xml:space="preserve">, 490 U.S. </w:t>
      </w:r>
      <w:r w:rsidRPr="00997855">
        <w:t>at pp. 35–36.)</w:t>
      </w:r>
    </w:p>
    <w:p w:rsidR="00F44570" w:rsidRPr="00997855" w:rsidP="00997855" w14:paraId="22C36A08" w14:textId="41C39AD9">
      <w:pPr>
        <w:ind w:firstLine="720"/>
      </w:pPr>
      <w:r w:rsidRPr="00997855">
        <w:t>ICWA establishe</w:t>
      </w:r>
      <w:r w:rsidRPr="00997855" w:rsidR="00996BF4">
        <w:t>s</w:t>
      </w:r>
      <w:r w:rsidRPr="00997855">
        <w:t xml:space="preserve"> minimum standards for state courts to follow before removing Indian children from their families and placing them in foster care or adoptive homes</w:t>
      </w:r>
      <w:r w:rsidRPr="00997855" w:rsidR="006A589D">
        <w:rPr>
          <w:iCs/>
        </w:rPr>
        <w:t xml:space="preserve"> and does not prohibit states from establishing higher standards.</w:t>
      </w:r>
      <w:r w:rsidRPr="00997855">
        <w:t xml:space="preserve">  (25 U.S.C. §</w:t>
      </w:r>
      <w:r w:rsidRPr="00997855" w:rsidR="0096551D">
        <w:t> </w:t>
      </w:r>
      <w:r w:rsidRPr="00997855">
        <w:t>1921; 25 C.F.R. §</w:t>
      </w:r>
      <w:r w:rsidRPr="00997855" w:rsidR="0096551D">
        <w:t> </w:t>
      </w:r>
      <w:r w:rsidRPr="00997855">
        <w:t>23.106</w:t>
      </w:r>
      <w:r w:rsidR="009E7230">
        <w:t xml:space="preserve"> (2024)</w:t>
      </w:r>
      <w:r w:rsidRPr="00997855" w:rsidR="006A589D">
        <w:rPr>
          <w:iCs/>
        </w:rPr>
        <w:t>; see also</w:t>
      </w:r>
      <w:r w:rsidRPr="00997855">
        <w:rPr>
          <w:i/>
          <w:iCs/>
        </w:rPr>
        <w:t xml:space="preserve"> In re Elizabeth M.</w:t>
      </w:r>
      <w:r w:rsidRPr="00997855">
        <w:t xml:space="preserve"> (2018) 19</w:t>
      </w:r>
      <w:r w:rsidRPr="00997855" w:rsidR="00587585">
        <w:t> </w:t>
      </w:r>
      <w:r w:rsidRPr="00997855">
        <w:t>Cal.App.5th 768, 783.)</w:t>
      </w:r>
      <w:r w:rsidRPr="00997855" w:rsidR="00A9137F">
        <w:t xml:space="preserve"> </w:t>
      </w:r>
      <w:r w:rsidRPr="00997855" w:rsidR="00A0254E">
        <w:t xml:space="preserve"> </w:t>
      </w:r>
      <w:r w:rsidRPr="00997855">
        <w:t xml:space="preserve">Indeed, </w:t>
      </w:r>
      <w:r w:rsidRPr="00997855" w:rsidR="007644D5">
        <w:t xml:space="preserve">ICWA </w:t>
      </w:r>
      <w:r w:rsidR="00435296">
        <w:t xml:space="preserve">expressly </w:t>
      </w:r>
      <w:r w:rsidRPr="00997855" w:rsidR="007644D5">
        <w:t>yield</w:t>
      </w:r>
      <w:r w:rsidR="00435296">
        <w:t>s</w:t>
      </w:r>
      <w:r w:rsidRPr="00997855" w:rsidR="007644D5">
        <w:t xml:space="preserve"> to state laws that provide “a higher standard of protection to the rights of the parent or Indian custodian of an Indian child</w:t>
      </w:r>
      <w:r w:rsidRPr="00997855" w:rsidR="0079105E">
        <w:t xml:space="preserve"> .</w:t>
      </w:r>
      <w:r w:rsidRPr="00997855" w:rsidR="00587585">
        <w:t> </w:t>
      </w:r>
      <w:r w:rsidRPr="00997855" w:rsidR="0079105E">
        <w:t>.</w:t>
      </w:r>
      <w:r w:rsidRPr="00997855" w:rsidR="00587585">
        <w:t> </w:t>
      </w:r>
      <w:r w:rsidRPr="00997855" w:rsidR="0079105E">
        <w:t>.</w:t>
      </w:r>
      <w:r w:rsidRPr="00997855" w:rsidR="00587585">
        <w:t> </w:t>
      </w:r>
      <w:r w:rsidRPr="00997855" w:rsidR="0079105E">
        <w:t>.”  (25 U.S.C. §</w:t>
      </w:r>
      <w:r w:rsidRPr="00997855" w:rsidR="00587585">
        <w:t> </w:t>
      </w:r>
      <w:r w:rsidRPr="00997855" w:rsidR="0079105E">
        <w:t>1921</w:t>
      </w:r>
      <w:r w:rsidRPr="00997855" w:rsidR="00AC1254">
        <w:t>; §</w:t>
      </w:r>
      <w:r w:rsidRPr="00997855" w:rsidR="00587585">
        <w:t> </w:t>
      </w:r>
      <w:r w:rsidRPr="00997855" w:rsidR="00AC1254">
        <w:t>224, subd.</w:t>
      </w:r>
      <w:r w:rsidRPr="00997855" w:rsidR="00587585">
        <w:t> </w:t>
      </w:r>
      <w:r w:rsidRPr="00997855" w:rsidR="00AC1254">
        <w:t>(d)</w:t>
      </w:r>
      <w:r w:rsidRPr="00997855" w:rsidR="0079105E">
        <w:t>.)</w:t>
      </w:r>
    </w:p>
    <w:p w:rsidR="007C693F" w:rsidRPr="00997855" w:rsidP="00997855" w14:paraId="5C332FA8" w14:textId="66F8E973">
      <w:pPr>
        <w:ind w:firstLine="720"/>
        <w:rPr>
          <w:iCs/>
          <w:highlight w:val="yellow"/>
        </w:rPr>
      </w:pPr>
      <w:r w:rsidRPr="00997855">
        <w:t xml:space="preserve">ICWA </w:t>
      </w:r>
      <w:r w:rsidRPr="00997855" w:rsidR="00A9137F">
        <w:t>g</w:t>
      </w:r>
      <w:r w:rsidRPr="00997855" w:rsidR="00605339">
        <w:t>i</w:t>
      </w:r>
      <w:r w:rsidRPr="00997855" w:rsidR="00AB30D0">
        <w:t>ve</w:t>
      </w:r>
      <w:r w:rsidRPr="00997855" w:rsidR="00605339">
        <w:t>s</w:t>
      </w:r>
      <w:r w:rsidRPr="00997855" w:rsidR="00A9137F">
        <w:t xml:space="preserve"> </w:t>
      </w:r>
      <w:r w:rsidRPr="00997855" w:rsidR="004433C8">
        <w:t xml:space="preserve">“Indian tribes concurrent jurisdiction </w:t>
      </w:r>
      <w:r w:rsidRPr="00997855" w:rsidR="00263432">
        <w:t>over state court child custody proceedings that involve Indian children living off of a reservation</w:t>
      </w:r>
      <w:r w:rsidRPr="00997855" w:rsidR="00280FFB">
        <w:t>.</w:t>
      </w:r>
      <w:r w:rsidRPr="00997855" w:rsidR="00263432">
        <w:t>”</w:t>
      </w:r>
      <w:r w:rsidRPr="00997855" w:rsidR="00280FFB">
        <w:t xml:space="preserve">  (</w:t>
      </w:r>
      <w:r w:rsidRPr="00997855" w:rsidR="00280FFB">
        <w:rPr>
          <w:i/>
          <w:iCs/>
        </w:rPr>
        <w:t>W.B.</w:t>
      </w:r>
      <w:r w:rsidRPr="00997855" w:rsidR="00C5769D">
        <w:t xml:space="preserve">, </w:t>
      </w:r>
      <w:r w:rsidRPr="00997855" w:rsidR="00C5769D">
        <w:rPr>
          <w:i/>
          <w:iCs/>
        </w:rPr>
        <w:t>supra</w:t>
      </w:r>
      <w:r w:rsidRPr="00997855" w:rsidR="00C5769D">
        <w:t xml:space="preserve">, </w:t>
      </w:r>
      <w:r w:rsidRPr="00997855" w:rsidR="00280FFB">
        <w:t xml:space="preserve">55 Cal.4th </w:t>
      </w:r>
      <w:r w:rsidRPr="00997855" w:rsidR="00C5769D">
        <w:t xml:space="preserve">at p. </w:t>
      </w:r>
      <w:r w:rsidRPr="00997855" w:rsidR="00280FFB">
        <w:t>48.)</w:t>
      </w:r>
      <w:r w:rsidRPr="00997855" w:rsidR="00280FFB">
        <w:rPr>
          <w:iCs/>
        </w:rPr>
        <w:t xml:space="preserve"> </w:t>
      </w:r>
      <w:r w:rsidRPr="00997855" w:rsidR="00AB30D0">
        <w:rPr>
          <w:iCs/>
        </w:rPr>
        <w:t xml:space="preserve"> </w:t>
      </w:r>
      <w:r w:rsidR="00202318">
        <w:rPr>
          <w:iCs/>
        </w:rPr>
        <w:t>T</w:t>
      </w:r>
      <w:r w:rsidRPr="00997855" w:rsidR="00F9232A">
        <w:rPr>
          <w:iCs/>
        </w:rPr>
        <w:t xml:space="preserve">he tribe </w:t>
      </w:r>
      <w:r w:rsidR="00202318">
        <w:rPr>
          <w:iCs/>
        </w:rPr>
        <w:t xml:space="preserve">also </w:t>
      </w:r>
      <w:r w:rsidRPr="00997855" w:rsidR="00F9232A">
        <w:rPr>
          <w:iCs/>
        </w:rPr>
        <w:t xml:space="preserve">has the power to petition the court to invalidate any action taken in </w:t>
      </w:r>
      <w:r w:rsidR="00202318">
        <w:rPr>
          <w:iCs/>
        </w:rPr>
        <w:t xml:space="preserve">a custody </w:t>
      </w:r>
      <w:r w:rsidRPr="00997855" w:rsidR="00F9232A">
        <w:rPr>
          <w:iCs/>
        </w:rPr>
        <w:t xml:space="preserve">proceeding if the action violated ICWA.  (25 U.S.C. § 1914; see also § 224, subd. (e).)  </w:t>
      </w:r>
      <w:r w:rsidRPr="00997855" w:rsidR="00AB30D0">
        <w:rPr>
          <w:iCs/>
        </w:rPr>
        <w:t xml:space="preserve">Thus, when ICWA applies, </w:t>
      </w:r>
      <w:r w:rsidRPr="00997855" w:rsidR="00AA3BE0">
        <w:rPr>
          <w:iCs/>
        </w:rPr>
        <w:t>“</w:t>
      </w:r>
      <w:r w:rsidRPr="00997855" w:rsidR="007554C8">
        <w:rPr>
          <w:iCs/>
        </w:rPr>
        <w:t>the Indian</w:t>
      </w:r>
      <w:r w:rsidRPr="00997855" w:rsidR="00AB30D0">
        <w:rPr>
          <w:iCs/>
        </w:rPr>
        <w:t xml:space="preserve"> </w:t>
      </w:r>
      <w:r w:rsidRPr="00997855" w:rsidR="00AA3BE0">
        <w:rPr>
          <w:iCs/>
        </w:rPr>
        <w:t xml:space="preserve">child’s </w:t>
      </w:r>
      <w:r w:rsidRPr="00997855" w:rsidR="00AB30D0">
        <w:rPr>
          <w:iCs/>
        </w:rPr>
        <w:t xml:space="preserve">tribe </w:t>
      </w:r>
      <w:r w:rsidRPr="00997855" w:rsidR="00AA3BE0">
        <w:rPr>
          <w:iCs/>
        </w:rPr>
        <w:t>shall have</w:t>
      </w:r>
      <w:r w:rsidRPr="00997855" w:rsidR="00AB30D0">
        <w:rPr>
          <w:iCs/>
        </w:rPr>
        <w:t xml:space="preserve"> </w:t>
      </w:r>
      <w:r w:rsidRPr="00997855" w:rsidR="00AA3BE0">
        <w:rPr>
          <w:iCs/>
        </w:rPr>
        <w:t xml:space="preserve">a </w:t>
      </w:r>
      <w:r w:rsidRPr="00997855" w:rsidR="00AB30D0">
        <w:rPr>
          <w:iCs/>
        </w:rPr>
        <w:t xml:space="preserve">right to intervene </w:t>
      </w:r>
      <w:r w:rsidRPr="00997855" w:rsidR="008F6106">
        <w:rPr>
          <w:iCs/>
        </w:rPr>
        <w:t>at any point</w:t>
      </w:r>
      <w:r w:rsidRPr="00997855" w:rsidR="00F10A90">
        <w:rPr>
          <w:iCs/>
        </w:rPr>
        <w:t>” in a</w:t>
      </w:r>
      <w:r w:rsidRPr="00997855" w:rsidR="0033237F">
        <w:rPr>
          <w:iCs/>
        </w:rPr>
        <w:t xml:space="preserve"> proceeding </w:t>
      </w:r>
      <w:r w:rsidRPr="00997855" w:rsidR="00F10A90">
        <w:rPr>
          <w:iCs/>
        </w:rPr>
        <w:t xml:space="preserve">involving the removal of an Indian child from their family.  </w:t>
      </w:r>
      <w:r w:rsidRPr="00997855" w:rsidR="007554C8">
        <w:rPr>
          <w:iCs/>
        </w:rPr>
        <w:t>(</w:t>
      </w:r>
      <w:r w:rsidRPr="00997855" w:rsidR="00A90029">
        <w:rPr>
          <w:iCs/>
        </w:rPr>
        <w:t xml:space="preserve">25 U.S.C. </w:t>
      </w:r>
      <w:r w:rsidRPr="00997855" w:rsidR="00615FE8">
        <w:rPr>
          <w:iCs/>
        </w:rPr>
        <w:t>§</w:t>
      </w:r>
      <w:r w:rsidRPr="00997855" w:rsidR="003E1496">
        <w:rPr>
          <w:iCs/>
        </w:rPr>
        <w:t> </w:t>
      </w:r>
      <w:r w:rsidRPr="00997855" w:rsidR="00522C8B">
        <w:rPr>
          <w:iCs/>
        </w:rPr>
        <w:t>1911</w:t>
      </w:r>
      <w:r w:rsidRPr="00997855" w:rsidR="00F10A90">
        <w:rPr>
          <w:iCs/>
        </w:rPr>
        <w:t>(c)</w:t>
      </w:r>
      <w:r w:rsidRPr="00997855" w:rsidR="00522C8B">
        <w:rPr>
          <w:iCs/>
        </w:rPr>
        <w:t>;</w:t>
      </w:r>
      <w:r w:rsidRPr="00997855" w:rsidR="000E5332">
        <w:rPr>
          <w:iCs/>
        </w:rPr>
        <w:t xml:space="preserve"> § 224.4;</w:t>
      </w:r>
      <w:r w:rsidRPr="00997855" w:rsidR="00522C8B">
        <w:rPr>
          <w:iCs/>
        </w:rPr>
        <w:t xml:space="preserve"> </w:t>
      </w:r>
      <w:r w:rsidRPr="00997855" w:rsidR="007554C8">
        <w:rPr>
          <w:i/>
        </w:rPr>
        <w:t>In re K.T.</w:t>
      </w:r>
      <w:r w:rsidRPr="00997855" w:rsidR="007554C8">
        <w:rPr>
          <w:iCs/>
        </w:rPr>
        <w:t xml:space="preserve"> (</w:t>
      </w:r>
      <w:r w:rsidRPr="00997855" w:rsidR="00522C8B">
        <w:rPr>
          <w:iCs/>
        </w:rPr>
        <w:t>2022) 76 Cal.App.5th 732, 741.)</w:t>
      </w:r>
    </w:p>
    <w:p w:rsidR="00C5769D" w:rsidRPr="00997855" w:rsidP="00997855" w14:paraId="10B08AA3" w14:textId="4600EB88">
      <w:pPr>
        <w:pStyle w:val="Heading3"/>
      </w:pPr>
      <w:r w:rsidRPr="00997855">
        <w:t>2.</w:t>
      </w:r>
      <w:r w:rsidRPr="00997855">
        <w:tab/>
        <w:t>Relevant Provisions of ICWA</w:t>
      </w:r>
    </w:p>
    <w:p w:rsidR="0089046A" w:rsidRPr="00997855" w:rsidP="00997855" w14:paraId="529F1A79" w14:textId="2F30A33A">
      <w:pPr>
        <w:ind w:firstLine="720"/>
        <w:rPr>
          <w:iCs/>
        </w:rPr>
      </w:pPr>
      <w:r w:rsidRPr="00997855">
        <w:rPr>
          <w:iCs/>
        </w:rPr>
        <w:t xml:space="preserve">The issue of whether ICWA applies </w:t>
      </w:r>
      <w:r w:rsidRPr="00997855" w:rsidR="00795BFF">
        <w:rPr>
          <w:iCs/>
        </w:rPr>
        <w:t xml:space="preserve">in </w:t>
      </w:r>
      <w:r w:rsidRPr="00997855">
        <w:rPr>
          <w:iCs/>
        </w:rPr>
        <w:t xml:space="preserve">dependency proceedings </w:t>
      </w:r>
      <w:r w:rsidRPr="00997855" w:rsidR="00795BFF">
        <w:rPr>
          <w:iCs/>
        </w:rPr>
        <w:t xml:space="preserve">turns on whether </w:t>
      </w:r>
      <w:r w:rsidR="00347BF6">
        <w:rPr>
          <w:iCs/>
        </w:rPr>
        <w:t xml:space="preserve">the </w:t>
      </w:r>
      <w:r w:rsidR="00803D57">
        <w:rPr>
          <w:iCs/>
        </w:rPr>
        <w:t>minor</w:t>
      </w:r>
      <w:r w:rsidRPr="00997855" w:rsidR="00795BFF">
        <w:rPr>
          <w:iCs/>
        </w:rPr>
        <w:t xml:space="preserve"> is an Indian child.  </w:t>
      </w:r>
      <w:r w:rsidRPr="00997855" w:rsidR="008F313D">
        <w:rPr>
          <w:iCs/>
        </w:rPr>
        <w:t>An “Indian child” is defined as “</w:t>
      </w:r>
      <w:r w:rsidRPr="00997855" w:rsidR="00795BFF">
        <w:rPr>
          <w:iCs/>
        </w:rPr>
        <w:t>any unmarried person who is under age eighteen and is either (a) a member of an Indian tribe or (b)</w:t>
      </w:r>
      <w:r w:rsidR="00792EE1">
        <w:rPr>
          <w:iCs/>
        </w:rPr>
        <w:t> </w:t>
      </w:r>
      <w:r w:rsidRPr="00997855" w:rsidR="00795BFF">
        <w:rPr>
          <w:iCs/>
        </w:rPr>
        <w:t>is eligible for membership in an Indian tribe and is the biological child of a member of an Indian tribe.”  (25 U.S.C. §</w:t>
      </w:r>
      <w:r w:rsidRPr="00997855" w:rsidR="00867315">
        <w:rPr>
          <w:iCs/>
        </w:rPr>
        <w:t> </w:t>
      </w:r>
      <w:r w:rsidRPr="00997855" w:rsidR="00795BFF">
        <w:rPr>
          <w:iCs/>
        </w:rPr>
        <w:t xml:space="preserve">1903(4).)  </w:t>
      </w:r>
      <w:r w:rsidRPr="00997855" w:rsidR="005B7C29">
        <w:rPr>
          <w:iCs/>
        </w:rPr>
        <w:t>At the commencement of a child custody proceeding, the court is obligated to inquire from each participant</w:t>
      </w:r>
      <w:r>
        <w:rPr>
          <w:rStyle w:val="FootnoteReference"/>
          <w:iCs/>
        </w:rPr>
        <w:footnoteReference w:id="5"/>
      </w:r>
      <w:r w:rsidRPr="00997855" w:rsidR="005B7C29">
        <w:rPr>
          <w:iCs/>
        </w:rPr>
        <w:t xml:space="preserve"> whether there is a “reason to know” that the child is or may be an Indian child.  (25 U.S.C. §</w:t>
      </w:r>
      <w:r w:rsidRPr="00997855" w:rsidR="00867315">
        <w:rPr>
          <w:iCs/>
        </w:rPr>
        <w:t> </w:t>
      </w:r>
      <w:r w:rsidRPr="00997855" w:rsidR="005B7C29">
        <w:rPr>
          <w:iCs/>
        </w:rPr>
        <w:t>1912(a); 25 C.F.R. §</w:t>
      </w:r>
      <w:r w:rsidRPr="00997855" w:rsidR="00867315">
        <w:rPr>
          <w:iCs/>
        </w:rPr>
        <w:t> </w:t>
      </w:r>
      <w:r w:rsidRPr="00997855" w:rsidR="005B7C29">
        <w:rPr>
          <w:iCs/>
        </w:rPr>
        <w:t>23.107(a)</w:t>
      </w:r>
      <w:r w:rsidR="00192800">
        <w:rPr>
          <w:iCs/>
        </w:rPr>
        <w:t xml:space="preserve"> (2024)</w:t>
      </w:r>
      <w:r w:rsidRPr="00997855" w:rsidR="005B7C29">
        <w:rPr>
          <w:iCs/>
        </w:rPr>
        <w:t>.)  The increased protections of ICWA apply “where the court knows or has reason to know that an Indian child is involved.”  (25 U.S.C. §</w:t>
      </w:r>
      <w:r w:rsidRPr="00997855" w:rsidR="00867315">
        <w:rPr>
          <w:iCs/>
        </w:rPr>
        <w:t> </w:t>
      </w:r>
      <w:r w:rsidRPr="00997855" w:rsidR="005B7C29">
        <w:rPr>
          <w:iCs/>
        </w:rPr>
        <w:t>1912(a); 25 C.F.R. §</w:t>
      </w:r>
      <w:r w:rsidRPr="00997855" w:rsidR="00867315">
        <w:rPr>
          <w:iCs/>
        </w:rPr>
        <w:t> </w:t>
      </w:r>
      <w:r w:rsidRPr="00997855" w:rsidR="005B7C29">
        <w:rPr>
          <w:iCs/>
        </w:rPr>
        <w:t>23.107(b)(2)</w:t>
      </w:r>
      <w:r w:rsidR="00192800">
        <w:rPr>
          <w:iCs/>
        </w:rPr>
        <w:t xml:space="preserve"> (2024)</w:t>
      </w:r>
      <w:r w:rsidRPr="00997855" w:rsidR="005B7C29">
        <w:rPr>
          <w:iCs/>
        </w:rPr>
        <w:t>.)</w:t>
      </w:r>
    </w:p>
    <w:p w:rsidR="00CA7693" w:rsidRPr="00997855" w:rsidP="00997855" w14:paraId="18087F8F" w14:textId="05886B7F">
      <w:pPr>
        <w:ind w:firstLine="720"/>
      </w:pPr>
      <w:r w:rsidRPr="00997855">
        <w:t>In 2016, new federal regulations were adopted addressing ICWA compliance.  (</w:t>
      </w:r>
      <w:r w:rsidRPr="00997855" w:rsidR="00BB2867">
        <w:t xml:space="preserve">See ICWA Proceedings, </w:t>
      </w:r>
      <w:r w:rsidRPr="00997855">
        <w:t>81 Fed.Reg.</w:t>
      </w:r>
      <w:r w:rsidR="00C87EF3">
        <w:t xml:space="preserve">, </w:t>
      </w:r>
      <w:r w:rsidR="00C87EF3">
        <w:rPr>
          <w:i/>
          <w:iCs/>
        </w:rPr>
        <w:t>supra</w:t>
      </w:r>
      <w:r w:rsidR="00C87EF3">
        <w:t>,</w:t>
      </w:r>
      <w:r w:rsidRPr="00997855">
        <w:t xml:space="preserve"> </w:t>
      </w:r>
      <w:r w:rsidRPr="00997855" w:rsidR="00565C7F">
        <w:t xml:space="preserve">at </w:t>
      </w:r>
      <w:r w:rsidR="00C87EF3">
        <w:t xml:space="preserve">p. </w:t>
      </w:r>
      <w:r w:rsidRPr="00997855">
        <w:t xml:space="preserve">38864 </w:t>
      </w:r>
      <w:r w:rsidRPr="00997855" w:rsidR="00565C7F">
        <w:t>[</w:t>
      </w:r>
      <w:r w:rsidRPr="00997855">
        <w:t>revising 25</w:t>
      </w:r>
      <w:r w:rsidRPr="00997855" w:rsidR="00867315">
        <w:t> </w:t>
      </w:r>
      <w:r w:rsidRPr="00997855">
        <w:t xml:space="preserve">C.F.R. </w:t>
      </w:r>
      <w:r w:rsidRPr="00997855" w:rsidR="00CF24E0">
        <w:rPr>
          <w:iCs/>
        </w:rPr>
        <w:t>§</w:t>
      </w:r>
      <w:r w:rsidRPr="00997855">
        <w:t xml:space="preserve"> 23</w:t>
      </w:r>
      <w:r w:rsidR="00C96C60">
        <w:t xml:space="preserve"> (2016)</w:t>
      </w:r>
      <w:r w:rsidRPr="00997855" w:rsidR="00565C7F">
        <w:t>]</w:t>
      </w:r>
      <w:r w:rsidRPr="00997855">
        <w:t xml:space="preserve">.)  </w:t>
      </w:r>
      <w:r w:rsidRPr="00997855" w:rsidR="00BD6EBD">
        <w:t>The regulations</w:t>
      </w:r>
      <w:r w:rsidRPr="00997855" w:rsidR="005D412A">
        <w:t xml:space="preserve"> are</w:t>
      </w:r>
      <w:r w:rsidRPr="00997855" w:rsidR="005D412A">
        <w:rPr>
          <w:i/>
          <w:iCs/>
        </w:rPr>
        <w:t xml:space="preserve"> </w:t>
      </w:r>
      <w:r w:rsidRPr="00997855" w:rsidR="00FB08D2">
        <w:t>binding on state courts</w:t>
      </w:r>
      <w:r w:rsidRPr="00997855" w:rsidR="003F52CC">
        <w:t>, are intended to “improve ICWA implementation</w:t>
      </w:r>
      <w:r w:rsidR="007B4D8C">
        <w:t>,</w:t>
      </w:r>
      <w:r w:rsidRPr="00997855" w:rsidR="00C63F07">
        <w:t xml:space="preserve">” </w:t>
      </w:r>
      <w:r w:rsidRPr="00997855" w:rsidR="00FB08D2">
        <w:t>and</w:t>
      </w:r>
      <w:r w:rsidRPr="00997855" w:rsidR="00BD6EBD">
        <w:t xml:space="preserve"> clearly identify what actions state courts and agencies must </w:t>
      </w:r>
      <w:r w:rsidRPr="00997855" w:rsidR="00191267">
        <w:t xml:space="preserve">undertake to ensure ICWA implementation in child welfare proceedings.  </w:t>
      </w:r>
      <w:r w:rsidRPr="00997855" w:rsidR="00C63F07">
        <w:t>(</w:t>
      </w:r>
      <w:r w:rsidRPr="00997855" w:rsidR="00714811">
        <w:t xml:space="preserve">ICWA Proceedings, </w:t>
      </w:r>
      <w:r w:rsidRPr="00997855" w:rsidR="00C63F07">
        <w:t>81 Fed.Reg</w:t>
      </w:r>
      <w:r w:rsidR="00713639">
        <w:t>,</w:t>
      </w:r>
      <w:r w:rsidRPr="001354E1" w:rsidR="001354E1">
        <w:rPr>
          <w:i/>
          <w:iCs/>
        </w:rPr>
        <w:t xml:space="preserve"> </w:t>
      </w:r>
      <w:r w:rsidRPr="00997855" w:rsidR="001354E1">
        <w:rPr>
          <w:i/>
          <w:iCs/>
        </w:rPr>
        <w:t>supra</w:t>
      </w:r>
      <w:r w:rsidRPr="00997855" w:rsidR="001354E1">
        <w:t>,</w:t>
      </w:r>
      <w:r w:rsidRPr="00997855" w:rsidR="00C63F07">
        <w:t xml:space="preserve"> at</w:t>
      </w:r>
      <w:r w:rsidR="00713639">
        <w:t xml:space="preserve"> p.</w:t>
      </w:r>
      <w:r w:rsidRPr="00997855" w:rsidR="00C63F07">
        <w:t xml:space="preserve"> 38778.)  </w:t>
      </w:r>
      <w:r w:rsidRPr="00997855" w:rsidR="004467AD">
        <w:t xml:space="preserve">The regulations </w:t>
      </w:r>
      <w:r w:rsidRPr="00997855" w:rsidR="001C2CFB">
        <w:t>urge early compliance with ICWA</w:t>
      </w:r>
      <w:r w:rsidRPr="00997855" w:rsidR="00806EBE">
        <w:t xml:space="preserve">, as it </w:t>
      </w:r>
      <w:r w:rsidRPr="00997855" w:rsidR="00387122">
        <w:t>“promotes the maintenance of Indian families, and the reunification of Indian children with their families whenever possible, and reduces the need for disruption in placements.</w:t>
      </w:r>
      <w:r w:rsidRPr="00997855" w:rsidR="008E00DA">
        <w:t> </w:t>
      </w:r>
      <w:r w:rsidRPr="00997855" w:rsidR="00302D5E">
        <w:t>.</w:t>
      </w:r>
      <w:r w:rsidRPr="00997855" w:rsidR="008E00DA">
        <w:t> </w:t>
      </w:r>
      <w:r w:rsidRPr="00997855" w:rsidR="00302D5E">
        <w:t>.</w:t>
      </w:r>
      <w:r w:rsidRPr="00997855" w:rsidR="008E00DA">
        <w:t> </w:t>
      </w:r>
      <w:r w:rsidRPr="00997855" w:rsidR="00302D5E">
        <w:t xml:space="preserve">. </w:t>
      </w:r>
      <w:r w:rsidR="004158B2">
        <w:t xml:space="preserve"> </w:t>
      </w:r>
      <w:r w:rsidRPr="00997855" w:rsidR="00387122">
        <w:t>And early implementation of ICWA</w:t>
      </w:r>
      <w:r w:rsidRPr="00997855" w:rsidR="00302D5E">
        <w:t>’s</w:t>
      </w:r>
      <w:r w:rsidRPr="00997855" w:rsidR="00387122">
        <w:t xml:space="preserve"> requirements conserves judicial resources by reducing the need for delays, duplication, and appeals.</w:t>
      </w:r>
      <w:r w:rsidRPr="00997855" w:rsidR="00302D5E">
        <w:t>”  (</w:t>
      </w:r>
      <w:r w:rsidRPr="00997855" w:rsidR="009865A7">
        <w:rPr>
          <w:i/>
          <w:iCs/>
        </w:rPr>
        <w:t>Id.</w:t>
      </w:r>
      <w:r w:rsidRPr="00997855" w:rsidR="009E60FF">
        <w:t xml:space="preserve"> at </w:t>
      </w:r>
      <w:r w:rsidR="00B655B5">
        <w:t xml:space="preserve">p. </w:t>
      </w:r>
      <w:r w:rsidRPr="00997855" w:rsidR="009E60FF">
        <w:t>38779.</w:t>
      </w:r>
      <w:r w:rsidRPr="00997855" w:rsidR="00302D5E">
        <w:t>)</w:t>
      </w:r>
    </w:p>
    <w:p w:rsidR="000F1BF3" w:rsidRPr="00997855" w:rsidP="00997855" w14:paraId="64919699" w14:textId="158E1034">
      <w:pPr>
        <w:pStyle w:val="Heading2"/>
      </w:pPr>
      <w:r w:rsidRPr="00997855">
        <w:t>B.</w:t>
      </w:r>
      <w:r w:rsidRPr="00997855">
        <w:tab/>
        <w:t>California’s Implementation of ICWA</w:t>
      </w:r>
      <w:r w:rsidRPr="00997855" w:rsidR="00260D1E">
        <w:t xml:space="preserve"> (Cal-ICWA)</w:t>
      </w:r>
    </w:p>
    <w:p w:rsidR="006E437C" w:rsidRPr="00997855" w:rsidP="00997855" w14:paraId="6C40E754" w14:textId="545B8B04">
      <w:pPr>
        <w:pStyle w:val="Heading3"/>
      </w:pPr>
      <w:r w:rsidRPr="00997855">
        <w:t>1</w:t>
      </w:r>
      <w:r w:rsidRPr="00997855" w:rsidR="00896B43">
        <w:t>.</w:t>
      </w:r>
      <w:r w:rsidRPr="00997855" w:rsidR="00896B43">
        <w:tab/>
        <w:t xml:space="preserve">Background </w:t>
      </w:r>
      <w:r w:rsidRPr="00997855" w:rsidR="00754DBD">
        <w:t>of Cal-ICWA</w:t>
      </w:r>
    </w:p>
    <w:p w:rsidR="007716FB" w:rsidRPr="00997855" w:rsidP="00707F22" w14:paraId="4782DDBA" w14:textId="2E07F946">
      <w:pPr>
        <w:ind w:firstLine="720"/>
      </w:pPr>
      <w:r w:rsidRPr="00997855">
        <w:t xml:space="preserve">California struggled to comply </w:t>
      </w:r>
      <w:r w:rsidRPr="00997855" w:rsidR="00B86DE8">
        <w:t>with ICWA after its passing.</w:t>
      </w:r>
      <w:r w:rsidR="000B46D4">
        <w:t xml:space="preserve"> </w:t>
      </w:r>
      <w:r w:rsidRPr="00997855" w:rsidR="00B86DE8">
        <w:t xml:space="preserve"> </w:t>
      </w:r>
      <w:r w:rsidRPr="00997855" w:rsidR="000E6CCE">
        <w:t>California Indian Legal Services (CILS)</w:t>
      </w:r>
      <w:r w:rsidRPr="00997855" w:rsidR="0064745B">
        <w:t>,</w:t>
      </w:r>
      <w:r>
        <w:rPr>
          <w:rStyle w:val="FootnoteReference"/>
        </w:rPr>
        <w:footnoteReference w:id="6"/>
      </w:r>
      <w:r w:rsidRPr="00997855" w:rsidR="0064745B">
        <w:t xml:space="preserve"> </w:t>
      </w:r>
      <w:r w:rsidRPr="00997855" w:rsidR="006A1320">
        <w:t xml:space="preserve">one of the sponsors of the bill that became Cal-ICWA, </w:t>
      </w:r>
      <w:r w:rsidRPr="00997855" w:rsidR="00A07769">
        <w:t xml:space="preserve">expressed concern that “state courts and county </w:t>
      </w:r>
      <w:r w:rsidRPr="00997855" w:rsidR="00F01214">
        <w:t xml:space="preserve">agencies </w:t>
      </w:r>
      <w:r w:rsidRPr="00997855" w:rsidR="00A07769">
        <w:t>in California continue to violate not only the spirit and intent of ICWA, but also its express provisions.</w:t>
      </w:r>
      <w:r w:rsidRPr="00997855" w:rsidR="008E60B3">
        <w:t xml:space="preserve">”  </w:t>
      </w:r>
      <w:r w:rsidRPr="00997855" w:rsidR="00002A80">
        <w:t>(Sen. Judiciary Com., Analysis of Sen. Bill No. 678 (2005–2006 Reg. Sess.) as amended Aug. 22, 2005, p. 6</w:t>
      </w:r>
      <w:r w:rsidRPr="00997855" w:rsidR="00E0192E">
        <w:t xml:space="preserve">; see also </w:t>
      </w:r>
      <w:r w:rsidRPr="00997855" w:rsidR="00E0192E">
        <w:rPr>
          <w:i/>
          <w:iCs/>
        </w:rPr>
        <w:t xml:space="preserve">id. </w:t>
      </w:r>
      <w:r w:rsidRPr="00997855" w:rsidR="00E0192E">
        <w:t xml:space="preserve">at p. </w:t>
      </w:r>
      <w:r w:rsidRPr="00997855" w:rsidR="00EE2661">
        <w:t>7 [CILS noting a “myriad of appellate court decisions involving ICWA</w:t>
      </w:r>
      <w:r w:rsidRPr="00997855" w:rsidR="0007107B">
        <w:t>” to support contention that “social workers</w:t>
      </w:r>
      <w:r w:rsidRPr="00997855" w:rsidR="00634689">
        <w:t>, courts and other parties still have difficulty complying with ICWA’s requirements”</w:t>
      </w:r>
      <w:r w:rsidRPr="00997855" w:rsidR="00EE2661">
        <w:t>]</w:t>
      </w:r>
      <w:r w:rsidRPr="00997855" w:rsidR="00634689">
        <w:t>.)</w:t>
      </w:r>
      <w:r w:rsidRPr="00997855" w:rsidR="00E0192E">
        <w:t xml:space="preserve">  </w:t>
      </w:r>
      <w:r w:rsidRPr="00997855" w:rsidR="00E17DDB">
        <w:t>Of particular concern</w:t>
      </w:r>
      <w:r w:rsidRPr="00997855" w:rsidR="00C967DA">
        <w:t xml:space="preserve"> was that </w:t>
      </w:r>
      <w:r w:rsidRPr="00997855" w:rsidR="009D013E">
        <w:t>tribes were unable “to participate in child custody proceedings because they fail to be properly notified of the proceedings.”  (</w:t>
      </w:r>
      <w:r w:rsidRPr="00997855" w:rsidR="00BE48A2">
        <w:rPr>
          <w:i/>
          <w:iCs/>
        </w:rPr>
        <w:t xml:space="preserve">Id. </w:t>
      </w:r>
      <w:r w:rsidRPr="00997855" w:rsidR="00BE48A2">
        <w:t xml:space="preserve">at </w:t>
      </w:r>
      <w:r w:rsidRPr="00997855">
        <w:t>p. 6.)</w:t>
      </w:r>
    </w:p>
    <w:p w:rsidR="002876F3" w:rsidRPr="00997855" w:rsidP="00997855" w14:paraId="2A666AE4" w14:textId="758382D2">
      <w:pPr>
        <w:ind w:firstLine="720"/>
      </w:pPr>
      <w:r w:rsidRPr="00997855">
        <w:t>In 2006,</w:t>
      </w:r>
      <w:r w:rsidRPr="00997855" w:rsidR="00D1300C">
        <w:t xml:space="preserve"> </w:t>
      </w:r>
      <w:r w:rsidRPr="00997855" w:rsidR="00BA5AFB">
        <w:t xml:space="preserve">the </w:t>
      </w:r>
      <w:r w:rsidRPr="00997855">
        <w:t xml:space="preserve">California Legislature </w:t>
      </w:r>
      <w:r w:rsidRPr="00997855" w:rsidR="00BA5AFB">
        <w:t>passed Senate Bill No. 678 (2005–2006 Reg. Sess.)</w:t>
      </w:r>
      <w:r w:rsidRPr="00997855" w:rsidR="00E70933">
        <w:t xml:space="preserve">, which </w:t>
      </w:r>
      <w:r w:rsidRPr="00997855">
        <w:t>“enacted provisions that affirm ICWA’s purposes (§</w:t>
      </w:r>
      <w:r w:rsidRPr="00997855" w:rsidR="007A4C67">
        <w:t> </w:t>
      </w:r>
      <w:r w:rsidRPr="00997855">
        <w:t>224, subd.</w:t>
      </w:r>
      <w:r w:rsidRPr="00997855" w:rsidR="007A4C67">
        <w:t> </w:t>
      </w:r>
      <w:r w:rsidRPr="00997855">
        <w:t>(a)) and mandate compliance with ICWA ‘[i]n</w:t>
      </w:r>
      <w:r w:rsidRPr="00997855">
        <w:rPr>
          <w:i/>
          <w:iCs/>
        </w:rPr>
        <w:t xml:space="preserve"> all</w:t>
      </w:r>
      <w:r w:rsidRPr="00997855">
        <w:t xml:space="preserve"> Indian child custody proceedings’ (</w:t>
      </w:r>
      <w:r w:rsidRPr="00997855" w:rsidR="00765046">
        <w:t>§ 224</w:t>
      </w:r>
      <w:r w:rsidRPr="00997855">
        <w:t>, subd.</w:t>
      </w:r>
      <w:r w:rsidRPr="00997855" w:rsidR="007A4C67">
        <w:t> </w:t>
      </w:r>
      <w:r w:rsidRPr="00997855">
        <w:t>(b)).”  (</w:t>
      </w:r>
      <w:r w:rsidRPr="00997855">
        <w:rPr>
          <w:i/>
          <w:iCs/>
        </w:rPr>
        <w:t>Isaiah W.</w:t>
      </w:r>
      <w:r w:rsidRPr="00997855">
        <w:t xml:space="preserve">, </w:t>
      </w:r>
      <w:r w:rsidRPr="00997855">
        <w:rPr>
          <w:i/>
          <w:iCs/>
        </w:rPr>
        <w:t>supra</w:t>
      </w:r>
      <w:r w:rsidRPr="00997855">
        <w:t>, 1 Cal.5th at p. 9</w:t>
      </w:r>
      <w:r w:rsidRPr="00997855" w:rsidR="009240EE">
        <w:t>, italics added</w:t>
      </w:r>
      <w:r w:rsidRPr="00997855">
        <w:t>.)  The Legislature’s “primary objective” in incorporating these provisions “was to increase compliance with ICWA.</w:t>
      </w:r>
      <w:r w:rsidRPr="00997855" w:rsidR="00AD3DEB">
        <w:t>”</w:t>
      </w:r>
      <w:r w:rsidRPr="00997855" w:rsidR="003C41AF">
        <w:t xml:space="preserve"> </w:t>
      </w:r>
      <w:r w:rsidRPr="00997855">
        <w:t xml:space="preserve"> </w:t>
      </w:r>
      <w:r w:rsidRPr="00997855" w:rsidR="003C41AF">
        <w:t>(</w:t>
      </w:r>
      <w:r w:rsidRPr="00997855" w:rsidR="003C41AF">
        <w:rPr>
          <w:i/>
          <w:iCs/>
        </w:rPr>
        <w:t>W.B.</w:t>
      </w:r>
      <w:r w:rsidRPr="00997855" w:rsidR="003C41AF">
        <w:t xml:space="preserve">, </w:t>
      </w:r>
      <w:r w:rsidRPr="00997855" w:rsidR="003C41AF">
        <w:rPr>
          <w:i/>
          <w:iCs/>
        </w:rPr>
        <w:t>supra</w:t>
      </w:r>
      <w:r w:rsidRPr="00997855" w:rsidR="003C41AF">
        <w:t xml:space="preserve">, 55 Cal.4th at p. 52; </w:t>
      </w:r>
      <w:r w:rsidRPr="00997855" w:rsidR="00D52B2E">
        <w:t xml:space="preserve">see also Sen. </w:t>
      </w:r>
      <w:r w:rsidRPr="00997855" w:rsidR="00510CA7">
        <w:t xml:space="preserve">Appropriations Com., Analysis of Sen. Bill No. 678 (2005–2006 Reg. Sess.) as amended </w:t>
      </w:r>
      <w:r w:rsidRPr="00997855" w:rsidR="00680002">
        <w:t xml:space="preserve">Aug. </w:t>
      </w:r>
      <w:r w:rsidRPr="00997855" w:rsidR="00510CA7">
        <w:t xml:space="preserve">22, 2005, p. 1; </w:t>
      </w:r>
      <w:r w:rsidRPr="00997855" w:rsidR="003C41AF">
        <w:t>accord,</w:t>
      </w:r>
      <w:r w:rsidRPr="00997855" w:rsidR="003C41AF">
        <w:rPr>
          <w:i/>
          <w:iCs/>
        </w:rPr>
        <w:t xml:space="preserve"> </w:t>
      </w:r>
      <w:r w:rsidRPr="00997855" w:rsidR="00A37171">
        <w:rPr>
          <w:i/>
          <w:iCs/>
        </w:rPr>
        <w:t>In re Abbigail A.</w:t>
      </w:r>
      <w:r w:rsidRPr="00997855" w:rsidR="00A37171">
        <w:t xml:space="preserve"> (2016) 1 Cal.5th 83, 91 (</w:t>
      </w:r>
      <w:r w:rsidRPr="00997855" w:rsidR="00A37171">
        <w:rPr>
          <w:i/>
          <w:iCs/>
        </w:rPr>
        <w:t>Abbigail A.</w:t>
      </w:r>
      <w:r w:rsidRPr="00997855" w:rsidR="00A37171">
        <w:t>)</w:t>
      </w:r>
      <w:r w:rsidRPr="00997855" w:rsidR="003C41AF">
        <w:t xml:space="preserve"> [“persistent noncompliance with ICWA led the Legislature in 2006 to ‘incorporate[] ICWA’s requirements into California statutory law’</w:t>
      </w:r>
      <w:r w:rsidR="00E62259">
        <w:t> </w:t>
      </w:r>
      <w:r w:rsidRPr="00997855" w:rsidR="003C41AF">
        <w:t xml:space="preserve">”].) </w:t>
      </w:r>
    </w:p>
    <w:p w:rsidR="003C1A77" w:rsidRPr="00997855" w:rsidP="00997855" w14:paraId="0D87BCC5" w14:textId="78089D7D">
      <w:pPr>
        <w:pStyle w:val="Heading3"/>
      </w:pPr>
      <w:r w:rsidRPr="00997855">
        <w:t>2.</w:t>
      </w:r>
      <w:r w:rsidRPr="00997855">
        <w:tab/>
      </w:r>
      <w:r w:rsidRPr="00997855" w:rsidR="00E659A3">
        <w:t xml:space="preserve">Cal-ICWA’s Provisions Relating to the </w:t>
      </w:r>
      <w:r w:rsidRPr="00997855" w:rsidR="000D0B6B">
        <w:t xml:space="preserve">Duty of Inquiry </w:t>
      </w:r>
    </w:p>
    <w:p w:rsidR="00C2563F" w:rsidRPr="00997855" w:rsidP="00997855" w14:paraId="314AD596" w14:textId="63460EC8">
      <w:pPr>
        <w:ind w:firstLine="720"/>
      </w:pPr>
      <w:r w:rsidRPr="00997855">
        <w:t xml:space="preserve">After </w:t>
      </w:r>
      <w:r w:rsidRPr="00997855" w:rsidR="00FA5936">
        <w:t xml:space="preserve">the federal </w:t>
      </w:r>
      <w:r w:rsidRPr="00997855" w:rsidR="00672A78">
        <w:t xml:space="preserve">ICWA </w:t>
      </w:r>
      <w:r w:rsidRPr="00997855" w:rsidR="00FA5936">
        <w:t xml:space="preserve">regulations </w:t>
      </w:r>
      <w:r w:rsidRPr="00997855" w:rsidR="00D43950">
        <w:t>were adopted in 2016</w:t>
      </w:r>
      <w:r w:rsidRPr="00997855">
        <w:t xml:space="preserve">, California made conforming amendments to </w:t>
      </w:r>
      <w:r w:rsidRPr="00997855" w:rsidR="001300D0">
        <w:t>Cal-ICWA</w:t>
      </w:r>
      <w:r w:rsidRPr="00997855">
        <w:t xml:space="preserve">, including portions of the Welfare and Institutions Code related to </w:t>
      </w:r>
      <w:r w:rsidRPr="00FD56D9">
        <w:t>ICWA</w:t>
      </w:r>
      <w:r w:rsidRPr="00997855">
        <w:t xml:space="preserve"> inquiry </w:t>
      </w:r>
      <w:r w:rsidRPr="00997855" w:rsidR="00672A78">
        <w:t xml:space="preserve">and notice </w:t>
      </w:r>
      <w:r w:rsidRPr="00997855">
        <w:t xml:space="preserve">requirements.  (Assem. Bill No. 3176 (2017-2018 Reg. Sess.); </w:t>
      </w:r>
      <w:r w:rsidRPr="00997855" w:rsidR="00FE45F1">
        <w:t xml:space="preserve">Stats. 2018, ch. 833, §§ 4–7; </w:t>
      </w:r>
      <w:r w:rsidRPr="00997855">
        <w:rPr>
          <w:i/>
          <w:iCs/>
        </w:rPr>
        <w:t xml:space="preserve">In re A.W. </w:t>
      </w:r>
      <w:r w:rsidRPr="00997855">
        <w:t xml:space="preserve">(2019) 38 Cal.App.5th 655, 662, fn. 3.)  </w:t>
      </w:r>
      <w:r w:rsidRPr="00997855" w:rsidR="00F80864">
        <w:t xml:space="preserve">Among other things, Assembly Bill </w:t>
      </w:r>
      <w:r w:rsidR="00681DB4">
        <w:t xml:space="preserve">No. </w:t>
      </w:r>
      <w:r w:rsidRPr="00997855" w:rsidR="00F80864">
        <w:t xml:space="preserve">3176 “revise[d] the specific steps a social worker, probation officer, or court is required to take in making an inquiry of a child’s possible status as an Indian child.”  (Legis. Counsel’s Dig., Assem. Bill </w:t>
      </w:r>
      <w:r w:rsidR="00E35101">
        <w:t xml:space="preserve">No. </w:t>
      </w:r>
      <w:r w:rsidRPr="00997855" w:rsidR="00F80864">
        <w:t>3176</w:t>
      </w:r>
      <w:r w:rsidR="00A23320">
        <w:t xml:space="preserve"> (</w:t>
      </w:r>
      <w:r w:rsidR="001A0935">
        <w:t>2017–</w:t>
      </w:r>
      <w:r w:rsidR="00A23320">
        <w:t>2018 Reg. Sess.)</w:t>
      </w:r>
      <w:r w:rsidR="007F007B">
        <w:t xml:space="preserve"> p. 1</w:t>
      </w:r>
      <w:r w:rsidR="007E194E">
        <w:t>;</w:t>
      </w:r>
      <w:r w:rsidRPr="00997855" w:rsidR="00F80864">
        <w:t xml:space="preserve"> Stats. 2018, ch. 833.)  </w:t>
      </w:r>
      <w:r w:rsidRPr="00997855" w:rsidR="006F2903">
        <w:t>As a result of this amendment, “</w:t>
      </w:r>
      <w:r w:rsidRPr="00997855" w:rsidR="007D0537">
        <w:t> </w:t>
      </w:r>
      <w:r w:rsidRPr="00997855" w:rsidR="006F2903">
        <w:t>‘agencies now have a broader duty of inquiry and a duty of documentation.’ ”  (</w:t>
      </w:r>
      <w:r w:rsidRPr="00997855" w:rsidR="006F2903">
        <w:rPr>
          <w:i/>
          <w:iCs/>
        </w:rPr>
        <w:t>In re Jerry R.</w:t>
      </w:r>
      <w:r w:rsidRPr="00997855" w:rsidR="006F2903">
        <w:t xml:space="preserve"> (2023) 95 Cal.App.5th 388, 411; § 224.2, subd.</w:t>
      </w:r>
      <w:r w:rsidRPr="00997855" w:rsidR="007D0537">
        <w:t> </w:t>
      </w:r>
      <w:r w:rsidRPr="00997855" w:rsidR="006F2903">
        <w:t>(a); see also Cal. Rules of Court, rule 5.481(a).</w:t>
      </w:r>
      <w:r>
        <w:rPr>
          <w:rStyle w:val="FootnoteReference"/>
        </w:rPr>
        <w:footnoteReference w:id="7"/>
      </w:r>
      <w:r w:rsidRPr="00997855" w:rsidR="006F2903">
        <w:t>)</w:t>
      </w:r>
    </w:p>
    <w:p w:rsidR="00E91CAE" w:rsidRPr="00997855" w:rsidP="00997855" w14:paraId="63AD8042" w14:textId="01BF8775">
      <w:pPr>
        <w:ind w:firstLine="720"/>
      </w:pPr>
      <w:r w:rsidRPr="00997855">
        <w:t xml:space="preserve">Section 224.2 codifies and </w:t>
      </w:r>
      <w:r w:rsidR="00973187">
        <w:t>expands</w:t>
      </w:r>
      <w:r w:rsidRPr="00997855" w:rsidR="00973187">
        <w:t xml:space="preserve"> </w:t>
      </w:r>
      <w:r w:rsidRPr="00997855">
        <w:t>on ICWA</w:t>
      </w:r>
      <w:r w:rsidRPr="00997855" w:rsidR="00FB2D47">
        <w:t>’</w:t>
      </w:r>
      <w:r w:rsidRPr="00997855">
        <w:t xml:space="preserve">s </w:t>
      </w:r>
      <w:r w:rsidRPr="00997855" w:rsidR="00D047FD">
        <w:t xml:space="preserve">duty </w:t>
      </w:r>
      <w:r w:rsidRPr="00997855">
        <w:t xml:space="preserve">of </w:t>
      </w:r>
      <w:r w:rsidRPr="00997855" w:rsidR="00775FDE">
        <w:t xml:space="preserve">inquiry </w:t>
      </w:r>
      <w:r w:rsidRPr="00997855" w:rsidR="006C7E90">
        <w:t>to determine whether a child is an Indian child.</w:t>
      </w:r>
      <w:r>
        <w:rPr>
          <w:rStyle w:val="FootnoteReference"/>
        </w:rPr>
        <w:footnoteReference w:id="8"/>
      </w:r>
      <w:r w:rsidRPr="00997855">
        <w:t xml:space="preserve"> </w:t>
      </w:r>
      <w:r w:rsidRPr="00997855" w:rsidR="002F502A">
        <w:t xml:space="preserve"> </w:t>
      </w:r>
      <w:r w:rsidRPr="00997855" w:rsidR="0080235D">
        <w:t>A</w:t>
      </w:r>
      <w:r w:rsidRPr="00997855">
        <w:t>genc</w:t>
      </w:r>
      <w:r w:rsidRPr="00997855" w:rsidR="0080235D">
        <w:t>ies</w:t>
      </w:r>
      <w:r w:rsidRPr="00997855">
        <w:t xml:space="preserve"> and juvenile court</w:t>
      </w:r>
      <w:r w:rsidRPr="00997855" w:rsidR="0080235D">
        <w:t>s</w:t>
      </w:r>
      <w:r w:rsidRPr="00997855">
        <w:t xml:space="preserve"> have “an affirmative and continuing duty” in every dependency proceeding to determine whether </w:t>
      </w:r>
      <w:r w:rsidRPr="000B60FD">
        <w:t>ICWA</w:t>
      </w:r>
      <w:r w:rsidRPr="00997855">
        <w:t xml:space="preserve"> applies</w:t>
      </w:r>
      <w:r w:rsidRPr="00997855" w:rsidR="00F36883">
        <w:t xml:space="preserve"> by inquiring whether a child is or may be an Indian child</w:t>
      </w:r>
      <w:r w:rsidRPr="00997855">
        <w:t xml:space="preserve">. </w:t>
      </w:r>
      <w:r w:rsidRPr="00997855" w:rsidR="002F502A">
        <w:t xml:space="preserve"> </w:t>
      </w:r>
      <w:r w:rsidRPr="00997855" w:rsidR="003E266D">
        <w:t xml:space="preserve">(§ 224.2, subd. (a).)  </w:t>
      </w:r>
      <w:r w:rsidRPr="00997855" w:rsidR="00FA1853">
        <w:t>Th</w:t>
      </w:r>
      <w:r w:rsidRPr="00997855" w:rsidR="00512576">
        <w:t>is “</w:t>
      </w:r>
      <w:r w:rsidRPr="00997855" w:rsidR="00810CD1">
        <w:t xml:space="preserve">duty </w:t>
      </w:r>
      <w:r w:rsidRPr="00997855" w:rsidR="00512576">
        <w:t xml:space="preserve">to inquire </w:t>
      </w:r>
      <w:r w:rsidRPr="00997855" w:rsidR="00810CD1">
        <w:t xml:space="preserve">begins with the initial contact, including, but not limited to, asking the party reporting child abuse or neglect whether </w:t>
      </w:r>
      <w:r w:rsidRPr="00997855" w:rsidR="00895108">
        <w:t>the party</w:t>
      </w:r>
      <w:r w:rsidRPr="00997855" w:rsidR="00810CD1">
        <w:t xml:space="preserve"> has any information that the child may be an Indian child.”  </w:t>
      </w:r>
      <w:r w:rsidRPr="00997855">
        <w:t>(</w:t>
      </w:r>
      <w:r w:rsidR="00C876AB">
        <w:rPr>
          <w:i/>
          <w:iCs/>
        </w:rPr>
        <w:t>Ibid.</w:t>
      </w:r>
      <w:r w:rsidRPr="00997855">
        <w:t xml:space="preserve">; </w:t>
      </w:r>
      <w:r w:rsidRPr="00997855" w:rsidR="006803EA">
        <w:t xml:space="preserve">see also </w:t>
      </w:r>
      <w:r w:rsidRPr="00997855">
        <w:t>rule 5.481(a)</w:t>
      </w:r>
      <w:r w:rsidRPr="00997855" w:rsidR="000622D2">
        <w:t>;</w:t>
      </w:r>
      <w:r w:rsidRPr="00997855">
        <w:t xml:space="preserve"> </w:t>
      </w:r>
      <w:r w:rsidRPr="00997855">
        <w:rPr>
          <w:i/>
          <w:iCs/>
        </w:rPr>
        <w:t>Isaiah W.</w:t>
      </w:r>
      <w:r w:rsidRPr="00997855">
        <w:t xml:space="preserve">, </w:t>
      </w:r>
      <w:r w:rsidRPr="00997855">
        <w:rPr>
          <w:i/>
          <w:iCs/>
        </w:rPr>
        <w:t>supra</w:t>
      </w:r>
      <w:r w:rsidRPr="00997855">
        <w:t>, 1</w:t>
      </w:r>
      <w:r w:rsidRPr="00997855" w:rsidR="00D25144">
        <w:t> </w:t>
      </w:r>
      <w:r w:rsidRPr="00997855">
        <w:t>Cal.5th at p. 14 [“juvenile court has an affirmative and continuing duty in all dependency proceedings to inquire into a child</w:t>
      </w:r>
      <w:r w:rsidRPr="00997855" w:rsidR="002F502A">
        <w:t>’</w:t>
      </w:r>
      <w:r w:rsidRPr="00997855">
        <w:t>s Indian status”].)</w:t>
      </w:r>
    </w:p>
    <w:p w:rsidR="003D3863" w:rsidRPr="00997855" w:rsidP="00997855" w14:paraId="2DB393BD" w14:textId="748509D6">
      <w:pPr>
        <w:pStyle w:val="NormalIndent"/>
        <w:ind w:left="0" w:firstLine="720"/>
      </w:pPr>
      <w:r w:rsidRPr="00997855">
        <w:t>Section</w:t>
      </w:r>
      <w:r w:rsidRPr="00997855" w:rsidR="00607B36">
        <w:t> </w:t>
      </w:r>
      <w:r w:rsidRPr="00997855">
        <w:t>224.2, subdivision</w:t>
      </w:r>
      <w:r w:rsidRPr="00997855" w:rsidR="00D25144">
        <w:t> </w:t>
      </w:r>
      <w:r w:rsidRPr="00997855">
        <w:t>(b) specifies that once a child is placed into the temporary custody of a county welfare department, the duty to inquire “includes, but is not limited to, asking the child, parents, legal guardian, Indian custodian, extended family members, others who have an interest in the child, and the party reporting child abuse or neglect, whether the child is, or may be, an Indian child.”</w:t>
      </w:r>
      <w:r>
        <w:rPr>
          <w:rStyle w:val="FootnoteReference"/>
        </w:rPr>
        <w:footnoteReference w:id="9"/>
      </w:r>
      <w:r w:rsidRPr="00997855" w:rsidR="002F502A">
        <w:t xml:space="preserve"> </w:t>
      </w:r>
      <w:r w:rsidRPr="00997855">
        <w:t xml:space="preserve"> </w:t>
      </w:r>
      <w:r w:rsidRPr="00997855" w:rsidR="005775B4">
        <w:t>(See also</w:t>
      </w:r>
      <w:r w:rsidRPr="00997855" w:rsidR="001F7632">
        <w:t xml:space="preserve"> rule 5.481(a)(1).) </w:t>
      </w:r>
      <w:r w:rsidRPr="00997855" w:rsidR="005775B4">
        <w:t xml:space="preserve"> </w:t>
      </w:r>
      <w:r w:rsidRPr="00997855" w:rsidR="00833E57">
        <w:t xml:space="preserve">“Extended family member” means </w:t>
      </w:r>
      <w:r w:rsidRPr="00997855" w:rsidR="00AF1BE7">
        <w:t xml:space="preserve">“a person who has </w:t>
      </w:r>
      <w:r w:rsidRPr="00997855" w:rsidR="006A32F5">
        <w:t xml:space="preserve">reached the age of eighteen and who </w:t>
      </w:r>
      <w:r w:rsidRPr="00997855" w:rsidR="00FD6F7D">
        <w:t>is</w:t>
      </w:r>
      <w:r w:rsidRPr="00997855" w:rsidR="006A32F5">
        <w:t xml:space="preserve"> the Indian child’s grandparent, aunt or uncle, brother or sister, brother-in-law or sister-in-law, niece or nephew, first or second cousin, or stepparent.”  (</w:t>
      </w:r>
      <w:r w:rsidRPr="00997855" w:rsidR="006C0977">
        <w:t>25 U.S.C. § 1903(2)</w:t>
      </w:r>
      <w:r w:rsidR="006C0977">
        <w:t xml:space="preserve">; see also </w:t>
      </w:r>
      <w:r w:rsidRPr="00997855" w:rsidR="00E35549">
        <w:t>§</w:t>
      </w:r>
      <w:r w:rsidRPr="00997855" w:rsidR="00D25144">
        <w:t> </w:t>
      </w:r>
      <w:r w:rsidRPr="00997855" w:rsidR="00E35549">
        <w:t>224.1, subd.</w:t>
      </w:r>
      <w:r w:rsidRPr="00997855" w:rsidR="00D25144">
        <w:t> </w:t>
      </w:r>
      <w:r w:rsidRPr="00997855" w:rsidR="00E35549">
        <w:t>(c) [adopting ICWA definition of “extended family member</w:t>
      </w:r>
      <w:r w:rsidRPr="00997855" w:rsidR="00AF1BE7">
        <w:t>”</w:t>
      </w:r>
      <w:r w:rsidRPr="00997855" w:rsidR="00E35549">
        <w:t>]</w:t>
      </w:r>
      <w:r w:rsidRPr="00997855" w:rsidR="00AF1BE7">
        <w:t>.)</w:t>
      </w:r>
    </w:p>
    <w:p w:rsidR="005B10F5" w:rsidRPr="00997855" w:rsidP="00997855" w14:paraId="05D31825" w14:textId="642EDC3B">
      <w:pPr>
        <w:pStyle w:val="NormalIndent"/>
        <w:ind w:left="0" w:firstLine="720"/>
      </w:pPr>
      <w:r w:rsidRPr="00997855">
        <w:t xml:space="preserve">While this </w:t>
      </w:r>
      <w:r w:rsidRPr="00997855" w:rsidR="003D3863">
        <w:t xml:space="preserve">duty of inquiry </w:t>
      </w:r>
      <w:r w:rsidRPr="00997855">
        <w:t>is sometimes referred to as the initial duty of inquiry</w:t>
      </w:r>
      <w:r w:rsidRPr="00997855" w:rsidR="004100AD">
        <w:t xml:space="preserve">, </w:t>
      </w:r>
      <w:r w:rsidRPr="00997855" w:rsidR="00CD3F36">
        <w:t>this is a</w:t>
      </w:r>
      <w:r w:rsidRPr="00997855" w:rsidR="00763ABC">
        <w:t xml:space="preserve"> bit of a misnomer, as</w:t>
      </w:r>
      <w:r w:rsidRPr="00997855" w:rsidR="00CD3F36">
        <w:t xml:space="preserve"> </w:t>
      </w:r>
      <w:r w:rsidRPr="00997855" w:rsidR="004100AD">
        <w:t>the duty “</w:t>
      </w:r>
      <w:r w:rsidRPr="00997855" w:rsidR="003D3863">
        <w:t>continues throughout the dependency proceedings</w:t>
      </w:r>
      <w:r w:rsidRPr="00997855" w:rsidR="000C5183">
        <w:t>.</w:t>
      </w:r>
      <w:r w:rsidRPr="00997855" w:rsidR="003D3863">
        <w:t>”</w:t>
      </w:r>
      <w:r w:rsidRPr="00997855" w:rsidR="000C5183">
        <w:t xml:space="preserve"> </w:t>
      </w:r>
      <w:r w:rsidRPr="00997855" w:rsidR="003D3863">
        <w:t xml:space="preserve"> (</w:t>
      </w:r>
      <w:r w:rsidRPr="00997855" w:rsidR="00940948">
        <w:rPr>
          <w:i/>
          <w:iCs/>
        </w:rPr>
        <w:t xml:space="preserve">In re </w:t>
      </w:r>
      <w:r w:rsidRPr="00997855" w:rsidR="003D3863">
        <w:rPr>
          <w:i/>
          <w:iCs/>
        </w:rPr>
        <w:t>J.C.</w:t>
      </w:r>
      <w:r w:rsidRPr="00997855" w:rsidR="00940948">
        <w:t xml:space="preserve"> (2022) </w:t>
      </w:r>
      <w:r w:rsidRPr="00997855" w:rsidR="003D3863">
        <w:t>77</w:t>
      </w:r>
      <w:r w:rsidRPr="00997855" w:rsidR="00D25144">
        <w:t> </w:t>
      </w:r>
      <w:r w:rsidRPr="00997855" w:rsidR="003D3863">
        <w:t xml:space="preserve">Cal.App.5th </w:t>
      </w:r>
      <w:r w:rsidRPr="00997855" w:rsidR="00940948">
        <w:t xml:space="preserve">70, </w:t>
      </w:r>
      <w:r w:rsidRPr="00997855" w:rsidR="003D3863">
        <w:t>77</w:t>
      </w:r>
      <w:r w:rsidRPr="00997855" w:rsidR="00940948">
        <w:t xml:space="preserve"> (</w:t>
      </w:r>
      <w:r w:rsidRPr="00997855" w:rsidR="00940948">
        <w:rPr>
          <w:i/>
          <w:iCs/>
        </w:rPr>
        <w:t>J.C.</w:t>
      </w:r>
      <w:r w:rsidRPr="00997855" w:rsidR="00940948">
        <w:t>)</w:t>
      </w:r>
      <w:r w:rsidRPr="00997855" w:rsidR="0051338C">
        <w:t xml:space="preserve">; see also </w:t>
      </w:r>
      <w:r w:rsidRPr="00997855" w:rsidR="00912573">
        <w:rPr>
          <w:i/>
          <w:iCs/>
        </w:rPr>
        <w:t>In re K.H.</w:t>
      </w:r>
      <w:r w:rsidRPr="00997855" w:rsidR="00912573">
        <w:t xml:space="preserve"> (2022) 84</w:t>
      </w:r>
      <w:r w:rsidRPr="00997855" w:rsidR="00D25144">
        <w:t> </w:t>
      </w:r>
      <w:r w:rsidRPr="00997855" w:rsidR="00912573">
        <w:t xml:space="preserve">Cal.App.5th 566, </w:t>
      </w:r>
      <w:r w:rsidRPr="00997855" w:rsidR="0051338C">
        <w:t>p.</w:t>
      </w:r>
      <w:r w:rsidRPr="00997855" w:rsidR="00D25144">
        <w:t> </w:t>
      </w:r>
      <w:r w:rsidRPr="00997855" w:rsidR="00C72726">
        <w:t>597, fn.</w:t>
      </w:r>
      <w:r w:rsidRPr="00997855" w:rsidR="00D25144">
        <w:t> </w:t>
      </w:r>
      <w:r w:rsidRPr="00997855" w:rsidR="00C72726">
        <w:t>10</w:t>
      </w:r>
      <w:r w:rsidRPr="00997855" w:rsidR="00912573">
        <w:t xml:space="preserve"> (</w:t>
      </w:r>
      <w:r w:rsidRPr="00997855" w:rsidR="00912573">
        <w:rPr>
          <w:i/>
          <w:iCs/>
        </w:rPr>
        <w:t>K.H.</w:t>
      </w:r>
      <w:r w:rsidRPr="00997855" w:rsidR="00912573">
        <w:t>)</w:t>
      </w:r>
      <w:r w:rsidRPr="00997855" w:rsidR="00C72726">
        <w:t xml:space="preserve"> </w:t>
      </w:r>
      <w:r w:rsidRPr="00997855" w:rsidR="003D3863">
        <w:t>“[c]ourts have recognized it is somewhat inaccurate to refer to the agency’s ‘</w:t>
      </w:r>
      <w:r w:rsidRPr="00997855" w:rsidR="00D25144">
        <w:t> </w:t>
      </w:r>
      <w:r w:rsidRPr="00997855" w:rsidR="003D3863">
        <w:t>“</w:t>
      </w:r>
      <w:r w:rsidRPr="00997855" w:rsidR="00D25144">
        <w:t> </w:t>
      </w:r>
      <w:r w:rsidRPr="00997855" w:rsidR="003D3863">
        <w:t>‘initial duty of inquiry’</w:t>
      </w:r>
      <w:r w:rsidRPr="00997855" w:rsidR="00B217E0">
        <w:t> </w:t>
      </w:r>
      <w:r w:rsidRPr="00997855" w:rsidR="003D3863">
        <w:t>”</w:t>
      </w:r>
      <w:r w:rsidRPr="00997855" w:rsidR="00B217E0">
        <w:t> </w:t>
      </w:r>
      <w:r w:rsidRPr="00997855" w:rsidR="003D3863">
        <w:t>’</w:t>
      </w:r>
      <w:r w:rsidRPr="00997855" w:rsidR="00B217E0">
        <w:t> </w:t>
      </w:r>
      <w:r w:rsidRPr="00997855" w:rsidR="003D5364">
        <w:t>”</w:t>
      </w:r>
      <w:r w:rsidRPr="00997855" w:rsidR="00C72726">
        <w:t>].)</w:t>
      </w:r>
    </w:p>
    <w:p w:rsidR="00E91CAE" w:rsidRPr="00997855" w:rsidP="00997855" w14:paraId="121E4E01" w14:textId="4FE90842">
      <w:pPr>
        <w:pStyle w:val="NormalIndent"/>
        <w:ind w:left="0" w:firstLine="720"/>
      </w:pPr>
      <w:r w:rsidRPr="00997855">
        <w:t xml:space="preserve">When the </w:t>
      </w:r>
      <w:r w:rsidR="006222C1">
        <w:t>a</w:t>
      </w:r>
      <w:r w:rsidRPr="00997855">
        <w:t xml:space="preserve">gency has “reason to believe” that an Indian child is involved, further inquiry regarding the possible Indian status of the child is required. </w:t>
      </w:r>
      <w:r w:rsidRPr="00997855" w:rsidR="002F502A">
        <w:t xml:space="preserve"> </w:t>
      </w:r>
      <w:r w:rsidRPr="00997855">
        <w:t>(§</w:t>
      </w:r>
      <w:r w:rsidRPr="00997855" w:rsidR="00B217E0">
        <w:t> </w:t>
      </w:r>
      <w:r w:rsidRPr="00997855">
        <w:t>224.2, subd.</w:t>
      </w:r>
      <w:r w:rsidRPr="00997855" w:rsidR="00B217E0">
        <w:t> </w:t>
      </w:r>
      <w:r w:rsidRPr="00997855">
        <w:t>(e)</w:t>
      </w:r>
      <w:r w:rsidRPr="00997855" w:rsidR="003D5364">
        <w:t>;</w:t>
      </w:r>
      <w:r>
        <w:rPr>
          <w:rStyle w:val="FootnoteReference"/>
        </w:rPr>
        <w:footnoteReference w:id="10"/>
      </w:r>
      <w:r w:rsidRPr="00997855" w:rsidR="003D5364">
        <w:t xml:space="preserve"> see also </w:t>
      </w:r>
      <w:r w:rsidRPr="00997855" w:rsidR="009964E6">
        <w:t>rule 5.481(a)(4)</w:t>
      </w:r>
      <w:r w:rsidRPr="00997855">
        <w:t>.)</w:t>
      </w:r>
      <w:r w:rsidRPr="00997855" w:rsidR="002F502A">
        <w:t xml:space="preserve"> </w:t>
      </w:r>
      <w:r w:rsidRPr="00997855">
        <w:t xml:space="preserve"> The required further inquiry includes (1)</w:t>
      </w:r>
      <w:r w:rsidRPr="00997855" w:rsidR="00B217E0">
        <w:t> </w:t>
      </w:r>
      <w:r w:rsidRPr="00997855">
        <w:t>interviewing the parents and extended family members; (2)</w:t>
      </w:r>
      <w:r w:rsidRPr="00997855" w:rsidR="00B217E0">
        <w:t> </w:t>
      </w:r>
      <w:r w:rsidRPr="00997855">
        <w:t>contacting</w:t>
      </w:r>
      <w:r w:rsidR="00763F9D">
        <w:t xml:space="preserve"> the</w:t>
      </w:r>
      <w:r w:rsidRPr="00997855">
        <w:t xml:space="preserve"> </w:t>
      </w:r>
      <w:r w:rsidRPr="00997855" w:rsidR="00E813A7">
        <w:t>B</w:t>
      </w:r>
      <w:r w:rsidR="00763F9D">
        <w:t xml:space="preserve">ureau of </w:t>
      </w:r>
      <w:r w:rsidRPr="00997855" w:rsidR="00E813A7">
        <w:t>I</w:t>
      </w:r>
      <w:r w:rsidR="00763F9D">
        <w:t xml:space="preserve">ndian </w:t>
      </w:r>
      <w:r w:rsidRPr="00997855" w:rsidR="00E813A7">
        <w:t>A</w:t>
      </w:r>
      <w:r w:rsidR="00763F9D">
        <w:t>ffairs (BIA)</w:t>
      </w:r>
      <w:r w:rsidRPr="00997855">
        <w:t xml:space="preserve"> and State Department of Social Services; and (3)</w:t>
      </w:r>
      <w:r w:rsidRPr="00997855" w:rsidR="00B217E0">
        <w:t> </w:t>
      </w:r>
      <w:r w:rsidRPr="00997855">
        <w:t>contacting tribes the child may be affiliated with and anyone else that might have information regarding the child</w:t>
      </w:r>
      <w:r w:rsidRPr="00997855" w:rsidR="009964E6">
        <w:t>’</w:t>
      </w:r>
      <w:r w:rsidRPr="00997855">
        <w:t>s membership or eligibility in a tribe.</w:t>
      </w:r>
      <w:r w:rsidRPr="00997855" w:rsidR="00605BE2">
        <w:t xml:space="preserve"> </w:t>
      </w:r>
      <w:r w:rsidRPr="00997855">
        <w:t xml:space="preserve"> </w:t>
      </w:r>
      <w:r w:rsidRPr="00997855" w:rsidR="001B5F68">
        <w:t>(§</w:t>
      </w:r>
      <w:r w:rsidRPr="00997855" w:rsidR="00B217E0">
        <w:t> </w:t>
      </w:r>
      <w:r w:rsidRPr="00997855" w:rsidR="001B5F68">
        <w:t>224.2, subd.</w:t>
      </w:r>
      <w:r w:rsidRPr="00997855" w:rsidR="00B217E0">
        <w:t> </w:t>
      </w:r>
      <w:r w:rsidRPr="00997855" w:rsidR="001B5F68">
        <w:t>(e)(2)(</w:t>
      </w:r>
      <w:r w:rsidRPr="00997855" w:rsidR="001A7909">
        <w:t>A</w:t>
      </w:r>
      <w:r w:rsidRPr="00997855" w:rsidR="001B5F68">
        <w:t>)–(</w:t>
      </w:r>
      <w:r w:rsidRPr="00997855" w:rsidR="001A7909">
        <w:t>C</w:t>
      </w:r>
      <w:r w:rsidRPr="00997855" w:rsidR="001B5F68">
        <w:t xml:space="preserve">).)  </w:t>
      </w:r>
      <w:r w:rsidRPr="00997855">
        <w:t>At this stage, contact with a tribe “shall, at a minimum, include telephone, facsimile, or electronic mail contact to each tribe</w:t>
      </w:r>
      <w:r w:rsidRPr="00997855" w:rsidR="009964E6">
        <w:t>’</w:t>
      </w:r>
      <w:r w:rsidRPr="00997855">
        <w:t xml:space="preserve">s designated agent for receipt of </w:t>
      </w:r>
      <w:r w:rsidR="007B4059">
        <w:t>[</w:t>
      </w:r>
      <w:r w:rsidRPr="00997855">
        <w:t>ICWA</w:t>
      </w:r>
      <w:r w:rsidR="007B4059">
        <w:t>]</w:t>
      </w:r>
      <w:r w:rsidRPr="00997855">
        <w:t xml:space="preserve"> notice</w:t>
      </w:r>
      <w:r w:rsidR="007B4059">
        <w:t>s</w:t>
      </w:r>
      <w:r w:rsidRPr="00997855">
        <w:t>,</w:t>
      </w:r>
      <w:r w:rsidR="007B4059">
        <w:t>”</w:t>
      </w:r>
      <w:r w:rsidRPr="00997855">
        <w:t xml:space="preserve"> and “sharing information identified by the tribe as necessary for the tribe to make a membership or eligibility determination, as well as information on the current status of the child and the case.” </w:t>
      </w:r>
      <w:r w:rsidRPr="00997855" w:rsidR="00605BE2">
        <w:t xml:space="preserve"> </w:t>
      </w:r>
      <w:r w:rsidRPr="00997855">
        <w:t>(</w:t>
      </w:r>
      <w:r w:rsidR="007C4D86">
        <w:rPr>
          <w:i/>
          <w:iCs/>
        </w:rPr>
        <w:t>Id.</w:t>
      </w:r>
      <w:r w:rsidRPr="00997855">
        <w:t>, subd.</w:t>
      </w:r>
      <w:r w:rsidRPr="00997855" w:rsidR="00B217E0">
        <w:t> </w:t>
      </w:r>
      <w:r w:rsidRPr="00997855">
        <w:t>(e)(</w:t>
      </w:r>
      <w:r w:rsidRPr="00997855" w:rsidR="001B37CF">
        <w:t>2</w:t>
      </w:r>
      <w:r w:rsidRPr="00997855">
        <w:t>)</w:t>
      </w:r>
      <w:r w:rsidRPr="00997855" w:rsidR="0069418B">
        <w:t>(</w:t>
      </w:r>
      <w:r w:rsidRPr="00997855" w:rsidR="00C2111C">
        <w:t>C</w:t>
      </w:r>
      <w:r w:rsidRPr="00997855" w:rsidR="0069418B">
        <w:t>)</w:t>
      </w:r>
      <w:r w:rsidRPr="00997855">
        <w:t>.)</w:t>
      </w:r>
    </w:p>
    <w:p w:rsidR="00E91CAE" w:rsidRPr="00997855" w:rsidP="00997855" w14:paraId="228EBB5B" w14:textId="0A62DB36">
      <w:pPr>
        <w:pStyle w:val="NormalIndent"/>
        <w:ind w:left="0" w:firstLine="720"/>
      </w:pPr>
      <w:r w:rsidRPr="00997855">
        <w:t>The sharing of information with tribes at this inquiry stage is distinct from formal ICWA notice, which requires a “reason to know”</w:t>
      </w:r>
      <w:r w:rsidRPr="00997855" w:rsidR="00E12F8F">
        <w:t> </w:t>
      </w:r>
      <w:r w:rsidRPr="00997855">
        <w:t>—</w:t>
      </w:r>
      <w:r w:rsidRPr="00997855" w:rsidR="003C32E7">
        <w:t xml:space="preserve"> </w:t>
      </w:r>
      <w:r w:rsidRPr="00997855">
        <w:t>rather than a “reason to believe”</w:t>
      </w:r>
      <w:r w:rsidRPr="00997855" w:rsidR="00E12F8F">
        <w:t> </w:t>
      </w:r>
      <w:r w:rsidRPr="00997855">
        <w:t>—</w:t>
      </w:r>
      <w:r w:rsidRPr="00997855" w:rsidR="003C32E7">
        <w:t xml:space="preserve"> </w:t>
      </w:r>
      <w:r w:rsidRPr="00997855">
        <w:t>that the child is an Indian child</w:t>
      </w:r>
      <w:r w:rsidRPr="00997855" w:rsidR="00512A56">
        <w:t xml:space="preserve">. </w:t>
      </w:r>
      <w:r w:rsidRPr="00997855">
        <w:t xml:space="preserve"> </w:t>
      </w:r>
      <w:r w:rsidRPr="00997855" w:rsidR="00512A56">
        <w:t>U</w:t>
      </w:r>
      <w:r w:rsidRPr="00997855">
        <w:t>nlike the term “reason to believe,” a “reason to know” exists under any of the following circumstances:</w:t>
      </w:r>
      <w:r w:rsidR="006201C2">
        <w:t xml:space="preserve"> </w:t>
      </w:r>
      <w:r w:rsidRPr="00997855">
        <w:t xml:space="preserve"> “(1)</w:t>
      </w:r>
      <w:r w:rsidRPr="00997855" w:rsidR="00E12F8F">
        <w:t> </w:t>
      </w:r>
      <w:r w:rsidRPr="00997855">
        <w:t>A person having an interest in the child, including the child, an officer of the court, a tribe, an Indian organization, a public or private agency, or a member of the child</w:t>
      </w:r>
      <w:r w:rsidRPr="00997855" w:rsidR="00FF459A">
        <w:t>’</w:t>
      </w:r>
      <w:r w:rsidRPr="00997855">
        <w:t>s extended family informs the court that the child is an Indian child[;] [¶] (2)</w:t>
      </w:r>
      <w:r w:rsidRPr="00997855" w:rsidR="00E12F8F">
        <w:t> </w:t>
      </w:r>
      <w:r w:rsidRPr="00997855">
        <w:t>The residence or domicile of the child, the child</w:t>
      </w:r>
      <w:r w:rsidRPr="00997855" w:rsidR="00471E62">
        <w:t>’</w:t>
      </w:r>
      <w:r w:rsidRPr="00997855">
        <w:t xml:space="preserve">s parents, or Indian custodian is on a reservation or in an Alaska Native village[;] </w:t>
      </w:r>
      <w:r w:rsidRPr="00997855" w:rsidR="00FB6C99">
        <w:t xml:space="preserve">[¶] </w:t>
      </w:r>
      <w:r w:rsidRPr="00997855">
        <w:t>(3)</w:t>
      </w:r>
      <w:r w:rsidRPr="00997855" w:rsidR="00E12F8F">
        <w:t> </w:t>
      </w:r>
      <w:r w:rsidRPr="00997855">
        <w:t xml:space="preserve">Any participant in the proceeding, officer of the court, Indian tribe, Indian organization, or agency informs the court that it has discovered information indicating that the child is an Indian child[;] </w:t>
      </w:r>
      <w:r w:rsidRPr="00997855" w:rsidR="00FB6C99">
        <w:t xml:space="preserve">[¶] </w:t>
      </w:r>
      <w:r w:rsidRPr="00997855">
        <w:t>(4)</w:t>
      </w:r>
      <w:r w:rsidRPr="00997855" w:rsidR="00E12F8F">
        <w:t> </w:t>
      </w:r>
      <w:r w:rsidRPr="00997855">
        <w:t xml:space="preserve">The child who is the subject of the proceeding gives the court reason to know [he or she] is an Indian child[;] </w:t>
      </w:r>
      <w:r w:rsidRPr="00997855" w:rsidR="00FB6C99">
        <w:t xml:space="preserve">[¶] </w:t>
      </w:r>
      <w:r w:rsidRPr="00997855">
        <w:t>(5)</w:t>
      </w:r>
      <w:r w:rsidRPr="00997855" w:rsidR="00E12F8F">
        <w:t> </w:t>
      </w:r>
      <w:r w:rsidRPr="00997855">
        <w:t>The court is informed that the child is or has been a ward of a tribal court[; and] [¶] (6)</w:t>
      </w:r>
      <w:r w:rsidRPr="00997855" w:rsidR="00E12F8F">
        <w:t> </w:t>
      </w:r>
      <w:r w:rsidRPr="00997855">
        <w:t xml:space="preserve">The court is informed that either parent or the child possess an identification card indicating membership or citizenship in an Indian tribe.” </w:t>
      </w:r>
      <w:r w:rsidRPr="00997855" w:rsidR="00605BE2">
        <w:t xml:space="preserve"> </w:t>
      </w:r>
      <w:r w:rsidRPr="00997855">
        <w:t>(§</w:t>
      </w:r>
      <w:r w:rsidRPr="00997855" w:rsidR="00E12F8F">
        <w:t> </w:t>
      </w:r>
      <w:r w:rsidRPr="00997855">
        <w:t>224.2, subd.</w:t>
      </w:r>
      <w:r w:rsidRPr="00997855" w:rsidR="00E12F8F">
        <w:t> </w:t>
      </w:r>
      <w:r w:rsidRPr="00997855">
        <w:t>(d).)</w:t>
      </w:r>
    </w:p>
    <w:p w:rsidR="002243FD" w:rsidRPr="00997855" w:rsidP="00997855" w14:paraId="53128AEA" w14:textId="77F2C008">
      <w:pPr>
        <w:pStyle w:val="NormalIndent"/>
        <w:ind w:left="0" w:firstLine="720"/>
      </w:pPr>
      <w:r w:rsidRPr="00997855">
        <w:t>If the inquiry establishes a reason to know an Indian child is involved, notice must be provided to the pertinent tribes.</w:t>
      </w:r>
      <w:r w:rsidR="008F04F2">
        <w:t xml:space="preserve"> </w:t>
      </w:r>
      <w:r w:rsidRPr="00997855" w:rsidR="00471E62">
        <w:t xml:space="preserve"> </w:t>
      </w:r>
      <w:r w:rsidRPr="00997855">
        <w:t>(§</w:t>
      </w:r>
      <w:r w:rsidRPr="00997855" w:rsidR="00E12F8F">
        <w:t> </w:t>
      </w:r>
      <w:r w:rsidRPr="00997855">
        <w:t>224.3, subds.</w:t>
      </w:r>
      <w:r w:rsidRPr="00997855" w:rsidR="00E12F8F">
        <w:t> </w:t>
      </w:r>
      <w:r w:rsidRPr="00997855">
        <w:t>(a), (b)</w:t>
      </w:r>
      <w:r w:rsidRPr="00997855" w:rsidR="00FE5CF4">
        <w:t>; 25</w:t>
      </w:r>
      <w:r w:rsidRPr="00997855" w:rsidR="00E12F8F">
        <w:t> </w:t>
      </w:r>
      <w:r w:rsidRPr="00997855" w:rsidR="00FE5CF4">
        <w:t>U.S.C. §</w:t>
      </w:r>
      <w:r w:rsidRPr="00997855" w:rsidR="00E12F8F">
        <w:t> </w:t>
      </w:r>
      <w:r w:rsidRPr="00997855" w:rsidR="00FE5CF4">
        <w:t>1912(a)</w:t>
      </w:r>
      <w:r w:rsidRPr="00997855">
        <w:t xml:space="preserve">.) </w:t>
      </w:r>
      <w:r w:rsidRPr="00997855" w:rsidR="00471E62">
        <w:t xml:space="preserve"> </w:t>
      </w:r>
      <w:r w:rsidRPr="00997855">
        <w:t>The notice must include enough information for the tribe to “conduct a meaningful review of its records to determine the child</w:t>
      </w:r>
      <w:r w:rsidRPr="00997855" w:rsidR="00404298">
        <w:t>’</w:t>
      </w:r>
      <w:r w:rsidRPr="00997855">
        <w:t>s eligibility for membership” (</w:t>
      </w:r>
      <w:r w:rsidRPr="00997855">
        <w:rPr>
          <w:i/>
          <w:iCs/>
        </w:rPr>
        <w:t>In re Cheyanne F.</w:t>
      </w:r>
      <w:r w:rsidRPr="00997855">
        <w:t xml:space="preserve"> (2008) 164 Cal.App.4th 571, 576), including the identifying information for the child</w:t>
      </w:r>
      <w:r w:rsidRPr="00997855" w:rsidR="00404298">
        <w:t>’</w:t>
      </w:r>
      <w:r w:rsidRPr="00997855">
        <w:t>s biological parents, grandparents, and great-grandparents, to the extent known (</w:t>
      </w:r>
      <w:r w:rsidRPr="00997855" w:rsidR="00FD10EC">
        <w:t xml:space="preserve">§ 224.3, subd. (a)(5)(C); see also </w:t>
      </w:r>
      <w:r w:rsidRPr="00997855">
        <w:rPr>
          <w:i/>
          <w:iCs/>
        </w:rPr>
        <w:t>In re Francisco W.</w:t>
      </w:r>
      <w:r w:rsidRPr="00997855">
        <w:t xml:space="preserve"> (2006) 139 Cal.App.4th 695, 703</w:t>
      </w:r>
      <w:r w:rsidRPr="00997855" w:rsidR="00FD10EC">
        <w:t xml:space="preserve"> (</w:t>
      </w:r>
      <w:r w:rsidRPr="00997855" w:rsidR="00FD10EC">
        <w:rPr>
          <w:i/>
          <w:iCs/>
        </w:rPr>
        <w:t>Francisco W.</w:t>
      </w:r>
      <w:r w:rsidRPr="00997855" w:rsidR="00FD10EC">
        <w:t>)</w:t>
      </w:r>
      <w:r w:rsidRPr="00997855">
        <w:t>)</w:t>
      </w:r>
      <w:r w:rsidR="00CC7199">
        <w:t>.</w:t>
      </w:r>
      <w:r w:rsidRPr="00997855" w:rsidR="00E02DA4">
        <w:t xml:space="preserve">  </w:t>
      </w:r>
      <w:r w:rsidRPr="00997855" w:rsidR="002803F0">
        <w:t>“Notice to Indian tribes is central to effectuating ICWA’s purpose, enabling a tribe to determine whether the child involved in a dependency proceeding is an Indian child and, if so, whether to intervene in, or exercise jurisdiction over, the matter.”  (</w:t>
      </w:r>
      <w:r w:rsidRPr="00997855" w:rsidR="002803F0">
        <w:rPr>
          <w:i/>
          <w:iCs/>
        </w:rPr>
        <w:t>In re T.G.</w:t>
      </w:r>
      <w:r w:rsidRPr="00997855" w:rsidR="002803F0">
        <w:t xml:space="preserve"> (2020) 58 Cal.App.5th 275, 288</w:t>
      </w:r>
      <w:r w:rsidRPr="00997855" w:rsidR="00707500">
        <w:t xml:space="preserve"> (</w:t>
      </w:r>
      <w:r w:rsidRPr="00997855" w:rsidR="00707500">
        <w:rPr>
          <w:i/>
          <w:iCs/>
        </w:rPr>
        <w:t>T.G.</w:t>
      </w:r>
      <w:r w:rsidRPr="00997855" w:rsidR="00707500">
        <w:t>)</w:t>
      </w:r>
      <w:r w:rsidRPr="00997855" w:rsidR="002803F0">
        <w:t>.)</w:t>
      </w:r>
      <w:r w:rsidRPr="00997855">
        <w:t xml:space="preserve">  </w:t>
      </w:r>
      <w:r w:rsidRPr="00997855">
        <w:rPr>
          <w:szCs w:val="26"/>
        </w:rPr>
        <w:t>In addition, once there is reason to know a child is an Indian child, the juvenile court must find ICWA applies and “treat the minor as an Indian child unless and until it determines that ICWA does not apply.”  (</w:t>
      </w:r>
      <w:r w:rsidRPr="00997855">
        <w:rPr>
          <w:i/>
          <w:iCs/>
          <w:szCs w:val="26"/>
        </w:rPr>
        <w:t>In re S.H.</w:t>
      </w:r>
      <w:r w:rsidRPr="00997855">
        <w:rPr>
          <w:szCs w:val="26"/>
        </w:rPr>
        <w:t xml:space="preserve"> (2022) 82 Cal.App.5th 166, 177; see also § 224.2, subd. (i)(1).)</w:t>
      </w:r>
    </w:p>
    <w:p w:rsidR="002A4C8C" w:rsidP="00997855" w14:paraId="4956FD3F" w14:textId="5030F5FB">
      <w:pPr>
        <w:pStyle w:val="NormalIndent"/>
        <w:ind w:left="0" w:firstLine="720"/>
      </w:pPr>
      <w:r w:rsidRPr="00997855">
        <w:t xml:space="preserve">The juvenile court may alternatively make a finding that </w:t>
      </w:r>
      <w:r w:rsidRPr="00997855" w:rsidR="00E02DA4">
        <w:t>an a</w:t>
      </w:r>
      <w:r w:rsidRPr="00997855">
        <w:t>gency</w:t>
      </w:r>
      <w:r w:rsidRPr="00997855" w:rsidR="00AC04C0">
        <w:t>’</w:t>
      </w:r>
      <w:r w:rsidRPr="00997855">
        <w:t>s inquiry and due diligence w</w:t>
      </w:r>
      <w:r w:rsidRPr="00997855" w:rsidR="0070444B">
        <w:t>ere</w:t>
      </w:r>
      <w:r w:rsidRPr="00997855">
        <w:t xml:space="preserve"> “proper and adequate</w:t>
      </w:r>
      <w:r w:rsidRPr="00997855" w:rsidR="00AB20DB">
        <w:t>,</w:t>
      </w:r>
      <w:r w:rsidRPr="00997855">
        <w:t xml:space="preserve">” </w:t>
      </w:r>
      <w:r w:rsidRPr="00997855" w:rsidR="008F353F">
        <w:t xml:space="preserve">and the resulting record provided </w:t>
      </w:r>
      <w:r w:rsidRPr="00997855">
        <w:t>no reason to know the child is an Indian child</w:t>
      </w:r>
      <w:r w:rsidRPr="00997855" w:rsidR="00867302">
        <w:t>, so ICWA does not apply</w:t>
      </w:r>
      <w:r w:rsidRPr="00997855">
        <w:t>.</w:t>
      </w:r>
      <w:r w:rsidRPr="00997855" w:rsidR="00AC04C0">
        <w:t xml:space="preserve"> </w:t>
      </w:r>
      <w:r w:rsidRPr="00997855">
        <w:t xml:space="preserve"> </w:t>
      </w:r>
      <w:r w:rsidRPr="008913CA">
        <w:t>(§</w:t>
      </w:r>
      <w:r w:rsidRPr="008913CA" w:rsidR="005F5E2A">
        <w:t> </w:t>
      </w:r>
      <w:r w:rsidRPr="008913CA">
        <w:t>224.2, subd.</w:t>
      </w:r>
      <w:r w:rsidRPr="008913CA" w:rsidR="005F5E2A">
        <w:t> </w:t>
      </w:r>
      <w:r w:rsidRPr="008913CA">
        <w:t>(i)(2).)</w:t>
      </w:r>
      <w:r w:rsidRPr="00997855">
        <w:t xml:space="preserve"> </w:t>
      </w:r>
      <w:r w:rsidRPr="00997855" w:rsidR="00AC04C0">
        <w:t xml:space="preserve"> </w:t>
      </w:r>
      <w:r w:rsidRPr="00997855">
        <w:t xml:space="preserve">Even if </w:t>
      </w:r>
      <w:r w:rsidRPr="00997855" w:rsidR="0012571E">
        <w:t>a</w:t>
      </w:r>
      <w:r w:rsidRPr="00997855">
        <w:t xml:space="preserve"> court makes this finding,</w:t>
      </w:r>
      <w:r w:rsidRPr="00997855" w:rsidR="0012571E">
        <w:t xml:space="preserve"> </w:t>
      </w:r>
      <w:r w:rsidRPr="00997855" w:rsidR="00E02DA4">
        <w:t xml:space="preserve">an agency </w:t>
      </w:r>
      <w:r w:rsidRPr="00997855">
        <w:t>and the court have a continuing duty under ICWA, and the court “shall reverse its determination if it subsequently receives information providing reason to believe that the child is an Indian child and order the social worker or probation officer to conduct further inquiry</w:t>
      </w:r>
      <w:r w:rsidRPr="00997855" w:rsidR="00B43AE5">
        <w:t xml:space="preserve"> .</w:t>
      </w:r>
      <w:r w:rsidRPr="00997855" w:rsidR="005F5E2A">
        <w:t> </w:t>
      </w:r>
      <w:r w:rsidRPr="00997855" w:rsidR="00B43AE5">
        <w:t>.</w:t>
      </w:r>
      <w:r w:rsidRPr="00997855" w:rsidR="005F5E2A">
        <w:t> </w:t>
      </w:r>
      <w:r w:rsidRPr="00997855" w:rsidR="00B43AE5">
        <w:t>.</w:t>
      </w:r>
      <w:r w:rsidRPr="00997855" w:rsidR="005F5E2A">
        <w:t> </w:t>
      </w:r>
      <w:r w:rsidRPr="00997855">
        <w:t xml:space="preserve">.” </w:t>
      </w:r>
      <w:r w:rsidRPr="00997855" w:rsidR="00AC04C0">
        <w:t xml:space="preserve"> </w:t>
      </w:r>
      <w:r w:rsidRPr="00997855">
        <w:t>(§</w:t>
      </w:r>
      <w:r w:rsidRPr="00997855" w:rsidR="005F5E2A">
        <w:t> </w:t>
      </w:r>
      <w:r w:rsidRPr="00997855">
        <w:t>224.2, subd.</w:t>
      </w:r>
      <w:r w:rsidRPr="00997855" w:rsidR="005F5E2A">
        <w:t> </w:t>
      </w:r>
      <w:r w:rsidRPr="00997855">
        <w:t>(i)(2).)</w:t>
      </w:r>
    </w:p>
    <w:p w:rsidR="002E6161" w:rsidRPr="00997855" w:rsidP="00D65E84" w14:paraId="4AE933AF" w14:textId="425B19B2">
      <w:pPr>
        <w:pStyle w:val="NormalIndent"/>
        <w:tabs>
          <w:tab w:val="left" w:pos="5937"/>
        </w:tabs>
        <w:ind w:left="0" w:firstLine="720"/>
      </w:pPr>
      <w:r>
        <w:t>The juvenile court’s factual finding that ICWA does not apply is</w:t>
      </w:r>
      <w:r w:rsidR="00F33F15">
        <w:t xml:space="preserve"> “subject to reversal based on sufficiency of the evidence</w:t>
      </w:r>
      <w:r>
        <w:t>.</w:t>
      </w:r>
      <w:r w:rsidR="00F33F15">
        <w:t>”</w:t>
      </w:r>
      <w:r>
        <w:t xml:space="preserve">  (</w:t>
      </w:r>
      <w:r w:rsidRPr="00997855" w:rsidR="007547A5">
        <w:t>§ 224.2, subd. (i)(2)</w:t>
      </w:r>
      <w:r>
        <w:rPr>
          <w:i/>
          <w:iCs/>
        </w:rPr>
        <w:t>.</w:t>
      </w:r>
      <w:r>
        <w:t>)</w:t>
      </w:r>
      <w:r w:rsidR="003053F8">
        <w:t xml:space="preserve">  </w:t>
      </w:r>
      <w:r w:rsidR="00591A31">
        <w:t>Some court</w:t>
      </w:r>
      <w:r w:rsidR="00B52974">
        <w:t>s</w:t>
      </w:r>
      <w:r w:rsidR="00265B32">
        <w:t xml:space="preserve"> apply a straightforward substantial evidence test when reviewing the juvenile court’s conclusion that ICWA does not apply</w:t>
      </w:r>
      <w:r w:rsidR="00D31D8F">
        <w:t xml:space="preserve">.  </w:t>
      </w:r>
      <w:r w:rsidR="00AF633B">
        <w:t>(</w:t>
      </w:r>
      <w:r w:rsidRPr="005946B7" w:rsidR="00AF633B">
        <w:rPr>
          <w:i/>
          <w:iCs/>
        </w:rPr>
        <w:t>In</w:t>
      </w:r>
      <w:r w:rsidRPr="000D5A4B" w:rsidR="00AF633B">
        <w:rPr>
          <w:i/>
          <w:iCs/>
        </w:rPr>
        <w:t xml:space="preserve"> re Kenneth D.</w:t>
      </w:r>
      <w:r w:rsidRPr="000D5A4B" w:rsidR="00AF633B">
        <w:t xml:space="preserve"> (</w:t>
      </w:r>
      <w:r w:rsidR="008E50AE">
        <w:t xml:space="preserve">Aug. </w:t>
      </w:r>
      <w:r w:rsidR="00554A96">
        <w:t>__</w:t>
      </w:r>
      <w:r w:rsidR="00E37E34">
        <w:t>_</w:t>
      </w:r>
      <w:r w:rsidR="00554A96">
        <w:t xml:space="preserve">, 2024, </w:t>
      </w:r>
      <w:r w:rsidR="00764392">
        <w:t xml:space="preserve">S276649) </w:t>
      </w:r>
      <w:r w:rsidRPr="000D5A4B" w:rsidR="00AF633B">
        <w:t>__</w:t>
      </w:r>
      <w:r w:rsidR="00E37E34">
        <w:t>_</w:t>
      </w:r>
      <w:r w:rsidRPr="000D5A4B" w:rsidR="00AF633B">
        <w:t xml:space="preserve"> Cal.5th __</w:t>
      </w:r>
      <w:r w:rsidR="00E37E34">
        <w:t>_</w:t>
      </w:r>
      <w:r w:rsidRPr="000D5A4B" w:rsidR="00AF633B">
        <w:t>, __</w:t>
      </w:r>
      <w:r w:rsidR="00E37E34">
        <w:t>_</w:t>
      </w:r>
      <w:r w:rsidRPr="000D5A4B" w:rsidR="00AF633B">
        <w:t xml:space="preserve"> </w:t>
      </w:r>
      <w:r w:rsidR="00CD5608">
        <w:t xml:space="preserve">[p. 12] </w:t>
      </w:r>
      <w:r w:rsidRPr="000D5A4B" w:rsidR="00AF633B">
        <w:t>(</w:t>
      </w:r>
      <w:r w:rsidRPr="000D5A4B" w:rsidR="00AF633B">
        <w:rPr>
          <w:i/>
          <w:iCs/>
        </w:rPr>
        <w:t>Kenneth D.</w:t>
      </w:r>
      <w:r w:rsidRPr="005946B7" w:rsidR="00642EC7">
        <w:t>)</w:t>
      </w:r>
      <w:r w:rsidR="00CD5608">
        <w:t>.</w:t>
      </w:r>
      <w:r w:rsidR="00B12164">
        <w:t>)</w:t>
      </w:r>
      <w:r>
        <w:rPr>
          <w:rStyle w:val="FootnoteReference"/>
        </w:rPr>
        <w:footnoteReference w:id="11"/>
      </w:r>
      <w:r w:rsidR="00642EC7">
        <w:t xml:space="preserve">  </w:t>
      </w:r>
      <w:r w:rsidR="00921808">
        <w:t>“</w:t>
      </w:r>
      <w:r w:rsidRPr="00C2699D" w:rsidR="00C2699D">
        <w:t xml:space="preserve">By contrast, other courts have applied </w:t>
      </w:r>
      <w:r w:rsidR="00C2699D">
        <w:t>‘</w:t>
      </w:r>
      <w:r w:rsidRPr="00C2699D" w:rsidR="00C2699D">
        <w:t xml:space="preserve">a hybrid substantial evidence/abuse of discretion standard, reviewing for substantial evidence whether there is reason to know a child is an Indian child, and for abuse of discretion a juvenile court’s finding that an agency exercised due diligence and conducted a </w:t>
      </w:r>
      <w:r w:rsidR="00B178FE">
        <w:t>“</w:t>
      </w:r>
      <w:r w:rsidRPr="00C2699D" w:rsidR="00C2699D">
        <w:t>proper and adequate</w:t>
      </w:r>
      <w:r w:rsidR="00B178FE">
        <w:t>”</w:t>
      </w:r>
      <w:r w:rsidRPr="00C2699D" w:rsidR="00C2699D">
        <w:t xml:space="preserve"> ICWA inquiry.</w:t>
      </w:r>
      <w:r w:rsidR="00C2699D">
        <w:t>’ </w:t>
      </w:r>
      <w:r w:rsidRPr="00C2699D" w:rsidR="00C2699D">
        <w:t>”</w:t>
      </w:r>
      <w:r w:rsidR="002550C4">
        <w:t xml:space="preserve">  </w:t>
      </w:r>
      <w:r w:rsidR="00642EC7">
        <w:t>(</w:t>
      </w:r>
      <w:r w:rsidR="00642EC7">
        <w:rPr>
          <w:i/>
          <w:iCs/>
        </w:rPr>
        <w:t>Ibid</w:t>
      </w:r>
      <w:r w:rsidR="00642EC7">
        <w:t>.)</w:t>
      </w:r>
      <w:r w:rsidR="002550C4">
        <w:t xml:space="preserve">  </w:t>
      </w:r>
      <w:r w:rsidRPr="002550C4" w:rsidR="002550C4">
        <w:t xml:space="preserve">As it is undisputed that the </w:t>
      </w:r>
      <w:r w:rsidRPr="00D03509" w:rsidR="007D6733">
        <w:t>Cal-</w:t>
      </w:r>
      <w:r w:rsidRPr="00D03509" w:rsidR="002550C4">
        <w:t>ICWA</w:t>
      </w:r>
      <w:r w:rsidRPr="002550C4" w:rsidR="002550C4">
        <w:t xml:space="preserve"> inquiry in this case </w:t>
      </w:r>
      <w:r w:rsidR="002550C4">
        <w:t>wa</w:t>
      </w:r>
      <w:r w:rsidRPr="002550C4" w:rsidR="002550C4">
        <w:t>s inadequate, we need not decide what standard of review applies to the</w:t>
      </w:r>
      <w:r w:rsidR="00A54977">
        <w:t>se</w:t>
      </w:r>
      <w:r w:rsidRPr="002550C4" w:rsidR="002550C4">
        <w:t xml:space="preserve"> findings.</w:t>
      </w:r>
      <w:r w:rsidR="00642EC7">
        <w:t xml:space="preserve">  </w:t>
      </w:r>
    </w:p>
    <w:p w:rsidR="006D02A7" w:rsidRPr="00997855" w:rsidP="00736550" w14:paraId="3CF76D91" w14:textId="09B1BC0B">
      <w:pPr>
        <w:pStyle w:val="Heading2"/>
        <w:numPr>
          <w:ilvl w:val="0"/>
          <w:numId w:val="9"/>
        </w:numPr>
        <w:ind w:left="1152" w:hanging="432"/>
      </w:pPr>
      <w:r w:rsidRPr="00997855">
        <w:t xml:space="preserve">The Conflict in the Courts of Appeal Regarding the </w:t>
      </w:r>
      <w:r w:rsidRPr="00997855" w:rsidR="00302DE7">
        <w:t>Standard for Prejudice</w:t>
      </w:r>
    </w:p>
    <w:p w:rsidR="00344F73" w:rsidRPr="00997855" w:rsidP="00997855" w14:paraId="3DDB5779" w14:textId="4135B6A0">
      <w:pPr>
        <w:ind w:firstLine="720"/>
      </w:pPr>
      <w:r w:rsidRPr="00997855">
        <w:t xml:space="preserve">Against this </w:t>
      </w:r>
      <w:r w:rsidRPr="00997855" w:rsidR="006F1D8A">
        <w:t xml:space="preserve">legal </w:t>
      </w:r>
      <w:r w:rsidRPr="00997855">
        <w:t xml:space="preserve">backdrop, California courts have confronted the </w:t>
      </w:r>
      <w:r w:rsidRPr="00997855" w:rsidR="004D1F16">
        <w:t xml:space="preserve">standard for </w:t>
      </w:r>
      <w:r w:rsidRPr="00033826" w:rsidR="004D1F16">
        <w:t xml:space="preserve">whether an error in conducting the </w:t>
      </w:r>
      <w:r w:rsidRPr="0012757A" w:rsidR="001063CC">
        <w:t>Cal-</w:t>
      </w:r>
      <w:r w:rsidRPr="00033826" w:rsidR="004D1F16">
        <w:t>ICWA inquiry</w:t>
      </w:r>
      <w:r w:rsidRPr="00997855" w:rsidR="004D1F16">
        <w:t xml:space="preserve"> is </w:t>
      </w:r>
      <w:r w:rsidRPr="00997855" w:rsidR="00766650">
        <w:t>prejudicial</w:t>
      </w:r>
      <w:r w:rsidRPr="00997855" w:rsidR="00877176">
        <w:t>.</w:t>
      </w:r>
      <w:r w:rsidRPr="00997855" w:rsidR="00CE2427">
        <w:t xml:space="preserve">  </w:t>
      </w:r>
      <w:r w:rsidRPr="00997855" w:rsidR="00783ADD">
        <w:t>F</w:t>
      </w:r>
      <w:r w:rsidRPr="00997855" w:rsidR="00234BE5">
        <w:t xml:space="preserve">ive </w:t>
      </w:r>
      <w:r w:rsidRPr="00997855" w:rsidR="00CE2427">
        <w:t xml:space="preserve">rules have developed </w:t>
      </w:r>
      <w:r w:rsidRPr="00997855" w:rsidR="001116A1">
        <w:t>with respect to this issue.</w:t>
      </w:r>
      <w:r w:rsidRPr="00997855" w:rsidR="0073240D">
        <w:t xml:space="preserve">  </w:t>
      </w:r>
      <w:r w:rsidRPr="00997855" w:rsidR="00DD49BC">
        <w:t xml:space="preserve">At the strictest end of the conceptual spectrum for assessing prejudicial error is the presumptive affirmance rule.  Under this rule, error in the initial </w:t>
      </w:r>
      <w:r w:rsidR="00A11329">
        <w:t>Cal-</w:t>
      </w:r>
      <w:r w:rsidRPr="00997855" w:rsidR="00DD49BC">
        <w:t>ICWA inquiry is harmless unless a parent can demonstrate on appeal that further inquiry would lead to a different outcome.  (See</w:t>
      </w:r>
      <w:r w:rsidRPr="00997855" w:rsidR="00E92298">
        <w:t>, e.g.,</w:t>
      </w:r>
      <w:r w:rsidRPr="00997855" w:rsidR="00DD49BC">
        <w:rPr>
          <w:i/>
          <w:iCs/>
        </w:rPr>
        <w:t xml:space="preserve"> In re A.C.</w:t>
      </w:r>
      <w:r w:rsidRPr="00997855" w:rsidR="00DD49BC">
        <w:t xml:space="preserve"> (2021) 65 Cal.App.5th 1060, 1069 [“</w:t>
      </w:r>
      <w:r w:rsidRPr="00997855" w:rsidR="008205A3">
        <w:t> </w:t>
      </w:r>
      <w:r w:rsidRPr="00997855" w:rsidR="00DD49BC">
        <w:t>‘Where the record below fails to demonstrate and the parents have made no offer of proof or other affirmative assertion of Indian heritage on appeal, a miscarriage of justice has not been established and reversal is not required’</w:t>
      </w:r>
      <w:r w:rsidRPr="00997855" w:rsidR="002E3456">
        <w:t> </w:t>
      </w:r>
      <w:r w:rsidRPr="00997855" w:rsidR="00DD49BC">
        <w:t>”]</w:t>
      </w:r>
      <w:r w:rsidRPr="00997855" w:rsidR="00404EF6">
        <w:t>.)</w:t>
      </w:r>
    </w:p>
    <w:p w:rsidR="00640D90" w:rsidRPr="00997855" w:rsidP="00997855" w14:paraId="37B3897F" w14:textId="19E48D87">
      <w:pPr>
        <w:ind w:firstLine="720"/>
      </w:pPr>
      <w:r w:rsidRPr="00997855">
        <w:t>O</w:t>
      </w:r>
      <w:r w:rsidRPr="00997855" w:rsidR="00C37371">
        <w:t xml:space="preserve">n the </w:t>
      </w:r>
      <w:r w:rsidRPr="00997855">
        <w:t xml:space="preserve">opposite </w:t>
      </w:r>
      <w:r w:rsidRPr="00997855" w:rsidR="00C37371">
        <w:t>end of the spectrum,</w:t>
      </w:r>
      <w:r w:rsidRPr="00997855">
        <w:t xml:space="preserve"> </w:t>
      </w:r>
      <w:r w:rsidRPr="00997855" w:rsidR="000F7A00">
        <w:t>a</w:t>
      </w:r>
      <w:r w:rsidRPr="00997855">
        <w:t>nother</w:t>
      </w:r>
      <w:r w:rsidRPr="00997855" w:rsidR="000F7A00">
        <w:t xml:space="preserve"> line of cases holds that reversal is required if a child welfare agency’s initial inquiry is deficient.</w:t>
      </w:r>
      <w:r>
        <w:rPr>
          <w:rStyle w:val="FootnoteReference"/>
        </w:rPr>
        <w:footnoteReference w:id="12"/>
      </w:r>
      <w:r w:rsidRPr="00997855" w:rsidR="000F7A00">
        <w:t xml:space="preserve">  (See</w:t>
      </w:r>
      <w:r w:rsidRPr="00997855" w:rsidR="009626FA">
        <w:t>, e.g.,</w:t>
      </w:r>
      <w:r w:rsidRPr="00997855" w:rsidR="000F7A00">
        <w:t xml:space="preserve"> </w:t>
      </w:r>
      <w:r w:rsidRPr="00997855" w:rsidR="000F7A00">
        <w:rPr>
          <w:i/>
          <w:iCs/>
        </w:rPr>
        <w:t xml:space="preserve">In re Y.W. </w:t>
      </w:r>
      <w:r w:rsidRPr="00997855" w:rsidR="000F7A00">
        <w:t xml:space="preserve">(2021) 70 Cal.App.5th 542, </w:t>
      </w:r>
      <w:r w:rsidRPr="00997855" w:rsidR="009A4179">
        <w:t xml:space="preserve">549, </w:t>
      </w:r>
      <w:r w:rsidRPr="00997855" w:rsidR="000F7A00">
        <w:t>556 (</w:t>
      </w:r>
      <w:r w:rsidRPr="00997855" w:rsidR="000F7A00">
        <w:rPr>
          <w:i/>
          <w:iCs/>
        </w:rPr>
        <w:t>Y.W.</w:t>
      </w:r>
      <w:r w:rsidRPr="00997855" w:rsidR="000F7A00">
        <w:t xml:space="preserve">) [agency’s failure to </w:t>
      </w:r>
      <w:r w:rsidRPr="00997855" w:rsidR="00BB7D40">
        <w:t xml:space="preserve">interview </w:t>
      </w:r>
      <w:r w:rsidRPr="00997855" w:rsidR="000F7A00">
        <w:t xml:space="preserve">mother’s biological parents, where adoptive parents </w:t>
      </w:r>
      <w:r w:rsidR="00DB0664">
        <w:t>knew</w:t>
      </w:r>
      <w:r w:rsidRPr="00997855" w:rsidR="000F7A00">
        <w:t xml:space="preserve"> name of biological father and </w:t>
      </w:r>
      <w:r w:rsidR="005510A1">
        <w:t xml:space="preserve">had </w:t>
      </w:r>
      <w:r w:rsidRPr="00997855" w:rsidR="000F7A00">
        <w:t>contact information for biological aunt, made it impossible to demonstrate prejudice]</w:t>
      </w:r>
      <w:r w:rsidRPr="00997855" w:rsidR="007A78BA">
        <w:t xml:space="preserve">; see also </w:t>
      </w:r>
      <w:r w:rsidRPr="00997855" w:rsidR="0099652B">
        <w:rPr>
          <w:i/>
          <w:iCs/>
        </w:rPr>
        <w:t>In re A.R.</w:t>
      </w:r>
      <w:r w:rsidRPr="00997855" w:rsidR="0099652B">
        <w:t xml:space="preserve"> (2022) 77 Cal.App.5th 197, 207 (</w:t>
      </w:r>
      <w:r w:rsidRPr="00997855" w:rsidR="0099652B">
        <w:rPr>
          <w:i/>
          <w:iCs/>
        </w:rPr>
        <w:t>A.R.</w:t>
      </w:r>
      <w:r w:rsidRPr="00997855" w:rsidR="0099652B">
        <w:t xml:space="preserve">).)  </w:t>
      </w:r>
      <w:r w:rsidRPr="00997855" w:rsidR="009626FA">
        <w:t xml:space="preserve">Third, the court in </w:t>
      </w:r>
      <w:r w:rsidRPr="00997855" w:rsidR="00C04DA9">
        <w:rPr>
          <w:i/>
          <w:iCs/>
        </w:rPr>
        <w:t xml:space="preserve">In re </w:t>
      </w:r>
      <w:r w:rsidRPr="00997855" w:rsidR="00CF2B27">
        <w:rPr>
          <w:i/>
          <w:iCs/>
        </w:rPr>
        <w:t>Benjamin M.</w:t>
      </w:r>
      <w:r w:rsidRPr="00997855" w:rsidR="00C04DA9">
        <w:rPr>
          <w:i/>
          <w:iCs/>
        </w:rPr>
        <w:t xml:space="preserve"> </w:t>
      </w:r>
      <w:r w:rsidRPr="00997855" w:rsidR="00C04DA9">
        <w:t>(2021) 70 Cal.App.5th 735, 744 (</w:t>
      </w:r>
      <w:r w:rsidRPr="00997855" w:rsidR="00C04DA9">
        <w:rPr>
          <w:i/>
          <w:iCs/>
        </w:rPr>
        <w:t>Benjamin M.</w:t>
      </w:r>
      <w:r w:rsidRPr="00997855" w:rsidR="00C04DA9">
        <w:t>)</w:t>
      </w:r>
      <w:r w:rsidRPr="00997855">
        <w:t xml:space="preserve"> </w:t>
      </w:r>
      <w:r w:rsidRPr="00997855" w:rsidR="000244B8">
        <w:t xml:space="preserve">held </w:t>
      </w:r>
      <w:r w:rsidRPr="00B62AB5">
        <w:t xml:space="preserve">that </w:t>
      </w:r>
      <w:r w:rsidRPr="00B62AB5" w:rsidR="009E0D12">
        <w:t xml:space="preserve">a defect in the </w:t>
      </w:r>
      <w:r w:rsidR="00B62AB5">
        <w:t>Cal-</w:t>
      </w:r>
      <w:r w:rsidRPr="00B62AB5" w:rsidR="009E0D12">
        <w:t>ICWA inquiry is harmless</w:t>
      </w:r>
      <w:r w:rsidRPr="00997855" w:rsidR="009E0D12">
        <w:t xml:space="preserve"> unless</w:t>
      </w:r>
      <w:r w:rsidRPr="00997855" w:rsidR="00F73903">
        <w:t xml:space="preserve"> </w:t>
      </w:r>
      <w:r w:rsidRPr="00997855" w:rsidR="00D167D0">
        <w:t>“</w:t>
      </w:r>
      <w:r w:rsidRPr="00997855" w:rsidR="00F73903">
        <w:t>the</w:t>
      </w:r>
      <w:r w:rsidRPr="00997855" w:rsidR="00D167D0">
        <w:t xml:space="preserve"> </w:t>
      </w:r>
      <w:r w:rsidRPr="00997855" w:rsidR="00F73903">
        <w:t xml:space="preserve">record demonstrates that the agency has not only failed in its duty of initial inquiry, but where the record indicates that there was readily obtainable </w:t>
      </w:r>
      <w:r w:rsidRPr="00997855" w:rsidR="00D167D0">
        <w:t>i</w:t>
      </w:r>
      <w:r w:rsidRPr="00997855" w:rsidR="00F73903">
        <w:t>nformation that was likely to bear meaningfully upon whether the child is an Indian child.</w:t>
      </w:r>
      <w:r w:rsidRPr="00997855" w:rsidR="00D167D0">
        <w:t>”</w:t>
      </w:r>
    </w:p>
    <w:p w:rsidR="00D77B66" w:rsidRPr="00997855" w:rsidP="00997855" w14:paraId="09C1D43B" w14:textId="16BA8AEB">
      <w:pPr>
        <w:pStyle w:val="NormalIndent"/>
        <w:ind w:left="0" w:firstLine="720"/>
      </w:pPr>
      <w:r w:rsidRPr="00997855">
        <w:t xml:space="preserve">Subsequently, </w:t>
      </w:r>
      <w:r w:rsidRPr="00997855" w:rsidR="00677212">
        <w:t xml:space="preserve">the Court of Appeal </w:t>
      </w:r>
      <w:r w:rsidRPr="00997855">
        <w:t xml:space="preserve">below </w:t>
      </w:r>
      <w:r w:rsidRPr="00997855" w:rsidR="00425BC6">
        <w:t>laid out</w:t>
      </w:r>
      <w:r w:rsidRPr="00997855" w:rsidR="0091458A">
        <w:t xml:space="preserve"> </w:t>
      </w:r>
      <w:r w:rsidRPr="00997855" w:rsidR="004D51B0">
        <w:t>the “</w:t>
      </w:r>
      <w:r w:rsidRPr="00997855" w:rsidR="00601BBB">
        <w:t> </w:t>
      </w:r>
      <w:r w:rsidRPr="00997855" w:rsidR="004D51B0">
        <w:t xml:space="preserve">‘reason to believe’ rule.”  </w:t>
      </w:r>
      <w:r w:rsidRPr="00997855" w:rsidR="00450EF9">
        <w:t>(</w:t>
      </w:r>
      <w:r w:rsidRPr="00997855" w:rsidR="00450EF9">
        <w:rPr>
          <w:i/>
          <w:iCs/>
        </w:rPr>
        <w:t>Dezi C.</w:t>
      </w:r>
      <w:r w:rsidRPr="00997855" w:rsidR="00450EF9">
        <w:t>,</w:t>
      </w:r>
      <w:r w:rsidRPr="00997855" w:rsidR="00450EF9">
        <w:rPr>
          <w:i/>
          <w:iCs/>
        </w:rPr>
        <w:t xml:space="preserve"> supra</w:t>
      </w:r>
      <w:r w:rsidRPr="00997855" w:rsidR="00450EF9">
        <w:t xml:space="preserve">, </w:t>
      </w:r>
      <w:r w:rsidR="00CB04C2">
        <w:t>79 Cal.App.</w:t>
      </w:r>
      <w:r w:rsidR="00BE7DCE">
        <w:t>5</w:t>
      </w:r>
      <w:r w:rsidRPr="00BE7DCE" w:rsidR="00BE7DCE">
        <w:t>th</w:t>
      </w:r>
      <w:r w:rsidR="00BE7DCE">
        <w:t xml:space="preserve"> </w:t>
      </w:r>
      <w:r w:rsidRPr="00997855" w:rsidR="00450EF9">
        <w:t>at p.</w:t>
      </w:r>
      <w:r w:rsidRPr="00997855" w:rsidR="00393077">
        <w:t> </w:t>
      </w:r>
      <w:r w:rsidRPr="00997855" w:rsidR="00450EF9">
        <w:t xml:space="preserve">779.)  </w:t>
      </w:r>
      <w:r w:rsidRPr="00997855" w:rsidR="00232A97">
        <w:t xml:space="preserve">Under this rule, </w:t>
      </w:r>
      <w:r w:rsidRPr="00997855" w:rsidR="000C365B">
        <w:t>“</w:t>
      </w:r>
      <w:r w:rsidRPr="00997855" w:rsidR="009B544A">
        <w:t>an agency</w:t>
      </w:r>
      <w:r w:rsidRPr="00997855" w:rsidR="00E52F09">
        <w:t>’</w:t>
      </w:r>
      <w:r w:rsidRPr="00997855" w:rsidR="009B544A">
        <w:t>s failure to conduct a proper initial inquiry into a dependent child</w:t>
      </w:r>
      <w:r w:rsidRPr="00997855" w:rsidR="00B752E2">
        <w:t>’</w:t>
      </w:r>
      <w:r w:rsidRPr="00997855" w:rsidR="009B544A">
        <w:t xml:space="preserve">s American Indian heritage is harmless unless the record contains information suggesting a reason to believe that the child may be an </w:t>
      </w:r>
      <w:r w:rsidRPr="00997855" w:rsidR="00B752E2">
        <w:t>‘</w:t>
      </w:r>
      <w:r w:rsidRPr="00997855" w:rsidR="009B544A">
        <w:t>Indian child</w:t>
      </w:r>
      <w:r w:rsidRPr="00997855" w:rsidR="00B752E2">
        <w:t>’</w:t>
      </w:r>
      <w:r w:rsidRPr="00997855" w:rsidR="009B544A">
        <w:t xml:space="preserve"> within the meaning of ICWA, such that the absence of further inquiry was prejudicial to the juvenile court</w:t>
      </w:r>
      <w:r w:rsidRPr="00997855" w:rsidR="00B752E2">
        <w:t>’</w:t>
      </w:r>
      <w:r w:rsidRPr="00997855" w:rsidR="009B544A">
        <w:t>s ICWA finding.”  (</w:t>
      </w:r>
      <w:r w:rsidRPr="00997855" w:rsidR="009B544A">
        <w:rPr>
          <w:i/>
          <w:iCs/>
        </w:rPr>
        <w:t>I</w:t>
      </w:r>
      <w:r w:rsidRPr="00997855" w:rsidR="00B752E2">
        <w:rPr>
          <w:i/>
          <w:iCs/>
        </w:rPr>
        <w:t>bid.</w:t>
      </w:r>
      <w:r w:rsidRPr="00997855">
        <w:t>)</w:t>
      </w:r>
    </w:p>
    <w:p w:rsidR="000717FB" w:rsidRPr="00997855" w:rsidP="00997855" w14:paraId="06442356" w14:textId="53EE7DF6">
      <w:pPr>
        <w:pStyle w:val="NormalIndent"/>
        <w:ind w:left="0" w:firstLine="720"/>
      </w:pPr>
      <w:r w:rsidRPr="00997855">
        <w:t>Last, t</w:t>
      </w:r>
      <w:r w:rsidRPr="00997855" w:rsidR="00295586">
        <w:t xml:space="preserve">he </w:t>
      </w:r>
      <w:r w:rsidRPr="00997855" w:rsidR="00863722">
        <w:rPr>
          <w:i/>
          <w:iCs/>
        </w:rPr>
        <w:t>K.H.</w:t>
      </w:r>
      <w:r w:rsidRPr="00997855" w:rsidR="00D77B66">
        <w:t xml:space="preserve"> </w:t>
      </w:r>
      <w:r w:rsidRPr="00997855" w:rsidR="00863722">
        <w:t>court</w:t>
      </w:r>
      <w:r w:rsidRPr="00997855" w:rsidR="00700898">
        <w:t xml:space="preserve"> </w:t>
      </w:r>
      <w:r w:rsidRPr="00997855" w:rsidR="0008347F">
        <w:t xml:space="preserve">concluded </w:t>
      </w:r>
      <w:r w:rsidRPr="00997855" w:rsidR="00045C4B">
        <w:t xml:space="preserve">prejudice </w:t>
      </w:r>
      <w:r w:rsidRPr="00997855" w:rsidR="0008347F">
        <w:t xml:space="preserve">must be assessed </w:t>
      </w:r>
      <w:r w:rsidRPr="00997855" w:rsidR="00045C4B">
        <w:t xml:space="preserve">from the context of the injury involved, which </w:t>
      </w:r>
      <w:r w:rsidRPr="00997855" w:rsidR="00D32359">
        <w:t>i</w:t>
      </w:r>
      <w:r w:rsidRPr="00997855" w:rsidR="00045C4B">
        <w:t xml:space="preserve">s the </w:t>
      </w:r>
      <w:r w:rsidRPr="00997855" w:rsidR="0008347F">
        <w:t>“failure to gather and record the very information the juvenile court needs to ensure accuracy in determining whether further inquiry or notice is required, and whether ICWA does or does not apply.”  (</w:t>
      </w:r>
      <w:r w:rsidRPr="00997855" w:rsidR="00217162">
        <w:rPr>
          <w:i/>
          <w:iCs/>
        </w:rPr>
        <w:t>K.H.</w:t>
      </w:r>
      <w:r w:rsidRPr="00997855" w:rsidR="00217162">
        <w:t xml:space="preserve">, </w:t>
      </w:r>
      <w:r w:rsidRPr="00997855" w:rsidR="00217162">
        <w:rPr>
          <w:i/>
          <w:iCs/>
        </w:rPr>
        <w:t>supra</w:t>
      </w:r>
      <w:r w:rsidRPr="00997855" w:rsidR="00217162">
        <w:t xml:space="preserve">, 84 Cal.App.5th at </w:t>
      </w:r>
      <w:r w:rsidRPr="00997855" w:rsidR="0008347F">
        <w:t xml:space="preserve">p. 591.)  It noted this injury was not </w:t>
      </w:r>
      <w:r w:rsidRPr="00997855" w:rsidR="00412A1C">
        <w:t>tied to any outcome on the merits</w:t>
      </w:r>
      <w:r w:rsidRPr="00997855" w:rsidR="0008347F">
        <w:t xml:space="preserve"> and</w:t>
      </w:r>
      <w:r w:rsidRPr="00997855" w:rsidR="00412A1C">
        <w:t xml:space="preserve"> </w:t>
      </w:r>
      <w:r w:rsidRPr="00997855" w:rsidR="0008347F">
        <w:t xml:space="preserve">was </w:t>
      </w:r>
      <w:r w:rsidRPr="00997855" w:rsidR="00412A1C">
        <w:t xml:space="preserve">therefore not </w:t>
      </w:r>
      <w:r w:rsidRPr="00997855" w:rsidR="00467899">
        <w:t xml:space="preserve">amenable to the standard </w:t>
      </w:r>
      <w:r w:rsidRPr="00997855" w:rsidR="00C561BD">
        <w:rPr>
          <w:i/>
          <w:iCs/>
        </w:rPr>
        <w:t xml:space="preserve">Watson </w:t>
      </w:r>
      <w:r w:rsidRPr="00997855" w:rsidR="00467899">
        <w:t xml:space="preserve">likelihood-of-success test to assess prejudice.  </w:t>
      </w:r>
      <w:r w:rsidRPr="00997855" w:rsidR="00C561BD">
        <w:t>(</w:t>
      </w:r>
      <w:r w:rsidRPr="00997855" w:rsidR="00C561BD">
        <w:rPr>
          <w:i/>
          <w:iCs/>
        </w:rPr>
        <w:t>Id.</w:t>
      </w:r>
      <w:r w:rsidRPr="00997855" w:rsidR="00C561BD">
        <w:t xml:space="preserve"> at p. 609.)  </w:t>
      </w:r>
      <w:r w:rsidRPr="00997855" w:rsidR="004524B7">
        <w:t>It also held</w:t>
      </w:r>
      <w:r w:rsidRPr="00997855" w:rsidR="007769DD">
        <w:t xml:space="preserve"> that</w:t>
      </w:r>
      <w:r w:rsidRPr="00997855" w:rsidR="004524B7">
        <w:t xml:space="preserve"> </w:t>
      </w:r>
      <w:r w:rsidRPr="00997855" w:rsidR="007769DD">
        <w:t>“where the opportunity to gather the relevant information critical to determining whether the child is or may be an Indian child is lost because there has not been adequate inquiry and due diligence, reversal for correction is generally the only effective safeguard.”  (</w:t>
      </w:r>
      <w:r w:rsidRPr="00997855" w:rsidR="00217162">
        <w:rPr>
          <w:i/>
          <w:iCs/>
        </w:rPr>
        <w:t>Id.</w:t>
      </w:r>
      <w:r w:rsidRPr="00997855" w:rsidR="00217162">
        <w:t xml:space="preserve"> at</w:t>
      </w:r>
      <w:r w:rsidRPr="00997855" w:rsidR="007769DD">
        <w:t xml:space="preserve"> p. 610.</w:t>
      </w:r>
      <w:r w:rsidRPr="00997855">
        <w:t>)</w:t>
      </w:r>
    </w:p>
    <w:p w:rsidR="00022450" w:rsidRPr="00997855" w:rsidP="00997855" w14:paraId="3728B9CC" w14:textId="19D334B9">
      <w:pPr>
        <w:pStyle w:val="Heading2"/>
      </w:pPr>
      <w:r w:rsidRPr="00997855">
        <w:t>D</w:t>
      </w:r>
      <w:r w:rsidRPr="00997855" w:rsidR="00B71979">
        <w:t>.</w:t>
      </w:r>
      <w:r w:rsidRPr="00997855" w:rsidR="00B71979">
        <w:tab/>
      </w:r>
      <w:r w:rsidRPr="00997855" w:rsidR="008227B9">
        <w:t>The Parties’ Positions</w:t>
      </w:r>
      <w:r w:rsidRPr="00997855" w:rsidR="00FA0847">
        <w:t xml:space="preserve"> </w:t>
      </w:r>
    </w:p>
    <w:p w:rsidR="007C43DB" w:rsidRPr="00997855" w:rsidP="00997855" w14:paraId="454F0E62" w14:textId="17444EB7">
      <w:pPr>
        <w:ind w:firstLine="720"/>
      </w:pPr>
      <w:r w:rsidRPr="00997855">
        <w:t xml:space="preserve">Mother </w:t>
      </w:r>
      <w:r w:rsidRPr="00997855" w:rsidR="00A94505">
        <w:t>argues that we should adopt a reversal per se rule</w:t>
      </w:r>
      <w:r w:rsidRPr="00997855" w:rsidR="00863344">
        <w:t>.</w:t>
      </w:r>
      <w:r w:rsidRPr="00997855" w:rsidR="00A94505">
        <w:t xml:space="preserve">  She maintains </w:t>
      </w:r>
      <w:r w:rsidRPr="00997855" w:rsidR="00186DB3">
        <w:t>an inadequate</w:t>
      </w:r>
      <w:r w:rsidRPr="00997855" w:rsidR="00A94505">
        <w:t xml:space="preserve"> </w:t>
      </w:r>
      <w:r w:rsidRPr="00590D46" w:rsidR="00814379">
        <w:t>Cal-</w:t>
      </w:r>
      <w:r w:rsidRPr="00590D46" w:rsidR="00A94505">
        <w:t>ICWA</w:t>
      </w:r>
      <w:r w:rsidRPr="00997855" w:rsidR="00A94505">
        <w:t xml:space="preserve"> inquiry denies tribes the constitutional due process right to notice, and is therefore structural error requiring reversal</w:t>
      </w:r>
      <w:r w:rsidRPr="00997855" w:rsidR="00A0493F">
        <w:t xml:space="preserve"> per</w:t>
      </w:r>
      <w:r w:rsidRPr="00997855" w:rsidR="00FE12E0">
        <w:t xml:space="preserve"> se</w:t>
      </w:r>
      <w:r w:rsidRPr="00997855" w:rsidR="00A94505">
        <w:t>.</w:t>
      </w:r>
      <w:r w:rsidRPr="00997855" w:rsidR="00EC68CC">
        <w:t xml:space="preserve">  </w:t>
      </w:r>
      <w:r w:rsidRPr="00997855">
        <w:t xml:space="preserve">Mother </w:t>
      </w:r>
      <w:r w:rsidRPr="00997855" w:rsidR="00A94505">
        <w:t>also contends that error in conducting the statutorily</w:t>
      </w:r>
      <w:r w:rsidRPr="00997855" w:rsidR="00DC1F68">
        <w:t xml:space="preserve"> </w:t>
      </w:r>
      <w:r w:rsidRPr="00997855" w:rsidR="00A94505">
        <w:t>required inquiry is not amenable to the</w:t>
      </w:r>
      <w:r w:rsidRPr="00997855" w:rsidR="005409A5">
        <w:t xml:space="preserve"> regular</w:t>
      </w:r>
      <w:r w:rsidRPr="00997855" w:rsidR="00A94505">
        <w:t xml:space="preserve"> outcome</w:t>
      </w:r>
      <w:r w:rsidRPr="00997855" w:rsidR="005409A5">
        <w:t>-</w:t>
      </w:r>
      <w:r w:rsidRPr="00997855" w:rsidR="00A94505">
        <w:t>focused likelihood</w:t>
      </w:r>
      <w:r w:rsidRPr="00997855" w:rsidR="00A0493F">
        <w:t>-</w:t>
      </w:r>
      <w:r w:rsidRPr="00997855" w:rsidR="00A94505">
        <w:t>of</w:t>
      </w:r>
      <w:r w:rsidRPr="00997855" w:rsidR="00A0493F">
        <w:t>-</w:t>
      </w:r>
      <w:r w:rsidRPr="00997855" w:rsidR="00A94505">
        <w:t xml:space="preserve">success test laid out in </w:t>
      </w:r>
      <w:r w:rsidRPr="00997855" w:rsidR="00A94505">
        <w:rPr>
          <w:i/>
          <w:iCs/>
        </w:rPr>
        <w:t>Watson</w:t>
      </w:r>
      <w:r w:rsidRPr="00997855" w:rsidR="008C5308">
        <w:t xml:space="preserve">, </w:t>
      </w:r>
      <w:r w:rsidRPr="00997855" w:rsidR="00A94505">
        <w:t>because the prejudice stemming from the erroneous inquiry is the very failure to obtain the information required to determine whether ICWA applies.</w:t>
      </w:r>
      <w:r w:rsidRPr="00997855" w:rsidR="0056489B">
        <w:t xml:space="preserve">  </w:t>
      </w:r>
      <w:r w:rsidRPr="00997855" w:rsidR="00B470DD">
        <w:t xml:space="preserve">Citing to </w:t>
      </w:r>
      <w:r w:rsidRPr="00997855" w:rsidR="00E03C1D">
        <w:rPr>
          <w:i/>
          <w:iCs/>
        </w:rPr>
        <w:t>A.R.</w:t>
      </w:r>
      <w:r w:rsidRPr="00997855" w:rsidR="00E03C1D">
        <w:t xml:space="preserve">, </w:t>
      </w:r>
      <w:r w:rsidRPr="00997855" w:rsidR="00E03C1D">
        <w:rPr>
          <w:i/>
          <w:iCs/>
        </w:rPr>
        <w:t>supra</w:t>
      </w:r>
      <w:r w:rsidRPr="00997855" w:rsidR="00E03C1D">
        <w:t xml:space="preserve">, 77 Cal.App.5th at p. 207, </w:t>
      </w:r>
      <w:r w:rsidRPr="00997855" w:rsidR="007D75FE">
        <w:t xml:space="preserve">mother </w:t>
      </w:r>
      <w:r w:rsidRPr="00997855" w:rsidR="00954009">
        <w:t xml:space="preserve">maintains that because </w:t>
      </w:r>
      <w:r w:rsidRPr="00997855" w:rsidR="00274ED7">
        <w:t>an inadequate inquiry prejudices</w:t>
      </w:r>
      <w:r w:rsidRPr="00997855" w:rsidR="00B30670">
        <w:t xml:space="preserve"> the rights of the parent, tribe, and child</w:t>
      </w:r>
      <w:r w:rsidRPr="00997855" w:rsidR="00A86F92">
        <w:t xml:space="preserve">, </w:t>
      </w:r>
      <w:r w:rsidRPr="00997855" w:rsidR="00A94505">
        <w:t>“[r]eversal per se is the only effective safeguard of the rights ICWA was designed to protect.”</w:t>
      </w:r>
    </w:p>
    <w:p w:rsidR="00A94505" w:rsidRPr="00997855" w:rsidP="00997855" w14:paraId="416BB8F7" w14:textId="5BE9A162">
      <w:pPr>
        <w:ind w:firstLine="720"/>
      </w:pPr>
      <w:r w:rsidRPr="00997855">
        <w:t xml:space="preserve">Mother </w:t>
      </w:r>
      <w:r w:rsidRPr="00997855" w:rsidR="00527A45">
        <w:t xml:space="preserve">alternatively </w:t>
      </w:r>
      <w:r w:rsidRPr="00997855">
        <w:t xml:space="preserve">argues that if we do not adopt a per se reversal standard for prejudice, we </w:t>
      </w:r>
      <w:r w:rsidRPr="00997855" w:rsidR="00527A45">
        <w:t xml:space="preserve">should </w:t>
      </w:r>
      <w:r w:rsidRPr="00997855">
        <w:t>adopt</w:t>
      </w:r>
      <w:r w:rsidR="009C4573">
        <w:t xml:space="preserve"> </w:t>
      </w:r>
      <w:r w:rsidR="0014118C">
        <w:t xml:space="preserve">the </w:t>
      </w:r>
      <w:r w:rsidRPr="001B1A3D" w:rsidR="0082791C">
        <w:rPr>
          <w:i/>
          <w:iCs/>
        </w:rPr>
        <w:t>Benjamin M.</w:t>
      </w:r>
      <w:r w:rsidRPr="001B1A3D" w:rsidR="00011A7A">
        <w:t xml:space="preserve"> rule</w:t>
      </w:r>
      <w:r w:rsidRPr="001B1A3D" w:rsidR="00215BA2">
        <w:t>,</w:t>
      </w:r>
      <w:r w:rsidRPr="001B1A3D" w:rsidR="004C1087">
        <w:t xml:space="preserve"> as elaborated by </w:t>
      </w:r>
      <w:r w:rsidRPr="001B1A3D" w:rsidR="004C1087">
        <w:rPr>
          <w:i/>
          <w:iCs/>
        </w:rPr>
        <w:t>K.H</w:t>
      </w:r>
      <w:r w:rsidR="004C1087">
        <w:rPr>
          <w:i/>
          <w:iCs/>
        </w:rPr>
        <w:t>.</w:t>
      </w:r>
      <w:r w:rsidRPr="00997855" w:rsidR="00015CE9">
        <w:t xml:space="preserve"> </w:t>
      </w:r>
      <w:r w:rsidR="004C1087">
        <w:t xml:space="preserve"> Mother </w:t>
      </w:r>
      <w:r w:rsidR="00C1694E">
        <w:t>notes</w:t>
      </w:r>
      <w:r w:rsidR="004C1087">
        <w:t xml:space="preserve"> both cases </w:t>
      </w:r>
      <w:r w:rsidRPr="00997855" w:rsidR="007F2838">
        <w:t xml:space="preserve">focus on </w:t>
      </w:r>
      <w:r w:rsidRPr="00997855" w:rsidR="00527A45">
        <w:t xml:space="preserve">the </w:t>
      </w:r>
      <w:r w:rsidRPr="00997855" w:rsidR="00414B93">
        <w:t>adequacy of the investigation and what an adequate inquiry might have revealed</w:t>
      </w:r>
      <w:r w:rsidRPr="00997855" w:rsidR="00CD5D8D">
        <w:t>,</w:t>
      </w:r>
      <w:r w:rsidRPr="00997855" w:rsidR="00414B93">
        <w:t xml:space="preserve"> </w:t>
      </w:r>
      <w:r w:rsidRPr="00997855" w:rsidR="00A80F5C">
        <w:t xml:space="preserve">and </w:t>
      </w:r>
      <w:r w:rsidR="00C1694E">
        <w:t xml:space="preserve">both </w:t>
      </w:r>
      <w:r w:rsidRPr="00997855" w:rsidR="00A80F5C">
        <w:t xml:space="preserve">reject </w:t>
      </w:r>
      <w:r w:rsidRPr="00997855" w:rsidR="00A80F5C">
        <w:rPr>
          <w:i/>
          <w:iCs/>
        </w:rPr>
        <w:t>Watson</w:t>
      </w:r>
      <w:r w:rsidRPr="00997855" w:rsidR="00133184">
        <w:t>’s outcome-focused approach</w:t>
      </w:r>
      <w:r w:rsidRPr="00997855" w:rsidR="00CD5D8D">
        <w:rPr>
          <w:i/>
          <w:iCs/>
        </w:rPr>
        <w:t xml:space="preserve"> </w:t>
      </w:r>
      <w:r w:rsidRPr="00997855" w:rsidR="00CD5D8D">
        <w:t>to assessing prejudice.</w:t>
      </w:r>
      <w:r w:rsidRPr="00997855" w:rsidR="00D92BE4">
        <w:t xml:space="preserve">  </w:t>
      </w:r>
      <w:r w:rsidRPr="00997855" w:rsidR="00827795">
        <w:t xml:space="preserve">In </w:t>
      </w:r>
      <w:r w:rsidRPr="00997855">
        <w:t>mother’s</w:t>
      </w:r>
      <w:r w:rsidRPr="00997855" w:rsidR="00827795">
        <w:t xml:space="preserve"> view,</w:t>
      </w:r>
      <w:r w:rsidRPr="00997855" w:rsidR="00725C85">
        <w:t xml:space="preserve"> </w:t>
      </w:r>
      <w:r w:rsidRPr="00997855" w:rsidR="007C43DB">
        <w:t>“this test would require reversal in every case in which either (1)</w:t>
      </w:r>
      <w:r w:rsidRPr="00997855" w:rsidR="00B655A8">
        <w:t> </w:t>
      </w:r>
      <w:r w:rsidRPr="00997855" w:rsidR="007C43DB">
        <w:t>known</w:t>
      </w:r>
      <w:r w:rsidRPr="00997855" w:rsidR="00107C97">
        <w:t>,</w:t>
      </w:r>
      <w:r w:rsidRPr="00997855" w:rsidR="007C43DB">
        <w:t xml:space="preserve"> available relatives were not asked about possible Indian ancestry or (2)</w:t>
      </w:r>
      <w:r w:rsidRPr="00997855" w:rsidR="00B655A8">
        <w:t> </w:t>
      </w:r>
      <w:r w:rsidRPr="00997855" w:rsidR="007C43DB">
        <w:t>the parents were not asked if there were any such relatives who could be asked.”</w:t>
      </w:r>
    </w:p>
    <w:p w:rsidR="00F21092" w:rsidRPr="00997855" w:rsidP="00997855" w14:paraId="293009BB" w14:textId="745BDC5C">
      <w:pPr>
        <w:ind w:firstLine="720"/>
      </w:pPr>
      <w:r w:rsidRPr="00997855">
        <w:t>The Department</w:t>
      </w:r>
      <w:r w:rsidRPr="00997855" w:rsidR="00D7445F">
        <w:t xml:space="preserve"> disagrees that</w:t>
      </w:r>
      <w:r w:rsidRPr="00997855" w:rsidR="009B0BBF">
        <w:t xml:space="preserve"> a</w:t>
      </w:r>
      <w:r w:rsidRPr="00997855" w:rsidR="00D7445F">
        <w:t xml:space="preserve"> </w:t>
      </w:r>
      <w:r w:rsidRPr="00997855" w:rsidR="0022764C">
        <w:t xml:space="preserve">per se reversal </w:t>
      </w:r>
      <w:r w:rsidRPr="00997855" w:rsidR="009B0BBF">
        <w:t>rule or the</w:t>
      </w:r>
      <w:r w:rsidRPr="00997855" w:rsidR="00B26D2F">
        <w:t xml:space="preserve"> </w:t>
      </w:r>
      <w:r w:rsidR="00850BB7">
        <w:rPr>
          <w:i/>
          <w:iCs/>
        </w:rPr>
        <w:t>Benjamin M.</w:t>
      </w:r>
      <w:r w:rsidRPr="00D65E84" w:rsidR="00850BB7">
        <w:t xml:space="preserve"> </w:t>
      </w:r>
      <w:r w:rsidRPr="00997855" w:rsidR="009B0BBF">
        <w:t xml:space="preserve">rule </w:t>
      </w:r>
      <w:r w:rsidRPr="00997855" w:rsidR="005C5088">
        <w:t xml:space="preserve">should apply.  It </w:t>
      </w:r>
      <w:r w:rsidRPr="00997855">
        <w:t>advocates for the reason</w:t>
      </w:r>
      <w:r w:rsidR="005A7735">
        <w:t>-</w:t>
      </w:r>
      <w:r w:rsidRPr="00997855">
        <w:t>to</w:t>
      </w:r>
      <w:r w:rsidR="005A7735">
        <w:t>-</w:t>
      </w:r>
      <w:r w:rsidRPr="00997855">
        <w:t xml:space="preserve">believe rule laid out by the Court of Appeal below.  </w:t>
      </w:r>
      <w:r w:rsidRPr="00997855" w:rsidR="00B93023">
        <w:t xml:space="preserve">It </w:t>
      </w:r>
      <w:r w:rsidRPr="00997855" w:rsidR="00443647">
        <w:t>argues</w:t>
      </w:r>
      <w:r w:rsidRPr="00997855" w:rsidR="00B93023">
        <w:t xml:space="preserve"> that the reason</w:t>
      </w:r>
      <w:r w:rsidRPr="00997855" w:rsidR="00527473">
        <w:t>-</w:t>
      </w:r>
      <w:r w:rsidRPr="00997855" w:rsidR="00B93023">
        <w:t>to</w:t>
      </w:r>
      <w:r w:rsidRPr="00997855" w:rsidR="00527473">
        <w:t>-</w:t>
      </w:r>
      <w:r w:rsidRPr="00997855" w:rsidR="00B93023">
        <w:t xml:space="preserve">believe rule </w:t>
      </w:r>
      <w:r w:rsidRPr="00997855" w:rsidR="009B313B">
        <w:t xml:space="preserve">is consistent with </w:t>
      </w:r>
      <w:r w:rsidRPr="00997855" w:rsidR="005143D6">
        <w:t xml:space="preserve">the California Constitution’s requirement that </w:t>
      </w:r>
      <w:r w:rsidRPr="00997855" w:rsidR="00CD109F">
        <w:t>a judgment not be set aside unless it results in a miscarriage of justice</w:t>
      </w:r>
      <w:r w:rsidRPr="00997855" w:rsidR="00CB6B79">
        <w:t xml:space="preserve"> by </w:t>
      </w:r>
      <w:r w:rsidR="00964DDD">
        <w:t>affecting</w:t>
      </w:r>
      <w:r w:rsidRPr="00997855" w:rsidR="00936398">
        <w:t xml:space="preserve"> the outcome </w:t>
      </w:r>
      <w:r w:rsidRPr="00997855" w:rsidR="00AE05FE">
        <w:t>on the juvenile court’s ICWA finding,</w:t>
      </w:r>
      <w:r w:rsidRPr="00997855" w:rsidR="00995EF6">
        <w:t xml:space="preserve"> and</w:t>
      </w:r>
      <w:r w:rsidRPr="00997855" w:rsidR="00C373B8">
        <w:t xml:space="preserve"> that this rule</w:t>
      </w:r>
      <w:r w:rsidRPr="00997855" w:rsidR="00995EF6">
        <w:t xml:space="preserve"> best reconciles </w:t>
      </w:r>
      <w:r w:rsidRPr="00997855" w:rsidR="00935E2E">
        <w:t>competing policy considerati</w:t>
      </w:r>
      <w:r w:rsidRPr="00997855" w:rsidR="006C2B6B">
        <w:t>o</w:t>
      </w:r>
      <w:r w:rsidRPr="00997855" w:rsidR="00935E2E">
        <w:t xml:space="preserve">ns </w:t>
      </w:r>
      <w:r w:rsidRPr="00997855" w:rsidR="00A53C5A">
        <w:t xml:space="preserve">at play when </w:t>
      </w:r>
      <w:r w:rsidRPr="00F90D35" w:rsidR="00A53C5A">
        <w:t xml:space="preserve">ICWA </w:t>
      </w:r>
      <w:r w:rsidRPr="00F90D35" w:rsidR="00610E1E">
        <w:t xml:space="preserve">inquiry </w:t>
      </w:r>
      <w:r w:rsidRPr="00F90D35" w:rsidR="00D17473">
        <w:t>error</w:t>
      </w:r>
      <w:r w:rsidRPr="00997855" w:rsidR="00D17473">
        <w:t xml:space="preserve"> </w:t>
      </w:r>
      <w:r w:rsidRPr="00997855" w:rsidR="00A53C5A">
        <w:t xml:space="preserve">is </w:t>
      </w:r>
      <w:r w:rsidRPr="00997855" w:rsidR="00055D96">
        <w:t>asserted late in the proceedings</w:t>
      </w:r>
      <w:r w:rsidRPr="00997855" w:rsidR="008A1ECB">
        <w:t>.</w:t>
      </w:r>
    </w:p>
    <w:p w:rsidR="00871466" w:rsidRPr="00997855" w:rsidP="00997855" w14:paraId="2485ECF7" w14:textId="4C0A470B">
      <w:pPr>
        <w:pStyle w:val="Heading2"/>
      </w:pPr>
      <w:r w:rsidRPr="00997855">
        <w:t>E</w:t>
      </w:r>
      <w:r w:rsidRPr="00997855" w:rsidR="00CF0CC1">
        <w:t>.</w:t>
      </w:r>
      <w:r w:rsidRPr="00997855" w:rsidR="00CF0CC1">
        <w:tab/>
      </w:r>
      <w:r w:rsidRPr="00997855" w:rsidR="00B71979">
        <w:t>The Failure to Conduct a</w:t>
      </w:r>
      <w:r w:rsidRPr="00997855" w:rsidR="009A3C74">
        <w:t>n Adequate</w:t>
      </w:r>
      <w:r w:rsidRPr="00997855" w:rsidR="00B71979">
        <w:t xml:space="preserve"> Inquiry </w:t>
      </w:r>
      <w:r w:rsidRPr="00997855" w:rsidR="002816C8">
        <w:t>Requir</w:t>
      </w:r>
      <w:r w:rsidRPr="00997855" w:rsidR="00A75046">
        <w:t>es</w:t>
      </w:r>
      <w:r w:rsidRPr="00997855" w:rsidR="002816C8">
        <w:t xml:space="preserve"> </w:t>
      </w:r>
      <w:r w:rsidRPr="00997855" w:rsidR="0074084C">
        <w:t xml:space="preserve">Conditional </w:t>
      </w:r>
      <w:r w:rsidRPr="00997855" w:rsidR="002816C8">
        <w:t xml:space="preserve">Reversal </w:t>
      </w:r>
      <w:r w:rsidRPr="00997855" w:rsidR="0063003E">
        <w:t xml:space="preserve">and Remand </w:t>
      </w:r>
      <w:r w:rsidR="00FE4A20">
        <w:t>w</w:t>
      </w:r>
      <w:r w:rsidRPr="00997855" w:rsidR="0005656E">
        <w:t xml:space="preserve">ith Directions </w:t>
      </w:r>
      <w:r w:rsidR="008021AD">
        <w:t>T</w:t>
      </w:r>
      <w:r w:rsidRPr="00997855" w:rsidR="00BC74EA">
        <w:t xml:space="preserve">o </w:t>
      </w:r>
      <w:r w:rsidR="003C2F17">
        <w:t xml:space="preserve">Comply with </w:t>
      </w:r>
      <w:r w:rsidRPr="00FE24B3" w:rsidR="003C2F17">
        <w:t>Cal-ICWA</w:t>
      </w:r>
    </w:p>
    <w:p w:rsidR="007E08F0" w:rsidP="00997855" w14:paraId="46597471" w14:textId="7142517B">
      <w:pPr>
        <w:ind w:firstLine="720"/>
      </w:pPr>
      <w:r>
        <w:t xml:space="preserve">We hold </w:t>
      </w:r>
      <w:r w:rsidRPr="00997855" w:rsidR="007B7302">
        <w:t xml:space="preserve">that </w:t>
      </w:r>
      <w:r w:rsidRPr="00997855" w:rsidR="00DB357B">
        <w:t xml:space="preserve">error </w:t>
      </w:r>
      <w:r w:rsidRPr="00997855" w:rsidR="00902CEB">
        <w:t xml:space="preserve">resulting in an inadequate </w:t>
      </w:r>
      <w:r w:rsidRPr="00997855" w:rsidR="00DB357B">
        <w:t xml:space="preserve">initial </w:t>
      </w:r>
      <w:r w:rsidRPr="00F90D35" w:rsidR="006A6FB1">
        <w:t>Cal-</w:t>
      </w:r>
      <w:r w:rsidRPr="00F90D35" w:rsidR="00DB357B">
        <w:t>ICWA</w:t>
      </w:r>
      <w:r w:rsidRPr="00997855" w:rsidR="00DB357B">
        <w:t xml:space="preserve"> inquiry</w:t>
      </w:r>
      <w:r w:rsidRPr="00997855" w:rsidR="00852D9C">
        <w:t xml:space="preserve"> requires conditional reversal </w:t>
      </w:r>
      <w:r w:rsidRPr="00997855" w:rsidR="00D27D30">
        <w:t>with directions</w:t>
      </w:r>
      <w:r w:rsidRPr="00997855" w:rsidR="00165894">
        <w:t xml:space="preserve"> for the </w:t>
      </w:r>
      <w:r w:rsidRPr="00997855" w:rsidR="00344F73">
        <w:t xml:space="preserve">child welfare agency </w:t>
      </w:r>
      <w:r w:rsidRPr="00997855" w:rsidR="003D1420">
        <w:t xml:space="preserve">to </w:t>
      </w:r>
      <w:r w:rsidR="00C12003">
        <w:t xml:space="preserve">comply with the inquiry </w:t>
      </w:r>
      <w:r w:rsidR="0047764B">
        <w:t>requirement of section 224.2</w:t>
      </w:r>
      <w:r w:rsidR="003B6CAD">
        <w:t>,</w:t>
      </w:r>
      <w:r w:rsidR="00E97878">
        <w:t xml:space="preserve"> document its inquiry in comp</w:t>
      </w:r>
      <w:r w:rsidR="003B6CAD">
        <w:t xml:space="preserve">liance with </w:t>
      </w:r>
      <w:r w:rsidRPr="004B7F49" w:rsidR="00E30839">
        <w:t>r</w:t>
      </w:r>
      <w:r w:rsidRPr="004B7F49" w:rsidR="003B6CAD">
        <w:t>ule 5.481(</w:t>
      </w:r>
      <w:r w:rsidRPr="004B7F49" w:rsidR="00D5253A">
        <w:t>a)(5)</w:t>
      </w:r>
      <w:r w:rsidRPr="004B7F49" w:rsidR="00E97878">
        <w:t>,</w:t>
      </w:r>
      <w:r w:rsidR="0047764B">
        <w:t xml:space="preserve"> </w:t>
      </w:r>
      <w:r w:rsidR="00C12003">
        <w:t>and</w:t>
      </w:r>
      <w:r w:rsidR="0047764B">
        <w:t xml:space="preserve"> when necessary</w:t>
      </w:r>
      <w:r w:rsidR="00D5253A">
        <w:t>,</w:t>
      </w:r>
      <w:r w:rsidR="0047764B">
        <w:t xml:space="preserve"> </w:t>
      </w:r>
      <w:r w:rsidR="009A1F99">
        <w:t xml:space="preserve">comply with </w:t>
      </w:r>
      <w:r w:rsidR="0047764B">
        <w:t>the</w:t>
      </w:r>
      <w:r w:rsidR="00C12003">
        <w:t xml:space="preserve"> notice provision of </w:t>
      </w:r>
      <w:r w:rsidRPr="00997855" w:rsidR="00BB1FB3">
        <w:t>section</w:t>
      </w:r>
      <w:r w:rsidR="00C12003">
        <w:t xml:space="preserve"> 224.3</w:t>
      </w:r>
      <w:r w:rsidRPr="00997855" w:rsidR="00082FC0">
        <w:t xml:space="preserve">.  </w:t>
      </w:r>
      <w:r w:rsidRPr="00F90D35" w:rsidR="00105514">
        <w:t xml:space="preserve">When a </w:t>
      </w:r>
      <w:r w:rsidRPr="00F90D35" w:rsidR="008251AE">
        <w:t>Cal-</w:t>
      </w:r>
      <w:r w:rsidRPr="00F90D35" w:rsidR="00105514">
        <w:t>ICWA inquiry is inadequate</w:t>
      </w:r>
      <w:r w:rsidRPr="00997855" w:rsidR="00105514">
        <w:t>, it is impossible to ascertain whether the agency’s error is prejudicial.  (</w:t>
      </w:r>
      <w:r w:rsidRPr="00997855" w:rsidR="00105514">
        <w:rPr>
          <w:i/>
          <w:iCs/>
        </w:rPr>
        <w:t>Y.W.</w:t>
      </w:r>
      <w:r w:rsidRPr="00997855" w:rsidR="00105514">
        <w:t xml:space="preserve">, </w:t>
      </w:r>
      <w:r w:rsidRPr="00997855" w:rsidR="00105514">
        <w:rPr>
          <w:i/>
          <w:iCs/>
        </w:rPr>
        <w:t>supra</w:t>
      </w:r>
      <w:r w:rsidRPr="00997855" w:rsidR="00105514">
        <w:t xml:space="preserve">, 82 Cal.App.5th at p. 556; see also </w:t>
      </w:r>
      <w:r w:rsidRPr="00997855" w:rsidR="00105514">
        <w:rPr>
          <w:i/>
          <w:iCs/>
        </w:rPr>
        <w:t>J.C.</w:t>
      </w:r>
      <w:r w:rsidRPr="00997855" w:rsidR="00105514">
        <w:t xml:space="preserve">, </w:t>
      </w:r>
      <w:r w:rsidRPr="00997855" w:rsidR="00105514">
        <w:rPr>
          <w:i/>
          <w:iCs/>
        </w:rPr>
        <w:t>supra</w:t>
      </w:r>
      <w:r w:rsidRPr="00997855" w:rsidR="00105514">
        <w:t>, 77 Cal.App.5th at p. 80.)  “[U]ntil an agency conducts a proper initial inquiry and makes th</w:t>
      </w:r>
      <w:r w:rsidR="001D1A9B">
        <w:t>at</w:t>
      </w:r>
      <w:r w:rsidRPr="00997855" w:rsidR="00105514">
        <w:t xml:space="preserve"> information known, it is impossible to know what the inquiry might reveal.”  (</w:t>
      </w:r>
      <w:r w:rsidRPr="00997855" w:rsidR="00105514">
        <w:rPr>
          <w:i/>
          <w:iCs/>
        </w:rPr>
        <w:t>K.H.</w:t>
      </w:r>
      <w:r w:rsidRPr="00997855" w:rsidR="00105514">
        <w:t xml:space="preserve">, </w:t>
      </w:r>
      <w:r w:rsidRPr="00997855" w:rsidR="00105514">
        <w:rPr>
          <w:i/>
          <w:iCs/>
        </w:rPr>
        <w:t>supra</w:t>
      </w:r>
      <w:r w:rsidRPr="00997855" w:rsidR="00105514">
        <w:t xml:space="preserve">, 84 Cal.App.5th at p. 617; see also </w:t>
      </w:r>
      <w:r w:rsidRPr="00997855" w:rsidR="00105514">
        <w:rPr>
          <w:i/>
          <w:iCs/>
        </w:rPr>
        <w:t>Benjamin M.</w:t>
      </w:r>
      <w:r w:rsidRPr="00997855" w:rsidR="00105514">
        <w:t xml:space="preserve">, </w:t>
      </w:r>
      <w:r w:rsidRPr="00997855" w:rsidR="00105514">
        <w:rPr>
          <w:i/>
          <w:iCs/>
        </w:rPr>
        <w:t>supra</w:t>
      </w:r>
      <w:r w:rsidRPr="00997855" w:rsidR="00105514">
        <w:t xml:space="preserve">, 70 Cal.App.5th at p. 743 [until agency gathers information and makes it known “we cannot know what information an initial inquiry, properly conducted, might reveal”].)  </w:t>
      </w:r>
    </w:p>
    <w:p w:rsidR="00753AB1" w:rsidRPr="00997855" w:rsidP="00997855" w14:paraId="3E4E6EC8" w14:textId="56A61A37">
      <w:pPr>
        <w:ind w:firstLine="720"/>
      </w:pPr>
      <w:r w:rsidRPr="00997855">
        <w:t>“ ‘</w:t>
      </w:r>
      <w:r w:rsidRPr="00997855" w:rsidR="0061196B">
        <w:t>[W]</w:t>
      </w:r>
      <w:r w:rsidRPr="00997855">
        <w:t>hen the validity of a [judgment] depends solely on an unresolved or improperly resolved factual issue which is distinct from [the judgment], such an issue can be determined at a separate post-judgment hearing and if at such hearing the issue is resolved in favor of the [agency], the [judgment] may stand.’ ”  (</w:t>
      </w:r>
      <w:r w:rsidRPr="00997855">
        <w:rPr>
          <w:i/>
          <w:iCs/>
        </w:rPr>
        <w:t>People v. Moore</w:t>
      </w:r>
      <w:r w:rsidRPr="00997855">
        <w:t xml:space="preserve"> (2006) 39 Cal.4th 168, 176–177; see also </w:t>
      </w:r>
      <w:r w:rsidRPr="00997855">
        <w:rPr>
          <w:i/>
          <w:iCs/>
        </w:rPr>
        <w:t>People v. Minor</w:t>
      </w:r>
      <w:r w:rsidRPr="00997855">
        <w:t xml:space="preserve"> (1980) 104 Cal.App.3d 194, </w:t>
      </w:r>
      <w:r w:rsidRPr="00997855" w:rsidR="004A7F96">
        <w:t>199</w:t>
      </w:r>
      <w:r w:rsidRPr="00997855">
        <w:t xml:space="preserve"> [</w:t>
      </w:r>
      <w:r w:rsidRPr="00997855" w:rsidR="004A7F96">
        <w:t>“when the trial is free of prejudicial error and the appeal prevails on a challenge which establishes only the existence of an unresolved question which may or may not vitiate the judgment, appellate courts have, in several instances, directed the trial court to take evidence, resolve the pending question, and take further proceedings giving effect to the determination thus made”</w:t>
      </w:r>
      <w:r w:rsidRPr="00997855">
        <w:t xml:space="preserve">].) </w:t>
      </w:r>
      <w:r w:rsidRPr="00997855" w:rsidR="002E38D9">
        <w:t xml:space="preserve"> </w:t>
      </w:r>
      <w:r w:rsidRPr="00997855" w:rsidR="007C1F0B">
        <w:t>The</w:t>
      </w:r>
      <w:r w:rsidRPr="00997855" w:rsidR="007B46F1">
        <w:t xml:space="preserve"> limited remand procedure is </w:t>
      </w:r>
      <w:r w:rsidRPr="00997855" w:rsidR="00D152F0">
        <w:t xml:space="preserve">also </w:t>
      </w:r>
      <w:r w:rsidRPr="00997855" w:rsidR="000D1065">
        <w:t>appropriate where</w:t>
      </w:r>
      <w:r w:rsidRPr="00997855" w:rsidR="00820B2C">
        <w:t>, as here,</w:t>
      </w:r>
      <w:r w:rsidRPr="00997855" w:rsidR="000D1065">
        <w:t xml:space="preserve"> the record is insufficient </w:t>
      </w:r>
      <w:r w:rsidRPr="00997855" w:rsidR="00195E93">
        <w:t>to per</w:t>
      </w:r>
      <w:r w:rsidRPr="00997855" w:rsidR="004F7B8E">
        <w:t xml:space="preserve">mit a court to assess prejudice.  </w:t>
      </w:r>
      <w:r w:rsidRPr="00997855" w:rsidR="006B5557">
        <w:t xml:space="preserve">(See, e.g., </w:t>
      </w:r>
      <w:r w:rsidRPr="00997855" w:rsidR="006B5557">
        <w:rPr>
          <w:i/>
          <w:iCs/>
        </w:rPr>
        <w:t xml:space="preserve">People v. </w:t>
      </w:r>
      <w:r w:rsidRPr="00997855" w:rsidR="00BA43A5">
        <w:rPr>
          <w:i/>
          <w:iCs/>
        </w:rPr>
        <w:t xml:space="preserve">Gaines </w:t>
      </w:r>
      <w:r w:rsidRPr="00997855" w:rsidR="00BA43A5">
        <w:t>(2009) 46 Cal.4th 172, 180–181 [</w:t>
      </w:r>
      <w:r w:rsidRPr="00997855" w:rsidR="00F6420C">
        <w:t xml:space="preserve">erroneous denial of </w:t>
      </w:r>
      <w:r w:rsidRPr="00997855" w:rsidR="00D81A59">
        <w:rPr>
          <w:i/>
          <w:iCs/>
        </w:rPr>
        <w:t xml:space="preserve">Pitchess </w:t>
      </w:r>
      <w:r w:rsidRPr="00997855" w:rsidR="00D81A59">
        <w:t xml:space="preserve">motion where trial court failed to review records </w:t>
      </w:r>
      <w:r w:rsidRPr="00997855" w:rsidR="00992342">
        <w:t>requires</w:t>
      </w:r>
      <w:r w:rsidRPr="00997855" w:rsidR="00DD1C24">
        <w:t xml:space="preserve"> </w:t>
      </w:r>
      <w:r w:rsidRPr="00997855" w:rsidR="00717DC0">
        <w:t xml:space="preserve">conditional reversal and </w:t>
      </w:r>
      <w:r w:rsidRPr="00997855" w:rsidR="00D772A3">
        <w:t>remand to trial court with directions to review the documents and to allow defendant to demonstrate prejudice from nondisclosure</w:t>
      </w:r>
      <w:r w:rsidRPr="00997855" w:rsidR="00D81A59">
        <w:t xml:space="preserve"> if documents contain relevant information</w:t>
      </w:r>
      <w:r w:rsidRPr="00997855" w:rsidR="00BA43A5">
        <w:t>]</w:t>
      </w:r>
      <w:r w:rsidRPr="00997855" w:rsidR="009B1309">
        <w:t xml:space="preserve">; see also </w:t>
      </w:r>
      <w:r w:rsidRPr="00997855" w:rsidR="009B1309">
        <w:rPr>
          <w:i/>
          <w:iCs/>
        </w:rPr>
        <w:t xml:space="preserve">People v. Madrigal </w:t>
      </w:r>
      <w:r w:rsidRPr="00997855" w:rsidR="009B1309">
        <w:t>(2023) 93</w:t>
      </w:r>
      <w:r w:rsidRPr="00997855" w:rsidR="00AA634A">
        <w:t> </w:t>
      </w:r>
      <w:r w:rsidRPr="00997855" w:rsidR="009B1309">
        <w:t>Cal.App.5th 219</w:t>
      </w:r>
      <w:r w:rsidRPr="00997855" w:rsidR="00C47F6D">
        <w:t>, 263 [</w:t>
      </w:r>
      <w:r w:rsidRPr="00997855" w:rsidR="00016772">
        <w:t xml:space="preserve">same; </w:t>
      </w:r>
      <w:r w:rsidRPr="00997855" w:rsidR="00B758A0">
        <w:t>“[o]n this record, it is impossible to assess prejudice from the failure to disclose the subpoenaed materials because we do not know what they contain, and the trial court made no record of their contents”</w:t>
      </w:r>
      <w:r w:rsidRPr="00997855" w:rsidR="00C47F6D">
        <w:t>]</w:t>
      </w:r>
      <w:r w:rsidRPr="00997855" w:rsidR="003A61DD">
        <w:t>.)</w:t>
      </w:r>
    </w:p>
    <w:p w:rsidR="00226E1D" w14:paraId="454452B5" w14:textId="26EBE398">
      <w:pPr>
        <w:tabs>
          <w:tab w:val="left" w:pos="1440"/>
        </w:tabs>
        <w:ind w:firstLine="720"/>
      </w:pPr>
      <w:r>
        <w:t>In this case</w:t>
      </w:r>
      <w:r w:rsidRPr="00997855" w:rsidR="00F31492">
        <w:t xml:space="preserve">, </w:t>
      </w:r>
      <w:r w:rsidRPr="00997855" w:rsidR="0054743C">
        <w:t>t</w:t>
      </w:r>
      <w:r w:rsidRPr="00997855" w:rsidR="00F31492">
        <w:t xml:space="preserve">he sole infirmity in the judgment is the failure to conduct an adequate </w:t>
      </w:r>
      <w:r w:rsidRPr="00F90D35" w:rsidR="004F2643">
        <w:t>Cal-</w:t>
      </w:r>
      <w:r w:rsidRPr="00F90D35" w:rsidR="00F31492">
        <w:t>ICWA inquiry</w:t>
      </w:r>
      <w:r w:rsidRPr="00F90D35" w:rsidR="000D12A8">
        <w:t xml:space="preserve">, which renders it impossible to review </w:t>
      </w:r>
      <w:r w:rsidRPr="00F90D35" w:rsidR="008247C5">
        <w:t xml:space="preserve">for prejudice </w:t>
      </w:r>
      <w:r w:rsidRPr="00F90D35" w:rsidR="002D305F">
        <w:t>the trial court’s</w:t>
      </w:r>
      <w:r w:rsidRPr="00F90D35" w:rsidR="00C33654">
        <w:t xml:space="preserve"> </w:t>
      </w:r>
      <w:r w:rsidRPr="00F90D35" w:rsidR="00F31492">
        <w:t>implied finding</w:t>
      </w:r>
      <w:r w:rsidRPr="00F90D35" w:rsidR="00AC5A58">
        <w:t xml:space="preserve"> </w:t>
      </w:r>
      <w:r w:rsidRPr="00F90D35" w:rsidR="00AE3C2C">
        <w:t>that ICWA does not apply</w:t>
      </w:r>
      <w:r w:rsidRPr="0012757A" w:rsidR="00F31492">
        <w:t>.</w:t>
      </w:r>
      <w:r w:rsidRPr="00997855" w:rsidR="00F31492">
        <w:t xml:space="preserve">  </w:t>
      </w:r>
      <w:r w:rsidRPr="00997855" w:rsidR="00FB34D2">
        <w:t>There is no indication of any</w:t>
      </w:r>
      <w:r w:rsidRPr="00997855" w:rsidR="0021103C">
        <w:t xml:space="preserve"> error in the </w:t>
      </w:r>
      <w:r w:rsidRPr="00997855" w:rsidR="00866535">
        <w:t xml:space="preserve">dependency </w:t>
      </w:r>
      <w:r w:rsidRPr="00997855" w:rsidR="0021103C">
        <w:t xml:space="preserve">proceedings </w:t>
      </w:r>
      <w:r w:rsidRPr="00997855" w:rsidR="005F484A">
        <w:t xml:space="preserve">that would justify </w:t>
      </w:r>
      <w:r w:rsidRPr="00997855" w:rsidR="00691B2A">
        <w:t xml:space="preserve">the </w:t>
      </w:r>
      <w:r w:rsidRPr="00997855" w:rsidR="005F484A">
        <w:t>outright reversal of the judgment</w:t>
      </w:r>
      <w:r w:rsidRPr="00997855" w:rsidR="00866535">
        <w:t xml:space="preserve"> terminating parental rights. </w:t>
      </w:r>
      <w:r w:rsidRPr="00997855" w:rsidR="00FB34D2">
        <w:t xml:space="preserve"> </w:t>
      </w:r>
      <w:r w:rsidRPr="00997855" w:rsidR="00704ECE">
        <w:t xml:space="preserve">Thus, </w:t>
      </w:r>
      <w:r w:rsidRPr="00997855" w:rsidR="00DD141E">
        <w:t xml:space="preserve">full reversal of the </w:t>
      </w:r>
      <w:r w:rsidRPr="00997855" w:rsidR="00F244BE">
        <w:t>section 366.26 judgment is not warranted</w:t>
      </w:r>
      <w:r w:rsidR="009E6B1E">
        <w:t>; rather,</w:t>
      </w:r>
      <w:r w:rsidRPr="00997855" w:rsidR="00E4050A">
        <w:t xml:space="preserve"> a conditional reversal in order to comply with </w:t>
      </w:r>
      <w:r w:rsidR="00722B25">
        <w:t>Cal-ICWA</w:t>
      </w:r>
      <w:r w:rsidRPr="00997855" w:rsidR="00E4050A">
        <w:t xml:space="preserve"> is appropriate.  </w:t>
      </w:r>
      <w:r w:rsidRPr="00997855" w:rsidR="00217872">
        <w:t xml:space="preserve">Indeed, conditional reversal appears to be common practice in a number of </w:t>
      </w:r>
      <w:r w:rsidRPr="0012757A" w:rsidR="00217872">
        <w:t xml:space="preserve">cases involving </w:t>
      </w:r>
      <w:r w:rsidR="00BB0E4F">
        <w:t xml:space="preserve">inadequate </w:t>
      </w:r>
      <w:r w:rsidRPr="0012757A" w:rsidR="00217872">
        <w:t>ICWA inquiries</w:t>
      </w:r>
      <w:r w:rsidRPr="00997855" w:rsidR="00217872">
        <w:t>.</w:t>
      </w:r>
      <w:r>
        <w:rPr>
          <w:rStyle w:val="FootnoteReference"/>
        </w:rPr>
        <w:footnoteReference w:id="13"/>
      </w:r>
      <w:r w:rsidRPr="00997855" w:rsidR="00217872">
        <w:t xml:space="preserve">  (See, e.g., </w:t>
      </w:r>
      <w:r w:rsidRPr="00997855" w:rsidR="00217872">
        <w:rPr>
          <w:i/>
          <w:iCs/>
        </w:rPr>
        <w:t xml:space="preserve">In re K.R. </w:t>
      </w:r>
      <w:r w:rsidRPr="00997855" w:rsidR="00217872">
        <w:t>(2018) 20 Cal.App.5th 701, 709–710 (</w:t>
      </w:r>
      <w:r w:rsidRPr="00997855" w:rsidR="00217872">
        <w:rPr>
          <w:i/>
          <w:iCs/>
        </w:rPr>
        <w:t>K.R.</w:t>
      </w:r>
      <w:r w:rsidRPr="00997855" w:rsidR="00217872">
        <w:t>).)</w:t>
      </w:r>
      <w:r w:rsidR="00217872">
        <w:t xml:space="preserve">  </w:t>
      </w:r>
    </w:p>
    <w:p w:rsidR="00BF3438" w:rsidRPr="00997855" w:rsidP="00226E1D" w14:paraId="410B47A5" w14:textId="45B6F5B9">
      <w:pPr>
        <w:tabs>
          <w:tab w:val="left" w:pos="1440"/>
        </w:tabs>
        <w:ind w:firstLine="720"/>
      </w:pPr>
      <w:r w:rsidRPr="00997855">
        <w:t xml:space="preserve">Upon a conditional reversal, the Department </w:t>
      </w:r>
      <w:r w:rsidRPr="00997855" w:rsidR="00D87DF4">
        <w:t xml:space="preserve">will </w:t>
      </w:r>
      <w:r w:rsidRPr="00997855">
        <w:t xml:space="preserve">make additional inquiry </w:t>
      </w:r>
      <w:r w:rsidR="00F2471E">
        <w:t xml:space="preserve">and documentation </w:t>
      </w:r>
      <w:r w:rsidRPr="00997855">
        <w:t xml:space="preserve">efforts consistent with </w:t>
      </w:r>
      <w:r w:rsidR="00574016">
        <w:t xml:space="preserve">its duties </w:t>
      </w:r>
      <w:r w:rsidRPr="00997855">
        <w:t xml:space="preserve">and the court </w:t>
      </w:r>
      <w:r w:rsidRPr="00997855" w:rsidR="00242308">
        <w:t xml:space="preserve">shall </w:t>
      </w:r>
      <w:r w:rsidRPr="00997855">
        <w:t>hold a hearing thereafter to determine whether</w:t>
      </w:r>
      <w:r w:rsidRPr="00997855" w:rsidR="00242308">
        <w:t>, in light of the outcome of the inquiry</w:t>
      </w:r>
      <w:r w:rsidR="00751E47">
        <w:t xml:space="preserve"> a</w:t>
      </w:r>
      <w:r w:rsidR="00E56549">
        <w:t>s documented</w:t>
      </w:r>
      <w:r w:rsidRPr="00997855" w:rsidR="00242308">
        <w:t xml:space="preserve">, </w:t>
      </w:r>
      <w:r w:rsidRPr="00997855">
        <w:t xml:space="preserve">ICWA applies.  </w:t>
      </w:r>
      <w:r w:rsidRPr="00997855" w:rsidR="00FA7EF8">
        <w:t>If</w:t>
      </w:r>
      <w:r w:rsidRPr="00997855" w:rsidR="0036346E">
        <w:t xml:space="preserve"> the juvenile court determines the inquiry is </w:t>
      </w:r>
      <w:r w:rsidR="00D03A46">
        <w:t xml:space="preserve">proper, </w:t>
      </w:r>
      <w:r w:rsidRPr="00997855" w:rsidR="0036346E">
        <w:t>adequate</w:t>
      </w:r>
      <w:r w:rsidR="00D03A46">
        <w:t>, and duly diligent</w:t>
      </w:r>
      <w:r w:rsidRPr="00997855" w:rsidR="0036346E">
        <w:t xml:space="preserve"> and </w:t>
      </w:r>
      <w:r w:rsidR="00C109D2">
        <w:t xml:space="preserve">concludes </w:t>
      </w:r>
      <w:r w:rsidRPr="00997855" w:rsidR="00E21020">
        <w:t xml:space="preserve">that </w:t>
      </w:r>
      <w:r w:rsidRPr="00997855" w:rsidR="0036346E">
        <w:t xml:space="preserve">ICWA does not apply, </w:t>
      </w:r>
      <w:r w:rsidRPr="00766F4B" w:rsidR="0036346E">
        <w:t xml:space="preserve">any </w:t>
      </w:r>
      <w:r w:rsidRPr="00766F4B" w:rsidR="00A14C67">
        <w:t>inquiry error</w:t>
      </w:r>
      <w:r w:rsidRPr="00E97149" w:rsidR="00A14C67">
        <w:t xml:space="preserve"> </w:t>
      </w:r>
      <w:r w:rsidRPr="00E97149" w:rsidR="00166257">
        <w:t xml:space="preserve">is </w:t>
      </w:r>
      <w:r w:rsidRPr="00E97149" w:rsidR="00FB0751">
        <w:t>cured</w:t>
      </w:r>
      <w:r w:rsidR="006D5336">
        <w:t>,</w:t>
      </w:r>
      <w:r w:rsidRPr="00997855" w:rsidR="000D6FEF">
        <w:t xml:space="preserve"> and the judgment would be reinstated</w:t>
      </w:r>
      <w:r w:rsidRPr="00997855" w:rsidR="00A14C67">
        <w:t xml:space="preserve">.  </w:t>
      </w:r>
      <w:r w:rsidRPr="00997855" w:rsidR="00413C03">
        <w:t>(</w:t>
      </w:r>
      <w:r w:rsidRPr="00997855" w:rsidR="00FD10EC">
        <w:t xml:space="preserve">See </w:t>
      </w:r>
      <w:r w:rsidRPr="00997855" w:rsidR="00213897">
        <w:rPr>
          <w:i/>
          <w:iCs/>
        </w:rPr>
        <w:t>Francisco W.</w:t>
      </w:r>
      <w:r w:rsidRPr="00997855" w:rsidR="00FD10EC">
        <w:t xml:space="preserve">, </w:t>
      </w:r>
      <w:r w:rsidRPr="00997855" w:rsidR="00FD10EC">
        <w:rPr>
          <w:i/>
          <w:iCs/>
        </w:rPr>
        <w:t>supra</w:t>
      </w:r>
      <w:r w:rsidRPr="00997855" w:rsidR="00FD10EC">
        <w:t xml:space="preserve">, </w:t>
      </w:r>
      <w:r w:rsidRPr="00997855" w:rsidR="00213897">
        <w:t xml:space="preserve">139 Cal.App.4th </w:t>
      </w:r>
      <w:r w:rsidRPr="00997855" w:rsidR="00FD10EC">
        <w:t>at p.</w:t>
      </w:r>
      <w:r w:rsidRPr="00997855" w:rsidR="00213897">
        <w:t xml:space="preserve"> 70</w:t>
      </w:r>
      <w:r w:rsidRPr="00997855" w:rsidR="00E65425">
        <w:t>5</w:t>
      </w:r>
      <w:r w:rsidRPr="00997855" w:rsidR="00213897">
        <w:t xml:space="preserve"> </w:t>
      </w:r>
      <w:r w:rsidRPr="00997855" w:rsidR="003A508F">
        <w:t>[noting limited</w:t>
      </w:r>
      <w:r w:rsidRPr="00997855" w:rsidR="003C22F5">
        <w:t xml:space="preserve"> reversal allows ICWA error to be cured while affording child protection of juvenile court</w:t>
      </w:r>
      <w:r w:rsidRPr="00997855" w:rsidR="003A508F">
        <w:t>]</w:t>
      </w:r>
      <w:r w:rsidRPr="00997855" w:rsidR="003C22F5">
        <w:t xml:space="preserve">.)  </w:t>
      </w:r>
      <w:r w:rsidRPr="00997855" w:rsidR="005A0B8E">
        <w:t xml:space="preserve">In contrast, if the </w:t>
      </w:r>
      <w:r w:rsidRPr="00997855" w:rsidR="00762539">
        <w:t>inquiry reveals a reason to know the dependent child is an Indian child, the tribe has been notified (see § 224.3, subd. (a)</w:t>
      </w:r>
      <w:r w:rsidR="00AE315F">
        <w:t>;</w:t>
      </w:r>
      <w:r w:rsidRPr="00997855" w:rsidR="00762539">
        <w:t xml:space="preserve"> 19 U.S.C. §</w:t>
      </w:r>
      <w:r w:rsidRPr="00997855" w:rsidR="0079719D">
        <w:t> </w:t>
      </w:r>
      <w:r w:rsidRPr="00997855" w:rsidR="00762539">
        <w:t>1912), and the tribe determines the child is a member or citizen, or eligible for membership or citizenship, of an Indian tribe (see § 224.1, subd</w:t>
      </w:r>
      <w:r w:rsidR="00353F03">
        <w:t>.</w:t>
      </w:r>
      <w:r w:rsidRPr="00997855" w:rsidR="00762539">
        <w:t xml:space="preserve"> (b); 25 U.S.C. §</w:t>
      </w:r>
      <w:r w:rsidRPr="00997855" w:rsidR="0079719D">
        <w:t> </w:t>
      </w:r>
      <w:r w:rsidRPr="00997855" w:rsidR="00762539">
        <w:t>1903(4)), ICWA applies</w:t>
      </w:r>
      <w:r w:rsidR="006D5336">
        <w:t>,</w:t>
      </w:r>
      <w:r w:rsidRPr="00997855" w:rsidR="00762539">
        <w:t xml:space="preserve"> and the judgment must be reversed.</w:t>
      </w:r>
    </w:p>
    <w:p w:rsidR="00686797" w:rsidRPr="00997855" w:rsidP="00997855" w14:paraId="49D9E9FD" w14:textId="2BD1F357">
      <w:pPr>
        <w:ind w:firstLine="720"/>
        <w:rPr>
          <w:highlight w:val="yellow"/>
        </w:rPr>
      </w:pPr>
      <w:r>
        <w:t>We</w:t>
      </w:r>
      <w:r w:rsidRPr="00997855" w:rsidR="00E948FF">
        <w:t xml:space="preserve"> reach this conclusion for several reasons.  First, </w:t>
      </w:r>
      <w:r w:rsidRPr="00997855" w:rsidR="003E0F91">
        <w:t xml:space="preserve">ICWA and </w:t>
      </w:r>
      <w:r w:rsidRPr="00997855" w:rsidR="00E8143B">
        <w:t>Cal-ICWA</w:t>
      </w:r>
      <w:r w:rsidRPr="00997855" w:rsidR="003E0F91">
        <w:t xml:space="preserve"> “</w:t>
      </w:r>
      <w:r w:rsidRPr="00997855" w:rsidR="004920A9">
        <w:t> </w:t>
      </w:r>
      <w:r w:rsidRPr="00997855" w:rsidR="003E0F91">
        <w:t>‘</w:t>
      </w:r>
      <w:r w:rsidRPr="00997855" w:rsidR="004920A9">
        <w:t> </w:t>
      </w:r>
      <w:r w:rsidRPr="00997855" w:rsidR="003E0F91">
        <w:t>“recognize[] that the tribe has an interest in the child which is distinct from but on a parity with the interest of the parents”</w:t>
      </w:r>
      <w:r w:rsidRPr="00997855" w:rsidR="004920A9">
        <w:t> </w:t>
      </w:r>
      <w:r w:rsidRPr="00997855" w:rsidR="003E0F91">
        <w:t>’</w:t>
      </w:r>
      <w:r w:rsidRPr="00997855" w:rsidR="004920A9">
        <w:t> </w:t>
      </w:r>
      <w:r w:rsidRPr="00997855" w:rsidR="003E0F91">
        <w:t>” and other relatives.</w:t>
      </w:r>
      <w:r w:rsidRPr="00997855" w:rsidR="00E03219">
        <w:t xml:space="preserve"> </w:t>
      </w:r>
      <w:r w:rsidRPr="00997855" w:rsidR="003E0F91">
        <w:t xml:space="preserve"> (</w:t>
      </w:r>
      <w:r w:rsidRPr="00997855" w:rsidR="003E0F91">
        <w:rPr>
          <w:i/>
          <w:iCs/>
        </w:rPr>
        <w:t>Isaiah W.</w:t>
      </w:r>
      <w:r w:rsidRPr="00997855" w:rsidR="003E0F91">
        <w:t xml:space="preserve">, </w:t>
      </w:r>
      <w:r w:rsidRPr="00997855" w:rsidR="003E0F91">
        <w:rPr>
          <w:i/>
          <w:iCs/>
        </w:rPr>
        <w:t>supra</w:t>
      </w:r>
      <w:r w:rsidRPr="00997855" w:rsidR="003E0F91">
        <w:t>, 1</w:t>
      </w:r>
      <w:r w:rsidR="00C1795C">
        <w:t> </w:t>
      </w:r>
      <w:r w:rsidRPr="00997855" w:rsidR="003E0F91">
        <w:t>Cal.5th at p. 9</w:t>
      </w:r>
      <w:r w:rsidRPr="00997855" w:rsidR="00051FD6">
        <w:t xml:space="preserve">; see also </w:t>
      </w:r>
      <w:r w:rsidRPr="00997855" w:rsidR="00671CD8">
        <w:rPr>
          <w:i/>
          <w:iCs/>
        </w:rPr>
        <w:t>A.R.</w:t>
      </w:r>
      <w:r w:rsidRPr="00997855" w:rsidR="00671CD8">
        <w:t xml:space="preserve">, </w:t>
      </w:r>
      <w:r w:rsidRPr="00997855" w:rsidR="00671CD8">
        <w:rPr>
          <w:i/>
          <w:iCs/>
        </w:rPr>
        <w:t>supra</w:t>
      </w:r>
      <w:r w:rsidRPr="00997855" w:rsidR="00671CD8">
        <w:t>, 77 Cal.App.5th at p. 204 [</w:t>
      </w:r>
      <w:r w:rsidRPr="00997855" w:rsidR="006F7A7A">
        <w:t>“As these [statutes] make clear, the primary parties protected under ICWA are the Native American tribes, whose right to intervene in an appropriate case will likely never be discovered absent the statutorily required inquiry and notice procedures”</w:t>
      </w:r>
      <w:r w:rsidRPr="00997855" w:rsidR="00671CD8">
        <w:t>]</w:t>
      </w:r>
      <w:r w:rsidRPr="00997855" w:rsidR="003E0F91">
        <w:t>.)</w:t>
      </w:r>
      <w:r w:rsidRPr="00997855" w:rsidR="000A10A7">
        <w:t xml:space="preserve"> </w:t>
      </w:r>
      <w:r w:rsidRPr="00997855" w:rsidR="003E0F91">
        <w:t xml:space="preserve"> That interest </w:t>
      </w:r>
      <w:r w:rsidRPr="00997855" w:rsidR="00EE1412">
        <w:t xml:space="preserve">is compromised and </w:t>
      </w:r>
      <w:r w:rsidRPr="00997855" w:rsidR="003E0F91">
        <w:t>c</w:t>
      </w:r>
      <w:r w:rsidRPr="00997855" w:rsidR="008328FA">
        <w:t>annot be protected</w:t>
      </w:r>
      <w:r w:rsidRPr="00997855" w:rsidR="003E0F91">
        <w:t xml:space="preserve"> </w:t>
      </w:r>
      <w:r w:rsidRPr="00997855" w:rsidR="008328FA">
        <w:t>if</w:t>
      </w:r>
      <w:r w:rsidRPr="00997855" w:rsidR="003E0F91">
        <w:t xml:space="preserve"> the social service agency and the juvenile court fail to perform their inquiry duties.  (</w:t>
      </w:r>
      <w:r w:rsidRPr="00997855" w:rsidR="003368BB">
        <w:t xml:space="preserve">See </w:t>
      </w:r>
      <w:r w:rsidRPr="00997855" w:rsidR="003E0F91">
        <w:rPr>
          <w:i/>
          <w:iCs/>
        </w:rPr>
        <w:t>G.H.</w:t>
      </w:r>
      <w:r w:rsidRPr="00997855" w:rsidR="003E0F91">
        <w:t xml:space="preserve">, </w:t>
      </w:r>
      <w:r w:rsidRPr="00997855" w:rsidR="008C75F6">
        <w:rPr>
          <w:i/>
          <w:iCs/>
        </w:rPr>
        <w:t>supra</w:t>
      </w:r>
      <w:r w:rsidRPr="00997855" w:rsidR="008C75F6">
        <w:t xml:space="preserve">, </w:t>
      </w:r>
      <w:r w:rsidRPr="00997855" w:rsidR="003E0F91">
        <w:t>84 Cal.App.5th at p.</w:t>
      </w:r>
      <w:r w:rsidRPr="00997855" w:rsidR="008C75F6">
        <w:t> </w:t>
      </w:r>
      <w:r w:rsidRPr="00997855" w:rsidR="003E0F91">
        <w:t>31.)</w:t>
      </w:r>
      <w:r w:rsidRPr="00997855" w:rsidR="00E8143B">
        <w:t xml:space="preserve">  </w:t>
      </w:r>
      <w:r w:rsidRPr="00997855" w:rsidR="004D39E2">
        <w:t>A</w:t>
      </w:r>
      <w:r w:rsidRPr="00997855" w:rsidR="00747527">
        <w:t xml:space="preserve"> rule </w:t>
      </w:r>
      <w:r w:rsidRPr="00997855" w:rsidR="00C969E4">
        <w:t xml:space="preserve">requiring </w:t>
      </w:r>
      <w:r w:rsidRPr="00997855" w:rsidR="004D39E2">
        <w:t xml:space="preserve">conditional </w:t>
      </w:r>
      <w:r w:rsidRPr="00997855" w:rsidR="006A1078">
        <w:t>reversal</w:t>
      </w:r>
      <w:r w:rsidRPr="00997855" w:rsidR="004D39E2">
        <w:t xml:space="preserve"> </w:t>
      </w:r>
      <w:r w:rsidRPr="00997855" w:rsidR="00416635">
        <w:t xml:space="preserve">when </w:t>
      </w:r>
      <w:r w:rsidRPr="00997855" w:rsidR="00347BCB">
        <w:t xml:space="preserve">there is </w:t>
      </w:r>
      <w:r w:rsidRPr="00E97149" w:rsidR="00C969E4">
        <w:t xml:space="preserve">error in </w:t>
      </w:r>
      <w:r w:rsidRPr="00E97149" w:rsidR="00416635">
        <w:t xml:space="preserve">an ICWA inquiry </w:t>
      </w:r>
      <w:r w:rsidRPr="00997855" w:rsidR="006A1078">
        <w:t xml:space="preserve">acknowledges that </w:t>
      </w:r>
      <w:r w:rsidRPr="00997855" w:rsidR="00E13835">
        <w:t>the interest at issue</w:t>
      </w:r>
      <w:r w:rsidRPr="00997855" w:rsidR="00E0520A">
        <w:t xml:space="preserve"> belongs to </w:t>
      </w:r>
      <w:r w:rsidRPr="00997855" w:rsidR="00A231EA">
        <w:t xml:space="preserve">tribes </w:t>
      </w:r>
      <w:r w:rsidRPr="00997855" w:rsidR="00C833BC">
        <w:t>who “ha</w:t>
      </w:r>
      <w:r w:rsidRPr="00997855" w:rsidR="00A231EA">
        <w:t>ve</w:t>
      </w:r>
      <w:r w:rsidRPr="00997855" w:rsidR="00C833BC">
        <w:t xml:space="preserve"> no standing to intervene in a dependency case unless Native American ancestry is </w:t>
      </w:r>
      <w:r w:rsidRPr="00997855" w:rsidR="00C833BC">
        <w:rPr>
          <w:i/>
          <w:iCs/>
        </w:rPr>
        <w:t>first</w:t>
      </w:r>
      <w:r w:rsidRPr="00997855" w:rsidR="00C833BC">
        <w:t xml:space="preserve"> uncovered and established, and thus no way of protecting their tribal interests unless child welfare agencies comply with ICWA and then notify the appropriate tribe when the inquiry reveals Native American ancestry.”  </w:t>
      </w:r>
      <w:r w:rsidRPr="00997855" w:rsidR="00901A16">
        <w:t>(</w:t>
      </w:r>
      <w:r w:rsidRPr="00997855" w:rsidR="00901A16">
        <w:rPr>
          <w:i/>
          <w:iCs/>
        </w:rPr>
        <w:t>A.R.</w:t>
      </w:r>
      <w:r w:rsidRPr="00997855" w:rsidR="00901A16">
        <w:t xml:space="preserve">, </w:t>
      </w:r>
      <w:r w:rsidRPr="00997855" w:rsidR="00901A16">
        <w:rPr>
          <w:i/>
          <w:iCs/>
        </w:rPr>
        <w:t>supra</w:t>
      </w:r>
      <w:r w:rsidRPr="00997855" w:rsidR="00901A16">
        <w:t>, 77 Cal.App.5th at pp. 201–202</w:t>
      </w:r>
      <w:r w:rsidRPr="00997855" w:rsidR="008328FA">
        <w:t>, italics added</w:t>
      </w:r>
      <w:r w:rsidRPr="00997855" w:rsidR="00901A16">
        <w:t xml:space="preserve">.)  </w:t>
      </w:r>
      <w:r w:rsidRPr="00997855" w:rsidR="00456174">
        <w:t>Thus, i</w:t>
      </w:r>
      <w:r w:rsidRPr="00997855" w:rsidR="00217C10">
        <w:t xml:space="preserve">n the context of </w:t>
      </w:r>
      <w:r w:rsidRPr="00997855" w:rsidR="00456174">
        <w:t xml:space="preserve">juvenile dependency appeals </w:t>
      </w:r>
      <w:r w:rsidRPr="00151323" w:rsidR="00456174">
        <w:t xml:space="preserve">raising </w:t>
      </w:r>
      <w:r w:rsidRPr="00151323" w:rsidR="00C63BA2">
        <w:t xml:space="preserve">deficiencies in </w:t>
      </w:r>
      <w:r w:rsidRPr="00151323" w:rsidR="00744ECC">
        <w:t xml:space="preserve">the </w:t>
      </w:r>
      <w:r w:rsidRPr="00151323" w:rsidR="00456174">
        <w:t xml:space="preserve">ICWA </w:t>
      </w:r>
      <w:r w:rsidRPr="00151323" w:rsidR="00744ECC">
        <w:t>inquiry</w:t>
      </w:r>
      <w:r w:rsidRPr="00997855" w:rsidR="00456174">
        <w:t xml:space="preserve">, </w:t>
      </w:r>
      <w:r w:rsidRPr="00997855" w:rsidR="006A3F99">
        <w:t xml:space="preserve">an </w:t>
      </w:r>
      <w:r w:rsidRPr="00997855" w:rsidR="002B2D66">
        <w:t xml:space="preserve">appealing parent </w:t>
      </w:r>
      <w:r w:rsidRPr="00997855" w:rsidR="006A3F99">
        <w:t>“is in effect acting as a surrogate for the tribe</w:t>
      </w:r>
      <w:r w:rsidRPr="00997855" w:rsidR="003E0F91">
        <w:t xml:space="preserve"> </w:t>
      </w:r>
      <w:r w:rsidRPr="00997855" w:rsidR="00744ECC">
        <w:t>in raising compliance issues</w:t>
      </w:r>
      <w:r w:rsidRPr="00997855" w:rsidR="00FF528F">
        <w:t xml:space="preserve"> </w:t>
      </w:r>
      <w:r w:rsidRPr="00997855" w:rsidR="004E1965">
        <w:t>.</w:t>
      </w:r>
      <w:r w:rsidR="004E1965">
        <w:t> </w:t>
      </w:r>
      <w:r w:rsidRPr="00997855" w:rsidR="004E1965">
        <w:t>.</w:t>
      </w:r>
      <w:r w:rsidR="004E1965">
        <w:t> </w:t>
      </w:r>
      <w:r w:rsidRPr="00997855" w:rsidR="004E1965">
        <w:t>.</w:t>
      </w:r>
      <w:r w:rsidR="004E1965">
        <w:t> </w:t>
      </w:r>
      <w:r w:rsidRPr="00997855" w:rsidR="003E0F91">
        <w:t>.”  (</w:t>
      </w:r>
      <w:r w:rsidRPr="00997855" w:rsidR="003E0F91">
        <w:rPr>
          <w:i/>
          <w:iCs/>
        </w:rPr>
        <w:t>K.R.</w:t>
      </w:r>
      <w:r w:rsidRPr="00997855" w:rsidR="00AC05DF">
        <w:t xml:space="preserve">, </w:t>
      </w:r>
      <w:r w:rsidRPr="00997855" w:rsidR="00AC05DF">
        <w:rPr>
          <w:i/>
          <w:iCs/>
        </w:rPr>
        <w:t>supra</w:t>
      </w:r>
      <w:r w:rsidRPr="00997855" w:rsidR="00AC05DF">
        <w:t xml:space="preserve">, </w:t>
      </w:r>
      <w:r w:rsidRPr="00997855" w:rsidR="003E0F91">
        <w:t xml:space="preserve">20 Cal.App.5th </w:t>
      </w:r>
      <w:r w:rsidRPr="00997855" w:rsidR="00AC05DF">
        <w:t xml:space="preserve">at p. </w:t>
      </w:r>
      <w:r w:rsidRPr="00997855" w:rsidR="003E0F91">
        <w:t xml:space="preserve">708.)  </w:t>
      </w:r>
      <w:r w:rsidRPr="00997855" w:rsidR="00E46B3C">
        <w:t xml:space="preserve">This is not a conventional scenario in which </w:t>
      </w:r>
      <w:r w:rsidRPr="00997855" w:rsidR="004338BD">
        <w:t xml:space="preserve">the harm from error directly and solely affects the appealing party.  </w:t>
      </w:r>
      <w:r w:rsidR="008B02F4">
        <w:t>C</w:t>
      </w:r>
      <w:r w:rsidRPr="00997855" w:rsidR="000E0093">
        <w:t xml:space="preserve">onditional reversal to allow </w:t>
      </w:r>
      <w:r w:rsidR="008B02F4">
        <w:t xml:space="preserve">inquiry </w:t>
      </w:r>
      <w:r w:rsidRPr="00997855" w:rsidR="000E0093">
        <w:t xml:space="preserve">error to be cured </w:t>
      </w:r>
      <w:r w:rsidRPr="00997855" w:rsidR="0077687F">
        <w:t>best supports the interests of</w:t>
      </w:r>
      <w:r w:rsidRPr="00997855" w:rsidR="001D5BBF">
        <w:t xml:space="preserve"> tribes, which are </w:t>
      </w:r>
      <w:r w:rsidRPr="00997855" w:rsidR="00734B0B">
        <w:t>independently protected by ICWA.</w:t>
      </w:r>
    </w:p>
    <w:p w:rsidR="003003B8" w:rsidRPr="00997855" w:rsidP="00997855" w14:paraId="2357A13A" w14:textId="5CF4E968">
      <w:pPr>
        <w:pStyle w:val="NormalIndent"/>
        <w:ind w:left="0" w:firstLine="720"/>
      </w:pPr>
      <w:r w:rsidRPr="00997855">
        <w:t>Second</w:t>
      </w:r>
      <w:r w:rsidRPr="00997855" w:rsidR="005F4047">
        <w:t xml:space="preserve">, </w:t>
      </w:r>
      <w:r w:rsidRPr="00997855" w:rsidR="008328FA">
        <w:t>this</w:t>
      </w:r>
      <w:r w:rsidRPr="00997855" w:rsidR="00B539B7">
        <w:t xml:space="preserve"> </w:t>
      </w:r>
      <w:r w:rsidRPr="00997855" w:rsidR="008328FA">
        <w:t>approach</w:t>
      </w:r>
      <w:r w:rsidRPr="00997855" w:rsidR="00B539B7">
        <w:t xml:space="preserve"> best comports with </w:t>
      </w:r>
      <w:r w:rsidRPr="00997855" w:rsidR="00D90803">
        <w:t xml:space="preserve">the plain language </w:t>
      </w:r>
      <w:r w:rsidRPr="00997855" w:rsidR="00FC3657">
        <w:t xml:space="preserve">of the inquiry requirements </w:t>
      </w:r>
      <w:r w:rsidRPr="00997855" w:rsidR="00D90803">
        <w:t>of section 224.2</w:t>
      </w:r>
      <w:r w:rsidRPr="00997855" w:rsidR="00D2381E">
        <w:t xml:space="preserve">.  </w:t>
      </w:r>
      <w:r w:rsidRPr="00997855" w:rsidR="00B54966">
        <w:t>As we have seen (</w:t>
      </w:r>
      <w:r w:rsidR="005F2542">
        <w:rPr>
          <w:i/>
          <w:iCs/>
        </w:rPr>
        <w:t>ante</w:t>
      </w:r>
      <w:r w:rsidRPr="00997855" w:rsidR="00B54966">
        <w:t xml:space="preserve">, </w:t>
      </w:r>
      <w:r w:rsidR="005F2542">
        <w:t>pt.</w:t>
      </w:r>
      <w:r w:rsidRPr="00997855" w:rsidR="005F2542">
        <w:t xml:space="preserve"> </w:t>
      </w:r>
      <w:r w:rsidRPr="00997855" w:rsidR="00B54966">
        <w:t>II.</w:t>
      </w:r>
      <w:r w:rsidRPr="00997855" w:rsidR="00237BD9">
        <w:t>B</w:t>
      </w:r>
      <w:r w:rsidRPr="00997855" w:rsidR="00246676">
        <w:t>.2</w:t>
      </w:r>
      <w:r w:rsidRPr="00997855" w:rsidR="00B54966">
        <w:t>),</w:t>
      </w:r>
      <w:r w:rsidRPr="00997855" w:rsidR="00C45D95">
        <w:t xml:space="preserve"> Cal-ICWA </w:t>
      </w:r>
      <w:r w:rsidRPr="00997855" w:rsidR="00B54966">
        <w:t>“broadly imposes on social services agencies and juvenile courts (</w:t>
      </w:r>
      <w:r w:rsidRPr="00997855" w:rsidR="00B54966">
        <w:rPr>
          <w:i/>
          <w:iCs/>
        </w:rPr>
        <w:t>but not parents</w:t>
      </w:r>
      <w:r w:rsidRPr="00997855" w:rsidR="00B54966">
        <w:t>) an ‘affirmative and continuing duty to inquire’ whether a child in the dependency proceeding ‘is or may be an Indian child.’</w:t>
      </w:r>
      <w:r w:rsidRPr="00997855" w:rsidR="00AC05DF">
        <w:t> </w:t>
      </w:r>
      <w:r w:rsidRPr="00997855" w:rsidR="00B54966">
        <w:t>”  (</w:t>
      </w:r>
      <w:r w:rsidRPr="00997855" w:rsidR="00B54966">
        <w:rPr>
          <w:i/>
          <w:iCs/>
        </w:rPr>
        <w:t>Benjamin M.</w:t>
      </w:r>
      <w:r w:rsidRPr="00997855" w:rsidR="00B54966">
        <w:t xml:space="preserve">, </w:t>
      </w:r>
      <w:r w:rsidRPr="00997855" w:rsidR="00B54966">
        <w:rPr>
          <w:i/>
          <w:iCs/>
        </w:rPr>
        <w:t>supra</w:t>
      </w:r>
      <w:r w:rsidRPr="00997855" w:rsidR="00B54966">
        <w:t>, 70</w:t>
      </w:r>
      <w:r w:rsidRPr="00997855" w:rsidR="00600CB1">
        <w:t> </w:t>
      </w:r>
      <w:r w:rsidRPr="00997855" w:rsidR="00B54966">
        <w:t xml:space="preserve">Cal.App.5th at pp. 741–742, italics added, </w:t>
      </w:r>
      <w:r w:rsidR="00D52727">
        <w:t>quoting</w:t>
      </w:r>
      <w:r w:rsidRPr="00997855" w:rsidR="00D52727">
        <w:t xml:space="preserve"> </w:t>
      </w:r>
      <w:r w:rsidRPr="00997855" w:rsidR="00B54966">
        <w:t>§</w:t>
      </w:r>
      <w:r w:rsidRPr="00997855" w:rsidR="00AC05DF">
        <w:t> </w:t>
      </w:r>
      <w:r w:rsidRPr="00997855" w:rsidR="00B54966">
        <w:t>224.2, subd.</w:t>
      </w:r>
      <w:r w:rsidRPr="00997855" w:rsidR="00AC05DF">
        <w:t> </w:t>
      </w:r>
      <w:r w:rsidRPr="00997855" w:rsidR="00B54966">
        <w:t>(a); see also §</w:t>
      </w:r>
      <w:r w:rsidRPr="00997855" w:rsidR="00AC05DF">
        <w:t> </w:t>
      </w:r>
      <w:r w:rsidRPr="00997855" w:rsidR="00B54966">
        <w:t>224.2, subds.</w:t>
      </w:r>
      <w:r w:rsidRPr="00997855" w:rsidR="00AC05DF">
        <w:t> </w:t>
      </w:r>
      <w:r w:rsidRPr="00997855" w:rsidR="00B54966">
        <w:t xml:space="preserve">(b), (c); </w:t>
      </w:r>
      <w:r w:rsidR="00551A9A">
        <w:t>r</w:t>
      </w:r>
      <w:r w:rsidRPr="00997855" w:rsidR="00B54966">
        <w:t xml:space="preserve">ule 5.481(a).)  </w:t>
      </w:r>
      <w:r w:rsidRPr="00997855" w:rsidR="00790644">
        <w:t>“ ‘[T]he burden of coming forward with information to determine whether an Indian child may be involved and ICWA notice required in a dependency proceeding does not rest entirely</w:t>
      </w:r>
      <w:r w:rsidRPr="00997855" w:rsidR="00A53A03">
        <w:t> </w:t>
      </w:r>
      <w:r w:rsidRPr="00997855" w:rsidR="00790644">
        <w:t>—</w:t>
      </w:r>
      <w:r w:rsidRPr="00997855" w:rsidR="00A53A03">
        <w:t xml:space="preserve"> </w:t>
      </w:r>
      <w:r w:rsidRPr="00997855" w:rsidR="00790644">
        <w:t>or even primarily</w:t>
      </w:r>
      <w:r w:rsidRPr="00997855" w:rsidR="00A53A03">
        <w:t> </w:t>
      </w:r>
      <w:r w:rsidRPr="00997855" w:rsidR="00790644">
        <w:t>—</w:t>
      </w:r>
      <w:r w:rsidRPr="00997855" w:rsidR="00A53A03">
        <w:t xml:space="preserve"> </w:t>
      </w:r>
      <w:r w:rsidRPr="00997855" w:rsidR="00790644">
        <w:t>on the child and his or her family.’ ”  (</w:t>
      </w:r>
      <w:r w:rsidRPr="00997855" w:rsidR="00790644">
        <w:rPr>
          <w:i/>
          <w:iCs/>
        </w:rPr>
        <w:t>T.G.</w:t>
      </w:r>
      <w:r w:rsidRPr="00997855" w:rsidR="00790644">
        <w:t xml:space="preserve">, </w:t>
      </w:r>
      <w:r w:rsidRPr="00997855" w:rsidR="00790644">
        <w:rPr>
          <w:i/>
          <w:iCs/>
        </w:rPr>
        <w:t>supra</w:t>
      </w:r>
      <w:r w:rsidRPr="00997855" w:rsidR="00790644">
        <w:t xml:space="preserve">, 58 Cal.App.5th at p. 293.)  </w:t>
      </w:r>
      <w:r w:rsidRPr="00997855" w:rsidR="004B37F8">
        <w:t xml:space="preserve">When an inquiry is inadequate, the </w:t>
      </w:r>
      <w:r w:rsidRPr="00997855" w:rsidR="009550F1">
        <w:t xml:space="preserve">entities charged with the duty to conduct </w:t>
      </w:r>
      <w:r w:rsidRPr="00997855" w:rsidR="002C681B">
        <w:t xml:space="preserve">the </w:t>
      </w:r>
      <w:r w:rsidRPr="00997855" w:rsidR="009550F1">
        <w:t>inquiry</w:t>
      </w:r>
      <w:r w:rsidRPr="00997855" w:rsidR="007B7BF5">
        <w:t xml:space="preserve"> </w:t>
      </w:r>
      <w:r w:rsidRPr="00997855" w:rsidR="009D675E">
        <w:t xml:space="preserve">must attempt to </w:t>
      </w:r>
      <w:r w:rsidRPr="00151323" w:rsidR="009D675E">
        <w:t>cure that error</w:t>
      </w:r>
      <w:r w:rsidRPr="00997855" w:rsidR="00C0738E">
        <w:t xml:space="preserve"> and may not avoid their duty by </w:t>
      </w:r>
      <w:r w:rsidRPr="00997855" w:rsidR="009D675E">
        <w:t xml:space="preserve">placing the burden on the parents to demonstrate that the error is prejudicial on an inadequate </w:t>
      </w:r>
      <w:r w:rsidRPr="00043EA5" w:rsidR="009D675E">
        <w:t>record.</w:t>
      </w:r>
      <w:r w:rsidRPr="00043EA5">
        <w:t xml:space="preserve">  </w:t>
      </w:r>
    </w:p>
    <w:p w:rsidR="00D05736" w:rsidRPr="00997855" w:rsidP="00997855" w14:paraId="6327221D" w14:textId="1FAEAB0C">
      <w:pPr>
        <w:ind w:firstLine="720"/>
      </w:pPr>
      <w:r w:rsidRPr="00997855">
        <w:t>Third, “ensuring a proper, adequate, and duly diligent inquiry at the initial stage of the compliance process is foundational to fulfilling the purpose underlying ICWA and related California law.”  (</w:t>
      </w:r>
      <w:r w:rsidRPr="00997855">
        <w:rPr>
          <w:i/>
          <w:iCs/>
        </w:rPr>
        <w:t>K.H.</w:t>
      </w:r>
      <w:r w:rsidRPr="00997855">
        <w:t xml:space="preserve">, </w:t>
      </w:r>
      <w:r w:rsidRPr="00997855">
        <w:rPr>
          <w:i/>
          <w:iCs/>
        </w:rPr>
        <w:t>supra</w:t>
      </w:r>
      <w:r w:rsidRPr="00997855">
        <w:t>, 84 Cal.App.5th at p.</w:t>
      </w:r>
      <w:r w:rsidRPr="00997855" w:rsidR="00D907FF">
        <w:t> </w:t>
      </w:r>
      <w:r w:rsidRPr="00997855">
        <w:t>590.)  ICWA was enacted to protect tribal integrity and sovereignty in its membership determinations</w:t>
      </w:r>
      <w:r w:rsidRPr="00997855" w:rsidR="008E2346">
        <w:t xml:space="preserve">, </w:t>
      </w:r>
      <w:r w:rsidRPr="00997855" w:rsidR="0077251B">
        <w:t>which is “central to its existence as an independent political community.”  (</w:t>
      </w:r>
      <w:r w:rsidRPr="00997855" w:rsidR="0077251B">
        <w:rPr>
          <w:i/>
          <w:iCs/>
        </w:rPr>
        <w:t>Santa Clara Pueblo v. Martinez</w:t>
      </w:r>
      <w:r w:rsidRPr="00997855" w:rsidR="0077251B">
        <w:t xml:space="preserve"> (1978) </w:t>
      </w:r>
      <w:r w:rsidRPr="00997855" w:rsidR="00A10366">
        <w:t xml:space="preserve">436 </w:t>
      </w:r>
      <w:r w:rsidRPr="00997855" w:rsidR="0077251B">
        <w:t>U.S. 49, 72, fn. 32.)  “Tribal membership criteria, classifications of membership, and interpretation of membership laws are unique to each tribe and vary across tribal nations.”  (</w:t>
      </w:r>
      <w:r w:rsidRPr="00997855" w:rsidR="0041572A">
        <w:rPr>
          <w:i/>
          <w:iCs/>
        </w:rPr>
        <w:t>In re Dependency of Z.J.G.</w:t>
      </w:r>
      <w:r w:rsidRPr="00997855" w:rsidR="0041572A">
        <w:t xml:space="preserve"> (2020) 196 Wn.2d 152, </w:t>
      </w:r>
      <w:r w:rsidRPr="00997855" w:rsidR="0077251B">
        <w:t>176.)  Accordingly, only a tribe can determine whether a child is a member of, or eligible for membership in, that tribe (25 C.F.R. § 23.108(a), (b)</w:t>
      </w:r>
      <w:r w:rsidR="00421958">
        <w:t xml:space="preserve"> (2024)</w:t>
      </w:r>
      <w:r w:rsidRPr="00997855" w:rsidR="0077251B">
        <w:t>), and a court “may not substitute its own determination regarding a child’s membership in a [t]ribe, a child’s eligibility for membership in a [t]ribe, or a parent’s membership in a [t]ribe.”  (</w:t>
      </w:r>
      <w:r w:rsidRPr="00997855" w:rsidR="0077251B">
        <w:rPr>
          <w:i/>
          <w:iCs/>
        </w:rPr>
        <w:t>Id.</w:t>
      </w:r>
      <w:r w:rsidRPr="00997855" w:rsidR="0077251B">
        <w:t xml:space="preserve">, </w:t>
      </w:r>
      <w:r w:rsidRPr="00997855" w:rsidR="00097BE8">
        <w:t>§ 23.108</w:t>
      </w:r>
      <w:r w:rsidRPr="00997855" w:rsidR="0077251B">
        <w:t>(b)</w:t>
      </w:r>
      <w:r w:rsidR="009970F2">
        <w:t xml:space="preserve"> (2024)</w:t>
      </w:r>
      <w:r w:rsidRPr="00997855" w:rsidR="0077251B">
        <w:t xml:space="preserve">; accord, </w:t>
      </w:r>
      <w:r w:rsidRPr="00997855" w:rsidR="0077251B">
        <w:rPr>
          <w:i/>
          <w:iCs/>
        </w:rPr>
        <w:t>Isaiah W.</w:t>
      </w:r>
      <w:r w:rsidRPr="00997855" w:rsidR="0077251B">
        <w:t xml:space="preserve">, </w:t>
      </w:r>
      <w:r w:rsidRPr="00997855" w:rsidR="0077251B">
        <w:rPr>
          <w:i/>
          <w:iCs/>
        </w:rPr>
        <w:t>supra</w:t>
      </w:r>
      <w:r w:rsidRPr="00997855" w:rsidR="0077251B">
        <w:t>, 1 Cal.5th at p. 8.)</w:t>
      </w:r>
    </w:p>
    <w:p w:rsidR="0077251B" w:rsidRPr="00997855" w:rsidP="00997855" w14:paraId="3AEC038F" w14:textId="6733DE18">
      <w:pPr>
        <w:ind w:firstLine="720"/>
      </w:pPr>
      <w:r w:rsidRPr="00997855">
        <w:t xml:space="preserve">While the right to determine a child’s Indian ancestry belongs to the tribe, at the initial inquiry stage of proceedings, “the tribe is not present, and the </w:t>
      </w:r>
      <w:r w:rsidRPr="00997855">
        <w:rPr>
          <w:i/>
          <w:iCs/>
        </w:rPr>
        <w:t>agency</w:t>
      </w:r>
      <w:r w:rsidRPr="00997855">
        <w:t xml:space="preserve"> is charged with obtaining information to make that right meaningful.”  (</w:t>
      </w:r>
      <w:r w:rsidRPr="00997855">
        <w:rPr>
          <w:i/>
          <w:iCs/>
        </w:rPr>
        <w:t>Benjamin M.</w:t>
      </w:r>
      <w:r w:rsidRPr="00997855">
        <w:t xml:space="preserve">, </w:t>
      </w:r>
      <w:r w:rsidRPr="00997855" w:rsidR="00C81011">
        <w:rPr>
          <w:i/>
          <w:iCs/>
        </w:rPr>
        <w:t>supra</w:t>
      </w:r>
      <w:r w:rsidRPr="00997855" w:rsidR="00C81011">
        <w:t xml:space="preserve">, </w:t>
      </w:r>
      <w:r w:rsidRPr="00997855">
        <w:t>70 Cal.App.5th at p. 745, italics added.)</w:t>
      </w:r>
      <w:r w:rsidRPr="00997855">
        <w:rPr>
          <w:i/>
          <w:iCs/>
        </w:rPr>
        <w:t xml:space="preserve">  </w:t>
      </w:r>
      <w:r w:rsidRPr="00997855">
        <w:t xml:space="preserve">When </w:t>
      </w:r>
      <w:r w:rsidRPr="00E53B81">
        <w:t>an ICWA inquiry</w:t>
      </w:r>
      <w:r w:rsidRPr="00997855">
        <w:t xml:space="preserve"> is inadequate, a child’s potential Indian ancestry is </w:t>
      </w:r>
      <w:r w:rsidRPr="00997855" w:rsidR="007E7C01">
        <w:t>missed,</w:t>
      </w:r>
      <w:r w:rsidRPr="00997855">
        <w:t xml:space="preserve"> and tribes are prevented from making the final determination that </w:t>
      </w:r>
      <w:r w:rsidR="00292A93">
        <w:t>the</w:t>
      </w:r>
      <w:r w:rsidRPr="00997855">
        <w:t xml:space="preserve"> child is an Indian child.  Conditionally reversing to conduct </w:t>
      </w:r>
      <w:r w:rsidR="00E0352A">
        <w:t xml:space="preserve">an </w:t>
      </w:r>
      <w:r w:rsidRPr="00997855">
        <w:t xml:space="preserve">adequate </w:t>
      </w:r>
      <w:r w:rsidRPr="00652701" w:rsidR="00FC42F2">
        <w:t>Cal-</w:t>
      </w:r>
      <w:r w:rsidRPr="00652701">
        <w:t>ICWA</w:t>
      </w:r>
      <w:r w:rsidRPr="00997855">
        <w:t xml:space="preserve"> inquir</w:t>
      </w:r>
      <w:r w:rsidR="00E0352A">
        <w:t>y</w:t>
      </w:r>
      <w:r w:rsidRPr="00997855">
        <w:t xml:space="preserve"> ensures tribes’ important sovereign </w:t>
      </w:r>
      <w:r w:rsidRPr="00997855" w:rsidR="001D11A5">
        <w:t xml:space="preserve">right </w:t>
      </w:r>
      <w:r w:rsidRPr="00997855">
        <w:t xml:space="preserve">to determine </w:t>
      </w:r>
      <w:r w:rsidRPr="00997855" w:rsidR="00CA6779">
        <w:t>whether the child</w:t>
      </w:r>
      <w:r w:rsidRPr="00997855" w:rsidR="00DC5DB3">
        <w:t xml:space="preserve"> is a member </w:t>
      </w:r>
      <w:r w:rsidRPr="00997855" w:rsidR="0039679F">
        <w:t>of</w:t>
      </w:r>
      <w:r w:rsidRPr="00997855" w:rsidR="00285773">
        <w:t xml:space="preserve">, or eligible for membership in, </w:t>
      </w:r>
      <w:r w:rsidRPr="00997855" w:rsidR="0039679F">
        <w:t>the tribe.</w:t>
      </w:r>
    </w:p>
    <w:p w:rsidR="002F0C6B" w:rsidRPr="00997855" w:rsidP="00D1043E" w14:paraId="64A5ECC6" w14:textId="0AE4B22C">
      <w:pPr>
        <w:tabs>
          <w:tab w:val="left" w:pos="1440"/>
        </w:tabs>
        <w:ind w:firstLine="720"/>
      </w:pPr>
      <w:r w:rsidRPr="00656457">
        <w:t xml:space="preserve">Amici curiae CILS and </w:t>
      </w:r>
      <w:r w:rsidRPr="00656457" w:rsidR="007674F3">
        <w:rPr>
          <w:szCs w:val="26"/>
        </w:rPr>
        <w:t>California Tribal Families Coalition (</w:t>
      </w:r>
      <w:r w:rsidRPr="00656457" w:rsidR="00406BAA">
        <w:t>CTFC</w:t>
      </w:r>
      <w:r w:rsidRPr="00656457" w:rsidR="007674F3">
        <w:t>)</w:t>
      </w:r>
      <w:r w:rsidRPr="00656457">
        <w:t xml:space="preserve"> note</w:t>
      </w:r>
      <w:r w:rsidRPr="00656457" w:rsidR="00BD0B30">
        <w:t xml:space="preserve"> that</w:t>
      </w:r>
      <w:r w:rsidRPr="00656457" w:rsidR="00352411">
        <w:t xml:space="preserve"> as a result of forced</w:t>
      </w:r>
      <w:r w:rsidRPr="00656457">
        <w:t xml:space="preserve"> assimilation policies</w:t>
      </w:r>
      <w:r w:rsidR="00434376">
        <w:t>,</w:t>
      </w:r>
      <w:r w:rsidRPr="00656457">
        <w:t xml:space="preserve"> “younger generations lack[] knowledge of their Native American ancestry which may only be reclaimed by conducting</w:t>
      </w:r>
      <w:r w:rsidRPr="00656457" w:rsidR="0079328F">
        <w:t xml:space="preserve"> [a]</w:t>
      </w:r>
      <w:r w:rsidRPr="00656457">
        <w:t xml:space="preserve"> proper ICWA inquiry with extended family members and others more knowledgeable.”  </w:t>
      </w:r>
      <w:r w:rsidRPr="00656457" w:rsidR="001B1D85">
        <w:t>(Accord, ICWA Proceedings, 81 Fed.Reg.</w:t>
      </w:r>
      <w:r w:rsidRPr="00656457" w:rsidR="005B342A">
        <w:t xml:space="preserve">, </w:t>
      </w:r>
      <w:r w:rsidRPr="00656457" w:rsidR="005B342A">
        <w:rPr>
          <w:i/>
          <w:iCs/>
        </w:rPr>
        <w:t>supra</w:t>
      </w:r>
      <w:r w:rsidRPr="00656457" w:rsidR="005B342A">
        <w:t>,</w:t>
      </w:r>
      <w:r w:rsidRPr="00656457" w:rsidR="001B1D85">
        <w:t xml:space="preserve"> at </w:t>
      </w:r>
      <w:r w:rsidRPr="00656457" w:rsidR="005B342A">
        <w:t xml:space="preserve">p. </w:t>
      </w:r>
      <w:r w:rsidRPr="00656457" w:rsidR="008C1093">
        <w:t>38780.)</w:t>
      </w:r>
      <w:r w:rsidRPr="00656457" w:rsidR="00445075">
        <w:t xml:space="preserve">  </w:t>
      </w:r>
      <w:r w:rsidRPr="00656457" w:rsidR="008328FA">
        <w:t>Recognizing</w:t>
      </w:r>
      <w:r w:rsidRPr="00B01B80" w:rsidR="008328FA">
        <w:t xml:space="preserve"> </w:t>
      </w:r>
      <w:r w:rsidRPr="00B01B80">
        <w:t xml:space="preserve">that parents may not be the best source of information about a child’s Indian ancestry, the Legislature expressly mandated that, from the outset, child protective agencies </w:t>
      </w:r>
      <w:r w:rsidRPr="00B01B80" w:rsidR="008328FA">
        <w:t>expand</w:t>
      </w:r>
      <w:r w:rsidRPr="00B01B80">
        <w:t xml:space="preserve"> their investigation of a child’s possible Indian status </w:t>
      </w:r>
      <w:r w:rsidRPr="00B01B80" w:rsidR="008328FA">
        <w:t>beyond</w:t>
      </w:r>
      <w:r w:rsidRPr="00B01B80">
        <w:t xml:space="preserve"> the child’s parents.  (</w:t>
      </w:r>
      <w:r w:rsidRPr="00B01B80" w:rsidR="00582CE6">
        <w:t xml:space="preserve">§ 224.2, subd. (b); </w:t>
      </w:r>
      <w:r w:rsidRPr="00B01B80">
        <w:t>Assem. Bill No. 3176</w:t>
      </w:r>
      <w:r w:rsidR="00557B66">
        <w:t xml:space="preserve"> (2017–2018 Reg. Sess.)</w:t>
      </w:r>
      <w:r w:rsidR="00E210EB">
        <w:t>;</w:t>
      </w:r>
      <w:r w:rsidRPr="00B01B80">
        <w:t xml:space="preserve"> Stats.</w:t>
      </w:r>
      <w:r w:rsidRPr="00B01B80" w:rsidR="00840D85">
        <w:t> </w:t>
      </w:r>
      <w:r w:rsidRPr="00B01B80">
        <w:t>2018, ch. 833</w:t>
      </w:r>
      <w:r w:rsidRPr="00B01B80" w:rsidR="00CE4FA1">
        <w:t>,</w:t>
      </w:r>
      <w:r w:rsidRPr="00B01B80">
        <w:t xml:space="preserve"> § 5.)  An “agency’s inquiry is often the only opportunity to collect . . . information” that the child is or may be an Indian child, and thus “is a critical step in safeguarding the rights ICWA was designed to protect and one that cannot be excused by reviewing courts.”</w:t>
      </w:r>
      <w:r w:rsidRPr="00997855">
        <w:t xml:space="preserve">  (</w:t>
      </w:r>
      <w:r w:rsidRPr="00997855">
        <w:rPr>
          <w:i/>
          <w:iCs/>
        </w:rPr>
        <w:t>K.H.</w:t>
      </w:r>
      <w:r w:rsidRPr="00997855">
        <w:t xml:space="preserve">, </w:t>
      </w:r>
      <w:r w:rsidRPr="00997855">
        <w:rPr>
          <w:i/>
          <w:iCs/>
        </w:rPr>
        <w:t>supra</w:t>
      </w:r>
      <w:r w:rsidRPr="00997855">
        <w:t xml:space="preserve">, 84 Cal.App.5th at p. 604.)  “Although the duty of inquiry is a continuing one [citation], as we have seen in countless cases, </w:t>
      </w:r>
      <w:r w:rsidRPr="00997855" w:rsidR="00E729E2">
        <w:t>.</w:t>
      </w:r>
      <w:r w:rsidR="00E729E2">
        <w:t> </w:t>
      </w:r>
      <w:r w:rsidRPr="00997855" w:rsidR="00E729E2">
        <w:t>.</w:t>
      </w:r>
      <w:r w:rsidR="00E729E2">
        <w:t> </w:t>
      </w:r>
      <w:r w:rsidRPr="00997855">
        <w:t>. if the inquiry is inadequate at the outset, the likelihood that the opportunity to gather relevant information will present itself later in the proceeding declines precipitously.”  (</w:t>
      </w:r>
      <w:r w:rsidRPr="00997855">
        <w:rPr>
          <w:i/>
          <w:iCs/>
        </w:rPr>
        <w:t>Id.</w:t>
      </w:r>
      <w:r w:rsidRPr="00997855">
        <w:t xml:space="preserve"> at p. 609.)  A</w:t>
      </w:r>
      <w:r w:rsidR="00130572">
        <w:t>s required by statute, a</w:t>
      </w:r>
      <w:r w:rsidRPr="00997855">
        <w:t>n adequate initial inquiry</w:t>
      </w:r>
      <w:r w:rsidRPr="00997855" w:rsidR="001E462A">
        <w:t xml:space="preserve"> </w:t>
      </w:r>
      <w:r w:rsidRPr="00997855">
        <w:t>that reaches beyond parents to extended family members and others facilitat</w:t>
      </w:r>
      <w:r w:rsidR="00F0048F">
        <w:t>es</w:t>
      </w:r>
      <w:r w:rsidRPr="00997855">
        <w:t xml:space="preserve"> the discovery of Indian identity</w:t>
      </w:r>
      <w:r w:rsidRPr="00E97149" w:rsidR="00CA562E">
        <w:t>,</w:t>
      </w:r>
      <w:r w:rsidRPr="00997855">
        <w:t xml:space="preserve"> and maximiz</w:t>
      </w:r>
      <w:r w:rsidR="00F0048F">
        <w:t>es</w:t>
      </w:r>
      <w:r w:rsidRPr="00997855">
        <w:t xml:space="preserve"> the chances that potential Indian children are discovered and tribes are notified.  </w:t>
      </w:r>
    </w:p>
    <w:p w:rsidR="009C3D86" w:rsidP="004C0655" w14:paraId="2440280B" w14:textId="7220815E">
      <w:pPr>
        <w:ind w:firstLine="720"/>
      </w:pPr>
      <w:r w:rsidRPr="00997855">
        <w:t>Fourth</w:t>
      </w:r>
      <w:r w:rsidRPr="00997855" w:rsidR="00D82DB0">
        <w:t xml:space="preserve">, </w:t>
      </w:r>
      <w:r w:rsidR="007E5F31">
        <w:t xml:space="preserve">our </w:t>
      </w:r>
      <w:r w:rsidRPr="00997855" w:rsidR="00C41901">
        <w:t>holding is supported by the 2016 implementing regulations</w:t>
      </w:r>
      <w:r w:rsidRPr="00997855" w:rsidR="003556AE">
        <w:t xml:space="preserve"> of ICWA</w:t>
      </w:r>
      <w:r w:rsidRPr="00997855" w:rsidR="00C41901">
        <w:t>, which promote “compliance with ICWA from the earliest stages of a child-welfare proceeding.”  (ICWA Proceedings, 81 Fed.Reg.</w:t>
      </w:r>
      <w:r w:rsidR="005B342A">
        <w:t>,</w:t>
      </w:r>
      <w:r w:rsidRPr="005B342A" w:rsidR="005B342A">
        <w:rPr>
          <w:i/>
          <w:iCs/>
        </w:rPr>
        <w:t xml:space="preserve"> </w:t>
      </w:r>
      <w:r w:rsidRPr="00A96973" w:rsidR="005B342A">
        <w:rPr>
          <w:i/>
          <w:iCs/>
        </w:rPr>
        <w:t>supra</w:t>
      </w:r>
      <w:r w:rsidR="005B342A">
        <w:t>,</w:t>
      </w:r>
      <w:r w:rsidRPr="00997855" w:rsidR="00C41901">
        <w:t xml:space="preserve"> at </w:t>
      </w:r>
      <w:r w:rsidR="005B342A">
        <w:t xml:space="preserve">p. </w:t>
      </w:r>
      <w:r w:rsidRPr="00997855" w:rsidR="00C41901">
        <w:t>38779.)  The</w:t>
      </w:r>
      <w:r w:rsidR="004D22FE">
        <w:t xml:space="preserve"> regulations</w:t>
      </w:r>
      <w:r w:rsidRPr="00997855" w:rsidR="007459B7">
        <w:t xml:space="preserve"> </w:t>
      </w:r>
      <w:r w:rsidRPr="00997855" w:rsidR="00C41901">
        <w:t xml:space="preserve">emphasize </w:t>
      </w:r>
      <w:r w:rsidRPr="00997855" w:rsidR="00C41901">
        <w:rPr>
          <w:iCs/>
        </w:rPr>
        <w:t xml:space="preserve">“[i]t is . . . critically important that there be an inquiry into that threshold issue [of whether a child is an Indian child] as soon as possible.  If this inquiry is not timely, a child-custody proceeding may not comply with ICWA and thus may deny </w:t>
      </w:r>
      <w:r w:rsidR="00FE2EA2">
        <w:rPr>
          <w:iCs/>
        </w:rPr>
        <w:t>[</w:t>
      </w:r>
      <w:r w:rsidRPr="00997855" w:rsidR="00C41901">
        <w:rPr>
          <w:iCs/>
        </w:rPr>
        <w:t>IC</w:t>
      </w:r>
      <w:r w:rsidRPr="00997855" w:rsidR="00BB23F4">
        <w:rPr>
          <w:iCs/>
        </w:rPr>
        <w:t>W</w:t>
      </w:r>
      <w:r w:rsidRPr="00997855" w:rsidR="00C41901">
        <w:rPr>
          <w:iCs/>
        </w:rPr>
        <w:t>A</w:t>
      </w:r>
      <w:r w:rsidR="00B74F00">
        <w:rPr>
          <w:iCs/>
        </w:rPr>
        <w:t>]</w:t>
      </w:r>
      <w:r w:rsidRPr="00997855" w:rsidR="00C41901">
        <w:rPr>
          <w:iCs/>
        </w:rPr>
        <w:t xml:space="preserve"> protections to Indian children and their families.  The failure to timely determine if ICWA applies also can generate unnecessary delays, as the court and the parties may need to redo certain processes or findings under the correct standard.  This is inefficient for courts and parties, and can create delays and instability in placements for the Indian child.”  (</w:t>
      </w:r>
      <w:r w:rsidRPr="00D33239" w:rsidR="006F2C13">
        <w:rPr>
          <w:i/>
        </w:rPr>
        <w:t>Id.</w:t>
      </w:r>
      <w:r w:rsidRPr="00997855" w:rsidR="00C41901">
        <w:rPr>
          <w:iCs/>
        </w:rPr>
        <w:t xml:space="preserve"> at </w:t>
      </w:r>
      <w:r w:rsidR="00976A89">
        <w:rPr>
          <w:iCs/>
        </w:rPr>
        <w:t xml:space="preserve">pp. </w:t>
      </w:r>
      <w:r w:rsidRPr="00997855" w:rsidR="00C41901">
        <w:rPr>
          <w:iCs/>
        </w:rPr>
        <w:t xml:space="preserve">38802–38803.)  </w:t>
      </w:r>
      <w:r w:rsidRPr="0012757A" w:rsidR="00C41901">
        <w:rPr>
          <w:iCs/>
        </w:rPr>
        <w:t xml:space="preserve">A conditional reversal rule </w:t>
      </w:r>
      <w:r w:rsidRPr="0012757A" w:rsidR="00424A68">
        <w:rPr>
          <w:iCs/>
        </w:rPr>
        <w:t xml:space="preserve">when </w:t>
      </w:r>
      <w:r w:rsidRPr="0012757A" w:rsidR="00A22B2D">
        <w:rPr>
          <w:iCs/>
        </w:rPr>
        <w:t>Cal-</w:t>
      </w:r>
      <w:r w:rsidRPr="0012757A" w:rsidR="00424A68">
        <w:rPr>
          <w:iCs/>
        </w:rPr>
        <w:t>ICWA inquiries are inadequate</w:t>
      </w:r>
      <w:r w:rsidRPr="00997855" w:rsidR="00424A68">
        <w:rPr>
          <w:iCs/>
        </w:rPr>
        <w:t xml:space="preserve"> will encourage </w:t>
      </w:r>
      <w:r w:rsidRPr="00997855" w:rsidR="00EC2444">
        <w:rPr>
          <w:iCs/>
        </w:rPr>
        <w:t>prompt, complete compliance with ICWA early in the proceedings</w:t>
      </w:r>
      <w:r w:rsidRPr="00997855" w:rsidR="001E462A">
        <w:rPr>
          <w:iCs/>
        </w:rPr>
        <w:t xml:space="preserve"> </w:t>
      </w:r>
      <w:r w:rsidR="004C71E9">
        <w:rPr>
          <w:iCs/>
        </w:rPr>
        <w:t xml:space="preserve">and </w:t>
      </w:r>
      <w:r w:rsidRPr="00997855" w:rsidR="001E462A">
        <w:rPr>
          <w:iCs/>
        </w:rPr>
        <w:t xml:space="preserve">avoid </w:t>
      </w:r>
      <w:r w:rsidR="00806AEE">
        <w:rPr>
          <w:iCs/>
        </w:rPr>
        <w:t>delay and duplicative efforts</w:t>
      </w:r>
      <w:r w:rsidRPr="00997855" w:rsidR="00EC2444">
        <w:rPr>
          <w:iCs/>
        </w:rPr>
        <w:t xml:space="preserve">.  This </w:t>
      </w:r>
      <w:r w:rsidRPr="00997855" w:rsidR="0001715C">
        <w:rPr>
          <w:iCs/>
        </w:rPr>
        <w:t xml:space="preserve">will </w:t>
      </w:r>
      <w:r w:rsidRPr="00997855" w:rsidR="00C41901">
        <w:rPr>
          <w:iCs/>
        </w:rPr>
        <w:t>further ICWA and Cal-ICWA’s goals of prompt, full compliance with their inquiry requirements</w:t>
      </w:r>
      <w:r w:rsidRPr="00997855" w:rsidR="0001715C">
        <w:rPr>
          <w:iCs/>
        </w:rPr>
        <w:t xml:space="preserve">, and </w:t>
      </w:r>
      <w:r w:rsidR="00CA33C0">
        <w:rPr>
          <w:iCs/>
        </w:rPr>
        <w:t>accomm</w:t>
      </w:r>
      <w:r w:rsidR="00F92731">
        <w:rPr>
          <w:iCs/>
        </w:rPr>
        <w:t>odate</w:t>
      </w:r>
      <w:r w:rsidR="00BC56EB">
        <w:rPr>
          <w:iCs/>
        </w:rPr>
        <w:t xml:space="preserve"> the critical </w:t>
      </w:r>
      <w:r w:rsidR="00C8735A">
        <w:rPr>
          <w:iCs/>
        </w:rPr>
        <w:t xml:space="preserve">interest of </w:t>
      </w:r>
      <w:r w:rsidRPr="00997855" w:rsidR="0001715C">
        <w:rPr>
          <w:iCs/>
        </w:rPr>
        <w:t>dependent children in permanency</w:t>
      </w:r>
      <w:r w:rsidR="001B6ACD">
        <w:rPr>
          <w:iCs/>
        </w:rPr>
        <w:t xml:space="preserve"> and stability</w:t>
      </w:r>
      <w:r w:rsidRPr="00997855" w:rsidR="00C41901">
        <w:rPr>
          <w:iCs/>
        </w:rPr>
        <w:t>.</w:t>
      </w:r>
    </w:p>
    <w:p w:rsidR="000E12D1" w:rsidP="000B25BF" w14:paraId="3E592D85" w14:textId="2A7445F9">
      <w:pPr>
        <w:ind w:firstLine="720"/>
      </w:pPr>
      <w:r w:rsidRPr="00AF7B2A">
        <w:t xml:space="preserve">The Court of Appeal expressed concern that </w:t>
      </w:r>
      <w:r w:rsidRPr="00AF7B2A" w:rsidR="003937A9">
        <w:t xml:space="preserve">reversing whenever an inquiry </w:t>
      </w:r>
      <w:r w:rsidRPr="00AF7B2A" w:rsidR="00C574C8">
        <w:t xml:space="preserve">does not satisfy </w:t>
      </w:r>
      <w:r w:rsidR="00971C20">
        <w:t xml:space="preserve">the </w:t>
      </w:r>
      <w:r w:rsidRPr="00AF7B2A" w:rsidR="00C574C8">
        <w:t xml:space="preserve">requirements of section 224.2 would result in </w:t>
      </w:r>
      <w:r w:rsidRPr="00977054" w:rsidR="00085A43">
        <w:t xml:space="preserve">an “endless feedback loop of remand, appeal, </w:t>
      </w:r>
      <w:r w:rsidRPr="00977054" w:rsidR="00C0475B">
        <w:t xml:space="preserve">and remand” </w:t>
      </w:r>
      <w:r w:rsidRPr="00977054" w:rsidR="001F0835">
        <w:t>because the statutory duty of inquiry “creates an open-ended universe of stones</w:t>
      </w:r>
      <w:r w:rsidRPr="00977054" w:rsidR="00422574">
        <w:t>,</w:t>
      </w:r>
      <w:r w:rsidRPr="00977054" w:rsidR="00D2310D">
        <w:t xml:space="preserve">” </w:t>
      </w:r>
      <w:r w:rsidRPr="00977054" w:rsidR="0034555B">
        <w:t xml:space="preserve">and </w:t>
      </w:r>
      <w:r w:rsidRPr="00977054" w:rsidR="009875B5">
        <w:t>“</w:t>
      </w:r>
      <w:r w:rsidRPr="00977054" w:rsidR="00D2310D">
        <w:t xml:space="preserve">empowers </w:t>
      </w:r>
      <w:r w:rsidR="00831500">
        <w:t>[</w:t>
      </w:r>
      <w:r w:rsidRPr="00977054" w:rsidR="00D2310D">
        <w:t>an appealing parent</w:t>
      </w:r>
      <w:r w:rsidR="00831500">
        <w:t>]</w:t>
      </w:r>
      <w:r w:rsidRPr="00977054" w:rsidR="00D2310D">
        <w:t xml:space="preserve"> to </w:t>
      </w:r>
      <w:r w:rsidR="00831500">
        <w:t>obtain</w:t>
      </w:r>
      <w:r w:rsidRPr="00977054" w:rsidR="00831500">
        <w:t xml:space="preserve"> </w:t>
      </w:r>
      <w:r w:rsidRPr="00977054" w:rsidR="00D2310D">
        <w:t xml:space="preserve">a remand </w:t>
      </w:r>
      <w:r w:rsidRPr="00AF7B2A" w:rsidR="009C3D86">
        <w:t xml:space="preserve">to question extended family members, then </w:t>
      </w:r>
      <w:r w:rsidRPr="00977054" w:rsidR="009875B5">
        <w:t>a second remand</w:t>
      </w:r>
      <w:r w:rsidRPr="00AF7B2A" w:rsidR="009C3D86">
        <w:t xml:space="preserve"> to question the family babysitter, and then </w:t>
      </w:r>
      <w:r w:rsidRPr="00977054" w:rsidR="009875B5">
        <w:t xml:space="preserve">a third remand </w:t>
      </w:r>
      <w:r w:rsidRPr="00AF7B2A" w:rsidR="009C3D86">
        <w:t>to question longtime neighbors, and so on and so on.”</w:t>
      </w:r>
      <w:r w:rsidR="009C3D86">
        <w:t xml:space="preserve">  (</w:t>
      </w:r>
      <w:r w:rsidR="009C3D86">
        <w:rPr>
          <w:i/>
          <w:iCs/>
        </w:rPr>
        <w:t>Dezi C.</w:t>
      </w:r>
      <w:r w:rsidR="009C3D86">
        <w:t xml:space="preserve">, </w:t>
      </w:r>
      <w:r w:rsidRPr="009C3D86" w:rsidR="009C3D86">
        <w:rPr>
          <w:i/>
          <w:iCs/>
        </w:rPr>
        <w:t>supra</w:t>
      </w:r>
      <w:r w:rsidR="009C3D86">
        <w:t xml:space="preserve">, </w:t>
      </w:r>
      <w:r w:rsidR="004B74DF">
        <w:t>79 Cal.App.5th at p</w:t>
      </w:r>
      <w:r w:rsidR="00B45399">
        <w:t>p</w:t>
      </w:r>
      <w:r w:rsidR="004B74DF">
        <w:t xml:space="preserve">. </w:t>
      </w:r>
      <w:r w:rsidR="00B45399">
        <w:t>784</w:t>
      </w:r>
      <w:r w:rsidR="00316B92">
        <w:t>–</w:t>
      </w:r>
      <w:r w:rsidR="004B74DF">
        <w:t>785.)  But</w:t>
      </w:r>
      <w:r w:rsidR="00AF225D">
        <w:t xml:space="preserve"> o</w:t>
      </w:r>
      <w:r w:rsidRPr="009C3D86" w:rsidR="000206B5">
        <w:t>ur</w:t>
      </w:r>
      <w:r w:rsidRPr="00997855" w:rsidR="00965663">
        <w:t xml:space="preserve"> conclusion </w:t>
      </w:r>
      <w:r w:rsidRPr="00997855" w:rsidR="00BF3438">
        <w:t xml:space="preserve">does not </w:t>
      </w:r>
      <w:r w:rsidR="00AF225D">
        <w:t xml:space="preserve">require </w:t>
      </w:r>
      <w:r w:rsidR="008D0A81">
        <w:t>reversal in all cases</w:t>
      </w:r>
      <w:r w:rsidR="00A5223C">
        <w:t xml:space="preserve"> </w:t>
      </w:r>
      <w:r w:rsidR="00100211">
        <w:t xml:space="preserve">in which </w:t>
      </w:r>
      <w:r w:rsidR="00881C16">
        <w:t xml:space="preserve">every possible extended family </w:t>
      </w:r>
      <w:r w:rsidR="008D69F4">
        <w:t xml:space="preserve">member has not been asked about the child’s Indian ancestry.  </w:t>
      </w:r>
      <w:r w:rsidRPr="00997855">
        <w:t xml:space="preserve">As mother </w:t>
      </w:r>
      <w:r>
        <w:t xml:space="preserve">herself </w:t>
      </w:r>
      <w:r w:rsidRPr="00997855">
        <w:t xml:space="preserve">concedes, section 224.2 “does not require the agency to ‘find’ unknown relatives and others who have an interest in the child, merely to make reasonable inquiries.  The operative concept is those people who are reasonably available to help the agency with its investigation into whether the child has any potential Indian ancestry should be asked.”  </w:t>
      </w:r>
    </w:p>
    <w:p w:rsidR="007B526C" w:rsidP="000B25BF" w14:paraId="12B7787A" w14:textId="36EBFBFA">
      <w:pPr>
        <w:ind w:firstLine="720"/>
      </w:pPr>
      <w:r w:rsidRPr="00997855">
        <w:t xml:space="preserve">Because </w:t>
      </w:r>
      <w:r w:rsidR="008D56FA">
        <w:t>it is undisputed that</w:t>
      </w:r>
      <w:r w:rsidRPr="00997855">
        <w:t xml:space="preserve"> the inquiry in this case was inadequate, we do not have occasion to decide what </w:t>
      </w:r>
      <w:r w:rsidR="00A56187">
        <w:t>constitutes a</w:t>
      </w:r>
      <w:r w:rsidR="00B43969">
        <w:t xml:space="preserve">n adequate </w:t>
      </w:r>
      <w:r w:rsidR="001F40C7">
        <w:t xml:space="preserve">and proper </w:t>
      </w:r>
      <w:r w:rsidRPr="00997855">
        <w:t>inquiry necessary to satisfy section 224.2.</w:t>
      </w:r>
      <w:r w:rsidRPr="0031147C">
        <w:t xml:space="preserve">  </w:t>
      </w:r>
      <w:r w:rsidR="005656E2">
        <w:t>W</w:t>
      </w:r>
      <w:r>
        <w:t xml:space="preserve">e note, however, </w:t>
      </w:r>
      <w:r w:rsidR="005656E2">
        <w:t xml:space="preserve">that </w:t>
      </w:r>
      <w:r w:rsidR="00267C15">
        <w:t xml:space="preserve">the juvenile court’s </w:t>
      </w:r>
      <w:r w:rsidR="00AB5F65">
        <w:t xml:space="preserve">fact-specific </w:t>
      </w:r>
      <w:r w:rsidR="00267C15">
        <w:t xml:space="preserve">determination that an inquiry is adequate, proper, and duly diligent </w:t>
      </w:r>
      <w:r w:rsidR="004252E8">
        <w:t>is “a quintessentially discretionary function”</w:t>
      </w:r>
      <w:r w:rsidR="002B60D0">
        <w:t xml:space="preserve"> </w:t>
      </w:r>
      <w:r w:rsidR="004252E8">
        <w:t>(</w:t>
      </w:r>
      <w:r w:rsidR="004252E8">
        <w:rPr>
          <w:i/>
          <w:iCs/>
        </w:rPr>
        <w:t xml:space="preserve">In re Ezequiel G. </w:t>
      </w:r>
      <w:r w:rsidR="004252E8">
        <w:t>(2022) 81 Cal.App.5th 984</w:t>
      </w:r>
      <w:r w:rsidR="009972D4">
        <w:t>, 1005</w:t>
      </w:r>
      <w:r w:rsidR="00823FA7">
        <w:t xml:space="preserve">) subject to a deferential standard of review.  </w:t>
      </w:r>
      <w:r w:rsidRPr="00A26D63" w:rsidR="00823FA7">
        <w:t>(</w:t>
      </w:r>
      <w:r w:rsidRPr="00977054" w:rsidR="00047EFA">
        <w:t>§ 224.2, subd. (i)(2); s</w:t>
      </w:r>
      <w:r w:rsidRPr="00A26D63" w:rsidR="001C07FB">
        <w:t xml:space="preserve">ee </w:t>
      </w:r>
      <w:r w:rsidRPr="00977054" w:rsidR="00047EFA">
        <w:t xml:space="preserve">also </w:t>
      </w:r>
      <w:r w:rsidRPr="003029D0" w:rsidR="00630376">
        <w:rPr>
          <w:i/>
          <w:iCs/>
        </w:rPr>
        <w:t>Kenneth D.</w:t>
      </w:r>
      <w:r w:rsidRPr="003029D0" w:rsidR="00630376">
        <w:t xml:space="preserve">, </w:t>
      </w:r>
      <w:r w:rsidRPr="003029D0" w:rsidR="00630376">
        <w:rPr>
          <w:i/>
          <w:iCs/>
        </w:rPr>
        <w:t>supra</w:t>
      </w:r>
      <w:r w:rsidRPr="003029D0" w:rsidR="00630376">
        <w:t xml:space="preserve">, </w:t>
      </w:r>
      <w:r w:rsidRPr="003029D0" w:rsidR="008E13A6">
        <w:t>__</w:t>
      </w:r>
      <w:r w:rsidR="00E37E34">
        <w:t>_</w:t>
      </w:r>
      <w:r w:rsidRPr="003029D0" w:rsidR="008E13A6">
        <w:t xml:space="preserve"> Cal.5th</w:t>
      </w:r>
      <w:r w:rsidRPr="003029D0" w:rsidR="006A3C44">
        <w:t xml:space="preserve"> at p. __</w:t>
      </w:r>
      <w:r w:rsidR="00E37E34">
        <w:t>_</w:t>
      </w:r>
      <w:r w:rsidRPr="003029D0" w:rsidR="008E13A6">
        <w:t xml:space="preserve"> </w:t>
      </w:r>
      <w:r w:rsidRPr="003029D0" w:rsidR="003663B6">
        <w:t>[</w:t>
      </w:r>
      <w:r w:rsidRPr="003029D0" w:rsidR="00A0593F">
        <w:t xml:space="preserve">p. </w:t>
      </w:r>
      <w:r w:rsidRPr="003029D0" w:rsidR="00112874">
        <w:t>12</w:t>
      </w:r>
      <w:r w:rsidRPr="003029D0" w:rsidR="003663B6">
        <w:t>]</w:t>
      </w:r>
      <w:r w:rsidRPr="003029D0" w:rsidR="00630376">
        <w:t>.)</w:t>
      </w:r>
      <w:r w:rsidR="00630376">
        <w:rPr>
          <w:i/>
          <w:iCs/>
        </w:rPr>
        <w:t xml:space="preserve">  </w:t>
      </w:r>
      <w:r w:rsidRPr="00364B37" w:rsidR="00364B37">
        <w:t>“</w:t>
      </w:r>
      <w:r w:rsidR="00364B37">
        <w:t> ‘</w:t>
      </w:r>
      <w:r w:rsidRPr="00364B37" w:rsidR="00364B37">
        <w:t>On a well-developed record, the court has relatively broad discretion to determine whether the agency’s inquiry was proper, adequate, and duly diligent on the specific facts of the case.  However, the less developed the record, the more limited that discretion necessarily becomes.</w:t>
      </w:r>
      <w:r w:rsidR="00364B37">
        <w:t>’ ”</w:t>
      </w:r>
      <w:r w:rsidRPr="00364B37" w:rsidR="00364B37">
        <w:t xml:space="preserve">  </w:t>
      </w:r>
      <w:r w:rsidR="00364B37">
        <w:t>(</w:t>
      </w:r>
      <w:r w:rsidR="00364B37">
        <w:rPr>
          <w:i/>
          <w:iCs/>
        </w:rPr>
        <w:t>Kenneth D.</w:t>
      </w:r>
      <w:r w:rsidR="00364B37">
        <w:t xml:space="preserve">, </w:t>
      </w:r>
      <w:r w:rsidR="00364B37">
        <w:rPr>
          <w:i/>
          <w:iCs/>
        </w:rPr>
        <w:t>supra</w:t>
      </w:r>
      <w:r w:rsidR="00364B37">
        <w:t xml:space="preserve">, </w:t>
      </w:r>
      <w:r w:rsidR="00112874">
        <w:t>__</w:t>
      </w:r>
      <w:r w:rsidR="00E37E34">
        <w:t>_</w:t>
      </w:r>
      <w:r w:rsidR="00112874">
        <w:t xml:space="preserve"> Cal.5th at p. __</w:t>
      </w:r>
      <w:r w:rsidR="00E37E34">
        <w:t>_</w:t>
      </w:r>
      <w:r w:rsidR="003663B6">
        <w:t xml:space="preserve"> [</w:t>
      </w:r>
      <w:r w:rsidR="00DE5858">
        <w:t xml:space="preserve">p. </w:t>
      </w:r>
      <w:r w:rsidR="00CD3BFB">
        <w:t>13</w:t>
      </w:r>
      <w:r w:rsidR="003663B6">
        <w:t>]</w:t>
      </w:r>
      <w:r w:rsidR="0008486E">
        <w:t xml:space="preserve">; see also </w:t>
      </w:r>
      <w:r w:rsidRPr="00346BE8" w:rsidR="00A26D63">
        <w:rPr>
          <w:i/>
          <w:iCs/>
        </w:rPr>
        <w:t>In re H.B.</w:t>
      </w:r>
      <w:r w:rsidRPr="00346BE8" w:rsidR="00A26D63">
        <w:t xml:space="preserve"> (2023) 92 Cal.App.5th 711, 721</w:t>
      </w:r>
      <w:r w:rsidRPr="00A26D63" w:rsidR="00A26D63">
        <w:t>.)</w:t>
      </w:r>
    </w:p>
    <w:p w:rsidR="009C7E6A" w:rsidP="000B25BF" w14:paraId="6964EA03" w14:textId="1D4F76CA">
      <w:pPr>
        <w:ind w:firstLine="720"/>
      </w:pPr>
      <w:r w:rsidRPr="00997855">
        <w:t>I</w:t>
      </w:r>
      <w:r w:rsidRPr="00997855" w:rsidR="0079088A">
        <w:t>f</w:t>
      </w:r>
      <w:r w:rsidRPr="00997855" w:rsidR="00A8640D">
        <w:t xml:space="preserve">, upon </w:t>
      </w:r>
      <w:r w:rsidRPr="00997855" w:rsidR="00CC3395">
        <w:t>review</w:t>
      </w:r>
      <w:r w:rsidR="00160138">
        <w:t>,</w:t>
      </w:r>
      <w:r w:rsidRPr="00997855" w:rsidR="00CC3395">
        <w:t xml:space="preserve"> </w:t>
      </w:r>
      <w:r w:rsidR="00ED302E">
        <w:t>a juvenile court’s findings that an inquiry was adequate and proper and ICWA does not apply are found to be supported by sufficient evidence</w:t>
      </w:r>
      <w:r w:rsidR="000B3712">
        <w:t xml:space="preserve"> and </w:t>
      </w:r>
      <w:r w:rsidRPr="00997855" w:rsidR="00705FC9">
        <w:t>record documentation</w:t>
      </w:r>
      <w:r w:rsidR="00241260">
        <w:t xml:space="preserve"> as required by California law </w:t>
      </w:r>
      <w:r w:rsidRPr="00DB5735" w:rsidR="00241260">
        <w:t>(rule 5.481(a)(5))</w:t>
      </w:r>
      <w:r w:rsidRPr="00DB5735" w:rsidR="008145BD">
        <w:t>,</w:t>
      </w:r>
      <w:r w:rsidRPr="00997855" w:rsidR="008145BD">
        <w:t xml:space="preserve"> </w:t>
      </w:r>
      <w:r w:rsidRPr="00997855" w:rsidR="00090C03">
        <w:t>there is no error</w:t>
      </w:r>
      <w:r w:rsidR="00667527">
        <w:t xml:space="preserve"> and </w:t>
      </w:r>
      <w:r w:rsidR="00125041">
        <w:t xml:space="preserve">conditional reversal </w:t>
      </w:r>
      <w:r w:rsidR="00CB2F51">
        <w:t>would not be</w:t>
      </w:r>
      <w:r w:rsidR="00125041">
        <w:t xml:space="preserve"> warranted</w:t>
      </w:r>
      <w:r w:rsidRPr="000B3712" w:rsidR="000B3712">
        <w:t xml:space="preserve"> </w:t>
      </w:r>
      <w:r w:rsidR="000B3712">
        <w:t>even if the agency did not inquire of everyone who has an interest in the child</w:t>
      </w:r>
      <w:r w:rsidRPr="00997855" w:rsidR="0089201C">
        <w:t>.</w:t>
      </w:r>
      <w:r w:rsidRPr="00997855" w:rsidR="0006618D">
        <w:t xml:space="preserve">  </w:t>
      </w:r>
      <w:r w:rsidRPr="00997855" w:rsidR="004864D6">
        <w:t>On the other hand, i</w:t>
      </w:r>
      <w:r w:rsidRPr="00997855" w:rsidR="00F31EDC">
        <w:t xml:space="preserve">f the inquiry is </w:t>
      </w:r>
      <w:r w:rsidRPr="00997855" w:rsidR="00332556">
        <w:t>inadequate</w:t>
      </w:r>
      <w:r w:rsidRPr="00997855" w:rsidR="004233D3">
        <w:t xml:space="preserve">, </w:t>
      </w:r>
      <w:r w:rsidRPr="00997855" w:rsidR="004A446E">
        <w:t xml:space="preserve">conditional reversal is required </w:t>
      </w:r>
      <w:r w:rsidR="007D3879">
        <w:t xml:space="preserve">so </w:t>
      </w:r>
      <w:r w:rsidRPr="00997855" w:rsidR="00F31EDC">
        <w:t xml:space="preserve">the </w:t>
      </w:r>
      <w:r w:rsidRPr="00997855" w:rsidR="00CE4BEB">
        <w:t>agency</w:t>
      </w:r>
      <w:r w:rsidRPr="00997855" w:rsidR="00F31EDC">
        <w:t xml:space="preserve"> </w:t>
      </w:r>
      <w:r w:rsidR="007D3879">
        <w:t xml:space="preserve">can </w:t>
      </w:r>
      <w:r w:rsidRPr="00997855" w:rsidR="00F31EDC">
        <w:t xml:space="preserve">cure the error and thereby </w:t>
      </w:r>
      <w:r w:rsidRPr="00997855" w:rsidR="00CC19E8">
        <w:t xml:space="preserve">safeguard </w:t>
      </w:r>
      <w:r w:rsidRPr="00997855" w:rsidR="00D9280A">
        <w:t xml:space="preserve">the rights of </w:t>
      </w:r>
      <w:r w:rsidRPr="00997855" w:rsidR="00CC19E8">
        <w:t>tribes</w:t>
      </w:r>
      <w:r w:rsidRPr="00997855" w:rsidR="00D9280A">
        <w:t>, parents, and the child</w:t>
      </w:r>
      <w:r w:rsidRPr="00997855" w:rsidR="00CC19E8">
        <w:t>.</w:t>
      </w:r>
      <w:r w:rsidR="007C024A">
        <w:t xml:space="preserve">  </w:t>
      </w:r>
    </w:p>
    <w:p w:rsidR="00C274B4" w:rsidP="00C274B4" w14:paraId="56BDC371" w14:textId="330CF98E">
      <w:pPr>
        <w:ind w:firstLine="720"/>
      </w:pPr>
      <w:r w:rsidRPr="00FE0EB2">
        <w:t>Here, for example, the Department’s inquiry extended no further than mother and father, both of whom have longstanding issues with substance use disorder, even though their parents, siblings, and father’s cousin were readily available and had been interviewed by the Department regarding the allegations of the dependency petitions.</w:t>
      </w:r>
      <w:r w:rsidRPr="009E34C1">
        <w:t xml:space="preserve">  The Department’s inquiry falls well short of complying with section 224.2, as it concedes.  “ ‘When, as in this case, the court’s implied finding that the agency’s inquiry was proper, adequate, and duly diligent rests on a cursory record and a patently insufficient inquiry that is conceded</w:t>
      </w:r>
      <w:r w:rsidRPr="00FE0EB2">
        <w:t>, the only viable conclusion is that the finding is unsupported by substantial evidence and the court’s conclusion to the contrary constitutes a clear abuse of discretion</w:t>
      </w:r>
      <w:r w:rsidRPr="00EC3F78">
        <w:t>.</w:t>
      </w:r>
      <w:r w:rsidRPr="009E34C1">
        <w:t>’ ”  (</w:t>
      </w:r>
      <w:r w:rsidRPr="009E34C1">
        <w:rPr>
          <w:i/>
          <w:iCs/>
        </w:rPr>
        <w:t>Kenneth D.</w:t>
      </w:r>
      <w:r w:rsidRPr="009E34C1">
        <w:t xml:space="preserve">, </w:t>
      </w:r>
      <w:r w:rsidRPr="009E34C1">
        <w:rPr>
          <w:i/>
          <w:iCs/>
        </w:rPr>
        <w:t>supra</w:t>
      </w:r>
      <w:r w:rsidRPr="009E34C1">
        <w:t xml:space="preserve">, </w:t>
      </w:r>
      <w:r w:rsidR="00CD3BFB">
        <w:t>__</w:t>
      </w:r>
      <w:r w:rsidR="00C12147">
        <w:t>_</w:t>
      </w:r>
      <w:r w:rsidR="00CD3BFB">
        <w:t xml:space="preserve"> Cal.5th at p. __</w:t>
      </w:r>
      <w:r w:rsidR="00C12147">
        <w:t>_</w:t>
      </w:r>
      <w:r w:rsidR="00CD3BFB">
        <w:t xml:space="preserve"> </w:t>
      </w:r>
      <w:r w:rsidR="003663B6">
        <w:t>[</w:t>
      </w:r>
      <w:r w:rsidR="0057265D">
        <w:t xml:space="preserve">p. </w:t>
      </w:r>
      <w:r w:rsidR="00CD3BFB">
        <w:t>13</w:t>
      </w:r>
      <w:r w:rsidR="003663B6">
        <w:t>]</w:t>
      </w:r>
      <w:r w:rsidRPr="009E34C1">
        <w:t xml:space="preserve">; </w:t>
      </w:r>
      <w:r w:rsidR="003A0FCF">
        <w:t>quoting</w:t>
      </w:r>
      <w:r w:rsidRPr="009E34C1" w:rsidR="003A0FCF">
        <w:t xml:space="preserve"> </w:t>
      </w:r>
      <w:r w:rsidRPr="009E34C1">
        <w:rPr>
          <w:i/>
          <w:iCs/>
        </w:rPr>
        <w:t>K.H.</w:t>
      </w:r>
      <w:r w:rsidRPr="009E34C1">
        <w:t xml:space="preserve">, </w:t>
      </w:r>
      <w:r w:rsidRPr="009E34C1">
        <w:rPr>
          <w:i/>
          <w:iCs/>
        </w:rPr>
        <w:t>supra</w:t>
      </w:r>
      <w:r w:rsidRPr="009E34C1">
        <w:t>, 84 Cal.App.5th at p. 589.)</w:t>
      </w:r>
    </w:p>
    <w:p w:rsidR="00E03817" w:rsidP="00C274B4" w14:paraId="7A666D72" w14:textId="53DD0158">
      <w:pPr>
        <w:ind w:firstLine="720"/>
      </w:pPr>
      <w:r>
        <w:t xml:space="preserve">According to </w:t>
      </w:r>
      <w:r w:rsidR="00C70676">
        <w:t xml:space="preserve">our </w:t>
      </w:r>
      <w:r w:rsidR="0074099B">
        <w:t>dissent</w:t>
      </w:r>
      <w:r w:rsidR="00C70676">
        <w:t>ing colleagues</w:t>
      </w:r>
      <w:r>
        <w:t>,</w:t>
      </w:r>
      <w:r w:rsidR="009603AF">
        <w:t xml:space="preserve"> </w:t>
      </w:r>
      <w:r w:rsidR="0074099B">
        <w:t xml:space="preserve">we </w:t>
      </w:r>
      <w:r w:rsidR="00C70676">
        <w:t>should</w:t>
      </w:r>
      <w:r w:rsidR="0074099B">
        <w:t xml:space="preserve"> overcome the </w:t>
      </w:r>
      <w:r w:rsidR="00372F6A">
        <w:t xml:space="preserve">inadequate record and </w:t>
      </w:r>
      <w:r w:rsidR="002C753A">
        <w:t>assess the juvenile court’s</w:t>
      </w:r>
      <w:r w:rsidR="00712B89">
        <w:t xml:space="preserve"> implied</w:t>
      </w:r>
      <w:r w:rsidR="002C753A">
        <w:t xml:space="preserve"> ICWA finding </w:t>
      </w:r>
      <w:r w:rsidR="00C355B8">
        <w:t>for prejudice by</w:t>
      </w:r>
      <w:r w:rsidR="00D775C8">
        <w:t xml:space="preserve"> </w:t>
      </w:r>
      <w:r w:rsidR="001F4CC7">
        <w:t xml:space="preserve">requiring </w:t>
      </w:r>
      <w:r w:rsidR="00D9353D">
        <w:t xml:space="preserve">the appealing parent to </w:t>
      </w:r>
      <w:r w:rsidR="004732F3">
        <w:t xml:space="preserve">make a proffer to </w:t>
      </w:r>
      <w:r w:rsidR="00A30C5C">
        <w:t xml:space="preserve">the Court of Appeal </w:t>
      </w:r>
      <w:r w:rsidR="00487CC9">
        <w:t>of extra-record</w:t>
      </w:r>
      <w:r w:rsidR="00D9353D">
        <w:t xml:space="preserve"> evidence </w:t>
      </w:r>
      <w:r w:rsidR="00322163">
        <w:t>tending to show the child is Indian</w:t>
      </w:r>
      <w:r w:rsidR="00D9353D">
        <w:t>.</w:t>
      </w:r>
      <w:r w:rsidR="00A25046">
        <w:t xml:space="preserve">  Contrary to </w:t>
      </w:r>
      <w:r w:rsidR="001A1485">
        <w:t>Cal-</w:t>
      </w:r>
      <w:r w:rsidR="00A25046">
        <w:t xml:space="preserve">ICWA, this would improperly shift the burden of proof </w:t>
      </w:r>
      <w:r w:rsidR="00574612">
        <w:t>to the parents</w:t>
      </w:r>
      <w:r>
        <w:t xml:space="preserve"> and </w:t>
      </w:r>
      <w:r w:rsidR="0052387E">
        <w:t xml:space="preserve">improperly </w:t>
      </w:r>
      <w:r w:rsidR="001866C3">
        <w:t>substitute the reviewing court’s</w:t>
      </w:r>
      <w:r w:rsidRPr="00446C3E" w:rsidR="00446C3E">
        <w:t xml:space="preserve"> </w:t>
      </w:r>
      <w:r w:rsidR="001866C3">
        <w:t>“</w:t>
      </w:r>
      <w:r w:rsidRPr="00446C3E" w:rsidR="00446C3E">
        <w:t>judgment for that of the juvenile court, which is to make those findings in the first instance.</w:t>
      </w:r>
      <w:r w:rsidR="001866C3">
        <w:t xml:space="preserve">”  </w:t>
      </w:r>
      <w:r w:rsidR="0081225C">
        <w:t>(</w:t>
      </w:r>
      <w:r w:rsidR="0081225C">
        <w:rPr>
          <w:i/>
          <w:iCs/>
        </w:rPr>
        <w:t>Kenneth D.</w:t>
      </w:r>
      <w:r w:rsidR="0081225C">
        <w:t xml:space="preserve">, </w:t>
      </w:r>
      <w:r w:rsidRPr="000766A5" w:rsidR="0081225C">
        <w:rPr>
          <w:i/>
          <w:iCs/>
        </w:rPr>
        <w:t>supra</w:t>
      </w:r>
      <w:r w:rsidR="0081225C">
        <w:t>, __</w:t>
      </w:r>
      <w:r w:rsidR="00C12147">
        <w:t>_</w:t>
      </w:r>
      <w:r w:rsidR="0081225C">
        <w:t xml:space="preserve"> Cal. 5th at p. __</w:t>
      </w:r>
      <w:r w:rsidR="00C12147">
        <w:t>_</w:t>
      </w:r>
      <w:r w:rsidR="0081225C">
        <w:t xml:space="preserve"> [p. 15].)  </w:t>
      </w:r>
      <w:r w:rsidRPr="00446C3E" w:rsidR="00446C3E">
        <w:t xml:space="preserve"> </w:t>
      </w:r>
    </w:p>
    <w:p w:rsidR="00377312" w:rsidP="00C274B4" w14:paraId="2E1A9467" w14:textId="318E7AA0">
      <w:pPr>
        <w:ind w:firstLine="720"/>
      </w:pPr>
      <w:r>
        <w:t xml:space="preserve">In the dissent’s view, </w:t>
      </w:r>
      <w:r w:rsidR="00E03817">
        <w:t xml:space="preserve">since </w:t>
      </w:r>
      <w:r>
        <w:t xml:space="preserve">delay “of even a few months” </w:t>
      </w:r>
      <w:r w:rsidR="00073DE2">
        <w:t xml:space="preserve">for a juvenile court to conduct </w:t>
      </w:r>
      <w:r w:rsidR="003C5E99">
        <w:t>the statutorily required</w:t>
      </w:r>
      <w:r w:rsidR="00FD3A5B">
        <w:t xml:space="preserve"> inquiry </w:t>
      </w:r>
      <w:r>
        <w:t>can impact a child,</w:t>
      </w:r>
      <w:r w:rsidR="002D44D8">
        <w:t xml:space="preserve"> </w:t>
      </w:r>
      <w:r w:rsidR="002804AC">
        <w:t xml:space="preserve">it </w:t>
      </w:r>
      <w:r w:rsidR="004440EB">
        <w:t>is appropriate to admit</w:t>
      </w:r>
      <w:r w:rsidR="002D44D8">
        <w:t xml:space="preserve"> </w:t>
      </w:r>
      <w:r w:rsidR="004440EB">
        <w:t xml:space="preserve">new </w:t>
      </w:r>
      <w:r w:rsidR="002D44D8">
        <w:t xml:space="preserve">evidence </w:t>
      </w:r>
      <w:r w:rsidR="004440EB">
        <w:t xml:space="preserve">on appeal </w:t>
      </w:r>
      <w:r w:rsidR="002D44D8">
        <w:t xml:space="preserve">under Code of Civil Procedure section 909.  </w:t>
      </w:r>
      <w:r w:rsidR="001B2F94">
        <w:t>(Dis. opn</w:t>
      </w:r>
      <w:r w:rsidR="0082116A">
        <w:t>.</w:t>
      </w:r>
      <w:r w:rsidR="00CD4559">
        <w:t xml:space="preserve"> of Groban, J.</w:t>
      </w:r>
      <w:r w:rsidR="0082116A">
        <w:t xml:space="preserve">, </w:t>
      </w:r>
      <w:r w:rsidRPr="00761141" w:rsidR="0082116A">
        <w:rPr>
          <w:i/>
          <w:iCs/>
        </w:rPr>
        <w:t>post</w:t>
      </w:r>
      <w:r w:rsidR="0082116A">
        <w:t xml:space="preserve">, at p. </w:t>
      </w:r>
      <w:r w:rsidR="00A5785C">
        <w:t>6</w:t>
      </w:r>
      <w:r w:rsidR="00A66B44">
        <w:t xml:space="preserve">; </w:t>
      </w:r>
      <w:r w:rsidR="00A66B44">
        <w:rPr>
          <w:i/>
          <w:iCs/>
        </w:rPr>
        <w:t>id</w:t>
      </w:r>
      <w:r w:rsidR="00A66B44">
        <w:t>. at p. 7</w:t>
      </w:r>
      <w:r w:rsidR="00A5785C">
        <w:t xml:space="preserve">.)  </w:t>
      </w:r>
      <w:r w:rsidR="00A92DF6">
        <w:t>We</w:t>
      </w:r>
      <w:r w:rsidR="00FD3A5B">
        <w:t xml:space="preserve"> agree with our dissenting colleagues about the importance of</w:t>
      </w:r>
      <w:r w:rsidR="00751828">
        <w:t xml:space="preserve"> prompt </w:t>
      </w:r>
      <w:r w:rsidR="00D062F4">
        <w:t>r</w:t>
      </w:r>
      <w:r w:rsidR="00475389">
        <w:t>esolution of</w:t>
      </w:r>
      <w:r w:rsidR="006D3DCC">
        <w:t xml:space="preserve"> dependency proceedin</w:t>
      </w:r>
      <w:r w:rsidR="00151575">
        <w:t>g</w:t>
      </w:r>
      <w:r w:rsidR="006D3DCC">
        <w:t>s</w:t>
      </w:r>
      <w:r w:rsidR="003B191E">
        <w:t>.</w:t>
      </w:r>
      <w:r w:rsidR="002D52B3">
        <w:t xml:space="preserve">  </w:t>
      </w:r>
      <w:r w:rsidR="0047712E">
        <w:t>However, i</w:t>
      </w:r>
      <w:r w:rsidRPr="00D810B0" w:rsidR="00C60339">
        <w:t>f delay</w:t>
      </w:r>
      <w:r w:rsidR="00736ACB">
        <w:t xml:space="preserve"> </w:t>
      </w:r>
      <w:r w:rsidR="0038717C">
        <w:t xml:space="preserve">to </w:t>
      </w:r>
      <w:r w:rsidR="008B7C99">
        <w:t xml:space="preserve">comply with the statutory </w:t>
      </w:r>
      <w:r w:rsidR="00D83263">
        <w:t>inquiry requirements</w:t>
      </w:r>
      <w:r w:rsidR="00C60339">
        <w:t xml:space="preserve"> </w:t>
      </w:r>
      <w:r w:rsidR="006D18C8">
        <w:t xml:space="preserve">were </w:t>
      </w:r>
      <w:r w:rsidR="005F3D15">
        <w:t xml:space="preserve">a </w:t>
      </w:r>
      <w:r w:rsidR="00F81AA1">
        <w:t xml:space="preserve">basis to </w:t>
      </w:r>
      <w:r w:rsidRPr="00545868" w:rsidR="00121B8C">
        <w:t>invoke Code of Civil Procedure section 909</w:t>
      </w:r>
      <w:r w:rsidR="005F3D15">
        <w:t xml:space="preserve">, </w:t>
      </w:r>
      <w:r w:rsidR="004B2A5E">
        <w:t xml:space="preserve">the exception would swallow the rule </w:t>
      </w:r>
      <w:r w:rsidR="008C6080">
        <w:t>we</w:t>
      </w:r>
      <w:r w:rsidR="00DF7A67">
        <w:t xml:space="preserve"> have</w:t>
      </w:r>
      <w:r w:rsidR="008C6080">
        <w:t xml:space="preserve"> </w:t>
      </w:r>
      <w:r w:rsidR="004118DA">
        <w:t>la</w:t>
      </w:r>
      <w:r w:rsidR="00DF7A67">
        <w:t>id</w:t>
      </w:r>
      <w:r w:rsidR="004118DA">
        <w:t xml:space="preserve"> out </w:t>
      </w:r>
      <w:r w:rsidR="00D810B0">
        <w:t xml:space="preserve">in </w:t>
      </w:r>
      <w:r w:rsidR="00D810B0">
        <w:rPr>
          <w:i/>
          <w:iCs/>
        </w:rPr>
        <w:t xml:space="preserve">Kenneth D. </w:t>
      </w:r>
      <w:r w:rsidR="00807A6A">
        <w:t xml:space="preserve">that </w:t>
      </w:r>
      <w:r w:rsidR="003A0DA7">
        <w:t xml:space="preserve">reviewing courts may </w:t>
      </w:r>
      <w:r w:rsidR="00F4537F">
        <w:t xml:space="preserve">not </w:t>
      </w:r>
      <w:r w:rsidR="003A0DA7">
        <w:t xml:space="preserve">generally consider </w:t>
      </w:r>
      <w:r w:rsidRPr="00C77549" w:rsidR="008039F0">
        <w:t xml:space="preserve">previously unadmitted </w:t>
      </w:r>
      <w:r w:rsidRPr="00C77549" w:rsidR="003A0DA7">
        <w:t>evidence</w:t>
      </w:r>
      <w:r w:rsidRPr="00FF3199" w:rsidR="003A0DA7">
        <w:t xml:space="preserve"> </w:t>
      </w:r>
      <w:r w:rsidR="008039F0">
        <w:t xml:space="preserve">for the first time on appeal </w:t>
      </w:r>
      <w:r w:rsidR="003A0DA7">
        <w:t xml:space="preserve">to conclude </w:t>
      </w:r>
      <w:r w:rsidR="00AA4F55">
        <w:t xml:space="preserve">initial </w:t>
      </w:r>
      <w:r w:rsidR="003A0DA7">
        <w:t xml:space="preserve">ICWA </w:t>
      </w:r>
      <w:r w:rsidRPr="00E97149" w:rsidR="003A0DA7">
        <w:t>inquiry error</w:t>
      </w:r>
      <w:r w:rsidR="003A0DA7">
        <w:t xml:space="preserve"> is harmless.  </w:t>
      </w:r>
      <w:r w:rsidR="000766A5">
        <w:t>(</w:t>
      </w:r>
      <w:r w:rsidR="000766A5">
        <w:rPr>
          <w:i/>
          <w:iCs/>
        </w:rPr>
        <w:t>Kenneth D.</w:t>
      </w:r>
      <w:r w:rsidR="000766A5">
        <w:t xml:space="preserve">, </w:t>
      </w:r>
      <w:r w:rsidRPr="000766A5" w:rsidR="000766A5">
        <w:rPr>
          <w:i/>
          <w:iCs/>
        </w:rPr>
        <w:t>supra</w:t>
      </w:r>
      <w:r w:rsidR="000766A5">
        <w:t>, __</w:t>
      </w:r>
      <w:r w:rsidR="00C12147">
        <w:t>_</w:t>
      </w:r>
      <w:r w:rsidR="000766A5">
        <w:t xml:space="preserve"> Cal. 5th at p. __</w:t>
      </w:r>
      <w:r w:rsidR="00C12147">
        <w:t>_</w:t>
      </w:r>
      <w:r w:rsidR="000766A5">
        <w:t xml:space="preserve"> [p. 1].)  </w:t>
      </w:r>
      <w:r w:rsidR="0057037D">
        <w:t>As</w:t>
      </w:r>
      <w:r w:rsidR="004118DA">
        <w:t xml:space="preserve"> we </w:t>
      </w:r>
      <w:r w:rsidRPr="00545868" w:rsidR="00B713A0">
        <w:t>also</w:t>
      </w:r>
      <w:r w:rsidR="00B713A0">
        <w:t xml:space="preserve"> </w:t>
      </w:r>
      <w:r w:rsidR="00844A2E">
        <w:t xml:space="preserve">observe in </w:t>
      </w:r>
      <w:r w:rsidR="00844A2E">
        <w:rPr>
          <w:i/>
          <w:iCs/>
        </w:rPr>
        <w:t>Kenneth D.</w:t>
      </w:r>
      <w:r w:rsidR="00844A2E">
        <w:t>,</w:t>
      </w:r>
      <w:r w:rsidR="003F467E">
        <w:t xml:space="preserve"> </w:t>
      </w:r>
      <w:r w:rsidR="00B15908">
        <w:t>“ </w:t>
      </w:r>
      <w:r w:rsidR="003F467E">
        <w:t>‘claims of error under ICWA are not rare and will not typically present the type of</w:t>
      </w:r>
      <w:r w:rsidR="000368D0">
        <w:t xml:space="preserve"> exceptional circumstances warranting deviation from the general rule’ that appellate courts sh</w:t>
      </w:r>
      <w:r w:rsidR="00D76A91">
        <w:t>ould not engage in factfinding.</w:t>
      </w:r>
      <w:r w:rsidR="00B45094">
        <w:t>”</w:t>
      </w:r>
      <w:r w:rsidR="00D76A91">
        <w:t xml:space="preserve">  (</w:t>
      </w:r>
      <w:r w:rsidR="00D76A91">
        <w:rPr>
          <w:i/>
          <w:iCs/>
        </w:rPr>
        <w:t>Kenneth D.</w:t>
      </w:r>
      <w:r w:rsidR="00D76A91">
        <w:t xml:space="preserve">, </w:t>
      </w:r>
      <w:r w:rsidRPr="00896A9B" w:rsidR="00D76A91">
        <w:rPr>
          <w:i/>
          <w:iCs/>
        </w:rPr>
        <w:t>supra</w:t>
      </w:r>
      <w:r w:rsidR="00D76A91">
        <w:t>, __</w:t>
      </w:r>
      <w:r w:rsidR="00C12147">
        <w:t>_</w:t>
      </w:r>
      <w:r w:rsidR="00D76A91">
        <w:t xml:space="preserve"> Cal.5th at p. __</w:t>
      </w:r>
      <w:r w:rsidR="00C12147">
        <w:t>_</w:t>
      </w:r>
      <w:r w:rsidR="00D76A91">
        <w:t xml:space="preserve"> [</w:t>
      </w:r>
      <w:r w:rsidR="00137A57">
        <w:t>p. 18</w:t>
      </w:r>
      <w:r w:rsidR="00D76A91">
        <w:t>]</w:t>
      </w:r>
      <w:r w:rsidR="00375F80">
        <w:t>.)</w:t>
      </w:r>
      <w:r w:rsidR="00844A2E">
        <w:t xml:space="preserve"> </w:t>
      </w:r>
      <w:r w:rsidR="00375F80">
        <w:t xml:space="preserve"> </w:t>
      </w:r>
    </w:p>
    <w:p w:rsidR="00D02AE5" w:rsidP="00997855" w14:paraId="5E1EC11B" w14:textId="0EC1E776">
      <w:pPr>
        <w:pStyle w:val="NormalIndent"/>
        <w:ind w:left="0" w:firstLine="720"/>
      </w:pPr>
      <w:r>
        <w:t>More</w:t>
      </w:r>
      <w:r w:rsidR="00594E78">
        <w:t>over</w:t>
      </w:r>
      <w:r w:rsidR="00347CD7">
        <w:t xml:space="preserve">, </w:t>
      </w:r>
      <w:r w:rsidR="00386900">
        <w:t xml:space="preserve">we have never suggested that when a record is insufficient to ascertain </w:t>
      </w:r>
      <w:r w:rsidR="00D66280">
        <w:t xml:space="preserve">whether error is harmless, </w:t>
      </w:r>
      <w:r w:rsidR="00A71033">
        <w:t xml:space="preserve">we </w:t>
      </w:r>
      <w:r w:rsidR="00A30F3A">
        <w:t xml:space="preserve">should require </w:t>
      </w:r>
      <w:r w:rsidRPr="00844F32" w:rsidR="00621DAF">
        <w:t>an</w:t>
      </w:r>
      <w:r w:rsidR="00621DAF">
        <w:t xml:space="preserve"> appellant </w:t>
      </w:r>
      <w:r w:rsidR="00A30F3A">
        <w:t xml:space="preserve">to </w:t>
      </w:r>
      <w:r w:rsidR="00621DAF">
        <w:t xml:space="preserve">present </w:t>
      </w:r>
      <w:r w:rsidR="00561A35">
        <w:t>new</w:t>
      </w:r>
      <w:r w:rsidR="00972667">
        <w:t xml:space="preserve">, extra-record evidence </w:t>
      </w:r>
      <w:r w:rsidR="00A30F3A">
        <w:t xml:space="preserve">pursuant to Code of Civil Procedure section 909 </w:t>
      </w:r>
      <w:r w:rsidR="00972667">
        <w:t>to demonst</w:t>
      </w:r>
      <w:r w:rsidR="00C33535">
        <w:t>rate prejudice</w:t>
      </w:r>
      <w:r w:rsidR="00065BDD">
        <w:t xml:space="preserve"> under </w:t>
      </w:r>
      <w:r w:rsidR="00065BDD">
        <w:rPr>
          <w:i/>
          <w:iCs/>
        </w:rPr>
        <w:t>Watson</w:t>
      </w:r>
      <w:r w:rsidR="00C33535">
        <w:t xml:space="preserve">. </w:t>
      </w:r>
      <w:r w:rsidR="00972667">
        <w:t xml:space="preserve"> </w:t>
      </w:r>
      <w:r w:rsidR="002B5EA1">
        <w:t xml:space="preserve">None of the cases cited in the dissent allowed </w:t>
      </w:r>
      <w:r w:rsidR="00C55BC0">
        <w:t xml:space="preserve">the introduction of new </w:t>
      </w:r>
      <w:r w:rsidR="002B5EA1">
        <w:t xml:space="preserve">evidence </w:t>
      </w:r>
      <w:r w:rsidR="00C55BC0">
        <w:t xml:space="preserve">on appeal </w:t>
      </w:r>
      <w:r w:rsidR="002B5EA1">
        <w:t xml:space="preserve">to </w:t>
      </w:r>
      <w:r w:rsidR="00A9267F">
        <w:t>determine</w:t>
      </w:r>
      <w:r w:rsidR="00147BC9">
        <w:t xml:space="preserve"> </w:t>
      </w:r>
      <w:r w:rsidR="002B5EA1">
        <w:t xml:space="preserve">whether the asserted error was prejudicial.  </w:t>
      </w:r>
      <w:r w:rsidR="008D2243">
        <w:t xml:space="preserve">(Dis. opn. of Groban, J., </w:t>
      </w:r>
      <w:r w:rsidR="008D2243">
        <w:rPr>
          <w:i/>
          <w:iCs/>
        </w:rPr>
        <w:t>post</w:t>
      </w:r>
      <w:r w:rsidR="008D2243">
        <w:t>, at pp. 9</w:t>
      </w:r>
      <w:r w:rsidR="0020429F">
        <w:t>–10</w:t>
      </w:r>
      <w:r w:rsidR="008D2243">
        <w:t>.)</w:t>
      </w:r>
      <w:r w:rsidR="008D2243">
        <w:rPr>
          <w:i/>
          <w:iCs/>
        </w:rPr>
        <w:t xml:space="preserve"> </w:t>
      </w:r>
      <w:r w:rsidR="008D2243">
        <w:t xml:space="preserve"> </w:t>
      </w:r>
      <w:r w:rsidR="00117E72">
        <w:t xml:space="preserve">Nor have we </w:t>
      </w:r>
      <w:r w:rsidR="00FB4E6A">
        <w:t xml:space="preserve">relied on the </w:t>
      </w:r>
      <w:r w:rsidR="00FB4E6A">
        <w:rPr>
          <w:i/>
          <w:iCs/>
        </w:rPr>
        <w:t xml:space="preserve">absence </w:t>
      </w:r>
      <w:r w:rsidR="00FB4E6A">
        <w:t>of evidence</w:t>
      </w:r>
      <w:r w:rsidR="00117E72">
        <w:t>,</w:t>
      </w:r>
      <w:r w:rsidR="007676E6">
        <w:t xml:space="preserve"> or </w:t>
      </w:r>
      <w:r w:rsidR="00FB4E6A">
        <w:t xml:space="preserve">the potential </w:t>
      </w:r>
      <w:r w:rsidR="00B246CC">
        <w:t>for delay in</w:t>
      </w:r>
      <w:r w:rsidR="00681D50">
        <w:t xml:space="preserve"> finality</w:t>
      </w:r>
      <w:r w:rsidR="00B246CC">
        <w:t xml:space="preserve">, to justify admission of </w:t>
      </w:r>
      <w:r w:rsidR="00480465">
        <w:t xml:space="preserve">new </w:t>
      </w:r>
      <w:r w:rsidR="00B246CC">
        <w:t xml:space="preserve">evidence </w:t>
      </w:r>
      <w:r w:rsidR="00480465">
        <w:t xml:space="preserve">on appeal </w:t>
      </w:r>
      <w:r w:rsidR="00B246CC">
        <w:t xml:space="preserve">under Code of Civil Procedure section 909.  </w:t>
      </w:r>
      <w:r w:rsidR="00117E72">
        <w:t xml:space="preserve">It is unclear how the dissent’s rationale “could be cabined to the ICWA context, as it would seem to countenance appellate courts’ receipt of new evidence in </w:t>
      </w:r>
      <w:r w:rsidR="00117E72">
        <w:rPr>
          <w:i/>
          <w:iCs/>
        </w:rPr>
        <w:t xml:space="preserve">any </w:t>
      </w:r>
      <w:r w:rsidR="00117E72">
        <w:t>case involving harmless error review,</w:t>
      </w:r>
      <w:r w:rsidR="000B0B2F">
        <w:t xml:space="preserve"> </w:t>
      </w:r>
      <w:r w:rsidRPr="00232723" w:rsidR="00117E72">
        <w:t>making consideration of such evidence routine rather than exceptional.</w:t>
      </w:r>
      <w:r w:rsidR="00117E72">
        <w:t>”</w:t>
      </w:r>
      <w:r w:rsidR="00E75CFF">
        <w:t xml:space="preserve"> </w:t>
      </w:r>
      <w:r w:rsidR="00117E72">
        <w:t xml:space="preserve"> (</w:t>
      </w:r>
      <w:r w:rsidR="00117E72">
        <w:rPr>
          <w:i/>
          <w:iCs/>
        </w:rPr>
        <w:t>Kenneth D.</w:t>
      </w:r>
      <w:r w:rsidR="00117E72">
        <w:t xml:space="preserve">, </w:t>
      </w:r>
      <w:r w:rsidRPr="00F125FA" w:rsidR="00117E72">
        <w:rPr>
          <w:i/>
          <w:iCs/>
        </w:rPr>
        <w:t>supra</w:t>
      </w:r>
      <w:r w:rsidR="00117E72">
        <w:t>, __</w:t>
      </w:r>
      <w:r w:rsidR="00C12147">
        <w:t>_</w:t>
      </w:r>
      <w:r w:rsidR="00117E72">
        <w:t xml:space="preserve"> Cal.5th at p. __</w:t>
      </w:r>
      <w:r w:rsidR="00C12147">
        <w:t>_</w:t>
      </w:r>
      <w:r w:rsidR="00117E72">
        <w:t xml:space="preserve"> [p. 18].)  This would contravene our decision in </w:t>
      </w:r>
      <w:r w:rsidR="00117E72">
        <w:rPr>
          <w:i/>
          <w:iCs/>
        </w:rPr>
        <w:t>Kenneth D.</w:t>
      </w:r>
      <w:r w:rsidR="00117E72">
        <w:t xml:space="preserve">, as well as our decision in </w:t>
      </w:r>
      <w:r w:rsidR="00117E72">
        <w:rPr>
          <w:i/>
          <w:iCs/>
        </w:rPr>
        <w:t>In re Zeth S.</w:t>
      </w:r>
      <w:r w:rsidR="00117E72">
        <w:t xml:space="preserve"> (2003) 31 Cal.4th 396, 408, in which we rejected the routine acceptance of postjudgment evidence under Code of Civil Procedure section 909 to expedite final resolution of matters.</w:t>
      </w:r>
      <w:r>
        <w:rPr>
          <w:rStyle w:val="FootnoteReference"/>
        </w:rPr>
        <w:footnoteReference w:id="14"/>
      </w:r>
      <w:r w:rsidR="00117E72">
        <w:t xml:space="preserve">  </w:t>
      </w:r>
    </w:p>
    <w:p w:rsidR="00C36C53" w:rsidRPr="00997855" w:rsidP="00997855" w14:paraId="11BD066F" w14:textId="6F2DF248">
      <w:pPr>
        <w:pStyle w:val="NormalIndent"/>
        <w:ind w:left="0" w:firstLine="720"/>
      </w:pPr>
      <w:r w:rsidRPr="005E7430">
        <w:t>Juvenile dependency proceedings “involve the well-being of children, [so] considerations such as permanency and stability are of paramount importance.  (§ 366.26.)”  (</w:t>
      </w:r>
      <w:r w:rsidRPr="005E7430">
        <w:rPr>
          <w:i/>
          <w:iCs/>
        </w:rPr>
        <w:t>In re S.B.</w:t>
      </w:r>
      <w:r w:rsidRPr="005E7430">
        <w:t xml:space="preserve"> (2004) 32 Cal.4th 1287, 1293.)  </w:t>
      </w:r>
      <w:r w:rsidR="008F07BB">
        <w:t xml:space="preserve">“We </w:t>
      </w:r>
      <w:r w:rsidR="00212E11">
        <w:t>emphatically agree that dependent children have a critical interest in avoiding unnecessary de</w:t>
      </w:r>
      <w:r w:rsidR="00200561">
        <w:t>l</w:t>
      </w:r>
      <w:r w:rsidR="00212E11">
        <w:t>ays to their long-term placement.”  (</w:t>
      </w:r>
      <w:r w:rsidR="00734C0E">
        <w:rPr>
          <w:i/>
          <w:iCs/>
        </w:rPr>
        <w:t xml:space="preserve">In re A.R. </w:t>
      </w:r>
      <w:r w:rsidR="00734C0E">
        <w:t xml:space="preserve">(2021) 11 Cal.5th 234, 249.)  </w:t>
      </w:r>
      <w:r w:rsidRPr="00766F4B" w:rsidR="008C2DA8">
        <w:t>“</w:t>
      </w:r>
      <w:r w:rsidRPr="00766F4B" w:rsidR="006D16CF">
        <w:t>B</w:t>
      </w:r>
      <w:r w:rsidRPr="00766F4B" w:rsidR="008C2DA8">
        <w:t>ecause</w:t>
      </w:r>
      <w:r w:rsidR="008C2DA8">
        <w:t xml:space="preserve"> tribes have a right to intervene and even overturn prior judgments for failure to comply with ICWA [citation</w:t>
      </w:r>
      <w:r w:rsidR="00851AC0">
        <w:t>s</w:t>
      </w:r>
      <w:r w:rsidR="008C2DA8">
        <w:t>]</w:t>
      </w:r>
      <w:r w:rsidR="008E6785">
        <w:t>, the lack of timely and proper</w:t>
      </w:r>
      <w:r w:rsidRPr="00997855" w:rsidR="003524EF">
        <w:t xml:space="preserve"> </w:t>
      </w:r>
      <w:r w:rsidR="008E6785">
        <w:t xml:space="preserve">inquiry can undermine expeditious resolution and call </w:t>
      </w:r>
      <w:r w:rsidR="004504CA">
        <w:t xml:space="preserve">into doubt </w:t>
      </w:r>
      <w:r w:rsidR="008E6785">
        <w:t>the finality of juvenile court orders.”  (</w:t>
      </w:r>
      <w:r w:rsidR="006F3AC0">
        <w:rPr>
          <w:i/>
          <w:iCs/>
        </w:rPr>
        <w:t>Kenneth D.</w:t>
      </w:r>
      <w:r w:rsidR="006F3AC0">
        <w:t xml:space="preserve">, </w:t>
      </w:r>
      <w:r w:rsidRPr="006F3AC0" w:rsidR="006F3AC0">
        <w:rPr>
          <w:i/>
          <w:iCs/>
        </w:rPr>
        <w:t>supra</w:t>
      </w:r>
      <w:r w:rsidR="006F3AC0">
        <w:t xml:space="preserve">, </w:t>
      </w:r>
      <w:r w:rsidR="00C634DE">
        <w:t>__</w:t>
      </w:r>
      <w:r w:rsidR="009B5BED">
        <w:t>_</w:t>
      </w:r>
      <w:r w:rsidR="00C634DE">
        <w:t xml:space="preserve"> Cal.5th at p. __</w:t>
      </w:r>
      <w:r w:rsidR="009B5BED">
        <w:t>_</w:t>
      </w:r>
      <w:r w:rsidR="00C634DE">
        <w:t xml:space="preserve"> </w:t>
      </w:r>
      <w:r w:rsidR="003663B6">
        <w:t>[</w:t>
      </w:r>
      <w:r w:rsidR="001B79EB">
        <w:t xml:space="preserve">p. </w:t>
      </w:r>
      <w:r w:rsidR="006C1A81">
        <w:t>21</w:t>
      </w:r>
      <w:r w:rsidR="003663B6">
        <w:t>]</w:t>
      </w:r>
      <w:r w:rsidR="006F3AC0">
        <w:t xml:space="preserve">.) </w:t>
      </w:r>
      <w:r w:rsidR="00C95925">
        <w:t xml:space="preserve"> </w:t>
      </w:r>
    </w:p>
    <w:p w:rsidR="00C62743" w:rsidRPr="00997855" w:rsidP="00457514" w14:paraId="34F8C42B" w14:textId="42065930">
      <w:pPr>
        <w:pStyle w:val="NormalIndent"/>
        <w:ind w:left="0" w:firstLine="720"/>
      </w:pPr>
      <w:r>
        <w:t>F</w:t>
      </w:r>
      <w:r w:rsidR="007511DD">
        <w:t>urthermore</w:t>
      </w:r>
      <w:r>
        <w:t>,</w:t>
      </w:r>
      <w:r w:rsidR="007511DD">
        <w:t xml:space="preserve"> it bears emphasis</w:t>
      </w:r>
      <w:r w:rsidR="003F1ACC">
        <w:t xml:space="preserve"> that</w:t>
      </w:r>
      <w:r w:rsidR="007511DD">
        <w:t xml:space="preserve"> </w:t>
      </w:r>
      <w:r w:rsidR="00205995">
        <w:t>“the obligation is only one of inquiry and not an absolute duty to ascertain or refute</w:t>
      </w:r>
      <w:r w:rsidR="0022614E">
        <w:t xml:space="preserve"> Native American ancestry.</w:t>
      </w:r>
      <w:r w:rsidR="00205995">
        <w:t>”</w:t>
      </w:r>
      <w:r w:rsidR="00E25D85">
        <w:t xml:space="preserve">  (</w:t>
      </w:r>
      <w:r w:rsidR="00E25D85">
        <w:rPr>
          <w:i/>
          <w:iCs/>
        </w:rPr>
        <w:t>In re Antoinette S.</w:t>
      </w:r>
      <w:r w:rsidR="00E25D85">
        <w:t xml:space="preserve"> (2002) 104 Cal.App.4th 1401, </w:t>
      </w:r>
      <w:r w:rsidR="0089017E">
        <w:t>1413.)</w:t>
      </w:r>
      <w:r w:rsidR="00205995">
        <w:t xml:space="preserve"> </w:t>
      </w:r>
      <w:r>
        <w:t xml:space="preserve"> </w:t>
      </w:r>
      <w:r w:rsidRPr="00997855" w:rsidR="00331AB9">
        <w:t xml:space="preserve">Agencies </w:t>
      </w:r>
      <w:r w:rsidRPr="00997855" w:rsidR="00B45E42">
        <w:t xml:space="preserve">are already </w:t>
      </w:r>
      <w:r w:rsidRPr="00997855" w:rsidR="00895941">
        <w:t xml:space="preserve">tasked </w:t>
      </w:r>
      <w:r w:rsidRPr="00997855" w:rsidR="000839AD">
        <w:t>with</w:t>
      </w:r>
      <w:r w:rsidRPr="00997855" w:rsidR="00895941">
        <w:t xml:space="preserve"> investigat</w:t>
      </w:r>
      <w:r w:rsidRPr="00997855" w:rsidR="000839AD">
        <w:t>ing</w:t>
      </w:r>
      <w:r w:rsidRPr="00997855" w:rsidR="00895941">
        <w:t xml:space="preserve"> </w:t>
      </w:r>
      <w:r w:rsidRPr="00997855" w:rsidR="00886BFA">
        <w:t>the circumstances underlying</w:t>
      </w:r>
      <w:r w:rsidRPr="00997855" w:rsidR="0004624B">
        <w:t xml:space="preserve"> the child’s </w:t>
      </w:r>
      <w:r w:rsidRPr="00997855" w:rsidR="00570C79">
        <w:t xml:space="preserve">removal </w:t>
      </w:r>
      <w:r w:rsidRPr="00997855" w:rsidR="006902F2">
        <w:t>and identify</w:t>
      </w:r>
      <w:r w:rsidRPr="00997855" w:rsidR="000839AD">
        <w:t>ing</w:t>
      </w:r>
      <w:r w:rsidRPr="00997855" w:rsidR="006902F2">
        <w:t xml:space="preserve"> </w:t>
      </w:r>
      <w:r w:rsidRPr="00997855" w:rsidR="00FE278E">
        <w:t>and locat</w:t>
      </w:r>
      <w:r w:rsidRPr="00997855" w:rsidR="000839AD">
        <w:t>ing</w:t>
      </w:r>
      <w:r w:rsidRPr="00997855" w:rsidR="00FE278E">
        <w:t xml:space="preserve"> </w:t>
      </w:r>
      <w:r w:rsidRPr="00997855" w:rsidR="00D643B8">
        <w:t xml:space="preserve">the child’s </w:t>
      </w:r>
      <w:r w:rsidRPr="00997855" w:rsidR="00FE278E">
        <w:t xml:space="preserve">extended family members </w:t>
      </w:r>
      <w:r w:rsidRPr="00997855" w:rsidR="00656071">
        <w:t>(§ 309, subd</w:t>
      </w:r>
      <w:r w:rsidRPr="00997855" w:rsidR="0004624B">
        <w:t>s. (a), (e))</w:t>
      </w:r>
      <w:r w:rsidRPr="00997855" w:rsidR="00F40AD3">
        <w:t xml:space="preserve">; it is </w:t>
      </w:r>
      <w:r w:rsidRPr="00997855" w:rsidR="002D5866">
        <w:t xml:space="preserve">a rather simple task to ask </w:t>
      </w:r>
      <w:r w:rsidRPr="00997855" w:rsidR="00527C24">
        <w:t xml:space="preserve">those family members </w:t>
      </w:r>
      <w:r w:rsidRPr="00997855" w:rsidR="002D5866">
        <w:t xml:space="preserve">about Indian ancestry </w:t>
      </w:r>
      <w:r w:rsidRPr="00997855" w:rsidR="00C61257">
        <w:t>in this process.</w:t>
      </w:r>
      <w:r w:rsidRPr="00997855" w:rsidR="0004624B">
        <w:t xml:space="preserve">  </w:t>
      </w:r>
      <w:r w:rsidR="008B6D89">
        <w:t>In</w:t>
      </w:r>
      <w:r w:rsidR="007300FE">
        <w:t xml:space="preserve"> fact</w:t>
      </w:r>
      <w:r w:rsidR="008B6D89">
        <w:t xml:space="preserve">, courts have </w:t>
      </w:r>
      <w:r w:rsidR="00DE32D2">
        <w:t xml:space="preserve">characterized </w:t>
      </w:r>
      <w:r w:rsidR="00BD5EB3">
        <w:t xml:space="preserve">the duty of inquiry </w:t>
      </w:r>
      <w:r w:rsidR="00DE32D2">
        <w:t xml:space="preserve">as “slight and swift.”  </w:t>
      </w:r>
      <w:r w:rsidRPr="007932EF" w:rsidR="007932EF">
        <w:t>(</w:t>
      </w:r>
      <w:r w:rsidRPr="009607DC" w:rsidR="007932EF">
        <w:rPr>
          <w:i/>
          <w:iCs/>
        </w:rPr>
        <w:t>In re S.S.</w:t>
      </w:r>
      <w:r w:rsidR="007932EF">
        <w:t xml:space="preserve"> (2023) 90 Cal.App</w:t>
      </w:r>
      <w:r w:rsidR="00853A4A">
        <w:t xml:space="preserve">.5th 694, 698; see also </w:t>
      </w:r>
      <w:r w:rsidRPr="009607DC" w:rsidR="007932EF">
        <w:rPr>
          <w:i/>
          <w:iCs/>
        </w:rPr>
        <w:t>K.H.</w:t>
      </w:r>
      <w:r w:rsidRPr="007932EF" w:rsidR="007932EF">
        <w:t xml:space="preserve">, </w:t>
      </w:r>
      <w:r w:rsidRPr="009607DC" w:rsidR="007932EF">
        <w:rPr>
          <w:i/>
          <w:iCs/>
        </w:rPr>
        <w:t>supra</w:t>
      </w:r>
      <w:r w:rsidRPr="007932EF" w:rsidR="007932EF">
        <w:t>, 84 Cal.App.5th at p. 619</w:t>
      </w:r>
      <w:r w:rsidR="00853A4A">
        <w:t xml:space="preserve"> [</w:t>
      </w:r>
      <w:r w:rsidR="00D25AD4">
        <w:t>“</w:t>
      </w:r>
      <w:r w:rsidR="00201B17">
        <w:t xml:space="preserve">we do not believe that </w:t>
      </w:r>
      <w:r w:rsidRPr="007932EF" w:rsidR="00D25AD4">
        <w:t>requiring agencies and juvenile courts to ensure fulfillment of the most basic duties of inquiry required under ICWA adds measurably to” burden on agencies and courts</w:t>
      </w:r>
      <w:r w:rsidR="00853A4A">
        <w:t>]</w:t>
      </w:r>
      <w:r w:rsidRPr="007932EF" w:rsidR="007932EF">
        <w:t xml:space="preserve">; </w:t>
      </w:r>
      <w:r w:rsidRPr="009607DC" w:rsidR="007932EF">
        <w:rPr>
          <w:i/>
          <w:iCs/>
        </w:rPr>
        <w:t>A.R.</w:t>
      </w:r>
      <w:r w:rsidRPr="007D379F" w:rsidR="007932EF">
        <w:t>,</w:t>
      </w:r>
      <w:r w:rsidRPr="007932EF" w:rsidR="007932EF">
        <w:t xml:space="preserve"> </w:t>
      </w:r>
      <w:r w:rsidRPr="009607DC" w:rsidR="007932EF">
        <w:rPr>
          <w:i/>
          <w:iCs/>
        </w:rPr>
        <w:t>supra</w:t>
      </w:r>
      <w:r w:rsidRPr="007932EF" w:rsidR="007932EF">
        <w:t>, 77 Cal.App.5th at p. 207 [delay in finality “need not be a significant one</w:t>
      </w:r>
      <w:r w:rsidRPr="00FF3199" w:rsidR="007932EF">
        <w:t xml:space="preserve">”].)  </w:t>
      </w:r>
      <w:r w:rsidRPr="00FF3199" w:rsidR="00C61257">
        <w:t>T</w:t>
      </w:r>
      <w:r w:rsidRPr="00FF3199" w:rsidR="00341972">
        <w:t xml:space="preserve">he parties may </w:t>
      </w:r>
      <w:r w:rsidRPr="00FF3199" w:rsidR="00C61257">
        <w:t xml:space="preserve">also </w:t>
      </w:r>
      <w:r w:rsidRPr="00FF3199" w:rsidR="00341972">
        <w:t>expedite the process of resolving</w:t>
      </w:r>
      <w:r w:rsidRPr="00FF3199" w:rsidR="00C61257">
        <w:t xml:space="preserve"> </w:t>
      </w:r>
      <w:r w:rsidRPr="00FF3199" w:rsidR="00040746">
        <w:t>inadequate Cal-</w:t>
      </w:r>
      <w:r w:rsidRPr="00FF3199" w:rsidR="00C61257">
        <w:t>ICWA inquir</w:t>
      </w:r>
      <w:r w:rsidRPr="00FF3199" w:rsidR="00E31E21">
        <w:t>ies</w:t>
      </w:r>
      <w:r w:rsidRPr="00040746" w:rsidR="00D203FB">
        <w:t xml:space="preserve"> </w:t>
      </w:r>
      <w:r w:rsidRPr="00040746" w:rsidR="00341972">
        <w:t>by stipulating to a conditional reversal and the immediate issuance of the remittitur to give the juvenile court jurisdiction to order ICWA compliance.</w:t>
      </w:r>
      <w:r w:rsidRPr="00997855" w:rsidR="00341972">
        <w:t xml:space="preserve">  (See </w:t>
      </w:r>
      <w:r w:rsidRPr="00997855" w:rsidR="00900353">
        <w:rPr>
          <w:i/>
          <w:iCs/>
        </w:rPr>
        <w:t xml:space="preserve">In re </w:t>
      </w:r>
      <w:r w:rsidRPr="00997855" w:rsidR="00341972">
        <w:rPr>
          <w:i/>
          <w:iCs/>
        </w:rPr>
        <w:t>Ricky R.</w:t>
      </w:r>
      <w:r w:rsidRPr="00997855" w:rsidR="00B7456B">
        <w:t xml:space="preserve"> </w:t>
      </w:r>
      <w:r w:rsidRPr="00997855" w:rsidR="00B46A6D">
        <w:t>(2022)</w:t>
      </w:r>
      <w:r w:rsidRPr="00997855" w:rsidR="00D643B8">
        <w:t xml:space="preserve"> </w:t>
      </w:r>
      <w:r w:rsidRPr="00997855" w:rsidR="00341972">
        <w:t xml:space="preserve">82 Cal.App.5th </w:t>
      </w:r>
      <w:r w:rsidRPr="00997855" w:rsidR="002606FC">
        <w:t>671,</w:t>
      </w:r>
      <w:r w:rsidRPr="00997855" w:rsidR="00D643B8">
        <w:t xml:space="preserve"> </w:t>
      </w:r>
      <w:r w:rsidRPr="00997855" w:rsidR="00341972">
        <w:t>683.)</w:t>
      </w:r>
      <w:r w:rsidRPr="00C62743">
        <w:t xml:space="preserve"> </w:t>
      </w:r>
      <w:r>
        <w:t xml:space="preserve"> </w:t>
      </w:r>
      <w:r w:rsidR="00411E2C">
        <w:t>W</w:t>
      </w:r>
      <w:r>
        <w:t>e conclude that when a</w:t>
      </w:r>
      <w:r w:rsidR="009741FF">
        <w:t xml:space="preserve"> Cal-ICWA</w:t>
      </w:r>
      <w:r>
        <w:t xml:space="preserve"> inquiry is inadequate, conditional reversal </w:t>
      </w:r>
      <w:r w:rsidR="001A1E9E">
        <w:t>to undertake th</w:t>
      </w:r>
      <w:r w:rsidR="00DC1679">
        <w:t>e</w:t>
      </w:r>
      <w:r w:rsidR="001A1E9E">
        <w:t xml:space="preserve"> simple task </w:t>
      </w:r>
      <w:r w:rsidR="00DC1679">
        <w:t xml:space="preserve">of inquiry </w:t>
      </w:r>
      <w:r>
        <w:t xml:space="preserve">best balances the weighty interests </w:t>
      </w:r>
      <w:r w:rsidR="00CF0747">
        <w:t>of Indian children and tribes under ICWA</w:t>
      </w:r>
      <w:r w:rsidR="00411E2C">
        <w:t xml:space="preserve"> on the one hand</w:t>
      </w:r>
      <w:r w:rsidR="00CF0747">
        <w:t>, and the interests of dependent children in permanency and stability on the other</w:t>
      </w:r>
      <w:r w:rsidR="00115B71">
        <w:t>,</w:t>
      </w:r>
      <w:r w:rsidR="00CF0747">
        <w:t xml:space="preserve"> </w:t>
      </w:r>
      <w:r>
        <w:t xml:space="preserve">because </w:t>
      </w:r>
      <w:r w:rsidR="00BE304C">
        <w:t xml:space="preserve">it </w:t>
      </w:r>
      <w:r w:rsidR="005809E1">
        <w:t xml:space="preserve">ensures finality of </w:t>
      </w:r>
      <w:r w:rsidR="00C36206">
        <w:t xml:space="preserve">dependency </w:t>
      </w:r>
      <w:r w:rsidR="005809E1">
        <w:t>judgments</w:t>
      </w:r>
      <w:r w:rsidRPr="00997855">
        <w:t xml:space="preserve">.  </w:t>
      </w:r>
      <w:r w:rsidR="00E24D8B">
        <w:t xml:space="preserve">(Accord, </w:t>
      </w:r>
      <w:r w:rsidR="00E24D8B">
        <w:rPr>
          <w:i/>
          <w:iCs/>
        </w:rPr>
        <w:t>Isaiah W.</w:t>
      </w:r>
      <w:r w:rsidR="00E24D8B">
        <w:t xml:space="preserve">, </w:t>
      </w:r>
      <w:r w:rsidR="00E24D8B">
        <w:rPr>
          <w:i/>
          <w:iCs/>
        </w:rPr>
        <w:t>supra</w:t>
      </w:r>
      <w:r w:rsidR="00E24D8B">
        <w:t>, 1 Cal.5th at p. 15 [</w:t>
      </w:r>
      <w:r w:rsidR="00334E26">
        <w:t>“</w:t>
      </w:r>
      <w:r w:rsidR="000E7CD5">
        <w:t> </w:t>
      </w:r>
      <w:r w:rsidR="00334E26">
        <w:t>‘</w:t>
      </w:r>
      <w:r w:rsidR="000E7CD5">
        <w:t> </w:t>
      </w:r>
      <w:r w:rsidR="00334E26">
        <w:t>“To maintain stability in placements of children in juvenile proceedings, it is preferable to err on the side of giving notice and examining thoroughly whether the juvenile is an Indian child.</w:t>
      </w:r>
      <w:r w:rsidR="000E7CD5">
        <w:t>” ’ ”</w:t>
      </w:r>
      <w:r w:rsidR="00E24D8B">
        <w:t>]</w:t>
      </w:r>
      <w:r w:rsidR="00334E26">
        <w:t>.)</w:t>
      </w:r>
      <w:r w:rsidR="00E24D8B">
        <w:rPr>
          <w:i/>
          <w:iCs/>
        </w:rPr>
        <w:t xml:space="preserve"> </w:t>
      </w:r>
      <w:r w:rsidRPr="00817714" w:rsidR="00334E26">
        <w:t xml:space="preserve"> </w:t>
      </w:r>
      <w:r w:rsidRPr="00997855">
        <w:t xml:space="preserve">In any event, </w:t>
      </w:r>
      <w:r w:rsidRPr="00E97149">
        <w:t xml:space="preserve">when </w:t>
      </w:r>
      <w:r w:rsidRPr="00E97149" w:rsidR="007A44EB">
        <w:t xml:space="preserve">a </w:t>
      </w:r>
      <w:r w:rsidRPr="00E97149" w:rsidR="00564181">
        <w:t>Cal-</w:t>
      </w:r>
      <w:r w:rsidRPr="00E97149">
        <w:t>ICWA inquiry</w:t>
      </w:r>
      <w:r w:rsidRPr="00E97149" w:rsidR="007A44EB">
        <w:t xml:space="preserve"> is inadequate</w:t>
      </w:r>
      <w:r>
        <w:t xml:space="preserve">, </w:t>
      </w:r>
      <w:r w:rsidRPr="00997855">
        <w:t>a conditional reversal likely will inject far less delay than per se reversal of the entire judgment.</w:t>
      </w:r>
      <w:r>
        <w:rPr>
          <w:rStyle w:val="FootnoteReference"/>
        </w:rPr>
        <w:footnoteReference w:id="15"/>
      </w:r>
    </w:p>
    <w:p w:rsidR="005410AF" w:rsidRPr="00997855" w:rsidP="00997855" w14:paraId="14BFB1D7" w14:textId="2240AC69">
      <w:pPr>
        <w:ind w:firstLine="720"/>
      </w:pPr>
      <w:r w:rsidRPr="00997855">
        <w:t xml:space="preserve">It may be </w:t>
      </w:r>
      <w:r w:rsidRPr="00997855" w:rsidR="00773016">
        <w:t>that in m</w:t>
      </w:r>
      <w:r w:rsidRPr="00997855" w:rsidR="004428B9">
        <w:t>any</w:t>
      </w:r>
      <w:r w:rsidRPr="00997855" w:rsidR="00773016">
        <w:t xml:space="preserve"> cases, </w:t>
      </w:r>
      <w:r w:rsidRPr="00997855" w:rsidR="00D643B8">
        <w:t>a</w:t>
      </w:r>
      <w:r w:rsidRPr="00997855" w:rsidR="00773016">
        <w:t xml:space="preserve">n </w:t>
      </w:r>
      <w:r w:rsidRPr="00997855">
        <w:t xml:space="preserve">adequate </w:t>
      </w:r>
      <w:r w:rsidRPr="00997855" w:rsidR="00773016">
        <w:t xml:space="preserve">inquiry will reveal no reason to believe the child is Indian.  </w:t>
      </w:r>
      <w:r w:rsidR="001424E7">
        <w:t>The dissent</w:t>
      </w:r>
      <w:r w:rsidR="00E45C25">
        <w:t xml:space="preserve"> </w:t>
      </w:r>
      <w:r w:rsidR="001424E7">
        <w:t xml:space="preserve">notes </w:t>
      </w:r>
      <w:r w:rsidR="001B092A">
        <w:t>mother’s counsel conceded at oral argument that the likelihood of the tribe actually intervening and removing a child from placement is minimal.</w:t>
      </w:r>
      <w:r>
        <w:rPr>
          <w:rStyle w:val="FootnoteReference"/>
        </w:rPr>
        <w:footnoteReference w:id="16"/>
      </w:r>
      <w:r w:rsidR="001B092A">
        <w:t xml:space="preserve">  </w:t>
      </w:r>
      <w:r w:rsidRPr="00997855" w:rsidR="00773016">
        <w:t>ICWA and Cal-ICWA</w:t>
      </w:r>
      <w:r w:rsidRPr="00997855" w:rsidR="00015B36">
        <w:t>, however,</w:t>
      </w:r>
      <w:r w:rsidRPr="00997855" w:rsidR="00773016">
        <w:t xml:space="preserve"> make clear that </w:t>
      </w:r>
      <w:r w:rsidRPr="00997855" w:rsidR="005B4C1C">
        <w:t xml:space="preserve">the </w:t>
      </w:r>
      <w:r w:rsidRPr="00997855" w:rsidR="00773016">
        <w:t xml:space="preserve">inquiry is not concerned with the outcome, but rather with the protection of tribal rights, including </w:t>
      </w:r>
      <w:r w:rsidRPr="00997855" w:rsidR="00C2162E">
        <w:t xml:space="preserve">the tribes’ </w:t>
      </w:r>
      <w:r w:rsidRPr="00997855" w:rsidR="00773016">
        <w:t>right to determine whether a child is an Indian child.</w:t>
      </w:r>
      <w:r>
        <w:rPr>
          <w:rStyle w:val="FootnoteReference"/>
        </w:rPr>
        <w:footnoteReference w:id="17"/>
      </w:r>
      <w:r w:rsidR="007B207A">
        <w:t xml:space="preserve"> </w:t>
      </w:r>
      <w:r w:rsidRPr="00997855" w:rsidR="00773016">
        <w:t xml:space="preserve"> “[A]bsent a reasonable inquiry at the outset, the opportunity to gather information relevant to the inquiry is often missed entirely.”  (</w:t>
      </w:r>
      <w:r w:rsidRPr="00997855" w:rsidR="00773016">
        <w:rPr>
          <w:i/>
          <w:iCs/>
        </w:rPr>
        <w:t>K.H.</w:t>
      </w:r>
      <w:r w:rsidRPr="00997855" w:rsidR="00773016">
        <w:t xml:space="preserve">, </w:t>
      </w:r>
      <w:r w:rsidRPr="00997855" w:rsidR="00773016">
        <w:rPr>
          <w:i/>
          <w:iCs/>
        </w:rPr>
        <w:t>supra</w:t>
      </w:r>
      <w:r w:rsidRPr="00997855" w:rsidR="00773016">
        <w:t>, 84 Cal.App.5th at p.</w:t>
      </w:r>
      <w:r w:rsidRPr="00997855" w:rsidR="006826FF">
        <w:t> </w:t>
      </w:r>
      <w:r w:rsidRPr="00997855" w:rsidR="00773016">
        <w:t>615.)</w:t>
      </w:r>
    </w:p>
    <w:p w:rsidR="00A37A7B" w:rsidRPr="00997855" w:rsidP="00997855" w14:paraId="5FBB7FCC" w14:textId="15B72215">
      <w:pPr>
        <w:ind w:firstLine="720"/>
      </w:pPr>
      <w:r w:rsidRPr="00A110AC">
        <w:t>It is</w:t>
      </w:r>
      <w:r w:rsidRPr="00A110AC" w:rsidR="00130670">
        <w:t xml:space="preserve"> also</w:t>
      </w:r>
      <w:r w:rsidRPr="00A110AC">
        <w:t xml:space="preserve"> true that any finding the trial court makes after remand will be appealable by the parents.</w:t>
      </w:r>
      <w:r w:rsidRPr="00997855">
        <w:t xml:space="preserve">  </w:t>
      </w:r>
      <w:r w:rsidRPr="001358F8" w:rsidR="00B317AD">
        <w:t xml:space="preserve">As we have noted, however, </w:t>
      </w:r>
      <w:r w:rsidRPr="001358F8" w:rsidR="00120713">
        <w:t>the juvenile court’s finding regarding the adequacy of the inquiry and ICWA’s applicability is subject to a deferential standard of review.</w:t>
      </w:r>
      <w:r w:rsidR="00120713">
        <w:t xml:space="preserve">  </w:t>
      </w:r>
      <w:r w:rsidR="0046593C">
        <w:t xml:space="preserve">Further, </w:t>
      </w:r>
      <w:r w:rsidRPr="00997855">
        <w:t xml:space="preserve">child welfare agencies can avoid </w:t>
      </w:r>
      <w:r w:rsidR="004F2B70">
        <w:t xml:space="preserve">repeated remands </w:t>
      </w:r>
      <w:r w:rsidRPr="00997855">
        <w:t xml:space="preserve">by </w:t>
      </w:r>
      <w:r w:rsidRPr="00997855" w:rsidR="00BA1430">
        <w:t xml:space="preserve">conducting an adequate inquiry </w:t>
      </w:r>
      <w:r w:rsidRPr="00997855" w:rsidR="00E74C7E">
        <w:t xml:space="preserve">as soon as possible and continuing to abide by </w:t>
      </w:r>
      <w:r w:rsidRPr="00997855" w:rsidR="004428B9">
        <w:t>their</w:t>
      </w:r>
      <w:r w:rsidRPr="00997855" w:rsidR="00E74C7E">
        <w:t xml:space="preserve"> statutory inquiry obligations throughout dependency proceedings</w:t>
      </w:r>
      <w:r w:rsidRPr="00997855">
        <w:t xml:space="preserve">.  </w:t>
      </w:r>
      <w:r w:rsidRPr="00997855" w:rsidR="00836B90">
        <w:t>Moreover, while</w:t>
      </w:r>
      <w:r w:rsidRPr="00997855" w:rsidR="005F08EE">
        <w:t xml:space="preserve"> a parent</w:t>
      </w:r>
      <w:r w:rsidRPr="00997855">
        <w:t xml:space="preserve"> will have a right to appeal from any juvenile court order updating its ICWA findings </w:t>
      </w:r>
      <w:r w:rsidRPr="00997855" w:rsidR="00244B30">
        <w:t>following conditional reversal</w:t>
      </w:r>
      <w:r w:rsidRPr="00997855">
        <w:t>, that order will not be stayed pending appeal.  (§ 395, subd. (a)(1).)</w:t>
      </w:r>
    </w:p>
    <w:p w:rsidR="00CB56C5" w:rsidRPr="00997855" w:rsidP="00997855" w14:paraId="05432F52" w14:textId="45528906">
      <w:pPr>
        <w:ind w:firstLine="720"/>
      </w:pPr>
      <w:r w:rsidRPr="00997855">
        <w:t>The Department</w:t>
      </w:r>
      <w:r w:rsidRPr="00997855" w:rsidR="006B136C">
        <w:t xml:space="preserve"> </w:t>
      </w:r>
      <w:r w:rsidRPr="00997855" w:rsidR="006F11FC">
        <w:t xml:space="preserve">argues that a clear rule of reversal </w:t>
      </w:r>
      <w:r w:rsidRPr="00997855" w:rsidR="00576FBD">
        <w:t xml:space="preserve">should be rejected because </w:t>
      </w:r>
      <w:r w:rsidRPr="00997855" w:rsidR="00602920">
        <w:t xml:space="preserve">the Legislature did not require automatic </w:t>
      </w:r>
      <w:r w:rsidRPr="00E31E21" w:rsidR="001A598B">
        <w:t>Cal-</w:t>
      </w:r>
      <w:r w:rsidRPr="00E31E21" w:rsidR="00602920">
        <w:t>ICWA</w:t>
      </w:r>
      <w:r w:rsidRPr="00997855" w:rsidR="00602920">
        <w:t xml:space="preserve"> appeals</w:t>
      </w:r>
      <w:r w:rsidRPr="00997855" w:rsidR="000D51C5">
        <w:t xml:space="preserve"> and </w:t>
      </w:r>
      <w:r w:rsidRPr="00997855" w:rsidR="00583C21">
        <w:t xml:space="preserve">did not </w:t>
      </w:r>
      <w:r w:rsidRPr="00997855" w:rsidR="0031760F">
        <w:t xml:space="preserve">designate tribes as real parties in interest to dependency proceedings.  </w:t>
      </w:r>
      <w:r w:rsidRPr="00997855" w:rsidR="009B784D">
        <w:t xml:space="preserve">The fact that the Legislature </w:t>
      </w:r>
      <w:r w:rsidRPr="00997855" w:rsidR="006139BA">
        <w:t xml:space="preserve">has not </w:t>
      </w:r>
      <w:r w:rsidRPr="00997855" w:rsidR="004428B9">
        <w:t>designated</w:t>
      </w:r>
      <w:r w:rsidRPr="00997855" w:rsidR="007F08DE">
        <w:t xml:space="preserve"> specific procedural paths to ensure </w:t>
      </w:r>
      <w:r w:rsidRPr="00997855" w:rsidR="00997899">
        <w:t>Cal-</w:t>
      </w:r>
      <w:r w:rsidRPr="00997855" w:rsidR="007F08DE">
        <w:t xml:space="preserve">ICWA compliance does not mean that compliance with </w:t>
      </w:r>
      <w:r w:rsidRPr="00997855" w:rsidR="00997899">
        <w:t>Cal-</w:t>
      </w:r>
      <w:r w:rsidRPr="00997855" w:rsidR="007F08DE">
        <w:t xml:space="preserve">ICWA can be sidestepped or is unimportant.  </w:t>
      </w:r>
      <w:r w:rsidRPr="00997855" w:rsidR="001528E4">
        <w:t>Without an adequate inquiry, tribes will not know whether a child is an Indian child and will not</w:t>
      </w:r>
      <w:r w:rsidRPr="00997855" w:rsidR="00C05319">
        <w:t xml:space="preserve"> receive notice or</w:t>
      </w:r>
      <w:r w:rsidRPr="00997855" w:rsidR="001528E4">
        <w:t xml:space="preserve"> have standing to intervene in dependency case</w:t>
      </w:r>
      <w:r w:rsidRPr="00997855" w:rsidR="00997899">
        <w:t>s</w:t>
      </w:r>
      <w:r w:rsidRPr="00997855" w:rsidR="001528E4">
        <w:t>.</w:t>
      </w:r>
    </w:p>
    <w:p w:rsidR="006D787D" w:rsidRPr="00997855" w:rsidP="00997855" w14:paraId="031BC3E7" w14:textId="033F561D">
      <w:pPr>
        <w:ind w:firstLine="720"/>
      </w:pPr>
      <w:r w:rsidRPr="00997855">
        <w:t xml:space="preserve">In sum, </w:t>
      </w:r>
      <w:r w:rsidRPr="00997855" w:rsidR="0086211E">
        <w:t xml:space="preserve">when an initial </w:t>
      </w:r>
      <w:r w:rsidRPr="00E31E21" w:rsidR="001A598B">
        <w:t>Cal-</w:t>
      </w:r>
      <w:r w:rsidRPr="00E31E21" w:rsidR="0086211E">
        <w:t>ICWA</w:t>
      </w:r>
      <w:r w:rsidRPr="00997855" w:rsidR="0086211E">
        <w:t xml:space="preserve"> inquiry is inadequate, </w:t>
      </w:r>
      <w:r w:rsidRPr="00997855" w:rsidR="00B45165">
        <w:t xml:space="preserve">conditional reversal </w:t>
      </w:r>
      <w:r w:rsidRPr="00997855" w:rsidR="00F554AF">
        <w:t xml:space="preserve">is warranted in order </w:t>
      </w:r>
      <w:r w:rsidRPr="00997855" w:rsidR="00B45165">
        <w:t xml:space="preserve">to </w:t>
      </w:r>
      <w:r w:rsidR="00AA3F28">
        <w:t xml:space="preserve">develop the record and </w:t>
      </w:r>
      <w:r w:rsidRPr="00997855" w:rsidR="00527C24">
        <w:t>cure the inadequacy</w:t>
      </w:r>
      <w:r w:rsidRPr="00997855" w:rsidR="00F554AF">
        <w:t xml:space="preserve">.  </w:t>
      </w:r>
      <w:r w:rsidRPr="00997855" w:rsidR="00537770">
        <w:t xml:space="preserve">This rule </w:t>
      </w:r>
      <w:r w:rsidRPr="00997855" w:rsidR="00784D5E">
        <w:t>protect</w:t>
      </w:r>
      <w:r w:rsidR="00784D5E">
        <w:t>s</w:t>
      </w:r>
      <w:r w:rsidRPr="00997855" w:rsidR="00784D5E">
        <w:t xml:space="preserve"> the interests of parents, child</w:t>
      </w:r>
      <w:r w:rsidR="005C0A1E">
        <w:t>ren</w:t>
      </w:r>
      <w:r w:rsidRPr="00997855" w:rsidR="00784D5E">
        <w:t>, and tribe</w:t>
      </w:r>
      <w:r w:rsidR="005C0A1E">
        <w:t>s</w:t>
      </w:r>
      <w:r w:rsidR="00862793">
        <w:t>,</w:t>
      </w:r>
      <w:r w:rsidRPr="00997855" w:rsidR="00784D5E">
        <w:t xml:space="preserve"> </w:t>
      </w:r>
      <w:r w:rsidRPr="00997855" w:rsidR="00C26CC6">
        <w:t>ensures agencies and courts are complying with their statutorily prescribed duties</w:t>
      </w:r>
      <w:r w:rsidR="00862793">
        <w:t>,</w:t>
      </w:r>
      <w:r w:rsidRPr="00997855" w:rsidR="00C26CC6">
        <w:t xml:space="preserve"> </w:t>
      </w:r>
      <w:r w:rsidRPr="00997855" w:rsidR="00527C24">
        <w:t xml:space="preserve">and protects </w:t>
      </w:r>
      <w:r w:rsidRPr="00997855" w:rsidR="00906C8C">
        <w:t xml:space="preserve">the </w:t>
      </w:r>
      <w:r w:rsidRPr="00997855" w:rsidR="006D12F7">
        <w:t>permane</w:t>
      </w:r>
      <w:r w:rsidRPr="00997855" w:rsidR="00FC423E">
        <w:t xml:space="preserve">ncy of </w:t>
      </w:r>
      <w:r w:rsidRPr="00997855" w:rsidR="00C42036">
        <w:t xml:space="preserve">dependency </w:t>
      </w:r>
      <w:r w:rsidRPr="00997855" w:rsidR="00FC423E">
        <w:t>judgments</w:t>
      </w:r>
      <w:r w:rsidRPr="00997855" w:rsidR="000C43F0">
        <w:t>.</w:t>
      </w:r>
    </w:p>
    <w:p w:rsidR="004F127F" w:rsidRPr="00997855" w:rsidP="00997855" w14:paraId="32ACCF4C" w14:textId="08B0DBA1">
      <w:pPr>
        <w:pStyle w:val="Heading2"/>
        <w:rPr>
          <w:b w:val="0"/>
          <w:bCs/>
        </w:rPr>
      </w:pPr>
      <w:r w:rsidRPr="00997855">
        <w:t>F.</w:t>
      </w:r>
      <w:r w:rsidRPr="00997855">
        <w:tab/>
      </w:r>
      <w:r w:rsidRPr="00997855" w:rsidR="00AA3DFA">
        <w:t xml:space="preserve">The Department Fails </w:t>
      </w:r>
      <w:r w:rsidR="002B5F1D">
        <w:t>T</w:t>
      </w:r>
      <w:r w:rsidRPr="00997855" w:rsidR="00AA3DFA">
        <w:t xml:space="preserve">o Persuade that </w:t>
      </w:r>
      <w:r w:rsidR="002B5F1D">
        <w:t>t</w:t>
      </w:r>
      <w:r w:rsidRPr="00997855" w:rsidR="00E41097">
        <w:t>he Reason</w:t>
      </w:r>
      <w:r w:rsidRPr="00997855" w:rsidR="008B03BF">
        <w:t>-</w:t>
      </w:r>
      <w:r w:rsidRPr="00997855" w:rsidR="00E41097">
        <w:t>to</w:t>
      </w:r>
      <w:r w:rsidRPr="00997855" w:rsidR="008B03BF">
        <w:t>-</w:t>
      </w:r>
      <w:r w:rsidRPr="00997855" w:rsidR="00E41097">
        <w:t>Believe Rule</w:t>
      </w:r>
      <w:r w:rsidRPr="00997855" w:rsidR="00AA3DFA">
        <w:t xml:space="preserve"> Should Apply </w:t>
      </w:r>
      <w:r w:rsidRPr="00E31E21" w:rsidR="00DE3D51">
        <w:t>W</w:t>
      </w:r>
      <w:r w:rsidRPr="00E31E21" w:rsidR="00F72BE5">
        <w:t xml:space="preserve">hen </w:t>
      </w:r>
      <w:r w:rsidRPr="00E31E21" w:rsidR="00303DB0">
        <w:t>Cal-</w:t>
      </w:r>
      <w:r w:rsidRPr="00E31E21" w:rsidR="00FE3FAE">
        <w:t>ICWA</w:t>
      </w:r>
      <w:r w:rsidRPr="00997855" w:rsidR="00FE3FAE">
        <w:t xml:space="preserve"> Inquiries</w:t>
      </w:r>
      <w:r w:rsidRPr="00997855" w:rsidR="00F72BE5">
        <w:t xml:space="preserve"> </w:t>
      </w:r>
      <w:r w:rsidR="00E11E7D">
        <w:t>A</w:t>
      </w:r>
      <w:r w:rsidRPr="00997855" w:rsidR="004D1095">
        <w:t>re Inadequate</w:t>
      </w:r>
    </w:p>
    <w:p w:rsidR="00650983" w:rsidRPr="00997855" w:rsidP="00997855" w14:paraId="1361B62D" w14:textId="10E65869">
      <w:pPr>
        <w:tabs>
          <w:tab w:val="left" w:pos="720"/>
        </w:tabs>
      </w:pPr>
      <w:r w:rsidRPr="00997855">
        <w:tab/>
      </w:r>
      <w:r w:rsidRPr="00997855" w:rsidR="002A30FC">
        <w:t xml:space="preserve">As </w:t>
      </w:r>
      <w:r w:rsidR="001450CE">
        <w:t>we</w:t>
      </w:r>
      <w:r w:rsidRPr="00997855" w:rsidR="002A30FC">
        <w:t xml:space="preserve"> have </w:t>
      </w:r>
      <w:r w:rsidRPr="00997855" w:rsidR="007F2945">
        <w:t>noted</w:t>
      </w:r>
      <w:r w:rsidRPr="00997855" w:rsidR="002A30FC">
        <w:t>, the</w:t>
      </w:r>
      <w:r w:rsidRPr="00997855" w:rsidR="00F763CF">
        <w:t xml:space="preserve"> </w:t>
      </w:r>
      <w:r w:rsidRPr="00997855">
        <w:t xml:space="preserve">Department </w:t>
      </w:r>
      <w:r w:rsidRPr="00997855" w:rsidR="00F763CF">
        <w:t>argues</w:t>
      </w:r>
      <w:r w:rsidRPr="00997855" w:rsidR="0075368C">
        <w:t xml:space="preserve"> th</w:t>
      </w:r>
      <w:r w:rsidRPr="00997855" w:rsidR="007F2945">
        <w:t>e reason</w:t>
      </w:r>
      <w:r w:rsidRPr="00997855" w:rsidR="00B6744B">
        <w:t>-</w:t>
      </w:r>
      <w:r w:rsidRPr="00997855" w:rsidR="007F2945">
        <w:t>to</w:t>
      </w:r>
      <w:r w:rsidRPr="00997855" w:rsidR="00B6744B">
        <w:t>-</w:t>
      </w:r>
      <w:r w:rsidRPr="00997855" w:rsidR="007F2945">
        <w:t xml:space="preserve">believe rule </w:t>
      </w:r>
      <w:r w:rsidRPr="00997855" w:rsidR="004428B9">
        <w:t xml:space="preserve">announced </w:t>
      </w:r>
      <w:r w:rsidRPr="00997855" w:rsidR="007F2945">
        <w:t xml:space="preserve">by the Court of Appeal </w:t>
      </w:r>
      <w:r w:rsidRPr="00997855" w:rsidR="0075368C">
        <w:t xml:space="preserve">should be adopted because </w:t>
      </w:r>
      <w:r w:rsidRPr="00997855" w:rsidR="00450925">
        <w:t xml:space="preserve">it </w:t>
      </w:r>
      <w:r w:rsidRPr="00997855">
        <w:t xml:space="preserve">is consistent with the California Constitution’s requirement that a judgment not be set aside unless it results in a miscarriage of justice by </w:t>
      </w:r>
      <w:r w:rsidR="00331192">
        <w:t xml:space="preserve">affecting </w:t>
      </w:r>
      <w:r w:rsidRPr="00997855">
        <w:t>the outcome (</w:t>
      </w:r>
      <w:r w:rsidRPr="00997855" w:rsidR="004D1095">
        <w:t>in</w:t>
      </w:r>
      <w:r w:rsidRPr="00997855">
        <w:t xml:space="preserve"> this case, the juvenile court’s ICWA finding)</w:t>
      </w:r>
      <w:r w:rsidRPr="00997855" w:rsidR="0017791D">
        <w:t xml:space="preserve">.  </w:t>
      </w:r>
      <w:r w:rsidR="00A30C5C">
        <w:t>T</w:t>
      </w:r>
      <w:r w:rsidR="00586904">
        <w:t xml:space="preserve">he dissent also </w:t>
      </w:r>
      <w:r w:rsidR="00E91FE5">
        <w:t>favors the reason-to-believe rule</w:t>
      </w:r>
      <w:r w:rsidR="001B2775">
        <w:t xml:space="preserve">.  </w:t>
      </w:r>
      <w:r w:rsidRPr="00997855" w:rsidR="0017791D">
        <w:t>The Department maintains th</w:t>
      </w:r>
      <w:r w:rsidR="00A30C5C">
        <w:t>is</w:t>
      </w:r>
      <w:r w:rsidRPr="00997855" w:rsidR="0075368C">
        <w:t xml:space="preserve"> </w:t>
      </w:r>
      <w:r w:rsidRPr="00997855" w:rsidR="0017791D">
        <w:t>rule</w:t>
      </w:r>
      <w:r w:rsidRPr="00997855">
        <w:t xml:space="preserve"> best reconciles competing policy considerations at play when </w:t>
      </w:r>
      <w:r w:rsidRPr="006C37D6" w:rsidR="000D2B52">
        <w:t>Cal-</w:t>
      </w:r>
      <w:r w:rsidRPr="006C37D6">
        <w:t>ICWA</w:t>
      </w:r>
      <w:r w:rsidRPr="00997855">
        <w:t xml:space="preserve"> </w:t>
      </w:r>
      <w:r w:rsidRPr="00997855" w:rsidR="00D407DE">
        <w:t>compliance issue</w:t>
      </w:r>
      <w:r w:rsidRPr="00997855" w:rsidR="00BA6063">
        <w:t>s</w:t>
      </w:r>
      <w:r w:rsidRPr="00997855" w:rsidR="00D407DE">
        <w:t xml:space="preserve"> are</w:t>
      </w:r>
      <w:r w:rsidRPr="00997855">
        <w:t xml:space="preserve"> asserted late in the proceedings</w:t>
      </w:r>
      <w:r w:rsidRPr="00997855" w:rsidR="00071BEC">
        <w:t xml:space="preserve">, </w:t>
      </w:r>
      <w:r w:rsidRPr="00997855" w:rsidR="00C970D9">
        <w:t>includ</w:t>
      </w:r>
      <w:r w:rsidRPr="00997855" w:rsidR="00071BEC">
        <w:t>ing</w:t>
      </w:r>
      <w:r w:rsidRPr="00997855" w:rsidR="00A1343B">
        <w:t>:</w:t>
      </w:r>
      <w:r w:rsidR="006201C2">
        <w:t xml:space="preserve"> </w:t>
      </w:r>
      <w:r w:rsidRPr="00997855" w:rsidR="00C970D9">
        <w:t xml:space="preserve"> </w:t>
      </w:r>
      <w:r w:rsidRPr="00997855" w:rsidR="00A1343B">
        <w:t>(1)</w:t>
      </w:r>
      <w:r w:rsidRPr="00997855" w:rsidR="00761FC0">
        <w:t> </w:t>
      </w:r>
      <w:r w:rsidRPr="00997855" w:rsidR="00C970D9">
        <w:t xml:space="preserve">the interests of dependent children in </w:t>
      </w:r>
      <w:r w:rsidRPr="00997855" w:rsidR="005E5DA1">
        <w:t xml:space="preserve">permanency, </w:t>
      </w:r>
      <w:r w:rsidRPr="00997855" w:rsidR="00A1343B">
        <w:t>(2</w:t>
      </w:r>
      <w:r w:rsidRPr="00997855" w:rsidR="005D003F">
        <w:t>)</w:t>
      </w:r>
      <w:r w:rsidRPr="00997855" w:rsidR="00761FC0">
        <w:t> </w:t>
      </w:r>
      <w:r w:rsidRPr="00997855" w:rsidR="0079794C">
        <w:t xml:space="preserve">the interest in effectuating the rights of Indian tribes </w:t>
      </w:r>
      <w:r w:rsidRPr="00997855" w:rsidR="001B55B0">
        <w:t xml:space="preserve">by ensuring a determination of whether a child </w:t>
      </w:r>
      <w:r w:rsidRPr="00997855" w:rsidR="00057450">
        <w:t xml:space="preserve">may be </w:t>
      </w:r>
      <w:r w:rsidRPr="00997855" w:rsidR="001B55B0">
        <w:t>an Indian child</w:t>
      </w:r>
      <w:r w:rsidRPr="00997855" w:rsidR="000902CB">
        <w:t xml:space="preserve">, </w:t>
      </w:r>
      <w:r w:rsidRPr="00997855" w:rsidR="00735626">
        <w:t>(3)</w:t>
      </w:r>
      <w:r w:rsidRPr="00997855" w:rsidR="00761FC0">
        <w:t> </w:t>
      </w:r>
      <w:r w:rsidRPr="00997855" w:rsidR="002B6714">
        <w:t xml:space="preserve">the judicial branch’s interest in ensuring that the agency </w:t>
      </w:r>
      <w:r w:rsidRPr="00997855" w:rsidR="00192422">
        <w:t xml:space="preserve">gets the message that a proper initial inquiry </w:t>
      </w:r>
      <w:r w:rsidRPr="00997855" w:rsidR="00FA7E2C">
        <w:t xml:space="preserve">is critical, </w:t>
      </w:r>
      <w:r w:rsidRPr="00997855" w:rsidR="00850BF1">
        <w:t>and (4)</w:t>
      </w:r>
      <w:r w:rsidRPr="00997855" w:rsidR="00761FC0">
        <w:t> </w:t>
      </w:r>
      <w:r w:rsidRPr="00997855" w:rsidR="00850BF1">
        <w:t xml:space="preserve">the judicial branch’s interest in discouraging parents from engaging in gamesmanship and delaying objections to the adequacy of an inquiry until </w:t>
      </w:r>
      <w:r w:rsidRPr="00997855" w:rsidR="00C451E5">
        <w:t>parental rights have been terminated.</w:t>
      </w:r>
    </w:p>
    <w:p w:rsidR="00A53049" w:rsidP="00997855" w14:paraId="272342C0" w14:textId="70C96463">
      <w:pPr>
        <w:tabs>
          <w:tab w:val="left" w:pos="720"/>
        </w:tabs>
      </w:pPr>
      <w:r w:rsidRPr="00997855">
        <w:tab/>
      </w:r>
      <w:r w:rsidR="00B51CA2">
        <w:t xml:space="preserve">We reject </w:t>
      </w:r>
      <w:r w:rsidRPr="00997855" w:rsidR="008B6C2A">
        <w:t xml:space="preserve">the </w:t>
      </w:r>
      <w:r w:rsidRPr="00997855" w:rsidR="000E4D13">
        <w:t>reason</w:t>
      </w:r>
      <w:r w:rsidRPr="00997855" w:rsidR="00B6744B">
        <w:t>-</w:t>
      </w:r>
      <w:r w:rsidRPr="00997855" w:rsidR="000E4D13">
        <w:t>to</w:t>
      </w:r>
      <w:r w:rsidRPr="00997855" w:rsidR="00B6744B">
        <w:t>-</w:t>
      </w:r>
      <w:r w:rsidRPr="00997855" w:rsidR="000E4D13">
        <w:t xml:space="preserve">believe rule </w:t>
      </w:r>
      <w:r w:rsidR="00B51CA2">
        <w:t>as flawed</w:t>
      </w:r>
      <w:r w:rsidRPr="00997855" w:rsidR="002B62AB">
        <w:t xml:space="preserve">.  </w:t>
      </w:r>
      <w:r w:rsidR="00B51CA2">
        <w:t>B</w:t>
      </w:r>
      <w:r w:rsidRPr="00997855" w:rsidR="00661ED5">
        <w:t xml:space="preserve">y placing </w:t>
      </w:r>
      <w:r w:rsidRPr="00997855" w:rsidR="00286498">
        <w:t xml:space="preserve">the burden on parents to point to something in the record </w:t>
      </w:r>
      <w:r w:rsidRPr="00997855" w:rsidR="003113A1">
        <w:t xml:space="preserve">suggesting </w:t>
      </w:r>
      <w:r w:rsidRPr="00997855" w:rsidR="00286498">
        <w:t>there is a reason to believe a child might be an “Indian child</w:t>
      </w:r>
      <w:r w:rsidRPr="00997855" w:rsidR="003113A1">
        <w:t>,</w:t>
      </w:r>
      <w:r w:rsidRPr="00997855" w:rsidR="00286498">
        <w:t>”</w:t>
      </w:r>
      <w:r w:rsidRPr="00997855" w:rsidR="003113A1">
        <w:t xml:space="preserve"> the rule effectively</w:t>
      </w:r>
      <w:r w:rsidRPr="00997855" w:rsidR="00240907">
        <w:t xml:space="preserve"> shifts the obligation to conduct the inquiry </w:t>
      </w:r>
      <w:r w:rsidRPr="00997855" w:rsidR="007700A5">
        <w:t xml:space="preserve">away </w:t>
      </w:r>
      <w:r w:rsidRPr="00997855" w:rsidR="00240907">
        <w:t xml:space="preserve">from </w:t>
      </w:r>
      <w:r w:rsidRPr="00997855" w:rsidR="004719BB">
        <w:t>child welfare agencies and courts</w:t>
      </w:r>
      <w:r w:rsidRPr="00997855" w:rsidR="007700A5">
        <w:t xml:space="preserve"> to the parents.  </w:t>
      </w:r>
      <w:r w:rsidRPr="00997855" w:rsidR="00423217">
        <w:t xml:space="preserve">(See </w:t>
      </w:r>
      <w:r w:rsidRPr="00997855" w:rsidR="00423217">
        <w:rPr>
          <w:i/>
          <w:iCs/>
        </w:rPr>
        <w:t xml:space="preserve">Benjamin </w:t>
      </w:r>
      <w:r w:rsidR="00D37205">
        <w:rPr>
          <w:i/>
          <w:iCs/>
        </w:rPr>
        <w:t>M</w:t>
      </w:r>
      <w:r w:rsidRPr="00997855" w:rsidR="00423217">
        <w:rPr>
          <w:i/>
          <w:iCs/>
        </w:rPr>
        <w:t>.</w:t>
      </w:r>
      <w:r w:rsidRPr="00997855" w:rsidR="00423217">
        <w:t xml:space="preserve">, </w:t>
      </w:r>
      <w:r w:rsidRPr="00997855" w:rsidR="00423217">
        <w:rPr>
          <w:i/>
          <w:iCs/>
        </w:rPr>
        <w:t>supra</w:t>
      </w:r>
      <w:r w:rsidRPr="00997855" w:rsidR="00423217">
        <w:t>, 70</w:t>
      </w:r>
      <w:r w:rsidRPr="00997855" w:rsidR="00FE5E5F">
        <w:t> </w:t>
      </w:r>
      <w:r w:rsidRPr="00997855" w:rsidR="00423217">
        <w:t>Cal.App.5th</w:t>
      </w:r>
      <w:r w:rsidRPr="00997855" w:rsidR="00423217">
        <w:rPr>
          <w:i/>
          <w:iCs/>
        </w:rPr>
        <w:t xml:space="preserve"> </w:t>
      </w:r>
      <w:r w:rsidRPr="00997855" w:rsidR="00423217">
        <w:t xml:space="preserve">at p. 743; see also </w:t>
      </w:r>
      <w:r w:rsidRPr="00997855" w:rsidR="00423217">
        <w:rPr>
          <w:i/>
          <w:iCs/>
        </w:rPr>
        <w:t>In re V.</w:t>
      </w:r>
      <w:r w:rsidRPr="00997855" w:rsidR="004D2938">
        <w:rPr>
          <w:i/>
          <w:iCs/>
        </w:rPr>
        <w:t>C</w:t>
      </w:r>
      <w:r w:rsidRPr="00997855" w:rsidR="00423217">
        <w:rPr>
          <w:i/>
          <w:iCs/>
        </w:rPr>
        <w:t xml:space="preserve">. </w:t>
      </w:r>
      <w:r w:rsidRPr="00997855" w:rsidR="004D2938">
        <w:t>(2023) 95 Cal.App.5th 251</w:t>
      </w:r>
      <w:r w:rsidRPr="00997855" w:rsidR="0069479F">
        <w:t xml:space="preserve">, 261 [rejecting </w:t>
      </w:r>
      <w:r w:rsidRPr="00997855" w:rsidR="006630C5">
        <w:t>reason</w:t>
      </w:r>
      <w:r w:rsidRPr="00997855" w:rsidR="00B6744B">
        <w:t>-</w:t>
      </w:r>
      <w:r w:rsidRPr="00997855" w:rsidR="006630C5">
        <w:t>to</w:t>
      </w:r>
      <w:r w:rsidRPr="00997855" w:rsidR="00B6744B">
        <w:t>-</w:t>
      </w:r>
      <w:r w:rsidRPr="00997855" w:rsidR="006630C5">
        <w:t>believe rule because it “shifts the duty of developing information on Indian ancestry from the agency to the parents</w:t>
      </w:r>
      <w:r w:rsidRPr="00997855" w:rsidR="00D05427">
        <w:t>”]</w:t>
      </w:r>
      <w:r w:rsidRPr="00997855" w:rsidR="00423217">
        <w:t xml:space="preserve">.)  </w:t>
      </w:r>
      <w:r w:rsidRPr="00997855" w:rsidR="00790550">
        <w:t>This contravenes the Legislature’s intent</w:t>
      </w:r>
      <w:r w:rsidRPr="00997855" w:rsidR="00B9636D">
        <w:t xml:space="preserve"> which, as evinced by section 224.2’s plain language</w:t>
      </w:r>
      <w:r w:rsidRPr="00997855" w:rsidR="00E048CB">
        <w:t xml:space="preserve"> and legislative history</w:t>
      </w:r>
      <w:r w:rsidRPr="00997855" w:rsidR="00B9636D">
        <w:t xml:space="preserve">, </w:t>
      </w:r>
      <w:r w:rsidRPr="00997855" w:rsidR="00CF6FDE">
        <w:t xml:space="preserve">is to </w:t>
      </w:r>
      <w:r w:rsidRPr="00997855" w:rsidR="0021578A">
        <w:t xml:space="preserve">impose </w:t>
      </w:r>
      <w:r w:rsidRPr="00997855" w:rsidR="00790550">
        <w:t>the inquiry obligation on agencies and courts</w:t>
      </w:r>
      <w:r w:rsidR="00EB42FD">
        <w:t xml:space="preserve"> </w:t>
      </w:r>
      <w:r w:rsidRPr="00997855" w:rsidR="00E048CB">
        <w:t>in order to increase compliance with ICWA</w:t>
      </w:r>
      <w:r w:rsidRPr="00997855" w:rsidR="00790550">
        <w:t xml:space="preserve">.  </w:t>
      </w:r>
      <w:r w:rsidRPr="00997855" w:rsidR="000F4250">
        <w:t>(</w:t>
      </w:r>
      <w:r w:rsidRPr="00997855" w:rsidR="00D33267">
        <w:t xml:space="preserve">See </w:t>
      </w:r>
      <w:r w:rsidRPr="00997855" w:rsidR="000F4250">
        <w:t>§ 224.2, subd</w:t>
      </w:r>
      <w:r w:rsidRPr="00997855" w:rsidR="00D33267">
        <w:t>s</w:t>
      </w:r>
      <w:r w:rsidRPr="00997855" w:rsidR="000F4250">
        <w:t>. (a</w:t>
      </w:r>
      <w:r w:rsidRPr="00997855" w:rsidR="00D33267">
        <w:t>)–(c), (e).)</w:t>
      </w:r>
    </w:p>
    <w:p w:rsidR="00275D76" w:rsidP="00275D76" w14:paraId="08623B15" w14:textId="420317F4">
      <w:pPr>
        <w:ind w:firstLine="720"/>
      </w:pPr>
      <w:r w:rsidRPr="00545868">
        <w:t xml:space="preserve">The dissent contends that </w:t>
      </w:r>
      <w:r w:rsidRPr="00545868" w:rsidR="006A07D5">
        <w:t xml:space="preserve">shifting the burden to the parents is appropriate </w:t>
      </w:r>
      <w:r w:rsidRPr="00545868" w:rsidR="00427B12">
        <w:t xml:space="preserve">under </w:t>
      </w:r>
      <w:r w:rsidRPr="00545868" w:rsidR="00427B12">
        <w:rPr>
          <w:i/>
          <w:iCs/>
        </w:rPr>
        <w:t>Watson</w:t>
      </w:r>
      <w:r w:rsidRPr="00545868" w:rsidR="00427B12">
        <w:t>.</w:t>
      </w:r>
      <w:r w:rsidR="00427B12">
        <w:rPr>
          <w:i/>
          <w:iCs/>
        </w:rPr>
        <w:t xml:space="preserve"> </w:t>
      </w:r>
      <w:r w:rsidR="00427B12">
        <w:t xml:space="preserve"> (Di</w:t>
      </w:r>
      <w:r w:rsidR="00D525C5">
        <w:t>s. opn.</w:t>
      </w:r>
      <w:r w:rsidR="00FD67F7">
        <w:t xml:space="preserve"> of Groban, J.</w:t>
      </w:r>
      <w:r w:rsidR="00D525C5">
        <w:t xml:space="preserve">, </w:t>
      </w:r>
      <w:r w:rsidRPr="00875896" w:rsidR="00D525C5">
        <w:rPr>
          <w:i/>
          <w:iCs/>
        </w:rPr>
        <w:t>post</w:t>
      </w:r>
      <w:r w:rsidR="00D525C5">
        <w:t xml:space="preserve">, at pp. </w:t>
      </w:r>
      <w:r w:rsidR="003B4B9D">
        <w:t>10</w:t>
      </w:r>
      <w:r w:rsidR="00490F1F">
        <w:t>–</w:t>
      </w:r>
      <w:r w:rsidR="00795AE4">
        <w:t>1</w:t>
      </w:r>
      <w:r w:rsidR="003B4B9D">
        <w:t>1</w:t>
      </w:r>
      <w:r w:rsidR="00795AE4">
        <w:t xml:space="preserve">.)  </w:t>
      </w:r>
      <w:r w:rsidRPr="00D525C5">
        <w:t>The</w:t>
      </w:r>
      <w:r>
        <w:t xml:space="preserve"> dissent </w:t>
      </w:r>
      <w:r w:rsidR="004A6309">
        <w:t xml:space="preserve">not only </w:t>
      </w:r>
      <w:r>
        <w:t xml:space="preserve">ignores that </w:t>
      </w:r>
      <w:r w:rsidR="000371C7">
        <w:t xml:space="preserve">we cannot ascertain </w:t>
      </w:r>
      <w:r w:rsidR="0011495D">
        <w:t xml:space="preserve">whether the error is </w:t>
      </w:r>
      <w:r w:rsidR="000371C7">
        <w:t xml:space="preserve">harmless </w:t>
      </w:r>
      <w:r w:rsidR="0011495D">
        <w:t xml:space="preserve">when an </w:t>
      </w:r>
      <w:r>
        <w:t xml:space="preserve">initial </w:t>
      </w:r>
      <w:r w:rsidRPr="006C37D6" w:rsidR="000901E8">
        <w:t>Cal-</w:t>
      </w:r>
      <w:r w:rsidRPr="006C37D6">
        <w:t>ICWA inquiry</w:t>
      </w:r>
      <w:r>
        <w:t xml:space="preserve"> is inadequate</w:t>
      </w:r>
      <w:r w:rsidR="00795AE4">
        <w:t xml:space="preserve"> (see </w:t>
      </w:r>
      <w:r w:rsidR="00795AE4">
        <w:rPr>
          <w:i/>
          <w:iCs/>
        </w:rPr>
        <w:t>ante</w:t>
      </w:r>
      <w:r w:rsidR="00795AE4">
        <w:t xml:space="preserve">, at pp. </w:t>
      </w:r>
      <w:r w:rsidR="00545868">
        <w:t>20–2</w:t>
      </w:r>
      <w:r w:rsidR="0028719F">
        <w:t>2</w:t>
      </w:r>
      <w:r w:rsidR="00795AE4">
        <w:t xml:space="preserve"> </w:t>
      </w:r>
      <w:r w:rsidR="00E6200B">
        <w:t xml:space="preserve">&amp; </w:t>
      </w:r>
      <w:r w:rsidR="00795AE4">
        <w:t xml:space="preserve">fn. </w:t>
      </w:r>
      <w:r w:rsidR="00545868">
        <w:t>11</w:t>
      </w:r>
      <w:r w:rsidR="00795AE4">
        <w:t>)</w:t>
      </w:r>
      <w:r>
        <w:t xml:space="preserve">, </w:t>
      </w:r>
      <w:r w:rsidR="00FB3537">
        <w:t xml:space="preserve">but </w:t>
      </w:r>
      <w:r w:rsidR="00875896">
        <w:t xml:space="preserve">also </w:t>
      </w:r>
      <w:r>
        <w:t>that</w:t>
      </w:r>
      <w:r w:rsidR="00CF374A">
        <w:t xml:space="preserve"> </w:t>
      </w:r>
      <w:r>
        <w:t>the Legislature charged child welfare agencies with the obligation to conduct an adequate inquiry.  It argues that Cal-ICWA contemplates parents will participate in the determination that a child is an Indian child by filling out ICWA-020 forms and notifying the court if subsequent information gives a reason to know the child is Indian.  (Dis. opn.</w:t>
      </w:r>
      <w:r w:rsidR="00FD67F7">
        <w:t xml:space="preserve"> of Groban, J.</w:t>
      </w:r>
      <w:r>
        <w:t xml:space="preserve">, </w:t>
      </w:r>
      <w:r>
        <w:rPr>
          <w:i/>
          <w:iCs/>
        </w:rPr>
        <w:t>post</w:t>
      </w:r>
      <w:r>
        <w:t xml:space="preserve">, at pp. </w:t>
      </w:r>
      <w:r w:rsidR="004B1F0F">
        <w:t>15</w:t>
      </w:r>
      <w:r>
        <w:t>–1</w:t>
      </w:r>
      <w:r w:rsidR="004B1F0F">
        <w:t>6</w:t>
      </w:r>
      <w:r>
        <w:t xml:space="preserve">.) </w:t>
      </w:r>
      <w:r>
        <w:rPr>
          <w:i/>
          <w:iCs/>
        </w:rPr>
        <w:t xml:space="preserve"> </w:t>
      </w:r>
      <w:r w:rsidR="004A4931">
        <w:t>Juvenile c</w:t>
      </w:r>
      <w:r>
        <w:t>ourt</w:t>
      </w:r>
      <w:r w:rsidR="0074643F">
        <w:t xml:space="preserve"> form</w:t>
      </w:r>
      <w:r>
        <w:t xml:space="preserve">s directing parents to provide information within their possession, however, differs fundamentally from the statutory duty of inquiry, which the Legislature has expressly stated must extend beyond the parents.  </w:t>
      </w:r>
      <w:r w:rsidR="008C5F82">
        <w:t xml:space="preserve">While the </w:t>
      </w:r>
      <w:r w:rsidR="009A6ED5">
        <w:t>L</w:t>
      </w:r>
      <w:r w:rsidR="008C5F82">
        <w:t>egislature remains free to amend Cal-ICWA, t</w:t>
      </w:r>
      <w:r>
        <w:t xml:space="preserve">he duty of inquiry, </w:t>
      </w:r>
      <w:r w:rsidRPr="00F125FA">
        <w:t xml:space="preserve">expressly placed on </w:t>
      </w:r>
      <w:r>
        <w:t>child welfare agencies, cannot be shifted to the parents</w:t>
      </w:r>
      <w:r w:rsidR="00627C8B">
        <w:t xml:space="preserve"> </w:t>
      </w:r>
      <w:r w:rsidR="008C5F82">
        <w:t>under the current statutory scheme</w:t>
      </w:r>
      <w:r w:rsidRPr="003E0C4B">
        <w:t xml:space="preserve">.  </w:t>
      </w:r>
    </w:p>
    <w:p w:rsidR="00CA55AC" w:rsidRPr="00997855" w:rsidP="00997855" w14:paraId="6C2EFB54" w14:textId="42773A4E">
      <w:pPr>
        <w:ind w:firstLine="720"/>
      </w:pPr>
      <w:r w:rsidRPr="00997855">
        <w:t xml:space="preserve">In addition, </w:t>
      </w:r>
      <w:r w:rsidRPr="00997855" w:rsidR="00A63C55">
        <w:t xml:space="preserve">the </w:t>
      </w:r>
      <w:r w:rsidRPr="00997855" w:rsidR="008B451A">
        <w:t>reason</w:t>
      </w:r>
      <w:r w:rsidRPr="00997855" w:rsidR="00AD6732">
        <w:t>-</w:t>
      </w:r>
      <w:r w:rsidRPr="00997855" w:rsidR="008B451A">
        <w:t>to</w:t>
      </w:r>
      <w:r w:rsidRPr="00997855" w:rsidR="00AD6732">
        <w:t>-</w:t>
      </w:r>
      <w:r w:rsidRPr="00997855" w:rsidR="008B451A">
        <w:t xml:space="preserve">believe rule </w:t>
      </w:r>
      <w:r w:rsidRPr="00997855" w:rsidR="00066C7F">
        <w:t xml:space="preserve">assumes </w:t>
      </w:r>
      <w:r w:rsidRPr="00997855" w:rsidR="00407493">
        <w:t xml:space="preserve">parents </w:t>
      </w:r>
      <w:r w:rsidRPr="00997855" w:rsidR="008E5B04">
        <w:t xml:space="preserve">are capable of protecting tribal rights </w:t>
      </w:r>
      <w:r w:rsidRPr="00997855" w:rsidR="00006055">
        <w:t xml:space="preserve">(i.e., that they </w:t>
      </w:r>
      <w:r w:rsidRPr="00997855" w:rsidR="00407493">
        <w:t xml:space="preserve">have sufficient knowledge </w:t>
      </w:r>
      <w:r w:rsidRPr="00997855" w:rsidR="0075115D">
        <w:t xml:space="preserve">of </w:t>
      </w:r>
      <w:r w:rsidRPr="00997855" w:rsidR="00A77645">
        <w:t>their Indian heritage</w:t>
      </w:r>
      <w:r w:rsidRPr="00997855" w:rsidR="009E487B">
        <w:t xml:space="preserve"> </w:t>
      </w:r>
      <w:r w:rsidRPr="00997855" w:rsidR="00AB473A">
        <w:t>to demonstrate a reason to believe the child might be an Indian child</w:t>
      </w:r>
      <w:r w:rsidRPr="00997855" w:rsidR="00006055">
        <w:t xml:space="preserve">) and are </w:t>
      </w:r>
      <w:r w:rsidRPr="00997855" w:rsidR="0092128C">
        <w:t xml:space="preserve">interested </w:t>
      </w:r>
      <w:r w:rsidRPr="00997855" w:rsidR="00AB473A">
        <w:t xml:space="preserve">in </w:t>
      </w:r>
      <w:r w:rsidRPr="00997855" w:rsidR="001E0CF5">
        <w:t>doing so</w:t>
      </w:r>
      <w:r w:rsidRPr="00997855" w:rsidR="008829E1">
        <w:t>.</w:t>
      </w:r>
      <w:r w:rsidRPr="00997855" w:rsidR="00970D85">
        <w:t xml:space="preserve">  </w:t>
      </w:r>
      <w:r w:rsidR="00E05107">
        <w:t>T</w:t>
      </w:r>
      <w:r w:rsidRPr="00997855" w:rsidR="00EC428D">
        <w:t>h</w:t>
      </w:r>
      <w:r w:rsidR="00354FDB">
        <w:t>e Legislature has not embraced th</w:t>
      </w:r>
      <w:r w:rsidRPr="00997855" w:rsidR="00EC428D">
        <w:t>is assumption</w:t>
      </w:r>
      <w:r w:rsidR="00E05107">
        <w:t>, however,</w:t>
      </w:r>
      <w:r w:rsidRPr="00997855" w:rsidR="00EC428D">
        <w:t xml:space="preserve"> </w:t>
      </w:r>
      <w:r w:rsidR="007D0932">
        <w:t xml:space="preserve">which </w:t>
      </w:r>
      <w:r w:rsidRPr="00997855" w:rsidR="00456B01">
        <w:t>“overlooks recent findings on the impact this country’s decades-long efforts to destroy Indian families and eradicate Indian history and culture, including through abuses of the child welfare system, may have on a family’s awareness of its Indian ancestry.”  (</w:t>
      </w:r>
      <w:r w:rsidRPr="00997855" w:rsidR="003A3B81">
        <w:rPr>
          <w:i/>
          <w:iCs/>
        </w:rPr>
        <w:t xml:space="preserve">In re </w:t>
      </w:r>
      <w:r w:rsidRPr="00997855" w:rsidR="00456B01">
        <w:rPr>
          <w:i/>
          <w:iCs/>
        </w:rPr>
        <w:t>Rylei S.</w:t>
      </w:r>
      <w:r w:rsidRPr="00997855" w:rsidR="003A3B81">
        <w:t xml:space="preserve"> (2022)</w:t>
      </w:r>
      <w:r w:rsidRPr="00997855" w:rsidR="00456B01">
        <w:rPr>
          <w:iCs/>
        </w:rPr>
        <w:t xml:space="preserve"> 81 Cal.App.5th </w:t>
      </w:r>
      <w:r w:rsidRPr="00997855" w:rsidR="003A3B81">
        <w:rPr>
          <w:iCs/>
        </w:rPr>
        <w:t>309</w:t>
      </w:r>
      <w:r w:rsidR="006A16CC">
        <w:rPr>
          <w:iCs/>
        </w:rPr>
        <w:t>,</w:t>
      </w:r>
      <w:r w:rsidRPr="00997855" w:rsidR="003A3B81">
        <w:rPr>
          <w:iCs/>
        </w:rPr>
        <w:t xml:space="preserve"> </w:t>
      </w:r>
      <w:r w:rsidRPr="00997855" w:rsidR="00646749">
        <w:rPr>
          <w:iCs/>
        </w:rPr>
        <w:t>321–</w:t>
      </w:r>
      <w:r w:rsidRPr="00997855" w:rsidR="00456B01">
        <w:rPr>
          <w:iCs/>
        </w:rPr>
        <w:t>322</w:t>
      </w:r>
      <w:r w:rsidR="00A9514B">
        <w:rPr>
          <w:iCs/>
        </w:rPr>
        <w:t xml:space="preserve"> (</w:t>
      </w:r>
      <w:r w:rsidR="00A9514B">
        <w:rPr>
          <w:i/>
        </w:rPr>
        <w:t>Rylei S.</w:t>
      </w:r>
      <w:r w:rsidR="00A9514B">
        <w:rPr>
          <w:iCs/>
        </w:rPr>
        <w:t>)</w:t>
      </w:r>
      <w:r w:rsidRPr="00997855" w:rsidR="00456B01">
        <w:rPr>
          <w:iCs/>
        </w:rPr>
        <w:t xml:space="preserve">; see also </w:t>
      </w:r>
      <w:r w:rsidRPr="00997855" w:rsidR="00456B01">
        <w:t>ICWA Proceedings, 81 Fed.Reg.</w:t>
      </w:r>
      <w:r w:rsidR="005B342A">
        <w:t xml:space="preserve">, </w:t>
      </w:r>
      <w:r w:rsidRPr="00A96973" w:rsidR="005B342A">
        <w:rPr>
          <w:i/>
          <w:iCs/>
        </w:rPr>
        <w:t>supra</w:t>
      </w:r>
      <w:r w:rsidR="005B342A">
        <w:t>,</w:t>
      </w:r>
      <w:r w:rsidRPr="00997855" w:rsidR="00456B01">
        <w:t xml:space="preserve"> </w:t>
      </w:r>
      <w:r w:rsidRPr="00997855" w:rsidR="00646749">
        <w:t xml:space="preserve">at </w:t>
      </w:r>
      <w:r w:rsidR="005B342A">
        <w:t xml:space="preserve">p. </w:t>
      </w:r>
      <w:r w:rsidRPr="00997855" w:rsidR="00456B01">
        <w:t>38780</w:t>
      </w:r>
      <w:r w:rsidRPr="00997855" w:rsidR="00FD3B68">
        <w:t>.)</w:t>
      </w:r>
    </w:p>
    <w:p w:rsidR="00474E45" w:rsidRPr="00997855" w:rsidP="00997855" w14:paraId="4B6EB4D9" w14:textId="4E3535A9">
      <w:pPr>
        <w:ind w:firstLine="720"/>
      </w:pPr>
      <w:r w:rsidRPr="00997855">
        <w:t>Indeed, there are a number of reasons why parents would not be knowledgeable</w:t>
      </w:r>
      <w:r w:rsidRPr="00997855" w:rsidR="00FC12D5">
        <w:t xml:space="preserve"> </w:t>
      </w:r>
      <w:r w:rsidRPr="00997855">
        <w:t>of</w:t>
      </w:r>
      <w:r w:rsidRPr="00997855" w:rsidR="00FC12D5">
        <w:t xml:space="preserve">, or </w:t>
      </w:r>
      <w:r w:rsidRPr="00997855" w:rsidR="008D2F37">
        <w:t xml:space="preserve">be uninterested in </w:t>
      </w:r>
      <w:r w:rsidRPr="00997855" w:rsidR="00E527FB">
        <w:t>disclosing</w:t>
      </w:r>
      <w:r w:rsidRPr="00997855" w:rsidR="00162EDE">
        <w:t>,</w:t>
      </w:r>
      <w:r w:rsidRPr="00997855">
        <w:t xml:space="preserve"> their Indian heritage.  </w:t>
      </w:r>
      <w:r w:rsidRPr="00997855" w:rsidR="009C548C">
        <w:t>The “[o]ral transmission of relevant information from generation to generation and the vagaries of translating from Indian languages to English combine to create the very real possibility that a parent’s or other relative’s identification of the family’s tribal affiliation is not accurate.</w:t>
      </w:r>
      <w:r w:rsidRPr="00997855" w:rsidR="002F7E33">
        <w:t>”</w:t>
      </w:r>
      <w:r w:rsidRPr="00997855" w:rsidR="001B38F9">
        <w:t xml:space="preserve">  (</w:t>
      </w:r>
      <w:r w:rsidRPr="00997855" w:rsidR="001B38F9">
        <w:rPr>
          <w:i/>
          <w:iCs/>
        </w:rPr>
        <w:t>T.G.</w:t>
      </w:r>
      <w:r w:rsidRPr="00997855" w:rsidR="001B38F9">
        <w:t xml:space="preserve">, </w:t>
      </w:r>
      <w:r w:rsidRPr="00997855" w:rsidR="001B38F9">
        <w:rPr>
          <w:i/>
          <w:iCs/>
        </w:rPr>
        <w:t>supra</w:t>
      </w:r>
      <w:r w:rsidRPr="00997855" w:rsidR="001B38F9">
        <w:t xml:space="preserve">, 58 Cal.App.5th at p. 289.)  </w:t>
      </w:r>
      <w:r w:rsidRPr="00997855" w:rsidR="004A0A13">
        <w:t xml:space="preserve">Further, </w:t>
      </w:r>
      <w:r w:rsidRPr="00997855" w:rsidR="00CF7883">
        <w:t xml:space="preserve">as amici </w:t>
      </w:r>
      <w:r w:rsidR="00D61A35">
        <w:t xml:space="preserve">curiae </w:t>
      </w:r>
      <w:r w:rsidR="00184CCE">
        <w:t xml:space="preserve">CILS and CTFC </w:t>
      </w:r>
      <w:r w:rsidRPr="00997855" w:rsidR="00CF7883">
        <w:t xml:space="preserve">observe, </w:t>
      </w:r>
      <w:r w:rsidRPr="00997855" w:rsidR="009E6A0F">
        <w:t>“</w:t>
      </w:r>
      <w:r w:rsidRPr="00997855" w:rsidR="009E6A0F">
        <w:rPr>
          <w:szCs w:val="26"/>
        </w:rPr>
        <w:t>generations who lived through trauma at the hands of state actors pass a lack of self-identification as Native American to younger generations, leaving only the older family members or extended family members with knowledge of” Indian ancestry.</w:t>
      </w:r>
      <w:r w:rsidRPr="00997855" w:rsidR="00CF7883">
        <w:rPr>
          <w:szCs w:val="26"/>
        </w:rPr>
        <w:t xml:space="preserve">  (See also</w:t>
      </w:r>
      <w:r w:rsidRPr="00997855" w:rsidR="002A657B">
        <w:rPr>
          <w:szCs w:val="26"/>
        </w:rPr>
        <w:t xml:space="preserve"> </w:t>
      </w:r>
      <w:r w:rsidRPr="00997855" w:rsidR="002A657B">
        <w:t xml:space="preserve">ICWA Proceedings, </w:t>
      </w:r>
      <w:r w:rsidRPr="00745CCE" w:rsidR="00745CCE">
        <w:t>81 Fed.Reg.</w:t>
      </w:r>
      <w:r w:rsidR="005B342A">
        <w:t xml:space="preserve">, </w:t>
      </w:r>
      <w:r w:rsidRPr="00A96973" w:rsidR="005B342A">
        <w:rPr>
          <w:i/>
          <w:iCs/>
        </w:rPr>
        <w:t>supra</w:t>
      </w:r>
      <w:r w:rsidR="005B342A">
        <w:t>,</w:t>
      </w:r>
      <w:r w:rsidR="00745CCE">
        <w:t xml:space="preserve"> </w:t>
      </w:r>
      <w:r w:rsidRPr="00997855" w:rsidR="002A657B">
        <w:t xml:space="preserve">at </w:t>
      </w:r>
      <w:r w:rsidR="005B342A">
        <w:t xml:space="preserve">p. </w:t>
      </w:r>
      <w:r w:rsidRPr="00997855" w:rsidR="002A657B">
        <w:t>38780.)</w:t>
      </w:r>
      <w:r w:rsidRPr="00997855" w:rsidR="009E6A0F">
        <w:t xml:space="preserve">  </w:t>
      </w:r>
      <w:r w:rsidRPr="00997855" w:rsidR="00CC2D43">
        <w:t xml:space="preserve">Parents may simply be estranged from, or have an unfavorable relationship with, extended family.  (See, e.g., </w:t>
      </w:r>
      <w:r w:rsidRPr="00997855" w:rsidR="00CC2D43">
        <w:rPr>
          <w:i/>
          <w:iCs/>
        </w:rPr>
        <w:t>G.H.</w:t>
      </w:r>
      <w:r w:rsidRPr="00997855" w:rsidR="00CC2D43">
        <w:t xml:space="preserve">, </w:t>
      </w:r>
      <w:r w:rsidRPr="00997855" w:rsidR="00CC2D43">
        <w:rPr>
          <w:i/>
          <w:iCs/>
        </w:rPr>
        <w:t>supra</w:t>
      </w:r>
      <w:r w:rsidRPr="00997855" w:rsidR="00CC2D43">
        <w:t>, 84</w:t>
      </w:r>
      <w:r w:rsidRPr="00997855" w:rsidR="00217FA7">
        <w:t> </w:t>
      </w:r>
      <w:r w:rsidRPr="00997855" w:rsidR="00CC2D43">
        <w:t>Cal.App.5th at pp. 30–31.)</w:t>
      </w:r>
    </w:p>
    <w:p w:rsidR="00863C6D" w:rsidRPr="00997855" w:rsidP="00545868" w14:paraId="6CFB541D" w14:textId="05DCB2F6">
      <w:pPr>
        <w:ind w:firstLine="720"/>
      </w:pPr>
      <w:r w:rsidRPr="00997855">
        <w:t>“[W]e also cannot assume a parent’s interest necessarily aligns with the tribe’s interest.”  (</w:t>
      </w:r>
      <w:r w:rsidRPr="00997855">
        <w:rPr>
          <w:i/>
          <w:iCs/>
        </w:rPr>
        <w:t>K.H.</w:t>
      </w:r>
      <w:r w:rsidRPr="00997855">
        <w:t xml:space="preserve">, </w:t>
      </w:r>
      <w:r w:rsidRPr="00997855">
        <w:rPr>
          <w:i/>
          <w:iCs/>
        </w:rPr>
        <w:t>supra</w:t>
      </w:r>
      <w:r w:rsidRPr="00997855">
        <w:t xml:space="preserve">, 84 Cal.App.5th at p. </w:t>
      </w:r>
      <w:r w:rsidRPr="00997855" w:rsidR="00C02595">
        <w:t xml:space="preserve">613.)  </w:t>
      </w:r>
      <w:r w:rsidRPr="00997855" w:rsidR="005A480A">
        <w:t>“</w:t>
      </w:r>
      <w:r w:rsidR="003251F8">
        <w:t> ‘</w:t>
      </w:r>
      <w:r w:rsidRPr="00997855" w:rsidR="00C02595">
        <w:t>T</w:t>
      </w:r>
      <w:r w:rsidRPr="00997855" w:rsidR="005A480A">
        <w:t>he parents or Indian custodian may be fearful to self-identify, and social workers are ill-equipped to overcome that by explaining the rights a parent or Indian custodian has under the law.</w:t>
      </w:r>
      <w:r w:rsidR="003251F8">
        <w:t>’ </w:t>
      </w:r>
      <w:r w:rsidRPr="00997855" w:rsidR="0076071C">
        <w:t>”</w:t>
      </w:r>
      <w:r w:rsidRPr="00997855" w:rsidR="00C84F1B">
        <w:t xml:space="preserve">  (</w:t>
      </w:r>
      <w:r w:rsidR="00A9514B">
        <w:rPr>
          <w:i/>
          <w:iCs/>
        </w:rPr>
        <w:t>Rylei S.</w:t>
      </w:r>
      <w:r w:rsidR="00A9514B">
        <w:t xml:space="preserve">, </w:t>
      </w:r>
      <w:r w:rsidRPr="00A9514B" w:rsidR="00A9514B">
        <w:rPr>
          <w:i/>
          <w:iCs/>
        </w:rPr>
        <w:t>supra</w:t>
      </w:r>
      <w:r w:rsidR="00A9514B">
        <w:t>, 81 Cal.App.5th at p. 322</w:t>
      </w:r>
      <w:r w:rsidR="004515A9">
        <w:rPr>
          <w:i/>
          <w:iCs/>
        </w:rPr>
        <w:t>.</w:t>
      </w:r>
      <w:r w:rsidR="004515A9">
        <w:t>)</w:t>
      </w:r>
      <w:r w:rsidR="00575D9A">
        <w:t xml:space="preserve">  </w:t>
      </w:r>
      <w:r w:rsidRPr="00997855" w:rsidR="00AC1D9C">
        <w:t>This is unsurprising</w:t>
      </w:r>
      <w:r w:rsidRPr="00997855" w:rsidR="00563117">
        <w:t>.</w:t>
      </w:r>
      <w:r w:rsidRPr="00997855" w:rsidR="00AC1D9C">
        <w:t xml:space="preserve"> </w:t>
      </w:r>
      <w:r w:rsidRPr="00997855" w:rsidR="00563117">
        <w:t xml:space="preserve"> </w:t>
      </w:r>
      <w:r w:rsidRPr="00997855" w:rsidR="009726B3">
        <w:t>“</w:t>
      </w:r>
      <w:r w:rsidRPr="00997855" w:rsidR="00563117">
        <w:t>Native communities have endured a legacy of trauma at the hands of State actors who enacted forced removal and assimilation of their children; therefore, Native families are much more likely to harbor a unique distrust of government workers.</w:t>
      </w:r>
      <w:r w:rsidRPr="00997855" w:rsidR="008A7289">
        <w:t xml:space="preserve">” </w:t>
      </w:r>
      <w:r w:rsidRPr="00997855" w:rsidR="009726B3">
        <w:t xml:space="preserve"> (</w:t>
      </w:r>
      <w:r w:rsidR="003B3E0A">
        <w:rPr>
          <w:i/>
          <w:iCs/>
        </w:rPr>
        <w:t xml:space="preserve">In re Dependency of </w:t>
      </w:r>
      <w:r w:rsidRPr="00997855" w:rsidR="009726B3">
        <w:rPr>
          <w:i/>
          <w:iCs/>
        </w:rPr>
        <w:t>G.J.A.</w:t>
      </w:r>
      <w:r w:rsidR="0019121F">
        <w:t xml:space="preserve"> (2021)</w:t>
      </w:r>
      <w:r w:rsidRPr="00997855" w:rsidR="009726B3">
        <w:t xml:space="preserve"> 197 </w:t>
      </w:r>
      <w:r w:rsidRPr="00997855" w:rsidR="000F0406">
        <w:t>Wn</w:t>
      </w:r>
      <w:r w:rsidRPr="00997855" w:rsidR="009726B3">
        <w:t xml:space="preserve">.2d </w:t>
      </w:r>
      <w:r w:rsidR="0019121F">
        <w:t xml:space="preserve">868, </w:t>
      </w:r>
      <w:r w:rsidRPr="00997855" w:rsidR="009726B3">
        <w:t>905</w:t>
      </w:r>
      <w:r w:rsidRPr="00997855" w:rsidR="008A7289">
        <w:t xml:space="preserve">; see also </w:t>
      </w:r>
      <w:r w:rsidRPr="00997855" w:rsidR="008A7289">
        <w:rPr>
          <w:i/>
          <w:iCs/>
        </w:rPr>
        <w:t>id.</w:t>
      </w:r>
      <w:r w:rsidRPr="00997855" w:rsidR="008A7289">
        <w:t xml:space="preserve"> at p. </w:t>
      </w:r>
      <w:r w:rsidRPr="00997855" w:rsidR="00EB663B">
        <w:t>906 [</w:t>
      </w:r>
      <w:r w:rsidRPr="00997855" w:rsidR="00366749">
        <w:t>“Native families often do not trust child welfare workers”</w:t>
      </w:r>
      <w:r w:rsidRPr="00997855" w:rsidR="00EB663B">
        <w:t xml:space="preserve">].)  </w:t>
      </w:r>
      <w:r w:rsidRPr="00997855" w:rsidR="00C84F1B">
        <w:t>“</w:t>
      </w:r>
      <w:r w:rsidR="00185DFE">
        <w:t> ‘</w:t>
      </w:r>
      <w:r w:rsidRPr="00997855" w:rsidR="005A480A">
        <w:t xml:space="preserve">Parents may even wish </w:t>
      </w:r>
      <w:r w:rsidRPr="00997855" w:rsidR="005A480A">
        <w:rPr>
          <w:i/>
          <w:iCs/>
        </w:rPr>
        <w:t>to avoid</w:t>
      </w:r>
      <w:r w:rsidRPr="00997855" w:rsidR="005A480A">
        <w:t xml:space="preserve"> the tribe’s participation or assumption of jurisdiction.</w:t>
      </w:r>
      <w:r w:rsidR="00185DFE">
        <w:t>’ </w:t>
      </w:r>
      <w:r w:rsidRPr="00997855" w:rsidR="005A480A">
        <w:t>”  (</w:t>
      </w:r>
      <w:r w:rsidR="00A9514B">
        <w:rPr>
          <w:i/>
          <w:iCs/>
        </w:rPr>
        <w:t>Rylei S.</w:t>
      </w:r>
      <w:r w:rsidR="00A9514B">
        <w:t xml:space="preserve">, </w:t>
      </w:r>
      <w:r w:rsidRPr="00A9514B" w:rsidR="00A9514B">
        <w:rPr>
          <w:i/>
          <w:iCs/>
        </w:rPr>
        <w:t>supra</w:t>
      </w:r>
      <w:r w:rsidR="00A9514B">
        <w:t xml:space="preserve">, </w:t>
      </w:r>
      <w:r w:rsidR="005424F8">
        <w:t xml:space="preserve">81 </w:t>
      </w:r>
      <w:r w:rsidR="00517A67">
        <w:t xml:space="preserve">Cal.App.5th at p. </w:t>
      </w:r>
      <w:r w:rsidR="005424F8">
        <w:t>322</w:t>
      </w:r>
      <w:r w:rsidRPr="00997855" w:rsidR="005A480A">
        <w:t>, italics added</w:t>
      </w:r>
      <w:r w:rsidRPr="00997855" w:rsidR="00F73A7F">
        <w:t xml:space="preserve">.)  </w:t>
      </w:r>
      <w:r w:rsidRPr="00997855" w:rsidR="00D52E48">
        <w:t>They</w:t>
      </w:r>
      <w:r w:rsidRPr="00997855" w:rsidR="0087574F">
        <w:t xml:space="preserve"> “may be less interested in or committed to federal and state policies of protecting the continued existence and integrity of tribes</w:t>
      </w:r>
      <w:r w:rsidRPr="00997855" w:rsidR="00B817AA">
        <w:t> </w:t>
      </w:r>
      <w:r w:rsidRPr="00997855" w:rsidR="0087574F">
        <w:t>— even perhaps viewing potential tribal involvement consciously or unconsciously as a source of competition for custody.”</w:t>
      </w:r>
      <w:r w:rsidRPr="00997855" w:rsidR="005A480A">
        <w:t xml:space="preserve"> </w:t>
      </w:r>
      <w:r w:rsidRPr="00997855" w:rsidR="0087574F">
        <w:t xml:space="preserve"> (</w:t>
      </w:r>
      <w:r w:rsidRPr="00997855" w:rsidR="002A5578">
        <w:rPr>
          <w:i/>
          <w:iCs/>
        </w:rPr>
        <w:t>G.H.</w:t>
      </w:r>
      <w:r w:rsidRPr="00997855" w:rsidR="002A5578">
        <w:t xml:space="preserve">, </w:t>
      </w:r>
      <w:r w:rsidRPr="00997855" w:rsidR="002A5578">
        <w:rPr>
          <w:i/>
          <w:iCs/>
        </w:rPr>
        <w:t>supra</w:t>
      </w:r>
      <w:r w:rsidRPr="00997855" w:rsidR="002A5578">
        <w:t xml:space="preserve">, </w:t>
      </w:r>
      <w:r w:rsidRPr="00997855" w:rsidR="009B0369">
        <w:t xml:space="preserve">84 Cal.App.5th </w:t>
      </w:r>
      <w:r w:rsidRPr="00997855" w:rsidR="002A5578">
        <w:t>at p. 31</w:t>
      </w:r>
      <w:r w:rsidRPr="00997855" w:rsidR="004F4FDE">
        <w:t>;</w:t>
      </w:r>
      <w:r w:rsidRPr="00997855" w:rsidR="002A5578">
        <w:t xml:space="preserve"> </w:t>
      </w:r>
      <w:r w:rsidRPr="00997855" w:rsidR="005A480A">
        <w:t xml:space="preserve">see also </w:t>
      </w:r>
      <w:r w:rsidRPr="00997855" w:rsidR="005A480A">
        <w:rPr>
          <w:i/>
          <w:iCs/>
        </w:rPr>
        <w:t>Holyfield</w:t>
      </w:r>
      <w:r w:rsidRPr="00997855" w:rsidR="005A480A">
        <w:t xml:space="preserve">, </w:t>
      </w:r>
      <w:r w:rsidRPr="00997855" w:rsidR="005A480A">
        <w:rPr>
          <w:i/>
          <w:iCs/>
        </w:rPr>
        <w:t>supra</w:t>
      </w:r>
      <w:r w:rsidRPr="00997855" w:rsidR="005A480A">
        <w:t xml:space="preserve">, 490 U.S. at pp. 37, 52 [mother gave birth outside of reservation to avoid tribal jurisdiction].)  </w:t>
      </w:r>
      <w:r w:rsidR="00882A1B">
        <w:t>Some p</w:t>
      </w:r>
      <w:r w:rsidRPr="00997855" w:rsidR="001A24F4">
        <w:t xml:space="preserve">arents </w:t>
      </w:r>
      <w:r w:rsidRPr="00997855" w:rsidR="00B15029">
        <w:t xml:space="preserve">may even </w:t>
      </w:r>
      <w:r w:rsidRPr="00997855" w:rsidR="00A67B2D">
        <w:t xml:space="preserve">be victims of </w:t>
      </w:r>
      <w:r w:rsidRPr="00997855" w:rsidR="00CC0E74">
        <w:t>un</w:t>
      </w:r>
      <w:r w:rsidRPr="00997855" w:rsidR="00A67B2D">
        <w:t>scrupulous</w:t>
      </w:r>
      <w:r w:rsidRPr="00997855" w:rsidR="00811940">
        <w:t xml:space="preserve"> attorneys </w:t>
      </w:r>
      <w:r w:rsidRPr="00997855" w:rsidR="00CC0E74">
        <w:t xml:space="preserve">seeking </w:t>
      </w:r>
      <w:r w:rsidRPr="00997855" w:rsidR="00811940">
        <w:t xml:space="preserve">to avoid </w:t>
      </w:r>
      <w:r w:rsidRPr="00997855" w:rsidR="00B70C82">
        <w:t xml:space="preserve">adoption </w:t>
      </w:r>
      <w:r w:rsidRPr="00997855" w:rsidR="00811940">
        <w:t>delay</w:t>
      </w:r>
      <w:r w:rsidRPr="00997855" w:rsidR="00B70C82">
        <w:t>s.</w:t>
      </w:r>
      <w:r w:rsidRPr="00997855" w:rsidR="0050616D">
        <w:t xml:space="preserve">  (See </w:t>
      </w:r>
      <w:r w:rsidRPr="00997855" w:rsidR="0050616D">
        <w:rPr>
          <w:i/>
          <w:iCs/>
        </w:rPr>
        <w:t>In re Bridget R.</w:t>
      </w:r>
      <w:r w:rsidRPr="00997855" w:rsidR="0050616D">
        <w:t xml:space="preserve"> (1996) 41 Cal.App.4th 1483, </w:t>
      </w:r>
      <w:r w:rsidRPr="00997855" w:rsidR="007B0E5A">
        <w:t>1493</w:t>
      </w:r>
      <w:r w:rsidRPr="00997855" w:rsidR="00E47E29">
        <w:t>.)</w:t>
      </w:r>
      <w:r w:rsidR="00FE3000">
        <w:t xml:space="preserve">  </w:t>
      </w:r>
      <w:r w:rsidRPr="00997855" w:rsidR="003026EB">
        <w:t>Enforcing the requirement of an adequate inquiry</w:t>
      </w:r>
      <w:r w:rsidRPr="00997855">
        <w:t xml:space="preserve"> </w:t>
      </w:r>
      <w:r w:rsidRPr="00997855" w:rsidR="009B0461">
        <w:t xml:space="preserve">only in </w:t>
      </w:r>
      <w:r w:rsidRPr="00997855">
        <w:t xml:space="preserve">cases </w:t>
      </w:r>
      <w:r w:rsidR="00542C1D">
        <w:t>in which</w:t>
      </w:r>
      <w:r w:rsidRPr="00997855" w:rsidR="00542C1D">
        <w:t xml:space="preserve"> </w:t>
      </w:r>
      <w:r w:rsidRPr="00997855" w:rsidR="00D21A2E">
        <w:t xml:space="preserve">the record affirmatively </w:t>
      </w:r>
      <w:r w:rsidRPr="00997855" w:rsidR="005349C7">
        <w:t>demonstrates</w:t>
      </w:r>
      <w:r w:rsidRPr="00997855">
        <w:t xml:space="preserve"> a reason to believe </w:t>
      </w:r>
      <w:r w:rsidRPr="00997855" w:rsidR="00492D4D">
        <w:t>the child is an Indian child</w:t>
      </w:r>
      <w:r w:rsidRPr="00997855">
        <w:t xml:space="preserve"> decreases the likelihood that </w:t>
      </w:r>
      <w:r w:rsidR="00E3375E">
        <w:t xml:space="preserve">child welfare agencies </w:t>
      </w:r>
      <w:r w:rsidRPr="00997855">
        <w:t xml:space="preserve">will identify potential Indian children and notify tribes accordingly.  </w:t>
      </w:r>
      <w:r w:rsidR="00FF605D">
        <w:t>A</w:t>
      </w:r>
      <w:r w:rsidR="00882A1B">
        <w:t xml:space="preserve">s discussed above, </w:t>
      </w:r>
      <w:r w:rsidRPr="00997855" w:rsidR="008862A2">
        <w:t xml:space="preserve">an </w:t>
      </w:r>
      <w:r w:rsidR="00333C32">
        <w:t>in</w:t>
      </w:r>
      <w:r w:rsidRPr="00997855" w:rsidR="008862A2">
        <w:t>adequate inquiry</w:t>
      </w:r>
      <w:r w:rsidR="00F5016F">
        <w:t xml:space="preserve"> denies</w:t>
      </w:r>
      <w:r w:rsidRPr="00997855" w:rsidR="006837C8">
        <w:t xml:space="preserve"> tribes the opportunity to make membership determinations</w:t>
      </w:r>
      <w:r w:rsidR="00EE4968">
        <w:t xml:space="preserve"> and </w:t>
      </w:r>
      <w:r w:rsidRPr="00997855" w:rsidR="00345596">
        <w:t>intervene in dependency actions</w:t>
      </w:r>
      <w:r w:rsidR="00882A1B">
        <w:t xml:space="preserve"> when </w:t>
      </w:r>
      <w:r w:rsidRPr="00B01B80" w:rsidR="00882A1B">
        <w:t>appropriate</w:t>
      </w:r>
      <w:r w:rsidRPr="00B01B80" w:rsidR="00345596">
        <w:t xml:space="preserve">.  </w:t>
      </w:r>
      <w:r w:rsidRPr="00B01B80" w:rsidR="002F22C5">
        <w:t>A</w:t>
      </w:r>
      <w:r w:rsidRPr="00B01B80" w:rsidR="00287E7D">
        <w:t xml:space="preserve">s amici </w:t>
      </w:r>
      <w:r w:rsidR="00D61A35">
        <w:t xml:space="preserve">curiae </w:t>
      </w:r>
      <w:r w:rsidRPr="00B01B80" w:rsidR="00287E7D">
        <w:t>CILS and CTFC point out, it also</w:t>
      </w:r>
      <w:r w:rsidRPr="00B01B80" w:rsidR="006928D7">
        <w:t xml:space="preserve"> </w:t>
      </w:r>
      <w:r w:rsidRPr="00B01B80" w:rsidR="00971669">
        <w:t>result</w:t>
      </w:r>
      <w:r w:rsidRPr="00B01B80" w:rsidR="002F22C5">
        <w:t>s</w:t>
      </w:r>
      <w:r w:rsidRPr="00B01B80" w:rsidR="00971669">
        <w:t xml:space="preserve"> i</w:t>
      </w:r>
      <w:r w:rsidRPr="00B01B80" w:rsidR="002F22C5">
        <w:t>n</w:t>
      </w:r>
      <w:r w:rsidRPr="00B01B80" w:rsidR="00971669">
        <w:t xml:space="preserve"> a “bypassing of remedial requirements of the ICWA and a risk to the tribes of losing the next generation of their citizens through the [a]gency’s failures.”</w:t>
      </w:r>
      <w:r w:rsidR="00971669">
        <w:t xml:space="preserve">  </w:t>
      </w:r>
    </w:p>
    <w:p w:rsidR="003E6CBC" w:rsidRPr="00997855" w:rsidP="00997855" w14:paraId="0C60CBFC" w14:textId="35C30296">
      <w:pPr>
        <w:tabs>
          <w:tab w:val="left" w:pos="720"/>
        </w:tabs>
      </w:pPr>
      <w:r w:rsidRPr="00997855">
        <w:tab/>
      </w:r>
      <w:r w:rsidRPr="00997855" w:rsidR="00414843">
        <w:t>In addition</w:t>
      </w:r>
      <w:r w:rsidRPr="00997855">
        <w:t xml:space="preserve">, </w:t>
      </w:r>
      <w:r w:rsidRPr="00997855" w:rsidR="00B10EEF">
        <w:t>by requiring parents to demonstrate</w:t>
      </w:r>
      <w:r w:rsidRPr="00997855" w:rsidR="00970E76">
        <w:t xml:space="preserve"> in the recor</w:t>
      </w:r>
      <w:r w:rsidRPr="00997855" w:rsidR="005643CA">
        <w:t>d</w:t>
      </w:r>
      <w:r w:rsidRPr="00997855" w:rsidR="00B972B7">
        <w:t xml:space="preserve"> </w:t>
      </w:r>
      <w:r w:rsidRPr="00997855" w:rsidR="00972781">
        <w:t>that there is</w:t>
      </w:r>
      <w:r w:rsidRPr="00997855" w:rsidR="00B10EEF">
        <w:t xml:space="preserve"> a reason to believe the child is an Indian child</w:t>
      </w:r>
      <w:r w:rsidRPr="00997855" w:rsidR="00972781">
        <w:t>,</w:t>
      </w:r>
      <w:r w:rsidRPr="00997855" w:rsidR="00B10EEF">
        <w:t xml:space="preserve"> </w:t>
      </w:r>
      <w:r w:rsidRPr="00997855">
        <w:t>the reason</w:t>
      </w:r>
      <w:r w:rsidRPr="00997855" w:rsidR="002A017E">
        <w:t>-</w:t>
      </w:r>
      <w:r w:rsidRPr="00997855">
        <w:t>to</w:t>
      </w:r>
      <w:r w:rsidRPr="00997855" w:rsidR="002A017E">
        <w:t>-</w:t>
      </w:r>
      <w:r w:rsidRPr="00997855">
        <w:t>believe rule “potentially make</w:t>
      </w:r>
      <w:r w:rsidRPr="00997855" w:rsidR="00DB7B0B">
        <w:t>[s]</w:t>
      </w:r>
      <w:r w:rsidRPr="00997855">
        <w:t xml:space="preserve"> enforcement of the tribes’ rights dependent on the quality of the parents’ effort on appeal.”  (</w:t>
      </w:r>
      <w:r w:rsidRPr="00997855">
        <w:rPr>
          <w:i/>
          <w:iCs/>
        </w:rPr>
        <w:t>A.R.</w:t>
      </w:r>
      <w:r w:rsidRPr="00997855">
        <w:t xml:space="preserve">, </w:t>
      </w:r>
      <w:r w:rsidRPr="00997855">
        <w:rPr>
          <w:i/>
          <w:iCs/>
        </w:rPr>
        <w:t>supra</w:t>
      </w:r>
      <w:r w:rsidRPr="00997855">
        <w:t>, 77 Cal.App.5th at p.</w:t>
      </w:r>
      <w:r w:rsidR="002D47FA">
        <w:t> </w:t>
      </w:r>
      <w:r w:rsidRPr="00997855">
        <w:t xml:space="preserve">207.)  </w:t>
      </w:r>
      <w:r w:rsidRPr="00997855" w:rsidR="007F057D">
        <w:t>T</w:t>
      </w:r>
      <w:r w:rsidRPr="00997855" w:rsidR="0082151F">
        <w:t xml:space="preserve">his is </w:t>
      </w:r>
      <w:r w:rsidRPr="00997855" w:rsidR="00C039AD">
        <w:t xml:space="preserve">not what the statutory scheme contemplates. </w:t>
      </w:r>
      <w:r w:rsidRPr="00997855" w:rsidR="00910C3F">
        <w:t xml:space="preserve"> </w:t>
      </w:r>
      <w:r w:rsidR="002232BF">
        <w:t xml:space="preserve">As we have seen, </w:t>
      </w:r>
      <w:r w:rsidR="00C80CFF">
        <w:t>Cal-ICWA does not</w:t>
      </w:r>
      <w:r w:rsidR="00007ABA">
        <w:t xml:space="preserve"> require parents</w:t>
      </w:r>
      <w:r w:rsidR="00C80CFF">
        <w:t xml:space="preserve"> </w:t>
      </w:r>
      <w:r w:rsidR="00DB6097">
        <w:t xml:space="preserve">to </w:t>
      </w:r>
      <w:r w:rsidR="00760CD3">
        <w:t xml:space="preserve">inquire about the child’s Indian ancestry.  </w:t>
      </w:r>
      <w:r w:rsidRPr="00997855">
        <w:t xml:space="preserve">When a child welfare agency fails to conduct an adequate inquiry, the record of the inquiry is </w:t>
      </w:r>
      <w:r w:rsidRPr="00997855" w:rsidR="004C7F03">
        <w:t>necessarily</w:t>
      </w:r>
      <w:r w:rsidRPr="00997855">
        <w:t xml:space="preserve"> inadequate.  </w:t>
      </w:r>
      <w:r w:rsidRPr="009E1823" w:rsidR="008F2FE4">
        <w:t>T</w:t>
      </w:r>
      <w:r w:rsidRPr="009E1823" w:rsidR="005368A2">
        <w:t>hat deficiency</w:t>
      </w:r>
      <w:r w:rsidRPr="009E1823">
        <w:t xml:space="preserve"> </w:t>
      </w:r>
      <w:r w:rsidR="00322549">
        <w:t xml:space="preserve">may </w:t>
      </w:r>
      <w:r w:rsidRPr="009E1823" w:rsidR="00151E9B">
        <w:t xml:space="preserve">hinder </w:t>
      </w:r>
      <w:r w:rsidRPr="009E1823">
        <w:t xml:space="preserve">a parent </w:t>
      </w:r>
      <w:r w:rsidRPr="007C0483" w:rsidR="00151E9B">
        <w:t xml:space="preserve">from </w:t>
      </w:r>
      <w:r w:rsidRPr="007C0483" w:rsidR="006964B0">
        <w:t xml:space="preserve">supporting </w:t>
      </w:r>
      <w:r w:rsidRPr="007C0483" w:rsidR="00760CD3">
        <w:t>a</w:t>
      </w:r>
      <w:r w:rsidRPr="007C0483" w:rsidR="006964B0">
        <w:t xml:space="preserve"> </w:t>
      </w:r>
      <w:r w:rsidRPr="009E1823">
        <w:t>claim that a reason to believe Indian ancestry exists.</w:t>
      </w:r>
      <w:r w:rsidRPr="00997855">
        <w:t xml:space="preserve">  I</w:t>
      </w:r>
      <w:r w:rsidR="00DF420C">
        <w:t>n any event, the duty of inquiry belongs to the agency and may not be shifted to the parent</w:t>
      </w:r>
      <w:r w:rsidRPr="00997855">
        <w:t>.</w:t>
      </w:r>
    </w:p>
    <w:p w:rsidR="00173DD0" w:rsidRPr="00997855" w:rsidP="00997855" w14:paraId="3C4B998A" w14:textId="296B89A4">
      <w:pPr>
        <w:tabs>
          <w:tab w:val="left" w:pos="720"/>
        </w:tabs>
      </w:pPr>
      <w:r w:rsidRPr="00997855">
        <w:tab/>
      </w:r>
      <w:r w:rsidRPr="00997855" w:rsidR="00B372E0">
        <w:t xml:space="preserve">The Department and the Court of Appeal </w:t>
      </w:r>
      <w:r w:rsidRPr="00997855" w:rsidR="007E6540">
        <w:t xml:space="preserve">maintain </w:t>
      </w:r>
      <w:r w:rsidRPr="00997855" w:rsidR="00770049">
        <w:t xml:space="preserve">that </w:t>
      </w:r>
      <w:r w:rsidRPr="00997855" w:rsidR="007E6540">
        <w:t xml:space="preserve">a </w:t>
      </w:r>
      <w:r w:rsidRPr="00997855" w:rsidR="00B372E0">
        <w:t>rule limiting remand to cases in which there is a reason to believe a child is an Indian child</w:t>
      </w:r>
      <w:r w:rsidRPr="00997855" w:rsidR="0073771D">
        <w:t xml:space="preserve"> </w:t>
      </w:r>
      <w:r w:rsidRPr="00997855">
        <w:t>“effectuates the rights of the tribes in those instances in which those rights are most likely at risk, which are precisely the cases in which the tribe’s potential rights do justify placing the children in a further period of limbo</w:t>
      </w:r>
      <w:r w:rsidRPr="00997855" w:rsidR="00281D6C">
        <w:t>.</w:t>
      </w:r>
      <w:r w:rsidRPr="00997855">
        <w:t>”</w:t>
      </w:r>
      <w:r w:rsidRPr="00997855" w:rsidR="0039205D">
        <w:t xml:space="preserve"> </w:t>
      </w:r>
      <w:r w:rsidRPr="00997855">
        <w:t xml:space="preserve"> </w:t>
      </w:r>
      <w:r w:rsidRPr="00997855" w:rsidR="0039205D">
        <w:t>(</w:t>
      </w:r>
      <w:r w:rsidRPr="00997855" w:rsidR="0039205D">
        <w:rPr>
          <w:i/>
          <w:iCs/>
        </w:rPr>
        <w:t>Dezi C.</w:t>
      </w:r>
      <w:r w:rsidRPr="00997855" w:rsidR="0039205D">
        <w:t xml:space="preserve">, </w:t>
      </w:r>
      <w:r w:rsidRPr="00997855" w:rsidR="0039205D">
        <w:rPr>
          <w:i/>
          <w:iCs/>
        </w:rPr>
        <w:t>supra</w:t>
      </w:r>
      <w:r w:rsidRPr="00997855" w:rsidR="0039205D">
        <w:t xml:space="preserve">, 79 Cal.App.5th at p. 782.)  </w:t>
      </w:r>
      <w:r w:rsidRPr="00997855" w:rsidR="00281D6C">
        <w:t xml:space="preserve">They also </w:t>
      </w:r>
      <w:r w:rsidR="00866952">
        <w:t xml:space="preserve">take the position </w:t>
      </w:r>
      <w:r w:rsidRPr="00997855" w:rsidR="00281D6C">
        <w:t xml:space="preserve">that </w:t>
      </w:r>
      <w:r w:rsidRPr="00997855">
        <w:t xml:space="preserve">“by focusing on what is in the record rather than what is not in the record, </w:t>
      </w:r>
      <w:r w:rsidRPr="00997855" w:rsidR="00B022D6">
        <w:t>[the reason</w:t>
      </w:r>
      <w:r w:rsidRPr="00997855" w:rsidR="002A017E">
        <w:t>-</w:t>
      </w:r>
      <w:r w:rsidRPr="00997855" w:rsidR="00B022D6">
        <w:t>to</w:t>
      </w:r>
      <w:r w:rsidRPr="00997855" w:rsidR="002A017E">
        <w:t>-</w:t>
      </w:r>
      <w:r w:rsidRPr="00997855" w:rsidR="00B022D6">
        <w:t xml:space="preserve">believe rule] </w:t>
      </w:r>
      <w:r w:rsidRPr="00997855">
        <w:t xml:space="preserve">largely sidesteps the </w:t>
      </w:r>
      <w:r w:rsidRPr="00997855" w:rsidR="00B022D6">
        <w:t>‘</w:t>
      </w:r>
      <w:r w:rsidRPr="00997855">
        <w:t>how can we know what we don’t know</w:t>
      </w:r>
      <w:r w:rsidRPr="00997855" w:rsidR="00B022D6">
        <w:t>’</w:t>
      </w:r>
      <w:r w:rsidRPr="00997855">
        <w:t xml:space="preserve"> and burden of proof conundrums that animate the automatic reversal and presumptive affirmance rules.”  (</w:t>
      </w:r>
      <w:r w:rsidR="00985212">
        <w:rPr>
          <w:i/>
          <w:iCs/>
        </w:rPr>
        <w:t>I</w:t>
      </w:r>
      <w:r w:rsidR="007C4AAB">
        <w:rPr>
          <w:i/>
          <w:iCs/>
        </w:rPr>
        <w:t>bi</w:t>
      </w:r>
      <w:r w:rsidR="00985212">
        <w:rPr>
          <w:i/>
          <w:iCs/>
        </w:rPr>
        <w:t>d.</w:t>
      </w:r>
      <w:r w:rsidRPr="00997855">
        <w:t>)</w:t>
      </w:r>
    </w:p>
    <w:p w:rsidR="00685BD4" w:rsidRPr="00997855" w:rsidP="00997855" w14:paraId="2A7E29DD" w14:textId="59F46B78">
      <w:pPr>
        <w:tabs>
          <w:tab w:val="left" w:pos="720"/>
        </w:tabs>
      </w:pPr>
      <w:r w:rsidRPr="00997855">
        <w:tab/>
      </w:r>
      <w:r w:rsidRPr="00997855" w:rsidR="00C05DC2">
        <w:t xml:space="preserve">These arguments improperly focus </w:t>
      </w:r>
      <w:r w:rsidRPr="00997855">
        <w:t>on the outcome of the inquiry</w:t>
      </w:r>
      <w:r w:rsidRPr="00997855" w:rsidR="00C05DC2">
        <w:t> </w:t>
      </w:r>
      <w:r w:rsidRPr="00997855">
        <w:t>—</w:t>
      </w:r>
      <w:r w:rsidRPr="00997855" w:rsidR="00C05DC2">
        <w:t xml:space="preserve"> </w:t>
      </w:r>
      <w:r w:rsidRPr="00997855">
        <w:t>that there is a reason to believe the child is an Indian child</w:t>
      </w:r>
      <w:r w:rsidRPr="00997855" w:rsidR="00C05DC2">
        <w:t> </w:t>
      </w:r>
      <w:r w:rsidRPr="00997855">
        <w:t>—</w:t>
      </w:r>
      <w:r w:rsidRPr="00997855" w:rsidR="00C05DC2">
        <w:t xml:space="preserve"> </w:t>
      </w:r>
      <w:r w:rsidRPr="00997855">
        <w:t xml:space="preserve">rather than the inquiry itself.  </w:t>
      </w:r>
      <w:r w:rsidRPr="00997855" w:rsidR="00DF6DC2">
        <w:t xml:space="preserve">As the </w:t>
      </w:r>
      <w:r w:rsidRPr="00997855" w:rsidR="00DF6DC2">
        <w:rPr>
          <w:i/>
          <w:iCs/>
        </w:rPr>
        <w:t>K.H.</w:t>
      </w:r>
      <w:r w:rsidRPr="00997855" w:rsidR="00DF6DC2">
        <w:t xml:space="preserve"> court observed,</w:t>
      </w:r>
      <w:r w:rsidRPr="00997855" w:rsidR="00276A25">
        <w:t xml:space="preserve"> </w:t>
      </w:r>
      <w:r w:rsidRPr="00997855">
        <w:t>“</w:t>
      </w:r>
      <w:r w:rsidRPr="00997855" w:rsidR="00DF6DC2">
        <w:t>[b]</w:t>
      </w:r>
      <w:r w:rsidRPr="00997855">
        <w:t xml:space="preserve">y design, </w:t>
      </w:r>
      <w:r w:rsidRPr="00997855" w:rsidR="007A543A">
        <w:t>this</w:t>
      </w:r>
      <w:r w:rsidRPr="00997855" w:rsidR="00D50355">
        <w:t xml:space="preserve"> </w:t>
      </w:r>
      <w:r w:rsidRPr="00997855" w:rsidR="00BC05B0">
        <w:t>[reason</w:t>
      </w:r>
      <w:r w:rsidRPr="00997855" w:rsidR="00311E38">
        <w:t>-</w:t>
      </w:r>
      <w:r w:rsidRPr="00997855" w:rsidR="00BC05B0">
        <w:t>to</w:t>
      </w:r>
      <w:r w:rsidRPr="00997855" w:rsidR="00311E38">
        <w:t>-</w:t>
      </w:r>
      <w:r w:rsidRPr="00997855" w:rsidR="00BC05B0">
        <w:t>believe]</w:t>
      </w:r>
      <w:r w:rsidRPr="00997855" w:rsidR="007A543A">
        <w:t xml:space="preserve"> approach bypasses problems with the agency</w:t>
      </w:r>
      <w:r w:rsidRPr="00997855" w:rsidR="0011549F">
        <w:t>’</w:t>
      </w:r>
      <w:r w:rsidRPr="00997855" w:rsidR="007A543A">
        <w:t>s and the court</w:t>
      </w:r>
      <w:r w:rsidRPr="00997855" w:rsidR="00DF6DC2">
        <w:t>’</w:t>
      </w:r>
      <w:r w:rsidRPr="00997855" w:rsidR="007A543A">
        <w:t xml:space="preserve">s discharge of their duties where the deficiencies lie in the failure to gather information at the initial stage of inquiry. </w:t>
      </w:r>
      <w:r w:rsidRPr="00997855" w:rsidR="00DF6DC2">
        <w:t xml:space="preserve"> [Citation.]  </w:t>
      </w:r>
      <w:r w:rsidRPr="00997855" w:rsidR="007A543A">
        <w:t>Instead, the</w:t>
      </w:r>
      <w:r w:rsidRPr="00997855" w:rsidR="00DF6DC2">
        <w:t xml:space="preserve"> </w:t>
      </w:r>
      <w:r w:rsidRPr="00997855" w:rsidR="007A543A">
        <w:t xml:space="preserve">rule focuses on information relevant to the </w:t>
      </w:r>
      <w:r w:rsidRPr="00997855" w:rsidR="007A543A">
        <w:rPr>
          <w:i/>
          <w:iCs/>
        </w:rPr>
        <w:t>next stage</w:t>
      </w:r>
      <w:r w:rsidRPr="00997855" w:rsidR="007A543A">
        <w:t xml:space="preserve"> in the ICWA compliance process</w:t>
      </w:r>
      <w:r w:rsidRPr="00997855" w:rsidR="00B37EF0">
        <w:t> </w:t>
      </w:r>
      <w:r w:rsidRPr="00997855" w:rsidR="007A543A">
        <w:t>—</w:t>
      </w:r>
      <w:r w:rsidRPr="00997855" w:rsidR="00B37EF0">
        <w:t xml:space="preserve"> </w:t>
      </w:r>
      <w:r w:rsidRPr="00997855" w:rsidR="007A543A">
        <w:t xml:space="preserve">a need for further inquiry </w:t>
      </w:r>
      <w:r w:rsidRPr="00575D9A" w:rsidR="007A543A">
        <w:rPr>
          <w:i/>
          <w:iCs/>
        </w:rPr>
        <w:t>if</w:t>
      </w:r>
      <w:r w:rsidRPr="00997855" w:rsidR="007A543A">
        <w:t xml:space="preserve">, based on the record, there is reason to believe the child is an Indian child </w:t>
      </w:r>
      <w:r w:rsidRPr="00997855" w:rsidR="00B37EF0">
        <w:t>[citation]</w:t>
      </w:r>
      <w:r w:rsidRPr="00997855" w:rsidR="007A543A">
        <w:t xml:space="preserve">, and on prejudice as related to the </w:t>
      </w:r>
      <w:r w:rsidRPr="00997855" w:rsidR="007A543A">
        <w:rPr>
          <w:i/>
          <w:iCs/>
        </w:rPr>
        <w:t>court</w:t>
      </w:r>
      <w:r w:rsidRPr="00997855" w:rsidR="00B37EF0">
        <w:rPr>
          <w:i/>
          <w:iCs/>
        </w:rPr>
        <w:t>’</w:t>
      </w:r>
      <w:r w:rsidRPr="00997855" w:rsidR="007A543A">
        <w:rPr>
          <w:i/>
          <w:iCs/>
        </w:rPr>
        <w:t>s</w:t>
      </w:r>
      <w:r w:rsidRPr="00997855" w:rsidR="007A543A">
        <w:t xml:space="preserve"> ICWA finding </w:t>
      </w:r>
      <w:r w:rsidRPr="00997855" w:rsidR="00E67FC3">
        <w:t>[citation]</w:t>
      </w:r>
      <w:r w:rsidRPr="00997855" w:rsidR="007A543A">
        <w:t>.</w:t>
      </w:r>
      <w:r w:rsidRPr="00997855" w:rsidR="00B07E9A">
        <w:t xml:space="preserve"> </w:t>
      </w:r>
      <w:r w:rsidRPr="00997855" w:rsidR="007A543A">
        <w:t xml:space="preserve"> However, as recent cases demonstrate, following changes in California law over the past few years, </w:t>
      </w:r>
      <w:r w:rsidRPr="00C843B8" w:rsidR="007A543A">
        <w:t xml:space="preserve">errors in the ICWA compliance process very often lie in the lack of an adequate inquiry at the outset </w:t>
      </w:r>
      <w:r w:rsidRPr="00997855" w:rsidR="007A543A">
        <w:t>and, as we have explained, ensuring adequacy at the outset is essential to ensuring that the protection afforded by ICWA and related law is realized.</w:t>
      </w:r>
      <w:r w:rsidRPr="00997855" w:rsidR="00B07E9A">
        <w:t>”</w:t>
      </w:r>
      <w:r w:rsidRPr="00997855" w:rsidR="007A543A">
        <w:t xml:space="preserve"> </w:t>
      </w:r>
      <w:r w:rsidRPr="00997855" w:rsidR="00B07E9A">
        <w:t xml:space="preserve"> </w:t>
      </w:r>
      <w:r w:rsidRPr="00997855" w:rsidR="007A543A">
        <w:t>(</w:t>
      </w:r>
      <w:r w:rsidRPr="00997855" w:rsidR="007A543A">
        <w:rPr>
          <w:i/>
          <w:iCs/>
        </w:rPr>
        <w:t>K.H.</w:t>
      </w:r>
      <w:r w:rsidRPr="00997855" w:rsidR="007A543A">
        <w:t xml:space="preserve">, </w:t>
      </w:r>
      <w:r w:rsidRPr="00997855" w:rsidR="007A543A">
        <w:rPr>
          <w:i/>
          <w:iCs/>
        </w:rPr>
        <w:t>supra</w:t>
      </w:r>
      <w:r w:rsidRPr="00997855" w:rsidR="007A543A">
        <w:t>, 84 Cal.App.5th at p. 615</w:t>
      </w:r>
      <w:r w:rsidRPr="00997855" w:rsidR="00FE3E03">
        <w:t>, italics added</w:t>
      </w:r>
      <w:r w:rsidRPr="00997855" w:rsidR="007A543A">
        <w:t xml:space="preserve">.)  </w:t>
      </w:r>
      <w:r w:rsidRPr="00997855" w:rsidR="00F165C0">
        <w:t>T</w:t>
      </w:r>
      <w:r w:rsidRPr="00997855" w:rsidR="00AD1D82">
        <w:t>he duty of inquiry is an ongoing one — even if it may also trigger further duties — and</w:t>
      </w:r>
      <w:r w:rsidRPr="00997855" w:rsidR="00371A9F">
        <w:t xml:space="preserve"> </w:t>
      </w:r>
      <w:r w:rsidRPr="00997855" w:rsidR="00BD6AC4">
        <w:t>cannot be conflated with downstream compliance requirements</w:t>
      </w:r>
      <w:r w:rsidRPr="00997855" w:rsidR="00AD1D82">
        <w:t>.  (§ 224.2, subd.</w:t>
      </w:r>
      <w:r w:rsidRPr="00997855" w:rsidR="00986E2E">
        <w:t> </w:t>
      </w:r>
      <w:r w:rsidRPr="00997855" w:rsidR="00AD1D82">
        <w:t xml:space="preserve">(a); </w:t>
      </w:r>
      <w:r w:rsidRPr="00997855" w:rsidR="00AD1D82">
        <w:rPr>
          <w:i/>
          <w:iCs/>
        </w:rPr>
        <w:t>J.C.</w:t>
      </w:r>
      <w:r w:rsidRPr="00997855" w:rsidR="00AD1D82">
        <w:t xml:space="preserve">, </w:t>
      </w:r>
      <w:r w:rsidRPr="00997855" w:rsidR="00AD1D82">
        <w:rPr>
          <w:i/>
          <w:iCs/>
        </w:rPr>
        <w:t>supra</w:t>
      </w:r>
      <w:r w:rsidRPr="00997855" w:rsidR="00AD1D82">
        <w:t>, 77 Cal.App.5th at p. 77 [duty of inquiry “</w:t>
      </w:r>
      <w:r w:rsidRPr="00997855" w:rsidR="00DD118A">
        <w:t> </w:t>
      </w:r>
      <w:r w:rsidRPr="00997855" w:rsidR="00AD1D82">
        <w:t xml:space="preserve">‘begins with the initial contact’ [citation] and continues throughout the dependency proceedings”].)  </w:t>
      </w:r>
      <w:r w:rsidRPr="00997855" w:rsidR="00D65506">
        <w:t xml:space="preserve">Stated differently, </w:t>
      </w:r>
      <w:r w:rsidRPr="00997855">
        <w:t>the inquiry is not outcome oriented</w:t>
      </w:r>
      <w:r w:rsidRPr="00997855" w:rsidR="00CB1C12">
        <w:t>; rather, it is</w:t>
      </w:r>
      <w:r w:rsidRPr="00997855">
        <w:t xml:space="preserve"> </w:t>
      </w:r>
      <w:r w:rsidRPr="00997855" w:rsidR="00411B22">
        <w:t xml:space="preserve">geared to </w:t>
      </w:r>
      <w:r w:rsidRPr="00997855">
        <w:t>ensuring that tribal heritage is acknowledged and inquired about</w:t>
      </w:r>
      <w:r w:rsidRPr="00997855" w:rsidR="000B139A">
        <w:t xml:space="preserve"> in dependency cases</w:t>
      </w:r>
      <w:r w:rsidRPr="00997855">
        <w:t xml:space="preserve">.  Focusing on whether there is information bearing on the outcome of the inquiry </w:t>
      </w:r>
      <w:r w:rsidRPr="00997855" w:rsidR="00F23CDD">
        <w:rPr>
          <w:i/>
          <w:iCs/>
        </w:rPr>
        <w:t>before an adequate inquiry has even been made</w:t>
      </w:r>
      <w:r w:rsidRPr="00997855" w:rsidR="00F23CDD">
        <w:t xml:space="preserve"> </w:t>
      </w:r>
      <w:r w:rsidRPr="00997855">
        <w:t xml:space="preserve">frustrates the purpose of ICWA and ignores that </w:t>
      </w:r>
      <w:r w:rsidRPr="00997855" w:rsidR="007763BB">
        <w:t>“tribes have a compelling, legally protected interest in the inquiry itself.”  (</w:t>
      </w:r>
      <w:r w:rsidRPr="00997855" w:rsidR="007763BB">
        <w:rPr>
          <w:i/>
          <w:iCs/>
        </w:rPr>
        <w:t>A.R.</w:t>
      </w:r>
      <w:r w:rsidRPr="00997855" w:rsidR="007763BB">
        <w:t xml:space="preserve">, </w:t>
      </w:r>
      <w:r w:rsidRPr="00997855" w:rsidR="007763BB">
        <w:rPr>
          <w:i/>
          <w:iCs/>
        </w:rPr>
        <w:t>supra</w:t>
      </w:r>
      <w:r w:rsidRPr="00997855" w:rsidR="007763BB">
        <w:t>, 77 Cal.App.5th at p. 202.)</w:t>
      </w:r>
    </w:p>
    <w:p w:rsidR="006633F5" w:rsidRPr="00997855" w:rsidP="002A5CA0" w14:paraId="0F98425C" w14:textId="1CEE5C61">
      <w:pPr>
        <w:ind w:firstLine="720"/>
      </w:pPr>
      <w:r w:rsidRPr="009F3CB8">
        <w:t xml:space="preserve">The </w:t>
      </w:r>
      <w:r w:rsidRPr="009F3CB8" w:rsidR="00B81B7D">
        <w:t xml:space="preserve">Court of Appeal and the </w:t>
      </w:r>
      <w:r w:rsidRPr="009F3CB8">
        <w:t xml:space="preserve">Department make much of the fact that </w:t>
      </w:r>
      <w:r w:rsidRPr="009F3CB8" w:rsidR="00BF48FF">
        <w:t xml:space="preserve">mother </w:t>
      </w:r>
      <w:r w:rsidRPr="009F3CB8">
        <w:t xml:space="preserve">failed to raise ICWA </w:t>
      </w:r>
      <w:r w:rsidR="00252734">
        <w:t xml:space="preserve">and Cal-ICWA </w:t>
      </w:r>
      <w:r w:rsidRPr="009F3CB8">
        <w:t>compliance issues below</w:t>
      </w:r>
      <w:r w:rsidRPr="009F3CB8" w:rsidR="00BB23F4">
        <w:t xml:space="preserve"> </w:t>
      </w:r>
      <w:r w:rsidRPr="009F3CB8" w:rsidR="00132104">
        <w:t>and denied Indian ancestry</w:t>
      </w:r>
      <w:r w:rsidRPr="009F3CB8" w:rsidR="00043FBB">
        <w:t xml:space="preserve">.  </w:t>
      </w:r>
      <w:r w:rsidRPr="009F3CB8" w:rsidR="00B81B7D">
        <w:t>They</w:t>
      </w:r>
      <w:r w:rsidRPr="009F3CB8" w:rsidR="002542CD">
        <w:t xml:space="preserve"> emphasize that </w:t>
      </w:r>
      <w:r w:rsidRPr="009F3CB8" w:rsidR="00AE2676">
        <w:t>the reason</w:t>
      </w:r>
      <w:r w:rsidRPr="009F3CB8" w:rsidR="00311E38">
        <w:t>-</w:t>
      </w:r>
      <w:r w:rsidRPr="009F3CB8" w:rsidR="00AE2676">
        <w:t>to</w:t>
      </w:r>
      <w:r w:rsidRPr="009F3CB8" w:rsidR="00311E38">
        <w:t>-</w:t>
      </w:r>
      <w:r w:rsidRPr="009F3CB8" w:rsidR="00AE2676">
        <w:t xml:space="preserve">believe rule will </w:t>
      </w:r>
      <w:r w:rsidRPr="009F3CB8" w:rsidR="006F44F7">
        <w:t>encourage p</w:t>
      </w:r>
      <w:r w:rsidRPr="009F3CB8" w:rsidR="00A3518B">
        <w:t xml:space="preserve">arents to </w:t>
      </w:r>
      <w:r w:rsidRPr="009F3CB8" w:rsidR="008F291D">
        <w:t xml:space="preserve">raise </w:t>
      </w:r>
      <w:r w:rsidRPr="009F3CB8" w:rsidR="00254FAE">
        <w:t xml:space="preserve">objections to </w:t>
      </w:r>
      <w:r w:rsidRPr="009F3CB8" w:rsidR="001B7694">
        <w:t xml:space="preserve">ICWA inquiry issues </w:t>
      </w:r>
      <w:r w:rsidRPr="009F3CB8" w:rsidR="00F951E9">
        <w:t xml:space="preserve">earlier </w:t>
      </w:r>
      <w:r w:rsidRPr="009F3CB8" w:rsidR="001B7694">
        <w:t>and discourage gamesmanship.</w:t>
      </w:r>
      <w:r w:rsidRPr="009F3CB8">
        <w:t xml:space="preserve">  </w:t>
      </w:r>
      <w:r w:rsidRPr="009F3CB8" w:rsidR="007D60F8">
        <w:t>I</w:t>
      </w:r>
      <w:r w:rsidRPr="009F3CB8" w:rsidR="002A5CA0">
        <w:t xml:space="preserve">t is </w:t>
      </w:r>
      <w:r w:rsidRPr="009F3CB8" w:rsidR="00E2254B">
        <w:t>un</w:t>
      </w:r>
      <w:r w:rsidRPr="009F3CB8" w:rsidR="002A5CA0">
        <w:t xml:space="preserve">clear </w:t>
      </w:r>
      <w:r w:rsidRPr="009F3CB8" w:rsidR="00223F94">
        <w:t xml:space="preserve">what a parent stands to gain by </w:t>
      </w:r>
      <w:r w:rsidRPr="009F3CB8" w:rsidR="00F85686">
        <w:t xml:space="preserve">purposely withholding information </w:t>
      </w:r>
      <w:r w:rsidRPr="009F3CB8" w:rsidR="00672AD3">
        <w:t>regarding a child’s potential Indian ancestry</w:t>
      </w:r>
      <w:r w:rsidRPr="009F3CB8" w:rsidR="009266E0">
        <w:t>,</w:t>
      </w:r>
      <w:r w:rsidRPr="009F3CB8" w:rsidR="00672AD3">
        <w:t xml:space="preserve"> or </w:t>
      </w:r>
      <w:r w:rsidRPr="009F3CB8" w:rsidR="00CC15BA">
        <w:t xml:space="preserve">intentionally </w:t>
      </w:r>
      <w:r w:rsidRPr="009F3CB8" w:rsidR="00636F93">
        <w:t>withholding an objection to an inadequate ICWA inquiry</w:t>
      </w:r>
      <w:r w:rsidR="00395984">
        <w:t>,</w:t>
      </w:r>
      <w:r w:rsidRPr="009F3CB8" w:rsidR="005A4E74">
        <w:t xml:space="preserve"> </w:t>
      </w:r>
      <w:r w:rsidR="00395984">
        <w:t xml:space="preserve">only to raise </w:t>
      </w:r>
      <w:r w:rsidR="00784842">
        <w:t>the information or objection</w:t>
      </w:r>
      <w:r w:rsidRPr="009F3CB8" w:rsidR="00784842">
        <w:t xml:space="preserve"> </w:t>
      </w:r>
      <w:r w:rsidRPr="009F3CB8" w:rsidR="00411710">
        <w:t>for the first time on appeal</w:t>
      </w:r>
      <w:r w:rsidRPr="009F3CB8" w:rsidR="0004212D">
        <w:t xml:space="preserve">.  </w:t>
      </w:r>
      <w:r w:rsidRPr="009F3CB8" w:rsidR="002A5CA0">
        <w:t xml:space="preserve">Neither the Court of Appeal nor the Department identify any benefit a parent </w:t>
      </w:r>
      <w:r w:rsidRPr="009F3CB8" w:rsidR="007B783D">
        <w:t xml:space="preserve">would receive from </w:t>
      </w:r>
      <w:r w:rsidRPr="009F3CB8" w:rsidR="006A3CC7">
        <w:t>appellate delay</w:t>
      </w:r>
      <w:r w:rsidRPr="009F3CB8" w:rsidR="00091799">
        <w:t xml:space="preserve"> for ICWA compliance purposes only</w:t>
      </w:r>
      <w:r w:rsidRPr="009F3CB8" w:rsidR="00BD403A">
        <w:t>, and generally a child’s placement may not be disturbed during appeal.</w:t>
      </w:r>
      <w:r>
        <w:rPr>
          <w:rStyle w:val="FootnoteReference"/>
        </w:rPr>
        <w:footnoteReference w:id="18"/>
      </w:r>
      <w:r w:rsidRPr="00EF6A52" w:rsidR="00BD403A">
        <w:t xml:space="preserve">  (See </w:t>
      </w:r>
      <w:r w:rsidRPr="00EF6A52" w:rsidR="00276EC5">
        <w:rPr>
          <w:i/>
          <w:iCs/>
        </w:rPr>
        <w:t>In re Caden C.</w:t>
      </w:r>
      <w:r w:rsidRPr="00EF6A52" w:rsidR="00276EC5">
        <w:t xml:space="preserve"> (2021) 11 Cal.5</w:t>
      </w:r>
      <w:r w:rsidRPr="00EF6A52" w:rsidR="005927D2">
        <w:t>th</w:t>
      </w:r>
      <w:r w:rsidRPr="00EF6A52" w:rsidR="00276EC5">
        <w:t xml:space="preserve"> 614, 630</w:t>
      </w:r>
      <w:r w:rsidRPr="00EF6A52" w:rsidR="00BD403A">
        <w:t>.)</w:t>
      </w:r>
      <w:r w:rsidR="00BD403A">
        <w:t xml:space="preserve">  </w:t>
      </w:r>
    </w:p>
    <w:p w:rsidR="003A43D4" w:rsidP="0065477C" w14:paraId="6DC7CC61" w14:textId="15035D74">
      <w:pPr>
        <w:ind w:firstLine="720"/>
      </w:pPr>
      <w:r w:rsidRPr="00997855">
        <w:t>To be sure</w:t>
      </w:r>
      <w:r w:rsidRPr="00997855" w:rsidR="004C1360">
        <w:t xml:space="preserve">, </w:t>
      </w:r>
      <w:r w:rsidRPr="00997855" w:rsidR="00F011DF">
        <w:t xml:space="preserve">if a party </w:t>
      </w:r>
      <w:r w:rsidRPr="00997855" w:rsidR="00D639E6">
        <w:t xml:space="preserve">seeks </w:t>
      </w:r>
      <w:r w:rsidRPr="00997855" w:rsidR="00684822">
        <w:t xml:space="preserve">to engage in </w:t>
      </w:r>
      <w:r w:rsidRPr="00997855" w:rsidR="00B958B1">
        <w:t xml:space="preserve">gamesmanship </w:t>
      </w:r>
      <w:r w:rsidRPr="00997855">
        <w:t xml:space="preserve">to delay </w:t>
      </w:r>
      <w:r w:rsidRPr="00997855" w:rsidR="00352D19">
        <w:t xml:space="preserve">resolution of a case or </w:t>
      </w:r>
      <w:r w:rsidRPr="00997855" w:rsidR="003C2DD3">
        <w:t xml:space="preserve">a minor’s </w:t>
      </w:r>
      <w:r w:rsidRPr="00997855" w:rsidR="00352D19">
        <w:t>permanency</w:t>
      </w:r>
      <w:r w:rsidRPr="00997855" w:rsidR="00684822">
        <w:t>, we condemn such tactics</w:t>
      </w:r>
      <w:r w:rsidRPr="009E1823" w:rsidR="00B958B1">
        <w:t xml:space="preserve">.  </w:t>
      </w:r>
      <w:r w:rsidRPr="009E1823" w:rsidR="003C3621">
        <w:t xml:space="preserve">But </w:t>
      </w:r>
      <w:r w:rsidRPr="00B40F0A" w:rsidR="005E60F7">
        <w:t xml:space="preserve">there appears to be little </w:t>
      </w:r>
      <w:r w:rsidRPr="009E1823" w:rsidR="00937BCF">
        <w:t>incentive for parents to engage in such conduct in the first instance</w:t>
      </w:r>
      <w:r w:rsidRPr="009E1823" w:rsidR="00C3644B">
        <w:t xml:space="preserve">, and </w:t>
      </w:r>
      <w:r w:rsidRPr="00997855" w:rsidR="003C3621">
        <w:t xml:space="preserve">we will not assume </w:t>
      </w:r>
      <w:r w:rsidRPr="00997855" w:rsidR="00181533">
        <w:t xml:space="preserve">parents are </w:t>
      </w:r>
      <w:r w:rsidRPr="00997855" w:rsidR="006F4E42">
        <w:t>engaging in this tactic</w:t>
      </w:r>
      <w:r w:rsidRPr="00997855" w:rsidR="00847FEC">
        <w:t xml:space="preserve"> or that gamesmanship will occur </w:t>
      </w:r>
      <w:r w:rsidRPr="00997855" w:rsidR="00731ABF">
        <w:t>based on our holding</w:t>
      </w:r>
      <w:r w:rsidRPr="00997855" w:rsidR="006F4E42">
        <w:t xml:space="preserve">.  </w:t>
      </w:r>
      <w:r w:rsidR="00434E66">
        <w:t>G</w:t>
      </w:r>
      <w:r w:rsidRPr="00997855" w:rsidR="006F4E42">
        <w:t xml:space="preserve">iven the </w:t>
      </w:r>
      <w:r w:rsidRPr="00997855" w:rsidR="00D75199">
        <w:t xml:space="preserve">large number of cases </w:t>
      </w:r>
      <w:r w:rsidRPr="00997855" w:rsidR="00422B1E">
        <w:t xml:space="preserve">to date </w:t>
      </w:r>
      <w:r w:rsidRPr="00997855" w:rsidR="00D75199">
        <w:t xml:space="preserve">involving </w:t>
      </w:r>
      <w:r w:rsidRPr="00E97149" w:rsidR="00D75199">
        <w:t xml:space="preserve">patent errors with respect to </w:t>
      </w:r>
      <w:r w:rsidRPr="00E97149" w:rsidR="00725DF0">
        <w:t>Cal-</w:t>
      </w:r>
      <w:r w:rsidRPr="00E97149" w:rsidR="00D75199">
        <w:t>ICWA inquiries</w:t>
      </w:r>
      <w:r w:rsidRPr="00997855" w:rsidR="00D75199">
        <w:t>,</w:t>
      </w:r>
      <w:r w:rsidRPr="00997855" w:rsidR="00B20FF6">
        <w:t xml:space="preserve"> </w:t>
      </w:r>
      <w:r w:rsidRPr="00997855" w:rsidR="00D75199">
        <w:t xml:space="preserve">as well as legislative history </w:t>
      </w:r>
      <w:r w:rsidRPr="00997855" w:rsidR="00B20FF6">
        <w:t>expressing concern</w:t>
      </w:r>
      <w:r w:rsidRPr="00997855" w:rsidR="001625A9">
        <w:t>s</w:t>
      </w:r>
      <w:r w:rsidRPr="00997855" w:rsidR="00B20FF6">
        <w:t xml:space="preserve"> </w:t>
      </w:r>
      <w:r w:rsidRPr="00997855" w:rsidR="001863F1">
        <w:t>about</w:t>
      </w:r>
      <w:r w:rsidR="003506CD">
        <w:t xml:space="preserve"> agencies’ </w:t>
      </w:r>
      <w:r w:rsidRPr="00997855" w:rsidR="001863F1">
        <w:t xml:space="preserve">failures to comply with </w:t>
      </w:r>
      <w:r w:rsidRPr="00997855" w:rsidR="0025521D">
        <w:t>ICWA</w:t>
      </w:r>
      <w:r w:rsidR="00F3391B">
        <w:t xml:space="preserve"> (see </w:t>
      </w:r>
      <w:r w:rsidR="00F3391B">
        <w:rPr>
          <w:i/>
          <w:iCs/>
        </w:rPr>
        <w:t>ante</w:t>
      </w:r>
      <w:r w:rsidR="00F3391B">
        <w:t>, at p. 10)</w:t>
      </w:r>
      <w:r w:rsidRPr="00997855" w:rsidR="0025521D">
        <w:t xml:space="preserve">, </w:t>
      </w:r>
      <w:r w:rsidRPr="00997855" w:rsidR="00731ABF">
        <w:t xml:space="preserve">our </w:t>
      </w:r>
      <w:r w:rsidRPr="00997855" w:rsidR="007B154D">
        <w:t xml:space="preserve">primary </w:t>
      </w:r>
      <w:r w:rsidRPr="00997855" w:rsidR="008C6FCB">
        <w:t xml:space="preserve">concern is </w:t>
      </w:r>
      <w:r w:rsidRPr="00997855" w:rsidR="001863F1">
        <w:t xml:space="preserve">to </w:t>
      </w:r>
      <w:r w:rsidRPr="00997855" w:rsidR="00422B1E">
        <w:t xml:space="preserve">ensure </w:t>
      </w:r>
      <w:r w:rsidR="00F378F5">
        <w:t xml:space="preserve">those </w:t>
      </w:r>
      <w:r w:rsidRPr="00997855" w:rsidR="00422B1E">
        <w:t>agencies</w:t>
      </w:r>
      <w:r w:rsidR="009A3332">
        <w:t> </w:t>
      </w:r>
      <w:r w:rsidR="00F32F39">
        <w:t>— whose</w:t>
      </w:r>
      <w:r w:rsidR="00BF50B5">
        <w:t xml:space="preserve"> very</w:t>
      </w:r>
      <w:r w:rsidR="00F32F39">
        <w:t xml:space="preserve"> job it is to </w:t>
      </w:r>
      <w:r w:rsidR="00301DF3">
        <w:t>conduct the inquiry</w:t>
      </w:r>
      <w:r w:rsidR="009A3332">
        <w:t> </w:t>
      </w:r>
      <w:r w:rsidR="00301DF3">
        <w:t xml:space="preserve">— </w:t>
      </w:r>
      <w:r w:rsidRPr="00997855" w:rsidR="00422B1E">
        <w:t xml:space="preserve">are not avoiding </w:t>
      </w:r>
      <w:r w:rsidRPr="00997855" w:rsidR="00A34391">
        <w:t>their duties under</w:t>
      </w:r>
      <w:r w:rsidRPr="00997855" w:rsidR="00422B1E">
        <w:t xml:space="preserve"> </w:t>
      </w:r>
      <w:r w:rsidRPr="008F6E88" w:rsidR="004677E2">
        <w:t>Cal-</w:t>
      </w:r>
      <w:r w:rsidRPr="008F6E88" w:rsidR="00422B1E">
        <w:t>ICWA</w:t>
      </w:r>
      <w:r w:rsidRPr="00997855" w:rsidR="00422B1E">
        <w:t xml:space="preserve">.  </w:t>
      </w:r>
      <w:r w:rsidRPr="00997855" w:rsidR="00D3469D">
        <w:t xml:space="preserve">(See, e.g., </w:t>
      </w:r>
      <w:r w:rsidRPr="00997855" w:rsidR="00D3469D">
        <w:rPr>
          <w:i/>
          <w:iCs/>
        </w:rPr>
        <w:t>E.V.</w:t>
      </w:r>
      <w:r w:rsidRPr="00997855" w:rsidR="00D3469D">
        <w:t>,</w:t>
      </w:r>
      <w:r w:rsidRPr="00997855" w:rsidR="00D3469D">
        <w:rPr>
          <w:i/>
          <w:iCs/>
        </w:rPr>
        <w:t xml:space="preserve"> supra</w:t>
      </w:r>
      <w:r w:rsidRPr="00997855" w:rsidR="00D3469D">
        <w:t>, 80 Cal.App.5th at p. 697 [</w:t>
      </w:r>
      <w:r w:rsidRPr="00997855" w:rsidR="006B7224">
        <w:t xml:space="preserve">“this particular problem </w:t>
      </w:r>
      <w:r w:rsidRPr="00997855" w:rsidR="00D3469D">
        <w:t>[</w:t>
      </w:r>
      <w:r w:rsidRPr="00997855" w:rsidR="00636D8E">
        <w:t xml:space="preserve">of errors </w:t>
      </w:r>
      <w:r w:rsidR="006944BC">
        <w:t>in</w:t>
      </w:r>
      <w:r w:rsidRPr="00997855" w:rsidR="00636D8E">
        <w:t xml:space="preserve"> required </w:t>
      </w:r>
      <w:r w:rsidRPr="008F6E88" w:rsidR="00101B80">
        <w:t>Cal-</w:t>
      </w:r>
      <w:r w:rsidRPr="008F6E88" w:rsidR="00636D8E">
        <w:t>ICWA</w:t>
      </w:r>
      <w:r w:rsidRPr="00997855" w:rsidR="00636D8E">
        <w:t xml:space="preserve"> inquiries</w:t>
      </w:r>
      <w:r w:rsidRPr="00997855" w:rsidR="00D3469D">
        <w:t xml:space="preserve">] </w:t>
      </w:r>
      <w:r w:rsidRPr="00997855" w:rsidR="006B7224">
        <w:t>keeps surfacing in appeals with alarming frequency</w:t>
      </w:r>
      <w:r w:rsidRPr="00997855" w:rsidR="00636D8E">
        <w:t>”].</w:t>
      </w:r>
      <w:r w:rsidRPr="00997855" w:rsidR="006B7224">
        <w:t xml:space="preserve">) </w:t>
      </w:r>
      <w:r w:rsidRPr="00997855" w:rsidR="00636D8E">
        <w:t xml:space="preserve"> </w:t>
      </w:r>
      <w:r w:rsidRPr="00997855" w:rsidR="00FF6B56">
        <w:t xml:space="preserve">In addition, </w:t>
      </w:r>
      <w:r w:rsidRPr="00997855" w:rsidR="00EE4AE7">
        <w:t>“</w:t>
      </w:r>
      <w:r w:rsidRPr="00997855" w:rsidR="00FF6B56">
        <w:t>w</w:t>
      </w:r>
      <w:r w:rsidRPr="00997855" w:rsidR="00B43409">
        <w:t xml:space="preserve">e </w:t>
      </w:r>
      <w:r w:rsidRPr="00997855" w:rsidR="00EE4AE7">
        <w:t xml:space="preserve">presume that counsel representing </w:t>
      </w:r>
      <w:r w:rsidRPr="00997855" w:rsidR="00EA6858">
        <w:t>[a parent]</w:t>
      </w:r>
      <w:r w:rsidRPr="00997855" w:rsidR="00EE4AE7">
        <w:t xml:space="preserve"> in such an appeal would only raise nonfrivolous claims on </w:t>
      </w:r>
      <w:r w:rsidRPr="00997855" w:rsidR="00EA6858">
        <w:t>[t</w:t>
      </w:r>
      <w:r w:rsidRPr="00997855" w:rsidR="00EE4AE7">
        <w:t>he</w:t>
      </w:r>
      <w:r w:rsidRPr="00997855" w:rsidR="00EA6858">
        <w:t>i</w:t>
      </w:r>
      <w:r w:rsidRPr="00997855" w:rsidR="00EE4AE7">
        <w:t>r</w:t>
      </w:r>
      <w:r w:rsidRPr="00997855" w:rsidR="00EA6858">
        <w:t>]</w:t>
      </w:r>
      <w:r w:rsidRPr="00997855" w:rsidR="00EE4AE7">
        <w:t xml:space="preserve"> behalf.</w:t>
      </w:r>
      <w:r w:rsidRPr="00997855" w:rsidR="00BD4283">
        <w:t>”</w:t>
      </w:r>
      <w:r w:rsidRPr="00997855" w:rsidR="00EE4AE7">
        <w:t xml:space="preserve">  </w:t>
      </w:r>
      <w:r w:rsidRPr="00997855" w:rsidR="00BD4283">
        <w:t>(</w:t>
      </w:r>
      <w:r w:rsidRPr="00997855" w:rsidR="00BD4283">
        <w:rPr>
          <w:i/>
          <w:iCs/>
        </w:rPr>
        <w:t>In re J.K.</w:t>
      </w:r>
      <w:r w:rsidRPr="00997855" w:rsidR="00BD4283">
        <w:t xml:space="preserve"> (2022) 83 Cal.App.5th 498, 508</w:t>
      </w:r>
      <w:r w:rsidR="001B06CF">
        <w:t>,</w:t>
      </w:r>
      <w:r w:rsidRPr="00997855" w:rsidR="00BD4283">
        <w:t xml:space="preserve"> fn. 6</w:t>
      </w:r>
      <w:r w:rsidR="0065477C">
        <w:t xml:space="preserve">.)  </w:t>
      </w:r>
      <w:r w:rsidR="00EF6110">
        <w:t>We</w:t>
      </w:r>
      <w:r w:rsidRPr="00997855" w:rsidR="009D472D">
        <w:t xml:space="preserve"> </w:t>
      </w:r>
      <w:r w:rsidRPr="00997855" w:rsidR="00C52BB6">
        <w:t>“</w:t>
      </w:r>
      <w:r w:rsidRPr="00997855" w:rsidR="009D472D">
        <w:t xml:space="preserve">also </w:t>
      </w:r>
      <w:r w:rsidRPr="00997855" w:rsidR="00EE4AE7">
        <w:t>note that with regard to ICWA notices parents in dependency proceedings may be sanctioned if they ‘knowingly and willfully falsif[y] or conceal[] a material fact concerning whether the child is an Indian child, or counsel</w:t>
      </w:r>
      <w:r w:rsidRPr="00997855" w:rsidR="00F747CC">
        <w:t>[]</w:t>
      </w:r>
      <w:r w:rsidRPr="00997855" w:rsidR="00EE4AE7">
        <w:t xml:space="preserve"> a party to do so.</w:t>
      </w:r>
      <w:r w:rsidRPr="00997855" w:rsidR="00211124">
        <w:t>’</w:t>
      </w:r>
      <w:r w:rsidR="00211124">
        <w:t> </w:t>
      </w:r>
      <w:r w:rsidRPr="00997855" w:rsidR="00EE4AE7">
        <w:t xml:space="preserve">” </w:t>
      </w:r>
      <w:r w:rsidRPr="00997855" w:rsidR="00E755ED">
        <w:t xml:space="preserve"> </w:t>
      </w:r>
      <w:r w:rsidRPr="00997855" w:rsidR="00B43409">
        <w:t>(</w:t>
      </w:r>
      <w:r w:rsidRPr="00997855" w:rsidR="00B43409">
        <w:rPr>
          <w:i/>
          <w:iCs/>
        </w:rPr>
        <w:t>Ibid.</w:t>
      </w:r>
      <w:r w:rsidRPr="00997855" w:rsidR="00B43409">
        <w:t xml:space="preserve">, </w:t>
      </w:r>
      <w:r w:rsidRPr="00997855" w:rsidR="00E53D24">
        <w:t>see also</w:t>
      </w:r>
      <w:r w:rsidRPr="00997855" w:rsidR="00D01DB4">
        <w:t xml:space="preserve"> § 224.3, subd. (e)</w:t>
      </w:r>
      <w:r w:rsidRPr="00997855" w:rsidR="00EE4AE7">
        <w:t xml:space="preserve">.)  </w:t>
      </w:r>
      <w:r w:rsidRPr="00997855" w:rsidR="00B43409">
        <w:t xml:space="preserve">Thus, the statutory scheme </w:t>
      </w:r>
      <w:r w:rsidRPr="00997855" w:rsidR="005470DD">
        <w:t xml:space="preserve">already </w:t>
      </w:r>
      <w:r w:rsidRPr="00997855" w:rsidR="00BD6C2F">
        <w:t xml:space="preserve">addresses concerns </w:t>
      </w:r>
      <w:r w:rsidRPr="00997855" w:rsidR="00280ECD">
        <w:t>regarding gamesmanship.</w:t>
      </w:r>
      <w:r w:rsidR="003C77D0">
        <w:t xml:space="preserve">  </w:t>
      </w:r>
    </w:p>
    <w:p w:rsidR="00E0153E" w:rsidRPr="00DD3974" w:rsidP="0065477C" w14:paraId="3F0C1E80" w14:textId="0BBABE97">
      <w:pPr>
        <w:ind w:firstLine="720"/>
      </w:pPr>
      <w:r>
        <w:t>Further, t</w:t>
      </w:r>
      <w:r w:rsidRPr="00997855">
        <w:t xml:space="preserve">here is little indication that the </w:t>
      </w:r>
      <w:r>
        <w:t xml:space="preserve">unlikely </w:t>
      </w:r>
      <w:r w:rsidRPr="00997855">
        <w:t>concern of gamesmanship outweighs, or is on equal footing with, the critical importance of ensuring a</w:t>
      </w:r>
      <w:r w:rsidR="0023359B">
        <w:t>n adequate and</w:t>
      </w:r>
      <w:r w:rsidRPr="00997855">
        <w:t xml:space="preserve"> proper inquiry.  “</w:t>
      </w:r>
      <w:r w:rsidRPr="0045450C" w:rsidR="0045450C">
        <w:t>Until the inquiry is conducted, and the issue is put to rest, the interests of the Native American tribes have not been adequately protected, and the judgment in this case would remain vulnerable to a potential collateral attack</w:t>
      </w:r>
      <w:r w:rsidRPr="00997855">
        <w:t>.”  (</w:t>
      </w:r>
      <w:r w:rsidRPr="00997855">
        <w:rPr>
          <w:i/>
          <w:iCs/>
        </w:rPr>
        <w:t>A.R.</w:t>
      </w:r>
      <w:r w:rsidRPr="00997855">
        <w:t xml:space="preserve">, </w:t>
      </w:r>
      <w:r w:rsidRPr="00997855">
        <w:rPr>
          <w:i/>
          <w:iCs/>
        </w:rPr>
        <w:t>supra</w:t>
      </w:r>
      <w:r w:rsidRPr="00997855">
        <w:t xml:space="preserve">, 77 Cal.App.5th at p. 202.)  As we held in </w:t>
      </w:r>
      <w:r w:rsidRPr="00997855">
        <w:rPr>
          <w:i/>
          <w:iCs/>
        </w:rPr>
        <w:t>Isaiah W.</w:t>
      </w:r>
      <w:r w:rsidRPr="00997855">
        <w:t xml:space="preserve">, a parent may “challenge a finding of ICWA’s inapplicability in an appeal from </w:t>
      </w:r>
      <w:r w:rsidR="00664670">
        <w:t>the</w:t>
      </w:r>
      <w:r w:rsidRPr="00997855">
        <w:t xml:space="preserve"> subsequent order, even if [they] did not raise such a challenge in an appeal from the initial order.”  (</w:t>
      </w:r>
      <w:r w:rsidRPr="00997855">
        <w:rPr>
          <w:i/>
          <w:iCs/>
        </w:rPr>
        <w:t>Isaiah W.</w:t>
      </w:r>
      <w:r w:rsidRPr="00997855">
        <w:t xml:space="preserve">, </w:t>
      </w:r>
      <w:r w:rsidRPr="00997855">
        <w:rPr>
          <w:i/>
          <w:iCs/>
        </w:rPr>
        <w:t>supra</w:t>
      </w:r>
      <w:r w:rsidRPr="00997855">
        <w:t xml:space="preserve">, 1 Cal.5th at p. 6.)  We justified this conclusion in part because ICWA permits its notice requirements to “be enforced </w:t>
      </w:r>
      <w:r w:rsidRPr="00997855">
        <w:rPr>
          <w:i/>
          <w:iCs/>
        </w:rPr>
        <w:t xml:space="preserve">after </w:t>
      </w:r>
      <w:r w:rsidRPr="00997855">
        <w:t>the issuance of an order terminating parental rights.”  (</w:t>
      </w:r>
      <w:r w:rsidRPr="00997855">
        <w:rPr>
          <w:i/>
          <w:iCs/>
        </w:rPr>
        <w:t xml:space="preserve">Id. </w:t>
      </w:r>
      <w:r w:rsidRPr="00997855">
        <w:t xml:space="preserve">at p. 13; see also 25 U.S.C. § 1914.)  Accordingly, ICWA findings “are preserved for review </w:t>
      </w:r>
      <w:r w:rsidRPr="00997855">
        <w:rPr>
          <w:i/>
          <w:iCs/>
        </w:rPr>
        <w:t>irrespective of any action or inaction on the part of the parent</w:t>
      </w:r>
      <w:r w:rsidRPr="00997855">
        <w:t xml:space="preserve"> </w:t>
      </w:r>
      <w:r w:rsidRPr="00997855" w:rsidR="004E7256">
        <w:t>.</w:t>
      </w:r>
      <w:r w:rsidR="004E7256">
        <w:t> </w:t>
      </w:r>
      <w:r w:rsidRPr="00997855" w:rsidR="004E7256">
        <w:t>.</w:t>
      </w:r>
      <w:r w:rsidR="004E7256">
        <w:t> </w:t>
      </w:r>
      <w:r w:rsidRPr="00997855" w:rsidR="004E7256">
        <w:t>.</w:t>
      </w:r>
      <w:r w:rsidR="004E7256">
        <w:t> </w:t>
      </w:r>
      <w:r w:rsidRPr="00997855">
        <w:t>.”  (</w:t>
      </w:r>
      <w:r w:rsidRPr="00997855">
        <w:rPr>
          <w:i/>
          <w:iCs/>
        </w:rPr>
        <w:t>K.R.</w:t>
      </w:r>
      <w:r w:rsidRPr="00997855">
        <w:t xml:space="preserve">, </w:t>
      </w:r>
      <w:r w:rsidRPr="00997855">
        <w:rPr>
          <w:i/>
          <w:iCs/>
        </w:rPr>
        <w:t>supra</w:t>
      </w:r>
      <w:r w:rsidRPr="00997855">
        <w:t xml:space="preserve">, 20 Cal.App.5th at p. 708, italics added.)  </w:t>
      </w:r>
      <w:r w:rsidRPr="000F4031">
        <w:t xml:space="preserve">Moreover, nothing in the statutory scheme permits the required inquiry to be halted or short circuited when a parent denies Indian ancestry.  </w:t>
      </w:r>
    </w:p>
    <w:p w:rsidR="00FF4409" w:rsidRPr="00997855" w:rsidP="00CB55F0" w14:paraId="198131B2" w14:textId="044B20F7">
      <w:pPr>
        <w:ind w:firstLine="720"/>
      </w:pPr>
      <w:r w:rsidRPr="000F4031">
        <w:t>Ultimately, t</w:t>
      </w:r>
      <w:r w:rsidRPr="000F4031" w:rsidR="0042479C">
        <w:t xml:space="preserve">he </w:t>
      </w:r>
      <w:r w:rsidRPr="000F4031" w:rsidR="00603DC1">
        <w:t>reason</w:t>
      </w:r>
      <w:r w:rsidRPr="000F4031" w:rsidR="002C28D3">
        <w:t>-</w:t>
      </w:r>
      <w:r w:rsidRPr="000F4031" w:rsidR="00603DC1">
        <w:t>to</w:t>
      </w:r>
      <w:r w:rsidRPr="000F4031" w:rsidR="002C28D3">
        <w:t>-</w:t>
      </w:r>
      <w:r w:rsidRPr="000F4031" w:rsidR="00603DC1">
        <w:t>believe rule</w:t>
      </w:r>
      <w:r w:rsidRPr="000F4031" w:rsidR="00DD0972">
        <w:t xml:space="preserve"> discourages full compliance with Cal-ICWA,</w:t>
      </w:r>
      <w:r w:rsidRPr="000F4031" w:rsidR="0042479C">
        <w:t xml:space="preserve"> </w:t>
      </w:r>
      <w:r w:rsidRPr="00B40F0A" w:rsidR="000A299B">
        <w:t xml:space="preserve">does not </w:t>
      </w:r>
      <w:r w:rsidRPr="00DD3974" w:rsidR="00B651F9">
        <w:t>fully acknowledge</w:t>
      </w:r>
      <w:r w:rsidRPr="000F4031" w:rsidR="0042479C">
        <w:t xml:space="preserve"> </w:t>
      </w:r>
      <w:r w:rsidRPr="007C0483" w:rsidR="00B651F9">
        <w:t xml:space="preserve">the </w:t>
      </w:r>
      <w:r w:rsidRPr="007C0483" w:rsidR="00520BF5">
        <w:t xml:space="preserve">history or </w:t>
      </w:r>
      <w:r w:rsidRPr="007C0483" w:rsidR="00B651F9">
        <w:t xml:space="preserve">realities </w:t>
      </w:r>
      <w:r w:rsidRPr="000F4031" w:rsidR="0042479C">
        <w:t xml:space="preserve">of </w:t>
      </w:r>
      <w:r w:rsidRPr="007C0483" w:rsidR="00B651F9">
        <w:t xml:space="preserve">many </w:t>
      </w:r>
      <w:r w:rsidRPr="000F4031" w:rsidR="0042479C">
        <w:t>current</w:t>
      </w:r>
      <w:r w:rsidRPr="000F4031" w:rsidR="0080747E">
        <w:t>-</w:t>
      </w:r>
      <w:r w:rsidRPr="000F4031" w:rsidR="0042479C">
        <w:t>day tribal communities</w:t>
      </w:r>
      <w:r w:rsidRPr="000F4031" w:rsidR="00E813A7">
        <w:t xml:space="preserve">, and </w:t>
      </w:r>
      <w:r w:rsidRPr="007C0483" w:rsidR="00BA4F7C">
        <w:t>would risk undermining the legislative intent behind section 224.2</w:t>
      </w:r>
      <w:r w:rsidRPr="000F4031" w:rsidR="0056668E">
        <w:t>.</w:t>
      </w:r>
      <w:r>
        <w:rPr>
          <w:rStyle w:val="FootnoteReference"/>
        </w:rPr>
        <w:footnoteReference w:id="19"/>
      </w:r>
      <w:r w:rsidRPr="00656457" w:rsidR="00656457">
        <w:t xml:space="preserve">  </w:t>
      </w:r>
      <w:r w:rsidRPr="00997855" w:rsidR="00650C70">
        <w:t xml:space="preserve">An adequate </w:t>
      </w:r>
      <w:r w:rsidRPr="00997855" w:rsidR="00024F51">
        <w:t xml:space="preserve">initial inquiry ensures that </w:t>
      </w:r>
      <w:r w:rsidRPr="00997855" w:rsidR="0066595B">
        <w:t xml:space="preserve">Indian children are identified and ICWA and Cal-ICWA </w:t>
      </w:r>
      <w:r w:rsidRPr="00997855" w:rsidR="00F429B3">
        <w:t>are applied even if tribes do not intervene in the proceedings.</w:t>
      </w:r>
    </w:p>
    <w:p w:rsidR="002F604A" w:rsidP="00997855" w14:paraId="32642042" w14:textId="566B8A9B">
      <w:pPr>
        <w:ind w:firstLine="720"/>
      </w:pPr>
      <w:r w:rsidRPr="00997855">
        <w:t xml:space="preserve">For all these reasons, </w:t>
      </w:r>
      <w:r w:rsidRPr="00997855" w:rsidR="009A0DA4">
        <w:t>we</w:t>
      </w:r>
      <w:r w:rsidRPr="00997855" w:rsidR="0083795B">
        <w:t xml:space="preserve"> reject </w:t>
      </w:r>
      <w:r w:rsidRPr="00997855" w:rsidR="00337F07">
        <w:t xml:space="preserve">the </w:t>
      </w:r>
      <w:r w:rsidRPr="00997855">
        <w:t>reason</w:t>
      </w:r>
      <w:r w:rsidRPr="00997855" w:rsidR="0026437E">
        <w:t>-</w:t>
      </w:r>
      <w:r w:rsidRPr="00997855">
        <w:t>to</w:t>
      </w:r>
      <w:r w:rsidRPr="00997855" w:rsidR="0026437E">
        <w:t>-</w:t>
      </w:r>
      <w:r w:rsidRPr="00997855">
        <w:t>believe rule</w:t>
      </w:r>
      <w:r w:rsidRPr="00997855" w:rsidR="0083795B">
        <w:t xml:space="preserve">.  </w:t>
      </w:r>
      <w:r w:rsidRPr="00997855">
        <w:t xml:space="preserve">Placing the burden on an appealing parent to demonstrate </w:t>
      </w:r>
      <w:r w:rsidRPr="00997855" w:rsidR="008837E4">
        <w:t>in the record</w:t>
      </w:r>
      <w:r w:rsidR="00545868">
        <w:t xml:space="preserve"> on appeal</w:t>
      </w:r>
      <w:r w:rsidRPr="00997855" w:rsidR="008837E4">
        <w:t xml:space="preserve"> </w:t>
      </w:r>
      <w:r w:rsidRPr="00997855">
        <w:t xml:space="preserve">a reason to believe the child is an Indian child when </w:t>
      </w:r>
      <w:r w:rsidRPr="00997855" w:rsidR="008837E4">
        <w:t>the record’s deficiency is due to</w:t>
      </w:r>
      <w:r w:rsidRPr="00997855" w:rsidR="00024177">
        <w:t xml:space="preserve"> </w:t>
      </w:r>
      <w:r w:rsidRPr="00997855" w:rsidR="00122C96">
        <w:t xml:space="preserve">the </w:t>
      </w:r>
      <w:r w:rsidR="008562AF">
        <w:t xml:space="preserve">child welfare agency’s </w:t>
      </w:r>
      <w:r w:rsidRPr="00997855" w:rsidR="00122C96">
        <w:t>inadequate</w:t>
      </w:r>
      <w:r w:rsidRPr="00997855">
        <w:t xml:space="preserve"> inquiry undermines </w:t>
      </w:r>
      <w:r w:rsidR="003F540C">
        <w:t xml:space="preserve">the </w:t>
      </w:r>
      <w:r w:rsidRPr="00997855">
        <w:t>statutory scheme and weakens a tribe’s ability to discover and ultimately assert its interest in its children.</w:t>
      </w:r>
    </w:p>
    <w:p w:rsidR="00593B4F" w:rsidRPr="00E94680" w:rsidP="00593B4F" w14:paraId="70743CFD" w14:textId="7C3B2CF6">
      <w:pPr>
        <w:ind w:firstLine="720"/>
        <w:rPr>
          <w:i/>
          <w:iCs/>
        </w:rPr>
      </w:pPr>
      <w:r>
        <w:t>Last, w</w:t>
      </w:r>
      <w:r w:rsidR="00470ED6">
        <w:t xml:space="preserve">e </w:t>
      </w:r>
      <w:r w:rsidR="00B9742D">
        <w:t xml:space="preserve">explain </w:t>
      </w:r>
      <w:r w:rsidR="00F6271D">
        <w:t>why</w:t>
      </w:r>
      <w:r w:rsidR="00083244">
        <w:t xml:space="preserve"> we find</w:t>
      </w:r>
      <w:r w:rsidR="00F6271D">
        <w:t xml:space="preserve"> the </w:t>
      </w:r>
      <w:r w:rsidR="006A33D9">
        <w:t xml:space="preserve">presumptive affirmance </w:t>
      </w:r>
      <w:r w:rsidR="00CB215D">
        <w:t xml:space="preserve">rule </w:t>
      </w:r>
      <w:r w:rsidR="006A33D9">
        <w:t xml:space="preserve">and </w:t>
      </w:r>
      <w:r w:rsidR="00CB215D">
        <w:t xml:space="preserve">the rule </w:t>
      </w:r>
      <w:r w:rsidR="0042017D">
        <w:t xml:space="preserve">laid out in </w:t>
      </w:r>
      <w:r w:rsidR="0042017D">
        <w:rPr>
          <w:i/>
          <w:iCs/>
        </w:rPr>
        <w:t>Benjamin M.</w:t>
      </w:r>
      <w:r w:rsidR="0042017D">
        <w:t xml:space="preserve"> </w:t>
      </w:r>
      <w:r w:rsidR="00C0491F">
        <w:t xml:space="preserve">unpersuasive.  </w:t>
      </w:r>
      <w:r>
        <w:t xml:space="preserve">The presumptive affirmance rule </w:t>
      </w:r>
      <w:r w:rsidR="00831681">
        <w:t>“has been sharply criticized.”  (</w:t>
      </w:r>
      <w:r w:rsidR="00831681">
        <w:rPr>
          <w:i/>
          <w:iCs/>
        </w:rPr>
        <w:t>K.H.</w:t>
      </w:r>
      <w:r w:rsidR="00831681">
        <w:t xml:space="preserve">, </w:t>
      </w:r>
      <w:r w:rsidRPr="0065477C" w:rsidR="00831681">
        <w:rPr>
          <w:i/>
          <w:iCs/>
        </w:rPr>
        <w:t>supra</w:t>
      </w:r>
      <w:r w:rsidR="00831681">
        <w:t xml:space="preserve">, 84 Cal.App.5th at p. 612.)  </w:t>
      </w:r>
      <w:r w:rsidRPr="00545868" w:rsidR="0000158A">
        <w:t xml:space="preserve">First, the rule </w:t>
      </w:r>
      <w:r w:rsidRPr="00545868" w:rsidR="00325034">
        <w:t xml:space="preserve">contravenes our holding in </w:t>
      </w:r>
      <w:r w:rsidRPr="00545868" w:rsidR="00325034">
        <w:rPr>
          <w:i/>
          <w:iCs/>
        </w:rPr>
        <w:t>Kenneth D.</w:t>
      </w:r>
      <w:r w:rsidRPr="00545868" w:rsidR="00325034">
        <w:t xml:space="preserve"> that absent exceptional circumstances, a reviewing </w:t>
      </w:r>
      <w:r w:rsidRPr="00545868" w:rsidR="00FA7832">
        <w:t xml:space="preserve">court should not </w:t>
      </w:r>
      <w:r w:rsidRPr="00545868" w:rsidR="003826F8">
        <w:t xml:space="preserve">make factual findings and </w:t>
      </w:r>
      <w:r w:rsidRPr="00545868" w:rsidR="00FA7832">
        <w:t xml:space="preserve">consider </w:t>
      </w:r>
      <w:r w:rsidR="006A71F8">
        <w:t xml:space="preserve">new </w:t>
      </w:r>
      <w:r w:rsidRPr="00545868" w:rsidR="00FA7832">
        <w:t xml:space="preserve">evidence </w:t>
      </w:r>
      <w:r w:rsidR="006A71F8">
        <w:t xml:space="preserve">on appeal </w:t>
      </w:r>
      <w:r w:rsidRPr="00545868" w:rsidR="003826F8">
        <w:t xml:space="preserve">to conclude the </w:t>
      </w:r>
      <w:r w:rsidR="00C631AB">
        <w:t xml:space="preserve">initial inquiry </w:t>
      </w:r>
      <w:r w:rsidRPr="00545868" w:rsidR="003826F8">
        <w:t>error was harmless.  (</w:t>
      </w:r>
      <w:r w:rsidRPr="00545868" w:rsidR="003826F8">
        <w:rPr>
          <w:i/>
          <w:iCs/>
        </w:rPr>
        <w:t>Kenneth D.</w:t>
      </w:r>
      <w:r w:rsidR="00EC2FCE">
        <w:t xml:space="preserve">, </w:t>
      </w:r>
      <w:r w:rsidR="00EC2FCE">
        <w:rPr>
          <w:i/>
          <w:iCs/>
        </w:rPr>
        <w:t>supra</w:t>
      </w:r>
      <w:r w:rsidR="00EC2FCE">
        <w:t xml:space="preserve">, </w:t>
      </w:r>
      <w:r w:rsidRPr="00545868" w:rsidR="003826F8">
        <w:t>__</w:t>
      </w:r>
      <w:r w:rsidR="00C12147">
        <w:t>_</w:t>
      </w:r>
      <w:r w:rsidRPr="00545868" w:rsidR="003826F8">
        <w:t xml:space="preserve"> Cal.5th </w:t>
      </w:r>
      <w:r w:rsidR="00EC2FCE">
        <w:t xml:space="preserve">at pp. </w:t>
      </w:r>
      <w:r w:rsidRPr="00545868" w:rsidR="003826F8">
        <w:t>__</w:t>
      </w:r>
      <w:r w:rsidR="00C12147">
        <w:t>_</w:t>
      </w:r>
      <w:r w:rsidRPr="00545868" w:rsidR="003826F8">
        <w:t>, __</w:t>
      </w:r>
      <w:r w:rsidR="00C12147">
        <w:t>_</w:t>
      </w:r>
      <w:r w:rsidRPr="00545868" w:rsidR="003826F8">
        <w:t xml:space="preserve"> [pp. 1</w:t>
      </w:r>
      <w:r w:rsidRPr="00545868" w:rsidR="00420D97">
        <w:t xml:space="preserve">, </w:t>
      </w:r>
      <w:r w:rsidRPr="00545868" w:rsidR="00C77B1F">
        <w:t>1</w:t>
      </w:r>
      <w:r w:rsidR="00C77B1F">
        <w:t>8</w:t>
      </w:r>
      <w:r w:rsidRPr="00545868" w:rsidR="003826F8">
        <w:t>]</w:t>
      </w:r>
      <w:r w:rsidRPr="00545868" w:rsidR="00420D97">
        <w:t>.)</w:t>
      </w:r>
      <w:r w:rsidR="00420D97">
        <w:t xml:space="preserve">  </w:t>
      </w:r>
      <w:r w:rsidR="001D7CE7">
        <w:t>T</w:t>
      </w:r>
      <w:r w:rsidR="00C04108">
        <w:t xml:space="preserve">he rule </w:t>
      </w:r>
      <w:r w:rsidR="001D7CE7">
        <w:t xml:space="preserve">also </w:t>
      </w:r>
      <w:r w:rsidR="002E7B31">
        <w:t>“</w:t>
      </w:r>
      <w:r w:rsidR="000A12A1">
        <w:t>require[s] a parent to make an affirmative representation of Indian ancestry where the [agency’s] failure to conduct an adequate inquiry deprived the parent of the very knowledge needed to make such a claim</w:t>
      </w:r>
      <w:r w:rsidRPr="00330B26" w:rsidR="000A12A1">
        <w:t>.</w:t>
      </w:r>
      <w:r w:rsidR="000A12A1">
        <w:t>”</w:t>
      </w:r>
      <w:r>
        <w:t xml:space="preserve">  </w:t>
      </w:r>
      <w:r w:rsidR="00AF77BB">
        <w:t>(</w:t>
      </w:r>
      <w:r w:rsidR="003374DA">
        <w:rPr>
          <w:i/>
          <w:iCs/>
        </w:rPr>
        <w:t>Y.</w:t>
      </w:r>
      <w:r w:rsidR="00330B26">
        <w:rPr>
          <w:i/>
          <w:iCs/>
        </w:rPr>
        <w:t>W</w:t>
      </w:r>
      <w:r w:rsidR="003374DA">
        <w:rPr>
          <w:i/>
          <w:iCs/>
        </w:rPr>
        <w:t>.</w:t>
      </w:r>
      <w:r w:rsidR="003374DA">
        <w:t xml:space="preserve">, </w:t>
      </w:r>
      <w:r w:rsidR="003374DA">
        <w:rPr>
          <w:i/>
          <w:iCs/>
        </w:rPr>
        <w:t>supra</w:t>
      </w:r>
      <w:r w:rsidR="003374DA">
        <w:t xml:space="preserve">, </w:t>
      </w:r>
      <w:r w:rsidR="00330B26">
        <w:t>70</w:t>
      </w:r>
      <w:r w:rsidR="003374DA">
        <w:t xml:space="preserve"> Cal.App.5th at p. </w:t>
      </w:r>
      <w:r w:rsidR="00330B26">
        <w:t xml:space="preserve">556.)  </w:t>
      </w:r>
      <w:r>
        <w:t xml:space="preserve">As the Court of Appeal below </w:t>
      </w:r>
      <w:r w:rsidR="005E218C">
        <w:t xml:space="preserve">reasoned </w:t>
      </w:r>
      <w:r>
        <w:t>in rejecting the rule:</w:t>
      </w:r>
      <w:r w:rsidR="006201C2">
        <w:t xml:space="preserve"> </w:t>
      </w:r>
      <w:r>
        <w:t xml:space="preserve"> “By placing the onus solely on the parent to come forward with a proffer of information likely to be obtained on remand, the presumptive affirmance rule not only embraces finality at the expense of the tribe’s interest in ascertaining accurate determinations of the Indian status of dependent children, but does too little to incentivize agencies to conduct proper inquiries because prejudicially deficient </w:t>
      </w:r>
      <w:r w:rsidR="000D2BF0">
        <w:t>[</w:t>
      </w:r>
      <w:r>
        <w:t>inquir</w:t>
      </w:r>
      <w:r w:rsidR="000D2BF0">
        <w:t>i</w:t>
      </w:r>
      <w:r>
        <w:t>es</w:t>
      </w:r>
      <w:r w:rsidR="000D2BF0">
        <w:t>]</w:t>
      </w:r>
      <w:r>
        <w:t xml:space="preserve"> </w:t>
      </w:r>
      <w:r w:rsidRPr="004C1CD6">
        <w:t>will</w:t>
      </w:r>
      <w:r>
        <w:t xml:space="preserve"> go uncorrected if the parent is unwilling or unable to make a meaningful proffer on appeal.”  (</w:t>
      </w:r>
      <w:r w:rsidRPr="00E94680">
        <w:rPr>
          <w:i/>
          <w:iCs/>
        </w:rPr>
        <w:t>Dezi C.</w:t>
      </w:r>
      <w:r>
        <w:t xml:space="preserve">, </w:t>
      </w:r>
      <w:r w:rsidRPr="00E94680">
        <w:rPr>
          <w:i/>
          <w:iCs/>
        </w:rPr>
        <w:t>supra</w:t>
      </w:r>
      <w:r>
        <w:t xml:space="preserve">, 79 Cal.App.5th at p. 785.)  </w:t>
      </w:r>
    </w:p>
    <w:p w:rsidR="001D355D" w:rsidP="00593B4F" w14:paraId="31EB3314" w14:textId="4E23E0A1">
      <w:pPr>
        <w:ind w:firstLine="720"/>
      </w:pPr>
      <w:r>
        <w:t>As we have seen, t</w:t>
      </w:r>
      <w:r w:rsidR="003429E1">
        <w:t>he</w:t>
      </w:r>
      <w:r w:rsidR="005847E8">
        <w:t xml:space="preserve"> </w:t>
      </w:r>
      <w:r w:rsidR="00F85E64">
        <w:t xml:space="preserve">rule adopted by the </w:t>
      </w:r>
      <w:r w:rsidRPr="00E94680" w:rsidR="00593B4F">
        <w:rPr>
          <w:i/>
          <w:iCs/>
        </w:rPr>
        <w:t>Benjamin M.</w:t>
      </w:r>
      <w:r w:rsidR="00593B4F">
        <w:t xml:space="preserve"> </w:t>
      </w:r>
      <w:r w:rsidR="00881891">
        <w:t xml:space="preserve">court </w:t>
      </w:r>
      <w:r w:rsidR="00E925D9">
        <w:t xml:space="preserve">requires a court to </w:t>
      </w:r>
      <w:r w:rsidR="00593B4F">
        <w:t>“reverse where the record demonstrates that the agency has not only failed in its duty of initial inquiry, but where the record indicates that there was readily obtainable information that was likely to bear meaningfully upon whether the child is an Indian child.”  (</w:t>
      </w:r>
      <w:r w:rsidRPr="00E94680" w:rsidR="00593B4F">
        <w:rPr>
          <w:i/>
          <w:iCs/>
        </w:rPr>
        <w:t>Benjamin</w:t>
      </w:r>
      <w:r w:rsidR="00593B4F">
        <w:t xml:space="preserve"> </w:t>
      </w:r>
      <w:r w:rsidRPr="00E94680" w:rsidR="00593B4F">
        <w:rPr>
          <w:i/>
          <w:iCs/>
        </w:rPr>
        <w:t>M.</w:t>
      </w:r>
      <w:r w:rsidR="00593B4F">
        <w:t xml:space="preserve">, </w:t>
      </w:r>
      <w:r w:rsidRPr="00E94680" w:rsidR="00593B4F">
        <w:rPr>
          <w:i/>
          <w:iCs/>
        </w:rPr>
        <w:t>supra</w:t>
      </w:r>
      <w:r w:rsidR="00593B4F">
        <w:t xml:space="preserve">, 70 Cal.App.5th at p. 744.)  </w:t>
      </w:r>
      <w:r w:rsidR="00F34B8D">
        <w:t xml:space="preserve">This </w:t>
      </w:r>
      <w:r w:rsidR="00542C44">
        <w:t>rule</w:t>
      </w:r>
      <w:r w:rsidR="00A41A9B">
        <w:t>, however,</w:t>
      </w:r>
      <w:r w:rsidR="00542C44">
        <w:t xml:space="preserve"> </w:t>
      </w:r>
      <w:r w:rsidR="00A3391A">
        <w:t xml:space="preserve">is “susceptible to being read in different ways, </w:t>
      </w:r>
      <w:r w:rsidRPr="00A3391A" w:rsidR="00A3391A">
        <w:t xml:space="preserve">depending on whether courts interpret it broadly or narrowly overall, and depending on how they interpret </w:t>
      </w:r>
      <w:r w:rsidR="00A3391A">
        <w:t>‘</w:t>
      </w:r>
      <w:r w:rsidRPr="00A3391A" w:rsidR="00A3391A">
        <w:t>readily obtainable information</w:t>
      </w:r>
      <w:r w:rsidR="00A3391A">
        <w:t>’</w:t>
      </w:r>
      <w:r w:rsidRPr="00A3391A" w:rsidR="00A3391A">
        <w:t xml:space="preserve"> and </w:t>
      </w:r>
      <w:r w:rsidR="00A3391A">
        <w:t>‘</w:t>
      </w:r>
      <w:r w:rsidRPr="00A3391A" w:rsidR="00A3391A">
        <w:t>likely to bear meaningfully</w:t>
      </w:r>
      <w:r w:rsidR="00A3391A">
        <w:t>’</w:t>
      </w:r>
      <w:r w:rsidRPr="00A3391A" w:rsidR="00A3391A">
        <w:t xml:space="preserve"> on the inquiry more specifically.</w:t>
      </w:r>
      <w:r w:rsidR="00A3391A">
        <w:t>”  (</w:t>
      </w:r>
      <w:r w:rsidR="00A3391A">
        <w:rPr>
          <w:i/>
          <w:iCs/>
        </w:rPr>
        <w:t>K.H.</w:t>
      </w:r>
      <w:r w:rsidR="00A3391A">
        <w:t xml:space="preserve">, </w:t>
      </w:r>
      <w:r w:rsidR="00A3391A">
        <w:rPr>
          <w:i/>
          <w:iCs/>
        </w:rPr>
        <w:t>supra</w:t>
      </w:r>
      <w:r w:rsidR="00A3391A">
        <w:t xml:space="preserve">, </w:t>
      </w:r>
      <w:r w:rsidR="006F6858">
        <w:t>84 Cal.App.5th at p. 617</w:t>
      </w:r>
      <w:r w:rsidR="00EF1973">
        <w:t>.</w:t>
      </w:r>
      <w:r w:rsidR="00287F9A">
        <w:t>)</w:t>
      </w:r>
      <w:r w:rsidR="00EF1973">
        <w:t xml:space="preserve">  As a result, </w:t>
      </w:r>
      <w:r w:rsidR="00AE17A2">
        <w:t xml:space="preserve">this rule </w:t>
      </w:r>
      <w:r w:rsidR="00C621CC">
        <w:t>is malleable enough to</w:t>
      </w:r>
      <w:r w:rsidR="00EF1973">
        <w:t xml:space="preserve"> result in inconsistent outcomes</w:t>
      </w:r>
      <w:r w:rsidR="00AE17A2">
        <w:t xml:space="preserve">.  </w:t>
      </w:r>
      <w:r w:rsidR="00776DAD">
        <w:t>(</w:t>
      </w:r>
      <w:r w:rsidR="002F0071">
        <w:rPr>
          <w:i/>
          <w:iCs/>
        </w:rPr>
        <w:t>Dezi C.</w:t>
      </w:r>
      <w:r w:rsidR="002F0071">
        <w:t>,</w:t>
      </w:r>
      <w:r w:rsidR="002F0071">
        <w:rPr>
          <w:i/>
          <w:iCs/>
        </w:rPr>
        <w:t xml:space="preserve"> supra</w:t>
      </w:r>
      <w:r w:rsidR="002F0071">
        <w:t xml:space="preserve">, </w:t>
      </w:r>
      <w:r w:rsidR="00665914">
        <w:t>79 Cal.App.5</w:t>
      </w:r>
      <w:r w:rsidR="007C46BF">
        <w:t>th</w:t>
      </w:r>
      <w:r w:rsidR="00665914">
        <w:t xml:space="preserve"> at p. 786 [uncertainty and breadth of rule </w:t>
      </w:r>
      <w:r w:rsidR="007C46BF">
        <w:t xml:space="preserve">means reviewing courts will </w:t>
      </w:r>
      <w:r w:rsidR="0063530B">
        <w:t>debate whether information is readily obtainable</w:t>
      </w:r>
      <w:r w:rsidR="00665914">
        <w:t>]</w:t>
      </w:r>
      <w:r w:rsidR="0063530B">
        <w:t>;</w:t>
      </w:r>
      <w:r w:rsidR="00776DAD">
        <w:t xml:space="preserve"> see also</w:t>
      </w:r>
      <w:r w:rsidR="004E5D14">
        <w:t xml:space="preserve"> </w:t>
      </w:r>
      <w:r w:rsidRPr="003E2BCD" w:rsidR="00B93F7C">
        <w:rPr>
          <w:i/>
          <w:iCs/>
        </w:rPr>
        <w:t>In re D.B.</w:t>
      </w:r>
      <w:r w:rsidRPr="003E2BCD" w:rsidR="00B93F7C">
        <w:t xml:space="preserve"> (2022) 87 Cal.App.5th 239</w:t>
      </w:r>
      <w:r w:rsidR="00B93F7C">
        <w:t>, 247</w:t>
      </w:r>
      <w:r w:rsidR="00B24A61">
        <w:t xml:space="preserve"> [</w:t>
      </w:r>
      <w:r w:rsidR="002355E8">
        <w:t xml:space="preserve">criticizing </w:t>
      </w:r>
      <w:r w:rsidR="00CA5420">
        <w:t xml:space="preserve">how </w:t>
      </w:r>
      <w:r w:rsidR="007837FB">
        <w:t xml:space="preserve">the </w:t>
      </w:r>
      <w:r w:rsidR="00CA5420">
        <w:t xml:space="preserve">court in </w:t>
      </w:r>
      <w:r w:rsidRPr="00FF6FE8" w:rsidR="00CA5420">
        <w:rPr>
          <w:i/>
          <w:iCs/>
        </w:rPr>
        <w:t>In re Y.M.</w:t>
      </w:r>
      <w:r w:rsidRPr="002353F6" w:rsidR="00CA5420">
        <w:t xml:space="preserve"> (2022) 82 Cal.App.5th 901</w:t>
      </w:r>
      <w:r w:rsidR="00CA5420">
        <w:t xml:space="preserve">, 917–918 applied </w:t>
      </w:r>
      <w:r w:rsidR="00287F9A">
        <w:t xml:space="preserve">the </w:t>
      </w:r>
      <w:r w:rsidR="00CA5420">
        <w:rPr>
          <w:i/>
          <w:iCs/>
        </w:rPr>
        <w:t>Benjamin M.</w:t>
      </w:r>
      <w:r w:rsidR="00287F9A">
        <w:t xml:space="preserve"> rule</w:t>
      </w:r>
      <w:r w:rsidR="00CA5420">
        <w:t xml:space="preserve">]; </w:t>
      </w:r>
      <w:r w:rsidR="00415323">
        <w:rPr>
          <w:i/>
          <w:iCs/>
        </w:rPr>
        <w:t>Antoni</w:t>
      </w:r>
      <w:r w:rsidR="002B6E47">
        <w:rPr>
          <w:i/>
          <w:iCs/>
        </w:rPr>
        <w:t>o</w:t>
      </w:r>
      <w:r w:rsidR="00415323">
        <w:rPr>
          <w:i/>
          <w:iCs/>
        </w:rPr>
        <w:t xml:space="preserve"> R.</w:t>
      </w:r>
      <w:r w:rsidR="000A45BE">
        <w:t xml:space="preserve">, </w:t>
      </w:r>
      <w:r w:rsidR="000A45BE">
        <w:rPr>
          <w:i/>
          <w:iCs/>
        </w:rPr>
        <w:t>supra</w:t>
      </w:r>
      <w:r w:rsidR="000A45BE">
        <w:t xml:space="preserve">, </w:t>
      </w:r>
      <w:r w:rsidRPr="00E94680" w:rsidR="002B6E47">
        <w:t xml:space="preserve">76 Cal.App.5th </w:t>
      </w:r>
      <w:r w:rsidR="000A45BE">
        <w:t xml:space="preserve">at p. </w:t>
      </w:r>
      <w:r w:rsidRPr="00E94680" w:rsidR="002B6E47">
        <w:t>435</w:t>
      </w:r>
      <w:r w:rsidRPr="002B6E47" w:rsidR="002B6E47">
        <w:rPr>
          <w:i/>
          <w:iCs/>
        </w:rPr>
        <w:t xml:space="preserve"> </w:t>
      </w:r>
      <w:r w:rsidRPr="00E94680" w:rsidR="002B6E47">
        <w:t xml:space="preserve">[disagreeing with how </w:t>
      </w:r>
      <w:r w:rsidRPr="002B6E47" w:rsidR="002B6E47">
        <w:rPr>
          <w:i/>
          <w:iCs/>
        </w:rPr>
        <w:t xml:space="preserve">Benjamin M. </w:t>
      </w:r>
      <w:r w:rsidR="00287F9A">
        <w:t xml:space="preserve">rule was applied </w:t>
      </w:r>
      <w:r w:rsidRPr="00E94680" w:rsidR="002B6E47">
        <w:t xml:space="preserve">in </w:t>
      </w:r>
      <w:r w:rsidRPr="002B6E47" w:rsidR="002B6E47">
        <w:rPr>
          <w:i/>
          <w:iCs/>
        </w:rPr>
        <w:t xml:space="preserve">In re S.S. </w:t>
      </w:r>
      <w:r w:rsidRPr="00E94680" w:rsidR="002B6E47">
        <w:t>(2022) 75 Cal.App.5th 575</w:t>
      </w:r>
      <w:r w:rsidR="00C47181">
        <w:t xml:space="preserve"> </w:t>
      </w:r>
      <w:r w:rsidRPr="00E94680" w:rsidR="002B6E47">
        <w:t>&amp;</w:t>
      </w:r>
      <w:r w:rsidRPr="002B6E47" w:rsidR="002B6E47">
        <w:rPr>
          <w:i/>
          <w:iCs/>
        </w:rPr>
        <w:t xml:space="preserve"> In re Darian R</w:t>
      </w:r>
      <w:r w:rsidRPr="007B64AF" w:rsidR="002B6E47">
        <w:rPr>
          <w:i/>
          <w:iCs/>
        </w:rPr>
        <w:t>.</w:t>
      </w:r>
      <w:r w:rsidRPr="00E94680" w:rsidR="002B6E47">
        <w:t xml:space="preserve"> (2022) 75 Cal.App.5th 502</w:t>
      </w:r>
      <w:r w:rsidR="00B24A61">
        <w:t>]</w:t>
      </w:r>
      <w:r w:rsidR="006F6858">
        <w:t>.)</w:t>
      </w:r>
      <w:r w:rsidRPr="00A3391A" w:rsidR="00A3391A">
        <w:t xml:space="preserve"> </w:t>
      </w:r>
      <w:r w:rsidR="00A3391A">
        <w:t xml:space="preserve"> </w:t>
      </w:r>
    </w:p>
    <w:p w:rsidR="00593B4F" w:rsidRPr="00997855" w:rsidP="00447DF1" w14:paraId="4A325D59" w14:textId="3CC42450">
      <w:pPr>
        <w:ind w:firstLine="720"/>
      </w:pPr>
      <w:r>
        <w:t>Moreover</w:t>
      </w:r>
      <w:r w:rsidR="00935D5D">
        <w:t xml:space="preserve">, </w:t>
      </w:r>
      <w:r>
        <w:t xml:space="preserve">the </w:t>
      </w:r>
      <w:r>
        <w:rPr>
          <w:i/>
          <w:iCs/>
        </w:rPr>
        <w:t xml:space="preserve">Benjamin M. </w:t>
      </w:r>
      <w:r>
        <w:t>test collapse</w:t>
      </w:r>
      <w:r w:rsidR="00E707AB">
        <w:t>s</w:t>
      </w:r>
      <w:r>
        <w:t xml:space="preserve"> the analysis of whether an inquiry is </w:t>
      </w:r>
      <w:r w:rsidRPr="007A540F">
        <w:rPr>
          <w:i/>
          <w:iCs/>
        </w:rPr>
        <w:t>adequate</w:t>
      </w:r>
      <w:r>
        <w:t xml:space="preserve"> into </w:t>
      </w:r>
      <w:r w:rsidR="00B3622F">
        <w:t xml:space="preserve">the question of </w:t>
      </w:r>
      <w:r>
        <w:t xml:space="preserve">whether an inadequate inquiry is </w:t>
      </w:r>
      <w:r w:rsidRPr="007A540F">
        <w:rPr>
          <w:i/>
          <w:iCs/>
        </w:rPr>
        <w:t>harmless</w:t>
      </w:r>
      <w:r>
        <w:t xml:space="preserve">. </w:t>
      </w:r>
      <w:r w:rsidR="00E707AB">
        <w:t xml:space="preserve"> </w:t>
      </w:r>
      <w:r w:rsidR="009F5F4D">
        <w:t>I</w:t>
      </w:r>
      <w:r>
        <w:t>f</w:t>
      </w:r>
      <w:r w:rsidR="00503FFD">
        <w:t xml:space="preserve"> </w:t>
      </w:r>
      <w:r w:rsidR="00C87145">
        <w:t>a child welfare agency</w:t>
      </w:r>
      <w:r w:rsidR="00282AC6">
        <w:t xml:space="preserve"> fail</w:t>
      </w:r>
      <w:r w:rsidR="0093455C">
        <w:t>s</w:t>
      </w:r>
      <w:r w:rsidR="00282AC6">
        <w:t xml:space="preserve"> to obtain</w:t>
      </w:r>
      <w:r>
        <w:t xml:space="preserve"> meaningful </w:t>
      </w:r>
      <w:r w:rsidR="0070575D">
        <w:t xml:space="preserve">information </w:t>
      </w:r>
      <w:r w:rsidR="00282AC6">
        <w:t xml:space="preserve">or pursue </w:t>
      </w:r>
      <w:r w:rsidR="00863B22">
        <w:t xml:space="preserve">meaningful </w:t>
      </w:r>
      <w:r w:rsidR="00282AC6">
        <w:t>avenue</w:t>
      </w:r>
      <w:r w:rsidR="00863B22">
        <w:t>s</w:t>
      </w:r>
      <w:r w:rsidR="00282AC6">
        <w:t xml:space="preserve"> </w:t>
      </w:r>
      <w:r w:rsidR="00503FFD">
        <w:t xml:space="preserve">of </w:t>
      </w:r>
      <w:r w:rsidR="00FC3E9F">
        <w:t>inquiry</w:t>
      </w:r>
      <w:r w:rsidR="00863B22">
        <w:t> </w:t>
      </w:r>
      <w:r w:rsidR="00FC3E9F">
        <w:t xml:space="preserve">— </w:t>
      </w:r>
      <w:r w:rsidR="00503FFD">
        <w:t xml:space="preserve">by, </w:t>
      </w:r>
      <w:r w:rsidR="00FC3E9F">
        <w:t xml:space="preserve">for example, </w:t>
      </w:r>
      <w:r w:rsidR="00503FFD">
        <w:t xml:space="preserve">failing </w:t>
      </w:r>
      <w:r w:rsidR="00E03792">
        <w:t xml:space="preserve">to </w:t>
      </w:r>
      <w:r w:rsidR="002B046E">
        <w:t>discover that</w:t>
      </w:r>
      <w:r w:rsidR="00FC3E9F">
        <w:t xml:space="preserve"> a parent was adopted, or </w:t>
      </w:r>
      <w:r w:rsidR="00503FFD">
        <w:t xml:space="preserve">failing to </w:t>
      </w:r>
      <w:r w:rsidR="002B046E">
        <w:t xml:space="preserve">inquire further after </w:t>
      </w:r>
      <w:r w:rsidR="0012162E">
        <w:t xml:space="preserve">a parent identified an extended family </w:t>
      </w:r>
      <w:r w:rsidR="006A1DE4">
        <w:t>me</w:t>
      </w:r>
      <w:r w:rsidR="0012162E">
        <w:t xml:space="preserve">mber </w:t>
      </w:r>
      <w:r w:rsidR="00727D51">
        <w:t>with</w:t>
      </w:r>
      <w:r w:rsidR="0012162E">
        <w:t xml:space="preserve"> more information about the child’s </w:t>
      </w:r>
      <w:r w:rsidR="0093455C">
        <w:t xml:space="preserve">potential </w:t>
      </w:r>
      <w:r w:rsidR="0012162E">
        <w:t>Indian ancestry</w:t>
      </w:r>
      <w:r w:rsidR="00BF6BC3">
        <w:t> </w:t>
      </w:r>
      <w:r w:rsidR="0012162E">
        <w:t>—</w:t>
      </w:r>
      <w:r w:rsidR="00BF6BC3">
        <w:t xml:space="preserve"> </w:t>
      </w:r>
      <w:r>
        <w:t>th</w:t>
      </w:r>
      <w:r w:rsidR="00206E5A">
        <w:t>ose facts</w:t>
      </w:r>
      <w:r>
        <w:t xml:space="preserve"> </w:t>
      </w:r>
      <w:r w:rsidR="00EE2DC9">
        <w:t xml:space="preserve">would be </w:t>
      </w:r>
      <w:r w:rsidR="00B41C86">
        <w:t xml:space="preserve">relevant </w:t>
      </w:r>
      <w:r w:rsidR="00E76953">
        <w:t xml:space="preserve">to </w:t>
      </w:r>
      <w:r w:rsidR="00DE4C6B">
        <w:t xml:space="preserve">whether the </w:t>
      </w:r>
      <w:r w:rsidR="002B046E">
        <w:t xml:space="preserve">initial </w:t>
      </w:r>
      <w:r w:rsidRPr="006A71F8" w:rsidR="008E0326">
        <w:t>Cal-</w:t>
      </w:r>
      <w:r w:rsidRPr="006A71F8" w:rsidR="002B046E">
        <w:t>ICWA</w:t>
      </w:r>
      <w:r w:rsidR="002B046E">
        <w:t xml:space="preserve"> </w:t>
      </w:r>
      <w:r w:rsidR="00DE4C6B">
        <w:t xml:space="preserve">inquiry </w:t>
      </w:r>
      <w:r w:rsidR="0093455C">
        <w:t>i</w:t>
      </w:r>
      <w:r w:rsidR="00DE4C6B">
        <w:t xml:space="preserve">s </w:t>
      </w:r>
      <w:r w:rsidRPr="00727D51">
        <w:t>adequa</w:t>
      </w:r>
      <w:r w:rsidRPr="00727D51" w:rsidR="00DE4C6B">
        <w:t>te</w:t>
      </w:r>
      <w:r w:rsidR="00727D51">
        <w:t>,</w:t>
      </w:r>
      <w:r w:rsidR="005010EE">
        <w:rPr>
          <w:i/>
          <w:iCs/>
        </w:rPr>
        <w:t> </w:t>
      </w:r>
      <w:r w:rsidR="005010EE">
        <w:t xml:space="preserve">not whether the inquiry </w:t>
      </w:r>
      <w:r w:rsidR="0093455C">
        <w:t>i</w:t>
      </w:r>
      <w:r w:rsidR="005010EE">
        <w:t>s prejudicial</w:t>
      </w:r>
      <w:r>
        <w:t xml:space="preserve">.  </w:t>
      </w:r>
      <w:r w:rsidR="004905BA">
        <w:t>The</w:t>
      </w:r>
      <w:r w:rsidR="00C11642">
        <w:t xml:space="preserve"> </w:t>
      </w:r>
      <w:r w:rsidR="0047774C">
        <w:t xml:space="preserve">conditional reversal </w:t>
      </w:r>
      <w:r w:rsidR="00C11642">
        <w:t>rule</w:t>
      </w:r>
      <w:r w:rsidR="004905BA">
        <w:t xml:space="preserve"> we adopt today</w:t>
      </w:r>
      <w:r w:rsidR="00C11642">
        <w:t xml:space="preserve"> </w:t>
      </w:r>
      <w:r w:rsidR="005D1935">
        <w:t xml:space="preserve">clearly distinguishes between </w:t>
      </w:r>
      <w:r w:rsidR="00A35B90">
        <w:t xml:space="preserve">the separate issues of whether an inquiry is adequate and whether </w:t>
      </w:r>
      <w:r w:rsidR="001B4481">
        <w:t xml:space="preserve">inquiry </w:t>
      </w:r>
      <w:r w:rsidR="00981C47">
        <w:t>error is harmless.</w:t>
      </w:r>
      <w:r>
        <w:t xml:space="preserve">  </w:t>
      </w:r>
    </w:p>
    <w:p w:rsidR="004247FE" w:rsidRPr="00997855" w:rsidP="00997855" w14:paraId="531A0AA7" w14:textId="08C119C7">
      <w:pPr>
        <w:pStyle w:val="Heading2"/>
        <w:rPr>
          <w:b w:val="0"/>
          <w:bCs/>
        </w:rPr>
      </w:pPr>
      <w:r w:rsidRPr="00997855">
        <w:t>G</w:t>
      </w:r>
      <w:r w:rsidRPr="00997855" w:rsidR="00F26C45">
        <w:t>.</w:t>
      </w:r>
      <w:r w:rsidRPr="00997855" w:rsidR="00F26C45">
        <w:tab/>
      </w:r>
      <w:r w:rsidRPr="00997855" w:rsidR="00D015D5">
        <w:t>Conclusion</w:t>
      </w:r>
    </w:p>
    <w:p w:rsidR="009B1A27" w:rsidRPr="00997855" w:rsidP="00997855" w14:paraId="55D498FD" w14:textId="06C3FB56">
      <w:pPr>
        <w:ind w:firstLine="720"/>
      </w:pPr>
      <w:r w:rsidRPr="00997855">
        <w:t xml:space="preserve">It bears observing that </w:t>
      </w:r>
      <w:r w:rsidRPr="00997855" w:rsidR="00845D15">
        <w:t>“</w:t>
      </w:r>
      <w:r w:rsidRPr="00997855">
        <w:t>[t]</w:t>
      </w:r>
      <w:r w:rsidRPr="00997855" w:rsidR="00845D15">
        <w:t>he required inquiry here could have been conducted in significantly less time than it took to defend this appeal.”  (</w:t>
      </w:r>
      <w:r w:rsidRPr="00997855" w:rsidR="00845D15">
        <w:rPr>
          <w:i/>
          <w:iCs/>
        </w:rPr>
        <w:t>A.R.</w:t>
      </w:r>
      <w:r w:rsidRPr="00997855" w:rsidR="00845D15">
        <w:t xml:space="preserve">, </w:t>
      </w:r>
      <w:r w:rsidRPr="00997855" w:rsidR="00845D15">
        <w:rPr>
          <w:i/>
          <w:iCs/>
        </w:rPr>
        <w:t>supra</w:t>
      </w:r>
      <w:r w:rsidRPr="00997855" w:rsidR="00845D15">
        <w:t xml:space="preserve">, 77 Cal.App.5th at p. 202.)  </w:t>
      </w:r>
      <w:r w:rsidRPr="00997855" w:rsidR="007F3295">
        <w:t xml:space="preserve">Congress and the Legislature </w:t>
      </w:r>
      <w:r w:rsidRPr="00997855" w:rsidR="00F479A7">
        <w:t xml:space="preserve">have committed to </w:t>
      </w:r>
      <w:r w:rsidRPr="00997855" w:rsidR="00684EE7">
        <w:t>protecting Native American heritage</w:t>
      </w:r>
      <w:r w:rsidRPr="00997855" w:rsidR="00850F26">
        <w:t xml:space="preserve"> and </w:t>
      </w:r>
      <w:r w:rsidRPr="00997855" w:rsidR="00684EE7">
        <w:t xml:space="preserve">cultural connections between tribes and </w:t>
      </w:r>
      <w:r w:rsidRPr="002264C1" w:rsidR="00684EE7">
        <w:t>children of Native American ancestry</w:t>
      </w:r>
      <w:r w:rsidRPr="002264C1" w:rsidR="00850F26">
        <w:t xml:space="preserve">. </w:t>
      </w:r>
      <w:r w:rsidRPr="002264C1" w:rsidR="00684EE7">
        <w:t xml:space="preserve"> </w:t>
      </w:r>
      <w:r w:rsidRPr="002264C1" w:rsidR="00DB3AB8">
        <w:t>(</w:t>
      </w:r>
      <w:r w:rsidRPr="002264C1" w:rsidR="005F1E02">
        <w:t xml:space="preserve">§ 224; </w:t>
      </w:r>
      <w:r w:rsidRPr="002264C1" w:rsidR="00DB3AB8">
        <w:t xml:space="preserve">25 U.S.C. § 1902.)  </w:t>
      </w:r>
      <w:r w:rsidRPr="004A4AA5" w:rsidR="008951C4">
        <w:t>W</w:t>
      </w:r>
      <w:r w:rsidRPr="004A4AA5">
        <w:t xml:space="preserve">e hold our child welfare </w:t>
      </w:r>
      <w:r w:rsidRPr="004A4AA5" w:rsidR="00FC1ED0">
        <w:t xml:space="preserve">agencies </w:t>
      </w:r>
      <w:r w:rsidRPr="004A4AA5">
        <w:t xml:space="preserve">and courts to </w:t>
      </w:r>
      <w:r w:rsidRPr="004A4AA5" w:rsidR="00EA51E7">
        <w:t>these commitments</w:t>
      </w:r>
      <w:r w:rsidRPr="004A4AA5">
        <w:t>.</w:t>
      </w:r>
      <w:r w:rsidRPr="00997855" w:rsidR="00F33D01">
        <w:t xml:space="preserve"> </w:t>
      </w:r>
      <w:r w:rsidR="00EA51E7">
        <w:t xml:space="preserve"> </w:t>
      </w:r>
      <w:r w:rsidRPr="00997855" w:rsidR="00050D2A">
        <w:t xml:space="preserve">We do so by </w:t>
      </w:r>
      <w:r w:rsidRPr="00997855" w:rsidR="00126CDF">
        <w:t>requiring</w:t>
      </w:r>
      <w:r w:rsidRPr="00997855" w:rsidR="004D6FF1">
        <w:t xml:space="preserve"> </w:t>
      </w:r>
      <w:r w:rsidRPr="00997855" w:rsidR="00EB1111">
        <w:t xml:space="preserve">a judgment to be conditionally reversed when </w:t>
      </w:r>
      <w:r w:rsidRPr="00997855" w:rsidR="008553F2">
        <w:t xml:space="preserve">error results in an inadequate </w:t>
      </w:r>
      <w:r w:rsidRPr="006A71F8" w:rsidR="004B0EC9">
        <w:t>Cal-</w:t>
      </w:r>
      <w:r w:rsidRPr="006A71F8" w:rsidR="008553F2">
        <w:t>ICWA</w:t>
      </w:r>
      <w:r w:rsidRPr="00997855" w:rsidR="008553F2">
        <w:t xml:space="preserve"> inquiry.  </w:t>
      </w:r>
      <w:r w:rsidRPr="00997855" w:rsidR="00736C64">
        <w:t xml:space="preserve">It is only by conditionally reversing that we </w:t>
      </w:r>
      <w:r w:rsidRPr="00997855" w:rsidR="00DF74D4">
        <w:t>can ascertain whether error in the inquiry is prejudicial.</w:t>
      </w:r>
      <w:r>
        <w:rPr>
          <w:rStyle w:val="FootnoteReference"/>
        </w:rPr>
        <w:footnoteReference w:id="20"/>
      </w:r>
      <w:r w:rsidRPr="00997855" w:rsidR="009000AA">
        <w:t xml:space="preserve"> </w:t>
      </w:r>
      <w:r w:rsidRPr="00997855" w:rsidR="00F30396">
        <w:t xml:space="preserve"> </w:t>
      </w:r>
    </w:p>
    <w:p w:rsidR="00FE3FAE" w:rsidRPr="00997855" w:rsidP="00997855" w14:paraId="13B31425" w14:textId="632593AC">
      <w:pPr>
        <w:pStyle w:val="Heading1"/>
        <w:numPr>
          <w:ilvl w:val="0"/>
          <w:numId w:val="5"/>
        </w:numPr>
      </w:pPr>
      <w:r w:rsidRPr="00997855">
        <w:t>Disposition</w:t>
      </w:r>
    </w:p>
    <w:p w:rsidR="00BE1293" w:rsidP="004A4AA5" w14:paraId="7940ADA5" w14:textId="77777777">
      <w:pPr>
        <w:ind w:firstLine="720"/>
        <w:rPr>
          <w:szCs w:val="26"/>
        </w:rPr>
      </w:pPr>
      <w:r w:rsidRPr="00997855">
        <w:rPr>
          <w:szCs w:val="26"/>
        </w:rPr>
        <w:t>T</w:t>
      </w:r>
      <w:r w:rsidRPr="00997855" w:rsidR="007B52CF">
        <w:rPr>
          <w:szCs w:val="26"/>
        </w:rPr>
        <w:t xml:space="preserve">he </w:t>
      </w:r>
      <w:r w:rsidR="00C81E57">
        <w:rPr>
          <w:szCs w:val="26"/>
        </w:rPr>
        <w:t>Court of Appeal’s judgment is reversed</w:t>
      </w:r>
      <w:r w:rsidR="000236A2">
        <w:rPr>
          <w:szCs w:val="26"/>
        </w:rPr>
        <w:t xml:space="preserve"> with directions to </w:t>
      </w:r>
      <w:r w:rsidRPr="00997855" w:rsidR="00787C0D">
        <w:rPr>
          <w:szCs w:val="26"/>
        </w:rPr>
        <w:t>conditionally</w:t>
      </w:r>
      <w:r w:rsidR="00787C0D">
        <w:rPr>
          <w:szCs w:val="26"/>
        </w:rPr>
        <w:t xml:space="preserve"> </w:t>
      </w:r>
      <w:r w:rsidRPr="00997855" w:rsidR="00787C0D">
        <w:rPr>
          <w:szCs w:val="26"/>
        </w:rPr>
        <w:t xml:space="preserve">reverse </w:t>
      </w:r>
      <w:r w:rsidR="00787C0D">
        <w:rPr>
          <w:szCs w:val="26"/>
        </w:rPr>
        <w:t xml:space="preserve">the </w:t>
      </w:r>
      <w:r w:rsidRPr="00997855" w:rsidR="007B52CF">
        <w:rPr>
          <w:szCs w:val="26"/>
        </w:rPr>
        <w:t>order terminating</w:t>
      </w:r>
      <w:r w:rsidRPr="00997855" w:rsidR="007052C9">
        <w:rPr>
          <w:szCs w:val="26"/>
        </w:rPr>
        <w:t xml:space="preserve"> </w:t>
      </w:r>
      <w:r w:rsidRPr="00997855" w:rsidR="007B52CF">
        <w:rPr>
          <w:szCs w:val="26"/>
        </w:rPr>
        <w:t>parental rights.</w:t>
      </w:r>
      <w:r w:rsidR="00B436AF">
        <w:rPr>
          <w:szCs w:val="26"/>
        </w:rPr>
        <w:t xml:space="preserve"> </w:t>
      </w:r>
      <w:r w:rsidRPr="00997855" w:rsidR="007B52CF">
        <w:rPr>
          <w:szCs w:val="26"/>
        </w:rPr>
        <w:t xml:space="preserve"> </w:t>
      </w:r>
      <w:r w:rsidRPr="00997855" w:rsidR="00EF248F">
        <w:rPr>
          <w:szCs w:val="26"/>
        </w:rPr>
        <w:t xml:space="preserve">The matter is remanded to the </w:t>
      </w:r>
      <w:r w:rsidRPr="00997855" w:rsidR="002664C2">
        <w:rPr>
          <w:szCs w:val="26"/>
        </w:rPr>
        <w:t xml:space="preserve">juvenile court </w:t>
      </w:r>
      <w:r w:rsidR="00106B8C">
        <w:rPr>
          <w:szCs w:val="26"/>
        </w:rPr>
        <w:t xml:space="preserve">for </w:t>
      </w:r>
      <w:r w:rsidR="00146F6C">
        <w:rPr>
          <w:szCs w:val="26"/>
        </w:rPr>
        <w:t xml:space="preserve">compliance </w:t>
      </w:r>
      <w:r w:rsidRPr="00997855" w:rsidR="007B52CF">
        <w:rPr>
          <w:szCs w:val="26"/>
        </w:rPr>
        <w:t xml:space="preserve">with the inquiry </w:t>
      </w:r>
      <w:r w:rsidR="00146F6C">
        <w:rPr>
          <w:szCs w:val="26"/>
        </w:rPr>
        <w:t xml:space="preserve">and notice requirements of sections 224.2 </w:t>
      </w:r>
      <w:r w:rsidRPr="00E321A2" w:rsidR="00146F6C">
        <w:rPr>
          <w:szCs w:val="26"/>
        </w:rPr>
        <w:t>and 224.</w:t>
      </w:r>
      <w:r w:rsidRPr="004429F0" w:rsidR="00146F6C">
        <w:rPr>
          <w:szCs w:val="26"/>
        </w:rPr>
        <w:t>3</w:t>
      </w:r>
      <w:r w:rsidRPr="004429F0" w:rsidR="00DB49D2">
        <w:rPr>
          <w:szCs w:val="26"/>
        </w:rPr>
        <w:t xml:space="preserve"> and the documentation provisions </w:t>
      </w:r>
      <w:r w:rsidRPr="004429F0" w:rsidR="00CC7F12">
        <w:rPr>
          <w:szCs w:val="26"/>
        </w:rPr>
        <w:t>of rule 5.481(a)(5),</w:t>
      </w:r>
      <w:r w:rsidRPr="004429F0" w:rsidR="003003D2">
        <w:rPr>
          <w:szCs w:val="26"/>
        </w:rPr>
        <w:t xml:space="preserve"> </w:t>
      </w:r>
      <w:r w:rsidRPr="004429F0" w:rsidR="006A2EBF">
        <w:rPr>
          <w:szCs w:val="26"/>
        </w:rPr>
        <w:t>consistent with this opinion</w:t>
      </w:r>
      <w:r w:rsidRPr="00997855" w:rsidR="007B52CF">
        <w:rPr>
          <w:szCs w:val="26"/>
        </w:rPr>
        <w:t>.</w:t>
      </w:r>
      <w:r w:rsidRPr="00997855" w:rsidR="00CE64BE">
        <w:rPr>
          <w:szCs w:val="26"/>
        </w:rPr>
        <w:t xml:space="preserve"> </w:t>
      </w:r>
      <w:r w:rsidRPr="00997855" w:rsidR="007B52CF">
        <w:rPr>
          <w:szCs w:val="26"/>
        </w:rPr>
        <w:t xml:space="preserve"> If the </w:t>
      </w:r>
      <w:r w:rsidR="0068276B">
        <w:rPr>
          <w:szCs w:val="26"/>
        </w:rPr>
        <w:t xml:space="preserve">juvenile </w:t>
      </w:r>
      <w:r w:rsidRPr="00997855" w:rsidR="007B52CF">
        <w:rPr>
          <w:szCs w:val="26"/>
        </w:rPr>
        <w:t xml:space="preserve">court </w:t>
      </w:r>
      <w:r w:rsidR="0068276B">
        <w:rPr>
          <w:szCs w:val="26"/>
        </w:rPr>
        <w:t>thereafter finds</w:t>
      </w:r>
      <w:r w:rsidR="00E43B5B">
        <w:rPr>
          <w:szCs w:val="26"/>
        </w:rPr>
        <w:t xml:space="preserve"> a proper and adequate further inquiry and due diligence has been conducted</w:t>
      </w:r>
      <w:r w:rsidR="006536E8">
        <w:rPr>
          <w:szCs w:val="26"/>
        </w:rPr>
        <w:t xml:space="preserve"> </w:t>
      </w:r>
      <w:r w:rsidR="000A2D58">
        <w:rPr>
          <w:szCs w:val="26"/>
        </w:rPr>
        <w:t xml:space="preserve">and concludes </w:t>
      </w:r>
      <w:r w:rsidRPr="00997855" w:rsidR="007B52CF">
        <w:rPr>
          <w:szCs w:val="26"/>
        </w:rPr>
        <w:t>ICWA does not apply</w:t>
      </w:r>
      <w:r w:rsidR="009F3655">
        <w:rPr>
          <w:szCs w:val="26"/>
        </w:rPr>
        <w:t xml:space="preserve"> </w:t>
      </w:r>
      <w:r w:rsidR="008737C4">
        <w:rPr>
          <w:szCs w:val="26"/>
        </w:rPr>
        <w:t>(§</w:t>
      </w:r>
      <w:r w:rsidR="00D117B4">
        <w:rPr>
          <w:szCs w:val="26"/>
        </w:rPr>
        <w:t> </w:t>
      </w:r>
      <w:r w:rsidR="008737C4">
        <w:rPr>
          <w:szCs w:val="26"/>
        </w:rPr>
        <w:t xml:space="preserve">224.2, subd. (i)(2)), </w:t>
      </w:r>
      <w:r w:rsidRPr="00997855" w:rsidR="007B52CF">
        <w:rPr>
          <w:szCs w:val="26"/>
        </w:rPr>
        <w:t xml:space="preserve">then the court shall reinstate the order terminating parental rights.  If the </w:t>
      </w:r>
      <w:r w:rsidR="00DB4588">
        <w:rPr>
          <w:szCs w:val="26"/>
        </w:rPr>
        <w:t xml:space="preserve">juvenile </w:t>
      </w:r>
      <w:r w:rsidRPr="00997855" w:rsidR="007B52CF">
        <w:rPr>
          <w:szCs w:val="26"/>
        </w:rPr>
        <w:t xml:space="preserve">court </w:t>
      </w:r>
      <w:r w:rsidR="00DB4588">
        <w:rPr>
          <w:szCs w:val="26"/>
        </w:rPr>
        <w:t>concludes</w:t>
      </w:r>
      <w:r w:rsidRPr="00997855" w:rsidR="007B52CF">
        <w:rPr>
          <w:szCs w:val="26"/>
        </w:rPr>
        <w:t xml:space="preserve"> </w:t>
      </w:r>
    </w:p>
    <w:p w:rsidR="00BE1293" w:rsidP="00BE1293" w14:paraId="015797A4" w14:textId="77777777">
      <w:pPr>
        <w:rPr>
          <w:szCs w:val="26"/>
        </w:rPr>
      </w:pPr>
    </w:p>
    <w:p w:rsidR="00BE1293" w:rsidP="00BE1293" w14:paraId="418087B6" w14:textId="77777777">
      <w:pPr>
        <w:rPr>
          <w:szCs w:val="26"/>
        </w:rPr>
      </w:pPr>
    </w:p>
    <w:p w:rsidR="00BF7853" w:rsidP="00EE5ABB" w14:paraId="148084B6" w14:textId="7911F8BE">
      <w:r w:rsidRPr="00997855">
        <w:rPr>
          <w:szCs w:val="26"/>
        </w:rPr>
        <w:t xml:space="preserve">ICWA applies, then it shall proceed in conformity with ICWA and California </w:t>
      </w:r>
      <w:r w:rsidR="00614604">
        <w:rPr>
          <w:szCs w:val="26"/>
        </w:rPr>
        <w:t>implementing provisions</w:t>
      </w:r>
      <w:r w:rsidRPr="004619D4">
        <w:rPr>
          <w:szCs w:val="26"/>
        </w:rPr>
        <w:t>.</w:t>
      </w:r>
      <w:r w:rsidRPr="004619D4" w:rsidR="001968DC">
        <w:rPr>
          <w:szCs w:val="26"/>
        </w:rPr>
        <w:t xml:space="preserve">  </w:t>
      </w:r>
      <w:r w:rsidRPr="004619D4" w:rsidR="00A072EE">
        <w:t xml:space="preserve">(See 25 U.S.C., § 1912, subd. (a); §§ 224.2, subd. (i)(1); 224.3, 224.4.)  </w:t>
      </w:r>
      <w:bookmarkStart w:id="4" w:name="initials"/>
      <w:bookmarkEnd w:id="4"/>
    </w:p>
    <w:p w:rsidR="00872389" w:rsidP="004A4AA5" w14:paraId="2F792DB9" w14:textId="77777777">
      <w:pPr>
        <w:ind w:firstLine="720"/>
      </w:pPr>
    </w:p>
    <w:p w:rsidR="00195DB6" w:rsidP="004A4AA5" w14:paraId="52047650" w14:textId="3A355C2E">
      <w:pPr>
        <w:ind w:firstLine="720"/>
        <w:rPr>
          <w:b/>
          <w:bCs/>
        </w:rPr>
      </w:pPr>
      <w:r>
        <w:tab/>
      </w:r>
      <w:r>
        <w:tab/>
      </w:r>
      <w:r>
        <w:tab/>
      </w:r>
      <w:r>
        <w:tab/>
      </w:r>
      <w:r>
        <w:tab/>
      </w:r>
      <w:r>
        <w:tab/>
      </w:r>
      <w:r>
        <w:tab/>
      </w:r>
      <w:r>
        <w:tab/>
      </w:r>
      <w:r w:rsidRPr="000E3B29">
        <w:rPr>
          <w:b/>
          <w:bCs/>
        </w:rPr>
        <w:t>EVANS, J.</w:t>
      </w:r>
    </w:p>
    <w:p w:rsidR="0067057C" w:rsidP="00F33956" w14:paraId="6BC6A766" w14:textId="72A6A52B">
      <w:pPr>
        <w:rPr>
          <w:b/>
          <w:bCs/>
        </w:rPr>
      </w:pPr>
      <w:r>
        <w:rPr>
          <w:b/>
          <w:bCs/>
        </w:rPr>
        <w:t>We Concur:</w:t>
      </w:r>
    </w:p>
    <w:p w:rsidR="00B75944" w:rsidP="00B75944" w14:paraId="48C0BE3A" w14:textId="77777777">
      <w:pPr>
        <w:tabs>
          <w:tab w:val="left" w:pos="1440"/>
        </w:tabs>
        <w:spacing w:after="0" w:line="240" w:lineRule="auto"/>
        <w:rPr>
          <w:b/>
          <w:bCs/>
        </w:rPr>
      </w:pPr>
      <w:r>
        <w:rPr>
          <w:b/>
          <w:bCs/>
        </w:rPr>
        <w:t>CORRIGAN, J.</w:t>
      </w:r>
    </w:p>
    <w:p w:rsidR="00B75944" w:rsidP="00B75944" w14:paraId="254E829A" w14:textId="77777777">
      <w:pPr>
        <w:tabs>
          <w:tab w:val="left" w:pos="1440"/>
        </w:tabs>
        <w:spacing w:after="0" w:line="240" w:lineRule="auto"/>
        <w:rPr>
          <w:b/>
          <w:bCs/>
        </w:rPr>
      </w:pPr>
      <w:r>
        <w:rPr>
          <w:b/>
          <w:bCs/>
        </w:rPr>
        <w:t>LIU, J.</w:t>
      </w:r>
    </w:p>
    <w:p w:rsidR="00B75944" w:rsidP="00B75944" w14:paraId="4FF50504" w14:textId="77777777">
      <w:pPr>
        <w:tabs>
          <w:tab w:val="left" w:pos="1440"/>
        </w:tabs>
        <w:spacing w:after="0" w:line="240" w:lineRule="auto"/>
        <w:rPr>
          <w:b/>
          <w:bCs/>
        </w:rPr>
      </w:pPr>
      <w:r>
        <w:rPr>
          <w:b/>
          <w:bCs/>
        </w:rPr>
        <w:t>KRUGER, J.</w:t>
      </w:r>
    </w:p>
    <w:p w:rsidR="00B75944" w:rsidP="00B75944" w14:paraId="5807416C" w14:textId="77777777">
      <w:pPr>
        <w:tabs>
          <w:tab w:val="left" w:pos="1440"/>
        </w:tabs>
        <w:spacing w:after="0" w:line="240" w:lineRule="auto"/>
        <w:rPr>
          <w:b/>
          <w:bCs/>
        </w:rPr>
      </w:pPr>
      <w:r>
        <w:rPr>
          <w:b/>
          <w:bCs/>
        </w:rPr>
        <w:t>JENKINS, J.</w:t>
      </w:r>
    </w:p>
    <w:p w:rsidR="00FF5FF4" w:rsidP="00F33956" w14:paraId="5CF1F8EB" w14:textId="77777777">
      <w:pPr>
        <w:rPr>
          <w:b/>
          <w:bCs/>
        </w:rPr>
        <w:sectPr w:rsidSect="00560CF5">
          <w:headerReference w:type="default" r:id="rId7"/>
          <w:footerReference w:type="default" r:id="rId8"/>
          <w:footerReference w:type="first" r:id="rId9"/>
          <w:pgSz w:w="12240" w:h="15840"/>
          <w:pgMar w:top="1800" w:right="2160" w:bottom="1440" w:left="2160" w:header="720" w:footer="720" w:gutter="0"/>
          <w:pgNumType w:start="1"/>
          <w:cols w:space="720"/>
          <w:titlePg/>
          <w:docGrid w:linePitch="367"/>
        </w:sectPr>
      </w:pPr>
    </w:p>
    <w:p w:rsidR="00FF5FF4" w:rsidRPr="00FF5FF4" w:rsidP="00FF5FF4" w14:paraId="17E65E83" w14:textId="77777777">
      <w:pPr>
        <w:jc w:val="center"/>
      </w:pPr>
      <w:r w:rsidRPr="00FF5FF4">
        <w:t>In re DEZI C.</w:t>
      </w:r>
    </w:p>
    <w:p w:rsidR="00FF5FF4" w:rsidRPr="00FF5FF4" w:rsidP="00FF5FF4" w14:paraId="7BC488D9" w14:textId="77777777">
      <w:pPr>
        <w:jc w:val="center"/>
      </w:pPr>
      <w:r w:rsidRPr="00FF5FF4">
        <w:t>S275578</w:t>
      </w:r>
    </w:p>
    <w:p w:rsidR="00FF5FF4" w:rsidRPr="00FF5FF4" w:rsidP="00FF5FF4" w14:paraId="3DC2F50D" w14:textId="77777777">
      <w:pPr>
        <w:jc w:val="center"/>
      </w:pPr>
    </w:p>
    <w:p w:rsidR="00FF5FF4" w:rsidRPr="00FF5FF4" w:rsidP="00FF5FF4" w14:paraId="7B3FD640" w14:textId="77777777">
      <w:pPr>
        <w:jc w:val="center"/>
      </w:pPr>
      <w:r w:rsidRPr="00FF5FF4">
        <w:t>Concurring Opinion by Justice Kruger</w:t>
      </w:r>
    </w:p>
    <w:p w:rsidR="00FF5FF4" w:rsidRPr="00FF5FF4" w:rsidP="00FF5FF4" w14:paraId="5B0B4FFB" w14:textId="77777777">
      <w:pPr>
        <w:jc w:val="center"/>
      </w:pPr>
    </w:p>
    <w:p w:rsidR="00FF5FF4" w:rsidRPr="00FF5FF4" w:rsidP="00FF5FF4" w14:paraId="5C083E67" w14:textId="77777777">
      <w:r w:rsidRPr="00FF5FF4">
        <w:tab/>
        <w:t xml:space="preserve">California law implementing the federal Indian Child Welfare Act of 1978 (ICWA; 25 U.S.C. § 1901 et seq.) imposes an “affirmative and continuing duty” on a court and relevant agencies to inquire as to whether a child in a dependency proceeding “is or may be an Indian child.”  (Welf. &amp; Inst. Code, § 224.2, subd. (a).)  Depending on the results of this initial inquiry, the relevant authorities may then have an obligation to conduct further inquiry to determine whether the child falls within the ambit of the federal ICWA and its California counterpart (Cal-ICWA).  (Welf. &amp; Inst. Code, § 224.2, subd. (e); see also </w:t>
      </w:r>
      <w:r w:rsidRPr="00FF5FF4">
        <w:rPr>
          <w:i/>
          <w:iCs/>
        </w:rPr>
        <w:t>id.</w:t>
      </w:r>
      <w:r w:rsidRPr="00FF5FF4">
        <w:t>, subd. (g).)</w:t>
      </w:r>
    </w:p>
    <w:p w:rsidR="00FF5FF4" w:rsidRPr="00FF5FF4" w:rsidP="00FF5FF4" w14:paraId="434ED6AD" w14:textId="77777777">
      <w:pPr>
        <w:ind w:firstLine="720"/>
      </w:pPr>
      <w:r w:rsidRPr="00FF5FF4">
        <w:t xml:space="preserve">This case raises an important question concerning Cal-ICWA’s initial inquiry requirement.  But because the parties have conceded for purposes of this case that the agency failed to perform an adequate initial inquiry, the sole issue before us is “a narrow one:  whether a child welfare agency’s failure to make a proper inquiry under California’s heightened ICWA requirements constitutes reversible error.”  (Maj. opn., </w:t>
      </w:r>
      <w:r w:rsidRPr="00FF5FF4">
        <w:rPr>
          <w:i/>
          <w:iCs/>
        </w:rPr>
        <w:t>ante</w:t>
      </w:r>
      <w:r w:rsidRPr="00FF5FF4">
        <w:t xml:space="preserve">, at p. 6.)  The majority holds that where a child welfare agency failed to make an adequate initial inquiry, a reviewing court must conditionally reverse the juvenile court’s order terminating parental rights and remand with instructions to the juvenile court to comply with Cal-ICWA’s notice and inquiry requirements.  (Maj. opn., </w:t>
      </w:r>
      <w:r w:rsidRPr="00FF5FF4">
        <w:rPr>
          <w:i/>
          <w:iCs/>
        </w:rPr>
        <w:t>ante</w:t>
      </w:r>
      <w:r w:rsidRPr="00FF5FF4">
        <w:t xml:space="preserve">, at pp. 21–22.)  </w:t>
      </w:r>
    </w:p>
    <w:p w:rsidR="00FF5FF4" w:rsidRPr="00FF5FF4" w:rsidP="00FF5FF4" w14:paraId="428E7BD8" w14:textId="77777777">
      <w:pPr>
        <w:ind w:firstLine="720"/>
      </w:pPr>
      <w:r w:rsidRPr="00FF5FF4">
        <w:t xml:space="preserve">I join the majority in concluding that this rule of conditional reversal follows from the statutory scheme the Legislature set forth in Welfare and Institutions Code section 224.2.  I write separately, however, to express my agreement with part II of the dissenting opinion on the threshold question of what constitutes an adequate initial inquiry under Cal-ICWA.  Although this question is not squarely presented here, I think it is important to be clear on certain points for purposes of deciding the issue that is currently before us.  Specifically, Cal-ICWA does not, as some have assumed, require the juvenile court to leave no stone unturned in an “ ‘open-ended universe of stones,’ ” thereby creating ever-widening circles of mandatory inquiry.  (Dis. opn. of Groban, J., </w:t>
      </w:r>
      <w:r w:rsidRPr="00FF5FF4">
        <w:rPr>
          <w:i/>
          <w:iCs/>
        </w:rPr>
        <w:t>post</w:t>
      </w:r>
      <w:r w:rsidRPr="00FF5FF4">
        <w:t xml:space="preserve">, at p. 23; accord, maj. opn., </w:t>
      </w:r>
      <w:r w:rsidRPr="00FF5FF4">
        <w:rPr>
          <w:i/>
          <w:iCs/>
        </w:rPr>
        <w:t>ante</w:t>
      </w:r>
      <w:r w:rsidRPr="00FF5FF4">
        <w:t xml:space="preserve">, at pp. 26–27.)  Rather, fairly read, the statute requires an initial inquiry that is adequate to reach a reliable conclusion about the applicability of ICWA.  This explains why the rule of conditional reversal the majority adopts today will not, as the Court of Appeal had feared, lead to endless rounds of remands for additional inquiry with little or no chance of yielding pertinent information.  With this understanding in mind, I agree with my colleagues that the rule the majority announces today makes sense of the Legislature’s careful efforts to balance the vital interests at stake in this case and others like it.  (Maj. opn., </w:t>
      </w:r>
      <w:r w:rsidRPr="00FF5FF4">
        <w:rPr>
          <w:i/>
          <w:iCs/>
        </w:rPr>
        <w:t>ante</w:t>
      </w:r>
      <w:r w:rsidRPr="00FF5FF4">
        <w:t xml:space="preserve">, at p. 31; accord, dis. opn. of Groban, J., </w:t>
      </w:r>
      <w:r w:rsidRPr="00FF5FF4">
        <w:rPr>
          <w:i/>
          <w:iCs/>
        </w:rPr>
        <w:t>post</w:t>
      </w:r>
      <w:r w:rsidRPr="00FF5FF4">
        <w:t>, at pp. 25–26.)</w:t>
      </w:r>
    </w:p>
    <w:p w:rsidR="00FF5FF4" w:rsidRPr="00FF5FF4" w:rsidP="00FF5FF4" w14:paraId="6F31F4DE" w14:textId="77777777">
      <w:pPr>
        <w:ind w:firstLine="720"/>
      </w:pPr>
    </w:p>
    <w:p w:rsidR="00FF5FF4" w:rsidRPr="00FF5FF4" w:rsidP="00FF5FF4" w14:paraId="6A8BDBF6" w14:textId="77777777">
      <w:pPr>
        <w:ind w:firstLine="720"/>
        <w:rPr>
          <w:b/>
          <w:bCs/>
        </w:rPr>
      </w:pPr>
      <w:r w:rsidRPr="00FF5FF4">
        <w:tab/>
      </w:r>
      <w:r w:rsidRPr="00FF5FF4">
        <w:tab/>
      </w:r>
      <w:r w:rsidRPr="00FF5FF4">
        <w:tab/>
      </w:r>
      <w:r w:rsidRPr="00FF5FF4">
        <w:tab/>
      </w:r>
      <w:r w:rsidRPr="00FF5FF4">
        <w:tab/>
      </w:r>
      <w:r w:rsidRPr="00FF5FF4">
        <w:tab/>
      </w:r>
      <w:r w:rsidRPr="00FF5FF4">
        <w:tab/>
        <w:t xml:space="preserve">     </w:t>
      </w:r>
      <w:r w:rsidRPr="00FF5FF4">
        <w:rPr>
          <w:b/>
          <w:bCs/>
        </w:rPr>
        <w:t>KRUGER, J.</w:t>
      </w:r>
    </w:p>
    <w:p w:rsidR="00FF5FF4" w:rsidRPr="00FF5FF4" w:rsidP="00FF5FF4" w14:paraId="2DF10CB7" w14:textId="77777777">
      <w:pPr>
        <w:rPr>
          <w:b/>
          <w:bCs/>
        </w:rPr>
      </w:pPr>
      <w:r w:rsidRPr="00FF5FF4">
        <w:rPr>
          <w:b/>
          <w:bCs/>
        </w:rPr>
        <w:t>I Concur:</w:t>
      </w:r>
    </w:p>
    <w:p w:rsidR="00FF5FF4" w:rsidP="00F33956" w14:paraId="317E5E69" w14:textId="77777777">
      <w:pPr>
        <w:rPr>
          <w:b/>
          <w:bCs/>
        </w:rPr>
        <w:sectPr w:rsidSect="00FF5FF4">
          <w:headerReference w:type="even" r:id="rId10"/>
          <w:headerReference w:type="default" r:id="rId11"/>
          <w:footerReference w:type="even" r:id="rId12"/>
          <w:footerReference w:type="default" r:id="rId13"/>
          <w:headerReference w:type="first" r:id="rId14"/>
          <w:footerReference w:type="first" r:id="rId15"/>
          <w:pgSz w:w="12240" w:h="15840"/>
          <w:pgMar w:top="1800" w:right="2160" w:bottom="1440" w:left="2160" w:header="720" w:footer="720" w:gutter="0"/>
          <w:pgNumType w:start="1"/>
          <w:cols w:space="720"/>
          <w:titlePg/>
          <w:docGrid w:linePitch="367"/>
        </w:sectPr>
      </w:pPr>
      <w:r w:rsidRPr="00FF5FF4">
        <w:rPr>
          <w:b/>
          <w:bCs/>
        </w:rPr>
        <w:t>CORRIGAN, J.</w:t>
      </w:r>
    </w:p>
    <w:p w:rsidR="00FF5FF4" w:rsidRPr="00FF5FF4" w:rsidP="00FF5FF4" w14:paraId="0A071F54" w14:textId="77777777">
      <w:pPr>
        <w:jc w:val="center"/>
        <w:rPr>
          <w:bCs/>
          <w:caps/>
          <w:szCs w:val="27"/>
        </w:rPr>
      </w:pPr>
      <w:r w:rsidRPr="00FF5FF4">
        <w:rPr>
          <w:szCs w:val="27"/>
        </w:rPr>
        <w:t>In re</w:t>
      </w:r>
      <w:r w:rsidRPr="00FF5FF4">
        <w:rPr>
          <w:bCs/>
          <w:caps/>
          <w:szCs w:val="27"/>
        </w:rPr>
        <w:t xml:space="preserve"> DEZI C.</w:t>
      </w:r>
    </w:p>
    <w:p w:rsidR="00FF5FF4" w:rsidRPr="00FF5FF4" w:rsidP="00FF5FF4" w14:paraId="4E49995B" w14:textId="77777777">
      <w:pPr>
        <w:jc w:val="center"/>
        <w:rPr>
          <w:bCs/>
          <w:iCs/>
          <w:szCs w:val="27"/>
        </w:rPr>
      </w:pPr>
      <w:bookmarkStart w:id="5" w:name="_Hlk128658598"/>
      <w:bookmarkStart w:id="6" w:name="_Hlk128658839"/>
      <w:r w:rsidRPr="00FF5FF4">
        <w:rPr>
          <w:bCs/>
          <w:iCs/>
          <w:szCs w:val="27"/>
        </w:rPr>
        <w:t>S</w:t>
      </w:r>
      <w:bookmarkStart w:id="7" w:name="opinion"/>
      <w:bookmarkEnd w:id="5"/>
      <w:bookmarkEnd w:id="7"/>
      <w:r w:rsidRPr="00FF5FF4">
        <w:rPr>
          <w:bCs/>
          <w:iCs/>
          <w:szCs w:val="27"/>
        </w:rPr>
        <w:t>275578</w:t>
      </w:r>
    </w:p>
    <w:bookmarkEnd w:id="6"/>
    <w:p w:rsidR="00FF5FF4" w:rsidRPr="00FF5FF4" w:rsidP="00FF5FF4" w14:paraId="788D089A" w14:textId="77777777">
      <w:pPr>
        <w:jc w:val="center"/>
        <w:rPr>
          <w:bCs/>
          <w:szCs w:val="27"/>
        </w:rPr>
      </w:pPr>
    </w:p>
    <w:p w:rsidR="00FF5FF4" w:rsidRPr="00FF5FF4" w:rsidP="00FF5FF4" w14:paraId="55900643" w14:textId="77777777">
      <w:pPr>
        <w:jc w:val="center"/>
        <w:rPr>
          <w:bCs/>
          <w:caps/>
          <w:szCs w:val="27"/>
        </w:rPr>
      </w:pPr>
      <w:r w:rsidRPr="00FF5FF4">
        <w:rPr>
          <w:bCs/>
          <w:szCs w:val="27"/>
        </w:rPr>
        <w:t>Dissenting Opinion by Justice Groban</w:t>
      </w:r>
    </w:p>
    <w:p w:rsidR="00FF5FF4" w:rsidRPr="00FF5FF4" w:rsidP="00FF5FF4" w14:paraId="114D1E2C" w14:textId="77777777">
      <w:pPr>
        <w:spacing w:after="0" w:line="240" w:lineRule="auto"/>
        <w:jc w:val="left"/>
        <w:rPr>
          <w:szCs w:val="27"/>
        </w:rPr>
      </w:pPr>
    </w:p>
    <w:p w:rsidR="00FF5FF4" w:rsidRPr="00FF5FF4" w:rsidP="00FF5FF4" w14:paraId="568B2BB1" w14:textId="77777777">
      <w:pPr>
        <w:ind w:right="-360" w:firstLine="720"/>
        <w:rPr>
          <w:szCs w:val="27"/>
        </w:rPr>
      </w:pPr>
      <w:bookmarkStart w:id="8" w:name="_Hlk169187937"/>
      <w:r w:rsidRPr="00FF5FF4">
        <w:rPr>
          <w:szCs w:val="27"/>
        </w:rPr>
        <w:t>Prompt and permanent placement of a child in dependency proceedings is critically important.  (</w:t>
      </w:r>
      <w:r w:rsidRPr="00FF5FF4">
        <w:rPr>
          <w:i/>
          <w:iCs/>
          <w:szCs w:val="27"/>
        </w:rPr>
        <w:t xml:space="preserve">In re Christopher L. </w:t>
      </w:r>
      <w:r w:rsidRPr="00FF5FF4">
        <w:rPr>
          <w:szCs w:val="27"/>
        </w:rPr>
        <w:t>(2022) 12 Cal.5th 1063, 1081–1082 (</w:t>
      </w:r>
      <w:r w:rsidRPr="00FF5FF4">
        <w:rPr>
          <w:i/>
          <w:iCs/>
          <w:szCs w:val="27"/>
        </w:rPr>
        <w:t>Christopher L.</w:t>
      </w:r>
      <w:r w:rsidRPr="00FF5FF4">
        <w:rPr>
          <w:szCs w:val="27"/>
        </w:rPr>
        <w:t>).)  The statutory scheme makes clear that courts must “give substantial weight to a minor’s need for prompt resolution of his or her custody status, the need to provide children with stable environments, and the damage to a minor of prolonged temporary placements.”  (Welf. &amp; Inst. Code, § 352, subd. (a)(1) [describing the related context of when a court may grant a continuance].)  After reunification efforts have failed, courts must act “reasonably promptly to minimize the time during which the child is in legal limbo.  A child has a compelling right to a stable, permanent placement that allows a caretaker to make a full emotional commitment to the child.”  (</w:t>
      </w:r>
      <w:r w:rsidRPr="00FF5FF4">
        <w:rPr>
          <w:i/>
          <w:iCs/>
          <w:szCs w:val="27"/>
        </w:rPr>
        <w:t>In re Celine R.</w:t>
      </w:r>
      <w:r w:rsidRPr="00FF5FF4">
        <w:rPr>
          <w:szCs w:val="27"/>
        </w:rPr>
        <w:t xml:space="preserve"> (2003) 31 Cal.4th 45, 59 (</w:t>
      </w:r>
      <w:r w:rsidRPr="00FF5FF4">
        <w:rPr>
          <w:i/>
          <w:iCs/>
          <w:szCs w:val="27"/>
        </w:rPr>
        <w:t>Celine R.</w:t>
      </w:r>
      <w:r w:rsidRPr="00FF5FF4">
        <w:rPr>
          <w:szCs w:val="27"/>
        </w:rPr>
        <w:t>).)  “[L]engthy and unnecessary delay in providing permanency for children[ is] the very evil the Legislature intended to correct.”  (</w:t>
      </w:r>
      <w:r w:rsidRPr="00FF5FF4">
        <w:rPr>
          <w:i/>
          <w:iCs/>
          <w:szCs w:val="27"/>
        </w:rPr>
        <w:t>In re Marilyn H.</w:t>
      </w:r>
      <w:r w:rsidRPr="00FF5FF4">
        <w:rPr>
          <w:szCs w:val="27"/>
        </w:rPr>
        <w:t xml:space="preserve"> (1993) 5 Cal.4th 295, 310 (</w:t>
      </w:r>
      <w:r w:rsidRPr="00FF5FF4">
        <w:rPr>
          <w:i/>
          <w:iCs/>
          <w:szCs w:val="27"/>
        </w:rPr>
        <w:t>Marilyn H.</w:t>
      </w:r>
      <w:r w:rsidRPr="00FF5FF4">
        <w:rPr>
          <w:szCs w:val="27"/>
        </w:rPr>
        <w:t>).)  Indeed, we have said that even a four-month delay “may not seem a long period of time to an adult, it can be a lifetime to a young child.”  (</w:t>
      </w:r>
      <w:r w:rsidRPr="00FF5FF4">
        <w:rPr>
          <w:i/>
          <w:iCs/>
          <w:szCs w:val="27"/>
        </w:rPr>
        <w:t>Ibid.</w:t>
      </w:r>
      <w:r w:rsidRPr="00FF5FF4">
        <w:rPr>
          <w:szCs w:val="27"/>
        </w:rPr>
        <w:t xml:space="preserve">)  </w:t>
      </w:r>
    </w:p>
    <w:p w:rsidR="00FF5FF4" w:rsidRPr="00FF5FF4" w:rsidP="00FF5FF4" w14:paraId="3417F780" w14:textId="77777777">
      <w:pPr>
        <w:ind w:right="-360" w:firstLine="720"/>
        <w:rPr>
          <w:szCs w:val="27"/>
        </w:rPr>
      </w:pPr>
      <w:r w:rsidRPr="00FF5FF4">
        <w:rPr>
          <w:szCs w:val="27"/>
        </w:rPr>
        <w:t xml:space="preserve">I agree with the majority that the Indian Child Welfare Act of 1978 (ICWA; 25 U.S.C. § 1901 et seq.) and California’s version of ICWA (Cal-ICWA; Welf. &amp; Inst. Code, § 224 et seq.) protect vital tribal interests.  But the majority’s rule of automatic conditional reversal where there has been a failure to comply with Cal-ICWA, even if the parents disclaim any tribal membership and even if there is little possibility that the child may be Indian, fails to balance the equally important goal of achieving a prompt and stable placement for children in crisis.  The majority opinion ensures that siblings Dezi C. and Joshua C., and hundreds of other children like them, will remain in prolonged legal uncertainty about who their adoptive parents will be, where they will live, where they will go to school, and whether they will be separated from one another and placed in separate homes.  The majority forces Dezi C. and Joshua C. and their paternal grandparents to live with continued uncertainty about their future, even though the record reflects that the grandparents have consistently “provide[d] a safe and stable home environment for Dezi and Joshua,” even though the parents have both previously indicated on multiple occasions and under penalty of perjury that they have no Indian ancestry, and even though, as mother’s counsel conceded at oral argument, the likelihood of a tribal placement is “minimal.”  This delay and uncertainty carry the risk of creating further distress and instability for children who have already experienced the trauma of being permanently removed from their parents’ care.  This delay may also result in prospective adoptive parents deciding to no longer make themselves available as adoptive parents.  I dissent to explain why our well-established standard of review for harmlessness of state law error is appropriate, one that allows lower courts to balance the goals of ICWA and Cal-ICWA with the goals of prompt and stable placement for children.    </w:t>
      </w:r>
    </w:p>
    <w:p w:rsidR="00FF5FF4" w:rsidRPr="00FF5FF4" w:rsidP="00FF5FF4" w14:paraId="167EA6F2" w14:textId="77777777">
      <w:pPr>
        <w:ind w:right="-360" w:firstLine="720"/>
        <w:rPr>
          <w:szCs w:val="27"/>
        </w:rPr>
      </w:pPr>
      <w:r w:rsidRPr="00FF5FF4">
        <w:rPr>
          <w:szCs w:val="27"/>
        </w:rPr>
        <w:t xml:space="preserve">I also write to highlight that the majority does not foreclose — and indeed quite rightly expressly leaves room for — an alternate route that gives appellate courts greater flexibility going forward.  Even though the majority, wrongly in my view, adopts a rule requiring automatic conditional reversal when there is error in conducting a Cal-ICWA inquiry, this does not prevent appellate courts from giving substantial deference to a juvenile court’s finding that the inquiry was, in fact, adequate.  Though my colleagues deprive appellate courts from taking a commonsense approach where there was a failure to comply with Cal-ICWA at the trial level, appellate courts can still continue to show substantial deference to a juvenile court’s finding that the inquiry </w:t>
      </w:r>
      <w:r w:rsidRPr="00FF5FF4">
        <w:rPr>
          <w:i/>
          <w:iCs/>
          <w:szCs w:val="27"/>
        </w:rPr>
        <w:t xml:space="preserve">actually complied with </w:t>
      </w:r>
      <w:r w:rsidRPr="00FF5FF4">
        <w:rPr>
          <w:szCs w:val="27"/>
        </w:rPr>
        <w:t xml:space="preserve">Cal-ICWA.  </w:t>
      </w:r>
    </w:p>
    <w:p w:rsidR="00FF5FF4" w:rsidRPr="00FF5FF4" w:rsidP="00FF5FF4" w14:paraId="13D7434B" w14:textId="77777777">
      <w:pPr>
        <w:numPr>
          <w:ilvl w:val="0"/>
          <w:numId w:val="19"/>
        </w:numPr>
        <w:spacing w:after="0" w:line="240" w:lineRule="auto"/>
        <w:ind w:right="-360"/>
        <w:jc w:val="left"/>
        <w:rPr>
          <w:b/>
          <w:bCs/>
          <w:szCs w:val="27"/>
        </w:rPr>
      </w:pPr>
      <w:r w:rsidRPr="00FF5FF4">
        <w:rPr>
          <w:b/>
          <w:bCs/>
          <w:szCs w:val="27"/>
        </w:rPr>
        <w:t>Standard of Prejudice for Cal-ICWA Error</w:t>
      </w:r>
    </w:p>
    <w:p w:rsidR="00FF5FF4" w:rsidRPr="00FF5FF4" w:rsidP="00FF5FF4" w14:paraId="443D629F" w14:textId="77777777">
      <w:pPr>
        <w:ind w:right="-360"/>
        <w:rPr>
          <w:szCs w:val="27"/>
        </w:rPr>
      </w:pPr>
      <w:r w:rsidRPr="00FF5FF4">
        <w:rPr>
          <w:szCs w:val="27"/>
        </w:rPr>
        <w:tab/>
        <w:t xml:space="preserve">The parties agree that the juvenile court complied with federal ICWA, but not Cal-ICWA.  Though the majority largely ignores this distinction, the difference is crucial.  Under federal ICWA, the court must ask both participants (i.e., the parents) at the commencement of proceedings “whether the participant knows or has reason to know that the child is an Indian child.”  (25 C.F.R. § 23.107(a) (2021).)  </w:t>
      </w:r>
      <w:r w:rsidRPr="00FF5FF4">
        <w:rPr>
          <w:i/>
          <w:iCs/>
          <w:szCs w:val="27"/>
        </w:rPr>
        <w:t>That happened here</w:t>
      </w:r>
      <w:r w:rsidRPr="00FF5FF4">
        <w:rPr>
          <w:szCs w:val="27"/>
        </w:rPr>
        <w:t xml:space="preserve">.  Prior to the initial detention hearing both parents signed under penalty of perjury ICWA-020 forms indicating </w:t>
      </w:r>
      <w:bookmarkStart w:id="9" w:name="_Hlk173328989"/>
      <w:r w:rsidRPr="00FF5FF4">
        <w:rPr>
          <w:szCs w:val="27"/>
        </w:rPr>
        <w:t>that they do not have Indian ancestry</w:t>
      </w:r>
      <w:bookmarkEnd w:id="9"/>
      <w:r w:rsidRPr="00FF5FF4">
        <w:rPr>
          <w:szCs w:val="27"/>
        </w:rPr>
        <w:t>.  The court then confirmed with the parents at the initial detention hearing that they did not have Indian ancestry.  Thus, the Department of Children and Family Services (Department) and juvenile court satisfied the federal ICWA’s inquiry requirements.  (25 C.F.R. § 23.107(a) (2021).)</w:t>
      </w:r>
    </w:p>
    <w:p w:rsidR="00FF5FF4" w:rsidRPr="00FF5FF4" w:rsidP="00FF5FF4" w14:paraId="01FD4774" w14:textId="77777777">
      <w:pPr>
        <w:ind w:right="-360" w:firstLine="720"/>
        <w:rPr>
          <w:szCs w:val="27"/>
        </w:rPr>
      </w:pPr>
      <w:r w:rsidRPr="00FF5FF4">
        <w:rPr>
          <w:szCs w:val="27"/>
        </w:rPr>
        <w:t xml:space="preserve">The requirements of </w:t>
      </w:r>
      <w:r w:rsidRPr="00FF5FF4">
        <w:rPr>
          <w:i/>
          <w:iCs/>
          <w:szCs w:val="27"/>
        </w:rPr>
        <w:t>Cal-ICWA</w:t>
      </w:r>
      <w:r w:rsidRPr="00FF5FF4">
        <w:rPr>
          <w:szCs w:val="27"/>
        </w:rPr>
        <w:t>, however, impose additional duties of inquiry on a child welfare department, which “includes, but is not limited to,” not just asking the parents about Indian ancestry, but also asking the child, the “legal guardian, Indian custodian, extended family members, others who have an interest in the child, and the party reporting child abuse or neglect, whether the child is, or may be, an Indian child and where the child, the parents, or Indian custodian is domiciled.”  (Welf. &amp; Inst. Code, § 224.2, subd. (b).)  In this case, the parties agree the inquiry was inadequate under Cal-ICWA because the Department and the court did not ask extended family members, meaning adults who are “the Indian child’s grandparent, aunt or uncle, brother or sister, brother-in-law or sister-in-law, niece or nephew, first or second cousin, or stepparent” (25 U.S.C. § 1903(2); Welf. &amp; Inst. Code, § 224.l, subd. (c)), about Indian ancestry.</w:t>
      </w:r>
      <w:r>
        <w:rPr>
          <w:b/>
          <w:position w:val="6"/>
          <w:sz w:val="20"/>
          <w:szCs w:val="27"/>
        </w:rPr>
        <w:footnoteReference w:id="21"/>
      </w:r>
    </w:p>
    <w:p w:rsidR="00FF5FF4" w:rsidRPr="00FF5FF4" w:rsidP="00FF5FF4" w14:paraId="6CAAF0E0" w14:textId="77777777">
      <w:pPr>
        <w:ind w:right="-360" w:firstLine="720"/>
        <w:rPr>
          <w:szCs w:val="27"/>
        </w:rPr>
      </w:pPr>
      <w:r w:rsidRPr="00FF5FF4">
        <w:rPr>
          <w:szCs w:val="27"/>
        </w:rPr>
        <w:t xml:space="preserve">Where there has been a violation of state law, the standard of review has been well established for almost 70 years: Under </w:t>
      </w:r>
      <w:r w:rsidRPr="00FF5FF4">
        <w:rPr>
          <w:i/>
          <w:iCs/>
          <w:szCs w:val="27"/>
        </w:rPr>
        <w:t xml:space="preserve">People v. Watson </w:t>
      </w:r>
      <w:r w:rsidRPr="00FF5FF4">
        <w:rPr>
          <w:szCs w:val="27"/>
        </w:rPr>
        <w:t>(1956) 46 Cal.2d 818 (</w:t>
      </w:r>
      <w:r w:rsidRPr="00FF5FF4">
        <w:rPr>
          <w:i/>
          <w:iCs/>
          <w:szCs w:val="27"/>
        </w:rPr>
        <w:t>Watson</w:t>
      </w:r>
      <w:r w:rsidRPr="00FF5FF4">
        <w:rPr>
          <w:szCs w:val="27"/>
        </w:rPr>
        <w:t>), reversal is appropriate only where the petitioner can show that “it is reasonably probable that a result more favorable to the appealing party would have been reached in the absence of the error.”  (</w:t>
      </w:r>
      <w:r w:rsidRPr="00FF5FF4">
        <w:rPr>
          <w:i/>
          <w:iCs/>
          <w:szCs w:val="27"/>
        </w:rPr>
        <w:t>Id.</w:t>
      </w:r>
      <w:r w:rsidRPr="00FF5FF4">
        <w:rPr>
          <w:szCs w:val="27"/>
        </w:rPr>
        <w:t xml:space="preserve"> at p. 836.)  As we explained in </w:t>
      </w:r>
      <w:r w:rsidRPr="00FF5FF4">
        <w:rPr>
          <w:i/>
          <w:iCs/>
          <w:szCs w:val="27"/>
        </w:rPr>
        <w:t>Watson</w:t>
      </w:r>
      <w:r w:rsidRPr="00FF5FF4">
        <w:rPr>
          <w:szCs w:val="27"/>
        </w:rPr>
        <w:t xml:space="preserve">, this standard is consistent with our constitutional mandate that </w:t>
      </w:r>
      <w:bookmarkStart w:id="11" w:name="_Hlk174036870"/>
      <w:r w:rsidRPr="00FF5FF4">
        <w:rPr>
          <w:szCs w:val="27"/>
        </w:rPr>
        <w:t xml:space="preserve">“[n]o judgment shall be set aside . . . unless, after an examination of the entire cause, including the evidence, the court shall be of the opinion that the error complained of has resulted in a miscarriage of justice.”  </w:t>
      </w:r>
      <w:bookmarkEnd w:id="11"/>
      <w:r w:rsidRPr="00FF5FF4">
        <w:rPr>
          <w:szCs w:val="27"/>
        </w:rPr>
        <w:t xml:space="preserve">(Cal. Const., art. VI, § 13; see </w:t>
      </w:r>
      <w:r w:rsidRPr="00FF5FF4">
        <w:rPr>
          <w:i/>
          <w:iCs/>
          <w:szCs w:val="27"/>
        </w:rPr>
        <w:t xml:space="preserve">In re Jesusa V. </w:t>
      </w:r>
      <w:r w:rsidRPr="00FF5FF4">
        <w:rPr>
          <w:szCs w:val="27"/>
        </w:rPr>
        <w:t>(2004) 32 Cal.4th 588, 624 (</w:t>
      </w:r>
      <w:r w:rsidRPr="00FF5FF4">
        <w:rPr>
          <w:i/>
          <w:iCs/>
          <w:szCs w:val="27"/>
        </w:rPr>
        <w:t>Jesusa V.</w:t>
      </w:r>
      <w:r w:rsidRPr="00FF5FF4">
        <w:rPr>
          <w:szCs w:val="27"/>
        </w:rPr>
        <w:t>)</w:t>
      </w:r>
      <w:r w:rsidRPr="00FF5FF4">
        <w:rPr>
          <w:i/>
          <w:iCs/>
          <w:szCs w:val="27"/>
        </w:rPr>
        <w:t xml:space="preserve"> </w:t>
      </w:r>
      <w:r w:rsidRPr="00FF5FF4">
        <w:rPr>
          <w:szCs w:val="27"/>
        </w:rPr>
        <w:t xml:space="preserve">[“We typically apply a harmless-error analysis when a statutory mandate is disobeyed, except in a narrow category of circumstances when we deem the error reversible per se.  This practice derives from article VI, section 13 of the California Constitution”].)  The majority offers no plausible explanation as to why </w:t>
      </w:r>
      <w:r w:rsidRPr="00FF5FF4">
        <w:rPr>
          <w:i/>
          <w:iCs/>
          <w:szCs w:val="27"/>
        </w:rPr>
        <w:t>Watson</w:t>
      </w:r>
      <w:r w:rsidRPr="00FF5FF4">
        <w:rPr>
          <w:szCs w:val="27"/>
        </w:rPr>
        <w:t xml:space="preserve"> does not apply.  Nor does the majority make any attempt to reconcile article VI, section 13 of the California Constitution with its decision.  (See </w:t>
      </w:r>
      <w:r w:rsidRPr="00FF5FF4">
        <w:rPr>
          <w:i/>
          <w:iCs/>
          <w:szCs w:val="27"/>
        </w:rPr>
        <w:t>In re Dezi C.</w:t>
      </w:r>
      <w:r w:rsidRPr="00FF5FF4">
        <w:rPr>
          <w:szCs w:val="27"/>
        </w:rPr>
        <w:t xml:space="preserve"> (2022) 79 Cal.App.5th 769, 785 (</w:t>
      </w:r>
      <w:r w:rsidRPr="00FF5FF4">
        <w:rPr>
          <w:i/>
          <w:iCs/>
          <w:szCs w:val="27"/>
        </w:rPr>
        <w:t>Dezi C.</w:t>
      </w:r>
      <w:r w:rsidRPr="00FF5FF4">
        <w:rPr>
          <w:szCs w:val="27"/>
        </w:rPr>
        <w:t xml:space="preserve">) [The majority’s “automatic reversal rule seemingly elevates ICWA above the </w:t>
      </w:r>
      <w:r w:rsidRPr="00FF5FF4">
        <w:rPr>
          <w:i/>
          <w:iCs/>
          <w:szCs w:val="27"/>
        </w:rPr>
        <w:t>constitutional</w:t>
      </w:r>
      <w:r w:rsidRPr="00FF5FF4">
        <w:rPr>
          <w:szCs w:val="27"/>
        </w:rPr>
        <w:t xml:space="preserve"> mandate that reversal is only required when there would be a miscarriage of justice.  But it is well settled that constitutional provisions trump statutory law, not the other way around”].)  </w:t>
      </w:r>
    </w:p>
    <w:p w:rsidR="00FF5FF4" w:rsidRPr="00FF5FF4" w:rsidP="00FF5FF4" w14:paraId="74E7A302" w14:textId="77777777">
      <w:pPr>
        <w:ind w:right="-360" w:firstLine="720"/>
        <w:rPr>
          <w:szCs w:val="27"/>
        </w:rPr>
      </w:pPr>
      <w:r w:rsidRPr="00FF5FF4">
        <w:rPr>
          <w:szCs w:val="27"/>
        </w:rPr>
        <w:t xml:space="preserve">I would not so lightly dispense with our precedent or our Constitution.  Instead, I would apply </w:t>
      </w:r>
      <w:r w:rsidRPr="00FF5FF4">
        <w:rPr>
          <w:i/>
          <w:iCs/>
          <w:szCs w:val="27"/>
        </w:rPr>
        <w:t>Watson</w:t>
      </w:r>
      <w:r w:rsidRPr="00FF5FF4">
        <w:rPr>
          <w:szCs w:val="27"/>
        </w:rPr>
        <w:t xml:space="preserve"> in this case by adopting the Court of Appeal’s “reason to believe” standard.  (See </w:t>
      </w:r>
      <w:r w:rsidRPr="00FF5FF4">
        <w:rPr>
          <w:i/>
          <w:iCs/>
          <w:szCs w:val="27"/>
        </w:rPr>
        <w:t>Dezi C.</w:t>
      </w:r>
      <w:r w:rsidRPr="00FF5FF4">
        <w:rPr>
          <w:szCs w:val="27"/>
        </w:rPr>
        <w:t xml:space="preserve">, </w:t>
      </w:r>
      <w:r w:rsidRPr="00FF5FF4">
        <w:rPr>
          <w:i/>
          <w:iCs/>
          <w:szCs w:val="27"/>
        </w:rPr>
        <w:t>supra</w:t>
      </w:r>
      <w:r w:rsidRPr="00FF5FF4">
        <w:rPr>
          <w:szCs w:val="27"/>
        </w:rPr>
        <w:t>, 79 Cal.App.5th at p. 779.)  Under the “reason to believe” standard, “an agency’s failure to conduct a proper initial inquiry into a dependent child’s American Indian heritage is harmless unless the record contains information suggesting a reason to believe that the child may be an ‘Indian child’ within the meaning of ICWA, such that the absence of further inquiry was prejudicial to the juvenile court’s ICWA finding.  For this purpose, the ‘record’ includes both the record of proceedings in the juvenile court and any proffer the appealing parent makes on appeal.”  (</w:t>
      </w:r>
      <w:r w:rsidRPr="00FF5FF4">
        <w:rPr>
          <w:i/>
          <w:iCs/>
          <w:szCs w:val="27"/>
        </w:rPr>
        <w:t>Ibid</w:t>
      </w:r>
      <w:r w:rsidRPr="00FF5FF4">
        <w:rPr>
          <w:szCs w:val="27"/>
        </w:rPr>
        <w:t>.)  This standard appropriately balances the interests of the child in avoiding delay and instability in permanent placement while at the same time requiring reversal if a threshold showing can be made that further ICWA or Cal-ICWA inquiry would be useful.  But it avoids condemning children to further delay and instability in cases where there is zero evidence that the child is Indian.  “By limiting a remand for further inquiry to those cases in which the record gives the reviewing court a reason to believe that the remand may undermine the juvenile court’s ICWA finding, the ‘reason to believe’ rule effectuates the rights of the tribes in those instances in which those rights are most likely at risk, which are precisely the cases in which the tribe’s potential rights do justify placing the children in a further period of limbo.”  (</w:t>
      </w:r>
      <w:r w:rsidRPr="00FF5FF4">
        <w:rPr>
          <w:i/>
          <w:iCs/>
          <w:szCs w:val="27"/>
        </w:rPr>
        <w:t>Dezi C.</w:t>
      </w:r>
      <w:r w:rsidRPr="00FF5FF4">
        <w:rPr>
          <w:szCs w:val="27"/>
        </w:rPr>
        <w:t xml:space="preserve">, at pp. 781–782.)  </w:t>
      </w:r>
    </w:p>
    <w:p w:rsidR="00FF5FF4" w:rsidRPr="00FF5FF4" w:rsidP="00FF5FF4" w14:paraId="75656834" w14:textId="77777777">
      <w:pPr>
        <w:ind w:right="-360" w:firstLine="720"/>
        <w:rPr>
          <w:i/>
          <w:iCs/>
          <w:szCs w:val="27"/>
        </w:rPr>
      </w:pPr>
      <w:r w:rsidRPr="00FF5FF4">
        <w:rPr>
          <w:szCs w:val="27"/>
        </w:rPr>
        <w:t xml:space="preserve">The majority asserts that it is not holding that an inadequate inquiry is structural error, but rather that the record is insufficient when the inquiry is inadequate to determine whether the error is harmless under </w:t>
      </w:r>
      <w:r w:rsidRPr="00FF5FF4">
        <w:rPr>
          <w:i/>
          <w:iCs/>
          <w:szCs w:val="27"/>
        </w:rPr>
        <w:t>Watson</w:t>
      </w:r>
      <w:r w:rsidRPr="00FF5FF4">
        <w:rPr>
          <w:szCs w:val="27"/>
        </w:rPr>
        <w:t xml:space="preserve">.  (Maj. opn., </w:t>
      </w:r>
      <w:r w:rsidRPr="00FF5FF4">
        <w:rPr>
          <w:i/>
          <w:iCs/>
          <w:szCs w:val="27"/>
        </w:rPr>
        <w:t>ante</w:t>
      </w:r>
      <w:r w:rsidRPr="00FF5FF4">
        <w:rPr>
          <w:szCs w:val="27"/>
        </w:rPr>
        <w:t>, at p. 22, fn. 11.)  Though I agree with the majority that “the juvenile court’s fact-specific determination that an inquiry is adequate, proper, and duly diligent is ‘a quintessentially discretionary function’ (</w:t>
      </w:r>
      <w:r w:rsidRPr="00FF5FF4">
        <w:rPr>
          <w:i/>
          <w:iCs/>
          <w:szCs w:val="27"/>
        </w:rPr>
        <w:t>In re</w:t>
      </w:r>
      <w:r w:rsidRPr="00FF5FF4">
        <w:rPr>
          <w:szCs w:val="27"/>
        </w:rPr>
        <w:t xml:space="preserve"> </w:t>
      </w:r>
      <w:r w:rsidRPr="00FF5FF4">
        <w:rPr>
          <w:i/>
          <w:iCs/>
          <w:szCs w:val="27"/>
        </w:rPr>
        <w:t>Ezequiel G.</w:t>
      </w:r>
      <w:r w:rsidRPr="00FF5FF4">
        <w:rPr>
          <w:szCs w:val="27"/>
        </w:rPr>
        <w:t xml:space="preserve"> (2022) 81 Cal.App.5th 984, 1005) subject to a deferential standard of review” (</w:t>
      </w:r>
      <w:r w:rsidRPr="00FF5FF4">
        <w:rPr>
          <w:i/>
          <w:iCs/>
          <w:szCs w:val="27"/>
        </w:rPr>
        <w:t>id</w:t>
      </w:r>
      <w:r w:rsidRPr="00FF5FF4">
        <w:rPr>
          <w:szCs w:val="27"/>
        </w:rPr>
        <w:t xml:space="preserve">. at p. 27; see pt. II, </w:t>
      </w:r>
      <w:r w:rsidRPr="00FF5FF4">
        <w:rPr>
          <w:i/>
          <w:iCs/>
          <w:szCs w:val="27"/>
        </w:rPr>
        <w:t>post</w:t>
      </w:r>
      <w:r w:rsidRPr="00FF5FF4">
        <w:rPr>
          <w:szCs w:val="27"/>
        </w:rPr>
        <w:t xml:space="preserve">), I simply do not understand the majority’s assertion that it is not applying a structural error standard in instances where the Cal-ICWA inquiry is, in fact, deemed inadequate.  What the majority is doing is clear: in every case where there has been an inadequate inquiry under Cal-ICWA, the majority finds the </w:t>
      </w:r>
      <w:r w:rsidRPr="00FF5FF4">
        <w:rPr>
          <w:i/>
          <w:iCs/>
          <w:szCs w:val="27"/>
        </w:rPr>
        <w:t>Watson</w:t>
      </w:r>
      <w:r w:rsidRPr="00FF5FF4">
        <w:rPr>
          <w:szCs w:val="27"/>
        </w:rPr>
        <w:t xml:space="preserve"> prejudice standard inapplicable, and instead concludes that reversal is required without any attempt to assess prejudice.  That is the very essence of a structural error standard.   </w:t>
      </w:r>
    </w:p>
    <w:p w:rsidR="00FF5FF4" w:rsidRPr="00FF5FF4" w:rsidP="00FF5FF4" w14:paraId="4E5B830F" w14:textId="77777777">
      <w:pPr>
        <w:ind w:right="-360" w:firstLine="720"/>
        <w:rPr>
          <w:szCs w:val="27"/>
        </w:rPr>
      </w:pPr>
      <w:r w:rsidRPr="00FF5FF4">
        <w:rPr>
          <w:szCs w:val="27"/>
        </w:rPr>
        <w:t xml:space="preserve">The majority also argues that it is “impossible to review for prejudice the trial court’s implied finding that ICWA does not apply.”  (Maj. opn., </w:t>
      </w:r>
      <w:r w:rsidRPr="00FF5FF4">
        <w:rPr>
          <w:i/>
          <w:iCs/>
          <w:szCs w:val="27"/>
        </w:rPr>
        <w:t>ante</w:t>
      </w:r>
      <w:r w:rsidRPr="00FF5FF4">
        <w:rPr>
          <w:szCs w:val="27"/>
        </w:rPr>
        <w:t xml:space="preserve">, at p. 21.)  However, here and in </w:t>
      </w:r>
      <w:r w:rsidRPr="00FF5FF4">
        <w:rPr>
          <w:i/>
          <w:iCs/>
          <w:szCs w:val="27"/>
        </w:rPr>
        <w:t>In re Kenneth D.</w:t>
      </w:r>
      <w:r w:rsidRPr="00FF5FF4">
        <w:rPr>
          <w:szCs w:val="27"/>
        </w:rPr>
        <w:t xml:space="preserve"> (August 19, 2024, S276649) ___ Cal.5th ___ (</w:t>
      </w:r>
      <w:r w:rsidRPr="00FF5FF4">
        <w:rPr>
          <w:i/>
          <w:iCs/>
          <w:szCs w:val="27"/>
        </w:rPr>
        <w:t>Kenneth D.</w:t>
      </w:r>
      <w:r w:rsidRPr="00FF5FF4">
        <w:rPr>
          <w:szCs w:val="27"/>
        </w:rPr>
        <w:t xml:space="preserve">), the majority also rightly acknowledges that Code of Civil Procedure section 909 allows for the submission of postjudgment evidence in exceptional circumstances.  (See </w:t>
      </w:r>
      <w:r w:rsidRPr="00FF5FF4">
        <w:rPr>
          <w:i/>
          <w:iCs/>
          <w:szCs w:val="27"/>
        </w:rPr>
        <w:t>Kenneth D.</w:t>
      </w:r>
      <w:r w:rsidRPr="00FF5FF4">
        <w:rPr>
          <w:szCs w:val="27"/>
        </w:rPr>
        <w:t xml:space="preserve">, at p. ___ [p. 22].) </w:t>
      </w:r>
      <w:r w:rsidRPr="00FF5FF4">
        <w:rPr>
          <w:i/>
          <w:iCs/>
          <w:szCs w:val="27"/>
        </w:rPr>
        <w:t xml:space="preserve"> </w:t>
      </w:r>
      <w:r w:rsidRPr="00FF5FF4">
        <w:rPr>
          <w:szCs w:val="27"/>
        </w:rPr>
        <w:t>This situation clearly fits the bill: where a delay of even a few months “can be a lifetime to a young child” (</w:t>
      </w:r>
      <w:r w:rsidRPr="00FF5FF4">
        <w:rPr>
          <w:i/>
          <w:iCs/>
          <w:szCs w:val="27"/>
        </w:rPr>
        <w:t>Marilyn H.</w:t>
      </w:r>
      <w:r w:rsidRPr="00FF5FF4">
        <w:rPr>
          <w:szCs w:val="27"/>
        </w:rPr>
        <w:t xml:space="preserve">, </w:t>
      </w:r>
      <w:r w:rsidRPr="00FF5FF4">
        <w:rPr>
          <w:i/>
          <w:iCs/>
          <w:szCs w:val="27"/>
        </w:rPr>
        <w:t>supra</w:t>
      </w:r>
      <w:r w:rsidRPr="00FF5FF4">
        <w:rPr>
          <w:szCs w:val="27"/>
        </w:rPr>
        <w:t>, 5 Cal.4th at p. 310), then it is appropriate to ask parents to come forward with at least some information showing that there would be a reason to justify further delay.  This requirement need not be onerous — if a parent can proffer any document, or any declaration, tending to show that the child might be Indian, then this would likely be sufficient to require reversal so that further inquiry can be made.  But this is the very common sense and practical solution that my colleagues in the majority refuse to embrace.  If we are going to delay permanent placement for a child who has already been through an unimaginable trauma — the loss of one or both of his parents as permanent caregivers — we should make sure that there is at least a glimmer of hope that such delay might be beneficial.  Imagine a situation on appeal, like this one, where the parents have already submitted signed ICWA forms indicating that they have no Indian ancestry and confirmed as much to the juvenile court.  And imagine a situation, like here, where the parents have not adduced one iota of evidence on appeal that they or their children are members of, or eligible for membership in, a federally recognized Indian tribe.  Now assume that, after the juvenile court order was final, the Department spoke to all the people required under Cal-ICWA and presented declarations on appeal in which each of these persons stated the child had no Indian ancestry.  Would the majority still require reversal?  I fear the answer is “yes.”</w:t>
      </w:r>
    </w:p>
    <w:p w:rsidR="00FF5FF4" w:rsidRPr="00FF5FF4" w:rsidP="00FF5FF4" w14:paraId="27BFAD25" w14:textId="77777777">
      <w:pPr>
        <w:spacing w:after="0"/>
        <w:ind w:right="-360" w:firstLine="720"/>
        <w:rPr>
          <w:szCs w:val="27"/>
        </w:rPr>
      </w:pPr>
      <w:r w:rsidRPr="00FF5FF4">
        <w:rPr>
          <w:szCs w:val="27"/>
        </w:rPr>
        <w:t xml:space="preserve">The majority worries that if the interpretation advocated for here were adopted “the exception would swallow the rule we have laid out in </w:t>
      </w:r>
      <w:r w:rsidRPr="00FF5FF4">
        <w:rPr>
          <w:i/>
          <w:iCs/>
          <w:szCs w:val="27"/>
        </w:rPr>
        <w:t xml:space="preserve">Kenneth D. </w:t>
      </w:r>
      <w:r w:rsidRPr="00FF5FF4">
        <w:rPr>
          <w:szCs w:val="27"/>
        </w:rPr>
        <w:t xml:space="preserve">that reviewing courts may not generally consider previously unadmitted evidence for the first time on appeal to conclude initial ICWA inquiry error is harmless.” (Maj. opn., </w:t>
      </w:r>
      <w:r w:rsidRPr="00FF5FF4">
        <w:rPr>
          <w:i/>
          <w:iCs/>
          <w:szCs w:val="27"/>
        </w:rPr>
        <w:t>ante</w:t>
      </w:r>
      <w:r w:rsidRPr="00FF5FF4">
        <w:rPr>
          <w:szCs w:val="27"/>
        </w:rPr>
        <w:t xml:space="preserve">, at p. 29, citing </w:t>
      </w:r>
      <w:r w:rsidRPr="00FF5FF4">
        <w:rPr>
          <w:i/>
          <w:iCs/>
          <w:szCs w:val="27"/>
        </w:rPr>
        <w:t>Kenneth D.</w:t>
      </w:r>
      <w:r w:rsidRPr="00FF5FF4">
        <w:rPr>
          <w:szCs w:val="27"/>
        </w:rPr>
        <w:t xml:space="preserve">, </w:t>
      </w:r>
      <w:r w:rsidRPr="00FF5FF4">
        <w:rPr>
          <w:i/>
          <w:iCs/>
          <w:szCs w:val="27"/>
        </w:rPr>
        <w:t>supra</w:t>
      </w:r>
      <w:r w:rsidRPr="00FF5FF4">
        <w:rPr>
          <w:szCs w:val="27"/>
        </w:rPr>
        <w:t xml:space="preserve">, ___ Cal.5th at p. ___ [p. 1].)  But the facts of these two cases allay this concern.  In </w:t>
      </w:r>
      <w:r w:rsidRPr="00FF5FF4">
        <w:rPr>
          <w:i/>
          <w:iCs/>
          <w:szCs w:val="27"/>
        </w:rPr>
        <w:t>Kenneth D.</w:t>
      </w:r>
      <w:r w:rsidRPr="00FF5FF4">
        <w:rPr>
          <w:szCs w:val="27"/>
        </w:rPr>
        <w:t>, the memorandum from the Placer County Department of Health and Human Services presented for postjudgment review contained conflicting hearsay statements concerning Indian ancestry: “Kenneth D.’s father ‘stated that he thought he might have Cherokee ancestry out of Oklahoma’ while the paternal grandmother stated the father’s statement was ‘not accurate’ and that she was ‘unaware of any Native American Heritage.’ ”  (</w:t>
      </w:r>
      <w:r w:rsidRPr="00FF5FF4">
        <w:rPr>
          <w:i/>
          <w:iCs/>
          <w:szCs w:val="27"/>
        </w:rPr>
        <w:t>Kenneth D.</w:t>
      </w:r>
      <w:r w:rsidRPr="00FF5FF4">
        <w:rPr>
          <w:szCs w:val="27"/>
        </w:rPr>
        <w:t xml:space="preserve">, </w:t>
      </w:r>
      <w:r w:rsidRPr="00FF5FF4">
        <w:rPr>
          <w:i/>
          <w:iCs/>
          <w:szCs w:val="27"/>
        </w:rPr>
        <w:t>supra</w:t>
      </w:r>
      <w:r w:rsidRPr="00FF5FF4">
        <w:rPr>
          <w:szCs w:val="27"/>
        </w:rPr>
        <w:t xml:space="preserve">, ___ Cal.5th at p. ___ [p. 1] (conc. opn. of Groban, J.).)  On this record, there simply was no basis to conclusively determine that the child was not of Indian descent.  The circumstances in </w:t>
      </w:r>
      <w:r w:rsidRPr="00FF5FF4">
        <w:rPr>
          <w:i/>
          <w:iCs/>
          <w:szCs w:val="27"/>
        </w:rPr>
        <w:t>Kenneth D.</w:t>
      </w:r>
      <w:r w:rsidRPr="00FF5FF4">
        <w:rPr>
          <w:szCs w:val="27"/>
        </w:rPr>
        <w:t xml:space="preserve"> simply were not “ ‘exceptional.’ ”  (</w:t>
      </w:r>
      <w:r w:rsidRPr="00FF5FF4">
        <w:rPr>
          <w:i/>
          <w:iCs/>
          <w:szCs w:val="27"/>
        </w:rPr>
        <w:t>Ibid</w:t>
      </w:r>
      <w:r w:rsidRPr="00FF5FF4">
        <w:rPr>
          <w:szCs w:val="27"/>
        </w:rPr>
        <w:t xml:space="preserve">.)  Conversely, here, as described, both parents signed ICWA forms under penalty of perjury indicating that they did not have Indian ancestry and the court then confirmed with the parents at the initial detention hearing that they did not have Indian ancestry.  Code of Civil Procedure section 909 exists for exactly these kinds of exceptional cases and our Courts of Appeal are well equipped to distinguish between unexceptional fact patterns like </w:t>
      </w:r>
      <w:r w:rsidRPr="00FF5FF4">
        <w:rPr>
          <w:i/>
          <w:iCs/>
          <w:szCs w:val="27"/>
        </w:rPr>
        <w:t>Kenneth D.</w:t>
      </w:r>
      <w:r w:rsidRPr="00FF5FF4">
        <w:rPr>
          <w:szCs w:val="27"/>
        </w:rPr>
        <w:t xml:space="preserve"> and exceptional cases like the one presented here.</w:t>
      </w:r>
    </w:p>
    <w:p w:rsidR="00FF5FF4" w:rsidRPr="00FF5FF4" w:rsidP="00FF5FF4" w14:paraId="7F621DFC" w14:textId="77777777">
      <w:pPr>
        <w:ind w:right="-360" w:firstLine="720"/>
        <w:rPr>
          <w:szCs w:val="27"/>
        </w:rPr>
      </w:pPr>
      <w:r w:rsidRPr="00FF5FF4">
        <w:rPr>
          <w:szCs w:val="27"/>
        </w:rPr>
        <w:t>The majority offers a variety of other reasons for requiring automatic conditional reversal, stating that “Cal-ICWA ‘broadly imposes on social services agencies and juvenile courts (</w:t>
      </w:r>
      <w:r w:rsidRPr="00FF5FF4">
        <w:rPr>
          <w:i/>
          <w:iCs/>
          <w:szCs w:val="27"/>
        </w:rPr>
        <w:t>but not parents</w:t>
      </w:r>
      <w:r w:rsidRPr="00FF5FF4">
        <w:rPr>
          <w:szCs w:val="27"/>
        </w:rPr>
        <w:t xml:space="preserve">) an “affirmative and continuing duty to inquire” ’ ” (maj. opn., </w:t>
      </w:r>
      <w:r w:rsidRPr="00FF5FF4">
        <w:rPr>
          <w:i/>
          <w:iCs/>
          <w:szCs w:val="27"/>
        </w:rPr>
        <w:t>ante</w:t>
      </w:r>
      <w:r w:rsidRPr="00FF5FF4">
        <w:rPr>
          <w:szCs w:val="27"/>
        </w:rPr>
        <w:t>, at p. 23, original italics); “ICWA was enacted to protect tribal integrity and sovereignty” (</w:t>
      </w:r>
      <w:r w:rsidRPr="00FF5FF4">
        <w:rPr>
          <w:i/>
          <w:iCs/>
          <w:szCs w:val="27"/>
        </w:rPr>
        <w:t>id</w:t>
      </w:r>
      <w:r w:rsidRPr="00FF5FF4">
        <w:rPr>
          <w:szCs w:val="27"/>
        </w:rPr>
        <w:t>. at p.</w:t>
      </w:r>
      <w:r w:rsidRPr="00FF5FF4">
        <w:rPr>
          <w:rFonts w:ascii="Times New Roman" w:hAnsi="Times New Roman"/>
          <w:sz w:val="26"/>
        </w:rPr>
        <w:t> </w:t>
      </w:r>
      <w:r w:rsidRPr="00FF5FF4">
        <w:rPr>
          <w:szCs w:val="27"/>
        </w:rPr>
        <w:t>24); adequate initial inquiry “</w:t>
      </w:r>
      <w:bookmarkStart w:id="12" w:name="_cp_change_309"/>
      <w:r w:rsidRPr="00FF5FF4">
        <w:rPr>
          <w:szCs w:val="27"/>
        </w:rPr>
        <w:t xml:space="preserve">maximizes </w:t>
      </w:r>
      <w:bookmarkEnd w:id="12"/>
      <w:r w:rsidRPr="00FF5FF4">
        <w:rPr>
          <w:szCs w:val="27"/>
        </w:rPr>
        <w:t>the chances that potential Indian children are discovered and tribes are notified” (</w:t>
      </w:r>
      <w:r w:rsidRPr="00FF5FF4">
        <w:rPr>
          <w:i/>
          <w:iCs/>
          <w:szCs w:val="27"/>
        </w:rPr>
        <w:t>id</w:t>
      </w:r>
      <w:r w:rsidRPr="00FF5FF4">
        <w:rPr>
          <w:szCs w:val="27"/>
        </w:rPr>
        <w:t>. at p. 26); and that the ICWA implementing regulations state that early inquiry is “ ‘critically important’ ” (</w:t>
      </w:r>
      <w:r w:rsidRPr="00FF5FF4">
        <w:rPr>
          <w:i/>
          <w:iCs/>
          <w:szCs w:val="27"/>
        </w:rPr>
        <w:t>ibid.</w:t>
      </w:r>
      <w:r w:rsidRPr="00FF5FF4">
        <w:rPr>
          <w:szCs w:val="27"/>
        </w:rPr>
        <w:t>).  These arguments redound to: “Because we think Cal-ICWA is a very important piece of legislation, and because we think a state actor failed in its duty to follow the law, we are going to require automatic conditional reversal when the statute is violated.”  But until today, it had been our longstanding practice to inquire, in accordance with our state Constitution (Cal. Const., art. VI, § 13), whether the violation of a directory statute was prejudicial.  (</w:t>
      </w:r>
      <w:r w:rsidRPr="00FF5FF4">
        <w:rPr>
          <w:i/>
          <w:iCs/>
          <w:szCs w:val="27"/>
        </w:rPr>
        <w:t>In re R.L.</w:t>
      </w:r>
      <w:r w:rsidRPr="00FF5FF4">
        <w:rPr>
          <w:szCs w:val="27"/>
        </w:rPr>
        <w:t xml:space="preserve"> (2016) 4 Cal.App.5th 125, 143 [when “a statute does not provide any consequence for noncompliance, the language should be considered directory rather than mandatory”]; </w:t>
      </w:r>
      <w:r w:rsidRPr="00FF5FF4">
        <w:rPr>
          <w:i/>
          <w:iCs/>
          <w:szCs w:val="27"/>
        </w:rPr>
        <w:t>In re C.T.</w:t>
      </w:r>
      <w:r w:rsidRPr="00FF5FF4">
        <w:rPr>
          <w:szCs w:val="27"/>
        </w:rPr>
        <w:t xml:space="preserve"> (2002) 100 Cal.App.4th 101, 111.)  “Only in a ‘very limited class of cases’ has the Court concluded that an error is structural, and ‘thus subject to automatic reversal’ on appeal.”  (</w:t>
      </w:r>
      <w:r w:rsidRPr="00FF5FF4">
        <w:rPr>
          <w:i/>
          <w:iCs/>
          <w:szCs w:val="27"/>
        </w:rPr>
        <w:t>Greer v. United States</w:t>
      </w:r>
      <w:r w:rsidRPr="00FF5FF4">
        <w:rPr>
          <w:szCs w:val="27"/>
        </w:rPr>
        <w:t xml:space="preserve"> (2021) 593 U.S. 503, 513.)  The majority’s resolution of this appeal ignores the way we and lower courts have applied </w:t>
      </w:r>
      <w:r w:rsidRPr="00FF5FF4">
        <w:rPr>
          <w:i/>
          <w:iCs/>
          <w:szCs w:val="27"/>
        </w:rPr>
        <w:t>Watson</w:t>
      </w:r>
      <w:r w:rsidRPr="00FF5FF4">
        <w:rPr>
          <w:szCs w:val="27"/>
        </w:rPr>
        <w:t xml:space="preserve"> in literally thousands of cases.  </w:t>
      </w:r>
    </w:p>
    <w:p w:rsidR="00FF5FF4" w:rsidRPr="00FF5FF4" w:rsidP="00FF5FF4" w14:paraId="72253991" w14:textId="77777777">
      <w:pPr>
        <w:ind w:right="-360" w:firstLine="720"/>
        <w:rPr>
          <w:szCs w:val="27"/>
        </w:rPr>
      </w:pPr>
      <w:r w:rsidRPr="00FF5FF4">
        <w:rPr>
          <w:szCs w:val="27"/>
        </w:rPr>
        <w:t xml:space="preserve">In every </w:t>
      </w:r>
      <w:r w:rsidRPr="00FF5FF4">
        <w:rPr>
          <w:i/>
          <w:iCs/>
          <w:szCs w:val="27"/>
        </w:rPr>
        <w:t>Watson</w:t>
      </w:r>
      <w:r w:rsidRPr="00FF5FF4">
        <w:rPr>
          <w:szCs w:val="27"/>
        </w:rPr>
        <w:t xml:space="preserve"> case, an important interest is at stake (see cases below involving the rights of a criminal defendant to admit evidence at trial; cases involving the right of a criminal defendant to have a properly instructed jury; and cases involving the statutory right to counsel) and in every case, a state actor has failed to comply with state law.  But we do not adopt the automatic reversal rule applied here.  Instead, for state law error, we have, for almost seven decades, quite logically gone on to ask if “it is reasonably probable that a result more favorable to the appealing party would have been reached in the absence of the error.”  (</w:t>
      </w:r>
      <w:r w:rsidRPr="00FF5FF4">
        <w:rPr>
          <w:i/>
          <w:iCs/>
          <w:szCs w:val="27"/>
        </w:rPr>
        <w:t>Watson</w:t>
      </w:r>
      <w:r w:rsidRPr="00FF5FF4">
        <w:rPr>
          <w:szCs w:val="27"/>
        </w:rPr>
        <w:t xml:space="preserve">, </w:t>
      </w:r>
      <w:r w:rsidRPr="00FF5FF4">
        <w:rPr>
          <w:i/>
          <w:iCs/>
          <w:szCs w:val="27"/>
        </w:rPr>
        <w:t>supra</w:t>
      </w:r>
      <w:r w:rsidRPr="00FF5FF4">
        <w:rPr>
          <w:szCs w:val="27"/>
        </w:rPr>
        <w:t>, 46 Cal.2d at p. 836; s</w:t>
      </w:r>
      <w:bookmarkStart w:id="13" w:name="_Hlk170829873"/>
      <w:r w:rsidRPr="00FF5FF4">
        <w:rPr>
          <w:szCs w:val="27"/>
        </w:rPr>
        <w:t>ee, e.g.,</w:t>
      </w:r>
      <w:r w:rsidRPr="00FF5FF4">
        <w:rPr>
          <w:b/>
          <w:bCs/>
          <w:szCs w:val="27"/>
        </w:rPr>
        <w:t xml:space="preserve"> </w:t>
      </w:r>
      <w:r w:rsidRPr="00FF5FF4">
        <w:rPr>
          <w:i/>
          <w:iCs/>
          <w:szCs w:val="27"/>
        </w:rPr>
        <w:t xml:space="preserve">People v. Lewis </w:t>
      </w:r>
      <w:r w:rsidRPr="00FF5FF4">
        <w:rPr>
          <w:szCs w:val="27"/>
        </w:rPr>
        <w:t>(2021) 11 Cal.5th 952, 973 [</w:t>
      </w:r>
      <w:r w:rsidRPr="00FF5FF4">
        <w:rPr>
          <w:i/>
          <w:iCs/>
          <w:szCs w:val="27"/>
        </w:rPr>
        <w:t>Watson</w:t>
      </w:r>
      <w:r w:rsidRPr="00FF5FF4">
        <w:rPr>
          <w:szCs w:val="27"/>
        </w:rPr>
        <w:t xml:space="preserve"> applies to trial court’s failure to appoint counsel in hearing on resentencing petition as required by statute]; </w:t>
      </w:r>
      <w:r w:rsidRPr="00FF5FF4">
        <w:rPr>
          <w:i/>
          <w:iCs/>
          <w:szCs w:val="27"/>
        </w:rPr>
        <w:t>People v. Sivongxxay</w:t>
      </w:r>
      <w:r w:rsidRPr="00FF5FF4">
        <w:rPr>
          <w:szCs w:val="27"/>
        </w:rPr>
        <w:t xml:space="preserve"> (2017) 3 Cal.5th 151, 187 [</w:t>
      </w:r>
      <w:r w:rsidRPr="00FF5FF4">
        <w:rPr>
          <w:i/>
          <w:iCs/>
          <w:szCs w:val="27"/>
        </w:rPr>
        <w:t>Watson</w:t>
      </w:r>
      <w:r w:rsidRPr="00FF5FF4">
        <w:rPr>
          <w:szCs w:val="27"/>
        </w:rPr>
        <w:t xml:space="preserve"> applies when the trial court fails to expressly reference the special circumstance allegation in the jury trial waiver colloquy or otherwise fails to seek a separate waiver regarding the allegation, as required by statutes construed in </w:t>
      </w:r>
      <w:r w:rsidRPr="00FF5FF4">
        <w:rPr>
          <w:i/>
          <w:iCs/>
          <w:szCs w:val="27"/>
        </w:rPr>
        <w:t>People v. Memro</w:t>
      </w:r>
      <w:r w:rsidRPr="00FF5FF4">
        <w:rPr>
          <w:szCs w:val="27"/>
        </w:rPr>
        <w:t xml:space="preserve"> (1985) 38 Cal.3d 658, 704]; </w:t>
      </w:r>
      <w:r w:rsidRPr="00FF5FF4">
        <w:rPr>
          <w:i/>
          <w:iCs/>
          <w:szCs w:val="27"/>
        </w:rPr>
        <w:t>People v. Anzalone</w:t>
      </w:r>
      <w:r w:rsidRPr="00FF5FF4">
        <w:rPr>
          <w:szCs w:val="27"/>
        </w:rPr>
        <w:t xml:space="preserve"> (2013) 56 Cal.4th 545, 555 [</w:t>
      </w:r>
      <w:r w:rsidRPr="00FF5FF4">
        <w:rPr>
          <w:i/>
          <w:iCs/>
          <w:szCs w:val="27"/>
        </w:rPr>
        <w:t>Watson</w:t>
      </w:r>
      <w:r w:rsidRPr="00FF5FF4">
        <w:rPr>
          <w:szCs w:val="27"/>
        </w:rPr>
        <w:t xml:space="preserve"> applies to trial court’s failure to ask jury foreperson to affirm verdict as required by Pen. Code § 1149]; </w:t>
      </w:r>
      <w:r w:rsidRPr="00FF5FF4">
        <w:rPr>
          <w:i/>
          <w:iCs/>
          <w:szCs w:val="27"/>
        </w:rPr>
        <w:t>People v. Gutierrez</w:t>
      </w:r>
      <w:r w:rsidRPr="00FF5FF4">
        <w:rPr>
          <w:szCs w:val="27"/>
        </w:rPr>
        <w:t xml:space="preserve"> (2009) 45 Cal.4th 789, 828 [</w:t>
      </w:r>
      <w:r w:rsidRPr="00FF5FF4">
        <w:rPr>
          <w:i/>
          <w:iCs/>
          <w:szCs w:val="27"/>
        </w:rPr>
        <w:t>Watson</w:t>
      </w:r>
      <w:r w:rsidRPr="00FF5FF4">
        <w:rPr>
          <w:szCs w:val="27"/>
        </w:rPr>
        <w:t xml:space="preserve"> applies if the trial court erroneously fails to admit evidence that a victim was the initial aggressor]; </w:t>
      </w:r>
      <w:r w:rsidRPr="00FF5FF4">
        <w:rPr>
          <w:i/>
          <w:iCs/>
          <w:szCs w:val="27"/>
        </w:rPr>
        <w:t>People v. Crayton</w:t>
      </w:r>
      <w:r w:rsidRPr="00FF5FF4">
        <w:rPr>
          <w:szCs w:val="27"/>
        </w:rPr>
        <w:t xml:space="preserve"> (2002) 28 Cal.4th 346, 365 [</w:t>
      </w:r>
      <w:r w:rsidRPr="00FF5FF4">
        <w:rPr>
          <w:i/>
          <w:iCs/>
          <w:szCs w:val="27"/>
        </w:rPr>
        <w:t>Watson</w:t>
      </w:r>
      <w:r w:rsidRPr="00FF5FF4">
        <w:rPr>
          <w:szCs w:val="27"/>
        </w:rPr>
        <w:t xml:space="preserve"> applies to whether an unrepresented defendant would have invoked the right to counsel had he or she been readvised of this right at arraignment, as is required under Pen. Code § 987, subd. (a)]; </w:t>
      </w:r>
      <w:r w:rsidRPr="00FF5FF4">
        <w:rPr>
          <w:i/>
          <w:iCs/>
          <w:szCs w:val="27"/>
        </w:rPr>
        <w:t>People v. Breverman</w:t>
      </w:r>
      <w:r w:rsidRPr="00FF5FF4">
        <w:rPr>
          <w:szCs w:val="27"/>
        </w:rPr>
        <w:t xml:space="preserve"> (1998) 19 Cal.4th 142, 148–149 [</w:t>
      </w:r>
      <w:r w:rsidRPr="00FF5FF4">
        <w:rPr>
          <w:i/>
          <w:iCs/>
          <w:szCs w:val="27"/>
        </w:rPr>
        <w:t>Watson</w:t>
      </w:r>
      <w:r w:rsidRPr="00FF5FF4">
        <w:rPr>
          <w:szCs w:val="27"/>
        </w:rPr>
        <w:t xml:space="preserve"> applies if a trial court has not complied with its sua sponte duty to instruct on all lesser necessarily included offenses supported by the evidence].)  </w:t>
      </w:r>
      <w:bookmarkEnd w:id="13"/>
    </w:p>
    <w:p w:rsidR="00FF5FF4" w:rsidRPr="00FF5FF4" w:rsidP="00FF5FF4" w14:paraId="191E549B" w14:textId="77777777">
      <w:pPr>
        <w:ind w:right="-360" w:firstLine="720"/>
        <w:rPr>
          <w:szCs w:val="27"/>
        </w:rPr>
      </w:pPr>
      <w:r w:rsidRPr="00FF5FF4">
        <w:rPr>
          <w:szCs w:val="27"/>
        </w:rPr>
        <w:t xml:space="preserve">For illustration, in instructional error cases like </w:t>
      </w:r>
      <w:r w:rsidRPr="00FF5FF4">
        <w:rPr>
          <w:i/>
          <w:iCs/>
          <w:szCs w:val="27"/>
        </w:rPr>
        <w:t>Breverman</w:t>
      </w:r>
      <w:r w:rsidRPr="00FF5FF4">
        <w:rPr>
          <w:szCs w:val="27"/>
        </w:rPr>
        <w:t xml:space="preserve">, this means that we determine what we think the jury would have concluded had it possessed information that was never imparted to it.  In cases like </w:t>
      </w:r>
      <w:r w:rsidRPr="00FF5FF4">
        <w:rPr>
          <w:i/>
          <w:iCs/>
          <w:szCs w:val="27"/>
        </w:rPr>
        <w:t>Gutierrez</w:t>
      </w:r>
      <w:r w:rsidRPr="00FF5FF4">
        <w:rPr>
          <w:szCs w:val="27"/>
        </w:rPr>
        <w:t xml:space="preserve">, we applied </w:t>
      </w:r>
      <w:r w:rsidRPr="00FF5FF4">
        <w:rPr>
          <w:i/>
          <w:iCs/>
          <w:szCs w:val="27"/>
        </w:rPr>
        <w:t>Watson</w:t>
      </w:r>
      <w:r w:rsidRPr="00FF5FF4">
        <w:rPr>
          <w:szCs w:val="27"/>
        </w:rPr>
        <w:t>, even though the jury never heard evidence in the defendant’s favor that it should have.  Moreover, though this arises in a different context, courts routinely apply a prejudice analysis when an attorney has failed to notify a client of immigration consequences resulting from the plea.  (</w:t>
      </w:r>
      <w:r w:rsidRPr="00FF5FF4">
        <w:rPr>
          <w:i/>
          <w:iCs/>
          <w:szCs w:val="27"/>
        </w:rPr>
        <w:t>People v. Vivar</w:t>
      </w:r>
      <w:r w:rsidRPr="00FF5FF4">
        <w:rPr>
          <w:szCs w:val="27"/>
        </w:rPr>
        <w:t xml:space="preserve"> (2021) 11 Cal.5th 510, 529 (</w:t>
      </w:r>
      <w:r w:rsidRPr="00FF5FF4">
        <w:rPr>
          <w:i/>
          <w:iCs/>
          <w:szCs w:val="27"/>
        </w:rPr>
        <w:t>Vivar</w:t>
      </w:r>
      <w:r w:rsidRPr="00FF5FF4">
        <w:rPr>
          <w:szCs w:val="27"/>
        </w:rPr>
        <w:t>).)  We do not find the error to be structural, but instead require the defendant to affirmatively come forward with evidence that the plea would be different.  (</w:t>
      </w:r>
      <w:r w:rsidRPr="00FF5FF4">
        <w:rPr>
          <w:i/>
          <w:iCs/>
          <w:szCs w:val="27"/>
        </w:rPr>
        <w:t>Ibid</w:t>
      </w:r>
      <w:r w:rsidRPr="00FF5FF4">
        <w:rPr>
          <w:szCs w:val="27"/>
        </w:rPr>
        <w:t>.)  Similarly, though again arising in a different context, we routinely apply a prejudice analysis when foreign nationals are not informed, pursuant to the Vienna Convention, of their right to consular notification within two hours of arrest, booking, or detention.  (</w:t>
      </w:r>
      <w:r w:rsidRPr="00FF5FF4">
        <w:rPr>
          <w:i/>
          <w:iCs/>
          <w:szCs w:val="27"/>
        </w:rPr>
        <w:t>People v. Vargas</w:t>
      </w:r>
      <w:r w:rsidRPr="00FF5FF4">
        <w:rPr>
          <w:szCs w:val="27"/>
        </w:rPr>
        <w:t xml:space="preserve"> (2020) 9 Cal.5th 793, 832 (</w:t>
      </w:r>
      <w:r w:rsidRPr="00FF5FF4">
        <w:rPr>
          <w:i/>
          <w:iCs/>
          <w:szCs w:val="27"/>
        </w:rPr>
        <w:t>Vargas</w:t>
      </w:r>
      <w:r w:rsidRPr="00FF5FF4">
        <w:rPr>
          <w:szCs w:val="27"/>
        </w:rPr>
        <w:t>).)   </w:t>
      </w:r>
    </w:p>
    <w:p w:rsidR="00FF5FF4" w:rsidRPr="00FF5FF4" w:rsidP="00FF5FF4" w14:paraId="3BA08B8F" w14:textId="77777777">
      <w:pPr>
        <w:ind w:right="-360" w:firstLine="720"/>
        <w:rPr>
          <w:szCs w:val="27"/>
        </w:rPr>
      </w:pPr>
      <w:r w:rsidRPr="00FF5FF4">
        <w:rPr>
          <w:szCs w:val="27"/>
        </w:rPr>
        <w:t xml:space="preserve">While the majority asserts that the “reason to believe” rule is flawed because it “effectively shifts the obligation to conduct the inquiry away from child welfare agencies and courts to the parents” (maj. opn., </w:t>
      </w:r>
      <w:r w:rsidRPr="00FF5FF4">
        <w:rPr>
          <w:i/>
          <w:iCs/>
          <w:szCs w:val="27"/>
        </w:rPr>
        <w:t>ante</w:t>
      </w:r>
      <w:r w:rsidRPr="00FF5FF4">
        <w:rPr>
          <w:szCs w:val="27"/>
        </w:rPr>
        <w:t xml:space="preserve">, at p. 35), this is how </w:t>
      </w:r>
      <w:r w:rsidRPr="00FF5FF4">
        <w:rPr>
          <w:i/>
          <w:iCs/>
          <w:szCs w:val="27"/>
        </w:rPr>
        <w:t>Watson</w:t>
      </w:r>
      <w:r w:rsidRPr="00FF5FF4">
        <w:rPr>
          <w:szCs w:val="27"/>
        </w:rPr>
        <w:t xml:space="preserve"> works:  even in the face of a blatant and admitted error by a state actor that violated the party’s rights, the party still must show that the error made a difference in the outcome.  And, in many of these cases requiring a showing of prejudicial error, the party relies on evidence in the record or actually attempts to come forward with new evidence to show prejudice.  (See </w:t>
      </w:r>
      <w:r w:rsidRPr="00FF5FF4">
        <w:rPr>
          <w:i/>
          <w:iCs/>
          <w:szCs w:val="27"/>
        </w:rPr>
        <w:t>Vivar</w:t>
      </w:r>
      <w:r w:rsidRPr="00FF5FF4">
        <w:rPr>
          <w:szCs w:val="27"/>
        </w:rPr>
        <w:t>,</w:t>
      </w:r>
      <w:r w:rsidRPr="00FF5FF4">
        <w:rPr>
          <w:i/>
          <w:iCs/>
          <w:szCs w:val="27"/>
        </w:rPr>
        <w:t xml:space="preserve"> supra</w:t>
      </w:r>
      <w:r w:rsidRPr="00FF5FF4">
        <w:rPr>
          <w:szCs w:val="27"/>
        </w:rPr>
        <w:t xml:space="preserve">, 11 Cal.5th at p. 530 [“In a declaration submitted with his [Penal Code] section 1473.7 motion, Vivar claims he would never have entered this plea had he understood that it would require his deportation”]; </w:t>
      </w:r>
      <w:r w:rsidRPr="00FF5FF4">
        <w:rPr>
          <w:i/>
          <w:iCs/>
          <w:szCs w:val="27"/>
        </w:rPr>
        <w:t>Vargas</w:t>
      </w:r>
      <w:r w:rsidRPr="00FF5FF4">
        <w:rPr>
          <w:szCs w:val="27"/>
        </w:rPr>
        <w:t>,</w:t>
      </w:r>
      <w:r w:rsidRPr="00FF5FF4">
        <w:rPr>
          <w:i/>
          <w:iCs/>
          <w:szCs w:val="27"/>
        </w:rPr>
        <w:t xml:space="preserve"> supra</w:t>
      </w:r>
      <w:r w:rsidRPr="00FF5FF4">
        <w:rPr>
          <w:szCs w:val="27"/>
        </w:rPr>
        <w:t xml:space="preserve">, 9 Cal.5th at p. 834 [finding defendant had not demonstrated prejudice on a claim, based on evidence presented in a new trial motion, that he was denied due process of law for consular notification violations].)  I suppose we could have quite easily concluded in countless of these cases that automatic reversal was required because the statute that was violated “ ‘broadly imposes’ ” a duty on the state actor (maj. opn., </w:t>
      </w:r>
      <w:r w:rsidRPr="00FF5FF4">
        <w:rPr>
          <w:i/>
          <w:iCs/>
          <w:szCs w:val="27"/>
        </w:rPr>
        <w:t>ante</w:t>
      </w:r>
      <w:r w:rsidRPr="00FF5FF4">
        <w:rPr>
          <w:szCs w:val="27"/>
        </w:rPr>
        <w:t>, at p. 23); we could have highlighted that the burden to act was imposed on the state and not upon the party (</w:t>
      </w:r>
      <w:r w:rsidRPr="00FF5FF4">
        <w:rPr>
          <w:i/>
          <w:iCs/>
          <w:szCs w:val="27"/>
        </w:rPr>
        <w:t>ibid</w:t>
      </w:r>
      <w:r w:rsidRPr="00FF5FF4">
        <w:rPr>
          <w:szCs w:val="27"/>
        </w:rPr>
        <w:t>.); we could have noted that requiring compliance with the statute that was violated is “ ‘foundational to fulfilling [its] purpose’ ” (</w:t>
      </w:r>
      <w:r w:rsidRPr="00FF5FF4">
        <w:rPr>
          <w:i/>
          <w:iCs/>
          <w:szCs w:val="27"/>
        </w:rPr>
        <w:t>id</w:t>
      </w:r>
      <w:r w:rsidRPr="00FF5FF4">
        <w:rPr>
          <w:szCs w:val="27"/>
        </w:rPr>
        <w:t>. at p. 24); and we could have cited to implementing regulations that stated that compliance with the statute is “ ‘critically important’ ” (</w:t>
      </w:r>
      <w:r w:rsidRPr="00FF5FF4">
        <w:rPr>
          <w:i/>
          <w:iCs/>
          <w:szCs w:val="27"/>
        </w:rPr>
        <w:t>id</w:t>
      </w:r>
      <w:r w:rsidRPr="00FF5FF4">
        <w:rPr>
          <w:szCs w:val="27"/>
        </w:rPr>
        <w:t>. at p. 26).  But that is not what our Constitution requires.  (See Cal. Const., art. VI, § 13 [“No judgment shall be set aside . . . unless, after an examination of the entire cause, including the evidence, the court shall be of the opinion that the error complained of has resulted in a miscarriage of justice”].)  Where a state law has been violated, article VI, section 13 makes clear that we do not automatically reverse the judgment, but that we instead ask whether “it is reasonably probable that a result more favorable to the appealing party would have been reached in the absence of the error.”  (</w:t>
      </w:r>
      <w:r w:rsidRPr="00FF5FF4">
        <w:rPr>
          <w:i/>
          <w:iCs/>
          <w:szCs w:val="27"/>
        </w:rPr>
        <w:t>Watson</w:t>
      </w:r>
      <w:r w:rsidRPr="00FF5FF4">
        <w:rPr>
          <w:szCs w:val="27"/>
        </w:rPr>
        <w:t xml:space="preserve">, </w:t>
      </w:r>
      <w:r w:rsidRPr="00FF5FF4">
        <w:rPr>
          <w:i/>
          <w:iCs/>
          <w:szCs w:val="27"/>
        </w:rPr>
        <w:t>supra</w:t>
      </w:r>
      <w:r w:rsidRPr="00FF5FF4">
        <w:rPr>
          <w:szCs w:val="27"/>
        </w:rPr>
        <w:t xml:space="preserve">, 46 Cal.2d 818 at p. 836; see Cal. Const., art. VI, § 13.)  In this way, the majority’s automatic conditional reversal rule constitutes a significant departure from our precedent. </w:t>
      </w:r>
    </w:p>
    <w:p w:rsidR="00FF5FF4" w:rsidRPr="00FF5FF4" w:rsidP="00FF5FF4" w14:paraId="1916D135" w14:textId="77777777">
      <w:pPr>
        <w:ind w:right="-360" w:firstLine="720"/>
        <w:rPr>
          <w:szCs w:val="27"/>
        </w:rPr>
      </w:pPr>
      <w:r w:rsidRPr="00FF5FF4">
        <w:rPr>
          <w:szCs w:val="27"/>
        </w:rPr>
        <w:t xml:space="preserve">The majority attempts to distinguish these cases that require a showing of prejudice by noting that “[n]one of the cases cited in the dissent allowed the introduction of new evidence on appeal to determine whether the asserted error was prejudicial.”  (Maj. opn., </w:t>
      </w:r>
      <w:r w:rsidRPr="00FF5FF4">
        <w:rPr>
          <w:i/>
          <w:iCs/>
          <w:szCs w:val="27"/>
        </w:rPr>
        <w:t>ante</w:t>
      </w:r>
      <w:r w:rsidRPr="00FF5FF4">
        <w:rPr>
          <w:szCs w:val="27"/>
        </w:rPr>
        <w:t xml:space="preserve">, at p. 29.)  First, it is noteworthy that, in some of these cases, though the evidence was not presented for the first time on appeal, the court did use evidence that was submitted only </w:t>
      </w:r>
      <w:r w:rsidRPr="00FF5FF4">
        <w:rPr>
          <w:i/>
          <w:iCs/>
          <w:szCs w:val="27"/>
        </w:rPr>
        <w:t>after</w:t>
      </w:r>
      <w:r w:rsidRPr="00FF5FF4">
        <w:rPr>
          <w:szCs w:val="27"/>
        </w:rPr>
        <w:t xml:space="preserve"> the trial had concluded in order to determine whether there was prejudicial error.  (See </w:t>
      </w:r>
      <w:r w:rsidRPr="00FF5FF4">
        <w:rPr>
          <w:i/>
          <w:iCs/>
          <w:szCs w:val="27"/>
        </w:rPr>
        <w:t>Vivar</w:t>
      </w:r>
      <w:r w:rsidRPr="00FF5FF4">
        <w:rPr>
          <w:szCs w:val="27"/>
        </w:rPr>
        <w:t>,</w:t>
      </w:r>
      <w:r w:rsidRPr="00FF5FF4">
        <w:rPr>
          <w:i/>
          <w:iCs/>
          <w:szCs w:val="27"/>
        </w:rPr>
        <w:t xml:space="preserve"> supra</w:t>
      </w:r>
      <w:r w:rsidRPr="00FF5FF4">
        <w:rPr>
          <w:szCs w:val="27"/>
        </w:rPr>
        <w:t xml:space="preserve">, 11 Cal.5th at p. 530 [relying upon a declaration submitted with the Pen. Code, § 1473.7 motion]; </w:t>
      </w:r>
      <w:r w:rsidRPr="00FF5FF4">
        <w:rPr>
          <w:i/>
          <w:iCs/>
          <w:szCs w:val="27"/>
        </w:rPr>
        <w:t>Vargas</w:t>
      </w:r>
      <w:r w:rsidRPr="00FF5FF4">
        <w:rPr>
          <w:szCs w:val="27"/>
        </w:rPr>
        <w:t>,</w:t>
      </w:r>
      <w:r w:rsidRPr="00FF5FF4">
        <w:rPr>
          <w:i/>
          <w:iCs/>
          <w:szCs w:val="27"/>
        </w:rPr>
        <w:t xml:space="preserve"> supra</w:t>
      </w:r>
      <w:r w:rsidRPr="00FF5FF4">
        <w:rPr>
          <w:szCs w:val="27"/>
        </w:rPr>
        <w:t xml:space="preserve">, 9 Cal.5th at p. 834 [relying upon evidence presented in a new trial motion].)  Second, in most cases applying </w:t>
      </w:r>
      <w:r w:rsidRPr="00FF5FF4">
        <w:rPr>
          <w:i/>
          <w:iCs/>
          <w:szCs w:val="27"/>
        </w:rPr>
        <w:t>Watson</w:t>
      </w:r>
      <w:r w:rsidRPr="00FF5FF4">
        <w:rPr>
          <w:szCs w:val="27"/>
        </w:rPr>
        <w:t xml:space="preserve">, we assess prejudice without even permitting the petitioner to submit additional evidence.  I do not understand how affording the petitioner the opportunity to produce postjudgment evidence makes the </w:t>
      </w:r>
      <w:r w:rsidRPr="00FF5FF4">
        <w:rPr>
          <w:i/>
          <w:iCs/>
          <w:szCs w:val="27"/>
        </w:rPr>
        <w:t>Watson</w:t>
      </w:r>
      <w:r w:rsidRPr="00FF5FF4">
        <w:rPr>
          <w:szCs w:val="27"/>
        </w:rPr>
        <w:t xml:space="preserve"> standard </w:t>
      </w:r>
      <w:r w:rsidRPr="00FF5FF4">
        <w:rPr>
          <w:i/>
          <w:iCs/>
          <w:szCs w:val="27"/>
        </w:rPr>
        <w:t>less</w:t>
      </w:r>
      <w:r w:rsidRPr="00FF5FF4">
        <w:rPr>
          <w:szCs w:val="27"/>
        </w:rPr>
        <w:t xml:space="preserve"> appropriate here.  If anything, allowing a petitioner the right to introduce postjudgment evidence that might support petitioner’s position — and requiring the petitioner make only a minimal showing in order to obtain a remand — makes this case an even better candidate for </w:t>
      </w:r>
      <w:r w:rsidRPr="00FF5FF4">
        <w:rPr>
          <w:i/>
          <w:iCs/>
          <w:szCs w:val="27"/>
        </w:rPr>
        <w:t>Watson</w:t>
      </w:r>
      <w:r w:rsidRPr="00FF5FF4">
        <w:rPr>
          <w:szCs w:val="27"/>
        </w:rPr>
        <w:t xml:space="preserve"> review than most.  Third, we are not just considering the application of </w:t>
      </w:r>
      <w:r w:rsidRPr="00FF5FF4">
        <w:rPr>
          <w:i/>
          <w:iCs/>
          <w:szCs w:val="27"/>
        </w:rPr>
        <w:t>Watson</w:t>
      </w:r>
      <w:r w:rsidRPr="00FF5FF4">
        <w:rPr>
          <w:szCs w:val="27"/>
        </w:rPr>
        <w:t xml:space="preserve">, but the California Constitution as well.  The majority does not plausibly explain why the mere possibility that an appellate court could invoke Code of Civil Procedure section 909 means that we can now set aside judgments without applying a prejudice analysis.  (Cal. Const., art. VI, § 13.)  </w:t>
      </w:r>
    </w:p>
    <w:p w:rsidR="00FF5FF4" w:rsidRPr="00FF5FF4" w:rsidP="00FF5FF4" w14:paraId="1B649315" w14:textId="77777777">
      <w:pPr>
        <w:ind w:right="-360" w:firstLine="720"/>
        <w:rPr>
          <w:szCs w:val="27"/>
        </w:rPr>
      </w:pPr>
      <w:r w:rsidRPr="00FF5FF4">
        <w:rPr>
          <w:szCs w:val="27"/>
        </w:rPr>
        <w:t>The majority’s conclusion is all the more confounding because we have routinely rejected claims that other state statutory violations in dependency proceedings constitute structural error, explaining that the interest in providing an expedited proceeding to resolve the child’s status without further delay “would be thwarted if the proceeding had to be redone without any showing the new proceeding would have a different outcome.”  (</w:t>
      </w:r>
      <w:r w:rsidRPr="00FF5FF4">
        <w:rPr>
          <w:i/>
          <w:iCs/>
          <w:szCs w:val="27"/>
        </w:rPr>
        <w:t>Jesusa V.</w:t>
      </w:r>
      <w:r w:rsidRPr="00FF5FF4">
        <w:rPr>
          <w:szCs w:val="27"/>
        </w:rPr>
        <w:t xml:space="preserve">, </w:t>
      </w:r>
      <w:r w:rsidRPr="00FF5FF4">
        <w:rPr>
          <w:i/>
          <w:iCs/>
          <w:szCs w:val="27"/>
        </w:rPr>
        <w:t>supra</w:t>
      </w:r>
      <w:r w:rsidRPr="00FF5FF4">
        <w:rPr>
          <w:szCs w:val="27"/>
        </w:rPr>
        <w:t>, 32 Cal.4th at p. 625.)  We stated that “the price that would be paid [by treating error as structural], in the form of needless reversals of dependency judgments, is unacceptably high in light of the strong public interest in prompt resolution of these cases so that the children may receive loving and secure home environments as soon as reasonably possible.”  (</w:t>
      </w:r>
      <w:r w:rsidRPr="00FF5FF4">
        <w:rPr>
          <w:i/>
          <w:iCs/>
          <w:szCs w:val="27"/>
        </w:rPr>
        <w:t>In re James F</w:t>
      </w:r>
      <w:r w:rsidRPr="00FF5FF4">
        <w:rPr>
          <w:szCs w:val="27"/>
        </w:rPr>
        <w:t xml:space="preserve">. (2008) 42 Cal.4th 901, 918; see also </w:t>
      </w:r>
      <w:r w:rsidRPr="00FF5FF4">
        <w:rPr>
          <w:i/>
          <w:iCs/>
          <w:szCs w:val="27"/>
        </w:rPr>
        <w:t xml:space="preserve">In re A.R. </w:t>
      </w:r>
      <w:r w:rsidRPr="00FF5FF4">
        <w:rPr>
          <w:szCs w:val="27"/>
        </w:rPr>
        <w:t>(2021) 11 Cal.5th 234, 249</w:t>
      </w:r>
      <w:r w:rsidRPr="00FF5FF4">
        <w:rPr>
          <w:i/>
          <w:iCs/>
          <w:szCs w:val="27"/>
        </w:rPr>
        <w:t xml:space="preserve"> </w:t>
      </w:r>
      <w:r w:rsidRPr="00FF5FF4">
        <w:rPr>
          <w:szCs w:val="27"/>
        </w:rPr>
        <w:t xml:space="preserve">[“We emphatically agree that dependent children have a critical interest in avoiding unnecessary delays to their long-term placement”]; </w:t>
      </w:r>
      <w:r w:rsidRPr="00FF5FF4">
        <w:rPr>
          <w:i/>
          <w:iCs/>
          <w:szCs w:val="27"/>
        </w:rPr>
        <w:t>Christopher L.</w:t>
      </w:r>
      <w:r w:rsidRPr="00FF5FF4">
        <w:rPr>
          <w:szCs w:val="27"/>
        </w:rPr>
        <w:t xml:space="preserve">, </w:t>
      </w:r>
      <w:r w:rsidRPr="00FF5FF4">
        <w:rPr>
          <w:i/>
          <w:iCs/>
          <w:szCs w:val="27"/>
        </w:rPr>
        <w:t>supra</w:t>
      </w:r>
      <w:r w:rsidRPr="00FF5FF4">
        <w:rPr>
          <w:szCs w:val="27"/>
        </w:rPr>
        <w:t xml:space="preserve">, 12 Cal.5th at p. 1081 [“[I]n the dependency context, automatic reversal for errors that do not invariably lead to fundamental unfairness would exact a particularly steep cost.  ‘There is little that can be as detrimental to a child’s sound development as uncertainty over whether he is to remain in his current “home,” under the care of his parents or foster parents, especially when such uncertainty is prolonged’ ”].)   </w:t>
      </w:r>
    </w:p>
    <w:p w:rsidR="00FF5FF4" w:rsidRPr="00FF5FF4" w:rsidP="00FF5FF4" w14:paraId="7C6B4246" w14:textId="77777777">
      <w:pPr>
        <w:ind w:right="-360" w:firstLine="720"/>
        <w:rPr>
          <w:szCs w:val="27"/>
        </w:rPr>
      </w:pPr>
      <w:r w:rsidRPr="00FF5FF4">
        <w:rPr>
          <w:szCs w:val="27"/>
        </w:rPr>
        <w:t xml:space="preserve">As we said in </w:t>
      </w:r>
      <w:r w:rsidRPr="00FF5FF4">
        <w:rPr>
          <w:i/>
          <w:iCs/>
          <w:szCs w:val="27"/>
        </w:rPr>
        <w:t>Celine R.</w:t>
      </w:r>
      <w:r w:rsidRPr="00FF5FF4">
        <w:rPr>
          <w:szCs w:val="27"/>
        </w:rPr>
        <w:t xml:space="preserve"> in the context of a failure to appoint separate counsel for siblings in an adoption proceeding: “We add another reason criminal cases [and per se reversal] are inapt.  In a criminal case, reversal of a criminal judgment is virtually always in the defendant’s best interest.  The situation in a dependency case is often different.  Reversal of an order of adoption, for example, might be </w:t>
      </w:r>
      <w:r w:rsidRPr="00FF5FF4">
        <w:rPr>
          <w:i/>
          <w:iCs/>
          <w:szCs w:val="27"/>
        </w:rPr>
        <w:t>contrary</w:t>
      </w:r>
      <w:r w:rsidRPr="00FF5FF4">
        <w:rPr>
          <w:szCs w:val="27"/>
        </w:rPr>
        <w:t xml:space="preserve"> to the child’s best interest because it would delay and might even prevent the adoption. . . .  The delay an appellate reversal causes might be contrary to, rather than in, the child’s best interests.  Thus, a reviewing court should not mechanically set aside an adoption order because of error in not giving that child separate counsel; the error must be prejudicial under the proper standard before reversal is appropriate.”  (</w:t>
      </w:r>
      <w:r w:rsidRPr="00FF5FF4">
        <w:rPr>
          <w:i/>
          <w:iCs/>
          <w:szCs w:val="27"/>
        </w:rPr>
        <w:t>Celine R.</w:t>
      </w:r>
      <w:r w:rsidRPr="00FF5FF4">
        <w:rPr>
          <w:szCs w:val="27"/>
        </w:rPr>
        <w:t xml:space="preserve">, </w:t>
      </w:r>
      <w:r w:rsidRPr="00FF5FF4">
        <w:rPr>
          <w:i/>
          <w:iCs/>
          <w:szCs w:val="27"/>
        </w:rPr>
        <w:t>supra</w:t>
      </w:r>
      <w:r w:rsidRPr="00FF5FF4">
        <w:rPr>
          <w:szCs w:val="27"/>
        </w:rPr>
        <w:t xml:space="preserve">, 31 Cal.4th at p. 59, original italics.)   The majority does not explain its departure from our numerous decisions reaffirming that </w:t>
      </w:r>
      <w:r w:rsidRPr="00FF5FF4">
        <w:rPr>
          <w:i/>
          <w:iCs/>
          <w:szCs w:val="27"/>
        </w:rPr>
        <w:t>Watson</w:t>
      </w:r>
      <w:r w:rsidRPr="00FF5FF4">
        <w:rPr>
          <w:szCs w:val="27"/>
        </w:rPr>
        <w:t>’s standard of review applies to dependency proceedings.</w:t>
      </w:r>
    </w:p>
    <w:p w:rsidR="00FF5FF4" w:rsidRPr="00FF5FF4" w:rsidP="00FF5FF4" w14:paraId="39DA79BB" w14:textId="77777777">
      <w:pPr>
        <w:ind w:right="-360" w:firstLine="720"/>
        <w:rPr>
          <w:szCs w:val="27"/>
        </w:rPr>
      </w:pPr>
      <w:r w:rsidRPr="00FF5FF4">
        <w:rPr>
          <w:szCs w:val="27"/>
        </w:rPr>
        <w:t xml:space="preserve">The majority also justifies its automatic reversal rule because ICWA protects the rights of </w:t>
      </w:r>
      <w:r w:rsidRPr="00FF5FF4">
        <w:rPr>
          <w:i/>
          <w:iCs/>
          <w:szCs w:val="27"/>
        </w:rPr>
        <w:t>non</w:t>
      </w:r>
      <w:r w:rsidRPr="00FF5FF4">
        <w:rPr>
          <w:szCs w:val="27"/>
        </w:rPr>
        <w:t xml:space="preserve">parties, i.e., the tribe.  (Maj. opn., </w:t>
      </w:r>
      <w:r w:rsidRPr="00FF5FF4">
        <w:rPr>
          <w:i/>
          <w:iCs/>
          <w:szCs w:val="27"/>
        </w:rPr>
        <w:t>ante</w:t>
      </w:r>
      <w:r w:rsidRPr="00FF5FF4">
        <w:rPr>
          <w:szCs w:val="27"/>
        </w:rPr>
        <w:t xml:space="preserve">, at p. 24.)  But the entire scheme at play here is structured so that other entities — the parents, the Department, and the court — seek to vindicate the rights of the tribe through adequate inquiry.  We do not change any of the other applicable rules, e.g., what evidence is admissible, the burden of proof, the relevant statutory deadlines, simply because the rights of a third party (the tribe) may be implicated.  The rules are what the rules are.  It therefore seems very strange to conclude that though </w:t>
      </w:r>
      <w:r w:rsidRPr="00FF5FF4">
        <w:rPr>
          <w:i/>
          <w:iCs/>
          <w:szCs w:val="27"/>
        </w:rPr>
        <w:t>Watson</w:t>
      </w:r>
      <w:r w:rsidRPr="00FF5FF4">
        <w:rPr>
          <w:szCs w:val="27"/>
        </w:rPr>
        <w:t xml:space="preserve"> has typically provided the standard of review for state law error for almost 70 years, we will dispense with </w:t>
      </w:r>
      <w:r w:rsidRPr="00FF5FF4">
        <w:rPr>
          <w:i/>
          <w:iCs/>
          <w:szCs w:val="27"/>
        </w:rPr>
        <w:t>Watson</w:t>
      </w:r>
      <w:r w:rsidRPr="00FF5FF4">
        <w:rPr>
          <w:szCs w:val="27"/>
        </w:rPr>
        <w:t xml:space="preserve"> because a Cal-ICWA violation might implicate the rights of a non-party.  This is especially odd since the </w:t>
      </w:r>
      <w:r w:rsidRPr="00FF5FF4">
        <w:rPr>
          <w:i/>
          <w:iCs/>
          <w:szCs w:val="27"/>
        </w:rPr>
        <w:t>Watson</w:t>
      </w:r>
      <w:r w:rsidRPr="00FF5FF4">
        <w:rPr>
          <w:szCs w:val="27"/>
        </w:rPr>
        <w:t xml:space="preserve"> standard is routinely applied when the rights of a criminal defendant have been violated.  Are we prepared to hold that where the statutory rights of a criminal defendant are violated, harmless error review is appropriate, but where the rights of a third-party in a non-criminal proceeding are implicated, then automatic reversal is required?  Apparently so.  </w:t>
      </w:r>
    </w:p>
    <w:p w:rsidR="00FF5FF4" w:rsidRPr="00FF5FF4" w:rsidP="00FF5FF4" w14:paraId="0D7CCFFB" w14:textId="77777777">
      <w:pPr>
        <w:ind w:right="-360" w:firstLine="720"/>
        <w:rPr>
          <w:szCs w:val="27"/>
        </w:rPr>
      </w:pPr>
      <w:r w:rsidRPr="00FF5FF4">
        <w:rPr>
          <w:szCs w:val="27"/>
        </w:rPr>
        <w:t xml:space="preserve">The majority concedes that it is not “concerned with the outcome” of the inquiry, i.e., whether the child is or may be an Indian child.  (Maj. opn., </w:t>
      </w:r>
      <w:r w:rsidRPr="00FF5FF4">
        <w:rPr>
          <w:i/>
          <w:iCs/>
          <w:szCs w:val="27"/>
        </w:rPr>
        <w:t>ante</w:t>
      </w:r>
      <w:r w:rsidRPr="00FF5FF4">
        <w:rPr>
          <w:szCs w:val="27"/>
        </w:rPr>
        <w:t xml:space="preserve">, at p. 32; see also </w:t>
      </w:r>
      <w:r w:rsidRPr="00FF5FF4">
        <w:rPr>
          <w:i/>
          <w:iCs/>
          <w:szCs w:val="27"/>
        </w:rPr>
        <w:t>id</w:t>
      </w:r>
      <w:r w:rsidRPr="00FF5FF4">
        <w:rPr>
          <w:szCs w:val="27"/>
        </w:rPr>
        <w:t xml:space="preserve">. at pp. 38–39.)  However, the outcome of the inquiry goes to the heart of ICWA, which, as the majority also emphasizes, is designed “ ‘to protect the best interests of Indian children and to promote the stability and security of Indian tribes and families by the establishment of minimum Federal standards for the removal of Indian children from their families and the placement of such children in foster or adoptive homes which will reflect the unique values of Indian culture . . . .’ ”  (Maj. opn., </w:t>
      </w:r>
      <w:r w:rsidRPr="00FF5FF4">
        <w:rPr>
          <w:i/>
          <w:iCs/>
          <w:szCs w:val="27"/>
        </w:rPr>
        <w:t>ante</w:t>
      </w:r>
      <w:r w:rsidRPr="00FF5FF4">
        <w:rPr>
          <w:szCs w:val="27"/>
        </w:rPr>
        <w:t>, at p. 7, quoting 25 U.S.C. § 1902.)  Determining whether the child is or may be an Indian child is a critical step to protecting “ ‘the best interests of Indian children’ ” and to promoting “ ‘the stability and security of Indian tribes and families.’ ”  (</w:t>
      </w:r>
      <w:r w:rsidRPr="00FF5FF4">
        <w:rPr>
          <w:i/>
          <w:iCs/>
          <w:szCs w:val="27"/>
        </w:rPr>
        <w:t>Ibid</w:t>
      </w:r>
      <w:r w:rsidRPr="00FF5FF4">
        <w:rPr>
          <w:szCs w:val="27"/>
        </w:rPr>
        <w:t>.)</w:t>
      </w:r>
    </w:p>
    <w:p w:rsidR="00FF5FF4" w:rsidRPr="00FF5FF4" w:rsidP="00FF5FF4" w14:paraId="084389E2" w14:textId="77777777">
      <w:pPr>
        <w:ind w:right="-360" w:firstLine="720"/>
        <w:rPr>
          <w:szCs w:val="27"/>
        </w:rPr>
      </w:pPr>
      <w:r w:rsidRPr="00FF5FF4">
        <w:rPr>
          <w:szCs w:val="27"/>
        </w:rPr>
        <w:t>Though the majority resists requiring parents to affirmatively come forward with information on appeal involving their Indian ancestry, the entire ICWA structure places affirmative requirements upon parents to assist the court in establishing Indian ancestry.  “</w:t>
      </w:r>
      <w:r w:rsidRPr="00FF5FF4">
        <w:rPr>
          <w:szCs w:val="27"/>
          <w:shd w:val="clear" w:color="auto" w:fill="FEFEFE"/>
        </w:rPr>
        <w:t xml:space="preserve">Because early identification of Indian children is critical to ICWA’s proper implementation, we believe the statute must be interpreted in a way that requires </w:t>
      </w:r>
      <w:r w:rsidRPr="00FF5FF4">
        <w:rPr>
          <w:i/>
          <w:iCs/>
          <w:szCs w:val="27"/>
          <w:shd w:val="clear" w:color="auto" w:fill="FEFEFE"/>
        </w:rPr>
        <w:t>all</w:t>
      </w:r>
      <w:r w:rsidRPr="00FF5FF4">
        <w:rPr>
          <w:szCs w:val="27"/>
          <w:shd w:val="clear" w:color="auto" w:fill="FEFEFE"/>
        </w:rPr>
        <w:t xml:space="preserve"> participants — child protective agencies, the parents, all counsel, and the juvenile courts — to work together to determine whether children are Indian children.”  (</w:t>
      </w:r>
      <w:r w:rsidRPr="00FF5FF4">
        <w:rPr>
          <w:i/>
          <w:iCs/>
          <w:szCs w:val="27"/>
          <w:shd w:val="clear" w:color="auto" w:fill="FEFEFE"/>
        </w:rPr>
        <w:t xml:space="preserve">In re </w:t>
      </w:r>
      <w:r w:rsidRPr="00FF5FF4">
        <w:rPr>
          <w:i/>
          <w:iCs/>
          <w:szCs w:val="27"/>
        </w:rPr>
        <w:t xml:space="preserve">Ezequiel G., supra, </w:t>
      </w:r>
      <w:r w:rsidRPr="00FF5FF4">
        <w:rPr>
          <w:szCs w:val="27"/>
        </w:rPr>
        <w:t>81 Cal.App.5th at p. 1002 (</w:t>
      </w:r>
      <w:r w:rsidRPr="00FF5FF4">
        <w:rPr>
          <w:i/>
          <w:iCs/>
          <w:szCs w:val="27"/>
        </w:rPr>
        <w:t>Ezequiel G.</w:t>
      </w:r>
      <w:r w:rsidRPr="00FF5FF4">
        <w:rPr>
          <w:szCs w:val="27"/>
        </w:rPr>
        <w:t>).)  “[P]arents are required at their first appearances to fill out ICWA-020 forms in which they declare their Indian status under penalty of perjury, and they are instructed that if they get new information, they must ‘let [their] attorney, all the attorneys on the case, and the social worker . . . know immediately.’ ”  (</w:t>
      </w:r>
      <w:r w:rsidRPr="00FF5FF4">
        <w:rPr>
          <w:i/>
          <w:iCs/>
          <w:szCs w:val="27"/>
        </w:rPr>
        <w:t xml:space="preserve">Id. </w:t>
      </w:r>
      <w:r w:rsidRPr="00FF5FF4">
        <w:rPr>
          <w:szCs w:val="27"/>
        </w:rPr>
        <w:t xml:space="preserve">at p. 1003, citing Judicial Council of Cal., Form ICWA-020 [rev. Mar. 25, 2020].)  Cal-ICWA also requires parents, per court instruction, to notify the court if they receive subsequent information that provides a reason to know the child is an Indian child.  (Welf. &amp; Inst. Code, sec. 224.2, subd. (c).)  Simply put, “requiring </w:t>
      </w:r>
      <w:r w:rsidRPr="00FF5FF4">
        <w:rPr>
          <w:i/>
          <w:iCs/>
          <w:szCs w:val="27"/>
        </w:rPr>
        <w:t>all parties</w:t>
      </w:r>
      <w:r w:rsidRPr="00FF5FF4">
        <w:rPr>
          <w:szCs w:val="27"/>
        </w:rPr>
        <w:t xml:space="preserve"> to actively participate in the ICWA inquiry is critical to ensuring that an adequate ICWA investigation is conducted and Indian children are promptly identified at the earliest possible stages of dependency cases.”  (</w:t>
      </w:r>
      <w:r w:rsidRPr="00FF5FF4">
        <w:rPr>
          <w:i/>
          <w:iCs/>
          <w:szCs w:val="27"/>
        </w:rPr>
        <w:t>Ezequiel G.</w:t>
      </w:r>
      <w:r w:rsidRPr="00FF5FF4">
        <w:rPr>
          <w:szCs w:val="27"/>
        </w:rPr>
        <w:t>, at p. 1003, italics added.)  Mandating conditional reversal based on a parent’s claim of Cal-ICWA inquiry errors, raised for the first time on appeal and without requiring the parent to present any evidence that the child is or may be an Indian child, “has precisely the opposite effect.”  (</w:t>
      </w:r>
      <w:r w:rsidRPr="00FF5FF4">
        <w:rPr>
          <w:i/>
          <w:iCs/>
          <w:szCs w:val="27"/>
        </w:rPr>
        <w:t>Ibid.</w:t>
      </w:r>
      <w:r w:rsidRPr="00FF5FF4">
        <w:rPr>
          <w:szCs w:val="27"/>
        </w:rPr>
        <w:t xml:space="preserve">)      </w:t>
      </w:r>
    </w:p>
    <w:p w:rsidR="00FF5FF4" w:rsidRPr="00FF5FF4" w:rsidP="00FF5FF4" w14:paraId="220D5156" w14:textId="77777777">
      <w:pPr>
        <w:ind w:firstLine="720"/>
        <w:rPr>
          <w:szCs w:val="27"/>
        </w:rPr>
      </w:pPr>
      <w:r w:rsidRPr="00FF5FF4">
        <w:rPr>
          <w:szCs w:val="27"/>
        </w:rPr>
        <w:t xml:space="preserve">The majority also offers a series of speculative reasons for rejecting the “reason to believe” rule: the parents’ knowledge of their ancestry may be hampered by translation issues from Indian languages to English (maj. opn., </w:t>
      </w:r>
      <w:r w:rsidRPr="00FF5FF4">
        <w:rPr>
          <w:i/>
          <w:iCs/>
          <w:szCs w:val="27"/>
        </w:rPr>
        <w:t>ante</w:t>
      </w:r>
      <w:r w:rsidRPr="00FF5FF4">
        <w:rPr>
          <w:szCs w:val="27"/>
        </w:rPr>
        <w:t>, at p. 36); parents may be fearful to self-identify and social workers may be ill-equipped to address these fears (</w:t>
      </w:r>
      <w:r w:rsidRPr="00FF5FF4">
        <w:rPr>
          <w:i/>
          <w:iCs/>
          <w:szCs w:val="27"/>
        </w:rPr>
        <w:t>id</w:t>
      </w:r>
      <w:r w:rsidRPr="00FF5FF4">
        <w:rPr>
          <w:szCs w:val="27"/>
        </w:rPr>
        <w:t>. at p. 37); the parents may view the tribe as competition for custody (</w:t>
      </w:r>
      <w:r w:rsidRPr="00FF5FF4">
        <w:rPr>
          <w:i/>
          <w:iCs/>
          <w:szCs w:val="27"/>
        </w:rPr>
        <w:t>ibid</w:t>
      </w:r>
      <w:r w:rsidRPr="00FF5FF4">
        <w:rPr>
          <w:szCs w:val="27"/>
        </w:rPr>
        <w:t>.); and the parents may be represented by unscrupulous attorneys (</w:t>
      </w:r>
      <w:r w:rsidRPr="00FF5FF4">
        <w:rPr>
          <w:i/>
          <w:iCs/>
          <w:szCs w:val="27"/>
        </w:rPr>
        <w:t>ibid</w:t>
      </w:r>
      <w:r w:rsidRPr="00FF5FF4">
        <w:rPr>
          <w:szCs w:val="27"/>
        </w:rPr>
        <w:t>.).  This strikes me as a lot of conjecture about why the parents may be ill-equipped to know if they have Indian ancestry without a word of discussion about whether delay and uncertainty will have a negative impact on the child.</w:t>
      </w:r>
      <w:r>
        <w:rPr>
          <w:b/>
          <w:position w:val="6"/>
          <w:sz w:val="20"/>
          <w:szCs w:val="27"/>
        </w:rPr>
        <w:footnoteReference w:id="22"/>
      </w:r>
      <w:r w:rsidRPr="00FF5FF4">
        <w:rPr>
          <w:szCs w:val="27"/>
        </w:rPr>
        <w:t xml:space="preserve">  It also fails to explain why parents would be fearful of self-identification during juvenile court proceedings — but not on appeal.</w:t>
      </w:r>
    </w:p>
    <w:p w:rsidR="00FF5FF4" w:rsidRPr="00FF5FF4" w:rsidP="00FF5FF4" w14:paraId="73F6067D" w14:textId="77777777">
      <w:pPr>
        <w:ind w:firstLine="720"/>
        <w:rPr>
          <w:szCs w:val="27"/>
        </w:rPr>
      </w:pPr>
      <w:r w:rsidRPr="00FF5FF4">
        <w:rPr>
          <w:szCs w:val="27"/>
        </w:rPr>
        <w:t xml:space="preserve">It is of course </w:t>
      </w:r>
      <w:r w:rsidRPr="00FF5FF4">
        <w:rPr>
          <w:i/>
          <w:iCs/>
          <w:szCs w:val="27"/>
        </w:rPr>
        <w:t>possible</w:t>
      </w:r>
      <w:r w:rsidRPr="00FF5FF4">
        <w:rPr>
          <w:szCs w:val="27"/>
        </w:rPr>
        <w:t xml:space="preserve"> that unscrupulous attorneys may represent a parent in a dependency proceeding, or a competent translation may not be obtained in a specific case.  But what we do know for sure is that the majority’s rule of automatic conditional reversal will </w:t>
      </w:r>
      <w:r w:rsidRPr="00FF5FF4">
        <w:rPr>
          <w:i/>
          <w:iCs/>
          <w:szCs w:val="27"/>
        </w:rPr>
        <w:t>always</w:t>
      </w:r>
      <w:r w:rsidRPr="00FF5FF4">
        <w:rPr>
          <w:szCs w:val="27"/>
        </w:rPr>
        <w:t>, in every single case of reversal, result in a delayed permanent placement for children who have already experienced a great deal of trauma.  Delaying permanency for children — leaving them in legal limbo about where they will live, who will raise them, where they will go to school, and whether they will be separated from siblings — will now occur in 100 percent of cases where a child welfare department fails to comply with Cal-ICWA.  And this automatic reversal will occur without any inquiry at all regarding whether such delay would actually be in the best interest of the child.  “A conditional reversal (or affirmance) of such orders inevitably delays an adoption from proceeding, and in some cases, it may throw an adoption off track entirely if the prospective adoptive family cannot tolerate further delay.  In both scenarios, the uncertainty caused by California’s ICWA-related statutes negatively affects children who deserve permanence without undue delay.”  (</w:t>
      </w:r>
      <w:r w:rsidRPr="00FF5FF4">
        <w:rPr>
          <w:i/>
          <w:iCs/>
          <w:szCs w:val="27"/>
        </w:rPr>
        <w:t>In re H.V.</w:t>
      </w:r>
      <w:r w:rsidRPr="00FF5FF4">
        <w:rPr>
          <w:szCs w:val="27"/>
        </w:rPr>
        <w:t xml:space="preserve"> (2022) 75 Cal.App.5th 433, 442, fn. 5 (dis. opn. of Baker, J.) (</w:t>
      </w:r>
      <w:r w:rsidRPr="00FF5FF4">
        <w:rPr>
          <w:i/>
          <w:iCs/>
          <w:szCs w:val="27"/>
        </w:rPr>
        <w:t>H.V.</w:t>
      </w:r>
      <w:r w:rsidRPr="00FF5FF4">
        <w:rPr>
          <w:szCs w:val="27"/>
        </w:rPr>
        <w:t xml:space="preserve">).)  In fact, “[i]n just the last 12 months, [an automatic reversal] approach to asserted ICWA [and Cal-ICWA] error has resulted in, by our count, appellate courts returning more than 100 dependency cases to the juvenile courts with directions to conduct further ICWA [and Cal-ICWA] inquiries </w:t>
      </w:r>
      <w:r w:rsidRPr="00FF5FF4">
        <w:rPr>
          <w:i/>
          <w:iCs/>
          <w:szCs w:val="27"/>
        </w:rPr>
        <w:t xml:space="preserve">after </w:t>
      </w:r>
      <w:r w:rsidRPr="00FF5FF4">
        <w:rPr>
          <w:szCs w:val="27"/>
        </w:rPr>
        <w:t>parental rights were terminated.  At best, these reversals significantly delay entry of final judgments releasing children for adoption; at worst, they may result in potential adoptive parents deciding not to adopt.”  (</w:t>
      </w:r>
      <w:r w:rsidRPr="00FF5FF4">
        <w:rPr>
          <w:i/>
          <w:iCs/>
          <w:szCs w:val="27"/>
        </w:rPr>
        <w:t>Ezequiel G.</w:t>
      </w:r>
      <w:r w:rsidRPr="00FF5FF4">
        <w:rPr>
          <w:szCs w:val="27"/>
        </w:rPr>
        <w:t xml:space="preserve">, </w:t>
      </w:r>
      <w:r w:rsidRPr="00FF5FF4">
        <w:rPr>
          <w:i/>
          <w:iCs/>
          <w:szCs w:val="27"/>
        </w:rPr>
        <w:t>supra</w:t>
      </w:r>
      <w:r w:rsidRPr="00FF5FF4">
        <w:rPr>
          <w:szCs w:val="27"/>
        </w:rPr>
        <w:t>,</w:t>
      </w:r>
      <w:r w:rsidRPr="00FF5FF4">
        <w:rPr>
          <w:i/>
          <w:iCs/>
          <w:szCs w:val="27"/>
        </w:rPr>
        <w:t xml:space="preserve"> </w:t>
      </w:r>
      <w:r w:rsidRPr="00FF5FF4">
        <w:rPr>
          <w:szCs w:val="27"/>
        </w:rPr>
        <w:t>81 Cal.App.5th at p. 1001.)</w:t>
      </w:r>
      <w:r>
        <w:rPr>
          <w:b/>
          <w:position w:val="6"/>
          <w:sz w:val="20"/>
          <w:szCs w:val="27"/>
        </w:rPr>
        <w:footnoteReference w:id="23"/>
      </w:r>
      <w:r w:rsidRPr="00FF5FF4">
        <w:rPr>
          <w:szCs w:val="27"/>
        </w:rPr>
        <w:t xml:space="preserve">  I do not understand why we should adopt a rule (automatic conditional reversal) that will </w:t>
      </w:r>
      <w:r w:rsidRPr="00FF5FF4">
        <w:rPr>
          <w:i/>
          <w:iCs/>
          <w:szCs w:val="27"/>
        </w:rPr>
        <w:t>always</w:t>
      </w:r>
      <w:r w:rsidRPr="00FF5FF4">
        <w:rPr>
          <w:szCs w:val="27"/>
        </w:rPr>
        <w:t xml:space="preserve"> create this negative outcome (delay in permanent placement) simply because other problems (like translation issues) </w:t>
      </w:r>
      <w:r w:rsidRPr="00FF5FF4">
        <w:rPr>
          <w:i/>
          <w:iCs/>
          <w:szCs w:val="27"/>
        </w:rPr>
        <w:t>could</w:t>
      </w:r>
      <w:r w:rsidRPr="00FF5FF4">
        <w:rPr>
          <w:szCs w:val="27"/>
        </w:rPr>
        <w:t xml:space="preserve"> arise.  The flexible approach adopted by the Court of Appeal accounts for this problem while also comporting with our traditional harmless error standard of review, but the majority errantly, in my view, refuses to embrace it.  This refusal is especially heartbreaking given that counsel for appellant mother conceded during oral argument that “the likelihood of the tribe actually intervening and removing a child from placement are very, very, not non-existent, but minimal.”</w:t>
      </w:r>
    </w:p>
    <w:p w:rsidR="00FF5FF4" w:rsidRPr="00FF5FF4" w:rsidP="00FF5FF4" w14:paraId="4063D6BB" w14:textId="77777777">
      <w:pPr>
        <w:ind w:right="-360" w:firstLine="720"/>
        <w:rPr>
          <w:i/>
          <w:iCs/>
          <w:szCs w:val="27"/>
        </w:rPr>
      </w:pPr>
      <w:r w:rsidRPr="00FF5FF4">
        <w:rPr>
          <w:szCs w:val="27"/>
        </w:rPr>
        <w:t>Finally, the majority rejects out of hand the notion that a parent may seek to delay termination of parental rights by waiting until appeal to argue that the ICWA or Cal-ICWA inquiry was inadequate.  Counsel for appellant mother argues that appellants can do just that and may assert such error on appeal without having raised the issue previously.  (</w:t>
      </w:r>
      <w:r w:rsidRPr="00FF5FF4">
        <w:rPr>
          <w:i/>
          <w:iCs/>
          <w:szCs w:val="27"/>
        </w:rPr>
        <w:t xml:space="preserve">In re Isaiah W. </w:t>
      </w:r>
      <w:r w:rsidRPr="00FF5FF4">
        <w:rPr>
          <w:szCs w:val="27"/>
        </w:rPr>
        <w:t xml:space="preserve">(2016) 1 Cal.5th 1, 6, 9, 14–15.)  The majority repeatedly asserts that it is “unclear what a parent stands to gain” from waiting to raise the issue and “there appears to be little incentive for parents to engage in such conduct in the first instance.”   (Maj. opn., </w:t>
      </w:r>
      <w:r w:rsidRPr="00FF5FF4">
        <w:rPr>
          <w:i/>
          <w:iCs/>
          <w:szCs w:val="27"/>
        </w:rPr>
        <w:t>ante</w:t>
      </w:r>
      <w:r w:rsidRPr="00FF5FF4">
        <w:rPr>
          <w:szCs w:val="27"/>
        </w:rPr>
        <w:t xml:space="preserve">, at pp. 40–41.)  But the reasons for a parent waiting to raise the issue of ICWA or Cal-ICWA non-compliance on appeal are quite clear: faced with the unimaginable prospect of losing custody of their child forever, and emboldened by our case law making such an approach perfectly lawful, it is completely understandable for parents to seek to do anything they can to undo the trial court’s termination of parental rights.  This is not “gamesmanship” (maj. opn., </w:t>
      </w:r>
      <w:r w:rsidRPr="00FF5FF4">
        <w:rPr>
          <w:i/>
          <w:iCs/>
          <w:szCs w:val="27"/>
        </w:rPr>
        <w:t>ante</w:t>
      </w:r>
      <w:r w:rsidRPr="00FF5FF4">
        <w:rPr>
          <w:szCs w:val="27"/>
        </w:rPr>
        <w:t>, at p. 41), but instead a logical response to the possibility of losing custody of one’s own child forever.  In fact, that is what occurred in this case: “[n]early 30 months into the proceedings and on appeal from the termination of her parental rights, [mother] for the first time object[ed] that the agency did not discharge its statutory duty to ‘inquire’ of ‘extended family members’ whether her children might be ‘Indian child[ren].’ ”  (</w:t>
      </w:r>
      <w:r w:rsidRPr="00FF5FF4">
        <w:rPr>
          <w:i/>
          <w:iCs/>
          <w:szCs w:val="27"/>
        </w:rPr>
        <w:t>Dezi C.</w:t>
      </w:r>
      <w:r w:rsidRPr="00FF5FF4">
        <w:rPr>
          <w:szCs w:val="27"/>
        </w:rPr>
        <w:t>,</w:t>
      </w:r>
      <w:r w:rsidRPr="00FF5FF4">
        <w:rPr>
          <w:i/>
          <w:iCs/>
          <w:szCs w:val="27"/>
        </w:rPr>
        <w:t xml:space="preserve"> supra</w:t>
      </w:r>
      <w:r w:rsidRPr="00FF5FF4">
        <w:rPr>
          <w:szCs w:val="27"/>
        </w:rPr>
        <w:t xml:space="preserve">, 79 Cal.App.5th at p. 774.)  </w:t>
      </w:r>
    </w:p>
    <w:p w:rsidR="00FF5FF4" w:rsidRPr="00FF5FF4" w:rsidP="00FF5FF4" w14:paraId="51319E5F" w14:textId="77777777">
      <w:pPr>
        <w:ind w:right="-360" w:firstLine="720"/>
        <w:rPr>
          <w:szCs w:val="27"/>
        </w:rPr>
      </w:pPr>
      <w:r w:rsidRPr="00FF5FF4">
        <w:rPr>
          <w:szCs w:val="27"/>
        </w:rPr>
        <w:t xml:space="preserve">Moreover, there </w:t>
      </w:r>
      <w:r w:rsidRPr="00FF5FF4">
        <w:rPr>
          <w:i/>
          <w:iCs/>
          <w:szCs w:val="27"/>
        </w:rPr>
        <w:t>are</w:t>
      </w:r>
      <w:r w:rsidRPr="00FF5FF4">
        <w:rPr>
          <w:szCs w:val="27"/>
        </w:rPr>
        <w:t xml:space="preserve"> published cases describing parents seeking to delay the removal of their children from the home by claiming Indian heritage.  In </w:t>
      </w:r>
      <w:r w:rsidRPr="00FF5FF4">
        <w:rPr>
          <w:i/>
          <w:iCs/>
          <w:szCs w:val="27"/>
        </w:rPr>
        <w:t>In re S.H.</w:t>
      </w:r>
      <w:r w:rsidRPr="00FF5FF4">
        <w:rPr>
          <w:szCs w:val="27"/>
        </w:rPr>
        <w:t xml:space="preserve"> (2022) 82 Cal.App.5th 166, 172 (</w:t>
      </w:r>
      <w:r w:rsidRPr="00FF5FF4">
        <w:rPr>
          <w:i/>
          <w:iCs/>
          <w:szCs w:val="27"/>
        </w:rPr>
        <w:t>S.H.</w:t>
      </w:r>
      <w:r w:rsidRPr="00FF5FF4">
        <w:rPr>
          <w:szCs w:val="27"/>
        </w:rPr>
        <w:t>), the Court of Appeal described a voicemail received by a social worker from the father, who apparently accidentally left his phone on after he completed his intended message.  “In the apparent unintended portion of the recording, he discussed with [m]other a plan to claim that the minor had Indian ancestry to delay the Agency’s removal of her from the home.”  (</w:t>
      </w:r>
      <w:r w:rsidRPr="00FF5FF4">
        <w:rPr>
          <w:i/>
          <w:iCs/>
          <w:szCs w:val="27"/>
        </w:rPr>
        <w:t>Ibid.</w:t>
      </w:r>
      <w:r w:rsidRPr="00FF5FF4">
        <w:rPr>
          <w:szCs w:val="27"/>
        </w:rPr>
        <w:t xml:space="preserve">)  </w:t>
      </w:r>
    </w:p>
    <w:p w:rsidR="00FF5FF4" w:rsidRPr="00FF5FF4" w:rsidP="00FF5FF4" w14:paraId="77958590" w14:textId="77777777">
      <w:pPr>
        <w:ind w:right="-360" w:firstLine="720"/>
        <w:rPr>
          <w:szCs w:val="27"/>
        </w:rPr>
      </w:pPr>
      <w:r w:rsidRPr="00FF5FF4">
        <w:rPr>
          <w:szCs w:val="27"/>
        </w:rPr>
        <w:t xml:space="preserve">While it is understandable that a parent may seek to forestall such a heartbreaking result as the termination of parental rights, this scenario makes it all the more clear why a rule of automatic conditional reversal is ill advised.  Where a parent may be raising Cal-ICWA noncompliance solely to delay termination of parental rights; where there is no evidence at all that the child is or may be an Indian; and where the appealing parent herself or himself may have previously attested (like they did here) that the child has no Indian ancestry, then a rule of automatic reversal makes little sense. </w:t>
      </w:r>
    </w:p>
    <w:p w:rsidR="00FF5FF4" w:rsidRPr="00FF5FF4" w:rsidP="00FF5FF4" w14:paraId="3E31EA76" w14:textId="77777777">
      <w:pPr>
        <w:numPr>
          <w:ilvl w:val="0"/>
          <w:numId w:val="19"/>
        </w:numPr>
        <w:spacing w:after="0" w:line="240" w:lineRule="auto"/>
        <w:ind w:right="-360"/>
        <w:jc w:val="left"/>
        <w:rPr>
          <w:b/>
          <w:bCs/>
          <w:szCs w:val="27"/>
        </w:rPr>
      </w:pPr>
      <w:r w:rsidRPr="00FF5FF4">
        <w:rPr>
          <w:b/>
          <w:bCs/>
          <w:szCs w:val="27"/>
        </w:rPr>
        <w:t>Deference to the Adequacy of Cal-ICWA Inquiry</w:t>
      </w:r>
    </w:p>
    <w:p w:rsidR="00FF5FF4" w:rsidRPr="00FF5FF4" w:rsidP="00FF5FF4" w14:paraId="1BFC822B" w14:textId="77777777">
      <w:pPr>
        <w:ind w:right="-360"/>
        <w:rPr>
          <w:szCs w:val="27"/>
        </w:rPr>
      </w:pPr>
      <w:r w:rsidRPr="00FF5FF4">
        <w:rPr>
          <w:szCs w:val="27"/>
        </w:rPr>
        <w:tab/>
        <w:t xml:space="preserve">As described above, there are two ways that appellate courts can appropriately resolve issues related to Cal-ICWA compliance without needlessly delaying the proceedings:  The first is by applying a flexible standard for prejudice to determine whether any error in the Cal-ICWA inquiry is harmless.  For the reasons described above, I believe my colleagues have missed an opportunity with respect to this pathway.  Notably, however, the majority still gives space for a second way that allows appellate courts the sufficient flexibility that is required in handling these complex cases.  Rather than focusing on the appropriate standard of review if there was an inadequate inquiry under Cal-ICWA (automatic reversal versus harmless error review), alternatively, appellate courts could simply give appropriate deference to a juvenile court’s findings that the Cal-ICWA inquiry was adequate.  Stated differently, if the appellate court concludes there was substantial evidence to support the juvenile court’s determination that the Cal-ICWA inquiry was, in fact, </w:t>
      </w:r>
      <w:r w:rsidRPr="00FF5FF4">
        <w:rPr>
          <w:i/>
          <w:iCs/>
          <w:szCs w:val="27"/>
        </w:rPr>
        <w:t>adequate</w:t>
      </w:r>
      <w:r w:rsidRPr="00FF5FF4">
        <w:rPr>
          <w:szCs w:val="27"/>
        </w:rPr>
        <w:t xml:space="preserve"> and ICWA does not apply, then it need not reach the question of whether reversal for Cal-ICWA error is required.</w:t>
      </w:r>
    </w:p>
    <w:p w:rsidR="00FF5FF4" w:rsidRPr="00FF5FF4" w:rsidP="00FF5FF4" w14:paraId="411A622B" w14:textId="77777777">
      <w:pPr>
        <w:ind w:right="-360"/>
        <w:rPr>
          <w:szCs w:val="27"/>
        </w:rPr>
      </w:pPr>
      <w:r w:rsidRPr="00FF5FF4">
        <w:rPr>
          <w:szCs w:val="27"/>
        </w:rPr>
        <w:tab/>
        <w:t>The majority rightly leaves room for this approach, explaining that “the juvenile court’s fact-specific determination that an inquiry is adequate, proper, and duly diligent is ‘a quintessentially discretionary function’ ([</w:t>
      </w:r>
      <w:r w:rsidRPr="00FF5FF4">
        <w:rPr>
          <w:i/>
          <w:iCs/>
          <w:szCs w:val="27"/>
        </w:rPr>
        <w:t>Ezequiel G.</w:t>
      </w:r>
      <w:r w:rsidRPr="00FF5FF4">
        <w:rPr>
          <w:szCs w:val="27"/>
        </w:rPr>
        <w:t xml:space="preserve">, </w:t>
      </w:r>
      <w:r w:rsidRPr="00FF5FF4">
        <w:rPr>
          <w:i/>
          <w:iCs/>
          <w:szCs w:val="27"/>
        </w:rPr>
        <w:t>supra</w:t>
      </w:r>
      <w:r w:rsidRPr="00FF5FF4">
        <w:rPr>
          <w:szCs w:val="27"/>
        </w:rPr>
        <w:t xml:space="preserve">,] 81 Cal.App.5th [at p.] 1005) subject to a deferential standard of review” (maj. opn., </w:t>
      </w:r>
      <w:r w:rsidRPr="00FF5FF4">
        <w:rPr>
          <w:i/>
          <w:iCs/>
          <w:szCs w:val="27"/>
        </w:rPr>
        <w:t>ante</w:t>
      </w:r>
      <w:r w:rsidRPr="00FF5FF4">
        <w:rPr>
          <w:szCs w:val="27"/>
        </w:rPr>
        <w:t>, at p. 27); and “[i]f, upon review, a juvenile court’s findings that an inquiry was adequate and proper and ICWA does not apply are found to be supported by sufficient evidence and record documentation as required by California law ([Cal. Rules of Court, ]rule 5.481(a)(5)), there is no error and conditional reversal would not be warranted even if the agency did not inquire of everyone who has an interest in the child” (</w:t>
      </w:r>
      <w:r w:rsidRPr="00FF5FF4">
        <w:rPr>
          <w:i/>
          <w:iCs/>
          <w:szCs w:val="27"/>
        </w:rPr>
        <w:t>id</w:t>
      </w:r>
      <w:r w:rsidRPr="00FF5FF4">
        <w:rPr>
          <w:szCs w:val="27"/>
        </w:rPr>
        <w:t>. at pp. 27–28).  Because the Department conceded the Cal-ICWA inquiry in this case was inadequate, the parties did not litigate the issue of whether the juvenile court’s finding that ICWA does not apply is supported by substantial evidence.  I write to expand on what this means for appellate courts going forward.</w:t>
      </w:r>
    </w:p>
    <w:p w:rsidR="00FF5FF4" w:rsidRPr="00FF5FF4" w:rsidP="00FF5FF4" w14:paraId="2C34EE74" w14:textId="77777777">
      <w:pPr>
        <w:ind w:right="-360"/>
        <w:rPr>
          <w:szCs w:val="27"/>
        </w:rPr>
      </w:pPr>
      <w:r w:rsidRPr="00FF5FF4">
        <w:rPr>
          <w:szCs w:val="27"/>
        </w:rPr>
        <w:tab/>
        <w:t>First, as the majority explains, a juvenile court’s finding that the child welfare department met its inquiry requirements under Cal-ICWA is entitled to substantial deference on appeal.  (</w:t>
      </w:r>
      <w:r w:rsidRPr="00FF5FF4">
        <w:rPr>
          <w:i/>
          <w:iCs/>
          <w:szCs w:val="27"/>
        </w:rPr>
        <w:t>In re S.R.</w:t>
      </w:r>
      <w:r w:rsidRPr="00FF5FF4">
        <w:rPr>
          <w:szCs w:val="27"/>
        </w:rPr>
        <w:t xml:space="preserve"> (2021) 64 Cal.App.5th 303, 312, 278.)  The statutory scheme specifically provides for a sufficiency of the evidence standard for reviewing the adequacy of the inquiry, stating: “If the court makes a finding that proper and adequate further inquiry and due diligence as required in this section have been conducted and there is no reason to know whether the child is an Indian child, the court may make a finding that the federal [ICWA] does not apply to the proceedings, </w:t>
      </w:r>
      <w:r w:rsidRPr="00FF5FF4">
        <w:rPr>
          <w:i/>
          <w:iCs/>
          <w:szCs w:val="27"/>
        </w:rPr>
        <w:t>subject to reversal based on sufficiency of the evidence</w:t>
      </w:r>
      <w:r w:rsidRPr="00FF5FF4">
        <w:rPr>
          <w:szCs w:val="27"/>
        </w:rPr>
        <w:t>.”  (Welf. &amp; Inst. Code, § 224.2, subd. (i)(2), italics added.)  We normally apply a deferential standard of review in assessing the evidence’s sufficiency because “ ‘[c]onflicts and even testimony [that] is subject to justifiable suspicion do not justify the reversal of a judgment, for it is the exclusive province of the trial judge or jury to determine the credibility of a witness and the truth or falsity of the facts upon which a determination depends.  [Citation.]  We resolve neither credibility issues nor evidentiary conflicts; we look for substantial evidence. [Citation.]’  [Citation.]  A reversal for insufficient evidence ‘is unwarranted unless it appears “that upon no hypothesis whatever is there sufficient substantial evidence to support” ’ the jury’s verdict.”  (</w:t>
      </w:r>
      <w:r w:rsidRPr="00FF5FF4">
        <w:rPr>
          <w:i/>
          <w:iCs/>
          <w:szCs w:val="27"/>
        </w:rPr>
        <w:t>People v. Zamudio</w:t>
      </w:r>
      <w:r w:rsidRPr="00FF5FF4">
        <w:rPr>
          <w:szCs w:val="27"/>
        </w:rPr>
        <w:t xml:space="preserve"> (2008) 43 Cal.4th 327, 357.)   </w:t>
      </w:r>
    </w:p>
    <w:p w:rsidR="00FF5FF4" w:rsidRPr="00FF5FF4" w:rsidP="00FF5FF4" w14:paraId="05ACA206" w14:textId="77777777">
      <w:pPr>
        <w:ind w:right="-360" w:firstLine="720"/>
        <w:rPr>
          <w:szCs w:val="27"/>
        </w:rPr>
      </w:pPr>
      <w:r w:rsidRPr="00FF5FF4">
        <w:rPr>
          <w:szCs w:val="27"/>
        </w:rPr>
        <w:t xml:space="preserve">Second, Cal-ICWA itself confers significant discretion on juvenile courts in determining whether an inquiry was adequate.  (See </w:t>
      </w:r>
      <w:r w:rsidRPr="00FF5FF4">
        <w:rPr>
          <w:i/>
          <w:iCs/>
          <w:szCs w:val="27"/>
        </w:rPr>
        <w:t>Ezequiel G.</w:t>
      </w:r>
      <w:r w:rsidRPr="00FF5FF4">
        <w:rPr>
          <w:szCs w:val="27"/>
        </w:rPr>
        <w:t xml:space="preserve">, </w:t>
      </w:r>
      <w:r w:rsidRPr="00FF5FF4">
        <w:rPr>
          <w:i/>
          <w:iCs/>
          <w:szCs w:val="27"/>
        </w:rPr>
        <w:t>supra</w:t>
      </w:r>
      <w:r w:rsidRPr="00FF5FF4">
        <w:rPr>
          <w:szCs w:val="27"/>
        </w:rPr>
        <w:t xml:space="preserve">, 81 Cal.App.5th at pp. 1006–1007.)  In my view, Cal-ICWA does not require an inquiry of every single extended family member and person listed in the statute.  Welfare and Institutions Code section 224.2, subdivision (b) requires that the Department “inquire whether [a dependent child] is an Indian child,” and then provides that the “[i]nquiry includes, but is not limited to, asking the child, parents, legal guardian, Indian custodian, extended family members, others who have an interest in the child, and the party reporting child abuse or neglect, whether the child is, or may be, an Indian child . . . .”  (Welf. &amp; Inst. Code, § 224.2, subd. (b).)  An “ ‘extended family member’ ” is (unless otherwise defined by an Indian child’s tribe) an adult who is “the Indian child’s grandparent, aunt or uncle, brother or sister, brother-in-law or sister-in-law, niece or nephew, first or second cousin, or stepparent.”  (25 U.S.C. §1903(2); Welf. &amp; Inst. Code, § 224.1, subd. (c) [adopting federal definition].) </w:t>
      </w:r>
    </w:p>
    <w:p w:rsidR="00FF5FF4" w:rsidRPr="00FF5FF4" w:rsidP="00FF5FF4" w14:paraId="4AD07767" w14:textId="77777777">
      <w:pPr>
        <w:ind w:right="-360" w:firstLine="720"/>
        <w:rPr>
          <w:szCs w:val="27"/>
        </w:rPr>
      </w:pPr>
      <w:r w:rsidRPr="00FF5FF4">
        <w:rPr>
          <w:szCs w:val="27"/>
        </w:rPr>
        <w:t>I, like other courts which have interpreted the same language, do not read the statute as requiring that an initial Cal-ICWA inquiry be made of every member of a child’s extended family, including every first and second cousin, every single niece and nephew, all aunts and uncles, all siblings-in-law, plus every other person who has an interest in the child.   (</w:t>
      </w:r>
      <w:r w:rsidRPr="00FF5FF4">
        <w:rPr>
          <w:i/>
          <w:iCs/>
          <w:szCs w:val="27"/>
        </w:rPr>
        <w:t>Ezequiel G.</w:t>
      </w:r>
      <w:r w:rsidRPr="00FF5FF4">
        <w:rPr>
          <w:szCs w:val="27"/>
        </w:rPr>
        <w:t xml:space="preserve">, </w:t>
      </w:r>
      <w:r w:rsidRPr="00FF5FF4">
        <w:rPr>
          <w:i/>
          <w:iCs/>
          <w:szCs w:val="27"/>
        </w:rPr>
        <w:t>supra</w:t>
      </w:r>
      <w:r w:rsidRPr="00FF5FF4">
        <w:rPr>
          <w:szCs w:val="27"/>
        </w:rPr>
        <w:t>, 81 Cal.App.5th at pp. 1005–1006.)  Such a reading is “absurd at best and impossible at worst” (</w:t>
      </w:r>
      <w:r w:rsidRPr="00FF5FF4">
        <w:rPr>
          <w:i/>
          <w:iCs/>
          <w:szCs w:val="27"/>
        </w:rPr>
        <w:t>id.</w:t>
      </w:r>
      <w:r w:rsidRPr="00FF5FF4">
        <w:rPr>
          <w:szCs w:val="27"/>
        </w:rPr>
        <w:t xml:space="preserve"> at p. 1006) and “creates an open-ended universe of stones, the rule ostensibly empowers the party to obtain a remand to question extended family members, then a second remand to question the family babysitter, and then a third remand to question longtime neighbors, and so on and so on.”  (</w:t>
      </w:r>
      <w:r w:rsidRPr="00FF5FF4">
        <w:rPr>
          <w:i/>
          <w:iCs/>
          <w:szCs w:val="27"/>
        </w:rPr>
        <w:t>Dezi C.</w:t>
      </w:r>
      <w:r w:rsidRPr="00FF5FF4">
        <w:rPr>
          <w:szCs w:val="27"/>
        </w:rPr>
        <w:t xml:space="preserve">, </w:t>
      </w:r>
      <w:r w:rsidRPr="00FF5FF4">
        <w:rPr>
          <w:i/>
          <w:iCs/>
          <w:szCs w:val="27"/>
        </w:rPr>
        <w:t>supra</w:t>
      </w:r>
      <w:r w:rsidRPr="00FF5FF4">
        <w:rPr>
          <w:szCs w:val="27"/>
        </w:rPr>
        <w:t>, 79 Cal.App.5th at p. 785.)  In fact, the majority appears to agree, at least to an extent, emphasizing its holding “does not require reversal in all cases in which every possible extended family member has not been asked about the child’s Indian ancestry.”</w:t>
      </w:r>
      <w:r>
        <w:rPr>
          <w:b/>
          <w:position w:val="6"/>
          <w:sz w:val="20"/>
          <w:szCs w:val="27"/>
        </w:rPr>
        <w:footnoteReference w:id="24"/>
      </w:r>
      <w:r w:rsidRPr="00FF5FF4">
        <w:rPr>
          <w:szCs w:val="27"/>
        </w:rPr>
        <w:t xml:space="preserve">  (Maj. opn., </w:t>
      </w:r>
      <w:r w:rsidRPr="00FF5FF4">
        <w:rPr>
          <w:i/>
          <w:iCs/>
          <w:szCs w:val="27"/>
        </w:rPr>
        <w:t>ante</w:t>
      </w:r>
      <w:r w:rsidRPr="00FF5FF4">
        <w:rPr>
          <w:szCs w:val="27"/>
        </w:rPr>
        <w:t xml:space="preserve">, at p. 27.)  </w:t>
      </w:r>
    </w:p>
    <w:p w:rsidR="00FF5FF4" w:rsidRPr="00FF5FF4" w:rsidP="00FF5FF4" w14:paraId="3A817F3D" w14:textId="77777777">
      <w:pPr>
        <w:ind w:right="-360" w:firstLine="720"/>
        <w:rPr>
          <w:szCs w:val="27"/>
        </w:rPr>
      </w:pPr>
      <w:r w:rsidRPr="00FF5FF4">
        <w:rPr>
          <w:szCs w:val="27"/>
        </w:rPr>
        <w:t>The better reading is that the “ ‘includes, but is not limited to’ ” language tells us that these are “</w:t>
      </w:r>
      <w:r w:rsidRPr="00FF5FF4">
        <w:rPr>
          <w:i/>
          <w:iCs/>
          <w:szCs w:val="27"/>
        </w:rPr>
        <w:t>examples</w:t>
      </w:r>
      <w:r w:rsidRPr="00FF5FF4">
        <w:rPr>
          <w:szCs w:val="27"/>
        </w:rPr>
        <w:t xml:space="preserve"> of the categories of people a social services agency or court should inquire of.”  (</w:t>
      </w:r>
      <w:r w:rsidRPr="00FF5FF4">
        <w:rPr>
          <w:i/>
          <w:iCs/>
          <w:szCs w:val="27"/>
        </w:rPr>
        <w:t>In re A.C.</w:t>
      </w:r>
      <w:r w:rsidRPr="00FF5FF4">
        <w:rPr>
          <w:szCs w:val="27"/>
        </w:rPr>
        <w:t xml:space="preserve"> (2022) 86 Cal.App.5th 130, 142 (dis. opn. of Baker, J.); see also </w:t>
      </w:r>
      <w:r w:rsidRPr="00FF5FF4">
        <w:rPr>
          <w:i/>
          <w:iCs/>
          <w:szCs w:val="27"/>
        </w:rPr>
        <w:t>H.V.</w:t>
      </w:r>
      <w:r w:rsidRPr="00FF5FF4">
        <w:rPr>
          <w:szCs w:val="27"/>
        </w:rPr>
        <w:t xml:space="preserve">, </w:t>
      </w:r>
      <w:r w:rsidRPr="00FF5FF4">
        <w:rPr>
          <w:i/>
          <w:iCs/>
          <w:szCs w:val="27"/>
        </w:rPr>
        <w:t>supra</w:t>
      </w:r>
      <w:r w:rsidRPr="00FF5FF4">
        <w:rPr>
          <w:szCs w:val="27"/>
        </w:rPr>
        <w:t xml:space="preserve">, 75 Cal.App.5th at p. 440 (dis. opn. of Baker, J.) [Cal-ICWA has “no endpoint” and is “impossible to satisfy in practice”]; </w:t>
      </w:r>
      <w:r w:rsidRPr="00FF5FF4">
        <w:rPr>
          <w:i/>
          <w:iCs/>
          <w:szCs w:val="27"/>
        </w:rPr>
        <w:t>Ezequiel G.</w:t>
      </w:r>
      <w:r w:rsidRPr="00FF5FF4">
        <w:rPr>
          <w:szCs w:val="27"/>
        </w:rPr>
        <w:t xml:space="preserve">, </w:t>
      </w:r>
      <w:r w:rsidRPr="00FF5FF4">
        <w:rPr>
          <w:i/>
          <w:iCs/>
          <w:szCs w:val="27"/>
        </w:rPr>
        <w:t>supra</w:t>
      </w:r>
      <w:r w:rsidRPr="00FF5FF4">
        <w:rPr>
          <w:szCs w:val="27"/>
        </w:rPr>
        <w:t xml:space="preserve">, 81 Cal.App.5th at p. 1005 [“The need for a juvenile court to exercise discretion in considering whether an ICWA inquiry is adequate is particularly acute because the scope of the inquiry required by state law is not well defined”].)  </w:t>
      </w:r>
    </w:p>
    <w:p w:rsidR="00FF5FF4" w:rsidRPr="00FF5FF4" w:rsidP="00FF5FF4" w14:paraId="14FB1251" w14:textId="77777777">
      <w:pPr>
        <w:ind w:right="-360" w:firstLine="720"/>
        <w:rPr>
          <w:szCs w:val="27"/>
        </w:rPr>
      </w:pPr>
      <w:r w:rsidRPr="00FF5FF4">
        <w:rPr>
          <w:szCs w:val="27"/>
        </w:rPr>
        <w:t>Indeed, the list in Welfare and Institutions Code section 224.2, subdivision (b) itself makes clear that the Department need not interview every person listed in this provision in every case.  For example, if no one has identified any Indian ancestry, then contacting the proper “Indian custodian” becomes unfeasible.  A “legal guardian” may not exist in every case for the Department to contact.  The child may not have any nieces or nephews or siblings-in-law, or their nieces or nephews may be infants and therefore impossible to interview.  Furthermore, if “the party reporting child abuse or neglect” is someone with only a minimal relationship with the child, like an emergency room doctor at a hospital, then it would make no sense to ask that person about the child’s Indian ancestry.  (</w:t>
      </w:r>
      <w:r w:rsidRPr="00FF5FF4">
        <w:rPr>
          <w:i/>
          <w:iCs/>
          <w:szCs w:val="27"/>
        </w:rPr>
        <w:t>Ibid</w:t>
      </w:r>
      <w:r w:rsidRPr="00FF5FF4">
        <w:rPr>
          <w:szCs w:val="27"/>
        </w:rPr>
        <w:t>.)  Finally, the phrase “others who have an interest in the child,” through its use of broad, non-specific language, also suggests itself that courts have discretion in determining exactly who these indeterminate “others” are.  (</w:t>
      </w:r>
      <w:r w:rsidRPr="00FF5FF4">
        <w:rPr>
          <w:i/>
          <w:iCs/>
          <w:szCs w:val="27"/>
        </w:rPr>
        <w:t>Ibid</w:t>
      </w:r>
      <w:r w:rsidRPr="00FF5FF4">
        <w:rPr>
          <w:szCs w:val="27"/>
        </w:rPr>
        <w:t>.)</w:t>
      </w:r>
    </w:p>
    <w:p w:rsidR="00FF5FF4" w:rsidRPr="00FF5FF4" w:rsidP="00FF5FF4" w14:paraId="7EFA6804" w14:textId="77777777">
      <w:pPr>
        <w:ind w:right="-360" w:firstLine="720"/>
        <w:rPr>
          <w:szCs w:val="27"/>
        </w:rPr>
      </w:pPr>
      <w:r w:rsidRPr="00FF5FF4">
        <w:rPr>
          <w:szCs w:val="27"/>
        </w:rPr>
        <w:t>This kind of flexibility in interpreting the requirements of Cal-ICWA is crucial.  Imagine a case where the Department had interviewed every single person enumerated by the statute, so assume that the Department interviewed 40 people, and all of them had said the child had no Indian ancestry, but the Department failed to speak to one of the child’s eight aunts.  Under this hypothetical it would be absurd to conclude that the inquiry was inadequate and automatic conditional reversal was required.  Or let us imagine a case involving a child who, with his entire family, recently immigrated from Ukraine, thereby making it highly improbable that the child is a member of, or may be eligible for membership in, a federally recognized Indian tribe.  Any court would be hard pressed to find that the Department’s inquiry regarding his or her Indian ancestry was inadequate because it did not ask his or her entire extended (Ukrainian) family about Indian descent.  The same would be true for a case where the Department had recently completed an adequate Cal-ICWA inquiry for the child’s sibling in a different dependency case — it would be illogical to hold that the inquiry was inadequate because the Department failed to recontact all the same extended family members.</w:t>
      </w:r>
    </w:p>
    <w:p w:rsidR="00FF5FF4" w:rsidRPr="00FF5FF4" w:rsidP="00FF5FF4" w14:paraId="6775634D" w14:textId="77777777">
      <w:pPr>
        <w:ind w:right="-360" w:firstLine="720"/>
        <w:rPr>
          <w:szCs w:val="27"/>
        </w:rPr>
      </w:pPr>
      <w:r w:rsidRPr="00FF5FF4">
        <w:rPr>
          <w:szCs w:val="27"/>
        </w:rPr>
        <w:t>In sum, in reviewing a juvenile court’s Cal-ICWA findings for abuse of discretion, I believe “a proper application of the governing substantial evidence standard of appellate review mitigates some of the flaws in the statutory scheme.”  (</w:t>
      </w:r>
      <w:r w:rsidRPr="00FF5FF4">
        <w:rPr>
          <w:i/>
          <w:iCs/>
          <w:szCs w:val="27"/>
        </w:rPr>
        <w:t>H.V.</w:t>
      </w:r>
      <w:r w:rsidRPr="00FF5FF4">
        <w:rPr>
          <w:szCs w:val="27"/>
        </w:rPr>
        <w:t xml:space="preserve">, </w:t>
      </w:r>
      <w:r w:rsidRPr="00FF5FF4">
        <w:rPr>
          <w:i/>
          <w:iCs/>
          <w:szCs w:val="27"/>
        </w:rPr>
        <w:t>supra</w:t>
      </w:r>
      <w:r w:rsidRPr="00FF5FF4">
        <w:rPr>
          <w:szCs w:val="27"/>
        </w:rPr>
        <w:t>, 75 Cal.App.5th at p. 441 (dis. opn. of Baker, J.).)  I further believe “the focus of the court’s analysis should not be on the number of individuals interviewed, but on whether the agency’s [Cal-ICWA] inquiry has yielded reliable information about a child’s possible tribal affiliation.”  (</w:t>
      </w:r>
      <w:r w:rsidRPr="00FF5FF4">
        <w:rPr>
          <w:i/>
          <w:iCs/>
          <w:szCs w:val="27"/>
        </w:rPr>
        <w:t>Ezequiel G.</w:t>
      </w:r>
      <w:r w:rsidRPr="00FF5FF4">
        <w:rPr>
          <w:szCs w:val="27"/>
        </w:rPr>
        <w:t>,</w:t>
      </w:r>
      <w:r w:rsidRPr="00FF5FF4">
        <w:rPr>
          <w:i/>
          <w:iCs/>
          <w:szCs w:val="27"/>
        </w:rPr>
        <w:t xml:space="preserve"> supra</w:t>
      </w:r>
      <w:r w:rsidRPr="00FF5FF4">
        <w:rPr>
          <w:szCs w:val="27"/>
        </w:rPr>
        <w:t xml:space="preserve">, 81 Cal.App.5th at p. 1009; accord, </w:t>
      </w:r>
      <w:r w:rsidRPr="00FF5FF4">
        <w:rPr>
          <w:i/>
          <w:iCs/>
          <w:szCs w:val="27"/>
        </w:rPr>
        <w:t>In re E.W.</w:t>
      </w:r>
      <w:r w:rsidRPr="00FF5FF4">
        <w:rPr>
          <w:szCs w:val="27"/>
        </w:rPr>
        <w:t xml:space="preserve"> (2023) 91 Cal.App.5th 314, 322.)  In order to appropriately balance the importance of Cal-ICWA compliance with the best interest of children in the dependency system, appellate courts should bear in mind that a juvenile court’s finding that Cal-ICWA inquiry was satisfied and that ICWA does not apply is entitled to substantial deference and that the requirements imposed by Cal-ICWA are flexible.</w:t>
      </w:r>
      <w:r>
        <w:rPr>
          <w:b/>
          <w:position w:val="6"/>
          <w:szCs w:val="27"/>
          <w:vertAlign w:val="superscript"/>
        </w:rPr>
        <w:footnoteReference w:id="25"/>
      </w:r>
      <w:bookmarkEnd w:id="8"/>
    </w:p>
    <w:p w:rsidR="00FF5FF4" w:rsidRPr="00FF5FF4" w:rsidP="00FF5FF4" w14:paraId="1D6F78EF" w14:textId="77777777">
      <w:pPr>
        <w:numPr>
          <w:ilvl w:val="0"/>
          <w:numId w:val="19"/>
        </w:numPr>
        <w:spacing w:after="0" w:line="240" w:lineRule="auto"/>
        <w:ind w:right="-360"/>
        <w:jc w:val="left"/>
        <w:rPr>
          <w:b/>
          <w:bCs/>
          <w:szCs w:val="27"/>
        </w:rPr>
      </w:pPr>
      <w:r w:rsidRPr="00FF5FF4">
        <w:rPr>
          <w:b/>
          <w:bCs/>
          <w:szCs w:val="27"/>
        </w:rPr>
        <w:t>Conclusion</w:t>
      </w:r>
    </w:p>
    <w:p w:rsidR="00FF5FF4" w:rsidRPr="00FF5FF4" w:rsidP="00FF5FF4" w14:paraId="587F3B3F" w14:textId="77777777">
      <w:pPr>
        <w:ind w:right="-360"/>
        <w:rPr>
          <w:szCs w:val="27"/>
        </w:rPr>
      </w:pPr>
      <w:r w:rsidRPr="00FF5FF4">
        <w:rPr>
          <w:szCs w:val="27"/>
        </w:rPr>
        <w:tab/>
        <w:t>This case is a prime example of why adhering to our traditional review of claims of state law error on appeal is necessary.  Dependency proceedings were initiated when Dezi C. was three and a half years old and her brother, Joshua C. was one and a half years of age.  The children are now over eight and six years old.  They have spent most of their short lives in the dependency system.  The juvenile court sustained allegations that the minors were at risk of harm in the custody of mother and father due to the parents’ substance abuse and domestic violence issues.  Their paternal grandparents have provided a safe and stable environment and stand ready to permanently adopt them, but the majority today ensures that this crucial permanent placement will again be delayed.  The instability and uncertainty caused by removing Dezi C. and Joshua C. from their parents and delaying permanent placement with their paternal grandparents does not serve the best interest of the children.  Today, this court strays from its previous repeated and rightful admonitions that a “child has a compelling right to a stable, permanent placement that allows a caretaker to make a full emotional commitment to the child” (</w:t>
      </w:r>
      <w:r w:rsidRPr="00FF5FF4">
        <w:rPr>
          <w:i/>
          <w:iCs/>
          <w:szCs w:val="27"/>
        </w:rPr>
        <w:t>Celine R.</w:t>
      </w:r>
      <w:r w:rsidRPr="00FF5FF4">
        <w:rPr>
          <w:szCs w:val="27"/>
        </w:rPr>
        <w:t xml:space="preserve">, </w:t>
      </w:r>
      <w:r w:rsidRPr="00FF5FF4">
        <w:rPr>
          <w:i/>
          <w:iCs/>
          <w:szCs w:val="27"/>
        </w:rPr>
        <w:t>supra</w:t>
      </w:r>
      <w:r w:rsidRPr="00FF5FF4">
        <w:rPr>
          <w:szCs w:val="27"/>
        </w:rPr>
        <w:t>, 31 Cal.4th at p. 59) and that although even a four-month delay “may not seem a long period of time to an adult, it can be a lifetime to a young child.”  (</w:t>
      </w:r>
      <w:r w:rsidRPr="00FF5FF4">
        <w:rPr>
          <w:i/>
          <w:iCs/>
          <w:szCs w:val="27"/>
        </w:rPr>
        <w:t>Marilyn H.</w:t>
      </w:r>
      <w:r w:rsidRPr="00FF5FF4">
        <w:rPr>
          <w:szCs w:val="27"/>
        </w:rPr>
        <w:t xml:space="preserve">, </w:t>
      </w:r>
      <w:r w:rsidRPr="00FF5FF4">
        <w:rPr>
          <w:i/>
          <w:iCs/>
          <w:szCs w:val="27"/>
        </w:rPr>
        <w:t>supra</w:t>
      </w:r>
      <w:r w:rsidRPr="00FF5FF4">
        <w:rPr>
          <w:szCs w:val="27"/>
        </w:rPr>
        <w:t>, 5 Cal.4th at p. 310.)  It also diverges from our constitutional mandate that no judgment shall be set aside unless the error complained of has resulted in a miscarriage of justice.  (Cal. Const. art. VI, § 13.)  Both parents here signed ICWA forms under penalty of perjury indicating that they do not have Indian ancestry and after years of litigation, there has never been a glimmer of evidence to suggest that the children are Indian.  Nonetheless, because the Department failed to ask additional family members about the children’s ancestry, my colleagues invoke a rule of automatic conditional reversal that is wholly inconsistent with the way in which California courts have assessed state law error for almost seven decades.  In the process, the majority forgoes a far more practical approach that would avoid automatic reversal but allow for reversal if there were a minimal showing that further inquiry might be useful.  And the majority takes this approach even though the mother’s own counsel admits that this delay will likely be for naught, conceding at oral argument that the likelihood of a child in these circumstances having Indian ancestry and being placed with a tribe is “minimal.”  The majority’s formulaic approach needlessly condemns these children and others like them to more uncertainty, more instability, and more trauma.  I dissent.</w:t>
      </w:r>
    </w:p>
    <w:p w:rsidR="00FF5FF4" w:rsidRPr="00FF5FF4" w:rsidP="00FF5FF4" w14:paraId="2410B23C" w14:textId="77777777">
      <w:pPr>
        <w:ind w:right="-360"/>
        <w:jc w:val="left"/>
        <w:rPr>
          <w:szCs w:val="27"/>
        </w:rPr>
      </w:pPr>
    </w:p>
    <w:p w:rsidR="00FF5FF4" w:rsidRPr="00FF5FF4" w:rsidP="00FF5FF4" w14:paraId="2F92732D" w14:textId="77777777">
      <w:pPr>
        <w:ind w:right="-360"/>
        <w:jc w:val="left"/>
        <w:rPr>
          <w:b/>
          <w:bCs/>
          <w:szCs w:val="27"/>
        </w:rPr>
      </w:pPr>
      <w:r w:rsidRPr="00FF5FF4">
        <w:rPr>
          <w:szCs w:val="27"/>
        </w:rPr>
        <w:tab/>
      </w:r>
      <w:r w:rsidRPr="00FF5FF4">
        <w:rPr>
          <w:szCs w:val="27"/>
        </w:rPr>
        <w:tab/>
      </w:r>
      <w:r w:rsidRPr="00FF5FF4">
        <w:rPr>
          <w:szCs w:val="27"/>
        </w:rPr>
        <w:tab/>
      </w:r>
      <w:r w:rsidRPr="00FF5FF4">
        <w:rPr>
          <w:szCs w:val="27"/>
        </w:rPr>
        <w:tab/>
      </w:r>
      <w:r w:rsidRPr="00FF5FF4">
        <w:rPr>
          <w:szCs w:val="27"/>
        </w:rPr>
        <w:tab/>
      </w:r>
      <w:r w:rsidRPr="00FF5FF4">
        <w:rPr>
          <w:szCs w:val="27"/>
        </w:rPr>
        <w:tab/>
      </w:r>
      <w:r w:rsidRPr="00FF5FF4">
        <w:rPr>
          <w:szCs w:val="27"/>
        </w:rPr>
        <w:tab/>
      </w:r>
      <w:r w:rsidRPr="00FF5FF4">
        <w:rPr>
          <w:szCs w:val="27"/>
        </w:rPr>
        <w:tab/>
      </w:r>
      <w:r w:rsidRPr="00FF5FF4">
        <w:rPr>
          <w:szCs w:val="27"/>
        </w:rPr>
        <w:tab/>
      </w:r>
      <w:r w:rsidRPr="00FF5FF4">
        <w:rPr>
          <w:b/>
          <w:bCs/>
          <w:szCs w:val="27"/>
        </w:rPr>
        <w:t>GROBAN, J.</w:t>
      </w:r>
    </w:p>
    <w:p w:rsidR="00FF5FF4" w:rsidRPr="00FF5FF4" w:rsidP="00FF5FF4" w14:paraId="1E18D7F5" w14:textId="77777777">
      <w:pPr>
        <w:rPr>
          <w:b/>
          <w:bCs/>
          <w:lang w:val=""/>
        </w:rPr>
      </w:pPr>
      <w:r w:rsidRPr="00FF5FF4">
        <w:rPr>
          <w:b/>
          <w:bCs/>
          <w:lang w:val=""/>
        </w:rPr>
        <w:t>I Concur:</w:t>
      </w:r>
    </w:p>
    <w:p w:rsidR="00FF5FF4" w:rsidRPr="00FF5FF4" w:rsidP="00FF5FF4" w14:paraId="3A21A4A7" w14:textId="77777777">
      <w:pPr>
        <w:spacing w:after="0" w:line="240" w:lineRule="auto"/>
        <w:jc w:val="left"/>
        <w:rPr>
          <w:b/>
        </w:rPr>
      </w:pPr>
      <w:r w:rsidRPr="00FF5FF4">
        <w:rPr>
          <w:b/>
        </w:rPr>
        <w:t>GUERRERO, C. J.</w:t>
      </w:r>
    </w:p>
    <w:p w:rsidR="00FF5FF4" w:rsidRPr="00FF5FF4" w:rsidP="00FF5FF4" w14:paraId="37B65B8F" w14:textId="77777777">
      <w:pPr>
        <w:ind w:right="-360"/>
        <w:jc w:val="left"/>
        <w:rPr>
          <w:szCs w:val="27"/>
        </w:rPr>
      </w:pPr>
    </w:p>
    <w:p w:rsidR="00FF5FF4" w:rsidP="00F33956" w14:paraId="43837007" w14:textId="77777777">
      <w:pPr>
        <w:rPr>
          <w:b/>
          <w:bCs/>
        </w:rPr>
        <w:sectPr w:rsidSect="00FF5FF4">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2240" w:h="15840"/>
          <w:pgMar w:top="1800" w:right="2160" w:bottom="1440" w:left="2160" w:header="720" w:footer="720" w:gutter="0"/>
          <w:pgNumType w:start="1"/>
          <w:cols w:space="720"/>
          <w:titlePg/>
          <w:docGrid w:linePitch="354"/>
        </w:sectPr>
      </w:pPr>
    </w:p>
    <w:p w:rsidR="00FF5FF4" w:rsidRPr="00FF5FF4" w:rsidP="00FF5FF4" w14:paraId="4FDBC33A" w14:textId="77777777">
      <w:pPr>
        <w:spacing w:after="0" w:line="240" w:lineRule="auto"/>
        <w:jc w:val="left"/>
        <w:rPr>
          <w:i/>
          <w:sz w:val="24"/>
          <w:szCs w:val="24"/>
        </w:rPr>
      </w:pPr>
      <w:r w:rsidRPr="00FF5FF4">
        <w:rPr>
          <w:i/>
          <w:sz w:val="24"/>
          <w:szCs w:val="24"/>
        </w:rPr>
        <w:t>See next page for addresses and telephone numbers for counsel who argued in Supreme Court.</w:t>
      </w:r>
    </w:p>
    <w:p w:rsidR="00FF5FF4" w:rsidRPr="00FF5FF4" w:rsidP="00FF5FF4" w14:paraId="3CDD637C" w14:textId="77777777">
      <w:pPr>
        <w:spacing w:after="0" w:line="240" w:lineRule="auto"/>
        <w:jc w:val="left"/>
        <w:rPr>
          <w:i/>
          <w:sz w:val="24"/>
          <w:szCs w:val="24"/>
        </w:rPr>
      </w:pPr>
    </w:p>
    <w:p w:rsidR="00FF5FF4" w:rsidRPr="00FF5FF4" w:rsidP="00FF5FF4" w14:paraId="143E569B" w14:textId="77777777">
      <w:pPr>
        <w:spacing w:after="0" w:line="240" w:lineRule="auto"/>
        <w:jc w:val="left"/>
        <w:rPr>
          <w:bCs/>
          <w:sz w:val="24"/>
          <w:szCs w:val="24"/>
        </w:rPr>
      </w:pPr>
      <w:r w:rsidRPr="00FF5FF4">
        <w:rPr>
          <w:b/>
          <w:sz w:val="24"/>
          <w:szCs w:val="24"/>
        </w:rPr>
        <w:t xml:space="preserve">Name of Opinion  </w:t>
      </w:r>
      <w:r w:rsidRPr="00FF5FF4">
        <w:rPr>
          <w:bCs/>
          <w:sz w:val="24"/>
          <w:szCs w:val="24"/>
        </w:rPr>
        <w:t>In re Dezi C.</w:t>
      </w:r>
    </w:p>
    <w:p w:rsidR="00FF5FF4" w:rsidRPr="00FF5FF4" w:rsidP="00FF5FF4" w14:paraId="368D2185" w14:textId="77777777">
      <w:pPr>
        <w:spacing w:after="0" w:line="240" w:lineRule="auto"/>
        <w:jc w:val="left"/>
        <w:rPr>
          <w:b/>
          <w:sz w:val="24"/>
          <w:szCs w:val="24"/>
        </w:rPr>
      </w:pPr>
      <w:r w:rsidRPr="00FF5FF4">
        <w:rPr>
          <w:b/>
          <w:sz w:val="24"/>
          <w:szCs w:val="24"/>
        </w:rPr>
        <w:t xml:space="preserve">__________________________________________________________ </w:t>
      </w:r>
    </w:p>
    <w:p w:rsidR="00FF5FF4" w:rsidRPr="00FF5FF4" w:rsidP="00FF5FF4" w14:paraId="5F4BC168" w14:textId="77777777">
      <w:pPr>
        <w:spacing w:after="0" w:line="240" w:lineRule="auto"/>
        <w:jc w:val="left"/>
        <w:rPr>
          <w:b/>
          <w:sz w:val="24"/>
          <w:szCs w:val="24"/>
        </w:rPr>
      </w:pPr>
    </w:p>
    <w:p w:rsidR="00FF5FF4" w:rsidRPr="00FF5FF4" w:rsidP="00FF5FF4" w14:paraId="7847A7AB" w14:textId="77777777">
      <w:pPr>
        <w:spacing w:after="0" w:line="240" w:lineRule="auto"/>
        <w:jc w:val="left"/>
        <w:rPr>
          <w:sz w:val="24"/>
          <w:szCs w:val="24"/>
        </w:rPr>
      </w:pPr>
      <w:r w:rsidRPr="00FF5FF4">
        <w:rPr>
          <w:b/>
          <w:bCs/>
          <w:sz w:val="24"/>
          <w:szCs w:val="24"/>
          <w:u w:val="single"/>
        </w:rPr>
        <w:t>Procedural Posture</w:t>
      </w:r>
      <w:r w:rsidRPr="00FF5FF4">
        <w:rPr>
          <w:b/>
          <w:bCs/>
          <w:sz w:val="24"/>
          <w:szCs w:val="24"/>
        </w:rPr>
        <w:t xml:space="preserve"> </w:t>
      </w:r>
      <w:r w:rsidRPr="00FF5FF4">
        <w:rPr>
          <w:sz w:val="24"/>
          <w:szCs w:val="24"/>
        </w:rPr>
        <w:t>(see XX below)</w:t>
      </w:r>
    </w:p>
    <w:p w:rsidR="00FF5FF4" w:rsidRPr="00FF5FF4" w:rsidP="00FF5FF4" w14:paraId="6FF832BF" w14:textId="77777777">
      <w:pPr>
        <w:spacing w:after="0" w:line="240" w:lineRule="auto"/>
        <w:jc w:val="left"/>
        <w:rPr>
          <w:sz w:val="24"/>
          <w:szCs w:val="24"/>
        </w:rPr>
      </w:pPr>
      <w:r w:rsidRPr="00FF5FF4">
        <w:rPr>
          <w:b/>
          <w:bCs/>
          <w:sz w:val="24"/>
          <w:szCs w:val="24"/>
        </w:rPr>
        <w:t>Original Appeal</w:t>
      </w:r>
      <w:r w:rsidRPr="00FF5FF4">
        <w:rPr>
          <w:sz w:val="24"/>
          <w:szCs w:val="24"/>
        </w:rPr>
        <w:t xml:space="preserve"> </w:t>
      </w:r>
    </w:p>
    <w:p w:rsidR="00FF5FF4" w:rsidRPr="00FF5FF4" w:rsidP="00FF5FF4" w14:paraId="1FBFAB52" w14:textId="77777777">
      <w:pPr>
        <w:spacing w:after="0" w:line="240" w:lineRule="auto"/>
        <w:jc w:val="left"/>
        <w:rPr>
          <w:b/>
          <w:bCs/>
          <w:sz w:val="24"/>
          <w:szCs w:val="24"/>
        </w:rPr>
      </w:pPr>
      <w:r w:rsidRPr="00FF5FF4">
        <w:rPr>
          <w:b/>
          <w:bCs/>
          <w:sz w:val="24"/>
          <w:szCs w:val="24"/>
        </w:rPr>
        <w:t>Original Proceeding</w:t>
      </w:r>
    </w:p>
    <w:p w:rsidR="00FF5FF4" w:rsidRPr="00FF5FF4" w:rsidP="00FF5FF4" w14:paraId="171C2BDA" w14:textId="77777777">
      <w:pPr>
        <w:spacing w:after="0" w:line="240" w:lineRule="auto"/>
        <w:jc w:val="left"/>
        <w:rPr>
          <w:sz w:val="24"/>
          <w:szCs w:val="24"/>
        </w:rPr>
      </w:pPr>
      <w:r w:rsidRPr="00FF5FF4">
        <w:rPr>
          <w:b/>
          <w:bCs/>
          <w:sz w:val="24"/>
          <w:szCs w:val="24"/>
        </w:rPr>
        <w:t>Review Granted</w:t>
      </w:r>
      <w:r w:rsidRPr="00FF5FF4">
        <w:rPr>
          <w:sz w:val="24"/>
          <w:szCs w:val="24"/>
        </w:rPr>
        <w:t xml:space="preserve"> </w:t>
      </w:r>
      <w:r w:rsidRPr="00FF5FF4">
        <w:rPr>
          <w:b/>
          <w:bCs/>
          <w:sz w:val="24"/>
          <w:szCs w:val="24"/>
        </w:rPr>
        <w:t xml:space="preserve">(published) </w:t>
      </w:r>
      <w:r w:rsidRPr="00FF5FF4">
        <w:rPr>
          <w:sz w:val="24"/>
          <w:szCs w:val="24"/>
        </w:rPr>
        <w:t>XX 79 Cal.App.5th 769</w:t>
      </w:r>
    </w:p>
    <w:p w:rsidR="00FF5FF4" w:rsidRPr="00FF5FF4" w:rsidP="00FF5FF4" w14:paraId="2ECB137A" w14:textId="77777777">
      <w:pPr>
        <w:spacing w:after="0" w:line="240" w:lineRule="auto"/>
        <w:jc w:val="left"/>
        <w:rPr>
          <w:sz w:val="24"/>
          <w:szCs w:val="24"/>
        </w:rPr>
      </w:pPr>
      <w:r w:rsidRPr="00FF5FF4">
        <w:rPr>
          <w:b/>
          <w:bCs/>
          <w:sz w:val="24"/>
          <w:szCs w:val="24"/>
        </w:rPr>
        <w:t xml:space="preserve">Review Granted (unpublished) </w:t>
      </w:r>
    </w:p>
    <w:p w:rsidR="00FF5FF4" w:rsidRPr="00FF5FF4" w:rsidP="00FF5FF4" w14:paraId="3FB6FB86" w14:textId="77777777">
      <w:pPr>
        <w:spacing w:after="0" w:line="240" w:lineRule="auto"/>
        <w:jc w:val="left"/>
        <w:rPr>
          <w:b/>
          <w:bCs/>
          <w:sz w:val="24"/>
          <w:szCs w:val="24"/>
        </w:rPr>
      </w:pPr>
      <w:r w:rsidRPr="00FF5FF4">
        <w:rPr>
          <w:b/>
          <w:bCs/>
          <w:sz w:val="24"/>
          <w:szCs w:val="24"/>
        </w:rPr>
        <w:t>Rehearing Granted</w:t>
      </w:r>
    </w:p>
    <w:p w:rsidR="00FF5FF4" w:rsidRPr="00FF5FF4" w:rsidP="00FF5FF4" w14:paraId="69DC131A" w14:textId="77777777">
      <w:pPr>
        <w:spacing w:after="0" w:line="240" w:lineRule="auto"/>
        <w:jc w:val="left"/>
        <w:rPr>
          <w:b/>
          <w:sz w:val="24"/>
          <w:szCs w:val="24"/>
        </w:rPr>
      </w:pPr>
      <w:r w:rsidRPr="00FF5FF4">
        <w:rPr>
          <w:b/>
          <w:sz w:val="24"/>
          <w:szCs w:val="24"/>
        </w:rPr>
        <w:t xml:space="preserve">__________________________________________________________ </w:t>
      </w:r>
    </w:p>
    <w:p w:rsidR="00FF5FF4" w:rsidRPr="00FF5FF4" w:rsidP="00FF5FF4" w14:paraId="3AD5BAF7" w14:textId="77777777">
      <w:pPr>
        <w:spacing w:after="0" w:line="240" w:lineRule="auto"/>
        <w:jc w:val="left"/>
        <w:rPr>
          <w:b/>
          <w:sz w:val="24"/>
          <w:szCs w:val="24"/>
        </w:rPr>
      </w:pPr>
    </w:p>
    <w:p w:rsidR="00FF5FF4" w:rsidRPr="00FF5FF4" w:rsidP="00FF5FF4" w14:paraId="34726C80" w14:textId="77777777">
      <w:pPr>
        <w:spacing w:after="0" w:line="240" w:lineRule="auto"/>
        <w:jc w:val="left"/>
        <w:rPr>
          <w:bCs/>
          <w:sz w:val="24"/>
          <w:szCs w:val="24"/>
        </w:rPr>
      </w:pPr>
      <w:r w:rsidRPr="00FF5FF4">
        <w:rPr>
          <w:b/>
          <w:sz w:val="24"/>
          <w:szCs w:val="24"/>
        </w:rPr>
        <w:t>Opinion No.</w:t>
      </w:r>
      <w:r w:rsidRPr="00FF5FF4">
        <w:rPr>
          <w:sz w:val="24"/>
          <w:szCs w:val="24"/>
        </w:rPr>
        <w:t xml:space="preserve"> S275578</w:t>
      </w:r>
    </w:p>
    <w:p w:rsidR="00FF5FF4" w:rsidRPr="00FF5FF4" w:rsidP="00FF5FF4" w14:paraId="24B92B04" w14:textId="77777777">
      <w:pPr>
        <w:spacing w:after="0" w:line="240" w:lineRule="auto"/>
        <w:jc w:val="left"/>
        <w:rPr>
          <w:bCs/>
          <w:sz w:val="24"/>
          <w:szCs w:val="24"/>
        </w:rPr>
      </w:pPr>
      <w:r w:rsidRPr="00FF5FF4">
        <w:rPr>
          <w:b/>
          <w:sz w:val="24"/>
          <w:szCs w:val="24"/>
        </w:rPr>
        <w:t>Date Filed:</w:t>
      </w:r>
      <w:r w:rsidRPr="00FF5FF4">
        <w:rPr>
          <w:sz w:val="24"/>
          <w:szCs w:val="24"/>
        </w:rPr>
        <w:t xml:space="preserve">  August 19, 2024</w:t>
      </w:r>
    </w:p>
    <w:p w:rsidR="00FF5FF4" w:rsidRPr="00FF5FF4" w:rsidP="00FF5FF4" w14:paraId="6EB3FAFD" w14:textId="77777777">
      <w:pPr>
        <w:spacing w:after="0" w:line="240" w:lineRule="auto"/>
        <w:jc w:val="left"/>
        <w:rPr>
          <w:b/>
          <w:sz w:val="24"/>
          <w:szCs w:val="24"/>
        </w:rPr>
      </w:pPr>
      <w:r w:rsidRPr="00FF5FF4">
        <w:rPr>
          <w:b/>
          <w:sz w:val="24"/>
          <w:szCs w:val="24"/>
        </w:rPr>
        <w:t xml:space="preserve">__________________________________________________________ </w:t>
      </w:r>
    </w:p>
    <w:p w:rsidR="00FF5FF4" w:rsidRPr="00FF5FF4" w:rsidP="00FF5FF4" w14:paraId="09B0A124" w14:textId="77777777">
      <w:pPr>
        <w:spacing w:after="0" w:line="240" w:lineRule="auto"/>
        <w:jc w:val="left"/>
        <w:rPr>
          <w:b/>
          <w:sz w:val="24"/>
          <w:szCs w:val="24"/>
        </w:rPr>
      </w:pPr>
    </w:p>
    <w:p w:rsidR="00FF5FF4" w:rsidRPr="00FF5FF4" w:rsidP="00FF5FF4" w14:paraId="5822A4D7" w14:textId="77777777">
      <w:pPr>
        <w:spacing w:after="0" w:line="240" w:lineRule="auto"/>
        <w:jc w:val="left"/>
        <w:rPr>
          <w:bCs/>
          <w:sz w:val="24"/>
          <w:szCs w:val="24"/>
        </w:rPr>
      </w:pPr>
      <w:r w:rsidRPr="00FF5FF4">
        <w:rPr>
          <w:b/>
          <w:sz w:val="24"/>
          <w:szCs w:val="24"/>
        </w:rPr>
        <w:t xml:space="preserve">Court:  </w:t>
      </w:r>
      <w:r w:rsidRPr="00FF5FF4">
        <w:rPr>
          <w:bCs/>
          <w:sz w:val="24"/>
          <w:szCs w:val="24"/>
        </w:rPr>
        <w:t>Superior</w:t>
      </w:r>
      <w:r w:rsidRPr="00FF5FF4">
        <w:rPr>
          <w:b/>
          <w:sz w:val="24"/>
          <w:szCs w:val="24"/>
        </w:rPr>
        <w:t xml:space="preserve"> </w:t>
      </w:r>
    </w:p>
    <w:p w:rsidR="00FF5FF4" w:rsidRPr="00FF5FF4" w:rsidP="00FF5FF4" w14:paraId="441A9FE0" w14:textId="77777777">
      <w:pPr>
        <w:spacing w:after="0" w:line="240" w:lineRule="auto"/>
        <w:jc w:val="left"/>
        <w:rPr>
          <w:bCs/>
          <w:sz w:val="24"/>
          <w:szCs w:val="24"/>
        </w:rPr>
      </w:pPr>
      <w:r w:rsidRPr="00FF5FF4">
        <w:rPr>
          <w:b/>
          <w:sz w:val="24"/>
          <w:szCs w:val="24"/>
        </w:rPr>
        <w:t xml:space="preserve">County:  </w:t>
      </w:r>
      <w:r w:rsidRPr="00FF5FF4">
        <w:rPr>
          <w:bCs/>
          <w:sz w:val="24"/>
          <w:szCs w:val="24"/>
        </w:rPr>
        <w:t>Los Angeles</w:t>
      </w:r>
    </w:p>
    <w:p w:rsidR="00FF5FF4" w:rsidRPr="00FF5FF4" w:rsidP="00FF5FF4" w14:paraId="4C743110" w14:textId="77777777">
      <w:pPr>
        <w:spacing w:after="0" w:line="240" w:lineRule="auto"/>
        <w:ind w:left="720" w:hanging="720"/>
        <w:jc w:val="left"/>
        <w:rPr>
          <w:bCs/>
          <w:sz w:val="24"/>
          <w:szCs w:val="24"/>
        </w:rPr>
      </w:pPr>
      <w:r w:rsidRPr="00FF5FF4">
        <w:rPr>
          <w:b/>
          <w:sz w:val="24"/>
          <w:szCs w:val="24"/>
        </w:rPr>
        <w:t xml:space="preserve">Judge: </w:t>
      </w:r>
      <w:r w:rsidRPr="00FF5FF4">
        <w:rPr>
          <w:bCs/>
          <w:sz w:val="24"/>
          <w:szCs w:val="24"/>
        </w:rPr>
        <w:t xml:space="preserve"> Robin R. Kesler</w:t>
      </w:r>
    </w:p>
    <w:p w:rsidR="00FF5FF4" w:rsidRPr="00FF5FF4" w:rsidP="00FF5FF4" w14:paraId="208B00BD" w14:textId="77777777">
      <w:pPr>
        <w:spacing w:after="0" w:line="240" w:lineRule="auto"/>
        <w:jc w:val="left"/>
        <w:rPr>
          <w:b/>
          <w:sz w:val="24"/>
          <w:szCs w:val="24"/>
        </w:rPr>
      </w:pPr>
      <w:r w:rsidRPr="00FF5FF4">
        <w:rPr>
          <w:b/>
          <w:sz w:val="24"/>
          <w:szCs w:val="24"/>
        </w:rPr>
        <w:t xml:space="preserve">__________________________________________________________  </w:t>
      </w:r>
    </w:p>
    <w:p w:rsidR="00FF5FF4" w:rsidRPr="00FF5FF4" w:rsidP="00FF5FF4" w14:paraId="0FA828E8" w14:textId="77777777">
      <w:pPr>
        <w:spacing w:after="0" w:line="240" w:lineRule="auto"/>
        <w:jc w:val="left"/>
        <w:rPr>
          <w:b/>
          <w:sz w:val="24"/>
          <w:szCs w:val="24"/>
        </w:rPr>
      </w:pPr>
    </w:p>
    <w:p w:rsidR="00FF5FF4" w:rsidRPr="00FF5FF4" w:rsidP="00FF5FF4" w14:paraId="41360261" w14:textId="77777777">
      <w:pPr>
        <w:spacing w:after="0" w:line="240" w:lineRule="auto"/>
        <w:jc w:val="left"/>
        <w:rPr>
          <w:b/>
          <w:sz w:val="24"/>
          <w:szCs w:val="24"/>
        </w:rPr>
      </w:pPr>
      <w:r w:rsidRPr="00FF5FF4">
        <w:rPr>
          <w:b/>
          <w:sz w:val="24"/>
          <w:szCs w:val="24"/>
        </w:rPr>
        <w:t>Counsel:</w:t>
      </w:r>
    </w:p>
    <w:p w:rsidR="00FF5FF4" w:rsidRPr="00FF5FF4" w:rsidP="00FF5FF4" w14:paraId="5006229F" w14:textId="77777777">
      <w:pPr>
        <w:spacing w:after="0" w:line="240" w:lineRule="auto"/>
        <w:jc w:val="left"/>
        <w:rPr>
          <w:b/>
          <w:sz w:val="24"/>
          <w:szCs w:val="24"/>
        </w:rPr>
      </w:pPr>
    </w:p>
    <w:p w:rsidR="00FF5FF4" w:rsidRPr="00FF5FF4" w:rsidP="00FF5FF4" w14:paraId="166B105F" w14:textId="77777777">
      <w:pPr>
        <w:spacing w:after="0" w:line="240" w:lineRule="auto"/>
        <w:jc w:val="left"/>
        <w:rPr>
          <w:color w:val="212121"/>
          <w:sz w:val="24"/>
          <w:szCs w:val="24"/>
          <w:shd w:val="clear" w:color="auto" w:fill="FFFFFF"/>
        </w:rPr>
      </w:pPr>
      <w:r w:rsidRPr="00FF5FF4">
        <w:rPr>
          <w:color w:val="212121"/>
          <w:sz w:val="24"/>
          <w:szCs w:val="24"/>
          <w:shd w:val="clear" w:color="auto" w:fill="FFFFFF"/>
        </w:rPr>
        <w:t>Karen J. Dodd and John L. Dodd, under appointments by the Supreme Court, for Defendant and Appellant.</w:t>
      </w:r>
    </w:p>
    <w:p w:rsidR="00FF5FF4" w:rsidRPr="00FF5FF4" w:rsidP="00FF5FF4" w14:paraId="245FC17D" w14:textId="77777777">
      <w:pPr>
        <w:spacing w:after="0" w:line="240" w:lineRule="auto"/>
        <w:jc w:val="left"/>
        <w:rPr>
          <w:color w:val="212121"/>
          <w:sz w:val="24"/>
          <w:szCs w:val="24"/>
          <w:shd w:val="clear" w:color="auto" w:fill="FFFFFF"/>
        </w:rPr>
      </w:pPr>
    </w:p>
    <w:p w:rsidR="00FF5FF4" w:rsidRPr="00FF5FF4" w:rsidP="00FF5FF4" w14:paraId="088E9C00" w14:textId="77777777">
      <w:pPr>
        <w:spacing w:after="0" w:line="240" w:lineRule="auto"/>
        <w:jc w:val="left"/>
        <w:rPr>
          <w:color w:val="212121"/>
          <w:sz w:val="24"/>
          <w:szCs w:val="24"/>
          <w:shd w:val="clear" w:color="auto" w:fill="FFFFFF"/>
        </w:rPr>
      </w:pPr>
      <w:r w:rsidRPr="00FF5FF4">
        <w:rPr>
          <w:color w:val="212121"/>
          <w:sz w:val="24"/>
          <w:szCs w:val="24"/>
          <w:shd w:val="clear" w:color="auto" w:fill="FFFFFF"/>
        </w:rPr>
        <w:t>Suzanne Nicholson, Sean Angele Burleigh and Christopher Blake for California Appellate Defense Counsel as Amicus Curiae on behalf of Defendant and Appellant.</w:t>
      </w:r>
    </w:p>
    <w:p w:rsidR="00FF5FF4" w:rsidRPr="00FF5FF4" w:rsidP="00FF5FF4" w14:paraId="62035954" w14:textId="77777777">
      <w:pPr>
        <w:spacing w:after="0" w:line="240" w:lineRule="auto"/>
        <w:jc w:val="left"/>
        <w:rPr>
          <w:color w:val="212121"/>
          <w:sz w:val="24"/>
          <w:szCs w:val="24"/>
          <w:shd w:val="clear" w:color="auto" w:fill="FFFFFF"/>
        </w:rPr>
      </w:pPr>
    </w:p>
    <w:p w:rsidR="00FF5FF4" w:rsidRPr="00FF5FF4" w:rsidP="00FF5FF4" w14:paraId="3586E799" w14:textId="77777777">
      <w:pPr>
        <w:spacing w:after="0" w:line="240" w:lineRule="auto"/>
        <w:jc w:val="left"/>
        <w:rPr>
          <w:color w:val="212121"/>
          <w:sz w:val="24"/>
          <w:szCs w:val="24"/>
          <w:shd w:val="clear" w:color="auto" w:fill="FFFFFF"/>
        </w:rPr>
      </w:pPr>
      <w:r w:rsidRPr="00FF5FF4">
        <w:rPr>
          <w:color w:val="212121"/>
          <w:sz w:val="24"/>
          <w:szCs w:val="24"/>
          <w:shd w:val="clear" w:color="auto" w:fill="FFFFFF"/>
        </w:rPr>
        <w:t>Dorothy Alther, Hannah Reed, Laura Pedicini, Sheila Quinlan; Kimberly Cluff and</w:t>
      </w:r>
      <w:r w:rsidRPr="00FF5FF4">
        <w:rPr>
          <w:rFonts w:ascii="Times New Roman" w:hAnsi="Times New Roman"/>
          <w:sz w:val="26"/>
        </w:rPr>
        <w:t xml:space="preserve"> </w:t>
      </w:r>
      <w:r w:rsidRPr="00FF5FF4">
        <w:rPr>
          <w:color w:val="212121"/>
          <w:sz w:val="24"/>
          <w:szCs w:val="24"/>
          <w:shd w:val="clear" w:color="auto" w:fill="FFFFFF"/>
        </w:rPr>
        <w:t>Shunya Wade for California Indian Legal Services and California Tribal Families Coalition as Amici Curiae on behalf of Defendant and Appellant.</w:t>
      </w:r>
    </w:p>
    <w:p w:rsidR="00FF5FF4" w:rsidRPr="00FF5FF4" w:rsidP="00FF5FF4" w14:paraId="136FAAA2" w14:textId="77777777">
      <w:pPr>
        <w:spacing w:after="0" w:line="240" w:lineRule="auto"/>
        <w:jc w:val="left"/>
        <w:rPr>
          <w:color w:val="212121"/>
          <w:sz w:val="24"/>
          <w:szCs w:val="24"/>
          <w:shd w:val="clear" w:color="auto" w:fill="FFFFFF"/>
        </w:rPr>
      </w:pPr>
    </w:p>
    <w:p w:rsidR="00FF5FF4" w:rsidRPr="00FF5FF4" w:rsidP="00FF5FF4" w14:paraId="3DF1B85B" w14:textId="77777777">
      <w:pPr>
        <w:spacing w:after="0" w:line="240" w:lineRule="auto"/>
        <w:jc w:val="left"/>
        <w:rPr>
          <w:color w:val="212121"/>
          <w:sz w:val="24"/>
          <w:szCs w:val="24"/>
          <w:shd w:val="clear" w:color="auto" w:fill="FFFFFF"/>
        </w:rPr>
      </w:pPr>
      <w:r w:rsidRPr="00FF5FF4">
        <w:rPr>
          <w:color w:val="212121"/>
          <w:sz w:val="24"/>
          <w:szCs w:val="24"/>
          <w:shd w:val="clear" w:color="auto" w:fill="FFFFFF"/>
        </w:rPr>
        <w:t>Dawyn R. Harrison, County Counsel, Kim Nemoy, Assistant County Counsel, and Stephen Watson, Deputy County Counsel, for Plaintiff and Respondent.</w:t>
      </w:r>
    </w:p>
    <w:p w:rsidR="00FF5FF4" w:rsidRPr="00FF5FF4" w:rsidP="00FF5FF4" w14:paraId="7D3A5B0A" w14:textId="77777777">
      <w:pPr>
        <w:spacing w:after="0" w:line="240" w:lineRule="auto"/>
        <w:jc w:val="left"/>
        <w:rPr>
          <w:color w:val="212121"/>
          <w:sz w:val="24"/>
          <w:szCs w:val="24"/>
          <w:shd w:val="clear" w:color="auto" w:fill="FFFFFF"/>
        </w:rPr>
      </w:pPr>
    </w:p>
    <w:p w:rsidR="00FF5FF4" w:rsidRPr="00FF5FF4" w:rsidP="00FF5FF4" w14:paraId="42C3829F" w14:textId="77777777">
      <w:pPr>
        <w:spacing w:after="0" w:line="240" w:lineRule="auto"/>
        <w:jc w:val="left"/>
        <w:rPr>
          <w:color w:val="212121"/>
          <w:sz w:val="24"/>
          <w:szCs w:val="24"/>
          <w:shd w:val="clear" w:color="auto" w:fill="FFFFFF"/>
        </w:rPr>
      </w:pPr>
      <w:r w:rsidRPr="00FF5FF4">
        <w:rPr>
          <w:color w:val="212121"/>
          <w:sz w:val="24"/>
          <w:szCs w:val="24"/>
          <w:shd w:val="clear" w:color="auto" w:fill="FFFFFF"/>
        </w:rPr>
        <w:t>Jennifer Henning; Claudia G. Silva, County Counsel (San Diego), Lisa M. Maldonado, Chief Deputy County Counsel, and Eliza Molk, Deputy County Counsel, for the California State Association of Counties as Amicus Curiae on behalf of Plaintiff and Respondent.</w:t>
      </w:r>
      <w:r w:rsidRPr="00FF5FF4">
        <w:rPr>
          <w:color w:val="212121"/>
          <w:sz w:val="24"/>
          <w:szCs w:val="24"/>
          <w:shd w:val="clear" w:color="auto" w:fill="FFFFFF"/>
        </w:rPr>
        <w:br w:type="page"/>
      </w:r>
      <w:r w:rsidRPr="00FF5FF4">
        <w:rPr>
          <w:b/>
          <w:sz w:val="24"/>
          <w:szCs w:val="24"/>
        </w:rPr>
        <w:t xml:space="preserve">Counsel who argued in Supreme Court (not intended for publication with opinion): </w:t>
      </w:r>
    </w:p>
    <w:p w:rsidR="00FF5FF4" w:rsidRPr="00FF5FF4" w:rsidP="00FF5FF4" w14:paraId="6176EE7E" w14:textId="77777777">
      <w:pPr>
        <w:spacing w:after="0" w:line="240" w:lineRule="auto"/>
        <w:jc w:val="left"/>
        <w:rPr>
          <w:color w:val="212121"/>
          <w:sz w:val="24"/>
          <w:szCs w:val="24"/>
          <w:shd w:val="clear" w:color="auto" w:fill="FFFFFF"/>
        </w:rPr>
      </w:pPr>
    </w:p>
    <w:p w:rsidR="00FF5FF4" w:rsidRPr="00FF5FF4" w:rsidP="00FF5FF4" w14:paraId="2AA844B9" w14:textId="77777777">
      <w:pPr>
        <w:spacing w:after="0" w:line="240" w:lineRule="auto"/>
        <w:jc w:val="left"/>
        <w:rPr>
          <w:sz w:val="24"/>
          <w:szCs w:val="24"/>
        </w:rPr>
      </w:pPr>
      <w:r w:rsidRPr="00FF5FF4">
        <w:rPr>
          <w:sz w:val="24"/>
          <w:szCs w:val="24"/>
        </w:rPr>
        <w:t>John L. Dodd</w:t>
      </w:r>
    </w:p>
    <w:p w:rsidR="00FF5FF4" w:rsidRPr="00FF5FF4" w:rsidP="00FF5FF4" w14:paraId="146124BB" w14:textId="77777777">
      <w:pPr>
        <w:spacing w:after="0" w:line="240" w:lineRule="auto"/>
        <w:jc w:val="left"/>
        <w:rPr>
          <w:sz w:val="24"/>
          <w:szCs w:val="24"/>
        </w:rPr>
      </w:pPr>
      <w:r w:rsidRPr="00FF5FF4">
        <w:rPr>
          <w:sz w:val="24"/>
          <w:szCs w:val="24"/>
        </w:rPr>
        <w:t>Attorney at Law</w:t>
      </w:r>
    </w:p>
    <w:p w:rsidR="00FF5FF4" w:rsidRPr="00FF5FF4" w:rsidP="00FF5FF4" w14:paraId="6DCAE443" w14:textId="77777777">
      <w:pPr>
        <w:spacing w:after="0" w:line="240" w:lineRule="auto"/>
        <w:jc w:val="left"/>
        <w:rPr>
          <w:sz w:val="24"/>
          <w:szCs w:val="24"/>
        </w:rPr>
      </w:pPr>
      <w:r w:rsidRPr="00FF5FF4">
        <w:rPr>
          <w:sz w:val="24"/>
          <w:szCs w:val="24"/>
        </w:rPr>
        <w:t>17621 Irvine Boulevard, Suite 200</w:t>
      </w:r>
    </w:p>
    <w:p w:rsidR="00FF5FF4" w:rsidRPr="00FF5FF4" w:rsidP="00FF5FF4" w14:paraId="1BA3BF60" w14:textId="77777777">
      <w:pPr>
        <w:spacing w:after="0" w:line="240" w:lineRule="auto"/>
        <w:jc w:val="left"/>
        <w:rPr>
          <w:sz w:val="24"/>
          <w:szCs w:val="24"/>
        </w:rPr>
      </w:pPr>
      <w:r w:rsidRPr="00FF5FF4">
        <w:rPr>
          <w:sz w:val="24"/>
          <w:szCs w:val="24"/>
        </w:rPr>
        <w:t>Tustin, CA 92780</w:t>
      </w:r>
    </w:p>
    <w:p w:rsidR="00FF5FF4" w:rsidRPr="00FF5FF4" w:rsidP="00FF5FF4" w14:paraId="73F1820A" w14:textId="77777777">
      <w:pPr>
        <w:spacing w:after="0" w:line="240" w:lineRule="auto"/>
        <w:jc w:val="left"/>
        <w:rPr>
          <w:sz w:val="24"/>
          <w:szCs w:val="24"/>
        </w:rPr>
      </w:pPr>
      <w:r w:rsidRPr="00FF5FF4">
        <w:rPr>
          <w:sz w:val="24"/>
          <w:szCs w:val="24"/>
        </w:rPr>
        <w:t>(714) 731-5572</w:t>
      </w:r>
    </w:p>
    <w:p w:rsidR="00FF5FF4" w:rsidRPr="00FF5FF4" w:rsidP="00FF5FF4" w14:paraId="1316B45E" w14:textId="77777777">
      <w:pPr>
        <w:spacing w:after="0" w:line="240" w:lineRule="auto"/>
        <w:jc w:val="left"/>
        <w:rPr>
          <w:sz w:val="24"/>
          <w:szCs w:val="24"/>
        </w:rPr>
      </w:pPr>
    </w:p>
    <w:p w:rsidR="00FF5FF4" w:rsidRPr="00FF5FF4" w:rsidP="00FF5FF4" w14:paraId="69124201" w14:textId="77777777">
      <w:pPr>
        <w:spacing w:after="0" w:line="240" w:lineRule="auto"/>
        <w:jc w:val="left"/>
        <w:rPr>
          <w:color w:val="212121"/>
          <w:sz w:val="24"/>
          <w:szCs w:val="24"/>
          <w:shd w:val="clear" w:color="auto" w:fill="FFFFFF"/>
        </w:rPr>
      </w:pPr>
      <w:r w:rsidRPr="00FF5FF4">
        <w:rPr>
          <w:color w:val="212121"/>
          <w:sz w:val="24"/>
          <w:szCs w:val="24"/>
          <w:shd w:val="clear" w:color="auto" w:fill="FFFFFF"/>
        </w:rPr>
        <w:t>Stephen Watson</w:t>
      </w:r>
    </w:p>
    <w:p w:rsidR="00FF5FF4" w:rsidRPr="00FF5FF4" w:rsidP="00FF5FF4" w14:paraId="7C7B019E" w14:textId="77777777">
      <w:pPr>
        <w:spacing w:after="0" w:line="240" w:lineRule="auto"/>
        <w:jc w:val="left"/>
        <w:rPr>
          <w:color w:val="212121"/>
          <w:sz w:val="24"/>
          <w:szCs w:val="24"/>
          <w:shd w:val="clear" w:color="auto" w:fill="FFFFFF"/>
        </w:rPr>
      </w:pPr>
      <w:r w:rsidRPr="00FF5FF4">
        <w:rPr>
          <w:color w:val="212121"/>
          <w:sz w:val="24"/>
          <w:szCs w:val="24"/>
          <w:shd w:val="clear" w:color="auto" w:fill="FFFFFF"/>
        </w:rPr>
        <w:t>Deputy County Counsel</w:t>
      </w:r>
    </w:p>
    <w:p w:rsidR="00FF5FF4" w:rsidRPr="00FF5FF4" w:rsidP="00FF5FF4" w14:paraId="15FA01C3" w14:textId="77777777">
      <w:pPr>
        <w:spacing w:after="0" w:line="240" w:lineRule="auto"/>
        <w:jc w:val="left"/>
        <w:rPr>
          <w:sz w:val="24"/>
          <w:szCs w:val="24"/>
        </w:rPr>
      </w:pPr>
      <w:r w:rsidRPr="00FF5FF4">
        <w:rPr>
          <w:sz w:val="24"/>
          <w:szCs w:val="24"/>
        </w:rPr>
        <w:t>500 West Temple Street, Suite 648</w:t>
      </w:r>
    </w:p>
    <w:p w:rsidR="00FF5FF4" w:rsidRPr="00FF5FF4" w:rsidP="00FF5FF4" w14:paraId="332256F4" w14:textId="77777777">
      <w:pPr>
        <w:spacing w:after="0" w:line="240" w:lineRule="auto"/>
        <w:jc w:val="left"/>
        <w:rPr>
          <w:sz w:val="24"/>
          <w:szCs w:val="24"/>
        </w:rPr>
      </w:pPr>
      <w:r w:rsidRPr="00FF5FF4">
        <w:rPr>
          <w:sz w:val="24"/>
          <w:szCs w:val="24"/>
        </w:rPr>
        <w:t>Los Angeles, CA 90012</w:t>
      </w:r>
    </w:p>
    <w:p w:rsidR="00FF5FF4" w:rsidRPr="00FF5FF4" w:rsidP="00FF5FF4" w14:paraId="476EA28F" w14:textId="77777777">
      <w:pPr>
        <w:spacing w:after="0" w:line="240" w:lineRule="auto"/>
        <w:jc w:val="left"/>
        <w:rPr>
          <w:sz w:val="24"/>
          <w:szCs w:val="24"/>
        </w:rPr>
      </w:pPr>
      <w:r w:rsidRPr="00FF5FF4">
        <w:rPr>
          <w:sz w:val="24"/>
          <w:szCs w:val="24"/>
        </w:rPr>
        <w:t>(213) 808-8774</w:t>
      </w:r>
    </w:p>
    <w:p w:rsidR="00B75944" w:rsidRPr="00F33956" w:rsidP="00F33956" w14:paraId="7F0828E6" w14:textId="6DEC72C5">
      <w:pPr>
        <w:rPr>
          <w:b/>
          <w:bCs/>
        </w:rPr>
      </w:pPr>
    </w:p>
    <w:sectPr w:rsidSect="00FF5FF4">
      <w:headerReference w:type="even" r:id="rId22"/>
      <w:headerReference w:type="default" r:id="rId23"/>
      <w:footerReference w:type="even" r:id="rId24"/>
      <w:footerReference w:type="default" r:id="rId25"/>
      <w:headerReference w:type="first" r:id="rId26"/>
      <w:footerReference w:type="first" r:id="rId27"/>
      <w:pgSz w:w="12240" w:h="15840"/>
      <w:pgMar w:top="1800" w:right="2160" w:bottom="1440" w:left="216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264E3" w14:paraId="10E62602" w14:textId="77777777">
      <w:r>
        <w:separator/>
      </w:r>
    </w:p>
  </w:endnote>
  <w:endnote w:type="continuationSeparator" w:id="1">
    <w:p w:rsidR="00A264E3" w14:paraId="66054D42" w14:textId="77777777">
      <w:r>
        <w:continuationSeparator/>
      </w:r>
    </w:p>
  </w:endnote>
  <w:endnote w:type="continuationNotice" w:id="2">
    <w:p w:rsidR="00A264E3" w14:paraId="4CDABAE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97056434"/>
      <w:docPartObj>
        <w:docPartGallery w:val="Page Numbers (Bottom of Page)"/>
        <w:docPartUnique/>
      </w:docPartObj>
    </w:sdtPr>
    <w:sdtEndPr>
      <w:rPr>
        <w:noProof/>
      </w:rPr>
    </w:sdtEndPr>
    <w:sdtContent>
      <w:p w:rsidR="00AB3D45" w:rsidP="00F33956" w14:paraId="5BBD9FAB" w14:textId="7CF57EF6">
        <w:pPr>
          <w:pStyle w:val="Footer"/>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947" w14:paraId="2FED464F"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947" w14:paraId="4E5291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7855" w14:paraId="16C9B55E" w14:textId="77777777">
    <w:pPr>
      <w:pStyle w:val="Foo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947" w14:paraId="4979910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12560926"/>
      <w:docPartObj>
        <w:docPartGallery w:val="Page Numbers (Bottom of Page)"/>
        <w:docPartUnique/>
      </w:docPartObj>
    </w:sdtPr>
    <w:sdtEndPr>
      <w:rPr>
        <w:noProof/>
      </w:rPr>
    </w:sdtEndPr>
    <w:sdtContent>
      <w:p w:rsidR="00875947" w14:paraId="2F6A28DF" w14:textId="77777777">
        <w:pPr>
          <w:pStyle w:val="Footer"/>
        </w:pPr>
        <w:r w:rsidRPr="002339BE">
          <w:rPr>
            <w:szCs w:val="22"/>
          </w:rPr>
          <w:fldChar w:fldCharType="begin"/>
        </w:r>
        <w:r w:rsidRPr="002339BE">
          <w:rPr>
            <w:szCs w:val="22"/>
          </w:rPr>
          <w:instrText xml:space="preserve"> PAGE   \* MERGEFORMAT </w:instrText>
        </w:r>
        <w:r w:rsidRPr="002339BE">
          <w:rPr>
            <w:szCs w:val="22"/>
          </w:rPr>
          <w:fldChar w:fldCharType="separate"/>
        </w:r>
        <w:r w:rsidRPr="002339BE">
          <w:rPr>
            <w:noProof/>
            <w:szCs w:val="22"/>
          </w:rPr>
          <w:t>2</w:t>
        </w:r>
        <w:r w:rsidRPr="002339BE">
          <w:rPr>
            <w:noProof/>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448302"/>
      <w:docPartObj>
        <w:docPartGallery w:val="Page Numbers (Bottom of Page)"/>
        <w:docPartUnique/>
      </w:docPartObj>
    </w:sdtPr>
    <w:sdtEndPr>
      <w:rPr>
        <w:noProof/>
      </w:rPr>
    </w:sdtEndPr>
    <w:sdtContent>
      <w:p w:rsidR="00875947" w14:paraId="7EF6F169" w14:textId="77777777">
        <w:pPr>
          <w:pStyle w:val="Footer"/>
        </w:pPr>
        <w:r w:rsidRPr="00FA05A5">
          <w:rPr>
            <w:szCs w:val="22"/>
          </w:rPr>
          <w:fldChar w:fldCharType="begin"/>
        </w:r>
        <w:r w:rsidRPr="00FA05A5">
          <w:rPr>
            <w:szCs w:val="22"/>
          </w:rPr>
          <w:instrText xml:space="preserve"> PAGE   \* MERGEFORMAT </w:instrText>
        </w:r>
        <w:r w:rsidRPr="00FA05A5">
          <w:rPr>
            <w:szCs w:val="22"/>
          </w:rPr>
          <w:fldChar w:fldCharType="separate"/>
        </w:r>
        <w:r w:rsidRPr="00FA05A5">
          <w:rPr>
            <w:noProof/>
            <w:szCs w:val="22"/>
          </w:rPr>
          <w:t>2</w:t>
        </w:r>
        <w:r w:rsidRPr="00FA05A5">
          <w:rPr>
            <w:noProof/>
            <w:szCs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947" w14:paraId="5C3BEEDA"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947" w:rsidRPr="00BA1DC1" w14:paraId="7C88C6DB" w14:textId="77777777">
    <w:pPr>
      <w:pStyle w:val="Footer"/>
      <w:rPr>
        <w:szCs w:val="22"/>
      </w:rPr>
    </w:pPr>
    <w:r w:rsidRPr="00BA1DC1">
      <w:rPr>
        <w:szCs w:val="22"/>
      </w:rPr>
      <w:fldChar w:fldCharType="begin"/>
    </w:r>
    <w:r w:rsidRPr="00BA1DC1">
      <w:rPr>
        <w:szCs w:val="22"/>
      </w:rPr>
      <w:instrText>PAGE</w:instrText>
    </w:r>
    <w:r w:rsidRPr="00BA1DC1">
      <w:rPr>
        <w:szCs w:val="22"/>
      </w:rPr>
      <w:fldChar w:fldCharType="separate"/>
    </w:r>
    <w:r w:rsidRPr="00BA1DC1">
      <w:rPr>
        <w:noProof/>
        <w:szCs w:val="22"/>
      </w:rPr>
      <w:t>1</w:t>
    </w:r>
    <w:r w:rsidRPr="00BA1DC1">
      <w:rPr>
        <w:noProof/>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53687729"/>
      <w:docPartObj>
        <w:docPartGallery w:val="Page Numbers (Bottom of Page)"/>
        <w:docPartUnique/>
      </w:docPartObj>
    </w:sdtPr>
    <w:sdtEndPr>
      <w:rPr>
        <w:noProof/>
      </w:rPr>
    </w:sdtEndPr>
    <w:sdtContent>
      <w:p w:rsidR="00FF5FF4" w14:paraId="3BEEDD84" w14:textId="28E9B1D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947" w14:paraId="062071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264E3" w14:paraId="286330EE" w14:textId="77777777">
      <w:r>
        <w:separator/>
      </w:r>
    </w:p>
  </w:footnote>
  <w:footnote w:type="continuationSeparator" w:id="1">
    <w:p w:rsidR="00A264E3" w14:paraId="6EF1A788" w14:textId="77777777">
      <w:pPr>
        <w:rPr>
          <w:sz w:val="22"/>
        </w:rPr>
      </w:pPr>
      <w:r>
        <w:continuationSeparator/>
      </w:r>
    </w:p>
  </w:footnote>
  <w:footnote w:type="continuationNotice" w:id="2">
    <w:p w:rsidR="00A264E3" w14:paraId="050E1B20" w14:textId="77777777">
      <w:pPr>
        <w:jc w:val="right"/>
        <w:rPr>
          <w:i/>
          <w:sz w:val="20"/>
        </w:rPr>
      </w:pPr>
    </w:p>
  </w:footnote>
  <w:footnote w:id="3">
    <w:p w:rsidR="000D5A67" w:rsidP="000D5A67" w14:paraId="4C3ACAA6" w14:textId="77777777">
      <w:pPr>
        <w:pStyle w:val="FootnoteText"/>
      </w:pPr>
      <w:r>
        <w:rPr>
          <w:rStyle w:val="FootnoteReference"/>
        </w:rPr>
        <w:footnoteRef/>
      </w:r>
      <w:r>
        <w:t xml:space="preserve"> </w:t>
      </w:r>
      <w:r>
        <w:tab/>
        <w:t xml:space="preserve">The language of both federal and state law uses the term “Indian.”  California courts have used alternative terms, such as “American Indian” or “Native American”; we use the term “Indian” throughout to reflect the statutory language but keep the terminology used by the various courts when quoting from their opinions.  No disrespect is intended. </w:t>
      </w:r>
    </w:p>
  </w:footnote>
  <w:footnote w:id="4">
    <w:p w:rsidR="00871466" w:rsidP="00997855" w14:paraId="2C93A3E0" w14:textId="05575E6D">
      <w:pPr>
        <w:pStyle w:val="FootnoteText"/>
      </w:pPr>
      <w:r>
        <w:rPr>
          <w:rStyle w:val="FootnoteReference"/>
        </w:rPr>
        <w:footnoteRef/>
      </w:r>
      <w:r>
        <w:t xml:space="preserve"> </w:t>
      </w:r>
      <w:r w:rsidR="00FF3D65">
        <w:tab/>
      </w:r>
      <w:r>
        <w:t>Subsequent statutory references are to the Welfare and Institutions Code unless otherwise specified.</w:t>
      </w:r>
    </w:p>
  </w:footnote>
  <w:footnote w:id="5">
    <w:p w:rsidR="00EB334B" w:rsidRPr="006B4FFF" w:rsidP="00997855" w14:paraId="4CF00249" w14:textId="289B17FD">
      <w:pPr>
        <w:pStyle w:val="FootnoteText"/>
      </w:pPr>
      <w:r>
        <w:rPr>
          <w:rStyle w:val="FootnoteReference"/>
        </w:rPr>
        <w:footnoteRef/>
      </w:r>
      <w:r>
        <w:t xml:space="preserve"> </w:t>
      </w:r>
      <w:r>
        <w:tab/>
      </w:r>
      <w:r w:rsidR="00D679D2">
        <w:t>An i</w:t>
      </w:r>
      <w:r w:rsidR="003C0753">
        <w:t xml:space="preserve">mplementing </w:t>
      </w:r>
      <w:r w:rsidR="00502F5B">
        <w:t xml:space="preserve">federal regulation </w:t>
      </w:r>
      <w:r w:rsidR="005A4F36">
        <w:t xml:space="preserve">notes “participant” includes attorneys.  </w:t>
      </w:r>
      <w:r w:rsidR="00D52D84">
        <w:t>(ICWA Proceedings, 81</w:t>
      </w:r>
      <w:r w:rsidR="008E00DA">
        <w:t> </w:t>
      </w:r>
      <w:r w:rsidR="00D52D84">
        <w:t>Fed.Reg.</w:t>
      </w:r>
      <w:r w:rsidR="00764EF4">
        <w:t xml:space="preserve">, </w:t>
      </w:r>
      <w:r w:rsidRPr="00D52D84" w:rsidR="00764EF4">
        <w:rPr>
          <w:i/>
          <w:iCs/>
        </w:rPr>
        <w:t>supra</w:t>
      </w:r>
      <w:r w:rsidR="00764EF4">
        <w:t>,</w:t>
      </w:r>
      <w:r w:rsidR="00D52D84">
        <w:t xml:space="preserve"> at </w:t>
      </w:r>
      <w:r w:rsidR="00764EF4">
        <w:t xml:space="preserve">p. </w:t>
      </w:r>
      <w:r w:rsidR="00D52D84">
        <w:t>38803.</w:t>
      </w:r>
      <w:r w:rsidR="006B4FFF">
        <w:t>)</w:t>
      </w:r>
      <w:r w:rsidR="00D52D84">
        <w:t xml:space="preserve">  </w:t>
      </w:r>
      <w:r w:rsidR="000D394C">
        <w:t xml:space="preserve">It also </w:t>
      </w:r>
      <w:r w:rsidR="00295748">
        <w:t xml:space="preserve">observes that </w:t>
      </w:r>
      <w:r w:rsidR="000D394C">
        <w:t>“participants</w:t>
      </w:r>
      <w:r w:rsidRPr="000D394C" w:rsidR="000D394C">
        <w:t xml:space="preserve"> could also include the State agency, parents, the custodian, relatives or trial witnesses, depending on who is involved in the case.</w:t>
      </w:r>
      <w:r w:rsidR="000D394C">
        <w:t xml:space="preserve">”  </w:t>
      </w:r>
      <w:r w:rsidR="006B4FFF">
        <w:t>(</w:t>
      </w:r>
      <w:r w:rsidR="006B4FFF">
        <w:rPr>
          <w:i/>
          <w:iCs/>
        </w:rPr>
        <w:t>Ibid.</w:t>
      </w:r>
      <w:r w:rsidR="006B4FFF">
        <w:t>)</w:t>
      </w:r>
    </w:p>
  </w:footnote>
  <w:footnote w:id="6">
    <w:p w:rsidR="00674B4F" w:rsidP="00997855" w14:paraId="1C39BFEF" w14:textId="3F9AB29C">
      <w:pPr>
        <w:pStyle w:val="FootnoteText"/>
      </w:pPr>
      <w:r>
        <w:rPr>
          <w:rStyle w:val="FootnoteReference"/>
        </w:rPr>
        <w:footnoteRef/>
      </w:r>
      <w:r>
        <w:tab/>
        <w:t>CILS is also amicus curiae in this case.</w:t>
      </w:r>
    </w:p>
  </w:footnote>
  <w:footnote w:id="7">
    <w:p w:rsidR="004F79A8" w:rsidP="00997855" w14:paraId="42D57E0C" w14:textId="4893A985">
      <w:pPr>
        <w:pStyle w:val="FootnoteText"/>
      </w:pPr>
      <w:r>
        <w:rPr>
          <w:rStyle w:val="FootnoteReference"/>
        </w:rPr>
        <w:footnoteRef/>
      </w:r>
      <w:r>
        <w:tab/>
        <w:t>References to rules are to the California Rules of Court. The California Constitution directs the Judicial Council to “adopt rules for court administration, practice and procedure.”  (Cal. Const., art. VI, § 6, subd. (d); see § 265 [concerning rules for juvenile courts].)  Rules adopted by the Judicial Council “are entitled to a measure of judicial deference.”  (</w:t>
      </w:r>
      <w:r w:rsidRPr="00801824">
        <w:rPr>
          <w:i/>
          <w:iCs/>
        </w:rPr>
        <w:t>Sara M. v. Superior Court</w:t>
      </w:r>
      <w:r>
        <w:t xml:space="preserve"> (2005) 36</w:t>
      </w:r>
      <w:r w:rsidR="00607B36">
        <w:t> </w:t>
      </w:r>
      <w:r>
        <w:t xml:space="preserve">Cal.4th 998, 1014; accord, </w:t>
      </w:r>
      <w:r w:rsidRPr="00801824">
        <w:rPr>
          <w:i/>
          <w:iCs/>
        </w:rPr>
        <w:t>Abbigail A.</w:t>
      </w:r>
      <w:r>
        <w:t xml:space="preserve">, </w:t>
      </w:r>
      <w:r w:rsidRPr="007C4484">
        <w:rPr>
          <w:i/>
          <w:iCs/>
        </w:rPr>
        <w:t>supra</w:t>
      </w:r>
      <w:r>
        <w:t>, 1 Cal.5th at p. 92.)</w:t>
      </w:r>
    </w:p>
    <w:p w:rsidR="004F79A8" w:rsidRPr="007B21C2" w:rsidP="00CE5B4A" w14:paraId="13515E91" w14:textId="365A5305">
      <w:pPr>
        <w:pStyle w:val="FootnoteText"/>
        <w:ind w:firstLine="720"/>
      </w:pPr>
      <w:r>
        <w:t xml:space="preserve">Rule 5.481 parallels the inquiry and notice statutes of </w:t>
      </w:r>
      <w:r w:rsidR="00B53270">
        <w:t>sections 224.2 and 224.3</w:t>
      </w:r>
      <w:r>
        <w:t xml:space="preserve"> and directs courts, court investigators, and agencies to inquire of the child, parents, “</w:t>
      </w:r>
      <w:r w:rsidRPr="00513496">
        <w:t>Indian custodian, or legal guardians, extended family members, others who have an interest in the child, and where applicable the party reporting child abuse or neglect,</w:t>
      </w:r>
      <w:r>
        <w:t xml:space="preserve">” whether the child might be an Indian child.  (Rule 5.481(a)(1).)  Importantly, the rule requires </w:t>
      </w:r>
      <w:r w:rsidR="00517456">
        <w:t xml:space="preserve">a </w:t>
      </w:r>
      <w:r>
        <w:t>petitioner in a dependency proceeding on an “</w:t>
      </w:r>
      <w:r w:rsidRPr="007852A6">
        <w:t xml:space="preserve">ongoing basis </w:t>
      </w:r>
      <w:r>
        <w:t xml:space="preserve">[to] </w:t>
      </w:r>
      <w:r w:rsidRPr="007852A6">
        <w:t>include in its filings a detailed description of all inquiries, and further inquiries it has undertaken, and all information received pertaining to the child</w:t>
      </w:r>
      <w:r>
        <w:t>’</w:t>
      </w:r>
      <w:r w:rsidRPr="007852A6">
        <w:t>s Indian status, as well as evidence of how and when this information was provided to the relevant tribes. Whenever new information is received, that information must be expeditiously provided to the tribes.</w:t>
      </w:r>
      <w:r>
        <w:t>”  (</w:t>
      </w:r>
      <w:r w:rsidR="004E1BCD">
        <w:t>Rule 5.481</w:t>
      </w:r>
      <w:r>
        <w:t xml:space="preserve">(a)(5).)  </w:t>
      </w:r>
    </w:p>
  </w:footnote>
  <w:footnote w:id="8">
    <w:p w:rsidR="00C2563F" w:rsidP="00997855" w14:paraId="22D35D33" w14:textId="6B2C4005">
      <w:pPr>
        <w:pStyle w:val="FootnoteText"/>
      </w:pPr>
      <w:r>
        <w:rPr>
          <w:rStyle w:val="FootnoteReference"/>
        </w:rPr>
        <w:footnoteRef/>
      </w:r>
      <w:r>
        <w:t xml:space="preserve"> </w:t>
      </w:r>
      <w:r>
        <w:tab/>
        <w:t>“Indian child” is defined in the same manner under state law as federal law</w:t>
      </w:r>
      <w:r w:rsidR="00B60629">
        <w:t>.  (§</w:t>
      </w:r>
      <w:r w:rsidR="00607B36">
        <w:t> </w:t>
      </w:r>
      <w:r w:rsidR="00B60629">
        <w:t xml:space="preserve">224.1, subd. (a).)  </w:t>
      </w:r>
    </w:p>
  </w:footnote>
  <w:footnote w:id="9">
    <w:p w:rsidR="005C59D4" w14:paraId="2FA6BEAE" w14:textId="418A30C1">
      <w:pPr>
        <w:pStyle w:val="FootnoteText"/>
      </w:pPr>
      <w:r>
        <w:rPr>
          <w:rStyle w:val="FootnoteReference"/>
        </w:rPr>
        <w:footnoteRef/>
      </w:r>
      <w:r>
        <w:t xml:space="preserve"> </w:t>
      </w:r>
      <w:r w:rsidR="00DF6393">
        <w:tab/>
      </w:r>
      <w:r w:rsidR="00DF6393">
        <w:rPr>
          <w:rStyle w:val="ui-provider"/>
        </w:rPr>
        <w:t xml:space="preserve">We have granted review in </w:t>
      </w:r>
      <w:r w:rsidR="00DF6393">
        <w:rPr>
          <w:rStyle w:val="ui-provider"/>
          <w:i/>
          <w:iCs/>
        </w:rPr>
        <w:t>In re Ja.O.</w:t>
      </w:r>
      <w:r w:rsidR="00DF6393">
        <w:rPr>
          <w:rStyle w:val="ui-provider"/>
        </w:rPr>
        <w:t xml:space="preserve"> (2023) 91 Cal.App.5th 672 (review granted July 26, 2023, S280572) to decide whether the inquiry duty under section 224.2, subdivision (b) applies to children taken into custody by means of a protective custody warrant (§ 340).  That issue is not before us, and we do not comment on the issue here.</w:t>
      </w:r>
    </w:p>
  </w:footnote>
  <w:footnote w:id="10">
    <w:p w:rsidR="00DE528A" w:rsidP="00997855" w14:paraId="2A856623" w14:textId="571C7AA6">
      <w:pPr>
        <w:pStyle w:val="FootnoteText"/>
      </w:pPr>
      <w:r>
        <w:rPr>
          <w:rStyle w:val="FootnoteReference"/>
        </w:rPr>
        <w:footnoteRef/>
      </w:r>
      <w:r>
        <w:tab/>
      </w:r>
      <w:r w:rsidR="0064638A">
        <w:t>T</w:t>
      </w:r>
      <w:r w:rsidRPr="006B7804">
        <w:t xml:space="preserve">he Legislature amended section 224.2, subdivision (e) </w:t>
      </w:r>
      <w:r w:rsidR="0064638A">
        <w:t xml:space="preserve">in 2020 </w:t>
      </w:r>
      <w:r w:rsidRPr="006B7804">
        <w:t xml:space="preserve">to define “reason to believe,” which was previously undefined.  (Assem. Bill No. 2944 (2019–2020 Reg. Sess.) § 15, pp. 24–25, eff. Sept. 18, 2020; </w:t>
      </w:r>
      <w:r w:rsidRPr="006B7804">
        <w:rPr>
          <w:i/>
          <w:iCs/>
        </w:rPr>
        <w:t>K.H.</w:t>
      </w:r>
      <w:r w:rsidR="00E12F8F">
        <w:t xml:space="preserve">, </w:t>
      </w:r>
      <w:r w:rsidR="00E12F8F">
        <w:rPr>
          <w:i/>
          <w:iCs/>
        </w:rPr>
        <w:t>supra</w:t>
      </w:r>
      <w:r w:rsidR="00E12F8F">
        <w:t xml:space="preserve">, </w:t>
      </w:r>
      <w:r w:rsidRPr="006B7804">
        <w:t xml:space="preserve">84 Cal.App.5th </w:t>
      </w:r>
      <w:r w:rsidR="00E12F8F">
        <w:t>at pp. </w:t>
      </w:r>
      <w:r w:rsidRPr="006B7804">
        <w:t xml:space="preserve">595–596; see </w:t>
      </w:r>
      <w:r w:rsidRPr="006B7804">
        <w:rPr>
          <w:i/>
          <w:iCs/>
        </w:rPr>
        <w:t>In re D.S.</w:t>
      </w:r>
      <w:r w:rsidRPr="006B7804">
        <w:t xml:space="preserve"> (2020) 46 Cal.App.5th 1041, 1049.)</w:t>
      </w:r>
      <w:r w:rsidR="0064638A">
        <w:t xml:space="preserve">  “Re</w:t>
      </w:r>
      <w:r w:rsidR="00B62D64">
        <w:t>ason to believe” means that “</w:t>
      </w:r>
      <w:r w:rsidRPr="00B62D64" w:rsidR="00B62D64">
        <w:t>the court, social worker, or probation officer has information suggesting that either the parent of the child or the child is a member or may be eligible for membership in an Indian tribe.</w:t>
      </w:r>
      <w:r w:rsidR="00B62D64">
        <w:t xml:space="preserve"> </w:t>
      </w:r>
      <w:r w:rsidRPr="00B62D64" w:rsidR="00B62D64">
        <w:t xml:space="preserve"> Information suggesting membership or eligibility for membership includes, but is not limited to, information that indicates, but does not establish, the existence of one or more of the grounds for reason to know enumerated in paragraphs (1) to (6), inclusive, of subdivision (d).</w:t>
      </w:r>
      <w:r w:rsidR="00B905E6">
        <w:t xml:space="preserve">”  </w:t>
      </w:r>
      <w:r w:rsidR="00132704">
        <w:t>(§</w:t>
      </w:r>
      <w:r w:rsidR="00E12F8F">
        <w:t> </w:t>
      </w:r>
      <w:r w:rsidR="00132704">
        <w:t>224.2, subd.</w:t>
      </w:r>
      <w:r w:rsidR="00E12F8F">
        <w:t> </w:t>
      </w:r>
      <w:r w:rsidR="00132704">
        <w:t>(e)(1).)</w:t>
      </w:r>
    </w:p>
  </w:footnote>
  <w:footnote w:id="11">
    <w:p w:rsidR="00ED18CB" w:rsidRPr="00ED18CB" w14:paraId="34666BC0" w14:textId="0D13259F">
      <w:pPr>
        <w:pStyle w:val="FootnoteText"/>
      </w:pPr>
      <w:r w:rsidRPr="00863037">
        <w:rPr>
          <w:rStyle w:val="FootnoteReference"/>
        </w:rPr>
        <w:footnoteRef/>
      </w:r>
      <w:r w:rsidRPr="00DD2565">
        <w:t xml:space="preserve"> </w:t>
      </w:r>
      <w:r w:rsidRPr="00DD2565">
        <w:tab/>
        <w:t xml:space="preserve">In </w:t>
      </w:r>
      <w:r w:rsidRPr="00DD2565">
        <w:rPr>
          <w:i/>
          <w:iCs/>
        </w:rPr>
        <w:t>Kenneth D.</w:t>
      </w:r>
      <w:r w:rsidRPr="00DD2565">
        <w:t xml:space="preserve">, also filed today, we consider </w:t>
      </w:r>
      <w:r w:rsidRPr="00DD2565" w:rsidR="0077776D">
        <w:t xml:space="preserve">whether, when the statutorily required inquiry is inadequate, </w:t>
      </w:r>
      <w:r w:rsidRPr="00DD2565" w:rsidR="00AC0B23">
        <w:t xml:space="preserve">an appellate court may consider postjudgment evidence to conclude the error is </w:t>
      </w:r>
      <w:r w:rsidR="009C18C8">
        <w:t>harmless</w:t>
      </w:r>
      <w:r w:rsidRPr="00DD2565" w:rsidR="00AC0B23">
        <w:t xml:space="preserve">.  We hold </w:t>
      </w:r>
      <w:r w:rsidRPr="00DD2565" w:rsidR="00C52809">
        <w:t>that</w:t>
      </w:r>
      <w:r w:rsidRPr="00DD2565" w:rsidR="00803CBA">
        <w:t xml:space="preserve"> such evidence</w:t>
      </w:r>
      <w:r w:rsidRPr="007B0B82" w:rsidR="00DD2565">
        <w:t xml:space="preserve"> may</w:t>
      </w:r>
      <w:r w:rsidRPr="00DD2565" w:rsidR="00803CBA">
        <w:t xml:space="preserve"> generally not be considered absent exceptional circumstances.  (</w:t>
      </w:r>
      <w:r w:rsidRPr="00DD2565" w:rsidR="00803CBA">
        <w:rPr>
          <w:i/>
          <w:iCs/>
        </w:rPr>
        <w:t>Kenneth D.</w:t>
      </w:r>
      <w:r w:rsidRPr="00DD2565" w:rsidR="00803CBA">
        <w:t xml:space="preserve">, </w:t>
      </w:r>
      <w:r w:rsidRPr="00DD2565" w:rsidR="00803CBA">
        <w:rPr>
          <w:i/>
          <w:iCs/>
        </w:rPr>
        <w:t>supra</w:t>
      </w:r>
      <w:r w:rsidRPr="00DD2565" w:rsidR="00803CBA">
        <w:t>, __</w:t>
      </w:r>
      <w:r w:rsidR="00C12147">
        <w:t>_</w:t>
      </w:r>
      <w:r w:rsidRPr="00DD2565" w:rsidR="00803CBA">
        <w:t xml:space="preserve"> Cal.5th at p. __</w:t>
      </w:r>
      <w:r w:rsidR="00C12147">
        <w:t>_</w:t>
      </w:r>
      <w:r w:rsidRPr="00DD2565" w:rsidR="00803CBA">
        <w:t xml:space="preserve"> </w:t>
      </w:r>
      <w:r w:rsidR="00AD14D3">
        <w:t>[</w:t>
      </w:r>
      <w:r w:rsidRPr="00DD2565" w:rsidR="00803CBA">
        <w:t>p. 1</w:t>
      </w:r>
      <w:r w:rsidR="00AD14D3">
        <w:t>]</w:t>
      </w:r>
      <w:r w:rsidRPr="00DD2565" w:rsidR="00803CBA">
        <w:t>.)</w:t>
      </w:r>
    </w:p>
  </w:footnote>
  <w:footnote w:id="12">
    <w:p w:rsidR="000F7A00" w:rsidP="00997855" w14:paraId="5C438FCC" w14:textId="37622764">
      <w:pPr>
        <w:pStyle w:val="FootnoteText"/>
      </w:pPr>
      <w:r>
        <w:rPr>
          <w:rStyle w:val="FootnoteReference"/>
        </w:rPr>
        <w:footnoteRef/>
      </w:r>
      <w:r>
        <w:t xml:space="preserve"> </w:t>
      </w:r>
      <w:r>
        <w:tab/>
        <w:t xml:space="preserve">Some courts view this test as treating </w:t>
      </w:r>
      <w:r w:rsidRPr="0012757A" w:rsidR="0096422C">
        <w:t>Cal-</w:t>
      </w:r>
      <w:r w:rsidRPr="0012757A">
        <w:t>ICWA</w:t>
      </w:r>
      <w:r>
        <w:t xml:space="preserve"> inquiry violations as reversible per se.  (See, e.g., </w:t>
      </w:r>
      <w:r>
        <w:rPr>
          <w:i/>
          <w:iCs/>
        </w:rPr>
        <w:t>Dezi</w:t>
      </w:r>
      <w:r w:rsidR="00457276">
        <w:rPr>
          <w:i/>
          <w:iCs/>
        </w:rPr>
        <w:t xml:space="preserve"> C.</w:t>
      </w:r>
      <w:r w:rsidRPr="00C34E88">
        <w:t xml:space="preserve">, </w:t>
      </w:r>
      <w:r>
        <w:rPr>
          <w:i/>
          <w:iCs/>
        </w:rPr>
        <w:t>supra</w:t>
      </w:r>
      <w:r w:rsidRPr="00C34E88">
        <w:t xml:space="preserve">, </w:t>
      </w:r>
      <w:r w:rsidRPr="00A561F0" w:rsidR="00A561F0">
        <w:t xml:space="preserve">79 Cal.App.5th </w:t>
      </w:r>
      <w:r w:rsidRPr="00C802EB">
        <w:t>at p.</w:t>
      </w:r>
      <w:r w:rsidRPr="00C34E88">
        <w:t xml:space="preserve"> </w:t>
      </w:r>
      <w:r>
        <w:t>783</w:t>
      </w:r>
      <w:r w:rsidRPr="00C34E88">
        <w:t xml:space="preserve">; </w:t>
      </w:r>
      <w:r w:rsidR="00501F00">
        <w:rPr>
          <w:i/>
          <w:iCs/>
        </w:rPr>
        <w:t xml:space="preserve">In re </w:t>
      </w:r>
      <w:r>
        <w:rPr>
          <w:i/>
          <w:iCs/>
        </w:rPr>
        <w:t>G.H.</w:t>
      </w:r>
      <w:r>
        <w:t xml:space="preserve"> </w:t>
      </w:r>
      <w:r w:rsidR="00A46C99">
        <w:t>(2022)</w:t>
      </w:r>
      <w:r>
        <w:t xml:space="preserve"> 84 Cal.App.5th </w:t>
      </w:r>
      <w:r w:rsidR="00A46C99">
        <w:t xml:space="preserve">15, </w:t>
      </w:r>
      <w:r>
        <w:t>32–33</w:t>
      </w:r>
      <w:r w:rsidR="00D01EBB">
        <w:t xml:space="preserve"> (</w:t>
      </w:r>
      <w:r w:rsidR="00D01EBB">
        <w:rPr>
          <w:i/>
          <w:iCs/>
        </w:rPr>
        <w:t>G.H.</w:t>
      </w:r>
      <w:r w:rsidR="00D01EBB">
        <w:t>)</w:t>
      </w:r>
      <w:r>
        <w:t xml:space="preserve">; </w:t>
      </w:r>
      <w:r w:rsidR="00AC0BFA">
        <w:rPr>
          <w:i/>
          <w:iCs/>
        </w:rPr>
        <w:t xml:space="preserve">In re </w:t>
      </w:r>
      <w:r>
        <w:rPr>
          <w:i/>
          <w:iCs/>
        </w:rPr>
        <w:t>E.V.</w:t>
      </w:r>
      <w:r w:rsidR="00F609DB">
        <w:t xml:space="preserve"> </w:t>
      </w:r>
      <w:r w:rsidR="008116BA">
        <w:t>(</w:t>
      </w:r>
      <w:r w:rsidR="00D01EBB">
        <w:t>2022)</w:t>
      </w:r>
      <w:r>
        <w:t xml:space="preserve"> 80 Cal.App.5th </w:t>
      </w:r>
      <w:r w:rsidR="00D01EBB">
        <w:t xml:space="preserve">691, </w:t>
      </w:r>
      <w:r>
        <w:t>698</w:t>
      </w:r>
      <w:r w:rsidR="00D01EBB">
        <w:t xml:space="preserve"> (</w:t>
      </w:r>
      <w:r w:rsidR="005C2745">
        <w:rPr>
          <w:i/>
          <w:iCs/>
        </w:rPr>
        <w:t>E.V.</w:t>
      </w:r>
      <w:r w:rsidR="005C2745">
        <w:t>)</w:t>
      </w:r>
      <w:r>
        <w:t xml:space="preserve">; </w:t>
      </w:r>
      <w:r>
        <w:rPr>
          <w:i/>
          <w:iCs/>
        </w:rPr>
        <w:t>Y.W.</w:t>
      </w:r>
      <w:r>
        <w:t xml:space="preserve">, </w:t>
      </w:r>
      <w:r>
        <w:rPr>
          <w:i/>
          <w:iCs/>
        </w:rPr>
        <w:t>supra</w:t>
      </w:r>
      <w:r>
        <w:t xml:space="preserve">, 70 Cal.App.5th at p. 556.)  The court in </w:t>
      </w:r>
      <w:r>
        <w:rPr>
          <w:i/>
          <w:iCs/>
        </w:rPr>
        <w:t>K.H.</w:t>
      </w:r>
      <w:r>
        <w:t xml:space="preserve">, however, found this characterization overstated and instead viewed these cases as laying out a </w:t>
      </w:r>
      <w:r w:rsidRPr="0093667F">
        <w:t>rule</w:t>
      </w:r>
      <w:r>
        <w:t xml:space="preserve"> of reversal for cases involving records so inadequate “that the error and need for reversal are ‘clear.’</w:t>
      </w:r>
      <w:r w:rsidR="00E04337">
        <w:t> </w:t>
      </w:r>
      <w:r>
        <w:t>”  (</w:t>
      </w:r>
      <w:r>
        <w:rPr>
          <w:i/>
          <w:iCs/>
        </w:rPr>
        <w:t>K.H.</w:t>
      </w:r>
      <w:r w:rsidR="005C5639">
        <w:rPr>
          <w:i/>
          <w:iCs/>
        </w:rPr>
        <w:t>,</w:t>
      </w:r>
      <w:r>
        <w:t xml:space="preserve"> </w:t>
      </w:r>
      <w:r w:rsidR="00DA751F">
        <w:rPr>
          <w:i/>
          <w:iCs/>
        </w:rPr>
        <w:t>supra,</w:t>
      </w:r>
      <w:r>
        <w:t xml:space="preserve"> 84</w:t>
      </w:r>
      <w:r w:rsidR="00E04337">
        <w:t> </w:t>
      </w:r>
      <w:r>
        <w:t xml:space="preserve">Cal.App.5th </w:t>
      </w:r>
      <w:r w:rsidR="00276E4E">
        <w:t>at</w:t>
      </w:r>
      <w:r>
        <w:t xml:space="preserve"> </w:t>
      </w:r>
      <w:r w:rsidR="005C5639">
        <w:t xml:space="preserve">p. </w:t>
      </w:r>
      <w:r w:rsidR="00B43396">
        <w:t>618</w:t>
      </w:r>
      <w:r>
        <w:t>.)</w:t>
      </w:r>
    </w:p>
  </w:footnote>
  <w:footnote w:id="13">
    <w:p w:rsidR="008D2591" w:rsidRPr="00C851A0" w:rsidP="008D2591" w14:paraId="3565E6A6" w14:textId="51193344">
      <w:pPr>
        <w:pStyle w:val="FootnoteText"/>
      </w:pPr>
      <w:r w:rsidRPr="00412B65">
        <w:rPr>
          <w:rStyle w:val="FootnoteReference"/>
        </w:rPr>
        <w:footnoteRef/>
      </w:r>
      <w:r w:rsidRPr="00412B65">
        <w:t xml:space="preserve"> </w:t>
      </w:r>
      <w:r w:rsidRPr="00412B65">
        <w:tab/>
      </w:r>
      <w:r>
        <w:t>T</w:t>
      </w:r>
      <w:r w:rsidRPr="00412B65">
        <w:t xml:space="preserve">he dissent mischaracterizes our conclusion as holding that an inadequate ICWA inquiry is structural error.  </w:t>
      </w:r>
      <w:r>
        <w:t xml:space="preserve">To the contrary, </w:t>
      </w:r>
      <w:r w:rsidR="00D328A1">
        <w:t>o</w:t>
      </w:r>
      <w:r w:rsidRPr="00412B65">
        <w:t xml:space="preserve">ur holding today is premised on the fact that when an inquiry is inadequate, the record is insufficient to determine whether the error is harmless under </w:t>
      </w:r>
      <w:r w:rsidRPr="00412B65">
        <w:rPr>
          <w:i/>
          <w:iCs/>
        </w:rPr>
        <w:t>Watson</w:t>
      </w:r>
      <w:r w:rsidRPr="00412B65">
        <w:t>.</w:t>
      </w:r>
      <w:r>
        <w:t xml:space="preserve">  </w:t>
      </w:r>
    </w:p>
  </w:footnote>
  <w:footnote w:id="14">
    <w:p w:rsidR="004603D1" w14:paraId="61E6B0BC" w14:textId="28DCD74C">
      <w:pPr>
        <w:pStyle w:val="FootnoteText"/>
      </w:pPr>
      <w:r>
        <w:rPr>
          <w:rStyle w:val="FootnoteReference"/>
        </w:rPr>
        <w:footnoteRef/>
      </w:r>
      <w:r>
        <w:t xml:space="preserve"> </w:t>
      </w:r>
      <w:r>
        <w:tab/>
        <w:t xml:space="preserve">It should also be noted that prompt, permanent placement is not the only area of critical importance for children in dependency proceedings.  </w:t>
      </w:r>
      <w:r w:rsidR="006430A5">
        <w:t xml:space="preserve">Complying </w:t>
      </w:r>
      <w:r w:rsidR="00F3281E">
        <w:t>with ICWA benefits children by furthering the</w:t>
      </w:r>
      <w:r w:rsidR="000C118B">
        <w:t xml:space="preserve">ir interests in continued connections to their tribes </w:t>
      </w:r>
      <w:r w:rsidR="00787C1A">
        <w:t xml:space="preserve">and preserving their culture.  </w:t>
      </w:r>
      <w:r w:rsidRPr="004E00E5" w:rsidR="00AA0A20">
        <w:t xml:space="preserve">(See </w:t>
      </w:r>
      <w:r w:rsidRPr="004E00E5" w:rsidR="00AA0A20">
        <w:rPr>
          <w:i/>
          <w:iCs/>
        </w:rPr>
        <w:t>Isaiah W.</w:t>
      </w:r>
      <w:r w:rsidRPr="004E00E5" w:rsidR="00AA0A20">
        <w:t xml:space="preserve">, </w:t>
      </w:r>
      <w:r w:rsidRPr="004E00E5" w:rsidR="00AA0A20">
        <w:rPr>
          <w:i/>
          <w:iCs/>
        </w:rPr>
        <w:t>supra</w:t>
      </w:r>
      <w:r w:rsidRPr="004E00E5" w:rsidR="00AA0A20">
        <w:t>, 1 Cal.5th at pp. 7–8; 25 U.S.C. § 1902.)</w:t>
      </w:r>
      <w:r w:rsidR="00AA0A20">
        <w:t xml:space="preserve">  </w:t>
      </w:r>
    </w:p>
  </w:footnote>
  <w:footnote w:id="15">
    <w:p w:rsidR="00183F7E" w:rsidRPr="00627512" w:rsidP="00543207" w14:paraId="35D895CA" w14:textId="162E5D42">
      <w:pPr>
        <w:pStyle w:val="FootnoteText"/>
      </w:pPr>
      <w:r>
        <w:rPr>
          <w:rStyle w:val="FootnoteReference"/>
        </w:rPr>
        <w:footnoteRef/>
      </w:r>
      <w:r>
        <w:t xml:space="preserve"> </w:t>
      </w:r>
      <w:r>
        <w:tab/>
      </w:r>
      <w:r w:rsidRPr="00430FEE" w:rsidR="00DA0167">
        <w:t>The</w:t>
      </w:r>
      <w:r w:rsidR="00DA0167">
        <w:t xml:space="preserve"> dissent </w:t>
      </w:r>
      <w:r w:rsidR="00287495">
        <w:t xml:space="preserve">claims </w:t>
      </w:r>
      <w:r w:rsidR="00B06752">
        <w:t>our</w:t>
      </w:r>
      <w:r w:rsidR="006D08BF">
        <w:t xml:space="preserve"> holding</w:t>
      </w:r>
      <w:r w:rsidR="00B06752">
        <w:t xml:space="preserve"> </w:t>
      </w:r>
      <w:r w:rsidR="006638E1">
        <w:t>ensur</w:t>
      </w:r>
      <w:r w:rsidR="00287495">
        <w:t>es</w:t>
      </w:r>
      <w:r w:rsidR="006638E1">
        <w:t xml:space="preserve"> children “remain in prolonged legal uncertaint</w:t>
      </w:r>
      <w:r w:rsidR="00081E0D">
        <w:t xml:space="preserve">y” </w:t>
      </w:r>
      <w:r w:rsidR="00C256AD">
        <w:t>and</w:t>
      </w:r>
      <w:r w:rsidR="000E21DF">
        <w:t>,</w:t>
      </w:r>
      <w:r w:rsidR="00C256AD">
        <w:t xml:space="preserve"> here, </w:t>
      </w:r>
      <w:r w:rsidR="00B86DBD">
        <w:t>delay</w:t>
      </w:r>
      <w:r w:rsidR="00287495">
        <w:t>s</w:t>
      </w:r>
      <w:r w:rsidR="00B86DBD">
        <w:t xml:space="preserve"> permanent placement of Dezi and Joshua </w:t>
      </w:r>
      <w:r w:rsidR="003B0242">
        <w:t xml:space="preserve">and </w:t>
      </w:r>
      <w:r w:rsidR="00B86DBD">
        <w:t>does not serve their best interests</w:t>
      </w:r>
      <w:r w:rsidR="00081E0D">
        <w:t xml:space="preserve">.  </w:t>
      </w:r>
      <w:r w:rsidR="00796C71">
        <w:t>(Dis. opn</w:t>
      </w:r>
      <w:r w:rsidR="008C59E6">
        <w:t>.</w:t>
      </w:r>
      <w:r w:rsidR="00FD67F7">
        <w:t xml:space="preserve"> of Groban, J.</w:t>
      </w:r>
      <w:r w:rsidR="008C59E6">
        <w:t xml:space="preserve">, </w:t>
      </w:r>
      <w:r w:rsidR="008C59E6">
        <w:rPr>
          <w:i/>
          <w:iCs/>
        </w:rPr>
        <w:t>post</w:t>
      </w:r>
      <w:r w:rsidR="008C59E6">
        <w:t xml:space="preserve">, at p. </w:t>
      </w:r>
      <w:r w:rsidR="00343A94">
        <w:t>2</w:t>
      </w:r>
      <w:r w:rsidR="00602EAA">
        <w:t xml:space="preserve">; </w:t>
      </w:r>
      <w:r w:rsidR="00602EAA">
        <w:rPr>
          <w:i/>
          <w:iCs/>
        </w:rPr>
        <w:t>id.</w:t>
      </w:r>
      <w:r w:rsidR="00602EAA">
        <w:t xml:space="preserve"> at p.</w:t>
      </w:r>
      <w:r w:rsidR="00C256AD">
        <w:t xml:space="preserve"> </w:t>
      </w:r>
      <w:r w:rsidR="00ED6D60">
        <w:t>27</w:t>
      </w:r>
      <w:r w:rsidR="00796C71">
        <w:t>.</w:t>
      </w:r>
      <w:r w:rsidR="00343A94">
        <w:t>)</w:t>
      </w:r>
      <w:r w:rsidR="00796C71">
        <w:t xml:space="preserve"> </w:t>
      </w:r>
      <w:r w:rsidR="00343A94">
        <w:t xml:space="preserve"> </w:t>
      </w:r>
      <w:r w:rsidR="00C94BB2">
        <w:t xml:space="preserve">But it is </w:t>
      </w:r>
      <w:r w:rsidR="00ED76B5">
        <w:t xml:space="preserve">agencies </w:t>
      </w:r>
      <w:r w:rsidR="009528CB">
        <w:t>who create delay</w:t>
      </w:r>
      <w:r w:rsidR="0073292D">
        <w:t>s</w:t>
      </w:r>
      <w:r w:rsidR="009528CB">
        <w:t xml:space="preserve"> in permanency by failing to </w:t>
      </w:r>
      <w:r w:rsidR="00C0730C">
        <w:t xml:space="preserve">comply with </w:t>
      </w:r>
      <w:r w:rsidR="00F24513">
        <w:t xml:space="preserve">their </w:t>
      </w:r>
      <w:r w:rsidR="00C0730C">
        <w:t xml:space="preserve">statutory obligation to </w:t>
      </w:r>
      <w:r w:rsidR="009528CB">
        <w:t>conduct a</w:t>
      </w:r>
      <w:r w:rsidR="00782691">
        <w:t xml:space="preserve"> prompt and</w:t>
      </w:r>
      <w:r w:rsidR="009528CB">
        <w:t xml:space="preserve"> adequate inquiry</w:t>
      </w:r>
      <w:r w:rsidRPr="001729EF" w:rsidR="00014435">
        <w:t>.</w:t>
      </w:r>
      <w:r w:rsidRPr="001729EF" w:rsidR="00C94BB2">
        <w:t xml:space="preserve"> </w:t>
      </w:r>
      <w:r w:rsidRPr="001729EF" w:rsidR="00014435">
        <w:t xml:space="preserve"> </w:t>
      </w:r>
      <w:r w:rsidRPr="001729EF" w:rsidR="000061DB">
        <w:t>T</w:t>
      </w:r>
      <w:r w:rsidR="00F03401">
        <w:t>o the extent the dissent worries about the effect of delays in this particular case, t</w:t>
      </w:r>
      <w:r w:rsidRPr="001729EF" w:rsidR="000061DB">
        <w:t xml:space="preserve">here is </w:t>
      </w:r>
      <w:r w:rsidRPr="00412B65" w:rsidR="00B86DBD">
        <w:t xml:space="preserve">no evidence </w:t>
      </w:r>
      <w:r w:rsidR="00BC25E9">
        <w:t xml:space="preserve">in this case </w:t>
      </w:r>
      <w:r w:rsidRPr="00D1043E" w:rsidR="00B86DBD">
        <w:t xml:space="preserve">that Dezi’s and Joshua’s placement with </w:t>
      </w:r>
      <w:r w:rsidR="00BC25E9">
        <w:t xml:space="preserve">their </w:t>
      </w:r>
      <w:r w:rsidRPr="00412B65" w:rsidR="00B86DBD">
        <w:t xml:space="preserve">paternal grandparents is at risk.  </w:t>
      </w:r>
      <w:r w:rsidRPr="00412B65" w:rsidR="000061DB">
        <w:t>A</w:t>
      </w:r>
      <w:r w:rsidRPr="00412B65" w:rsidR="00B86DBD">
        <w:t>s the dissent concedes</w:t>
      </w:r>
      <w:r w:rsidRPr="00412B65" w:rsidR="000061DB">
        <w:t>,</w:t>
      </w:r>
      <w:r w:rsidRPr="00412B65" w:rsidR="00B86DBD">
        <w:t xml:space="preserve"> to date, </w:t>
      </w:r>
      <w:r w:rsidR="00A30C5C">
        <w:t xml:space="preserve">the </w:t>
      </w:r>
      <w:r w:rsidRPr="00412B65" w:rsidR="00B86DBD">
        <w:t>“paternal grandparents have provided a safe and stable environment and stand ready to permanently adopt</w:t>
      </w:r>
      <w:r w:rsidRPr="00412B65" w:rsidR="001729EF">
        <w:t xml:space="preserve"> them </w:t>
      </w:r>
      <w:r w:rsidRPr="00412B65" w:rsidR="00394624">
        <w:t>.</w:t>
      </w:r>
      <w:r w:rsidR="00394624">
        <w:t> </w:t>
      </w:r>
      <w:r w:rsidRPr="00412B65" w:rsidR="00394624">
        <w:t>.</w:t>
      </w:r>
      <w:r w:rsidR="00394624">
        <w:t> </w:t>
      </w:r>
      <w:r w:rsidRPr="00412B65" w:rsidR="00394624">
        <w:t>.</w:t>
      </w:r>
      <w:r w:rsidR="00394624">
        <w:t> </w:t>
      </w:r>
      <w:r w:rsidRPr="00412B65" w:rsidR="001729EF">
        <w:t>.</w:t>
      </w:r>
      <w:r w:rsidRPr="00412B65" w:rsidR="00B86DBD">
        <w:t>”  (</w:t>
      </w:r>
      <w:r w:rsidR="00602EAA">
        <w:rPr>
          <w:i/>
          <w:iCs/>
        </w:rPr>
        <w:t>Id.</w:t>
      </w:r>
      <w:r w:rsidRPr="00412B65" w:rsidR="00B86DBD">
        <w:t xml:space="preserve"> at </w:t>
      </w:r>
      <w:r w:rsidR="0094074E">
        <w:t>p</w:t>
      </w:r>
      <w:r w:rsidRPr="00412B65" w:rsidR="00B86DBD">
        <w:t>p. 2</w:t>
      </w:r>
      <w:r w:rsidR="0094074E">
        <w:t>6–27</w:t>
      </w:r>
      <w:r w:rsidRPr="00412B65" w:rsidR="00B86DBD">
        <w:t>.)</w:t>
      </w:r>
      <w:r w:rsidR="00B86DBD">
        <w:t xml:space="preserve">  </w:t>
      </w:r>
      <w:r w:rsidR="00172B69">
        <w:t xml:space="preserve">We are </w:t>
      </w:r>
      <w:r w:rsidR="00DA0167">
        <w:t xml:space="preserve">also </w:t>
      </w:r>
      <w:r w:rsidR="00172B69">
        <w:t>unpersuaded that adopting the</w:t>
      </w:r>
      <w:r w:rsidR="009D4A09">
        <w:t xml:space="preserve"> dissent’s </w:t>
      </w:r>
      <w:r w:rsidR="00B16556">
        <w:t>rule w</w:t>
      </w:r>
      <w:r w:rsidR="00BC25E9">
        <w:t>ould</w:t>
      </w:r>
      <w:r w:rsidR="00B16556">
        <w:t xml:space="preserve"> </w:t>
      </w:r>
      <w:r w:rsidR="00641CC1">
        <w:t xml:space="preserve">eliminate delays in permanency.  Our rule </w:t>
      </w:r>
      <w:r w:rsidR="007A1BC0">
        <w:t xml:space="preserve">encourages </w:t>
      </w:r>
      <w:r w:rsidR="003268E5">
        <w:t xml:space="preserve">prompt compliance with </w:t>
      </w:r>
      <w:r w:rsidRPr="00251A30" w:rsidR="00935E4A">
        <w:t xml:space="preserve">ICWA and </w:t>
      </w:r>
      <w:r w:rsidRPr="00251A30" w:rsidR="003268E5">
        <w:t>Cal-ICWA</w:t>
      </w:r>
      <w:r w:rsidR="003268E5">
        <w:t xml:space="preserve"> and prompt </w:t>
      </w:r>
      <w:r w:rsidRPr="00E97149" w:rsidR="003268E5">
        <w:t xml:space="preserve">resolution of </w:t>
      </w:r>
      <w:r w:rsidRPr="00E97149" w:rsidR="0022343F">
        <w:t xml:space="preserve">initial </w:t>
      </w:r>
      <w:r w:rsidRPr="00E97149" w:rsidR="00826904">
        <w:t xml:space="preserve">inquiry </w:t>
      </w:r>
      <w:r w:rsidRPr="00E97149" w:rsidR="003268E5">
        <w:t>errors</w:t>
      </w:r>
      <w:r w:rsidR="00CD0753">
        <w:t xml:space="preserve">, </w:t>
      </w:r>
      <w:r w:rsidR="007A1BC0">
        <w:t xml:space="preserve">while honoring </w:t>
      </w:r>
      <w:r w:rsidR="00F805AB">
        <w:t xml:space="preserve">the respective roles of the juvenile court </w:t>
      </w:r>
      <w:r w:rsidR="00E44F4F">
        <w:t>as factfinder</w:t>
      </w:r>
      <w:r w:rsidR="00360F4F">
        <w:t>,</w:t>
      </w:r>
      <w:r w:rsidR="00E44F4F">
        <w:t xml:space="preserve"> </w:t>
      </w:r>
      <w:r w:rsidR="00F805AB">
        <w:t xml:space="preserve">and </w:t>
      </w:r>
      <w:r w:rsidR="00E44F4F">
        <w:t xml:space="preserve">the court of appeal </w:t>
      </w:r>
      <w:r w:rsidR="00A920F0">
        <w:t xml:space="preserve">as </w:t>
      </w:r>
      <w:r w:rsidR="002A52D4">
        <w:t>re</w:t>
      </w:r>
      <w:r w:rsidR="00392B36">
        <w:t>view</w:t>
      </w:r>
      <w:r w:rsidR="001D505B">
        <w:t>er of</w:t>
      </w:r>
      <w:r w:rsidR="00392B36">
        <w:t xml:space="preserve"> the </w:t>
      </w:r>
      <w:r w:rsidR="002A4F28">
        <w:t>“</w:t>
      </w:r>
      <w:r w:rsidR="00392B36">
        <w:t xml:space="preserve">judgment </w:t>
      </w:r>
      <w:r w:rsidR="00502B82">
        <w:t xml:space="preserve">based on the </w:t>
      </w:r>
      <w:r w:rsidR="00392B36">
        <w:t xml:space="preserve">record as it existed </w:t>
      </w:r>
      <w:r w:rsidR="001D505B">
        <w:t>when the trial court ruled</w:t>
      </w:r>
      <w:r w:rsidR="00502B82">
        <w:t>.</w:t>
      </w:r>
      <w:r w:rsidR="002A4F28">
        <w:t>”</w:t>
      </w:r>
      <w:r w:rsidR="00627512">
        <w:t xml:space="preserve">  (</w:t>
      </w:r>
      <w:r w:rsidRPr="00A26D63" w:rsidR="00A43A19">
        <w:rPr>
          <w:i/>
          <w:iCs/>
        </w:rPr>
        <w:t>Kenneth D.</w:t>
      </w:r>
      <w:r w:rsidRPr="00A26D63" w:rsidR="00A43A19">
        <w:t xml:space="preserve">, </w:t>
      </w:r>
      <w:r w:rsidRPr="00A26D63" w:rsidR="00A43A19">
        <w:rPr>
          <w:i/>
          <w:iCs/>
        </w:rPr>
        <w:t>supra</w:t>
      </w:r>
      <w:r w:rsidRPr="00A26D63" w:rsidR="00A43A19">
        <w:t xml:space="preserve">, </w:t>
      </w:r>
      <w:r w:rsidR="00A43A19">
        <w:t>__</w:t>
      </w:r>
      <w:r w:rsidR="00C12147">
        <w:t>_</w:t>
      </w:r>
      <w:r w:rsidR="00A43A19">
        <w:t xml:space="preserve"> Cal.5th at p. __</w:t>
      </w:r>
      <w:r w:rsidR="00C12147">
        <w:t>_</w:t>
      </w:r>
      <w:r w:rsidR="00A43A19">
        <w:t xml:space="preserve"> [</w:t>
      </w:r>
      <w:r w:rsidR="001D505B">
        <w:t>p</w:t>
      </w:r>
      <w:r w:rsidR="00A43A19">
        <w:t>. 1</w:t>
      </w:r>
      <w:r w:rsidR="001D505B">
        <w:t>4</w:t>
      </w:r>
      <w:r w:rsidR="00A43A19">
        <w:t>]</w:t>
      </w:r>
      <w:r w:rsidRPr="00A26D63" w:rsidR="00A43A19">
        <w:t>.)</w:t>
      </w:r>
      <w:r w:rsidR="00A43A19">
        <w:rPr>
          <w:i/>
          <w:iCs/>
        </w:rPr>
        <w:t xml:space="preserve">  </w:t>
      </w:r>
    </w:p>
  </w:footnote>
  <w:footnote w:id="16">
    <w:p w:rsidR="00470B9C" w:rsidP="00470B9C" w14:paraId="618205F4" w14:textId="0BBC5B83">
      <w:pPr>
        <w:pStyle w:val="FootnoteText"/>
      </w:pPr>
      <w:r>
        <w:rPr>
          <w:rStyle w:val="FootnoteReference"/>
        </w:rPr>
        <w:footnoteRef/>
      </w:r>
      <w:r>
        <w:t xml:space="preserve"> </w:t>
      </w:r>
      <w:r>
        <w:tab/>
        <w:t xml:space="preserve">Even if a child is found to be Indian, but ultimately not placed with a tribe, tribal placement is not ICWA’s only goal.  Tribal input regarding a child’s placement is also a viable goal, particularly when children are placed with foster parents who do not share the children’s culture.  </w:t>
      </w:r>
      <w:r w:rsidRPr="00266EBF" w:rsidR="00266EBF">
        <w:t>(See, e.g., § 224.4; rules 5.690(c)(2)(C) &amp; 5.708(f)(7).)</w:t>
      </w:r>
    </w:p>
  </w:footnote>
  <w:footnote w:id="17">
    <w:p w:rsidR="006842AA" w14:paraId="38645FBA" w14:textId="2F5072FE">
      <w:pPr>
        <w:pStyle w:val="FootnoteText"/>
      </w:pPr>
      <w:r>
        <w:rPr>
          <w:rStyle w:val="FootnoteReference"/>
        </w:rPr>
        <w:footnoteRef/>
      </w:r>
      <w:r>
        <w:t xml:space="preserve"> </w:t>
      </w:r>
      <w:r>
        <w:tab/>
      </w:r>
      <w:r w:rsidR="004D03BD">
        <w:t xml:space="preserve">The dissent </w:t>
      </w:r>
      <w:r w:rsidR="00787796">
        <w:t xml:space="preserve">focuses on </w:t>
      </w:r>
      <w:r w:rsidR="0009234C">
        <w:t>the outcome of the inquiry</w:t>
      </w:r>
      <w:r w:rsidR="00787796">
        <w:t>, and characterizes it</w:t>
      </w:r>
      <w:r w:rsidR="0009234C">
        <w:t xml:space="preserve"> as “go[ing] to the heart of ICWA</w:t>
      </w:r>
      <w:r w:rsidR="00EC50DC">
        <w:t xml:space="preserve"> </w:t>
      </w:r>
      <w:r w:rsidR="001277BA">
        <w:t>. . . </w:t>
      </w:r>
      <w:r w:rsidR="00EC50DC">
        <w:t>.”  (Dis. opn.</w:t>
      </w:r>
      <w:r w:rsidR="00FD67F7">
        <w:t xml:space="preserve"> of Groban, J.</w:t>
      </w:r>
      <w:r w:rsidR="00EC50DC">
        <w:t xml:space="preserve">, </w:t>
      </w:r>
      <w:r w:rsidR="00EC50DC">
        <w:rPr>
          <w:i/>
          <w:iCs/>
        </w:rPr>
        <w:t>post</w:t>
      </w:r>
      <w:r w:rsidR="00EC50DC">
        <w:t>, at p. 1</w:t>
      </w:r>
      <w:r w:rsidR="00AF305A">
        <w:t>4</w:t>
      </w:r>
      <w:r w:rsidR="00EC50DC">
        <w:t xml:space="preserve">.) </w:t>
      </w:r>
      <w:r w:rsidR="00267F87">
        <w:t xml:space="preserve"> </w:t>
      </w:r>
      <w:r w:rsidR="008100A1">
        <w:t xml:space="preserve">But </w:t>
      </w:r>
      <w:r w:rsidR="00930400">
        <w:t>as we have seen</w:t>
      </w:r>
      <w:r w:rsidR="001171E6">
        <w:t xml:space="preserve">, </w:t>
      </w:r>
      <w:r w:rsidR="008100A1">
        <w:t>the outcome is no</w:t>
      </w:r>
      <w:r w:rsidR="00A95A82">
        <w:t xml:space="preserve">t for us to decide.  </w:t>
      </w:r>
      <w:r w:rsidR="001E51F1">
        <w:t>(</w:t>
      </w:r>
      <w:r w:rsidR="002D1985">
        <w:rPr>
          <w:i/>
          <w:iCs/>
        </w:rPr>
        <w:t>Isaiah W.</w:t>
      </w:r>
      <w:r w:rsidR="002D1985">
        <w:t xml:space="preserve">, </w:t>
      </w:r>
      <w:r w:rsidRPr="002D1985" w:rsidR="002D1985">
        <w:rPr>
          <w:i/>
          <w:iCs/>
        </w:rPr>
        <w:t>supra</w:t>
      </w:r>
      <w:r w:rsidR="002D1985">
        <w:t>, 1 Cal.5th at p. 8</w:t>
      </w:r>
      <w:r w:rsidR="00AD5012">
        <w:t>.)</w:t>
      </w:r>
      <w:r w:rsidR="002D1985">
        <w:t xml:space="preserve"> </w:t>
      </w:r>
      <w:r w:rsidR="00AD5012">
        <w:t xml:space="preserve"> </w:t>
      </w:r>
      <w:r w:rsidR="001B0FDA">
        <w:t>Notice enables the tribe to decide whether a child is Indian “and, if so, whether to intervene in or exercise jurisdiction over the proceeding.”  (</w:t>
      </w:r>
      <w:r w:rsidR="001B0FDA">
        <w:rPr>
          <w:i/>
          <w:iCs/>
        </w:rPr>
        <w:t>Id.</w:t>
      </w:r>
      <w:r w:rsidR="001B0FDA">
        <w:t xml:space="preserve"> at p. 5.)  </w:t>
      </w:r>
      <w:r w:rsidRPr="002D1985" w:rsidR="00A95A82">
        <w:t>It</w:t>
      </w:r>
      <w:r w:rsidR="00A95A82">
        <w:t xml:space="preserve"> is for that </w:t>
      </w:r>
      <w:r w:rsidR="001171E6">
        <w:t xml:space="preserve">reason that the </w:t>
      </w:r>
      <w:r w:rsidR="00B6786A">
        <w:t>“</w:t>
      </w:r>
      <w:r w:rsidR="0067718C">
        <w:rPr>
          <w:i/>
          <w:iCs/>
        </w:rPr>
        <w:t xml:space="preserve">notice </w:t>
      </w:r>
      <w:r w:rsidR="0067718C">
        <w:t>requirement is at the heart of ICWA</w:t>
      </w:r>
      <w:r w:rsidR="000A45BE">
        <w:t xml:space="preserve"> </w:t>
      </w:r>
      <w:r w:rsidR="003A50C1">
        <w:t>. . . </w:t>
      </w:r>
      <w:r w:rsidR="000A45BE">
        <w:t>.</w:t>
      </w:r>
      <w:r w:rsidR="00B6786A">
        <w:t>”</w:t>
      </w:r>
      <w:r w:rsidR="000A45BE">
        <w:t xml:space="preserve">  (</w:t>
      </w:r>
      <w:r w:rsidR="000A45BE">
        <w:rPr>
          <w:i/>
          <w:iCs/>
        </w:rPr>
        <w:t>In re Antonio R.</w:t>
      </w:r>
      <w:r w:rsidR="000A45BE">
        <w:t xml:space="preserve"> (2022) 76 Cal.App.5th 421, 429</w:t>
      </w:r>
      <w:r w:rsidR="006C3BCD">
        <w:t xml:space="preserve">, italics added </w:t>
      </w:r>
      <w:r w:rsidR="000A45BE">
        <w:t>(</w:t>
      </w:r>
      <w:r w:rsidR="000A45BE">
        <w:rPr>
          <w:i/>
          <w:iCs/>
        </w:rPr>
        <w:t>Antonio R.</w:t>
      </w:r>
      <w:r w:rsidR="000A45BE">
        <w:t xml:space="preserve">).)  </w:t>
      </w:r>
      <w:r w:rsidRPr="0017563E" w:rsidR="007F7F63">
        <w:t>A</w:t>
      </w:r>
      <w:r w:rsidR="00210469">
        <w:t>n</w:t>
      </w:r>
      <w:r w:rsidR="00BC7279">
        <w:t xml:space="preserve"> </w:t>
      </w:r>
      <w:r w:rsidRPr="00B82076" w:rsidR="00BC7279">
        <w:t xml:space="preserve">adequate </w:t>
      </w:r>
      <w:r w:rsidRPr="00B82076" w:rsidR="005108F1">
        <w:t xml:space="preserve">initial </w:t>
      </w:r>
      <w:r w:rsidRPr="00B82076" w:rsidR="00BC7279">
        <w:t>inquiry</w:t>
      </w:r>
      <w:r w:rsidR="00BC7279">
        <w:t xml:space="preserve"> </w:t>
      </w:r>
      <w:r w:rsidR="007F7F63">
        <w:t xml:space="preserve">at the outset </w:t>
      </w:r>
      <w:r w:rsidR="00BC7279">
        <w:t>is essential to ensuring that tribes are properly noticed</w:t>
      </w:r>
      <w:r w:rsidR="00CE6BFA">
        <w:t xml:space="preserve"> so </w:t>
      </w:r>
      <w:r w:rsidRPr="00412B65" w:rsidR="00CE6BFA">
        <w:t>they</w:t>
      </w:r>
      <w:r w:rsidR="00CE6BFA">
        <w:rPr>
          <w:i/>
          <w:iCs/>
        </w:rPr>
        <w:t xml:space="preserve"> </w:t>
      </w:r>
      <w:r w:rsidR="00CE6BFA">
        <w:t>may make th</w:t>
      </w:r>
      <w:r w:rsidR="0093138F">
        <w:t>is</w:t>
      </w:r>
      <w:r w:rsidR="005C4549">
        <w:t xml:space="preserve"> final</w:t>
      </w:r>
      <w:r w:rsidR="00CE6BFA">
        <w:t xml:space="preserve"> determination</w:t>
      </w:r>
      <w:r w:rsidR="00BC7279">
        <w:t xml:space="preserve">.  </w:t>
      </w:r>
    </w:p>
  </w:footnote>
  <w:footnote w:id="18">
    <w:p w:rsidR="00811D77" w:rsidP="00412B65" w14:paraId="000F175C" w14:textId="5225107B">
      <w:pPr>
        <w:pStyle w:val="NormalIndent"/>
        <w:spacing w:line="240" w:lineRule="auto"/>
        <w:ind w:left="0"/>
      </w:pPr>
      <w:r>
        <w:rPr>
          <w:rStyle w:val="FootnoteReference"/>
        </w:rPr>
        <w:footnoteRef/>
      </w:r>
      <w:r>
        <w:t xml:space="preserve"> </w:t>
      </w:r>
      <w:r w:rsidR="00640758">
        <w:tab/>
        <w:t>The dissent</w:t>
      </w:r>
      <w:r w:rsidR="004E2539">
        <w:t xml:space="preserve"> maintain</w:t>
      </w:r>
      <w:r w:rsidR="00B75AAA">
        <w:t>s</w:t>
      </w:r>
      <w:r w:rsidR="004E2539">
        <w:t xml:space="preserve"> </w:t>
      </w:r>
      <w:r w:rsidR="008E692D">
        <w:t xml:space="preserve">the reason a </w:t>
      </w:r>
      <w:r w:rsidR="00640758">
        <w:t>parent</w:t>
      </w:r>
      <w:r w:rsidR="008E692D">
        <w:t xml:space="preserve"> would wait to raise the issue of ICWA </w:t>
      </w:r>
      <w:r w:rsidR="005A1773">
        <w:t xml:space="preserve">or Cal-ICWA </w:t>
      </w:r>
      <w:r w:rsidR="008E692D">
        <w:t>noncompliance until appeal</w:t>
      </w:r>
      <w:r w:rsidR="00640758">
        <w:t xml:space="preserve"> </w:t>
      </w:r>
      <w:r w:rsidR="00195B60">
        <w:t xml:space="preserve">is </w:t>
      </w:r>
      <w:r w:rsidR="00821147">
        <w:t>that</w:t>
      </w:r>
      <w:r w:rsidR="00195B60">
        <w:t xml:space="preserve">  </w:t>
      </w:r>
      <w:r w:rsidR="00FA73F3">
        <w:t xml:space="preserve">parents </w:t>
      </w:r>
      <w:r w:rsidR="00640758">
        <w:t xml:space="preserve">will “seek to do anything they can to </w:t>
      </w:r>
      <w:r w:rsidR="007F51FF">
        <w:t>und</w:t>
      </w:r>
      <w:r w:rsidR="007134CD">
        <w:t>o</w:t>
      </w:r>
      <w:r w:rsidR="007F51FF">
        <w:t xml:space="preserve"> </w:t>
      </w:r>
      <w:r w:rsidR="00640758">
        <w:t xml:space="preserve">the </w:t>
      </w:r>
      <w:r w:rsidR="007F51FF">
        <w:t>trial court’s termination of parental rights</w:t>
      </w:r>
      <w:r w:rsidR="00FA73F3">
        <w:t>.</w:t>
      </w:r>
      <w:r w:rsidR="00640758">
        <w:t>”</w:t>
      </w:r>
      <w:r w:rsidR="00FA73F3">
        <w:t xml:space="preserve"> </w:t>
      </w:r>
      <w:r w:rsidR="00640758">
        <w:t xml:space="preserve"> (Dis. opn.</w:t>
      </w:r>
      <w:r w:rsidR="006E5749">
        <w:t xml:space="preserve"> of Groban, J.</w:t>
      </w:r>
      <w:r w:rsidR="00640758">
        <w:t xml:space="preserve">, </w:t>
      </w:r>
      <w:r w:rsidRPr="00CA24D1" w:rsidR="00640758">
        <w:rPr>
          <w:i/>
          <w:iCs/>
        </w:rPr>
        <w:t>post</w:t>
      </w:r>
      <w:r w:rsidR="00640758">
        <w:t>, at p. 1</w:t>
      </w:r>
      <w:r w:rsidR="00F542F7">
        <w:t>9</w:t>
      </w:r>
      <w:r w:rsidR="00640758">
        <w:t>.)  The dissent views raising ICWA</w:t>
      </w:r>
      <w:r w:rsidR="0074641D">
        <w:t xml:space="preserve"> or Cal-ICWA</w:t>
      </w:r>
      <w:r w:rsidR="00640758">
        <w:t xml:space="preserve"> error on appeal as “a logical response” to this possibility, and notes that in this case, mother objected for the first time on appeal that the agency did not comply with the duty of inquiry.  </w:t>
      </w:r>
      <w:r w:rsidR="008E5976">
        <w:t>(</w:t>
      </w:r>
      <w:r w:rsidR="008E5976">
        <w:rPr>
          <w:i/>
          <w:iCs/>
        </w:rPr>
        <w:t>Ibid.</w:t>
      </w:r>
      <w:r w:rsidR="008E5976">
        <w:t xml:space="preserve">)  </w:t>
      </w:r>
      <w:r w:rsidRPr="00E57F0B" w:rsidR="00E57F0B">
        <w:t xml:space="preserve">It also notes that in </w:t>
      </w:r>
      <w:r w:rsidRPr="00FF49B5" w:rsidR="00E57F0B">
        <w:rPr>
          <w:i/>
          <w:iCs/>
        </w:rPr>
        <w:t>S.H.</w:t>
      </w:r>
      <w:r w:rsidRPr="00E57F0B" w:rsidR="00E57F0B">
        <w:t xml:space="preserve">, </w:t>
      </w:r>
      <w:r w:rsidRPr="00FF49B5" w:rsidR="00E57F0B">
        <w:rPr>
          <w:i/>
          <w:iCs/>
        </w:rPr>
        <w:t>supra</w:t>
      </w:r>
      <w:r w:rsidRPr="00E57F0B" w:rsidR="00E57F0B">
        <w:t xml:space="preserve">, 82 Cal.App.5th at p. 172, a parent planned to claim Indian ancestry to delay </w:t>
      </w:r>
      <w:r w:rsidR="004C75CB">
        <w:t>t</w:t>
      </w:r>
      <w:r w:rsidR="00F37E98">
        <w:t xml:space="preserve">he </w:t>
      </w:r>
      <w:r w:rsidRPr="00E57F0B" w:rsidR="00E57F0B">
        <w:t>child’s removal from the home</w:t>
      </w:r>
      <w:r w:rsidR="00E57F0B">
        <w:t xml:space="preserve">.  </w:t>
      </w:r>
      <w:r w:rsidR="00C97E28">
        <w:t>A</w:t>
      </w:r>
      <w:r w:rsidR="00640758">
        <w:t>ppealing on the basis of ICWA</w:t>
      </w:r>
      <w:r w:rsidR="006659BB">
        <w:t xml:space="preserve"> or Cal-ICWA</w:t>
      </w:r>
      <w:r w:rsidR="00640758">
        <w:t xml:space="preserve"> inquiry error</w:t>
      </w:r>
      <w:r w:rsidR="00C97E28">
        <w:t>, however,</w:t>
      </w:r>
      <w:r w:rsidR="00640758">
        <w:t xml:space="preserve"> does not change the fac</w:t>
      </w:r>
      <w:r w:rsidR="008E5976">
        <w:t>t</w:t>
      </w:r>
      <w:r w:rsidR="00640758">
        <w:t xml:space="preserve"> that </w:t>
      </w:r>
      <w:r w:rsidR="00C97E28">
        <w:t>parental rights have been terminated</w:t>
      </w:r>
      <w:r w:rsidR="00640758">
        <w:t xml:space="preserve"> even if Indian ancestry is discovered.  </w:t>
      </w:r>
      <w:r w:rsidRPr="001025F7" w:rsidR="001025F7">
        <w:t xml:space="preserve">And the dependency process does not stop simply because a claim of Indian ancestry is raised.  </w:t>
      </w:r>
      <w:bookmarkStart w:id="3" w:name="_Hlk174106098"/>
      <w:r w:rsidRPr="001025F7" w:rsidR="001025F7">
        <w:t xml:space="preserve">As the juvenile court in </w:t>
      </w:r>
      <w:r w:rsidRPr="00FF49B5" w:rsidR="001025F7">
        <w:rPr>
          <w:i/>
          <w:iCs/>
        </w:rPr>
        <w:t>S.H.</w:t>
      </w:r>
      <w:r w:rsidRPr="001025F7" w:rsidR="001025F7">
        <w:t xml:space="preserve"> observed when making its jurisdictional findings:  “I am troubled .</w:t>
      </w:r>
      <w:r w:rsidR="00D31DA9">
        <w:t> </w:t>
      </w:r>
      <w:r w:rsidRPr="001025F7" w:rsidR="001025F7">
        <w:t>.</w:t>
      </w:r>
      <w:r w:rsidR="00D31DA9">
        <w:t> </w:t>
      </w:r>
      <w:r w:rsidRPr="001025F7" w:rsidR="001025F7">
        <w:t xml:space="preserve">. that the parents somehow wanted to claim Native American ancestry because somehow they [thought] they had a leg up by doing that.  I don’t know what they thought they would achieve by that.”  </w:t>
      </w:r>
      <w:bookmarkEnd w:id="3"/>
      <w:r w:rsidRPr="001025F7" w:rsidR="001025F7">
        <w:t>(</w:t>
      </w:r>
      <w:r w:rsidRPr="00FF49B5" w:rsidR="001025F7">
        <w:rPr>
          <w:i/>
          <w:iCs/>
        </w:rPr>
        <w:t>S.H.</w:t>
      </w:r>
      <w:r w:rsidRPr="001025F7" w:rsidR="001025F7">
        <w:t xml:space="preserve">, </w:t>
      </w:r>
      <w:r w:rsidRPr="00FF49B5" w:rsidR="001025F7">
        <w:rPr>
          <w:i/>
          <w:iCs/>
        </w:rPr>
        <w:t>supra</w:t>
      </w:r>
      <w:r w:rsidRPr="001025F7" w:rsidR="001025F7">
        <w:t>, 82 Cal.App.5th at p. 173.)</w:t>
      </w:r>
      <w:r w:rsidR="001025F7">
        <w:t xml:space="preserve">  </w:t>
      </w:r>
      <w:r w:rsidR="00640758">
        <w:t xml:space="preserve">Moreover, there is no evidence that mother raised ICWA </w:t>
      </w:r>
      <w:r w:rsidR="00D42521">
        <w:t xml:space="preserve">and Cal-ICWA </w:t>
      </w:r>
      <w:r w:rsidR="00640758">
        <w:t>compliance</w:t>
      </w:r>
      <w:r w:rsidR="00AC2E31">
        <w:t xml:space="preserve"> on appeal </w:t>
      </w:r>
      <w:r w:rsidR="00F52195">
        <w:t>here</w:t>
      </w:r>
      <w:r w:rsidR="00F95AFD">
        <w:t xml:space="preserve"> to </w:t>
      </w:r>
      <w:r w:rsidRPr="00E97149" w:rsidR="00F95AFD">
        <w:t xml:space="preserve">forestall </w:t>
      </w:r>
      <w:r w:rsidRPr="00B33BF9" w:rsidR="00A373AC">
        <w:t>the termination of her parental rights</w:t>
      </w:r>
      <w:r w:rsidRPr="00E97149" w:rsidR="00640758">
        <w:t>.</w:t>
      </w:r>
      <w:r w:rsidR="00640758">
        <w:t xml:space="preserve">  </w:t>
      </w:r>
    </w:p>
  </w:footnote>
  <w:footnote w:id="19">
    <w:p w:rsidR="004D2ABE" w14:paraId="4C007FA2" w14:textId="72F63332">
      <w:pPr>
        <w:pStyle w:val="FootnoteText"/>
      </w:pPr>
      <w:r>
        <w:rPr>
          <w:rStyle w:val="FootnoteReference"/>
        </w:rPr>
        <w:footnoteRef/>
      </w:r>
      <w:r>
        <w:t xml:space="preserve"> </w:t>
      </w:r>
      <w:r>
        <w:tab/>
      </w:r>
      <w:r w:rsidR="00656457">
        <w:t xml:space="preserve">Approximately 110 of the 574 </w:t>
      </w:r>
      <w:r w:rsidRPr="00997855" w:rsidR="00656457">
        <w:t xml:space="preserve">federally-recognized </w:t>
      </w:r>
      <w:r w:rsidR="00656457">
        <w:t>Indian</w:t>
      </w:r>
      <w:r w:rsidRPr="00997855" w:rsidR="00656457">
        <w:t xml:space="preserve"> tribes in the United States are in California.  (</w:t>
      </w:r>
      <w:r w:rsidR="00656457">
        <w:t>S</w:t>
      </w:r>
      <w:r w:rsidRPr="00997855" w:rsidR="00656457">
        <w:t xml:space="preserve">ee </w:t>
      </w:r>
      <w:r w:rsidRPr="00C15193" w:rsidR="00656457">
        <w:t>Indian Entities Recognized by and Eligible To Receive Services From the United States Bureau of Indian Affairs</w:t>
      </w:r>
      <w:r w:rsidR="00656457">
        <w:t xml:space="preserve">, </w:t>
      </w:r>
      <w:r w:rsidRPr="00997855" w:rsidR="00656457">
        <w:t>8</w:t>
      </w:r>
      <w:r w:rsidR="00656457">
        <w:t>8</w:t>
      </w:r>
      <w:r w:rsidRPr="00997855" w:rsidR="00656457">
        <w:t xml:space="preserve"> Fed.Reg. </w:t>
      </w:r>
      <w:r w:rsidR="00656457">
        <w:t>54654</w:t>
      </w:r>
      <w:r w:rsidRPr="00997855" w:rsidR="00656457">
        <w:t xml:space="preserve"> (</w:t>
      </w:r>
      <w:r w:rsidR="00656457">
        <w:t>Aug</w:t>
      </w:r>
      <w:r w:rsidRPr="00997855" w:rsidR="00656457">
        <w:t xml:space="preserve">. </w:t>
      </w:r>
      <w:r w:rsidR="00656457">
        <w:t>11</w:t>
      </w:r>
      <w:r w:rsidRPr="00997855" w:rsidR="00656457">
        <w:t>, 202</w:t>
      </w:r>
      <w:r w:rsidR="00656457">
        <w:t>3</w:t>
      </w:r>
      <w:r w:rsidRPr="00997855" w:rsidR="00656457">
        <w:t xml:space="preserve">) [listing all tribes eligible for BIA services and funding].)  </w:t>
      </w:r>
      <w:r w:rsidRPr="00545868" w:rsidR="00656457">
        <w:t xml:space="preserve">These tribes range from large to very small and have their own governmental structures and processes.  (See California Tribal Court-State Court Forum, Frequently Asked Questions:  Indian Tribes and Tribal Communities in California, p. 1 &lt;https://www.courts.ca.gov/documents/TribalFAQs.pdf&gt; [as of </w:t>
      </w:r>
      <w:r w:rsidR="001E0660">
        <w:t>Aug. 19</w:t>
      </w:r>
      <w:r w:rsidRPr="00545868" w:rsidR="001E0660">
        <w:t xml:space="preserve">, </w:t>
      </w:r>
      <w:r w:rsidRPr="00545868" w:rsidR="00656457">
        <w:t>2024]; all Internet citations in this opinion are archived by year, docket number and case name at &lt;http://www.courts.ca.gov/38324.htm&gt;.) In addition, many Indians in California are from out-of-state tribes.</w:t>
      </w:r>
      <w:r w:rsidR="00656457">
        <w:t xml:space="preserve"> </w:t>
      </w:r>
      <w:r w:rsidRPr="00656457" w:rsidR="00656457">
        <w:t xml:space="preserve"> (</w:t>
      </w:r>
      <w:r w:rsidRPr="00656457" w:rsidR="00656457">
        <w:rPr>
          <w:i/>
          <w:iCs/>
        </w:rPr>
        <w:t>Id.</w:t>
      </w:r>
      <w:r w:rsidRPr="00656457" w:rsidR="00656457">
        <w:t xml:space="preserve"> at pp. 2–3.)</w:t>
      </w:r>
      <w:r w:rsidRPr="00997855" w:rsidR="00656457">
        <w:t xml:space="preserve">  </w:t>
      </w:r>
      <w:r w:rsidR="00656457">
        <w:t xml:space="preserve">These factors present challenges with </w:t>
      </w:r>
      <w:r w:rsidRPr="00781418" w:rsidR="00656457">
        <w:t xml:space="preserve">ICWA </w:t>
      </w:r>
      <w:r w:rsidRPr="00781418" w:rsidR="00CD3B1F">
        <w:t>and Cal-ICWA</w:t>
      </w:r>
      <w:r w:rsidR="00CD3B1F">
        <w:t xml:space="preserve"> </w:t>
      </w:r>
      <w:r w:rsidR="00656457">
        <w:t>compliance, including notice to, and participation of, tribes</w:t>
      </w:r>
      <w:r w:rsidRPr="00997855" w:rsidR="00656457">
        <w:t xml:space="preserve">, underscoring that </w:t>
      </w:r>
      <w:r w:rsidRPr="00781418" w:rsidR="00656457">
        <w:t xml:space="preserve">ICWA </w:t>
      </w:r>
      <w:r w:rsidRPr="00781418" w:rsidR="00CE229B">
        <w:t>and Cal-ICWA</w:t>
      </w:r>
      <w:r w:rsidR="00CE229B">
        <w:t xml:space="preserve"> </w:t>
      </w:r>
      <w:r w:rsidRPr="00997855" w:rsidR="00656457">
        <w:t>must be enforced regardless of tribal intervention.  (</w:t>
      </w:r>
      <w:r w:rsidRPr="00656457" w:rsidR="00656457">
        <w:t>S</w:t>
      </w:r>
      <w:r w:rsidRPr="00997855" w:rsidR="00656457">
        <w:t>ee ICWA Proceedings, 81 Fed.Reg.</w:t>
      </w:r>
      <w:r w:rsidR="00656457">
        <w:t xml:space="preserve">, </w:t>
      </w:r>
      <w:r w:rsidRPr="00997855" w:rsidR="00656457">
        <w:rPr>
          <w:i/>
          <w:iCs/>
        </w:rPr>
        <w:t>supra</w:t>
      </w:r>
      <w:r w:rsidRPr="00997855" w:rsidR="00656457">
        <w:t xml:space="preserve">, at </w:t>
      </w:r>
      <w:r w:rsidR="00656457">
        <w:t xml:space="preserve">pp. </w:t>
      </w:r>
      <w:r w:rsidRPr="00997855" w:rsidR="00656457">
        <w:t>38782–38783</w:t>
      </w:r>
      <w:r w:rsidR="00656457">
        <w:t>.)</w:t>
      </w:r>
      <w:r w:rsidRPr="00997855" w:rsidR="00656457">
        <w:t xml:space="preserve"> </w:t>
      </w:r>
      <w:r w:rsidR="00656457">
        <w:t xml:space="preserve"> </w:t>
      </w:r>
    </w:p>
  </w:footnote>
  <w:footnote w:id="20">
    <w:p w:rsidR="009000AA" w:rsidP="004A4AA5" w14:paraId="489EB8C9" w14:textId="2662E8C7">
      <w:pPr>
        <w:spacing w:line="300" w:lineRule="exact"/>
      </w:pPr>
      <w:r>
        <w:rPr>
          <w:rStyle w:val="FootnoteReference"/>
        </w:rPr>
        <w:footnoteRef/>
      </w:r>
      <w:r>
        <w:t xml:space="preserve"> </w:t>
      </w:r>
      <w:r>
        <w:tab/>
        <w:t xml:space="preserve">Because they have reached contrary conclusions on the issue before us, </w:t>
      </w:r>
      <w:r w:rsidRPr="007068D8">
        <w:t xml:space="preserve">we </w:t>
      </w:r>
      <w:r w:rsidRPr="003E2BCD">
        <w:t xml:space="preserve">disapprove </w:t>
      </w:r>
      <w:r w:rsidRPr="003E2BCD" w:rsidR="00202211">
        <w:rPr>
          <w:i/>
          <w:iCs/>
        </w:rPr>
        <w:t xml:space="preserve">In re </w:t>
      </w:r>
      <w:r w:rsidRPr="003E2BCD">
        <w:rPr>
          <w:i/>
          <w:iCs/>
        </w:rPr>
        <w:t>A.C.</w:t>
      </w:r>
      <w:r w:rsidR="0038517F">
        <w:t xml:space="preserve">, </w:t>
      </w:r>
      <w:r w:rsidR="0038517F">
        <w:rPr>
          <w:i/>
          <w:iCs/>
        </w:rPr>
        <w:t>supra</w:t>
      </w:r>
      <w:r w:rsidR="0038517F">
        <w:t>,</w:t>
      </w:r>
      <w:r w:rsidRPr="003E2BCD" w:rsidR="00202211">
        <w:t xml:space="preserve"> 65 Cal.App.5th 1060</w:t>
      </w:r>
      <w:r w:rsidRPr="003E2BCD">
        <w:t xml:space="preserve">, </w:t>
      </w:r>
      <w:r w:rsidRPr="003E2BCD" w:rsidR="00176DA1">
        <w:rPr>
          <w:i/>
          <w:iCs/>
        </w:rPr>
        <w:t xml:space="preserve">In re </w:t>
      </w:r>
      <w:r w:rsidRPr="003E2BCD">
        <w:rPr>
          <w:i/>
          <w:iCs/>
        </w:rPr>
        <w:t>Rebecca R.</w:t>
      </w:r>
      <w:r w:rsidRPr="003E2BCD" w:rsidR="00176DA1">
        <w:t xml:space="preserve"> (2006) </w:t>
      </w:r>
      <w:r w:rsidRPr="003E2BCD" w:rsidR="00B048A9">
        <w:t>143 Cal.App.4th 1426</w:t>
      </w:r>
      <w:r w:rsidRPr="003E2BCD">
        <w:t xml:space="preserve">, </w:t>
      </w:r>
      <w:r w:rsidRPr="003E2BCD" w:rsidR="006F402A">
        <w:rPr>
          <w:i/>
          <w:iCs/>
        </w:rPr>
        <w:t xml:space="preserve">In re </w:t>
      </w:r>
      <w:r w:rsidRPr="003E2BCD">
        <w:rPr>
          <w:i/>
          <w:iCs/>
        </w:rPr>
        <w:t>Benjamin M.</w:t>
      </w:r>
      <w:r w:rsidR="00421E50">
        <w:t xml:space="preserve">, </w:t>
      </w:r>
      <w:r w:rsidR="00421E50">
        <w:rPr>
          <w:i/>
          <w:iCs/>
        </w:rPr>
        <w:t>supra</w:t>
      </w:r>
      <w:r w:rsidR="00421E50">
        <w:t>,</w:t>
      </w:r>
      <w:r w:rsidRPr="003E2BCD" w:rsidR="00B12EFE">
        <w:t xml:space="preserve"> 70 Cal.App.</w:t>
      </w:r>
      <w:r w:rsidRPr="003E2BCD" w:rsidR="006F402A">
        <w:t>5th 735</w:t>
      </w:r>
      <w:r w:rsidRPr="003E2BCD">
        <w:t xml:space="preserve">, </w:t>
      </w:r>
      <w:r w:rsidR="00071A1F">
        <w:rPr>
          <w:i/>
          <w:iCs/>
        </w:rPr>
        <w:t xml:space="preserve">In re Samantha </w:t>
      </w:r>
      <w:r w:rsidR="00271DB1">
        <w:rPr>
          <w:i/>
          <w:iCs/>
        </w:rPr>
        <w:t>F.</w:t>
      </w:r>
      <w:r w:rsidR="00271DB1">
        <w:t xml:space="preserve"> (2024) 99 Cal.App.5th 1062, </w:t>
      </w:r>
      <w:r w:rsidR="00C06DE4">
        <w:rPr>
          <w:i/>
          <w:iCs/>
        </w:rPr>
        <w:t>In re V.C.</w:t>
      </w:r>
      <w:r w:rsidR="00D12E19">
        <w:t xml:space="preserve">, </w:t>
      </w:r>
      <w:r w:rsidR="00D12E19">
        <w:rPr>
          <w:i/>
          <w:iCs/>
        </w:rPr>
        <w:t>supra</w:t>
      </w:r>
      <w:r w:rsidR="00D12E19">
        <w:t>,</w:t>
      </w:r>
      <w:r w:rsidR="00C06DE4">
        <w:t xml:space="preserve"> 95 Cal.App.5th 251, </w:t>
      </w:r>
      <w:r w:rsidR="00E06A92">
        <w:rPr>
          <w:i/>
          <w:iCs/>
        </w:rPr>
        <w:t>In re Ricky R.</w:t>
      </w:r>
      <w:r w:rsidR="00D12E19">
        <w:t xml:space="preserve">, </w:t>
      </w:r>
      <w:r w:rsidR="00D12E19">
        <w:rPr>
          <w:i/>
          <w:iCs/>
        </w:rPr>
        <w:t>supra</w:t>
      </w:r>
      <w:r w:rsidR="00D12E19">
        <w:t>,</w:t>
      </w:r>
      <w:r w:rsidR="00E06A92">
        <w:t xml:space="preserve"> 82 Cal.App.5th 671, </w:t>
      </w:r>
      <w:r w:rsidRPr="003E2BCD" w:rsidR="00DD433A">
        <w:rPr>
          <w:i/>
          <w:iCs/>
        </w:rPr>
        <w:t xml:space="preserve">In re </w:t>
      </w:r>
      <w:r w:rsidRPr="003E2BCD">
        <w:rPr>
          <w:i/>
          <w:iCs/>
        </w:rPr>
        <w:t>S.S.</w:t>
      </w:r>
      <w:r w:rsidR="00D12E19">
        <w:t xml:space="preserve">, </w:t>
      </w:r>
      <w:r w:rsidR="00D12E19">
        <w:rPr>
          <w:i/>
          <w:iCs/>
        </w:rPr>
        <w:t>supra</w:t>
      </w:r>
      <w:r w:rsidR="00D12E19">
        <w:t>,</w:t>
      </w:r>
      <w:r w:rsidRPr="003E2BCD" w:rsidR="00DD433A">
        <w:t xml:space="preserve"> 75 Cal.</w:t>
      </w:r>
      <w:r w:rsidRPr="003E2BCD" w:rsidR="003D0171">
        <w:t>App.5th 575</w:t>
      </w:r>
      <w:r w:rsidRPr="003E2BCD">
        <w:t xml:space="preserve">, </w:t>
      </w:r>
      <w:r w:rsidRPr="003E2BCD" w:rsidR="003D0171">
        <w:rPr>
          <w:i/>
          <w:iCs/>
        </w:rPr>
        <w:t xml:space="preserve">In re </w:t>
      </w:r>
      <w:r w:rsidRPr="003E2BCD">
        <w:rPr>
          <w:i/>
          <w:iCs/>
        </w:rPr>
        <w:t>Darian R.</w:t>
      </w:r>
      <w:r w:rsidR="00F7783A">
        <w:t xml:space="preserve">, </w:t>
      </w:r>
      <w:r w:rsidR="00F7783A">
        <w:rPr>
          <w:i/>
          <w:iCs/>
        </w:rPr>
        <w:t>supra</w:t>
      </w:r>
      <w:r w:rsidR="00F7783A">
        <w:t>,</w:t>
      </w:r>
      <w:r w:rsidRPr="003E2BCD" w:rsidR="003D0171">
        <w:t xml:space="preserve"> </w:t>
      </w:r>
      <w:r w:rsidRPr="003E2BCD" w:rsidR="00FB1E3E">
        <w:t>75 Cal.App.5th 502</w:t>
      </w:r>
      <w:r w:rsidRPr="003E2BCD">
        <w:t xml:space="preserve">, </w:t>
      </w:r>
      <w:r w:rsidRPr="003E2BCD" w:rsidR="009F6099">
        <w:rPr>
          <w:i/>
          <w:iCs/>
        </w:rPr>
        <w:t xml:space="preserve">In re </w:t>
      </w:r>
      <w:r w:rsidRPr="003E2BCD">
        <w:rPr>
          <w:i/>
          <w:iCs/>
        </w:rPr>
        <w:t>A.C.</w:t>
      </w:r>
      <w:r w:rsidRPr="003E2BCD" w:rsidR="00DA083B">
        <w:rPr>
          <w:i/>
          <w:iCs/>
        </w:rPr>
        <w:t xml:space="preserve"> </w:t>
      </w:r>
      <w:r w:rsidRPr="003E2BCD" w:rsidR="00DA083B">
        <w:t>(2022)</w:t>
      </w:r>
      <w:r w:rsidRPr="003E2BCD" w:rsidR="009F6099">
        <w:rPr>
          <w:i/>
          <w:iCs/>
        </w:rPr>
        <w:t xml:space="preserve"> </w:t>
      </w:r>
      <w:r w:rsidRPr="003E2BCD" w:rsidR="009F6099">
        <w:t>75 Cal.App.5th 1009</w:t>
      </w:r>
      <w:r w:rsidRPr="003E2BCD">
        <w:t xml:space="preserve">, </w:t>
      </w:r>
      <w:r w:rsidRPr="003E2BCD" w:rsidR="00267FBB">
        <w:rPr>
          <w:i/>
          <w:iCs/>
        </w:rPr>
        <w:t xml:space="preserve">In re </w:t>
      </w:r>
      <w:r w:rsidRPr="003E2BCD">
        <w:rPr>
          <w:i/>
          <w:iCs/>
        </w:rPr>
        <w:t>Y.M.</w:t>
      </w:r>
      <w:r w:rsidR="00F7783A">
        <w:t xml:space="preserve">, </w:t>
      </w:r>
      <w:r w:rsidR="00F7783A">
        <w:rPr>
          <w:i/>
          <w:iCs/>
        </w:rPr>
        <w:t>supra</w:t>
      </w:r>
      <w:r w:rsidR="00F7783A">
        <w:t>,</w:t>
      </w:r>
      <w:r w:rsidRPr="003E2BCD" w:rsidR="00267FBB">
        <w:t xml:space="preserve"> 82 Cal.App.5th 901</w:t>
      </w:r>
      <w:r w:rsidRPr="003E2BCD">
        <w:t xml:space="preserve">, </w:t>
      </w:r>
      <w:r w:rsidRPr="003E2BCD" w:rsidR="00267FBB">
        <w:rPr>
          <w:i/>
          <w:iCs/>
        </w:rPr>
        <w:t xml:space="preserve">In re </w:t>
      </w:r>
      <w:r w:rsidRPr="003E2BCD">
        <w:rPr>
          <w:i/>
          <w:iCs/>
        </w:rPr>
        <w:t>Adrian L.</w:t>
      </w:r>
      <w:r w:rsidRPr="003E2BCD" w:rsidR="007F3974">
        <w:rPr>
          <w:i/>
          <w:iCs/>
        </w:rPr>
        <w:t xml:space="preserve"> </w:t>
      </w:r>
      <w:r w:rsidRPr="003E2BCD" w:rsidR="007F3974">
        <w:t>(2022) 86 Cal.App.5th 342</w:t>
      </w:r>
      <w:r w:rsidRPr="003E2BCD">
        <w:t xml:space="preserve">, </w:t>
      </w:r>
      <w:r w:rsidRPr="003E2BCD" w:rsidR="008A024D">
        <w:rPr>
          <w:i/>
          <w:iCs/>
        </w:rPr>
        <w:t xml:space="preserve">In re </w:t>
      </w:r>
      <w:r w:rsidRPr="003E2BCD">
        <w:rPr>
          <w:i/>
          <w:iCs/>
        </w:rPr>
        <w:t>D.B.</w:t>
      </w:r>
      <w:r w:rsidR="001C046D">
        <w:t xml:space="preserve">, </w:t>
      </w:r>
      <w:r w:rsidR="001C046D">
        <w:rPr>
          <w:i/>
          <w:iCs/>
        </w:rPr>
        <w:t>supra</w:t>
      </w:r>
      <w:r w:rsidR="001C046D">
        <w:t>,</w:t>
      </w:r>
      <w:r w:rsidRPr="003E2BCD" w:rsidR="009219D4">
        <w:t xml:space="preserve"> 87 Cal.App.5th 239</w:t>
      </w:r>
      <w:r w:rsidRPr="003E2BCD">
        <w:t>,</w:t>
      </w:r>
      <w:r w:rsidR="00E348C2">
        <w:t xml:space="preserve"> </w:t>
      </w:r>
      <w:r w:rsidR="00AD5C58">
        <w:rPr>
          <w:i/>
          <w:iCs/>
        </w:rPr>
        <w:t>In re Ezequiel G.</w:t>
      </w:r>
      <w:r w:rsidR="001C046D">
        <w:t xml:space="preserve">, </w:t>
      </w:r>
      <w:r w:rsidR="001C046D">
        <w:rPr>
          <w:i/>
          <w:iCs/>
        </w:rPr>
        <w:t>supra</w:t>
      </w:r>
      <w:r w:rsidR="001C046D">
        <w:t>,</w:t>
      </w:r>
      <w:r w:rsidR="00AD5C58">
        <w:t xml:space="preserve"> 81 Cal.App.5th 984, </w:t>
      </w:r>
      <w:r w:rsidR="00AD5C58">
        <w:rPr>
          <w:i/>
          <w:iCs/>
        </w:rPr>
        <w:t>In re G.A.</w:t>
      </w:r>
      <w:r w:rsidR="001C046D">
        <w:t xml:space="preserve">, </w:t>
      </w:r>
      <w:r w:rsidR="001C046D">
        <w:rPr>
          <w:i/>
          <w:iCs/>
        </w:rPr>
        <w:t>supra</w:t>
      </w:r>
      <w:r w:rsidR="001C046D">
        <w:t>,</w:t>
      </w:r>
      <w:r w:rsidR="008450C9">
        <w:t xml:space="preserve"> 81</w:t>
      </w:r>
      <w:r w:rsidR="003135EC">
        <w:t> </w:t>
      </w:r>
      <w:r w:rsidR="008450C9">
        <w:t>Cal.</w:t>
      </w:r>
      <w:r w:rsidRPr="00D36563" w:rsidR="008450C9">
        <w:t>App.5th 355</w:t>
      </w:r>
      <w:r w:rsidR="00376FAE">
        <w:t xml:space="preserve">, </w:t>
      </w:r>
      <w:r w:rsidR="00376FAE">
        <w:rPr>
          <w:i/>
          <w:iCs/>
        </w:rPr>
        <w:t xml:space="preserve">In re Allison B. </w:t>
      </w:r>
      <w:r w:rsidR="00376FAE">
        <w:t>(2022) 79 Cal.App.5th 214</w:t>
      </w:r>
      <w:r w:rsidR="00C01305">
        <w:t xml:space="preserve">, </w:t>
      </w:r>
      <w:r w:rsidR="00C01305">
        <w:rPr>
          <w:i/>
          <w:iCs/>
        </w:rPr>
        <w:t>In re A.M.</w:t>
      </w:r>
      <w:r w:rsidR="00C01305">
        <w:t xml:space="preserve"> (2020) 47 Cal.App.5th 303, </w:t>
      </w:r>
      <w:r w:rsidR="00C01305">
        <w:rPr>
          <w:i/>
          <w:iCs/>
        </w:rPr>
        <w:t>In re Austin J.</w:t>
      </w:r>
      <w:r w:rsidR="00C01305">
        <w:t xml:space="preserve"> (2020) 47 Cal.App.5th </w:t>
      </w:r>
      <w:r w:rsidR="002F7DE7">
        <w:t>870,</w:t>
      </w:r>
      <w:r w:rsidR="00844B88">
        <w:t xml:space="preserve"> and</w:t>
      </w:r>
      <w:r w:rsidR="00844B88">
        <w:rPr>
          <w:i/>
          <w:iCs/>
        </w:rPr>
        <w:t xml:space="preserve"> In re M.M.</w:t>
      </w:r>
      <w:r w:rsidR="001C046D">
        <w:t xml:space="preserve">, </w:t>
      </w:r>
      <w:r w:rsidR="001C046D">
        <w:rPr>
          <w:i/>
          <w:iCs/>
        </w:rPr>
        <w:t>supra</w:t>
      </w:r>
      <w:r w:rsidR="001C046D">
        <w:t>,</w:t>
      </w:r>
      <w:r w:rsidR="00844B88">
        <w:t xml:space="preserve"> 81 Cal.App.5th 61</w:t>
      </w:r>
      <w:r w:rsidR="002F7DE7">
        <w:t xml:space="preserve"> </w:t>
      </w:r>
      <w:r w:rsidRPr="003E2BCD">
        <w:t>to the extent they are inconsistent with our opinion.</w:t>
      </w:r>
    </w:p>
  </w:footnote>
  <w:footnote w:id="21">
    <w:p w:rsidR="00FF5FF4" w:rsidP="00FF5FF4" w14:paraId="69E33BF6" w14:textId="77777777">
      <w:pPr>
        <w:pStyle w:val="FootnoteText"/>
      </w:pPr>
      <w:r w:rsidRPr="00BA1DC1">
        <w:rPr>
          <w:rStyle w:val="FootnoteReference"/>
          <w:szCs w:val="27"/>
        </w:rPr>
        <w:footnoteRef/>
      </w:r>
      <w:r w:rsidRPr="00BA1DC1">
        <w:rPr>
          <w:szCs w:val="27"/>
          <w:vertAlign w:val="superscript"/>
        </w:rPr>
        <w:t xml:space="preserve"> </w:t>
      </w:r>
      <w:r w:rsidRPr="00BA1DC1">
        <w:rPr>
          <w:szCs w:val="27"/>
          <w:vertAlign w:val="superscript"/>
        </w:rPr>
        <w:tab/>
      </w:r>
      <w:r w:rsidRPr="00BA1DC1">
        <w:rPr>
          <w:szCs w:val="27"/>
        </w:rPr>
        <w:t xml:space="preserve">We have granted review in </w:t>
      </w:r>
      <w:bookmarkStart w:id="10" w:name="_Hlk172650523"/>
      <w:r w:rsidRPr="00BA1DC1">
        <w:rPr>
          <w:i/>
          <w:iCs/>
          <w:szCs w:val="27"/>
        </w:rPr>
        <w:t>In re Ja.O.</w:t>
      </w:r>
      <w:r w:rsidRPr="00BA1DC1">
        <w:rPr>
          <w:szCs w:val="27"/>
        </w:rPr>
        <w:t xml:space="preserve"> (2023) 91</w:t>
      </w:r>
      <w:r>
        <w:rPr>
          <w:szCs w:val="27"/>
        </w:rPr>
        <w:t> </w:t>
      </w:r>
      <w:r w:rsidRPr="00BA1DC1">
        <w:rPr>
          <w:szCs w:val="27"/>
        </w:rPr>
        <w:t>Cal.App.5th 672, review granted July 26, 2023, S280572,</w:t>
      </w:r>
      <w:bookmarkEnd w:id="10"/>
      <w:r w:rsidRPr="00BA1DC1">
        <w:rPr>
          <w:szCs w:val="27"/>
        </w:rPr>
        <w:t xml:space="preserve"> to decide whether the inquiry duty under Welfare and Institutions Code section 224.2, subdivision (b) applies to children taken into custody by means of a protective custody warrant (Welf. &amp; Inst. Code, § 340).  That issue is not </w:t>
      </w:r>
      <w:r>
        <w:rPr>
          <w:szCs w:val="27"/>
        </w:rPr>
        <w:t>presented in this case</w:t>
      </w:r>
      <w:r w:rsidRPr="00BA1DC1">
        <w:rPr>
          <w:szCs w:val="27"/>
        </w:rPr>
        <w:t xml:space="preserve">, and </w:t>
      </w:r>
      <w:r>
        <w:rPr>
          <w:szCs w:val="27"/>
        </w:rPr>
        <w:t>I</w:t>
      </w:r>
      <w:r w:rsidRPr="00BA1DC1">
        <w:rPr>
          <w:szCs w:val="27"/>
        </w:rPr>
        <w:t xml:space="preserve"> express no view on it here.  </w:t>
      </w:r>
      <w:r>
        <w:rPr>
          <w:szCs w:val="27"/>
        </w:rPr>
        <w:t xml:space="preserve">In this case, </w:t>
      </w:r>
      <w:r w:rsidRPr="00DC3930">
        <w:rPr>
          <w:szCs w:val="27"/>
        </w:rPr>
        <w:t>the parties do not dispute that Cal-ICWA applies</w:t>
      </w:r>
      <w:r>
        <w:rPr>
          <w:szCs w:val="27"/>
        </w:rPr>
        <w:t>.</w:t>
      </w:r>
    </w:p>
  </w:footnote>
  <w:footnote w:id="22">
    <w:p w:rsidR="00FF5FF4" w:rsidRPr="00BA1DC1" w:rsidP="00FF5FF4" w14:paraId="4D80435A" w14:textId="77777777">
      <w:pPr>
        <w:pStyle w:val="FootnoteText"/>
        <w:rPr>
          <w:szCs w:val="27"/>
        </w:rPr>
      </w:pPr>
      <w:r w:rsidRPr="00BA1DC1">
        <w:rPr>
          <w:rStyle w:val="FootnoteReference"/>
          <w:szCs w:val="27"/>
        </w:rPr>
        <w:footnoteRef/>
      </w:r>
      <w:r w:rsidRPr="00BA1DC1">
        <w:rPr>
          <w:szCs w:val="27"/>
          <w:vertAlign w:val="superscript"/>
        </w:rPr>
        <w:t xml:space="preserve"> </w:t>
      </w:r>
      <w:r w:rsidRPr="00BA1DC1">
        <w:rPr>
          <w:szCs w:val="27"/>
        </w:rPr>
        <w:tab/>
      </w:r>
      <w:r>
        <w:rPr>
          <w:szCs w:val="27"/>
        </w:rPr>
        <w:t>T</w:t>
      </w:r>
      <w:r w:rsidRPr="00BA1DC1">
        <w:rPr>
          <w:szCs w:val="27"/>
        </w:rPr>
        <w:t xml:space="preserve">he majority opinion </w:t>
      </w:r>
      <w:r>
        <w:rPr>
          <w:szCs w:val="27"/>
        </w:rPr>
        <w:t xml:space="preserve">improperly </w:t>
      </w:r>
      <w:r w:rsidRPr="00BA1DC1">
        <w:rPr>
          <w:szCs w:val="27"/>
        </w:rPr>
        <w:t xml:space="preserve">relies on assertions </w:t>
      </w:r>
      <w:r>
        <w:rPr>
          <w:szCs w:val="27"/>
        </w:rPr>
        <w:t xml:space="preserve">from </w:t>
      </w:r>
      <w:r w:rsidRPr="00894A51">
        <w:rPr>
          <w:i/>
          <w:iCs/>
          <w:szCs w:val="27"/>
        </w:rPr>
        <w:t>In re Rylei S.</w:t>
      </w:r>
      <w:r w:rsidRPr="00894A51">
        <w:rPr>
          <w:szCs w:val="27"/>
        </w:rPr>
        <w:t xml:space="preserve"> (2022)</w:t>
      </w:r>
      <w:r w:rsidRPr="00894A51">
        <w:rPr>
          <w:iCs/>
          <w:szCs w:val="27"/>
        </w:rPr>
        <w:t xml:space="preserve"> 81</w:t>
      </w:r>
      <w:r>
        <w:rPr>
          <w:iCs/>
          <w:szCs w:val="27"/>
        </w:rPr>
        <w:t> </w:t>
      </w:r>
      <w:r w:rsidRPr="00894A51">
        <w:rPr>
          <w:iCs/>
          <w:szCs w:val="27"/>
        </w:rPr>
        <w:t xml:space="preserve">Cal.App.5th 309, </w:t>
      </w:r>
      <w:r>
        <w:rPr>
          <w:iCs/>
          <w:szCs w:val="27"/>
        </w:rPr>
        <w:t xml:space="preserve">322, </w:t>
      </w:r>
      <w:r>
        <w:rPr>
          <w:szCs w:val="27"/>
        </w:rPr>
        <w:t>which originate</w:t>
      </w:r>
      <w:r w:rsidRPr="00BA1DC1">
        <w:rPr>
          <w:szCs w:val="27"/>
        </w:rPr>
        <w:t xml:space="preserve"> in the California ICWA Compliance Task Force</w:t>
      </w:r>
      <w:r>
        <w:rPr>
          <w:szCs w:val="27"/>
        </w:rPr>
        <w:t>’s 2017 report</w:t>
      </w:r>
      <w:r w:rsidRPr="00BA1DC1">
        <w:rPr>
          <w:szCs w:val="27"/>
        </w:rPr>
        <w:t xml:space="preserve"> to the California Attorney General’s Bureau of Children’s Justice (Task Force Report).  (See maj. opn., </w:t>
      </w:r>
      <w:r w:rsidRPr="00BA1DC1">
        <w:rPr>
          <w:i/>
          <w:iCs/>
          <w:szCs w:val="27"/>
        </w:rPr>
        <w:t>ante</w:t>
      </w:r>
      <w:r w:rsidRPr="00BA1DC1">
        <w:rPr>
          <w:szCs w:val="27"/>
        </w:rPr>
        <w:t xml:space="preserve">, </w:t>
      </w:r>
      <w:r>
        <w:rPr>
          <w:szCs w:val="27"/>
        </w:rPr>
        <w:t xml:space="preserve">at </w:t>
      </w:r>
      <w:r w:rsidRPr="00BA1DC1">
        <w:rPr>
          <w:szCs w:val="27"/>
        </w:rPr>
        <w:t>p.</w:t>
      </w:r>
      <w:r>
        <w:rPr>
          <w:szCs w:val="27"/>
        </w:rPr>
        <w:t> </w:t>
      </w:r>
      <w:r w:rsidRPr="00BA1DC1">
        <w:rPr>
          <w:szCs w:val="27"/>
        </w:rPr>
        <w:t>3</w:t>
      </w:r>
      <w:r>
        <w:rPr>
          <w:szCs w:val="27"/>
        </w:rPr>
        <w:t>7</w:t>
      </w:r>
      <w:r w:rsidRPr="00BA1DC1">
        <w:rPr>
          <w:szCs w:val="27"/>
        </w:rPr>
        <w:t xml:space="preserve">.)  This is </w:t>
      </w:r>
      <w:r>
        <w:rPr>
          <w:szCs w:val="27"/>
        </w:rPr>
        <w:t>improper because</w:t>
      </w:r>
      <w:r w:rsidRPr="00BA1DC1">
        <w:rPr>
          <w:szCs w:val="27"/>
        </w:rPr>
        <w:t xml:space="preserve"> we </w:t>
      </w:r>
      <w:r w:rsidRPr="00BA1DC1">
        <w:rPr>
          <w:i/>
          <w:iCs/>
          <w:szCs w:val="27"/>
        </w:rPr>
        <w:t>denied</w:t>
      </w:r>
      <w:r w:rsidRPr="00BA1DC1">
        <w:rPr>
          <w:szCs w:val="27"/>
        </w:rPr>
        <w:t xml:space="preserve"> mother’s request to take judicial notice of this report, and for good reason.  It is not properly subject to judicial notice and was created by “an independent, tribally led entity.”  (Task Force Report, p. 1.) </w:t>
      </w:r>
      <w:r>
        <w:rPr>
          <w:szCs w:val="27"/>
        </w:rPr>
        <w:t xml:space="preserve"> Unable to quote from the report itself, the majority instead simply quotes from a case that quotes from the improperly noticed report.  This strikes me as inappropriate.  Moreover</w:t>
      </w:r>
      <w:r w:rsidRPr="00BA1DC1">
        <w:rPr>
          <w:szCs w:val="27"/>
        </w:rPr>
        <w:t>, even had we taken judicial notice of this report, it bears repeating that “matters of which judicial notice is taken are considered only for their existence, not for the truth of the matters asserted in them.”  (</w:t>
      </w:r>
      <w:r w:rsidRPr="00BA1DC1">
        <w:rPr>
          <w:i/>
          <w:iCs/>
          <w:szCs w:val="27"/>
        </w:rPr>
        <w:t xml:space="preserve">In re Marriage of Forrest &amp; Eaddy </w:t>
      </w:r>
      <w:r w:rsidRPr="00BA1DC1">
        <w:rPr>
          <w:szCs w:val="27"/>
        </w:rPr>
        <w:t xml:space="preserve">(2006) 144 Cal.App.4th 1202, 1209; see </w:t>
      </w:r>
      <w:r w:rsidRPr="00BA1DC1">
        <w:rPr>
          <w:i/>
          <w:iCs/>
          <w:szCs w:val="27"/>
        </w:rPr>
        <w:t xml:space="preserve">Guarantee Forklift, Inc. v. Capacity of Texas Inc. </w:t>
      </w:r>
      <w:r w:rsidRPr="00BA1DC1">
        <w:rPr>
          <w:szCs w:val="27"/>
        </w:rPr>
        <w:t xml:space="preserve">(2017) 11 Cal.App.5th 1066, 1075 [“we generally do not take judicial notice of the truth of the matter asserted in such documents”].)  </w:t>
      </w:r>
      <w:r>
        <w:rPr>
          <w:szCs w:val="27"/>
        </w:rPr>
        <w:t>The majority opinion violates this settled rule.</w:t>
      </w:r>
    </w:p>
  </w:footnote>
  <w:footnote w:id="23">
    <w:p w:rsidR="00FF5FF4" w:rsidRPr="00D74759" w:rsidP="00FF5FF4" w14:paraId="4CA4BE9E" w14:textId="77777777">
      <w:pPr>
        <w:pStyle w:val="FootnoteText"/>
        <w:rPr>
          <w:szCs w:val="27"/>
        </w:rPr>
      </w:pPr>
      <w:r w:rsidRPr="00D74759">
        <w:rPr>
          <w:rStyle w:val="FootnoteReference"/>
          <w:szCs w:val="27"/>
        </w:rPr>
        <w:footnoteRef/>
      </w:r>
      <w:r w:rsidRPr="00D74759">
        <w:rPr>
          <w:szCs w:val="27"/>
        </w:rPr>
        <w:t xml:space="preserve"> </w:t>
      </w:r>
      <w:r w:rsidRPr="00D74759">
        <w:rPr>
          <w:szCs w:val="27"/>
        </w:rPr>
        <w:tab/>
        <w:t xml:space="preserve">The majority takes solace in the fact that </w:t>
      </w:r>
      <w:r>
        <w:rPr>
          <w:szCs w:val="27"/>
        </w:rPr>
        <w:t xml:space="preserve">“there is </w:t>
      </w:r>
      <w:r w:rsidRPr="00A064C2">
        <w:rPr>
          <w:szCs w:val="27"/>
        </w:rPr>
        <w:t>no evidence in this case that Dezi’s and Joshua’s placement with their paternal grandparents is at risk</w:t>
      </w:r>
      <w:r w:rsidRPr="00D74759">
        <w:rPr>
          <w:szCs w:val="27"/>
        </w:rPr>
        <w:t>.</w:t>
      </w:r>
      <w:r>
        <w:rPr>
          <w:szCs w:val="27"/>
        </w:rPr>
        <w:t xml:space="preserve">”  (Maj. opn., </w:t>
      </w:r>
      <w:r w:rsidRPr="00F55E99">
        <w:rPr>
          <w:i/>
          <w:iCs/>
          <w:szCs w:val="27"/>
        </w:rPr>
        <w:t>ante</w:t>
      </w:r>
      <w:r>
        <w:rPr>
          <w:szCs w:val="27"/>
        </w:rPr>
        <w:t xml:space="preserve">, at p. 32, fn. 13.) </w:t>
      </w:r>
      <w:r w:rsidRPr="00D74759">
        <w:rPr>
          <w:szCs w:val="27"/>
        </w:rPr>
        <w:t xml:space="preserve"> This may be so, but it seems to undervalue the psychological uncertainty place</w:t>
      </w:r>
      <w:r>
        <w:rPr>
          <w:szCs w:val="27"/>
        </w:rPr>
        <w:t>d</w:t>
      </w:r>
      <w:r w:rsidRPr="00D74759">
        <w:rPr>
          <w:szCs w:val="27"/>
        </w:rPr>
        <w:t xml:space="preserve"> upon children and their families by the fact that the placement remains temporary and could be undone by a subsequent court determination. </w:t>
      </w:r>
      <w:r>
        <w:rPr>
          <w:szCs w:val="27"/>
        </w:rPr>
        <w:t xml:space="preserve"> </w:t>
      </w:r>
      <w:r w:rsidRPr="00D74759">
        <w:rPr>
          <w:szCs w:val="27"/>
        </w:rPr>
        <w:t xml:space="preserve">And, though the </w:t>
      </w:r>
      <w:r>
        <w:rPr>
          <w:szCs w:val="27"/>
        </w:rPr>
        <w:t xml:space="preserve">paternal </w:t>
      </w:r>
      <w:r w:rsidRPr="00D74759">
        <w:rPr>
          <w:szCs w:val="27"/>
        </w:rPr>
        <w:t xml:space="preserve">grandparents in this case may be unwavering </w:t>
      </w:r>
      <w:r>
        <w:rPr>
          <w:szCs w:val="27"/>
        </w:rPr>
        <w:t xml:space="preserve">heretofore </w:t>
      </w:r>
      <w:r w:rsidRPr="00D74759">
        <w:rPr>
          <w:szCs w:val="27"/>
        </w:rPr>
        <w:t xml:space="preserve">in their commitment to permanently adopt these children, today’s ruling will sweep much more broadly than just the case of Dezi </w:t>
      </w:r>
      <w:r>
        <w:rPr>
          <w:szCs w:val="27"/>
        </w:rPr>
        <w:t xml:space="preserve">C. </w:t>
      </w:r>
      <w:r w:rsidRPr="00D74759">
        <w:rPr>
          <w:szCs w:val="27"/>
        </w:rPr>
        <w:t>and Joshua</w:t>
      </w:r>
      <w:r>
        <w:rPr>
          <w:szCs w:val="27"/>
        </w:rPr>
        <w:t xml:space="preserve"> C</w:t>
      </w:r>
      <w:r w:rsidRPr="00D74759">
        <w:rPr>
          <w:szCs w:val="27"/>
        </w:rPr>
        <w:t xml:space="preserve">. </w:t>
      </w:r>
      <w:r>
        <w:rPr>
          <w:szCs w:val="27"/>
        </w:rPr>
        <w:t xml:space="preserve"> </w:t>
      </w:r>
      <w:r w:rsidRPr="00D74759">
        <w:rPr>
          <w:szCs w:val="27"/>
        </w:rPr>
        <w:t>Other prospective placements, especially in cases where the adoptive parents are not related to the children, may be far more reticent to create lasting bonds, with the pros</w:t>
      </w:r>
      <w:r>
        <w:rPr>
          <w:szCs w:val="27"/>
        </w:rPr>
        <w:t>p</w:t>
      </w:r>
      <w:r w:rsidRPr="00D74759">
        <w:rPr>
          <w:szCs w:val="27"/>
        </w:rPr>
        <w:t>ect of losing the</w:t>
      </w:r>
      <w:r>
        <w:rPr>
          <w:szCs w:val="27"/>
        </w:rPr>
        <w:t xml:space="preserve"> children</w:t>
      </w:r>
      <w:r w:rsidRPr="00D74759">
        <w:rPr>
          <w:szCs w:val="27"/>
        </w:rPr>
        <w:t xml:space="preserve"> looming overhead for years on end.</w:t>
      </w:r>
    </w:p>
  </w:footnote>
  <w:footnote w:id="24">
    <w:p w:rsidR="00FF5FF4" w:rsidRPr="00BA1DC1" w:rsidP="00FF5FF4" w14:paraId="673194F4" w14:textId="77777777">
      <w:pPr>
        <w:spacing w:line="300" w:lineRule="exact"/>
        <w:rPr>
          <w:sz w:val="22"/>
        </w:rPr>
      </w:pPr>
      <w:r w:rsidRPr="00BA1DC1">
        <w:rPr>
          <w:rStyle w:val="FootnoteReference"/>
          <w:szCs w:val="27"/>
        </w:rPr>
        <w:footnoteRef/>
      </w:r>
      <w:r w:rsidRPr="00BA1DC1">
        <w:rPr>
          <w:szCs w:val="27"/>
          <w:vertAlign w:val="superscript"/>
        </w:rPr>
        <w:t xml:space="preserve"> </w:t>
      </w:r>
      <w:r w:rsidRPr="00BA1DC1">
        <w:rPr>
          <w:szCs w:val="27"/>
        </w:rPr>
        <w:tab/>
      </w:r>
      <w:r>
        <w:rPr>
          <w:szCs w:val="27"/>
        </w:rPr>
        <w:t xml:space="preserve">Given the fact that the question of what constitutes adequate notice is not at issue here, this makes it difficult for the majority to provide definitive guidance on this issue.   But this unique procedural posture also makes it hard for the juvenile court to know how to proceed with remand instructions “to conduct an adequate inquiry.”  (Maj. opn., </w:t>
      </w:r>
      <w:r>
        <w:rPr>
          <w:i/>
          <w:iCs/>
          <w:szCs w:val="27"/>
        </w:rPr>
        <w:t>ante</w:t>
      </w:r>
      <w:r>
        <w:rPr>
          <w:szCs w:val="27"/>
        </w:rPr>
        <w:t>, at p. 2.)  It similarly creates uncertainty for child welfare departments on remand to know what is meant by asking “extended family members and others” as required by statute (</w:t>
      </w:r>
      <w:r>
        <w:rPr>
          <w:i/>
          <w:iCs/>
          <w:szCs w:val="27"/>
        </w:rPr>
        <w:t>id.</w:t>
      </w:r>
      <w:r>
        <w:rPr>
          <w:szCs w:val="27"/>
        </w:rPr>
        <w:t xml:space="preserve"> at p. 26), or “ ‘those people who are reasonably available to help the agency with its investigation’ ” (</w:t>
      </w:r>
      <w:r>
        <w:rPr>
          <w:i/>
          <w:iCs/>
          <w:szCs w:val="27"/>
        </w:rPr>
        <w:t>id.</w:t>
      </w:r>
      <w:r>
        <w:rPr>
          <w:szCs w:val="27"/>
        </w:rPr>
        <w:t xml:space="preserve"> at p. 27), nor does it assist the agencies with understanding the parameters of an inquiry that is meant to be “ ‘slight and swift’ ” (</w:t>
      </w:r>
      <w:r>
        <w:rPr>
          <w:i/>
          <w:iCs/>
          <w:szCs w:val="27"/>
        </w:rPr>
        <w:t>id.</w:t>
      </w:r>
      <w:r>
        <w:rPr>
          <w:szCs w:val="27"/>
        </w:rPr>
        <w:t xml:space="preserve"> at p. 31).  To be clear, I do not suggest that the majority should have tackled these thorny questions.   They admittedly are not presented by the petition for review.  But the uncertainty created by this procedural posture is nonetheless unfortunate.</w:t>
      </w:r>
    </w:p>
  </w:footnote>
  <w:footnote w:id="25">
    <w:p w:rsidR="00FF5FF4" w:rsidP="00FF5FF4" w14:paraId="742C4182" w14:textId="77777777">
      <w:pPr>
        <w:spacing w:line="300" w:lineRule="exact"/>
      </w:pPr>
      <w:r w:rsidRPr="00070E17">
        <w:rPr>
          <w:rStyle w:val="FootnoteReference"/>
          <w:szCs w:val="27"/>
        </w:rPr>
        <w:footnoteRef/>
      </w:r>
      <w:r w:rsidRPr="000E2674">
        <w:rPr>
          <w:szCs w:val="27"/>
        </w:rPr>
        <w:t xml:space="preserve"> </w:t>
      </w:r>
      <w:r w:rsidRPr="000E2674">
        <w:rPr>
          <w:szCs w:val="27"/>
        </w:rPr>
        <w:tab/>
        <w:t xml:space="preserve">Furthermore, though the instant case presents an appeal from an order terminating parental rights, other cases may arise in the context of an interlocutory appeal, where dependency proceedings are still ongoing.  (See, e.g., </w:t>
      </w:r>
      <w:r w:rsidRPr="000E2674">
        <w:rPr>
          <w:i/>
          <w:iCs/>
          <w:szCs w:val="27"/>
        </w:rPr>
        <w:t>S.H.</w:t>
      </w:r>
      <w:r>
        <w:rPr>
          <w:szCs w:val="27"/>
        </w:rPr>
        <w:t xml:space="preserve">, </w:t>
      </w:r>
      <w:r w:rsidRPr="00BA1DC1">
        <w:rPr>
          <w:i/>
          <w:iCs/>
          <w:szCs w:val="27"/>
        </w:rPr>
        <w:t>supra</w:t>
      </w:r>
      <w:r>
        <w:rPr>
          <w:szCs w:val="27"/>
        </w:rPr>
        <w:t>,</w:t>
      </w:r>
      <w:r w:rsidRPr="000E2674">
        <w:rPr>
          <w:szCs w:val="27"/>
        </w:rPr>
        <w:t xml:space="preserve"> 82 Cal.App.5th </w:t>
      </w:r>
      <w:r>
        <w:rPr>
          <w:szCs w:val="27"/>
        </w:rPr>
        <w:t>at pp. </w:t>
      </w:r>
      <w:r w:rsidRPr="000E2674">
        <w:rPr>
          <w:szCs w:val="27"/>
        </w:rPr>
        <w:t xml:space="preserve">171, 179; </w:t>
      </w:r>
      <w:r w:rsidRPr="000E2674">
        <w:rPr>
          <w:i/>
          <w:iCs/>
          <w:szCs w:val="27"/>
        </w:rPr>
        <w:t>In re Baby Girl M.</w:t>
      </w:r>
      <w:r w:rsidRPr="000E2674">
        <w:rPr>
          <w:szCs w:val="27"/>
        </w:rPr>
        <w:t xml:space="preserve"> (2022) 83 Cal.App.5th 635, 638.)  </w:t>
      </w:r>
      <w:r>
        <w:rPr>
          <w:szCs w:val="27"/>
        </w:rPr>
        <w:t xml:space="preserve">In such a case, some Court of Appeal decisions find that because </w:t>
      </w:r>
      <w:r w:rsidRPr="000E2674">
        <w:rPr>
          <w:szCs w:val="27"/>
        </w:rPr>
        <w:t xml:space="preserve">the Department </w:t>
      </w:r>
      <w:r>
        <w:rPr>
          <w:szCs w:val="27"/>
        </w:rPr>
        <w:t>has</w:t>
      </w:r>
      <w:r w:rsidRPr="000E2674">
        <w:rPr>
          <w:szCs w:val="27"/>
        </w:rPr>
        <w:t xml:space="preserve"> a </w:t>
      </w:r>
      <w:r w:rsidRPr="000E2674">
        <w:rPr>
          <w:i/>
          <w:iCs/>
          <w:szCs w:val="27"/>
        </w:rPr>
        <w:t>continuing</w:t>
      </w:r>
      <w:r w:rsidRPr="000E2674">
        <w:rPr>
          <w:szCs w:val="27"/>
        </w:rPr>
        <w:t xml:space="preserve"> duty of inquiry</w:t>
      </w:r>
      <w:r>
        <w:rPr>
          <w:szCs w:val="27"/>
        </w:rPr>
        <w:t xml:space="preserve"> and</w:t>
      </w:r>
      <w:r w:rsidRPr="000E2674">
        <w:rPr>
          <w:szCs w:val="27"/>
        </w:rPr>
        <w:t xml:space="preserve"> because, unlike the present case, there will necessarily be further dependency proceedings in the juvenile court, reversal based upon a prior failure to adequately inquire as to Indian ancestry may be unnecessary.  (See </w:t>
      </w:r>
      <w:r w:rsidRPr="000E2674">
        <w:rPr>
          <w:i/>
          <w:iCs/>
          <w:szCs w:val="27"/>
        </w:rPr>
        <w:t>S.H.</w:t>
      </w:r>
      <w:r w:rsidRPr="000E2674">
        <w:rPr>
          <w:szCs w:val="27"/>
        </w:rPr>
        <w:t xml:space="preserve">, at p. 179 [“So long as proceedings are ongoing and all parties recognize the </w:t>
      </w:r>
      <w:r w:rsidRPr="000E2674">
        <w:rPr>
          <w:i/>
          <w:iCs/>
          <w:szCs w:val="27"/>
        </w:rPr>
        <w:t>continuing</w:t>
      </w:r>
      <w:r w:rsidRPr="000E2674">
        <w:rPr>
          <w:szCs w:val="27"/>
        </w:rPr>
        <w:t xml:space="preserve"> duty of ICWA inquiry,” then “disturbing an early order in a dependency proceeding is not required where, as here, the court, counsel, and the Agency are aware of incomplete ICWA inquiry”].)</w:t>
      </w:r>
      <w:r>
        <w:rPr>
          <w:szCs w:val="27"/>
        </w:rPr>
        <w:t xml:space="preserve">  Though this fact pattern is neither presented nor decided here, this may be another way to avoid needless reversal in cases involving such a procedural posture.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64F0" w:rsidP="00B764F0" w14:paraId="371A6190" w14:textId="77777777">
    <w:pPr>
      <w:pStyle w:val="Header"/>
    </w:pPr>
    <w:r>
      <w:t>In re DEZI C.</w:t>
    </w:r>
  </w:p>
  <w:p w:rsidR="00ED2547" w:rsidP="00B764F0" w14:paraId="0642239B" w14:textId="0A1D9520">
    <w:pPr>
      <w:pStyle w:val="Header"/>
    </w:pPr>
    <w:r>
      <w:t>Opinion of the Court by Evans, J.</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947" w14:paraId="250E077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947" w14:paraId="6EB8BB6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947" w:rsidRPr="00B67844" w:rsidP="002339BE" w14:paraId="08650DF4" w14:textId="77777777">
    <w:pPr>
      <w:pStyle w:val="Header"/>
      <w:rPr>
        <w:szCs w:val="22"/>
      </w:rPr>
    </w:pPr>
    <w:r>
      <w:rPr>
        <w:szCs w:val="22"/>
      </w:rPr>
      <w:t>In re DEZI C.</w:t>
    </w:r>
  </w:p>
  <w:p w:rsidR="00875947" w:rsidP="002339BE" w14:paraId="27D4FE8B" w14:textId="77777777">
    <w:pPr>
      <w:pStyle w:val="Header"/>
      <w:rPr>
        <w:szCs w:val="22"/>
      </w:rPr>
    </w:pPr>
    <w:r>
      <w:rPr>
        <w:szCs w:val="22"/>
      </w:rPr>
      <w:t>Kruger,</w:t>
    </w:r>
    <w:r w:rsidRPr="00B67844">
      <w:rPr>
        <w:szCs w:val="22"/>
      </w:rPr>
      <w:t xml:space="preserve"> J., </w:t>
    </w:r>
    <w:r>
      <w:rPr>
        <w:szCs w:val="22"/>
      </w:rPr>
      <w:t>concurring</w:t>
    </w:r>
  </w:p>
  <w:p w:rsidR="00875947" w14:paraId="3135D71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947" w14:paraId="278329D2"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947" w14:paraId="60DA158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947" w:rsidRPr="00B67844" w:rsidP="000E2674" w14:paraId="7872CF81" w14:textId="77777777">
    <w:pPr>
      <w:pStyle w:val="Header"/>
      <w:rPr>
        <w:szCs w:val="22"/>
      </w:rPr>
    </w:pPr>
    <w:r>
      <w:rPr>
        <w:szCs w:val="22"/>
      </w:rPr>
      <w:t>In re DEZI C.</w:t>
    </w:r>
  </w:p>
  <w:p w:rsidR="00875947" w:rsidP="000E2674" w14:paraId="678F6DD7" w14:textId="77777777">
    <w:pPr>
      <w:pStyle w:val="Header"/>
      <w:rPr>
        <w:szCs w:val="22"/>
      </w:rPr>
    </w:pPr>
    <w:r w:rsidRPr="00B67844">
      <w:rPr>
        <w:szCs w:val="22"/>
      </w:rPr>
      <w:t xml:space="preserve">Groban, J., </w:t>
    </w:r>
    <w:r>
      <w:rPr>
        <w:szCs w:val="22"/>
      </w:rPr>
      <w:t>dissenting</w:t>
    </w:r>
  </w:p>
  <w:p w:rsidR="00875947" w:rsidRPr="000E2674" w:rsidP="000E2674" w14:paraId="0475B331"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947" w14:paraId="40DA01F2"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947" w14:paraId="7A5F3292"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947" w14:paraId="4BCADE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33F1F"/>
    <w:multiLevelType w:val="hybridMultilevel"/>
    <w:tmpl w:val="26EECA7C"/>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5E6080F"/>
    <w:multiLevelType w:val="hybridMultilevel"/>
    <w:tmpl w:val="2098B2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130C94"/>
    <w:multiLevelType w:val="hybridMultilevel"/>
    <w:tmpl w:val="11B0F25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E65385F"/>
    <w:multiLevelType w:val="hybridMultilevel"/>
    <w:tmpl w:val="B9101C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E8760CA"/>
    <w:multiLevelType w:val="hybridMultilevel"/>
    <w:tmpl w:val="5E6CD3CE"/>
    <w:lvl w:ilvl="0">
      <w:start w:val="1"/>
      <w:numFmt w:val="decimal"/>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5">
    <w:nsid w:val="33B84FEF"/>
    <w:multiLevelType w:val="hybridMultilevel"/>
    <w:tmpl w:val="F6A2369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5320531"/>
    <w:multiLevelType w:val="hybridMultilevel"/>
    <w:tmpl w:val="93D4A6B0"/>
    <w:lvl w:ilvl="0">
      <w:start w:val="1"/>
      <w:numFmt w:val="decimal"/>
      <w:lvlText w:val="%1."/>
      <w:lvlJc w:val="left"/>
      <w:pPr>
        <w:ind w:left="1512" w:hanging="360"/>
      </w:pPr>
      <w:rPr>
        <w:rFonts w:hint="default"/>
        <w:i/>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7">
    <w:nsid w:val="48732606"/>
    <w:multiLevelType w:val="hybridMultilevel"/>
    <w:tmpl w:val="7AC0B0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9D3772A"/>
    <w:multiLevelType w:val="hybridMultilevel"/>
    <w:tmpl w:val="A14089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BB82163"/>
    <w:multiLevelType w:val="hybridMultilevel"/>
    <w:tmpl w:val="F8128B4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E2E0372"/>
    <w:multiLevelType w:val="hybridMultilevel"/>
    <w:tmpl w:val="CAE0A1E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B5C2BA2"/>
    <w:multiLevelType w:val="hybridMultilevel"/>
    <w:tmpl w:val="93D4A6B0"/>
    <w:lvl w:ilvl="0">
      <w:start w:val="1"/>
      <w:numFmt w:val="decimal"/>
      <w:lvlText w:val="%1."/>
      <w:lvlJc w:val="left"/>
      <w:pPr>
        <w:ind w:left="1512" w:hanging="360"/>
      </w:pPr>
      <w:rPr>
        <w:rFonts w:hint="default"/>
        <w:i/>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12">
    <w:nsid w:val="5F5A50B3"/>
    <w:multiLevelType w:val="hybridMultilevel"/>
    <w:tmpl w:val="B1FEC908"/>
    <w:lvl w:ilvl="0">
      <w:start w:val="1"/>
      <w:numFmt w:val="decimal"/>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13">
    <w:nsid w:val="63225DDA"/>
    <w:multiLevelType w:val="hybridMultilevel"/>
    <w:tmpl w:val="D2FA4F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96D4B57"/>
    <w:multiLevelType w:val="hybridMultilevel"/>
    <w:tmpl w:val="0CB4D36C"/>
    <w:lvl w:ilvl="0">
      <w:start w:val="3"/>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C710C53"/>
    <w:multiLevelType w:val="hybridMultilevel"/>
    <w:tmpl w:val="767013FA"/>
    <w:lvl w:ilvl="0">
      <w:start w:val="5"/>
      <w:numFmt w:val="decimal"/>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16">
    <w:nsid w:val="6E933CE5"/>
    <w:multiLevelType w:val="hybridMultilevel"/>
    <w:tmpl w:val="952C2F0E"/>
    <w:lvl w:ilvl="0">
      <w:start w:val="1"/>
      <w:numFmt w:val="upperRoman"/>
      <w:lvlText w:val="%1."/>
      <w:lvlJc w:val="left"/>
      <w:pPr>
        <w:ind w:left="1440" w:hanging="720"/>
      </w:pPr>
      <w:rPr>
        <w:rFonts w:hint="default"/>
        <w:b/>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C9D5C62"/>
    <w:multiLevelType w:val="hybridMultilevel"/>
    <w:tmpl w:val="92540E1C"/>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CCA1571"/>
    <w:multiLevelType w:val="hybridMultilevel"/>
    <w:tmpl w:val="66F8BFD0"/>
    <w:lvl w:ilvl="0">
      <w:start w:val="1"/>
      <w:numFmt w:val="decimal"/>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num w:numId="1" w16cid:durableId="383405918">
    <w:abstractNumId w:val="0"/>
  </w:num>
  <w:num w:numId="2" w16cid:durableId="859856887">
    <w:abstractNumId w:val="10"/>
  </w:num>
  <w:num w:numId="3" w16cid:durableId="900603776">
    <w:abstractNumId w:val="5"/>
  </w:num>
  <w:num w:numId="4" w16cid:durableId="762143461">
    <w:abstractNumId w:val="12"/>
  </w:num>
  <w:num w:numId="5" w16cid:durableId="986206295">
    <w:abstractNumId w:val="2"/>
  </w:num>
  <w:num w:numId="6" w16cid:durableId="1181430908">
    <w:abstractNumId w:val="18"/>
  </w:num>
  <w:num w:numId="7" w16cid:durableId="1823043075">
    <w:abstractNumId w:val="15"/>
  </w:num>
  <w:num w:numId="8" w16cid:durableId="324356164">
    <w:abstractNumId w:val="4"/>
  </w:num>
  <w:num w:numId="9" w16cid:durableId="834223237">
    <w:abstractNumId w:val="14"/>
  </w:num>
  <w:num w:numId="10" w16cid:durableId="492376149">
    <w:abstractNumId w:val="6"/>
  </w:num>
  <w:num w:numId="11" w16cid:durableId="244652885">
    <w:abstractNumId w:val="11"/>
  </w:num>
  <w:num w:numId="12" w16cid:durableId="977420129">
    <w:abstractNumId w:val="3"/>
  </w:num>
  <w:num w:numId="13" w16cid:durableId="958340956">
    <w:abstractNumId w:val="9"/>
  </w:num>
  <w:num w:numId="14" w16cid:durableId="1163860557">
    <w:abstractNumId w:val="7"/>
  </w:num>
  <w:num w:numId="15" w16cid:durableId="1768426371">
    <w:abstractNumId w:val="8"/>
  </w:num>
  <w:num w:numId="16" w16cid:durableId="20712575">
    <w:abstractNumId w:val="1"/>
  </w:num>
  <w:num w:numId="17" w16cid:durableId="1266184825">
    <w:abstractNumId w:val="13"/>
  </w:num>
  <w:num w:numId="18" w16cid:durableId="1456022446">
    <w:abstractNumId w:val="17"/>
  </w:num>
  <w:num w:numId="19" w16cid:durableId="922869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0"/>
    <w:rsid w:val="0000025E"/>
    <w:rsid w:val="000005C8"/>
    <w:rsid w:val="00000BC4"/>
    <w:rsid w:val="000010F0"/>
    <w:rsid w:val="0000158A"/>
    <w:rsid w:val="00001868"/>
    <w:rsid w:val="000018C5"/>
    <w:rsid w:val="000020C9"/>
    <w:rsid w:val="000022F5"/>
    <w:rsid w:val="00002698"/>
    <w:rsid w:val="00002A80"/>
    <w:rsid w:val="0000375E"/>
    <w:rsid w:val="00004321"/>
    <w:rsid w:val="000045B4"/>
    <w:rsid w:val="00004882"/>
    <w:rsid w:val="000049EE"/>
    <w:rsid w:val="00004DFD"/>
    <w:rsid w:val="00005F8A"/>
    <w:rsid w:val="0000602C"/>
    <w:rsid w:val="00006055"/>
    <w:rsid w:val="000060A7"/>
    <w:rsid w:val="000060F0"/>
    <w:rsid w:val="000061DB"/>
    <w:rsid w:val="000062E5"/>
    <w:rsid w:val="00006324"/>
    <w:rsid w:val="000069AF"/>
    <w:rsid w:val="00006D0D"/>
    <w:rsid w:val="000073E5"/>
    <w:rsid w:val="00007ABA"/>
    <w:rsid w:val="00010AEF"/>
    <w:rsid w:val="00010BB7"/>
    <w:rsid w:val="000114C4"/>
    <w:rsid w:val="00011562"/>
    <w:rsid w:val="000117A6"/>
    <w:rsid w:val="00011877"/>
    <w:rsid w:val="00011A7A"/>
    <w:rsid w:val="00011B29"/>
    <w:rsid w:val="00012112"/>
    <w:rsid w:val="00012418"/>
    <w:rsid w:val="0001248B"/>
    <w:rsid w:val="000127DD"/>
    <w:rsid w:val="00012AE7"/>
    <w:rsid w:val="00013758"/>
    <w:rsid w:val="000137AA"/>
    <w:rsid w:val="00013C62"/>
    <w:rsid w:val="00014435"/>
    <w:rsid w:val="00014517"/>
    <w:rsid w:val="000146FD"/>
    <w:rsid w:val="0001517F"/>
    <w:rsid w:val="00015B1F"/>
    <w:rsid w:val="00015B36"/>
    <w:rsid w:val="00015CDC"/>
    <w:rsid w:val="00015CE9"/>
    <w:rsid w:val="00015E52"/>
    <w:rsid w:val="0001632A"/>
    <w:rsid w:val="00016772"/>
    <w:rsid w:val="000168EB"/>
    <w:rsid w:val="0001715C"/>
    <w:rsid w:val="00017487"/>
    <w:rsid w:val="000178A2"/>
    <w:rsid w:val="00017CE2"/>
    <w:rsid w:val="00020068"/>
    <w:rsid w:val="0002056B"/>
    <w:rsid w:val="000205C2"/>
    <w:rsid w:val="00020664"/>
    <w:rsid w:val="00020682"/>
    <w:rsid w:val="000206B5"/>
    <w:rsid w:val="00020B1B"/>
    <w:rsid w:val="00020BF0"/>
    <w:rsid w:val="000211BB"/>
    <w:rsid w:val="000211D4"/>
    <w:rsid w:val="00021E5A"/>
    <w:rsid w:val="0002214C"/>
    <w:rsid w:val="00022450"/>
    <w:rsid w:val="000227C8"/>
    <w:rsid w:val="00022996"/>
    <w:rsid w:val="00022CBE"/>
    <w:rsid w:val="00023316"/>
    <w:rsid w:val="000234F5"/>
    <w:rsid w:val="000236A2"/>
    <w:rsid w:val="00024177"/>
    <w:rsid w:val="0002445B"/>
    <w:rsid w:val="000244B8"/>
    <w:rsid w:val="00024843"/>
    <w:rsid w:val="00024A45"/>
    <w:rsid w:val="00024BAB"/>
    <w:rsid w:val="00024F51"/>
    <w:rsid w:val="0002539A"/>
    <w:rsid w:val="00025442"/>
    <w:rsid w:val="00025C44"/>
    <w:rsid w:val="00026644"/>
    <w:rsid w:val="00026FE3"/>
    <w:rsid w:val="0002702E"/>
    <w:rsid w:val="00027326"/>
    <w:rsid w:val="0002776F"/>
    <w:rsid w:val="00027A96"/>
    <w:rsid w:val="00027F6F"/>
    <w:rsid w:val="00027F7D"/>
    <w:rsid w:val="00030140"/>
    <w:rsid w:val="00030D8D"/>
    <w:rsid w:val="0003120E"/>
    <w:rsid w:val="000313A7"/>
    <w:rsid w:val="000313EE"/>
    <w:rsid w:val="00031851"/>
    <w:rsid w:val="000320B7"/>
    <w:rsid w:val="000324A5"/>
    <w:rsid w:val="00032674"/>
    <w:rsid w:val="00032737"/>
    <w:rsid w:val="00032A2A"/>
    <w:rsid w:val="00032AF5"/>
    <w:rsid w:val="00032CBB"/>
    <w:rsid w:val="00033074"/>
    <w:rsid w:val="0003323B"/>
    <w:rsid w:val="000335E6"/>
    <w:rsid w:val="000337CC"/>
    <w:rsid w:val="00033826"/>
    <w:rsid w:val="00033A4F"/>
    <w:rsid w:val="0003406E"/>
    <w:rsid w:val="00034483"/>
    <w:rsid w:val="00034A1E"/>
    <w:rsid w:val="000350C5"/>
    <w:rsid w:val="00035611"/>
    <w:rsid w:val="000356E3"/>
    <w:rsid w:val="00035872"/>
    <w:rsid w:val="00036093"/>
    <w:rsid w:val="000368D0"/>
    <w:rsid w:val="000369B5"/>
    <w:rsid w:val="000371C7"/>
    <w:rsid w:val="00037226"/>
    <w:rsid w:val="00037498"/>
    <w:rsid w:val="00037523"/>
    <w:rsid w:val="00040033"/>
    <w:rsid w:val="00040746"/>
    <w:rsid w:val="00040854"/>
    <w:rsid w:val="00040857"/>
    <w:rsid w:val="00040C62"/>
    <w:rsid w:val="00040C92"/>
    <w:rsid w:val="00041226"/>
    <w:rsid w:val="000413DA"/>
    <w:rsid w:val="0004141A"/>
    <w:rsid w:val="00041888"/>
    <w:rsid w:val="00041BAD"/>
    <w:rsid w:val="00041F57"/>
    <w:rsid w:val="0004212D"/>
    <w:rsid w:val="00042600"/>
    <w:rsid w:val="0004282E"/>
    <w:rsid w:val="00042C14"/>
    <w:rsid w:val="00042D07"/>
    <w:rsid w:val="00043185"/>
    <w:rsid w:val="00043285"/>
    <w:rsid w:val="0004339A"/>
    <w:rsid w:val="00043BAD"/>
    <w:rsid w:val="00043C1C"/>
    <w:rsid w:val="00043EA5"/>
    <w:rsid w:val="00043FBB"/>
    <w:rsid w:val="000448BC"/>
    <w:rsid w:val="00045464"/>
    <w:rsid w:val="000457B5"/>
    <w:rsid w:val="00045C4B"/>
    <w:rsid w:val="0004624B"/>
    <w:rsid w:val="00046339"/>
    <w:rsid w:val="00046691"/>
    <w:rsid w:val="0004736E"/>
    <w:rsid w:val="00047667"/>
    <w:rsid w:val="00047EFA"/>
    <w:rsid w:val="00050B23"/>
    <w:rsid w:val="00050D2A"/>
    <w:rsid w:val="00051399"/>
    <w:rsid w:val="00051FD6"/>
    <w:rsid w:val="000520F3"/>
    <w:rsid w:val="000523DF"/>
    <w:rsid w:val="0005262C"/>
    <w:rsid w:val="000528A0"/>
    <w:rsid w:val="0005292D"/>
    <w:rsid w:val="000538D9"/>
    <w:rsid w:val="00053FEC"/>
    <w:rsid w:val="0005421C"/>
    <w:rsid w:val="00054504"/>
    <w:rsid w:val="000546BC"/>
    <w:rsid w:val="00054ADD"/>
    <w:rsid w:val="00055D96"/>
    <w:rsid w:val="0005656E"/>
    <w:rsid w:val="00056640"/>
    <w:rsid w:val="00056649"/>
    <w:rsid w:val="00056897"/>
    <w:rsid w:val="00056E17"/>
    <w:rsid w:val="000571D0"/>
    <w:rsid w:val="00057450"/>
    <w:rsid w:val="00057536"/>
    <w:rsid w:val="00057751"/>
    <w:rsid w:val="00057E4A"/>
    <w:rsid w:val="00060411"/>
    <w:rsid w:val="00060673"/>
    <w:rsid w:val="00060B42"/>
    <w:rsid w:val="00060BAD"/>
    <w:rsid w:val="00060FFD"/>
    <w:rsid w:val="00061378"/>
    <w:rsid w:val="00061D4B"/>
    <w:rsid w:val="00061EE0"/>
    <w:rsid w:val="00061F5D"/>
    <w:rsid w:val="00061F74"/>
    <w:rsid w:val="00061FE1"/>
    <w:rsid w:val="000622D2"/>
    <w:rsid w:val="000623A8"/>
    <w:rsid w:val="00062A0E"/>
    <w:rsid w:val="00063A4A"/>
    <w:rsid w:val="00063D6E"/>
    <w:rsid w:val="000644BB"/>
    <w:rsid w:val="00064756"/>
    <w:rsid w:val="000649A7"/>
    <w:rsid w:val="00064A6F"/>
    <w:rsid w:val="000650D1"/>
    <w:rsid w:val="000651BD"/>
    <w:rsid w:val="0006521A"/>
    <w:rsid w:val="000653B7"/>
    <w:rsid w:val="00065BDD"/>
    <w:rsid w:val="0006618D"/>
    <w:rsid w:val="000666F2"/>
    <w:rsid w:val="000666F8"/>
    <w:rsid w:val="000667AC"/>
    <w:rsid w:val="00066839"/>
    <w:rsid w:val="00066912"/>
    <w:rsid w:val="00066C7F"/>
    <w:rsid w:val="00066E7D"/>
    <w:rsid w:val="00066EF8"/>
    <w:rsid w:val="00066F36"/>
    <w:rsid w:val="00067691"/>
    <w:rsid w:val="000676F4"/>
    <w:rsid w:val="00067E78"/>
    <w:rsid w:val="000702CF"/>
    <w:rsid w:val="00070B52"/>
    <w:rsid w:val="00070B8E"/>
    <w:rsid w:val="00070C3D"/>
    <w:rsid w:val="00070C60"/>
    <w:rsid w:val="0007107B"/>
    <w:rsid w:val="000711F8"/>
    <w:rsid w:val="00071405"/>
    <w:rsid w:val="000716A9"/>
    <w:rsid w:val="000717FB"/>
    <w:rsid w:val="00071A1F"/>
    <w:rsid w:val="00071BDD"/>
    <w:rsid w:val="00071BEC"/>
    <w:rsid w:val="00071E66"/>
    <w:rsid w:val="000720E1"/>
    <w:rsid w:val="00072339"/>
    <w:rsid w:val="000725D1"/>
    <w:rsid w:val="0007288F"/>
    <w:rsid w:val="00072CF8"/>
    <w:rsid w:val="00073323"/>
    <w:rsid w:val="00073BB4"/>
    <w:rsid w:val="00073DE2"/>
    <w:rsid w:val="0007421B"/>
    <w:rsid w:val="00074413"/>
    <w:rsid w:val="0007446A"/>
    <w:rsid w:val="00074559"/>
    <w:rsid w:val="00074775"/>
    <w:rsid w:val="00074A36"/>
    <w:rsid w:val="00074EB9"/>
    <w:rsid w:val="00075675"/>
    <w:rsid w:val="000756BC"/>
    <w:rsid w:val="00075B7F"/>
    <w:rsid w:val="00075C53"/>
    <w:rsid w:val="00075D0A"/>
    <w:rsid w:val="00075E4E"/>
    <w:rsid w:val="000760F2"/>
    <w:rsid w:val="000766A5"/>
    <w:rsid w:val="00076811"/>
    <w:rsid w:val="00076DEB"/>
    <w:rsid w:val="00076E2C"/>
    <w:rsid w:val="00076E46"/>
    <w:rsid w:val="00077975"/>
    <w:rsid w:val="00077BFD"/>
    <w:rsid w:val="00077CAB"/>
    <w:rsid w:val="00080021"/>
    <w:rsid w:val="0008008E"/>
    <w:rsid w:val="0008019D"/>
    <w:rsid w:val="0008037F"/>
    <w:rsid w:val="00080784"/>
    <w:rsid w:val="00080962"/>
    <w:rsid w:val="00080F0A"/>
    <w:rsid w:val="0008124D"/>
    <w:rsid w:val="0008127E"/>
    <w:rsid w:val="000812E3"/>
    <w:rsid w:val="00081D2A"/>
    <w:rsid w:val="00081E0D"/>
    <w:rsid w:val="000826A6"/>
    <w:rsid w:val="00082C5B"/>
    <w:rsid w:val="00082C9F"/>
    <w:rsid w:val="00082E21"/>
    <w:rsid w:val="00082F92"/>
    <w:rsid w:val="00082FC0"/>
    <w:rsid w:val="00083244"/>
    <w:rsid w:val="000833FD"/>
    <w:rsid w:val="0008344B"/>
    <w:rsid w:val="0008347F"/>
    <w:rsid w:val="000836C1"/>
    <w:rsid w:val="000837EB"/>
    <w:rsid w:val="000839AD"/>
    <w:rsid w:val="00083BF2"/>
    <w:rsid w:val="00083CE5"/>
    <w:rsid w:val="00083F6C"/>
    <w:rsid w:val="00083FF8"/>
    <w:rsid w:val="0008486E"/>
    <w:rsid w:val="00084A51"/>
    <w:rsid w:val="000858FD"/>
    <w:rsid w:val="00085A43"/>
    <w:rsid w:val="00085BA3"/>
    <w:rsid w:val="00085C0F"/>
    <w:rsid w:val="00086065"/>
    <w:rsid w:val="00086129"/>
    <w:rsid w:val="00086557"/>
    <w:rsid w:val="00086872"/>
    <w:rsid w:val="00086ABF"/>
    <w:rsid w:val="00086C87"/>
    <w:rsid w:val="0008776E"/>
    <w:rsid w:val="000878FA"/>
    <w:rsid w:val="00090025"/>
    <w:rsid w:val="000901A4"/>
    <w:rsid w:val="000901E8"/>
    <w:rsid w:val="000902CB"/>
    <w:rsid w:val="00090645"/>
    <w:rsid w:val="00090647"/>
    <w:rsid w:val="000906BB"/>
    <w:rsid w:val="00090839"/>
    <w:rsid w:val="00090C03"/>
    <w:rsid w:val="00091321"/>
    <w:rsid w:val="000913ED"/>
    <w:rsid w:val="000913F1"/>
    <w:rsid w:val="00091799"/>
    <w:rsid w:val="0009234C"/>
    <w:rsid w:val="000923E2"/>
    <w:rsid w:val="000924F6"/>
    <w:rsid w:val="000929EC"/>
    <w:rsid w:val="0009305F"/>
    <w:rsid w:val="000931F2"/>
    <w:rsid w:val="000932F9"/>
    <w:rsid w:val="000933DA"/>
    <w:rsid w:val="000933FE"/>
    <w:rsid w:val="00093650"/>
    <w:rsid w:val="00093981"/>
    <w:rsid w:val="00093C94"/>
    <w:rsid w:val="00093EE9"/>
    <w:rsid w:val="0009423C"/>
    <w:rsid w:val="00094308"/>
    <w:rsid w:val="00094BF4"/>
    <w:rsid w:val="00094DAD"/>
    <w:rsid w:val="00094E0B"/>
    <w:rsid w:val="00096931"/>
    <w:rsid w:val="00096FC1"/>
    <w:rsid w:val="00097B6E"/>
    <w:rsid w:val="00097BE8"/>
    <w:rsid w:val="00097CA4"/>
    <w:rsid w:val="000A0006"/>
    <w:rsid w:val="000A0220"/>
    <w:rsid w:val="000A03F5"/>
    <w:rsid w:val="000A09D2"/>
    <w:rsid w:val="000A1068"/>
    <w:rsid w:val="000A10A7"/>
    <w:rsid w:val="000A12A1"/>
    <w:rsid w:val="000A12AE"/>
    <w:rsid w:val="000A17C4"/>
    <w:rsid w:val="000A1E8A"/>
    <w:rsid w:val="000A299B"/>
    <w:rsid w:val="000A2A58"/>
    <w:rsid w:val="000A2D58"/>
    <w:rsid w:val="000A3C4F"/>
    <w:rsid w:val="000A3F69"/>
    <w:rsid w:val="000A40EF"/>
    <w:rsid w:val="000A45BE"/>
    <w:rsid w:val="000A47CD"/>
    <w:rsid w:val="000A501C"/>
    <w:rsid w:val="000A50BB"/>
    <w:rsid w:val="000A5372"/>
    <w:rsid w:val="000A545C"/>
    <w:rsid w:val="000A56D5"/>
    <w:rsid w:val="000A57B9"/>
    <w:rsid w:val="000A5C4C"/>
    <w:rsid w:val="000A5D02"/>
    <w:rsid w:val="000A7550"/>
    <w:rsid w:val="000A799A"/>
    <w:rsid w:val="000A7B50"/>
    <w:rsid w:val="000A7C2D"/>
    <w:rsid w:val="000B0560"/>
    <w:rsid w:val="000B0626"/>
    <w:rsid w:val="000B0B2F"/>
    <w:rsid w:val="000B0CBD"/>
    <w:rsid w:val="000B135A"/>
    <w:rsid w:val="000B139A"/>
    <w:rsid w:val="000B1B95"/>
    <w:rsid w:val="000B25BF"/>
    <w:rsid w:val="000B2CC7"/>
    <w:rsid w:val="000B2E86"/>
    <w:rsid w:val="000B3258"/>
    <w:rsid w:val="000B3712"/>
    <w:rsid w:val="000B3775"/>
    <w:rsid w:val="000B3E9D"/>
    <w:rsid w:val="000B4317"/>
    <w:rsid w:val="000B4464"/>
    <w:rsid w:val="000B46D4"/>
    <w:rsid w:val="000B4B02"/>
    <w:rsid w:val="000B5024"/>
    <w:rsid w:val="000B5320"/>
    <w:rsid w:val="000B57F7"/>
    <w:rsid w:val="000B5F87"/>
    <w:rsid w:val="000B60FD"/>
    <w:rsid w:val="000B6751"/>
    <w:rsid w:val="000B718D"/>
    <w:rsid w:val="000B71B8"/>
    <w:rsid w:val="000B7517"/>
    <w:rsid w:val="000B7A98"/>
    <w:rsid w:val="000B7F6E"/>
    <w:rsid w:val="000C05F9"/>
    <w:rsid w:val="000C072B"/>
    <w:rsid w:val="000C09C6"/>
    <w:rsid w:val="000C0CAB"/>
    <w:rsid w:val="000C0F5A"/>
    <w:rsid w:val="000C10A3"/>
    <w:rsid w:val="000C118B"/>
    <w:rsid w:val="000C1338"/>
    <w:rsid w:val="000C1DB1"/>
    <w:rsid w:val="000C2009"/>
    <w:rsid w:val="000C2244"/>
    <w:rsid w:val="000C2871"/>
    <w:rsid w:val="000C28F0"/>
    <w:rsid w:val="000C2AE9"/>
    <w:rsid w:val="000C3241"/>
    <w:rsid w:val="000C365B"/>
    <w:rsid w:val="000C3D9E"/>
    <w:rsid w:val="000C3F38"/>
    <w:rsid w:val="000C43F0"/>
    <w:rsid w:val="000C4B06"/>
    <w:rsid w:val="000C5160"/>
    <w:rsid w:val="000C5183"/>
    <w:rsid w:val="000C5BCB"/>
    <w:rsid w:val="000C5BDC"/>
    <w:rsid w:val="000C5FA6"/>
    <w:rsid w:val="000C6264"/>
    <w:rsid w:val="000C62A6"/>
    <w:rsid w:val="000C64EC"/>
    <w:rsid w:val="000C66E2"/>
    <w:rsid w:val="000C78AA"/>
    <w:rsid w:val="000D0B6B"/>
    <w:rsid w:val="000D0C93"/>
    <w:rsid w:val="000D0E85"/>
    <w:rsid w:val="000D100A"/>
    <w:rsid w:val="000D1065"/>
    <w:rsid w:val="000D12A8"/>
    <w:rsid w:val="000D140A"/>
    <w:rsid w:val="000D14A8"/>
    <w:rsid w:val="000D154C"/>
    <w:rsid w:val="000D1679"/>
    <w:rsid w:val="000D16C1"/>
    <w:rsid w:val="000D190B"/>
    <w:rsid w:val="000D1B42"/>
    <w:rsid w:val="000D2567"/>
    <w:rsid w:val="000D2B52"/>
    <w:rsid w:val="000D2BF0"/>
    <w:rsid w:val="000D2C66"/>
    <w:rsid w:val="000D2D38"/>
    <w:rsid w:val="000D2E11"/>
    <w:rsid w:val="000D2E2F"/>
    <w:rsid w:val="000D3046"/>
    <w:rsid w:val="000D308E"/>
    <w:rsid w:val="000D32F8"/>
    <w:rsid w:val="000D342D"/>
    <w:rsid w:val="000D3476"/>
    <w:rsid w:val="000D394C"/>
    <w:rsid w:val="000D4791"/>
    <w:rsid w:val="000D4AF1"/>
    <w:rsid w:val="000D4BDB"/>
    <w:rsid w:val="000D51C5"/>
    <w:rsid w:val="000D520E"/>
    <w:rsid w:val="000D589E"/>
    <w:rsid w:val="000D5A4B"/>
    <w:rsid w:val="000D5A67"/>
    <w:rsid w:val="000D6226"/>
    <w:rsid w:val="000D629E"/>
    <w:rsid w:val="000D6558"/>
    <w:rsid w:val="000D6900"/>
    <w:rsid w:val="000D6AF5"/>
    <w:rsid w:val="000D6B28"/>
    <w:rsid w:val="000D6C40"/>
    <w:rsid w:val="000D6C96"/>
    <w:rsid w:val="000D6FEF"/>
    <w:rsid w:val="000D74B7"/>
    <w:rsid w:val="000D793F"/>
    <w:rsid w:val="000E0093"/>
    <w:rsid w:val="000E00C1"/>
    <w:rsid w:val="000E0438"/>
    <w:rsid w:val="000E0E92"/>
    <w:rsid w:val="000E0F20"/>
    <w:rsid w:val="000E1206"/>
    <w:rsid w:val="000E12D1"/>
    <w:rsid w:val="000E1971"/>
    <w:rsid w:val="000E1A4F"/>
    <w:rsid w:val="000E1D07"/>
    <w:rsid w:val="000E21DF"/>
    <w:rsid w:val="000E245C"/>
    <w:rsid w:val="000E2674"/>
    <w:rsid w:val="000E276F"/>
    <w:rsid w:val="000E2CAA"/>
    <w:rsid w:val="000E2D44"/>
    <w:rsid w:val="000E2FAC"/>
    <w:rsid w:val="000E30AB"/>
    <w:rsid w:val="000E3357"/>
    <w:rsid w:val="000E383B"/>
    <w:rsid w:val="000E3B29"/>
    <w:rsid w:val="000E3B70"/>
    <w:rsid w:val="000E4538"/>
    <w:rsid w:val="000E4796"/>
    <w:rsid w:val="000E481E"/>
    <w:rsid w:val="000E4869"/>
    <w:rsid w:val="000E4C4C"/>
    <w:rsid w:val="000E4D13"/>
    <w:rsid w:val="000E5332"/>
    <w:rsid w:val="000E5370"/>
    <w:rsid w:val="000E5784"/>
    <w:rsid w:val="000E596A"/>
    <w:rsid w:val="000E5E0E"/>
    <w:rsid w:val="000E64CF"/>
    <w:rsid w:val="000E653B"/>
    <w:rsid w:val="000E6B56"/>
    <w:rsid w:val="000E6CCE"/>
    <w:rsid w:val="000E71E1"/>
    <w:rsid w:val="000E7485"/>
    <w:rsid w:val="000E7CD5"/>
    <w:rsid w:val="000E7D66"/>
    <w:rsid w:val="000E7EB6"/>
    <w:rsid w:val="000F0406"/>
    <w:rsid w:val="000F06AC"/>
    <w:rsid w:val="000F0841"/>
    <w:rsid w:val="000F0B0D"/>
    <w:rsid w:val="000F1A8F"/>
    <w:rsid w:val="000F1BF3"/>
    <w:rsid w:val="000F1E74"/>
    <w:rsid w:val="000F1EB4"/>
    <w:rsid w:val="000F2455"/>
    <w:rsid w:val="000F297E"/>
    <w:rsid w:val="000F2BA1"/>
    <w:rsid w:val="000F30EF"/>
    <w:rsid w:val="000F39C3"/>
    <w:rsid w:val="000F3CB7"/>
    <w:rsid w:val="000F4031"/>
    <w:rsid w:val="000F4250"/>
    <w:rsid w:val="000F542E"/>
    <w:rsid w:val="000F54B8"/>
    <w:rsid w:val="000F62F4"/>
    <w:rsid w:val="000F7A00"/>
    <w:rsid w:val="00100211"/>
    <w:rsid w:val="001004DB"/>
    <w:rsid w:val="0010081C"/>
    <w:rsid w:val="00100870"/>
    <w:rsid w:val="00100871"/>
    <w:rsid w:val="00100F74"/>
    <w:rsid w:val="00100FD7"/>
    <w:rsid w:val="001013A7"/>
    <w:rsid w:val="001013AA"/>
    <w:rsid w:val="00101A4A"/>
    <w:rsid w:val="00101B80"/>
    <w:rsid w:val="00101D0A"/>
    <w:rsid w:val="00101D9C"/>
    <w:rsid w:val="00101E4A"/>
    <w:rsid w:val="00101EE7"/>
    <w:rsid w:val="00102130"/>
    <w:rsid w:val="00102589"/>
    <w:rsid w:val="001025F7"/>
    <w:rsid w:val="00102974"/>
    <w:rsid w:val="00102D29"/>
    <w:rsid w:val="001034CD"/>
    <w:rsid w:val="0010350F"/>
    <w:rsid w:val="00103972"/>
    <w:rsid w:val="00103D63"/>
    <w:rsid w:val="00103E21"/>
    <w:rsid w:val="0010498F"/>
    <w:rsid w:val="00104C72"/>
    <w:rsid w:val="00104DD8"/>
    <w:rsid w:val="00105514"/>
    <w:rsid w:val="001058AF"/>
    <w:rsid w:val="001059FF"/>
    <w:rsid w:val="00105DF0"/>
    <w:rsid w:val="00105E7C"/>
    <w:rsid w:val="001061C6"/>
    <w:rsid w:val="001063CC"/>
    <w:rsid w:val="001064E0"/>
    <w:rsid w:val="00106B8C"/>
    <w:rsid w:val="00106DA9"/>
    <w:rsid w:val="00107C97"/>
    <w:rsid w:val="00107CC8"/>
    <w:rsid w:val="00107D90"/>
    <w:rsid w:val="00107E7F"/>
    <w:rsid w:val="00110116"/>
    <w:rsid w:val="001116A1"/>
    <w:rsid w:val="0011170E"/>
    <w:rsid w:val="00111769"/>
    <w:rsid w:val="001117C9"/>
    <w:rsid w:val="00111CA9"/>
    <w:rsid w:val="001126FF"/>
    <w:rsid w:val="00112874"/>
    <w:rsid w:val="001129DA"/>
    <w:rsid w:val="00112C50"/>
    <w:rsid w:val="00112D07"/>
    <w:rsid w:val="0011314A"/>
    <w:rsid w:val="00113319"/>
    <w:rsid w:val="0011396D"/>
    <w:rsid w:val="001144D2"/>
    <w:rsid w:val="001146E4"/>
    <w:rsid w:val="0011495D"/>
    <w:rsid w:val="00114A58"/>
    <w:rsid w:val="00114B69"/>
    <w:rsid w:val="00114EA5"/>
    <w:rsid w:val="00114FCB"/>
    <w:rsid w:val="00115013"/>
    <w:rsid w:val="001150C5"/>
    <w:rsid w:val="0011549F"/>
    <w:rsid w:val="00115503"/>
    <w:rsid w:val="0011576E"/>
    <w:rsid w:val="00115B71"/>
    <w:rsid w:val="00115B7C"/>
    <w:rsid w:val="00115F56"/>
    <w:rsid w:val="00116030"/>
    <w:rsid w:val="001160D0"/>
    <w:rsid w:val="00116748"/>
    <w:rsid w:val="0011676F"/>
    <w:rsid w:val="00116B17"/>
    <w:rsid w:val="00116E92"/>
    <w:rsid w:val="00116F38"/>
    <w:rsid w:val="00117052"/>
    <w:rsid w:val="00117142"/>
    <w:rsid w:val="001171E6"/>
    <w:rsid w:val="001175E9"/>
    <w:rsid w:val="00117A28"/>
    <w:rsid w:val="00117E72"/>
    <w:rsid w:val="001202BF"/>
    <w:rsid w:val="00120713"/>
    <w:rsid w:val="00121325"/>
    <w:rsid w:val="0012162E"/>
    <w:rsid w:val="0012176A"/>
    <w:rsid w:val="00121863"/>
    <w:rsid w:val="001219DB"/>
    <w:rsid w:val="00121B8C"/>
    <w:rsid w:val="001224F5"/>
    <w:rsid w:val="00122715"/>
    <w:rsid w:val="00122C96"/>
    <w:rsid w:val="00122FAA"/>
    <w:rsid w:val="00123E25"/>
    <w:rsid w:val="00125041"/>
    <w:rsid w:val="00125439"/>
    <w:rsid w:val="0012571E"/>
    <w:rsid w:val="00125D64"/>
    <w:rsid w:val="001263FD"/>
    <w:rsid w:val="00126CDF"/>
    <w:rsid w:val="00126DB0"/>
    <w:rsid w:val="0012757A"/>
    <w:rsid w:val="001277BA"/>
    <w:rsid w:val="00127EA5"/>
    <w:rsid w:val="001300D0"/>
    <w:rsid w:val="0013049C"/>
    <w:rsid w:val="00130562"/>
    <w:rsid w:val="00130572"/>
    <w:rsid w:val="00130670"/>
    <w:rsid w:val="0013073F"/>
    <w:rsid w:val="001308CE"/>
    <w:rsid w:val="00130E36"/>
    <w:rsid w:val="00130E73"/>
    <w:rsid w:val="001310C2"/>
    <w:rsid w:val="0013134E"/>
    <w:rsid w:val="0013143D"/>
    <w:rsid w:val="00131525"/>
    <w:rsid w:val="00131785"/>
    <w:rsid w:val="00131810"/>
    <w:rsid w:val="00132104"/>
    <w:rsid w:val="00132648"/>
    <w:rsid w:val="00132704"/>
    <w:rsid w:val="00132782"/>
    <w:rsid w:val="001329CB"/>
    <w:rsid w:val="00132A3D"/>
    <w:rsid w:val="00133011"/>
    <w:rsid w:val="00133184"/>
    <w:rsid w:val="00133755"/>
    <w:rsid w:val="00133BC8"/>
    <w:rsid w:val="00133C2B"/>
    <w:rsid w:val="00133EDB"/>
    <w:rsid w:val="00134077"/>
    <w:rsid w:val="00134496"/>
    <w:rsid w:val="001345D5"/>
    <w:rsid w:val="001345E0"/>
    <w:rsid w:val="00134612"/>
    <w:rsid w:val="0013484B"/>
    <w:rsid w:val="00134C1E"/>
    <w:rsid w:val="0013546E"/>
    <w:rsid w:val="001354E1"/>
    <w:rsid w:val="0013561A"/>
    <w:rsid w:val="0013568D"/>
    <w:rsid w:val="001358F8"/>
    <w:rsid w:val="00135BC4"/>
    <w:rsid w:val="00135C96"/>
    <w:rsid w:val="00136041"/>
    <w:rsid w:val="00136115"/>
    <w:rsid w:val="0013628E"/>
    <w:rsid w:val="001367BE"/>
    <w:rsid w:val="00136DBF"/>
    <w:rsid w:val="00137330"/>
    <w:rsid w:val="00137799"/>
    <w:rsid w:val="00137A57"/>
    <w:rsid w:val="001403EF"/>
    <w:rsid w:val="00140A3B"/>
    <w:rsid w:val="00140AE3"/>
    <w:rsid w:val="00140DA6"/>
    <w:rsid w:val="0014101F"/>
    <w:rsid w:val="0014118C"/>
    <w:rsid w:val="001412C2"/>
    <w:rsid w:val="001417C2"/>
    <w:rsid w:val="001417D3"/>
    <w:rsid w:val="00141A0E"/>
    <w:rsid w:val="001424E7"/>
    <w:rsid w:val="00142DD5"/>
    <w:rsid w:val="00142E4A"/>
    <w:rsid w:val="001434D4"/>
    <w:rsid w:val="00143A91"/>
    <w:rsid w:val="001447D3"/>
    <w:rsid w:val="00144BEA"/>
    <w:rsid w:val="001450CE"/>
    <w:rsid w:val="0014541D"/>
    <w:rsid w:val="00145740"/>
    <w:rsid w:val="00145A83"/>
    <w:rsid w:val="00145AF9"/>
    <w:rsid w:val="0014642A"/>
    <w:rsid w:val="00146AF3"/>
    <w:rsid w:val="00146D2E"/>
    <w:rsid w:val="00146D58"/>
    <w:rsid w:val="00146E75"/>
    <w:rsid w:val="00146F6C"/>
    <w:rsid w:val="0014709A"/>
    <w:rsid w:val="00147222"/>
    <w:rsid w:val="00147327"/>
    <w:rsid w:val="001475AC"/>
    <w:rsid w:val="00147B9B"/>
    <w:rsid w:val="00147BC9"/>
    <w:rsid w:val="00150332"/>
    <w:rsid w:val="001505C7"/>
    <w:rsid w:val="00150637"/>
    <w:rsid w:val="00150764"/>
    <w:rsid w:val="00150B40"/>
    <w:rsid w:val="00151323"/>
    <w:rsid w:val="00151575"/>
    <w:rsid w:val="001515A4"/>
    <w:rsid w:val="00151B33"/>
    <w:rsid w:val="00151D63"/>
    <w:rsid w:val="00151DCC"/>
    <w:rsid w:val="00151E9B"/>
    <w:rsid w:val="00152168"/>
    <w:rsid w:val="001527C4"/>
    <w:rsid w:val="001528E4"/>
    <w:rsid w:val="00152DA0"/>
    <w:rsid w:val="00152E45"/>
    <w:rsid w:val="00153B38"/>
    <w:rsid w:val="00153D54"/>
    <w:rsid w:val="001542DE"/>
    <w:rsid w:val="00155E83"/>
    <w:rsid w:val="00155F19"/>
    <w:rsid w:val="001563C6"/>
    <w:rsid w:val="00156455"/>
    <w:rsid w:val="00156531"/>
    <w:rsid w:val="00156924"/>
    <w:rsid w:val="00156A2A"/>
    <w:rsid w:val="0015701A"/>
    <w:rsid w:val="00157101"/>
    <w:rsid w:val="00157E71"/>
    <w:rsid w:val="00160138"/>
    <w:rsid w:val="001602FE"/>
    <w:rsid w:val="0016058F"/>
    <w:rsid w:val="0016063E"/>
    <w:rsid w:val="0016070A"/>
    <w:rsid w:val="00160884"/>
    <w:rsid w:val="00160ABC"/>
    <w:rsid w:val="001619BC"/>
    <w:rsid w:val="00161AAF"/>
    <w:rsid w:val="00161B62"/>
    <w:rsid w:val="00161E8E"/>
    <w:rsid w:val="00162489"/>
    <w:rsid w:val="001625A9"/>
    <w:rsid w:val="00162600"/>
    <w:rsid w:val="001628FA"/>
    <w:rsid w:val="00162D67"/>
    <w:rsid w:val="00162EDE"/>
    <w:rsid w:val="0016306B"/>
    <w:rsid w:val="001631DC"/>
    <w:rsid w:val="0016398C"/>
    <w:rsid w:val="00163B58"/>
    <w:rsid w:val="00163F03"/>
    <w:rsid w:val="0016412F"/>
    <w:rsid w:val="001641C2"/>
    <w:rsid w:val="001650FE"/>
    <w:rsid w:val="001652DB"/>
    <w:rsid w:val="001654D3"/>
    <w:rsid w:val="00165659"/>
    <w:rsid w:val="00165894"/>
    <w:rsid w:val="00165AB1"/>
    <w:rsid w:val="00165ACF"/>
    <w:rsid w:val="00165B7D"/>
    <w:rsid w:val="00165CA3"/>
    <w:rsid w:val="00166257"/>
    <w:rsid w:val="001662C5"/>
    <w:rsid w:val="0016646B"/>
    <w:rsid w:val="00166698"/>
    <w:rsid w:val="00170129"/>
    <w:rsid w:val="00170B23"/>
    <w:rsid w:val="00170D29"/>
    <w:rsid w:val="00171072"/>
    <w:rsid w:val="001711CC"/>
    <w:rsid w:val="001714E2"/>
    <w:rsid w:val="00171A05"/>
    <w:rsid w:val="00171DD9"/>
    <w:rsid w:val="00171F98"/>
    <w:rsid w:val="0017202C"/>
    <w:rsid w:val="001724D8"/>
    <w:rsid w:val="001729EF"/>
    <w:rsid w:val="00172B69"/>
    <w:rsid w:val="00173045"/>
    <w:rsid w:val="00173061"/>
    <w:rsid w:val="001739B8"/>
    <w:rsid w:val="00173DD0"/>
    <w:rsid w:val="001740BE"/>
    <w:rsid w:val="001741DB"/>
    <w:rsid w:val="0017454A"/>
    <w:rsid w:val="00175207"/>
    <w:rsid w:val="0017540C"/>
    <w:rsid w:val="0017563E"/>
    <w:rsid w:val="00175786"/>
    <w:rsid w:val="00175AF3"/>
    <w:rsid w:val="00175C0D"/>
    <w:rsid w:val="00175C2B"/>
    <w:rsid w:val="00175FBC"/>
    <w:rsid w:val="00176072"/>
    <w:rsid w:val="00176BF3"/>
    <w:rsid w:val="00176DA1"/>
    <w:rsid w:val="00177154"/>
    <w:rsid w:val="001776D4"/>
    <w:rsid w:val="0017791D"/>
    <w:rsid w:val="00177945"/>
    <w:rsid w:val="00180025"/>
    <w:rsid w:val="00180081"/>
    <w:rsid w:val="0018066C"/>
    <w:rsid w:val="00180738"/>
    <w:rsid w:val="00180819"/>
    <w:rsid w:val="00180A96"/>
    <w:rsid w:val="00180C89"/>
    <w:rsid w:val="00181522"/>
    <w:rsid w:val="00181533"/>
    <w:rsid w:val="00181769"/>
    <w:rsid w:val="001818FD"/>
    <w:rsid w:val="00181951"/>
    <w:rsid w:val="0018198B"/>
    <w:rsid w:val="00181A71"/>
    <w:rsid w:val="00181B0F"/>
    <w:rsid w:val="00181F41"/>
    <w:rsid w:val="001828FE"/>
    <w:rsid w:val="0018396B"/>
    <w:rsid w:val="00183F7E"/>
    <w:rsid w:val="0018408B"/>
    <w:rsid w:val="001840E5"/>
    <w:rsid w:val="00184CCE"/>
    <w:rsid w:val="00184CD7"/>
    <w:rsid w:val="00185433"/>
    <w:rsid w:val="001858A9"/>
    <w:rsid w:val="00185DFE"/>
    <w:rsid w:val="0018619A"/>
    <w:rsid w:val="001863F1"/>
    <w:rsid w:val="00186439"/>
    <w:rsid w:val="001866C3"/>
    <w:rsid w:val="00186717"/>
    <w:rsid w:val="001869B0"/>
    <w:rsid w:val="00186CAF"/>
    <w:rsid w:val="00186DB3"/>
    <w:rsid w:val="0018702C"/>
    <w:rsid w:val="00187466"/>
    <w:rsid w:val="0018769C"/>
    <w:rsid w:val="00187A0C"/>
    <w:rsid w:val="00187CC1"/>
    <w:rsid w:val="00190DFE"/>
    <w:rsid w:val="00190F9E"/>
    <w:rsid w:val="00191011"/>
    <w:rsid w:val="00191133"/>
    <w:rsid w:val="0019121F"/>
    <w:rsid w:val="00191267"/>
    <w:rsid w:val="0019166A"/>
    <w:rsid w:val="0019168D"/>
    <w:rsid w:val="00191B21"/>
    <w:rsid w:val="00191C31"/>
    <w:rsid w:val="00192121"/>
    <w:rsid w:val="0019239D"/>
    <w:rsid w:val="00192422"/>
    <w:rsid w:val="00192800"/>
    <w:rsid w:val="00192A2D"/>
    <w:rsid w:val="00192F32"/>
    <w:rsid w:val="00192F46"/>
    <w:rsid w:val="00193335"/>
    <w:rsid w:val="00193354"/>
    <w:rsid w:val="001937E7"/>
    <w:rsid w:val="00193A8F"/>
    <w:rsid w:val="00193B56"/>
    <w:rsid w:val="0019400D"/>
    <w:rsid w:val="001947AD"/>
    <w:rsid w:val="0019494B"/>
    <w:rsid w:val="00194ABE"/>
    <w:rsid w:val="001954D4"/>
    <w:rsid w:val="00195579"/>
    <w:rsid w:val="0019574E"/>
    <w:rsid w:val="00195930"/>
    <w:rsid w:val="00195A52"/>
    <w:rsid w:val="00195B60"/>
    <w:rsid w:val="00195DB6"/>
    <w:rsid w:val="00195E93"/>
    <w:rsid w:val="00196089"/>
    <w:rsid w:val="001960C3"/>
    <w:rsid w:val="001960C6"/>
    <w:rsid w:val="001961CD"/>
    <w:rsid w:val="0019646D"/>
    <w:rsid w:val="00196844"/>
    <w:rsid w:val="001968DC"/>
    <w:rsid w:val="00196D72"/>
    <w:rsid w:val="00196EB2"/>
    <w:rsid w:val="0019710E"/>
    <w:rsid w:val="001973F5"/>
    <w:rsid w:val="0019756D"/>
    <w:rsid w:val="00197FC9"/>
    <w:rsid w:val="001A0600"/>
    <w:rsid w:val="001A0787"/>
    <w:rsid w:val="001A0935"/>
    <w:rsid w:val="001A1485"/>
    <w:rsid w:val="001A1519"/>
    <w:rsid w:val="001A1E9E"/>
    <w:rsid w:val="001A24F4"/>
    <w:rsid w:val="001A268B"/>
    <w:rsid w:val="001A2B00"/>
    <w:rsid w:val="001A3080"/>
    <w:rsid w:val="001A308E"/>
    <w:rsid w:val="001A31E4"/>
    <w:rsid w:val="001A3B17"/>
    <w:rsid w:val="001A3D11"/>
    <w:rsid w:val="001A3DF8"/>
    <w:rsid w:val="001A43F7"/>
    <w:rsid w:val="001A4BBD"/>
    <w:rsid w:val="001A4E8E"/>
    <w:rsid w:val="001A5108"/>
    <w:rsid w:val="001A5505"/>
    <w:rsid w:val="001A5725"/>
    <w:rsid w:val="001A598B"/>
    <w:rsid w:val="001A5C01"/>
    <w:rsid w:val="001A6234"/>
    <w:rsid w:val="001A629B"/>
    <w:rsid w:val="001A6798"/>
    <w:rsid w:val="001A6C99"/>
    <w:rsid w:val="001A6DD7"/>
    <w:rsid w:val="001A7909"/>
    <w:rsid w:val="001A7CA6"/>
    <w:rsid w:val="001A7F1D"/>
    <w:rsid w:val="001B0637"/>
    <w:rsid w:val="001B06CF"/>
    <w:rsid w:val="001B092A"/>
    <w:rsid w:val="001B0999"/>
    <w:rsid w:val="001B0B20"/>
    <w:rsid w:val="001B0DAA"/>
    <w:rsid w:val="001B0E33"/>
    <w:rsid w:val="001B0FDA"/>
    <w:rsid w:val="001B184D"/>
    <w:rsid w:val="001B1A3D"/>
    <w:rsid w:val="001B1B56"/>
    <w:rsid w:val="001B1D85"/>
    <w:rsid w:val="001B21AE"/>
    <w:rsid w:val="001B2775"/>
    <w:rsid w:val="001B2F94"/>
    <w:rsid w:val="001B356B"/>
    <w:rsid w:val="001B37CF"/>
    <w:rsid w:val="001B38F9"/>
    <w:rsid w:val="001B3C1F"/>
    <w:rsid w:val="001B429F"/>
    <w:rsid w:val="001B4481"/>
    <w:rsid w:val="001B44A5"/>
    <w:rsid w:val="001B5095"/>
    <w:rsid w:val="001B54DD"/>
    <w:rsid w:val="001B54DE"/>
    <w:rsid w:val="001B55B0"/>
    <w:rsid w:val="001B5A74"/>
    <w:rsid w:val="001B5C65"/>
    <w:rsid w:val="001B5F1E"/>
    <w:rsid w:val="001B5F68"/>
    <w:rsid w:val="001B5F96"/>
    <w:rsid w:val="001B65F3"/>
    <w:rsid w:val="001B679D"/>
    <w:rsid w:val="001B6A2F"/>
    <w:rsid w:val="001B6ACD"/>
    <w:rsid w:val="001B6D63"/>
    <w:rsid w:val="001B6EE4"/>
    <w:rsid w:val="001B704F"/>
    <w:rsid w:val="001B71A2"/>
    <w:rsid w:val="001B71E2"/>
    <w:rsid w:val="001B71E9"/>
    <w:rsid w:val="001B7694"/>
    <w:rsid w:val="001B7732"/>
    <w:rsid w:val="001B79EB"/>
    <w:rsid w:val="001B7D37"/>
    <w:rsid w:val="001C0267"/>
    <w:rsid w:val="001C046D"/>
    <w:rsid w:val="001C0546"/>
    <w:rsid w:val="001C059C"/>
    <w:rsid w:val="001C0662"/>
    <w:rsid w:val="001C07FB"/>
    <w:rsid w:val="001C0918"/>
    <w:rsid w:val="001C0D73"/>
    <w:rsid w:val="001C0E14"/>
    <w:rsid w:val="001C1660"/>
    <w:rsid w:val="001C1762"/>
    <w:rsid w:val="001C2071"/>
    <w:rsid w:val="001C20C8"/>
    <w:rsid w:val="001C254A"/>
    <w:rsid w:val="001C28BF"/>
    <w:rsid w:val="001C2A33"/>
    <w:rsid w:val="001C2CFB"/>
    <w:rsid w:val="001C3849"/>
    <w:rsid w:val="001C3B96"/>
    <w:rsid w:val="001C40CD"/>
    <w:rsid w:val="001C47A9"/>
    <w:rsid w:val="001C4962"/>
    <w:rsid w:val="001C49F3"/>
    <w:rsid w:val="001C4F46"/>
    <w:rsid w:val="001C52DB"/>
    <w:rsid w:val="001C53FE"/>
    <w:rsid w:val="001C5B72"/>
    <w:rsid w:val="001C5E6B"/>
    <w:rsid w:val="001C62E5"/>
    <w:rsid w:val="001C6301"/>
    <w:rsid w:val="001C649D"/>
    <w:rsid w:val="001C6886"/>
    <w:rsid w:val="001C6A97"/>
    <w:rsid w:val="001C727B"/>
    <w:rsid w:val="001C78EF"/>
    <w:rsid w:val="001C7DC0"/>
    <w:rsid w:val="001C7F5C"/>
    <w:rsid w:val="001D0162"/>
    <w:rsid w:val="001D07FE"/>
    <w:rsid w:val="001D11A5"/>
    <w:rsid w:val="001D14A1"/>
    <w:rsid w:val="001D16B0"/>
    <w:rsid w:val="001D1900"/>
    <w:rsid w:val="001D1A9B"/>
    <w:rsid w:val="001D1D1B"/>
    <w:rsid w:val="001D1F89"/>
    <w:rsid w:val="001D2498"/>
    <w:rsid w:val="001D2F34"/>
    <w:rsid w:val="001D341A"/>
    <w:rsid w:val="001D346A"/>
    <w:rsid w:val="001D3540"/>
    <w:rsid w:val="001D355D"/>
    <w:rsid w:val="001D3620"/>
    <w:rsid w:val="001D37CA"/>
    <w:rsid w:val="001D3946"/>
    <w:rsid w:val="001D3FD7"/>
    <w:rsid w:val="001D41F6"/>
    <w:rsid w:val="001D4980"/>
    <w:rsid w:val="001D4990"/>
    <w:rsid w:val="001D4CBF"/>
    <w:rsid w:val="001D505B"/>
    <w:rsid w:val="001D50D3"/>
    <w:rsid w:val="001D51DD"/>
    <w:rsid w:val="001D531C"/>
    <w:rsid w:val="001D5BBF"/>
    <w:rsid w:val="001D5F46"/>
    <w:rsid w:val="001D6729"/>
    <w:rsid w:val="001D6F9C"/>
    <w:rsid w:val="001D735D"/>
    <w:rsid w:val="001D77B8"/>
    <w:rsid w:val="001D781D"/>
    <w:rsid w:val="001D79D3"/>
    <w:rsid w:val="001D7BF2"/>
    <w:rsid w:val="001D7CE7"/>
    <w:rsid w:val="001D7E7C"/>
    <w:rsid w:val="001E0159"/>
    <w:rsid w:val="001E01FA"/>
    <w:rsid w:val="001E0660"/>
    <w:rsid w:val="001E0706"/>
    <w:rsid w:val="001E090A"/>
    <w:rsid w:val="001E0B87"/>
    <w:rsid w:val="001E0CF5"/>
    <w:rsid w:val="001E0EF1"/>
    <w:rsid w:val="001E1042"/>
    <w:rsid w:val="001E10C8"/>
    <w:rsid w:val="001E12AF"/>
    <w:rsid w:val="001E1393"/>
    <w:rsid w:val="001E1585"/>
    <w:rsid w:val="001E17FA"/>
    <w:rsid w:val="001E1C8C"/>
    <w:rsid w:val="001E1FFD"/>
    <w:rsid w:val="001E22E3"/>
    <w:rsid w:val="001E24FC"/>
    <w:rsid w:val="001E2A8E"/>
    <w:rsid w:val="001E2F85"/>
    <w:rsid w:val="001E377E"/>
    <w:rsid w:val="001E40A4"/>
    <w:rsid w:val="001E449B"/>
    <w:rsid w:val="001E462A"/>
    <w:rsid w:val="001E47EB"/>
    <w:rsid w:val="001E51F1"/>
    <w:rsid w:val="001E54F2"/>
    <w:rsid w:val="001E553A"/>
    <w:rsid w:val="001E57F1"/>
    <w:rsid w:val="001E5C7A"/>
    <w:rsid w:val="001E618C"/>
    <w:rsid w:val="001E61DE"/>
    <w:rsid w:val="001E63BE"/>
    <w:rsid w:val="001E6588"/>
    <w:rsid w:val="001E67EB"/>
    <w:rsid w:val="001E6896"/>
    <w:rsid w:val="001E73E8"/>
    <w:rsid w:val="001F0835"/>
    <w:rsid w:val="001F0D26"/>
    <w:rsid w:val="001F104D"/>
    <w:rsid w:val="001F1107"/>
    <w:rsid w:val="001F207C"/>
    <w:rsid w:val="001F2212"/>
    <w:rsid w:val="001F234B"/>
    <w:rsid w:val="001F23DF"/>
    <w:rsid w:val="001F28CD"/>
    <w:rsid w:val="001F2E09"/>
    <w:rsid w:val="001F3563"/>
    <w:rsid w:val="001F3684"/>
    <w:rsid w:val="001F39FE"/>
    <w:rsid w:val="001F3A0A"/>
    <w:rsid w:val="001F40C7"/>
    <w:rsid w:val="001F43B7"/>
    <w:rsid w:val="001F46BB"/>
    <w:rsid w:val="001F476D"/>
    <w:rsid w:val="001F4A4B"/>
    <w:rsid w:val="001F4C36"/>
    <w:rsid w:val="001F4CC7"/>
    <w:rsid w:val="001F4D27"/>
    <w:rsid w:val="001F4F29"/>
    <w:rsid w:val="001F50E7"/>
    <w:rsid w:val="001F51AB"/>
    <w:rsid w:val="001F5301"/>
    <w:rsid w:val="001F5611"/>
    <w:rsid w:val="001F5766"/>
    <w:rsid w:val="001F5834"/>
    <w:rsid w:val="001F5888"/>
    <w:rsid w:val="001F595C"/>
    <w:rsid w:val="001F5AA4"/>
    <w:rsid w:val="001F5FEB"/>
    <w:rsid w:val="001F616E"/>
    <w:rsid w:val="001F649A"/>
    <w:rsid w:val="001F64BE"/>
    <w:rsid w:val="001F6864"/>
    <w:rsid w:val="001F6D16"/>
    <w:rsid w:val="001F7632"/>
    <w:rsid w:val="001F7B60"/>
    <w:rsid w:val="001F7C75"/>
    <w:rsid w:val="001F7CE4"/>
    <w:rsid w:val="001F7EB6"/>
    <w:rsid w:val="002000D3"/>
    <w:rsid w:val="00200561"/>
    <w:rsid w:val="00200F50"/>
    <w:rsid w:val="0020144A"/>
    <w:rsid w:val="00201B17"/>
    <w:rsid w:val="00201BDD"/>
    <w:rsid w:val="00202211"/>
    <w:rsid w:val="00202318"/>
    <w:rsid w:val="002023DE"/>
    <w:rsid w:val="00202C77"/>
    <w:rsid w:val="00202D83"/>
    <w:rsid w:val="0020375F"/>
    <w:rsid w:val="00203775"/>
    <w:rsid w:val="00203897"/>
    <w:rsid w:val="0020429F"/>
    <w:rsid w:val="002043B7"/>
    <w:rsid w:val="00204937"/>
    <w:rsid w:val="002049AC"/>
    <w:rsid w:val="00204E4B"/>
    <w:rsid w:val="002053A7"/>
    <w:rsid w:val="00205698"/>
    <w:rsid w:val="00205995"/>
    <w:rsid w:val="00205A94"/>
    <w:rsid w:val="00205C03"/>
    <w:rsid w:val="00205CB6"/>
    <w:rsid w:val="00205E64"/>
    <w:rsid w:val="002062DC"/>
    <w:rsid w:val="00206BAC"/>
    <w:rsid w:val="00206E5A"/>
    <w:rsid w:val="0020707C"/>
    <w:rsid w:val="00207410"/>
    <w:rsid w:val="002074E0"/>
    <w:rsid w:val="002078E7"/>
    <w:rsid w:val="00207CB0"/>
    <w:rsid w:val="00210469"/>
    <w:rsid w:val="00210A23"/>
    <w:rsid w:val="00210C2A"/>
    <w:rsid w:val="00210E45"/>
    <w:rsid w:val="00210F13"/>
    <w:rsid w:val="0021103C"/>
    <w:rsid w:val="00211124"/>
    <w:rsid w:val="00211E03"/>
    <w:rsid w:val="002123ED"/>
    <w:rsid w:val="002126D5"/>
    <w:rsid w:val="00212856"/>
    <w:rsid w:val="00212E11"/>
    <w:rsid w:val="0021311C"/>
    <w:rsid w:val="002134EA"/>
    <w:rsid w:val="00213897"/>
    <w:rsid w:val="00213E61"/>
    <w:rsid w:val="00213E90"/>
    <w:rsid w:val="00213F13"/>
    <w:rsid w:val="0021404C"/>
    <w:rsid w:val="00214065"/>
    <w:rsid w:val="00214141"/>
    <w:rsid w:val="0021578A"/>
    <w:rsid w:val="002158A0"/>
    <w:rsid w:val="00215AA7"/>
    <w:rsid w:val="00215BA2"/>
    <w:rsid w:val="00215E78"/>
    <w:rsid w:val="00216349"/>
    <w:rsid w:val="00216501"/>
    <w:rsid w:val="002168D2"/>
    <w:rsid w:val="002168F9"/>
    <w:rsid w:val="00216DE0"/>
    <w:rsid w:val="00216E4C"/>
    <w:rsid w:val="00216EE0"/>
    <w:rsid w:val="00217162"/>
    <w:rsid w:val="00217694"/>
    <w:rsid w:val="00217831"/>
    <w:rsid w:val="00217872"/>
    <w:rsid w:val="00217C10"/>
    <w:rsid w:val="00217FA7"/>
    <w:rsid w:val="0022008B"/>
    <w:rsid w:val="002202D3"/>
    <w:rsid w:val="002207B3"/>
    <w:rsid w:val="00221C3D"/>
    <w:rsid w:val="00221F20"/>
    <w:rsid w:val="0022219D"/>
    <w:rsid w:val="002223AB"/>
    <w:rsid w:val="00222534"/>
    <w:rsid w:val="00222876"/>
    <w:rsid w:val="00222DCC"/>
    <w:rsid w:val="002230CB"/>
    <w:rsid w:val="002230E9"/>
    <w:rsid w:val="0022326B"/>
    <w:rsid w:val="002232BF"/>
    <w:rsid w:val="0022343F"/>
    <w:rsid w:val="00223B27"/>
    <w:rsid w:val="00223C19"/>
    <w:rsid w:val="00223C45"/>
    <w:rsid w:val="00223DA0"/>
    <w:rsid w:val="00223F94"/>
    <w:rsid w:val="002243C7"/>
    <w:rsid w:val="002243FD"/>
    <w:rsid w:val="002247F0"/>
    <w:rsid w:val="00224939"/>
    <w:rsid w:val="00224BEB"/>
    <w:rsid w:val="00224C68"/>
    <w:rsid w:val="00224D6B"/>
    <w:rsid w:val="00224E6D"/>
    <w:rsid w:val="00225170"/>
    <w:rsid w:val="00225513"/>
    <w:rsid w:val="00225523"/>
    <w:rsid w:val="002257F0"/>
    <w:rsid w:val="00225B13"/>
    <w:rsid w:val="0022614E"/>
    <w:rsid w:val="002264C1"/>
    <w:rsid w:val="00226943"/>
    <w:rsid w:val="00226DAA"/>
    <w:rsid w:val="00226E1D"/>
    <w:rsid w:val="00226EB4"/>
    <w:rsid w:val="002270F9"/>
    <w:rsid w:val="0022719B"/>
    <w:rsid w:val="0022764C"/>
    <w:rsid w:val="00227807"/>
    <w:rsid w:val="002279D7"/>
    <w:rsid w:val="00227BF8"/>
    <w:rsid w:val="00227E7E"/>
    <w:rsid w:val="00230F7D"/>
    <w:rsid w:val="002313E2"/>
    <w:rsid w:val="002318BF"/>
    <w:rsid w:val="00231F50"/>
    <w:rsid w:val="0023258F"/>
    <w:rsid w:val="00232723"/>
    <w:rsid w:val="00232A97"/>
    <w:rsid w:val="0023359B"/>
    <w:rsid w:val="00233732"/>
    <w:rsid w:val="002339BE"/>
    <w:rsid w:val="00233B3D"/>
    <w:rsid w:val="002341CB"/>
    <w:rsid w:val="002344DB"/>
    <w:rsid w:val="002345E9"/>
    <w:rsid w:val="00234BE5"/>
    <w:rsid w:val="00234EFE"/>
    <w:rsid w:val="002353F6"/>
    <w:rsid w:val="002353FA"/>
    <w:rsid w:val="002355A1"/>
    <w:rsid w:val="002355E8"/>
    <w:rsid w:val="002358D2"/>
    <w:rsid w:val="00235D7D"/>
    <w:rsid w:val="00235DC9"/>
    <w:rsid w:val="0023607C"/>
    <w:rsid w:val="00236291"/>
    <w:rsid w:val="002371EE"/>
    <w:rsid w:val="00237581"/>
    <w:rsid w:val="002376ED"/>
    <w:rsid w:val="002376EE"/>
    <w:rsid w:val="00237995"/>
    <w:rsid w:val="00237AF9"/>
    <w:rsid w:val="00237BD9"/>
    <w:rsid w:val="00237E1C"/>
    <w:rsid w:val="0024068F"/>
    <w:rsid w:val="00240707"/>
    <w:rsid w:val="00240907"/>
    <w:rsid w:val="00241260"/>
    <w:rsid w:val="002412AD"/>
    <w:rsid w:val="002412D5"/>
    <w:rsid w:val="00241342"/>
    <w:rsid w:val="0024155C"/>
    <w:rsid w:val="00241596"/>
    <w:rsid w:val="00241859"/>
    <w:rsid w:val="00241A12"/>
    <w:rsid w:val="00242308"/>
    <w:rsid w:val="00242A40"/>
    <w:rsid w:val="00242EB4"/>
    <w:rsid w:val="00243165"/>
    <w:rsid w:val="00243627"/>
    <w:rsid w:val="00243A8F"/>
    <w:rsid w:val="00243D71"/>
    <w:rsid w:val="00244160"/>
    <w:rsid w:val="002441FE"/>
    <w:rsid w:val="00244B30"/>
    <w:rsid w:val="00244EB7"/>
    <w:rsid w:val="002450BD"/>
    <w:rsid w:val="002455C9"/>
    <w:rsid w:val="002457A7"/>
    <w:rsid w:val="002458D7"/>
    <w:rsid w:val="00245B3B"/>
    <w:rsid w:val="00245B6F"/>
    <w:rsid w:val="00245C8F"/>
    <w:rsid w:val="00246072"/>
    <w:rsid w:val="0024611E"/>
    <w:rsid w:val="00246124"/>
    <w:rsid w:val="00246141"/>
    <w:rsid w:val="002463AB"/>
    <w:rsid w:val="002465AA"/>
    <w:rsid w:val="00246676"/>
    <w:rsid w:val="00246A26"/>
    <w:rsid w:val="00246BBD"/>
    <w:rsid w:val="00246C9C"/>
    <w:rsid w:val="00247079"/>
    <w:rsid w:val="002472F5"/>
    <w:rsid w:val="002477B0"/>
    <w:rsid w:val="00247ACE"/>
    <w:rsid w:val="00247BF6"/>
    <w:rsid w:val="00247C00"/>
    <w:rsid w:val="00247CE4"/>
    <w:rsid w:val="00247EC1"/>
    <w:rsid w:val="0025031C"/>
    <w:rsid w:val="00250551"/>
    <w:rsid w:val="00250931"/>
    <w:rsid w:val="00250CB9"/>
    <w:rsid w:val="00251282"/>
    <w:rsid w:val="002513A0"/>
    <w:rsid w:val="00251A30"/>
    <w:rsid w:val="00251AC6"/>
    <w:rsid w:val="00251C11"/>
    <w:rsid w:val="002525AE"/>
    <w:rsid w:val="00252734"/>
    <w:rsid w:val="002529C1"/>
    <w:rsid w:val="00253433"/>
    <w:rsid w:val="0025378B"/>
    <w:rsid w:val="0025392B"/>
    <w:rsid w:val="002542CD"/>
    <w:rsid w:val="002547A7"/>
    <w:rsid w:val="00254E2C"/>
    <w:rsid w:val="00254FAE"/>
    <w:rsid w:val="002550C4"/>
    <w:rsid w:val="0025521D"/>
    <w:rsid w:val="00255CBC"/>
    <w:rsid w:val="00255CF6"/>
    <w:rsid w:val="00255E5A"/>
    <w:rsid w:val="00255F32"/>
    <w:rsid w:val="00255F60"/>
    <w:rsid w:val="00256498"/>
    <w:rsid w:val="00257083"/>
    <w:rsid w:val="0025786F"/>
    <w:rsid w:val="00257AA5"/>
    <w:rsid w:val="00257D7E"/>
    <w:rsid w:val="00257DCD"/>
    <w:rsid w:val="00257E67"/>
    <w:rsid w:val="0026042D"/>
    <w:rsid w:val="00260586"/>
    <w:rsid w:val="002606FC"/>
    <w:rsid w:val="00260A0B"/>
    <w:rsid w:val="00260A13"/>
    <w:rsid w:val="00260D1E"/>
    <w:rsid w:val="002615E1"/>
    <w:rsid w:val="0026250C"/>
    <w:rsid w:val="00262AE7"/>
    <w:rsid w:val="00262E19"/>
    <w:rsid w:val="00263432"/>
    <w:rsid w:val="0026365E"/>
    <w:rsid w:val="00263C7D"/>
    <w:rsid w:val="0026423F"/>
    <w:rsid w:val="0026437E"/>
    <w:rsid w:val="002643ED"/>
    <w:rsid w:val="00264545"/>
    <w:rsid w:val="00264713"/>
    <w:rsid w:val="00265071"/>
    <w:rsid w:val="00265295"/>
    <w:rsid w:val="00265497"/>
    <w:rsid w:val="00265756"/>
    <w:rsid w:val="00265B32"/>
    <w:rsid w:val="00265C76"/>
    <w:rsid w:val="00265CCE"/>
    <w:rsid w:val="00265FDE"/>
    <w:rsid w:val="0026632E"/>
    <w:rsid w:val="002664C2"/>
    <w:rsid w:val="002668D5"/>
    <w:rsid w:val="00266B2A"/>
    <w:rsid w:val="00266B50"/>
    <w:rsid w:val="00266EBF"/>
    <w:rsid w:val="00266EC0"/>
    <w:rsid w:val="00267C15"/>
    <w:rsid w:val="00267F87"/>
    <w:rsid w:val="00267FBB"/>
    <w:rsid w:val="00270E2C"/>
    <w:rsid w:val="002710E1"/>
    <w:rsid w:val="0027126F"/>
    <w:rsid w:val="002714DC"/>
    <w:rsid w:val="00271AE4"/>
    <w:rsid w:val="00271BE1"/>
    <w:rsid w:val="00271DB1"/>
    <w:rsid w:val="0027249A"/>
    <w:rsid w:val="0027376C"/>
    <w:rsid w:val="00273814"/>
    <w:rsid w:val="002738B8"/>
    <w:rsid w:val="00273E98"/>
    <w:rsid w:val="0027482B"/>
    <w:rsid w:val="00274ABE"/>
    <w:rsid w:val="00274ED7"/>
    <w:rsid w:val="00275111"/>
    <w:rsid w:val="0027550F"/>
    <w:rsid w:val="00275806"/>
    <w:rsid w:val="00275D76"/>
    <w:rsid w:val="0027600B"/>
    <w:rsid w:val="00276363"/>
    <w:rsid w:val="00276A25"/>
    <w:rsid w:val="00276AD3"/>
    <w:rsid w:val="00276E4E"/>
    <w:rsid w:val="00276EC5"/>
    <w:rsid w:val="00276EDB"/>
    <w:rsid w:val="00277590"/>
    <w:rsid w:val="00277A1B"/>
    <w:rsid w:val="002801D0"/>
    <w:rsid w:val="002802ED"/>
    <w:rsid w:val="002803F0"/>
    <w:rsid w:val="002804AC"/>
    <w:rsid w:val="00280889"/>
    <w:rsid w:val="002809F0"/>
    <w:rsid w:val="00280AB5"/>
    <w:rsid w:val="00280B3C"/>
    <w:rsid w:val="00280ECD"/>
    <w:rsid w:val="00280FFB"/>
    <w:rsid w:val="002816C8"/>
    <w:rsid w:val="002816CD"/>
    <w:rsid w:val="00281D6C"/>
    <w:rsid w:val="00281F30"/>
    <w:rsid w:val="00282236"/>
    <w:rsid w:val="00282517"/>
    <w:rsid w:val="00282665"/>
    <w:rsid w:val="00282AC6"/>
    <w:rsid w:val="00282E45"/>
    <w:rsid w:val="00282E74"/>
    <w:rsid w:val="00282F5A"/>
    <w:rsid w:val="00282FDB"/>
    <w:rsid w:val="0028474A"/>
    <w:rsid w:val="00284970"/>
    <w:rsid w:val="00284F67"/>
    <w:rsid w:val="00284FDA"/>
    <w:rsid w:val="002852BD"/>
    <w:rsid w:val="00285725"/>
    <w:rsid w:val="00285773"/>
    <w:rsid w:val="00286207"/>
    <w:rsid w:val="00286498"/>
    <w:rsid w:val="00286651"/>
    <w:rsid w:val="002866FB"/>
    <w:rsid w:val="002868FE"/>
    <w:rsid w:val="00286CCA"/>
    <w:rsid w:val="0028719F"/>
    <w:rsid w:val="002871EB"/>
    <w:rsid w:val="002872BA"/>
    <w:rsid w:val="00287495"/>
    <w:rsid w:val="002874FE"/>
    <w:rsid w:val="002875AE"/>
    <w:rsid w:val="002876F3"/>
    <w:rsid w:val="00287A1B"/>
    <w:rsid w:val="00287E39"/>
    <w:rsid w:val="00287E7D"/>
    <w:rsid w:val="00287EFA"/>
    <w:rsid w:val="00287F9A"/>
    <w:rsid w:val="002906E5"/>
    <w:rsid w:val="002907E6"/>
    <w:rsid w:val="00290DEF"/>
    <w:rsid w:val="0029161F"/>
    <w:rsid w:val="0029188B"/>
    <w:rsid w:val="002918A8"/>
    <w:rsid w:val="0029198B"/>
    <w:rsid w:val="00291C2A"/>
    <w:rsid w:val="0029200B"/>
    <w:rsid w:val="00292627"/>
    <w:rsid w:val="00292A93"/>
    <w:rsid w:val="00292FEE"/>
    <w:rsid w:val="00293160"/>
    <w:rsid w:val="002931F1"/>
    <w:rsid w:val="00293894"/>
    <w:rsid w:val="00293B04"/>
    <w:rsid w:val="00293D0A"/>
    <w:rsid w:val="00293E48"/>
    <w:rsid w:val="0029405A"/>
    <w:rsid w:val="0029491B"/>
    <w:rsid w:val="002954B6"/>
    <w:rsid w:val="00295586"/>
    <w:rsid w:val="002956A1"/>
    <w:rsid w:val="00295748"/>
    <w:rsid w:val="0029592A"/>
    <w:rsid w:val="002962E2"/>
    <w:rsid w:val="00296AF1"/>
    <w:rsid w:val="0029753A"/>
    <w:rsid w:val="00297BDA"/>
    <w:rsid w:val="00297E91"/>
    <w:rsid w:val="002A017E"/>
    <w:rsid w:val="002A0435"/>
    <w:rsid w:val="002A09AC"/>
    <w:rsid w:val="002A0D14"/>
    <w:rsid w:val="002A112C"/>
    <w:rsid w:val="002A12E2"/>
    <w:rsid w:val="002A1D5D"/>
    <w:rsid w:val="002A23EB"/>
    <w:rsid w:val="002A2489"/>
    <w:rsid w:val="002A2530"/>
    <w:rsid w:val="002A2681"/>
    <w:rsid w:val="002A2883"/>
    <w:rsid w:val="002A2E85"/>
    <w:rsid w:val="002A3001"/>
    <w:rsid w:val="002A30FC"/>
    <w:rsid w:val="002A36EC"/>
    <w:rsid w:val="002A3A08"/>
    <w:rsid w:val="002A3D57"/>
    <w:rsid w:val="002A42C2"/>
    <w:rsid w:val="002A47C3"/>
    <w:rsid w:val="002A4A18"/>
    <w:rsid w:val="002A4C8C"/>
    <w:rsid w:val="002A4CE7"/>
    <w:rsid w:val="002A4EB9"/>
    <w:rsid w:val="002A4F28"/>
    <w:rsid w:val="002A503A"/>
    <w:rsid w:val="002A51A3"/>
    <w:rsid w:val="002A52D4"/>
    <w:rsid w:val="002A535C"/>
    <w:rsid w:val="002A5362"/>
    <w:rsid w:val="002A5578"/>
    <w:rsid w:val="002A5CA0"/>
    <w:rsid w:val="002A5EAB"/>
    <w:rsid w:val="002A63DA"/>
    <w:rsid w:val="002A64DF"/>
    <w:rsid w:val="002A657B"/>
    <w:rsid w:val="002A6911"/>
    <w:rsid w:val="002A6CA1"/>
    <w:rsid w:val="002A76C0"/>
    <w:rsid w:val="002A7A72"/>
    <w:rsid w:val="002A7D03"/>
    <w:rsid w:val="002B00B9"/>
    <w:rsid w:val="002B0344"/>
    <w:rsid w:val="002B046E"/>
    <w:rsid w:val="002B063E"/>
    <w:rsid w:val="002B068A"/>
    <w:rsid w:val="002B0750"/>
    <w:rsid w:val="002B13D9"/>
    <w:rsid w:val="002B1A16"/>
    <w:rsid w:val="002B1A73"/>
    <w:rsid w:val="002B1D77"/>
    <w:rsid w:val="002B273E"/>
    <w:rsid w:val="002B2D66"/>
    <w:rsid w:val="002B3124"/>
    <w:rsid w:val="002B3BAD"/>
    <w:rsid w:val="002B4101"/>
    <w:rsid w:val="002B4961"/>
    <w:rsid w:val="002B4E83"/>
    <w:rsid w:val="002B4FCA"/>
    <w:rsid w:val="002B5C2B"/>
    <w:rsid w:val="002B5E83"/>
    <w:rsid w:val="002B5EA1"/>
    <w:rsid w:val="002B5F1D"/>
    <w:rsid w:val="002B6080"/>
    <w:rsid w:val="002B60D0"/>
    <w:rsid w:val="002B60FD"/>
    <w:rsid w:val="002B62AB"/>
    <w:rsid w:val="002B6714"/>
    <w:rsid w:val="002B6C9D"/>
    <w:rsid w:val="002B6E15"/>
    <w:rsid w:val="002B6E47"/>
    <w:rsid w:val="002B7775"/>
    <w:rsid w:val="002B77CC"/>
    <w:rsid w:val="002B78FB"/>
    <w:rsid w:val="002B7909"/>
    <w:rsid w:val="002B7D44"/>
    <w:rsid w:val="002C0128"/>
    <w:rsid w:val="002C0288"/>
    <w:rsid w:val="002C091A"/>
    <w:rsid w:val="002C09F6"/>
    <w:rsid w:val="002C0B03"/>
    <w:rsid w:val="002C116E"/>
    <w:rsid w:val="002C11EB"/>
    <w:rsid w:val="002C147D"/>
    <w:rsid w:val="002C1CC0"/>
    <w:rsid w:val="002C1E42"/>
    <w:rsid w:val="002C1EB2"/>
    <w:rsid w:val="002C20C3"/>
    <w:rsid w:val="002C22F2"/>
    <w:rsid w:val="002C280A"/>
    <w:rsid w:val="002C28D3"/>
    <w:rsid w:val="002C2D8B"/>
    <w:rsid w:val="002C304F"/>
    <w:rsid w:val="002C330A"/>
    <w:rsid w:val="002C344C"/>
    <w:rsid w:val="002C394A"/>
    <w:rsid w:val="002C3C0A"/>
    <w:rsid w:val="002C3E65"/>
    <w:rsid w:val="002C404A"/>
    <w:rsid w:val="002C47B4"/>
    <w:rsid w:val="002C4C69"/>
    <w:rsid w:val="002C4C89"/>
    <w:rsid w:val="002C4E90"/>
    <w:rsid w:val="002C5014"/>
    <w:rsid w:val="002C5272"/>
    <w:rsid w:val="002C583D"/>
    <w:rsid w:val="002C586E"/>
    <w:rsid w:val="002C5A5F"/>
    <w:rsid w:val="002C5A71"/>
    <w:rsid w:val="002C62A5"/>
    <w:rsid w:val="002C63FC"/>
    <w:rsid w:val="002C681B"/>
    <w:rsid w:val="002C6935"/>
    <w:rsid w:val="002C6D4E"/>
    <w:rsid w:val="002C701F"/>
    <w:rsid w:val="002C753A"/>
    <w:rsid w:val="002D03A7"/>
    <w:rsid w:val="002D0560"/>
    <w:rsid w:val="002D123E"/>
    <w:rsid w:val="002D12E9"/>
    <w:rsid w:val="002D1985"/>
    <w:rsid w:val="002D2237"/>
    <w:rsid w:val="002D2469"/>
    <w:rsid w:val="002D24C5"/>
    <w:rsid w:val="002D29DE"/>
    <w:rsid w:val="002D2D61"/>
    <w:rsid w:val="002D305F"/>
    <w:rsid w:val="002D4094"/>
    <w:rsid w:val="002D40DD"/>
    <w:rsid w:val="002D44D8"/>
    <w:rsid w:val="002D47FA"/>
    <w:rsid w:val="002D48FF"/>
    <w:rsid w:val="002D4E94"/>
    <w:rsid w:val="002D50CB"/>
    <w:rsid w:val="002D52B3"/>
    <w:rsid w:val="002D52DE"/>
    <w:rsid w:val="002D5304"/>
    <w:rsid w:val="002D5460"/>
    <w:rsid w:val="002D5866"/>
    <w:rsid w:val="002D5966"/>
    <w:rsid w:val="002D5CF9"/>
    <w:rsid w:val="002D5DB3"/>
    <w:rsid w:val="002D6ECF"/>
    <w:rsid w:val="002D6EE8"/>
    <w:rsid w:val="002D7194"/>
    <w:rsid w:val="002D7261"/>
    <w:rsid w:val="002D73F5"/>
    <w:rsid w:val="002D7475"/>
    <w:rsid w:val="002D7605"/>
    <w:rsid w:val="002D76FC"/>
    <w:rsid w:val="002D7754"/>
    <w:rsid w:val="002D7C10"/>
    <w:rsid w:val="002D7D25"/>
    <w:rsid w:val="002E02E2"/>
    <w:rsid w:val="002E0768"/>
    <w:rsid w:val="002E077D"/>
    <w:rsid w:val="002E09FA"/>
    <w:rsid w:val="002E0AB9"/>
    <w:rsid w:val="002E0DC9"/>
    <w:rsid w:val="002E1020"/>
    <w:rsid w:val="002E10D1"/>
    <w:rsid w:val="002E15D3"/>
    <w:rsid w:val="002E23D9"/>
    <w:rsid w:val="002E262C"/>
    <w:rsid w:val="002E32D0"/>
    <w:rsid w:val="002E3375"/>
    <w:rsid w:val="002E33B4"/>
    <w:rsid w:val="002E3456"/>
    <w:rsid w:val="002E38D9"/>
    <w:rsid w:val="002E3FF5"/>
    <w:rsid w:val="002E46E3"/>
    <w:rsid w:val="002E478A"/>
    <w:rsid w:val="002E523B"/>
    <w:rsid w:val="002E5250"/>
    <w:rsid w:val="002E54FE"/>
    <w:rsid w:val="002E5645"/>
    <w:rsid w:val="002E5908"/>
    <w:rsid w:val="002E5C69"/>
    <w:rsid w:val="002E6161"/>
    <w:rsid w:val="002E6434"/>
    <w:rsid w:val="002E66F0"/>
    <w:rsid w:val="002E66FD"/>
    <w:rsid w:val="002E681F"/>
    <w:rsid w:val="002E72A4"/>
    <w:rsid w:val="002E79EA"/>
    <w:rsid w:val="002E7AB1"/>
    <w:rsid w:val="002E7B31"/>
    <w:rsid w:val="002F0071"/>
    <w:rsid w:val="002F04D0"/>
    <w:rsid w:val="002F063C"/>
    <w:rsid w:val="002F0A3D"/>
    <w:rsid w:val="002F0A74"/>
    <w:rsid w:val="002F0B82"/>
    <w:rsid w:val="002F0C6B"/>
    <w:rsid w:val="002F17C0"/>
    <w:rsid w:val="002F1AFE"/>
    <w:rsid w:val="002F1B54"/>
    <w:rsid w:val="002F1DBC"/>
    <w:rsid w:val="002F1F5F"/>
    <w:rsid w:val="002F224F"/>
    <w:rsid w:val="002F22C5"/>
    <w:rsid w:val="002F24CA"/>
    <w:rsid w:val="002F34CB"/>
    <w:rsid w:val="002F3661"/>
    <w:rsid w:val="002F37F6"/>
    <w:rsid w:val="002F3941"/>
    <w:rsid w:val="002F3BFD"/>
    <w:rsid w:val="002F3C95"/>
    <w:rsid w:val="002F3E7D"/>
    <w:rsid w:val="002F41A9"/>
    <w:rsid w:val="002F4EA2"/>
    <w:rsid w:val="002F4FCD"/>
    <w:rsid w:val="002F502A"/>
    <w:rsid w:val="002F575B"/>
    <w:rsid w:val="002F5E4B"/>
    <w:rsid w:val="002F604A"/>
    <w:rsid w:val="002F619E"/>
    <w:rsid w:val="002F63BC"/>
    <w:rsid w:val="002F6499"/>
    <w:rsid w:val="002F658B"/>
    <w:rsid w:val="002F67A7"/>
    <w:rsid w:val="002F6B88"/>
    <w:rsid w:val="002F6F94"/>
    <w:rsid w:val="002F71DD"/>
    <w:rsid w:val="002F73FA"/>
    <w:rsid w:val="002F7DB7"/>
    <w:rsid w:val="002F7DE7"/>
    <w:rsid w:val="002F7E33"/>
    <w:rsid w:val="003003B8"/>
    <w:rsid w:val="003003D2"/>
    <w:rsid w:val="003005E5"/>
    <w:rsid w:val="00300F23"/>
    <w:rsid w:val="0030139C"/>
    <w:rsid w:val="0030169E"/>
    <w:rsid w:val="00301948"/>
    <w:rsid w:val="00301BE5"/>
    <w:rsid w:val="00301DF3"/>
    <w:rsid w:val="003020A9"/>
    <w:rsid w:val="003020E4"/>
    <w:rsid w:val="00302465"/>
    <w:rsid w:val="003026EB"/>
    <w:rsid w:val="003027D8"/>
    <w:rsid w:val="0030283C"/>
    <w:rsid w:val="003029D0"/>
    <w:rsid w:val="00302D5E"/>
    <w:rsid w:val="00302DE7"/>
    <w:rsid w:val="00302DFE"/>
    <w:rsid w:val="00302E69"/>
    <w:rsid w:val="003030BB"/>
    <w:rsid w:val="00303494"/>
    <w:rsid w:val="00303D51"/>
    <w:rsid w:val="00303D7E"/>
    <w:rsid w:val="00303DB0"/>
    <w:rsid w:val="0030435D"/>
    <w:rsid w:val="003045CA"/>
    <w:rsid w:val="00304969"/>
    <w:rsid w:val="003053F8"/>
    <w:rsid w:val="00305B73"/>
    <w:rsid w:val="00306624"/>
    <w:rsid w:val="00306D17"/>
    <w:rsid w:val="00307074"/>
    <w:rsid w:val="00307C76"/>
    <w:rsid w:val="003102B8"/>
    <w:rsid w:val="0031073F"/>
    <w:rsid w:val="00310935"/>
    <w:rsid w:val="00310C8F"/>
    <w:rsid w:val="00310DA0"/>
    <w:rsid w:val="00311059"/>
    <w:rsid w:val="003113A1"/>
    <w:rsid w:val="0031147C"/>
    <w:rsid w:val="003115AF"/>
    <w:rsid w:val="00311E38"/>
    <w:rsid w:val="00312006"/>
    <w:rsid w:val="00312010"/>
    <w:rsid w:val="00312061"/>
    <w:rsid w:val="00312D26"/>
    <w:rsid w:val="00312E7D"/>
    <w:rsid w:val="00312E93"/>
    <w:rsid w:val="0031315D"/>
    <w:rsid w:val="003135E3"/>
    <w:rsid w:val="003135E4"/>
    <w:rsid w:val="003135EC"/>
    <w:rsid w:val="00313D22"/>
    <w:rsid w:val="00314872"/>
    <w:rsid w:val="00314931"/>
    <w:rsid w:val="003153D0"/>
    <w:rsid w:val="0031545A"/>
    <w:rsid w:val="00315E57"/>
    <w:rsid w:val="00315F30"/>
    <w:rsid w:val="003161EF"/>
    <w:rsid w:val="00316B92"/>
    <w:rsid w:val="00316EB4"/>
    <w:rsid w:val="003171F3"/>
    <w:rsid w:val="0031760F"/>
    <w:rsid w:val="00317871"/>
    <w:rsid w:val="0031788F"/>
    <w:rsid w:val="003178FC"/>
    <w:rsid w:val="00317D5B"/>
    <w:rsid w:val="0032015E"/>
    <w:rsid w:val="0032017C"/>
    <w:rsid w:val="003207D1"/>
    <w:rsid w:val="003209DE"/>
    <w:rsid w:val="003209EB"/>
    <w:rsid w:val="00320B31"/>
    <w:rsid w:val="0032140A"/>
    <w:rsid w:val="00321506"/>
    <w:rsid w:val="00321877"/>
    <w:rsid w:val="00321E8B"/>
    <w:rsid w:val="00322163"/>
    <w:rsid w:val="00322176"/>
    <w:rsid w:val="003224F2"/>
    <w:rsid w:val="00322506"/>
    <w:rsid w:val="00322549"/>
    <w:rsid w:val="00322BAC"/>
    <w:rsid w:val="00322D42"/>
    <w:rsid w:val="00322F1D"/>
    <w:rsid w:val="0032323B"/>
    <w:rsid w:val="003232F5"/>
    <w:rsid w:val="003233D7"/>
    <w:rsid w:val="00323552"/>
    <w:rsid w:val="003235E7"/>
    <w:rsid w:val="003238F3"/>
    <w:rsid w:val="00323A61"/>
    <w:rsid w:val="00323BFF"/>
    <w:rsid w:val="00324A0B"/>
    <w:rsid w:val="00324B16"/>
    <w:rsid w:val="00324CDF"/>
    <w:rsid w:val="00324E02"/>
    <w:rsid w:val="00324E12"/>
    <w:rsid w:val="00325034"/>
    <w:rsid w:val="003251F8"/>
    <w:rsid w:val="00325211"/>
    <w:rsid w:val="003258E1"/>
    <w:rsid w:val="00325C42"/>
    <w:rsid w:val="00325D37"/>
    <w:rsid w:val="003260E7"/>
    <w:rsid w:val="0032633D"/>
    <w:rsid w:val="003265FB"/>
    <w:rsid w:val="0032669D"/>
    <w:rsid w:val="003268E5"/>
    <w:rsid w:val="00326930"/>
    <w:rsid w:val="00326F65"/>
    <w:rsid w:val="00326FDC"/>
    <w:rsid w:val="003275DB"/>
    <w:rsid w:val="00327A52"/>
    <w:rsid w:val="00327B41"/>
    <w:rsid w:val="00327C8B"/>
    <w:rsid w:val="00327CD2"/>
    <w:rsid w:val="0033000A"/>
    <w:rsid w:val="00330038"/>
    <w:rsid w:val="003301C4"/>
    <w:rsid w:val="003304A7"/>
    <w:rsid w:val="00330786"/>
    <w:rsid w:val="0033081E"/>
    <w:rsid w:val="00330B26"/>
    <w:rsid w:val="00331192"/>
    <w:rsid w:val="003313DB"/>
    <w:rsid w:val="00331829"/>
    <w:rsid w:val="0033182A"/>
    <w:rsid w:val="00331925"/>
    <w:rsid w:val="00331A25"/>
    <w:rsid w:val="00331AB9"/>
    <w:rsid w:val="0033208D"/>
    <w:rsid w:val="00332212"/>
    <w:rsid w:val="0033237F"/>
    <w:rsid w:val="003324F0"/>
    <w:rsid w:val="00332556"/>
    <w:rsid w:val="00332623"/>
    <w:rsid w:val="00332D03"/>
    <w:rsid w:val="00332FDF"/>
    <w:rsid w:val="00333254"/>
    <w:rsid w:val="0033338E"/>
    <w:rsid w:val="0033372A"/>
    <w:rsid w:val="00333972"/>
    <w:rsid w:val="00333C32"/>
    <w:rsid w:val="00333DF4"/>
    <w:rsid w:val="0033425D"/>
    <w:rsid w:val="00334A5D"/>
    <w:rsid w:val="00334AA9"/>
    <w:rsid w:val="00334C1A"/>
    <w:rsid w:val="00334E26"/>
    <w:rsid w:val="00335312"/>
    <w:rsid w:val="0033533C"/>
    <w:rsid w:val="003353F1"/>
    <w:rsid w:val="003356C8"/>
    <w:rsid w:val="00335D47"/>
    <w:rsid w:val="00335D73"/>
    <w:rsid w:val="003364D9"/>
    <w:rsid w:val="0033651A"/>
    <w:rsid w:val="00336742"/>
    <w:rsid w:val="003368BB"/>
    <w:rsid w:val="00336DAD"/>
    <w:rsid w:val="00337436"/>
    <w:rsid w:val="003374D0"/>
    <w:rsid w:val="003374DA"/>
    <w:rsid w:val="00337E8E"/>
    <w:rsid w:val="00337F07"/>
    <w:rsid w:val="00337F16"/>
    <w:rsid w:val="00340279"/>
    <w:rsid w:val="00340311"/>
    <w:rsid w:val="003410A0"/>
    <w:rsid w:val="00341134"/>
    <w:rsid w:val="0034133F"/>
    <w:rsid w:val="00341972"/>
    <w:rsid w:val="00341E95"/>
    <w:rsid w:val="003420C2"/>
    <w:rsid w:val="00342148"/>
    <w:rsid w:val="0034229F"/>
    <w:rsid w:val="0034273D"/>
    <w:rsid w:val="003429E1"/>
    <w:rsid w:val="00342ABE"/>
    <w:rsid w:val="00342B0E"/>
    <w:rsid w:val="00343133"/>
    <w:rsid w:val="003432A3"/>
    <w:rsid w:val="00343312"/>
    <w:rsid w:val="003433B7"/>
    <w:rsid w:val="00343A94"/>
    <w:rsid w:val="00343ADF"/>
    <w:rsid w:val="00343B32"/>
    <w:rsid w:val="00344277"/>
    <w:rsid w:val="003443AA"/>
    <w:rsid w:val="003448E1"/>
    <w:rsid w:val="003449A0"/>
    <w:rsid w:val="00344F73"/>
    <w:rsid w:val="00344F88"/>
    <w:rsid w:val="0034555B"/>
    <w:rsid w:val="00345596"/>
    <w:rsid w:val="003455CF"/>
    <w:rsid w:val="00345D0B"/>
    <w:rsid w:val="00345F08"/>
    <w:rsid w:val="003462AC"/>
    <w:rsid w:val="003462B6"/>
    <w:rsid w:val="003469F8"/>
    <w:rsid w:val="00346BE8"/>
    <w:rsid w:val="0034725B"/>
    <w:rsid w:val="003474D8"/>
    <w:rsid w:val="00347754"/>
    <w:rsid w:val="00347992"/>
    <w:rsid w:val="00347BCB"/>
    <w:rsid w:val="00347BF6"/>
    <w:rsid w:val="00347C08"/>
    <w:rsid w:val="00347CD7"/>
    <w:rsid w:val="00347F0D"/>
    <w:rsid w:val="003505C4"/>
    <w:rsid w:val="003506CD"/>
    <w:rsid w:val="003508C1"/>
    <w:rsid w:val="0035108E"/>
    <w:rsid w:val="00352224"/>
    <w:rsid w:val="00352318"/>
    <w:rsid w:val="00352411"/>
    <w:rsid w:val="00352430"/>
    <w:rsid w:val="003524EF"/>
    <w:rsid w:val="003525B0"/>
    <w:rsid w:val="00352839"/>
    <w:rsid w:val="003528C2"/>
    <w:rsid w:val="00352C88"/>
    <w:rsid w:val="00352D19"/>
    <w:rsid w:val="00353F03"/>
    <w:rsid w:val="0035413F"/>
    <w:rsid w:val="00354696"/>
    <w:rsid w:val="003549AE"/>
    <w:rsid w:val="00354C1C"/>
    <w:rsid w:val="00354FDB"/>
    <w:rsid w:val="003554DE"/>
    <w:rsid w:val="003556AE"/>
    <w:rsid w:val="003558F3"/>
    <w:rsid w:val="00355A23"/>
    <w:rsid w:val="0035677A"/>
    <w:rsid w:val="003567A0"/>
    <w:rsid w:val="00356ACF"/>
    <w:rsid w:val="00356CC4"/>
    <w:rsid w:val="00356EE3"/>
    <w:rsid w:val="0035719B"/>
    <w:rsid w:val="0035731B"/>
    <w:rsid w:val="00357696"/>
    <w:rsid w:val="00357EC8"/>
    <w:rsid w:val="0036017B"/>
    <w:rsid w:val="003604D8"/>
    <w:rsid w:val="00360624"/>
    <w:rsid w:val="0036070D"/>
    <w:rsid w:val="003609A2"/>
    <w:rsid w:val="003609BB"/>
    <w:rsid w:val="00360C2A"/>
    <w:rsid w:val="00360CB3"/>
    <w:rsid w:val="00360F4F"/>
    <w:rsid w:val="00361318"/>
    <w:rsid w:val="00361C9E"/>
    <w:rsid w:val="00362245"/>
    <w:rsid w:val="00362355"/>
    <w:rsid w:val="00362EE1"/>
    <w:rsid w:val="0036346E"/>
    <w:rsid w:val="00363701"/>
    <w:rsid w:val="003638F8"/>
    <w:rsid w:val="003639CB"/>
    <w:rsid w:val="0036415B"/>
    <w:rsid w:val="003643B1"/>
    <w:rsid w:val="00364B37"/>
    <w:rsid w:val="0036583E"/>
    <w:rsid w:val="00365DF7"/>
    <w:rsid w:val="00365DF8"/>
    <w:rsid w:val="003661F8"/>
    <w:rsid w:val="003663B6"/>
    <w:rsid w:val="00366718"/>
    <w:rsid w:val="00366749"/>
    <w:rsid w:val="0036679A"/>
    <w:rsid w:val="00366988"/>
    <w:rsid w:val="00366D87"/>
    <w:rsid w:val="003671E2"/>
    <w:rsid w:val="00367D61"/>
    <w:rsid w:val="00367E87"/>
    <w:rsid w:val="00367FB1"/>
    <w:rsid w:val="003707C7"/>
    <w:rsid w:val="003707F4"/>
    <w:rsid w:val="00370A0A"/>
    <w:rsid w:val="0037164E"/>
    <w:rsid w:val="00371869"/>
    <w:rsid w:val="00371A9F"/>
    <w:rsid w:val="00371BE7"/>
    <w:rsid w:val="00371C46"/>
    <w:rsid w:val="003722DF"/>
    <w:rsid w:val="00372B9B"/>
    <w:rsid w:val="00372E5C"/>
    <w:rsid w:val="00372F6A"/>
    <w:rsid w:val="003734D5"/>
    <w:rsid w:val="00373530"/>
    <w:rsid w:val="0037367B"/>
    <w:rsid w:val="00374892"/>
    <w:rsid w:val="00375165"/>
    <w:rsid w:val="00375608"/>
    <w:rsid w:val="0037594E"/>
    <w:rsid w:val="003759B6"/>
    <w:rsid w:val="00375D07"/>
    <w:rsid w:val="00375DD9"/>
    <w:rsid w:val="00375ECB"/>
    <w:rsid w:val="00375F62"/>
    <w:rsid w:val="00375F80"/>
    <w:rsid w:val="00376219"/>
    <w:rsid w:val="003762FC"/>
    <w:rsid w:val="00376B3C"/>
    <w:rsid w:val="00376E1C"/>
    <w:rsid w:val="00376EB9"/>
    <w:rsid w:val="00376F4B"/>
    <w:rsid w:val="00376FAE"/>
    <w:rsid w:val="00377223"/>
    <w:rsid w:val="00377312"/>
    <w:rsid w:val="00377850"/>
    <w:rsid w:val="00377953"/>
    <w:rsid w:val="00377A72"/>
    <w:rsid w:val="0038077E"/>
    <w:rsid w:val="00380F96"/>
    <w:rsid w:val="00381118"/>
    <w:rsid w:val="00382609"/>
    <w:rsid w:val="00382637"/>
    <w:rsid w:val="003826F8"/>
    <w:rsid w:val="003828A7"/>
    <w:rsid w:val="00382A7F"/>
    <w:rsid w:val="00382AC9"/>
    <w:rsid w:val="003831F1"/>
    <w:rsid w:val="0038379E"/>
    <w:rsid w:val="00383BDD"/>
    <w:rsid w:val="003840A2"/>
    <w:rsid w:val="00384170"/>
    <w:rsid w:val="00384210"/>
    <w:rsid w:val="003844C1"/>
    <w:rsid w:val="00384808"/>
    <w:rsid w:val="00384B91"/>
    <w:rsid w:val="0038517F"/>
    <w:rsid w:val="003855BD"/>
    <w:rsid w:val="003868A5"/>
    <w:rsid w:val="00386900"/>
    <w:rsid w:val="00386A6E"/>
    <w:rsid w:val="00386FB8"/>
    <w:rsid w:val="00386FD6"/>
    <w:rsid w:val="00387122"/>
    <w:rsid w:val="0038717C"/>
    <w:rsid w:val="0038796C"/>
    <w:rsid w:val="00387C33"/>
    <w:rsid w:val="00387CFB"/>
    <w:rsid w:val="00390217"/>
    <w:rsid w:val="00390313"/>
    <w:rsid w:val="0039044D"/>
    <w:rsid w:val="00390799"/>
    <w:rsid w:val="00390DB6"/>
    <w:rsid w:val="00390FDC"/>
    <w:rsid w:val="003912D4"/>
    <w:rsid w:val="0039153D"/>
    <w:rsid w:val="00391EEA"/>
    <w:rsid w:val="00391FFF"/>
    <w:rsid w:val="0039205D"/>
    <w:rsid w:val="00392651"/>
    <w:rsid w:val="0039297C"/>
    <w:rsid w:val="00392B36"/>
    <w:rsid w:val="00392D51"/>
    <w:rsid w:val="00392D7F"/>
    <w:rsid w:val="00392E13"/>
    <w:rsid w:val="00392FB6"/>
    <w:rsid w:val="00393077"/>
    <w:rsid w:val="003932FA"/>
    <w:rsid w:val="003937A9"/>
    <w:rsid w:val="0039390F"/>
    <w:rsid w:val="00393BDD"/>
    <w:rsid w:val="00393BE6"/>
    <w:rsid w:val="00393FE7"/>
    <w:rsid w:val="00394624"/>
    <w:rsid w:val="00394786"/>
    <w:rsid w:val="00394824"/>
    <w:rsid w:val="0039486B"/>
    <w:rsid w:val="00394B7C"/>
    <w:rsid w:val="00394D23"/>
    <w:rsid w:val="00394FFB"/>
    <w:rsid w:val="003958FA"/>
    <w:rsid w:val="0039590A"/>
    <w:rsid w:val="00395984"/>
    <w:rsid w:val="00395B30"/>
    <w:rsid w:val="0039636A"/>
    <w:rsid w:val="00396701"/>
    <w:rsid w:val="00396771"/>
    <w:rsid w:val="0039679F"/>
    <w:rsid w:val="00396F09"/>
    <w:rsid w:val="003973A7"/>
    <w:rsid w:val="00397484"/>
    <w:rsid w:val="00397562"/>
    <w:rsid w:val="00397666"/>
    <w:rsid w:val="00397859"/>
    <w:rsid w:val="00397860"/>
    <w:rsid w:val="00397B28"/>
    <w:rsid w:val="00397C05"/>
    <w:rsid w:val="00397DDC"/>
    <w:rsid w:val="00397E97"/>
    <w:rsid w:val="003A04B0"/>
    <w:rsid w:val="003A061A"/>
    <w:rsid w:val="003A07B7"/>
    <w:rsid w:val="003A0942"/>
    <w:rsid w:val="003A0B47"/>
    <w:rsid w:val="003A0D05"/>
    <w:rsid w:val="003A0DA7"/>
    <w:rsid w:val="003A0F69"/>
    <w:rsid w:val="003A0F8E"/>
    <w:rsid w:val="003A0FCF"/>
    <w:rsid w:val="003A1005"/>
    <w:rsid w:val="003A17FF"/>
    <w:rsid w:val="003A22D8"/>
    <w:rsid w:val="003A2665"/>
    <w:rsid w:val="003A290D"/>
    <w:rsid w:val="003A3142"/>
    <w:rsid w:val="003A373C"/>
    <w:rsid w:val="003A3986"/>
    <w:rsid w:val="003A3B81"/>
    <w:rsid w:val="003A4304"/>
    <w:rsid w:val="003A4352"/>
    <w:rsid w:val="003A43D4"/>
    <w:rsid w:val="003A4931"/>
    <w:rsid w:val="003A508F"/>
    <w:rsid w:val="003A50C1"/>
    <w:rsid w:val="003A55EB"/>
    <w:rsid w:val="003A5A51"/>
    <w:rsid w:val="003A5F9F"/>
    <w:rsid w:val="003A61DD"/>
    <w:rsid w:val="003A66A9"/>
    <w:rsid w:val="003A66B8"/>
    <w:rsid w:val="003A75FC"/>
    <w:rsid w:val="003A7A5A"/>
    <w:rsid w:val="003B0242"/>
    <w:rsid w:val="003B02D4"/>
    <w:rsid w:val="003B0A61"/>
    <w:rsid w:val="003B0AC3"/>
    <w:rsid w:val="003B1226"/>
    <w:rsid w:val="003B12F9"/>
    <w:rsid w:val="003B13AE"/>
    <w:rsid w:val="003B13C0"/>
    <w:rsid w:val="003B14A8"/>
    <w:rsid w:val="003B164E"/>
    <w:rsid w:val="003B191E"/>
    <w:rsid w:val="003B1B9C"/>
    <w:rsid w:val="003B2B9E"/>
    <w:rsid w:val="003B3E0A"/>
    <w:rsid w:val="003B3EE7"/>
    <w:rsid w:val="003B401F"/>
    <w:rsid w:val="003B41F9"/>
    <w:rsid w:val="003B44C5"/>
    <w:rsid w:val="003B44D2"/>
    <w:rsid w:val="003B46EA"/>
    <w:rsid w:val="003B48FE"/>
    <w:rsid w:val="003B4B9D"/>
    <w:rsid w:val="003B50F6"/>
    <w:rsid w:val="003B5A34"/>
    <w:rsid w:val="003B5BF0"/>
    <w:rsid w:val="003B6C0E"/>
    <w:rsid w:val="003B6CAD"/>
    <w:rsid w:val="003B6E0E"/>
    <w:rsid w:val="003B6F0B"/>
    <w:rsid w:val="003B70E9"/>
    <w:rsid w:val="003B74D5"/>
    <w:rsid w:val="003B7552"/>
    <w:rsid w:val="003B7F3A"/>
    <w:rsid w:val="003C010C"/>
    <w:rsid w:val="003C052E"/>
    <w:rsid w:val="003C0753"/>
    <w:rsid w:val="003C07C1"/>
    <w:rsid w:val="003C0800"/>
    <w:rsid w:val="003C0F0D"/>
    <w:rsid w:val="003C1439"/>
    <w:rsid w:val="003C16E9"/>
    <w:rsid w:val="003C18A5"/>
    <w:rsid w:val="003C1A24"/>
    <w:rsid w:val="003C1A77"/>
    <w:rsid w:val="003C1C64"/>
    <w:rsid w:val="003C1F81"/>
    <w:rsid w:val="003C22F5"/>
    <w:rsid w:val="003C27EF"/>
    <w:rsid w:val="003C2DD3"/>
    <w:rsid w:val="003C2F17"/>
    <w:rsid w:val="003C2F76"/>
    <w:rsid w:val="003C32E7"/>
    <w:rsid w:val="003C3621"/>
    <w:rsid w:val="003C3857"/>
    <w:rsid w:val="003C38FD"/>
    <w:rsid w:val="003C3A08"/>
    <w:rsid w:val="003C4154"/>
    <w:rsid w:val="003C41AF"/>
    <w:rsid w:val="003C4343"/>
    <w:rsid w:val="003C437A"/>
    <w:rsid w:val="003C4503"/>
    <w:rsid w:val="003C4670"/>
    <w:rsid w:val="003C4761"/>
    <w:rsid w:val="003C4AA7"/>
    <w:rsid w:val="003C4BD3"/>
    <w:rsid w:val="003C5072"/>
    <w:rsid w:val="003C52F0"/>
    <w:rsid w:val="003C5B27"/>
    <w:rsid w:val="003C5E23"/>
    <w:rsid w:val="003C5E99"/>
    <w:rsid w:val="003C6744"/>
    <w:rsid w:val="003C6759"/>
    <w:rsid w:val="003C6A5E"/>
    <w:rsid w:val="003C6B71"/>
    <w:rsid w:val="003C6DF8"/>
    <w:rsid w:val="003C77D0"/>
    <w:rsid w:val="003C7D24"/>
    <w:rsid w:val="003D0023"/>
    <w:rsid w:val="003D0171"/>
    <w:rsid w:val="003D0EE3"/>
    <w:rsid w:val="003D0FC2"/>
    <w:rsid w:val="003D10C5"/>
    <w:rsid w:val="003D1420"/>
    <w:rsid w:val="003D1519"/>
    <w:rsid w:val="003D1599"/>
    <w:rsid w:val="003D1B36"/>
    <w:rsid w:val="003D23FF"/>
    <w:rsid w:val="003D248F"/>
    <w:rsid w:val="003D2661"/>
    <w:rsid w:val="003D2892"/>
    <w:rsid w:val="003D2947"/>
    <w:rsid w:val="003D2CF6"/>
    <w:rsid w:val="003D2DD1"/>
    <w:rsid w:val="003D374A"/>
    <w:rsid w:val="003D3863"/>
    <w:rsid w:val="003D3DE4"/>
    <w:rsid w:val="003D3E4A"/>
    <w:rsid w:val="003D4602"/>
    <w:rsid w:val="003D497C"/>
    <w:rsid w:val="003D4981"/>
    <w:rsid w:val="003D4BC1"/>
    <w:rsid w:val="003D4EAD"/>
    <w:rsid w:val="003D51C5"/>
    <w:rsid w:val="003D5364"/>
    <w:rsid w:val="003D5647"/>
    <w:rsid w:val="003D5DD3"/>
    <w:rsid w:val="003D5E8D"/>
    <w:rsid w:val="003D5F3A"/>
    <w:rsid w:val="003D667A"/>
    <w:rsid w:val="003D6F1D"/>
    <w:rsid w:val="003D6F83"/>
    <w:rsid w:val="003D7B11"/>
    <w:rsid w:val="003E0682"/>
    <w:rsid w:val="003E0B09"/>
    <w:rsid w:val="003E0C4B"/>
    <w:rsid w:val="003E0F91"/>
    <w:rsid w:val="003E0FA9"/>
    <w:rsid w:val="003E1496"/>
    <w:rsid w:val="003E1A66"/>
    <w:rsid w:val="003E1BD3"/>
    <w:rsid w:val="003E1D6D"/>
    <w:rsid w:val="003E1E74"/>
    <w:rsid w:val="003E2070"/>
    <w:rsid w:val="003E266D"/>
    <w:rsid w:val="003E2BCD"/>
    <w:rsid w:val="003E30D7"/>
    <w:rsid w:val="003E3472"/>
    <w:rsid w:val="003E353B"/>
    <w:rsid w:val="003E3D66"/>
    <w:rsid w:val="003E3E1B"/>
    <w:rsid w:val="003E454D"/>
    <w:rsid w:val="003E45F7"/>
    <w:rsid w:val="003E47DB"/>
    <w:rsid w:val="003E56DE"/>
    <w:rsid w:val="003E57EA"/>
    <w:rsid w:val="003E5AA2"/>
    <w:rsid w:val="003E5F2D"/>
    <w:rsid w:val="003E603A"/>
    <w:rsid w:val="003E62EC"/>
    <w:rsid w:val="003E65E3"/>
    <w:rsid w:val="003E6CBC"/>
    <w:rsid w:val="003E6D37"/>
    <w:rsid w:val="003E7692"/>
    <w:rsid w:val="003E7F16"/>
    <w:rsid w:val="003F0288"/>
    <w:rsid w:val="003F0575"/>
    <w:rsid w:val="003F0730"/>
    <w:rsid w:val="003F180F"/>
    <w:rsid w:val="003F1ACC"/>
    <w:rsid w:val="003F20BB"/>
    <w:rsid w:val="003F230F"/>
    <w:rsid w:val="003F2B00"/>
    <w:rsid w:val="003F2B67"/>
    <w:rsid w:val="003F2CC7"/>
    <w:rsid w:val="003F31BC"/>
    <w:rsid w:val="003F31EC"/>
    <w:rsid w:val="003F3230"/>
    <w:rsid w:val="003F378F"/>
    <w:rsid w:val="003F4155"/>
    <w:rsid w:val="003F467E"/>
    <w:rsid w:val="003F4A52"/>
    <w:rsid w:val="003F4F1C"/>
    <w:rsid w:val="003F4F4E"/>
    <w:rsid w:val="003F52CC"/>
    <w:rsid w:val="003F540C"/>
    <w:rsid w:val="003F5C68"/>
    <w:rsid w:val="003F5CBF"/>
    <w:rsid w:val="003F613F"/>
    <w:rsid w:val="003F6637"/>
    <w:rsid w:val="003F6D17"/>
    <w:rsid w:val="003F6F40"/>
    <w:rsid w:val="003F7187"/>
    <w:rsid w:val="003F71FE"/>
    <w:rsid w:val="003F767E"/>
    <w:rsid w:val="003F7B34"/>
    <w:rsid w:val="004001B1"/>
    <w:rsid w:val="00400595"/>
    <w:rsid w:val="00401169"/>
    <w:rsid w:val="0040134E"/>
    <w:rsid w:val="00401395"/>
    <w:rsid w:val="004015EE"/>
    <w:rsid w:val="004019B6"/>
    <w:rsid w:val="00401A46"/>
    <w:rsid w:val="00401E26"/>
    <w:rsid w:val="004020EE"/>
    <w:rsid w:val="00402423"/>
    <w:rsid w:val="004025DE"/>
    <w:rsid w:val="00402690"/>
    <w:rsid w:val="004026B4"/>
    <w:rsid w:val="0040285E"/>
    <w:rsid w:val="00402D84"/>
    <w:rsid w:val="00403853"/>
    <w:rsid w:val="0040418D"/>
    <w:rsid w:val="00404298"/>
    <w:rsid w:val="00404432"/>
    <w:rsid w:val="00404433"/>
    <w:rsid w:val="00404D41"/>
    <w:rsid w:val="00404EF6"/>
    <w:rsid w:val="004054FC"/>
    <w:rsid w:val="00405678"/>
    <w:rsid w:val="00405A27"/>
    <w:rsid w:val="00405A39"/>
    <w:rsid w:val="00405D0B"/>
    <w:rsid w:val="0040602A"/>
    <w:rsid w:val="00406089"/>
    <w:rsid w:val="004068B8"/>
    <w:rsid w:val="00406BAA"/>
    <w:rsid w:val="00406BDD"/>
    <w:rsid w:val="00407493"/>
    <w:rsid w:val="00407899"/>
    <w:rsid w:val="00407CD6"/>
    <w:rsid w:val="00407E37"/>
    <w:rsid w:val="004100AD"/>
    <w:rsid w:val="004100D0"/>
    <w:rsid w:val="00410244"/>
    <w:rsid w:val="00410C9C"/>
    <w:rsid w:val="00410EFA"/>
    <w:rsid w:val="00411085"/>
    <w:rsid w:val="004111B3"/>
    <w:rsid w:val="004114E5"/>
    <w:rsid w:val="00411710"/>
    <w:rsid w:val="004118DA"/>
    <w:rsid w:val="00411B22"/>
    <w:rsid w:val="00411E2C"/>
    <w:rsid w:val="00411FA1"/>
    <w:rsid w:val="004129D8"/>
    <w:rsid w:val="00412A1C"/>
    <w:rsid w:val="00412B65"/>
    <w:rsid w:val="00412DCA"/>
    <w:rsid w:val="00412F8A"/>
    <w:rsid w:val="0041333B"/>
    <w:rsid w:val="00413484"/>
    <w:rsid w:val="004134B8"/>
    <w:rsid w:val="00413894"/>
    <w:rsid w:val="004139BA"/>
    <w:rsid w:val="00413B81"/>
    <w:rsid w:val="00413C03"/>
    <w:rsid w:val="00413C34"/>
    <w:rsid w:val="00413CF1"/>
    <w:rsid w:val="00414277"/>
    <w:rsid w:val="00414843"/>
    <w:rsid w:val="004149B9"/>
    <w:rsid w:val="00414B93"/>
    <w:rsid w:val="00414FB7"/>
    <w:rsid w:val="00415323"/>
    <w:rsid w:val="0041572A"/>
    <w:rsid w:val="004158B2"/>
    <w:rsid w:val="00415B2E"/>
    <w:rsid w:val="00415D49"/>
    <w:rsid w:val="00415D95"/>
    <w:rsid w:val="0041636C"/>
    <w:rsid w:val="0041645F"/>
    <w:rsid w:val="00416473"/>
    <w:rsid w:val="00416635"/>
    <w:rsid w:val="004166CC"/>
    <w:rsid w:val="004171B8"/>
    <w:rsid w:val="0041723D"/>
    <w:rsid w:val="0041739A"/>
    <w:rsid w:val="004173DD"/>
    <w:rsid w:val="004176CF"/>
    <w:rsid w:val="00417A64"/>
    <w:rsid w:val="0042017D"/>
    <w:rsid w:val="00420470"/>
    <w:rsid w:val="0042049F"/>
    <w:rsid w:val="0042079C"/>
    <w:rsid w:val="00420D97"/>
    <w:rsid w:val="00420F2A"/>
    <w:rsid w:val="004211C1"/>
    <w:rsid w:val="00421857"/>
    <w:rsid w:val="00421958"/>
    <w:rsid w:val="00421BEE"/>
    <w:rsid w:val="00421E50"/>
    <w:rsid w:val="00421E86"/>
    <w:rsid w:val="00421EEC"/>
    <w:rsid w:val="00422574"/>
    <w:rsid w:val="00422B1E"/>
    <w:rsid w:val="00422D36"/>
    <w:rsid w:val="0042311A"/>
    <w:rsid w:val="00423217"/>
    <w:rsid w:val="004233D3"/>
    <w:rsid w:val="004234AE"/>
    <w:rsid w:val="0042479C"/>
    <w:rsid w:val="004247FE"/>
    <w:rsid w:val="00424A68"/>
    <w:rsid w:val="0042527F"/>
    <w:rsid w:val="004252E8"/>
    <w:rsid w:val="0042556F"/>
    <w:rsid w:val="00425951"/>
    <w:rsid w:val="00425BC1"/>
    <w:rsid w:val="00425BC6"/>
    <w:rsid w:val="00425D52"/>
    <w:rsid w:val="00425F0B"/>
    <w:rsid w:val="00425F98"/>
    <w:rsid w:val="00426077"/>
    <w:rsid w:val="004262EE"/>
    <w:rsid w:val="00426519"/>
    <w:rsid w:val="00426849"/>
    <w:rsid w:val="004268F2"/>
    <w:rsid w:val="00426E61"/>
    <w:rsid w:val="00426FAE"/>
    <w:rsid w:val="0042794D"/>
    <w:rsid w:val="00427B12"/>
    <w:rsid w:val="00430090"/>
    <w:rsid w:val="004301DF"/>
    <w:rsid w:val="00430246"/>
    <w:rsid w:val="00430268"/>
    <w:rsid w:val="004302DA"/>
    <w:rsid w:val="004303C1"/>
    <w:rsid w:val="004304C1"/>
    <w:rsid w:val="00430A3C"/>
    <w:rsid w:val="00430B43"/>
    <w:rsid w:val="00430B4E"/>
    <w:rsid w:val="00430BEF"/>
    <w:rsid w:val="00430F10"/>
    <w:rsid w:val="00430F39"/>
    <w:rsid w:val="00430FEE"/>
    <w:rsid w:val="00431102"/>
    <w:rsid w:val="00432328"/>
    <w:rsid w:val="0043240F"/>
    <w:rsid w:val="004325EE"/>
    <w:rsid w:val="00432CCD"/>
    <w:rsid w:val="00432D6B"/>
    <w:rsid w:val="00433047"/>
    <w:rsid w:val="00433124"/>
    <w:rsid w:val="00433144"/>
    <w:rsid w:val="00433373"/>
    <w:rsid w:val="004333AE"/>
    <w:rsid w:val="00433735"/>
    <w:rsid w:val="004338BD"/>
    <w:rsid w:val="00433DCC"/>
    <w:rsid w:val="004342DF"/>
    <w:rsid w:val="00434376"/>
    <w:rsid w:val="00434699"/>
    <w:rsid w:val="00434AA7"/>
    <w:rsid w:val="00434E66"/>
    <w:rsid w:val="004351DB"/>
    <w:rsid w:val="00435296"/>
    <w:rsid w:val="004356F7"/>
    <w:rsid w:val="00435CFD"/>
    <w:rsid w:val="00435D9B"/>
    <w:rsid w:val="0043684C"/>
    <w:rsid w:val="0043692E"/>
    <w:rsid w:val="004377BF"/>
    <w:rsid w:val="0043796D"/>
    <w:rsid w:val="00437992"/>
    <w:rsid w:val="004401B9"/>
    <w:rsid w:val="00440467"/>
    <w:rsid w:val="0044081A"/>
    <w:rsid w:val="00440B46"/>
    <w:rsid w:val="00440CFA"/>
    <w:rsid w:val="004412F7"/>
    <w:rsid w:val="004415CA"/>
    <w:rsid w:val="004420DC"/>
    <w:rsid w:val="00442220"/>
    <w:rsid w:val="004423D0"/>
    <w:rsid w:val="00442577"/>
    <w:rsid w:val="004428B9"/>
    <w:rsid w:val="004429F0"/>
    <w:rsid w:val="0044325E"/>
    <w:rsid w:val="00443271"/>
    <w:rsid w:val="00443368"/>
    <w:rsid w:val="004433C8"/>
    <w:rsid w:val="00443647"/>
    <w:rsid w:val="004439D2"/>
    <w:rsid w:val="00443CB1"/>
    <w:rsid w:val="00443E41"/>
    <w:rsid w:val="00443FF1"/>
    <w:rsid w:val="004440EB"/>
    <w:rsid w:val="00444695"/>
    <w:rsid w:val="004446CE"/>
    <w:rsid w:val="00444A16"/>
    <w:rsid w:val="00444B19"/>
    <w:rsid w:val="00444DE2"/>
    <w:rsid w:val="00445052"/>
    <w:rsid w:val="00445075"/>
    <w:rsid w:val="0044511A"/>
    <w:rsid w:val="00445293"/>
    <w:rsid w:val="00445379"/>
    <w:rsid w:val="00445BE8"/>
    <w:rsid w:val="00445C1F"/>
    <w:rsid w:val="00445EF1"/>
    <w:rsid w:val="004463AC"/>
    <w:rsid w:val="00446553"/>
    <w:rsid w:val="004467AD"/>
    <w:rsid w:val="00446C3E"/>
    <w:rsid w:val="004470E9"/>
    <w:rsid w:val="004474AD"/>
    <w:rsid w:val="00447615"/>
    <w:rsid w:val="00447733"/>
    <w:rsid w:val="00447D3E"/>
    <w:rsid w:val="00447D9D"/>
    <w:rsid w:val="00447DF1"/>
    <w:rsid w:val="00447ED4"/>
    <w:rsid w:val="00447F11"/>
    <w:rsid w:val="004504CA"/>
    <w:rsid w:val="00450622"/>
    <w:rsid w:val="00450925"/>
    <w:rsid w:val="004509F6"/>
    <w:rsid w:val="00450EF9"/>
    <w:rsid w:val="00450FB5"/>
    <w:rsid w:val="004515A9"/>
    <w:rsid w:val="004519F0"/>
    <w:rsid w:val="00451B57"/>
    <w:rsid w:val="00451EE8"/>
    <w:rsid w:val="00451F0D"/>
    <w:rsid w:val="004524B7"/>
    <w:rsid w:val="00452749"/>
    <w:rsid w:val="00452AA7"/>
    <w:rsid w:val="00453A4E"/>
    <w:rsid w:val="00453B50"/>
    <w:rsid w:val="00453C9B"/>
    <w:rsid w:val="00453F80"/>
    <w:rsid w:val="004540BF"/>
    <w:rsid w:val="00454165"/>
    <w:rsid w:val="004544F4"/>
    <w:rsid w:val="0045450C"/>
    <w:rsid w:val="004546EE"/>
    <w:rsid w:val="0045479F"/>
    <w:rsid w:val="00454AE9"/>
    <w:rsid w:val="00454B35"/>
    <w:rsid w:val="00454C36"/>
    <w:rsid w:val="00454D64"/>
    <w:rsid w:val="004552DD"/>
    <w:rsid w:val="00455377"/>
    <w:rsid w:val="00455391"/>
    <w:rsid w:val="00455A68"/>
    <w:rsid w:val="00455BC6"/>
    <w:rsid w:val="00455E7B"/>
    <w:rsid w:val="00456174"/>
    <w:rsid w:val="00456244"/>
    <w:rsid w:val="00456699"/>
    <w:rsid w:val="004567EA"/>
    <w:rsid w:val="0045692A"/>
    <w:rsid w:val="00456A25"/>
    <w:rsid w:val="00456B01"/>
    <w:rsid w:val="00456D68"/>
    <w:rsid w:val="00456D73"/>
    <w:rsid w:val="00456E4B"/>
    <w:rsid w:val="00456EEA"/>
    <w:rsid w:val="00457276"/>
    <w:rsid w:val="00457514"/>
    <w:rsid w:val="0045751D"/>
    <w:rsid w:val="00457DC6"/>
    <w:rsid w:val="00460109"/>
    <w:rsid w:val="0046024D"/>
    <w:rsid w:val="004603C5"/>
    <w:rsid w:val="004603D1"/>
    <w:rsid w:val="004604E2"/>
    <w:rsid w:val="004607AE"/>
    <w:rsid w:val="00461268"/>
    <w:rsid w:val="004619D4"/>
    <w:rsid w:val="00461AFB"/>
    <w:rsid w:val="00462269"/>
    <w:rsid w:val="00462336"/>
    <w:rsid w:val="00462375"/>
    <w:rsid w:val="00462FD5"/>
    <w:rsid w:val="0046363B"/>
    <w:rsid w:val="00463938"/>
    <w:rsid w:val="004646D6"/>
    <w:rsid w:val="00464963"/>
    <w:rsid w:val="00464B4E"/>
    <w:rsid w:val="00464FDC"/>
    <w:rsid w:val="00464FE9"/>
    <w:rsid w:val="00465072"/>
    <w:rsid w:val="004653DE"/>
    <w:rsid w:val="004657C1"/>
    <w:rsid w:val="004657CC"/>
    <w:rsid w:val="0046593C"/>
    <w:rsid w:val="0046597F"/>
    <w:rsid w:val="00466515"/>
    <w:rsid w:val="00466524"/>
    <w:rsid w:val="00466590"/>
    <w:rsid w:val="00466612"/>
    <w:rsid w:val="00466698"/>
    <w:rsid w:val="00466DAA"/>
    <w:rsid w:val="0046759F"/>
    <w:rsid w:val="004676BB"/>
    <w:rsid w:val="004677E2"/>
    <w:rsid w:val="0046785C"/>
    <w:rsid w:val="00467899"/>
    <w:rsid w:val="004679E5"/>
    <w:rsid w:val="004700E8"/>
    <w:rsid w:val="004702BC"/>
    <w:rsid w:val="00470365"/>
    <w:rsid w:val="004704CF"/>
    <w:rsid w:val="00470B9C"/>
    <w:rsid w:val="00470C0A"/>
    <w:rsid w:val="00470ED6"/>
    <w:rsid w:val="004710C2"/>
    <w:rsid w:val="00471353"/>
    <w:rsid w:val="00471615"/>
    <w:rsid w:val="00471815"/>
    <w:rsid w:val="004719BB"/>
    <w:rsid w:val="00471AC3"/>
    <w:rsid w:val="00471C63"/>
    <w:rsid w:val="00471C83"/>
    <w:rsid w:val="00471CFC"/>
    <w:rsid w:val="00471E62"/>
    <w:rsid w:val="00472079"/>
    <w:rsid w:val="0047240C"/>
    <w:rsid w:val="00472456"/>
    <w:rsid w:val="004729F8"/>
    <w:rsid w:val="00472CEB"/>
    <w:rsid w:val="004732F3"/>
    <w:rsid w:val="004734E7"/>
    <w:rsid w:val="00473BB7"/>
    <w:rsid w:val="004745F8"/>
    <w:rsid w:val="004746CB"/>
    <w:rsid w:val="00474E45"/>
    <w:rsid w:val="004750BC"/>
    <w:rsid w:val="00475389"/>
    <w:rsid w:val="004759F6"/>
    <w:rsid w:val="004761C3"/>
    <w:rsid w:val="0047685B"/>
    <w:rsid w:val="0047712E"/>
    <w:rsid w:val="0047764B"/>
    <w:rsid w:val="0047774C"/>
    <w:rsid w:val="00477DC0"/>
    <w:rsid w:val="00477DF4"/>
    <w:rsid w:val="00477F40"/>
    <w:rsid w:val="004800C2"/>
    <w:rsid w:val="00480465"/>
    <w:rsid w:val="004805C7"/>
    <w:rsid w:val="00480D17"/>
    <w:rsid w:val="0048172F"/>
    <w:rsid w:val="0048174E"/>
    <w:rsid w:val="00481AF9"/>
    <w:rsid w:val="0048298C"/>
    <w:rsid w:val="00482EB5"/>
    <w:rsid w:val="00482FA8"/>
    <w:rsid w:val="00483014"/>
    <w:rsid w:val="0048302A"/>
    <w:rsid w:val="004830A2"/>
    <w:rsid w:val="004833B3"/>
    <w:rsid w:val="004838BC"/>
    <w:rsid w:val="00483A59"/>
    <w:rsid w:val="00483F69"/>
    <w:rsid w:val="004842CE"/>
    <w:rsid w:val="00484606"/>
    <w:rsid w:val="00484C0E"/>
    <w:rsid w:val="004852DF"/>
    <w:rsid w:val="0048552E"/>
    <w:rsid w:val="0048587D"/>
    <w:rsid w:val="00485945"/>
    <w:rsid w:val="00485A93"/>
    <w:rsid w:val="00486359"/>
    <w:rsid w:val="0048644A"/>
    <w:rsid w:val="0048647A"/>
    <w:rsid w:val="004864B8"/>
    <w:rsid w:val="004864D6"/>
    <w:rsid w:val="00486668"/>
    <w:rsid w:val="00486D04"/>
    <w:rsid w:val="004870C5"/>
    <w:rsid w:val="004873E7"/>
    <w:rsid w:val="00487417"/>
    <w:rsid w:val="00487701"/>
    <w:rsid w:val="00487CC9"/>
    <w:rsid w:val="004905BA"/>
    <w:rsid w:val="00490B25"/>
    <w:rsid w:val="00490D76"/>
    <w:rsid w:val="00490F1F"/>
    <w:rsid w:val="00491424"/>
    <w:rsid w:val="004915C9"/>
    <w:rsid w:val="00491813"/>
    <w:rsid w:val="004920A9"/>
    <w:rsid w:val="00492216"/>
    <w:rsid w:val="004923E0"/>
    <w:rsid w:val="00492666"/>
    <w:rsid w:val="0049279F"/>
    <w:rsid w:val="00492D4D"/>
    <w:rsid w:val="0049319A"/>
    <w:rsid w:val="004935A7"/>
    <w:rsid w:val="00493756"/>
    <w:rsid w:val="00493926"/>
    <w:rsid w:val="00494250"/>
    <w:rsid w:val="0049523F"/>
    <w:rsid w:val="00495892"/>
    <w:rsid w:val="00495D19"/>
    <w:rsid w:val="00496139"/>
    <w:rsid w:val="00496250"/>
    <w:rsid w:val="004962E1"/>
    <w:rsid w:val="004964DB"/>
    <w:rsid w:val="00497A6A"/>
    <w:rsid w:val="00497A91"/>
    <w:rsid w:val="00497BA2"/>
    <w:rsid w:val="00497C27"/>
    <w:rsid w:val="00497E3D"/>
    <w:rsid w:val="00497EE5"/>
    <w:rsid w:val="004A0113"/>
    <w:rsid w:val="004A01CE"/>
    <w:rsid w:val="004A0204"/>
    <w:rsid w:val="004A0456"/>
    <w:rsid w:val="004A0494"/>
    <w:rsid w:val="004A0A13"/>
    <w:rsid w:val="004A0C43"/>
    <w:rsid w:val="004A175F"/>
    <w:rsid w:val="004A2914"/>
    <w:rsid w:val="004A2FCC"/>
    <w:rsid w:val="004A30DF"/>
    <w:rsid w:val="004A32F2"/>
    <w:rsid w:val="004A38B7"/>
    <w:rsid w:val="004A446E"/>
    <w:rsid w:val="004A4931"/>
    <w:rsid w:val="004A4987"/>
    <w:rsid w:val="004A4AA5"/>
    <w:rsid w:val="004A4B29"/>
    <w:rsid w:val="004A4B6F"/>
    <w:rsid w:val="004A4BBD"/>
    <w:rsid w:val="004A520D"/>
    <w:rsid w:val="004A5808"/>
    <w:rsid w:val="004A5895"/>
    <w:rsid w:val="004A5907"/>
    <w:rsid w:val="004A5A63"/>
    <w:rsid w:val="004A5E01"/>
    <w:rsid w:val="004A5EB5"/>
    <w:rsid w:val="004A6309"/>
    <w:rsid w:val="004A66FE"/>
    <w:rsid w:val="004A68AB"/>
    <w:rsid w:val="004A6DD8"/>
    <w:rsid w:val="004A71F5"/>
    <w:rsid w:val="004A7465"/>
    <w:rsid w:val="004A75FA"/>
    <w:rsid w:val="004A7789"/>
    <w:rsid w:val="004A7DC3"/>
    <w:rsid w:val="004A7F96"/>
    <w:rsid w:val="004B06A9"/>
    <w:rsid w:val="004B07A2"/>
    <w:rsid w:val="004B098B"/>
    <w:rsid w:val="004B0A44"/>
    <w:rsid w:val="004B0EC9"/>
    <w:rsid w:val="004B18EF"/>
    <w:rsid w:val="004B1F0F"/>
    <w:rsid w:val="004B249A"/>
    <w:rsid w:val="004B24DA"/>
    <w:rsid w:val="004B27C7"/>
    <w:rsid w:val="004B2A5E"/>
    <w:rsid w:val="004B2B7F"/>
    <w:rsid w:val="004B2FB4"/>
    <w:rsid w:val="004B37F8"/>
    <w:rsid w:val="004B4C56"/>
    <w:rsid w:val="004B5148"/>
    <w:rsid w:val="004B5757"/>
    <w:rsid w:val="004B5A05"/>
    <w:rsid w:val="004B6610"/>
    <w:rsid w:val="004B666D"/>
    <w:rsid w:val="004B7390"/>
    <w:rsid w:val="004B74DF"/>
    <w:rsid w:val="004B770F"/>
    <w:rsid w:val="004B778D"/>
    <w:rsid w:val="004B78FA"/>
    <w:rsid w:val="004B7E68"/>
    <w:rsid w:val="004B7F49"/>
    <w:rsid w:val="004B7FE0"/>
    <w:rsid w:val="004C052C"/>
    <w:rsid w:val="004C0655"/>
    <w:rsid w:val="004C09DA"/>
    <w:rsid w:val="004C09E5"/>
    <w:rsid w:val="004C0BEE"/>
    <w:rsid w:val="004C0F45"/>
    <w:rsid w:val="004C1087"/>
    <w:rsid w:val="004C1360"/>
    <w:rsid w:val="004C141C"/>
    <w:rsid w:val="004C143A"/>
    <w:rsid w:val="004C179F"/>
    <w:rsid w:val="004C1897"/>
    <w:rsid w:val="004C1C7A"/>
    <w:rsid w:val="004C1CD6"/>
    <w:rsid w:val="004C2475"/>
    <w:rsid w:val="004C329D"/>
    <w:rsid w:val="004C3708"/>
    <w:rsid w:val="004C3941"/>
    <w:rsid w:val="004C4638"/>
    <w:rsid w:val="004C472F"/>
    <w:rsid w:val="004C4B64"/>
    <w:rsid w:val="004C511B"/>
    <w:rsid w:val="004C53C9"/>
    <w:rsid w:val="004C5B2B"/>
    <w:rsid w:val="004C5D7B"/>
    <w:rsid w:val="004C71E9"/>
    <w:rsid w:val="004C75CB"/>
    <w:rsid w:val="004C766E"/>
    <w:rsid w:val="004C7911"/>
    <w:rsid w:val="004C7F03"/>
    <w:rsid w:val="004C7F87"/>
    <w:rsid w:val="004D03BD"/>
    <w:rsid w:val="004D0CE6"/>
    <w:rsid w:val="004D1095"/>
    <w:rsid w:val="004D14CD"/>
    <w:rsid w:val="004D1CB4"/>
    <w:rsid w:val="004D1F16"/>
    <w:rsid w:val="004D22FE"/>
    <w:rsid w:val="004D2615"/>
    <w:rsid w:val="004D2938"/>
    <w:rsid w:val="004D2ABE"/>
    <w:rsid w:val="004D39E2"/>
    <w:rsid w:val="004D44EE"/>
    <w:rsid w:val="004D4519"/>
    <w:rsid w:val="004D49B1"/>
    <w:rsid w:val="004D4EC5"/>
    <w:rsid w:val="004D51B0"/>
    <w:rsid w:val="004D59F6"/>
    <w:rsid w:val="004D5AD0"/>
    <w:rsid w:val="004D5B40"/>
    <w:rsid w:val="004D5E0A"/>
    <w:rsid w:val="004D6398"/>
    <w:rsid w:val="004D6FF1"/>
    <w:rsid w:val="004D704E"/>
    <w:rsid w:val="004D7B51"/>
    <w:rsid w:val="004D7FC6"/>
    <w:rsid w:val="004E00E5"/>
    <w:rsid w:val="004E04AA"/>
    <w:rsid w:val="004E0616"/>
    <w:rsid w:val="004E0934"/>
    <w:rsid w:val="004E0AE3"/>
    <w:rsid w:val="004E0B38"/>
    <w:rsid w:val="004E0BAA"/>
    <w:rsid w:val="004E0DEE"/>
    <w:rsid w:val="004E14F6"/>
    <w:rsid w:val="004E1965"/>
    <w:rsid w:val="004E1A99"/>
    <w:rsid w:val="004E1BCD"/>
    <w:rsid w:val="004E1E28"/>
    <w:rsid w:val="004E1EA4"/>
    <w:rsid w:val="004E20AF"/>
    <w:rsid w:val="004E20C3"/>
    <w:rsid w:val="004E2539"/>
    <w:rsid w:val="004E2615"/>
    <w:rsid w:val="004E3389"/>
    <w:rsid w:val="004E36AC"/>
    <w:rsid w:val="004E3CB6"/>
    <w:rsid w:val="004E3E59"/>
    <w:rsid w:val="004E3E8C"/>
    <w:rsid w:val="004E4022"/>
    <w:rsid w:val="004E4105"/>
    <w:rsid w:val="004E45B4"/>
    <w:rsid w:val="004E46A4"/>
    <w:rsid w:val="004E4BD5"/>
    <w:rsid w:val="004E525C"/>
    <w:rsid w:val="004E5BF9"/>
    <w:rsid w:val="004E5D14"/>
    <w:rsid w:val="004E623D"/>
    <w:rsid w:val="004E6A99"/>
    <w:rsid w:val="004E7256"/>
    <w:rsid w:val="004E7F29"/>
    <w:rsid w:val="004F029E"/>
    <w:rsid w:val="004F0477"/>
    <w:rsid w:val="004F0DBD"/>
    <w:rsid w:val="004F0DC3"/>
    <w:rsid w:val="004F1108"/>
    <w:rsid w:val="004F1268"/>
    <w:rsid w:val="004F127F"/>
    <w:rsid w:val="004F1646"/>
    <w:rsid w:val="004F1740"/>
    <w:rsid w:val="004F1CDC"/>
    <w:rsid w:val="004F1F76"/>
    <w:rsid w:val="004F2074"/>
    <w:rsid w:val="004F2428"/>
    <w:rsid w:val="004F24AA"/>
    <w:rsid w:val="004F2643"/>
    <w:rsid w:val="004F2B70"/>
    <w:rsid w:val="004F2EC1"/>
    <w:rsid w:val="004F3C65"/>
    <w:rsid w:val="004F41AE"/>
    <w:rsid w:val="004F464C"/>
    <w:rsid w:val="004F4AA3"/>
    <w:rsid w:val="004F4D3A"/>
    <w:rsid w:val="004F4DCD"/>
    <w:rsid w:val="004F4EA5"/>
    <w:rsid w:val="004F4FDE"/>
    <w:rsid w:val="004F4FFF"/>
    <w:rsid w:val="004F5105"/>
    <w:rsid w:val="004F55BB"/>
    <w:rsid w:val="004F592E"/>
    <w:rsid w:val="004F5EF9"/>
    <w:rsid w:val="004F6688"/>
    <w:rsid w:val="004F6851"/>
    <w:rsid w:val="004F6DD2"/>
    <w:rsid w:val="004F70CF"/>
    <w:rsid w:val="004F711A"/>
    <w:rsid w:val="004F768B"/>
    <w:rsid w:val="004F79A8"/>
    <w:rsid w:val="004F7B8E"/>
    <w:rsid w:val="00500101"/>
    <w:rsid w:val="00500928"/>
    <w:rsid w:val="00500E24"/>
    <w:rsid w:val="005010EE"/>
    <w:rsid w:val="00501224"/>
    <w:rsid w:val="00501F00"/>
    <w:rsid w:val="00502337"/>
    <w:rsid w:val="00502A30"/>
    <w:rsid w:val="00502B46"/>
    <w:rsid w:val="00502B82"/>
    <w:rsid w:val="00502F5B"/>
    <w:rsid w:val="0050315F"/>
    <w:rsid w:val="00503211"/>
    <w:rsid w:val="005035BA"/>
    <w:rsid w:val="005036EA"/>
    <w:rsid w:val="00503904"/>
    <w:rsid w:val="00503944"/>
    <w:rsid w:val="005039CF"/>
    <w:rsid w:val="00503F24"/>
    <w:rsid w:val="00503F68"/>
    <w:rsid w:val="00503FFD"/>
    <w:rsid w:val="005049B3"/>
    <w:rsid w:val="00504D33"/>
    <w:rsid w:val="0050543B"/>
    <w:rsid w:val="005056B3"/>
    <w:rsid w:val="005059D0"/>
    <w:rsid w:val="0050616D"/>
    <w:rsid w:val="005061DC"/>
    <w:rsid w:val="0050644D"/>
    <w:rsid w:val="005065E0"/>
    <w:rsid w:val="00506CA9"/>
    <w:rsid w:val="00507894"/>
    <w:rsid w:val="00507DDA"/>
    <w:rsid w:val="005108F1"/>
    <w:rsid w:val="00510A18"/>
    <w:rsid w:val="00510AA4"/>
    <w:rsid w:val="00510CA7"/>
    <w:rsid w:val="005111F2"/>
    <w:rsid w:val="005116C5"/>
    <w:rsid w:val="00511A4E"/>
    <w:rsid w:val="00511E55"/>
    <w:rsid w:val="00511F40"/>
    <w:rsid w:val="0051203A"/>
    <w:rsid w:val="005120C3"/>
    <w:rsid w:val="00512265"/>
    <w:rsid w:val="00512382"/>
    <w:rsid w:val="00512576"/>
    <w:rsid w:val="005125AC"/>
    <w:rsid w:val="00512A56"/>
    <w:rsid w:val="00512F8B"/>
    <w:rsid w:val="005130DD"/>
    <w:rsid w:val="00513108"/>
    <w:rsid w:val="00513201"/>
    <w:rsid w:val="0051338C"/>
    <w:rsid w:val="00513496"/>
    <w:rsid w:val="0051372B"/>
    <w:rsid w:val="00513906"/>
    <w:rsid w:val="00513A68"/>
    <w:rsid w:val="00513D47"/>
    <w:rsid w:val="0051410F"/>
    <w:rsid w:val="005143D6"/>
    <w:rsid w:val="00514A81"/>
    <w:rsid w:val="00514C25"/>
    <w:rsid w:val="005157B6"/>
    <w:rsid w:val="0051597A"/>
    <w:rsid w:val="005159B4"/>
    <w:rsid w:val="0051678F"/>
    <w:rsid w:val="00517456"/>
    <w:rsid w:val="005174BA"/>
    <w:rsid w:val="00517A67"/>
    <w:rsid w:val="005203C3"/>
    <w:rsid w:val="00520601"/>
    <w:rsid w:val="00520966"/>
    <w:rsid w:val="00520BF5"/>
    <w:rsid w:val="00520D1C"/>
    <w:rsid w:val="005213C8"/>
    <w:rsid w:val="0052190F"/>
    <w:rsid w:val="00521C5E"/>
    <w:rsid w:val="00521EFB"/>
    <w:rsid w:val="0052239D"/>
    <w:rsid w:val="005226E2"/>
    <w:rsid w:val="00522C8B"/>
    <w:rsid w:val="00522D0C"/>
    <w:rsid w:val="00522DE5"/>
    <w:rsid w:val="00523027"/>
    <w:rsid w:val="005234C1"/>
    <w:rsid w:val="005235F7"/>
    <w:rsid w:val="0052387E"/>
    <w:rsid w:val="00524385"/>
    <w:rsid w:val="00524ACA"/>
    <w:rsid w:val="00524DDF"/>
    <w:rsid w:val="0052510D"/>
    <w:rsid w:val="00525673"/>
    <w:rsid w:val="00525856"/>
    <w:rsid w:val="00525D43"/>
    <w:rsid w:val="00525DA6"/>
    <w:rsid w:val="00525EA8"/>
    <w:rsid w:val="005265E3"/>
    <w:rsid w:val="00526656"/>
    <w:rsid w:val="0052685D"/>
    <w:rsid w:val="0052712D"/>
    <w:rsid w:val="0052729E"/>
    <w:rsid w:val="00527454"/>
    <w:rsid w:val="00527473"/>
    <w:rsid w:val="0052751C"/>
    <w:rsid w:val="005275AD"/>
    <w:rsid w:val="00527A45"/>
    <w:rsid w:val="00527B92"/>
    <w:rsid w:val="00527C24"/>
    <w:rsid w:val="00530135"/>
    <w:rsid w:val="0053038A"/>
    <w:rsid w:val="005305CE"/>
    <w:rsid w:val="00530822"/>
    <w:rsid w:val="00530B60"/>
    <w:rsid w:val="00530C05"/>
    <w:rsid w:val="005310C1"/>
    <w:rsid w:val="00531A09"/>
    <w:rsid w:val="00531EE1"/>
    <w:rsid w:val="0053242E"/>
    <w:rsid w:val="005327D8"/>
    <w:rsid w:val="00532B93"/>
    <w:rsid w:val="0053346C"/>
    <w:rsid w:val="0053365A"/>
    <w:rsid w:val="00533716"/>
    <w:rsid w:val="00533D3D"/>
    <w:rsid w:val="005341B0"/>
    <w:rsid w:val="005349C7"/>
    <w:rsid w:val="00534A82"/>
    <w:rsid w:val="00534B31"/>
    <w:rsid w:val="00534B6C"/>
    <w:rsid w:val="00534FBF"/>
    <w:rsid w:val="00535051"/>
    <w:rsid w:val="00535A12"/>
    <w:rsid w:val="00535BAA"/>
    <w:rsid w:val="00535CC6"/>
    <w:rsid w:val="00535E52"/>
    <w:rsid w:val="005360EB"/>
    <w:rsid w:val="00536781"/>
    <w:rsid w:val="005367A3"/>
    <w:rsid w:val="005368A2"/>
    <w:rsid w:val="00536AD9"/>
    <w:rsid w:val="00536D9B"/>
    <w:rsid w:val="00536DE7"/>
    <w:rsid w:val="005373A2"/>
    <w:rsid w:val="00537770"/>
    <w:rsid w:val="0053777A"/>
    <w:rsid w:val="005377FD"/>
    <w:rsid w:val="00537879"/>
    <w:rsid w:val="00537C70"/>
    <w:rsid w:val="00540325"/>
    <w:rsid w:val="0054066C"/>
    <w:rsid w:val="005409A5"/>
    <w:rsid w:val="00540D0B"/>
    <w:rsid w:val="005410AF"/>
    <w:rsid w:val="005410E5"/>
    <w:rsid w:val="00541833"/>
    <w:rsid w:val="005423B7"/>
    <w:rsid w:val="005424C9"/>
    <w:rsid w:val="005424F1"/>
    <w:rsid w:val="005424F8"/>
    <w:rsid w:val="0054269E"/>
    <w:rsid w:val="00542841"/>
    <w:rsid w:val="00542C1D"/>
    <w:rsid w:val="00542C44"/>
    <w:rsid w:val="00543207"/>
    <w:rsid w:val="005433E7"/>
    <w:rsid w:val="0054354A"/>
    <w:rsid w:val="00543A5A"/>
    <w:rsid w:val="00543C71"/>
    <w:rsid w:val="00543DA5"/>
    <w:rsid w:val="00543E23"/>
    <w:rsid w:val="005446D5"/>
    <w:rsid w:val="00544DD6"/>
    <w:rsid w:val="005455FF"/>
    <w:rsid w:val="00545612"/>
    <w:rsid w:val="00545868"/>
    <w:rsid w:val="00545BED"/>
    <w:rsid w:val="0054612D"/>
    <w:rsid w:val="00546938"/>
    <w:rsid w:val="005469C7"/>
    <w:rsid w:val="00546D38"/>
    <w:rsid w:val="0054704D"/>
    <w:rsid w:val="005470DD"/>
    <w:rsid w:val="0054743C"/>
    <w:rsid w:val="0054745F"/>
    <w:rsid w:val="00547B85"/>
    <w:rsid w:val="00547B98"/>
    <w:rsid w:val="00547BC5"/>
    <w:rsid w:val="00547F2D"/>
    <w:rsid w:val="00550056"/>
    <w:rsid w:val="00550083"/>
    <w:rsid w:val="00550181"/>
    <w:rsid w:val="00550E81"/>
    <w:rsid w:val="005510A1"/>
    <w:rsid w:val="00551A9A"/>
    <w:rsid w:val="00551B5B"/>
    <w:rsid w:val="005526BA"/>
    <w:rsid w:val="00552767"/>
    <w:rsid w:val="0055298A"/>
    <w:rsid w:val="005530EC"/>
    <w:rsid w:val="005534AC"/>
    <w:rsid w:val="005536B6"/>
    <w:rsid w:val="00553982"/>
    <w:rsid w:val="00553A37"/>
    <w:rsid w:val="00553ED7"/>
    <w:rsid w:val="00554397"/>
    <w:rsid w:val="005544E4"/>
    <w:rsid w:val="005546F6"/>
    <w:rsid w:val="00554967"/>
    <w:rsid w:val="00554A96"/>
    <w:rsid w:val="00554B2F"/>
    <w:rsid w:val="00554B7B"/>
    <w:rsid w:val="00555096"/>
    <w:rsid w:val="0055578C"/>
    <w:rsid w:val="0055587A"/>
    <w:rsid w:val="00555A7D"/>
    <w:rsid w:val="00555FBA"/>
    <w:rsid w:val="0055629E"/>
    <w:rsid w:val="00557042"/>
    <w:rsid w:val="005574F0"/>
    <w:rsid w:val="00557B66"/>
    <w:rsid w:val="00557D8C"/>
    <w:rsid w:val="005600A9"/>
    <w:rsid w:val="005601FA"/>
    <w:rsid w:val="0056035C"/>
    <w:rsid w:val="005603C8"/>
    <w:rsid w:val="0056048B"/>
    <w:rsid w:val="00560499"/>
    <w:rsid w:val="00560783"/>
    <w:rsid w:val="0056086A"/>
    <w:rsid w:val="00560912"/>
    <w:rsid w:val="0056091F"/>
    <w:rsid w:val="00560CF5"/>
    <w:rsid w:val="00561258"/>
    <w:rsid w:val="00561A35"/>
    <w:rsid w:val="00561BD7"/>
    <w:rsid w:val="00561DF7"/>
    <w:rsid w:val="00561E82"/>
    <w:rsid w:val="00561FE7"/>
    <w:rsid w:val="005620CE"/>
    <w:rsid w:val="00562A87"/>
    <w:rsid w:val="00563117"/>
    <w:rsid w:val="00564181"/>
    <w:rsid w:val="005643CA"/>
    <w:rsid w:val="0056489B"/>
    <w:rsid w:val="00564A1E"/>
    <w:rsid w:val="00564C09"/>
    <w:rsid w:val="0056526D"/>
    <w:rsid w:val="005655F3"/>
    <w:rsid w:val="005656E2"/>
    <w:rsid w:val="00565C7F"/>
    <w:rsid w:val="00565CEE"/>
    <w:rsid w:val="005660A0"/>
    <w:rsid w:val="00566527"/>
    <w:rsid w:val="0056668E"/>
    <w:rsid w:val="00566DD4"/>
    <w:rsid w:val="0056701F"/>
    <w:rsid w:val="0056760B"/>
    <w:rsid w:val="00567A47"/>
    <w:rsid w:val="00567E00"/>
    <w:rsid w:val="00567EB8"/>
    <w:rsid w:val="0057037D"/>
    <w:rsid w:val="005703E8"/>
    <w:rsid w:val="00570C79"/>
    <w:rsid w:val="00571108"/>
    <w:rsid w:val="005713E5"/>
    <w:rsid w:val="005717AA"/>
    <w:rsid w:val="00572299"/>
    <w:rsid w:val="0057265D"/>
    <w:rsid w:val="00572C74"/>
    <w:rsid w:val="0057379F"/>
    <w:rsid w:val="00573A8E"/>
    <w:rsid w:val="00574016"/>
    <w:rsid w:val="00574612"/>
    <w:rsid w:val="00574E07"/>
    <w:rsid w:val="005750B6"/>
    <w:rsid w:val="00575D9A"/>
    <w:rsid w:val="00575F75"/>
    <w:rsid w:val="00576548"/>
    <w:rsid w:val="00576C68"/>
    <w:rsid w:val="00576FBD"/>
    <w:rsid w:val="00577025"/>
    <w:rsid w:val="005771D3"/>
    <w:rsid w:val="005775B4"/>
    <w:rsid w:val="00577F77"/>
    <w:rsid w:val="00580368"/>
    <w:rsid w:val="005804A2"/>
    <w:rsid w:val="00580554"/>
    <w:rsid w:val="005807FA"/>
    <w:rsid w:val="0058098C"/>
    <w:rsid w:val="005809E1"/>
    <w:rsid w:val="0058128E"/>
    <w:rsid w:val="0058195C"/>
    <w:rsid w:val="00581B93"/>
    <w:rsid w:val="00581BD9"/>
    <w:rsid w:val="00581EF2"/>
    <w:rsid w:val="00581FEC"/>
    <w:rsid w:val="005822CE"/>
    <w:rsid w:val="005826B3"/>
    <w:rsid w:val="005826BD"/>
    <w:rsid w:val="00582938"/>
    <w:rsid w:val="00582CE6"/>
    <w:rsid w:val="00582D1F"/>
    <w:rsid w:val="00583AB7"/>
    <w:rsid w:val="00583B2E"/>
    <w:rsid w:val="00583C21"/>
    <w:rsid w:val="00583EC1"/>
    <w:rsid w:val="0058419B"/>
    <w:rsid w:val="005847E8"/>
    <w:rsid w:val="00584B89"/>
    <w:rsid w:val="00585205"/>
    <w:rsid w:val="00585498"/>
    <w:rsid w:val="00586579"/>
    <w:rsid w:val="00586904"/>
    <w:rsid w:val="00586BD7"/>
    <w:rsid w:val="00587049"/>
    <w:rsid w:val="00587405"/>
    <w:rsid w:val="00587585"/>
    <w:rsid w:val="0058766A"/>
    <w:rsid w:val="00587A9A"/>
    <w:rsid w:val="00587FCC"/>
    <w:rsid w:val="00590123"/>
    <w:rsid w:val="00590287"/>
    <w:rsid w:val="005903DC"/>
    <w:rsid w:val="005905EF"/>
    <w:rsid w:val="00590D46"/>
    <w:rsid w:val="00590DCB"/>
    <w:rsid w:val="00590F45"/>
    <w:rsid w:val="00590F7B"/>
    <w:rsid w:val="00590F81"/>
    <w:rsid w:val="00591175"/>
    <w:rsid w:val="00591A31"/>
    <w:rsid w:val="0059219F"/>
    <w:rsid w:val="005923A5"/>
    <w:rsid w:val="005927D2"/>
    <w:rsid w:val="00592C6E"/>
    <w:rsid w:val="00592E8F"/>
    <w:rsid w:val="00593033"/>
    <w:rsid w:val="00593102"/>
    <w:rsid w:val="00593A89"/>
    <w:rsid w:val="00593AC8"/>
    <w:rsid w:val="00593B4F"/>
    <w:rsid w:val="00593BE8"/>
    <w:rsid w:val="005946B7"/>
    <w:rsid w:val="00594865"/>
    <w:rsid w:val="00594CF1"/>
    <w:rsid w:val="00594E6F"/>
    <w:rsid w:val="00594E78"/>
    <w:rsid w:val="00594F98"/>
    <w:rsid w:val="005950F5"/>
    <w:rsid w:val="00595653"/>
    <w:rsid w:val="00595D16"/>
    <w:rsid w:val="00595D62"/>
    <w:rsid w:val="00596031"/>
    <w:rsid w:val="005960CC"/>
    <w:rsid w:val="005962E8"/>
    <w:rsid w:val="0059658D"/>
    <w:rsid w:val="0059708A"/>
    <w:rsid w:val="00597738"/>
    <w:rsid w:val="005977C9"/>
    <w:rsid w:val="0059799A"/>
    <w:rsid w:val="00597B93"/>
    <w:rsid w:val="00597BA2"/>
    <w:rsid w:val="00597D40"/>
    <w:rsid w:val="00597D69"/>
    <w:rsid w:val="005A0009"/>
    <w:rsid w:val="005A022B"/>
    <w:rsid w:val="005A023A"/>
    <w:rsid w:val="005A04D4"/>
    <w:rsid w:val="005A0600"/>
    <w:rsid w:val="005A0B62"/>
    <w:rsid w:val="005A0B8E"/>
    <w:rsid w:val="005A0DB4"/>
    <w:rsid w:val="005A0EEB"/>
    <w:rsid w:val="005A138C"/>
    <w:rsid w:val="005A1773"/>
    <w:rsid w:val="005A198A"/>
    <w:rsid w:val="005A1D41"/>
    <w:rsid w:val="005A1DCB"/>
    <w:rsid w:val="005A1F41"/>
    <w:rsid w:val="005A2465"/>
    <w:rsid w:val="005A247F"/>
    <w:rsid w:val="005A25CA"/>
    <w:rsid w:val="005A2ABD"/>
    <w:rsid w:val="005A2B26"/>
    <w:rsid w:val="005A2B49"/>
    <w:rsid w:val="005A2BD4"/>
    <w:rsid w:val="005A2EAB"/>
    <w:rsid w:val="005A33AC"/>
    <w:rsid w:val="005A3BC3"/>
    <w:rsid w:val="005A4048"/>
    <w:rsid w:val="005A449A"/>
    <w:rsid w:val="005A46E4"/>
    <w:rsid w:val="005A4744"/>
    <w:rsid w:val="005A4760"/>
    <w:rsid w:val="005A480A"/>
    <w:rsid w:val="005A4CD4"/>
    <w:rsid w:val="005A4E74"/>
    <w:rsid w:val="005A4F36"/>
    <w:rsid w:val="005A5E39"/>
    <w:rsid w:val="005A6717"/>
    <w:rsid w:val="005A697D"/>
    <w:rsid w:val="005A6C32"/>
    <w:rsid w:val="005A72F5"/>
    <w:rsid w:val="005A73AE"/>
    <w:rsid w:val="005A7541"/>
    <w:rsid w:val="005A7735"/>
    <w:rsid w:val="005A7811"/>
    <w:rsid w:val="005A7F37"/>
    <w:rsid w:val="005B07B1"/>
    <w:rsid w:val="005B0986"/>
    <w:rsid w:val="005B098F"/>
    <w:rsid w:val="005B0C49"/>
    <w:rsid w:val="005B0C81"/>
    <w:rsid w:val="005B10F5"/>
    <w:rsid w:val="005B1291"/>
    <w:rsid w:val="005B1402"/>
    <w:rsid w:val="005B154B"/>
    <w:rsid w:val="005B1826"/>
    <w:rsid w:val="005B1BAC"/>
    <w:rsid w:val="005B2055"/>
    <w:rsid w:val="005B26E1"/>
    <w:rsid w:val="005B2E83"/>
    <w:rsid w:val="005B2EED"/>
    <w:rsid w:val="005B2FF5"/>
    <w:rsid w:val="005B3147"/>
    <w:rsid w:val="005B3255"/>
    <w:rsid w:val="005B342A"/>
    <w:rsid w:val="005B4009"/>
    <w:rsid w:val="005B49E2"/>
    <w:rsid w:val="005B4AEA"/>
    <w:rsid w:val="005B4C1C"/>
    <w:rsid w:val="005B4D00"/>
    <w:rsid w:val="005B515D"/>
    <w:rsid w:val="005B51B9"/>
    <w:rsid w:val="005B66F5"/>
    <w:rsid w:val="005B69CC"/>
    <w:rsid w:val="005B71B9"/>
    <w:rsid w:val="005B7443"/>
    <w:rsid w:val="005B745B"/>
    <w:rsid w:val="005B787A"/>
    <w:rsid w:val="005B7C29"/>
    <w:rsid w:val="005B7C80"/>
    <w:rsid w:val="005B7D55"/>
    <w:rsid w:val="005C0060"/>
    <w:rsid w:val="005C01D6"/>
    <w:rsid w:val="005C01F4"/>
    <w:rsid w:val="005C047A"/>
    <w:rsid w:val="005C0648"/>
    <w:rsid w:val="005C0A1E"/>
    <w:rsid w:val="005C0A46"/>
    <w:rsid w:val="005C0E9A"/>
    <w:rsid w:val="005C1B8A"/>
    <w:rsid w:val="005C2173"/>
    <w:rsid w:val="005C2745"/>
    <w:rsid w:val="005C2CF8"/>
    <w:rsid w:val="005C3191"/>
    <w:rsid w:val="005C336C"/>
    <w:rsid w:val="005C3888"/>
    <w:rsid w:val="005C40FB"/>
    <w:rsid w:val="005C43C7"/>
    <w:rsid w:val="005C4549"/>
    <w:rsid w:val="005C460A"/>
    <w:rsid w:val="005C4618"/>
    <w:rsid w:val="005C470D"/>
    <w:rsid w:val="005C4CBA"/>
    <w:rsid w:val="005C5088"/>
    <w:rsid w:val="005C547A"/>
    <w:rsid w:val="005C5639"/>
    <w:rsid w:val="005C58BA"/>
    <w:rsid w:val="005C59D1"/>
    <w:rsid w:val="005C59D4"/>
    <w:rsid w:val="005C5A06"/>
    <w:rsid w:val="005C5E74"/>
    <w:rsid w:val="005C604D"/>
    <w:rsid w:val="005C6540"/>
    <w:rsid w:val="005C6984"/>
    <w:rsid w:val="005C6B35"/>
    <w:rsid w:val="005C7485"/>
    <w:rsid w:val="005C74D1"/>
    <w:rsid w:val="005C7E4A"/>
    <w:rsid w:val="005D003F"/>
    <w:rsid w:val="005D072D"/>
    <w:rsid w:val="005D1034"/>
    <w:rsid w:val="005D1935"/>
    <w:rsid w:val="005D1A6D"/>
    <w:rsid w:val="005D1AB7"/>
    <w:rsid w:val="005D1D93"/>
    <w:rsid w:val="005D21AC"/>
    <w:rsid w:val="005D235B"/>
    <w:rsid w:val="005D2E39"/>
    <w:rsid w:val="005D32A5"/>
    <w:rsid w:val="005D33A6"/>
    <w:rsid w:val="005D3ED1"/>
    <w:rsid w:val="005D3F23"/>
    <w:rsid w:val="005D412A"/>
    <w:rsid w:val="005D4297"/>
    <w:rsid w:val="005D4894"/>
    <w:rsid w:val="005D4C76"/>
    <w:rsid w:val="005D57F5"/>
    <w:rsid w:val="005D5A2D"/>
    <w:rsid w:val="005D5F7B"/>
    <w:rsid w:val="005D62A8"/>
    <w:rsid w:val="005D645F"/>
    <w:rsid w:val="005D6E60"/>
    <w:rsid w:val="005D765C"/>
    <w:rsid w:val="005D7A23"/>
    <w:rsid w:val="005E0107"/>
    <w:rsid w:val="005E0532"/>
    <w:rsid w:val="005E0634"/>
    <w:rsid w:val="005E07BA"/>
    <w:rsid w:val="005E1461"/>
    <w:rsid w:val="005E2108"/>
    <w:rsid w:val="005E218C"/>
    <w:rsid w:val="005E3313"/>
    <w:rsid w:val="005E3DA7"/>
    <w:rsid w:val="005E3DB9"/>
    <w:rsid w:val="005E4546"/>
    <w:rsid w:val="005E4687"/>
    <w:rsid w:val="005E478C"/>
    <w:rsid w:val="005E4AFE"/>
    <w:rsid w:val="005E4F83"/>
    <w:rsid w:val="005E5355"/>
    <w:rsid w:val="005E5386"/>
    <w:rsid w:val="005E572B"/>
    <w:rsid w:val="005E590C"/>
    <w:rsid w:val="005E5A50"/>
    <w:rsid w:val="005E5DA1"/>
    <w:rsid w:val="005E5F3F"/>
    <w:rsid w:val="005E60F7"/>
    <w:rsid w:val="005E7358"/>
    <w:rsid w:val="005E73F5"/>
    <w:rsid w:val="005E7430"/>
    <w:rsid w:val="005E7C62"/>
    <w:rsid w:val="005E7E22"/>
    <w:rsid w:val="005F08EE"/>
    <w:rsid w:val="005F1430"/>
    <w:rsid w:val="005F1E02"/>
    <w:rsid w:val="005F2542"/>
    <w:rsid w:val="005F27F5"/>
    <w:rsid w:val="005F2A8C"/>
    <w:rsid w:val="005F3349"/>
    <w:rsid w:val="005F3994"/>
    <w:rsid w:val="005F3C69"/>
    <w:rsid w:val="005F3D15"/>
    <w:rsid w:val="005F4047"/>
    <w:rsid w:val="005F40CF"/>
    <w:rsid w:val="005F484A"/>
    <w:rsid w:val="005F4FD6"/>
    <w:rsid w:val="005F576E"/>
    <w:rsid w:val="005F5B4E"/>
    <w:rsid w:val="005F5B99"/>
    <w:rsid w:val="005F5E2A"/>
    <w:rsid w:val="005F6196"/>
    <w:rsid w:val="005F6609"/>
    <w:rsid w:val="005F667F"/>
    <w:rsid w:val="005F6792"/>
    <w:rsid w:val="005F6ABB"/>
    <w:rsid w:val="005F6AE6"/>
    <w:rsid w:val="005F72C1"/>
    <w:rsid w:val="005F7446"/>
    <w:rsid w:val="005F74E3"/>
    <w:rsid w:val="005F78F8"/>
    <w:rsid w:val="005F7A71"/>
    <w:rsid w:val="005F7BA4"/>
    <w:rsid w:val="005F7DFD"/>
    <w:rsid w:val="005F7EA5"/>
    <w:rsid w:val="0060019A"/>
    <w:rsid w:val="006002B6"/>
    <w:rsid w:val="0060042A"/>
    <w:rsid w:val="006006DA"/>
    <w:rsid w:val="006007DA"/>
    <w:rsid w:val="00600CB1"/>
    <w:rsid w:val="00601148"/>
    <w:rsid w:val="006011F7"/>
    <w:rsid w:val="006014EE"/>
    <w:rsid w:val="006017CC"/>
    <w:rsid w:val="00601922"/>
    <w:rsid w:val="00601BBB"/>
    <w:rsid w:val="00602143"/>
    <w:rsid w:val="00602920"/>
    <w:rsid w:val="00602A40"/>
    <w:rsid w:val="00602C57"/>
    <w:rsid w:val="00602EAA"/>
    <w:rsid w:val="00603695"/>
    <w:rsid w:val="006038AE"/>
    <w:rsid w:val="00603AEE"/>
    <w:rsid w:val="00603B1E"/>
    <w:rsid w:val="00603DC1"/>
    <w:rsid w:val="00604BA4"/>
    <w:rsid w:val="00604FE5"/>
    <w:rsid w:val="00604FEA"/>
    <w:rsid w:val="00605339"/>
    <w:rsid w:val="00605410"/>
    <w:rsid w:val="00605561"/>
    <w:rsid w:val="00605BE2"/>
    <w:rsid w:val="00605ECA"/>
    <w:rsid w:val="00606C73"/>
    <w:rsid w:val="0060703E"/>
    <w:rsid w:val="006077A2"/>
    <w:rsid w:val="00607B36"/>
    <w:rsid w:val="00607DE3"/>
    <w:rsid w:val="0061039E"/>
    <w:rsid w:val="00610440"/>
    <w:rsid w:val="00610610"/>
    <w:rsid w:val="00610770"/>
    <w:rsid w:val="00610B51"/>
    <w:rsid w:val="00610E1E"/>
    <w:rsid w:val="0061128D"/>
    <w:rsid w:val="0061133D"/>
    <w:rsid w:val="006117FA"/>
    <w:rsid w:val="0061196B"/>
    <w:rsid w:val="00612154"/>
    <w:rsid w:val="0061256E"/>
    <w:rsid w:val="0061281D"/>
    <w:rsid w:val="006128AF"/>
    <w:rsid w:val="00612BDE"/>
    <w:rsid w:val="00612F20"/>
    <w:rsid w:val="0061317D"/>
    <w:rsid w:val="006132F9"/>
    <w:rsid w:val="006139B8"/>
    <w:rsid w:val="006139BA"/>
    <w:rsid w:val="00613B95"/>
    <w:rsid w:val="00613EC2"/>
    <w:rsid w:val="00614170"/>
    <w:rsid w:val="00614604"/>
    <w:rsid w:val="00615A1A"/>
    <w:rsid w:val="00615E9C"/>
    <w:rsid w:val="00615FE8"/>
    <w:rsid w:val="00616565"/>
    <w:rsid w:val="006169B1"/>
    <w:rsid w:val="00616B17"/>
    <w:rsid w:val="006170A6"/>
    <w:rsid w:val="006171EE"/>
    <w:rsid w:val="00617496"/>
    <w:rsid w:val="0061769D"/>
    <w:rsid w:val="00617B02"/>
    <w:rsid w:val="00617D55"/>
    <w:rsid w:val="006201C2"/>
    <w:rsid w:val="006203C6"/>
    <w:rsid w:val="00620561"/>
    <w:rsid w:val="00620778"/>
    <w:rsid w:val="00620A03"/>
    <w:rsid w:val="00620AC8"/>
    <w:rsid w:val="00620C3A"/>
    <w:rsid w:val="006213D9"/>
    <w:rsid w:val="00621430"/>
    <w:rsid w:val="006214EE"/>
    <w:rsid w:val="00621773"/>
    <w:rsid w:val="006217A9"/>
    <w:rsid w:val="00621A5A"/>
    <w:rsid w:val="00621BCD"/>
    <w:rsid w:val="00621BEA"/>
    <w:rsid w:val="00621C56"/>
    <w:rsid w:val="00621DAF"/>
    <w:rsid w:val="006222C1"/>
    <w:rsid w:val="006224C9"/>
    <w:rsid w:val="0062270B"/>
    <w:rsid w:val="00622928"/>
    <w:rsid w:val="00622A83"/>
    <w:rsid w:val="0062317B"/>
    <w:rsid w:val="0062327B"/>
    <w:rsid w:val="006233DC"/>
    <w:rsid w:val="00623846"/>
    <w:rsid w:val="0062396C"/>
    <w:rsid w:val="006239CA"/>
    <w:rsid w:val="00623E7C"/>
    <w:rsid w:val="00623F94"/>
    <w:rsid w:val="00624B30"/>
    <w:rsid w:val="00624E51"/>
    <w:rsid w:val="0062542D"/>
    <w:rsid w:val="00625529"/>
    <w:rsid w:val="006255C3"/>
    <w:rsid w:val="006257C7"/>
    <w:rsid w:val="00625DBF"/>
    <w:rsid w:val="00626125"/>
    <w:rsid w:val="00626422"/>
    <w:rsid w:val="0062660D"/>
    <w:rsid w:val="00626C3A"/>
    <w:rsid w:val="00627089"/>
    <w:rsid w:val="006272A2"/>
    <w:rsid w:val="00627512"/>
    <w:rsid w:val="00627C8B"/>
    <w:rsid w:val="00627CA4"/>
    <w:rsid w:val="00627D27"/>
    <w:rsid w:val="00627FF2"/>
    <w:rsid w:val="0063003E"/>
    <w:rsid w:val="00630376"/>
    <w:rsid w:val="00630840"/>
    <w:rsid w:val="00630F2B"/>
    <w:rsid w:val="006312B0"/>
    <w:rsid w:val="00631757"/>
    <w:rsid w:val="00631847"/>
    <w:rsid w:val="00631966"/>
    <w:rsid w:val="00632F72"/>
    <w:rsid w:val="00633488"/>
    <w:rsid w:val="006337FC"/>
    <w:rsid w:val="00633965"/>
    <w:rsid w:val="006340EE"/>
    <w:rsid w:val="00634689"/>
    <w:rsid w:val="006348D7"/>
    <w:rsid w:val="00634B89"/>
    <w:rsid w:val="00634D9D"/>
    <w:rsid w:val="006352FD"/>
    <w:rsid w:val="0063530B"/>
    <w:rsid w:val="006353BC"/>
    <w:rsid w:val="006355D7"/>
    <w:rsid w:val="006362C7"/>
    <w:rsid w:val="00636A0D"/>
    <w:rsid w:val="00636D8E"/>
    <w:rsid w:val="00636F93"/>
    <w:rsid w:val="00637245"/>
    <w:rsid w:val="0063738B"/>
    <w:rsid w:val="0064001E"/>
    <w:rsid w:val="006400AC"/>
    <w:rsid w:val="00640758"/>
    <w:rsid w:val="00640A3F"/>
    <w:rsid w:val="00640A48"/>
    <w:rsid w:val="00640B7F"/>
    <w:rsid w:val="00640D90"/>
    <w:rsid w:val="00641CC1"/>
    <w:rsid w:val="00641E55"/>
    <w:rsid w:val="00642124"/>
    <w:rsid w:val="0064294D"/>
    <w:rsid w:val="00642EC7"/>
    <w:rsid w:val="006430A5"/>
    <w:rsid w:val="00643454"/>
    <w:rsid w:val="00643E04"/>
    <w:rsid w:val="00644372"/>
    <w:rsid w:val="0064464A"/>
    <w:rsid w:val="006448D6"/>
    <w:rsid w:val="006453FA"/>
    <w:rsid w:val="006456EB"/>
    <w:rsid w:val="00645CF2"/>
    <w:rsid w:val="00645F0A"/>
    <w:rsid w:val="00646073"/>
    <w:rsid w:val="00646264"/>
    <w:rsid w:val="0064638A"/>
    <w:rsid w:val="00646749"/>
    <w:rsid w:val="006469F0"/>
    <w:rsid w:val="00646C75"/>
    <w:rsid w:val="00646ECA"/>
    <w:rsid w:val="006473B4"/>
    <w:rsid w:val="0064745B"/>
    <w:rsid w:val="00647904"/>
    <w:rsid w:val="006504BC"/>
    <w:rsid w:val="00650581"/>
    <w:rsid w:val="006505DF"/>
    <w:rsid w:val="00650877"/>
    <w:rsid w:val="00650983"/>
    <w:rsid w:val="00650C70"/>
    <w:rsid w:val="00651123"/>
    <w:rsid w:val="006513AE"/>
    <w:rsid w:val="00651D0F"/>
    <w:rsid w:val="00652701"/>
    <w:rsid w:val="00653205"/>
    <w:rsid w:val="00653431"/>
    <w:rsid w:val="006536E8"/>
    <w:rsid w:val="00653B7E"/>
    <w:rsid w:val="00653E03"/>
    <w:rsid w:val="00653E9A"/>
    <w:rsid w:val="0065477C"/>
    <w:rsid w:val="006547FE"/>
    <w:rsid w:val="00654C6A"/>
    <w:rsid w:val="00654CAE"/>
    <w:rsid w:val="006556A2"/>
    <w:rsid w:val="0065577F"/>
    <w:rsid w:val="006557D4"/>
    <w:rsid w:val="00655C58"/>
    <w:rsid w:val="00656071"/>
    <w:rsid w:val="00656224"/>
    <w:rsid w:val="0065637E"/>
    <w:rsid w:val="00656457"/>
    <w:rsid w:val="006564E0"/>
    <w:rsid w:val="00656504"/>
    <w:rsid w:val="006567F1"/>
    <w:rsid w:val="0065699D"/>
    <w:rsid w:val="00656CA9"/>
    <w:rsid w:val="00656D29"/>
    <w:rsid w:val="00656EDB"/>
    <w:rsid w:val="006574C3"/>
    <w:rsid w:val="00657F2C"/>
    <w:rsid w:val="006608DA"/>
    <w:rsid w:val="006608F0"/>
    <w:rsid w:val="006611F4"/>
    <w:rsid w:val="00661984"/>
    <w:rsid w:val="00661AF6"/>
    <w:rsid w:val="00661ED5"/>
    <w:rsid w:val="00662036"/>
    <w:rsid w:val="00662C16"/>
    <w:rsid w:val="00662C82"/>
    <w:rsid w:val="006630C5"/>
    <w:rsid w:val="0066315F"/>
    <w:rsid w:val="00663350"/>
    <w:rsid w:val="006633F5"/>
    <w:rsid w:val="0066373B"/>
    <w:rsid w:val="0066389A"/>
    <w:rsid w:val="006638E1"/>
    <w:rsid w:val="00663F6D"/>
    <w:rsid w:val="00664040"/>
    <w:rsid w:val="00664107"/>
    <w:rsid w:val="006645E5"/>
    <w:rsid w:val="00664670"/>
    <w:rsid w:val="006648E1"/>
    <w:rsid w:val="00664EFD"/>
    <w:rsid w:val="00665914"/>
    <w:rsid w:val="0066595B"/>
    <w:rsid w:val="006659BB"/>
    <w:rsid w:val="00665ADD"/>
    <w:rsid w:val="00666335"/>
    <w:rsid w:val="00666478"/>
    <w:rsid w:val="006668CD"/>
    <w:rsid w:val="00666A0F"/>
    <w:rsid w:val="00666CEB"/>
    <w:rsid w:val="006673A1"/>
    <w:rsid w:val="00667527"/>
    <w:rsid w:val="006675F3"/>
    <w:rsid w:val="0066785D"/>
    <w:rsid w:val="0067040A"/>
    <w:rsid w:val="00670529"/>
    <w:rsid w:val="0067057C"/>
    <w:rsid w:val="00670A5D"/>
    <w:rsid w:val="006718C6"/>
    <w:rsid w:val="0067194C"/>
    <w:rsid w:val="00671BBF"/>
    <w:rsid w:val="00671CD8"/>
    <w:rsid w:val="00671F9F"/>
    <w:rsid w:val="0067205E"/>
    <w:rsid w:val="006724F6"/>
    <w:rsid w:val="0067265E"/>
    <w:rsid w:val="006726C2"/>
    <w:rsid w:val="0067278B"/>
    <w:rsid w:val="0067286B"/>
    <w:rsid w:val="00672A73"/>
    <w:rsid w:val="00672A78"/>
    <w:rsid w:val="00672AD3"/>
    <w:rsid w:val="00672E89"/>
    <w:rsid w:val="00673148"/>
    <w:rsid w:val="00673D37"/>
    <w:rsid w:val="00673F38"/>
    <w:rsid w:val="006741C4"/>
    <w:rsid w:val="00674299"/>
    <w:rsid w:val="00674378"/>
    <w:rsid w:val="006746FE"/>
    <w:rsid w:val="006748F7"/>
    <w:rsid w:val="00674953"/>
    <w:rsid w:val="00674B4F"/>
    <w:rsid w:val="006750BB"/>
    <w:rsid w:val="00676303"/>
    <w:rsid w:val="0067637C"/>
    <w:rsid w:val="006765BC"/>
    <w:rsid w:val="00676E41"/>
    <w:rsid w:val="0067718C"/>
    <w:rsid w:val="006771AB"/>
    <w:rsid w:val="00677212"/>
    <w:rsid w:val="00677390"/>
    <w:rsid w:val="0067745D"/>
    <w:rsid w:val="0067763F"/>
    <w:rsid w:val="00677B4F"/>
    <w:rsid w:val="00677E7E"/>
    <w:rsid w:val="00680002"/>
    <w:rsid w:val="006803EA"/>
    <w:rsid w:val="0068067D"/>
    <w:rsid w:val="0068089B"/>
    <w:rsid w:val="006809B0"/>
    <w:rsid w:val="00680C8D"/>
    <w:rsid w:val="00680D86"/>
    <w:rsid w:val="00680DB0"/>
    <w:rsid w:val="00681A93"/>
    <w:rsid w:val="00681D50"/>
    <w:rsid w:val="00681D7A"/>
    <w:rsid w:val="00681DB4"/>
    <w:rsid w:val="00681E97"/>
    <w:rsid w:val="006826FF"/>
    <w:rsid w:val="0068276B"/>
    <w:rsid w:val="006837C8"/>
    <w:rsid w:val="006838DA"/>
    <w:rsid w:val="0068391B"/>
    <w:rsid w:val="00683C70"/>
    <w:rsid w:val="00683EF0"/>
    <w:rsid w:val="0068418C"/>
    <w:rsid w:val="006842AA"/>
    <w:rsid w:val="00684822"/>
    <w:rsid w:val="00684AC0"/>
    <w:rsid w:val="00684EE7"/>
    <w:rsid w:val="00685BD4"/>
    <w:rsid w:val="00686288"/>
    <w:rsid w:val="00686797"/>
    <w:rsid w:val="006869A1"/>
    <w:rsid w:val="00686AA6"/>
    <w:rsid w:val="006871CD"/>
    <w:rsid w:val="006873E6"/>
    <w:rsid w:val="006878F2"/>
    <w:rsid w:val="00687944"/>
    <w:rsid w:val="00687AAF"/>
    <w:rsid w:val="00687C67"/>
    <w:rsid w:val="00687DB8"/>
    <w:rsid w:val="006902F2"/>
    <w:rsid w:val="00690451"/>
    <w:rsid w:val="006906C5"/>
    <w:rsid w:val="006908AA"/>
    <w:rsid w:val="0069197F"/>
    <w:rsid w:val="00691B2A"/>
    <w:rsid w:val="00691D0F"/>
    <w:rsid w:val="00692059"/>
    <w:rsid w:val="006926A2"/>
    <w:rsid w:val="006928D7"/>
    <w:rsid w:val="00693114"/>
    <w:rsid w:val="00693299"/>
    <w:rsid w:val="0069343C"/>
    <w:rsid w:val="006935C3"/>
    <w:rsid w:val="00693862"/>
    <w:rsid w:val="00693D8A"/>
    <w:rsid w:val="0069418B"/>
    <w:rsid w:val="006944BC"/>
    <w:rsid w:val="0069479F"/>
    <w:rsid w:val="00694B42"/>
    <w:rsid w:val="00694B89"/>
    <w:rsid w:val="00694F00"/>
    <w:rsid w:val="00695000"/>
    <w:rsid w:val="0069538D"/>
    <w:rsid w:val="006955E4"/>
    <w:rsid w:val="006957DB"/>
    <w:rsid w:val="00695F09"/>
    <w:rsid w:val="006964B0"/>
    <w:rsid w:val="00696588"/>
    <w:rsid w:val="00696ACB"/>
    <w:rsid w:val="006973AD"/>
    <w:rsid w:val="00697774"/>
    <w:rsid w:val="0069784B"/>
    <w:rsid w:val="00697EBB"/>
    <w:rsid w:val="006A0039"/>
    <w:rsid w:val="006A00A4"/>
    <w:rsid w:val="006A028F"/>
    <w:rsid w:val="006A07D5"/>
    <w:rsid w:val="006A0F22"/>
    <w:rsid w:val="006A1078"/>
    <w:rsid w:val="006A1320"/>
    <w:rsid w:val="006A16CC"/>
    <w:rsid w:val="006A19C9"/>
    <w:rsid w:val="006A1B19"/>
    <w:rsid w:val="006A1DE4"/>
    <w:rsid w:val="006A1E95"/>
    <w:rsid w:val="006A20FE"/>
    <w:rsid w:val="006A2370"/>
    <w:rsid w:val="006A28DE"/>
    <w:rsid w:val="006A2B13"/>
    <w:rsid w:val="006A2EBF"/>
    <w:rsid w:val="006A30B6"/>
    <w:rsid w:val="006A32F5"/>
    <w:rsid w:val="006A33D9"/>
    <w:rsid w:val="006A3C44"/>
    <w:rsid w:val="006A3CB9"/>
    <w:rsid w:val="006A3CC7"/>
    <w:rsid w:val="006A3F66"/>
    <w:rsid w:val="006A3F99"/>
    <w:rsid w:val="006A4217"/>
    <w:rsid w:val="006A42CA"/>
    <w:rsid w:val="006A4707"/>
    <w:rsid w:val="006A484A"/>
    <w:rsid w:val="006A4F77"/>
    <w:rsid w:val="006A52CF"/>
    <w:rsid w:val="006A55C5"/>
    <w:rsid w:val="006A589D"/>
    <w:rsid w:val="006A59B1"/>
    <w:rsid w:val="006A61C6"/>
    <w:rsid w:val="006A6642"/>
    <w:rsid w:val="006A6C00"/>
    <w:rsid w:val="006A6CE1"/>
    <w:rsid w:val="006A6FB1"/>
    <w:rsid w:val="006A71F8"/>
    <w:rsid w:val="006A7244"/>
    <w:rsid w:val="006B0894"/>
    <w:rsid w:val="006B0ADE"/>
    <w:rsid w:val="006B0BE8"/>
    <w:rsid w:val="006B0D35"/>
    <w:rsid w:val="006B0FDF"/>
    <w:rsid w:val="006B12D6"/>
    <w:rsid w:val="006B136C"/>
    <w:rsid w:val="006B13D7"/>
    <w:rsid w:val="006B1C3F"/>
    <w:rsid w:val="006B1F70"/>
    <w:rsid w:val="006B1FE3"/>
    <w:rsid w:val="006B2074"/>
    <w:rsid w:val="006B22C7"/>
    <w:rsid w:val="006B2476"/>
    <w:rsid w:val="006B2B60"/>
    <w:rsid w:val="006B32D5"/>
    <w:rsid w:val="006B345B"/>
    <w:rsid w:val="006B364B"/>
    <w:rsid w:val="006B394E"/>
    <w:rsid w:val="006B4049"/>
    <w:rsid w:val="006B4537"/>
    <w:rsid w:val="006B4658"/>
    <w:rsid w:val="006B4875"/>
    <w:rsid w:val="006B48E0"/>
    <w:rsid w:val="006B4DFB"/>
    <w:rsid w:val="006B4FFF"/>
    <w:rsid w:val="006B53CD"/>
    <w:rsid w:val="006B5557"/>
    <w:rsid w:val="006B5BCC"/>
    <w:rsid w:val="006B6E12"/>
    <w:rsid w:val="006B7191"/>
    <w:rsid w:val="006B7224"/>
    <w:rsid w:val="006B72B9"/>
    <w:rsid w:val="006B7313"/>
    <w:rsid w:val="006B7641"/>
    <w:rsid w:val="006B777E"/>
    <w:rsid w:val="006B7804"/>
    <w:rsid w:val="006B7873"/>
    <w:rsid w:val="006B78EA"/>
    <w:rsid w:val="006B7A96"/>
    <w:rsid w:val="006B7B58"/>
    <w:rsid w:val="006C0013"/>
    <w:rsid w:val="006C00DB"/>
    <w:rsid w:val="006C0977"/>
    <w:rsid w:val="006C09B8"/>
    <w:rsid w:val="006C169D"/>
    <w:rsid w:val="006C17EA"/>
    <w:rsid w:val="006C1A69"/>
    <w:rsid w:val="006C1A81"/>
    <w:rsid w:val="006C1AC4"/>
    <w:rsid w:val="006C2525"/>
    <w:rsid w:val="006C2808"/>
    <w:rsid w:val="006C2B6B"/>
    <w:rsid w:val="006C2FC6"/>
    <w:rsid w:val="006C31B2"/>
    <w:rsid w:val="006C335F"/>
    <w:rsid w:val="006C37D6"/>
    <w:rsid w:val="006C3BCD"/>
    <w:rsid w:val="006C405D"/>
    <w:rsid w:val="006C4090"/>
    <w:rsid w:val="006C42C0"/>
    <w:rsid w:val="006C4769"/>
    <w:rsid w:val="006C4D9D"/>
    <w:rsid w:val="006C4F98"/>
    <w:rsid w:val="006C54A4"/>
    <w:rsid w:val="006C5730"/>
    <w:rsid w:val="006C57ED"/>
    <w:rsid w:val="006C58A6"/>
    <w:rsid w:val="006C5A1B"/>
    <w:rsid w:val="006C5C5E"/>
    <w:rsid w:val="006C5C60"/>
    <w:rsid w:val="006C5F14"/>
    <w:rsid w:val="006C60B2"/>
    <w:rsid w:val="006C6309"/>
    <w:rsid w:val="006C633D"/>
    <w:rsid w:val="006C642E"/>
    <w:rsid w:val="006C6703"/>
    <w:rsid w:val="006C71D6"/>
    <w:rsid w:val="006C7507"/>
    <w:rsid w:val="006C76B2"/>
    <w:rsid w:val="006C79F3"/>
    <w:rsid w:val="006C7A49"/>
    <w:rsid w:val="006C7A4D"/>
    <w:rsid w:val="006C7BD3"/>
    <w:rsid w:val="006C7D85"/>
    <w:rsid w:val="006C7E90"/>
    <w:rsid w:val="006D02A7"/>
    <w:rsid w:val="006D0443"/>
    <w:rsid w:val="006D066D"/>
    <w:rsid w:val="006D06C8"/>
    <w:rsid w:val="006D07F5"/>
    <w:rsid w:val="006D08BF"/>
    <w:rsid w:val="006D0DC1"/>
    <w:rsid w:val="006D0E9B"/>
    <w:rsid w:val="006D11ED"/>
    <w:rsid w:val="006D12F7"/>
    <w:rsid w:val="006D14F5"/>
    <w:rsid w:val="006D15D5"/>
    <w:rsid w:val="006D16CF"/>
    <w:rsid w:val="006D18C8"/>
    <w:rsid w:val="006D1FEC"/>
    <w:rsid w:val="006D2239"/>
    <w:rsid w:val="006D2CE6"/>
    <w:rsid w:val="006D2E5B"/>
    <w:rsid w:val="006D3287"/>
    <w:rsid w:val="006D38BF"/>
    <w:rsid w:val="006D3906"/>
    <w:rsid w:val="006D3AA3"/>
    <w:rsid w:val="006D3DCC"/>
    <w:rsid w:val="006D4561"/>
    <w:rsid w:val="006D4A2B"/>
    <w:rsid w:val="006D4BCE"/>
    <w:rsid w:val="006D4BE1"/>
    <w:rsid w:val="006D4E2E"/>
    <w:rsid w:val="006D5336"/>
    <w:rsid w:val="006D5BCD"/>
    <w:rsid w:val="006D5C5D"/>
    <w:rsid w:val="006D5F21"/>
    <w:rsid w:val="006D5F6C"/>
    <w:rsid w:val="006D61CD"/>
    <w:rsid w:val="006D6EF6"/>
    <w:rsid w:val="006D787D"/>
    <w:rsid w:val="006D7A6C"/>
    <w:rsid w:val="006D7EE7"/>
    <w:rsid w:val="006E0C4B"/>
    <w:rsid w:val="006E14F1"/>
    <w:rsid w:val="006E176A"/>
    <w:rsid w:val="006E1B9C"/>
    <w:rsid w:val="006E1C3D"/>
    <w:rsid w:val="006E1E89"/>
    <w:rsid w:val="006E27D4"/>
    <w:rsid w:val="006E2D5C"/>
    <w:rsid w:val="006E2F1B"/>
    <w:rsid w:val="006E2F60"/>
    <w:rsid w:val="006E32D9"/>
    <w:rsid w:val="006E38F1"/>
    <w:rsid w:val="006E3F5F"/>
    <w:rsid w:val="006E404F"/>
    <w:rsid w:val="006E41AA"/>
    <w:rsid w:val="006E42B3"/>
    <w:rsid w:val="006E437C"/>
    <w:rsid w:val="006E4712"/>
    <w:rsid w:val="006E4750"/>
    <w:rsid w:val="006E47CC"/>
    <w:rsid w:val="006E49E5"/>
    <w:rsid w:val="006E4B53"/>
    <w:rsid w:val="006E4FBF"/>
    <w:rsid w:val="006E5749"/>
    <w:rsid w:val="006E59CD"/>
    <w:rsid w:val="006E5CB2"/>
    <w:rsid w:val="006E5FBB"/>
    <w:rsid w:val="006E5FD2"/>
    <w:rsid w:val="006E66D4"/>
    <w:rsid w:val="006E6BE3"/>
    <w:rsid w:val="006E75BF"/>
    <w:rsid w:val="006E77A7"/>
    <w:rsid w:val="006E7844"/>
    <w:rsid w:val="006F019A"/>
    <w:rsid w:val="006F04EC"/>
    <w:rsid w:val="006F0721"/>
    <w:rsid w:val="006F087B"/>
    <w:rsid w:val="006F0E86"/>
    <w:rsid w:val="006F11FC"/>
    <w:rsid w:val="006F1272"/>
    <w:rsid w:val="006F192C"/>
    <w:rsid w:val="006F1C23"/>
    <w:rsid w:val="006F1D8A"/>
    <w:rsid w:val="006F1ED6"/>
    <w:rsid w:val="006F2903"/>
    <w:rsid w:val="006F2C13"/>
    <w:rsid w:val="006F2C51"/>
    <w:rsid w:val="006F305C"/>
    <w:rsid w:val="006F3283"/>
    <w:rsid w:val="006F33BD"/>
    <w:rsid w:val="006F346A"/>
    <w:rsid w:val="006F3861"/>
    <w:rsid w:val="006F3A4F"/>
    <w:rsid w:val="006F3AC0"/>
    <w:rsid w:val="006F3B07"/>
    <w:rsid w:val="006F402A"/>
    <w:rsid w:val="006F40B0"/>
    <w:rsid w:val="006F4225"/>
    <w:rsid w:val="006F44F7"/>
    <w:rsid w:val="006F47B2"/>
    <w:rsid w:val="006F4C04"/>
    <w:rsid w:val="006F4E13"/>
    <w:rsid w:val="006F4E42"/>
    <w:rsid w:val="006F53A9"/>
    <w:rsid w:val="006F55CA"/>
    <w:rsid w:val="006F58F7"/>
    <w:rsid w:val="006F5A49"/>
    <w:rsid w:val="006F600D"/>
    <w:rsid w:val="006F608A"/>
    <w:rsid w:val="006F6858"/>
    <w:rsid w:val="006F74C2"/>
    <w:rsid w:val="006F78EA"/>
    <w:rsid w:val="006F79AE"/>
    <w:rsid w:val="006F7A7A"/>
    <w:rsid w:val="0070039B"/>
    <w:rsid w:val="0070068F"/>
    <w:rsid w:val="007006B1"/>
    <w:rsid w:val="00700898"/>
    <w:rsid w:val="00700A2F"/>
    <w:rsid w:val="00700ABC"/>
    <w:rsid w:val="00700C5D"/>
    <w:rsid w:val="0070235C"/>
    <w:rsid w:val="00702441"/>
    <w:rsid w:val="0070249A"/>
    <w:rsid w:val="0070285D"/>
    <w:rsid w:val="00702873"/>
    <w:rsid w:val="00702A54"/>
    <w:rsid w:val="00702D0C"/>
    <w:rsid w:val="00702FB4"/>
    <w:rsid w:val="007031F5"/>
    <w:rsid w:val="0070342B"/>
    <w:rsid w:val="00703979"/>
    <w:rsid w:val="0070444B"/>
    <w:rsid w:val="0070498A"/>
    <w:rsid w:val="00704CAC"/>
    <w:rsid w:val="00704ECE"/>
    <w:rsid w:val="0070516A"/>
    <w:rsid w:val="007052C9"/>
    <w:rsid w:val="0070575D"/>
    <w:rsid w:val="00705994"/>
    <w:rsid w:val="00705998"/>
    <w:rsid w:val="00705CD4"/>
    <w:rsid w:val="00705E5B"/>
    <w:rsid w:val="00705FC9"/>
    <w:rsid w:val="00706013"/>
    <w:rsid w:val="007060E1"/>
    <w:rsid w:val="007068D8"/>
    <w:rsid w:val="007069E0"/>
    <w:rsid w:val="00707215"/>
    <w:rsid w:val="007072F8"/>
    <w:rsid w:val="00707500"/>
    <w:rsid w:val="00707D44"/>
    <w:rsid w:val="00707F22"/>
    <w:rsid w:val="0071052D"/>
    <w:rsid w:val="0071054E"/>
    <w:rsid w:val="00710DC5"/>
    <w:rsid w:val="007111E0"/>
    <w:rsid w:val="0071172B"/>
    <w:rsid w:val="007119C3"/>
    <w:rsid w:val="00711A41"/>
    <w:rsid w:val="0071212C"/>
    <w:rsid w:val="007122C8"/>
    <w:rsid w:val="00712662"/>
    <w:rsid w:val="00712B89"/>
    <w:rsid w:val="007134CD"/>
    <w:rsid w:val="00713639"/>
    <w:rsid w:val="00713E47"/>
    <w:rsid w:val="00714706"/>
    <w:rsid w:val="007147E5"/>
    <w:rsid w:val="00714811"/>
    <w:rsid w:val="00714B40"/>
    <w:rsid w:val="0071563E"/>
    <w:rsid w:val="00716109"/>
    <w:rsid w:val="0071610C"/>
    <w:rsid w:val="00716335"/>
    <w:rsid w:val="007165C5"/>
    <w:rsid w:val="00716661"/>
    <w:rsid w:val="00716801"/>
    <w:rsid w:val="00716995"/>
    <w:rsid w:val="00716AB8"/>
    <w:rsid w:val="007171AD"/>
    <w:rsid w:val="007172C0"/>
    <w:rsid w:val="007174DF"/>
    <w:rsid w:val="00717620"/>
    <w:rsid w:val="0071768F"/>
    <w:rsid w:val="00717B78"/>
    <w:rsid w:val="00717DC0"/>
    <w:rsid w:val="007202B7"/>
    <w:rsid w:val="007203A2"/>
    <w:rsid w:val="00720A43"/>
    <w:rsid w:val="00720FC9"/>
    <w:rsid w:val="00721362"/>
    <w:rsid w:val="0072169E"/>
    <w:rsid w:val="007219F5"/>
    <w:rsid w:val="00721A21"/>
    <w:rsid w:val="00721A36"/>
    <w:rsid w:val="00721A65"/>
    <w:rsid w:val="00721C93"/>
    <w:rsid w:val="007224F8"/>
    <w:rsid w:val="0072280D"/>
    <w:rsid w:val="007228B0"/>
    <w:rsid w:val="00722AE1"/>
    <w:rsid w:val="00722B25"/>
    <w:rsid w:val="00722FD2"/>
    <w:rsid w:val="00723061"/>
    <w:rsid w:val="00723399"/>
    <w:rsid w:val="007242F6"/>
    <w:rsid w:val="0072435B"/>
    <w:rsid w:val="00724674"/>
    <w:rsid w:val="0072475C"/>
    <w:rsid w:val="00724C05"/>
    <w:rsid w:val="0072564F"/>
    <w:rsid w:val="00725C85"/>
    <w:rsid w:val="00725D68"/>
    <w:rsid w:val="00725DF0"/>
    <w:rsid w:val="00725E40"/>
    <w:rsid w:val="0072620E"/>
    <w:rsid w:val="0072622C"/>
    <w:rsid w:val="00726424"/>
    <w:rsid w:val="007265A1"/>
    <w:rsid w:val="00726A36"/>
    <w:rsid w:val="00726F40"/>
    <w:rsid w:val="00727416"/>
    <w:rsid w:val="0072743F"/>
    <w:rsid w:val="0072789F"/>
    <w:rsid w:val="00727D51"/>
    <w:rsid w:val="007300FE"/>
    <w:rsid w:val="00730298"/>
    <w:rsid w:val="007306B4"/>
    <w:rsid w:val="00730A66"/>
    <w:rsid w:val="00730BBD"/>
    <w:rsid w:val="00730DEC"/>
    <w:rsid w:val="00731ABF"/>
    <w:rsid w:val="0073240D"/>
    <w:rsid w:val="0073292D"/>
    <w:rsid w:val="00732979"/>
    <w:rsid w:val="00732B69"/>
    <w:rsid w:val="00733B4C"/>
    <w:rsid w:val="00733C10"/>
    <w:rsid w:val="00734350"/>
    <w:rsid w:val="0073491E"/>
    <w:rsid w:val="00734B0B"/>
    <w:rsid w:val="00734C0E"/>
    <w:rsid w:val="00734F4C"/>
    <w:rsid w:val="00735626"/>
    <w:rsid w:val="00735A89"/>
    <w:rsid w:val="00735B8E"/>
    <w:rsid w:val="007361C7"/>
    <w:rsid w:val="00736550"/>
    <w:rsid w:val="00736941"/>
    <w:rsid w:val="00736ACB"/>
    <w:rsid w:val="00736C64"/>
    <w:rsid w:val="00736E62"/>
    <w:rsid w:val="0073745D"/>
    <w:rsid w:val="0073771D"/>
    <w:rsid w:val="00737D16"/>
    <w:rsid w:val="00740246"/>
    <w:rsid w:val="00740453"/>
    <w:rsid w:val="0074084C"/>
    <w:rsid w:val="0074099B"/>
    <w:rsid w:val="00741B94"/>
    <w:rsid w:val="00741D58"/>
    <w:rsid w:val="0074232B"/>
    <w:rsid w:val="00742A51"/>
    <w:rsid w:val="00742D03"/>
    <w:rsid w:val="007440C8"/>
    <w:rsid w:val="00744B11"/>
    <w:rsid w:val="00744D54"/>
    <w:rsid w:val="00744ECC"/>
    <w:rsid w:val="00745646"/>
    <w:rsid w:val="007459B7"/>
    <w:rsid w:val="00745CCE"/>
    <w:rsid w:val="00746415"/>
    <w:rsid w:val="0074641D"/>
    <w:rsid w:val="0074643F"/>
    <w:rsid w:val="00746454"/>
    <w:rsid w:val="00746740"/>
    <w:rsid w:val="00746AAD"/>
    <w:rsid w:val="00747527"/>
    <w:rsid w:val="00747D00"/>
    <w:rsid w:val="007500F9"/>
    <w:rsid w:val="00750600"/>
    <w:rsid w:val="0075066F"/>
    <w:rsid w:val="00750A33"/>
    <w:rsid w:val="00750AE2"/>
    <w:rsid w:val="0075115D"/>
    <w:rsid w:val="007511DD"/>
    <w:rsid w:val="00751828"/>
    <w:rsid w:val="00751E47"/>
    <w:rsid w:val="00752269"/>
    <w:rsid w:val="0075247F"/>
    <w:rsid w:val="00752B5D"/>
    <w:rsid w:val="00752CB4"/>
    <w:rsid w:val="00752E14"/>
    <w:rsid w:val="0075354C"/>
    <w:rsid w:val="0075368C"/>
    <w:rsid w:val="00753996"/>
    <w:rsid w:val="00753AB1"/>
    <w:rsid w:val="00754537"/>
    <w:rsid w:val="007547A5"/>
    <w:rsid w:val="00754813"/>
    <w:rsid w:val="00754B8C"/>
    <w:rsid w:val="00754DBD"/>
    <w:rsid w:val="00755289"/>
    <w:rsid w:val="007554C8"/>
    <w:rsid w:val="00755571"/>
    <w:rsid w:val="00755653"/>
    <w:rsid w:val="00755712"/>
    <w:rsid w:val="00755BCF"/>
    <w:rsid w:val="00755D06"/>
    <w:rsid w:val="00755DAD"/>
    <w:rsid w:val="0075602E"/>
    <w:rsid w:val="00756082"/>
    <w:rsid w:val="0075705F"/>
    <w:rsid w:val="00757529"/>
    <w:rsid w:val="007578EE"/>
    <w:rsid w:val="00757FC0"/>
    <w:rsid w:val="00760103"/>
    <w:rsid w:val="0076071C"/>
    <w:rsid w:val="00760B8F"/>
    <w:rsid w:val="00760CD3"/>
    <w:rsid w:val="0076108E"/>
    <w:rsid w:val="007610AC"/>
    <w:rsid w:val="00761141"/>
    <w:rsid w:val="007612C8"/>
    <w:rsid w:val="007614E3"/>
    <w:rsid w:val="00761692"/>
    <w:rsid w:val="00761E7E"/>
    <w:rsid w:val="00761EBA"/>
    <w:rsid w:val="00761FC0"/>
    <w:rsid w:val="00762134"/>
    <w:rsid w:val="00762539"/>
    <w:rsid w:val="00762564"/>
    <w:rsid w:val="00762E55"/>
    <w:rsid w:val="00763260"/>
    <w:rsid w:val="0076356A"/>
    <w:rsid w:val="007639D8"/>
    <w:rsid w:val="00763ABC"/>
    <w:rsid w:val="00763F9D"/>
    <w:rsid w:val="00764392"/>
    <w:rsid w:val="007644C9"/>
    <w:rsid w:val="007644D5"/>
    <w:rsid w:val="0076451E"/>
    <w:rsid w:val="0076472F"/>
    <w:rsid w:val="00764C9D"/>
    <w:rsid w:val="00764EF4"/>
    <w:rsid w:val="00765046"/>
    <w:rsid w:val="007650A1"/>
    <w:rsid w:val="00765176"/>
    <w:rsid w:val="00765768"/>
    <w:rsid w:val="00765FD3"/>
    <w:rsid w:val="00766012"/>
    <w:rsid w:val="007664F4"/>
    <w:rsid w:val="00766650"/>
    <w:rsid w:val="00766F4B"/>
    <w:rsid w:val="00766FE0"/>
    <w:rsid w:val="0076706D"/>
    <w:rsid w:val="007674F3"/>
    <w:rsid w:val="007676E6"/>
    <w:rsid w:val="00767A63"/>
    <w:rsid w:val="00767B48"/>
    <w:rsid w:val="00770000"/>
    <w:rsid w:val="00770049"/>
    <w:rsid w:val="007700A5"/>
    <w:rsid w:val="007705BE"/>
    <w:rsid w:val="007706B8"/>
    <w:rsid w:val="007706E6"/>
    <w:rsid w:val="00770CB5"/>
    <w:rsid w:val="007710E5"/>
    <w:rsid w:val="0077125E"/>
    <w:rsid w:val="0077167D"/>
    <w:rsid w:val="007716FB"/>
    <w:rsid w:val="007722F4"/>
    <w:rsid w:val="007724FC"/>
    <w:rsid w:val="0077251B"/>
    <w:rsid w:val="007727F8"/>
    <w:rsid w:val="00773016"/>
    <w:rsid w:val="007730A6"/>
    <w:rsid w:val="007731A0"/>
    <w:rsid w:val="00773255"/>
    <w:rsid w:val="007733DD"/>
    <w:rsid w:val="00773497"/>
    <w:rsid w:val="00773818"/>
    <w:rsid w:val="00773B51"/>
    <w:rsid w:val="00773C20"/>
    <w:rsid w:val="00774629"/>
    <w:rsid w:val="00775691"/>
    <w:rsid w:val="00775D0F"/>
    <w:rsid w:val="00775FDE"/>
    <w:rsid w:val="007760F8"/>
    <w:rsid w:val="007763BB"/>
    <w:rsid w:val="0077687F"/>
    <w:rsid w:val="007769DD"/>
    <w:rsid w:val="00776B00"/>
    <w:rsid w:val="00776B8D"/>
    <w:rsid w:val="00776DAD"/>
    <w:rsid w:val="00776E11"/>
    <w:rsid w:val="00776E6E"/>
    <w:rsid w:val="00776EB1"/>
    <w:rsid w:val="0077754B"/>
    <w:rsid w:val="007776BF"/>
    <w:rsid w:val="0077776D"/>
    <w:rsid w:val="007779FD"/>
    <w:rsid w:val="00777CE4"/>
    <w:rsid w:val="00777CED"/>
    <w:rsid w:val="00777E83"/>
    <w:rsid w:val="00780238"/>
    <w:rsid w:val="0078059C"/>
    <w:rsid w:val="00780C04"/>
    <w:rsid w:val="00781045"/>
    <w:rsid w:val="00781408"/>
    <w:rsid w:val="00781418"/>
    <w:rsid w:val="0078194D"/>
    <w:rsid w:val="00781B20"/>
    <w:rsid w:val="00781E48"/>
    <w:rsid w:val="007821D0"/>
    <w:rsid w:val="00782691"/>
    <w:rsid w:val="00782F00"/>
    <w:rsid w:val="00782FA0"/>
    <w:rsid w:val="007836F3"/>
    <w:rsid w:val="00783717"/>
    <w:rsid w:val="00783752"/>
    <w:rsid w:val="007837FB"/>
    <w:rsid w:val="00783ADD"/>
    <w:rsid w:val="00783BA1"/>
    <w:rsid w:val="00784753"/>
    <w:rsid w:val="007847A6"/>
    <w:rsid w:val="00784842"/>
    <w:rsid w:val="00784A38"/>
    <w:rsid w:val="00784D5E"/>
    <w:rsid w:val="007852A6"/>
    <w:rsid w:val="00785468"/>
    <w:rsid w:val="007855B1"/>
    <w:rsid w:val="00785D2C"/>
    <w:rsid w:val="00786159"/>
    <w:rsid w:val="007869B3"/>
    <w:rsid w:val="007874D9"/>
    <w:rsid w:val="00787796"/>
    <w:rsid w:val="0078795E"/>
    <w:rsid w:val="00787BFB"/>
    <w:rsid w:val="00787C0D"/>
    <w:rsid w:val="00787C1A"/>
    <w:rsid w:val="00787E22"/>
    <w:rsid w:val="00790550"/>
    <w:rsid w:val="007905CF"/>
    <w:rsid w:val="00790644"/>
    <w:rsid w:val="0079088A"/>
    <w:rsid w:val="00790A47"/>
    <w:rsid w:val="00790C82"/>
    <w:rsid w:val="00790CD5"/>
    <w:rsid w:val="0079105E"/>
    <w:rsid w:val="007910D9"/>
    <w:rsid w:val="007917A1"/>
    <w:rsid w:val="0079237C"/>
    <w:rsid w:val="00792815"/>
    <w:rsid w:val="007928BC"/>
    <w:rsid w:val="00792A2A"/>
    <w:rsid w:val="00792EE1"/>
    <w:rsid w:val="0079328F"/>
    <w:rsid w:val="007932EF"/>
    <w:rsid w:val="007939B6"/>
    <w:rsid w:val="00793C3C"/>
    <w:rsid w:val="007940C1"/>
    <w:rsid w:val="00794205"/>
    <w:rsid w:val="007943C3"/>
    <w:rsid w:val="007948BB"/>
    <w:rsid w:val="00794B52"/>
    <w:rsid w:val="00794BB8"/>
    <w:rsid w:val="00794BD5"/>
    <w:rsid w:val="007956B1"/>
    <w:rsid w:val="007959AC"/>
    <w:rsid w:val="00795AE4"/>
    <w:rsid w:val="00795BFF"/>
    <w:rsid w:val="00795F83"/>
    <w:rsid w:val="00796666"/>
    <w:rsid w:val="00796AB8"/>
    <w:rsid w:val="00796B08"/>
    <w:rsid w:val="00796C71"/>
    <w:rsid w:val="00796DBF"/>
    <w:rsid w:val="00797004"/>
    <w:rsid w:val="0079719D"/>
    <w:rsid w:val="0079736B"/>
    <w:rsid w:val="007974E2"/>
    <w:rsid w:val="0079787C"/>
    <w:rsid w:val="0079794C"/>
    <w:rsid w:val="007A00DF"/>
    <w:rsid w:val="007A03D7"/>
    <w:rsid w:val="007A05C7"/>
    <w:rsid w:val="007A0A12"/>
    <w:rsid w:val="007A0A99"/>
    <w:rsid w:val="007A0C1C"/>
    <w:rsid w:val="007A0FD6"/>
    <w:rsid w:val="007A1BC0"/>
    <w:rsid w:val="007A1C7B"/>
    <w:rsid w:val="007A1EF5"/>
    <w:rsid w:val="007A205D"/>
    <w:rsid w:val="007A212B"/>
    <w:rsid w:val="007A23B1"/>
    <w:rsid w:val="007A245D"/>
    <w:rsid w:val="007A27BB"/>
    <w:rsid w:val="007A2F12"/>
    <w:rsid w:val="007A2FF4"/>
    <w:rsid w:val="007A3845"/>
    <w:rsid w:val="007A39D6"/>
    <w:rsid w:val="007A3B4E"/>
    <w:rsid w:val="007A40A4"/>
    <w:rsid w:val="007A44B3"/>
    <w:rsid w:val="007A44EB"/>
    <w:rsid w:val="007A44F9"/>
    <w:rsid w:val="007A45A6"/>
    <w:rsid w:val="007A46D3"/>
    <w:rsid w:val="007A4C67"/>
    <w:rsid w:val="007A4C97"/>
    <w:rsid w:val="007A4CEE"/>
    <w:rsid w:val="007A4D92"/>
    <w:rsid w:val="007A4DAD"/>
    <w:rsid w:val="007A51D4"/>
    <w:rsid w:val="007A540F"/>
    <w:rsid w:val="007A543A"/>
    <w:rsid w:val="007A6534"/>
    <w:rsid w:val="007A7421"/>
    <w:rsid w:val="007A771C"/>
    <w:rsid w:val="007A78BA"/>
    <w:rsid w:val="007A7D17"/>
    <w:rsid w:val="007B0053"/>
    <w:rsid w:val="007B0072"/>
    <w:rsid w:val="007B008E"/>
    <w:rsid w:val="007B04AA"/>
    <w:rsid w:val="007B0B82"/>
    <w:rsid w:val="007B0E5A"/>
    <w:rsid w:val="007B0E72"/>
    <w:rsid w:val="007B0F3B"/>
    <w:rsid w:val="007B1105"/>
    <w:rsid w:val="007B154D"/>
    <w:rsid w:val="007B1983"/>
    <w:rsid w:val="007B1D83"/>
    <w:rsid w:val="007B1E2E"/>
    <w:rsid w:val="007B207A"/>
    <w:rsid w:val="007B21C2"/>
    <w:rsid w:val="007B27B3"/>
    <w:rsid w:val="007B2AF3"/>
    <w:rsid w:val="007B348D"/>
    <w:rsid w:val="007B352F"/>
    <w:rsid w:val="007B39F2"/>
    <w:rsid w:val="007B3AB8"/>
    <w:rsid w:val="007B4059"/>
    <w:rsid w:val="007B4315"/>
    <w:rsid w:val="007B44F8"/>
    <w:rsid w:val="007B46F1"/>
    <w:rsid w:val="007B489F"/>
    <w:rsid w:val="007B4C4D"/>
    <w:rsid w:val="007B4D8C"/>
    <w:rsid w:val="007B526C"/>
    <w:rsid w:val="007B52CF"/>
    <w:rsid w:val="007B54E5"/>
    <w:rsid w:val="007B5BB4"/>
    <w:rsid w:val="007B5D31"/>
    <w:rsid w:val="007B5DDD"/>
    <w:rsid w:val="007B5E41"/>
    <w:rsid w:val="007B5FB2"/>
    <w:rsid w:val="007B62AC"/>
    <w:rsid w:val="007B64AF"/>
    <w:rsid w:val="007B6878"/>
    <w:rsid w:val="007B68C7"/>
    <w:rsid w:val="007B68CD"/>
    <w:rsid w:val="007B691F"/>
    <w:rsid w:val="007B6B36"/>
    <w:rsid w:val="007B7179"/>
    <w:rsid w:val="007B7302"/>
    <w:rsid w:val="007B783D"/>
    <w:rsid w:val="007B7BF5"/>
    <w:rsid w:val="007B7F60"/>
    <w:rsid w:val="007C01E9"/>
    <w:rsid w:val="007C024A"/>
    <w:rsid w:val="007C0305"/>
    <w:rsid w:val="007C0483"/>
    <w:rsid w:val="007C05EE"/>
    <w:rsid w:val="007C08D6"/>
    <w:rsid w:val="007C0D1F"/>
    <w:rsid w:val="007C15C3"/>
    <w:rsid w:val="007C15E7"/>
    <w:rsid w:val="007C1685"/>
    <w:rsid w:val="007C1BAE"/>
    <w:rsid w:val="007C1F0B"/>
    <w:rsid w:val="007C20A4"/>
    <w:rsid w:val="007C2C89"/>
    <w:rsid w:val="007C2DE4"/>
    <w:rsid w:val="007C32D5"/>
    <w:rsid w:val="007C3EA1"/>
    <w:rsid w:val="007C40AC"/>
    <w:rsid w:val="007C43DB"/>
    <w:rsid w:val="007C4484"/>
    <w:rsid w:val="007C46BF"/>
    <w:rsid w:val="007C4831"/>
    <w:rsid w:val="007C4AAB"/>
    <w:rsid w:val="007C4D86"/>
    <w:rsid w:val="007C4FFF"/>
    <w:rsid w:val="007C537F"/>
    <w:rsid w:val="007C5ABE"/>
    <w:rsid w:val="007C5C9E"/>
    <w:rsid w:val="007C66B1"/>
    <w:rsid w:val="007C67C8"/>
    <w:rsid w:val="007C693F"/>
    <w:rsid w:val="007C7646"/>
    <w:rsid w:val="007C796C"/>
    <w:rsid w:val="007C7BDF"/>
    <w:rsid w:val="007C7C78"/>
    <w:rsid w:val="007C7DC7"/>
    <w:rsid w:val="007C7DCE"/>
    <w:rsid w:val="007C7E02"/>
    <w:rsid w:val="007C7E79"/>
    <w:rsid w:val="007D03A9"/>
    <w:rsid w:val="007D0537"/>
    <w:rsid w:val="007D07EB"/>
    <w:rsid w:val="007D0932"/>
    <w:rsid w:val="007D1705"/>
    <w:rsid w:val="007D1887"/>
    <w:rsid w:val="007D1DFC"/>
    <w:rsid w:val="007D1FFC"/>
    <w:rsid w:val="007D22A2"/>
    <w:rsid w:val="007D2D20"/>
    <w:rsid w:val="007D2EBA"/>
    <w:rsid w:val="007D3092"/>
    <w:rsid w:val="007D3337"/>
    <w:rsid w:val="007D3721"/>
    <w:rsid w:val="007D379F"/>
    <w:rsid w:val="007D3879"/>
    <w:rsid w:val="007D3969"/>
    <w:rsid w:val="007D5219"/>
    <w:rsid w:val="007D5495"/>
    <w:rsid w:val="007D54DC"/>
    <w:rsid w:val="007D60F8"/>
    <w:rsid w:val="007D6318"/>
    <w:rsid w:val="007D6733"/>
    <w:rsid w:val="007D6BA1"/>
    <w:rsid w:val="007D6F42"/>
    <w:rsid w:val="007D72C8"/>
    <w:rsid w:val="007D7327"/>
    <w:rsid w:val="007D75FE"/>
    <w:rsid w:val="007D7A15"/>
    <w:rsid w:val="007D7BAE"/>
    <w:rsid w:val="007D7F78"/>
    <w:rsid w:val="007E0352"/>
    <w:rsid w:val="007E0489"/>
    <w:rsid w:val="007E0537"/>
    <w:rsid w:val="007E08F0"/>
    <w:rsid w:val="007E098F"/>
    <w:rsid w:val="007E0D9E"/>
    <w:rsid w:val="007E0F79"/>
    <w:rsid w:val="007E1437"/>
    <w:rsid w:val="007E1503"/>
    <w:rsid w:val="007E194E"/>
    <w:rsid w:val="007E19F2"/>
    <w:rsid w:val="007E1B2F"/>
    <w:rsid w:val="007E1C26"/>
    <w:rsid w:val="007E1CAB"/>
    <w:rsid w:val="007E21B0"/>
    <w:rsid w:val="007E2D51"/>
    <w:rsid w:val="007E318A"/>
    <w:rsid w:val="007E3F8B"/>
    <w:rsid w:val="007E4084"/>
    <w:rsid w:val="007E4153"/>
    <w:rsid w:val="007E42B1"/>
    <w:rsid w:val="007E43C5"/>
    <w:rsid w:val="007E43F3"/>
    <w:rsid w:val="007E4EDC"/>
    <w:rsid w:val="007E5498"/>
    <w:rsid w:val="007E5577"/>
    <w:rsid w:val="007E5F31"/>
    <w:rsid w:val="007E6386"/>
    <w:rsid w:val="007E64D3"/>
    <w:rsid w:val="007E6540"/>
    <w:rsid w:val="007E69A0"/>
    <w:rsid w:val="007E69C2"/>
    <w:rsid w:val="007E6CF9"/>
    <w:rsid w:val="007E7466"/>
    <w:rsid w:val="007E7532"/>
    <w:rsid w:val="007E7C01"/>
    <w:rsid w:val="007E7DFC"/>
    <w:rsid w:val="007E7F64"/>
    <w:rsid w:val="007F007B"/>
    <w:rsid w:val="007F057D"/>
    <w:rsid w:val="007F0741"/>
    <w:rsid w:val="007F08DE"/>
    <w:rsid w:val="007F0954"/>
    <w:rsid w:val="007F0A53"/>
    <w:rsid w:val="007F0FB6"/>
    <w:rsid w:val="007F14FF"/>
    <w:rsid w:val="007F19BC"/>
    <w:rsid w:val="007F2173"/>
    <w:rsid w:val="007F225D"/>
    <w:rsid w:val="007F2503"/>
    <w:rsid w:val="007F263D"/>
    <w:rsid w:val="007F2838"/>
    <w:rsid w:val="007F2945"/>
    <w:rsid w:val="007F29F3"/>
    <w:rsid w:val="007F2B09"/>
    <w:rsid w:val="007F2B2A"/>
    <w:rsid w:val="007F2B45"/>
    <w:rsid w:val="007F2D44"/>
    <w:rsid w:val="007F3026"/>
    <w:rsid w:val="007F3295"/>
    <w:rsid w:val="007F3974"/>
    <w:rsid w:val="007F3D56"/>
    <w:rsid w:val="007F3E42"/>
    <w:rsid w:val="007F3F44"/>
    <w:rsid w:val="007F4377"/>
    <w:rsid w:val="007F4642"/>
    <w:rsid w:val="007F475D"/>
    <w:rsid w:val="007F47B1"/>
    <w:rsid w:val="007F508E"/>
    <w:rsid w:val="007F51FF"/>
    <w:rsid w:val="007F528B"/>
    <w:rsid w:val="007F563B"/>
    <w:rsid w:val="007F5712"/>
    <w:rsid w:val="007F5C73"/>
    <w:rsid w:val="007F5E35"/>
    <w:rsid w:val="007F6326"/>
    <w:rsid w:val="007F669B"/>
    <w:rsid w:val="007F679C"/>
    <w:rsid w:val="007F6FEA"/>
    <w:rsid w:val="007F768C"/>
    <w:rsid w:val="007F7BBD"/>
    <w:rsid w:val="007F7D42"/>
    <w:rsid w:val="007F7DF2"/>
    <w:rsid w:val="007F7E4A"/>
    <w:rsid w:val="007F7F63"/>
    <w:rsid w:val="00800415"/>
    <w:rsid w:val="0080065E"/>
    <w:rsid w:val="00800C40"/>
    <w:rsid w:val="0080170C"/>
    <w:rsid w:val="00801824"/>
    <w:rsid w:val="00801950"/>
    <w:rsid w:val="00801A61"/>
    <w:rsid w:val="00801A65"/>
    <w:rsid w:val="00801CB2"/>
    <w:rsid w:val="00801DA7"/>
    <w:rsid w:val="00801F5C"/>
    <w:rsid w:val="008021AD"/>
    <w:rsid w:val="0080227D"/>
    <w:rsid w:val="0080235D"/>
    <w:rsid w:val="008026BD"/>
    <w:rsid w:val="00802959"/>
    <w:rsid w:val="008039F0"/>
    <w:rsid w:val="00803CBA"/>
    <w:rsid w:val="00803D57"/>
    <w:rsid w:val="00803E15"/>
    <w:rsid w:val="0080448A"/>
    <w:rsid w:val="00805155"/>
    <w:rsid w:val="00805333"/>
    <w:rsid w:val="00805339"/>
    <w:rsid w:val="00805ABB"/>
    <w:rsid w:val="00805C1F"/>
    <w:rsid w:val="00805F00"/>
    <w:rsid w:val="0080652B"/>
    <w:rsid w:val="0080692A"/>
    <w:rsid w:val="00806AEE"/>
    <w:rsid w:val="00806B60"/>
    <w:rsid w:val="00806D70"/>
    <w:rsid w:val="00806EBE"/>
    <w:rsid w:val="008073D0"/>
    <w:rsid w:val="0080747E"/>
    <w:rsid w:val="00807679"/>
    <w:rsid w:val="00807684"/>
    <w:rsid w:val="00807A6A"/>
    <w:rsid w:val="008100A1"/>
    <w:rsid w:val="008108E6"/>
    <w:rsid w:val="00810CD1"/>
    <w:rsid w:val="008116BA"/>
    <w:rsid w:val="00811940"/>
    <w:rsid w:val="00811D77"/>
    <w:rsid w:val="0081202C"/>
    <w:rsid w:val="008121E1"/>
    <w:rsid w:val="008121F2"/>
    <w:rsid w:val="0081222C"/>
    <w:rsid w:val="0081225C"/>
    <w:rsid w:val="00812264"/>
    <w:rsid w:val="00812B76"/>
    <w:rsid w:val="00813204"/>
    <w:rsid w:val="008134DB"/>
    <w:rsid w:val="00813A7F"/>
    <w:rsid w:val="00813B3B"/>
    <w:rsid w:val="00814379"/>
    <w:rsid w:val="008144DC"/>
    <w:rsid w:val="00814514"/>
    <w:rsid w:val="008145BD"/>
    <w:rsid w:val="008146F1"/>
    <w:rsid w:val="00814B42"/>
    <w:rsid w:val="00815981"/>
    <w:rsid w:val="008164DF"/>
    <w:rsid w:val="008166B7"/>
    <w:rsid w:val="008169D3"/>
    <w:rsid w:val="00816B72"/>
    <w:rsid w:val="00816BA2"/>
    <w:rsid w:val="00817115"/>
    <w:rsid w:val="008173C5"/>
    <w:rsid w:val="00817714"/>
    <w:rsid w:val="00817A77"/>
    <w:rsid w:val="00817F87"/>
    <w:rsid w:val="00817FA9"/>
    <w:rsid w:val="00820166"/>
    <w:rsid w:val="008205A3"/>
    <w:rsid w:val="0082097F"/>
    <w:rsid w:val="00820B2C"/>
    <w:rsid w:val="00820DD2"/>
    <w:rsid w:val="00821147"/>
    <w:rsid w:val="0082116A"/>
    <w:rsid w:val="0082135C"/>
    <w:rsid w:val="0082151F"/>
    <w:rsid w:val="008226B8"/>
    <w:rsid w:val="00822738"/>
    <w:rsid w:val="008227B9"/>
    <w:rsid w:val="0082319F"/>
    <w:rsid w:val="008234FC"/>
    <w:rsid w:val="00823E27"/>
    <w:rsid w:val="00823FA7"/>
    <w:rsid w:val="008242A1"/>
    <w:rsid w:val="0082475C"/>
    <w:rsid w:val="008247C5"/>
    <w:rsid w:val="00824DB7"/>
    <w:rsid w:val="00824EC9"/>
    <w:rsid w:val="008251AE"/>
    <w:rsid w:val="008257D7"/>
    <w:rsid w:val="00826886"/>
    <w:rsid w:val="00826904"/>
    <w:rsid w:val="00826A2D"/>
    <w:rsid w:val="00827408"/>
    <w:rsid w:val="00827795"/>
    <w:rsid w:val="0082791C"/>
    <w:rsid w:val="00827CC0"/>
    <w:rsid w:val="0083081B"/>
    <w:rsid w:val="008310EB"/>
    <w:rsid w:val="008311BB"/>
    <w:rsid w:val="008314BF"/>
    <w:rsid w:val="00831500"/>
    <w:rsid w:val="00831681"/>
    <w:rsid w:val="00831BB6"/>
    <w:rsid w:val="00831FDA"/>
    <w:rsid w:val="00832045"/>
    <w:rsid w:val="008322B7"/>
    <w:rsid w:val="00832438"/>
    <w:rsid w:val="008328FA"/>
    <w:rsid w:val="008329E2"/>
    <w:rsid w:val="00832CF1"/>
    <w:rsid w:val="00833391"/>
    <w:rsid w:val="0083352F"/>
    <w:rsid w:val="008336D8"/>
    <w:rsid w:val="00833718"/>
    <w:rsid w:val="008339D7"/>
    <w:rsid w:val="00833E57"/>
    <w:rsid w:val="008342B3"/>
    <w:rsid w:val="0083473B"/>
    <w:rsid w:val="00834D04"/>
    <w:rsid w:val="00835040"/>
    <w:rsid w:val="0083566A"/>
    <w:rsid w:val="00835AB7"/>
    <w:rsid w:val="00835F43"/>
    <w:rsid w:val="00835FF7"/>
    <w:rsid w:val="00836537"/>
    <w:rsid w:val="008366E6"/>
    <w:rsid w:val="0083675D"/>
    <w:rsid w:val="008367C4"/>
    <w:rsid w:val="008368C0"/>
    <w:rsid w:val="00836B90"/>
    <w:rsid w:val="00836C0C"/>
    <w:rsid w:val="008370E6"/>
    <w:rsid w:val="008372C5"/>
    <w:rsid w:val="00837665"/>
    <w:rsid w:val="0083795B"/>
    <w:rsid w:val="00837EF0"/>
    <w:rsid w:val="008407B9"/>
    <w:rsid w:val="00840914"/>
    <w:rsid w:val="00840D85"/>
    <w:rsid w:val="008412DA"/>
    <w:rsid w:val="008413B8"/>
    <w:rsid w:val="008413BF"/>
    <w:rsid w:val="00841DB6"/>
    <w:rsid w:val="0084202E"/>
    <w:rsid w:val="008427E5"/>
    <w:rsid w:val="00842865"/>
    <w:rsid w:val="00842976"/>
    <w:rsid w:val="00842C88"/>
    <w:rsid w:val="0084317A"/>
    <w:rsid w:val="0084332E"/>
    <w:rsid w:val="008433D3"/>
    <w:rsid w:val="008434B0"/>
    <w:rsid w:val="00843B4C"/>
    <w:rsid w:val="00843BC8"/>
    <w:rsid w:val="008442A5"/>
    <w:rsid w:val="0084485B"/>
    <w:rsid w:val="00844A2E"/>
    <w:rsid w:val="00844B88"/>
    <w:rsid w:val="00844E35"/>
    <w:rsid w:val="00844F32"/>
    <w:rsid w:val="00844F4E"/>
    <w:rsid w:val="00845006"/>
    <w:rsid w:val="008450C9"/>
    <w:rsid w:val="008454AC"/>
    <w:rsid w:val="00845833"/>
    <w:rsid w:val="00845AC0"/>
    <w:rsid w:val="00845D15"/>
    <w:rsid w:val="00845FB9"/>
    <w:rsid w:val="00846D10"/>
    <w:rsid w:val="00846EA0"/>
    <w:rsid w:val="00847240"/>
    <w:rsid w:val="0084746F"/>
    <w:rsid w:val="00847B2D"/>
    <w:rsid w:val="00847CC8"/>
    <w:rsid w:val="00847FEC"/>
    <w:rsid w:val="00850243"/>
    <w:rsid w:val="00850372"/>
    <w:rsid w:val="00850816"/>
    <w:rsid w:val="00850BB7"/>
    <w:rsid w:val="00850BF1"/>
    <w:rsid w:val="00850C10"/>
    <w:rsid w:val="00850F26"/>
    <w:rsid w:val="008511D5"/>
    <w:rsid w:val="008517BC"/>
    <w:rsid w:val="00851AB6"/>
    <w:rsid w:val="00851AC0"/>
    <w:rsid w:val="00851ECD"/>
    <w:rsid w:val="00852ACD"/>
    <w:rsid w:val="00852D9C"/>
    <w:rsid w:val="008530A0"/>
    <w:rsid w:val="00853152"/>
    <w:rsid w:val="00853371"/>
    <w:rsid w:val="00853522"/>
    <w:rsid w:val="00853A4A"/>
    <w:rsid w:val="00853E40"/>
    <w:rsid w:val="008543B3"/>
    <w:rsid w:val="00854C48"/>
    <w:rsid w:val="00854F63"/>
    <w:rsid w:val="00855102"/>
    <w:rsid w:val="008552F8"/>
    <w:rsid w:val="008553F2"/>
    <w:rsid w:val="00855A2E"/>
    <w:rsid w:val="00855A6D"/>
    <w:rsid w:val="008560FD"/>
    <w:rsid w:val="008562AF"/>
    <w:rsid w:val="0085636F"/>
    <w:rsid w:val="00856935"/>
    <w:rsid w:val="00856CD2"/>
    <w:rsid w:val="00856D2B"/>
    <w:rsid w:val="00856D7E"/>
    <w:rsid w:val="00856FF6"/>
    <w:rsid w:val="0085778E"/>
    <w:rsid w:val="00857C68"/>
    <w:rsid w:val="00857CCB"/>
    <w:rsid w:val="0086056F"/>
    <w:rsid w:val="00860E20"/>
    <w:rsid w:val="00861294"/>
    <w:rsid w:val="00861A98"/>
    <w:rsid w:val="00861AC4"/>
    <w:rsid w:val="00861C25"/>
    <w:rsid w:val="00861C84"/>
    <w:rsid w:val="0086211E"/>
    <w:rsid w:val="00862508"/>
    <w:rsid w:val="0086250E"/>
    <w:rsid w:val="00862793"/>
    <w:rsid w:val="00862BD9"/>
    <w:rsid w:val="0086309F"/>
    <w:rsid w:val="00863344"/>
    <w:rsid w:val="0086362F"/>
    <w:rsid w:val="00863722"/>
    <w:rsid w:val="00863B04"/>
    <w:rsid w:val="00863B22"/>
    <w:rsid w:val="00863C6D"/>
    <w:rsid w:val="00864141"/>
    <w:rsid w:val="008642B8"/>
    <w:rsid w:val="008643D6"/>
    <w:rsid w:val="008648AD"/>
    <w:rsid w:val="00864DE2"/>
    <w:rsid w:val="0086555A"/>
    <w:rsid w:val="00865A4B"/>
    <w:rsid w:val="00865CBF"/>
    <w:rsid w:val="0086645D"/>
    <w:rsid w:val="00866535"/>
    <w:rsid w:val="00866627"/>
    <w:rsid w:val="00866952"/>
    <w:rsid w:val="00866CF6"/>
    <w:rsid w:val="00866D9C"/>
    <w:rsid w:val="00867122"/>
    <w:rsid w:val="00867302"/>
    <w:rsid w:val="00867315"/>
    <w:rsid w:val="008678EA"/>
    <w:rsid w:val="00867BE5"/>
    <w:rsid w:val="00867E0B"/>
    <w:rsid w:val="00867ECF"/>
    <w:rsid w:val="00867F04"/>
    <w:rsid w:val="008700C2"/>
    <w:rsid w:val="0087043D"/>
    <w:rsid w:val="008706B5"/>
    <w:rsid w:val="008707F0"/>
    <w:rsid w:val="00870D79"/>
    <w:rsid w:val="0087107E"/>
    <w:rsid w:val="00871282"/>
    <w:rsid w:val="00871460"/>
    <w:rsid w:val="00871466"/>
    <w:rsid w:val="0087147D"/>
    <w:rsid w:val="008715A1"/>
    <w:rsid w:val="008715E9"/>
    <w:rsid w:val="008716ED"/>
    <w:rsid w:val="008718A2"/>
    <w:rsid w:val="00871C14"/>
    <w:rsid w:val="00872090"/>
    <w:rsid w:val="00872389"/>
    <w:rsid w:val="008725EA"/>
    <w:rsid w:val="00872708"/>
    <w:rsid w:val="008727A5"/>
    <w:rsid w:val="00872AB4"/>
    <w:rsid w:val="00872C20"/>
    <w:rsid w:val="0087357B"/>
    <w:rsid w:val="008737C4"/>
    <w:rsid w:val="0087399C"/>
    <w:rsid w:val="00873C3C"/>
    <w:rsid w:val="008744B5"/>
    <w:rsid w:val="0087450A"/>
    <w:rsid w:val="00874BAD"/>
    <w:rsid w:val="00874CE9"/>
    <w:rsid w:val="00875290"/>
    <w:rsid w:val="008753F1"/>
    <w:rsid w:val="0087574F"/>
    <w:rsid w:val="00875782"/>
    <w:rsid w:val="00875896"/>
    <w:rsid w:val="00875947"/>
    <w:rsid w:val="00875BB9"/>
    <w:rsid w:val="00876366"/>
    <w:rsid w:val="00876532"/>
    <w:rsid w:val="008769F8"/>
    <w:rsid w:val="00877176"/>
    <w:rsid w:val="008771EC"/>
    <w:rsid w:val="00877679"/>
    <w:rsid w:val="0088000B"/>
    <w:rsid w:val="008805BD"/>
    <w:rsid w:val="0088078E"/>
    <w:rsid w:val="00881891"/>
    <w:rsid w:val="008818B6"/>
    <w:rsid w:val="00881B1C"/>
    <w:rsid w:val="00881C16"/>
    <w:rsid w:val="0088226E"/>
    <w:rsid w:val="008826A3"/>
    <w:rsid w:val="008829E1"/>
    <w:rsid w:val="00882A1B"/>
    <w:rsid w:val="00882C97"/>
    <w:rsid w:val="008834D2"/>
    <w:rsid w:val="008837E4"/>
    <w:rsid w:val="00883924"/>
    <w:rsid w:val="00883D1E"/>
    <w:rsid w:val="008848CE"/>
    <w:rsid w:val="008851F8"/>
    <w:rsid w:val="008854A6"/>
    <w:rsid w:val="00885A36"/>
    <w:rsid w:val="00885B86"/>
    <w:rsid w:val="008862A2"/>
    <w:rsid w:val="00886837"/>
    <w:rsid w:val="00886BB5"/>
    <w:rsid w:val="00886BFA"/>
    <w:rsid w:val="00886CCE"/>
    <w:rsid w:val="008870D1"/>
    <w:rsid w:val="008871B2"/>
    <w:rsid w:val="0088728A"/>
    <w:rsid w:val="00887611"/>
    <w:rsid w:val="008878FB"/>
    <w:rsid w:val="00887E73"/>
    <w:rsid w:val="0089017E"/>
    <w:rsid w:val="0089046A"/>
    <w:rsid w:val="0089060E"/>
    <w:rsid w:val="008909F2"/>
    <w:rsid w:val="00890CD3"/>
    <w:rsid w:val="00890F05"/>
    <w:rsid w:val="00890F77"/>
    <w:rsid w:val="008913CA"/>
    <w:rsid w:val="008914A5"/>
    <w:rsid w:val="008919C4"/>
    <w:rsid w:val="0089201C"/>
    <w:rsid w:val="00892856"/>
    <w:rsid w:val="0089288E"/>
    <w:rsid w:val="00892C4A"/>
    <w:rsid w:val="00892FB1"/>
    <w:rsid w:val="00893238"/>
    <w:rsid w:val="008940D9"/>
    <w:rsid w:val="00894904"/>
    <w:rsid w:val="0089493E"/>
    <w:rsid w:val="00894A51"/>
    <w:rsid w:val="00894E64"/>
    <w:rsid w:val="00894FFF"/>
    <w:rsid w:val="00895108"/>
    <w:rsid w:val="008951C4"/>
    <w:rsid w:val="008953B2"/>
    <w:rsid w:val="00895403"/>
    <w:rsid w:val="00895941"/>
    <w:rsid w:val="0089597F"/>
    <w:rsid w:val="00895DA6"/>
    <w:rsid w:val="00896084"/>
    <w:rsid w:val="0089647D"/>
    <w:rsid w:val="00896610"/>
    <w:rsid w:val="008966B9"/>
    <w:rsid w:val="00896886"/>
    <w:rsid w:val="00896A9B"/>
    <w:rsid w:val="00896B12"/>
    <w:rsid w:val="00896B43"/>
    <w:rsid w:val="00896BB8"/>
    <w:rsid w:val="00896E9C"/>
    <w:rsid w:val="008971C3"/>
    <w:rsid w:val="00897253"/>
    <w:rsid w:val="00897751"/>
    <w:rsid w:val="00897803"/>
    <w:rsid w:val="008979BE"/>
    <w:rsid w:val="00897A13"/>
    <w:rsid w:val="00897BC8"/>
    <w:rsid w:val="00897EC1"/>
    <w:rsid w:val="008A0212"/>
    <w:rsid w:val="008A0245"/>
    <w:rsid w:val="008A024D"/>
    <w:rsid w:val="008A0330"/>
    <w:rsid w:val="008A048B"/>
    <w:rsid w:val="008A092D"/>
    <w:rsid w:val="008A0961"/>
    <w:rsid w:val="008A0CE9"/>
    <w:rsid w:val="008A1AC4"/>
    <w:rsid w:val="008A1CB2"/>
    <w:rsid w:val="008A1ECB"/>
    <w:rsid w:val="008A1F46"/>
    <w:rsid w:val="008A26D7"/>
    <w:rsid w:val="008A28E8"/>
    <w:rsid w:val="008A2A20"/>
    <w:rsid w:val="008A3177"/>
    <w:rsid w:val="008A330F"/>
    <w:rsid w:val="008A3EA6"/>
    <w:rsid w:val="008A4131"/>
    <w:rsid w:val="008A459C"/>
    <w:rsid w:val="008A478C"/>
    <w:rsid w:val="008A4C23"/>
    <w:rsid w:val="008A4F72"/>
    <w:rsid w:val="008A5A78"/>
    <w:rsid w:val="008A5F3C"/>
    <w:rsid w:val="008A5F65"/>
    <w:rsid w:val="008A6079"/>
    <w:rsid w:val="008A61FB"/>
    <w:rsid w:val="008A6277"/>
    <w:rsid w:val="008A6529"/>
    <w:rsid w:val="008A6F2B"/>
    <w:rsid w:val="008A7289"/>
    <w:rsid w:val="008A78F9"/>
    <w:rsid w:val="008B0044"/>
    <w:rsid w:val="008B02F4"/>
    <w:rsid w:val="008B0351"/>
    <w:rsid w:val="008B03BF"/>
    <w:rsid w:val="008B0B3E"/>
    <w:rsid w:val="008B0FF3"/>
    <w:rsid w:val="008B118D"/>
    <w:rsid w:val="008B14D6"/>
    <w:rsid w:val="008B162B"/>
    <w:rsid w:val="008B1679"/>
    <w:rsid w:val="008B1C50"/>
    <w:rsid w:val="008B1DDE"/>
    <w:rsid w:val="008B23BB"/>
    <w:rsid w:val="008B2CD5"/>
    <w:rsid w:val="008B2F66"/>
    <w:rsid w:val="008B32BD"/>
    <w:rsid w:val="008B32E4"/>
    <w:rsid w:val="008B3345"/>
    <w:rsid w:val="008B3954"/>
    <w:rsid w:val="008B41B3"/>
    <w:rsid w:val="008B4253"/>
    <w:rsid w:val="008B451A"/>
    <w:rsid w:val="008B45FD"/>
    <w:rsid w:val="008B4A30"/>
    <w:rsid w:val="008B4CA5"/>
    <w:rsid w:val="008B545C"/>
    <w:rsid w:val="008B57B6"/>
    <w:rsid w:val="008B5B7D"/>
    <w:rsid w:val="008B5FA9"/>
    <w:rsid w:val="008B6782"/>
    <w:rsid w:val="008B67DA"/>
    <w:rsid w:val="008B6C2A"/>
    <w:rsid w:val="008B6C30"/>
    <w:rsid w:val="008B6D89"/>
    <w:rsid w:val="008B6D93"/>
    <w:rsid w:val="008B7AA7"/>
    <w:rsid w:val="008B7C99"/>
    <w:rsid w:val="008B7F3F"/>
    <w:rsid w:val="008C038E"/>
    <w:rsid w:val="008C0619"/>
    <w:rsid w:val="008C09AC"/>
    <w:rsid w:val="008C0AC6"/>
    <w:rsid w:val="008C0D3E"/>
    <w:rsid w:val="008C1093"/>
    <w:rsid w:val="008C1C66"/>
    <w:rsid w:val="008C1EBB"/>
    <w:rsid w:val="008C235E"/>
    <w:rsid w:val="008C28A5"/>
    <w:rsid w:val="008C2DA8"/>
    <w:rsid w:val="008C2E80"/>
    <w:rsid w:val="008C34C7"/>
    <w:rsid w:val="008C3B20"/>
    <w:rsid w:val="008C3CBC"/>
    <w:rsid w:val="008C3F59"/>
    <w:rsid w:val="008C4098"/>
    <w:rsid w:val="008C4403"/>
    <w:rsid w:val="008C455C"/>
    <w:rsid w:val="008C45AE"/>
    <w:rsid w:val="008C4702"/>
    <w:rsid w:val="008C5308"/>
    <w:rsid w:val="008C59E6"/>
    <w:rsid w:val="008C5F82"/>
    <w:rsid w:val="008C6080"/>
    <w:rsid w:val="008C60F6"/>
    <w:rsid w:val="008C6316"/>
    <w:rsid w:val="008C68E2"/>
    <w:rsid w:val="008C6D5B"/>
    <w:rsid w:val="008C6FCB"/>
    <w:rsid w:val="008C7252"/>
    <w:rsid w:val="008C75F6"/>
    <w:rsid w:val="008D01EB"/>
    <w:rsid w:val="008D0627"/>
    <w:rsid w:val="008D0916"/>
    <w:rsid w:val="008D0A81"/>
    <w:rsid w:val="008D0E35"/>
    <w:rsid w:val="008D0FE0"/>
    <w:rsid w:val="008D106B"/>
    <w:rsid w:val="008D1E98"/>
    <w:rsid w:val="008D20E1"/>
    <w:rsid w:val="008D21D3"/>
    <w:rsid w:val="008D2243"/>
    <w:rsid w:val="008D2591"/>
    <w:rsid w:val="008D2CE8"/>
    <w:rsid w:val="008D2F37"/>
    <w:rsid w:val="008D2F3D"/>
    <w:rsid w:val="008D358A"/>
    <w:rsid w:val="008D3AC7"/>
    <w:rsid w:val="008D3E0B"/>
    <w:rsid w:val="008D4199"/>
    <w:rsid w:val="008D499A"/>
    <w:rsid w:val="008D4AA9"/>
    <w:rsid w:val="008D4BF1"/>
    <w:rsid w:val="008D5337"/>
    <w:rsid w:val="008D53BA"/>
    <w:rsid w:val="008D552F"/>
    <w:rsid w:val="008D55A8"/>
    <w:rsid w:val="008D55D6"/>
    <w:rsid w:val="008D5625"/>
    <w:rsid w:val="008D56FA"/>
    <w:rsid w:val="008D5738"/>
    <w:rsid w:val="008D5A27"/>
    <w:rsid w:val="008D5AF4"/>
    <w:rsid w:val="008D5B61"/>
    <w:rsid w:val="008D6032"/>
    <w:rsid w:val="008D69F4"/>
    <w:rsid w:val="008D6B39"/>
    <w:rsid w:val="008D6CD7"/>
    <w:rsid w:val="008D6D26"/>
    <w:rsid w:val="008D6F53"/>
    <w:rsid w:val="008D7041"/>
    <w:rsid w:val="008D751B"/>
    <w:rsid w:val="008D7BB9"/>
    <w:rsid w:val="008D7D4A"/>
    <w:rsid w:val="008D7ED9"/>
    <w:rsid w:val="008E00DA"/>
    <w:rsid w:val="008E01C3"/>
    <w:rsid w:val="008E0326"/>
    <w:rsid w:val="008E0BAA"/>
    <w:rsid w:val="008E0C9C"/>
    <w:rsid w:val="008E120E"/>
    <w:rsid w:val="008E13A6"/>
    <w:rsid w:val="008E17FE"/>
    <w:rsid w:val="008E1A95"/>
    <w:rsid w:val="008E2346"/>
    <w:rsid w:val="008E287A"/>
    <w:rsid w:val="008E288C"/>
    <w:rsid w:val="008E2CA6"/>
    <w:rsid w:val="008E3320"/>
    <w:rsid w:val="008E3436"/>
    <w:rsid w:val="008E3829"/>
    <w:rsid w:val="008E38DC"/>
    <w:rsid w:val="008E3AC9"/>
    <w:rsid w:val="008E3CF8"/>
    <w:rsid w:val="008E3D2D"/>
    <w:rsid w:val="008E4155"/>
    <w:rsid w:val="008E480A"/>
    <w:rsid w:val="008E486F"/>
    <w:rsid w:val="008E4C19"/>
    <w:rsid w:val="008E4FE3"/>
    <w:rsid w:val="008E50AE"/>
    <w:rsid w:val="008E5976"/>
    <w:rsid w:val="008E5B04"/>
    <w:rsid w:val="008E5B12"/>
    <w:rsid w:val="008E5ECB"/>
    <w:rsid w:val="008E60B3"/>
    <w:rsid w:val="008E6419"/>
    <w:rsid w:val="008E6427"/>
    <w:rsid w:val="008E6785"/>
    <w:rsid w:val="008E68AC"/>
    <w:rsid w:val="008E692D"/>
    <w:rsid w:val="008F04F2"/>
    <w:rsid w:val="008F07BB"/>
    <w:rsid w:val="008F0F17"/>
    <w:rsid w:val="008F126A"/>
    <w:rsid w:val="008F22F1"/>
    <w:rsid w:val="008F291D"/>
    <w:rsid w:val="008F29A6"/>
    <w:rsid w:val="008F2EA1"/>
    <w:rsid w:val="008F2EF8"/>
    <w:rsid w:val="008F2FE4"/>
    <w:rsid w:val="008F313D"/>
    <w:rsid w:val="008F351E"/>
    <w:rsid w:val="008F353F"/>
    <w:rsid w:val="008F3DAD"/>
    <w:rsid w:val="008F3E6D"/>
    <w:rsid w:val="008F4732"/>
    <w:rsid w:val="008F4972"/>
    <w:rsid w:val="008F4A2A"/>
    <w:rsid w:val="008F5058"/>
    <w:rsid w:val="008F52A6"/>
    <w:rsid w:val="008F530C"/>
    <w:rsid w:val="008F55C5"/>
    <w:rsid w:val="008F58CD"/>
    <w:rsid w:val="008F5FC1"/>
    <w:rsid w:val="008F6106"/>
    <w:rsid w:val="008F69F0"/>
    <w:rsid w:val="008F6B30"/>
    <w:rsid w:val="008F6C28"/>
    <w:rsid w:val="008F6C80"/>
    <w:rsid w:val="008F6C89"/>
    <w:rsid w:val="008F6D81"/>
    <w:rsid w:val="008F6E88"/>
    <w:rsid w:val="008F6F3B"/>
    <w:rsid w:val="008F766E"/>
    <w:rsid w:val="008F77EA"/>
    <w:rsid w:val="008F7824"/>
    <w:rsid w:val="008F7AE8"/>
    <w:rsid w:val="008F7AF9"/>
    <w:rsid w:val="008F7BC6"/>
    <w:rsid w:val="008F7CF9"/>
    <w:rsid w:val="008F7F08"/>
    <w:rsid w:val="009000AA"/>
    <w:rsid w:val="00900353"/>
    <w:rsid w:val="009005C6"/>
    <w:rsid w:val="00901A16"/>
    <w:rsid w:val="00901A20"/>
    <w:rsid w:val="009021BF"/>
    <w:rsid w:val="00902C17"/>
    <w:rsid w:val="00902CEB"/>
    <w:rsid w:val="00902D95"/>
    <w:rsid w:val="00903525"/>
    <w:rsid w:val="00903A58"/>
    <w:rsid w:val="009048F0"/>
    <w:rsid w:val="009049AB"/>
    <w:rsid w:val="00904DB8"/>
    <w:rsid w:val="0090568B"/>
    <w:rsid w:val="00905D67"/>
    <w:rsid w:val="00906937"/>
    <w:rsid w:val="00906C8C"/>
    <w:rsid w:val="00907150"/>
    <w:rsid w:val="0090758F"/>
    <w:rsid w:val="0090783E"/>
    <w:rsid w:val="0090799E"/>
    <w:rsid w:val="00907ABB"/>
    <w:rsid w:val="00907FCF"/>
    <w:rsid w:val="0091031F"/>
    <w:rsid w:val="00910766"/>
    <w:rsid w:val="00910811"/>
    <w:rsid w:val="00910AE0"/>
    <w:rsid w:val="00910C3F"/>
    <w:rsid w:val="00910D8B"/>
    <w:rsid w:val="00910E2F"/>
    <w:rsid w:val="0091113A"/>
    <w:rsid w:val="00911ECC"/>
    <w:rsid w:val="00912573"/>
    <w:rsid w:val="009128C0"/>
    <w:rsid w:val="00912C33"/>
    <w:rsid w:val="00912CA6"/>
    <w:rsid w:val="0091302F"/>
    <w:rsid w:val="00913435"/>
    <w:rsid w:val="00913827"/>
    <w:rsid w:val="00913A9E"/>
    <w:rsid w:val="0091458A"/>
    <w:rsid w:val="00914C5E"/>
    <w:rsid w:val="009152DE"/>
    <w:rsid w:val="0091536F"/>
    <w:rsid w:val="0091578A"/>
    <w:rsid w:val="009157C1"/>
    <w:rsid w:val="009157FC"/>
    <w:rsid w:val="00915A43"/>
    <w:rsid w:val="00915C89"/>
    <w:rsid w:val="00916CEF"/>
    <w:rsid w:val="00916E53"/>
    <w:rsid w:val="009171D0"/>
    <w:rsid w:val="009173AA"/>
    <w:rsid w:val="00917C15"/>
    <w:rsid w:val="00917C23"/>
    <w:rsid w:val="00917CC3"/>
    <w:rsid w:val="00917CF2"/>
    <w:rsid w:val="0092054A"/>
    <w:rsid w:val="0092128C"/>
    <w:rsid w:val="00921808"/>
    <w:rsid w:val="009219D4"/>
    <w:rsid w:val="00921A42"/>
    <w:rsid w:val="00921D21"/>
    <w:rsid w:val="00921E4C"/>
    <w:rsid w:val="0092209E"/>
    <w:rsid w:val="00922161"/>
    <w:rsid w:val="0092241B"/>
    <w:rsid w:val="0092390B"/>
    <w:rsid w:val="00923BD4"/>
    <w:rsid w:val="00923E64"/>
    <w:rsid w:val="009240EE"/>
    <w:rsid w:val="00924765"/>
    <w:rsid w:val="009249C1"/>
    <w:rsid w:val="00924C8F"/>
    <w:rsid w:val="00924E98"/>
    <w:rsid w:val="009251BE"/>
    <w:rsid w:val="0092535D"/>
    <w:rsid w:val="00925AB4"/>
    <w:rsid w:val="00925BE7"/>
    <w:rsid w:val="00925C89"/>
    <w:rsid w:val="00925D53"/>
    <w:rsid w:val="00926183"/>
    <w:rsid w:val="00926597"/>
    <w:rsid w:val="009266E0"/>
    <w:rsid w:val="009267E0"/>
    <w:rsid w:val="00926AFD"/>
    <w:rsid w:val="00926CD3"/>
    <w:rsid w:val="00926F3C"/>
    <w:rsid w:val="00927264"/>
    <w:rsid w:val="00927E2A"/>
    <w:rsid w:val="009301BB"/>
    <w:rsid w:val="00930400"/>
    <w:rsid w:val="0093062E"/>
    <w:rsid w:val="0093094F"/>
    <w:rsid w:val="00930FD0"/>
    <w:rsid w:val="0093138F"/>
    <w:rsid w:val="009316AE"/>
    <w:rsid w:val="00931EFF"/>
    <w:rsid w:val="00932984"/>
    <w:rsid w:val="00932CD1"/>
    <w:rsid w:val="009336BC"/>
    <w:rsid w:val="009338C6"/>
    <w:rsid w:val="00933A5D"/>
    <w:rsid w:val="00933C9E"/>
    <w:rsid w:val="00933D94"/>
    <w:rsid w:val="00934265"/>
    <w:rsid w:val="009342CB"/>
    <w:rsid w:val="0093455C"/>
    <w:rsid w:val="009346CB"/>
    <w:rsid w:val="00934749"/>
    <w:rsid w:val="00935A49"/>
    <w:rsid w:val="00935D5D"/>
    <w:rsid w:val="00935E2E"/>
    <w:rsid w:val="00935E4A"/>
    <w:rsid w:val="00935F1C"/>
    <w:rsid w:val="009360FF"/>
    <w:rsid w:val="00936398"/>
    <w:rsid w:val="009363E8"/>
    <w:rsid w:val="0093667F"/>
    <w:rsid w:val="00936694"/>
    <w:rsid w:val="00936F45"/>
    <w:rsid w:val="0093700F"/>
    <w:rsid w:val="0093703D"/>
    <w:rsid w:val="009371D2"/>
    <w:rsid w:val="00937954"/>
    <w:rsid w:val="00937BCF"/>
    <w:rsid w:val="0094006B"/>
    <w:rsid w:val="0094074E"/>
    <w:rsid w:val="00940948"/>
    <w:rsid w:val="00940D5B"/>
    <w:rsid w:val="00941081"/>
    <w:rsid w:val="009417C7"/>
    <w:rsid w:val="00941D2A"/>
    <w:rsid w:val="00941DE6"/>
    <w:rsid w:val="0094209F"/>
    <w:rsid w:val="009423E7"/>
    <w:rsid w:val="0094246A"/>
    <w:rsid w:val="00942687"/>
    <w:rsid w:val="00942C2A"/>
    <w:rsid w:val="00942F2C"/>
    <w:rsid w:val="009434AE"/>
    <w:rsid w:val="0094411A"/>
    <w:rsid w:val="009447CD"/>
    <w:rsid w:val="00944FC9"/>
    <w:rsid w:val="00945137"/>
    <w:rsid w:val="0094549C"/>
    <w:rsid w:val="0094582B"/>
    <w:rsid w:val="00945AEB"/>
    <w:rsid w:val="00945C7E"/>
    <w:rsid w:val="00945DF6"/>
    <w:rsid w:val="00945EF6"/>
    <w:rsid w:val="00946093"/>
    <w:rsid w:val="0094669C"/>
    <w:rsid w:val="00946E20"/>
    <w:rsid w:val="00946F34"/>
    <w:rsid w:val="00947114"/>
    <w:rsid w:val="0094768B"/>
    <w:rsid w:val="00947699"/>
    <w:rsid w:val="00947C9A"/>
    <w:rsid w:val="00947E65"/>
    <w:rsid w:val="00950045"/>
    <w:rsid w:val="0095038A"/>
    <w:rsid w:val="009506BD"/>
    <w:rsid w:val="009506DE"/>
    <w:rsid w:val="00950D90"/>
    <w:rsid w:val="00950F97"/>
    <w:rsid w:val="009510B7"/>
    <w:rsid w:val="009519D3"/>
    <w:rsid w:val="00952683"/>
    <w:rsid w:val="009528CB"/>
    <w:rsid w:val="00952ADB"/>
    <w:rsid w:val="00953457"/>
    <w:rsid w:val="00954009"/>
    <w:rsid w:val="009540F9"/>
    <w:rsid w:val="00954B90"/>
    <w:rsid w:val="00954B91"/>
    <w:rsid w:val="00954BF5"/>
    <w:rsid w:val="00954C3E"/>
    <w:rsid w:val="00954DAC"/>
    <w:rsid w:val="00954E85"/>
    <w:rsid w:val="00954FF7"/>
    <w:rsid w:val="009550F1"/>
    <w:rsid w:val="009554EE"/>
    <w:rsid w:val="009556E1"/>
    <w:rsid w:val="00955F1B"/>
    <w:rsid w:val="00955F52"/>
    <w:rsid w:val="00956360"/>
    <w:rsid w:val="0095636B"/>
    <w:rsid w:val="00956514"/>
    <w:rsid w:val="009568BC"/>
    <w:rsid w:val="009568BF"/>
    <w:rsid w:val="00956EC9"/>
    <w:rsid w:val="009579BA"/>
    <w:rsid w:val="00957D28"/>
    <w:rsid w:val="00957DFB"/>
    <w:rsid w:val="0096026E"/>
    <w:rsid w:val="0096037F"/>
    <w:rsid w:val="009603AF"/>
    <w:rsid w:val="009607DC"/>
    <w:rsid w:val="0096098C"/>
    <w:rsid w:val="00960CE0"/>
    <w:rsid w:val="00960E28"/>
    <w:rsid w:val="00960E47"/>
    <w:rsid w:val="00960F1C"/>
    <w:rsid w:val="009613BD"/>
    <w:rsid w:val="009615C3"/>
    <w:rsid w:val="009616E7"/>
    <w:rsid w:val="00961738"/>
    <w:rsid w:val="0096181E"/>
    <w:rsid w:val="009626FA"/>
    <w:rsid w:val="009630D3"/>
    <w:rsid w:val="00963506"/>
    <w:rsid w:val="009635A0"/>
    <w:rsid w:val="009635CD"/>
    <w:rsid w:val="00963615"/>
    <w:rsid w:val="009637BB"/>
    <w:rsid w:val="00963C6D"/>
    <w:rsid w:val="00963CD3"/>
    <w:rsid w:val="00963D28"/>
    <w:rsid w:val="0096422C"/>
    <w:rsid w:val="00964554"/>
    <w:rsid w:val="00964DDD"/>
    <w:rsid w:val="009653E1"/>
    <w:rsid w:val="0096551D"/>
    <w:rsid w:val="00965663"/>
    <w:rsid w:val="009656BB"/>
    <w:rsid w:val="0096578C"/>
    <w:rsid w:val="00965DFB"/>
    <w:rsid w:val="00965E74"/>
    <w:rsid w:val="00965EBA"/>
    <w:rsid w:val="00966398"/>
    <w:rsid w:val="0096644B"/>
    <w:rsid w:val="00966634"/>
    <w:rsid w:val="0096703B"/>
    <w:rsid w:val="00967395"/>
    <w:rsid w:val="00967925"/>
    <w:rsid w:val="00967A8F"/>
    <w:rsid w:val="0097069C"/>
    <w:rsid w:val="00970873"/>
    <w:rsid w:val="00970A98"/>
    <w:rsid w:val="00970D16"/>
    <w:rsid w:val="00970D85"/>
    <w:rsid w:val="00970E76"/>
    <w:rsid w:val="0097108D"/>
    <w:rsid w:val="00971595"/>
    <w:rsid w:val="00971669"/>
    <w:rsid w:val="00971720"/>
    <w:rsid w:val="00971864"/>
    <w:rsid w:val="00971BF0"/>
    <w:rsid w:val="00971C20"/>
    <w:rsid w:val="00972016"/>
    <w:rsid w:val="00972413"/>
    <w:rsid w:val="00972667"/>
    <w:rsid w:val="009726B3"/>
    <w:rsid w:val="00972781"/>
    <w:rsid w:val="00972B1C"/>
    <w:rsid w:val="00973187"/>
    <w:rsid w:val="009734EF"/>
    <w:rsid w:val="00973540"/>
    <w:rsid w:val="009735FD"/>
    <w:rsid w:val="00973A8E"/>
    <w:rsid w:val="00973B40"/>
    <w:rsid w:val="00973EE7"/>
    <w:rsid w:val="009741FF"/>
    <w:rsid w:val="00974843"/>
    <w:rsid w:val="00974C43"/>
    <w:rsid w:val="009758A5"/>
    <w:rsid w:val="0097594B"/>
    <w:rsid w:val="00975CC2"/>
    <w:rsid w:val="00975D8F"/>
    <w:rsid w:val="00975E0F"/>
    <w:rsid w:val="00975E68"/>
    <w:rsid w:val="00976A71"/>
    <w:rsid w:val="00976A89"/>
    <w:rsid w:val="00976C10"/>
    <w:rsid w:val="00976E41"/>
    <w:rsid w:val="00976F25"/>
    <w:rsid w:val="00977054"/>
    <w:rsid w:val="009800EF"/>
    <w:rsid w:val="00980EE2"/>
    <w:rsid w:val="0098163E"/>
    <w:rsid w:val="009818E8"/>
    <w:rsid w:val="00981B46"/>
    <w:rsid w:val="00981C47"/>
    <w:rsid w:val="00981D7D"/>
    <w:rsid w:val="00981E04"/>
    <w:rsid w:val="00981F5B"/>
    <w:rsid w:val="0098273A"/>
    <w:rsid w:val="009832D4"/>
    <w:rsid w:val="00983317"/>
    <w:rsid w:val="00983600"/>
    <w:rsid w:val="009846B6"/>
    <w:rsid w:val="00984D8A"/>
    <w:rsid w:val="00984DD9"/>
    <w:rsid w:val="009850C5"/>
    <w:rsid w:val="0098515C"/>
    <w:rsid w:val="00985195"/>
    <w:rsid w:val="00985212"/>
    <w:rsid w:val="009852CE"/>
    <w:rsid w:val="00985D80"/>
    <w:rsid w:val="00985EF7"/>
    <w:rsid w:val="009865A7"/>
    <w:rsid w:val="00986CBE"/>
    <w:rsid w:val="00986D80"/>
    <w:rsid w:val="00986E2E"/>
    <w:rsid w:val="009875B5"/>
    <w:rsid w:val="0098795C"/>
    <w:rsid w:val="00987E0F"/>
    <w:rsid w:val="00990808"/>
    <w:rsid w:val="00991158"/>
    <w:rsid w:val="00991407"/>
    <w:rsid w:val="009914AD"/>
    <w:rsid w:val="00991532"/>
    <w:rsid w:val="009915D2"/>
    <w:rsid w:val="00991CA1"/>
    <w:rsid w:val="00991ECC"/>
    <w:rsid w:val="009922AA"/>
    <w:rsid w:val="00992342"/>
    <w:rsid w:val="0099248F"/>
    <w:rsid w:val="009925FC"/>
    <w:rsid w:val="00992A00"/>
    <w:rsid w:val="0099331F"/>
    <w:rsid w:val="0099446D"/>
    <w:rsid w:val="0099468B"/>
    <w:rsid w:val="00994915"/>
    <w:rsid w:val="0099492E"/>
    <w:rsid w:val="00995189"/>
    <w:rsid w:val="0099520A"/>
    <w:rsid w:val="009953C9"/>
    <w:rsid w:val="0099566B"/>
    <w:rsid w:val="00995C6E"/>
    <w:rsid w:val="00995EF6"/>
    <w:rsid w:val="0099601B"/>
    <w:rsid w:val="00996161"/>
    <w:rsid w:val="009961CB"/>
    <w:rsid w:val="00996374"/>
    <w:rsid w:val="009963EF"/>
    <w:rsid w:val="009964A6"/>
    <w:rsid w:val="009964E6"/>
    <w:rsid w:val="0099652B"/>
    <w:rsid w:val="00996531"/>
    <w:rsid w:val="00996673"/>
    <w:rsid w:val="009967BC"/>
    <w:rsid w:val="0099684F"/>
    <w:rsid w:val="009969EF"/>
    <w:rsid w:val="00996BA0"/>
    <w:rsid w:val="00996BF4"/>
    <w:rsid w:val="00996C77"/>
    <w:rsid w:val="00996F0C"/>
    <w:rsid w:val="009970F2"/>
    <w:rsid w:val="00997161"/>
    <w:rsid w:val="009971E0"/>
    <w:rsid w:val="009972D4"/>
    <w:rsid w:val="00997855"/>
    <w:rsid w:val="00997899"/>
    <w:rsid w:val="009978BE"/>
    <w:rsid w:val="0099799D"/>
    <w:rsid w:val="00997CFA"/>
    <w:rsid w:val="009A02F4"/>
    <w:rsid w:val="009A0757"/>
    <w:rsid w:val="009A0C58"/>
    <w:rsid w:val="009A0CDA"/>
    <w:rsid w:val="009A0DA4"/>
    <w:rsid w:val="009A0EBC"/>
    <w:rsid w:val="009A117B"/>
    <w:rsid w:val="009A178C"/>
    <w:rsid w:val="009A1C0F"/>
    <w:rsid w:val="009A1EE4"/>
    <w:rsid w:val="009A1F99"/>
    <w:rsid w:val="009A27EE"/>
    <w:rsid w:val="009A2C14"/>
    <w:rsid w:val="009A32AB"/>
    <w:rsid w:val="009A3332"/>
    <w:rsid w:val="009A38E9"/>
    <w:rsid w:val="009A3988"/>
    <w:rsid w:val="009A3C74"/>
    <w:rsid w:val="009A4179"/>
    <w:rsid w:val="009A4313"/>
    <w:rsid w:val="009A495D"/>
    <w:rsid w:val="009A4A17"/>
    <w:rsid w:val="009A4D2B"/>
    <w:rsid w:val="009A4D3D"/>
    <w:rsid w:val="009A5222"/>
    <w:rsid w:val="009A581D"/>
    <w:rsid w:val="009A5FEA"/>
    <w:rsid w:val="009A62DB"/>
    <w:rsid w:val="009A654C"/>
    <w:rsid w:val="009A6621"/>
    <w:rsid w:val="009A6702"/>
    <w:rsid w:val="009A694E"/>
    <w:rsid w:val="009A6ED5"/>
    <w:rsid w:val="009A6FCE"/>
    <w:rsid w:val="009A7748"/>
    <w:rsid w:val="009A79DE"/>
    <w:rsid w:val="009A7A6D"/>
    <w:rsid w:val="009A7E32"/>
    <w:rsid w:val="009B0081"/>
    <w:rsid w:val="009B0369"/>
    <w:rsid w:val="009B03AE"/>
    <w:rsid w:val="009B0461"/>
    <w:rsid w:val="009B0599"/>
    <w:rsid w:val="009B0669"/>
    <w:rsid w:val="009B0908"/>
    <w:rsid w:val="009B0BA3"/>
    <w:rsid w:val="009B0BBF"/>
    <w:rsid w:val="009B0E31"/>
    <w:rsid w:val="009B1309"/>
    <w:rsid w:val="009B1625"/>
    <w:rsid w:val="009B1A27"/>
    <w:rsid w:val="009B23D5"/>
    <w:rsid w:val="009B276A"/>
    <w:rsid w:val="009B2FE3"/>
    <w:rsid w:val="009B313B"/>
    <w:rsid w:val="009B340D"/>
    <w:rsid w:val="009B3465"/>
    <w:rsid w:val="009B3666"/>
    <w:rsid w:val="009B3830"/>
    <w:rsid w:val="009B4237"/>
    <w:rsid w:val="009B4643"/>
    <w:rsid w:val="009B46B6"/>
    <w:rsid w:val="009B48AA"/>
    <w:rsid w:val="009B4AD0"/>
    <w:rsid w:val="009B4F4E"/>
    <w:rsid w:val="009B544A"/>
    <w:rsid w:val="009B57F6"/>
    <w:rsid w:val="009B5B67"/>
    <w:rsid w:val="009B5BED"/>
    <w:rsid w:val="009B5DD1"/>
    <w:rsid w:val="009B6151"/>
    <w:rsid w:val="009B6304"/>
    <w:rsid w:val="009B68AA"/>
    <w:rsid w:val="009B6C89"/>
    <w:rsid w:val="009B6F37"/>
    <w:rsid w:val="009B7263"/>
    <w:rsid w:val="009B767E"/>
    <w:rsid w:val="009B7750"/>
    <w:rsid w:val="009B77E4"/>
    <w:rsid w:val="009B784D"/>
    <w:rsid w:val="009C0C62"/>
    <w:rsid w:val="009C178A"/>
    <w:rsid w:val="009C18C8"/>
    <w:rsid w:val="009C193E"/>
    <w:rsid w:val="009C1D56"/>
    <w:rsid w:val="009C213F"/>
    <w:rsid w:val="009C2EA6"/>
    <w:rsid w:val="009C2ECE"/>
    <w:rsid w:val="009C3200"/>
    <w:rsid w:val="009C3532"/>
    <w:rsid w:val="009C3797"/>
    <w:rsid w:val="009C3BC7"/>
    <w:rsid w:val="009C3D86"/>
    <w:rsid w:val="009C41FE"/>
    <w:rsid w:val="009C42F8"/>
    <w:rsid w:val="009C4573"/>
    <w:rsid w:val="009C48F2"/>
    <w:rsid w:val="009C4C0E"/>
    <w:rsid w:val="009C4C85"/>
    <w:rsid w:val="009C4F18"/>
    <w:rsid w:val="009C5192"/>
    <w:rsid w:val="009C51E4"/>
    <w:rsid w:val="009C548C"/>
    <w:rsid w:val="009C5620"/>
    <w:rsid w:val="009C56B4"/>
    <w:rsid w:val="009C57C2"/>
    <w:rsid w:val="009C58A0"/>
    <w:rsid w:val="009C5995"/>
    <w:rsid w:val="009C600B"/>
    <w:rsid w:val="009C6391"/>
    <w:rsid w:val="009C643C"/>
    <w:rsid w:val="009C6D96"/>
    <w:rsid w:val="009C6F68"/>
    <w:rsid w:val="009C7271"/>
    <w:rsid w:val="009C741F"/>
    <w:rsid w:val="009C7920"/>
    <w:rsid w:val="009C7B29"/>
    <w:rsid w:val="009C7BCE"/>
    <w:rsid w:val="009C7E6A"/>
    <w:rsid w:val="009D013E"/>
    <w:rsid w:val="009D0487"/>
    <w:rsid w:val="009D0CEE"/>
    <w:rsid w:val="009D0E7D"/>
    <w:rsid w:val="009D0F20"/>
    <w:rsid w:val="009D154B"/>
    <w:rsid w:val="009D1739"/>
    <w:rsid w:val="009D2281"/>
    <w:rsid w:val="009D234C"/>
    <w:rsid w:val="009D2776"/>
    <w:rsid w:val="009D39AD"/>
    <w:rsid w:val="009D3C25"/>
    <w:rsid w:val="009D3DCC"/>
    <w:rsid w:val="009D4677"/>
    <w:rsid w:val="009D472D"/>
    <w:rsid w:val="009D4A09"/>
    <w:rsid w:val="009D512C"/>
    <w:rsid w:val="009D5426"/>
    <w:rsid w:val="009D54DD"/>
    <w:rsid w:val="009D57DC"/>
    <w:rsid w:val="009D5BAA"/>
    <w:rsid w:val="009D5CFD"/>
    <w:rsid w:val="009D5D29"/>
    <w:rsid w:val="009D5E35"/>
    <w:rsid w:val="009D60B2"/>
    <w:rsid w:val="009D61A4"/>
    <w:rsid w:val="009D638B"/>
    <w:rsid w:val="009D675E"/>
    <w:rsid w:val="009D69DF"/>
    <w:rsid w:val="009D71CB"/>
    <w:rsid w:val="009D736D"/>
    <w:rsid w:val="009D74D1"/>
    <w:rsid w:val="009D7E2A"/>
    <w:rsid w:val="009D7F06"/>
    <w:rsid w:val="009E035B"/>
    <w:rsid w:val="009E0412"/>
    <w:rsid w:val="009E0726"/>
    <w:rsid w:val="009E0B40"/>
    <w:rsid w:val="009E0D12"/>
    <w:rsid w:val="009E1271"/>
    <w:rsid w:val="009E15E2"/>
    <w:rsid w:val="009E15ED"/>
    <w:rsid w:val="009E1823"/>
    <w:rsid w:val="009E1A56"/>
    <w:rsid w:val="009E1BCC"/>
    <w:rsid w:val="009E1DA8"/>
    <w:rsid w:val="009E1FA3"/>
    <w:rsid w:val="009E211F"/>
    <w:rsid w:val="009E2965"/>
    <w:rsid w:val="009E2CA4"/>
    <w:rsid w:val="009E314F"/>
    <w:rsid w:val="009E34C1"/>
    <w:rsid w:val="009E3605"/>
    <w:rsid w:val="009E3E9E"/>
    <w:rsid w:val="009E487B"/>
    <w:rsid w:val="009E4A43"/>
    <w:rsid w:val="009E4AF5"/>
    <w:rsid w:val="009E4F46"/>
    <w:rsid w:val="009E5385"/>
    <w:rsid w:val="009E54AA"/>
    <w:rsid w:val="009E58AD"/>
    <w:rsid w:val="009E60FF"/>
    <w:rsid w:val="009E6159"/>
    <w:rsid w:val="009E61A0"/>
    <w:rsid w:val="009E61E4"/>
    <w:rsid w:val="009E64A4"/>
    <w:rsid w:val="009E6A0F"/>
    <w:rsid w:val="009E6B1E"/>
    <w:rsid w:val="009E6E05"/>
    <w:rsid w:val="009E7230"/>
    <w:rsid w:val="009E79EE"/>
    <w:rsid w:val="009F02B7"/>
    <w:rsid w:val="009F0567"/>
    <w:rsid w:val="009F085E"/>
    <w:rsid w:val="009F0CB9"/>
    <w:rsid w:val="009F1972"/>
    <w:rsid w:val="009F19E2"/>
    <w:rsid w:val="009F1BA4"/>
    <w:rsid w:val="009F23C4"/>
    <w:rsid w:val="009F2ACC"/>
    <w:rsid w:val="009F2D9C"/>
    <w:rsid w:val="009F3024"/>
    <w:rsid w:val="009F3248"/>
    <w:rsid w:val="009F3349"/>
    <w:rsid w:val="009F3655"/>
    <w:rsid w:val="009F3CB8"/>
    <w:rsid w:val="009F4310"/>
    <w:rsid w:val="009F45AB"/>
    <w:rsid w:val="009F4A62"/>
    <w:rsid w:val="009F4CF5"/>
    <w:rsid w:val="009F54DC"/>
    <w:rsid w:val="009F59BC"/>
    <w:rsid w:val="009F5CFA"/>
    <w:rsid w:val="009F5F4D"/>
    <w:rsid w:val="009F6099"/>
    <w:rsid w:val="009F6B10"/>
    <w:rsid w:val="009F6C26"/>
    <w:rsid w:val="009F6CDB"/>
    <w:rsid w:val="009F6F51"/>
    <w:rsid w:val="009F70FE"/>
    <w:rsid w:val="009F7327"/>
    <w:rsid w:val="009F736D"/>
    <w:rsid w:val="009F7515"/>
    <w:rsid w:val="009F7CC7"/>
    <w:rsid w:val="00A0028C"/>
    <w:rsid w:val="00A006E3"/>
    <w:rsid w:val="00A00A8B"/>
    <w:rsid w:val="00A00AE4"/>
    <w:rsid w:val="00A00B07"/>
    <w:rsid w:val="00A01179"/>
    <w:rsid w:val="00A0170D"/>
    <w:rsid w:val="00A01893"/>
    <w:rsid w:val="00A01C65"/>
    <w:rsid w:val="00A01E51"/>
    <w:rsid w:val="00A023D3"/>
    <w:rsid w:val="00A0245B"/>
    <w:rsid w:val="00A024F8"/>
    <w:rsid w:val="00A0254E"/>
    <w:rsid w:val="00A025B4"/>
    <w:rsid w:val="00A0281F"/>
    <w:rsid w:val="00A02CCE"/>
    <w:rsid w:val="00A02E8A"/>
    <w:rsid w:val="00A03705"/>
    <w:rsid w:val="00A03904"/>
    <w:rsid w:val="00A0481F"/>
    <w:rsid w:val="00A0493F"/>
    <w:rsid w:val="00A04A5C"/>
    <w:rsid w:val="00A04E3C"/>
    <w:rsid w:val="00A05892"/>
    <w:rsid w:val="00A0593F"/>
    <w:rsid w:val="00A05A62"/>
    <w:rsid w:val="00A05CFC"/>
    <w:rsid w:val="00A06215"/>
    <w:rsid w:val="00A064C2"/>
    <w:rsid w:val="00A0684C"/>
    <w:rsid w:val="00A06B7D"/>
    <w:rsid w:val="00A06C15"/>
    <w:rsid w:val="00A06D1C"/>
    <w:rsid w:val="00A06E92"/>
    <w:rsid w:val="00A06E98"/>
    <w:rsid w:val="00A07146"/>
    <w:rsid w:val="00A072EE"/>
    <w:rsid w:val="00A07324"/>
    <w:rsid w:val="00A07331"/>
    <w:rsid w:val="00A07769"/>
    <w:rsid w:val="00A07851"/>
    <w:rsid w:val="00A10366"/>
    <w:rsid w:val="00A10454"/>
    <w:rsid w:val="00A110AC"/>
    <w:rsid w:val="00A11329"/>
    <w:rsid w:val="00A11412"/>
    <w:rsid w:val="00A11A2C"/>
    <w:rsid w:val="00A11F9C"/>
    <w:rsid w:val="00A126F7"/>
    <w:rsid w:val="00A130DD"/>
    <w:rsid w:val="00A1343B"/>
    <w:rsid w:val="00A13B03"/>
    <w:rsid w:val="00A13CCE"/>
    <w:rsid w:val="00A13CF3"/>
    <w:rsid w:val="00A13D83"/>
    <w:rsid w:val="00A13FA9"/>
    <w:rsid w:val="00A146BD"/>
    <w:rsid w:val="00A1492B"/>
    <w:rsid w:val="00A14A2B"/>
    <w:rsid w:val="00A14C67"/>
    <w:rsid w:val="00A15B53"/>
    <w:rsid w:val="00A16845"/>
    <w:rsid w:val="00A16F11"/>
    <w:rsid w:val="00A17EB8"/>
    <w:rsid w:val="00A17FC3"/>
    <w:rsid w:val="00A20236"/>
    <w:rsid w:val="00A20663"/>
    <w:rsid w:val="00A209AA"/>
    <w:rsid w:val="00A20A8C"/>
    <w:rsid w:val="00A20C0C"/>
    <w:rsid w:val="00A20CBF"/>
    <w:rsid w:val="00A20FAE"/>
    <w:rsid w:val="00A22699"/>
    <w:rsid w:val="00A22A4B"/>
    <w:rsid w:val="00A22B2D"/>
    <w:rsid w:val="00A22ECA"/>
    <w:rsid w:val="00A231EA"/>
    <w:rsid w:val="00A2329B"/>
    <w:rsid w:val="00A23320"/>
    <w:rsid w:val="00A23691"/>
    <w:rsid w:val="00A23C5B"/>
    <w:rsid w:val="00A2409A"/>
    <w:rsid w:val="00A2410A"/>
    <w:rsid w:val="00A24112"/>
    <w:rsid w:val="00A2436D"/>
    <w:rsid w:val="00A244B2"/>
    <w:rsid w:val="00A24692"/>
    <w:rsid w:val="00A24D45"/>
    <w:rsid w:val="00A25046"/>
    <w:rsid w:val="00A252DF"/>
    <w:rsid w:val="00A2531A"/>
    <w:rsid w:val="00A256AE"/>
    <w:rsid w:val="00A256C7"/>
    <w:rsid w:val="00A25D59"/>
    <w:rsid w:val="00A25E36"/>
    <w:rsid w:val="00A26069"/>
    <w:rsid w:val="00A264E3"/>
    <w:rsid w:val="00A26AA9"/>
    <w:rsid w:val="00A26B6D"/>
    <w:rsid w:val="00A26D63"/>
    <w:rsid w:val="00A27086"/>
    <w:rsid w:val="00A271B7"/>
    <w:rsid w:val="00A2726A"/>
    <w:rsid w:val="00A27A6B"/>
    <w:rsid w:val="00A300EB"/>
    <w:rsid w:val="00A30275"/>
    <w:rsid w:val="00A30C5C"/>
    <w:rsid w:val="00A30F3A"/>
    <w:rsid w:val="00A310CB"/>
    <w:rsid w:val="00A3112D"/>
    <w:rsid w:val="00A3155C"/>
    <w:rsid w:val="00A31565"/>
    <w:rsid w:val="00A319ED"/>
    <w:rsid w:val="00A325D2"/>
    <w:rsid w:val="00A325E1"/>
    <w:rsid w:val="00A32760"/>
    <w:rsid w:val="00A3391A"/>
    <w:rsid w:val="00A33981"/>
    <w:rsid w:val="00A34223"/>
    <w:rsid w:val="00A34391"/>
    <w:rsid w:val="00A343E5"/>
    <w:rsid w:val="00A3518B"/>
    <w:rsid w:val="00A354A0"/>
    <w:rsid w:val="00A35B38"/>
    <w:rsid w:val="00A35B90"/>
    <w:rsid w:val="00A35BCE"/>
    <w:rsid w:val="00A35DBA"/>
    <w:rsid w:val="00A362AD"/>
    <w:rsid w:val="00A3669A"/>
    <w:rsid w:val="00A36A99"/>
    <w:rsid w:val="00A36D7F"/>
    <w:rsid w:val="00A36DE0"/>
    <w:rsid w:val="00A36EEA"/>
    <w:rsid w:val="00A3710D"/>
    <w:rsid w:val="00A37171"/>
    <w:rsid w:val="00A373AC"/>
    <w:rsid w:val="00A37608"/>
    <w:rsid w:val="00A37A7B"/>
    <w:rsid w:val="00A37E07"/>
    <w:rsid w:val="00A40002"/>
    <w:rsid w:val="00A40CF8"/>
    <w:rsid w:val="00A40D3D"/>
    <w:rsid w:val="00A41000"/>
    <w:rsid w:val="00A412DB"/>
    <w:rsid w:val="00A417BF"/>
    <w:rsid w:val="00A419B9"/>
    <w:rsid w:val="00A41A9B"/>
    <w:rsid w:val="00A41D69"/>
    <w:rsid w:val="00A41F53"/>
    <w:rsid w:val="00A4213A"/>
    <w:rsid w:val="00A42905"/>
    <w:rsid w:val="00A4316A"/>
    <w:rsid w:val="00A436C9"/>
    <w:rsid w:val="00A4396B"/>
    <w:rsid w:val="00A43A19"/>
    <w:rsid w:val="00A43D9E"/>
    <w:rsid w:val="00A43E5D"/>
    <w:rsid w:val="00A43F9D"/>
    <w:rsid w:val="00A44386"/>
    <w:rsid w:val="00A44781"/>
    <w:rsid w:val="00A447D3"/>
    <w:rsid w:val="00A44FD8"/>
    <w:rsid w:val="00A459DD"/>
    <w:rsid w:val="00A45D26"/>
    <w:rsid w:val="00A45E02"/>
    <w:rsid w:val="00A45F47"/>
    <w:rsid w:val="00A4617B"/>
    <w:rsid w:val="00A46355"/>
    <w:rsid w:val="00A464BA"/>
    <w:rsid w:val="00A46C0A"/>
    <w:rsid w:val="00A46C99"/>
    <w:rsid w:val="00A470FA"/>
    <w:rsid w:val="00A47502"/>
    <w:rsid w:val="00A47652"/>
    <w:rsid w:val="00A47AC7"/>
    <w:rsid w:val="00A500FF"/>
    <w:rsid w:val="00A5031F"/>
    <w:rsid w:val="00A50929"/>
    <w:rsid w:val="00A50ED2"/>
    <w:rsid w:val="00A510B2"/>
    <w:rsid w:val="00A514E2"/>
    <w:rsid w:val="00A51614"/>
    <w:rsid w:val="00A51FE1"/>
    <w:rsid w:val="00A5223C"/>
    <w:rsid w:val="00A52362"/>
    <w:rsid w:val="00A52913"/>
    <w:rsid w:val="00A529EF"/>
    <w:rsid w:val="00A52A63"/>
    <w:rsid w:val="00A53049"/>
    <w:rsid w:val="00A53120"/>
    <w:rsid w:val="00A53A03"/>
    <w:rsid w:val="00A53A36"/>
    <w:rsid w:val="00A53C5A"/>
    <w:rsid w:val="00A54031"/>
    <w:rsid w:val="00A5424F"/>
    <w:rsid w:val="00A54977"/>
    <w:rsid w:val="00A54BBE"/>
    <w:rsid w:val="00A552CA"/>
    <w:rsid w:val="00A55740"/>
    <w:rsid w:val="00A5586C"/>
    <w:rsid w:val="00A559E2"/>
    <w:rsid w:val="00A55A0D"/>
    <w:rsid w:val="00A55B66"/>
    <w:rsid w:val="00A56187"/>
    <w:rsid w:val="00A561F0"/>
    <w:rsid w:val="00A56208"/>
    <w:rsid w:val="00A56901"/>
    <w:rsid w:val="00A56C43"/>
    <w:rsid w:val="00A57261"/>
    <w:rsid w:val="00A57321"/>
    <w:rsid w:val="00A576F3"/>
    <w:rsid w:val="00A5785C"/>
    <w:rsid w:val="00A57A17"/>
    <w:rsid w:val="00A57D61"/>
    <w:rsid w:val="00A57EED"/>
    <w:rsid w:val="00A57F89"/>
    <w:rsid w:val="00A6000A"/>
    <w:rsid w:val="00A602AD"/>
    <w:rsid w:val="00A60994"/>
    <w:rsid w:val="00A60B1D"/>
    <w:rsid w:val="00A60D2C"/>
    <w:rsid w:val="00A61663"/>
    <w:rsid w:val="00A618DB"/>
    <w:rsid w:val="00A6190F"/>
    <w:rsid w:val="00A62203"/>
    <w:rsid w:val="00A624A2"/>
    <w:rsid w:val="00A631FC"/>
    <w:rsid w:val="00A63C37"/>
    <w:rsid w:val="00A63C55"/>
    <w:rsid w:val="00A6446F"/>
    <w:rsid w:val="00A6469C"/>
    <w:rsid w:val="00A64A1F"/>
    <w:rsid w:val="00A64B1C"/>
    <w:rsid w:val="00A64BC4"/>
    <w:rsid w:val="00A64D15"/>
    <w:rsid w:val="00A653FE"/>
    <w:rsid w:val="00A6545F"/>
    <w:rsid w:val="00A65626"/>
    <w:rsid w:val="00A65B1C"/>
    <w:rsid w:val="00A65E4B"/>
    <w:rsid w:val="00A65F73"/>
    <w:rsid w:val="00A66702"/>
    <w:rsid w:val="00A66B44"/>
    <w:rsid w:val="00A66C99"/>
    <w:rsid w:val="00A67371"/>
    <w:rsid w:val="00A6745F"/>
    <w:rsid w:val="00A6793A"/>
    <w:rsid w:val="00A67B2D"/>
    <w:rsid w:val="00A67B6C"/>
    <w:rsid w:val="00A70172"/>
    <w:rsid w:val="00A70937"/>
    <w:rsid w:val="00A70979"/>
    <w:rsid w:val="00A70C79"/>
    <w:rsid w:val="00A71033"/>
    <w:rsid w:val="00A71400"/>
    <w:rsid w:val="00A71EE4"/>
    <w:rsid w:val="00A720E9"/>
    <w:rsid w:val="00A720FB"/>
    <w:rsid w:val="00A723B5"/>
    <w:rsid w:val="00A724BC"/>
    <w:rsid w:val="00A727F0"/>
    <w:rsid w:val="00A72A25"/>
    <w:rsid w:val="00A72A84"/>
    <w:rsid w:val="00A73941"/>
    <w:rsid w:val="00A73F81"/>
    <w:rsid w:val="00A74122"/>
    <w:rsid w:val="00A74DFC"/>
    <w:rsid w:val="00A75046"/>
    <w:rsid w:val="00A75050"/>
    <w:rsid w:val="00A75064"/>
    <w:rsid w:val="00A751B9"/>
    <w:rsid w:val="00A753BE"/>
    <w:rsid w:val="00A754D1"/>
    <w:rsid w:val="00A75C2B"/>
    <w:rsid w:val="00A75DE4"/>
    <w:rsid w:val="00A75E63"/>
    <w:rsid w:val="00A76C5F"/>
    <w:rsid w:val="00A77583"/>
    <w:rsid w:val="00A77645"/>
    <w:rsid w:val="00A777CA"/>
    <w:rsid w:val="00A77A16"/>
    <w:rsid w:val="00A77D7C"/>
    <w:rsid w:val="00A806D8"/>
    <w:rsid w:val="00A80A69"/>
    <w:rsid w:val="00A80F4E"/>
    <w:rsid w:val="00A80F5C"/>
    <w:rsid w:val="00A81232"/>
    <w:rsid w:val="00A81970"/>
    <w:rsid w:val="00A81B73"/>
    <w:rsid w:val="00A81F38"/>
    <w:rsid w:val="00A82040"/>
    <w:rsid w:val="00A824EE"/>
    <w:rsid w:val="00A82849"/>
    <w:rsid w:val="00A82F5D"/>
    <w:rsid w:val="00A82F93"/>
    <w:rsid w:val="00A83312"/>
    <w:rsid w:val="00A835FF"/>
    <w:rsid w:val="00A8380E"/>
    <w:rsid w:val="00A83A2F"/>
    <w:rsid w:val="00A84292"/>
    <w:rsid w:val="00A84660"/>
    <w:rsid w:val="00A84C8E"/>
    <w:rsid w:val="00A84D40"/>
    <w:rsid w:val="00A84F7C"/>
    <w:rsid w:val="00A85377"/>
    <w:rsid w:val="00A855EA"/>
    <w:rsid w:val="00A85723"/>
    <w:rsid w:val="00A859DA"/>
    <w:rsid w:val="00A85B48"/>
    <w:rsid w:val="00A860BA"/>
    <w:rsid w:val="00A8640D"/>
    <w:rsid w:val="00A868A4"/>
    <w:rsid w:val="00A86928"/>
    <w:rsid w:val="00A86EFC"/>
    <w:rsid w:val="00A86F92"/>
    <w:rsid w:val="00A870CC"/>
    <w:rsid w:val="00A871F8"/>
    <w:rsid w:val="00A8770E"/>
    <w:rsid w:val="00A87C22"/>
    <w:rsid w:val="00A87DB4"/>
    <w:rsid w:val="00A87F5B"/>
    <w:rsid w:val="00A90029"/>
    <w:rsid w:val="00A91025"/>
    <w:rsid w:val="00A911E2"/>
    <w:rsid w:val="00A9137F"/>
    <w:rsid w:val="00A91412"/>
    <w:rsid w:val="00A91BD7"/>
    <w:rsid w:val="00A920F0"/>
    <w:rsid w:val="00A92372"/>
    <w:rsid w:val="00A9267F"/>
    <w:rsid w:val="00A92DF6"/>
    <w:rsid w:val="00A93144"/>
    <w:rsid w:val="00A93AF5"/>
    <w:rsid w:val="00A93C88"/>
    <w:rsid w:val="00A93D96"/>
    <w:rsid w:val="00A94505"/>
    <w:rsid w:val="00A946F6"/>
    <w:rsid w:val="00A94AB6"/>
    <w:rsid w:val="00A94B68"/>
    <w:rsid w:val="00A94EC2"/>
    <w:rsid w:val="00A94ED8"/>
    <w:rsid w:val="00A9514B"/>
    <w:rsid w:val="00A95793"/>
    <w:rsid w:val="00A95A82"/>
    <w:rsid w:val="00A95C8F"/>
    <w:rsid w:val="00A95D96"/>
    <w:rsid w:val="00A96030"/>
    <w:rsid w:val="00A966B2"/>
    <w:rsid w:val="00A966ED"/>
    <w:rsid w:val="00A96973"/>
    <w:rsid w:val="00A96E1E"/>
    <w:rsid w:val="00A972A3"/>
    <w:rsid w:val="00A97A71"/>
    <w:rsid w:val="00A97E6C"/>
    <w:rsid w:val="00A97F5D"/>
    <w:rsid w:val="00AA03BA"/>
    <w:rsid w:val="00AA0A20"/>
    <w:rsid w:val="00AA0B8D"/>
    <w:rsid w:val="00AA0E5A"/>
    <w:rsid w:val="00AA0EAF"/>
    <w:rsid w:val="00AA0F47"/>
    <w:rsid w:val="00AA13AF"/>
    <w:rsid w:val="00AA1676"/>
    <w:rsid w:val="00AA1F80"/>
    <w:rsid w:val="00AA25A2"/>
    <w:rsid w:val="00AA2A18"/>
    <w:rsid w:val="00AA2A61"/>
    <w:rsid w:val="00AA2AA4"/>
    <w:rsid w:val="00AA2D90"/>
    <w:rsid w:val="00AA2DCD"/>
    <w:rsid w:val="00AA2F82"/>
    <w:rsid w:val="00AA3047"/>
    <w:rsid w:val="00AA31C8"/>
    <w:rsid w:val="00AA32C3"/>
    <w:rsid w:val="00AA37AA"/>
    <w:rsid w:val="00AA3BE0"/>
    <w:rsid w:val="00AA3DE9"/>
    <w:rsid w:val="00AA3DFA"/>
    <w:rsid w:val="00AA3E21"/>
    <w:rsid w:val="00AA3F28"/>
    <w:rsid w:val="00AA418E"/>
    <w:rsid w:val="00AA4989"/>
    <w:rsid w:val="00AA4A90"/>
    <w:rsid w:val="00AA4AF9"/>
    <w:rsid w:val="00AA4B84"/>
    <w:rsid w:val="00AA4B96"/>
    <w:rsid w:val="00AA4ED9"/>
    <w:rsid w:val="00AA4F55"/>
    <w:rsid w:val="00AA50DA"/>
    <w:rsid w:val="00AA5261"/>
    <w:rsid w:val="00AA549B"/>
    <w:rsid w:val="00AA634A"/>
    <w:rsid w:val="00AA6782"/>
    <w:rsid w:val="00AA692A"/>
    <w:rsid w:val="00AA6EB9"/>
    <w:rsid w:val="00AA76A5"/>
    <w:rsid w:val="00AA7822"/>
    <w:rsid w:val="00AA7A6C"/>
    <w:rsid w:val="00AB06E5"/>
    <w:rsid w:val="00AB080E"/>
    <w:rsid w:val="00AB08DB"/>
    <w:rsid w:val="00AB09AA"/>
    <w:rsid w:val="00AB0AA4"/>
    <w:rsid w:val="00AB0AA5"/>
    <w:rsid w:val="00AB13F1"/>
    <w:rsid w:val="00AB178A"/>
    <w:rsid w:val="00AB20DB"/>
    <w:rsid w:val="00AB2B1A"/>
    <w:rsid w:val="00AB2CB5"/>
    <w:rsid w:val="00AB30D0"/>
    <w:rsid w:val="00AB35DE"/>
    <w:rsid w:val="00AB3D45"/>
    <w:rsid w:val="00AB46E4"/>
    <w:rsid w:val="00AB473A"/>
    <w:rsid w:val="00AB47E4"/>
    <w:rsid w:val="00AB47FD"/>
    <w:rsid w:val="00AB4A8A"/>
    <w:rsid w:val="00AB4CA8"/>
    <w:rsid w:val="00AB4F8D"/>
    <w:rsid w:val="00AB5AC8"/>
    <w:rsid w:val="00AB5D50"/>
    <w:rsid w:val="00AB5F65"/>
    <w:rsid w:val="00AB634D"/>
    <w:rsid w:val="00AB6B92"/>
    <w:rsid w:val="00AB75C1"/>
    <w:rsid w:val="00AB76CB"/>
    <w:rsid w:val="00AC035E"/>
    <w:rsid w:val="00AC04C0"/>
    <w:rsid w:val="00AC0546"/>
    <w:rsid w:val="00AC056F"/>
    <w:rsid w:val="00AC0588"/>
    <w:rsid w:val="00AC05DF"/>
    <w:rsid w:val="00AC06C1"/>
    <w:rsid w:val="00AC0B23"/>
    <w:rsid w:val="00AC0BFA"/>
    <w:rsid w:val="00AC1254"/>
    <w:rsid w:val="00AC1284"/>
    <w:rsid w:val="00AC12C2"/>
    <w:rsid w:val="00AC1908"/>
    <w:rsid w:val="00AC1D9C"/>
    <w:rsid w:val="00AC2784"/>
    <w:rsid w:val="00AC27F5"/>
    <w:rsid w:val="00AC2E31"/>
    <w:rsid w:val="00AC2E74"/>
    <w:rsid w:val="00AC36CA"/>
    <w:rsid w:val="00AC37BA"/>
    <w:rsid w:val="00AC3E21"/>
    <w:rsid w:val="00AC3F53"/>
    <w:rsid w:val="00AC412B"/>
    <w:rsid w:val="00AC49BB"/>
    <w:rsid w:val="00AC4A06"/>
    <w:rsid w:val="00AC4C32"/>
    <w:rsid w:val="00AC54AC"/>
    <w:rsid w:val="00AC5617"/>
    <w:rsid w:val="00AC57A0"/>
    <w:rsid w:val="00AC5A58"/>
    <w:rsid w:val="00AC5F3A"/>
    <w:rsid w:val="00AC6614"/>
    <w:rsid w:val="00AC67C9"/>
    <w:rsid w:val="00AC6F91"/>
    <w:rsid w:val="00AC77F8"/>
    <w:rsid w:val="00AC79BE"/>
    <w:rsid w:val="00AD06C3"/>
    <w:rsid w:val="00AD084D"/>
    <w:rsid w:val="00AD085F"/>
    <w:rsid w:val="00AD087D"/>
    <w:rsid w:val="00AD087E"/>
    <w:rsid w:val="00AD14D3"/>
    <w:rsid w:val="00AD1D77"/>
    <w:rsid w:val="00AD1D82"/>
    <w:rsid w:val="00AD1DDF"/>
    <w:rsid w:val="00AD26B4"/>
    <w:rsid w:val="00AD28F9"/>
    <w:rsid w:val="00AD2B70"/>
    <w:rsid w:val="00AD2BF6"/>
    <w:rsid w:val="00AD2CA1"/>
    <w:rsid w:val="00AD2D8C"/>
    <w:rsid w:val="00AD3CA2"/>
    <w:rsid w:val="00AD3DEB"/>
    <w:rsid w:val="00AD3F2A"/>
    <w:rsid w:val="00AD40B7"/>
    <w:rsid w:val="00AD40B9"/>
    <w:rsid w:val="00AD469E"/>
    <w:rsid w:val="00AD487C"/>
    <w:rsid w:val="00AD48CF"/>
    <w:rsid w:val="00AD4D2F"/>
    <w:rsid w:val="00AD4EEE"/>
    <w:rsid w:val="00AD4EF2"/>
    <w:rsid w:val="00AD5012"/>
    <w:rsid w:val="00AD54BC"/>
    <w:rsid w:val="00AD55D5"/>
    <w:rsid w:val="00AD5BCB"/>
    <w:rsid w:val="00AD5C58"/>
    <w:rsid w:val="00AD64FE"/>
    <w:rsid w:val="00AD6732"/>
    <w:rsid w:val="00AD6AC9"/>
    <w:rsid w:val="00AD6D56"/>
    <w:rsid w:val="00AD7B16"/>
    <w:rsid w:val="00AE0368"/>
    <w:rsid w:val="00AE054C"/>
    <w:rsid w:val="00AE05FE"/>
    <w:rsid w:val="00AE0857"/>
    <w:rsid w:val="00AE087B"/>
    <w:rsid w:val="00AE0CD5"/>
    <w:rsid w:val="00AE0E81"/>
    <w:rsid w:val="00AE1633"/>
    <w:rsid w:val="00AE17A2"/>
    <w:rsid w:val="00AE1A0A"/>
    <w:rsid w:val="00AE1C92"/>
    <w:rsid w:val="00AE1DE5"/>
    <w:rsid w:val="00AE2676"/>
    <w:rsid w:val="00AE2B45"/>
    <w:rsid w:val="00AE2E5F"/>
    <w:rsid w:val="00AE3002"/>
    <w:rsid w:val="00AE315F"/>
    <w:rsid w:val="00AE38E8"/>
    <w:rsid w:val="00AE39B9"/>
    <w:rsid w:val="00AE3C2C"/>
    <w:rsid w:val="00AE42B2"/>
    <w:rsid w:val="00AE4627"/>
    <w:rsid w:val="00AE4F6C"/>
    <w:rsid w:val="00AE500F"/>
    <w:rsid w:val="00AE5307"/>
    <w:rsid w:val="00AE5C4C"/>
    <w:rsid w:val="00AE62F0"/>
    <w:rsid w:val="00AE6EA0"/>
    <w:rsid w:val="00AE6F6B"/>
    <w:rsid w:val="00AE783F"/>
    <w:rsid w:val="00AE7941"/>
    <w:rsid w:val="00AE7AAA"/>
    <w:rsid w:val="00AE7EEE"/>
    <w:rsid w:val="00AF02BC"/>
    <w:rsid w:val="00AF10EB"/>
    <w:rsid w:val="00AF1BE7"/>
    <w:rsid w:val="00AF1EC8"/>
    <w:rsid w:val="00AF21E6"/>
    <w:rsid w:val="00AF225D"/>
    <w:rsid w:val="00AF305A"/>
    <w:rsid w:val="00AF3251"/>
    <w:rsid w:val="00AF336D"/>
    <w:rsid w:val="00AF3532"/>
    <w:rsid w:val="00AF3757"/>
    <w:rsid w:val="00AF42AA"/>
    <w:rsid w:val="00AF46AD"/>
    <w:rsid w:val="00AF4781"/>
    <w:rsid w:val="00AF4BE0"/>
    <w:rsid w:val="00AF4C78"/>
    <w:rsid w:val="00AF5005"/>
    <w:rsid w:val="00AF55A7"/>
    <w:rsid w:val="00AF5661"/>
    <w:rsid w:val="00AF5C6B"/>
    <w:rsid w:val="00AF5D50"/>
    <w:rsid w:val="00AF60E8"/>
    <w:rsid w:val="00AF633B"/>
    <w:rsid w:val="00AF655D"/>
    <w:rsid w:val="00AF65E6"/>
    <w:rsid w:val="00AF6688"/>
    <w:rsid w:val="00AF6C46"/>
    <w:rsid w:val="00AF6D8B"/>
    <w:rsid w:val="00AF70D3"/>
    <w:rsid w:val="00AF729B"/>
    <w:rsid w:val="00AF72F1"/>
    <w:rsid w:val="00AF74C5"/>
    <w:rsid w:val="00AF76CB"/>
    <w:rsid w:val="00AF77BB"/>
    <w:rsid w:val="00AF798A"/>
    <w:rsid w:val="00AF79F7"/>
    <w:rsid w:val="00AF7A5B"/>
    <w:rsid w:val="00AF7B2A"/>
    <w:rsid w:val="00AF7C63"/>
    <w:rsid w:val="00AF7CE4"/>
    <w:rsid w:val="00B0021D"/>
    <w:rsid w:val="00B00793"/>
    <w:rsid w:val="00B00796"/>
    <w:rsid w:val="00B00C68"/>
    <w:rsid w:val="00B014DE"/>
    <w:rsid w:val="00B01506"/>
    <w:rsid w:val="00B017D4"/>
    <w:rsid w:val="00B018C2"/>
    <w:rsid w:val="00B01B80"/>
    <w:rsid w:val="00B022D6"/>
    <w:rsid w:val="00B02619"/>
    <w:rsid w:val="00B026E4"/>
    <w:rsid w:val="00B02762"/>
    <w:rsid w:val="00B027CC"/>
    <w:rsid w:val="00B02897"/>
    <w:rsid w:val="00B0314B"/>
    <w:rsid w:val="00B031F2"/>
    <w:rsid w:val="00B040BB"/>
    <w:rsid w:val="00B04323"/>
    <w:rsid w:val="00B043D6"/>
    <w:rsid w:val="00B047DB"/>
    <w:rsid w:val="00B048A9"/>
    <w:rsid w:val="00B04924"/>
    <w:rsid w:val="00B049BE"/>
    <w:rsid w:val="00B04B83"/>
    <w:rsid w:val="00B04C84"/>
    <w:rsid w:val="00B04D7E"/>
    <w:rsid w:val="00B04DE2"/>
    <w:rsid w:val="00B04F74"/>
    <w:rsid w:val="00B05169"/>
    <w:rsid w:val="00B056BC"/>
    <w:rsid w:val="00B05CCA"/>
    <w:rsid w:val="00B05F5F"/>
    <w:rsid w:val="00B062A9"/>
    <w:rsid w:val="00B066FC"/>
    <w:rsid w:val="00B06752"/>
    <w:rsid w:val="00B06A4D"/>
    <w:rsid w:val="00B06E33"/>
    <w:rsid w:val="00B06E4C"/>
    <w:rsid w:val="00B07A28"/>
    <w:rsid w:val="00B07D7E"/>
    <w:rsid w:val="00B07E9A"/>
    <w:rsid w:val="00B102EF"/>
    <w:rsid w:val="00B10940"/>
    <w:rsid w:val="00B109EF"/>
    <w:rsid w:val="00B10EEF"/>
    <w:rsid w:val="00B11962"/>
    <w:rsid w:val="00B12164"/>
    <w:rsid w:val="00B1255E"/>
    <w:rsid w:val="00B12680"/>
    <w:rsid w:val="00B1282B"/>
    <w:rsid w:val="00B12EFE"/>
    <w:rsid w:val="00B12F45"/>
    <w:rsid w:val="00B130D5"/>
    <w:rsid w:val="00B130E6"/>
    <w:rsid w:val="00B13760"/>
    <w:rsid w:val="00B13EFF"/>
    <w:rsid w:val="00B13F64"/>
    <w:rsid w:val="00B144BD"/>
    <w:rsid w:val="00B14DCE"/>
    <w:rsid w:val="00B15029"/>
    <w:rsid w:val="00B15523"/>
    <w:rsid w:val="00B15908"/>
    <w:rsid w:val="00B16193"/>
    <w:rsid w:val="00B16255"/>
    <w:rsid w:val="00B1650A"/>
    <w:rsid w:val="00B16556"/>
    <w:rsid w:val="00B1677D"/>
    <w:rsid w:val="00B16A1B"/>
    <w:rsid w:val="00B16D71"/>
    <w:rsid w:val="00B1717F"/>
    <w:rsid w:val="00B17399"/>
    <w:rsid w:val="00B178FE"/>
    <w:rsid w:val="00B17AB1"/>
    <w:rsid w:val="00B17FA8"/>
    <w:rsid w:val="00B200BD"/>
    <w:rsid w:val="00B203FE"/>
    <w:rsid w:val="00B20E7D"/>
    <w:rsid w:val="00B20EAD"/>
    <w:rsid w:val="00B20FF6"/>
    <w:rsid w:val="00B214A7"/>
    <w:rsid w:val="00B217C7"/>
    <w:rsid w:val="00B217E0"/>
    <w:rsid w:val="00B2198B"/>
    <w:rsid w:val="00B21A32"/>
    <w:rsid w:val="00B21C9C"/>
    <w:rsid w:val="00B21DBB"/>
    <w:rsid w:val="00B21EFB"/>
    <w:rsid w:val="00B21FFB"/>
    <w:rsid w:val="00B2217E"/>
    <w:rsid w:val="00B2218C"/>
    <w:rsid w:val="00B22329"/>
    <w:rsid w:val="00B227CF"/>
    <w:rsid w:val="00B22B2F"/>
    <w:rsid w:val="00B23781"/>
    <w:rsid w:val="00B23AD4"/>
    <w:rsid w:val="00B2441D"/>
    <w:rsid w:val="00B24524"/>
    <w:rsid w:val="00B2455E"/>
    <w:rsid w:val="00B246CC"/>
    <w:rsid w:val="00B24A61"/>
    <w:rsid w:val="00B24A91"/>
    <w:rsid w:val="00B24D89"/>
    <w:rsid w:val="00B258AB"/>
    <w:rsid w:val="00B25B71"/>
    <w:rsid w:val="00B260B2"/>
    <w:rsid w:val="00B26789"/>
    <w:rsid w:val="00B26823"/>
    <w:rsid w:val="00B26C28"/>
    <w:rsid w:val="00B26D2F"/>
    <w:rsid w:val="00B275F8"/>
    <w:rsid w:val="00B27797"/>
    <w:rsid w:val="00B279BE"/>
    <w:rsid w:val="00B27FD8"/>
    <w:rsid w:val="00B3014E"/>
    <w:rsid w:val="00B30499"/>
    <w:rsid w:val="00B30670"/>
    <w:rsid w:val="00B306B3"/>
    <w:rsid w:val="00B3098D"/>
    <w:rsid w:val="00B311D0"/>
    <w:rsid w:val="00B313DA"/>
    <w:rsid w:val="00B31547"/>
    <w:rsid w:val="00B317AD"/>
    <w:rsid w:val="00B31D4D"/>
    <w:rsid w:val="00B322A8"/>
    <w:rsid w:val="00B325A3"/>
    <w:rsid w:val="00B325C4"/>
    <w:rsid w:val="00B329DA"/>
    <w:rsid w:val="00B32CFC"/>
    <w:rsid w:val="00B3307E"/>
    <w:rsid w:val="00B33A5B"/>
    <w:rsid w:val="00B33AFF"/>
    <w:rsid w:val="00B33BF9"/>
    <w:rsid w:val="00B33C26"/>
    <w:rsid w:val="00B33D4F"/>
    <w:rsid w:val="00B3401D"/>
    <w:rsid w:val="00B342A4"/>
    <w:rsid w:val="00B34DE2"/>
    <w:rsid w:val="00B35548"/>
    <w:rsid w:val="00B355AC"/>
    <w:rsid w:val="00B35711"/>
    <w:rsid w:val="00B35827"/>
    <w:rsid w:val="00B3587B"/>
    <w:rsid w:val="00B3595C"/>
    <w:rsid w:val="00B35A94"/>
    <w:rsid w:val="00B35AE0"/>
    <w:rsid w:val="00B36036"/>
    <w:rsid w:val="00B3622F"/>
    <w:rsid w:val="00B3633F"/>
    <w:rsid w:val="00B369D9"/>
    <w:rsid w:val="00B36E02"/>
    <w:rsid w:val="00B36F90"/>
    <w:rsid w:val="00B372E0"/>
    <w:rsid w:val="00B37763"/>
    <w:rsid w:val="00B378CA"/>
    <w:rsid w:val="00B37D0D"/>
    <w:rsid w:val="00B37EF0"/>
    <w:rsid w:val="00B401D0"/>
    <w:rsid w:val="00B403B6"/>
    <w:rsid w:val="00B40A69"/>
    <w:rsid w:val="00B40C37"/>
    <w:rsid w:val="00B40F0A"/>
    <w:rsid w:val="00B40FA0"/>
    <w:rsid w:val="00B40FF4"/>
    <w:rsid w:val="00B410EE"/>
    <w:rsid w:val="00B4123E"/>
    <w:rsid w:val="00B4178B"/>
    <w:rsid w:val="00B418C8"/>
    <w:rsid w:val="00B41C86"/>
    <w:rsid w:val="00B41DBC"/>
    <w:rsid w:val="00B41E6D"/>
    <w:rsid w:val="00B42370"/>
    <w:rsid w:val="00B424A6"/>
    <w:rsid w:val="00B42C5C"/>
    <w:rsid w:val="00B42F89"/>
    <w:rsid w:val="00B4321A"/>
    <w:rsid w:val="00B43396"/>
    <w:rsid w:val="00B43409"/>
    <w:rsid w:val="00B434AB"/>
    <w:rsid w:val="00B43625"/>
    <w:rsid w:val="00B43643"/>
    <w:rsid w:val="00B436AF"/>
    <w:rsid w:val="00B43969"/>
    <w:rsid w:val="00B43AE5"/>
    <w:rsid w:val="00B43D0F"/>
    <w:rsid w:val="00B4412F"/>
    <w:rsid w:val="00B44165"/>
    <w:rsid w:val="00B4490E"/>
    <w:rsid w:val="00B44B41"/>
    <w:rsid w:val="00B45094"/>
    <w:rsid w:val="00B45165"/>
    <w:rsid w:val="00B45328"/>
    <w:rsid w:val="00B45399"/>
    <w:rsid w:val="00B45E42"/>
    <w:rsid w:val="00B45EE8"/>
    <w:rsid w:val="00B46A6D"/>
    <w:rsid w:val="00B46CD2"/>
    <w:rsid w:val="00B46FB8"/>
    <w:rsid w:val="00B470DD"/>
    <w:rsid w:val="00B47965"/>
    <w:rsid w:val="00B503AD"/>
    <w:rsid w:val="00B5048F"/>
    <w:rsid w:val="00B5135B"/>
    <w:rsid w:val="00B51695"/>
    <w:rsid w:val="00B51ACB"/>
    <w:rsid w:val="00B51CA2"/>
    <w:rsid w:val="00B51E9A"/>
    <w:rsid w:val="00B52581"/>
    <w:rsid w:val="00B5270D"/>
    <w:rsid w:val="00B5284F"/>
    <w:rsid w:val="00B52974"/>
    <w:rsid w:val="00B53270"/>
    <w:rsid w:val="00B539B7"/>
    <w:rsid w:val="00B5416E"/>
    <w:rsid w:val="00B546C7"/>
    <w:rsid w:val="00B54828"/>
    <w:rsid w:val="00B54966"/>
    <w:rsid w:val="00B549F6"/>
    <w:rsid w:val="00B54E3B"/>
    <w:rsid w:val="00B5596A"/>
    <w:rsid w:val="00B559D7"/>
    <w:rsid w:val="00B56358"/>
    <w:rsid w:val="00B56714"/>
    <w:rsid w:val="00B56E04"/>
    <w:rsid w:val="00B5720F"/>
    <w:rsid w:val="00B57A1B"/>
    <w:rsid w:val="00B57F11"/>
    <w:rsid w:val="00B57F84"/>
    <w:rsid w:val="00B6051D"/>
    <w:rsid w:val="00B60629"/>
    <w:rsid w:val="00B608A0"/>
    <w:rsid w:val="00B60B69"/>
    <w:rsid w:val="00B6195C"/>
    <w:rsid w:val="00B61ABE"/>
    <w:rsid w:val="00B61C38"/>
    <w:rsid w:val="00B624FA"/>
    <w:rsid w:val="00B62AB5"/>
    <w:rsid w:val="00B62D64"/>
    <w:rsid w:val="00B632D8"/>
    <w:rsid w:val="00B63770"/>
    <w:rsid w:val="00B637D8"/>
    <w:rsid w:val="00B63DC6"/>
    <w:rsid w:val="00B648E1"/>
    <w:rsid w:val="00B64D32"/>
    <w:rsid w:val="00B651F9"/>
    <w:rsid w:val="00B65363"/>
    <w:rsid w:val="00B654D5"/>
    <w:rsid w:val="00B6555E"/>
    <w:rsid w:val="00B655A8"/>
    <w:rsid w:val="00B655B5"/>
    <w:rsid w:val="00B657C7"/>
    <w:rsid w:val="00B6582F"/>
    <w:rsid w:val="00B65B4C"/>
    <w:rsid w:val="00B65DDC"/>
    <w:rsid w:val="00B6605A"/>
    <w:rsid w:val="00B661A9"/>
    <w:rsid w:val="00B664BE"/>
    <w:rsid w:val="00B664E9"/>
    <w:rsid w:val="00B66F47"/>
    <w:rsid w:val="00B67016"/>
    <w:rsid w:val="00B670E8"/>
    <w:rsid w:val="00B6744B"/>
    <w:rsid w:val="00B67627"/>
    <w:rsid w:val="00B67844"/>
    <w:rsid w:val="00B6786A"/>
    <w:rsid w:val="00B67C02"/>
    <w:rsid w:val="00B67ED0"/>
    <w:rsid w:val="00B70589"/>
    <w:rsid w:val="00B7080A"/>
    <w:rsid w:val="00B70C82"/>
    <w:rsid w:val="00B7134A"/>
    <w:rsid w:val="00B713A0"/>
    <w:rsid w:val="00B7145B"/>
    <w:rsid w:val="00B71979"/>
    <w:rsid w:val="00B71E14"/>
    <w:rsid w:val="00B725D7"/>
    <w:rsid w:val="00B72668"/>
    <w:rsid w:val="00B727BB"/>
    <w:rsid w:val="00B727E8"/>
    <w:rsid w:val="00B7285F"/>
    <w:rsid w:val="00B72F91"/>
    <w:rsid w:val="00B7303F"/>
    <w:rsid w:val="00B73594"/>
    <w:rsid w:val="00B736BA"/>
    <w:rsid w:val="00B738B1"/>
    <w:rsid w:val="00B73C8E"/>
    <w:rsid w:val="00B73FED"/>
    <w:rsid w:val="00B742F4"/>
    <w:rsid w:val="00B74341"/>
    <w:rsid w:val="00B744F9"/>
    <w:rsid w:val="00B74514"/>
    <w:rsid w:val="00B7456B"/>
    <w:rsid w:val="00B74D20"/>
    <w:rsid w:val="00B74D24"/>
    <w:rsid w:val="00B74F00"/>
    <w:rsid w:val="00B752E2"/>
    <w:rsid w:val="00B754DF"/>
    <w:rsid w:val="00B758A0"/>
    <w:rsid w:val="00B75944"/>
    <w:rsid w:val="00B75AAA"/>
    <w:rsid w:val="00B7647B"/>
    <w:rsid w:val="00B764F0"/>
    <w:rsid w:val="00B769B8"/>
    <w:rsid w:val="00B76BEE"/>
    <w:rsid w:val="00B77146"/>
    <w:rsid w:val="00B771BB"/>
    <w:rsid w:val="00B77D62"/>
    <w:rsid w:val="00B8044B"/>
    <w:rsid w:val="00B80B89"/>
    <w:rsid w:val="00B817AA"/>
    <w:rsid w:val="00B81B7D"/>
    <w:rsid w:val="00B82076"/>
    <w:rsid w:val="00B820AE"/>
    <w:rsid w:val="00B822F1"/>
    <w:rsid w:val="00B82A4A"/>
    <w:rsid w:val="00B82DF4"/>
    <w:rsid w:val="00B83598"/>
    <w:rsid w:val="00B835F6"/>
    <w:rsid w:val="00B83B87"/>
    <w:rsid w:val="00B83C73"/>
    <w:rsid w:val="00B83E7A"/>
    <w:rsid w:val="00B84271"/>
    <w:rsid w:val="00B843F9"/>
    <w:rsid w:val="00B84623"/>
    <w:rsid w:val="00B84D8B"/>
    <w:rsid w:val="00B84F49"/>
    <w:rsid w:val="00B8513F"/>
    <w:rsid w:val="00B852F4"/>
    <w:rsid w:val="00B85346"/>
    <w:rsid w:val="00B86186"/>
    <w:rsid w:val="00B86559"/>
    <w:rsid w:val="00B868D5"/>
    <w:rsid w:val="00B86C16"/>
    <w:rsid w:val="00B86DBD"/>
    <w:rsid w:val="00B86DE8"/>
    <w:rsid w:val="00B86F34"/>
    <w:rsid w:val="00B86F71"/>
    <w:rsid w:val="00B87041"/>
    <w:rsid w:val="00B871BB"/>
    <w:rsid w:val="00B87252"/>
    <w:rsid w:val="00B87298"/>
    <w:rsid w:val="00B8735B"/>
    <w:rsid w:val="00B875AB"/>
    <w:rsid w:val="00B875B5"/>
    <w:rsid w:val="00B87634"/>
    <w:rsid w:val="00B876A4"/>
    <w:rsid w:val="00B87B82"/>
    <w:rsid w:val="00B87F71"/>
    <w:rsid w:val="00B9041C"/>
    <w:rsid w:val="00B90481"/>
    <w:rsid w:val="00B905E6"/>
    <w:rsid w:val="00B90B4F"/>
    <w:rsid w:val="00B90D1E"/>
    <w:rsid w:val="00B90DAE"/>
    <w:rsid w:val="00B9153F"/>
    <w:rsid w:val="00B9159A"/>
    <w:rsid w:val="00B91607"/>
    <w:rsid w:val="00B917D6"/>
    <w:rsid w:val="00B91A74"/>
    <w:rsid w:val="00B91A75"/>
    <w:rsid w:val="00B91B49"/>
    <w:rsid w:val="00B9203C"/>
    <w:rsid w:val="00B92207"/>
    <w:rsid w:val="00B9288C"/>
    <w:rsid w:val="00B93023"/>
    <w:rsid w:val="00B930B3"/>
    <w:rsid w:val="00B9390C"/>
    <w:rsid w:val="00B939FB"/>
    <w:rsid w:val="00B93B88"/>
    <w:rsid w:val="00B93F7C"/>
    <w:rsid w:val="00B942E7"/>
    <w:rsid w:val="00B94474"/>
    <w:rsid w:val="00B94C4E"/>
    <w:rsid w:val="00B94D2F"/>
    <w:rsid w:val="00B94E65"/>
    <w:rsid w:val="00B95339"/>
    <w:rsid w:val="00B95450"/>
    <w:rsid w:val="00B95552"/>
    <w:rsid w:val="00B957F1"/>
    <w:rsid w:val="00B958B1"/>
    <w:rsid w:val="00B95ACC"/>
    <w:rsid w:val="00B96116"/>
    <w:rsid w:val="00B96147"/>
    <w:rsid w:val="00B9622C"/>
    <w:rsid w:val="00B9636D"/>
    <w:rsid w:val="00B96399"/>
    <w:rsid w:val="00B96AD7"/>
    <w:rsid w:val="00B96CD9"/>
    <w:rsid w:val="00B96F10"/>
    <w:rsid w:val="00B972B7"/>
    <w:rsid w:val="00B9742D"/>
    <w:rsid w:val="00B97463"/>
    <w:rsid w:val="00B975A4"/>
    <w:rsid w:val="00B976AE"/>
    <w:rsid w:val="00B97C9B"/>
    <w:rsid w:val="00B97F12"/>
    <w:rsid w:val="00BA044A"/>
    <w:rsid w:val="00BA09BB"/>
    <w:rsid w:val="00BA0A14"/>
    <w:rsid w:val="00BA1114"/>
    <w:rsid w:val="00BA1430"/>
    <w:rsid w:val="00BA144D"/>
    <w:rsid w:val="00BA1551"/>
    <w:rsid w:val="00BA1CDF"/>
    <w:rsid w:val="00BA1DC1"/>
    <w:rsid w:val="00BA201F"/>
    <w:rsid w:val="00BA22B5"/>
    <w:rsid w:val="00BA254F"/>
    <w:rsid w:val="00BA258D"/>
    <w:rsid w:val="00BA282E"/>
    <w:rsid w:val="00BA2DA4"/>
    <w:rsid w:val="00BA2F74"/>
    <w:rsid w:val="00BA37EC"/>
    <w:rsid w:val="00BA398F"/>
    <w:rsid w:val="00BA3CE9"/>
    <w:rsid w:val="00BA422E"/>
    <w:rsid w:val="00BA43A5"/>
    <w:rsid w:val="00BA4825"/>
    <w:rsid w:val="00BA4F7C"/>
    <w:rsid w:val="00BA5342"/>
    <w:rsid w:val="00BA57BF"/>
    <w:rsid w:val="00BA5A38"/>
    <w:rsid w:val="00BA5AFB"/>
    <w:rsid w:val="00BA5F75"/>
    <w:rsid w:val="00BA6063"/>
    <w:rsid w:val="00BA670E"/>
    <w:rsid w:val="00BA6E3B"/>
    <w:rsid w:val="00BA7B5E"/>
    <w:rsid w:val="00BA7BB2"/>
    <w:rsid w:val="00BA7E13"/>
    <w:rsid w:val="00BB07F2"/>
    <w:rsid w:val="00BB0E4F"/>
    <w:rsid w:val="00BB1309"/>
    <w:rsid w:val="00BB1565"/>
    <w:rsid w:val="00BB1966"/>
    <w:rsid w:val="00BB19FE"/>
    <w:rsid w:val="00BB1CDA"/>
    <w:rsid w:val="00BB1EFD"/>
    <w:rsid w:val="00BB1F07"/>
    <w:rsid w:val="00BB1FB3"/>
    <w:rsid w:val="00BB2067"/>
    <w:rsid w:val="00BB209F"/>
    <w:rsid w:val="00BB23F4"/>
    <w:rsid w:val="00BB2562"/>
    <w:rsid w:val="00BB25C8"/>
    <w:rsid w:val="00BB2802"/>
    <w:rsid w:val="00BB2867"/>
    <w:rsid w:val="00BB2EAD"/>
    <w:rsid w:val="00BB32B4"/>
    <w:rsid w:val="00BB38B7"/>
    <w:rsid w:val="00BB399B"/>
    <w:rsid w:val="00BB4307"/>
    <w:rsid w:val="00BB4BB1"/>
    <w:rsid w:val="00BB5289"/>
    <w:rsid w:val="00BB5351"/>
    <w:rsid w:val="00BB56B1"/>
    <w:rsid w:val="00BB56CE"/>
    <w:rsid w:val="00BB583A"/>
    <w:rsid w:val="00BB5DAB"/>
    <w:rsid w:val="00BB5DC3"/>
    <w:rsid w:val="00BB682F"/>
    <w:rsid w:val="00BB68F6"/>
    <w:rsid w:val="00BB6BA0"/>
    <w:rsid w:val="00BB6CEB"/>
    <w:rsid w:val="00BB6FA9"/>
    <w:rsid w:val="00BB70DF"/>
    <w:rsid w:val="00BB7328"/>
    <w:rsid w:val="00BB73DC"/>
    <w:rsid w:val="00BB7721"/>
    <w:rsid w:val="00BB7D40"/>
    <w:rsid w:val="00BC0084"/>
    <w:rsid w:val="00BC04F4"/>
    <w:rsid w:val="00BC05B0"/>
    <w:rsid w:val="00BC08B9"/>
    <w:rsid w:val="00BC11BE"/>
    <w:rsid w:val="00BC1481"/>
    <w:rsid w:val="00BC1972"/>
    <w:rsid w:val="00BC198E"/>
    <w:rsid w:val="00BC1C84"/>
    <w:rsid w:val="00BC1ECB"/>
    <w:rsid w:val="00BC249A"/>
    <w:rsid w:val="00BC25E9"/>
    <w:rsid w:val="00BC264C"/>
    <w:rsid w:val="00BC278F"/>
    <w:rsid w:val="00BC27A2"/>
    <w:rsid w:val="00BC2D11"/>
    <w:rsid w:val="00BC2D98"/>
    <w:rsid w:val="00BC3013"/>
    <w:rsid w:val="00BC3047"/>
    <w:rsid w:val="00BC354F"/>
    <w:rsid w:val="00BC3A08"/>
    <w:rsid w:val="00BC3B93"/>
    <w:rsid w:val="00BC40CA"/>
    <w:rsid w:val="00BC40F0"/>
    <w:rsid w:val="00BC4AC5"/>
    <w:rsid w:val="00BC4BDF"/>
    <w:rsid w:val="00BC4FE1"/>
    <w:rsid w:val="00BC552D"/>
    <w:rsid w:val="00BC56EB"/>
    <w:rsid w:val="00BC574A"/>
    <w:rsid w:val="00BC5C5E"/>
    <w:rsid w:val="00BC5CFC"/>
    <w:rsid w:val="00BC603E"/>
    <w:rsid w:val="00BC68FD"/>
    <w:rsid w:val="00BC6A96"/>
    <w:rsid w:val="00BC6AAF"/>
    <w:rsid w:val="00BC6C3F"/>
    <w:rsid w:val="00BC6F01"/>
    <w:rsid w:val="00BC70BC"/>
    <w:rsid w:val="00BC7279"/>
    <w:rsid w:val="00BC74EA"/>
    <w:rsid w:val="00BC7909"/>
    <w:rsid w:val="00BC7D03"/>
    <w:rsid w:val="00BC7E1F"/>
    <w:rsid w:val="00BC7F57"/>
    <w:rsid w:val="00BD049D"/>
    <w:rsid w:val="00BD0512"/>
    <w:rsid w:val="00BD0918"/>
    <w:rsid w:val="00BD0B30"/>
    <w:rsid w:val="00BD0CE7"/>
    <w:rsid w:val="00BD1CEB"/>
    <w:rsid w:val="00BD1D4B"/>
    <w:rsid w:val="00BD252F"/>
    <w:rsid w:val="00BD2607"/>
    <w:rsid w:val="00BD2B7A"/>
    <w:rsid w:val="00BD34B1"/>
    <w:rsid w:val="00BD353B"/>
    <w:rsid w:val="00BD3A66"/>
    <w:rsid w:val="00BD3D5B"/>
    <w:rsid w:val="00BD403A"/>
    <w:rsid w:val="00BD4283"/>
    <w:rsid w:val="00BD492B"/>
    <w:rsid w:val="00BD4A63"/>
    <w:rsid w:val="00BD50ED"/>
    <w:rsid w:val="00BD5144"/>
    <w:rsid w:val="00BD520F"/>
    <w:rsid w:val="00BD5785"/>
    <w:rsid w:val="00BD57D5"/>
    <w:rsid w:val="00BD5AFF"/>
    <w:rsid w:val="00BD5B78"/>
    <w:rsid w:val="00BD5EB3"/>
    <w:rsid w:val="00BD61FE"/>
    <w:rsid w:val="00BD63A1"/>
    <w:rsid w:val="00BD63F3"/>
    <w:rsid w:val="00BD683C"/>
    <w:rsid w:val="00BD6AC4"/>
    <w:rsid w:val="00BD6AF5"/>
    <w:rsid w:val="00BD6B6F"/>
    <w:rsid w:val="00BD6C2F"/>
    <w:rsid w:val="00BD6EBD"/>
    <w:rsid w:val="00BD70F6"/>
    <w:rsid w:val="00BD77AC"/>
    <w:rsid w:val="00BD7A0C"/>
    <w:rsid w:val="00BE02A5"/>
    <w:rsid w:val="00BE040B"/>
    <w:rsid w:val="00BE0B71"/>
    <w:rsid w:val="00BE0BF2"/>
    <w:rsid w:val="00BE0E07"/>
    <w:rsid w:val="00BE1053"/>
    <w:rsid w:val="00BE10A1"/>
    <w:rsid w:val="00BE1106"/>
    <w:rsid w:val="00BE1293"/>
    <w:rsid w:val="00BE13B4"/>
    <w:rsid w:val="00BE1D81"/>
    <w:rsid w:val="00BE24B3"/>
    <w:rsid w:val="00BE25C7"/>
    <w:rsid w:val="00BE2B0B"/>
    <w:rsid w:val="00BE2BEB"/>
    <w:rsid w:val="00BE2FE7"/>
    <w:rsid w:val="00BE304C"/>
    <w:rsid w:val="00BE3EE0"/>
    <w:rsid w:val="00BE40EB"/>
    <w:rsid w:val="00BE48A2"/>
    <w:rsid w:val="00BE48FD"/>
    <w:rsid w:val="00BE4BF9"/>
    <w:rsid w:val="00BE4DF0"/>
    <w:rsid w:val="00BE4F60"/>
    <w:rsid w:val="00BE5140"/>
    <w:rsid w:val="00BE5287"/>
    <w:rsid w:val="00BE547E"/>
    <w:rsid w:val="00BE55B6"/>
    <w:rsid w:val="00BE5A8B"/>
    <w:rsid w:val="00BE5C3D"/>
    <w:rsid w:val="00BE609C"/>
    <w:rsid w:val="00BE6C0E"/>
    <w:rsid w:val="00BE6D6D"/>
    <w:rsid w:val="00BE714E"/>
    <w:rsid w:val="00BE72A5"/>
    <w:rsid w:val="00BE7B70"/>
    <w:rsid w:val="00BE7DCE"/>
    <w:rsid w:val="00BF0010"/>
    <w:rsid w:val="00BF04D6"/>
    <w:rsid w:val="00BF05CE"/>
    <w:rsid w:val="00BF06CA"/>
    <w:rsid w:val="00BF0855"/>
    <w:rsid w:val="00BF0F08"/>
    <w:rsid w:val="00BF11C0"/>
    <w:rsid w:val="00BF12D8"/>
    <w:rsid w:val="00BF16C6"/>
    <w:rsid w:val="00BF1DE6"/>
    <w:rsid w:val="00BF273D"/>
    <w:rsid w:val="00BF2853"/>
    <w:rsid w:val="00BF3438"/>
    <w:rsid w:val="00BF3657"/>
    <w:rsid w:val="00BF4389"/>
    <w:rsid w:val="00BF4455"/>
    <w:rsid w:val="00BF48FF"/>
    <w:rsid w:val="00BF4D39"/>
    <w:rsid w:val="00BF4F1F"/>
    <w:rsid w:val="00BF5096"/>
    <w:rsid w:val="00BF50B5"/>
    <w:rsid w:val="00BF52D5"/>
    <w:rsid w:val="00BF5535"/>
    <w:rsid w:val="00BF55CD"/>
    <w:rsid w:val="00BF6BC3"/>
    <w:rsid w:val="00BF73D2"/>
    <w:rsid w:val="00BF73D9"/>
    <w:rsid w:val="00BF7513"/>
    <w:rsid w:val="00BF7853"/>
    <w:rsid w:val="00BF7F7A"/>
    <w:rsid w:val="00C00087"/>
    <w:rsid w:val="00C00B7F"/>
    <w:rsid w:val="00C01305"/>
    <w:rsid w:val="00C01499"/>
    <w:rsid w:val="00C01578"/>
    <w:rsid w:val="00C01829"/>
    <w:rsid w:val="00C02595"/>
    <w:rsid w:val="00C02C09"/>
    <w:rsid w:val="00C02FFF"/>
    <w:rsid w:val="00C03149"/>
    <w:rsid w:val="00C032FD"/>
    <w:rsid w:val="00C039AD"/>
    <w:rsid w:val="00C039BA"/>
    <w:rsid w:val="00C03ABC"/>
    <w:rsid w:val="00C03E2E"/>
    <w:rsid w:val="00C04108"/>
    <w:rsid w:val="00C0475B"/>
    <w:rsid w:val="00C04789"/>
    <w:rsid w:val="00C048A0"/>
    <w:rsid w:val="00C0491F"/>
    <w:rsid w:val="00C04DA9"/>
    <w:rsid w:val="00C0513C"/>
    <w:rsid w:val="00C051F4"/>
    <w:rsid w:val="00C0525E"/>
    <w:rsid w:val="00C05319"/>
    <w:rsid w:val="00C055A0"/>
    <w:rsid w:val="00C0576C"/>
    <w:rsid w:val="00C058D5"/>
    <w:rsid w:val="00C05D89"/>
    <w:rsid w:val="00C05DC2"/>
    <w:rsid w:val="00C05F7F"/>
    <w:rsid w:val="00C060CB"/>
    <w:rsid w:val="00C06492"/>
    <w:rsid w:val="00C06697"/>
    <w:rsid w:val="00C06A85"/>
    <w:rsid w:val="00C06DE4"/>
    <w:rsid w:val="00C0702B"/>
    <w:rsid w:val="00C0730C"/>
    <w:rsid w:val="00C07348"/>
    <w:rsid w:val="00C0738E"/>
    <w:rsid w:val="00C073C6"/>
    <w:rsid w:val="00C07738"/>
    <w:rsid w:val="00C07A06"/>
    <w:rsid w:val="00C1023D"/>
    <w:rsid w:val="00C109D2"/>
    <w:rsid w:val="00C1126A"/>
    <w:rsid w:val="00C11330"/>
    <w:rsid w:val="00C11508"/>
    <w:rsid w:val="00C11642"/>
    <w:rsid w:val="00C11646"/>
    <w:rsid w:val="00C11E8D"/>
    <w:rsid w:val="00C12003"/>
    <w:rsid w:val="00C12147"/>
    <w:rsid w:val="00C1216E"/>
    <w:rsid w:val="00C126B4"/>
    <w:rsid w:val="00C12D7D"/>
    <w:rsid w:val="00C12FB2"/>
    <w:rsid w:val="00C144D9"/>
    <w:rsid w:val="00C14D35"/>
    <w:rsid w:val="00C14EBC"/>
    <w:rsid w:val="00C15193"/>
    <w:rsid w:val="00C157C3"/>
    <w:rsid w:val="00C15AB2"/>
    <w:rsid w:val="00C15CA8"/>
    <w:rsid w:val="00C15F90"/>
    <w:rsid w:val="00C160C5"/>
    <w:rsid w:val="00C1645A"/>
    <w:rsid w:val="00C16641"/>
    <w:rsid w:val="00C1694E"/>
    <w:rsid w:val="00C16D2A"/>
    <w:rsid w:val="00C176E1"/>
    <w:rsid w:val="00C17736"/>
    <w:rsid w:val="00C1795C"/>
    <w:rsid w:val="00C2099C"/>
    <w:rsid w:val="00C209E0"/>
    <w:rsid w:val="00C2111C"/>
    <w:rsid w:val="00C2123A"/>
    <w:rsid w:val="00C2162E"/>
    <w:rsid w:val="00C21ACC"/>
    <w:rsid w:val="00C22F2B"/>
    <w:rsid w:val="00C234FB"/>
    <w:rsid w:val="00C23DB2"/>
    <w:rsid w:val="00C23EFE"/>
    <w:rsid w:val="00C24271"/>
    <w:rsid w:val="00C248E5"/>
    <w:rsid w:val="00C24B2D"/>
    <w:rsid w:val="00C24C2E"/>
    <w:rsid w:val="00C25093"/>
    <w:rsid w:val="00C250A2"/>
    <w:rsid w:val="00C25206"/>
    <w:rsid w:val="00C25300"/>
    <w:rsid w:val="00C25565"/>
    <w:rsid w:val="00C2563F"/>
    <w:rsid w:val="00C256AD"/>
    <w:rsid w:val="00C25739"/>
    <w:rsid w:val="00C25792"/>
    <w:rsid w:val="00C257A9"/>
    <w:rsid w:val="00C25A2A"/>
    <w:rsid w:val="00C25E0E"/>
    <w:rsid w:val="00C26488"/>
    <w:rsid w:val="00C267F2"/>
    <w:rsid w:val="00C2699D"/>
    <w:rsid w:val="00C26A59"/>
    <w:rsid w:val="00C26BA5"/>
    <w:rsid w:val="00C26C6D"/>
    <w:rsid w:val="00C26CB6"/>
    <w:rsid w:val="00C26CC6"/>
    <w:rsid w:val="00C27046"/>
    <w:rsid w:val="00C2711B"/>
    <w:rsid w:val="00C27212"/>
    <w:rsid w:val="00C272C1"/>
    <w:rsid w:val="00C274B4"/>
    <w:rsid w:val="00C27EC7"/>
    <w:rsid w:val="00C302F5"/>
    <w:rsid w:val="00C30683"/>
    <w:rsid w:val="00C3086C"/>
    <w:rsid w:val="00C3091A"/>
    <w:rsid w:val="00C3175B"/>
    <w:rsid w:val="00C324D1"/>
    <w:rsid w:val="00C3269D"/>
    <w:rsid w:val="00C32B4D"/>
    <w:rsid w:val="00C32C58"/>
    <w:rsid w:val="00C32C78"/>
    <w:rsid w:val="00C333FA"/>
    <w:rsid w:val="00C33535"/>
    <w:rsid w:val="00C33654"/>
    <w:rsid w:val="00C3388E"/>
    <w:rsid w:val="00C340A5"/>
    <w:rsid w:val="00C346EC"/>
    <w:rsid w:val="00C34E88"/>
    <w:rsid w:val="00C353BE"/>
    <w:rsid w:val="00C355B8"/>
    <w:rsid w:val="00C35B69"/>
    <w:rsid w:val="00C35CAD"/>
    <w:rsid w:val="00C35D62"/>
    <w:rsid w:val="00C35D78"/>
    <w:rsid w:val="00C36206"/>
    <w:rsid w:val="00C3644B"/>
    <w:rsid w:val="00C369FE"/>
    <w:rsid w:val="00C36C53"/>
    <w:rsid w:val="00C36CA4"/>
    <w:rsid w:val="00C36E87"/>
    <w:rsid w:val="00C37262"/>
    <w:rsid w:val="00C37371"/>
    <w:rsid w:val="00C373B8"/>
    <w:rsid w:val="00C37863"/>
    <w:rsid w:val="00C3791A"/>
    <w:rsid w:val="00C400F1"/>
    <w:rsid w:val="00C40434"/>
    <w:rsid w:val="00C409A0"/>
    <w:rsid w:val="00C41901"/>
    <w:rsid w:val="00C41AD8"/>
    <w:rsid w:val="00C41F1D"/>
    <w:rsid w:val="00C42036"/>
    <w:rsid w:val="00C436B5"/>
    <w:rsid w:val="00C43947"/>
    <w:rsid w:val="00C43CFD"/>
    <w:rsid w:val="00C4436A"/>
    <w:rsid w:val="00C44D14"/>
    <w:rsid w:val="00C44F7B"/>
    <w:rsid w:val="00C451E5"/>
    <w:rsid w:val="00C454D7"/>
    <w:rsid w:val="00C4551E"/>
    <w:rsid w:val="00C45954"/>
    <w:rsid w:val="00C45A1E"/>
    <w:rsid w:val="00C45CAB"/>
    <w:rsid w:val="00C45D95"/>
    <w:rsid w:val="00C45E80"/>
    <w:rsid w:val="00C46736"/>
    <w:rsid w:val="00C467E8"/>
    <w:rsid w:val="00C46958"/>
    <w:rsid w:val="00C46A76"/>
    <w:rsid w:val="00C47181"/>
    <w:rsid w:val="00C474B5"/>
    <w:rsid w:val="00C477B8"/>
    <w:rsid w:val="00C47D5A"/>
    <w:rsid w:val="00C47D70"/>
    <w:rsid w:val="00C47E78"/>
    <w:rsid w:val="00C47F6D"/>
    <w:rsid w:val="00C5047D"/>
    <w:rsid w:val="00C51018"/>
    <w:rsid w:val="00C5114C"/>
    <w:rsid w:val="00C512EA"/>
    <w:rsid w:val="00C51387"/>
    <w:rsid w:val="00C5196F"/>
    <w:rsid w:val="00C51CF1"/>
    <w:rsid w:val="00C51E24"/>
    <w:rsid w:val="00C51F46"/>
    <w:rsid w:val="00C522E0"/>
    <w:rsid w:val="00C52809"/>
    <w:rsid w:val="00C52AA4"/>
    <w:rsid w:val="00C52BB6"/>
    <w:rsid w:val="00C52D8C"/>
    <w:rsid w:val="00C53146"/>
    <w:rsid w:val="00C53199"/>
    <w:rsid w:val="00C5352C"/>
    <w:rsid w:val="00C5391B"/>
    <w:rsid w:val="00C53E1C"/>
    <w:rsid w:val="00C53F29"/>
    <w:rsid w:val="00C54326"/>
    <w:rsid w:val="00C546B4"/>
    <w:rsid w:val="00C5471E"/>
    <w:rsid w:val="00C54F0A"/>
    <w:rsid w:val="00C556F5"/>
    <w:rsid w:val="00C55B01"/>
    <w:rsid w:val="00C55BC0"/>
    <w:rsid w:val="00C55FD4"/>
    <w:rsid w:val="00C561BD"/>
    <w:rsid w:val="00C5682A"/>
    <w:rsid w:val="00C56FAD"/>
    <w:rsid w:val="00C5715A"/>
    <w:rsid w:val="00C5717A"/>
    <w:rsid w:val="00C574C8"/>
    <w:rsid w:val="00C57526"/>
    <w:rsid w:val="00C5769D"/>
    <w:rsid w:val="00C60339"/>
    <w:rsid w:val="00C60346"/>
    <w:rsid w:val="00C6070E"/>
    <w:rsid w:val="00C6073F"/>
    <w:rsid w:val="00C609B0"/>
    <w:rsid w:val="00C61257"/>
    <w:rsid w:val="00C614D2"/>
    <w:rsid w:val="00C61689"/>
    <w:rsid w:val="00C61BFE"/>
    <w:rsid w:val="00C621CC"/>
    <w:rsid w:val="00C62412"/>
    <w:rsid w:val="00C62743"/>
    <w:rsid w:val="00C62B34"/>
    <w:rsid w:val="00C62F6B"/>
    <w:rsid w:val="00C631AB"/>
    <w:rsid w:val="00C6326D"/>
    <w:rsid w:val="00C634DE"/>
    <w:rsid w:val="00C635C2"/>
    <w:rsid w:val="00C6399D"/>
    <w:rsid w:val="00C63BA2"/>
    <w:rsid w:val="00C63BE9"/>
    <w:rsid w:val="00C63EE3"/>
    <w:rsid w:val="00C63F07"/>
    <w:rsid w:val="00C642F4"/>
    <w:rsid w:val="00C64326"/>
    <w:rsid w:val="00C6445D"/>
    <w:rsid w:val="00C647E8"/>
    <w:rsid w:val="00C64D54"/>
    <w:rsid w:val="00C64D6B"/>
    <w:rsid w:val="00C659DE"/>
    <w:rsid w:val="00C65AE8"/>
    <w:rsid w:val="00C66754"/>
    <w:rsid w:val="00C6698B"/>
    <w:rsid w:val="00C66D27"/>
    <w:rsid w:val="00C671BA"/>
    <w:rsid w:val="00C672BE"/>
    <w:rsid w:val="00C67412"/>
    <w:rsid w:val="00C70051"/>
    <w:rsid w:val="00C703AA"/>
    <w:rsid w:val="00C70676"/>
    <w:rsid w:val="00C70DA8"/>
    <w:rsid w:val="00C71342"/>
    <w:rsid w:val="00C71641"/>
    <w:rsid w:val="00C71CEE"/>
    <w:rsid w:val="00C71EC1"/>
    <w:rsid w:val="00C720F4"/>
    <w:rsid w:val="00C72726"/>
    <w:rsid w:val="00C7278D"/>
    <w:rsid w:val="00C7287A"/>
    <w:rsid w:val="00C72D68"/>
    <w:rsid w:val="00C73025"/>
    <w:rsid w:val="00C730FD"/>
    <w:rsid w:val="00C736BF"/>
    <w:rsid w:val="00C738BE"/>
    <w:rsid w:val="00C73925"/>
    <w:rsid w:val="00C73B5A"/>
    <w:rsid w:val="00C742CA"/>
    <w:rsid w:val="00C7480A"/>
    <w:rsid w:val="00C74BA4"/>
    <w:rsid w:val="00C75572"/>
    <w:rsid w:val="00C7578F"/>
    <w:rsid w:val="00C757CD"/>
    <w:rsid w:val="00C75E18"/>
    <w:rsid w:val="00C75F59"/>
    <w:rsid w:val="00C7604A"/>
    <w:rsid w:val="00C7698D"/>
    <w:rsid w:val="00C77549"/>
    <w:rsid w:val="00C77A99"/>
    <w:rsid w:val="00C77B1F"/>
    <w:rsid w:val="00C80126"/>
    <w:rsid w:val="00C80258"/>
    <w:rsid w:val="00C802EB"/>
    <w:rsid w:val="00C8060F"/>
    <w:rsid w:val="00C80CFF"/>
    <w:rsid w:val="00C81011"/>
    <w:rsid w:val="00C81883"/>
    <w:rsid w:val="00C81C13"/>
    <w:rsid w:val="00C81E57"/>
    <w:rsid w:val="00C81E7C"/>
    <w:rsid w:val="00C81EBC"/>
    <w:rsid w:val="00C81FAE"/>
    <w:rsid w:val="00C82272"/>
    <w:rsid w:val="00C827EE"/>
    <w:rsid w:val="00C8302A"/>
    <w:rsid w:val="00C832ED"/>
    <w:rsid w:val="00C833BC"/>
    <w:rsid w:val="00C83DDC"/>
    <w:rsid w:val="00C843B8"/>
    <w:rsid w:val="00C848D3"/>
    <w:rsid w:val="00C84F1B"/>
    <w:rsid w:val="00C851A0"/>
    <w:rsid w:val="00C8564C"/>
    <w:rsid w:val="00C85D4A"/>
    <w:rsid w:val="00C86014"/>
    <w:rsid w:val="00C8623C"/>
    <w:rsid w:val="00C86452"/>
    <w:rsid w:val="00C86526"/>
    <w:rsid w:val="00C86B31"/>
    <w:rsid w:val="00C87145"/>
    <w:rsid w:val="00C871AB"/>
    <w:rsid w:val="00C8735A"/>
    <w:rsid w:val="00C87392"/>
    <w:rsid w:val="00C8745B"/>
    <w:rsid w:val="00C876AB"/>
    <w:rsid w:val="00C87EF3"/>
    <w:rsid w:val="00C87F52"/>
    <w:rsid w:val="00C9005C"/>
    <w:rsid w:val="00C900B8"/>
    <w:rsid w:val="00C90520"/>
    <w:rsid w:val="00C905AD"/>
    <w:rsid w:val="00C90A93"/>
    <w:rsid w:val="00C90EEA"/>
    <w:rsid w:val="00C9101C"/>
    <w:rsid w:val="00C910B4"/>
    <w:rsid w:val="00C911C9"/>
    <w:rsid w:val="00C9149F"/>
    <w:rsid w:val="00C91859"/>
    <w:rsid w:val="00C91C03"/>
    <w:rsid w:val="00C91F5D"/>
    <w:rsid w:val="00C91FAD"/>
    <w:rsid w:val="00C92175"/>
    <w:rsid w:val="00C92B29"/>
    <w:rsid w:val="00C9305F"/>
    <w:rsid w:val="00C93737"/>
    <w:rsid w:val="00C937D4"/>
    <w:rsid w:val="00C93940"/>
    <w:rsid w:val="00C93EDE"/>
    <w:rsid w:val="00C93EF2"/>
    <w:rsid w:val="00C941E3"/>
    <w:rsid w:val="00C94435"/>
    <w:rsid w:val="00C9449B"/>
    <w:rsid w:val="00C94902"/>
    <w:rsid w:val="00C9498A"/>
    <w:rsid w:val="00C94BB2"/>
    <w:rsid w:val="00C95275"/>
    <w:rsid w:val="00C952F4"/>
    <w:rsid w:val="00C954E3"/>
    <w:rsid w:val="00C9564E"/>
    <w:rsid w:val="00C956D5"/>
    <w:rsid w:val="00C95925"/>
    <w:rsid w:val="00C95A6C"/>
    <w:rsid w:val="00C95D7F"/>
    <w:rsid w:val="00C95DC5"/>
    <w:rsid w:val="00C966B0"/>
    <w:rsid w:val="00C967DA"/>
    <w:rsid w:val="00C969E4"/>
    <w:rsid w:val="00C96C60"/>
    <w:rsid w:val="00C96F65"/>
    <w:rsid w:val="00C970D9"/>
    <w:rsid w:val="00C97408"/>
    <w:rsid w:val="00C97D6E"/>
    <w:rsid w:val="00C97D72"/>
    <w:rsid w:val="00C97E28"/>
    <w:rsid w:val="00CA026C"/>
    <w:rsid w:val="00CA0412"/>
    <w:rsid w:val="00CA090D"/>
    <w:rsid w:val="00CA0A78"/>
    <w:rsid w:val="00CA1057"/>
    <w:rsid w:val="00CA116D"/>
    <w:rsid w:val="00CA1582"/>
    <w:rsid w:val="00CA19AF"/>
    <w:rsid w:val="00CA1B24"/>
    <w:rsid w:val="00CA1B64"/>
    <w:rsid w:val="00CA1CB9"/>
    <w:rsid w:val="00CA24D1"/>
    <w:rsid w:val="00CA2643"/>
    <w:rsid w:val="00CA2A2C"/>
    <w:rsid w:val="00CA2FC5"/>
    <w:rsid w:val="00CA3147"/>
    <w:rsid w:val="00CA31C0"/>
    <w:rsid w:val="00CA33C0"/>
    <w:rsid w:val="00CA3797"/>
    <w:rsid w:val="00CA3B83"/>
    <w:rsid w:val="00CA3D65"/>
    <w:rsid w:val="00CA3EF3"/>
    <w:rsid w:val="00CA41F6"/>
    <w:rsid w:val="00CA4310"/>
    <w:rsid w:val="00CA4620"/>
    <w:rsid w:val="00CA4A41"/>
    <w:rsid w:val="00CA52AA"/>
    <w:rsid w:val="00CA53B8"/>
    <w:rsid w:val="00CA5420"/>
    <w:rsid w:val="00CA55AC"/>
    <w:rsid w:val="00CA562E"/>
    <w:rsid w:val="00CA5B6F"/>
    <w:rsid w:val="00CA5CCD"/>
    <w:rsid w:val="00CA5E0D"/>
    <w:rsid w:val="00CA6089"/>
    <w:rsid w:val="00CA662E"/>
    <w:rsid w:val="00CA663F"/>
    <w:rsid w:val="00CA6779"/>
    <w:rsid w:val="00CA6D8B"/>
    <w:rsid w:val="00CA7106"/>
    <w:rsid w:val="00CA7693"/>
    <w:rsid w:val="00CA7869"/>
    <w:rsid w:val="00CA7BD9"/>
    <w:rsid w:val="00CB035E"/>
    <w:rsid w:val="00CB04C2"/>
    <w:rsid w:val="00CB0D2D"/>
    <w:rsid w:val="00CB16A2"/>
    <w:rsid w:val="00CB184A"/>
    <w:rsid w:val="00CB1893"/>
    <w:rsid w:val="00CB19F4"/>
    <w:rsid w:val="00CB1C12"/>
    <w:rsid w:val="00CB1EBB"/>
    <w:rsid w:val="00CB2073"/>
    <w:rsid w:val="00CB215D"/>
    <w:rsid w:val="00CB2F51"/>
    <w:rsid w:val="00CB32F4"/>
    <w:rsid w:val="00CB35C2"/>
    <w:rsid w:val="00CB388F"/>
    <w:rsid w:val="00CB4020"/>
    <w:rsid w:val="00CB4907"/>
    <w:rsid w:val="00CB4E1F"/>
    <w:rsid w:val="00CB5388"/>
    <w:rsid w:val="00CB55F0"/>
    <w:rsid w:val="00CB56C5"/>
    <w:rsid w:val="00CB5C5C"/>
    <w:rsid w:val="00CB5CA0"/>
    <w:rsid w:val="00CB61AF"/>
    <w:rsid w:val="00CB62F1"/>
    <w:rsid w:val="00CB68AA"/>
    <w:rsid w:val="00CB6B22"/>
    <w:rsid w:val="00CB6B79"/>
    <w:rsid w:val="00CB6DBB"/>
    <w:rsid w:val="00CB7389"/>
    <w:rsid w:val="00CB75B0"/>
    <w:rsid w:val="00CB7840"/>
    <w:rsid w:val="00CB7E85"/>
    <w:rsid w:val="00CB7EC9"/>
    <w:rsid w:val="00CC0058"/>
    <w:rsid w:val="00CC01A1"/>
    <w:rsid w:val="00CC026B"/>
    <w:rsid w:val="00CC0A01"/>
    <w:rsid w:val="00CC0E16"/>
    <w:rsid w:val="00CC0E74"/>
    <w:rsid w:val="00CC15BA"/>
    <w:rsid w:val="00CC1685"/>
    <w:rsid w:val="00CC19E8"/>
    <w:rsid w:val="00CC1B12"/>
    <w:rsid w:val="00CC20AA"/>
    <w:rsid w:val="00CC2671"/>
    <w:rsid w:val="00CC269D"/>
    <w:rsid w:val="00CC28DD"/>
    <w:rsid w:val="00CC2D43"/>
    <w:rsid w:val="00CC2FF1"/>
    <w:rsid w:val="00CC32AA"/>
    <w:rsid w:val="00CC3395"/>
    <w:rsid w:val="00CC38F7"/>
    <w:rsid w:val="00CC39F9"/>
    <w:rsid w:val="00CC3DE4"/>
    <w:rsid w:val="00CC42B6"/>
    <w:rsid w:val="00CC43E2"/>
    <w:rsid w:val="00CC473C"/>
    <w:rsid w:val="00CC4880"/>
    <w:rsid w:val="00CC48DE"/>
    <w:rsid w:val="00CC4DCA"/>
    <w:rsid w:val="00CC5C0C"/>
    <w:rsid w:val="00CC60B1"/>
    <w:rsid w:val="00CC63D7"/>
    <w:rsid w:val="00CC65E1"/>
    <w:rsid w:val="00CC65E9"/>
    <w:rsid w:val="00CC66A6"/>
    <w:rsid w:val="00CC6B78"/>
    <w:rsid w:val="00CC7199"/>
    <w:rsid w:val="00CC720C"/>
    <w:rsid w:val="00CC7375"/>
    <w:rsid w:val="00CC73D4"/>
    <w:rsid w:val="00CC78E8"/>
    <w:rsid w:val="00CC796D"/>
    <w:rsid w:val="00CC7F12"/>
    <w:rsid w:val="00CC7FC5"/>
    <w:rsid w:val="00CD00E0"/>
    <w:rsid w:val="00CD0705"/>
    <w:rsid w:val="00CD0753"/>
    <w:rsid w:val="00CD08BF"/>
    <w:rsid w:val="00CD0AF0"/>
    <w:rsid w:val="00CD0D6D"/>
    <w:rsid w:val="00CD0D89"/>
    <w:rsid w:val="00CD1040"/>
    <w:rsid w:val="00CD109F"/>
    <w:rsid w:val="00CD1353"/>
    <w:rsid w:val="00CD142F"/>
    <w:rsid w:val="00CD167A"/>
    <w:rsid w:val="00CD1A6F"/>
    <w:rsid w:val="00CD1B00"/>
    <w:rsid w:val="00CD2B03"/>
    <w:rsid w:val="00CD2D06"/>
    <w:rsid w:val="00CD3131"/>
    <w:rsid w:val="00CD34D0"/>
    <w:rsid w:val="00CD3B1F"/>
    <w:rsid w:val="00CD3BFB"/>
    <w:rsid w:val="00CD3C45"/>
    <w:rsid w:val="00CD3CA8"/>
    <w:rsid w:val="00CD3E54"/>
    <w:rsid w:val="00CD3F36"/>
    <w:rsid w:val="00CD4559"/>
    <w:rsid w:val="00CD508B"/>
    <w:rsid w:val="00CD5608"/>
    <w:rsid w:val="00CD59EB"/>
    <w:rsid w:val="00CD5A34"/>
    <w:rsid w:val="00CD5D8D"/>
    <w:rsid w:val="00CD6C7C"/>
    <w:rsid w:val="00CD724B"/>
    <w:rsid w:val="00CD7408"/>
    <w:rsid w:val="00CD7A38"/>
    <w:rsid w:val="00CE075E"/>
    <w:rsid w:val="00CE08B4"/>
    <w:rsid w:val="00CE0B25"/>
    <w:rsid w:val="00CE0CB6"/>
    <w:rsid w:val="00CE10ED"/>
    <w:rsid w:val="00CE18E0"/>
    <w:rsid w:val="00CE190E"/>
    <w:rsid w:val="00CE20AB"/>
    <w:rsid w:val="00CE229B"/>
    <w:rsid w:val="00CE2399"/>
    <w:rsid w:val="00CE2427"/>
    <w:rsid w:val="00CE24EF"/>
    <w:rsid w:val="00CE2659"/>
    <w:rsid w:val="00CE2BF0"/>
    <w:rsid w:val="00CE3086"/>
    <w:rsid w:val="00CE33F3"/>
    <w:rsid w:val="00CE3A4D"/>
    <w:rsid w:val="00CE3ABC"/>
    <w:rsid w:val="00CE47B8"/>
    <w:rsid w:val="00CE4809"/>
    <w:rsid w:val="00CE4AEC"/>
    <w:rsid w:val="00CE4BEB"/>
    <w:rsid w:val="00CE4C51"/>
    <w:rsid w:val="00CE4E06"/>
    <w:rsid w:val="00CE4FA1"/>
    <w:rsid w:val="00CE516A"/>
    <w:rsid w:val="00CE574B"/>
    <w:rsid w:val="00CE5B4A"/>
    <w:rsid w:val="00CE5C2D"/>
    <w:rsid w:val="00CE64BE"/>
    <w:rsid w:val="00CE650A"/>
    <w:rsid w:val="00CE6BFA"/>
    <w:rsid w:val="00CE6CEE"/>
    <w:rsid w:val="00CE6EFC"/>
    <w:rsid w:val="00CE6FE3"/>
    <w:rsid w:val="00CE725E"/>
    <w:rsid w:val="00CE7263"/>
    <w:rsid w:val="00CE7750"/>
    <w:rsid w:val="00CE799F"/>
    <w:rsid w:val="00CF0280"/>
    <w:rsid w:val="00CF0747"/>
    <w:rsid w:val="00CF0CC1"/>
    <w:rsid w:val="00CF199B"/>
    <w:rsid w:val="00CF2254"/>
    <w:rsid w:val="00CF24E0"/>
    <w:rsid w:val="00CF25C7"/>
    <w:rsid w:val="00CF2798"/>
    <w:rsid w:val="00CF288F"/>
    <w:rsid w:val="00CF2B27"/>
    <w:rsid w:val="00CF3366"/>
    <w:rsid w:val="00CF3621"/>
    <w:rsid w:val="00CF374A"/>
    <w:rsid w:val="00CF38A4"/>
    <w:rsid w:val="00CF3B51"/>
    <w:rsid w:val="00CF3C3E"/>
    <w:rsid w:val="00CF3E42"/>
    <w:rsid w:val="00CF4D1E"/>
    <w:rsid w:val="00CF4F5E"/>
    <w:rsid w:val="00CF5301"/>
    <w:rsid w:val="00CF638D"/>
    <w:rsid w:val="00CF6EEB"/>
    <w:rsid w:val="00CF6FDE"/>
    <w:rsid w:val="00CF71B6"/>
    <w:rsid w:val="00CF7868"/>
    <w:rsid w:val="00CF7883"/>
    <w:rsid w:val="00CF7934"/>
    <w:rsid w:val="00CF7EDD"/>
    <w:rsid w:val="00D00237"/>
    <w:rsid w:val="00D00C15"/>
    <w:rsid w:val="00D00F75"/>
    <w:rsid w:val="00D015D5"/>
    <w:rsid w:val="00D01620"/>
    <w:rsid w:val="00D01C9A"/>
    <w:rsid w:val="00D01DB4"/>
    <w:rsid w:val="00D01EBB"/>
    <w:rsid w:val="00D02129"/>
    <w:rsid w:val="00D02539"/>
    <w:rsid w:val="00D027A8"/>
    <w:rsid w:val="00D02AE5"/>
    <w:rsid w:val="00D02B11"/>
    <w:rsid w:val="00D03308"/>
    <w:rsid w:val="00D033E9"/>
    <w:rsid w:val="00D03454"/>
    <w:rsid w:val="00D03509"/>
    <w:rsid w:val="00D03A46"/>
    <w:rsid w:val="00D03A86"/>
    <w:rsid w:val="00D03CDC"/>
    <w:rsid w:val="00D042D8"/>
    <w:rsid w:val="00D043FE"/>
    <w:rsid w:val="00D047FD"/>
    <w:rsid w:val="00D04947"/>
    <w:rsid w:val="00D04D8D"/>
    <w:rsid w:val="00D04FE3"/>
    <w:rsid w:val="00D0532B"/>
    <w:rsid w:val="00D05427"/>
    <w:rsid w:val="00D0544B"/>
    <w:rsid w:val="00D05736"/>
    <w:rsid w:val="00D05AB7"/>
    <w:rsid w:val="00D05B49"/>
    <w:rsid w:val="00D06098"/>
    <w:rsid w:val="00D06178"/>
    <w:rsid w:val="00D061FA"/>
    <w:rsid w:val="00D0627F"/>
    <w:rsid w:val="00D062F4"/>
    <w:rsid w:val="00D0639D"/>
    <w:rsid w:val="00D06534"/>
    <w:rsid w:val="00D0676B"/>
    <w:rsid w:val="00D06A33"/>
    <w:rsid w:val="00D06B03"/>
    <w:rsid w:val="00D06C77"/>
    <w:rsid w:val="00D06F3D"/>
    <w:rsid w:val="00D07864"/>
    <w:rsid w:val="00D07CD2"/>
    <w:rsid w:val="00D1043E"/>
    <w:rsid w:val="00D1052A"/>
    <w:rsid w:val="00D1078B"/>
    <w:rsid w:val="00D10CCD"/>
    <w:rsid w:val="00D10D38"/>
    <w:rsid w:val="00D10D84"/>
    <w:rsid w:val="00D10E57"/>
    <w:rsid w:val="00D1117F"/>
    <w:rsid w:val="00D11203"/>
    <w:rsid w:val="00D11495"/>
    <w:rsid w:val="00D115FC"/>
    <w:rsid w:val="00D117B4"/>
    <w:rsid w:val="00D11868"/>
    <w:rsid w:val="00D11B1D"/>
    <w:rsid w:val="00D11BD4"/>
    <w:rsid w:val="00D11C3F"/>
    <w:rsid w:val="00D11D28"/>
    <w:rsid w:val="00D12E19"/>
    <w:rsid w:val="00D1300C"/>
    <w:rsid w:val="00D13175"/>
    <w:rsid w:val="00D13234"/>
    <w:rsid w:val="00D13683"/>
    <w:rsid w:val="00D13955"/>
    <w:rsid w:val="00D13A59"/>
    <w:rsid w:val="00D142A2"/>
    <w:rsid w:val="00D1480A"/>
    <w:rsid w:val="00D148CB"/>
    <w:rsid w:val="00D15006"/>
    <w:rsid w:val="00D15144"/>
    <w:rsid w:val="00D152F0"/>
    <w:rsid w:val="00D153BF"/>
    <w:rsid w:val="00D15622"/>
    <w:rsid w:val="00D157F8"/>
    <w:rsid w:val="00D15DD6"/>
    <w:rsid w:val="00D15F66"/>
    <w:rsid w:val="00D162FB"/>
    <w:rsid w:val="00D167D0"/>
    <w:rsid w:val="00D16804"/>
    <w:rsid w:val="00D16985"/>
    <w:rsid w:val="00D16AC6"/>
    <w:rsid w:val="00D173D8"/>
    <w:rsid w:val="00D1740E"/>
    <w:rsid w:val="00D17473"/>
    <w:rsid w:val="00D17544"/>
    <w:rsid w:val="00D17662"/>
    <w:rsid w:val="00D17BCC"/>
    <w:rsid w:val="00D2003C"/>
    <w:rsid w:val="00D20071"/>
    <w:rsid w:val="00D20279"/>
    <w:rsid w:val="00D203FB"/>
    <w:rsid w:val="00D20C9F"/>
    <w:rsid w:val="00D20D9A"/>
    <w:rsid w:val="00D21083"/>
    <w:rsid w:val="00D2153A"/>
    <w:rsid w:val="00D2177B"/>
    <w:rsid w:val="00D2187B"/>
    <w:rsid w:val="00D21A2E"/>
    <w:rsid w:val="00D21A4D"/>
    <w:rsid w:val="00D21AA1"/>
    <w:rsid w:val="00D22521"/>
    <w:rsid w:val="00D2254C"/>
    <w:rsid w:val="00D22AD7"/>
    <w:rsid w:val="00D22DC1"/>
    <w:rsid w:val="00D22DE0"/>
    <w:rsid w:val="00D230A0"/>
    <w:rsid w:val="00D230AA"/>
    <w:rsid w:val="00D2310D"/>
    <w:rsid w:val="00D23483"/>
    <w:rsid w:val="00D236D2"/>
    <w:rsid w:val="00D2381E"/>
    <w:rsid w:val="00D23B85"/>
    <w:rsid w:val="00D23C3C"/>
    <w:rsid w:val="00D24CFD"/>
    <w:rsid w:val="00D25144"/>
    <w:rsid w:val="00D25737"/>
    <w:rsid w:val="00D2582F"/>
    <w:rsid w:val="00D25AD4"/>
    <w:rsid w:val="00D25ADD"/>
    <w:rsid w:val="00D25F88"/>
    <w:rsid w:val="00D25FB8"/>
    <w:rsid w:val="00D26163"/>
    <w:rsid w:val="00D26CB3"/>
    <w:rsid w:val="00D270DB"/>
    <w:rsid w:val="00D27167"/>
    <w:rsid w:val="00D277BE"/>
    <w:rsid w:val="00D278FF"/>
    <w:rsid w:val="00D27D30"/>
    <w:rsid w:val="00D308C7"/>
    <w:rsid w:val="00D30DB4"/>
    <w:rsid w:val="00D31986"/>
    <w:rsid w:val="00D31AB7"/>
    <w:rsid w:val="00D31D8F"/>
    <w:rsid w:val="00D31DA9"/>
    <w:rsid w:val="00D32261"/>
    <w:rsid w:val="00D32359"/>
    <w:rsid w:val="00D324A2"/>
    <w:rsid w:val="00D32653"/>
    <w:rsid w:val="00D3272B"/>
    <w:rsid w:val="00D3273D"/>
    <w:rsid w:val="00D328A1"/>
    <w:rsid w:val="00D32995"/>
    <w:rsid w:val="00D32C29"/>
    <w:rsid w:val="00D33146"/>
    <w:rsid w:val="00D3319C"/>
    <w:rsid w:val="00D33239"/>
    <w:rsid w:val="00D33267"/>
    <w:rsid w:val="00D33327"/>
    <w:rsid w:val="00D33423"/>
    <w:rsid w:val="00D33585"/>
    <w:rsid w:val="00D3469D"/>
    <w:rsid w:val="00D34E63"/>
    <w:rsid w:val="00D34E8A"/>
    <w:rsid w:val="00D34EE9"/>
    <w:rsid w:val="00D355B5"/>
    <w:rsid w:val="00D36261"/>
    <w:rsid w:val="00D36563"/>
    <w:rsid w:val="00D36927"/>
    <w:rsid w:val="00D36E1E"/>
    <w:rsid w:val="00D37175"/>
    <w:rsid w:val="00D37205"/>
    <w:rsid w:val="00D37B3F"/>
    <w:rsid w:val="00D4002E"/>
    <w:rsid w:val="00D4010C"/>
    <w:rsid w:val="00D405E5"/>
    <w:rsid w:val="00D407DE"/>
    <w:rsid w:val="00D40D21"/>
    <w:rsid w:val="00D412FA"/>
    <w:rsid w:val="00D41537"/>
    <w:rsid w:val="00D41843"/>
    <w:rsid w:val="00D422A3"/>
    <w:rsid w:val="00D42521"/>
    <w:rsid w:val="00D4298E"/>
    <w:rsid w:val="00D42AF5"/>
    <w:rsid w:val="00D42F78"/>
    <w:rsid w:val="00D43063"/>
    <w:rsid w:val="00D435ED"/>
    <w:rsid w:val="00D43842"/>
    <w:rsid w:val="00D4384B"/>
    <w:rsid w:val="00D43932"/>
    <w:rsid w:val="00D43950"/>
    <w:rsid w:val="00D43AD3"/>
    <w:rsid w:val="00D43F55"/>
    <w:rsid w:val="00D441FF"/>
    <w:rsid w:val="00D4459E"/>
    <w:rsid w:val="00D45505"/>
    <w:rsid w:val="00D45B38"/>
    <w:rsid w:val="00D47108"/>
    <w:rsid w:val="00D47842"/>
    <w:rsid w:val="00D47CAC"/>
    <w:rsid w:val="00D50355"/>
    <w:rsid w:val="00D504E6"/>
    <w:rsid w:val="00D50709"/>
    <w:rsid w:val="00D509D2"/>
    <w:rsid w:val="00D50CAF"/>
    <w:rsid w:val="00D513E0"/>
    <w:rsid w:val="00D5159F"/>
    <w:rsid w:val="00D51926"/>
    <w:rsid w:val="00D51E45"/>
    <w:rsid w:val="00D52088"/>
    <w:rsid w:val="00D52096"/>
    <w:rsid w:val="00D520C4"/>
    <w:rsid w:val="00D52447"/>
    <w:rsid w:val="00D5253A"/>
    <w:rsid w:val="00D52544"/>
    <w:rsid w:val="00D525C5"/>
    <w:rsid w:val="00D52727"/>
    <w:rsid w:val="00D52B04"/>
    <w:rsid w:val="00D52B2E"/>
    <w:rsid w:val="00D52D84"/>
    <w:rsid w:val="00D52E48"/>
    <w:rsid w:val="00D52F40"/>
    <w:rsid w:val="00D53903"/>
    <w:rsid w:val="00D53A2A"/>
    <w:rsid w:val="00D53B08"/>
    <w:rsid w:val="00D53ECB"/>
    <w:rsid w:val="00D5483E"/>
    <w:rsid w:val="00D54865"/>
    <w:rsid w:val="00D548A5"/>
    <w:rsid w:val="00D55011"/>
    <w:rsid w:val="00D554DF"/>
    <w:rsid w:val="00D55900"/>
    <w:rsid w:val="00D55FCF"/>
    <w:rsid w:val="00D56AE0"/>
    <w:rsid w:val="00D56EE9"/>
    <w:rsid w:val="00D57084"/>
    <w:rsid w:val="00D571C1"/>
    <w:rsid w:val="00D571FB"/>
    <w:rsid w:val="00D57363"/>
    <w:rsid w:val="00D5765C"/>
    <w:rsid w:val="00D60069"/>
    <w:rsid w:val="00D60533"/>
    <w:rsid w:val="00D60837"/>
    <w:rsid w:val="00D6097E"/>
    <w:rsid w:val="00D6163A"/>
    <w:rsid w:val="00D61A35"/>
    <w:rsid w:val="00D61CB1"/>
    <w:rsid w:val="00D62145"/>
    <w:rsid w:val="00D6247F"/>
    <w:rsid w:val="00D6265A"/>
    <w:rsid w:val="00D62A38"/>
    <w:rsid w:val="00D62FBE"/>
    <w:rsid w:val="00D63407"/>
    <w:rsid w:val="00D639E6"/>
    <w:rsid w:val="00D6405A"/>
    <w:rsid w:val="00D64344"/>
    <w:rsid w:val="00D643B8"/>
    <w:rsid w:val="00D64514"/>
    <w:rsid w:val="00D649A1"/>
    <w:rsid w:val="00D649F4"/>
    <w:rsid w:val="00D64A4F"/>
    <w:rsid w:val="00D64A80"/>
    <w:rsid w:val="00D64BDB"/>
    <w:rsid w:val="00D64C61"/>
    <w:rsid w:val="00D64CFC"/>
    <w:rsid w:val="00D652E4"/>
    <w:rsid w:val="00D6535D"/>
    <w:rsid w:val="00D65506"/>
    <w:rsid w:val="00D65675"/>
    <w:rsid w:val="00D65A41"/>
    <w:rsid w:val="00D65E84"/>
    <w:rsid w:val="00D65F63"/>
    <w:rsid w:val="00D6620D"/>
    <w:rsid w:val="00D66280"/>
    <w:rsid w:val="00D66E03"/>
    <w:rsid w:val="00D670A2"/>
    <w:rsid w:val="00D671F3"/>
    <w:rsid w:val="00D67612"/>
    <w:rsid w:val="00D677B2"/>
    <w:rsid w:val="00D679D2"/>
    <w:rsid w:val="00D67DAD"/>
    <w:rsid w:val="00D67DD5"/>
    <w:rsid w:val="00D7094A"/>
    <w:rsid w:val="00D7099B"/>
    <w:rsid w:val="00D70ED4"/>
    <w:rsid w:val="00D71774"/>
    <w:rsid w:val="00D71E6F"/>
    <w:rsid w:val="00D720CF"/>
    <w:rsid w:val="00D72348"/>
    <w:rsid w:val="00D723C6"/>
    <w:rsid w:val="00D72B80"/>
    <w:rsid w:val="00D72D3E"/>
    <w:rsid w:val="00D72ED1"/>
    <w:rsid w:val="00D73319"/>
    <w:rsid w:val="00D73339"/>
    <w:rsid w:val="00D7337F"/>
    <w:rsid w:val="00D7364D"/>
    <w:rsid w:val="00D7445F"/>
    <w:rsid w:val="00D74759"/>
    <w:rsid w:val="00D74F75"/>
    <w:rsid w:val="00D75199"/>
    <w:rsid w:val="00D7561D"/>
    <w:rsid w:val="00D7565D"/>
    <w:rsid w:val="00D76982"/>
    <w:rsid w:val="00D76A91"/>
    <w:rsid w:val="00D76DBC"/>
    <w:rsid w:val="00D76E6B"/>
    <w:rsid w:val="00D772A3"/>
    <w:rsid w:val="00D775C8"/>
    <w:rsid w:val="00D7771F"/>
    <w:rsid w:val="00D77777"/>
    <w:rsid w:val="00D779D6"/>
    <w:rsid w:val="00D77B1A"/>
    <w:rsid w:val="00D77B66"/>
    <w:rsid w:val="00D77BF4"/>
    <w:rsid w:val="00D77E04"/>
    <w:rsid w:val="00D8095C"/>
    <w:rsid w:val="00D810B0"/>
    <w:rsid w:val="00D8157C"/>
    <w:rsid w:val="00D817F8"/>
    <w:rsid w:val="00D81A59"/>
    <w:rsid w:val="00D8217B"/>
    <w:rsid w:val="00D82271"/>
    <w:rsid w:val="00D8272E"/>
    <w:rsid w:val="00D82A46"/>
    <w:rsid w:val="00D82DB0"/>
    <w:rsid w:val="00D83263"/>
    <w:rsid w:val="00D83954"/>
    <w:rsid w:val="00D839EF"/>
    <w:rsid w:val="00D84991"/>
    <w:rsid w:val="00D849D1"/>
    <w:rsid w:val="00D84DFB"/>
    <w:rsid w:val="00D85089"/>
    <w:rsid w:val="00D854F5"/>
    <w:rsid w:val="00D858A1"/>
    <w:rsid w:val="00D858E6"/>
    <w:rsid w:val="00D85A1C"/>
    <w:rsid w:val="00D85B7F"/>
    <w:rsid w:val="00D861C2"/>
    <w:rsid w:val="00D86AF9"/>
    <w:rsid w:val="00D86BFA"/>
    <w:rsid w:val="00D86E48"/>
    <w:rsid w:val="00D8765A"/>
    <w:rsid w:val="00D87BFE"/>
    <w:rsid w:val="00D87DB6"/>
    <w:rsid w:val="00D87DD1"/>
    <w:rsid w:val="00D87DF4"/>
    <w:rsid w:val="00D87EA0"/>
    <w:rsid w:val="00D904F4"/>
    <w:rsid w:val="00D90560"/>
    <w:rsid w:val="00D907FF"/>
    <w:rsid w:val="00D90803"/>
    <w:rsid w:val="00D90931"/>
    <w:rsid w:val="00D90C78"/>
    <w:rsid w:val="00D90CC3"/>
    <w:rsid w:val="00D9127A"/>
    <w:rsid w:val="00D918FF"/>
    <w:rsid w:val="00D919D5"/>
    <w:rsid w:val="00D91C9C"/>
    <w:rsid w:val="00D920EF"/>
    <w:rsid w:val="00D92407"/>
    <w:rsid w:val="00D92504"/>
    <w:rsid w:val="00D9280A"/>
    <w:rsid w:val="00D9297D"/>
    <w:rsid w:val="00D92BE4"/>
    <w:rsid w:val="00D92E78"/>
    <w:rsid w:val="00D93114"/>
    <w:rsid w:val="00D9353D"/>
    <w:rsid w:val="00D93891"/>
    <w:rsid w:val="00D93C38"/>
    <w:rsid w:val="00D93E1A"/>
    <w:rsid w:val="00D94360"/>
    <w:rsid w:val="00D943E7"/>
    <w:rsid w:val="00D94550"/>
    <w:rsid w:val="00D94808"/>
    <w:rsid w:val="00D94910"/>
    <w:rsid w:val="00D94A43"/>
    <w:rsid w:val="00D94AE9"/>
    <w:rsid w:val="00D95829"/>
    <w:rsid w:val="00D95939"/>
    <w:rsid w:val="00D95988"/>
    <w:rsid w:val="00D95BD8"/>
    <w:rsid w:val="00D96A6F"/>
    <w:rsid w:val="00D96CE4"/>
    <w:rsid w:val="00D96DA9"/>
    <w:rsid w:val="00D96E86"/>
    <w:rsid w:val="00D975C1"/>
    <w:rsid w:val="00D97765"/>
    <w:rsid w:val="00D97B87"/>
    <w:rsid w:val="00D97D12"/>
    <w:rsid w:val="00DA0167"/>
    <w:rsid w:val="00DA0318"/>
    <w:rsid w:val="00DA0322"/>
    <w:rsid w:val="00DA083B"/>
    <w:rsid w:val="00DA0BA9"/>
    <w:rsid w:val="00DA0D83"/>
    <w:rsid w:val="00DA1D2E"/>
    <w:rsid w:val="00DA20FA"/>
    <w:rsid w:val="00DA246C"/>
    <w:rsid w:val="00DA262B"/>
    <w:rsid w:val="00DA2782"/>
    <w:rsid w:val="00DA2912"/>
    <w:rsid w:val="00DA2E78"/>
    <w:rsid w:val="00DA3377"/>
    <w:rsid w:val="00DA3713"/>
    <w:rsid w:val="00DA37A0"/>
    <w:rsid w:val="00DA3974"/>
    <w:rsid w:val="00DA3B93"/>
    <w:rsid w:val="00DA3D2F"/>
    <w:rsid w:val="00DA3F9C"/>
    <w:rsid w:val="00DA424E"/>
    <w:rsid w:val="00DA43DF"/>
    <w:rsid w:val="00DA4B90"/>
    <w:rsid w:val="00DA530A"/>
    <w:rsid w:val="00DA530B"/>
    <w:rsid w:val="00DA5312"/>
    <w:rsid w:val="00DA5AD1"/>
    <w:rsid w:val="00DA5B75"/>
    <w:rsid w:val="00DA61A7"/>
    <w:rsid w:val="00DA63AF"/>
    <w:rsid w:val="00DA72AD"/>
    <w:rsid w:val="00DA72FE"/>
    <w:rsid w:val="00DA751F"/>
    <w:rsid w:val="00DA79A3"/>
    <w:rsid w:val="00DA7A87"/>
    <w:rsid w:val="00DA7DC7"/>
    <w:rsid w:val="00DB03C8"/>
    <w:rsid w:val="00DB0664"/>
    <w:rsid w:val="00DB0960"/>
    <w:rsid w:val="00DB0DD8"/>
    <w:rsid w:val="00DB11BF"/>
    <w:rsid w:val="00DB11E6"/>
    <w:rsid w:val="00DB16CE"/>
    <w:rsid w:val="00DB19FC"/>
    <w:rsid w:val="00DB1BF9"/>
    <w:rsid w:val="00DB204E"/>
    <w:rsid w:val="00DB218C"/>
    <w:rsid w:val="00DB2338"/>
    <w:rsid w:val="00DB2779"/>
    <w:rsid w:val="00DB2F2B"/>
    <w:rsid w:val="00DB305F"/>
    <w:rsid w:val="00DB339C"/>
    <w:rsid w:val="00DB357B"/>
    <w:rsid w:val="00DB3AB8"/>
    <w:rsid w:val="00DB4038"/>
    <w:rsid w:val="00DB4588"/>
    <w:rsid w:val="00DB4865"/>
    <w:rsid w:val="00DB49D2"/>
    <w:rsid w:val="00DB4BD5"/>
    <w:rsid w:val="00DB532D"/>
    <w:rsid w:val="00DB5616"/>
    <w:rsid w:val="00DB5735"/>
    <w:rsid w:val="00DB578E"/>
    <w:rsid w:val="00DB58D6"/>
    <w:rsid w:val="00DB5958"/>
    <w:rsid w:val="00DB5F08"/>
    <w:rsid w:val="00DB6053"/>
    <w:rsid w:val="00DB6097"/>
    <w:rsid w:val="00DB63EA"/>
    <w:rsid w:val="00DB6463"/>
    <w:rsid w:val="00DB6835"/>
    <w:rsid w:val="00DB68AA"/>
    <w:rsid w:val="00DB7B0B"/>
    <w:rsid w:val="00DC0C1C"/>
    <w:rsid w:val="00DC1679"/>
    <w:rsid w:val="00DC19F8"/>
    <w:rsid w:val="00DC1F68"/>
    <w:rsid w:val="00DC223F"/>
    <w:rsid w:val="00DC27AA"/>
    <w:rsid w:val="00DC2A3D"/>
    <w:rsid w:val="00DC2C37"/>
    <w:rsid w:val="00DC33C4"/>
    <w:rsid w:val="00DC38DB"/>
    <w:rsid w:val="00DC3930"/>
    <w:rsid w:val="00DC3E5F"/>
    <w:rsid w:val="00DC429B"/>
    <w:rsid w:val="00DC4EDC"/>
    <w:rsid w:val="00DC55C7"/>
    <w:rsid w:val="00DC55F0"/>
    <w:rsid w:val="00DC5DB3"/>
    <w:rsid w:val="00DC6157"/>
    <w:rsid w:val="00DC68EE"/>
    <w:rsid w:val="00DC6C86"/>
    <w:rsid w:val="00DC729C"/>
    <w:rsid w:val="00DC7E19"/>
    <w:rsid w:val="00DD05E0"/>
    <w:rsid w:val="00DD0811"/>
    <w:rsid w:val="00DD0818"/>
    <w:rsid w:val="00DD0972"/>
    <w:rsid w:val="00DD0E83"/>
    <w:rsid w:val="00DD0F3B"/>
    <w:rsid w:val="00DD118A"/>
    <w:rsid w:val="00DD141E"/>
    <w:rsid w:val="00DD175B"/>
    <w:rsid w:val="00DD1AB5"/>
    <w:rsid w:val="00DD1C24"/>
    <w:rsid w:val="00DD2006"/>
    <w:rsid w:val="00DD204C"/>
    <w:rsid w:val="00DD204D"/>
    <w:rsid w:val="00DD2565"/>
    <w:rsid w:val="00DD3614"/>
    <w:rsid w:val="00DD36B2"/>
    <w:rsid w:val="00DD3974"/>
    <w:rsid w:val="00DD3F87"/>
    <w:rsid w:val="00DD4092"/>
    <w:rsid w:val="00DD433A"/>
    <w:rsid w:val="00DD457C"/>
    <w:rsid w:val="00DD491F"/>
    <w:rsid w:val="00DD49B7"/>
    <w:rsid w:val="00DD49BC"/>
    <w:rsid w:val="00DD4A0D"/>
    <w:rsid w:val="00DD52CA"/>
    <w:rsid w:val="00DD52E0"/>
    <w:rsid w:val="00DD538C"/>
    <w:rsid w:val="00DD59CB"/>
    <w:rsid w:val="00DD5BD8"/>
    <w:rsid w:val="00DD5CE4"/>
    <w:rsid w:val="00DD6034"/>
    <w:rsid w:val="00DD6B4B"/>
    <w:rsid w:val="00DD6C83"/>
    <w:rsid w:val="00DD75D6"/>
    <w:rsid w:val="00DD765F"/>
    <w:rsid w:val="00DD7AC9"/>
    <w:rsid w:val="00DD7F41"/>
    <w:rsid w:val="00DD7FCC"/>
    <w:rsid w:val="00DE0302"/>
    <w:rsid w:val="00DE0536"/>
    <w:rsid w:val="00DE07BF"/>
    <w:rsid w:val="00DE0989"/>
    <w:rsid w:val="00DE1AF2"/>
    <w:rsid w:val="00DE1D81"/>
    <w:rsid w:val="00DE1DE3"/>
    <w:rsid w:val="00DE2382"/>
    <w:rsid w:val="00DE2527"/>
    <w:rsid w:val="00DE25F1"/>
    <w:rsid w:val="00DE27C3"/>
    <w:rsid w:val="00DE288F"/>
    <w:rsid w:val="00DE303C"/>
    <w:rsid w:val="00DE32D2"/>
    <w:rsid w:val="00DE3BA8"/>
    <w:rsid w:val="00DE3D51"/>
    <w:rsid w:val="00DE40CD"/>
    <w:rsid w:val="00DE4500"/>
    <w:rsid w:val="00DE4C6B"/>
    <w:rsid w:val="00DE4D1A"/>
    <w:rsid w:val="00DE4E28"/>
    <w:rsid w:val="00DE528A"/>
    <w:rsid w:val="00DE5858"/>
    <w:rsid w:val="00DE5FBC"/>
    <w:rsid w:val="00DE6B69"/>
    <w:rsid w:val="00DE6C47"/>
    <w:rsid w:val="00DE6DDB"/>
    <w:rsid w:val="00DE6EE5"/>
    <w:rsid w:val="00DE73CF"/>
    <w:rsid w:val="00DE745D"/>
    <w:rsid w:val="00DE74C5"/>
    <w:rsid w:val="00DE74D7"/>
    <w:rsid w:val="00DE75C8"/>
    <w:rsid w:val="00DE7970"/>
    <w:rsid w:val="00DE7BD1"/>
    <w:rsid w:val="00DE7DBD"/>
    <w:rsid w:val="00DE7E02"/>
    <w:rsid w:val="00DE7EB6"/>
    <w:rsid w:val="00DF03AA"/>
    <w:rsid w:val="00DF0584"/>
    <w:rsid w:val="00DF1201"/>
    <w:rsid w:val="00DF131B"/>
    <w:rsid w:val="00DF196F"/>
    <w:rsid w:val="00DF19DD"/>
    <w:rsid w:val="00DF1C20"/>
    <w:rsid w:val="00DF1D37"/>
    <w:rsid w:val="00DF207D"/>
    <w:rsid w:val="00DF22A0"/>
    <w:rsid w:val="00DF260C"/>
    <w:rsid w:val="00DF27CE"/>
    <w:rsid w:val="00DF2A3A"/>
    <w:rsid w:val="00DF2EE4"/>
    <w:rsid w:val="00DF3219"/>
    <w:rsid w:val="00DF34EA"/>
    <w:rsid w:val="00DF382B"/>
    <w:rsid w:val="00DF3854"/>
    <w:rsid w:val="00DF3D2F"/>
    <w:rsid w:val="00DF420C"/>
    <w:rsid w:val="00DF4277"/>
    <w:rsid w:val="00DF4E8C"/>
    <w:rsid w:val="00DF520E"/>
    <w:rsid w:val="00DF548C"/>
    <w:rsid w:val="00DF55A4"/>
    <w:rsid w:val="00DF56F3"/>
    <w:rsid w:val="00DF5BCF"/>
    <w:rsid w:val="00DF5FF4"/>
    <w:rsid w:val="00DF6393"/>
    <w:rsid w:val="00DF678B"/>
    <w:rsid w:val="00DF6860"/>
    <w:rsid w:val="00DF6997"/>
    <w:rsid w:val="00DF6C17"/>
    <w:rsid w:val="00DF6D06"/>
    <w:rsid w:val="00DF6DC2"/>
    <w:rsid w:val="00DF74D4"/>
    <w:rsid w:val="00DF75E5"/>
    <w:rsid w:val="00DF7A67"/>
    <w:rsid w:val="00DF7EF7"/>
    <w:rsid w:val="00E0032F"/>
    <w:rsid w:val="00E0076A"/>
    <w:rsid w:val="00E008E0"/>
    <w:rsid w:val="00E00AA2"/>
    <w:rsid w:val="00E00ECC"/>
    <w:rsid w:val="00E01222"/>
    <w:rsid w:val="00E0153E"/>
    <w:rsid w:val="00E01807"/>
    <w:rsid w:val="00E0192E"/>
    <w:rsid w:val="00E01EB4"/>
    <w:rsid w:val="00E0215D"/>
    <w:rsid w:val="00E0246E"/>
    <w:rsid w:val="00E029A3"/>
    <w:rsid w:val="00E02CE9"/>
    <w:rsid w:val="00E02DA4"/>
    <w:rsid w:val="00E02DD9"/>
    <w:rsid w:val="00E03219"/>
    <w:rsid w:val="00E032C9"/>
    <w:rsid w:val="00E03438"/>
    <w:rsid w:val="00E0352A"/>
    <w:rsid w:val="00E03792"/>
    <w:rsid w:val="00E03817"/>
    <w:rsid w:val="00E03858"/>
    <w:rsid w:val="00E03959"/>
    <w:rsid w:val="00E03C1D"/>
    <w:rsid w:val="00E03F22"/>
    <w:rsid w:val="00E04295"/>
    <w:rsid w:val="00E042DA"/>
    <w:rsid w:val="00E04337"/>
    <w:rsid w:val="00E0472B"/>
    <w:rsid w:val="00E0480D"/>
    <w:rsid w:val="00E048CB"/>
    <w:rsid w:val="00E0503E"/>
    <w:rsid w:val="00E05107"/>
    <w:rsid w:val="00E05167"/>
    <w:rsid w:val="00E0520A"/>
    <w:rsid w:val="00E05354"/>
    <w:rsid w:val="00E05AC6"/>
    <w:rsid w:val="00E05F8B"/>
    <w:rsid w:val="00E06A92"/>
    <w:rsid w:val="00E06EAF"/>
    <w:rsid w:val="00E07960"/>
    <w:rsid w:val="00E07CA1"/>
    <w:rsid w:val="00E07CC3"/>
    <w:rsid w:val="00E07E26"/>
    <w:rsid w:val="00E107FA"/>
    <w:rsid w:val="00E11D3E"/>
    <w:rsid w:val="00E11E7D"/>
    <w:rsid w:val="00E11ECB"/>
    <w:rsid w:val="00E1258D"/>
    <w:rsid w:val="00E12806"/>
    <w:rsid w:val="00E128A0"/>
    <w:rsid w:val="00E12D35"/>
    <w:rsid w:val="00E12F8F"/>
    <w:rsid w:val="00E13435"/>
    <w:rsid w:val="00E13835"/>
    <w:rsid w:val="00E13D9B"/>
    <w:rsid w:val="00E13EED"/>
    <w:rsid w:val="00E14297"/>
    <w:rsid w:val="00E145C1"/>
    <w:rsid w:val="00E14775"/>
    <w:rsid w:val="00E148D3"/>
    <w:rsid w:val="00E14D72"/>
    <w:rsid w:val="00E153DE"/>
    <w:rsid w:val="00E158D5"/>
    <w:rsid w:val="00E15F34"/>
    <w:rsid w:val="00E16122"/>
    <w:rsid w:val="00E16B3F"/>
    <w:rsid w:val="00E16EF5"/>
    <w:rsid w:val="00E16FC8"/>
    <w:rsid w:val="00E17DDB"/>
    <w:rsid w:val="00E20609"/>
    <w:rsid w:val="00E20B4E"/>
    <w:rsid w:val="00E20D91"/>
    <w:rsid w:val="00E21020"/>
    <w:rsid w:val="00E210D5"/>
    <w:rsid w:val="00E210EB"/>
    <w:rsid w:val="00E21400"/>
    <w:rsid w:val="00E2147F"/>
    <w:rsid w:val="00E2155C"/>
    <w:rsid w:val="00E215F0"/>
    <w:rsid w:val="00E21B64"/>
    <w:rsid w:val="00E21B78"/>
    <w:rsid w:val="00E22447"/>
    <w:rsid w:val="00E2244F"/>
    <w:rsid w:val="00E2254B"/>
    <w:rsid w:val="00E22745"/>
    <w:rsid w:val="00E22984"/>
    <w:rsid w:val="00E23105"/>
    <w:rsid w:val="00E2317C"/>
    <w:rsid w:val="00E235DF"/>
    <w:rsid w:val="00E235FB"/>
    <w:rsid w:val="00E237C7"/>
    <w:rsid w:val="00E23801"/>
    <w:rsid w:val="00E23CAF"/>
    <w:rsid w:val="00E244D4"/>
    <w:rsid w:val="00E244DE"/>
    <w:rsid w:val="00E24D8B"/>
    <w:rsid w:val="00E24E2B"/>
    <w:rsid w:val="00E251F9"/>
    <w:rsid w:val="00E25C4B"/>
    <w:rsid w:val="00E25D85"/>
    <w:rsid w:val="00E25FB7"/>
    <w:rsid w:val="00E260B5"/>
    <w:rsid w:val="00E263C2"/>
    <w:rsid w:val="00E265E7"/>
    <w:rsid w:val="00E266BD"/>
    <w:rsid w:val="00E269F0"/>
    <w:rsid w:val="00E26EC2"/>
    <w:rsid w:val="00E27588"/>
    <w:rsid w:val="00E27A20"/>
    <w:rsid w:val="00E27D09"/>
    <w:rsid w:val="00E27FA9"/>
    <w:rsid w:val="00E301CF"/>
    <w:rsid w:val="00E306CF"/>
    <w:rsid w:val="00E30763"/>
    <w:rsid w:val="00E30839"/>
    <w:rsid w:val="00E308D7"/>
    <w:rsid w:val="00E30968"/>
    <w:rsid w:val="00E30DA0"/>
    <w:rsid w:val="00E318FF"/>
    <w:rsid w:val="00E31953"/>
    <w:rsid w:val="00E31C3F"/>
    <w:rsid w:val="00E31DB5"/>
    <w:rsid w:val="00E31E21"/>
    <w:rsid w:val="00E321A2"/>
    <w:rsid w:val="00E32429"/>
    <w:rsid w:val="00E3277A"/>
    <w:rsid w:val="00E32CA3"/>
    <w:rsid w:val="00E332FA"/>
    <w:rsid w:val="00E3375E"/>
    <w:rsid w:val="00E3404A"/>
    <w:rsid w:val="00E348C2"/>
    <w:rsid w:val="00E349BE"/>
    <w:rsid w:val="00E34EAE"/>
    <w:rsid w:val="00E34EFB"/>
    <w:rsid w:val="00E35101"/>
    <w:rsid w:val="00E351EF"/>
    <w:rsid w:val="00E3531A"/>
    <w:rsid w:val="00E35549"/>
    <w:rsid w:val="00E3597A"/>
    <w:rsid w:val="00E3628C"/>
    <w:rsid w:val="00E362EA"/>
    <w:rsid w:val="00E369F1"/>
    <w:rsid w:val="00E36DA7"/>
    <w:rsid w:val="00E3780A"/>
    <w:rsid w:val="00E37E34"/>
    <w:rsid w:val="00E40046"/>
    <w:rsid w:val="00E4050A"/>
    <w:rsid w:val="00E40641"/>
    <w:rsid w:val="00E406CB"/>
    <w:rsid w:val="00E40876"/>
    <w:rsid w:val="00E40EAD"/>
    <w:rsid w:val="00E41097"/>
    <w:rsid w:val="00E41099"/>
    <w:rsid w:val="00E4130F"/>
    <w:rsid w:val="00E41584"/>
    <w:rsid w:val="00E417BD"/>
    <w:rsid w:val="00E41A70"/>
    <w:rsid w:val="00E41C1E"/>
    <w:rsid w:val="00E42986"/>
    <w:rsid w:val="00E43556"/>
    <w:rsid w:val="00E43B5B"/>
    <w:rsid w:val="00E44166"/>
    <w:rsid w:val="00E44229"/>
    <w:rsid w:val="00E44901"/>
    <w:rsid w:val="00E44F1B"/>
    <w:rsid w:val="00E44F4F"/>
    <w:rsid w:val="00E45020"/>
    <w:rsid w:val="00E45024"/>
    <w:rsid w:val="00E450C9"/>
    <w:rsid w:val="00E4583A"/>
    <w:rsid w:val="00E45942"/>
    <w:rsid w:val="00E45C25"/>
    <w:rsid w:val="00E46082"/>
    <w:rsid w:val="00E460FF"/>
    <w:rsid w:val="00E46180"/>
    <w:rsid w:val="00E46761"/>
    <w:rsid w:val="00E467B1"/>
    <w:rsid w:val="00E4684D"/>
    <w:rsid w:val="00E46A48"/>
    <w:rsid w:val="00E46AC3"/>
    <w:rsid w:val="00E46B19"/>
    <w:rsid w:val="00E46B3C"/>
    <w:rsid w:val="00E46D77"/>
    <w:rsid w:val="00E46F6B"/>
    <w:rsid w:val="00E475B9"/>
    <w:rsid w:val="00E47A40"/>
    <w:rsid w:val="00E47A74"/>
    <w:rsid w:val="00E47E29"/>
    <w:rsid w:val="00E5032B"/>
    <w:rsid w:val="00E506F9"/>
    <w:rsid w:val="00E50995"/>
    <w:rsid w:val="00E50F7B"/>
    <w:rsid w:val="00E512FC"/>
    <w:rsid w:val="00E51370"/>
    <w:rsid w:val="00E51B23"/>
    <w:rsid w:val="00E51BD3"/>
    <w:rsid w:val="00E5218F"/>
    <w:rsid w:val="00E52305"/>
    <w:rsid w:val="00E5240C"/>
    <w:rsid w:val="00E527AB"/>
    <w:rsid w:val="00E527FB"/>
    <w:rsid w:val="00E528CB"/>
    <w:rsid w:val="00E52F09"/>
    <w:rsid w:val="00E53250"/>
    <w:rsid w:val="00E53776"/>
    <w:rsid w:val="00E53788"/>
    <w:rsid w:val="00E53AFA"/>
    <w:rsid w:val="00E53B81"/>
    <w:rsid w:val="00E53C77"/>
    <w:rsid w:val="00E53D20"/>
    <w:rsid w:val="00E53D24"/>
    <w:rsid w:val="00E54066"/>
    <w:rsid w:val="00E550A6"/>
    <w:rsid w:val="00E55467"/>
    <w:rsid w:val="00E55A8E"/>
    <w:rsid w:val="00E55CFE"/>
    <w:rsid w:val="00E55D59"/>
    <w:rsid w:val="00E55EB0"/>
    <w:rsid w:val="00E561BC"/>
    <w:rsid w:val="00E56549"/>
    <w:rsid w:val="00E566B7"/>
    <w:rsid w:val="00E56DF1"/>
    <w:rsid w:val="00E56F07"/>
    <w:rsid w:val="00E57664"/>
    <w:rsid w:val="00E57F0B"/>
    <w:rsid w:val="00E60B98"/>
    <w:rsid w:val="00E6108A"/>
    <w:rsid w:val="00E61196"/>
    <w:rsid w:val="00E6119F"/>
    <w:rsid w:val="00E616AA"/>
    <w:rsid w:val="00E61AF7"/>
    <w:rsid w:val="00E61B52"/>
    <w:rsid w:val="00E6200B"/>
    <w:rsid w:val="00E620DE"/>
    <w:rsid w:val="00E62259"/>
    <w:rsid w:val="00E62B67"/>
    <w:rsid w:val="00E6382F"/>
    <w:rsid w:val="00E63AED"/>
    <w:rsid w:val="00E63C54"/>
    <w:rsid w:val="00E63CD4"/>
    <w:rsid w:val="00E63D66"/>
    <w:rsid w:val="00E63E19"/>
    <w:rsid w:val="00E643FE"/>
    <w:rsid w:val="00E650D1"/>
    <w:rsid w:val="00E65425"/>
    <w:rsid w:val="00E6593A"/>
    <w:rsid w:val="00E659A3"/>
    <w:rsid w:val="00E65B39"/>
    <w:rsid w:val="00E65B76"/>
    <w:rsid w:val="00E665DF"/>
    <w:rsid w:val="00E66AE8"/>
    <w:rsid w:val="00E67149"/>
    <w:rsid w:val="00E67728"/>
    <w:rsid w:val="00E6794C"/>
    <w:rsid w:val="00E67D25"/>
    <w:rsid w:val="00E67FC3"/>
    <w:rsid w:val="00E707AB"/>
    <w:rsid w:val="00E70933"/>
    <w:rsid w:val="00E709AB"/>
    <w:rsid w:val="00E709AE"/>
    <w:rsid w:val="00E70D47"/>
    <w:rsid w:val="00E70E09"/>
    <w:rsid w:val="00E7114B"/>
    <w:rsid w:val="00E71534"/>
    <w:rsid w:val="00E71B2F"/>
    <w:rsid w:val="00E71DC1"/>
    <w:rsid w:val="00E72136"/>
    <w:rsid w:val="00E72149"/>
    <w:rsid w:val="00E7221C"/>
    <w:rsid w:val="00E723EC"/>
    <w:rsid w:val="00E7274B"/>
    <w:rsid w:val="00E727F1"/>
    <w:rsid w:val="00E729E2"/>
    <w:rsid w:val="00E737C5"/>
    <w:rsid w:val="00E73D5A"/>
    <w:rsid w:val="00E73D88"/>
    <w:rsid w:val="00E73E17"/>
    <w:rsid w:val="00E74058"/>
    <w:rsid w:val="00E742D9"/>
    <w:rsid w:val="00E74C7E"/>
    <w:rsid w:val="00E752E8"/>
    <w:rsid w:val="00E755ED"/>
    <w:rsid w:val="00E7568C"/>
    <w:rsid w:val="00E75795"/>
    <w:rsid w:val="00E758D2"/>
    <w:rsid w:val="00E75B56"/>
    <w:rsid w:val="00E75CFF"/>
    <w:rsid w:val="00E75F0B"/>
    <w:rsid w:val="00E76217"/>
    <w:rsid w:val="00E76484"/>
    <w:rsid w:val="00E76953"/>
    <w:rsid w:val="00E76F25"/>
    <w:rsid w:val="00E77A49"/>
    <w:rsid w:val="00E77DDC"/>
    <w:rsid w:val="00E805DE"/>
    <w:rsid w:val="00E80770"/>
    <w:rsid w:val="00E81074"/>
    <w:rsid w:val="00E810AD"/>
    <w:rsid w:val="00E811FF"/>
    <w:rsid w:val="00E813A7"/>
    <w:rsid w:val="00E8143B"/>
    <w:rsid w:val="00E81446"/>
    <w:rsid w:val="00E818B7"/>
    <w:rsid w:val="00E81C59"/>
    <w:rsid w:val="00E82292"/>
    <w:rsid w:val="00E827ED"/>
    <w:rsid w:val="00E82896"/>
    <w:rsid w:val="00E82F7E"/>
    <w:rsid w:val="00E82F8A"/>
    <w:rsid w:val="00E837EC"/>
    <w:rsid w:val="00E8394C"/>
    <w:rsid w:val="00E83DA2"/>
    <w:rsid w:val="00E83F4C"/>
    <w:rsid w:val="00E84004"/>
    <w:rsid w:val="00E84055"/>
    <w:rsid w:val="00E84185"/>
    <w:rsid w:val="00E84C3B"/>
    <w:rsid w:val="00E84C93"/>
    <w:rsid w:val="00E85196"/>
    <w:rsid w:val="00E85B43"/>
    <w:rsid w:val="00E85D49"/>
    <w:rsid w:val="00E85F05"/>
    <w:rsid w:val="00E876AC"/>
    <w:rsid w:val="00E878B1"/>
    <w:rsid w:val="00E87B66"/>
    <w:rsid w:val="00E900AC"/>
    <w:rsid w:val="00E90B54"/>
    <w:rsid w:val="00E90DD4"/>
    <w:rsid w:val="00E91215"/>
    <w:rsid w:val="00E912D7"/>
    <w:rsid w:val="00E91B17"/>
    <w:rsid w:val="00E91C80"/>
    <w:rsid w:val="00E91C92"/>
    <w:rsid w:val="00E91CAE"/>
    <w:rsid w:val="00E91FE5"/>
    <w:rsid w:val="00E9205A"/>
    <w:rsid w:val="00E92298"/>
    <w:rsid w:val="00E9255A"/>
    <w:rsid w:val="00E925D9"/>
    <w:rsid w:val="00E92FA8"/>
    <w:rsid w:val="00E93053"/>
    <w:rsid w:val="00E933E6"/>
    <w:rsid w:val="00E93E02"/>
    <w:rsid w:val="00E944CF"/>
    <w:rsid w:val="00E94579"/>
    <w:rsid w:val="00E94680"/>
    <w:rsid w:val="00E948FF"/>
    <w:rsid w:val="00E9496E"/>
    <w:rsid w:val="00E94DBE"/>
    <w:rsid w:val="00E94ECF"/>
    <w:rsid w:val="00E94F18"/>
    <w:rsid w:val="00E9595E"/>
    <w:rsid w:val="00E95E44"/>
    <w:rsid w:val="00E95E58"/>
    <w:rsid w:val="00E96B01"/>
    <w:rsid w:val="00E97149"/>
    <w:rsid w:val="00E97186"/>
    <w:rsid w:val="00E9753E"/>
    <w:rsid w:val="00E97808"/>
    <w:rsid w:val="00E97878"/>
    <w:rsid w:val="00E97C9D"/>
    <w:rsid w:val="00E97D12"/>
    <w:rsid w:val="00EA04A5"/>
    <w:rsid w:val="00EA0568"/>
    <w:rsid w:val="00EA0C8B"/>
    <w:rsid w:val="00EA1B55"/>
    <w:rsid w:val="00EA20CF"/>
    <w:rsid w:val="00EA2174"/>
    <w:rsid w:val="00EA2278"/>
    <w:rsid w:val="00EA2631"/>
    <w:rsid w:val="00EA2CFF"/>
    <w:rsid w:val="00EA30DC"/>
    <w:rsid w:val="00EA379E"/>
    <w:rsid w:val="00EA3C5D"/>
    <w:rsid w:val="00EA3D1C"/>
    <w:rsid w:val="00EA4013"/>
    <w:rsid w:val="00EA4483"/>
    <w:rsid w:val="00EA4E68"/>
    <w:rsid w:val="00EA51E7"/>
    <w:rsid w:val="00EA55D2"/>
    <w:rsid w:val="00EA58C7"/>
    <w:rsid w:val="00EA59EF"/>
    <w:rsid w:val="00EA5DDD"/>
    <w:rsid w:val="00EA5F75"/>
    <w:rsid w:val="00EA6000"/>
    <w:rsid w:val="00EA645F"/>
    <w:rsid w:val="00EA64A0"/>
    <w:rsid w:val="00EA6858"/>
    <w:rsid w:val="00EA6EB9"/>
    <w:rsid w:val="00EA7712"/>
    <w:rsid w:val="00EA7C5A"/>
    <w:rsid w:val="00EB0253"/>
    <w:rsid w:val="00EB02FD"/>
    <w:rsid w:val="00EB065F"/>
    <w:rsid w:val="00EB07A5"/>
    <w:rsid w:val="00EB0EB0"/>
    <w:rsid w:val="00EB1111"/>
    <w:rsid w:val="00EB16BF"/>
    <w:rsid w:val="00EB1A48"/>
    <w:rsid w:val="00EB2347"/>
    <w:rsid w:val="00EB2D94"/>
    <w:rsid w:val="00EB334B"/>
    <w:rsid w:val="00EB338D"/>
    <w:rsid w:val="00EB353D"/>
    <w:rsid w:val="00EB3CBB"/>
    <w:rsid w:val="00EB3CD2"/>
    <w:rsid w:val="00EB42FD"/>
    <w:rsid w:val="00EB49E9"/>
    <w:rsid w:val="00EB4B54"/>
    <w:rsid w:val="00EB53C3"/>
    <w:rsid w:val="00EB56AD"/>
    <w:rsid w:val="00EB59F0"/>
    <w:rsid w:val="00EB5D1E"/>
    <w:rsid w:val="00EB5D27"/>
    <w:rsid w:val="00EB5DBA"/>
    <w:rsid w:val="00EB640F"/>
    <w:rsid w:val="00EB663B"/>
    <w:rsid w:val="00EB6994"/>
    <w:rsid w:val="00EB6F1B"/>
    <w:rsid w:val="00EB7457"/>
    <w:rsid w:val="00EC025D"/>
    <w:rsid w:val="00EC094D"/>
    <w:rsid w:val="00EC150F"/>
    <w:rsid w:val="00EC16E3"/>
    <w:rsid w:val="00EC1E69"/>
    <w:rsid w:val="00EC2400"/>
    <w:rsid w:val="00EC2444"/>
    <w:rsid w:val="00EC2570"/>
    <w:rsid w:val="00EC25C5"/>
    <w:rsid w:val="00EC26B3"/>
    <w:rsid w:val="00EC27A4"/>
    <w:rsid w:val="00EC2B37"/>
    <w:rsid w:val="00EC2EAC"/>
    <w:rsid w:val="00EC2F28"/>
    <w:rsid w:val="00EC2FCE"/>
    <w:rsid w:val="00EC2FE5"/>
    <w:rsid w:val="00EC2FF3"/>
    <w:rsid w:val="00EC32AF"/>
    <w:rsid w:val="00EC38EA"/>
    <w:rsid w:val="00EC3ECE"/>
    <w:rsid w:val="00EC3F78"/>
    <w:rsid w:val="00EC40B8"/>
    <w:rsid w:val="00EC428D"/>
    <w:rsid w:val="00EC5017"/>
    <w:rsid w:val="00EC50DC"/>
    <w:rsid w:val="00EC55D3"/>
    <w:rsid w:val="00EC5C5C"/>
    <w:rsid w:val="00EC5E9B"/>
    <w:rsid w:val="00EC60A1"/>
    <w:rsid w:val="00EC61FB"/>
    <w:rsid w:val="00EC6477"/>
    <w:rsid w:val="00EC6816"/>
    <w:rsid w:val="00EC68CC"/>
    <w:rsid w:val="00EC6D5D"/>
    <w:rsid w:val="00EC7206"/>
    <w:rsid w:val="00EC73B5"/>
    <w:rsid w:val="00EC7B5D"/>
    <w:rsid w:val="00EC7D09"/>
    <w:rsid w:val="00EC7F22"/>
    <w:rsid w:val="00ED05C9"/>
    <w:rsid w:val="00ED05DA"/>
    <w:rsid w:val="00ED0E80"/>
    <w:rsid w:val="00ED18CB"/>
    <w:rsid w:val="00ED1952"/>
    <w:rsid w:val="00ED24AB"/>
    <w:rsid w:val="00ED2547"/>
    <w:rsid w:val="00ED2945"/>
    <w:rsid w:val="00ED2CB7"/>
    <w:rsid w:val="00ED2CC6"/>
    <w:rsid w:val="00ED2DFF"/>
    <w:rsid w:val="00ED302E"/>
    <w:rsid w:val="00ED31F2"/>
    <w:rsid w:val="00ED3328"/>
    <w:rsid w:val="00ED371F"/>
    <w:rsid w:val="00ED38AD"/>
    <w:rsid w:val="00ED38CF"/>
    <w:rsid w:val="00ED3C11"/>
    <w:rsid w:val="00ED4AFA"/>
    <w:rsid w:val="00ED4B37"/>
    <w:rsid w:val="00ED5127"/>
    <w:rsid w:val="00ED530D"/>
    <w:rsid w:val="00ED538A"/>
    <w:rsid w:val="00ED5D5E"/>
    <w:rsid w:val="00ED60AE"/>
    <w:rsid w:val="00ED6D60"/>
    <w:rsid w:val="00ED6E63"/>
    <w:rsid w:val="00ED71FB"/>
    <w:rsid w:val="00ED76B0"/>
    <w:rsid w:val="00ED76B5"/>
    <w:rsid w:val="00ED7901"/>
    <w:rsid w:val="00ED7B5C"/>
    <w:rsid w:val="00ED7F01"/>
    <w:rsid w:val="00ED7F5C"/>
    <w:rsid w:val="00EE0003"/>
    <w:rsid w:val="00EE0C4D"/>
    <w:rsid w:val="00EE1066"/>
    <w:rsid w:val="00EE1412"/>
    <w:rsid w:val="00EE1B3C"/>
    <w:rsid w:val="00EE1C70"/>
    <w:rsid w:val="00EE1D8F"/>
    <w:rsid w:val="00EE2170"/>
    <w:rsid w:val="00EE22DE"/>
    <w:rsid w:val="00EE22F1"/>
    <w:rsid w:val="00EE2320"/>
    <w:rsid w:val="00EE2661"/>
    <w:rsid w:val="00EE2DC9"/>
    <w:rsid w:val="00EE30B4"/>
    <w:rsid w:val="00EE3114"/>
    <w:rsid w:val="00EE31D5"/>
    <w:rsid w:val="00EE387F"/>
    <w:rsid w:val="00EE38C8"/>
    <w:rsid w:val="00EE3B14"/>
    <w:rsid w:val="00EE3B8F"/>
    <w:rsid w:val="00EE4178"/>
    <w:rsid w:val="00EE4789"/>
    <w:rsid w:val="00EE4968"/>
    <w:rsid w:val="00EE4AE7"/>
    <w:rsid w:val="00EE4FC4"/>
    <w:rsid w:val="00EE5394"/>
    <w:rsid w:val="00EE551B"/>
    <w:rsid w:val="00EE5636"/>
    <w:rsid w:val="00EE57A6"/>
    <w:rsid w:val="00EE5831"/>
    <w:rsid w:val="00EE589A"/>
    <w:rsid w:val="00EE5ABB"/>
    <w:rsid w:val="00EE5FC5"/>
    <w:rsid w:val="00EE6B97"/>
    <w:rsid w:val="00EE6C8E"/>
    <w:rsid w:val="00EE7157"/>
    <w:rsid w:val="00EE72F9"/>
    <w:rsid w:val="00EE73C4"/>
    <w:rsid w:val="00EE7482"/>
    <w:rsid w:val="00EE7811"/>
    <w:rsid w:val="00EE78F6"/>
    <w:rsid w:val="00EE7B03"/>
    <w:rsid w:val="00EF04FD"/>
    <w:rsid w:val="00EF0EFF"/>
    <w:rsid w:val="00EF0F61"/>
    <w:rsid w:val="00EF1126"/>
    <w:rsid w:val="00EF1973"/>
    <w:rsid w:val="00EF1997"/>
    <w:rsid w:val="00EF19EA"/>
    <w:rsid w:val="00EF248F"/>
    <w:rsid w:val="00EF3208"/>
    <w:rsid w:val="00EF33D3"/>
    <w:rsid w:val="00EF3CFC"/>
    <w:rsid w:val="00EF3F85"/>
    <w:rsid w:val="00EF414F"/>
    <w:rsid w:val="00EF41DC"/>
    <w:rsid w:val="00EF425B"/>
    <w:rsid w:val="00EF47AD"/>
    <w:rsid w:val="00EF48A7"/>
    <w:rsid w:val="00EF4A4F"/>
    <w:rsid w:val="00EF4C00"/>
    <w:rsid w:val="00EF4D74"/>
    <w:rsid w:val="00EF5EB2"/>
    <w:rsid w:val="00EF6094"/>
    <w:rsid w:val="00EF6110"/>
    <w:rsid w:val="00EF663A"/>
    <w:rsid w:val="00EF6A52"/>
    <w:rsid w:val="00EF6D31"/>
    <w:rsid w:val="00EF6E7B"/>
    <w:rsid w:val="00EF751B"/>
    <w:rsid w:val="00EF75E6"/>
    <w:rsid w:val="00F0048F"/>
    <w:rsid w:val="00F004DC"/>
    <w:rsid w:val="00F005E3"/>
    <w:rsid w:val="00F00C38"/>
    <w:rsid w:val="00F010D8"/>
    <w:rsid w:val="00F011DF"/>
    <w:rsid w:val="00F01214"/>
    <w:rsid w:val="00F019D8"/>
    <w:rsid w:val="00F01E5E"/>
    <w:rsid w:val="00F0240A"/>
    <w:rsid w:val="00F02777"/>
    <w:rsid w:val="00F027A5"/>
    <w:rsid w:val="00F03401"/>
    <w:rsid w:val="00F03980"/>
    <w:rsid w:val="00F039A9"/>
    <w:rsid w:val="00F03AD7"/>
    <w:rsid w:val="00F03F8A"/>
    <w:rsid w:val="00F03FA0"/>
    <w:rsid w:val="00F03FC2"/>
    <w:rsid w:val="00F040CC"/>
    <w:rsid w:val="00F04844"/>
    <w:rsid w:val="00F04C42"/>
    <w:rsid w:val="00F05241"/>
    <w:rsid w:val="00F052AC"/>
    <w:rsid w:val="00F05470"/>
    <w:rsid w:val="00F05565"/>
    <w:rsid w:val="00F06407"/>
    <w:rsid w:val="00F066ED"/>
    <w:rsid w:val="00F066F6"/>
    <w:rsid w:val="00F06DC1"/>
    <w:rsid w:val="00F06E4D"/>
    <w:rsid w:val="00F071AC"/>
    <w:rsid w:val="00F073F5"/>
    <w:rsid w:val="00F07E1B"/>
    <w:rsid w:val="00F10172"/>
    <w:rsid w:val="00F1023F"/>
    <w:rsid w:val="00F1063F"/>
    <w:rsid w:val="00F10A90"/>
    <w:rsid w:val="00F10FDF"/>
    <w:rsid w:val="00F11B2A"/>
    <w:rsid w:val="00F11BED"/>
    <w:rsid w:val="00F12097"/>
    <w:rsid w:val="00F12424"/>
    <w:rsid w:val="00F12500"/>
    <w:rsid w:val="00F125FA"/>
    <w:rsid w:val="00F1276F"/>
    <w:rsid w:val="00F130BE"/>
    <w:rsid w:val="00F14465"/>
    <w:rsid w:val="00F1470C"/>
    <w:rsid w:val="00F14767"/>
    <w:rsid w:val="00F148AC"/>
    <w:rsid w:val="00F14CB9"/>
    <w:rsid w:val="00F15166"/>
    <w:rsid w:val="00F15246"/>
    <w:rsid w:val="00F15B84"/>
    <w:rsid w:val="00F15D2D"/>
    <w:rsid w:val="00F165C0"/>
    <w:rsid w:val="00F169CE"/>
    <w:rsid w:val="00F16A7A"/>
    <w:rsid w:val="00F16EAB"/>
    <w:rsid w:val="00F1797F"/>
    <w:rsid w:val="00F17A59"/>
    <w:rsid w:val="00F17C0B"/>
    <w:rsid w:val="00F17EF0"/>
    <w:rsid w:val="00F17FDB"/>
    <w:rsid w:val="00F20060"/>
    <w:rsid w:val="00F201D4"/>
    <w:rsid w:val="00F20358"/>
    <w:rsid w:val="00F2057F"/>
    <w:rsid w:val="00F20606"/>
    <w:rsid w:val="00F2093C"/>
    <w:rsid w:val="00F20D16"/>
    <w:rsid w:val="00F20DBE"/>
    <w:rsid w:val="00F20F53"/>
    <w:rsid w:val="00F20FD5"/>
    <w:rsid w:val="00F21092"/>
    <w:rsid w:val="00F21591"/>
    <w:rsid w:val="00F225A0"/>
    <w:rsid w:val="00F22791"/>
    <w:rsid w:val="00F2295B"/>
    <w:rsid w:val="00F22D7F"/>
    <w:rsid w:val="00F22E13"/>
    <w:rsid w:val="00F22E36"/>
    <w:rsid w:val="00F23027"/>
    <w:rsid w:val="00F232B7"/>
    <w:rsid w:val="00F23454"/>
    <w:rsid w:val="00F235AD"/>
    <w:rsid w:val="00F235E6"/>
    <w:rsid w:val="00F239BD"/>
    <w:rsid w:val="00F23C05"/>
    <w:rsid w:val="00F23CDD"/>
    <w:rsid w:val="00F2430B"/>
    <w:rsid w:val="00F244BE"/>
    <w:rsid w:val="00F24513"/>
    <w:rsid w:val="00F2471E"/>
    <w:rsid w:val="00F259A8"/>
    <w:rsid w:val="00F25B03"/>
    <w:rsid w:val="00F263A1"/>
    <w:rsid w:val="00F2659E"/>
    <w:rsid w:val="00F26AE1"/>
    <w:rsid w:val="00F26AE9"/>
    <w:rsid w:val="00F26B0B"/>
    <w:rsid w:val="00F26C45"/>
    <w:rsid w:val="00F26FBE"/>
    <w:rsid w:val="00F26FFB"/>
    <w:rsid w:val="00F27073"/>
    <w:rsid w:val="00F27120"/>
    <w:rsid w:val="00F2736F"/>
    <w:rsid w:val="00F276B8"/>
    <w:rsid w:val="00F2779A"/>
    <w:rsid w:val="00F27B87"/>
    <w:rsid w:val="00F27FA0"/>
    <w:rsid w:val="00F27FBC"/>
    <w:rsid w:val="00F300E0"/>
    <w:rsid w:val="00F30396"/>
    <w:rsid w:val="00F3081C"/>
    <w:rsid w:val="00F30AAE"/>
    <w:rsid w:val="00F30B26"/>
    <w:rsid w:val="00F30C25"/>
    <w:rsid w:val="00F30D56"/>
    <w:rsid w:val="00F30FB6"/>
    <w:rsid w:val="00F311E7"/>
    <w:rsid w:val="00F31492"/>
    <w:rsid w:val="00F3158B"/>
    <w:rsid w:val="00F3190A"/>
    <w:rsid w:val="00F31E4B"/>
    <w:rsid w:val="00F31E81"/>
    <w:rsid w:val="00F31EDC"/>
    <w:rsid w:val="00F3200D"/>
    <w:rsid w:val="00F322BF"/>
    <w:rsid w:val="00F326D6"/>
    <w:rsid w:val="00F3281E"/>
    <w:rsid w:val="00F32CE7"/>
    <w:rsid w:val="00F32F39"/>
    <w:rsid w:val="00F332E0"/>
    <w:rsid w:val="00F3391B"/>
    <w:rsid w:val="00F3393A"/>
    <w:rsid w:val="00F33956"/>
    <w:rsid w:val="00F33C5B"/>
    <w:rsid w:val="00F33D01"/>
    <w:rsid w:val="00F33F15"/>
    <w:rsid w:val="00F33F2B"/>
    <w:rsid w:val="00F346C4"/>
    <w:rsid w:val="00F34856"/>
    <w:rsid w:val="00F34A4D"/>
    <w:rsid w:val="00F34B8D"/>
    <w:rsid w:val="00F34E4F"/>
    <w:rsid w:val="00F3501E"/>
    <w:rsid w:val="00F355A6"/>
    <w:rsid w:val="00F35BEE"/>
    <w:rsid w:val="00F35CE4"/>
    <w:rsid w:val="00F363DA"/>
    <w:rsid w:val="00F36812"/>
    <w:rsid w:val="00F36883"/>
    <w:rsid w:val="00F36947"/>
    <w:rsid w:val="00F37079"/>
    <w:rsid w:val="00F37185"/>
    <w:rsid w:val="00F37586"/>
    <w:rsid w:val="00F378D7"/>
    <w:rsid w:val="00F378F5"/>
    <w:rsid w:val="00F37C44"/>
    <w:rsid w:val="00F37E98"/>
    <w:rsid w:val="00F40357"/>
    <w:rsid w:val="00F4042A"/>
    <w:rsid w:val="00F40494"/>
    <w:rsid w:val="00F4063B"/>
    <w:rsid w:val="00F4072C"/>
    <w:rsid w:val="00F40AD3"/>
    <w:rsid w:val="00F40E75"/>
    <w:rsid w:val="00F417A0"/>
    <w:rsid w:val="00F417DA"/>
    <w:rsid w:val="00F4190E"/>
    <w:rsid w:val="00F41F7E"/>
    <w:rsid w:val="00F420CA"/>
    <w:rsid w:val="00F429B3"/>
    <w:rsid w:val="00F42C09"/>
    <w:rsid w:val="00F4314C"/>
    <w:rsid w:val="00F432BD"/>
    <w:rsid w:val="00F4360E"/>
    <w:rsid w:val="00F43B5B"/>
    <w:rsid w:val="00F43D39"/>
    <w:rsid w:val="00F43DDB"/>
    <w:rsid w:val="00F4448D"/>
    <w:rsid w:val="00F44570"/>
    <w:rsid w:val="00F44711"/>
    <w:rsid w:val="00F4537F"/>
    <w:rsid w:val="00F45458"/>
    <w:rsid w:val="00F45626"/>
    <w:rsid w:val="00F45719"/>
    <w:rsid w:val="00F4603F"/>
    <w:rsid w:val="00F466FD"/>
    <w:rsid w:val="00F479A7"/>
    <w:rsid w:val="00F479F6"/>
    <w:rsid w:val="00F5016F"/>
    <w:rsid w:val="00F5054C"/>
    <w:rsid w:val="00F51535"/>
    <w:rsid w:val="00F51AC9"/>
    <w:rsid w:val="00F51B07"/>
    <w:rsid w:val="00F51B8D"/>
    <w:rsid w:val="00F51E85"/>
    <w:rsid w:val="00F52088"/>
    <w:rsid w:val="00F52195"/>
    <w:rsid w:val="00F52321"/>
    <w:rsid w:val="00F540AB"/>
    <w:rsid w:val="00F542F7"/>
    <w:rsid w:val="00F544DF"/>
    <w:rsid w:val="00F54843"/>
    <w:rsid w:val="00F54987"/>
    <w:rsid w:val="00F54E08"/>
    <w:rsid w:val="00F55373"/>
    <w:rsid w:val="00F554AF"/>
    <w:rsid w:val="00F55BD9"/>
    <w:rsid w:val="00F55E99"/>
    <w:rsid w:val="00F56208"/>
    <w:rsid w:val="00F567D1"/>
    <w:rsid w:val="00F575A3"/>
    <w:rsid w:val="00F57FCF"/>
    <w:rsid w:val="00F609AF"/>
    <w:rsid w:val="00F609DB"/>
    <w:rsid w:val="00F612C7"/>
    <w:rsid w:val="00F61674"/>
    <w:rsid w:val="00F61E2F"/>
    <w:rsid w:val="00F62090"/>
    <w:rsid w:val="00F6271D"/>
    <w:rsid w:val="00F628E2"/>
    <w:rsid w:val="00F62A88"/>
    <w:rsid w:val="00F62D48"/>
    <w:rsid w:val="00F62E68"/>
    <w:rsid w:val="00F62EC1"/>
    <w:rsid w:val="00F6420C"/>
    <w:rsid w:val="00F64F3E"/>
    <w:rsid w:val="00F6577C"/>
    <w:rsid w:val="00F65A4A"/>
    <w:rsid w:val="00F65B40"/>
    <w:rsid w:val="00F66509"/>
    <w:rsid w:val="00F66BC7"/>
    <w:rsid w:val="00F678AB"/>
    <w:rsid w:val="00F67EB2"/>
    <w:rsid w:val="00F700DB"/>
    <w:rsid w:val="00F7050E"/>
    <w:rsid w:val="00F709AD"/>
    <w:rsid w:val="00F70AA2"/>
    <w:rsid w:val="00F70C76"/>
    <w:rsid w:val="00F70CD2"/>
    <w:rsid w:val="00F71594"/>
    <w:rsid w:val="00F715B5"/>
    <w:rsid w:val="00F71971"/>
    <w:rsid w:val="00F71CAC"/>
    <w:rsid w:val="00F71E79"/>
    <w:rsid w:val="00F71F65"/>
    <w:rsid w:val="00F72112"/>
    <w:rsid w:val="00F72A1D"/>
    <w:rsid w:val="00F72BE5"/>
    <w:rsid w:val="00F72CD2"/>
    <w:rsid w:val="00F72D91"/>
    <w:rsid w:val="00F72F8B"/>
    <w:rsid w:val="00F730E8"/>
    <w:rsid w:val="00F7310A"/>
    <w:rsid w:val="00F736E2"/>
    <w:rsid w:val="00F73903"/>
    <w:rsid w:val="00F73A3D"/>
    <w:rsid w:val="00F73A7F"/>
    <w:rsid w:val="00F7438F"/>
    <w:rsid w:val="00F7456F"/>
    <w:rsid w:val="00F745AC"/>
    <w:rsid w:val="00F747CC"/>
    <w:rsid w:val="00F75123"/>
    <w:rsid w:val="00F752ED"/>
    <w:rsid w:val="00F7530A"/>
    <w:rsid w:val="00F7537F"/>
    <w:rsid w:val="00F75381"/>
    <w:rsid w:val="00F75AD6"/>
    <w:rsid w:val="00F75FE7"/>
    <w:rsid w:val="00F76042"/>
    <w:rsid w:val="00F763CF"/>
    <w:rsid w:val="00F76A66"/>
    <w:rsid w:val="00F77063"/>
    <w:rsid w:val="00F770AF"/>
    <w:rsid w:val="00F772DB"/>
    <w:rsid w:val="00F77663"/>
    <w:rsid w:val="00F776A3"/>
    <w:rsid w:val="00F7783A"/>
    <w:rsid w:val="00F778A6"/>
    <w:rsid w:val="00F77A70"/>
    <w:rsid w:val="00F77AEE"/>
    <w:rsid w:val="00F80127"/>
    <w:rsid w:val="00F8020D"/>
    <w:rsid w:val="00F8031A"/>
    <w:rsid w:val="00F805AB"/>
    <w:rsid w:val="00F80864"/>
    <w:rsid w:val="00F80D31"/>
    <w:rsid w:val="00F80E29"/>
    <w:rsid w:val="00F814BC"/>
    <w:rsid w:val="00F819E6"/>
    <w:rsid w:val="00F81AA1"/>
    <w:rsid w:val="00F82880"/>
    <w:rsid w:val="00F82E2B"/>
    <w:rsid w:val="00F83244"/>
    <w:rsid w:val="00F836EF"/>
    <w:rsid w:val="00F83839"/>
    <w:rsid w:val="00F83985"/>
    <w:rsid w:val="00F83D36"/>
    <w:rsid w:val="00F8423C"/>
    <w:rsid w:val="00F84489"/>
    <w:rsid w:val="00F84CA9"/>
    <w:rsid w:val="00F84D3A"/>
    <w:rsid w:val="00F84D60"/>
    <w:rsid w:val="00F85328"/>
    <w:rsid w:val="00F85686"/>
    <w:rsid w:val="00F85C6A"/>
    <w:rsid w:val="00F85E64"/>
    <w:rsid w:val="00F85E83"/>
    <w:rsid w:val="00F8605B"/>
    <w:rsid w:val="00F86B8C"/>
    <w:rsid w:val="00F86BE4"/>
    <w:rsid w:val="00F87134"/>
    <w:rsid w:val="00F87200"/>
    <w:rsid w:val="00F874CF"/>
    <w:rsid w:val="00F904F5"/>
    <w:rsid w:val="00F90504"/>
    <w:rsid w:val="00F9088F"/>
    <w:rsid w:val="00F909EF"/>
    <w:rsid w:val="00F90D35"/>
    <w:rsid w:val="00F91096"/>
    <w:rsid w:val="00F91162"/>
    <w:rsid w:val="00F91290"/>
    <w:rsid w:val="00F91350"/>
    <w:rsid w:val="00F9232A"/>
    <w:rsid w:val="00F92539"/>
    <w:rsid w:val="00F92731"/>
    <w:rsid w:val="00F93071"/>
    <w:rsid w:val="00F9352D"/>
    <w:rsid w:val="00F935A4"/>
    <w:rsid w:val="00F93AEB"/>
    <w:rsid w:val="00F94393"/>
    <w:rsid w:val="00F9450C"/>
    <w:rsid w:val="00F94875"/>
    <w:rsid w:val="00F951E9"/>
    <w:rsid w:val="00F955C5"/>
    <w:rsid w:val="00F9569E"/>
    <w:rsid w:val="00F95AFD"/>
    <w:rsid w:val="00F961E3"/>
    <w:rsid w:val="00F9627C"/>
    <w:rsid w:val="00F962C0"/>
    <w:rsid w:val="00F96334"/>
    <w:rsid w:val="00F9663B"/>
    <w:rsid w:val="00F968C8"/>
    <w:rsid w:val="00F9700C"/>
    <w:rsid w:val="00F97115"/>
    <w:rsid w:val="00F9778D"/>
    <w:rsid w:val="00F97886"/>
    <w:rsid w:val="00F97A21"/>
    <w:rsid w:val="00FA03AB"/>
    <w:rsid w:val="00FA05A5"/>
    <w:rsid w:val="00FA0847"/>
    <w:rsid w:val="00FA0B7F"/>
    <w:rsid w:val="00FA0CFE"/>
    <w:rsid w:val="00FA0D9E"/>
    <w:rsid w:val="00FA1226"/>
    <w:rsid w:val="00FA12F2"/>
    <w:rsid w:val="00FA1853"/>
    <w:rsid w:val="00FA1976"/>
    <w:rsid w:val="00FA1E31"/>
    <w:rsid w:val="00FA2BF7"/>
    <w:rsid w:val="00FA2F06"/>
    <w:rsid w:val="00FA326B"/>
    <w:rsid w:val="00FA36C1"/>
    <w:rsid w:val="00FA3DE6"/>
    <w:rsid w:val="00FA42A1"/>
    <w:rsid w:val="00FA4EDB"/>
    <w:rsid w:val="00FA53A4"/>
    <w:rsid w:val="00FA5596"/>
    <w:rsid w:val="00FA5936"/>
    <w:rsid w:val="00FA5C86"/>
    <w:rsid w:val="00FA5F77"/>
    <w:rsid w:val="00FA6291"/>
    <w:rsid w:val="00FA670D"/>
    <w:rsid w:val="00FA6B85"/>
    <w:rsid w:val="00FA73F3"/>
    <w:rsid w:val="00FA76B2"/>
    <w:rsid w:val="00FA780A"/>
    <w:rsid w:val="00FA7832"/>
    <w:rsid w:val="00FA78FE"/>
    <w:rsid w:val="00FA7E2C"/>
    <w:rsid w:val="00FA7EF8"/>
    <w:rsid w:val="00FB0006"/>
    <w:rsid w:val="00FB024A"/>
    <w:rsid w:val="00FB0390"/>
    <w:rsid w:val="00FB0751"/>
    <w:rsid w:val="00FB08D2"/>
    <w:rsid w:val="00FB0AD1"/>
    <w:rsid w:val="00FB0B5A"/>
    <w:rsid w:val="00FB14E7"/>
    <w:rsid w:val="00FB15E3"/>
    <w:rsid w:val="00FB19FA"/>
    <w:rsid w:val="00FB1A01"/>
    <w:rsid w:val="00FB1AED"/>
    <w:rsid w:val="00FB1B77"/>
    <w:rsid w:val="00FB1C0A"/>
    <w:rsid w:val="00FB1E3E"/>
    <w:rsid w:val="00FB20A9"/>
    <w:rsid w:val="00FB26CB"/>
    <w:rsid w:val="00FB29A4"/>
    <w:rsid w:val="00FB2D47"/>
    <w:rsid w:val="00FB3122"/>
    <w:rsid w:val="00FB3150"/>
    <w:rsid w:val="00FB34D2"/>
    <w:rsid w:val="00FB3537"/>
    <w:rsid w:val="00FB39C8"/>
    <w:rsid w:val="00FB3A23"/>
    <w:rsid w:val="00FB3A8D"/>
    <w:rsid w:val="00FB3C48"/>
    <w:rsid w:val="00FB4E2E"/>
    <w:rsid w:val="00FB4E6A"/>
    <w:rsid w:val="00FB52D7"/>
    <w:rsid w:val="00FB5491"/>
    <w:rsid w:val="00FB58CE"/>
    <w:rsid w:val="00FB5FD0"/>
    <w:rsid w:val="00FB60CF"/>
    <w:rsid w:val="00FB686A"/>
    <w:rsid w:val="00FB6894"/>
    <w:rsid w:val="00FB699E"/>
    <w:rsid w:val="00FB6B74"/>
    <w:rsid w:val="00FB6C99"/>
    <w:rsid w:val="00FB77D5"/>
    <w:rsid w:val="00FB7BD5"/>
    <w:rsid w:val="00FC0075"/>
    <w:rsid w:val="00FC0F17"/>
    <w:rsid w:val="00FC1038"/>
    <w:rsid w:val="00FC1212"/>
    <w:rsid w:val="00FC12D5"/>
    <w:rsid w:val="00FC149F"/>
    <w:rsid w:val="00FC18B1"/>
    <w:rsid w:val="00FC1D1B"/>
    <w:rsid w:val="00FC1E96"/>
    <w:rsid w:val="00FC1ED0"/>
    <w:rsid w:val="00FC1EDE"/>
    <w:rsid w:val="00FC2A69"/>
    <w:rsid w:val="00FC2CDE"/>
    <w:rsid w:val="00FC312F"/>
    <w:rsid w:val="00FC317B"/>
    <w:rsid w:val="00FC3309"/>
    <w:rsid w:val="00FC3387"/>
    <w:rsid w:val="00FC3657"/>
    <w:rsid w:val="00FC3BCB"/>
    <w:rsid w:val="00FC3C5B"/>
    <w:rsid w:val="00FC3DBC"/>
    <w:rsid w:val="00FC3E9F"/>
    <w:rsid w:val="00FC423E"/>
    <w:rsid w:val="00FC42F2"/>
    <w:rsid w:val="00FC4980"/>
    <w:rsid w:val="00FC4ECE"/>
    <w:rsid w:val="00FC5228"/>
    <w:rsid w:val="00FC588C"/>
    <w:rsid w:val="00FC5A90"/>
    <w:rsid w:val="00FC5CDA"/>
    <w:rsid w:val="00FC65D0"/>
    <w:rsid w:val="00FC7B31"/>
    <w:rsid w:val="00FC7C91"/>
    <w:rsid w:val="00FC7F3A"/>
    <w:rsid w:val="00FD00F3"/>
    <w:rsid w:val="00FD09FC"/>
    <w:rsid w:val="00FD0BD1"/>
    <w:rsid w:val="00FD10EC"/>
    <w:rsid w:val="00FD11DA"/>
    <w:rsid w:val="00FD142D"/>
    <w:rsid w:val="00FD18DD"/>
    <w:rsid w:val="00FD21BA"/>
    <w:rsid w:val="00FD2227"/>
    <w:rsid w:val="00FD2989"/>
    <w:rsid w:val="00FD2C32"/>
    <w:rsid w:val="00FD2C3A"/>
    <w:rsid w:val="00FD2FAB"/>
    <w:rsid w:val="00FD323A"/>
    <w:rsid w:val="00FD3986"/>
    <w:rsid w:val="00FD3A5B"/>
    <w:rsid w:val="00FD3A65"/>
    <w:rsid w:val="00FD3B68"/>
    <w:rsid w:val="00FD3B93"/>
    <w:rsid w:val="00FD3E3C"/>
    <w:rsid w:val="00FD421E"/>
    <w:rsid w:val="00FD500F"/>
    <w:rsid w:val="00FD56D9"/>
    <w:rsid w:val="00FD588F"/>
    <w:rsid w:val="00FD5F30"/>
    <w:rsid w:val="00FD6399"/>
    <w:rsid w:val="00FD6549"/>
    <w:rsid w:val="00FD67F7"/>
    <w:rsid w:val="00FD69D2"/>
    <w:rsid w:val="00FD6DDD"/>
    <w:rsid w:val="00FD6F7D"/>
    <w:rsid w:val="00FD6F89"/>
    <w:rsid w:val="00FE0058"/>
    <w:rsid w:val="00FE0197"/>
    <w:rsid w:val="00FE0EB2"/>
    <w:rsid w:val="00FE12E0"/>
    <w:rsid w:val="00FE13FA"/>
    <w:rsid w:val="00FE1CF8"/>
    <w:rsid w:val="00FE22E8"/>
    <w:rsid w:val="00FE24B3"/>
    <w:rsid w:val="00FE253D"/>
    <w:rsid w:val="00FE2759"/>
    <w:rsid w:val="00FE278E"/>
    <w:rsid w:val="00FE2E73"/>
    <w:rsid w:val="00FE2EA2"/>
    <w:rsid w:val="00FE3000"/>
    <w:rsid w:val="00FE3090"/>
    <w:rsid w:val="00FE3298"/>
    <w:rsid w:val="00FE3300"/>
    <w:rsid w:val="00FE3364"/>
    <w:rsid w:val="00FE39FE"/>
    <w:rsid w:val="00FE3BCC"/>
    <w:rsid w:val="00FE3D94"/>
    <w:rsid w:val="00FE3E03"/>
    <w:rsid w:val="00FE3FAE"/>
    <w:rsid w:val="00FE425B"/>
    <w:rsid w:val="00FE45F1"/>
    <w:rsid w:val="00FE4A20"/>
    <w:rsid w:val="00FE5CF4"/>
    <w:rsid w:val="00FE5D4A"/>
    <w:rsid w:val="00FE5E5F"/>
    <w:rsid w:val="00FE6417"/>
    <w:rsid w:val="00FE6BD5"/>
    <w:rsid w:val="00FE6F35"/>
    <w:rsid w:val="00FE720E"/>
    <w:rsid w:val="00FE7AF2"/>
    <w:rsid w:val="00FE7E69"/>
    <w:rsid w:val="00FE7F7D"/>
    <w:rsid w:val="00FF0209"/>
    <w:rsid w:val="00FF0925"/>
    <w:rsid w:val="00FF1441"/>
    <w:rsid w:val="00FF1892"/>
    <w:rsid w:val="00FF1A16"/>
    <w:rsid w:val="00FF1F1E"/>
    <w:rsid w:val="00FF2303"/>
    <w:rsid w:val="00FF27D6"/>
    <w:rsid w:val="00FF2870"/>
    <w:rsid w:val="00FF2DDE"/>
    <w:rsid w:val="00FF3057"/>
    <w:rsid w:val="00FF30AF"/>
    <w:rsid w:val="00FF3199"/>
    <w:rsid w:val="00FF3370"/>
    <w:rsid w:val="00FF372F"/>
    <w:rsid w:val="00FF3D65"/>
    <w:rsid w:val="00FF3F85"/>
    <w:rsid w:val="00FF3FAA"/>
    <w:rsid w:val="00FF409C"/>
    <w:rsid w:val="00FF4409"/>
    <w:rsid w:val="00FF459A"/>
    <w:rsid w:val="00FF4938"/>
    <w:rsid w:val="00FF49B5"/>
    <w:rsid w:val="00FF4B0F"/>
    <w:rsid w:val="00FF4C85"/>
    <w:rsid w:val="00FF5078"/>
    <w:rsid w:val="00FF5090"/>
    <w:rsid w:val="00FF528F"/>
    <w:rsid w:val="00FF552C"/>
    <w:rsid w:val="00FF56FB"/>
    <w:rsid w:val="00FF5ADA"/>
    <w:rsid w:val="00FF5D7F"/>
    <w:rsid w:val="00FF5FF4"/>
    <w:rsid w:val="00FF605D"/>
    <w:rsid w:val="00FF60E1"/>
    <w:rsid w:val="00FF64FC"/>
    <w:rsid w:val="00FF6AFA"/>
    <w:rsid w:val="00FF6B11"/>
    <w:rsid w:val="00FF6B56"/>
    <w:rsid w:val="00FF6B88"/>
    <w:rsid w:val="00FF6B9C"/>
    <w:rsid w:val="00FF6BCF"/>
    <w:rsid w:val="00FF6FE8"/>
    <w:rsid w:val="00FF7166"/>
    <w:rsid w:val="00FF76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C2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855"/>
    <w:pPr>
      <w:spacing w:after="100" w:line="400" w:lineRule="exact"/>
      <w:jc w:val="both"/>
    </w:pPr>
    <w:rPr>
      <w:rFonts w:ascii="Century Schoolbook" w:hAnsi="Century Schoolbook"/>
      <w:sz w:val="27"/>
    </w:rPr>
  </w:style>
  <w:style w:type="paragraph" w:styleId="Heading1">
    <w:name w:val="heading 1"/>
    <w:basedOn w:val="Normal"/>
    <w:next w:val="Normal"/>
    <w:qFormat/>
    <w:rsid w:val="00997855"/>
    <w:pPr>
      <w:keepNext/>
      <w:spacing w:before="140" w:line="240" w:lineRule="atLeast"/>
      <w:jc w:val="center"/>
      <w:outlineLvl w:val="0"/>
    </w:pPr>
    <w:rPr>
      <w:b/>
      <w:smallCaps/>
    </w:rPr>
  </w:style>
  <w:style w:type="paragraph" w:styleId="Heading2">
    <w:name w:val="heading 2"/>
    <w:basedOn w:val="Normal"/>
    <w:next w:val="Normal"/>
    <w:qFormat/>
    <w:rsid w:val="00997855"/>
    <w:pPr>
      <w:keepNext/>
      <w:tabs>
        <w:tab w:val="left" w:pos="1152"/>
      </w:tabs>
      <w:spacing w:before="140" w:line="240" w:lineRule="atLeast"/>
      <w:ind w:left="1152" w:hanging="432"/>
      <w:jc w:val="left"/>
      <w:outlineLvl w:val="1"/>
    </w:pPr>
    <w:rPr>
      <w:b/>
    </w:rPr>
  </w:style>
  <w:style w:type="paragraph" w:styleId="Heading3">
    <w:name w:val="heading 3"/>
    <w:basedOn w:val="Normal"/>
    <w:next w:val="NormalIndent"/>
    <w:link w:val="Heading3Char"/>
    <w:qFormat/>
    <w:rsid w:val="00997855"/>
    <w:pPr>
      <w:keepNext/>
      <w:tabs>
        <w:tab w:val="left" w:pos="1584"/>
      </w:tabs>
      <w:spacing w:before="140" w:line="240" w:lineRule="atLeast"/>
      <w:ind w:left="1584" w:hanging="432"/>
      <w:jc w:val="left"/>
      <w:outlineLvl w:val="2"/>
    </w:pPr>
    <w:rPr>
      <w:i/>
    </w:rPr>
  </w:style>
  <w:style w:type="paragraph" w:styleId="Heading4">
    <w:name w:val="heading 4"/>
    <w:basedOn w:val="Normal"/>
    <w:qFormat/>
    <w:rsid w:val="00997855"/>
    <w:pPr>
      <w:keepNext/>
      <w:tabs>
        <w:tab w:val="left" w:pos="2016"/>
      </w:tabs>
      <w:spacing w:before="140" w:line="240" w:lineRule="atLeast"/>
      <w:ind w:left="2016" w:hanging="432"/>
      <w:jc w:val="left"/>
      <w:outlineLvl w:val="3"/>
    </w:pPr>
    <w:rPr>
      <w:i/>
    </w:rPr>
  </w:style>
  <w:style w:type="paragraph" w:styleId="Heading5">
    <w:name w:val="heading 5"/>
    <w:basedOn w:val="Normal"/>
    <w:qFormat/>
    <w:rsid w:val="00997855"/>
    <w:pPr>
      <w:keepNext/>
      <w:tabs>
        <w:tab w:val="left" w:pos="2448"/>
      </w:tabs>
      <w:spacing w:before="140" w:line="240" w:lineRule="atLeast"/>
      <w:ind w:left="2448" w:hanging="432"/>
      <w:jc w:val="lef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997855"/>
    <w:pPr>
      <w:ind w:left="720"/>
    </w:pPr>
  </w:style>
  <w:style w:type="paragraph" w:styleId="Footer">
    <w:name w:val="footer"/>
    <w:basedOn w:val="Normal"/>
    <w:link w:val="FooterChar"/>
    <w:uiPriority w:val="99"/>
    <w:qFormat/>
    <w:rsid w:val="00997855"/>
    <w:pPr>
      <w:tabs>
        <w:tab w:val="center" w:pos="3960"/>
        <w:tab w:val="right" w:pos="10080"/>
      </w:tabs>
      <w:spacing w:after="0" w:line="240" w:lineRule="auto"/>
      <w:jc w:val="center"/>
    </w:pPr>
    <w:rPr>
      <w:sz w:val="22"/>
    </w:rPr>
  </w:style>
  <w:style w:type="paragraph" w:styleId="Header">
    <w:name w:val="header"/>
    <w:basedOn w:val="Normal"/>
    <w:qFormat/>
    <w:rsid w:val="00997855"/>
    <w:pPr>
      <w:tabs>
        <w:tab w:val="center" w:pos="3960"/>
        <w:tab w:val="right" w:pos="10080"/>
      </w:tabs>
      <w:spacing w:after="80" w:line="240" w:lineRule="auto"/>
      <w:jc w:val="center"/>
    </w:pPr>
    <w:rPr>
      <w:sz w:val="22"/>
    </w:rPr>
  </w:style>
  <w:style w:type="character" w:styleId="FootnoteReference">
    <w:name w:val="footnote reference"/>
    <w:basedOn w:val="DefaultParagraphFont"/>
    <w:rsid w:val="00997855"/>
    <w:rPr>
      <w:rFonts w:ascii="Century Schoolbook" w:hAnsi="Century Schoolbook"/>
      <w:b/>
      <w:i w:val="0"/>
      <w:position w:val="4"/>
      <w:sz w:val="27"/>
      <w:vertAlign w:val="superscript"/>
    </w:rPr>
  </w:style>
  <w:style w:type="paragraph" w:styleId="FootnoteText">
    <w:name w:val="footnote text"/>
    <w:basedOn w:val="Normal"/>
    <w:link w:val="FootnoteTextChar"/>
    <w:rsid w:val="00997855"/>
    <w:pPr>
      <w:spacing w:line="300" w:lineRule="exact"/>
    </w:pPr>
  </w:style>
  <w:style w:type="paragraph" w:customStyle="1" w:styleId="Title1">
    <w:name w:val="Title1"/>
    <w:basedOn w:val="Normal"/>
    <w:rsid w:val="00997855"/>
    <w:pPr>
      <w:tabs>
        <w:tab w:val="left" w:pos="5760"/>
        <w:tab w:val="left" w:pos="6480"/>
      </w:tabs>
      <w:spacing w:line="240" w:lineRule="atLeast"/>
    </w:pPr>
  </w:style>
  <w:style w:type="paragraph" w:customStyle="1" w:styleId="Recommend">
    <w:name w:val="Recommend"/>
    <w:basedOn w:val="Normal"/>
    <w:rsid w:val="00997855"/>
  </w:style>
  <w:style w:type="paragraph" w:customStyle="1" w:styleId="Summary">
    <w:name w:val="Summary"/>
    <w:basedOn w:val="Normal"/>
    <w:rsid w:val="00997855"/>
    <w:pPr>
      <w:ind w:left="2160" w:hanging="2160"/>
    </w:pPr>
  </w:style>
  <w:style w:type="paragraph" w:customStyle="1" w:styleId="Text">
    <w:name w:val="Text"/>
    <w:basedOn w:val="Normal"/>
    <w:rsid w:val="00997855"/>
    <w:pPr>
      <w:tabs>
        <w:tab w:val="left" w:pos="720"/>
        <w:tab w:val="left" w:pos="1440"/>
        <w:tab w:val="left" w:pos="2160"/>
        <w:tab w:val="center" w:pos="4320"/>
      </w:tabs>
      <w:spacing w:line="480" w:lineRule="atLeast"/>
      <w:ind w:firstLine="540"/>
    </w:pPr>
  </w:style>
  <w:style w:type="paragraph" w:styleId="Date">
    <w:name w:val="Date"/>
    <w:basedOn w:val="Normal"/>
    <w:semiHidden/>
    <w:rsid w:val="00997855"/>
    <w:pPr>
      <w:jc w:val="right"/>
    </w:pPr>
  </w:style>
  <w:style w:type="character" w:styleId="PageNumber">
    <w:name w:val="page number"/>
    <w:basedOn w:val="DefaultParagraphFont"/>
    <w:semiHidden/>
    <w:rsid w:val="00997855"/>
  </w:style>
  <w:style w:type="paragraph" w:customStyle="1" w:styleId="subject">
    <w:name w:val="subject"/>
    <w:basedOn w:val="Normal"/>
    <w:rsid w:val="00997855"/>
    <w:pPr>
      <w:tabs>
        <w:tab w:val="left" w:pos="1008"/>
      </w:tabs>
      <w:ind w:left="990" w:hanging="990"/>
    </w:pPr>
    <w:rPr>
      <w:b/>
    </w:rPr>
  </w:style>
  <w:style w:type="paragraph" w:customStyle="1" w:styleId="Titles">
    <w:name w:val="Titles"/>
    <w:basedOn w:val="Normal"/>
    <w:rsid w:val="00997855"/>
    <w:pPr>
      <w:tabs>
        <w:tab w:val="left" w:pos="2160"/>
      </w:tabs>
      <w:ind w:left="2160" w:hanging="2160"/>
    </w:pPr>
    <w:rPr>
      <w:b/>
    </w:rPr>
  </w:style>
  <w:style w:type="paragraph" w:styleId="TOAHeading">
    <w:name w:val="toa heading"/>
    <w:basedOn w:val="Normal"/>
    <w:next w:val="Normal"/>
    <w:semiHidden/>
    <w:rsid w:val="00997855"/>
    <w:pPr>
      <w:spacing w:before="120"/>
    </w:pPr>
    <w:rPr>
      <w:b/>
    </w:rPr>
  </w:style>
  <w:style w:type="paragraph" w:styleId="TOC1">
    <w:name w:val="toc 1"/>
    <w:basedOn w:val="Normal"/>
    <w:next w:val="Normal"/>
    <w:autoRedefine/>
    <w:semiHidden/>
    <w:rsid w:val="00997855"/>
  </w:style>
  <w:style w:type="paragraph" w:styleId="TOC2">
    <w:name w:val="toc 2"/>
    <w:basedOn w:val="Normal"/>
    <w:next w:val="Normal"/>
    <w:autoRedefine/>
    <w:semiHidden/>
    <w:rsid w:val="00997855"/>
    <w:pPr>
      <w:ind w:left="259"/>
    </w:pPr>
  </w:style>
  <w:style w:type="paragraph" w:styleId="TOC3">
    <w:name w:val="toc 3"/>
    <w:basedOn w:val="Normal"/>
    <w:next w:val="Normal"/>
    <w:autoRedefine/>
    <w:semiHidden/>
    <w:rsid w:val="00997855"/>
    <w:pPr>
      <w:ind w:left="520"/>
    </w:pPr>
  </w:style>
  <w:style w:type="paragraph" w:styleId="TOC4">
    <w:name w:val="toc 4"/>
    <w:basedOn w:val="Normal"/>
    <w:next w:val="Normal"/>
    <w:autoRedefine/>
    <w:semiHidden/>
    <w:rsid w:val="00997855"/>
    <w:pPr>
      <w:ind w:left="780"/>
    </w:pPr>
  </w:style>
  <w:style w:type="paragraph" w:styleId="TOC5">
    <w:name w:val="toc 5"/>
    <w:basedOn w:val="Normal"/>
    <w:next w:val="Normal"/>
    <w:autoRedefine/>
    <w:semiHidden/>
    <w:rsid w:val="00997855"/>
    <w:pPr>
      <w:ind w:left="1040"/>
    </w:pPr>
  </w:style>
  <w:style w:type="paragraph" w:styleId="TOC6">
    <w:name w:val="toc 6"/>
    <w:basedOn w:val="Normal"/>
    <w:next w:val="Normal"/>
    <w:autoRedefine/>
    <w:semiHidden/>
    <w:rsid w:val="00997855"/>
    <w:pPr>
      <w:ind w:left="1300"/>
    </w:pPr>
  </w:style>
  <w:style w:type="paragraph" w:styleId="TOC7">
    <w:name w:val="toc 7"/>
    <w:basedOn w:val="Normal"/>
    <w:next w:val="Normal"/>
    <w:autoRedefine/>
    <w:semiHidden/>
    <w:rsid w:val="00997855"/>
    <w:pPr>
      <w:ind w:left="1560"/>
    </w:pPr>
  </w:style>
  <w:style w:type="paragraph" w:styleId="TOC8">
    <w:name w:val="toc 8"/>
    <w:basedOn w:val="Normal"/>
    <w:next w:val="Normal"/>
    <w:autoRedefine/>
    <w:semiHidden/>
    <w:rsid w:val="00997855"/>
    <w:pPr>
      <w:ind w:left="1820"/>
    </w:pPr>
  </w:style>
  <w:style w:type="paragraph" w:styleId="TOC9">
    <w:name w:val="toc 9"/>
    <w:basedOn w:val="Normal"/>
    <w:next w:val="Normal"/>
    <w:autoRedefine/>
    <w:semiHidden/>
    <w:rsid w:val="00997855"/>
    <w:pPr>
      <w:ind w:left="2080"/>
    </w:pPr>
  </w:style>
  <w:style w:type="paragraph" w:customStyle="1" w:styleId="Contents">
    <w:name w:val="Contents"/>
    <w:basedOn w:val="Normal"/>
    <w:rsid w:val="00997855"/>
    <w:pPr>
      <w:jc w:val="center"/>
    </w:pPr>
    <w:rPr>
      <w:b/>
      <w:spacing w:val="100"/>
    </w:rPr>
  </w:style>
  <w:style w:type="paragraph" w:styleId="ListParagraph">
    <w:name w:val="List Paragraph"/>
    <w:basedOn w:val="Normal"/>
    <w:uiPriority w:val="34"/>
    <w:qFormat/>
    <w:rsid w:val="00394FFB"/>
    <w:pPr>
      <w:ind w:left="720"/>
      <w:contextualSpacing/>
    </w:pPr>
  </w:style>
  <w:style w:type="character" w:customStyle="1" w:styleId="FootnoteTextChar">
    <w:name w:val="Footnote Text Char"/>
    <w:basedOn w:val="DefaultParagraphFont"/>
    <w:link w:val="FootnoteText"/>
    <w:rsid w:val="00871466"/>
    <w:rPr>
      <w:rFonts w:ascii="Century Schoolbook" w:hAnsi="Century Schoolbook"/>
      <w:sz w:val="27"/>
    </w:rPr>
  </w:style>
  <w:style w:type="character" w:styleId="CommentReference">
    <w:name w:val="annotation reference"/>
    <w:basedOn w:val="DefaultParagraphFont"/>
    <w:uiPriority w:val="99"/>
    <w:semiHidden/>
    <w:unhideWhenUsed/>
    <w:rsid w:val="0014709A"/>
    <w:rPr>
      <w:sz w:val="16"/>
      <w:szCs w:val="16"/>
    </w:rPr>
  </w:style>
  <w:style w:type="paragraph" w:styleId="CommentText">
    <w:name w:val="annotation text"/>
    <w:basedOn w:val="Normal"/>
    <w:link w:val="CommentTextChar"/>
    <w:uiPriority w:val="99"/>
    <w:unhideWhenUsed/>
    <w:rsid w:val="0014709A"/>
    <w:rPr>
      <w:sz w:val="20"/>
    </w:rPr>
  </w:style>
  <w:style w:type="character" w:customStyle="1" w:styleId="CommentTextChar">
    <w:name w:val="Comment Text Char"/>
    <w:basedOn w:val="DefaultParagraphFont"/>
    <w:link w:val="CommentText"/>
    <w:uiPriority w:val="99"/>
    <w:rsid w:val="0014709A"/>
  </w:style>
  <w:style w:type="paragraph" w:styleId="CommentSubject">
    <w:name w:val="annotation subject"/>
    <w:basedOn w:val="CommentText"/>
    <w:next w:val="CommentText"/>
    <w:link w:val="CommentSubjectChar"/>
    <w:uiPriority w:val="99"/>
    <w:semiHidden/>
    <w:unhideWhenUsed/>
    <w:rsid w:val="0014709A"/>
    <w:rPr>
      <w:b/>
      <w:bCs/>
    </w:rPr>
  </w:style>
  <w:style w:type="character" w:customStyle="1" w:styleId="CommentSubjectChar">
    <w:name w:val="Comment Subject Char"/>
    <w:basedOn w:val="CommentTextChar"/>
    <w:link w:val="CommentSubject"/>
    <w:uiPriority w:val="99"/>
    <w:semiHidden/>
    <w:rsid w:val="0014709A"/>
    <w:rPr>
      <w:b/>
      <w:bCs/>
    </w:rPr>
  </w:style>
  <w:style w:type="character" w:styleId="Hyperlink">
    <w:name w:val="Hyperlink"/>
    <w:basedOn w:val="DefaultParagraphFont"/>
    <w:uiPriority w:val="99"/>
    <w:unhideWhenUsed/>
    <w:rsid w:val="00F20D16"/>
    <w:rPr>
      <w:color w:val="0000FF"/>
      <w:u w:val="single"/>
    </w:rPr>
  </w:style>
  <w:style w:type="character" w:styleId="Emphasis">
    <w:name w:val="Emphasis"/>
    <w:basedOn w:val="DefaultParagraphFont"/>
    <w:uiPriority w:val="20"/>
    <w:qFormat/>
    <w:rsid w:val="003F4F1C"/>
    <w:rPr>
      <w:i/>
      <w:iCs/>
    </w:rPr>
  </w:style>
  <w:style w:type="paragraph" w:styleId="NoSpacing">
    <w:name w:val="No Spacing"/>
    <w:uiPriority w:val="1"/>
    <w:qFormat/>
    <w:rsid w:val="00587049"/>
    <w:rPr>
      <w:sz w:val="26"/>
    </w:rPr>
  </w:style>
  <w:style w:type="character" w:customStyle="1" w:styleId="Heading3Char">
    <w:name w:val="Heading 3 Char"/>
    <w:basedOn w:val="DefaultParagraphFont"/>
    <w:link w:val="Heading3"/>
    <w:rsid w:val="00F44711"/>
    <w:rPr>
      <w:rFonts w:ascii="Century Schoolbook" w:hAnsi="Century Schoolbook"/>
      <w:i/>
      <w:sz w:val="27"/>
    </w:rPr>
  </w:style>
  <w:style w:type="paragraph" w:styleId="Revision">
    <w:name w:val="Revision"/>
    <w:hidden/>
    <w:uiPriority w:val="99"/>
    <w:semiHidden/>
    <w:rsid w:val="004129D8"/>
    <w:rPr>
      <w:sz w:val="26"/>
    </w:rPr>
  </w:style>
  <w:style w:type="character" w:styleId="UnresolvedMention">
    <w:name w:val="Unresolved Mention"/>
    <w:basedOn w:val="DefaultParagraphFont"/>
    <w:uiPriority w:val="99"/>
    <w:semiHidden/>
    <w:unhideWhenUsed/>
    <w:rsid w:val="0082135C"/>
    <w:rPr>
      <w:color w:val="605E5C"/>
      <w:shd w:val="clear" w:color="auto" w:fill="E1DFDD"/>
    </w:rPr>
  </w:style>
  <w:style w:type="character" w:styleId="FollowedHyperlink">
    <w:name w:val="FollowedHyperlink"/>
    <w:basedOn w:val="DefaultParagraphFont"/>
    <w:uiPriority w:val="99"/>
    <w:semiHidden/>
    <w:unhideWhenUsed/>
    <w:rsid w:val="00503F68"/>
    <w:rPr>
      <w:color w:val="800080" w:themeColor="followedHyperlink"/>
      <w:u w:val="single"/>
    </w:rPr>
  </w:style>
  <w:style w:type="paragraph" w:styleId="BodyText">
    <w:name w:val="Body Text"/>
    <w:basedOn w:val="Normal"/>
    <w:link w:val="BodyTextChar"/>
    <w:qFormat/>
    <w:rsid w:val="00997855"/>
  </w:style>
  <w:style w:type="character" w:customStyle="1" w:styleId="BodyTextChar">
    <w:name w:val="Body Text Char"/>
    <w:basedOn w:val="DefaultParagraphFont"/>
    <w:link w:val="BodyText"/>
    <w:rsid w:val="00997855"/>
    <w:rPr>
      <w:rFonts w:ascii="Century Schoolbook" w:hAnsi="Century Schoolbook"/>
      <w:sz w:val="27"/>
    </w:rPr>
  </w:style>
  <w:style w:type="character" w:customStyle="1" w:styleId="FooterChar">
    <w:name w:val="Footer Char"/>
    <w:basedOn w:val="DefaultParagraphFont"/>
    <w:link w:val="Footer"/>
    <w:uiPriority w:val="99"/>
    <w:rsid w:val="006469F0"/>
    <w:rPr>
      <w:rFonts w:ascii="Century Schoolbook" w:hAnsi="Century Schoolbook"/>
      <w:sz w:val="22"/>
    </w:rPr>
  </w:style>
  <w:style w:type="character" w:customStyle="1" w:styleId="ui-provider">
    <w:name w:val="ui-provider"/>
    <w:basedOn w:val="DefaultParagraphFont"/>
    <w:rsid w:val="00DF6393"/>
  </w:style>
  <w:style w:type="numbering" w:customStyle="1" w:styleId="NoList1">
    <w:name w:val="No List1"/>
    <w:next w:val="NoList"/>
    <w:uiPriority w:val="99"/>
    <w:semiHidden/>
    <w:unhideWhenUsed/>
    <w:rsid w:val="00FF5FF4"/>
  </w:style>
  <w:style w:type="paragraph" w:customStyle="1" w:styleId="PRComments">
    <w:name w:val="PR Comments"/>
    <w:basedOn w:val="Normal"/>
    <w:rsid w:val="00FF5FF4"/>
    <w:pPr>
      <w:spacing w:after="0" w:line="360" w:lineRule="atLeast"/>
      <w:ind w:right="-360"/>
      <w:jc w:val="left"/>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eader" Target="header4.xml" /><Relationship Id="rId15" Type="http://schemas.openxmlformats.org/officeDocument/2006/relationships/footer" Target="footer5.xml" /><Relationship Id="rId16" Type="http://schemas.openxmlformats.org/officeDocument/2006/relationships/header" Target="head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footer" Target="footer7.xml" /><Relationship Id="rId2" Type="http://schemas.openxmlformats.org/officeDocument/2006/relationships/endnotes" Target="endnotes.xml" /><Relationship Id="rId20" Type="http://schemas.openxmlformats.org/officeDocument/2006/relationships/header" Target="header7.xml" /><Relationship Id="rId21" Type="http://schemas.openxmlformats.org/officeDocument/2006/relationships/footer" Target="footer8.xml" /><Relationship Id="rId22" Type="http://schemas.openxmlformats.org/officeDocument/2006/relationships/header" Target="header8.xml" /><Relationship Id="rId23" Type="http://schemas.openxmlformats.org/officeDocument/2006/relationships/header" Target="header9.xml" /><Relationship Id="rId24" Type="http://schemas.openxmlformats.org/officeDocument/2006/relationships/footer" Target="footer9.xml" /><Relationship Id="rId25" Type="http://schemas.openxmlformats.org/officeDocument/2006/relationships/footer" Target="footer10.xml" /><Relationship Id="rId26" Type="http://schemas.openxmlformats.org/officeDocument/2006/relationships/header" Target="header10.xml" /><Relationship Id="rId27" Type="http://schemas.openxmlformats.org/officeDocument/2006/relationships/footer" Target="footer11.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0EA5D-3D16-4C27-B202-7065CDA7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18857</Words>
  <Characters>107490</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2024-08-19T15:51:03Z</dcterms:created>
  <dcterms:modified xsi:type="dcterms:W3CDTF">2024-08-19T15:51:03Z</dcterms:modified>
</cp:coreProperties>
</file>