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06DCD" w:rsidRPr="0099367E" w:rsidP="00C06DCD" w14:paraId="1D81A25C" w14:textId="77777777">
      <w:pPr>
        <w:spacing w:after="0"/>
        <w:jc w:val="center"/>
        <w:rPr>
          <w:sz w:val="36"/>
        </w:rPr>
      </w:pPr>
      <w:r w:rsidRPr="0099367E">
        <w:rPr>
          <w:b/>
          <w:sz w:val="36"/>
        </w:rPr>
        <w:t>IN THE SUPREME COURT OF CALIFORNIA</w:t>
      </w:r>
    </w:p>
    <w:p w:rsidR="00C06DCD" w:rsidRPr="0099367E" w:rsidP="00C06DCD" w14:paraId="1D81A25D" w14:textId="77777777">
      <w:pPr>
        <w:spacing w:after="0"/>
        <w:jc w:val="center"/>
      </w:pPr>
    </w:p>
    <w:p w:rsidR="00C06DCD" w:rsidRPr="0099367E" w:rsidP="00C06DCD" w14:paraId="1D81A25E" w14:textId="77777777">
      <w:pPr>
        <w:spacing w:after="0"/>
        <w:jc w:val="center"/>
      </w:pPr>
      <w:r w:rsidRPr="0099367E">
        <w:t>THE PEOPLE</w:t>
      </w:r>
      <w:r w:rsidRPr="0099367E" w:rsidR="00C03EAD">
        <w:t>,</w:t>
      </w:r>
    </w:p>
    <w:p w:rsidR="00C06DCD" w:rsidRPr="0099367E" w:rsidP="00C06DCD" w14:paraId="1D81A25F" w14:textId="77777777">
      <w:pPr>
        <w:spacing w:after="0"/>
        <w:jc w:val="center"/>
      </w:pPr>
      <w:r w:rsidRPr="0099367E">
        <w:t>Plaintiff and Respondent,</w:t>
      </w:r>
    </w:p>
    <w:p w:rsidR="00C06DCD" w:rsidRPr="0099367E" w:rsidP="00C06DCD" w14:paraId="1D81A260" w14:textId="77777777">
      <w:pPr>
        <w:spacing w:after="0"/>
        <w:jc w:val="center"/>
      </w:pPr>
      <w:r w:rsidRPr="0099367E">
        <w:t>v.</w:t>
      </w:r>
    </w:p>
    <w:p w:rsidR="00C06DCD" w:rsidRPr="0099367E" w:rsidP="00C06DCD" w14:paraId="1D81A261" w14:textId="77777777">
      <w:pPr>
        <w:spacing w:after="0"/>
        <w:jc w:val="center"/>
      </w:pPr>
      <w:r w:rsidRPr="0099367E">
        <w:t>FRANCISCO BURGOS et al.,</w:t>
      </w:r>
    </w:p>
    <w:p w:rsidR="00C06DCD" w:rsidRPr="0099367E" w:rsidP="00C06DCD" w14:paraId="1D81A262" w14:textId="77777777">
      <w:pPr>
        <w:spacing w:after="0"/>
        <w:jc w:val="center"/>
      </w:pPr>
      <w:r w:rsidRPr="0099367E">
        <w:t>Defendants and Appellants.</w:t>
      </w:r>
    </w:p>
    <w:p w:rsidR="00C06DCD" w:rsidRPr="0099367E" w:rsidP="00C06DCD" w14:paraId="1D81A263" w14:textId="77777777">
      <w:pPr>
        <w:spacing w:after="0"/>
        <w:jc w:val="center"/>
      </w:pPr>
    </w:p>
    <w:p w:rsidR="00C06DCD" w:rsidRPr="0099367E" w:rsidP="00C06DCD" w14:paraId="1D81A264" w14:textId="77777777">
      <w:pPr>
        <w:spacing w:after="0"/>
        <w:jc w:val="center"/>
      </w:pPr>
      <w:r w:rsidRPr="0099367E">
        <w:t>S274743</w:t>
      </w:r>
    </w:p>
    <w:p w:rsidR="00C06DCD" w:rsidRPr="0099367E" w:rsidP="00C06DCD" w14:paraId="1D81A265" w14:textId="77777777">
      <w:pPr>
        <w:spacing w:after="0"/>
        <w:jc w:val="center"/>
      </w:pPr>
    </w:p>
    <w:p w:rsidR="00C06DCD" w:rsidRPr="0099367E" w:rsidP="00C06DCD" w14:paraId="1D81A266" w14:textId="77777777">
      <w:pPr>
        <w:spacing w:after="0"/>
        <w:jc w:val="center"/>
      </w:pPr>
      <w:r w:rsidRPr="0099367E">
        <w:t>Sixth Appellate District</w:t>
      </w:r>
    </w:p>
    <w:p w:rsidR="00C06DCD" w:rsidRPr="0099367E" w:rsidP="00C06DCD" w14:paraId="1D81A267" w14:textId="77777777">
      <w:pPr>
        <w:spacing w:after="0"/>
        <w:jc w:val="center"/>
      </w:pPr>
      <w:r w:rsidRPr="0099367E">
        <w:t>H045212</w:t>
      </w:r>
    </w:p>
    <w:p w:rsidR="00C06DCD" w:rsidRPr="0099367E" w:rsidP="00C06DCD" w14:paraId="1D81A268" w14:textId="77777777">
      <w:pPr>
        <w:spacing w:after="0"/>
        <w:jc w:val="center"/>
      </w:pPr>
    </w:p>
    <w:p w:rsidR="00C06DCD" w:rsidRPr="0099367E" w:rsidP="00C06DCD" w14:paraId="1D81A269" w14:textId="77777777">
      <w:pPr>
        <w:spacing w:after="0"/>
        <w:jc w:val="center"/>
      </w:pPr>
      <w:r w:rsidRPr="0099367E">
        <w:t>Santa Clara County Superior Court</w:t>
      </w:r>
    </w:p>
    <w:p w:rsidR="00C06DCD" w:rsidRPr="0099367E" w:rsidP="00C06DCD" w14:paraId="1D81A26A" w14:textId="77777777">
      <w:pPr>
        <w:pBdr>
          <w:bottom w:val="single" w:sz="4" w:space="1" w:color="auto"/>
        </w:pBdr>
        <w:spacing w:after="0"/>
        <w:jc w:val="center"/>
      </w:pPr>
      <w:r w:rsidRPr="0099367E">
        <w:t>C1518795, C1756994</w:t>
      </w:r>
    </w:p>
    <w:p w:rsidR="00C06DCD" w:rsidRPr="0099367E" w:rsidP="00C06DCD" w14:paraId="1D81A26B" w14:textId="77777777">
      <w:pPr>
        <w:pBdr>
          <w:bottom w:val="single" w:sz="4" w:space="1" w:color="auto"/>
        </w:pBdr>
        <w:spacing w:after="0"/>
        <w:jc w:val="center"/>
      </w:pPr>
    </w:p>
    <w:p w:rsidR="00C06DCD" w:rsidRPr="0099367E" w:rsidP="00C06DCD" w14:paraId="1D81A26C" w14:textId="77777777">
      <w:pPr>
        <w:spacing w:after="0"/>
        <w:jc w:val="center"/>
      </w:pPr>
    </w:p>
    <w:p w:rsidR="00C06DCD" w:rsidRPr="0099367E" w:rsidP="00C06DCD" w14:paraId="1D81A26D" w14:textId="77777777">
      <w:pPr>
        <w:spacing w:after="0"/>
        <w:jc w:val="center"/>
      </w:pPr>
      <w:r>
        <w:t>June 3</w:t>
      </w:r>
      <w:r w:rsidRPr="0099367E">
        <w:t>, 2024</w:t>
      </w:r>
    </w:p>
    <w:p w:rsidR="00C06DCD" w:rsidRPr="0099367E" w:rsidP="00C06DCD" w14:paraId="1D81A26E" w14:textId="77777777">
      <w:pPr>
        <w:spacing w:after="0"/>
        <w:jc w:val="center"/>
      </w:pPr>
    </w:p>
    <w:p w:rsidR="00C06DCD" w:rsidP="00C06DCD" w14:paraId="1D81A26F" w14:textId="77777777">
      <w:pPr>
        <w:spacing w:after="0"/>
        <w:jc w:val="left"/>
      </w:pPr>
      <w:r w:rsidRPr="0099367E">
        <w:t xml:space="preserve">Chief Justice Guerrero authored the opinion of the Court, in which </w:t>
      </w:r>
      <w:r w:rsidR="00820B45">
        <w:t xml:space="preserve">Justices Corrigan, </w:t>
      </w:r>
      <w:r w:rsidR="0060598F">
        <w:t>Kruger</w:t>
      </w:r>
      <w:r w:rsidR="00820B45">
        <w:t>, Groban, and Jenkins</w:t>
      </w:r>
      <w:r w:rsidRPr="0099367E">
        <w:t xml:space="preserve"> concurred.</w:t>
      </w:r>
    </w:p>
    <w:p w:rsidR="005073B1" w:rsidP="00C06DCD" w14:paraId="1D81A270" w14:textId="77777777">
      <w:pPr>
        <w:spacing w:after="0"/>
        <w:jc w:val="left"/>
      </w:pPr>
    </w:p>
    <w:p w:rsidR="005073B1" w:rsidP="005073B1" w14:paraId="1D81A271" w14:textId="77777777">
      <w:pPr>
        <w:spacing w:after="0"/>
        <w:jc w:val="left"/>
      </w:pPr>
      <w:r>
        <w:t>Justice Groban filed a concurring opinion, in which Justice Corrigan concurred.</w:t>
      </w:r>
    </w:p>
    <w:p w:rsidR="005073B1" w:rsidP="005073B1" w14:paraId="1D81A272" w14:textId="77777777">
      <w:pPr>
        <w:spacing w:after="0"/>
        <w:jc w:val="left"/>
      </w:pPr>
    </w:p>
    <w:p w:rsidR="005073B1" w:rsidRPr="0099367E" w:rsidP="005073B1" w14:paraId="1D81A273" w14:textId="77777777">
      <w:pPr>
        <w:spacing w:after="0"/>
        <w:jc w:val="left"/>
      </w:pPr>
      <w:r>
        <w:t>Justice Evans filed a dissenting opinion, in which Justice Liu concurred.</w:t>
      </w:r>
    </w:p>
    <w:p w:rsidR="00785DDC" w:rsidRPr="0099367E" w:rsidP="00C06DCD" w14:paraId="1D81A274" w14:textId="77777777">
      <w:pPr>
        <w:pBdr>
          <w:bottom w:val="single" w:sz="4" w:space="1" w:color="auto"/>
        </w:pBdr>
        <w:spacing w:after="0"/>
        <w:jc w:val="left"/>
        <w:rPr>
          <w:spacing w:val="100"/>
        </w:rPr>
      </w:pPr>
    </w:p>
    <w:p w:rsidR="00C06DCD" w:rsidRPr="0099367E" w:rsidP="00C06DCD" w14:paraId="1D81A275" w14:textId="77777777">
      <w:pPr>
        <w:pBdr>
          <w:bottom w:val="single" w:sz="4" w:space="1" w:color="auto"/>
        </w:pBdr>
        <w:jc w:val="left"/>
        <w:rPr>
          <w:spacing w:val="100"/>
        </w:rPr>
        <w:sectPr w:rsidSect="001B33E8">
          <w:headerReference w:type="default" r:id="rId6"/>
          <w:footerReference w:type="default" r:id="rId7"/>
          <w:pgSz w:w="12240" w:h="15840" w:code="1"/>
          <w:pgMar w:top="1800" w:right="2160" w:bottom="1440" w:left="2160" w:header="720" w:footer="720" w:gutter="0"/>
          <w:cols w:space="720"/>
          <w:titlePg/>
          <w:docGrid w:linePitch="367"/>
        </w:sectPr>
      </w:pPr>
      <w:bookmarkStart w:id="0" w:name="Return"/>
      <w:bookmarkEnd w:id="0"/>
    </w:p>
    <w:p w:rsidR="00C06DCD" w:rsidRPr="0099367E" w:rsidP="00C06DCD" w14:paraId="1D81A276" w14:textId="77777777">
      <w:pPr>
        <w:jc w:val="center"/>
        <w:rPr>
          <w:bCs/>
        </w:rPr>
      </w:pPr>
      <w:r w:rsidRPr="0099367E">
        <w:rPr>
          <w:bCs/>
        </w:rPr>
        <w:t>PEOPLE v. BURGOS</w:t>
      </w:r>
    </w:p>
    <w:p w:rsidR="00C06DCD" w:rsidRPr="0099367E" w:rsidP="00C06DCD" w14:paraId="1D81A277" w14:textId="77777777">
      <w:pPr>
        <w:jc w:val="center"/>
        <w:rPr>
          <w:bCs/>
        </w:rPr>
      </w:pPr>
      <w:r w:rsidRPr="0099367E">
        <w:rPr>
          <w:bCs/>
        </w:rPr>
        <w:t>S274743</w:t>
      </w:r>
    </w:p>
    <w:p w:rsidR="00C06DCD" w:rsidRPr="0099367E" w:rsidP="00C06DCD" w14:paraId="1D81A278" w14:textId="77777777">
      <w:pPr>
        <w:jc w:val="center"/>
        <w:rPr>
          <w:bCs/>
        </w:rPr>
      </w:pPr>
    </w:p>
    <w:p w:rsidR="00C06DCD" w:rsidRPr="0099367E" w:rsidP="00C06DCD" w14:paraId="1D81A279" w14:textId="77777777">
      <w:pPr>
        <w:jc w:val="center"/>
        <w:rPr>
          <w:bCs/>
        </w:rPr>
      </w:pPr>
      <w:r w:rsidRPr="0099367E">
        <w:rPr>
          <w:bCs/>
        </w:rPr>
        <w:t>Opinion of the Court by Guerrero, C. J.</w:t>
      </w:r>
    </w:p>
    <w:p w:rsidR="00C06DCD" w:rsidRPr="0099367E" w:rsidP="00C06DCD" w14:paraId="1D81A27A" w14:textId="77777777">
      <w:pPr>
        <w:jc w:val="center"/>
        <w:rPr>
          <w:bCs/>
        </w:rPr>
      </w:pPr>
    </w:p>
    <w:p w:rsidR="009B5E49" w:rsidRPr="0099367E" w:rsidP="00C06DCD" w14:paraId="1D81A27B" w14:textId="77777777">
      <w:pPr>
        <w:tabs>
          <w:tab w:val="left" w:pos="1440"/>
        </w:tabs>
        <w:ind w:firstLine="720"/>
      </w:pPr>
      <w:bookmarkStart w:id="1" w:name="mainstory"/>
      <w:bookmarkEnd w:id="1"/>
      <w:r w:rsidRPr="0099367E">
        <w:t xml:space="preserve">In 2021, the Legislature passed Assembly Bill </w:t>
      </w:r>
      <w:r w:rsidRPr="0099367E" w:rsidR="00252C77">
        <w:t xml:space="preserve">No. </w:t>
      </w:r>
      <w:r w:rsidRPr="0099367E">
        <w:t>333</w:t>
      </w:r>
      <w:r w:rsidRPr="0099367E" w:rsidR="00052055">
        <w:t xml:space="preserve"> (2021–2022 Reg. Sess.)</w:t>
      </w:r>
      <w:r w:rsidRPr="0099367E" w:rsidR="00252C77">
        <w:t xml:space="preserve"> (Assembly Bill 333)</w:t>
      </w:r>
      <w:r w:rsidRPr="0099367E">
        <w:t>, known as the STEP Forward Act of 2021.  (</w:t>
      </w:r>
      <w:r w:rsidRPr="0099367E" w:rsidR="00894378">
        <w:rPr>
          <w:iCs/>
        </w:rPr>
        <w:t>Stats. 2021, ch. 699, §</w:t>
      </w:r>
      <w:r w:rsidRPr="0099367E" w:rsidR="007368A4">
        <w:rPr>
          <w:iCs/>
        </w:rPr>
        <w:t> </w:t>
      </w:r>
      <w:r w:rsidRPr="0099367E" w:rsidR="00894378">
        <w:rPr>
          <w:iCs/>
        </w:rPr>
        <w:t xml:space="preserve">1.)  </w:t>
      </w:r>
      <w:r w:rsidRPr="0099367E" w:rsidR="00726252">
        <w:rPr>
          <w:iCs/>
        </w:rPr>
        <w:t xml:space="preserve">Assembly Bill 333 </w:t>
      </w:r>
      <w:r w:rsidRPr="0099367E" w:rsidR="00B70715">
        <w:rPr>
          <w:iCs/>
        </w:rPr>
        <w:t xml:space="preserve">amended Penal Code section </w:t>
      </w:r>
      <w:r w:rsidRPr="0099367E" w:rsidR="00EE5E12">
        <w:rPr>
          <w:iCs/>
        </w:rPr>
        <w:t>186.22</w:t>
      </w:r>
      <w:r w:rsidRPr="0099367E" w:rsidR="00DD7470">
        <w:rPr>
          <w:iCs/>
        </w:rPr>
        <w:t xml:space="preserve"> </w:t>
      </w:r>
      <w:r w:rsidRPr="0099367E" w:rsidR="0061146A">
        <w:rPr>
          <w:iCs/>
        </w:rPr>
        <w:t xml:space="preserve">by imposing </w:t>
      </w:r>
      <w:r w:rsidRPr="0099367E" w:rsidR="00DD7470">
        <w:rPr>
          <w:iCs/>
        </w:rPr>
        <w:t xml:space="preserve">new </w:t>
      </w:r>
      <w:r w:rsidRPr="0099367E" w:rsidR="0061146A">
        <w:rPr>
          <w:iCs/>
        </w:rPr>
        <w:t xml:space="preserve">substantive requirements relating to </w:t>
      </w:r>
      <w:r w:rsidRPr="0099367E" w:rsidR="00F81486">
        <w:rPr>
          <w:iCs/>
        </w:rPr>
        <w:t xml:space="preserve">gang enhancements and </w:t>
      </w:r>
      <w:r w:rsidRPr="0099367E" w:rsidR="0061146A">
        <w:rPr>
          <w:iCs/>
        </w:rPr>
        <w:t>the criminal offense of gang participation</w:t>
      </w:r>
      <w:r w:rsidRPr="0099367E" w:rsidR="00B446DC">
        <w:t>.</w:t>
      </w:r>
      <w:r>
        <w:rPr>
          <w:rStyle w:val="FootnoteReference"/>
        </w:rPr>
        <w:footnoteReference w:id="3"/>
      </w:r>
      <w:r w:rsidRPr="0099367E" w:rsidR="00B446DC">
        <w:t xml:space="preserve"> </w:t>
      </w:r>
      <w:r w:rsidRPr="0099367E" w:rsidR="0061146A">
        <w:t xml:space="preserve"> </w:t>
      </w:r>
      <w:r w:rsidRPr="0099367E" w:rsidR="00205E79">
        <w:t>(Stats. 2021, ch. 699, §</w:t>
      </w:r>
      <w:r w:rsidRPr="0099367E" w:rsidR="007368A4">
        <w:t> </w:t>
      </w:r>
      <w:r w:rsidRPr="0099367E" w:rsidR="00185E96">
        <w:t>4</w:t>
      </w:r>
      <w:r w:rsidRPr="0099367E" w:rsidR="00205E79">
        <w:t xml:space="preserve">.)  </w:t>
      </w:r>
      <w:r w:rsidRPr="0099367E" w:rsidR="0061146A">
        <w:t xml:space="preserve">Assembly Bill </w:t>
      </w:r>
      <w:r w:rsidRPr="0099367E" w:rsidR="002F31B9">
        <w:t>333 also added</w:t>
      </w:r>
      <w:r w:rsidRPr="0099367E" w:rsidR="00F81486">
        <w:t xml:space="preserve"> </w:t>
      </w:r>
      <w:r w:rsidRPr="0099367E" w:rsidR="002F31B9">
        <w:t xml:space="preserve">section 1109, </w:t>
      </w:r>
      <w:r w:rsidRPr="0099367E" w:rsidR="000E7969">
        <w:t>which provides that</w:t>
      </w:r>
      <w:r w:rsidRPr="0099367E" w:rsidR="001B0702">
        <w:t>, if requested by the defense,</w:t>
      </w:r>
      <w:r w:rsidRPr="0099367E" w:rsidR="000E7969">
        <w:t xml:space="preserve"> a trial court must </w:t>
      </w:r>
      <w:r w:rsidRPr="0099367E" w:rsidR="00FF1376">
        <w:t xml:space="preserve">try a gang enhancement </w:t>
      </w:r>
      <w:r w:rsidRPr="0099367E" w:rsidR="00EA3BBB">
        <w:t>charge separately from the underlying offense</w:t>
      </w:r>
      <w:r w:rsidRPr="0099367E" w:rsidR="000E7969">
        <w:t xml:space="preserve">.  </w:t>
      </w:r>
      <w:r w:rsidRPr="0099367E" w:rsidR="00B87B28">
        <w:t>(§</w:t>
      </w:r>
      <w:r w:rsidRPr="0099367E" w:rsidR="007368A4">
        <w:t> </w:t>
      </w:r>
      <w:r w:rsidRPr="0099367E" w:rsidR="00B87B28">
        <w:t>1109, subd. (a)</w:t>
      </w:r>
      <w:r w:rsidRPr="0099367E" w:rsidR="00AB5414">
        <w:t>; Stats. 2021, ch. 699, §</w:t>
      </w:r>
      <w:r w:rsidRPr="0099367E" w:rsidR="007368A4">
        <w:t> </w:t>
      </w:r>
      <w:r w:rsidRPr="0099367E" w:rsidR="00F72E08">
        <w:t>5</w:t>
      </w:r>
      <w:r w:rsidRPr="0099367E" w:rsidR="00AB5414">
        <w:t>.</w:t>
      </w:r>
      <w:r w:rsidRPr="0099367E" w:rsidR="00B87B28">
        <w:t xml:space="preserve">) </w:t>
      </w:r>
      <w:r w:rsidRPr="0099367E" w:rsidR="00270F46">
        <w:t xml:space="preserve"> The statute likewise provides that gang</w:t>
      </w:r>
      <w:r w:rsidRPr="0099367E" w:rsidR="004B3FE6">
        <w:t>-participation</w:t>
      </w:r>
      <w:r w:rsidRPr="0099367E" w:rsidR="00270F46">
        <w:t xml:space="preserve"> offenses </w:t>
      </w:r>
      <w:r w:rsidRPr="0099367E" w:rsidR="006338B2">
        <w:t>must be tried separately from all other counts that do not require gang evidence as an element of the crime.  (§</w:t>
      </w:r>
      <w:r w:rsidRPr="0099367E" w:rsidR="007368A4">
        <w:t> </w:t>
      </w:r>
      <w:r w:rsidRPr="0099367E" w:rsidR="006338B2">
        <w:t>1109, subd. (b); Stats. 2021, ch. 699, §</w:t>
      </w:r>
      <w:r w:rsidRPr="0099367E" w:rsidR="007368A4">
        <w:t> </w:t>
      </w:r>
      <w:r w:rsidRPr="0099367E" w:rsidR="00F72E08">
        <w:t>5</w:t>
      </w:r>
      <w:r w:rsidRPr="0099367E" w:rsidR="006338B2">
        <w:t xml:space="preserve">.)  </w:t>
      </w:r>
    </w:p>
    <w:p w:rsidR="00B579EE" w:rsidRPr="0099367E" w:rsidP="00C06DCD" w14:paraId="1D81A27C" w14:textId="77777777">
      <w:pPr>
        <w:tabs>
          <w:tab w:val="left" w:pos="1440"/>
        </w:tabs>
        <w:ind w:firstLine="720"/>
      </w:pPr>
      <w:r w:rsidRPr="0099367E">
        <w:t>We granted review</w:t>
      </w:r>
      <w:r w:rsidRPr="0099367E" w:rsidR="009B5E49">
        <w:t xml:space="preserve"> </w:t>
      </w:r>
      <w:r w:rsidRPr="0099367E" w:rsidR="00BC061F">
        <w:t xml:space="preserve">to determine </w:t>
      </w:r>
      <w:r w:rsidRPr="0099367E" w:rsidR="009B5E49">
        <w:t>whether section 1109</w:t>
      </w:r>
      <w:r w:rsidRPr="0099367E" w:rsidR="00FC1EFB">
        <w:t>’s provision</w:t>
      </w:r>
      <w:r w:rsidRPr="0099367E" w:rsidR="00C37FCE">
        <w:t>s</w:t>
      </w:r>
      <w:r w:rsidRPr="0099367E" w:rsidR="00FC1EFB">
        <w:t xml:space="preserve"> governing </w:t>
      </w:r>
      <w:r w:rsidRPr="0099367E" w:rsidR="00B559AF">
        <w:t>bifurcation</w:t>
      </w:r>
      <w:r w:rsidRPr="0099367E" w:rsidR="00FC1EFB">
        <w:t xml:space="preserve"> </w:t>
      </w:r>
      <w:r w:rsidRPr="0099367E" w:rsidR="00B446DC">
        <w:t>appl</w:t>
      </w:r>
      <w:r w:rsidRPr="0099367E" w:rsidR="00C37FCE">
        <w:t>y</w:t>
      </w:r>
      <w:r w:rsidRPr="0099367E" w:rsidR="00B446DC">
        <w:t xml:space="preserve"> retroactively to cases </w:t>
      </w:r>
      <w:r w:rsidRPr="0099367E" w:rsidR="00BC061F">
        <w:t xml:space="preserve">in which the judgment is </w:t>
      </w:r>
      <w:r w:rsidRPr="0099367E" w:rsidR="00B446DC">
        <w:t>not yet final</w:t>
      </w:r>
      <w:r w:rsidRPr="0099367E" w:rsidR="00921481">
        <w:t>.</w:t>
      </w:r>
      <w:r w:rsidRPr="0099367E" w:rsidR="00832B15">
        <w:t xml:space="preserve"> </w:t>
      </w:r>
      <w:r w:rsidRPr="0099367E" w:rsidR="00DB418E">
        <w:t xml:space="preserve"> </w:t>
      </w:r>
      <w:r w:rsidRPr="0099367E" w:rsidR="00C04ED1">
        <w:t>T</w:t>
      </w:r>
      <w:r w:rsidRPr="0099367E" w:rsidR="00D57E62">
        <w:t xml:space="preserve">his question </w:t>
      </w:r>
      <w:r w:rsidRPr="0099367E" w:rsidR="00C04ED1">
        <w:t>has divided</w:t>
      </w:r>
      <w:r w:rsidRPr="0099367E" w:rsidR="00906DE9">
        <w:t xml:space="preserve"> the Courts of Appeal</w:t>
      </w:r>
      <w:r w:rsidRPr="0099367E" w:rsidR="00D206C4">
        <w:t xml:space="preserve">.  </w:t>
      </w:r>
      <w:r w:rsidRPr="0099367E" w:rsidR="00075D44">
        <w:t>(</w:t>
      </w:r>
      <w:r w:rsidRPr="0099367E" w:rsidR="00C04ED1">
        <w:t>C</w:t>
      </w:r>
      <w:r w:rsidRPr="0099367E" w:rsidR="009C4AF1">
        <w:t xml:space="preserve">ompare </w:t>
      </w:r>
      <w:r w:rsidRPr="0099367E" w:rsidR="009C4AF1">
        <w:rPr>
          <w:i/>
          <w:iCs/>
        </w:rPr>
        <w:t xml:space="preserve">People v. Burgos </w:t>
      </w:r>
      <w:r w:rsidRPr="0099367E" w:rsidR="009C4AF1">
        <w:t>(2022) 77</w:t>
      </w:r>
      <w:r w:rsidRPr="0099367E" w:rsidR="006F7953">
        <w:t> </w:t>
      </w:r>
      <w:r w:rsidRPr="0099367E" w:rsidR="009C4AF1">
        <w:t>Cal.App.5th 550, 56</w:t>
      </w:r>
      <w:r w:rsidRPr="0099367E" w:rsidR="00E9094C">
        <w:t>5</w:t>
      </w:r>
      <w:r w:rsidRPr="0099367E" w:rsidR="009C4AF1">
        <w:t>–56</w:t>
      </w:r>
      <w:r w:rsidRPr="0099367E" w:rsidR="00F0625F">
        <w:t>8</w:t>
      </w:r>
      <w:r w:rsidRPr="0099367E" w:rsidR="00BA101A">
        <w:t xml:space="preserve"> </w:t>
      </w:r>
      <w:r w:rsidRPr="0099367E" w:rsidR="00DD1FA0">
        <w:t>(</w:t>
      </w:r>
      <w:r w:rsidRPr="0099367E" w:rsidR="00DD1FA0">
        <w:rPr>
          <w:i/>
          <w:iCs/>
        </w:rPr>
        <w:t>Burgos</w:t>
      </w:r>
      <w:r w:rsidRPr="0099367E" w:rsidR="00DD1FA0">
        <w:t>)</w:t>
      </w:r>
      <w:r w:rsidRPr="0099367E" w:rsidR="00DD1FA0">
        <w:rPr>
          <w:i/>
          <w:iCs/>
        </w:rPr>
        <w:t xml:space="preserve"> </w:t>
      </w:r>
      <w:r w:rsidRPr="0099367E" w:rsidR="00BA101A">
        <w:t xml:space="preserve">[concluding </w:t>
      </w:r>
      <w:r w:rsidRPr="0099367E" w:rsidR="00E62DAF">
        <w:t>that §</w:t>
      </w:r>
      <w:r w:rsidRPr="0099367E" w:rsidR="007368A4">
        <w:t> </w:t>
      </w:r>
      <w:r w:rsidRPr="0099367E" w:rsidR="00BA101A">
        <w:t xml:space="preserve">1109 </w:t>
      </w:r>
      <w:r w:rsidRPr="0099367E" w:rsidR="00DB418E">
        <w:t>applies retroactively]</w:t>
      </w:r>
      <w:r w:rsidRPr="0099367E" w:rsidR="00AE6915">
        <w:t>,</w:t>
      </w:r>
      <w:r w:rsidRPr="0099367E" w:rsidR="009C4AF1">
        <w:t xml:space="preserve"> </w:t>
      </w:r>
      <w:r w:rsidRPr="0099367E" w:rsidR="00426068">
        <w:rPr>
          <w:i/>
          <w:iCs/>
        </w:rPr>
        <w:t>People v. Montano</w:t>
      </w:r>
      <w:r w:rsidRPr="0099367E" w:rsidR="00426068">
        <w:t xml:space="preserve"> (2022) 80</w:t>
      </w:r>
      <w:r w:rsidRPr="0099367E" w:rsidR="006F7953">
        <w:t> </w:t>
      </w:r>
      <w:r w:rsidRPr="0099367E" w:rsidR="00426068">
        <w:t xml:space="preserve">Cal.App.5th 82, </w:t>
      </w:r>
      <w:r w:rsidRPr="0099367E" w:rsidR="00326402">
        <w:t xml:space="preserve">105–108 </w:t>
      </w:r>
      <w:r w:rsidRPr="0099367E" w:rsidR="00DE0F61">
        <w:t>(</w:t>
      </w:r>
      <w:r w:rsidRPr="0099367E" w:rsidR="00DE0F61">
        <w:rPr>
          <w:i/>
          <w:iCs/>
        </w:rPr>
        <w:t>Montano</w:t>
      </w:r>
      <w:r w:rsidRPr="0099367E" w:rsidR="00DE0F61">
        <w:t>) [same]</w:t>
      </w:r>
      <w:r w:rsidRPr="0099367E" w:rsidR="00AE6915">
        <w:t>,</w:t>
      </w:r>
      <w:r w:rsidRPr="0099367E" w:rsidR="00326402">
        <w:t xml:space="preserve"> </w:t>
      </w:r>
      <w:r w:rsidRPr="0099367E" w:rsidR="009C4AF1">
        <w:rPr>
          <w:i/>
          <w:iCs/>
        </w:rPr>
        <w:t xml:space="preserve">People v. Ramos </w:t>
      </w:r>
      <w:r w:rsidRPr="0099367E" w:rsidR="009C4AF1">
        <w:t>(2022) 77</w:t>
      </w:r>
      <w:r w:rsidRPr="0099367E" w:rsidR="006F7953">
        <w:t> </w:t>
      </w:r>
      <w:r w:rsidRPr="0099367E" w:rsidR="009C4AF1">
        <w:t>Cal.App.5th 1116</w:t>
      </w:r>
      <w:r w:rsidRPr="0099367E" w:rsidR="00DB418E">
        <w:t xml:space="preserve">, 1128–1131 </w:t>
      </w:r>
      <w:r w:rsidRPr="0099367E" w:rsidR="00DE0F61">
        <w:t>(</w:t>
      </w:r>
      <w:r w:rsidRPr="0099367E" w:rsidR="00DE0F61">
        <w:rPr>
          <w:i/>
          <w:iCs/>
        </w:rPr>
        <w:t>Ramos</w:t>
      </w:r>
      <w:r w:rsidRPr="0099367E" w:rsidR="00DE0F61">
        <w:t xml:space="preserve">) [same] </w:t>
      </w:r>
      <w:r w:rsidRPr="0099367E" w:rsidR="00DB418E">
        <w:t xml:space="preserve">with </w:t>
      </w:r>
      <w:r w:rsidRPr="0099367E" w:rsidR="004509BB">
        <w:rPr>
          <w:i/>
          <w:iCs/>
        </w:rPr>
        <w:t xml:space="preserve">People v. Boukes </w:t>
      </w:r>
      <w:r w:rsidRPr="0099367E" w:rsidR="004509BB">
        <w:t>(2022) 83</w:t>
      </w:r>
      <w:r w:rsidRPr="0099367E" w:rsidR="006F7953">
        <w:t> </w:t>
      </w:r>
      <w:r w:rsidRPr="0099367E" w:rsidR="004509BB">
        <w:t>Cal.App.5th 937, 94</w:t>
      </w:r>
      <w:r w:rsidRPr="0099367E" w:rsidR="008C15BF">
        <w:t>6</w:t>
      </w:r>
      <w:r w:rsidRPr="0099367E" w:rsidR="004509BB">
        <w:t>–9</w:t>
      </w:r>
      <w:r w:rsidRPr="0099367E" w:rsidR="008C15BF">
        <w:t>49</w:t>
      </w:r>
      <w:r w:rsidRPr="0099367E" w:rsidR="004509BB">
        <w:t xml:space="preserve"> </w:t>
      </w:r>
      <w:r w:rsidRPr="0099367E" w:rsidR="00CE7506">
        <w:t xml:space="preserve">[concluding § 1109 does not apply retroactively], review granted Dec. 14, 2022, S277103 </w:t>
      </w:r>
      <w:r w:rsidRPr="0099367E" w:rsidR="00DE0F61">
        <w:t>(</w:t>
      </w:r>
      <w:r w:rsidRPr="0099367E" w:rsidR="00DE0F61">
        <w:rPr>
          <w:i/>
          <w:iCs/>
        </w:rPr>
        <w:t>Boukes</w:t>
      </w:r>
      <w:r w:rsidRPr="0099367E" w:rsidR="00DE0F61">
        <w:t>)</w:t>
      </w:r>
      <w:r w:rsidRPr="0099367E" w:rsidR="00AE6915">
        <w:t>,</w:t>
      </w:r>
      <w:r w:rsidRPr="0099367E" w:rsidR="008C15BF">
        <w:rPr>
          <w:i/>
          <w:iCs/>
        </w:rPr>
        <w:t xml:space="preserve"> </w:t>
      </w:r>
      <w:r w:rsidRPr="0099367E" w:rsidR="0089208D">
        <w:rPr>
          <w:i/>
          <w:iCs/>
        </w:rPr>
        <w:t xml:space="preserve">People v. Perez </w:t>
      </w:r>
      <w:r w:rsidRPr="0099367E" w:rsidR="00375913">
        <w:t>(2022) 78</w:t>
      </w:r>
      <w:r w:rsidRPr="0099367E" w:rsidR="006F7953">
        <w:t> </w:t>
      </w:r>
      <w:r w:rsidRPr="0099367E" w:rsidR="00375913">
        <w:t xml:space="preserve">Cal.App.5th 192, 207 </w:t>
      </w:r>
      <w:r w:rsidRPr="0099367E" w:rsidR="00CE7506">
        <w:t>[same], review granted Aug. 17, 2022</w:t>
      </w:r>
      <w:r w:rsidRPr="0099367E" w:rsidR="00D628BF">
        <w:t>, S275090</w:t>
      </w:r>
      <w:r w:rsidRPr="0099367E" w:rsidR="00CE7506">
        <w:t xml:space="preserve"> </w:t>
      </w:r>
      <w:r w:rsidRPr="0099367E" w:rsidR="00DE0F61">
        <w:t>(</w:t>
      </w:r>
      <w:r w:rsidRPr="0099367E" w:rsidR="00DE0F61">
        <w:rPr>
          <w:i/>
          <w:iCs/>
        </w:rPr>
        <w:t>Perez</w:t>
      </w:r>
      <w:r w:rsidRPr="0099367E" w:rsidR="00DE0F61">
        <w:t>)</w:t>
      </w:r>
      <w:r w:rsidRPr="0099367E" w:rsidR="00AE6915">
        <w:t>,</w:t>
      </w:r>
      <w:r w:rsidRPr="0099367E" w:rsidR="00DE0F61">
        <w:t xml:space="preserve"> </w:t>
      </w:r>
      <w:r w:rsidRPr="0099367E" w:rsidR="00DE0F61">
        <w:rPr>
          <w:i/>
          <w:iCs/>
        </w:rPr>
        <w:t xml:space="preserve">People v. Ramirez </w:t>
      </w:r>
      <w:r w:rsidRPr="0099367E" w:rsidR="00DE0F61">
        <w:t>(2022) 79</w:t>
      </w:r>
      <w:r w:rsidRPr="0099367E" w:rsidR="006F7953">
        <w:t> </w:t>
      </w:r>
      <w:r w:rsidRPr="0099367E" w:rsidR="00DE0F61">
        <w:t xml:space="preserve">Cal.App.5th 48, 65 </w:t>
      </w:r>
      <w:r w:rsidRPr="0099367E" w:rsidR="00CE7506">
        <w:t xml:space="preserve">[same], review granted Oct. 12, 2022, S275341 </w:t>
      </w:r>
      <w:r w:rsidRPr="0099367E" w:rsidR="00DE0F61">
        <w:t>(</w:t>
      </w:r>
      <w:r w:rsidRPr="0099367E" w:rsidR="00DE0F61">
        <w:rPr>
          <w:i/>
          <w:iCs/>
        </w:rPr>
        <w:t>Ramirez</w:t>
      </w:r>
      <w:r w:rsidRPr="0099367E" w:rsidR="00DE0F61">
        <w:t>)</w:t>
      </w:r>
      <w:r w:rsidRPr="0099367E" w:rsidR="00375913">
        <w:t xml:space="preserve">.)  </w:t>
      </w:r>
    </w:p>
    <w:p w:rsidR="00B579EE" w:rsidRPr="0099367E" w:rsidP="00C06DCD" w14:paraId="1D81A27D" w14:textId="77777777">
      <w:pPr>
        <w:tabs>
          <w:tab w:val="left" w:pos="1440"/>
        </w:tabs>
        <w:ind w:firstLine="720"/>
      </w:pPr>
      <w:r w:rsidRPr="0099367E">
        <w:t>Ordinarily</w:t>
      </w:r>
      <w:r w:rsidRPr="0099367E" w:rsidR="009E1E6B">
        <w:t xml:space="preserve">, </w:t>
      </w:r>
      <w:r w:rsidRPr="0099367E" w:rsidR="006A3674">
        <w:t xml:space="preserve">statutes are presumed to apply </w:t>
      </w:r>
      <w:r w:rsidRPr="0099367E" w:rsidR="008C2AC1">
        <w:t xml:space="preserve">only </w:t>
      </w:r>
      <w:r w:rsidRPr="0099367E" w:rsidR="006A3674">
        <w:t>prospectively</w:t>
      </w:r>
      <w:r w:rsidRPr="0099367E" w:rsidR="004322AD">
        <w:t xml:space="preserve">, </w:t>
      </w:r>
      <w:r w:rsidRPr="0099367E" w:rsidR="00740E5D">
        <w:t>unless the Legislature expressly declares otherwise</w:t>
      </w:r>
      <w:r w:rsidRPr="0099367E" w:rsidR="006A3674">
        <w:t xml:space="preserve">.  </w:t>
      </w:r>
      <w:r w:rsidRPr="0099367E" w:rsidR="005F2753">
        <w:t>This well</w:t>
      </w:r>
      <w:r w:rsidRPr="0099367E" w:rsidR="009C2C03">
        <w:t>-</w:t>
      </w:r>
      <w:r w:rsidRPr="0099367E" w:rsidR="005F2753">
        <w:t xml:space="preserve">settled principle is codified </w:t>
      </w:r>
      <w:r w:rsidRPr="0099367E" w:rsidR="00C32FBE">
        <w:t xml:space="preserve">at </w:t>
      </w:r>
      <w:r w:rsidRPr="0099367E" w:rsidR="005F2753">
        <w:t xml:space="preserve">section 3 </w:t>
      </w:r>
      <w:r w:rsidRPr="0099367E" w:rsidR="00C32FBE">
        <w:t xml:space="preserve">of the Penal Code </w:t>
      </w:r>
      <w:r w:rsidRPr="0099367E" w:rsidR="005F2753">
        <w:t xml:space="preserve">and </w:t>
      </w:r>
      <w:r w:rsidRPr="0099367E" w:rsidR="00C32FBE">
        <w:t>appears</w:t>
      </w:r>
      <w:r w:rsidRPr="0099367E" w:rsidR="005F2753">
        <w:t xml:space="preserve"> in other codes as well.  (See</w:t>
      </w:r>
      <w:r w:rsidRPr="0099367E" w:rsidR="00F764C0">
        <w:t>,</w:t>
      </w:r>
      <w:r w:rsidRPr="0099367E" w:rsidR="005F2753">
        <w:t xml:space="preserve"> e.g., Code Civ. Proc., §</w:t>
      </w:r>
      <w:r w:rsidRPr="0099367E" w:rsidR="007368A4">
        <w:t> </w:t>
      </w:r>
      <w:r w:rsidRPr="0099367E" w:rsidR="005F2753">
        <w:t>3; Civ. Code, §</w:t>
      </w:r>
      <w:r w:rsidRPr="0099367E" w:rsidR="007368A4">
        <w:t> </w:t>
      </w:r>
      <w:r w:rsidRPr="0099367E" w:rsidR="005F2753">
        <w:t xml:space="preserve">3.)  </w:t>
      </w:r>
      <w:r w:rsidRPr="0099367E">
        <w:t xml:space="preserve">In </w:t>
      </w:r>
      <w:r w:rsidRPr="0099367E" w:rsidR="00953111">
        <w:rPr>
          <w:i/>
        </w:rPr>
        <w:t>In re Estrada</w:t>
      </w:r>
      <w:r w:rsidRPr="0099367E" w:rsidR="00953111">
        <w:t xml:space="preserve"> (1965) 63</w:t>
      </w:r>
      <w:r w:rsidRPr="0099367E" w:rsidR="006F7953">
        <w:t> </w:t>
      </w:r>
      <w:r w:rsidRPr="0099367E" w:rsidR="00953111">
        <w:t>Cal.2d 740 (</w:t>
      </w:r>
      <w:r w:rsidRPr="0099367E" w:rsidR="00953111">
        <w:rPr>
          <w:i/>
        </w:rPr>
        <w:t>Estrada</w:t>
      </w:r>
      <w:r w:rsidRPr="0099367E" w:rsidR="00953111">
        <w:t xml:space="preserve">), </w:t>
      </w:r>
      <w:r w:rsidRPr="0099367E" w:rsidR="00C32FBE">
        <w:t xml:space="preserve">however, </w:t>
      </w:r>
      <w:r w:rsidRPr="0099367E" w:rsidR="00953111">
        <w:t xml:space="preserve">we </w:t>
      </w:r>
      <w:r w:rsidRPr="0099367E" w:rsidR="005F2753">
        <w:t>held</w:t>
      </w:r>
      <w:r w:rsidRPr="0099367E" w:rsidR="00C41976">
        <w:t xml:space="preserve"> </w:t>
      </w:r>
      <w:r w:rsidRPr="0099367E" w:rsidR="00623E8B">
        <w:t xml:space="preserve">that an </w:t>
      </w:r>
      <w:r w:rsidRPr="0099367E" w:rsidR="00953111">
        <w:t>amend</w:t>
      </w:r>
      <w:r w:rsidRPr="0099367E" w:rsidR="002F75D2">
        <w:t>ment to a</w:t>
      </w:r>
      <w:r w:rsidRPr="0099367E" w:rsidR="00953111">
        <w:t xml:space="preserve"> statute </w:t>
      </w:r>
      <w:r w:rsidRPr="0099367E" w:rsidR="002F75D2">
        <w:t xml:space="preserve">that </w:t>
      </w:r>
      <w:r w:rsidRPr="0099367E" w:rsidR="00953111">
        <w:t>lessen</w:t>
      </w:r>
      <w:r w:rsidRPr="0099367E" w:rsidR="002F75D2">
        <w:t>ed</w:t>
      </w:r>
      <w:r w:rsidRPr="0099367E" w:rsidR="00953111">
        <w:t xml:space="preserve"> punishment for a crime</w:t>
      </w:r>
      <w:r w:rsidRPr="0099367E" w:rsidR="00623E8B">
        <w:t xml:space="preserve"> gave rise to an inference of contrary legislative intent</w:t>
      </w:r>
      <w:r w:rsidRPr="0099367E" w:rsidR="009C2B25">
        <w:t xml:space="preserve">; that is, </w:t>
      </w:r>
      <w:r w:rsidRPr="0099367E" w:rsidR="0068741E">
        <w:t xml:space="preserve">that the Legislature must have intended that </w:t>
      </w:r>
      <w:r w:rsidRPr="0099367E" w:rsidR="00735299">
        <w:t xml:space="preserve">the </w:t>
      </w:r>
      <w:r w:rsidRPr="0099367E" w:rsidR="00ED5D9D">
        <w:t>amend</w:t>
      </w:r>
      <w:r w:rsidRPr="0099367E" w:rsidR="002F75D2">
        <w:t>ment</w:t>
      </w:r>
      <w:r w:rsidRPr="0099367E" w:rsidR="00ED5D9D">
        <w:t xml:space="preserve"> </w:t>
      </w:r>
      <w:r w:rsidRPr="0099367E" w:rsidR="00B14E26">
        <w:t>mitigating punishment would apply retroactively</w:t>
      </w:r>
      <w:r w:rsidRPr="0099367E" w:rsidR="00CF781D">
        <w:t xml:space="preserve"> to every case to which it constitutionally could apply</w:t>
      </w:r>
      <w:r w:rsidRPr="0099367E" w:rsidR="00953111">
        <w:t xml:space="preserve">.  </w:t>
      </w:r>
      <w:r w:rsidRPr="0099367E" w:rsidR="00C32FBE">
        <w:t>(</w:t>
      </w:r>
      <w:r w:rsidRPr="0099367E" w:rsidR="00C32FBE">
        <w:rPr>
          <w:i/>
          <w:iCs/>
        </w:rPr>
        <w:t>Id</w:t>
      </w:r>
      <w:r w:rsidRPr="0099367E" w:rsidR="00C32FBE">
        <w:t>. at p.</w:t>
      </w:r>
      <w:r w:rsidRPr="0099367E" w:rsidR="002F75D2">
        <w:t> </w:t>
      </w:r>
      <w:r w:rsidRPr="0099367E" w:rsidR="00C32FBE">
        <w:t>745.)</w:t>
      </w:r>
    </w:p>
    <w:p w:rsidR="00F758B1" w:rsidRPr="0099367E" w:rsidP="00C06DCD" w14:paraId="1D81A27E" w14:textId="77777777">
      <w:pPr>
        <w:tabs>
          <w:tab w:val="left" w:pos="1440"/>
        </w:tabs>
        <w:ind w:firstLine="720"/>
      </w:pPr>
      <w:r w:rsidRPr="0099367E">
        <w:t>W</w:t>
      </w:r>
      <w:r w:rsidRPr="0099367E" w:rsidR="00D06C83">
        <w:t xml:space="preserve">e conclude that </w:t>
      </w:r>
      <w:r w:rsidRPr="0099367E" w:rsidR="008121DC">
        <w:t xml:space="preserve">the </w:t>
      </w:r>
      <w:r w:rsidRPr="0099367E" w:rsidR="008121DC">
        <w:rPr>
          <w:i/>
          <w:iCs/>
        </w:rPr>
        <w:t xml:space="preserve">Estrada </w:t>
      </w:r>
      <w:r w:rsidRPr="0099367E" w:rsidR="00D82894">
        <w:t>inference</w:t>
      </w:r>
      <w:r w:rsidRPr="0099367E" w:rsidR="008121DC">
        <w:t xml:space="preserve"> </w:t>
      </w:r>
      <w:r w:rsidRPr="0099367E" w:rsidR="004472F9">
        <w:t xml:space="preserve">of retroactivity </w:t>
      </w:r>
      <w:r w:rsidRPr="0099367E">
        <w:t>does not extend</w:t>
      </w:r>
      <w:r w:rsidRPr="0099367E" w:rsidR="00D82894">
        <w:t xml:space="preserve"> </w:t>
      </w:r>
      <w:r w:rsidRPr="0099367E" w:rsidR="008121DC">
        <w:t>t</w:t>
      </w:r>
      <w:r w:rsidRPr="0099367E" w:rsidR="00D82894">
        <w:t>o</w:t>
      </w:r>
      <w:r w:rsidRPr="0099367E" w:rsidR="008121DC">
        <w:t xml:space="preserve"> </w:t>
      </w:r>
      <w:r w:rsidRPr="0099367E" w:rsidR="00D06C83">
        <w:t>s</w:t>
      </w:r>
      <w:r w:rsidRPr="0099367E" w:rsidR="00022994">
        <w:t>ection 1109</w:t>
      </w:r>
      <w:r w:rsidRPr="0099367E" w:rsidR="0039330B">
        <w:t xml:space="preserve">.  </w:t>
      </w:r>
      <w:r w:rsidRPr="0099367E" w:rsidR="00C42CEB">
        <w:rPr>
          <w:i/>
          <w:iCs/>
        </w:rPr>
        <w:t>Estrada</w:t>
      </w:r>
      <w:r w:rsidRPr="0099367E" w:rsidR="00C42CEB">
        <w:t xml:space="preserve">’s principle of statutory interpretation infers retroactivity from statutory reductions in punishment, not from the type of </w:t>
      </w:r>
      <w:r w:rsidRPr="0099367E" w:rsidR="008D3224">
        <w:t>prophylactic rule</w:t>
      </w:r>
      <w:r w:rsidRPr="0099367E" w:rsidR="00FA73EE">
        <w:t>s</w:t>
      </w:r>
      <w:r w:rsidRPr="0099367E" w:rsidR="008D3224">
        <w:t xml:space="preserve"> of criminal procedure</w:t>
      </w:r>
      <w:r w:rsidRPr="0099367E" w:rsidR="00C42CEB">
        <w:t xml:space="preserve"> embodied in section 1109’s bifurcation provisions.  </w:t>
      </w:r>
      <w:r w:rsidRPr="0099367E" w:rsidR="002E6EED">
        <w:t>Accordingly</w:t>
      </w:r>
      <w:r w:rsidRPr="0099367E" w:rsidR="00A71F28">
        <w:t xml:space="preserve">, </w:t>
      </w:r>
      <w:r w:rsidRPr="0099367E" w:rsidR="009E05A8">
        <w:t xml:space="preserve">the general presumption of </w:t>
      </w:r>
      <w:r w:rsidRPr="0099367E" w:rsidR="002571CB">
        <w:t xml:space="preserve">prospective-only application </w:t>
      </w:r>
      <w:r w:rsidRPr="0099367E" w:rsidR="002F75D2">
        <w:t xml:space="preserve">applies </w:t>
      </w:r>
      <w:r w:rsidRPr="0099367E" w:rsidR="009E05A8">
        <w:t xml:space="preserve">to </w:t>
      </w:r>
      <w:r w:rsidRPr="0099367E" w:rsidR="00A71F28">
        <w:t>section 1109.  T</w:t>
      </w:r>
      <w:r w:rsidRPr="0099367E" w:rsidR="001D07FD">
        <w:t xml:space="preserve">he </w:t>
      </w:r>
      <w:r w:rsidRPr="0099367E" w:rsidR="003C6E2F">
        <w:t>equal protection clauses of the federal and state Constitutions</w:t>
      </w:r>
      <w:r w:rsidRPr="0099367E" w:rsidR="00675212">
        <w:t xml:space="preserve"> (U.S. Const., 14th Amend.; Cal. Const., art. I, §</w:t>
      </w:r>
      <w:r w:rsidRPr="0099367E" w:rsidR="007368A4">
        <w:t> </w:t>
      </w:r>
      <w:r w:rsidRPr="0099367E" w:rsidR="003E4D0A">
        <w:t>7</w:t>
      </w:r>
      <w:r w:rsidRPr="0099367E" w:rsidR="00675212">
        <w:t xml:space="preserve">, subd. (a)) </w:t>
      </w:r>
      <w:r w:rsidRPr="0099367E" w:rsidR="00706D4D">
        <w:t>do not compel a different result</w:t>
      </w:r>
      <w:r w:rsidRPr="0099367E" w:rsidR="00002986">
        <w:t>.</w:t>
      </w:r>
      <w:r w:rsidRPr="0099367E" w:rsidR="006D54C5">
        <w:t xml:space="preserve">  Because the Court of Appeal concluded </w:t>
      </w:r>
      <w:r w:rsidRPr="0099367E" w:rsidR="00706D4D">
        <w:t>that section 1109 applies retroactively</w:t>
      </w:r>
      <w:r w:rsidRPr="0099367E" w:rsidR="004C00F1">
        <w:t>,</w:t>
      </w:r>
      <w:r w:rsidRPr="0099367E" w:rsidR="006D54C5">
        <w:t xml:space="preserve"> we reverse its judgment.</w:t>
      </w:r>
    </w:p>
    <w:p w:rsidR="00DE0C4F" w:rsidRPr="0099367E" w:rsidP="00C06DCD" w14:paraId="1D81A27F" w14:textId="77777777">
      <w:pPr>
        <w:pStyle w:val="Heading1"/>
      </w:pPr>
      <w:r w:rsidRPr="0099367E">
        <w:t xml:space="preserve">I. </w:t>
      </w:r>
      <w:r w:rsidRPr="0099367E" w:rsidR="00A963A3">
        <w:t xml:space="preserve"> </w:t>
      </w:r>
      <w:r w:rsidRPr="0099367E">
        <w:t>Factual and Procedural Background</w:t>
      </w:r>
    </w:p>
    <w:p w:rsidR="00B351CB" w:rsidRPr="0099367E" w:rsidP="00C06DCD" w14:paraId="1D81A280" w14:textId="77777777">
      <w:pPr>
        <w:ind w:firstLine="720"/>
      </w:pPr>
      <w:r w:rsidRPr="0099367E">
        <w:t xml:space="preserve">Around midnight on August 29, 2015, </w:t>
      </w:r>
      <w:r w:rsidRPr="0099367E" w:rsidR="003E4CAB">
        <w:t xml:space="preserve">Francisco Burgos, Damon Stevenson, </w:t>
      </w:r>
      <w:r w:rsidRPr="0099367E" w:rsidR="00915219">
        <w:t xml:space="preserve">Jr., </w:t>
      </w:r>
      <w:r w:rsidRPr="0099367E" w:rsidR="003E4CAB">
        <w:t>James Richardson, Derrik Lozano, and Gregory Byrd</w:t>
      </w:r>
      <w:r w:rsidRPr="0099367E">
        <w:t xml:space="preserve"> approached </w:t>
      </w:r>
      <w:r w:rsidRPr="0099367E" w:rsidR="00491461">
        <w:t>Gabriel Cortez and Danny Rodrigue</w:t>
      </w:r>
      <w:r w:rsidRPr="0099367E" w:rsidR="00C90460">
        <w:t>z</w:t>
      </w:r>
      <w:r w:rsidRPr="0099367E" w:rsidR="00CB670B">
        <w:t xml:space="preserve"> </w:t>
      </w:r>
      <w:r w:rsidRPr="0099367E" w:rsidR="00362CBB">
        <w:t xml:space="preserve">near a </w:t>
      </w:r>
      <w:r w:rsidRPr="0099367E" w:rsidR="00FC27F8">
        <w:t>convenience store</w:t>
      </w:r>
      <w:r w:rsidRPr="0099367E" w:rsidR="00362CBB">
        <w:t xml:space="preserve"> in San Jose</w:t>
      </w:r>
      <w:r w:rsidRPr="0099367E">
        <w:t xml:space="preserve">.  </w:t>
      </w:r>
      <w:r w:rsidRPr="0099367E" w:rsidR="00CB670B">
        <w:t>A member of t</w:t>
      </w:r>
      <w:r w:rsidRPr="0099367E">
        <w:t xml:space="preserve">he group asked </w:t>
      </w:r>
      <w:r w:rsidRPr="0099367E" w:rsidR="00B40990">
        <w:t xml:space="preserve">Cortez and Rodriguez </w:t>
      </w:r>
      <w:r w:rsidRPr="0099367E">
        <w:t>where they were from, whether they “banged,” and if they were from “Meadowfair</w:t>
      </w:r>
      <w:r w:rsidRPr="0099367E" w:rsidR="00606027">
        <w:t>,</w:t>
      </w:r>
      <w:r w:rsidRPr="0099367E">
        <w:t xml:space="preserve">” a </w:t>
      </w:r>
      <w:r w:rsidRPr="0099367E" w:rsidR="00606027">
        <w:t xml:space="preserve">criminal street </w:t>
      </w:r>
      <w:r w:rsidRPr="0099367E">
        <w:t xml:space="preserve">gang.  After </w:t>
      </w:r>
      <w:r w:rsidRPr="0099367E" w:rsidR="003E72E1">
        <w:t xml:space="preserve">Cortez and Rodriguez </w:t>
      </w:r>
      <w:r w:rsidRPr="0099367E">
        <w:t xml:space="preserve">responded that they were from “right here,” </w:t>
      </w:r>
      <w:r w:rsidRPr="0099367E" w:rsidR="00AF00D7">
        <w:t>a member of</w:t>
      </w:r>
      <w:r w:rsidRPr="0099367E">
        <w:t xml:space="preserve"> the group </w:t>
      </w:r>
      <w:r w:rsidRPr="0099367E" w:rsidR="003E72E1">
        <w:t>responded</w:t>
      </w:r>
      <w:r w:rsidRPr="0099367E">
        <w:t>, “Well, we’re Crip</w:t>
      </w:r>
      <w:r w:rsidRPr="0099367E" w:rsidR="008C2710">
        <w:t>[</w:t>
      </w:r>
      <w:r w:rsidRPr="0099367E" w:rsidR="00A41F30">
        <w:t>s</w:t>
      </w:r>
      <w:r w:rsidRPr="0099367E" w:rsidR="008C2710">
        <w:t>]</w:t>
      </w:r>
      <w:r w:rsidRPr="0099367E">
        <w:t xml:space="preserve">.”  The group </w:t>
      </w:r>
      <w:r w:rsidRPr="0099367E" w:rsidR="00E51697">
        <w:t>proceeded to</w:t>
      </w:r>
      <w:r w:rsidRPr="0099367E" w:rsidR="00767AF9">
        <w:t xml:space="preserve"> </w:t>
      </w:r>
      <w:r w:rsidRPr="0099367E" w:rsidR="00A274A8">
        <w:t xml:space="preserve">rob </w:t>
      </w:r>
      <w:r w:rsidRPr="0099367E" w:rsidR="008F37F7">
        <w:t>Cortez and Rodriguez</w:t>
      </w:r>
      <w:r w:rsidRPr="0099367E" w:rsidR="00767AF9">
        <w:t xml:space="preserve"> at gunpoint</w:t>
      </w:r>
      <w:r w:rsidRPr="0099367E" w:rsidR="00875896">
        <w:t xml:space="preserve"> and </w:t>
      </w:r>
      <w:r w:rsidRPr="0099367E" w:rsidR="007A032E">
        <w:t>threatened to shoot them unless they left immediately</w:t>
      </w:r>
      <w:r w:rsidRPr="0099367E" w:rsidR="00767AF9">
        <w:t>.</w:t>
      </w:r>
      <w:r w:rsidRPr="0099367E">
        <w:t xml:space="preserve">  </w:t>
      </w:r>
      <w:r w:rsidRPr="0099367E" w:rsidR="00837B3F">
        <w:t xml:space="preserve">Cortez and Rodriguez ran to </w:t>
      </w:r>
      <w:r w:rsidRPr="0099367E" w:rsidR="0095455E">
        <w:t xml:space="preserve">Cortez’s home.  </w:t>
      </w:r>
    </w:p>
    <w:p w:rsidR="00012112" w:rsidRPr="0099367E" w:rsidP="00C06DCD" w14:paraId="1D81A281" w14:textId="77777777">
      <w:pPr>
        <w:tabs>
          <w:tab w:val="left" w:pos="720"/>
        </w:tabs>
        <w:ind w:firstLine="720"/>
      </w:pPr>
      <w:r w:rsidRPr="0099367E">
        <w:t>The People filed a</w:t>
      </w:r>
      <w:r w:rsidRPr="0099367E" w:rsidR="008752B9">
        <w:t>n information charg</w:t>
      </w:r>
      <w:r w:rsidRPr="0099367E">
        <w:t>ing</w:t>
      </w:r>
      <w:r w:rsidRPr="0099367E" w:rsidR="008752B9">
        <w:t xml:space="preserve"> </w:t>
      </w:r>
      <w:r w:rsidRPr="0099367E" w:rsidR="00E855BF">
        <w:t>Burgos, Stevenson, Richardson, Lozano, and Byrd</w:t>
      </w:r>
      <w:r w:rsidRPr="0099367E" w:rsidR="00D82752">
        <w:t xml:space="preserve"> with </w:t>
      </w:r>
      <w:r w:rsidRPr="0099367E" w:rsidR="001A7E04">
        <w:t>two counts of second degree robbery</w:t>
      </w:r>
      <w:r w:rsidRPr="0099367E" w:rsidR="00BC2BFE">
        <w:t xml:space="preserve">. </w:t>
      </w:r>
      <w:r w:rsidRPr="0099367E" w:rsidR="00EB5F4C">
        <w:t xml:space="preserve"> (§§</w:t>
      </w:r>
      <w:r w:rsidRPr="0099367E" w:rsidR="007368A4">
        <w:t> </w:t>
      </w:r>
      <w:r w:rsidRPr="0099367E" w:rsidR="00EB5F4C">
        <w:t>211, 212.5, subd. (c)</w:t>
      </w:r>
      <w:r w:rsidRPr="0099367E" w:rsidR="00BC2BFE">
        <w:t>.</w:t>
      </w:r>
      <w:r w:rsidRPr="0099367E" w:rsidR="00EB5F4C">
        <w:t>)</w:t>
      </w:r>
      <w:r w:rsidRPr="0099367E" w:rsidR="008752B9">
        <w:t xml:space="preserve">  </w:t>
      </w:r>
      <w:r w:rsidRPr="0099367E" w:rsidR="00325EB5">
        <w:t>Each count</w:t>
      </w:r>
      <w:r w:rsidRPr="0099367E" w:rsidR="00544079">
        <w:t xml:space="preserve"> also included gang enhancement </w:t>
      </w:r>
      <w:r w:rsidRPr="0099367E" w:rsidR="00325EB5">
        <w:t xml:space="preserve">and </w:t>
      </w:r>
      <w:r w:rsidRPr="0099367E" w:rsidR="004917E3">
        <w:t>firearm enhancement allegations</w:t>
      </w:r>
      <w:r w:rsidRPr="0099367E" w:rsidR="00B52290">
        <w:t>.  (§§</w:t>
      </w:r>
      <w:r w:rsidRPr="0099367E" w:rsidR="00E64DAA">
        <w:t> 1</w:t>
      </w:r>
      <w:r w:rsidRPr="0099367E" w:rsidR="00B52290">
        <w:t>86.22, subd. (b)(1)(C), 12022.53, subds.</w:t>
      </w:r>
      <w:r w:rsidRPr="0099367E" w:rsidR="00F764C0">
        <w:t> </w:t>
      </w:r>
      <w:r w:rsidRPr="0099367E" w:rsidR="00B52290">
        <w:t xml:space="preserve">(b) &amp; (e)(1).) </w:t>
      </w:r>
      <w:r w:rsidRPr="0099367E" w:rsidR="00544079">
        <w:t xml:space="preserve"> </w:t>
      </w:r>
      <w:r w:rsidRPr="0099367E" w:rsidR="00C91633">
        <w:t>Burgos</w:t>
      </w:r>
      <w:r w:rsidRPr="0099367E" w:rsidR="002E0DD5">
        <w:t xml:space="preserve">, </w:t>
      </w:r>
      <w:r w:rsidRPr="0099367E" w:rsidR="00C91633">
        <w:t>Stevenson</w:t>
      </w:r>
      <w:r w:rsidRPr="0099367E" w:rsidR="002E0DD5">
        <w:t>, and Richardson</w:t>
      </w:r>
      <w:r w:rsidRPr="0099367E" w:rsidR="00C91633">
        <w:t xml:space="preserve"> </w:t>
      </w:r>
      <w:r w:rsidRPr="0099367E" w:rsidR="002E0DD5">
        <w:t xml:space="preserve">(collectively, defendants) </w:t>
      </w:r>
      <w:r w:rsidRPr="0099367E" w:rsidR="00C91633">
        <w:t>moved to bifurcate trial on the gang enhancements</w:t>
      </w:r>
      <w:r w:rsidRPr="0099367E" w:rsidR="002E0DD5">
        <w:t>.</w:t>
      </w:r>
      <w:r>
        <w:rPr>
          <w:rStyle w:val="FootnoteReference"/>
        </w:rPr>
        <w:footnoteReference w:id="4"/>
      </w:r>
      <w:r w:rsidRPr="0099367E" w:rsidR="00C257DC">
        <w:t xml:space="preserve"> </w:t>
      </w:r>
      <w:r w:rsidRPr="0099367E" w:rsidR="002E0DD5">
        <w:t xml:space="preserve"> </w:t>
      </w:r>
      <w:r w:rsidRPr="0099367E" w:rsidR="00C91633">
        <w:t xml:space="preserve">The </w:t>
      </w:r>
      <w:r w:rsidRPr="0099367E" w:rsidR="00214E29">
        <w:t xml:space="preserve">trial </w:t>
      </w:r>
      <w:r w:rsidRPr="0099367E" w:rsidR="00C91633">
        <w:t xml:space="preserve">court denied the requests.  </w:t>
      </w:r>
      <w:r w:rsidRPr="0099367E" w:rsidR="000A2928">
        <w:t>At trial, the prosecution presented evidence that the robberies were committed in association with a criminal street gang</w:t>
      </w:r>
      <w:r w:rsidRPr="0099367E" w:rsidR="00417BC1">
        <w:t xml:space="preserve">.  </w:t>
      </w:r>
    </w:p>
    <w:p w:rsidR="00A1342F" w:rsidRPr="0099367E" w:rsidP="00C06DCD" w14:paraId="1D81A282" w14:textId="77777777">
      <w:pPr>
        <w:tabs>
          <w:tab w:val="left" w:pos="720"/>
        </w:tabs>
        <w:ind w:firstLine="720"/>
      </w:pPr>
      <w:r w:rsidRPr="0099367E">
        <w:t>A</w:t>
      </w:r>
      <w:r w:rsidRPr="0099367E" w:rsidR="00585C87">
        <w:t xml:space="preserve"> jury found </w:t>
      </w:r>
      <w:r w:rsidRPr="0099367E" w:rsidR="00344995">
        <w:t xml:space="preserve">defendants </w:t>
      </w:r>
      <w:r w:rsidRPr="0099367E" w:rsidR="004A3F8E">
        <w:t xml:space="preserve">guilty of two counts of </w:t>
      </w:r>
      <w:r w:rsidRPr="0099367E" w:rsidR="005975BA">
        <w:t>second</w:t>
      </w:r>
      <w:r w:rsidRPr="0099367E" w:rsidR="00550A71">
        <w:t xml:space="preserve"> </w:t>
      </w:r>
      <w:r w:rsidRPr="0099367E" w:rsidR="005975BA">
        <w:t xml:space="preserve">degree </w:t>
      </w:r>
      <w:r w:rsidRPr="0099367E" w:rsidR="004A3F8E">
        <w:t>robbery</w:t>
      </w:r>
      <w:r w:rsidRPr="0099367E" w:rsidR="00344995">
        <w:t xml:space="preserve"> and</w:t>
      </w:r>
      <w:r w:rsidRPr="0099367E" w:rsidR="00F36BFD">
        <w:t xml:space="preserve"> also found </w:t>
      </w:r>
      <w:r w:rsidRPr="0099367E" w:rsidR="00B87EDF">
        <w:t xml:space="preserve">true </w:t>
      </w:r>
      <w:r w:rsidRPr="0099367E" w:rsidR="00344995">
        <w:t>the</w:t>
      </w:r>
      <w:r w:rsidRPr="0099367E" w:rsidR="00F36BFD">
        <w:t xml:space="preserve"> </w:t>
      </w:r>
      <w:r w:rsidRPr="0099367E" w:rsidR="00E12E26">
        <w:t xml:space="preserve">gang </w:t>
      </w:r>
      <w:r w:rsidRPr="0099367E" w:rsidR="00F36BFD">
        <w:t>enhancement</w:t>
      </w:r>
      <w:r w:rsidRPr="0099367E" w:rsidR="00344995">
        <w:t xml:space="preserve"> allegations.</w:t>
      </w:r>
      <w:r w:rsidRPr="0099367E" w:rsidR="00A963A3">
        <w:t xml:space="preserve">  </w:t>
      </w:r>
      <w:r w:rsidRPr="0099367E" w:rsidR="002205AD">
        <w:t>T</w:t>
      </w:r>
      <w:r w:rsidRPr="0099367E" w:rsidR="001E7EA1">
        <w:t>he trial court</w:t>
      </w:r>
      <w:r w:rsidRPr="0099367E" w:rsidR="00AA4E28">
        <w:t xml:space="preserve"> found true prior conviction allegations as to Burgos and Stevenson</w:t>
      </w:r>
      <w:r w:rsidRPr="0099367E" w:rsidR="000F358D">
        <w:t>,</w:t>
      </w:r>
      <w:r w:rsidRPr="0099367E" w:rsidR="00D432DC">
        <w:t xml:space="preserve"> and Richardson admitted </w:t>
      </w:r>
      <w:r w:rsidRPr="0099367E" w:rsidR="00A676A1">
        <w:t>his prior conviction</w:t>
      </w:r>
      <w:r w:rsidRPr="0099367E" w:rsidR="001E7EA1">
        <w:t xml:space="preserve">.  </w:t>
      </w:r>
      <w:r w:rsidRPr="0099367E" w:rsidR="008D7E02">
        <w:t>Th</w:t>
      </w:r>
      <w:r w:rsidRPr="0099367E" w:rsidR="0091075C">
        <w:t xml:space="preserve">e court sentenced </w:t>
      </w:r>
      <w:r w:rsidRPr="0099367E" w:rsidR="00360321">
        <w:t>each defendant</w:t>
      </w:r>
      <w:r w:rsidRPr="0099367E" w:rsidR="00906D64">
        <w:t xml:space="preserve"> to 21</w:t>
      </w:r>
      <w:r w:rsidRPr="0099367E" w:rsidR="00F764C0">
        <w:t> </w:t>
      </w:r>
      <w:r w:rsidRPr="0099367E" w:rsidR="00906D64">
        <w:t>years o</w:t>
      </w:r>
      <w:r w:rsidRPr="0099367E" w:rsidR="007408E8">
        <w:t xml:space="preserve">f imprisonment.  </w:t>
      </w:r>
    </w:p>
    <w:p w:rsidR="00AD64C0" w:rsidRPr="0099367E" w:rsidP="00C06DCD" w14:paraId="1D81A283" w14:textId="77777777">
      <w:pPr>
        <w:tabs>
          <w:tab w:val="left" w:pos="720"/>
        </w:tabs>
        <w:ind w:firstLine="720"/>
      </w:pPr>
      <w:r w:rsidRPr="0099367E">
        <w:t>W</w:t>
      </w:r>
      <w:r w:rsidRPr="0099367E" w:rsidR="00702389">
        <w:t xml:space="preserve">hile </w:t>
      </w:r>
      <w:r w:rsidRPr="0099367E" w:rsidR="00D20D81">
        <w:t xml:space="preserve">defendants’ </w:t>
      </w:r>
      <w:r w:rsidRPr="0099367E" w:rsidR="003D4745">
        <w:t>appeal</w:t>
      </w:r>
      <w:r w:rsidRPr="0099367E" w:rsidR="00905114">
        <w:t>s</w:t>
      </w:r>
      <w:r w:rsidRPr="0099367E" w:rsidR="003D4745">
        <w:t xml:space="preserve"> w</w:t>
      </w:r>
      <w:r w:rsidRPr="0099367E" w:rsidR="00905114">
        <w:t>ere</w:t>
      </w:r>
      <w:r w:rsidRPr="0099367E" w:rsidR="003D4745">
        <w:t xml:space="preserve"> pending, the Legislature </w:t>
      </w:r>
      <w:r w:rsidRPr="0099367E" w:rsidR="009B1DD7">
        <w:t>passed Assembly Bill 333</w:t>
      </w:r>
      <w:r w:rsidRPr="0099367E" w:rsidR="00743B6A">
        <w:t>, which became effective January 1, 2022</w:t>
      </w:r>
      <w:r w:rsidRPr="0099367E" w:rsidR="00F272A2">
        <w:t xml:space="preserve">.  </w:t>
      </w:r>
      <w:r w:rsidRPr="0099367E" w:rsidR="00683C61">
        <w:t>(Se</w:t>
      </w:r>
      <w:r w:rsidRPr="0099367E" w:rsidR="00543801">
        <w:t>e</w:t>
      </w:r>
      <w:r w:rsidRPr="0099367E" w:rsidR="00683C61">
        <w:t xml:space="preserve"> </w:t>
      </w:r>
      <w:r w:rsidRPr="0099367E" w:rsidR="00307E04">
        <w:rPr>
          <w:i/>
          <w:iCs/>
        </w:rPr>
        <w:t xml:space="preserve">People v. Tran </w:t>
      </w:r>
      <w:r w:rsidRPr="0099367E" w:rsidR="00307E04">
        <w:t>(2022) 13</w:t>
      </w:r>
      <w:r w:rsidRPr="0099367E" w:rsidR="006F7953">
        <w:t> </w:t>
      </w:r>
      <w:r w:rsidRPr="0099367E" w:rsidR="00307E04">
        <w:t>Cal.5th 1169, 1206 (</w:t>
      </w:r>
      <w:r w:rsidRPr="0099367E" w:rsidR="00307E04">
        <w:rPr>
          <w:i/>
          <w:iCs/>
        </w:rPr>
        <w:t>Tran</w:t>
      </w:r>
      <w:r w:rsidRPr="0099367E" w:rsidR="00307E04">
        <w:t>)</w:t>
      </w:r>
      <w:r w:rsidRPr="0099367E" w:rsidR="006A73C4">
        <w:t>.</w:t>
      </w:r>
      <w:r w:rsidRPr="0099367E" w:rsidR="00683C61">
        <w:t xml:space="preserve">)  </w:t>
      </w:r>
      <w:r w:rsidRPr="0099367E" w:rsidR="00C25569">
        <w:t>Assembly Bill 333 amended section 186.22</w:t>
      </w:r>
      <w:r w:rsidRPr="0099367E" w:rsidR="001B488A">
        <w:t xml:space="preserve"> by</w:t>
      </w:r>
      <w:r w:rsidRPr="0099367E" w:rsidR="0092304A">
        <w:t xml:space="preserve"> narrow</w:t>
      </w:r>
      <w:r w:rsidRPr="0099367E" w:rsidR="001B488A">
        <w:t>ing</w:t>
      </w:r>
      <w:r w:rsidRPr="0099367E" w:rsidR="0092304A">
        <w:t xml:space="preserve"> the definitions of “</w:t>
      </w:r>
      <w:r w:rsidRPr="0099367E" w:rsidR="000F0EC3">
        <w:t> ‘</w:t>
      </w:r>
      <w:r w:rsidRPr="0099367E" w:rsidR="0092304A">
        <w:t>criminal street gang,</w:t>
      </w:r>
      <w:r w:rsidRPr="0099367E" w:rsidR="004A16FD">
        <w:t>’ </w:t>
      </w:r>
      <w:r w:rsidRPr="0099367E" w:rsidR="0092304A">
        <w:t>” “common benefit,” and “</w:t>
      </w:r>
      <w:r w:rsidRPr="0099367E" w:rsidR="0078440D">
        <w:t> ‘</w:t>
      </w:r>
      <w:r w:rsidRPr="0099367E" w:rsidR="0092304A">
        <w:t xml:space="preserve">pattern of criminal </w:t>
      </w:r>
      <w:r w:rsidRPr="0099367E" w:rsidR="004A16FD">
        <w:t xml:space="preserve">gang </w:t>
      </w:r>
      <w:r w:rsidRPr="0099367E" w:rsidR="0092304A">
        <w:t>activity,</w:t>
      </w:r>
      <w:r w:rsidRPr="0099367E" w:rsidR="0078440D">
        <w:t>’ </w:t>
      </w:r>
      <w:r w:rsidRPr="0099367E" w:rsidR="0092304A">
        <w:t>” and add</w:t>
      </w:r>
      <w:r w:rsidRPr="0099367E" w:rsidR="001B488A">
        <w:t>ing</w:t>
      </w:r>
      <w:r w:rsidRPr="0099367E" w:rsidR="0092304A">
        <w:t xml:space="preserve"> the requirement that gang members “collectively engage in” the “pattern of criminal</w:t>
      </w:r>
      <w:r w:rsidRPr="0099367E" w:rsidR="004A16FD">
        <w:t xml:space="preserve"> gang</w:t>
      </w:r>
      <w:r w:rsidRPr="0099367E" w:rsidR="0092304A">
        <w:t xml:space="preserve"> activity.”  (§</w:t>
      </w:r>
      <w:r w:rsidRPr="0099367E" w:rsidR="00E64DAA">
        <w:t> </w:t>
      </w:r>
      <w:r w:rsidRPr="0099367E" w:rsidR="0092304A">
        <w:t xml:space="preserve">186.22, subds. (e)(1)–(2), (f) &amp; (g).)  </w:t>
      </w:r>
      <w:r w:rsidRPr="0099367E" w:rsidR="00855CFE">
        <w:t>These changes “ha[d] the effect of ‘increas[ing] the threshold for conviction of the section 186.22 offense and the imposition of the enhancement.’ ”  (</w:t>
      </w:r>
      <w:r w:rsidRPr="0099367E" w:rsidR="00855CFE">
        <w:rPr>
          <w:i/>
          <w:iCs/>
        </w:rPr>
        <w:t>Tran</w:t>
      </w:r>
      <w:r w:rsidRPr="0099367E" w:rsidR="00855CFE">
        <w:t xml:space="preserve">, at p. 1207.)  Assembly Bill 333 also </w:t>
      </w:r>
      <w:r w:rsidRPr="0099367E">
        <w:t>“added section 1109, which requires, if requested by the defendant, a gang enhancement charge to be tried separately from all other counts that do not otherwise require gang evidence as an element of the crime.”  (</w:t>
      </w:r>
      <w:r w:rsidRPr="0099367E">
        <w:rPr>
          <w:i/>
          <w:iCs/>
        </w:rPr>
        <w:t>Tran</w:t>
      </w:r>
      <w:r w:rsidRPr="0099367E">
        <w:t xml:space="preserve">, at p. 1206.)  </w:t>
      </w:r>
    </w:p>
    <w:p w:rsidR="002D4BE2" w:rsidRPr="0099367E" w:rsidP="00C06DCD" w14:paraId="1D81A284" w14:textId="77777777">
      <w:pPr>
        <w:tabs>
          <w:tab w:val="left" w:pos="720"/>
        </w:tabs>
        <w:ind w:firstLine="720"/>
      </w:pPr>
      <w:r w:rsidRPr="0099367E">
        <w:t>The Attorney General conceded that the amendments to section 186.22 appl</w:t>
      </w:r>
      <w:r w:rsidRPr="0099367E" w:rsidR="00C63EB2">
        <w:t>y</w:t>
      </w:r>
      <w:r w:rsidRPr="0099367E">
        <w:t xml:space="preserve"> retroactively</w:t>
      </w:r>
      <w:r w:rsidRPr="0099367E" w:rsidR="00DE2627">
        <w:t xml:space="preserve">, </w:t>
      </w:r>
      <w:r w:rsidRPr="0099367E" w:rsidR="0021669C">
        <w:t>and that</w:t>
      </w:r>
      <w:r w:rsidRPr="0099367E">
        <w:t xml:space="preserve"> </w:t>
      </w:r>
      <w:r w:rsidRPr="0099367E" w:rsidR="00251C9A">
        <w:t xml:space="preserve">the true findings on </w:t>
      </w:r>
      <w:r w:rsidRPr="0099367E" w:rsidR="00A37420">
        <w:t>defendants’</w:t>
      </w:r>
      <w:r w:rsidRPr="0099367E" w:rsidR="00251C9A">
        <w:t xml:space="preserve"> </w:t>
      </w:r>
      <w:r w:rsidRPr="0099367E">
        <w:t xml:space="preserve">gang </w:t>
      </w:r>
      <w:r w:rsidRPr="0099367E" w:rsidR="00251C9A">
        <w:t>enhancement allegations</w:t>
      </w:r>
      <w:r w:rsidRPr="0099367E" w:rsidR="0021669C">
        <w:t xml:space="preserve"> must be vacated</w:t>
      </w:r>
      <w:r w:rsidRPr="0099367E">
        <w:t>.  (</w:t>
      </w:r>
      <w:r w:rsidRPr="0099367E">
        <w:rPr>
          <w:i/>
          <w:iCs/>
        </w:rPr>
        <w:t>Burgos</w:t>
      </w:r>
      <w:r w:rsidRPr="0099367E">
        <w:t xml:space="preserve">, </w:t>
      </w:r>
      <w:r w:rsidRPr="0099367E">
        <w:rPr>
          <w:i/>
          <w:iCs/>
        </w:rPr>
        <w:t>supra</w:t>
      </w:r>
      <w:r w:rsidRPr="0099367E">
        <w:t>, 77</w:t>
      </w:r>
      <w:r w:rsidRPr="0099367E" w:rsidR="006F7953">
        <w:t> </w:t>
      </w:r>
      <w:r w:rsidRPr="0099367E">
        <w:t xml:space="preserve">Cal.App.5th at p. 563; cf. </w:t>
      </w:r>
      <w:r w:rsidRPr="0099367E">
        <w:rPr>
          <w:i/>
          <w:iCs/>
        </w:rPr>
        <w:t>Tran</w:t>
      </w:r>
      <w:r w:rsidRPr="0099367E">
        <w:t xml:space="preserve">, </w:t>
      </w:r>
      <w:r w:rsidRPr="0099367E">
        <w:rPr>
          <w:i/>
          <w:iCs/>
        </w:rPr>
        <w:t>supra</w:t>
      </w:r>
      <w:r w:rsidRPr="0099367E">
        <w:t>, 13</w:t>
      </w:r>
      <w:r w:rsidRPr="0099367E" w:rsidR="006F7953">
        <w:t> </w:t>
      </w:r>
      <w:r w:rsidRPr="0099367E">
        <w:t xml:space="preserve">Cal.5th at p. 1207 [Assembly Bill 333’s substantive changes apply retroactively to all nonfinal cases under </w:t>
      </w:r>
      <w:r w:rsidRPr="0099367E">
        <w:rPr>
          <w:i/>
          <w:iCs/>
        </w:rPr>
        <w:t>Estrada</w:t>
      </w:r>
      <w:r w:rsidRPr="0099367E">
        <w:t xml:space="preserve">].)  </w:t>
      </w:r>
      <w:r w:rsidRPr="0099367E" w:rsidR="006A55BB">
        <w:t>However, the Attorney General</w:t>
      </w:r>
      <w:r w:rsidRPr="0099367E" w:rsidR="00F8633E">
        <w:t xml:space="preserve"> </w:t>
      </w:r>
      <w:r w:rsidRPr="0099367E">
        <w:t>maintained</w:t>
      </w:r>
      <w:r w:rsidRPr="0099367E" w:rsidR="00F8633E">
        <w:t xml:space="preserve"> that section 1109</w:t>
      </w:r>
      <w:r w:rsidRPr="0099367E" w:rsidR="006A55BB">
        <w:t>’s bifurcation provision</w:t>
      </w:r>
      <w:r w:rsidRPr="0099367E" w:rsidR="00FA73EE">
        <w:t>s</w:t>
      </w:r>
      <w:r w:rsidRPr="0099367E" w:rsidR="00F8633E">
        <w:t xml:space="preserve"> </w:t>
      </w:r>
      <w:r w:rsidRPr="0099367E" w:rsidR="006A55BB">
        <w:t>appl</w:t>
      </w:r>
      <w:r w:rsidRPr="0099367E" w:rsidR="00FA73EE">
        <w:t>y</w:t>
      </w:r>
      <w:r w:rsidRPr="0099367E" w:rsidR="006A55BB">
        <w:t xml:space="preserve"> </w:t>
      </w:r>
      <w:r w:rsidRPr="0099367E" w:rsidR="005B7B38">
        <w:t xml:space="preserve">only </w:t>
      </w:r>
      <w:r w:rsidRPr="0099367E" w:rsidR="006A55BB">
        <w:t>prospectively</w:t>
      </w:r>
      <w:r w:rsidRPr="0099367E" w:rsidR="00F8633E">
        <w:t>.  (</w:t>
      </w:r>
      <w:r w:rsidRPr="0099367E" w:rsidR="00F8633E">
        <w:rPr>
          <w:i/>
          <w:iCs/>
        </w:rPr>
        <w:t>Burgos</w:t>
      </w:r>
      <w:r w:rsidRPr="0099367E" w:rsidR="00F8633E">
        <w:t>, at p.</w:t>
      </w:r>
      <w:r w:rsidRPr="0099367E" w:rsidR="00CB5B78">
        <w:t> </w:t>
      </w:r>
      <w:r w:rsidRPr="0099367E" w:rsidR="00F8633E">
        <w:t>564.</w:t>
      </w:r>
      <w:r w:rsidRPr="0099367E" w:rsidR="00E17F8A">
        <w:t>)</w:t>
      </w:r>
    </w:p>
    <w:p w:rsidR="00DA47A5" w:rsidRPr="0099367E" w:rsidP="00C06DCD" w14:paraId="1D81A285" w14:textId="77777777">
      <w:pPr>
        <w:tabs>
          <w:tab w:val="left" w:pos="720"/>
        </w:tabs>
        <w:ind w:firstLine="720"/>
      </w:pPr>
      <w:r w:rsidRPr="0099367E">
        <w:t>A</w:t>
      </w:r>
      <w:r w:rsidRPr="0099367E" w:rsidR="00266FF7">
        <w:t xml:space="preserve"> divided</w:t>
      </w:r>
      <w:r w:rsidRPr="0099367E" w:rsidR="007E5D7E">
        <w:t xml:space="preserve"> Court of Appeal </w:t>
      </w:r>
      <w:r w:rsidRPr="0099367E" w:rsidR="00EC3180">
        <w:t>held that section 1109</w:t>
      </w:r>
      <w:r w:rsidRPr="0099367E" w:rsidR="00293BCC">
        <w:t xml:space="preserve"> </w:t>
      </w:r>
      <w:r w:rsidRPr="0099367E" w:rsidR="008C1780">
        <w:t xml:space="preserve">also </w:t>
      </w:r>
      <w:r w:rsidRPr="0099367E" w:rsidR="00511E9E">
        <w:t xml:space="preserve">applies </w:t>
      </w:r>
      <w:r w:rsidRPr="0099367E" w:rsidR="00FD4138">
        <w:t>retroactively</w:t>
      </w:r>
      <w:r w:rsidRPr="0099367E" w:rsidR="005A0994">
        <w:t>.  (</w:t>
      </w:r>
      <w:r w:rsidRPr="0099367E" w:rsidR="005A0994">
        <w:rPr>
          <w:i/>
          <w:iCs/>
        </w:rPr>
        <w:t>Burgos</w:t>
      </w:r>
      <w:r w:rsidRPr="0099367E" w:rsidR="005A0994">
        <w:t>,</w:t>
      </w:r>
      <w:r w:rsidRPr="0099367E" w:rsidR="005A0994">
        <w:rPr>
          <w:i/>
          <w:iCs/>
        </w:rPr>
        <w:t xml:space="preserve"> supra</w:t>
      </w:r>
      <w:r w:rsidRPr="0099367E" w:rsidR="005A0994">
        <w:t>, 77</w:t>
      </w:r>
      <w:r w:rsidRPr="0099367E" w:rsidR="006F7953">
        <w:t> </w:t>
      </w:r>
      <w:r w:rsidRPr="0099367E" w:rsidR="005A0994">
        <w:t>Cal.App.5th at pp.</w:t>
      </w:r>
      <w:r w:rsidRPr="0099367E">
        <w:t> </w:t>
      </w:r>
      <w:r w:rsidRPr="0099367E" w:rsidR="005A0994">
        <w:t xml:space="preserve">564–569.) </w:t>
      </w:r>
      <w:r w:rsidRPr="0099367E" w:rsidR="002A7480">
        <w:t xml:space="preserve"> </w:t>
      </w:r>
      <w:r w:rsidRPr="0099367E" w:rsidR="002C420A">
        <w:t xml:space="preserve">The majority </w:t>
      </w:r>
      <w:r w:rsidRPr="0099367E" w:rsidR="006A699D">
        <w:t xml:space="preserve">concluded that </w:t>
      </w:r>
      <w:r w:rsidRPr="0099367E" w:rsidR="005B7B38">
        <w:t>the statute</w:t>
      </w:r>
      <w:r w:rsidRPr="0099367E" w:rsidR="006A699D">
        <w:t xml:space="preserve"> meets the criteria for retroactive application </w:t>
      </w:r>
      <w:r w:rsidRPr="0099367E" w:rsidR="00F67B3D">
        <w:t xml:space="preserve">under the reasoning of </w:t>
      </w:r>
      <w:r w:rsidRPr="0099367E" w:rsidR="00F67B3D">
        <w:rPr>
          <w:i/>
          <w:iCs/>
        </w:rPr>
        <w:t>Estrada</w:t>
      </w:r>
      <w:r w:rsidRPr="0099367E" w:rsidR="00A7119D">
        <w:t xml:space="preserve">, </w:t>
      </w:r>
      <w:r w:rsidRPr="0099367E" w:rsidR="00A7119D">
        <w:rPr>
          <w:i/>
          <w:iCs/>
        </w:rPr>
        <w:t>supra</w:t>
      </w:r>
      <w:r w:rsidRPr="0099367E" w:rsidR="00A7119D">
        <w:t>, 63</w:t>
      </w:r>
      <w:r w:rsidRPr="0099367E" w:rsidR="006F7953">
        <w:t> </w:t>
      </w:r>
      <w:r w:rsidRPr="0099367E" w:rsidR="00A7119D">
        <w:t>Cal.2d 740</w:t>
      </w:r>
      <w:r w:rsidRPr="0099367E" w:rsidR="00EB2A50">
        <w:t>,</w:t>
      </w:r>
      <w:r w:rsidRPr="0099367E" w:rsidR="009D04CC">
        <w:t xml:space="preserve"> because it </w:t>
      </w:r>
      <w:r w:rsidRPr="0099367E" w:rsidR="00633B1B">
        <w:t>“</w:t>
      </w:r>
      <w:r w:rsidRPr="0099367E" w:rsidR="00B965DD">
        <w:t xml:space="preserve">reduces the possible punishment for a class of persons </w:t>
      </w:r>
      <w:r w:rsidRPr="0099367E" w:rsidR="002004EF">
        <w:t>[and]</w:t>
      </w:r>
      <w:r w:rsidRPr="0099367E" w:rsidR="00B965DD">
        <w:t xml:space="preserve"> provides a possible ameliorating benefit to a class of criminal defendants.”  (</w:t>
      </w:r>
      <w:r w:rsidRPr="0099367E" w:rsidR="00AB4CBA">
        <w:rPr>
          <w:i/>
          <w:iCs/>
        </w:rPr>
        <w:t>Burgos</w:t>
      </w:r>
      <w:r w:rsidRPr="0099367E" w:rsidR="00AB4CBA">
        <w:t>,</w:t>
      </w:r>
      <w:r w:rsidRPr="0099367E" w:rsidR="009D04CC">
        <w:t xml:space="preserve"> at p. </w:t>
      </w:r>
      <w:r w:rsidRPr="0099367E" w:rsidR="007A6C8C">
        <w:t>565.</w:t>
      </w:r>
      <w:r w:rsidRPr="0099367E" w:rsidR="00B965DD">
        <w:t xml:space="preserve">)  </w:t>
      </w:r>
    </w:p>
    <w:p w:rsidR="007E7044" w:rsidRPr="0099367E" w:rsidP="00C06DCD" w14:paraId="1D81A286" w14:textId="77777777">
      <w:pPr>
        <w:tabs>
          <w:tab w:val="left" w:pos="720"/>
        </w:tabs>
        <w:ind w:firstLine="720"/>
      </w:pPr>
      <w:r w:rsidRPr="0099367E">
        <w:t>We granted review</w:t>
      </w:r>
      <w:r w:rsidRPr="0099367E" w:rsidR="00632B1B">
        <w:t xml:space="preserve">, limited to the issue of whether section 1109’s </w:t>
      </w:r>
      <w:r w:rsidRPr="0099367E" w:rsidR="00DA47A5">
        <w:t xml:space="preserve">bifurcation </w:t>
      </w:r>
      <w:r w:rsidRPr="0099367E" w:rsidR="00632B1B">
        <w:t>provision</w:t>
      </w:r>
      <w:r w:rsidRPr="0099367E" w:rsidR="00DA47A5">
        <w:t>s</w:t>
      </w:r>
      <w:r w:rsidRPr="0099367E" w:rsidR="00632B1B">
        <w:t xml:space="preserve"> </w:t>
      </w:r>
      <w:r w:rsidRPr="0099367E" w:rsidR="00DA47A5">
        <w:t>apply</w:t>
      </w:r>
      <w:r w:rsidRPr="0099367E" w:rsidR="00632B1B">
        <w:t xml:space="preserve"> retroactively to cases not yet final</w:t>
      </w:r>
      <w:r w:rsidRPr="0099367E">
        <w:t>.</w:t>
      </w:r>
    </w:p>
    <w:p w:rsidR="00DE0C4F" w:rsidRPr="0099367E" w:rsidP="00C06DCD" w14:paraId="1D81A287" w14:textId="77777777">
      <w:pPr>
        <w:pStyle w:val="Heading1"/>
      </w:pPr>
      <w:r w:rsidRPr="0099367E">
        <w:t>II.</w:t>
      </w:r>
      <w:r w:rsidRPr="0099367E" w:rsidR="00EC4796">
        <w:t xml:space="preserve">  Discussion</w:t>
      </w:r>
    </w:p>
    <w:p w:rsidR="00D570E8" w:rsidRPr="0099367E" w:rsidP="00C06DCD" w14:paraId="1D81A288" w14:textId="77777777">
      <w:pPr>
        <w:ind w:firstLine="720"/>
      </w:pPr>
      <w:r w:rsidRPr="0099367E">
        <w:t xml:space="preserve">Defendants contend that section 1109 </w:t>
      </w:r>
      <w:r w:rsidRPr="0099367E" w:rsidR="00EB2A50">
        <w:t>applies retroactively</w:t>
      </w:r>
      <w:r w:rsidRPr="0099367E" w:rsidR="00D6147A">
        <w:t>, not just prospectively</w:t>
      </w:r>
      <w:r w:rsidRPr="0099367E">
        <w:t xml:space="preserve">.  Burgos </w:t>
      </w:r>
      <w:r w:rsidRPr="0099367E" w:rsidR="00A82862">
        <w:t xml:space="preserve">also </w:t>
      </w:r>
      <w:r w:rsidRPr="0099367E" w:rsidR="00962152">
        <w:t>claims</w:t>
      </w:r>
      <w:r w:rsidRPr="0099367E" w:rsidR="00A82862">
        <w:t xml:space="preserve"> </w:t>
      </w:r>
      <w:r w:rsidRPr="0099367E" w:rsidR="00962152">
        <w:t xml:space="preserve">that </w:t>
      </w:r>
      <w:r w:rsidRPr="0099367E" w:rsidR="00D6147A">
        <w:t xml:space="preserve">applying </w:t>
      </w:r>
      <w:r w:rsidRPr="0099367E" w:rsidR="00962152">
        <w:t>section 1109</w:t>
      </w:r>
      <w:r w:rsidRPr="0099367E" w:rsidR="00D6147A">
        <w:t xml:space="preserve"> </w:t>
      </w:r>
      <w:r w:rsidRPr="0099367E" w:rsidR="00896F06">
        <w:t xml:space="preserve">only </w:t>
      </w:r>
      <w:r w:rsidRPr="0099367E" w:rsidR="00D6147A">
        <w:t xml:space="preserve">prospectively </w:t>
      </w:r>
      <w:r w:rsidRPr="0099367E" w:rsidR="00962152">
        <w:t xml:space="preserve">would violate equal protection </w:t>
      </w:r>
      <w:r w:rsidRPr="0099367E" w:rsidR="00074BBB">
        <w:t>principles</w:t>
      </w:r>
      <w:r w:rsidRPr="0099367E" w:rsidR="00962152">
        <w:t xml:space="preserve">.  </w:t>
      </w:r>
      <w:r w:rsidRPr="0099367E" w:rsidR="008064B7">
        <w:t>We find both arguments unconvincing</w:t>
      </w:r>
      <w:r w:rsidRPr="0099367E" w:rsidR="009F34E9">
        <w:t>.</w:t>
      </w:r>
    </w:p>
    <w:p w:rsidR="00EC4796" w:rsidRPr="0099367E" w:rsidP="00C06DCD" w14:paraId="1D81A289" w14:textId="77777777">
      <w:pPr>
        <w:pStyle w:val="Heading2"/>
        <w:numPr>
          <w:ilvl w:val="0"/>
          <w:numId w:val="5"/>
        </w:numPr>
      </w:pPr>
      <w:r w:rsidRPr="0099367E">
        <w:t>Section 1109</w:t>
      </w:r>
      <w:r w:rsidRPr="0099367E" w:rsidR="00614CC0">
        <w:t>’s Bifurcation Provision</w:t>
      </w:r>
      <w:r w:rsidR="00BD6828">
        <w:t>s</w:t>
      </w:r>
      <w:r w:rsidRPr="0099367E" w:rsidR="00E85C32">
        <w:t xml:space="preserve"> Do Not Apply Retroactively</w:t>
      </w:r>
    </w:p>
    <w:p w:rsidR="00771833" w:rsidRPr="0099367E" w:rsidP="00263911" w14:paraId="1D81A28A" w14:textId="77777777">
      <w:pPr>
        <w:pStyle w:val="Heading3"/>
        <w:ind w:left="1584" w:hanging="432"/>
      </w:pPr>
      <w:r w:rsidRPr="0099367E">
        <w:t xml:space="preserve">Language </w:t>
      </w:r>
      <w:r w:rsidRPr="0099367E" w:rsidR="00EA61AE">
        <w:t xml:space="preserve">and </w:t>
      </w:r>
      <w:r w:rsidRPr="0099367E" w:rsidR="00CB5B78">
        <w:t>L</w:t>
      </w:r>
      <w:r w:rsidRPr="0099367E" w:rsidR="00EA61AE">
        <w:t>egislative</w:t>
      </w:r>
      <w:r w:rsidRPr="0099367E">
        <w:t xml:space="preserve"> </w:t>
      </w:r>
      <w:r w:rsidRPr="0099367E" w:rsidR="00CB5B78">
        <w:t>H</w:t>
      </w:r>
      <w:r w:rsidRPr="0099367E" w:rsidR="00EA61AE">
        <w:t xml:space="preserve">istory of </w:t>
      </w:r>
      <w:r w:rsidRPr="0099367E" w:rsidR="00CB5B78">
        <w:t>S</w:t>
      </w:r>
      <w:r w:rsidRPr="0099367E">
        <w:t>ection 1109</w:t>
      </w:r>
    </w:p>
    <w:p w:rsidR="00006AA4" w:rsidRPr="0099367E" w:rsidP="00006AA4" w14:paraId="1D81A28B" w14:textId="77777777">
      <w:pPr>
        <w:tabs>
          <w:tab w:val="left" w:pos="720"/>
        </w:tabs>
        <w:ind w:firstLine="720"/>
      </w:pPr>
      <w:r w:rsidRPr="0099367E">
        <w:t>Prior to the enactment of section 1109, trial courts were authorized</w:t>
      </w:r>
      <w:r w:rsidRPr="0099367E" w:rsidR="002A4745">
        <w:t>, in their discretion,</w:t>
      </w:r>
      <w:r w:rsidRPr="0099367E">
        <w:t xml:space="preserve"> to bifurcate trials so that a gang enhancement allegation would be tried separately from a charged offense</w:t>
      </w:r>
      <w:r w:rsidRPr="0099367E" w:rsidR="002A4745">
        <w:t>, when appropriate to avoid undue prejudice to the defense</w:t>
      </w:r>
      <w:r w:rsidRPr="0099367E">
        <w:t>.  (</w:t>
      </w:r>
      <w:r w:rsidRPr="0099367E">
        <w:rPr>
          <w:i/>
          <w:iCs/>
        </w:rPr>
        <w:t xml:space="preserve">People v. Hernandez </w:t>
      </w:r>
      <w:r w:rsidRPr="0099367E">
        <w:t>(2004) 33</w:t>
      </w:r>
      <w:r w:rsidRPr="0099367E" w:rsidR="006F7953">
        <w:t> </w:t>
      </w:r>
      <w:r w:rsidRPr="0099367E">
        <w:t>Cal.4th 1040, 1049 (</w:t>
      </w:r>
      <w:r w:rsidRPr="0099367E">
        <w:rPr>
          <w:i/>
          <w:iCs/>
        </w:rPr>
        <w:t>Hernandez</w:t>
      </w:r>
      <w:r w:rsidRPr="0099367E">
        <w:t xml:space="preserve">).)  This authority </w:t>
      </w:r>
      <w:r w:rsidRPr="0099367E" w:rsidR="002A4745">
        <w:t xml:space="preserve">came </w:t>
      </w:r>
      <w:r w:rsidRPr="0099367E">
        <w:t>from “ ‘section 1044, which vests the trial court with broad discretion to control the conduct of a criminal trial.’ ”  (</w:t>
      </w:r>
      <w:r w:rsidRPr="0099367E">
        <w:rPr>
          <w:i/>
          <w:iCs/>
        </w:rPr>
        <w:t>Id</w:t>
      </w:r>
      <w:r w:rsidRPr="0099367E">
        <w:t xml:space="preserve">. at p. 1048; see § 1044 [“It shall be the duty of the judge to control all proceedings during the trial”].)  Section 1109 now requires the trial court to bifurcate such trials if the defense so requests.  </w:t>
      </w:r>
    </w:p>
    <w:p w:rsidR="00305F07" w:rsidRPr="0099367E" w:rsidP="00C06DCD" w14:paraId="1D81A28C" w14:textId="77777777">
      <w:pPr>
        <w:ind w:firstLine="720"/>
      </w:pPr>
      <w:r w:rsidRPr="0099367E">
        <w:t xml:space="preserve">Section 1109 </w:t>
      </w:r>
      <w:r w:rsidRPr="0099367E" w:rsidR="00A14AD2">
        <w:t xml:space="preserve">provides in relevant part:  </w:t>
      </w:r>
      <w:r w:rsidRPr="0099367E" w:rsidR="00AC55B8">
        <w:t>“</w:t>
      </w:r>
      <w:r w:rsidRPr="0099367E" w:rsidR="00824B36">
        <w:t xml:space="preserve">(a) </w:t>
      </w:r>
      <w:r w:rsidRPr="0099367E" w:rsidR="00AC55B8">
        <w:t>If requested by the defense, a case in which a gang enhancement is charged . . . shall be tried in separate phases as follows:</w:t>
      </w:r>
      <w:r w:rsidRPr="0099367E" w:rsidR="001F4294">
        <w:t xml:space="preserve"> </w:t>
      </w:r>
      <w:r w:rsidRPr="0099367E" w:rsidR="00DD761C">
        <w:t xml:space="preserve"> </w:t>
      </w:r>
      <w:r w:rsidRPr="0099367E" w:rsidR="001F4294">
        <w:t>[¶]</w:t>
      </w:r>
      <w:r w:rsidRPr="0099367E" w:rsidR="000C6CA7">
        <w:t xml:space="preserve"> </w:t>
      </w:r>
      <w:r w:rsidRPr="0099367E" w:rsidR="001F4294">
        <w:t xml:space="preserve"> (1)</w:t>
      </w:r>
      <w:r w:rsidRPr="0099367E" w:rsidR="00006AA4">
        <w:t> </w:t>
      </w:r>
      <w:r w:rsidRPr="0099367E" w:rsidR="006F2605">
        <w:t xml:space="preserve">The question of the defendant’s guilt of the underlying offense shall be first determined.  [¶] </w:t>
      </w:r>
      <w:r w:rsidRPr="0099367E" w:rsidR="000C6CA7">
        <w:t xml:space="preserve"> </w:t>
      </w:r>
      <w:r w:rsidRPr="0099367E" w:rsidR="006F2605">
        <w:t xml:space="preserve">(2) </w:t>
      </w:r>
      <w:r w:rsidRPr="0099367E" w:rsidR="00170E25">
        <w:t>If the defendant is found guilty of the underlying offense and there is an allegation of a[] [gang] enhancement . . .</w:t>
      </w:r>
      <w:r w:rsidRPr="0099367E" w:rsidR="00EB2A50">
        <w:t> </w:t>
      </w:r>
      <w:r w:rsidRPr="0099367E" w:rsidR="00170E25">
        <w:t>, there shall be further proceedings to the trier of fact on the question of the truth of the enhancement.</w:t>
      </w:r>
      <w:r w:rsidRPr="0099367E" w:rsidR="003E3FC3">
        <w:t> . . .</w:t>
      </w:r>
      <w:r w:rsidRPr="0099367E" w:rsidR="00824B36">
        <w:t xml:space="preserve">  [¶] </w:t>
      </w:r>
      <w:r w:rsidRPr="0099367E" w:rsidR="006644C7">
        <w:t xml:space="preserve"> </w:t>
      </w:r>
      <w:r w:rsidRPr="0099367E" w:rsidR="00824B36">
        <w:t xml:space="preserve">(b) If a defendant is charged with a violation of subdivision (a) of Section 186.22, this count shall be tried separately from all other counts that do not otherwise require gang evidence as an element of the crime. </w:t>
      </w:r>
      <w:r w:rsidRPr="0099367E" w:rsidR="006644C7">
        <w:t xml:space="preserve"> </w:t>
      </w:r>
      <w:r w:rsidRPr="0099367E" w:rsidR="00824B36">
        <w:t>This charge may be tried in the same proceeding with an allegation of an enhancement under subdivision (b) or (d) of Section 186.22.</w:t>
      </w:r>
      <w:r w:rsidRPr="0099367E" w:rsidR="00D8526E">
        <w:t>”</w:t>
      </w:r>
      <w:r w:rsidRPr="0099367E" w:rsidR="00231A34">
        <w:t xml:space="preserve">  </w:t>
      </w:r>
    </w:p>
    <w:p w:rsidR="00644DBC" w:rsidRPr="0099367E" w:rsidP="00C06DCD" w14:paraId="1D81A28D" w14:textId="77777777">
      <w:pPr>
        <w:tabs>
          <w:tab w:val="left" w:pos="720"/>
        </w:tabs>
        <w:ind w:firstLine="720"/>
      </w:pPr>
      <w:r w:rsidRPr="0099367E">
        <w:t xml:space="preserve">In </w:t>
      </w:r>
      <w:r w:rsidRPr="0099367E" w:rsidR="0060098F">
        <w:t xml:space="preserve">enacting </w:t>
      </w:r>
      <w:r w:rsidRPr="0099367E">
        <w:t>Assembly Bill 333</w:t>
      </w:r>
      <w:r w:rsidRPr="0099367E" w:rsidR="0060098F">
        <w:t>, the Legislature made</w:t>
      </w:r>
      <w:r w:rsidRPr="0099367E" w:rsidR="006765B4">
        <w:t xml:space="preserve"> </w:t>
      </w:r>
      <w:r w:rsidRPr="0099367E" w:rsidR="0060098F">
        <w:t>several</w:t>
      </w:r>
      <w:r w:rsidRPr="0099367E" w:rsidR="006765B4">
        <w:t xml:space="preserve"> findings and declarations </w:t>
      </w:r>
      <w:r w:rsidRPr="0099367E" w:rsidR="0060098F">
        <w:t>related to section 1109’s bifurcation provision</w:t>
      </w:r>
      <w:r w:rsidRPr="0099367E" w:rsidR="00F72E08">
        <w:t>s</w:t>
      </w:r>
      <w:r w:rsidRPr="0099367E" w:rsidR="0060098F">
        <w:t xml:space="preserve">. </w:t>
      </w:r>
      <w:r w:rsidRPr="0099367E">
        <w:t xml:space="preserve"> </w:t>
      </w:r>
      <w:r w:rsidRPr="0099367E" w:rsidR="003D6D40">
        <w:t>T</w:t>
      </w:r>
      <w:r w:rsidRPr="0099367E" w:rsidR="00F83B14">
        <w:t xml:space="preserve">he </w:t>
      </w:r>
      <w:r w:rsidRPr="0099367E" w:rsidR="001D0690">
        <w:t xml:space="preserve">Legislature </w:t>
      </w:r>
      <w:r w:rsidRPr="0099367E" w:rsidR="00942AC8">
        <w:t>declare</w:t>
      </w:r>
      <w:r w:rsidRPr="0099367E" w:rsidR="00B84FFE">
        <w:t xml:space="preserve">d that </w:t>
      </w:r>
      <w:r w:rsidRPr="0099367E" w:rsidR="007514C7">
        <w:t>“[g]ang enhancement evidence can be unreliable and prejudicial to a jury because it is lumped into evidence of the underlying charges which further perpetuates unfair prejudice in juries and convictions of innocent people</w:t>
      </w:r>
      <w:r w:rsidRPr="0099367E" w:rsidR="003D6D40">
        <w:t>.</w:t>
      </w:r>
      <w:r w:rsidRPr="0099367E" w:rsidR="007514C7">
        <w:t>”</w:t>
      </w:r>
      <w:r w:rsidRPr="0099367E" w:rsidR="00D011B3">
        <w:t xml:space="preserve"> </w:t>
      </w:r>
      <w:r w:rsidRPr="0099367E" w:rsidR="003D6D40">
        <w:t xml:space="preserve"> (Stats. 2021, ch. 699, § 2, </w:t>
      </w:r>
      <w:r w:rsidRPr="0099367E" w:rsidR="00D011B3">
        <w:t>subd. (d)(6)</w:t>
      </w:r>
      <w:r w:rsidRPr="0099367E" w:rsidR="003D6D40">
        <w:t>.</w:t>
      </w:r>
      <w:r w:rsidRPr="0099367E" w:rsidR="00D011B3">
        <w:t>)  The Legislature further declared that</w:t>
      </w:r>
      <w:r w:rsidRPr="0099367E" w:rsidR="002530C1">
        <w:t xml:space="preserve"> “[s]tudies suggest that allowing a jury to hear the kind of evidence that supports a gang enhancement before it has decided whether the defendant is guilty or not may lead to wrongful convictions” </w:t>
      </w:r>
      <w:r w:rsidRPr="0099367E" w:rsidR="00D011B3">
        <w:t xml:space="preserve">and </w:t>
      </w:r>
      <w:r w:rsidRPr="0099367E" w:rsidR="007514C7">
        <w:t>“</w:t>
      </w:r>
      <w:r w:rsidRPr="0099367E" w:rsidR="005824D1">
        <w:t>[t]he mere specter of gang enhancements pressures defendants to accept unfavorable plea deals rather than risk a trial filled with prejudicial evidence and a substantially longer sentence.”  (</w:t>
      </w:r>
      <w:r w:rsidRPr="0099367E" w:rsidR="005824D1">
        <w:rPr>
          <w:i/>
          <w:iCs/>
        </w:rPr>
        <w:t>Id</w:t>
      </w:r>
      <w:r w:rsidRPr="0099367E" w:rsidR="005824D1">
        <w:t xml:space="preserve">., subd. (e).)  </w:t>
      </w:r>
      <w:r w:rsidRPr="0099367E" w:rsidR="00C545ED">
        <w:t>The Legislature</w:t>
      </w:r>
      <w:r w:rsidRPr="0099367E" w:rsidR="005824D1">
        <w:t xml:space="preserve"> resolved that “</w:t>
      </w:r>
      <w:r w:rsidRPr="0099367E" w:rsidR="00942AC8">
        <w:t>[b]ifurcation of trials where gang evidence is alleged can help reduce its harmful and prejudicial impact.”  (</w:t>
      </w:r>
      <w:r w:rsidRPr="0099367E" w:rsidR="005824D1">
        <w:rPr>
          <w:i/>
          <w:iCs/>
        </w:rPr>
        <w:t>Id</w:t>
      </w:r>
      <w:r w:rsidRPr="0099367E" w:rsidR="00DD761C">
        <w:t>.</w:t>
      </w:r>
      <w:r w:rsidRPr="0099367E" w:rsidR="005824D1">
        <w:t xml:space="preserve">, </w:t>
      </w:r>
      <w:r w:rsidRPr="0099367E" w:rsidR="00942AC8">
        <w:t>subd.</w:t>
      </w:r>
      <w:r w:rsidRPr="0099367E" w:rsidR="005824D1">
        <w:t xml:space="preserve"> (f).)  </w:t>
      </w:r>
    </w:p>
    <w:p w:rsidR="00EC7A22" w:rsidRPr="0099367E" w:rsidP="00263911" w14:paraId="1D81A28E" w14:textId="77777777">
      <w:pPr>
        <w:pStyle w:val="Heading3"/>
        <w:ind w:left="1584" w:hanging="432"/>
      </w:pPr>
      <w:r w:rsidRPr="0099367E">
        <w:t xml:space="preserve">Section 3 and the </w:t>
      </w:r>
      <w:r w:rsidRPr="0099367E" w:rsidR="00CB5B78">
        <w:t>P</w:t>
      </w:r>
      <w:r w:rsidRPr="0099367E">
        <w:t xml:space="preserve">resumption of </w:t>
      </w:r>
      <w:r w:rsidRPr="0099367E" w:rsidR="00CB5B78">
        <w:t>P</w:t>
      </w:r>
      <w:r w:rsidRPr="0099367E">
        <w:t>rospectiv</w:t>
      </w:r>
      <w:r w:rsidRPr="0099367E" w:rsidR="000F038E">
        <w:t xml:space="preserve">e </w:t>
      </w:r>
      <w:r w:rsidRPr="0099367E" w:rsidR="00CB5B78">
        <w:t>A</w:t>
      </w:r>
      <w:r w:rsidRPr="0099367E" w:rsidR="000F038E">
        <w:t>pplication</w:t>
      </w:r>
    </w:p>
    <w:p w:rsidR="00716018" w:rsidRPr="0099367E" w:rsidP="00C06DCD" w14:paraId="1D81A28F" w14:textId="77777777">
      <w:pPr>
        <w:ind w:firstLine="720"/>
      </w:pPr>
      <w:r w:rsidRPr="0099367E">
        <w:t>The question of whether a statute applies retroactively begins with section 3 of the Penal Code.</w:t>
      </w:r>
      <w:r w:rsidRPr="0099367E" w:rsidR="00491A85">
        <w:t xml:space="preserve"> </w:t>
      </w:r>
      <w:r w:rsidRPr="0099367E">
        <w:t xml:space="preserve"> </w:t>
      </w:r>
      <w:r w:rsidRPr="0099367E" w:rsidR="0010139E">
        <w:t xml:space="preserve">Enacted in 1872, </w:t>
      </w:r>
      <w:r w:rsidRPr="0099367E" w:rsidR="005A75BE">
        <w:t>this provision</w:t>
      </w:r>
      <w:r w:rsidRPr="0099367E" w:rsidR="0010139E">
        <w:t xml:space="preserve"> </w:t>
      </w:r>
      <w:r w:rsidRPr="0099367E" w:rsidR="00C73C39">
        <w:t xml:space="preserve">specifies that </w:t>
      </w:r>
      <w:r w:rsidRPr="0099367E" w:rsidR="002C2B16">
        <w:t>n</w:t>
      </w:r>
      <w:r w:rsidRPr="0099367E" w:rsidR="00C73C39">
        <w:t xml:space="preserve">o part of </w:t>
      </w:r>
      <w:r w:rsidRPr="0099367E" w:rsidR="007A3424">
        <w:t>the Penal C</w:t>
      </w:r>
      <w:r w:rsidRPr="0099367E" w:rsidR="00DB4D86">
        <w:t>ode</w:t>
      </w:r>
      <w:r w:rsidRPr="0099367E" w:rsidR="00C73C39">
        <w:t xml:space="preserve"> </w:t>
      </w:r>
      <w:r w:rsidRPr="0099367E" w:rsidR="002C2B16">
        <w:t>“</w:t>
      </w:r>
      <w:r w:rsidRPr="0099367E" w:rsidR="00C73C39">
        <w:t xml:space="preserve">is retroactive, </w:t>
      </w:r>
      <w:r w:rsidRPr="0099367E" w:rsidR="00E679DB">
        <w:t>unless expressly so declared.</w:t>
      </w:r>
      <w:r w:rsidRPr="0099367E" w:rsidR="00217CF6">
        <w:t>”</w:t>
      </w:r>
      <w:r w:rsidRPr="0099367E" w:rsidR="00E679DB">
        <w:t xml:space="preserve">  (§</w:t>
      </w:r>
      <w:r w:rsidRPr="0099367E" w:rsidR="00E64DAA">
        <w:t> </w:t>
      </w:r>
      <w:r w:rsidRPr="0099367E" w:rsidR="00E679DB">
        <w:t xml:space="preserve">3.)  </w:t>
      </w:r>
    </w:p>
    <w:p w:rsidR="00EA26E0" w:rsidRPr="0099367E" w:rsidP="00C06DCD" w14:paraId="1D81A290" w14:textId="77777777">
      <w:pPr>
        <w:tabs>
          <w:tab w:val="left" w:pos="6840"/>
        </w:tabs>
        <w:ind w:firstLine="720"/>
      </w:pPr>
      <w:r w:rsidRPr="0099367E">
        <w:t>“</w:t>
      </w:r>
      <w:r w:rsidRPr="0099367E" w:rsidR="00ED3A00">
        <w:t> ‘</w:t>
      </w:r>
      <w:r w:rsidRPr="0099367E">
        <w:t xml:space="preserve">[T]he language of section 3 erects a strong presumption of prospective operation, codifying the principle that, </w:t>
      </w:r>
      <w:r w:rsidRPr="0099367E" w:rsidR="00251165">
        <w:t>“</w:t>
      </w:r>
      <w:r w:rsidRPr="0099367E">
        <w:t xml:space="preserve">in the absence of an express retroactivity provision, a statute will not be applied retroactively unless it is very clear from extrinsic sources that the </w:t>
      </w:r>
      <w:r w:rsidRPr="0099367E" w:rsidR="00AE6915">
        <w:t>[lawmakers]</w:t>
      </w:r>
      <w:r w:rsidRPr="0099367E">
        <w:t> . . . must have intended a retroactive application.</w:t>
      </w:r>
      <w:r w:rsidRPr="0099367E" w:rsidR="00251165">
        <w:t>”</w:t>
      </w:r>
      <w:r w:rsidRPr="0099367E" w:rsidR="00E32486">
        <w:t xml:space="preserve">  [Citations.]  </w:t>
      </w:r>
      <w:r w:rsidRPr="0099367E" w:rsidR="00C40D34">
        <w:t xml:space="preserve">Accordingly, </w:t>
      </w:r>
      <w:r w:rsidRPr="0099367E" w:rsidR="002F29F9">
        <w:t>“ ‘</w:t>
      </w:r>
      <w:r w:rsidRPr="0099367E" w:rsidR="00C40D34">
        <w:t xml:space="preserve">a </w:t>
      </w:r>
      <w:r w:rsidRPr="0099367E" w:rsidR="00221D95">
        <w:t>statute that is ambiguous with respect to retroactive application is construed . . . to be unambiguously prospective.</w:t>
      </w:r>
      <w:r w:rsidRPr="0099367E" w:rsidR="00790F99">
        <w:t>’ </w:t>
      </w:r>
      <w:r w:rsidRPr="0099367E" w:rsidR="00670193">
        <w:t>” </w:t>
      </w:r>
      <w:r w:rsidRPr="0099367E" w:rsidR="004E20C6">
        <w:t>’ </w:t>
      </w:r>
      <w:r w:rsidRPr="0099367E" w:rsidR="00221D95">
        <w:t>”  (</w:t>
      </w:r>
      <w:r w:rsidRPr="0099367E" w:rsidR="004E20C6">
        <w:rPr>
          <w:i/>
          <w:iCs/>
        </w:rPr>
        <w:t xml:space="preserve">People v. Buycks </w:t>
      </w:r>
      <w:r w:rsidRPr="0099367E" w:rsidR="004E20C6">
        <w:t>(2018) 5</w:t>
      </w:r>
      <w:r w:rsidRPr="0099367E" w:rsidR="006F7953">
        <w:t> </w:t>
      </w:r>
      <w:r w:rsidRPr="0099367E" w:rsidR="004E20C6">
        <w:t>Cal.5th 857, 880</w:t>
      </w:r>
      <w:r w:rsidRPr="0099367E" w:rsidR="00C1612B">
        <w:t xml:space="preserve"> (</w:t>
      </w:r>
      <w:r w:rsidRPr="0099367E" w:rsidR="00C1612B">
        <w:rPr>
          <w:i/>
          <w:iCs/>
        </w:rPr>
        <w:t>Buycks</w:t>
      </w:r>
      <w:r w:rsidRPr="0099367E" w:rsidR="00C1612B">
        <w:t>)</w:t>
      </w:r>
      <w:r w:rsidRPr="0099367E" w:rsidR="004E20C6">
        <w:t xml:space="preserve">; </w:t>
      </w:r>
      <w:r w:rsidRPr="0099367E" w:rsidR="00A11C15">
        <w:t xml:space="preserve">see </w:t>
      </w:r>
      <w:r w:rsidRPr="0099367E" w:rsidR="00E32486">
        <w:rPr>
          <w:i/>
          <w:iCs/>
        </w:rPr>
        <w:t xml:space="preserve">People v. Brown </w:t>
      </w:r>
      <w:r w:rsidRPr="0099367E" w:rsidR="00E32486">
        <w:t>(2012) 54</w:t>
      </w:r>
      <w:r w:rsidRPr="0099367E" w:rsidR="006F7953">
        <w:t> </w:t>
      </w:r>
      <w:r w:rsidRPr="0099367E" w:rsidR="00E32486">
        <w:t>Cal.4th 314, 324</w:t>
      </w:r>
      <w:r w:rsidRPr="0099367E" w:rsidR="002D3978">
        <w:t xml:space="preserve"> (</w:t>
      </w:r>
      <w:r w:rsidRPr="0099367E" w:rsidR="002D3978">
        <w:rPr>
          <w:i/>
          <w:iCs/>
        </w:rPr>
        <w:t>Brown</w:t>
      </w:r>
      <w:r w:rsidRPr="0099367E" w:rsidR="002D3978">
        <w:t>)</w:t>
      </w:r>
      <w:r w:rsidRPr="0099367E" w:rsidR="005D6EAB">
        <w:t xml:space="preserve"> [same]</w:t>
      </w:r>
      <w:r w:rsidRPr="0099367E" w:rsidR="00500668">
        <w:t xml:space="preserve">; </w:t>
      </w:r>
      <w:r w:rsidRPr="0099367E" w:rsidR="002F167C">
        <w:rPr>
          <w:i/>
          <w:iCs/>
        </w:rPr>
        <w:t>People v. Floyd</w:t>
      </w:r>
      <w:r w:rsidRPr="0099367E" w:rsidR="002F167C">
        <w:t xml:space="preserve"> (2003) 31</w:t>
      </w:r>
      <w:r w:rsidRPr="0099367E" w:rsidR="006F7953">
        <w:t> </w:t>
      </w:r>
      <w:r w:rsidRPr="0099367E" w:rsidR="002F167C">
        <w:t>Cal.4th 179, 184</w:t>
      </w:r>
      <w:r w:rsidRPr="0099367E" w:rsidR="00C3413B">
        <w:t xml:space="preserve"> (</w:t>
      </w:r>
      <w:r w:rsidRPr="0099367E" w:rsidR="00C3413B">
        <w:rPr>
          <w:i/>
          <w:iCs/>
        </w:rPr>
        <w:t>Floyd</w:t>
      </w:r>
      <w:r w:rsidRPr="0099367E" w:rsidR="00C3413B">
        <w:t>)</w:t>
      </w:r>
      <w:r w:rsidRPr="0099367E" w:rsidR="002F167C">
        <w:t xml:space="preserve"> [</w:t>
      </w:r>
      <w:r w:rsidRPr="0099367E" w:rsidR="00A11C15">
        <w:t>§ </w:t>
      </w:r>
      <w:r w:rsidRPr="0099367E" w:rsidR="0055189F">
        <w:t>3 “embodies the general rule of statutory const</w:t>
      </w:r>
      <w:r w:rsidRPr="0099367E" w:rsidR="00893A2D">
        <w:t>ruc</w:t>
      </w:r>
      <w:r w:rsidRPr="0099367E" w:rsidR="0055189F">
        <w:t>tion that ‘when there is nothing to indicate a contrary intent in a statute it will be presumed that the Legislature intended the statute to operate prospectively and not retroactively</w:t>
      </w:r>
      <w:r w:rsidRPr="0099367E" w:rsidR="003F467D">
        <w:t>’ </w:t>
      </w:r>
      <w:r w:rsidRPr="0099367E" w:rsidR="0055189F">
        <w:t xml:space="preserve">”]; </w:t>
      </w:r>
      <w:r w:rsidRPr="0099367E" w:rsidR="00EB2EBC">
        <w:rPr>
          <w:i/>
          <w:iCs/>
        </w:rPr>
        <w:t xml:space="preserve">Tapia v. Superior Court </w:t>
      </w:r>
      <w:r w:rsidRPr="0099367E" w:rsidR="00EB2EBC">
        <w:t>(1991) 53</w:t>
      </w:r>
      <w:r w:rsidRPr="0099367E" w:rsidR="006F7953">
        <w:t> </w:t>
      </w:r>
      <w:r w:rsidRPr="0099367E" w:rsidR="00EB2EBC">
        <w:t>Cal.3d 282, 287</w:t>
      </w:r>
      <w:r w:rsidRPr="0099367E" w:rsidR="001341AB">
        <w:t xml:space="preserve"> (</w:t>
      </w:r>
      <w:r w:rsidRPr="0099367E" w:rsidR="00C3413B">
        <w:rPr>
          <w:i/>
          <w:iCs/>
        </w:rPr>
        <w:t>Tapia</w:t>
      </w:r>
      <w:r w:rsidRPr="0099367E" w:rsidR="00C3413B">
        <w:t>)</w:t>
      </w:r>
      <w:r w:rsidRPr="0099367E" w:rsidR="00EB2EBC">
        <w:t xml:space="preserve"> [</w:t>
      </w:r>
      <w:r w:rsidRPr="0099367E" w:rsidR="0010139E">
        <w:t>“</w:t>
      </w:r>
      <w:r w:rsidRPr="0099367E" w:rsidR="00982C2A">
        <w:t>It is well settled that a new statute is presumed to operate prospectively absent an express declaration of retrospectivity or a clear indication that the electorate, or the Legislature, intended otherwise</w:t>
      </w:r>
      <w:r w:rsidRPr="0099367E" w:rsidR="00217CF6">
        <w:t>”</w:t>
      </w:r>
      <w:r w:rsidRPr="0099367E" w:rsidR="00A55E7E">
        <w:t>];</w:t>
      </w:r>
      <w:r w:rsidRPr="0099367E" w:rsidR="00217CF6">
        <w:t xml:space="preserve"> </w:t>
      </w:r>
      <w:r w:rsidRPr="0099367E" w:rsidR="001F5D0A">
        <w:rPr>
          <w:i/>
          <w:iCs/>
        </w:rPr>
        <w:t>People v. Hayes</w:t>
      </w:r>
      <w:r w:rsidRPr="0099367E" w:rsidR="001F5D0A">
        <w:t xml:space="preserve"> (1989) 49</w:t>
      </w:r>
      <w:r w:rsidRPr="0099367E" w:rsidR="006F7953">
        <w:t> </w:t>
      </w:r>
      <w:r w:rsidRPr="0099367E" w:rsidR="001F5D0A">
        <w:t xml:space="preserve">Cal.3d 1260, 1274 </w:t>
      </w:r>
      <w:r w:rsidRPr="0099367E" w:rsidR="00EB76BC">
        <w:t>(</w:t>
      </w:r>
      <w:r w:rsidRPr="0099367E" w:rsidR="00EB76BC">
        <w:rPr>
          <w:i/>
          <w:iCs/>
        </w:rPr>
        <w:t>Hayes</w:t>
      </w:r>
      <w:r w:rsidRPr="0099367E" w:rsidR="00EB76BC">
        <w:t xml:space="preserve">) </w:t>
      </w:r>
      <w:r w:rsidRPr="0099367E" w:rsidR="007D6BD7">
        <w:t>[same</w:t>
      </w:r>
      <w:r w:rsidRPr="0099367E" w:rsidR="001F5D0A">
        <w:t xml:space="preserve">]; </w:t>
      </w:r>
      <w:r w:rsidRPr="0099367E" w:rsidR="00297644">
        <w:t>cf.</w:t>
      </w:r>
      <w:r w:rsidRPr="0099367E" w:rsidR="00B64AD0">
        <w:t xml:space="preserve"> </w:t>
      </w:r>
      <w:r w:rsidRPr="0099367E" w:rsidR="00EA38BF">
        <w:rPr>
          <w:i/>
          <w:iCs/>
        </w:rPr>
        <w:t xml:space="preserve">Evangelatos v. Superior Court </w:t>
      </w:r>
      <w:r w:rsidRPr="0099367E" w:rsidR="00EA38BF">
        <w:t>(198</w:t>
      </w:r>
      <w:r w:rsidRPr="0099367E" w:rsidR="007778C6">
        <w:t>8</w:t>
      </w:r>
      <w:r w:rsidRPr="0099367E" w:rsidR="00EA38BF">
        <w:t>) 44</w:t>
      </w:r>
      <w:r w:rsidRPr="0099367E" w:rsidR="006F7953">
        <w:t> </w:t>
      </w:r>
      <w:r w:rsidRPr="0099367E" w:rsidR="00EA38BF">
        <w:t xml:space="preserve">Cal.3d </w:t>
      </w:r>
      <w:r w:rsidRPr="0099367E" w:rsidR="00F75E8D">
        <w:t xml:space="preserve">1188, </w:t>
      </w:r>
      <w:r w:rsidRPr="0099367E" w:rsidR="00EA38BF">
        <w:t>1207</w:t>
      </w:r>
      <w:r w:rsidRPr="0099367E" w:rsidR="00AD6A08">
        <w:t>–1208</w:t>
      </w:r>
      <w:r w:rsidRPr="0099367E" w:rsidR="00EA38BF">
        <w:t xml:space="preserve"> </w:t>
      </w:r>
      <w:r w:rsidRPr="0099367E" w:rsidR="00B05290">
        <w:t>(</w:t>
      </w:r>
      <w:r w:rsidRPr="0099367E" w:rsidR="00B05290">
        <w:rPr>
          <w:i/>
          <w:iCs/>
        </w:rPr>
        <w:t>Evangelatos</w:t>
      </w:r>
      <w:r w:rsidRPr="0099367E" w:rsidR="00B05290">
        <w:t>)</w:t>
      </w:r>
      <w:r w:rsidRPr="0099367E" w:rsidR="00B05290">
        <w:rPr>
          <w:i/>
          <w:iCs/>
        </w:rPr>
        <w:t xml:space="preserve"> </w:t>
      </w:r>
      <w:r w:rsidRPr="0099367E" w:rsidR="00EA38BF">
        <w:t>[“</w:t>
      </w:r>
      <w:r w:rsidRPr="0099367E" w:rsidR="00500668">
        <w:t xml:space="preserve">Like similar provisions found in many other codes,” </w:t>
      </w:r>
      <w:r w:rsidRPr="0099367E" w:rsidR="00336052">
        <w:t>including Pen. Code</w:t>
      </w:r>
      <w:r w:rsidRPr="0099367E" w:rsidR="00BE22B5">
        <w:t>, §</w:t>
      </w:r>
      <w:r w:rsidRPr="0099367E" w:rsidR="00933F9F">
        <w:t> </w:t>
      </w:r>
      <w:r w:rsidRPr="0099367E" w:rsidR="00BE22B5">
        <w:t xml:space="preserve">3, </w:t>
      </w:r>
      <w:r w:rsidRPr="0099367E" w:rsidR="001B199B">
        <w:t>Civ</w:t>
      </w:r>
      <w:r w:rsidRPr="0099367E" w:rsidR="00AE6915">
        <w:t>.</w:t>
      </w:r>
      <w:r w:rsidRPr="0099367E" w:rsidR="001B199B">
        <w:t xml:space="preserve"> Code</w:t>
      </w:r>
      <w:r w:rsidRPr="0099367E" w:rsidR="00AE6915">
        <w:t>, § </w:t>
      </w:r>
      <w:r w:rsidRPr="0099367E" w:rsidR="00500668">
        <w:t>3 “reflects the common understanding that legislative provisions are presumed to operate prospectively, and that they should be so interpreted ‘unless express language o</w:t>
      </w:r>
      <w:r w:rsidRPr="0099367E" w:rsidR="00BE22B5">
        <w:t>r</w:t>
      </w:r>
      <w:r w:rsidRPr="0099367E" w:rsidR="00500668">
        <w:t xml:space="preserve"> clear and unavoidable implication negatives the presumption’ ”</w:t>
      </w:r>
      <w:r w:rsidRPr="0099367E" w:rsidR="00EA38BF">
        <w:t>];</w:t>
      </w:r>
      <w:r w:rsidRPr="0099367E" w:rsidR="00500668">
        <w:t xml:space="preserve"> </w:t>
      </w:r>
      <w:r w:rsidRPr="0099367E" w:rsidR="00D11EE4">
        <w:t xml:space="preserve">cf. </w:t>
      </w:r>
      <w:r w:rsidRPr="0099367E" w:rsidR="00AE5B65">
        <w:rPr>
          <w:i/>
          <w:iCs/>
        </w:rPr>
        <w:t>Aetna Cas. &amp; Sur</w:t>
      </w:r>
      <w:r w:rsidRPr="0099367E" w:rsidR="000E5D67">
        <w:rPr>
          <w:i/>
          <w:iCs/>
        </w:rPr>
        <w:t>ety</w:t>
      </w:r>
      <w:r w:rsidRPr="0099367E" w:rsidR="00AE5B65">
        <w:rPr>
          <w:i/>
          <w:iCs/>
        </w:rPr>
        <w:t xml:space="preserve"> Co. v. </w:t>
      </w:r>
      <w:r w:rsidRPr="0099367E" w:rsidR="000E5D67">
        <w:rPr>
          <w:i/>
          <w:iCs/>
        </w:rPr>
        <w:t xml:space="preserve">Ind. </w:t>
      </w:r>
      <w:r w:rsidRPr="0099367E" w:rsidR="00AE5B65">
        <w:rPr>
          <w:i/>
          <w:iCs/>
        </w:rPr>
        <w:t xml:space="preserve">Acc. </w:t>
      </w:r>
      <w:r w:rsidRPr="0099367E" w:rsidR="000E5D67">
        <w:rPr>
          <w:i/>
          <w:iCs/>
        </w:rPr>
        <w:t xml:space="preserve">Com. </w:t>
      </w:r>
      <w:r w:rsidRPr="0099367E" w:rsidR="00AE5B65">
        <w:t>(1947) 30</w:t>
      </w:r>
      <w:r w:rsidRPr="0099367E" w:rsidR="006F7953">
        <w:t> </w:t>
      </w:r>
      <w:r w:rsidRPr="0099367E" w:rsidR="00AE5B65">
        <w:t xml:space="preserve">Cal.2d 388, </w:t>
      </w:r>
      <w:r w:rsidRPr="0099367E" w:rsidR="00D11EE4">
        <w:t>393</w:t>
      </w:r>
      <w:r w:rsidRPr="0099367E" w:rsidR="00E528DF">
        <w:t xml:space="preserve"> (</w:t>
      </w:r>
      <w:r w:rsidRPr="0099367E" w:rsidR="00E528DF">
        <w:rPr>
          <w:i/>
          <w:iCs/>
        </w:rPr>
        <w:t>Aetna</w:t>
      </w:r>
      <w:r w:rsidRPr="0099367E" w:rsidR="00E528DF">
        <w:t>)</w:t>
      </w:r>
      <w:r w:rsidRPr="0099367E" w:rsidR="00C16203">
        <w:t xml:space="preserve"> [“It is </w:t>
      </w:r>
      <w:r w:rsidRPr="0099367E" w:rsidR="00CA4C59">
        <w:t>an established canon of interpretation that statutes are not to be given a retrospective operation unless it is clearly made to appear that such was the legislative intent”]</w:t>
      </w:r>
      <w:r w:rsidRPr="0099367E" w:rsidR="00217CF6">
        <w:t xml:space="preserve">.)  </w:t>
      </w:r>
    </w:p>
    <w:p w:rsidR="00305F07" w:rsidRPr="0099367E" w:rsidP="00C06DCD" w14:paraId="1D81A291" w14:textId="77777777">
      <w:pPr>
        <w:ind w:firstLine="720"/>
      </w:pPr>
      <w:r w:rsidRPr="0099367E">
        <w:t xml:space="preserve">However, the presumption </w:t>
      </w:r>
      <w:r w:rsidRPr="0099367E" w:rsidR="00BB7621">
        <w:t xml:space="preserve">that a statute will apply </w:t>
      </w:r>
      <w:r w:rsidRPr="0099367E" w:rsidR="0013725B">
        <w:t xml:space="preserve">only </w:t>
      </w:r>
      <w:r w:rsidRPr="0099367E" w:rsidR="00BB7621">
        <w:t>prospectively “</w:t>
      </w:r>
      <w:r w:rsidRPr="0099367E" w:rsidR="00BE7809">
        <w:t>is a canon of statutory interpretation rather than a constitutional mandate.  [Citation.]  Accordingly, ‘the Legislature can ordinarily enact laws that apply retroactively, either explicitly or by implication.’ ”  (</w:t>
      </w:r>
      <w:r w:rsidRPr="0099367E" w:rsidR="00BE7809">
        <w:rPr>
          <w:i/>
          <w:iCs/>
        </w:rPr>
        <w:t xml:space="preserve">People v. Frahs </w:t>
      </w:r>
      <w:r w:rsidRPr="0099367E" w:rsidR="00BE7809">
        <w:t>(2020) 9</w:t>
      </w:r>
      <w:r w:rsidRPr="0099367E" w:rsidR="006F7953">
        <w:t> </w:t>
      </w:r>
      <w:r w:rsidRPr="0099367E" w:rsidR="00BE7809">
        <w:t xml:space="preserve">Cal.5th 618, </w:t>
      </w:r>
      <w:r w:rsidRPr="0099367E" w:rsidR="00635E37">
        <w:t>627</w:t>
      </w:r>
      <w:r w:rsidRPr="0099367E" w:rsidR="00B63878">
        <w:t xml:space="preserve"> (</w:t>
      </w:r>
      <w:r w:rsidRPr="0099367E" w:rsidR="00B63878">
        <w:rPr>
          <w:i/>
          <w:iCs/>
        </w:rPr>
        <w:t>Frahs</w:t>
      </w:r>
      <w:r w:rsidRPr="0099367E" w:rsidR="00B63878">
        <w:t>)</w:t>
      </w:r>
      <w:r w:rsidRPr="0099367E" w:rsidR="00635E37">
        <w:t>.)</w:t>
      </w:r>
      <w:r w:rsidRPr="0099367E" w:rsidR="00D44D00">
        <w:t xml:space="preserve">  “In applying this principle, we have been cautious not to infer retroactive intent from vague phrases and broad, general language in statutes.”  (</w:t>
      </w:r>
      <w:r w:rsidRPr="0099367E" w:rsidR="00D44D00">
        <w:rPr>
          <w:i/>
          <w:iCs/>
        </w:rPr>
        <w:t>Brown</w:t>
      </w:r>
      <w:r w:rsidRPr="0099367E" w:rsidR="00D44D00">
        <w:t xml:space="preserve">, </w:t>
      </w:r>
      <w:r w:rsidRPr="0099367E" w:rsidR="00D44D00">
        <w:rPr>
          <w:i/>
          <w:iCs/>
        </w:rPr>
        <w:t>supra</w:t>
      </w:r>
      <w:r w:rsidRPr="0099367E" w:rsidR="00D44D00">
        <w:t xml:space="preserve">, </w:t>
      </w:r>
      <w:r w:rsidRPr="0099367E" w:rsidR="003A5453">
        <w:t>54</w:t>
      </w:r>
      <w:r w:rsidRPr="0099367E" w:rsidR="006F7953">
        <w:t> </w:t>
      </w:r>
      <w:r w:rsidRPr="0099367E" w:rsidR="003A5453">
        <w:t>Cal.4th at p.</w:t>
      </w:r>
      <w:r w:rsidRPr="0099367E" w:rsidR="00DD761C">
        <w:t> </w:t>
      </w:r>
      <w:r w:rsidRPr="0099367E" w:rsidR="003A5453">
        <w:t>319</w:t>
      </w:r>
      <w:r w:rsidRPr="0099367E" w:rsidR="00E528DF">
        <w:t>; see</w:t>
      </w:r>
      <w:r w:rsidRPr="0099367E" w:rsidR="006B532C">
        <w:t xml:space="preserve"> also</w:t>
      </w:r>
      <w:r w:rsidRPr="0099367E" w:rsidR="00E528DF">
        <w:t xml:space="preserve"> </w:t>
      </w:r>
      <w:r w:rsidRPr="0099367E" w:rsidR="00E528DF">
        <w:rPr>
          <w:i/>
          <w:iCs/>
        </w:rPr>
        <w:t>Aetna</w:t>
      </w:r>
      <w:r w:rsidRPr="0099367E" w:rsidR="00E528DF">
        <w:t xml:space="preserve">, </w:t>
      </w:r>
      <w:r w:rsidRPr="0099367E" w:rsidR="00E528DF">
        <w:rPr>
          <w:i/>
          <w:iCs/>
        </w:rPr>
        <w:t>supra</w:t>
      </w:r>
      <w:r w:rsidRPr="0099367E" w:rsidR="00E528DF">
        <w:t xml:space="preserve">, </w:t>
      </w:r>
      <w:r w:rsidRPr="0099367E" w:rsidR="001845F2">
        <w:t>30</w:t>
      </w:r>
      <w:r w:rsidRPr="0099367E" w:rsidR="006F7953">
        <w:t> </w:t>
      </w:r>
      <w:r w:rsidRPr="0099367E" w:rsidR="001845F2">
        <w:t>Cal.2d at p.</w:t>
      </w:r>
      <w:r w:rsidRPr="0099367E" w:rsidR="00DD761C">
        <w:t> </w:t>
      </w:r>
      <w:r w:rsidRPr="0099367E" w:rsidR="001845F2">
        <w:t xml:space="preserve">396 [“it must be </w:t>
      </w:r>
      <w:r w:rsidRPr="0099367E" w:rsidR="000E5D67">
        <w:t xml:space="preserve">assumed </w:t>
      </w:r>
      <w:r w:rsidRPr="0099367E" w:rsidR="001845F2">
        <w:t>that the Legislature was acquainted with the settled rules of statutory interpretation</w:t>
      </w:r>
      <w:r w:rsidRPr="0099367E" w:rsidR="006D29A5">
        <w:t xml:space="preserve">, and that it would have expressly provided for </w:t>
      </w:r>
      <w:r w:rsidRPr="0099367E" w:rsidR="002B74E3">
        <w:t>retrospective</w:t>
      </w:r>
      <w:r w:rsidRPr="0099367E" w:rsidR="006D29A5">
        <w:t xml:space="preserve"> operation of the </w:t>
      </w:r>
      <w:r w:rsidRPr="0099367E" w:rsidR="002B74E3">
        <w:t>amendment</w:t>
      </w:r>
      <w:r w:rsidRPr="0099367E" w:rsidR="006D29A5">
        <w:t xml:space="preserve"> </w:t>
      </w:r>
      <w:r w:rsidRPr="0099367E" w:rsidR="002B74E3">
        <w:t>if it had so intended</w:t>
      </w:r>
      <w:r w:rsidRPr="0099367E" w:rsidR="006D29A5">
        <w:t>”]</w:t>
      </w:r>
      <w:r w:rsidRPr="0099367E" w:rsidR="003A5453">
        <w:t>.)</w:t>
      </w:r>
      <w:r w:rsidRPr="0099367E" w:rsidR="00635E37">
        <w:t xml:space="preserve"> </w:t>
      </w:r>
      <w:r w:rsidRPr="0099367E" w:rsidR="00BE7809">
        <w:t xml:space="preserve"> </w:t>
      </w:r>
    </w:p>
    <w:p w:rsidR="00BD4D73" w:rsidRPr="0099367E" w:rsidP="00C06DCD" w14:paraId="1D81A292" w14:textId="77777777">
      <w:pPr>
        <w:pStyle w:val="Heading3"/>
        <w:ind w:left="1584" w:hanging="432"/>
      </w:pPr>
      <w:r w:rsidRPr="0099367E">
        <w:t xml:space="preserve">The </w:t>
      </w:r>
      <w:r w:rsidRPr="0099367E">
        <w:rPr>
          <w:i w:val="0"/>
          <w:iCs/>
        </w:rPr>
        <w:t xml:space="preserve">Estrada </w:t>
      </w:r>
      <w:r w:rsidRPr="0099367E" w:rsidR="00CB5B78">
        <w:t>E</w:t>
      </w:r>
      <w:r w:rsidRPr="0099367E">
        <w:t xml:space="preserve">xception to </w:t>
      </w:r>
      <w:r w:rsidRPr="0099367E" w:rsidR="00CB5B78">
        <w:t>P</w:t>
      </w:r>
      <w:r w:rsidRPr="0099367E">
        <w:t xml:space="preserve">rospective </w:t>
      </w:r>
      <w:r w:rsidRPr="0099367E" w:rsidR="00CB5B78">
        <w:t>A</w:t>
      </w:r>
      <w:r w:rsidRPr="0099367E">
        <w:t xml:space="preserve">pplication of </w:t>
      </w:r>
      <w:r w:rsidRPr="0099367E" w:rsidR="00CB5B78">
        <w:t>S</w:t>
      </w:r>
      <w:r w:rsidRPr="0099367E">
        <w:t>tatutes</w:t>
      </w:r>
    </w:p>
    <w:p w:rsidR="00A8387D" w:rsidRPr="0099367E" w:rsidP="00C06DCD" w14:paraId="1D81A293" w14:textId="77777777">
      <w:pPr>
        <w:ind w:firstLine="720"/>
      </w:pPr>
      <w:r w:rsidRPr="0099367E">
        <w:t>Although section 3’s presumption of prospectivity</w:t>
      </w:r>
      <w:r w:rsidRPr="0099367E" w:rsidR="009E4FCF">
        <w:t xml:space="preserve"> </w:t>
      </w:r>
      <w:r w:rsidRPr="0099367E" w:rsidR="00CC7B9E">
        <w:t xml:space="preserve">ordinarily </w:t>
      </w:r>
      <w:r w:rsidRPr="0099367E" w:rsidR="0066533D">
        <w:t xml:space="preserve">applies </w:t>
      </w:r>
      <w:r w:rsidRPr="0099367E" w:rsidR="00062C91">
        <w:t xml:space="preserve">if a statute does not contain an </w:t>
      </w:r>
      <w:r w:rsidRPr="0099367E" w:rsidR="00C427DC">
        <w:t xml:space="preserve">express statement of retroactivity </w:t>
      </w:r>
      <w:r w:rsidRPr="0099367E" w:rsidR="007C16ED">
        <w:t>or</w:t>
      </w:r>
      <w:r w:rsidRPr="0099367E" w:rsidR="00DD34BD">
        <w:t xml:space="preserve"> </w:t>
      </w:r>
      <w:r w:rsidRPr="0099367E" w:rsidR="007640B9">
        <w:t xml:space="preserve">otherwise </w:t>
      </w:r>
      <w:r w:rsidRPr="0099367E" w:rsidR="00DD34BD">
        <w:t xml:space="preserve">clearly </w:t>
      </w:r>
      <w:r w:rsidRPr="0099367E" w:rsidR="00E5074B">
        <w:t xml:space="preserve">and unavoidably </w:t>
      </w:r>
      <w:r w:rsidRPr="0099367E" w:rsidR="00DD34BD">
        <w:t>indicate</w:t>
      </w:r>
      <w:r w:rsidRPr="0099367E" w:rsidR="00271410">
        <w:t xml:space="preserve"> </w:t>
      </w:r>
      <w:r w:rsidRPr="0099367E" w:rsidR="00DD34BD">
        <w:t xml:space="preserve">that the Legislature intended the statute to operate </w:t>
      </w:r>
      <w:r w:rsidRPr="0099367E" w:rsidR="00271410">
        <w:t>retroactively</w:t>
      </w:r>
      <w:r w:rsidRPr="0099367E" w:rsidR="00196E64">
        <w:t xml:space="preserve">, this court has </w:t>
      </w:r>
      <w:r w:rsidRPr="0099367E" w:rsidR="00CB11F3">
        <w:t>recognized an additional</w:t>
      </w:r>
      <w:r w:rsidRPr="0099367E" w:rsidR="008B1D60">
        <w:t>, related</w:t>
      </w:r>
      <w:r w:rsidRPr="0099367E" w:rsidR="00CB11F3">
        <w:t xml:space="preserve"> exception</w:t>
      </w:r>
      <w:r w:rsidRPr="0099367E" w:rsidR="008B1D60">
        <w:t xml:space="preserve"> to this </w:t>
      </w:r>
      <w:r w:rsidRPr="0099367E" w:rsidR="00304A12">
        <w:t>rule</w:t>
      </w:r>
      <w:r w:rsidRPr="0099367E" w:rsidR="00CB11F3">
        <w:t xml:space="preserve">.  </w:t>
      </w:r>
    </w:p>
    <w:p w:rsidR="00FD2AC9" w:rsidRPr="0099367E" w:rsidP="00C06DCD" w14:paraId="1D81A294" w14:textId="77777777">
      <w:pPr>
        <w:ind w:firstLine="720"/>
      </w:pPr>
      <w:r w:rsidRPr="0099367E">
        <w:t xml:space="preserve">In </w:t>
      </w:r>
      <w:r w:rsidRPr="0099367E">
        <w:rPr>
          <w:i/>
          <w:iCs/>
        </w:rPr>
        <w:t>Estrada</w:t>
      </w:r>
      <w:r w:rsidRPr="0099367E">
        <w:t xml:space="preserve">, we held that </w:t>
      </w:r>
      <w:r w:rsidRPr="0099367E" w:rsidR="00896F06">
        <w:t xml:space="preserve">an amendment to a statute </w:t>
      </w:r>
      <w:r w:rsidRPr="0099367E" w:rsidR="00643A52">
        <w:t xml:space="preserve">that </w:t>
      </w:r>
      <w:r w:rsidRPr="0099367E" w:rsidR="005F6F08">
        <w:t xml:space="preserve">reduces the punishment for a particular criminal offense </w:t>
      </w:r>
      <w:r w:rsidRPr="0099367E" w:rsidR="007B507E">
        <w:t>gives rise to an inference that the statute applies retroactively</w:t>
      </w:r>
      <w:r w:rsidRPr="0099367E" w:rsidR="00B63878">
        <w:t xml:space="preserve"> to </w:t>
      </w:r>
      <w:r w:rsidRPr="0099367E" w:rsidR="00643A52">
        <w:t>all</w:t>
      </w:r>
      <w:r w:rsidRPr="0099367E" w:rsidR="00B63878">
        <w:t xml:space="preserve"> judgments not yet final on appeal</w:t>
      </w:r>
      <w:r w:rsidRPr="0099367E" w:rsidR="007B507E">
        <w:t xml:space="preserve">. </w:t>
      </w:r>
      <w:r w:rsidRPr="0099367E" w:rsidR="00711F78">
        <w:t xml:space="preserve"> (</w:t>
      </w:r>
      <w:r w:rsidRPr="0099367E" w:rsidR="000A3DB1">
        <w:rPr>
          <w:i/>
          <w:iCs/>
        </w:rPr>
        <w:t>Estrada</w:t>
      </w:r>
      <w:r w:rsidRPr="0099367E" w:rsidR="000A3DB1">
        <w:t>,</w:t>
      </w:r>
      <w:r w:rsidRPr="0099367E" w:rsidR="000A3DB1">
        <w:rPr>
          <w:i/>
          <w:iCs/>
        </w:rPr>
        <w:t xml:space="preserve"> supra</w:t>
      </w:r>
      <w:r w:rsidRPr="0099367E" w:rsidR="000A3DB1">
        <w:t>, 63</w:t>
      </w:r>
      <w:r w:rsidRPr="0099367E" w:rsidR="006F7953">
        <w:t> </w:t>
      </w:r>
      <w:r w:rsidRPr="0099367E" w:rsidR="000A3DB1">
        <w:t xml:space="preserve">Cal.2d </w:t>
      </w:r>
      <w:r w:rsidRPr="0099367E" w:rsidR="00711F78">
        <w:t>at p.</w:t>
      </w:r>
      <w:r w:rsidRPr="0099367E" w:rsidR="00F93573">
        <w:t> </w:t>
      </w:r>
      <w:r w:rsidRPr="0099367E" w:rsidR="00711F78">
        <w:t xml:space="preserve">745.) </w:t>
      </w:r>
      <w:r w:rsidRPr="0099367E" w:rsidR="006611DB">
        <w:t xml:space="preserve"> </w:t>
      </w:r>
      <w:r w:rsidRPr="0099367E" w:rsidR="00907626">
        <w:t xml:space="preserve">We explained our </w:t>
      </w:r>
      <w:r w:rsidRPr="0099367E" w:rsidR="00B97BE6">
        <w:t>reasoning</w:t>
      </w:r>
      <w:r w:rsidRPr="0099367E" w:rsidR="00F93573">
        <w:t xml:space="preserve"> as follows</w:t>
      </w:r>
      <w:r w:rsidRPr="0099367E" w:rsidR="00907626">
        <w:t>:  “</w:t>
      </w:r>
      <w:r w:rsidRPr="0099367E" w:rsidR="005333B5">
        <w:t xml:space="preserve">There is one consideration of paramount importance.  It leads inevitably to the conclusion that the Legislature must have intended, and by necessary implication provided, that the amendatory statute should prevail.  </w:t>
      </w:r>
      <w:r w:rsidRPr="0099367E" w:rsidR="00B97BE6">
        <w:t xml:space="preserve">When the Legislature amends a statute so as to lessen the punishment it has obviously expressly determined that its former penalty was too severe and that a lighter punishment is proper as punishment for the commission of the prohibited act.  It is an inevitable inference that the Legislature must have intended that the new statute imposing the new lighter penalty now deemed to be sufficient should apply to every case to which it constitutionally could apply.  The amendatory act imposing the lighter punishment can be applied constitutionally to acts committed before its passage provided the judgment convicting the defendant of the act is not final.  </w:t>
      </w:r>
      <w:r w:rsidRPr="0099367E" w:rsidR="00B97BE6">
        <w:rPr>
          <w:rStyle w:val="cosearchwithinterm"/>
        </w:rPr>
        <w:t>This</w:t>
      </w:r>
      <w:r w:rsidRPr="0099367E" w:rsidR="00B97BE6">
        <w:t xml:space="preserve"> </w:t>
      </w:r>
      <w:r w:rsidRPr="0099367E" w:rsidR="00B97BE6">
        <w:rPr>
          <w:rStyle w:val="cosearchwithinterm"/>
        </w:rPr>
        <w:t>intent</w:t>
      </w:r>
      <w:r w:rsidRPr="0099367E" w:rsidR="00B97BE6">
        <w:t xml:space="preserve"> </w:t>
      </w:r>
      <w:r w:rsidRPr="0099367E" w:rsidR="00B97BE6">
        <w:rPr>
          <w:rStyle w:val="cosearchwithinterm"/>
        </w:rPr>
        <w:t>seems</w:t>
      </w:r>
      <w:r w:rsidRPr="0099367E" w:rsidR="00B97BE6">
        <w:t xml:space="preserve"> </w:t>
      </w:r>
      <w:r w:rsidRPr="0099367E" w:rsidR="00B97BE6">
        <w:rPr>
          <w:rStyle w:val="cosearchwithinterm"/>
        </w:rPr>
        <w:t>obvious</w:t>
      </w:r>
      <w:r w:rsidRPr="0099367E" w:rsidR="00B97BE6">
        <w:t xml:space="preserve">, because to hold otherwise would be to conclude that the Legislature was motivated by a desire for vengeance, a conclusion not permitted in view of modern theories of penology.” </w:t>
      </w:r>
      <w:r w:rsidRPr="0099367E" w:rsidR="00191D48">
        <w:t xml:space="preserve"> </w:t>
      </w:r>
      <w:r w:rsidRPr="0099367E" w:rsidR="00B97BE6">
        <w:t>(</w:t>
      </w:r>
      <w:r w:rsidRPr="0099367E" w:rsidR="00B97BE6">
        <w:rPr>
          <w:i/>
          <w:iCs/>
        </w:rPr>
        <w:t>Id</w:t>
      </w:r>
      <w:r w:rsidRPr="0099367E" w:rsidR="00B97BE6">
        <w:t>.</w:t>
      </w:r>
      <w:r w:rsidRPr="0099367E" w:rsidR="006C01AB">
        <w:t xml:space="preserve"> at pp.</w:t>
      </w:r>
      <w:r w:rsidRPr="0099367E" w:rsidR="00F93573">
        <w:t> </w:t>
      </w:r>
      <w:r w:rsidRPr="0099367E" w:rsidR="006C01AB">
        <w:t>744–745.</w:t>
      </w:r>
      <w:r w:rsidRPr="0099367E" w:rsidR="00B97BE6">
        <w:t>)</w:t>
      </w:r>
      <w:r w:rsidRPr="0099367E" w:rsidR="00191D48">
        <w:t xml:space="preserve"> </w:t>
      </w:r>
      <w:r w:rsidRPr="0099367E" w:rsidR="00B97BE6">
        <w:t xml:space="preserve"> </w:t>
      </w:r>
    </w:p>
    <w:p w:rsidR="00A55E7E" w:rsidRPr="0099367E" w:rsidP="00C06DCD" w14:paraId="1D81A295" w14:textId="77777777">
      <w:pPr>
        <w:ind w:firstLine="720"/>
      </w:pPr>
      <w:r w:rsidRPr="0099367E">
        <w:t>At the same time, we</w:t>
      </w:r>
      <w:r w:rsidRPr="0099367E" w:rsidR="00597AA6">
        <w:t xml:space="preserve"> </w:t>
      </w:r>
      <w:r w:rsidRPr="0099367E" w:rsidR="00266C3C">
        <w:t>reiterat</w:t>
      </w:r>
      <w:r w:rsidRPr="0099367E" w:rsidR="00597AA6">
        <w:t>ed</w:t>
      </w:r>
      <w:r w:rsidRPr="0099367E" w:rsidR="00FD2AC9">
        <w:t xml:space="preserve"> in </w:t>
      </w:r>
      <w:r w:rsidRPr="0099367E" w:rsidR="00FD2AC9">
        <w:rPr>
          <w:i/>
          <w:iCs/>
        </w:rPr>
        <w:t>Estrada</w:t>
      </w:r>
      <w:r w:rsidRPr="0099367E" w:rsidR="00597AA6">
        <w:t xml:space="preserve"> that </w:t>
      </w:r>
      <w:r w:rsidRPr="0099367E" w:rsidR="00F22E1C">
        <w:t xml:space="preserve">section 3’s general rule of </w:t>
      </w:r>
      <w:r w:rsidRPr="0099367E" w:rsidR="00830378">
        <w:t>prospectivity</w:t>
      </w:r>
      <w:r w:rsidRPr="0099367E" w:rsidR="00F22E1C">
        <w:t xml:space="preserve"> </w:t>
      </w:r>
      <w:r w:rsidRPr="0099367E" w:rsidR="000E2839">
        <w:t>still applied</w:t>
      </w:r>
      <w:r w:rsidRPr="0099367E" w:rsidR="006D1ED8">
        <w:t xml:space="preserve"> to an amend</w:t>
      </w:r>
      <w:r w:rsidRPr="0099367E" w:rsidR="00896F06">
        <w:t>ed</w:t>
      </w:r>
      <w:r w:rsidRPr="0099367E" w:rsidR="006D1ED8">
        <w:t xml:space="preserve"> </w:t>
      </w:r>
      <w:r w:rsidRPr="0099367E" w:rsidR="00896F06">
        <w:t>statute</w:t>
      </w:r>
      <w:r w:rsidRPr="0099367E" w:rsidR="001162D6">
        <w:t xml:space="preserve"> unless there were “other factors that indicate the Legislature must have intended</w:t>
      </w:r>
      <w:r w:rsidRPr="0099367E" w:rsidR="00AC0BDA">
        <w:t xml:space="preserve">” that it would operate retroactively.  </w:t>
      </w:r>
      <w:r w:rsidRPr="0099367E" w:rsidR="004D2195">
        <w:t>(</w:t>
      </w:r>
      <w:r w:rsidRPr="0099367E" w:rsidR="004D2195">
        <w:rPr>
          <w:i/>
          <w:iCs/>
        </w:rPr>
        <w:t>Estrada</w:t>
      </w:r>
      <w:r w:rsidRPr="0099367E" w:rsidR="00FD2AC9">
        <w:t xml:space="preserve">, </w:t>
      </w:r>
      <w:r w:rsidRPr="0099367E" w:rsidR="00FD2AC9">
        <w:rPr>
          <w:i/>
          <w:iCs/>
        </w:rPr>
        <w:t>supra</w:t>
      </w:r>
      <w:r w:rsidRPr="0099367E" w:rsidR="00FD2AC9">
        <w:t>,</w:t>
      </w:r>
      <w:r w:rsidRPr="0099367E" w:rsidR="006F7953">
        <w:t> </w:t>
      </w:r>
      <w:r w:rsidRPr="0099367E" w:rsidR="00FD2AC9">
        <w:t>63 Cal.2d</w:t>
      </w:r>
      <w:r w:rsidRPr="0099367E" w:rsidR="004D2195">
        <w:t xml:space="preserve"> at p.</w:t>
      </w:r>
      <w:r w:rsidRPr="0099367E" w:rsidR="00F93573">
        <w:t> </w:t>
      </w:r>
      <w:r w:rsidRPr="0099367E" w:rsidR="004D2195">
        <w:t xml:space="preserve">746.)  </w:t>
      </w:r>
      <w:r w:rsidRPr="0099367E" w:rsidR="003D422E">
        <w:t>Accordingly,</w:t>
      </w:r>
      <w:r w:rsidRPr="0099367E" w:rsidR="00CF3557">
        <w:rPr>
          <w:i/>
          <w:iCs/>
        </w:rPr>
        <w:t xml:space="preserve"> Estrada </w:t>
      </w:r>
      <w:r w:rsidRPr="0099367E" w:rsidR="00CF3557">
        <w:t xml:space="preserve">stands for the </w:t>
      </w:r>
      <w:r w:rsidRPr="0099367E" w:rsidR="00A20FC7">
        <w:t>principle</w:t>
      </w:r>
      <w:r w:rsidRPr="0099367E" w:rsidR="00CF3557">
        <w:t xml:space="preserve"> that, </w:t>
      </w:r>
      <w:r w:rsidRPr="0099367E" w:rsidR="00A20FC7">
        <w:t>“ </w:t>
      </w:r>
      <w:r w:rsidRPr="0099367E" w:rsidR="00CF3557">
        <w:t>‘where the amendatory statute mitigates punishment and there is no saving clause,</w:t>
      </w:r>
      <w:r w:rsidRPr="0099367E" w:rsidR="00D370E2">
        <w:t> . . . </w:t>
      </w:r>
      <w:r w:rsidRPr="0099367E" w:rsidR="00CF3557">
        <w:t>the amendment will operate retroactively so that the lighter punishment is imposed.</w:t>
      </w:r>
      <w:r w:rsidRPr="0099367E" w:rsidR="00A55841">
        <w:t>’ </w:t>
      </w:r>
      <w:r w:rsidRPr="0099367E" w:rsidR="00CF3557">
        <w:t>”  (</w:t>
      </w:r>
      <w:r w:rsidRPr="0099367E" w:rsidR="00CF3557">
        <w:rPr>
          <w:i/>
          <w:iCs/>
        </w:rPr>
        <w:t xml:space="preserve">People v. Nasalga </w:t>
      </w:r>
      <w:r w:rsidRPr="0099367E" w:rsidR="00CF3557">
        <w:t>(1996) 12</w:t>
      </w:r>
      <w:r w:rsidRPr="0099367E" w:rsidR="006F7953">
        <w:t> </w:t>
      </w:r>
      <w:r w:rsidRPr="0099367E" w:rsidR="00CF3557">
        <w:t xml:space="preserve">Cal.4th 784, 792 </w:t>
      </w:r>
      <w:r w:rsidRPr="0099367E" w:rsidR="00C070BA">
        <w:t xml:space="preserve">(plur. opn. of Werdegar, J.) </w:t>
      </w:r>
      <w:r w:rsidRPr="0099367E" w:rsidR="00CF3557">
        <w:t>(</w:t>
      </w:r>
      <w:r w:rsidRPr="0099367E" w:rsidR="00CF3557">
        <w:rPr>
          <w:i/>
          <w:iCs/>
        </w:rPr>
        <w:t>Nasalga</w:t>
      </w:r>
      <w:r w:rsidRPr="0099367E" w:rsidR="00CF3557">
        <w:t>)</w:t>
      </w:r>
      <w:r w:rsidRPr="0099367E" w:rsidR="002B7E1B">
        <w:t xml:space="preserve">, quoting </w:t>
      </w:r>
      <w:r w:rsidRPr="0099367E" w:rsidR="002B7E1B">
        <w:rPr>
          <w:i/>
          <w:iCs/>
        </w:rPr>
        <w:t>Estrada</w:t>
      </w:r>
      <w:r w:rsidRPr="0099367E" w:rsidR="002B7E1B">
        <w:t>, at p.</w:t>
      </w:r>
      <w:r w:rsidRPr="0099367E" w:rsidR="00933F9F">
        <w:t> </w:t>
      </w:r>
      <w:r w:rsidRPr="0099367E" w:rsidR="002B7E1B">
        <w:t>748</w:t>
      </w:r>
      <w:r w:rsidRPr="0099367E" w:rsidR="00772B6F">
        <w:t xml:space="preserve">; cf. </w:t>
      </w:r>
      <w:r w:rsidRPr="0099367E" w:rsidR="00772B6F">
        <w:rPr>
          <w:i/>
          <w:iCs/>
        </w:rPr>
        <w:t xml:space="preserve">People v. Gentile </w:t>
      </w:r>
      <w:r w:rsidRPr="0099367E" w:rsidR="00772B6F">
        <w:t>(2020) 10</w:t>
      </w:r>
      <w:r w:rsidRPr="0099367E" w:rsidR="006F7953">
        <w:t> </w:t>
      </w:r>
      <w:r w:rsidRPr="0099367E" w:rsidR="00772B6F">
        <w:t>Cal.5th 8</w:t>
      </w:r>
      <w:r w:rsidRPr="0099367E" w:rsidR="00F40063">
        <w:t>3</w:t>
      </w:r>
      <w:r w:rsidRPr="0099367E" w:rsidR="00772B6F">
        <w:t>0, 852 [</w:t>
      </w:r>
      <w:r w:rsidRPr="0099367E" w:rsidR="003C2C6A">
        <w:t xml:space="preserve">under </w:t>
      </w:r>
      <w:r w:rsidRPr="0099367E" w:rsidR="003C2C6A">
        <w:rPr>
          <w:i/>
          <w:iCs/>
        </w:rPr>
        <w:t>Estrada</w:t>
      </w:r>
      <w:r w:rsidRPr="0099367E" w:rsidR="003C2C6A">
        <w:t>,</w:t>
      </w:r>
      <w:r w:rsidRPr="0099367E" w:rsidR="003C2C6A">
        <w:rPr>
          <w:i/>
          <w:iCs/>
        </w:rPr>
        <w:t xml:space="preserve"> </w:t>
      </w:r>
      <w:r w:rsidRPr="0099367E" w:rsidR="00772B6F">
        <w:t>“</w:t>
      </w:r>
      <w:r w:rsidRPr="0099367E" w:rsidR="000E5D67">
        <w:t>N</w:t>
      </w:r>
      <w:r w:rsidRPr="0099367E" w:rsidR="00772B6F">
        <w:t>ewly enacted legislation lessening criminal punishment or reducing criminal liability presumptively applies to all cases not yet final on appeal at the time of the legislation’s effective date”</w:t>
      </w:r>
      <w:r w:rsidRPr="0099367E" w:rsidR="00A01C16">
        <w:t xml:space="preserve"> unless it “sets out a specific mechanism as the exclusive avenue for retroactive relief”</w:t>
      </w:r>
      <w:r w:rsidRPr="0099367E" w:rsidR="00772B6F">
        <w:t>]</w:t>
      </w:r>
      <w:r w:rsidRPr="0099367E" w:rsidR="00715D3C">
        <w:t xml:space="preserve">, </w:t>
      </w:r>
      <w:r w:rsidRPr="0099367E" w:rsidR="00776F55">
        <w:t>superseded</w:t>
      </w:r>
      <w:r w:rsidRPr="0099367E" w:rsidR="00715D3C">
        <w:t xml:space="preserve"> by statute </w:t>
      </w:r>
      <w:r w:rsidRPr="0099367E" w:rsidR="00992EB5">
        <w:t xml:space="preserve">on another ground </w:t>
      </w:r>
      <w:r w:rsidRPr="0099367E" w:rsidR="00776F55">
        <w:t xml:space="preserve">as stated in </w:t>
      </w:r>
      <w:r w:rsidRPr="0099367E" w:rsidR="00776F55">
        <w:rPr>
          <w:i/>
          <w:iCs/>
        </w:rPr>
        <w:t xml:space="preserve">People v. Wilson </w:t>
      </w:r>
      <w:r w:rsidRPr="0099367E" w:rsidR="00776F55">
        <w:t>(2023) 14</w:t>
      </w:r>
      <w:r w:rsidRPr="0099367E" w:rsidR="006F7953">
        <w:t> </w:t>
      </w:r>
      <w:r w:rsidRPr="0099367E" w:rsidR="00776F55">
        <w:t>Cal.5th 839</w:t>
      </w:r>
      <w:r w:rsidRPr="0099367E" w:rsidR="0094096A">
        <w:t>, 869</w:t>
      </w:r>
      <w:r w:rsidRPr="0099367E" w:rsidR="00AA2C2D">
        <w:t xml:space="preserve">; see also </w:t>
      </w:r>
      <w:r w:rsidRPr="0099367E" w:rsidR="00AA2C2D">
        <w:rPr>
          <w:i/>
          <w:iCs/>
        </w:rPr>
        <w:t>People v. De</w:t>
      </w:r>
      <w:r w:rsidRPr="0099367E" w:rsidR="0094096A">
        <w:rPr>
          <w:i/>
          <w:iCs/>
        </w:rPr>
        <w:t>H</w:t>
      </w:r>
      <w:r w:rsidRPr="0099367E" w:rsidR="00AA2C2D">
        <w:rPr>
          <w:i/>
          <w:iCs/>
        </w:rPr>
        <w:t>oyos</w:t>
      </w:r>
      <w:r w:rsidRPr="0099367E" w:rsidR="00AA2C2D">
        <w:t xml:space="preserve"> (2018) 4</w:t>
      </w:r>
      <w:r w:rsidRPr="0099367E" w:rsidR="006F7953">
        <w:t> </w:t>
      </w:r>
      <w:r w:rsidRPr="0099367E" w:rsidR="00AA2C2D">
        <w:t xml:space="preserve">Cal.5th 594, </w:t>
      </w:r>
      <w:r w:rsidRPr="0099367E" w:rsidR="00BB6A50">
        <w:t>601–603</w:t>
      </w:r>
      <w:r w:rsidRPr="0099367E" w:rsidR="00084360">
        <w:t xml:space="preserve"> </w:t>
      </w:r>
      <w:r w:rsidRPr="0099367E" w:rsidR="00AA2C2D">
        <w:t>[holding that</w:t>
      </w:r>
      <w:r w:rsidRPr="0099367E" w:rsidR="00084360">
        <w:t xml:space="preserve"> a</w:t>
      </w:r>
      <w:r w:rsidRPr="0099367E" w:rsidR="00AA2C2D">
        <w:t xml:space="preserve"> statute reducing punishment d</w:t>
      </w:r>
      <w:r w:rsidRPr="0099367E" w:rsidR="00084360">
        <w:t>id</w:t>
      </w:r>
      <w:r w:rsidRPr="0099367E" w:rsidR="00AA2C2D">
        <w:t xml:space="preserve"> not apply retroactively under </w:t>
      </w:r>
      <w:r w:rsidRPr="0099367E" w:rsidR="00AA2C2D">
        <w:rPr>
          <w:i/>
          <w:iCs/>
        </w:rPr>
        <w:t>Estrada</w:t>
      </w:r>
      <w:r w:rsidRPr="0099367E" w:rsidR="00AA2C2D">
        <w:t xml:space="preserve"> because its resentencing provisions sufficiently indicate</w:t>
      </w:r>
      <w:r w:rsidRPr="0099367E" w:rsidR="00E44EAF">
        <w:t>d</w:t>
      </w:r>
      <w:r w:rsidRPr="0099367E" w:rsidR="00AA2C2D">
        <w:t xml:space="preserve"> a contrary intent]; </w:t>
      </w:r>
      <w:r w:rsidRPr="0099367E" w:rsidR="00AA2C2D">
        <w:rPr>
          <w:i/>
          <w:iCs/>
        </w:rPr>
        <w:t xml:space="preserve">People v. </w:t>
      </w:r>
      <w:r w:rsidRPr="0099367E" w:rsidR="00AA2C2D">
        <w:rPr>
          <w:i/>
          <w:iCs/>
          <w:szCs w:val="26"/>
        </w:rPr>
        <w:t>Conley</w:t>
      </w:r>
      <w:r w:rsidRPr="0099367E" w:rsidR="00AA2C2D">
        <w:rPr>
          <w:szCs w:val="26"/>
        </w:rPr>
        <w:t xml:space="preserve"> (2016) 63</w:t>
      </w:r>
      <w:r w:rsidRPr="0099367E" w:rsidR="006F7953">
        <w:rPr>
          <w:szCs w:val="26"/>
        </w:rPr>
        <w:t> </w:t>
      </w:r>
      <w:r w:rsidRPr="0099367E" w:rsidR="00AA2C2D">
        <w:rPr>
          <w:szCs w:val="26"/>
        </w:rPr>
        <w:t>Cal.4th 646, 657–658 (</w:t>
      </w:r>
      <w:r w:rsidRPr="0099367E" w:rsidR="00AA2C2D">
        <w:rPr>
          <w:i/>
          <w:iCs/>
          <w:szCs w:val="26"/>
        </w:rPr>
        <w:t>Conley</w:t>
      </w:r>
      <w:r w:rsidRPr="0099367E" w:rsidR="00AA2C2D">
        <w:rPr>
          <w:szCs w:val="26"/>
        </w:rPr>
        <w:t>) [same]</w:t>
      </w:r>
      <w:r w:rsidRPr="0099367E" w:rsidR="00CF3557">
        <w:t xml:space="preserve">.)  </w:t>
      </w:r>
    </w:p>
    <w:p w:rsidR="006A5BC1" w:rsidRPr="0099367E" w:rsidP="00C06DCD" w14:paraId="1D81A296" w14:textId="77777777">
      <w:pPr>
        <w:ind w:firstLine="720"/>
      </w:pPr>
      <w:r w:rsidRPr="0099367E">
        <w:t xml:space="preserve">We have applied </w:t>
      </w:r>
      <w:r w:rsidRPr="0099367E">
        <w:rPr>
          <w:i/>
          <w:iCs/>
        </w:rPr>
        <w:t>Estrada</w:t>
      </w:r>
      <w:r w:rsidRPr="0099367E">
        <w:t xml:space="preserve">’s inference of </w:t>
      </w:r>
      <w:r w:rsidRPr="0099367E" w:rsidR="008024CE">
        <w:t xml:space="preserve">retroactivity to legislation that </w:t>
      </w:r>
      <w:r w:rsidRPr="0099367E" w:rsidR="00E44EAF">
        <w:t>creat</w:t>
      </w:r>
      <w:r w:rsidRPr="0099367E" w:rsidR="008024CE">
        <w:t xml:space="preserve">ed an affirmative defense, contracted a criminal offense, or otherwise lessened punishment in some </w:t>
      </w:r>
      <w:r w:rsidRPr="0099367E" w:rsidR="00C42CEB">
        <w:t xml:space="preserve">meaningful </w:t>
      </w:r>
      <w:r w:rsidRPr="0099367E" w:rsidR="008024CE">
        <w:t xml:space="preserve">manner.  These laws have included statutes addressing penalty enhancements as well as statutes concerned with substantive offenses.  (E.g., </w:t>
      </w:r>
      <w:r w:rsidRPr="0099367E" w:rsidR="008024CE">
        <w:rPr>
          <w:i/>
          <w:iCs/>
        </w:rPr>
        <w:t xml:space="preserve">People v. Prudholme </w:t>
      </w:r>
      <w:r w:rsidRPr="0099367E" w:rsidR="008024CE">
        <w:t>(2023) 14</w:t>
      </w:r>
      <w:r w:rsidRPr="0099367E" w:rsidR="006F7953">
        <w:t> </w:t>
      </w:r>
      <w:r w:rsidRPr="0099367E" w:rsidR="008024CE">
        <w:t xml:space="preserve">Cal.5th 961, 968–969 [statute reducing maximum probation term for nonviolent offenses applies retroactively]; </w:t>
      </w:r>
      <w:r w:rsidRPr="0099367E" w:rsidR="00E13769">
        <w:rPr>
          <w:i/>
          <w:iCs/>
        </w:rPr>
        <w:t xml:space="preserve">People v. Wright </w:t>
      </w:r>
      <w:r w:rsidRPr="0099367E" w:rsidR="00E13769">
        <w:t>(2006) 40</w:t>
      </w:r>
      <w:r w:rsidRPr="0099367E" w:rsidR="006F7953">
        <w:t> </w:t>
      </w:r>
      <w:r w:rsidRPr="0099367E" w:rsidR="00E13769">
        <w:t xml:space="preserve">Cal.4th 81, </w:t>
      </w:r>
      <w:r w:rsidRPr="0099367E" w:rsidR="00A33B3B">
        <w:t>95</w:t>
      </w:r>
      <w:r w:rsidRPr="0099367E" w:rsidR="00617B5C">
        <w:t xml:space="preserve"> [newly enacted </w:t>
      </w:r>
      <w:r w:rsidRPr="0099367E" w:rsidR="00772C86">
        <w:t xml:space="preserve">affirmative defense to transporting marijuana applies retroactively]; </w:t>
      </w:r>
      <w:r w:rsidRPr="0099367E" w:rsidR="00B83A26">
        <w:rPr>
          <w:i/>
          <w:iCs/>
        </w:rPr>
        <w:t>Nasalga</w:t>
      </w:r>
      <w:r w:rsidRPr="0099367E" w:rsidR="00B62604">
        <w:t xml:space="preserve">, </w:t>
      </w:r>
      <w:r w:rsidRPr="0099367E" w:rsidR="00B62604">
        <w:rPr>
          <w:i/>
          <w:iCs/>
        </w:rPr>
        <w:t>supra</w:t>
      </w:r>
      <w:r w:rsidRPr="0099367E" w:rsidR="00B62604">
        <w:t>,</w:t>
      </w:r>
      <w:r w:rsidRPr="0099367E" w:rsidR="00896F06">
        <w:t xml:space="preserve"> </w:t>
      </w:r>
      <w:r w:rsidRPr="0099367E" w:rsidR="00B83A26">
        <w:t>12</w:t>
      </w:r>
      <w:r w:rsidRPr="0099367E" w:rsidR="006F7953">
        <w:t> </w:t>
      </w:r>
      <w:r w:rsidRPr="0099367E" w:rsidR="00B83A26">
        <w:t xml:space="preserve">Cal.4th </w:t>
      </w:r>
      <w:r w:rsidRPr="0099367E" w:rsidR="00B62604">
        <w:t>at p.</w:t>
      </w:r>
      <w:r w:rsidRPr="0099367E" w:rsidR="00F93573">
        <w:t> </w:t>
      </w:r>
      <w:r w:rsidRPr="0099367E" w:rsidR="00EA6DC2">
        <w:t>7</w:t>
      </w:r>
      <w:r w:rsidRPr="0099367E" w:rsidR="00C40210">
        <w:t xml:space="preserve">98 </w:t>
      </w:r>
      <w:r w:rsidRPr="0099367E" w:rsidR="00353C67">
        <w:t xml:space="preserve">(plur. opn. of Werdegar, J.) </w:t>
      </w:r>
      <w:r w:rsidRPr="0099367E" w:rsidR="0042411D">
        <w:t>[amend</w:t>
      </w:r>
      <w:r w:rsidRPr="0099367E" w:rsidR="00DC7D34">
        <w:t xml:space="preserve">ments that increase </w:t>
      </w:r>
      <w:r w:rsidRPr="0099367E" w:rsidR="0093647D">
        <w:t>mone</w:t>
      </w:r>
      <w:r w:rsidRPr="0099367E" w:rsidR="001971D4">
        <w:t>tar</w:t>
      </w:r>
      <w:r w:rsidRPr="0099367E" w:rsidR="0093647D">
        <w:t xml:space="preserve">y amount of property loss </w:t>
      </w:r>
      <w:r w:rsidRPr="0099367E" w:rsidR="00C31A54">
        <w:t xml:space="preserve">to trigger sentencing </w:t>
      </w:r>
      <w:r w:rsidRPr="0099367E" w:rsidR="00DC7D34">
        <w:t>enhancements apply retroactively]</w:t>
      </w:r>
      <w:r w:rsidRPr="0099367E" w:rsidR="00B62604">
        <w:t>;</w:t>
      </w:r>
      <w:r w:rsidRPr="0099367E" w:rsidR="00DC7D34">
        <w:t xml:space="preserve"> </w:t>
      </w:r>
      <w:r w:rsidRPr="0099367E" w:rsidR="002061C6">
        <w:rPr>
          <w:i/>
          <w:iCs/>
        </w:rPr>
        <w:t>Tapia</w:t>
      </w:r>
      <w:r w:rsidRPr="0099367E" w:rsidR="002C2856">
        <w:t xml:space="preserve">, </w:t>
      </w:r>
      <w:r w:rsidRPr="0099367E" w:rsidR="002C2856">
        <w:rPr>
          <w:i/>
          <w:iCs/>
        </w:rPr>
        <w:t>supra</w:t>
      </w:r>
      <w:r w:rsidRPr="0099367E" w:rsidR="002C2856">
        <w:t xml:space="preserve">, </w:t>
      </w:r>
      <w:r w:rsidRPr="0099367E" w:rsidR="00AA15B3">
        <w:t>53</w:t>
      </w:r>
      <w:r w:rsidRPr="0099367E" w:rsidR="006F7953">
        <w:t> </w:t>
      </w:r>
      <w:r w:rsidRPr="0099367E" w:rsidR="00AA15B3">
        <w:t xml:space="preserve">Cal.3d </w:t>
      </w:r>
      <w:r w:rsidRPr="0099367E" w:rsidR="002C2856">
        <w:t>at p</w:t>
      </w:r>
      <w:r w:rsidRPr="0099367E" w:rsidR="00DA6C7E">
        <w:t>p</w:t>
      </w:r>
      <w:r w:rsidRPr="0099367E" w:rsidR="002C2856">
        <w:t>.</w:t>
      </w:r>
      <w:r w:rsidRPr="0099367E" w:rsidR="00F93573">
        <w:t> </w:t>
      </w:r>
      <w:r w:rsidRPr="0099367E" w:rsidR="00DA6C7E">
        <w:t>300–</w:t>
      </w:r>
      <w:r w:rsidRPr="0099367E" w:rsidR="00AA15B3">
        <w:t>301</w:t>
      </w:r>
      <w:r w:rsidRPr="0099367E" w:rsidR="003275E7">
        <w:t xml:space="preserve"> [</w:t>
      </w:r>
      <w:r w:rsidRPr="0099367E" w:rsidR="002C1229">
        <w:t xml:space="preserve">statute specifying that certain death-penalty qualifying </w:t>
      </w:r>
      <w:r w:rsidRPr="0099367E" w:rsidR="003275E7">
        <w:t>special circumstance</w:t>
      </w:r>
      <w:r w:rsidRPr="0099367E" w:rsidR="002C1229">
        <w:t>s must be intentional applies retroactively</w:t>
      </w:r>
      <w:r w:rsidRPr="0099367E" w:rsidR="003275E7">
        <w:t>]</w:t>
      </w:r>
      <w:r w:rsidRPr="0099367E" w:rsidR="00874796">
        <w:t xml:space="preserve">; </w:t>
      </w:r>
      <w:r w:rsidRPr="0099367E" w:rsidR="00874796">
        <w:rPr>
          <w:i/>
          <w:iCs/>
        </w:rPr>
        <w:t>People v. Rossi</w:t>
      </w:r>
      <w:r w:rsidRPr="0099367E" w:rsidR="00874796">
        <w:t xml:space="preserve"> (1976) 18</w:t>
      </w:r>
      <w:r w:rsidRPr="0099367E" w:rsidR="006F7953">
        <w:t> </w:t>
      </w:r>
      <w:r w:rsidRPr="0099367E" w:rsidR="00874796">
        <w:t>Cal.3d 295, 30</w:t>
      </w:r>
      <w:r w:rsidRPr="0099367E" w:rsidR="00E52AA3">
        <w:t>2</w:t>
      </w:r>
      <w:r w:rsidRPr="0099367E" w:rsidR="00874796">
        <w:t xml:space="preserve"> [amendatory statute decriminalizing the commission of certain sexual acts applies retroactively]</w:t>
      </w:r>
      <w:r w:rsidRPr="0099367E">
        <w:t xml:space="preserve">.) </w:t>
      </w:r>
      <w:r w:rsidRPr="0099367E" w:rsidR="004C6BAF">
        <w:t xml:space="preserve"> </w:t>
      </w:r>
      <w:r w:rsidRPr="0099367E">
        <w:t xml:space="preserve">We have also applied the </w:t>
      </w:r>
      <w:r w:rsidRPr="0099367E">
        <w:rPr>
          <w:i/>
          <w:iCs/>
        </w:rPr>
        <w:t>Estrada</w:t>
      </w:r>
      <w:r w:rsidRPr="0099367E">
        <w:t xml:space="preserve"> inference to statutes that give trial courts discretion to impose lesser punishment.  (</w:t>
      </w:r>
      <w:r w:rsidRPr="0099367E">
        <w:rPr>
          <w:i/>
          <w:iCs/>
        </w:rPr>
        <w:t xml:space="preserve">People v. Stamps </w:t>
      </w:r>
      <w:r w:rsidRPr="0099367E">
        <w:t>(2020) 9</w:t>
      </w:r>
      <w:r w:rsidRPr="0099367E" w:rsidR="006F7953">
        <w:t> </w:t>
      </w:r>
      <w:r w:rsidRPr="0099367E">
        <w:t xml:space="preserve">Cal.5th 685, 699 [statute eliminating restriction on trial court’s ability to strike serious felony enhancement applies retroactively]; </w:t>
      </w:r>
      <w:r w:rsidRPr="0099367E">
        <w:rPr>
          <w:i/>
          <w:iCs/>
        </w:rPr>
        <w:t xml:space="preserve">People v. Francis </w:t>
      </w:r>
      <w:r w:rsidRPr="0099367E">
        <w:t>(1969) 71</w:t>
      </w:r>
      <w:r w:rsidRPr="0099367E" w:rsidR="006F7953">
        <w:t> </w:t>
      </w:r>
      <w:r w:rsidRPr="0099367E">
        <w:t xml:space="preserve">Cal.2d 66, 76 </w:t>
      </w:r>
      <w:r w:rsidRPr="0099367E" w:rsidR="0094096A">
        <w:t>(</w:t>
      </w:r>
      <w:r w:rsidRPr="0099367E" w:rsidR="0094096A">
        <w:rPr>
          <w:i/>
          <w:iCs/>
        </w:rPr>
        <w:t>Francis</w:t>
      </w:r>
      <w:r w:rsidRPr="0099367E" w:rsidR="0094096A">
        <w:t xml:space="preserve">) </w:t>
      </w:r>
      <w:r w:rsidRPr="0099367E">
        <w:t>[modified treatment of marijuana possession from straight felony to either felony or misdemeanor applies retroactively].)</w:t>
      </w:r>
    </w:p>
    <w:p w:rsidR="005C0DE1" w:rsidRPr="0099367E" w:rsidP="00C06DCD" w14:paraId="1D81A297" w14:textId="77777777">
      <w:pPr>
        <w:ind w:firstLine="720"/>
      </w:pPr>
      <w:r w:rsidRPr="0099367E">
        <w:t xml:space="preserve">More recently, we have applied the </w:t>
      </w:r>
      <w:r w:rsidRPr="0099367E">
        <w:rPr>
          <w:i/>
          <w:iCs/>
        </w:rPr>
        <w:t>Estrada</w:t>
      </w:r>
      <w:r w:rsidRPr="0099367E">
        <w:t xml:space="preserve"> inference to statutes that, while not</w:t>
      </w:r>
      <w:r w:rsidRPr="0099367E" w:rsidR="001971D4">
        <w:t xml:space="preserve"> limited to</w:t>
      </w:r>
      <w:r w:rsidRPr="0099367E">
        <w:t xml:space="preserve"> reducing punishment for a </w:t>
      </w:r>
      <w:r w:rsidRPr="0099367E" w:rsidR="001971D4">
        <w:t xml:space="preserve">particular </w:t>
      </w:r>
      <w:r w:rsidRPr="0099367E">
        <w:t xml:space="preserve">crime, created a </w:t>
      </w:r>
      <w:r w:rsidRPr="0099367E" w:rsidR="000E1B95">
        <w:t xml:space="preserve">concrete </w:t>
      </w:r>
      <w:r w:rsidRPr="0099367E">
        <w:t xml:space="preserve">avenue for certain individuals </w:t>
      </w:r>
      <w:r w:rsidRPr="0099367E" w:rsidR="009B4B17">
        <w:t xml:space="preserve">charged with a criminal offense </w:t>
      </w:r>
      <w:r w:rsidRPr="0099367E">
        <w:t>to be treated more leniently or avoid punishment altogether.  (</w:t>
      </w:r>
      <w:r w:rsidRPr="0099367E">
        <w:rPr>
          <w:i/>
          <w:iCs/>
        </w:rPr>
        <w:t>Frahs</w:t>
      </w:r>
      <w:r w:rsidRPr="0099367E">
        <w:t xml:space="preserve">, </w:t>
      </w:r>
      <w:r w:rsidRPr="0099367E">
        <w:rPr>
          <w:i/>
          <w:iCs/>
        </w:rPr>
        <w:t>supra</w:t>
      </w:r>
      <w:r w:rsidRPr="0099367E">
        <w:t>, 9</w:t>
      </w:r>
      <w:r w:rsidRPr="0099367E" w:rsidR="006F7953">
        <w:t> </w:t>
      </w:r>
      <w:r w:rsidRPr="0099367E">
        <w:t>Cal.5th at pp.</w:t>
      </w:r>
      <w:r w:rsidRPr="0099367E" w:rsidR="00F93573">
        <w:t> </w:t>
      </w:r>
      <w:r w:rsidRPr="0099367E">
        <w:t xml:space="preserve">624, 629 [statute creating pretrial diversion program in lieu of criminal prosecution for individuals suffering from qualifying mental health disorders applies retroactively]; </w:t>
      </w:r>
      <w:r w:rsidRPr="0099367E">
        <w:rPr>
          <w:i/>
          <w:iCs/>
        </w:rPr>
        <w:t xml:space="preserve">People v. Superior Court </w:t>
      </w:r>
      <w:r w:rsidRPr="0099367E">
        <w:t>(</w:t>
      </w:r>
      <w:r w:rsidRPr="0099367E">
        <w:rPr>
          <w:i/>
          <w:iCs/>
        </w:rPr>
        <w:t>Lara</w:t>
      </w:r>
      <w:r w:rsidRPr="0099367E">
        <w:t>) (2018) 4</w:t>
      </w:r>
      <w:r w:rsidRPr="0099367E" w:rsidR="006F7953">
        <w:t> </w:t>
      </w:r>
      <w:r w:rsidRPr="0099367E">
        <w:t>Cal.5th 299, 303 (</w:t>
      </w:r>
      <w:r w:rsidRPr="0099367E">
        <w:rPr>
          <w:i/>
          <w:iCs/>
        </w:rPr>
        <w:t>Lara</w:t>
      </w:r>
      <w:r w:rsidRPr="0099367E">
        <w:t xml:space="preserve">) [statute prohibiting prosecutors from directly filing criminal charges against minors in “adult” criminal court and giving juvenile courts sole discretion to decide whether to prosecute minors as adults applies retroactively].)  We explained in </w:t>
      </w:r>
      <w:r w:rsidRPr="0099367E">
        <w:rPr>
          <w:i/>
          <w:iCs/>
        </w:rPr>
        <w:t xml:space="preserve">Lara </w:t>
      </w:r>
      <w:r w:rsidRPr="0099367E">
        <w:t xml:space="preserve">that although </w:t>
      </w:r>
      <w:r w:rsidRPr="0099367E">
        <w:rPr>
          <w:i/>
          <w:iCs/>
        </w:rPr>
        <w:t xml:space="preserve">Estrada </w:t>
      </w:r>
      <w:r w:rsidRPr="0099367E">
        <w:t>was not directly on point, “its rationale does apply.  The possibility of being treated as a juvenile in juvenile court —</w:t>
      </w:r>
      <w:r w:rsidRPr="0099367E" w:rsidR="00C443B6">
        <w:t xml:space="preserve"> </w:t>
      </w:r>
      <w:r w:rsidRPr="0099367E">
        <w:t>where rehabilitation is the goal —</w:t>
      </w:r>
      <w:r w:rsidRPr="0099367E" w:rsidR="00C443B6">
        <w:t xml:space="preserve"> </w:t>
      </w:r>
      <w:r w:rsidRPr="0099367E">
        <w:t>rather than being tried and sentenced as an adult can result in dramatically different and more lenient treatment.  Therefore, Proposition 57 reduces the possible punishment for a class of persons, namely juveniles.”  (</w:t>
      </w:r>
      <w:r w:rsidRPr="0099367E">
        <w:rPr>
          <w:i/>
          <w:iCs/>
        </w:rPr>
        <w:t>Lara</w:t>
      </w:r>
      <w:r w:rsidRPr="0099367E">
        <w:t>, at p.</w:t>
      </w:r>
      <w:r w:rsidRPr="0099367E" w:rsidR="00C443B6">
        <w:t> </w:t>
      </w:r>
      <w:r w:rsidRPr="0099367E">
        <w:t>303.)  “For this reason,” we concluded, “</w:t>
      </w:r>
      <w:r w:rsidRPr="0099367E">
        <w:rPr>
          <w:i/>
          <w:iCs/>
        </w:rPr>
        <w:t>Estrada</w:t>
      </w:r>
      <w:r w:rsidRPr="0099367E">
        <w:t>’s</w:t>
      </w:r>
      <w:r w:rsidRPr="0099367E">
        <w:rPr>
          <w:i/>
          <w:iCs/>
        </w:rPr>
        <w:t xml:space="preserve"> </w:t>
      </w:r>
      <w:r w:rsidRPr="0099367E">
        <w:t>inference of retroactivity applies.”  (</w:t>
      </w:r>
      <w:r w:rsidRPr="0099367E">
        <w:rPr>
          <w:i/>
          <w:iCs/>
        </w:rPr>
        <w:t>Ibid</w:t>
      </w:r>
      <w:r w:rsidRPr="0099367E">
        <w:t xml:space="preserve">.)  </w:t>
      </w:r>
    </w:p>
    <w:p w:rsidR="00310057" w:rsidRPr="0099367E" w:rsidP="00C06DCD" w14:paraId="1D81A298" w14:textId="77777777">
      <w:pPr>
        <w:ind w:firstLine="720"/>
      </w:pPr>
      <w:r w:rsidRPr="0099367E">
        <w:t>Notably, however, w</w:t>
      </w:r>
      <w:r w:rsidRPr="0099367E" w:rsidR="00D26605">
        <w:t xml:space="preserve">e have </w:t>
      </w:r>
      <w:r w:rsidRPr="0099367E" w:rsidR="00EE78E7">
        <w:t>recognized</w:t>
      </w:r>
      <w:r w:rsidRPr="0099367E" w:rsidR="00B5671E">
        <w:t xml:space="preserve"> “the</w:t>
      </w:r>
      <w:r w:rsidRPr="0099367E" w:rsidR="00EE78E7">
        <w:t xml:space="preserve"> limited role </w:t>
      </w:r>
      <w:r w:rsidRPr="0099367E" w:rsidR="00EE78E7">
        <w:rPr>
          <w:i/>
          <w:iCs/>
        </w:rPr>
        <w:t xml:space="preserve">Estrada </w:t>
      </w:r>
      <w:r w:rsidRPr="0099367E" w:rsidR="00EE78E7">
        <w:t>p</w:t>
      </w:r>
      <w:r w:rsidRPr="0099367E" w:rsidR="00B5671E">
        <w:t>roperly p</w:t>
      </w:r>
      <w:r w:rsidRPr="0099367E" w:rsidR="00EE78E7">
        <w:t xml:space="preserve">lays in our jurisprudence </w:t>
      </w:r>
      <w:r w:rsidRPr="0099367E" w:rsidR="00B5671E">
        <w:t xml:space="preserve">of prospective versus retrospective </w:t>
      </w:r>
      <w:r w:rsidRPr="0099367E" w:rsidR="00F72D49">
        <w:t>operation</w:t>
      </w:r>
      <w:r w:rsidRPr="0099367E" w:rsidR="00B5671E">
        <w:t xml:space="preserve">” and </w:t>
      </w:r>
      <w:r w:rsidRPr="0099367E" w:rsidR="00822D30">
        <w:t>reiterated</w:t>
      </w:r>
      <w:r w:rsidRPr="0099367E" w:rsidR="00D26605">
        <w:t xml:space="preserve"> that </w:t>
      </w:r>
      <w:r w:rsidRPr="0099367E" w:rsidR="00872932">
        <w:rPr>
          <w:i/>
          <w:iCs/>
        </w:rPr>
        <w:t xml:space="preserve">Estrada </w:t>
      </w:r>
      <w:r w:rsidRPr="0099367E" w:rsidR="0060204E">
        <w:t xml:space="preserve">does not </w:t>
      </w:r>
      <w:r w:rsidR="00CB33AF">
        <w:t>“</w:t>
      </w:r>
      <w:r w:rsidRPr="0099367E" w:rsidR="0060204E">
        <w:t>weaken</w:t>
      </w:r>
      <w:r w:rsidRPr="0099367E" w:rsidR="00070C41">
        <w:t>[]</w:t>
      </w:r>
      <w:r w:rsidRPr="0099367E" w:rsidR="0060204E">
        <w:t xml:space="preserve"> or modify</w:t>
      </w:r>
      <w:r w:rsidRPr="0099367E" w:rsidR="00070C41">
        <w:t>[]”</w:t>
      </w:r>
      <w:r w:rsidRPr="0099367E" w:rsidR="00995660">
        <w:t xml:space="preserve"> </w:t>
      </w:r>
      <w:r w:rsidRPr="0099367E" w:rsidR="0060204E">
        <w:t>section</w:t>
      </w:r>
      <w:r w:rsidRPr="0099367E" w:rsidR="00A43554">
        <w:t> </w:t>
      </w:r>
      <w:r w:rsidRPr="0099367E" w:rsidR="0060204E">
        <w:t>3’s</w:t>
      </w:r>
      <w:r w:rsidRPr="0099367E" w:rsidR="00995660">
        <w:t xml:space="preserve"> default rule </w:t>
      </w:r>
      <w:r w:rsidRPr="0099367E" w:rsidR="00270AC8">
        <w:t>that</w:t>
      </w:r>
      <w:r w:rsidRPr="0099367E" w:rsidR="0060204E">
        <w:t xml:space="preserve"> </w:t>
      </w:r>
      <w:r w:rsidRPr="0099367E" w:rsidR="00A43554">
        <w:t xml:space="preserve">amendments to a statute </w:t>
      </w:r>
      <w:r w:rsidRPr="0099367E" w:rsidR="00270AC8">
        <w:t>appl</w:t>
      </w:r>
      <w:r w:rsidRPr="0099367E" w:rsidR="00A43554">
        <w:t>y</w:t>
      </w:r>
      <w:r w:rsidRPr="0099367E" w:rsidR="00270AC8">
        <w:t xml:space="preserve"> prospectively</w:t>
      </w:r>
      <w:r w:rsidRPr="0099367E" w:rsidR="0060204E">
        <w:t>.</w:t>
      </w:r>
      <w:r w:rsidRPr="0099367E" w:rsidR="000E59DF">
        <w:t xml:space="preserve">  (</w:t>
      </w:r>
      <w:r w:rsidRPr="0099367E" w:rsidR="000E59DF">
        <w:rPr>
          <w:i/>
          <w:iCs/>
        </w:rPr>
        <w:t>Brown</w:t>
      </w:r>
      <w:r w:rsidRPr="0099367E" w:rsidR="00AA53B3">
        <w:t xml:space="preserve">, </w:t>
      </w:r>
      <w:r w:rsidRPr="0099367E" w:rsidR="00AA53B3">
        <w:rPr>
          <w:i/>
          <w:iCs/>
        </w:rPr>
        <w:t>supra</w:t>
      </w:r>
      <w:r w:rsidRPr="0099367E" w:rsidR="00AA53B3">
        <w:t>,</w:t>
      </w:r>
      <w:r w:rsidRPr="0099367E" w:rsidR="00A43554">
        <w:t xml:space="preserve"> </w:t>
      </w:r>
      <w:r w:rsidRPr="0099367E" w:rsidR="000E59DF">
        <w:t>54</w:t>
      </w:r>
      <w:r w:rsidRPr="0099367E" w:rsidR="006F7953">
        <w:t> </w:t>
      </w:r>
      <w:r w:rsidRPr="0099367E" w:rsidR="000E59DF">
        <w:t xml:space="preserve">Cal.4th </w:t>
      </w:r>
      <w:r w:rsidRPr="0099367E" w:rsidR="00AA53B3">
        <w:t>at p.</w:t>
      </w:r>
      <w:r w:rsidRPr="0099367E" w:rsidR="00A43554">
        <w:t> </w:t>
      </w:r>
      <w:r w:rsidRPr="0099367E" w:rsidR="000E59DF">
        <w:t>324</w:t>
      </w:r>
      <w:r w:rsidRPr="0099367E" w:rsidR="001A6C9B">
        <w:t xml:space="preserve">; </w:t>
      </w:r>
      <w:r w:rsidRPr="0099367E" w:rsidR="009A7CFC">
        <w:t xml:space="preserve">see </w:t>
      </w:r>
      <w:r w:rsidRPr="0099367E" w:rsidR="001A6C9B">
        <w:rPr>
          <w:i/>
          <w:iCs/>
        </w:rPr>
        <w:t>Evangelatos</w:t>
      </w:r>
      <w:r w:rsidRPr="0099367E" w:rsidR="001A6C9B">
        <w:t xml:space="preserve">, </w:t>
      </w:r>
      <w:r w:rsidRPr="0099367E" w:rsidR="001A6C9B">
        <w:rPr>
          <w:i/>
          <w:iCs/>
        </w:rPr>
        <w:t>supra</w:t>
      </w:r>
      <w:r w:rsidRPr="0099367E" w:rsidR="001A6C9B">
        <w:t xml:space="preserve">, </w:t>
      </w:r>
      <w:r w:rsidRPr="0099367E" w:rsidR="00F379B8">
        <w:t>44</w:t>
      </w:r>
      <w:r w:rsidRPr="0099367E" w:rsidR="00A43554">
        <w:t> </w:t>
      </w:r>
      <w:r w:rsidRPr="0099367E" w:rsidR="00F379B8">
        <w:t xml:space="preserve">Cal.3d at </w:t>
      </w:r>
      <w:r w:rsidRPr="0099367E" w:rsidR="004A139F">
        <w:t>p</w:t>
      </w:r>
      <w:r w:rsidRPr="0099367E" w:rsidR="00F379B8">
        <w:t>p.</w:t>
      </w:r>
      <w:r w:rsidRPr="0099367E" w:rsidR="00A43554">
        <w:t> </w:t>
      </w:r>
      <w:r w:rsidRPr="0099367E" w:rsidR="004A139F">
        <w:t>1208–</w:t>
      </w:r>
      <w:r w:rsidRPr="0099367E" w:rsidR="00F379B8">
        <w:t>1209 [</w:t>
      </w:r>
      <w:r w:rsidRPr="0099367E" w:rsidR="00DD75B5">
        <w:t>“</w:t>
      </w:r>
      <w:r w:rsidRPr="0099367E" w:rsidR="004A139F">
        <w:t>California continues to adhere to the time-honored principle</w:t>
      </w:r>
      <w:r w:rsidRPr="0099367E" w:rsidR="004B3C74">
        <w:t> . . .</w:t>
      </w:r>
      <w:r w:rsidRPr="0099367E" w:rsidR="004A139F">
        <w:t xml:space="preserve"> that in the absence of an express retroactivity provision, a statute will not be applied retroactively unless it is very clear from extrinsic sources that the Legislature or the voters must have intended a retroactive application. </w:t>
      </w:r>
      <w:r w:rsidRPr="0099367E" w:rsidR="00C97B4E">
        <w:t xml:space="preserve"> </w:t>
      </w:r>
      <w:r w:rsidRPr="0099367E" w:rsidR="004A139F">
        <w:t xml:space="preserve">The </w:t>
      </w:r>
      <w:r w:rsidRPr="0099367E" w:rsidR="00DD75B5">
        <w:t xml:space="preserve">language in </w:t>
      </w:r>
      <w:r w:rsidRPr="0099367E" w:rsidR="00DD75B5">
        <w:rPr>
          <w:i/>
          <w:iCs/>
        </w:rPr>
        <w:t>Estrada</w:t>
      </w:r>
      <w:r w:rsidRPr="0099367E" w:rsidR="00DD75B5">
        <w:t xml:space="preserve"> . . . should not be interpreted as modifying </w:t>
      </w:r>
      <w:r w:rsidRPr="0099367E" w:rsidR="00C97B4E">
        <w:t>this</w:t>
      </w:r>
      <w:r w:rsidRPr="0099367E" w:rsidR="00DD75B5">
        <w:t xml:space="preserve"> well-established, </w:t>
      </w:r>
      <w:r w:rsidRPr="0099367E" w:rsidR="00C97B4E">
        <w:t>legislatively</w:t>
      </w:r>
      <w:r w:rsidRPr="0099367E" w:rsidR="00F72D49">
        <w:t>-</w:t>
      </w:r>
      <w:r w:rsidRPr="0099367E" w:rsidR="00C97B4E">
        <w:t>mandated</w:t>
      </w:r>
      <w:r w:rsidRPr="0099367E" w:rsidR="00DD75B5">
        <w:t xml:space="preserve"> principle”</w:t>
      </w:r>
      <w:r w:rsidRPr="0099367E" w:rsidR="00BC3C55">
        <w:t>]</w:t>
      </w:r>
      <w:r w:rsidRPr="0099367E" w:rsidR="000E59DF">
        <w:t>.)</w:t>
      </w:r>
      <w:r w:rsidRPr="0099367E" w:rsidR="00525F0C">
        <w:t xml:space="preserve"> </w:t>
      </w:r>
      <w:r w:rsidRPr="0099367E" w:rsidR="005A5F18">
        <w:t xml:space="preserve"> </w:t>
      </w:r>
      <w:r w:rsidRPr="0099367E" w:rsidR="00D92021">
        <w:t xml:space="preserve">Rather, </w:t>
      </w:r>
      <w:r w:rsidRPr="0099367E" w:rsidR="00D92021">
        <w:rPr>
          <w:i/>
          <w:iCs/>
        </w:rPr>
        <w:t>Estrada</w:t>
      </w:r>
      <w:r w:rsidRPr="0099367E" w:rsidR="00D92021">
        <w:t xml:space="preserve"> </w:t>
      </w:r>
      <w:r w:rsidRPr="0099367E" w:rsidR="00884735">
        <w:t>informs</w:t>
      </w:r>
      <w:r w:rsidRPr="0099367E" w:rsidR="00525F0C">
        <w:t xml:space="preserve"> </w:t>
      </w:r>
      <w:r w:rsidRPr="0099367E" w:rsidR="001D20F8">
        <w:t>the application of</w:t>
      </w:r>
      <w:r w:rsidRPr="0099367E" w:rsidR="008E6F56">
        <w:t xml:space="preserve"> the</w:t>
      </w:r>
      <w:r w:rsidRPr="0099367E" w:rsidR="001D20F8">
        <w:t xml:space="preserve"> default rule</w:t>
      </w:r>
      <w:r w:rsidRPr="0099367E" w:rsidR="00525F0C">
        <w:t xml:space="preserve"> </w:t>
      </w:r>
      <w:r w:rsidRPr="0099367E" w:rsidR="00166E5B">
        <w:t>“</w:t>
      </w:r>
      <w:r w:rsidRPr="0099367E" w:rsidR="00525F0C">
        <w:t xml:space="preserve">in a specific context by articulating the reasonable presumption that a legislative act mitigating </w:t>
      </w:r>
      <w:r w:rsidRPr="0099367E" w:rsidR="004B6E7B">
        <w:t>the punishment for a particular criminal offense is intended to apply to all nonfinal judgments</w:t>
      </w:r>
      <w:r w:rsidRPr="0099367E" w:rsidR="00995660">
        <w:t>.</w:t>
      </w:r>
      <w:r w:rsidRPr="0099367E" w:rsidR="004B6E7B">
        <w:t>”</w:t>
      </w:r>
      <w:r w:rsidRPr="0099367E" w:rsidR="00ED4FCA">
        <w:t xml:space="preserve">  (</w:t>
      </w:r>
      <w:r w:rsidRPr="0099367E" w:rsidR="00166E5B">
        <w:rPr>
          <w:i/>
          <w:iCs/>
        </w:rPr>
        <w:t>Brown</w:t>
      </w:r>
      <w:r w:rsidRPr="0099367E" w:rsidR="00166E5B">
        <w:t>, at p.</w:t>
      </w:r>
      <w:r w:rsidRPr="0099367E" w:rsidR="00A43554">
        <w:t> </w:t>
      </w:r>
      <w:r w:rsidRPr="0099367E" w:rsidR="00166E5B">
        <w:t>324</w:t>
      </w:r>
      <w:r w:rsidRPr="0099367E">
        <w:t>.)</w:t>
      </w:r>
    </w:p>
    <w:p w:rsidR="00304130" w:rsidRPr="0099367E" w:rsidP="00C06DCD" w14:paraId="1D81A299" w14:textId="77777777">
      <w:pPr>
        <w:ind w:firstLine="720"/>
      </w:pPr>
      <w:r w:rsidRPr="0099367E">
        <w:t>W</w:t>
      </w:r>
      <w:r w:rsidRPr="0099367E" w:rsidR="00C87D48">
        <w:t xml:space="preserve">e have found </w:t>
      </w:r>
      <w:r w:rsidRPr="0099367E" w:rsidR="00C87D48">
        <w:rPr>
          <w:i/>
          <w:iCs/>
        </w:rPr>
        <w:t xml:space="preserve">Estrada </w:t>
      </w:r>
      <w:r w:rsidRPr="0099367E" w:rsidR="00C87D48">
        <w:t xml:space="preserve">inapplicable to </w:t>
      </w:r>
      <w:r w:rsidRPr="0099367E">
        <w:t>statutes</w:t>
      </w:r>
      <w:r w:rsidRPr="0099367E" w:rsidR="00C87D48">
        <w:t xml:space="preserve"> that, although arguably lessening punishment in some sense, did not implicate the central rationale behind the </w:t>
      </w:r>
      <w:r w:rsidRPr="0099367E" w:rsidR="00C87D48">
        <w:rPr>
          <w:i/>
          <w:iCs/>
        </w:rPr>
        <w:t xml:space="preserve">Estrada </w:t>
      </w:r>
      <w:r w:rsidRPr="0099367E" w:rsidR="00C87D48">
        <w:t xml:space="preserve">inference.  In </w:t>
      </w:r>
      <w:r w:rsidRPr="0099367E" w:rsidR="00C87D48">
        <w:rPr>
          <w:i/>
          <w:iCs/>
        </w:rPr>
        <w:t>Brown</w:t>
      </w:r>
      <w:r w:rsidRPr="0099367E" w:rsidR="00C87D48">
        <w:t xml:space="preserve">, we held that a statute that temporarily increased the rate at which local prisoners could earn conduct credits against their sentences for good behavior did not apply retroactively under </w:t>
      </w:r>
      <w:r w:rsidRPr="0099367E" w:rsidR="00C87D48">
        <w:rPr>
          <w:i/>
          <w:iCs/>
        </w:rPr>
        <w:t>Estrada</w:t>
      </w:r>
      <w:r w:rsidRPr="0099367E" w:rsidR="00AE5195">
        <w:t xml:space="preserve"> </w:t>
      </w:r>
      <w:r w:rsidRPr="0099367E" w:rsidR="00C87D48">
        <w:t>(</w:t>
      </w:r>
      <w:r w:rsidRPr="0099367E" w:rsidR="00C87D48">
        <w:rPr>
          <w:i/>
          <w:iCs/>
        </w:rPr>
        <w:t>Brown</w:t>
      </w:r>
      <w:r w:rsidRPr="0099367E" w:rsidR="00C87D48">
        <w:t xml:space="preserve">, </w:t>
      </w:r>
      <w:r w:rsidRPr="0099367E" w:rsidR="00C87D48">
        <w:rPr>
          <w:i/>
          <w:iCs/>
        </w:rPr>
        <w:t>supra</w:t>
      </w:r>
      <w:r w:rsidRPr="0099367E" w:rsidR="00C87D48">
        <w:t>, 54</w:t>
      </w:r>
      <w:r w:rsidRPr="0099367E" w:rsidR="006F7953">
        <w:t> </w:t>
      </w:r>
      <w:r w:rsidRPr="0099367E" w:rsidR="00C87D48">
        <w:t>Cal.4th at pp.</w:t>
      </w:r>
      <w:r w:rsidRPr="0099367E" w:rsidR="00A43554">
        <w:t> </w:t>
      </w:r>
      <w:r w:rsidRPr="0099367E" w:rsidR="00C87D48">
        <w:t>318, 320)</w:t>
      </w:r>
      <w:r w:rsidRPr="0099367E" w:rsidR="00AE5195">
        <w:t>, even though it resulted in less time served.</w:t>
      </w:r>
      <w:r w:rsidRPr="0099367E" w:rsidR="00C87D48">
        <w:t xml:space="preserve">  </w:t>
      </w:r>
      <w:r w:rsidRPr="0099367E" w:rsidR="0047658E">
        <w:t>We</w:t>
      </w:r>
      <w:r w:rsidRPr="0099367E" w:rsidR="00CF72F5">
        <w:t xml:space="preserve"> </w:t>
      </w:r>
      <w:r w:rsidRPr="0099367E" w:rsidR="009E0183">
        <w:t>emphasize</w:t>
      </w:r>
      <w:r w:rsidRPr="0099367E" w:rsidR="00CF72F5">
        <w:t>d</w:t>
      </w:r>
      <w:r w:rsidRPr="0099367E" w:rsidR="0047658E">
        <w:t xml:space="preserve"> that </w:t>
      </w:r>
      <w:r w:rsidRPr="0099367E" w:rsidR="0047658E">
        <w:rPr>
          <w:i/>
          <w:iCs/>
        </w:rPr>
        <w:t>Estrada</w:t>
      </w:r>
      <w:r w:rsidRPr="0099367E" w:rsidR="00F31154">
        <w:rPr>
          <w:i/>
          <w:iCs/>
        </w:rPr>
        <w:t xml:space="preserve"> </w:t>
      </w:r>
      <w:r w:rsidRPr="0099367E" w:rsidR="00F31154">
        <w:t>“supports an important, contextually specific qualification to the ordinary presumption that statutes operate prospectively:  When the Legislature has amended a statute to reduce the punishment for a particular criminal offense, we will assume, absent evidence to the contrary</w:t>
      </w:r>
      <w:r w:rsidRPr="0099367E" w:rsidR="00E81F5D">
        <w:t xml:space="preserve">, that the Legislature intended the amended statute to apply to all defendants whose judgments are not yet final </w:t>
      </w:r>
      <w:r w:rsidRPr="0099367E" w:rsidR="0040362F">
        <w:t xml:space="preserve">on the statute’s operative date.  [Citation.]  We based this conclusion on the premise that </w:t>
      </w:r>
      <w:r w:rsidRPr="0099367E" w:rsidR="00CF72F5">
        <w:t>‘</w:t>
      </w:r>
      <w:r w:rsidRPr="0099367E" w:rsidR="00AE6915">
        <w:t> “</w:t>
      </w:r>
      <w:r w:rsidRPr="0099367E" w:rsidR="0040362F">
        <w:t>[</w:t>
      </w:r>
      <w:r w:rsidRPr="0099367E" w:rsidR="0040362F">
        <w:rPr>
          <w:i/>
          <w:iCs/>
        </w:rPr>
        <w:t>a</w:t>
      </w:r>
      <w:r w:rsidRPr="0099367E" w:rsidR="0040362F">
        <w:t xml:space="preserve">] </w:t>
      </w:r>
      <w:r w:rsidRPr="0099367E" w:rsidR="0040362F">
        <w:rPr>
          <w:i/>
          <w:iCs/>
        </w:rPr>
        <w:t>legislative mitigation of the penalty for a particular crime</w:t>
      </w:r>
      <w:r w:rsidRPr="0099367E" w:rsidR="0040362F">
        <w:t xml:space="preserve"> represents a legislative judgment that the lesser penalty or the different treatment is sufficient to meet the legitimate ends of the criminal law.</w:t>
      </w:r>
      <w:r w:rsidRPr="0099367E" w:rsidR="00AE6915">
        <w:t>” </w:t>
      </w:r>
      <w:r w:rsidRPr="0099367E" w:rsidR="00CF72F5">
        <w:t>’ </w:t>
      </w:r>
      <w:r w:rsidRPr="0099367E" w:rsidR="0047658E">
        <w:t xml:space="preserve">” </w:t>
      </w:r>
      <w:r w:rsidRPr="0099367E" w:rsidR="00CF72F5">
        <w:t xml:space="preserve"> </w:t>
      </w:r>
      <w:r w:rsidRPr="0099367E" w:rsidR="0047658E">
        <w:t>(</w:t>
      </w:r>
      <w:r w:rsidRPr="0099367E" w:rsidR="0047658E">
        <w:rPr>
          <w:i/>
          <w:iCs/>
        </w:rPr>
        <w:t>Brown</w:t>
      </w:r>
      <w:r w:rsidRPr="0099367E" w:rsidR="0047658E">
        <w:t>,</w:t>
      </w:r>
      <w:r w:rsidRPr="0099367E" w:rsidR="0047658E">
        <w:rPr>
          <w:i/>
          <w:iCs/>
        </w:rPr>
        <w:t xml:space="preserve"> </w:t>
      </w:r>
      <w:r w:rsidRPr="0099367E" w:rsidR="0047658E">
        <w:t>at p.</w:t>
      </w:r>
      <w:r w:rsidRPr="0099367E" w:rsidR="00A43554">
        <w:t> </w:t>
      </w:r>
      <w:r w:rsidRPr="0099367E" w:rsidR="0047658E">
        <w:t>323, fn. omitted</w:t>
      </w:r>
      <w:r w:rsidRPr="0099367E" w:rsidR="00CF72F5">
        <w:t>.</w:t>
      </w:r>
      <w:r w:rsidRPr="0099367E" w:rsidR="0047658E">
        <w:t>)</w:t>
      </w:r>
      <w:r w:rsidRPr="0099367E" w:rsidR="00CF72F5">
        <w:t xml:space="preserve">  </w:t>
      </w:r>
    </w:p>
    <w:p w:rsidR="00D53BD1" w:rsidRPr="0099367E" w:rsidP="00C06DCD" w14:paraId="1D81A29A" w14:textId="77777777">
      <w:pPr>
        <w:ind w:firstLine="720"/>
      </w:pPr>
      <w:r w:rsidRPr="0099367E">
        <w:t xml:space="preserve">We </w:t>
      </w:r>
      <w:r w:rsidRPr="0099367E" w:rsidR="000B05F3">
        <w:t xml:space="preserve">concluded in </w:t>
      </w:r>
      <w:r w:rsidRPr="0099367E" w:rsidR="000B05F3">
        <w:rPr>
          <w:i/>
          <w:iCs/>
        </w:rPr>
        <w:t xml:space="preserve">Brown </w:t>
      </w:r>
      <w:r w:rsidRPr="0099367E" w:rsidR="000B05F3">
        <w:t xml:space="preserve">that although </w:t>
      </w:r>
      <w:r w:rsidRPr="0099367E" w:rsidR="00B87937">
        <w:t xml:space="preserve">the statute’s increased </w:t>
      </w:r>
      <w:r w:rsidRPr="0099367E" w:rsidR="002162E5">
        <w:t>rate</w:t>
      </w:r>
      <w:r w:rsidRPr="0099367E" w:rsidR="003C4ED2">
        <w:t xml:space="preserve"> for earning conduct credits</w:t>
      </w:r>
      <w:r w:rsidRPr="0099367E" w:rsidR="00AE5195">
        <w:t xml:space="preserve"> </w:t>
      </w:r>
      <w:r w:rsidRPr="0099367E" w:rsidR="00C87D48">
        <w:t>functioned in practice t</w:t>
      </w:r>
      <w:r w:rsidRPr="0099367E" w:rsidR="00341228">
        <w:t xml:space="preserve">o </w:t>
      </w:r>
      <w:r w:rsidRPr="0099367E" w:rsidR="00B87937">
        <w:t>reduce punishment</w:t>
      </w:r>
      <w:r w:rsidRPr="0099367E" w:rsidR="002162E5">
        <w:t xml:space="preserve">, it did not fall within the scope of </w:t>
      </w:r>
      <w:r w:rsidRPr="0099367E" w:rsidR="002162E5">
        <w:rPr>
          <w:i/>
          <w:iCs/>
        </w:rPr>
        <w:t>Estrada</w:t>
      </w:r>
      <w:r w:rsidRPr="0099367E" w:rsidR="00CD4610">
        <w:t>.  We explained that “</w:t>
      </w:r>
      <w:r w:rsidRPr="0099367E" w:rsidR="006F78F3">
        <w:t xml:space="preserve">the rule and logic of </w:t>
      </w:r>
      <w:r w:rsidRPr="0099367E" w:rsidR="006F78F3">
        <w:rPr>
          <w:i/>
          <w:iCs/>
        </w:rPr>
        <w:t>Estrada</w:t>
      </w:r>
      <w:r w:rsidRPr="0099367E" w:rsidR="006F78F3">
        <w:t xml:space="preserve"> is specifically directed to a statute that represents ‘ “a legislative mitigation of the </w:t>
      </w:r>
      <w:r w:rsidRPr="0099367E" w:rsidR="006F78F3">
        <w:rPr>
          <w:i/>
          <w:iCs/>
        </w:rPr>
        <w:t>penalty for a particular crime</w:t>
      </w:r>
      <w:r w:rsidRPr="0099367E" w:rsidR="006F78F3">
        <w:t>” ’ [citation] because such a law supports the inference that the Legislature would prefer to impose the new, shorter penalty rather than to ‘ “satisfy a desire for vengeance” ’ [citation].  The same logic does not inform our understanding of a law that rewards good behavior in prison.”  (</w:t>
      </w:r>
      <w:r w:rsidRPr="0099367E" w:rsidR="006F78F3">
        <w:rPr>
          <w:i/>
          <w:iCs/>
        </w:rPr>
        <w:t>Brown</w:t>
      </w:r>
      <w:r w:rsidRPr="0099367E" w:rsidR="006F78F3">
        <w:t xml:space="preserve">, </w:t>
      </w:r>
      <w:r w:rsidRPr="0099367E" w:rsidR="006F78F3">
        <w:rPr>
          <w:i/>
          <w:iCs/>
        </w:rPr>
        <w:t>supra</w:t>
      </w:r>
      <w:r w:rsidRPr="0099367E" w:rsidR="006F78F3">
        <w:t>, 54</w:t>
      </w:r>
      <w:r w:rsidRPr="0099367E" w:rsidR="006F7953">
        <w:t> </w:t>
      </w:r>
      <w:r w:rsidRPr="0099367E" w:rsidR="006F78F3">
        <w:t>Cal.4th at p.</w:t>
      </w:r>
      <w:r w:rsidRPr="0099367E" w:rsidR="003C4ED2">
        <w:t> </w:t>
      </w:r>
      <w:r w:rsidRPr="0099367E" w:rsidR="006F78F3">
        <w:t>325.)</w:t>
      </w:r>
      <w:r w:rsidRPr="0099367E" w:rsidR="00474B0C">
        <w:t xml:space="preserve">  We </w:t>
      </w:r>
      <w:r w:rsidRPr="0099367E" w:rsidR="00CF72F5">
        <w:t xml:space="preserve">rejected the </w:t>
      </w:r>
      <w:r w:rsidRPr="0099367E" w:rsidR="002F54EF">
        <w:t>argument</w:t>
      </w:r>
      <w:r w:rsidRPr="0099367E" w:rsidR="00CF72F5">
        <w:t xml:space="preserve"> that </w:t>
      </w:r>
      <w:r w:rsidRPr="0099367E" w:rsidR="00CF72F5">
        <w:rPr>
          <w:i/>
          <w:iCs/>
        </w:rPr>
        <w:t>Estrada</w:t>
      </w:r>
      <w:r w:rsidRPr="0099367E" w:rsidR="00CF72F5">
        <w:t xml:space="preserve"> should be understood to apply more broadly to any statute that reduces punishment in any manner</w:t>
      </w:r>
      <w:r w:rsidRPr="0099367E" w:rsidR="00474B0C">
        <w:t xml:space="preserve">, </w:t>
      </w:r>
      <w:r w:rsidRPr="0099367E" w:rsidR="00EC2AE3">
        <w:t>explaining</w:t>
      </w:r>
      <w:r w:rsidRPr="0099367E" w:rsidR="00474B0C">
        <w:t xml:space="preserve"> that this </w:t>
      </w:r>
      <w:r w:rsidRPr="0099367E" w:rsidR="002F54EF">
        <w:t>con</w:t>
      </w:r>
      <w:r w:rsidRPr="0099367E" w:rsidR="00E94651">
        <w:t>t</w:t>
      </w:r>
      <w:r w:rsidRPr="0099367E" w:rsidR="002F54EF">
        <w:t>ention</w:t>
      </w:r>
      <w:r w:rsidRPr="0099367E" w:rsidR="00E94651">
        <w:t xml:space="preserve"> “</w:t>
      </w:r>
      <w:r w:rsidRPr="0099367E" w:rsidR="00474B0C">
        <w:t>would e</w:t>
      </w:r>
      <w:r w:rsidRPr="0099367E" w:rsidR="00EC2AE3">
        <w:t xml:space="preserve">xpand the </w:t>
      </w:r>
      <w:r w:rsidRPr="0099367E" w:rsidR="00EC2AE3">
        <w:rPr>
          <w:i/>
          <w:iCs/>
        </w:rPr>
        <w:t>Estrada</w:t>
      </w:r>
      <w:r w:rsidRPr="0099367E" w:rsidR="00EC2AE3">
        <w:t xml:space="preserve"> rule</w:t>
      </w:r>
      <w:r w:rsidRPr="0099367E" w:rsidR="00E669D4">
        <w:t>’</w:t>
      </w:r>
      <w:r w:rsidRPr="0099367E" w:rsidR="00EC2AE3">
        <w:t xml:space="preserve">s scope </w:t>
      </w:r>
      <w:r w:rsidRPr="0099367E" w:rsidR="00E94651">
        <w:t xml:space="preserve">of operation in precisely the manner we forbade” </w:t>
      </w:r>
      <w:r w:rsidRPr="0099367E" w:rsidR="00474EB6">
        <w:t xml:space="preserve">in </w:t>
      </w:r>
      <w:r w:rsidRPr="0099367E" w:rsidR="00E840B7">
        <w:t xml:space="preserve">our </w:t>
      </w:r>
      <w:r w:rsidRPr="0099367E" w:rsidR="00474EB6">
        <w:t>prior decisions</w:t>
      </w:r>
      <w:r w:rsidRPr="0099367E" w:rsidR="00E94651">
        <w:t xml:space="preserve">, and “does not in any event represent a logical extension of </w:t>
      </w:r>
      <w:r w:rsidRPr="0099367E" w:rsidR="00E94651">
        <w:rPr>
          <w:i/>
          <w:iCs/>
        </w:rPr>
        <w:t>Estrada</w:t>
      </w:r>
      <w:r w:rsidRPr="0099367E" w:rsidR="00E94651">
        <w:t>’s reasoning.”  (</w:t>
      </w:r>
      <w:r w:rsidRPr="0099367E" w:rsidR="00E94651">
        <w:rPr>
          <w:i/>
          <w:iCs/>
        </w:rPr>
        <w:t>Brown</w:t>
      </w:r>
      <w:r w:rsidRPr="0099367E" w:rsidR="00E94651">
        <w:t>, at p.</w:t>
      </w:r>
      <w:r w:rsidRPr="0099367E" w:rsidR="00E669D4">
        <w:t> </w:t>
      </w:r>
      <w:r w:rsidRPr="0099367E" w:rsidR="00E94651">
        <w:t xml:space="preserve">325.)  </w:t>
      </w:r>
    </w:p>
    <w:p w:rsidR="005E10A3" w:rsidRPr="0099367E" w:rsidP="00C06DCD" w14:paraId="1D81A29B" w14:textId="77777777">
      <w:pPr>
        <w:ind w:firstLine="720"/>
      </w:pPr>
      <w:r w:rsidRPr="0099367E">
        <w:t xml:space="preserve">Consistent with our reasoning in </w:t>
      </w:r>
      <w:r w:rsidRPr="0099367E">
        <w:rPr>
          <w:i/>
          <w:iCs/>
        </w:rPr>
        <w:t>Brown</w:t>
      </w:r>
      <w:r w:rsidRPr="0099367E">
        <w:t xml:space="preserve">, </w:t>
      </w:r>
      <w:r w:rsidRPr="0099367E" w:rsidR="00D81676">
        <w:t xml:space="preserve">both </w:t>
      </w:r>
      <w:r w:rsidRPr="0099367E">
        <w:t xml:space="preserve">our case law and decisions by the Courts of Appeal have declined to apply the </w:t>
      </w:r>
      <w:r w:rsidRPr="0099367E">
        <w:rPr>
          <w:i/>
          <w:iCs/>
        </w:rPr>
        <w:t>Estrada</w:t>
      </w:r>
      <w:r w:rsidRPr="0099367E">
        <w:t xml:space="preserve"> presumption to new legislation that modified aspects of how criminal cases are investigated or tried.</w:t>
      </w:r>
      <w:r>
        <w:rPr>
          <w:rStyle w:val="FootnoteReference"/>
        </w:rPr>
        <w:footnoteReference w:id="5"/>
      </w:r>
      <w:r w:rsidRPr="0099367E">
        <w:t xml:space="preserve">  (Accord, </w:t>
      </w:r>
      <w:r w:rsidRPr="0099367E">
        <w:rPr>
          <w:i/>
          <w:iCs/>
        </w:rPr>
        <w:t>Tapia</w:t>
      </w:r>
      <w:r w:rsidRPr="0099367E">
        <w:t xml:space="preserve">, </w:t>
      </w:r>
      <w:r w:rsidRPr="0099367E">
        <w:rPr>
          <w:i/>
          <w:iCs/>
        </w:rPr>
        <w:t>supra</w:t>
      </w:r>
      <w:r w:rsidRPr="0099367E">
        <w:t>, 53</w:t>
      </w:r>
      <w:r w:rsidRPr="0099367E" w:rsidR="006F7953">
        <w:t> </w:t>
      </w:r>
      <w:r w:rsidRPr="0099367E">
        <w:t xml:space="preserve">Cal.3d at p. 299 [we apply laws that “address the conduct of trials” that are in effect at the time of trial]; </w:t>
      </w:r>
      <w:r w:rsidRPr="0099367E">
        <w:rPr>
          <w:i/>
          <w:iCs/>
        </w:rPr>
        <w:t>People v. Mortimer</w:t>
      </w:r>
      <w:r w:rsidRPr="0099367E">
        <w:t xml:space="preserve"> (1873) 46</w:t>
      </w:r>
      <w:r w:rsidRPr="0099367E" w:rsidR="002A0A11">
        <w:t> </w:t>
      </w:r>
      <w:r w:rsidRPr="0099367E">
        <w:t xml:space="preserve">Cal. 114, 118 [Pen. Code procedures govern trial of crimes defined and committed before the code’s enactment].)  In </w:t>
      </w:r>
      <w:r w:rsidRPr="0099367E">
        <w:rPr>
          <w:i/>
          <w:iCs/>
        </w:rPr>
        <w:t xml:space="preserve">People v. Robertson </w:t>
      </w:r>
      <w:r w:rsidRPr="0099367E">
        <w:t>(1989) 48</w:t>
      </w:r>
      <w:r w:rsidRPr="0099367E" w:rsidR="002A0A11">
        <w:t> </w:t>
      </w:r>
      <w:r w:rsidRPr="0099367E">
        <w:t>Cal.3d 18, 51</w:t>
      </w:r>
      <w:r w:rsidRPr="0099367E" w:rsidR="00AE6915">
        <w:t xml:space="preserve"> (</w:t>
      </w:r>
      <w:r w:rsidRPr="0099367E" w:rsidR="00AE6915">
        <w:rPr>
          <w:i/>
          <w:iCs/>
        </w:rPr>
        <w:t>Robertson</w:t>
      </w:r>
      <w:r w:rsidRPr="0099367E" w:rsidR="00AE6915">
        <w:t>)</w:t>
      </w:r>
      <w:r w:rsidRPr="0099367E">
        <w:t xml:space="preserve">, we held that a newly enacted death penalty law prohibiting the consideration of nonstatutory factors in aggravation, which the former death penalty law allowed, did not apply retroactively under </w:t>
      </w:r>
      <w:r w:rsidRPr="0099367E">
        <w:rPr>
          <w:i/>
          <w:iCs/>
        </w:rPr>
        <w:t>Estrada</w:t>
      </w:r>
      <w:r w:rsidRPr="0099367E">
        <w:t>.  We reasoned that the law “had no bearing on the criminality of defendant’s conduct or the severity of punishment therefor; hence the statute in effect at the time of the offenses governs” the penalty phase retrial.  (</w:t>
      </w:r>
      <w:r w:rsidRPr="0099367E" w:rsidR="00A03C07">
        <w:rPr>
          <w:i/>
          <w:iCs/>
        </w:rPr>
        <w:t>Ibid</w:t>
      </w:r>
      <w:r w:rsidRPr="00F36ECC" w:rsidR="00A03C07">
        <w:t>.</w:t>
      </w:r>
      <w:r w:rsidRPr="0099367E" w:rsidR="00E669D4">
        <w:t>)</w:t>
      </w:r>
    </w:p>
    <w:p w:rsidR="00212997" w:rsidRPr="0099367E" w:rsidP="00C06DCD" w14:paraId="1D81A29C" w14:textId="77777777">
      <w:pPr>
        <w:ind w:firstLine="720"/>
      </w:pPr>
      <w:r w:rsidRPr="0099367E">
        <w:t xml:space="preserve">In </w:t>
      </w:r>
      <w:r w:rsidRPr="0099367E">
        <w:rPr>
          <w:i/>
          <w:iCs/>
        </w:rPr>
        <w:t xml:space="preserve">People v. Cervantes </w:t>
      </w:r>
      <w:r w:rsidRPr="0099367E">
        <w:t>(2020) 55</w:t>
      </w:r>
      <w:r w:rsidRPr="0099367E" w:rsidR="002A0A11">
        <w:t> </w:t>
      </w:r>
      <w:r w:rsidRPr="0099367E">
        <w:t>Cal.App.5th 927</w:t>
      </w:r>
      <w:r w:rsidRPr="0099367E" w:rsidR="008F0E46">
        <w:t xml:space="preserve"> (</w:t>
      </w:r>
      <w:r w:rsidRPr="0099367E" w:rsidR="008F0E46">
        <w:rPr>
          <w:i/>
          <w:iCs/>
        </w:rPr>
        <w:t>Cervantes</w:t>
      </w:r>
      <w:r w:rsidRPr="0099367E" w:rsidR="008F0E46">
        <w:t>)</w:t>
      </w:r>
      <w:r w:rsidRPr="0099367E">
        <w:t>, the Court of Appeal held that legislative amendments to section 859.5</w:t>
      </w:r>
      <w:r w:rsidRPr="0099367E" w:rsidR="007C0156">
        <w:t>, which exp</w:t>
      </w:r>
      <w:r w:rsidRPr="0099367E" w:rsidR="003E4A45">
        <w:t>a</w:t>
      </w:r>
      <w:r w:rsidRPr="0099367E" w:rsidR="007C0156">
        <w:t xml:space="preserve">nded the </w:t>
      </w:r>
      <w:r w:rsidRPr="0099367E" w:rsidR="003E4A45">
        <w:t>requirement of</w:t>
      </w:r>
      <w:r w:rsidRPr="0099367E">
        <w:t xml:space="preserve"> </w:t>
      </w:r>
      <w:r w:rsidRPr="0099367E" w:rsidR="003E4A45">
        <w:t>recorded</w:t>
      </w:r>
      <w:r w:rsidRPr="0099367E" w:rsidR="001E5E18">
        <w:t xml:space="preserve"> custodial interrogations </w:t>
      </w:r>
      <w:r w:rsidRPr="0099367E" w:rsidR="003E4A45">
        <w:t>to</w:t>
      </w:r>
      <w:r w:rsidRPr="0099367E" w:rsidR="001E5E18">
        <w:t xml:space="preserve"> all persons suspected of committing murder</w:t>
      </w:r>
      <w:r w:rsidRPr="0099367E" w:rsidR="00630B56">
        <w:t>,</w:t>
      </w:r>
      <w:r w:rsidRPr="0099367E" w:rsidR="001E5E18">
        <w:t xml:space="preserve"> </w:t>
      </w:r>
      <w:r w:rsidRPr="0099367E" w:rsidR="00464D62">
        <w:t xml:space="preserve">did not come within </w:t>
      </w:r>
      <w:r w:rsidRPr="0099367E" w:rsidR="00464D62">
        <w:rPr>
          <w:i/>
          <w:iCs/>
        </w:rPr>
        <w:t>Estrada</w:t>
      </w:r>
      <w:r w:rsidRPr="0099367E" w:rsidR="00464D62">
        <w:t xml:space="preserve">’s limited exception to section 3’s general rule of </w:t>
      </w:r>
      <w:r w:rsidRPr="0099367E" w:rsidR="00C06D92">
        <w:t xml:space="preserve">prospective application </w:t>
      </w:r>
      <w:r w:rsidRPr="0099367E" w:rsidR="00D143BE">
        <w:t xml:space="preserve">because </w:t>
      </w:r>
      <w:r w:rsidRPr="0099367E" w:rsidR="001E0875">
        <w:t xml:space="preserve">the amendments </w:t>
      </w:r>
      <w:r w:rsidRPr="0099367E" w:rsidR="000A708E">
        <w:t>d</w:t>
      </w:r>
      <w:r w:rsidRPr="0099367E" w:rsidR="00630B56">
        <w:t>id</w:t>
      </w:r>
      <w:r w:rsidRPr="0099367E" w:rsidR="00D143BE">
        <w:t xml:space="preserve"> not alter or reduce criminal punishment or treatment for past criminal conduct</w:t>
      </w:r>
      <w:r w:rsidRPr="0099367E" w:rsidR="00464D62">
        <w:t>.  (</w:t>
      </w:r>
      <w:r w:rsidRPr="0099367E" w:rsidR="00464D62">
        <w:rPr>
          <w:i/>
          <w:iCs/>
        </w:rPr>
        <w:t>Cervantes</w:t>
      </w:r>
      <w:r w:rsidRPr="0099367E" w:rsidR="00464D62">
        <w:t xml:space="preserve">, at </w:t>
      </w:r>
      <w:r w:rsidRPr="0099367E" w:rsidR="00E52C43">
        <w:t>p.</w:t>
      </w:r>
      <w:r w:rsidRPr="0099367E" w:rsidR="00C06D92">
        <w:t> </w:t>
      </w:r>
      <w:r w:rsidRPr="0099367E" w:rsidR="00E52C43">
        <w:t xml:space="preserve">940.)  </w:t>
      </w:r>
      <w:r w:rsidRPr="0099367E" w:rsidR="000A708E">
        <w:t xml:space="preserve">The </w:t>
      </w:r>
      <w:r w:rsidRPr="0099367E">
        <w:rPr>
          <w:i/>
          <w:iCs/>
        </w:rPr>
        <w:t>Cervantes</w:t>
      </w:r>
      <w:r w:rsidRPr="0099367E" w:rsidR="000A708E">
        <w:rPr>
          <w:i/>
          <w:iCs/>
        </w:rPr>
        <w:t xml:space="preserve"> </w:t>
      </w:r>
      <w:r w:rsidRPr="0099367E" w:rsidR="000A708E">
        <w:t xml:space="preserve">court further held that the </w:t>
      </w:r>
      <w:r w:rsidRPr="0099367E" w:rsidR="0095749A">
        <w:t xml:space="preserve">logic of </w:t>
      </w:r>
      <w:r w:rsidRPr="0099367E" w:rsidR="0095749A">
        <w:rPr>
          <w:i/>
          <w:iCs/>
        </w:rPr>
        <w:t xml:space="preserve">Estrada </w:t>
      </w:r>
      <w:r w:rsidRPr="0099367E" w:rsidR="0095749A">
        <w:t>d</w:t>
      </w:r>
      <w:r w:rsidRPr="0099367E" w:rsidR="00630B56">
        <w:t>id</w:t>
      </w:r>
      <w:r w:rsidRPr="0099367E" w:rsidR="0095749A">
        <w:t xml:space="preserve"> not apply because </w:t>
      </w:r>
      <w:r w:rsidRPr="0099367E" w:rsidR="00415B5F">
        <w:t xml:space="preserve">the </w:t>
      </w:r>
      <w:r w:rsidRPr="0099367E" w:rsidR="009D2F6B">
        <w:t xml:space="preserve">legislative findings </w:t>
      </w:r>
      <w:r w:rsidRPr="0099367E" w:rsidR="00000318">
        <w:t>accompanying</w:t>
      </w:r>
      <w:r w:rsidRPr="0099367E" w:rsidR="009D2F6B">
        <w:t xml:space="preserve"> section 8</w:t>
      </w:r>
      <w:r w:rsidRPr="0099367E" w:rsidR="00544CE0">
        <w:t>59.5</w:t>
      </w:r>
      <w:r w:rsidRPr="0099367E" w:rsidR="00000318">
        <w:t>’s amendments indicate</w:t>
      </w:r>
      <w:r w:rsidRPr="0099367E" w:rsidR="00EA30EE">
        <w:t>d</w:t>
      </w:r>
      <w:r w:rsidRPr="0099367E" w:rsidR="00000318">
        <w:t xml:space="preserve"> </w:t>
      </w:r>
      <w:r w:rsidRPr="0099367E" w:rsidR="007D21A7">
        <w:t>the</w:t>
      </w:r>
      <w:r w:rsidRPr="0099367E" w:rsidR="00192138">
        <w:t xml:space="preserve"> changes</w:t>
      </w:r>
      <w:r w:rsidRPr="0099367E" w:rsidR="007D21A7">
        <w:t xml:space="preserve"> </w:t>
      </w:r>
      <w:r w:rsidRPr="0099367E" w:rsidR="00CB0937">
        <w:t>“</w:t>
      </w:r>
      <w:r w:rsidRPr="0099367E" w:rsidR="00595014">
        <w:t>were not designed to provide a clear and significant benefit to defendants; they</w:t>
      </w:r>
      <w:r w:rsidRPr="0099367E" w:rsidR="00CB0937">
        <w:t xml:space="preserve"> were designed to reduce biased interpretation of, and ensure the accuracy of the evidence of, the communication that occurs in an interrogation</w:t>
      </w:r>
      <w:r w:rsidRPr="0099367E" w:rsidR="0095749A">
        <w:t>.”</w:t>
      </w:r>
      <w:r w:rsidRPr="0099367E" w:rsidR="00000318">
        <w:t xml:space="preserve">  </w:t>
      </w:r>
      <w:r w:rsidRPr="0099367E" w:rsidR="00595014">
        <w:t>(</w:t>
      </w:r>
      <w:r w:rsidRPr="0099367E" w:rsidR="00595014">
        <w:rPr>
          <w:i/>
          <w:iCs/>
        </w:rPr>
        <w:t>Cervantes</w:t>
      </w:r>
      <w:r w:rsidRPr="0099367E" w:rsidR="00595014">
        <w:t>, at p.</w:t>
      </w:r>
      <w:r w:rsidRPr="0099367E" w:rsidR="00C06D92">
        <w:t> </w:t>
      </w:r>
      <w:r w:rsidRPr="0099367E" w:rsidR="007D21A7">
        <w:t xml:space="preserve">941.)  </w:t>
      </w:r>
    </w:p>
    <w:p w:rsidR="00494D7F" w:rsidRPr="0099367E" w:rsidP="00C06DCD" w14:paraId="1D81A29D" w14:textId="77777777">
      <w:pPr>
        <w:ind w:firstLine="720"/>
      </w:pPr>
      <w:r w:rsidRPr="0099367E">
        <w:t xml:space="preserve">Similarly, </w:t>
      </w:r>
      <w:r w:rsidRPr="0099367E" w:rsidR="002B2082">
        <w:t>i</w:t>
      </w:r>
      <w:r w:rsidRPr="0099367E">
        <w:t xml:space="preserve">n </w:t>
      </w:r>
      <w:r w:rsidRPr="0099367E">
        <w:rPr>
          <w:i/>
          <w:iCs/>
        </w:rPr>
        <w:t>People v. Sandee</w:t>
      </w:r>
      <w:r w:rsidRPr="0099367E">
        <w:t xml:space="preserve"> (2017) 15</w:t>
      </w:r>
      <w:r w:rsidRPr="0099367E" w:rsidR="002A0A11">
        <w:t> </w:t>
      </w:r>
      <w:r w:rsidRPr="0099367E">
        <w:t>Cal.App.5th 294</w:t>
      </w:r>
      <w:r w:rsidRPr="0099367E" w:rsidR="00353C67">
        <w:t xml:space="preserve"> (</w:t>
      </w:r>
      <w:r w:rsidRPr="0099367E" w:rsidR="00353C67">
        <w:rPr>
          <w:i/>
          <w:iCs/>
        </w:rPr>
        <w:t>Sandee</w:t>
      </w:r>
      <w:r w:rsidRPr="0099367E" w:rsidR="00353C67">
        <w:t>)</w:t>
      </w:r>
      <w:r w:rsidRPr="0099367E">
        <w:t xml:space="preserve">, </w:t>
      </w:r>
      <w:r w:rsidRPr="0099367E" w:rsidR="00D874EF">
        <w:t xml:space="preserve">the Court of Appeal rejected the claim that </w:t>
      </w:r>
      <w:r w:rsidRPr="0099367E" w:rsidR="00281335">
        <w:t xml:space="preserve">the </w:t>
      </w:r>
      <w:r w:rsidRPr="0099367E" w:rsidR="00D874EF">
        <w:t>Electronic Communications Privacy Act (</w:t>
      </w:r>
      <w:r w:rsidRPr="0099367E" w:rsidR="00805A23">
        <w:t>§</w:t>
      </w:r>
      <w:r w:rsidRPr="0099367E" w:rsidR="00E64DAA">
        <w:t> </w:t>
      </w:r>
      <w:r w:rsidRPr="0099367E" w:rsidR="00805A23">
        <w:t xml:space="preserve">1546 et seq.), which limited </w:t>
      </w:r>
      <w:r w:rsidRPr="0099367E" w:rsidR="005B34DC">
        <w:t xml:space="preserve">a government entity’s access </w:t>
      </w:r>
      <w:r w:rsidRPr="0099367E" w:rsidR="00374E22">
        <w:t>to</w:t>
      </w:r>
      <w:r w:rsidRPr="0099367E" w:rsidR="005B34DC">
        <w:t xml:space="preserve"> electronic device information</w:t>
      </w:r>
      <w:r w:rsidRPr="0099367E" w:rsidR="007858AF">
        <w:t xml:space="preserve">, applied retroactively under </w:t>
      </w:r>
      <w:r w:rsidRPr="0099367E" w:rsidR="007858AF">
        <w:rPr>
          <w:i/>
          <w:iCs/>
        </w:rPr>
        <w:t>Estrada</w:t>
      </w:r>
      <w:r w:rsidRPr="0099367E" w:rsidR="007858AF">
        <w:t>.  (</w:t>
      </w:r>
      <w:r w:rsidRPr="0099367E" w:rsidR="007858AF">
        <w:rPr>
          <w:i/>
          <w:iCs/>
        </w:rPr>
        <w:t>Sandee</w:t>
      </w:r>
      <w:r w:rsidRPr="0099367E" w:rsidR="007858AF">
        <w:t>, at p.</w:t>
      </w:r>
      <w:r w:rsidRPr="0099367E" w:rsidR="00C06D92">
        <w:t> </w:t>
      </w:r>
      <w:r w:rsidRPr="0099367E" w:rsidR="007858AF">
        <w:t xml:space="preserve">305, </w:t>
      </w:r>
      <w:r w:rsidRPr="0099367E" w:rsidR="00985A57">
        <w:t>fn.</w:t>
      </w:r>
      <w:r w:rsidRPr="0099367E" w:rsidR="00C06D92">
        <w:t> </w:t>
      </w:r>
      <w:r w:rsidRPr="0099367E" w:rsidR="00985A57">
        <w:t xml:space="preserve">7.)  The court </w:t>
      </w:r>
      <w:r w:rsidRPr="0099367E" w:rsidR="00BA373F">
        <w:t xml:space="preserve">determined that “[t]he retroactivity principle discussed in </w:t>
      </w:r>
      <w:r w:rsidRPr="0099367E" w:rsidR="00BA373F">
        <w:rPr>
          <w:i/>
          <w:iCs/>
        </w:rPr>
        <w:t>Estrada</w:t>
      </w:r>
      <w:r w:rsidRPr="0099367E" w:rsidR="00BA373F">
        <w:t xml:space="preserve"> is not applicable here because the [statute] does not have the effect of lessening the punishment for a crime.”  (</w:t>
      </w:r>
      <w:r w:rsidRPr="0099367E" w:rsidR="00BA373F">
        <w:rPr>
          <w:i/>
          <w:iCs/>
        </w:rPr>
        <w:t>Ibid</w:t>
      </w:r>
      <w:r w:rsidRPr="0099367E" w:rsidR="00BA373F">
        <w:t>.)</w:t>
      </w:r>
    </w:p>
    <w:p w:rsidR="00867AE2" w:rsidRPr="0099367E" w:rsidP="00C06DCD" w14:paraId="1D81A29E" w14:textId="77777777">
      <w:pPr>
        <w:ind w:firstLine="720"/>
      </w:pPr>
      <w:r w:rsidRPr="0099367E">
        <w:t xml:space="preserve">In sum, we have </w:t>
      </w:r>
      <w:r w:rsidRPr="0099367E" w:rsidR="000345B9">
        <w:t xml:space="preserve">adhered to section 3’s default rule of </w:t>
      </w:r>
      <w:r w:rsidRPr="0099367E" w:rsidR="00A357DC">
        <w:t xml:space="preserve">prospective operation </w:t>
      </w:r>
      <w:r w:rsidRPr="0099367E" w:rsidR="00556CE9">
        <w:t xml:space="preserve">in a variety of contexts </w:t>
      </w:r>
      <w:r w:rsidRPr="0099367E" w:rsidR="000345B9">
        <w:t xml:space="preserve">and have </w:t>
      </w:r>
      <w:r w:rsidRPr="0099367E">
        <w:t xml:space="preserve">applied </w:t>
      </w:r>
      <w:r w:rsidRPr="0099367E">
        <w:rPr>
          <w:i/>
          <w:iCs/>
        </w:rPr>
        <w:t>Estrada</w:t>
      </w:r>
      <w:r w:rsidRPr="0099367E" w:rsidR="000345B9">
        <w:t>’s</w:t>
      </w:r>
      <w:r w:rsidRPr="0099367E">
        <w:t xml:space="preserve"> </w:t>
      </w:r>
      <w:r w:rsidRPr="0099367E" w:rsidR="006408C8">
        <w:t xml:space="preserve">limited </w:t>
      </w:r>
      <w:r w:rsidRPr="0099367E">
        <w:t xml:space="preserve">inference of retroactivity </w:t>
      </w:r>
      <w:r w:rsidRPr="0099367E" w:rsidR="005E10A3">
        <w:t xml:space="preserve">only </w:t>
      </w:r>
      <w:r w:rsidRPr="0099367E">
        <w:t xml:space="preserve">to statutes that “are analogous to the </w:t>
      </w:r>
      <w:r w:rsidRPr="0099367E">
        <w:rPr>
          <w:i/>
          <w:iCs/>
        </w:rPr>
        <w:t>Estrada</w:t>
      </w:r>
      <w:r w:rsidRPr="0099367E">
        <w:t xml:space="preserve"> situation” and by their nature implicate “</w:t>
      </w:r>
      <w:r w:rsidRPr="0099367E">
        <w:rPr>
          <w:i/>
          <w:iCs/>
        </w:rPr>
        <w:t>Estrada</w:t>
      </w:r>
      <w:r w:rsidRPr="0099367E">
        <w:t>’s logic” (</w:t>
      </w:r>
      <w:r w:rsidRPr="0099367E">
        <w:rPr>
          <w:i/>
          <w:iCs/>
        </w:rPr>
        <w:t>Lara</w:t>
      </w:r>
      <w:r w:rsidRPr="0099367E">
        <w:t xml:space="preserve">, </w:t>
      </w:r>
      <w:r w:rsidRPr="0099367E">
        <w:rPr>
          <w:i/>
          <w:iCs/>
        </w:rPr>
        <w:t>supra</w:t>
      </w:r>
      <w:r w:rsidRPr="0099367E">
        <w:t>, 4</w:t>
      </w:r>
      <w:r w:rsidRPr="0099367E" w:rsidR="002A0A11">
        <w:t> </w:t>
      </w:r>
      <w:r w:rsidRPr="0099367E">
        <w:t>Cal.5th at p.</w:t>
      </w:r>
      <w:r w:rsidRPr="0099367E" w:rsidR="004A53DF">
        <w:t> </w:t>
      </w:r>
      <w:r w:rsidRPr="0099367E">
        <w:t>312</w:t>
      </w:r>
      <w:r w:rsidRPr="0099367E" w:rsidR="00281335">
        <w:t xml:space="preserve">, </w:t>
      </w:r>
      <w:r w:rsidRPr="0099367E" w:rsidR="005F334F">
        <w:t xml:space="preserve">some </w:t>
      </w:r>
      <w:r w:rsidRPr="0099367E" w:rsidR="00281335">
        <w:t>italics omitted</w:t>
      </w:r>
      <w:r w:rsidRPr="0099367E">
        <w:t>)</w:t>
      </w:r>
      <w:r w:rsidRPr="0099367E" w:rsidR="008529D7">
        <w:t xml:space="preserve">; that is, statutes that </w:t>
      </w:r>
      <w:r w:rsidRPr="0099367E" w:rsidR="00142D99">
        <w:t>either</w:t>
      </w:r>
      <w:r w:rsidRPr="0099367E" w:rsidR="008529D7">
        <w:t xml:space="preserve"> </w:t>
      </w:r>
      <w:r w:rsidRPr="0099367E" w:rsidR="00AF77A7">
        <w:t xml:space="preserve">reduce the punishment </w:t>
      </w:r>
      <w:r w:rsidRPr="0099367E" w:rsidR="007929F9">
        <w:t xml:space="preserve">for a criminal offense </w:t>
      </w:r>
      <w:r w:rsidRPr="0099367E" w:rsidR="00AF77A7">
        <w:t xml:space="preserve">or create discretion to reduce </w:t>
      </w:r>
      <w:r w:rsidRPr="0099367E" w:rsidR="007929F9">
        <w:t>such</w:t>
      </w:r>
      <w:r w:rsidRPr="0099367E" w:rsidR="00AF77A7">
        <w:t xml:space="preserve"> punishment, </w:t>
      </w:r>
      <w:r w:rsidRPr="0099367E" w:rsidR="00142D99">
        <w:t xml:space="preserve">or </w:t>
      </w:r>
      <w:r w:rsidRPr="0099367E" w:rsidR="00AF77A7">
        <w:t>narrow the scope of criminal liability</w:t>
      </w:r>
      <w:r w:rsidRPr="0099367E" w:rsidR="00FD4EAE">
        <w:t xml:space="preserve">, </w:t>
      </w:r>
      <w:r w:rsidRPr="0099367E" w:rsidR="00502E51">
        <w:t xml:space="preserve">because such enactments give </w:t>
      </w:r>
      <w:r w:rsidRPr="0099367E" w:rsidR="00A52FAC">
        <w:t>rise to an “</w:t>
      </w:r>
      <w:r w:rsidRPr="0099367E" w:rsidR="00432CDB">
        <w:t xml:space="preserve">inevitable inference that the Legislature </w:t>
      </w:r>
      <w:r w:rsidRPr="0099367E" w:rsidR="00502E51">
        <w:t xml:space="preserve">[or electorate] </w:t>
      </w:r>
      <w:r w:rsidRPr="0099367E" w:rsidR="00432CDB">
        <w:t>must have intended that the new statute imposing the new lighter penalty now deemed to be sufficient should apply to every case to which it constitutionally could apply</w:t>
      </w:r>
      <w:r w:rsidRPr="0099367E" w:rsidR="00A57FF1">
        <w:t>” (</w:t>
      </w:r>
      <w:r w:rsidRPr="0099367E" w:rsidR="00A57FF1">
        <w:rPr>
          <w:i/>
          <w:iCs/>
        </w:rPr>
        <w:t>Estrada</w:t>
      </w:r>
      <w:r w:rsidRPr="0099367E" w:rsidR="00A57FF1">
        <w:t xml:space="preserve">, </w:t>
      </w:r>
      <w:r w:rsidRPr="0099367E" w:rsidR="00A57FF1">
        <w:rPr>
          <w:i/>
          <w:iCs/>
        </w:rPr>
        <w:t>supra</w:t>
      </w:r>
      <w:r w:rsidRPr="0099367E" w:rsidR="00A57FF1">
        <w:t>, 63</w:t>
      </w:r>
      <w:r w:rsidRPr="0099367E" w:rsidR="002A0A11">
        <w:t> </w:t>
      </w:r>
      <w:r w:rsidRPr="0099367E" w:rsidR="00A57FF1">
        <w:t>Cal.2d at p.</w:t>
      </w:r>
      <w:r w:rsidRPr="0099367E" w:rsidR="004A53DF">
        <w:t> </w:t>
      </w:r>
      <w:r w:rsidRPr="0099367E" w:rsidR="00A57FF1">
        <w:t>745).</w:t>
      </w:r>
      <w:r w:rsidRPr="0099367E" w:rsidR="00E86AD3">
        <w:t xml:space="preserve">  </w:t>
      </w:r>
    </w:p>
    <w:p w:rsidR="00723232" w:rsidRPr="0099367E" w:rsidP="00C06DCD" w14:paraId="1D81A29F" w14:textId="77777777">
      <w:pPr>
        <w:pStyle w:val="Heading3"/>
        <w:ind w:left="1584" w:hanging="432"/>
      </w:pPr>
      <w:r w:rsidRPr="0099367E">
        <w:t xml:space="preserve">Conflicting Court of Appeal </w:t>
      </w:r>
      <w:r w:rsidRPr="0099367E" w:rsidR="00CB5B78">
        <w:t>D</w:t>
      </w:r>
      <w:r w:rsidRPr="0099367E" w:rsidR="00737B98">
        <w:t>ecisions</w:t>
      </w:r>
    </w:p>
    <w:p w:rsidR="00C94D9D" w:rsidRPr="0099367E" w:rsidP="00C06DCD" w14:paraId="1D81A2A0" w14:textId="77777777">
      <w:pPr>
        <w:tabs>
          <w:tab w:val="left" w:pos="720"/>
        </w:tabs>
        <w:ind w:firstLine="720"/>
      </w:pPr>
      <w:r w:rsidRPr="0099367E">
        <w:t xml:space="preserve">As noted, the question of section 1109’s retroactivity has divided the Courts of Appeal.  </w:t>
      </w:r>
    </w:p>
    <w:p w:rsidR="00737B98" w:rsidRPr="0099367E" w:rsidP="00C06DCD" w14:paraId="1D81A2A1" w14:textId="77777777">
      <w:pPr>
        <w:tabs>
          <w:tab w:val="left" w:pos="720"/>
        </w:tabs>
        <w:ind w:firstLine="720"/>
      </w:pPr>
      <w:r w:rsidRPr="0099367E">
        <w:t xml:space="preserve">In this case, </w:t>
      </w:r>
      <w:r w:rsidRPr="0099367E" w:rsidR="006F6B4F">
        <w:t>the</w:t>
      </w:r>
      <w:r w:rsidRPr="0099367E" w:rsidR="00525652">
        <w:t xml:space="preserve"> </w:t>
      </w:r>
      <w:r w:rsidRPr="0099367E">
        <w:t xml:space="preserve">Court of Appeal </w:t>
      </w:r>
      <w:r w:rsidRPr="0099367E" w:rsidR="006F6B4F">
        <w:t xml:space="preserve">majority </w:t>
      </w:r>
      <w:r w:rsidRPr="0099367E">
        <w:t xml:space="preserve">concluded that section 1109’s bifurcation provisions apply retroactively under </w:t>
      </w:r>
      <w:r w:rsidRPr="0099367E">
        <w:rPr>
          <w:i/>
          <w:iCs/>
        </w:rPr>
        <w:t xml:space="preserve">Estrada </w:t>
      </w:r>
      <w:r w:rsidRPr="0099367E">
        <w:t>and its progeny.  (</w:t>
      </w:r>
      <w:r w:rsidRPr="0099367E">
        <w:rPr>
          <w:i/>
          <w:iCs/>
        </w:rPr>
        <w:t>Burgos</w:t>
      </w:r>
      <w:r w:rsidRPr="0099367E">
        <w:t xml:space="preserve">, </w:t>
      </w:r>
      <w:r w:rsidRPr="0099367E">
        <w:rPr>
          <w:i/>
          <w:iCs/>
        </w:rPr>
        <w:t>supra</w:t>
      </w:r>
      <w:r w:rsidRPr="0099367E">
        <w:t>,</w:t>
      </w:r>
      <w:r w:rsidRPr="0099367E" w:rsidR="00C21586">
        <w:t xml:space="preserve"> </w:t>
      </w:r>
      <w:r w:rsidRPr="0099367E">
        <w:t>77</w:t>
      </w:r>
      <w:r w:rsidRPr="0099367E" w:rsidR="002A0A11">
        <w:t> </w:t>
      </w:r>
      <w:r w:rsidRPr="0099367E">
        <w:t xml:space="preserve">Cal.App.5th </w:t>
      </w:r>
      <w:r w:rsidRPr="0099367E" w:rsidR="002004EF">
        <w:t>at pp.</w:t>
      </w:r>
      <w:r w:rsidRPr="0099367E" w:rsidR="00554C05">
        <w:t> </w:t>
      </w:r>
      <w:r w:rsidRPr="0099367E" w:rsidR="002004EF">
        <w:t>564–569.</w:t>
      </w:r>
      <w:r w:rsidRPr="0099367E">
        <w:t xml:space="preserve">)  The </w:t>
      </w:r>
      <w:r w:rsidRPr="0099367E" w:rsidR="00525652">
        <w:t xml:space="preserve">majority </w:t>
      </w:r>
      <w:r w:rsidRPr="0099367E" w:rsidR="007F08E5">
        <w:t>reasoned</w:t>
      </w:r>
      <w:r w:rsidRPr="0099367E">
        <w:t xml:space="preserve"> that section 1109 applies “to a distinct class of defendants — those charged with gang enhancements” </w:t>
      </w:r>
      <w:r w:rsidRPr="0099367E" w:rsidR="00926F6D">
        <w:t>(</w:t>
      </w:r>
      <w:r w:rsidRPr="0099367E" w:rsidR="00926F6D">
        <w:rPr>
          <w:i/>
          <w:iCs/>
        </w:rPr>
        <w:t>Burgos</w:t>
      </w:r>
      <w:r w:rsidRPr="0099367E" w:rsidR="00926F6D">
        <w:t>, at p.</w:t>
      </w:r>
      <w:r w:rsidRPr="0099367E" w:rsidR="00554C05">
        <w:t> </w:t>
      </w:r>
      <w:r w:rsidRPr="0099367E" w:rsidR="00926F6D">
        <w:t>565),</w:t>
      </w:r>
      <w:r w:rsidRPr="0099367E" w:rsidR="00926F6D">
        <w:rPr>
          <w:i/>
          <w:iCs/>
        </w:rPr>
        <w:t xml:space="preserve"> </w:t>
      </w:r>
      <w:r w:rsidRPr="0099367E">
        <w:t xml:space="preserve">and </w:t>
      </w:r>
      <w:r w:rsidRPr="0099367E" w:rsidR="00926F6D">
        <w:t xml:space="preserve">“the legislative findings in Assembly Bill 333 also show the </w:t>
      </w:r>
      <w:r w:rsidRPr="0099367E">
        <w:t xml:space="preserve">Legislature </w:t>
      </w:r>
      <w:r w:rsidRPr="0099367E" w:rsidR="00F53C1E">
        <w:t>intended to reduce punishment specifically for</w:t>
      </w:r>
      <w:r w:rsidRPr="0099367E">
        <w:t xml:space="preserve"> people of color — who overwhelmingly comprise the class of defendants charged with gang enhancements” (</w:t>
      </w:r>
      <w:r w:rsidRPr="0099367E" w:rsidR="00926F6D">
        <w:rPr>
          <w:i/>
          <w:iCs/>
        </w:rPr>
        <w:t>id</w:t>
      </w:r>
      <w:r w:rsidRPr="0099367E" w:rsidR="00926F6D">
        <w:t>. at p.</w:t>
      </w:r>
      <w:r w:rsidRPr="0099367E" w:rsidR="00554C05">
        <w:t> </w:t>
      </w:r>
      <w:r w:rsidRPr="0099367E">
        <w:t>566)</w:t>
      </w:r>
      <w:r w:rsidRPr="0099367E" w:rsidR="00CB1433">
        <w:t>.</w:t>
      </w:r>
      <w:r w:rsidRPr="0099367E">
        <w:t xml:space="preserve">  </w:t>
      </w:r>
      <w:r w:rsidRPr="0099367E" w:rsidR="00C60E42">
        <w:t xml:space="preserve">Because the </w:t>
      </w:r>
      <w:r w:rsidRPr="0099367E" w:rsidR="003A2523">
        <w:t xml:space="preserve">legislative findings “repeatedly cite </w:t>
      </w:r>
      <w:r w:rsidRPr="0099367E" w:rsidR="0096444F">
        <w:t xml:space="preserve">the </w:t>
      </w:r>
      <w:r w:rsidRPr="0099367E" w:rsidR="003A2523">
        <w:t>disparate levels of punishment suffered by people of color under the old law,” the majority reasoned,</w:t>
      </w:r>
      <w:r w:rsidRPr="0099367E">
        <w:t xml:space="preserve"> </w:t>
      </w:r>
      <w:r w:rsidRPr="0099367E" w:rsidR="00D01972">
        <w:t xml:space="preserve">section 1109 cannot be considered </w:t>
      </w:r>
      <w:r w:rsidR="000D3257">
        <w:t xml:space="preserve">only </w:t>
      </w:r>
      <w:r w:rsidRPr="0099367E">
        <w:t>“as a ‘prophylactic rule of criminal procedure’ designed to enhance the fairness of proceedings.”  (</w:t>
      </w:r>
      <w:r w:rsidRPr="0099367E">
        <w:rPr>
          <w:i/>
          <w:iCs/>
        </w:rPr>
        <w:t>Burgos</w:t>
      </w:r>
      <w:r w:rsidRPr="0099367E">
        <w:t>,</w:t>
      </w:r>
      <w:r w:rsidRPr="0099367E" w:rsidR="00554C05">
        <w:t xml:space="preserve"> </w:t>
      </w:r>
      <w:r w:rsidRPr="0099367E">
        <w:t>at p. 566.)  The majority highlighted two ameliorative effects</w:t>
      </w:r>
      <w:r w:rsidRPr="0099367E" w:rsidR="00C5006D">
        <w:t xml:space="preserve"> </w:t>
      </w:r>
      <w:r w:rsidRPr="0099367E" w:rsidR="00F00CFF">
        <w:t>of the bifurcation provisions</w:t>
      </w:r>
      <w:r w:rsidRPr="0099367E">
        <w:t>:  the “increased possibility of acquittal — which necessarily reduces possible punishment</w:t>
      </w:r>
      <w:r w:rsidRPr="0099367E" w:rsidR="00CE4F16">
        <w:t>,</w:t>
      </w:r>
      <w:r w:rsidRPr="0099367E">
        <w:t>”</w:t>
      </w:r>
      <w:r w:rsidRPr="0099367E" w:rsidR="00CE4F16">
        <w:t xml:space="preserve"> </w:t>
      </w:r>
      <w:r w:rsidRPr="0099367E">
        <w:t xml:space="preserve">and the reduction of “pressure to accept longer sentences” through unfavorable plea deals, </w:t>
      </w:r>
      <w:r w:rsidRPr="0099367E" w:rsidR="00C5006D">
        <w:t>which</w:t>
      </w:r>
      <w:r w:rsidRPr="0099367E">
        <w:t xml:space="preserve"> “</w:t>
      </w:r>
      <w:r w:rsidRPr="0099367E" w:rsidR="00C5006D">
        <w:t xml:space="preserve">will </w:t>
      </w:r>
      <w:r w:rsidRPr="0099367E">
        <w:t>necessarily reduc</w:t>
      </w:r>
      <w:r w:rsidRPr="0099367E" w:rsidR="00C5006D">
        <w:t>e</w:t>
      </w:r>
      <w:r w:rsidRPr="0099367E">
        <w:t xml:space="preserve"> the degree of punishment for many defendants.”  (</w:t>
      </w:r>
      <w:r w:rsidRPr="0099367E">
        <w:rPr>
          <w:i/>
          <w:iCs/>
        </w:rPr>
        <w:t>Id</w:t>
      </w:r>
      <w:r w:rsidRPr="0099367E" w:rsidR="00554C05">
        <w:t xml:space="preserve">. </w:t>
      </w:r>
      <w:r w:rsidRPr="0099367E">
        <w:t xml:space="preserve">at p. 567.)  </w:t>
      </w:r>
    </w:p>
    <w:p w:rsidR="00737B98" w:rsidRPr="0099367E" w:rsidP="00C06DCD" w14:paraId="1D81A2A2" w14:textId="77777777">
      <w:pPr>
        <w:tabs>
          <w:tab w:val="left" w:pos="720"/>
        </w:tabs>
        <w:ind w:firstLine="720"/>
      </w:pPr>
      <w:r w:rsidRPr="0099367E">
        <w:t xml:space="preserve">The </w:t>
      </w:r>
      <w:r w:rsidRPr="0099367E" w:rsidR="00525652">
        <w:t>majority</w:t>
      </w:r>
      <w:r w:rsidRPr="0099367E">
        <w:t xml:space="preserve"> then rejected the argument that “different parts of Assembly Bill 333 should be treated differently under </w:t>
      </w:r>
      <w:r w:rsidRPr="0099367E">
        <w:rPr>
          <w:i/>
          <w:iCs/>
        </w:rPr>
        <w:t>Estrada</w:t>
      </w:r>
      <w:r w:rsidRPr="0099367E">
        <w:t>.”  (</w:t>
      </w:r>
      <w:r w:rsidRPr="0099367E">
        <w:rPr>
          <w:i/>
          <w:iCs/>
        </w:rPr>
        <w:t>Burgos</w:t>
      </w:r>
      <w:r w:rsidRPr="0099367E">
        <w:t xml:space="preserve">, </w:t>
      </w:r>
      <w:r w:rsidRPr="0099367E">
        <w:rPr>
          <w:i/>
          <w:iCs/>
        </w:rPr>
        <w:t>supra</w:t>
      </w:r>
      <w:r w:rsidRPr="0099367E">
        <w:t>, 77</w:t>
      </w:r>
      <w:r w:rsidRPr="0099367E" w:rsidR="002A0A11">
        <w:t> </w:t>
      </w:r>
      <w:r w:rsidRPr="0099367E">
        <w:t>Cal.App.5th at p. 567.)  It reasoned that the “legislative findings setting forth the ameliorative purposes of the bill apply to the entire bill, and they specifically address the reasons for the new bifurcation rules.”  (</w:t>
      </w:r>
      <w:r w:rsidRPr="0099367E">
        <w:rPr>
          <w:i/>
          <w:iCs/>
        </w:rPr>
        <w:t>Ibid</w:t>
      </w:r>
      <w:r w:rsidRPr="0099367E">
        <w:t>.)  Considering Assembly Bill 333</w:t>
      </w:r>
      <w:r w:rsidRPr="0099367E" w:rsidR="00BE43AB">
        <w:t xml:space="preserve">’s substantive changes to section 186.22, which apply retroactively under </w:t>
      </w:r>
      <w:r w:rsidRPr="0099367E" w:rsidR="00BE43AB">
        <w:rPr>
          <w:i/>
          <w:iCs/>
        </w:rPr>
        <w:t>Estrada</w:t>
      </w:r>
      <w:r w:rsidRPr="0099367E">
        <w:t>, “[i]t would be especially incongruous for the Legislature to make one isolated section of a bill prospective-only without stating so expressly, expecting instead that a court would somehow discern this anomaly.”  (</w:t>
      </w:r>
      <w:r w:rsidRPr="0099367E">
        <w:rPr>
          <w:i/>
          <w:iCs/>
        </w:rPr>
        <w:t>Burgos</w:t>
      </w:r>
      <w:r w:rsidRPr="0099367E">
        <w:t>, at pp. 567–568</w:t>
      </w:r>
      <w:r w:rsidRPr="0099367E" w:rsidR="00B03D82">
        <w:t>.</w:t>
      </w:r>
      <w:r w:rsidRPr="0099367E">
        <w:t xml:space="preserve">)  </w:t>
      </w:r>
    </w:p>
    <w:p w:rsidR="00737B98" w:rsidRPr="0099367E" w:rsidP="00C06DCD" w14:paraId="1D81A2A3" w14:textId="77777777">
      <w:pPr>
        <w:tabs>
          <w:tab w:val="left" w:pos="720"/>
        </w:tabs>
        <w:ind w:firstLine="720"/>
      </w:pPr>
      <w:r w:rsidRPr="0099367E">
        <w:t>T</w:t>
      </w:r>
      <w:r w:rsidRPr="0099367E" w:rsidR="00554C05">
        <w:t>he dissent</w:t>
      </w:r>
      <w:r w:rsidRPr="0099367E">
        <w:t>ing justice b</w:t>
      </w:r>
      <w:r w:rsidRPr="0099367E" w:rsidR="00761A8C">
        <w:t>elow disagreed.  In his view</w:t>
      </w:r>
      <w:r w:rsidRPr="0099367E" w:rsidR="00554C05">
        <w:t xml:space="preserve">, </w:t>
      </w:r>
      <w:r w:rsidRPr="0099367E">
        <w:t xml:space="preserve">“section 1109 is not an </w:t>
      </w:r>
      <w:r w:rsidRPr="0099367E">
        <w:rPr>
          <w:i/>
          <w:iCs/>
        </w:rPr>
        <w:t xml:space="preserve">ameliorative </w:t>
      </w:r>
      <w:r w:rsidRPr="0099367E">
        <w:t xml:space="preserve">statute within the meaning of the </w:t>
      </w:r>
      <w:r w:rsidRPr="0099367E">
        <w:rPr>
          <w:i/>
          <w:iCs/>
        </w:rPr>
        <w:t xml:space="preserve">Estrada </w:t>
      </w:r>
      <w:r w:rsidRPr="0099367E">
        <w:t xml:space="preserve">rule, and therefore it is subject to the </w:t>
      </w:r>
      <w:r w:rsidRPr="0099367E">
        <w:rPr>
          <w:i/>
          <w:iCs/>
        </w:rPr>
        <w:t>general rule</w:t>
      </w:r>
      <w:r w:rsidRPr="0099367E">
        <w:t xml:space="preserve"> that Penal Code provisions are presumed to be prospective</w:t>
      </w:r>
      <w:r w:rsidRPr="0099367E" w:rsidR="00913490">
        <w:t>-</w:t>
      </w:r>
      <w:r w:rsidRPr="0099367E">
        <w:t>only.”  (</w:t>
      </w:r>
      <w:r w:rsidRPr="0099367E">
        <w:rPr>
          <w:i/>
          <w:iCs/>
        </w:rPr>
        <w:t>Burgos</w:t>
      </w:r>
      <w:r w:rsidRPr="0099367E">
        <w:t xml:space="preserve">, </w:t>
      </w:r>
      <w:r w:rsidRPr="0099367E">
        <w:rPr>
          <w:i/>
          <w:iCs/>
        </w:rPr>
        <w:t>supra</w:t>
      </w:r>
      <w:r w:rsidRPr="0099367E">
        <w:t>, 77</w:t>
      </w:r>
      <w:r w:rsidRPr="0099367E" w:rsidR="002A0A11">
        <w:t> </w:t>
      </w:r>
      <w:r w:rsidRPr="0099367E">
        <w:t xml:space="preserve">Cal.App.5th at p. 569 </w:t>
      </w:r>
      <w:bookmarkStart w:id="2" w:name="_Hlk143526197"/>
      <w:r w:rsidRPr="0099367E">
        <w:t>(dis. opn. of Elia, J.)</w:t>
      </w:r>
      <w:bookmarkEnd w:id="2"/>
      <w:r w:rsidRPr="0099367E">
        <w:t xml:space="preserve">.)  </w:t>
      </w:r>
      <w:r w:rsidRPr="0099367E" w:rsidR="00554C05">
        <w:t xml:space="preserve">The dissent </w:t>
      </w:r>
      <w:r w:rsidRPr="0099367E">
        <w:t xml:space="preserve">reasoned that our prior applications of </w:t>
      </w:r>
      <w:r w:rsidRPr="0099367E">
        <w:rPr>
          <w:i/>
          <w:iCs/>
        </w:rPr>
        <w:t xml:space="preserve">Estrada </w:t>
      </w:r>
      <w:r w:rsidRPr="0099367E">
        <w:t>involved statutes that “were facially ‘ameliorative’ because they either reduced the punishment or created discretion to reduce the punishment for a criminal offense, or narrowed the scope of criminal liability.”  (</w:t>
      </w:r>
      <w:r w:rsidRPr="0099367E">
        <w:rPr>
          <w:i/>
          <w:iCs/>
        </w:rPr>
        <w:t>Burgos</w:t>
      </w:r>
      <w:r w:rsidRPr="0099367E">
        <w:t>, at p. 571</w:t>
      </w:r>
      <w:r w:rsidRPr="0099367E" w:rsidR="004F5C2A">
        <w:t xml:space="preserve"> (dis. opn. of Elia, J.)</w:t>
      </w:r>
      <w:r w:rsidRPr="0099367E">
        <w:t xml:space="preserve">.)  </w:t>
      </w:r>
      <w:r w:rsidRPr="0099367E" w:rsidR="00554C05">
        <w:t>S</w:t>
      </w:r>
      <w:r w:rsidRPr="0099367E">
        <w:t xml:space="preserve">ection 1109, by contrast, </w:t>
      </w:r>
      <w:r w:rsidRPr="0099367E" w:rsidR="00554C05">
        <w:t>i</w:t>
      </w:r>
      <w:r w:rsidRPr="0099367E">
        <w:t>s “a prophylactic rule of criminal procedure expressly intended to employ new procedures aimed at enhancing the fairness of future criminal proceedings.</w:t>
      </w:r>
      <w:r w:rsidRPr="0099367E" w:rsidR="00A8259B">
        <w:t xml:space="preserve">  It makes no change to any crime or defense and makes no change to any punishment provision, and it does not create the possibility of lesser punishment or any other ‘ameliorative’ benefit from which it could be inferred that failing to extend that benefit retroactively must have been motivated by a </w:t>
      </w:r>
      <w:r w:rsidRPr="0099367E" w:rsidR="00AE6915">
        <w:t>‘</w:t>
      </w:r>
      <w:r w:rsidRPr="0099367E" w:rsidR="00A8259B">
        <w:t>desire for vengeance.’ </w:t>
      </w:r>
      <w:r w:rsidRPr="0099367E">
        <w:t>”  (</w:t>
      </w:r>
      <w:r w:rsidRPr="0099367E">
        <w:rPr>
          <w:i/>
          <w:iCs/>
        </w:rPr>
        <w:t>Burgos</w:t>
      </w:r>
      <w:r w:rsidRPr="0099367E">
        <w:t>, at p. 572</w:t>
      </w:r>
      <w:r w:rsidRPr="0099367E" w:rsidR="004F5C2A">
        <w:t xml:space="preserve"> (dis. opn. of Elia, J.)</w:t>
      </w:r>
      <w:r w:rsidRPr="0099367E">
        <w:t xml:space="preserve">.)  Because </w:t>
      </w:r>
      <w:r w:rsidRPr="0099367E" w:rsidR="002C5E67">
        <w:t>section 1109</w:t>
      </w:r>
      <w:r w:rsidRPr="0099367E">
        <w:t xml:space="preserve"> “makes a ‘purely procedural’ change to a trial procedure that will not have any impact ‘directly’ or indirectly on </w:t>
      </w:r>
      <w:r w:rsidRPr="0099367E">
        <w:rPr>
          <w:i/>
          <w:iCs/>
        </w:rPr>
        <w:t>punishment</w:t>
      </w:r>
      <w:r w:rsidRPr="0099367E">
        <w:t xml:space="preserve">,” the dissent reasoned, the general presumption </w:t>
      </w:r>
      <w:r w:rsidRPr="0099367E" w:rsidR="004D2FB3">
        <w:t>of prospectivity</w:t>
      </w:r>
      <w:r w:rsidRPr="0099367E">
        <w:t xml:space="preserve"> applies.  (</w:t>
      </w:r>
      <w:r w:rsidRPr="0099367E" w:rsidR="004D2FB3">
        <w:rPr>
          <w:i/>
          <w:iCs/>
        </w:rPr>
        <w:t>Burgos</w:t>
      </w:r>
      <w:r w:rsidRPr="0099367E" w:rsidR="004D2FB3">
        <w:t>,</w:t>
      </w:r>
      <w:r w:rsidRPr="0099367E">
        <w:t xml:space="preserve"> at p. 572</w:t>
      </w:r>
      <w:r w:rsidRPr="0099367E" w:rsidR="004F5C2A">
        <w:t xml:space="preserve"> (dis. opn. of Elia, J.)</w:t>
      </w:r>
      <w:r w:rsidRPr="0099367E">
        <w:t xml:space="preserve">.)  </w:t>
      </w:r>
    </w:p>
    <w:p w:rsidR="002E75BF" w:rsidRPr="0099367E" w:rsidP="00C06DCD" w14:paraId="1D81A2A4" w14:textId="77777777">
      <w:pPr>
        <w:ind w:firstLine="720"/>
      </w:pPr>
      <w:r w:rsidRPr="0099367E">
        <w:t xml:space="preserve">In </w:t>
      </w:r>
      <w:r w:rsidRPr="0099367E">
        <w:rPr>
          <w:i/>
          <w:iCs/>
        </w:rPr>
        <w:t>Montano</w:t>
      </w:r>
      <w:r w:rsidRPr="0099367E">
        <w:t xml:space="preserve">, </w:t>
      </w:r>
      <w:r w:rsidRPr="0099367E">
        <w:rPr>
          <w:i/>
          <w:iCs/>
        </w:rPr>
        <w:t>supra</w:t>
      </w:r>
      <w:r w:rsidRPr="0099367E">
        <w:t>, 80</w:t>
      </w:r>
      <w:r w:rsidRPr="0099367E" w:rsidR="002A0A11">
        <w:t> </w:t>
      </w:r>
      <w:r w:rsidRPr="0099367E">
        <w:t xml:space="preserve">Cal.App.5th 82 and </w:t>
      </w:r>
      <w:r w:rsidRPr="0099367E">
        <w:rPr>
          <w:i/>
          <w:iCs/>
        </w:rPr>
        <w:t>Ramos</w:t>
      </w:r>
      <w:r w:rsidRPr="0099367E">
        <w:t xml:space="preserve">, </w:t>
      </w:r>
      <w:r w:rsidRPr="0099367E">
        <w:rPr>
          <w:i/>
          <w:iCs/>
        </w:rPr>
        <w:t>supra</w:t>
      </w:r>
      <w:r w:rsidRPr="0099367E">
        <w:t>,</w:t>
      </w:r>
      <w:r w:rsidRPr="0099367E">
        <w:rPr>
          <w:i/>
          <w:iCs/>
        </w:rPr>
        <w:t xml:space="preserve"> </w:t>
      </w:r>
      <w:r w:rsidRPr="0099367E">
        <w:t>77</w:t>
      </w:r>
      <w:r w:rsidRPr="0099367E" w:rsidR="002A0A11">
        <w:t> </w:t>
      </w:r>
      <w:r w:rsidRPr="0099367E">
        <w:t>Cal.App.5th 1116,</w:t>
      </w:r>
      <w:r w:rsidRPr="0099367E" w:rsidR="00D32A31">
        <w:t xml:space="preserve"> </w:t>
      </w:r>
      <w:r w:rsidRPr="0099367E">
        <w:t xml:space="preserve">the </w:t>
      </w:r>
      <w:r w:rsidRPr="0099367E" w:rsidR="00D32A31">
        <w:t>Court</w:t>
      </w:r>
      <w:r w:rsidRPr="0099367E">
        <w:t>s</w:t>
      </w:r>
      <w:r w:rsidRPr="0099367E" w:rsidR="00D32A31">
        <w:t xml:space="preserve"> of Appeal agreed with the </w:t>
      </w:r>
      <w:r w:rsidRPr="0099367E" w:rsidR="00D32A31">
        <w:rPr>
          <w:i/>
          <w:iCs/>
        </w:rPr>
        <w:t>Burgos</w:t>
      </w:r>
      <w:r w:rsidRPr="0099367E" w:rsidR="00D32A31">
        <w:t xml:space="preserve"> majority</w:t>
      </w:r>
      <w:r w:rsidRPr="0099367E">
        <w:t>.</w:t>
      </w:r>
      <w:r w:rsidRPr="0099367E" w:rsidR="0002319B">
        <w:t xml:space="preserve">  In </w:t>
      </w:r>
      <w:r w:rsidRPr="0099367E" w:rsidR="0002319B">
        <w:rPr>
          <w:i/>
          <w:iCs/>
        </w:rPr>
        <w:t>Montano</w:t>
      </w:r>
      <w:r w:rsidRPr="0099367E" w:rsidR="0002319B">
        <w:t xml:space="preserve">, the appellate court </w:t>
      </w:r>
      <w:r w:rsidRPr="0099367E" w:rsidR="0037757D">
        <w:t>relied on the uncodified preamble in Assembly Bill 333</w:t>
      </w:r>
      <w:r w:rsidRPr="0099367E" w:rsidR="00F7023F">
        <w:t xml:space="preserve"> in concluding that section 1109 </w:t>
      </w:r>
      <w:r w:rsidRPr="0099367E" w:rsidR="00204D5E">
        <w:t>is ameliorative within the meaning</w:t>
      </w:r>
      <w:r w:rsidRPr="0099367E" w:rsidR="00F7023F">
        <w:t xml:space="preserve"> </w:t>
      </w:r>
      <w:r w:rsidRPr="0099367E" w:rsidR="00204D5E">
        <w:t xml:space="preserve">of </w:t>
      </w:r>
      <w:r w:rsidRPr="0099367E" w:rsidR="00F7023F">
        <w:rPr>
          <w:i/>
          <w:iCs/>
        </w:rPr>
        <w:t>Estrada</w:t>
      </w:r>
      <w:r w:rsidRPr="0099367E" w:rsidR="00F7023F">
        <w:t>.  (</w:t>
      </w:r>
      <w:r w:rsidRPr="0099367E" w:rsidR="00F7023F">
        <w:rPr>
          <w:i/>
          <w:iCs/>
        </w:rPr>
        <w:t>Montano</w:t>
      </w:r>
      <w:r w:rsidRPr="0099367E" w:rsidR="00F7023F">
        <w:t>, at p</w:t>
      </w:r>
      <w:r w:rsidRPr="0099367E" w:rsidR="004F527A">
        <w:t>p</w:t>
      </w:r>
      <w:r w:rsidRPr="0099367E" w:rsidR="00F7023F">
        <w:t>.</w:t>
      </w:r>
      <w:r w:rsidRPr="0099367E" w:rsidR="00554C05">
        <w:t> </w:t>
      </w:r>
      <w:r w:rsidRPr="0099367E" w:rsidR="004F527A">
        <w:t>105–</w:t>
      </w:r>
      <w:r w:rsidRPr="0099367E" w:rsidR="00F7023F">
        <w:t>106.)</w:t>
      </w:r>
      <w:r w:rsidRPr="0099367E" w:rsidR="0037757D">
        <w:t xml:space="preserve"> </w:t>
      </w:r>
      <w:r w:rsidRPr="0099367E" w:rsidR="00D726AB">
        <w:t xml:space="preserve"> The </w:t>
      </w:r>
      <w:r w:rsidRPr="0099367E" w:rsidR="00D726AB">
        <w:rPr>
          <w:i/>
          <w:iCs/>
        </w:rPr>
        <w:t>Montano</w:t>
      </w:r>
      <w:r w:rsidRPr="0099367E" w:rsidR="00D726AB">
        <w:t xml:space="preserve"> court</w:t>
      </w:r>
      <w:r w:rsidRPr="0099367E" w:rsidR="004F527A">
        <w:t xml:space="preserve"> also</w:t>
      </w:r>
      <w:r w:rsidRPr="0099367E" w:rsidR="00D726AB">
        <w:t xml:space="preserve"> determined that section 1109 was sufficiently similar to the statutes in </w:t>
      </w:r>
      <w:r w:rsidRPr="0099367E" w:rsidR="00D726AB">
        <w:rPr>
          <w:i/>
          <w:iCs/>
        </w:rPr>
        <w:t xml:space="preserve">Lara </w:t>
      </w:r>
      <w:r w:rsidRPr="0099367E" w:rsidR="00D726AB">
        <w:t xml:space="preserve">and </w:t>
      </w:r>
      <w:r w:rsidRPr="0099367E" w:rsidR="00D726AB">
        <w:rPr>
          <w:i/>
          <w:iCs/>
        </w:rPr>
        <w:t>Frahs</w:t>
      </w:r>
      <w:r w:rsidRPr="0099367E" w:rsidR="00D726AB">
        <w:t xml:space="preserve"> to bring it within the scope of </w:t>
      </w:r>
      <w:r w:rsidRPr="0099367E" w:rsidR="00D726AB">
        <w:rPr>
          <w:i/>
          <w:iCs/>
        </w:rPr>
        <w:t>Estrada</w:t>
      </w:r>
      <w:r w:rsidRPr="0099367E" w:rsidR="00D726AB">
        <w:t>’s inference of retroactivity.  (</w:t>
      </w:r>
      <w:r w:rsidRPr="0099367E" w:rsidR="00D726AB">
        <w:rPr>
          <w:i/>
          <w:iCs/>
        </w:rPr>
        <w:t>Montano</w:t>
      </w:r>
      <w:r w:rsidRPr="0099367E" w:rsidR="00D726AB">
        <w:t>, at pp.</w:t>
      </w:r>
      <w:r w:rsidRPr="0099367E" w:rsidR="00554C05">
        <w:t> </w:t>
      </w:r>
      <w:r w:rsidRPr="0099367E" w:rsidR="007801F3">
        <w:t>106–108.)</w:t>
      </w:r>
      <w:r w:rsidRPr="0099367E" w:rsidR="0083408B">
        <w:t xml:space="preserve">  The </w:t>
      </w:r>
      <w:r w:rsidRPr="0099367E" w:rsidR="0083408B">
        <w:rPr>
          <w:i/>
          <w:iCs/>
        </w:rPr>
        <w:t>Ramos</w:t>
      </w:r>
      <w:r w:rsidRPr="0099367E" w:rsidR="0083408B">
        <w:t xml:space="preserve"> court likewise determined that </w:t>
      </w:r>
      <w:r w:rsidRPr="0099367E" w:rsidR="00040B04">
        <w:t xml:space="preserve">Assembly </w:t>
      </w:r>
      <w:r w:rsidRPr="0099367E" w:rsidR="000B76CB">
        <w:t>B</w:t>
      </w:r>
      <w:r w:rsidRPr="0099367E" w:rsidR="00040B04">
        <w:t xml:space="preserve">ill 333’s findings and declarations </w:t>
      </w:r>
      <w:r w:rsidRPr="0099367E" w:rsidR="000B76CB">
        <w:t xml:space="preserve">that the Legislature intended “to benefit a certain class of criminal defendants by reducing the potentially harmful and prejudicial impact of gang evidence through bifurcation of gang allegations” </w:t>
      </w:r>
      <w:r w:rsidRPr="0099367E" w:rsidR="00F8633B">
        <w:t>invoked</w:t>
      </w:r>
      <w:r w:rsidRPr="0099367E" w:rsidR="00A15537">
        <w:t xml:space="preserve"> “the</w:t>
      </w:r>
      <w:r w:rsidRPr="0099367E" w:rsidR="000B76CB">
        <w:t xml:space="preserve"> logic of</w:t>
      </w:r>
      <w:r w:rsidRPr="0099367E" w:rsidR="00A15537">
        <w:t xml:space="preserve"> </w:t>
      </w:r>
      <w:r w:rsidRPr="0099367E" w:rsidR="00A15537">
        <w:rPr>
          <w:i/>
          <w:iCs/>
        </w:rPr>
        <w:t>Estrada</w:t>
      </w:r>
      <w:r w:rsidRPr="0099367E" w:rsidR="00A15537">
        <w:t>.”  (</w:t>
      </w:r>
      <w:r w:rsidRPr="0099367E" w:rsidR="00A15537">
        <w:rPr>
          <w:i/>
          <w:iCs/>
        </w:rPr>
        <w:t>Ramos</w:t>
      </w:r>
      <w:r w:rsidRPr="0099367E" w:rsidR="00A15537">
        <w:t>, at p.</w:t>
      </w:r>
      <w:r w:rsidRPr="0099367E" w:rsidR="00554C05">
        <w:t> </w:t>
      </w:r>
      <w:r w:rsidRPr="0099367E" w:rsidR="00A15537">
        <w:t xml:space="preserve">1131.)  </w:t>
      </w:r>
    </w:p>
    <w:p w:rsidR="003510D8" w:rsidRPr="0099367E" w:rsidP="00C06DCD" w14:paraId="1D81A2A5" w14:textId="77777777">
      <w:pPr>
        <w:ind w:firstLine="720"/>
      </w:pPr>
      <w:r w:rsidRPr="0099367E">
        <w:t xml:space="preserve">Other Courts of Appeal, however, </w:t>
      </w:r>
      <w:r w:rsidRPr="0099367E" w:rsidR="006F6B4F">
        <w:t xml:space="preserve">have </w:t>
      </w:r>
      <w:r w:rsidRPr="0099367E" w:rsidR="00834E7C">
        <w:t xml:space="preserve">found </w:t>
      </w:r>
      <w:r w:rsidRPr="0099367E" w:rsidR="00554C05">
        <w:t xml:space="preserve">the </w:t>
      </w:r>
      <w:r w:rsidRPr="0099367E">
        <w:t xml:space="preserve">dissent in </w:t>
      </w:r>
      <w:r w:rsidRPr="0099367E">
        <w:rPr>
          <w:i/>
          <w:iCs/>
        </w:rPr>
        <w:t>Burgos</w:t>
      </w:r>
      <w:r w:rsidRPr="0099367E" w:rsidR="00554C05">
        <w:t xml:space="preserve"> persuasive</w:t>
      </w:r>
      <w:r w:rsidRPr="0099367E">
        <w:t>.  (</w:t>
      </w:r>
      <w:r w:rsidRPr="0099367E" w:rsidR="00DE0F61">
        <w:rPr>
          <w:i/>
          <w:iCs/>
        </w:rPr>
        <w:t>Boukes</w:t>
      </w:r>
      <w:r w:rsidRPr="0099367E" w:rsidR="00DE0F61">
        <w:t xml:space="preserve">, </w:t>
      </w:r>
      <w:r w:rsidRPr="0099367E" w:rsidR="00DE0F61">
        <w:rPr>
          <w:i/>
          <w:iCs/>
        </w:rPr>
        <w:t>supra</w:t>
      </w:r>
      <w:r w:rsidRPr="0099367E" w:rsidR="00DE0F61">
        <w:t>,</w:t>
      </w:r>
      <w:r w:rsidRPr="0099367E" w:rsidR="002A0A11">
        <w:t> </w:t>
      </w:r>
      <w:r w:rsidRPr="0099367E" w:rsidR="00DE0F61">
        <w:t>83</w:t>
      </w:r>
      <w:r w:rsidRPr="0099367E" w:rsidR="00772807">
        <w:t> </w:t>
      </w:r>
      <w:r w:rsidRPr="0099367E" w:rsidR="00DE0F61">
        <w:t>Cal.App.5th 937</w:t>
      </w:r>
      <w:r w:rsidRPr="0099367E" w:rsidR="00913490">
        <w:t>, review granted</w:t>
      </w:r>
      <w:r w:rsidRPr="0099367E" w:rsidR="00DE0F61">
        <w:t xml:space="preserve">; </w:t>
      </w:r>
      <w:r w:rsidRPr="0099367E" w:rsidR="00DE0F61">
        <w:rPr>
          <w:i/>
          <w:iCs/>
        </w:rPr>
        <w:t>Perez</w:t>
      </w:r>
      <w:r w:rsidRPr="0099367E" w:rsidR="00DE0F61">
        <w:t xml:space="preserve">, </w:t>
      </w:r>
      <w:r w:rsidRPr="0099367E" w:rsidR="00DE0F61">
        <w:rPr>
          <w:i/>
          <w:iCs/>
        </w:rPr>
        <w:t>supra</w:t>
      </w:r>
      <w:r w:rsidRPr="0099367E" w:rsidR="00DE0F61">
        <w:t>, 78</w:t>
      </w:r>
      <w:r w:rsidRPr="0099367E" w:rsidR="002A0A11">
        <w:t> </w:t>
      </w:r>
      <w:r w:rsidRPr="0099367E" w:rsidR="00DE0F61">
        <w:t>Cal.App.5th 192</w:t>
      </w:r>
      <w:r w:rsidRPr="0099367E" w:rsidR="00913490">
        <w:t>, review granted</w:t>
      </w:r>
      <w:r w:rsidRPr="0099367E" w:rsidR="00DE0F61">
        <w:t xml:space="preserve">; </w:t>
      </w:r>
      <w:r w:rsidRPr="0099367E">
        <w:rPr>
          <w:i/>
          <w:iCs/>
        </w:rPr>
        <w:t>Ramirez</w:t>
      </w:r>
      <w:r w:rsidRPr="0099367E">
        <w:t xml:space="preserve">, </w:t>
      </w:r>
      <w:r w:rsidRPr="0099367E">
        <w:rPr>
          <w:i/>
          <w:iCs/>
        </w:rPr>
        <w:t>supra</w:t>
      </w:r>
      <w:r w:rsidRPr="0099367E">
        <w:t>, 79</w:t>
      </w:r>
      <w:r w:rsidRPr="0099367E" w:rsidR="002A0A11">
        <w:t> </w:t>
      </w:r>
      <w:r w:rsidRPr="0099367E">
        <w:t>Cal.App.5th 48</w:t>
      </w:r>
      <w:r w:rsidRPr="0099367E" w:rsidR="00913490">
        <w:t>, re</w:t>
      </w:r>
      <w:r w:rsidRPr="0099367E" w:rsidR="00485C90">
        <w:t>view granted</w:t>
      </w:r>
      <w:r w:rsidRPr="0099367E" w:rsidR="00DE0F61">
        <w:t>.</w:t>
      </w:r>
      <w:r w:rsidRPr="0099367E" w:rsidR="00562505">
        <w:t xml:space="preserve">)  </w:t>
      </w:r>
      <w:r w:rsidRPr="0099367E" w:rsidR="0042536C">
        <w:t xml:space="preserve">In </w:t>
      </w:r>
      <w:r w:rsidRPr="0099367E" w:rsidR="0042536C">
        <w:rPr>
          <w:i/>
          <w:iCs/>
        </w:rPr>
        <w:t>Ramirez</w:t>
      </w:r>
      <w:r w:rsidRPr="0099367E" w:rsidR="0042536C">
        <w:t xml:space="preserve">, the appellate court concluded that “the </w:t>
      </w:r>
      <w:r w:rsidRPr="0099367E" w:rsidR="0042536C">
        <w:rPr>
          <w:i/>
          <w:iCs/>
        </w:rPr>
        <w:t>Estrada</w:t>
      </w:r>
      <w:r w:rsidRPr="0099367E" w:rsidR="0042536C">
        <w:t xml:space="preserve"> presumption does not apply to section 1109 because section 1109 </w:t>
      </w:r>
      <w:r w:rsidRPr="0099367E" w:rsidR="00470563">
        <w:t>‘</w:t>
      </w:r>
      <w:r w:rsidRPr="0099367E" w:rsidR="0042536C">
        <w:t xml:space="preserve">is not an </w:t>
      </w:r>
      <w:r w:rsidRPr="0099367E" w:rsidR="0042536C">
        <w:rPr>
          <w:i/>
          <w:iCs/>
        </w:rPr>
        <w:t>ameliorative</w:t>
      </w:r>
      <w:r w:rsidRPr="0099367E" w:rsidR="0042536C">
        <w:t xml:space="preserve"> statute within the meaning of the </w:t>
      </w:r>
      <w:r w:rsidRPr="0099367E" w:rsidR="0042536C">
        <w:rPr>
          <w:i/>
          <w:iCs/>
        </w:rPr>
        <w:t xml:space="preserve">Estrada </w:t>
      </w:r>
      <w:r w:rsidRPr="0099367E" w:rsidR="0042536C">
        <w:t>rule.</w:t>
      </w:r>
      <w:r w:rsidRPr="0099367E" w:rsidR="00470563">
        <w:t>’ ”  (</w:t>
      </w:r>
      <w:r w:rsidRPr="0099367E" w:rsidR="00470563">
        <w:rPr>
          <w:i/>
          <w:iCs/>
        </w:rPr>
        <w:t>Ramirez</w:t>
      </w:r>
      <w:r w:rsidRPr="0099367E" w:rsidR="00470563">
        <w:t>, at p.</w:t>
      </w:r>
      <w:r w:rsidRPr="0099367E" w:rsidR="00772807">
        <w:t> </w:t>
      </w:r>
      <w:r w:rsidRPr="0099367E" w:rsidR="00F27A6D">
        <w:t>65</w:t>
      </w:r>
      <w:r w:rsidRPr="0099367E" w:rsidR="00D60DD8">
        <w:t xml:space="preserve">, quoting </w:t>
      </w:r>
      <w:r w:rsidRPr="0099367E" w:rsidR="00D60DD8">
        <w:rPr>
          <w:i/>
          <w:iCs/>
        </w:rPr>
        <w:t>Burgos</w:t>
      </w:r>
      <w:r w:rsidRPr="0099367E" w:rsidR="00D60DD8">
        <w:t xml:space="preserve">, </w:t>
      </w:r>
      <w:r w:rsidRPr="0099367E" w:rsidR="00D60DD8">
        <w:rPr>
          <w:i/>
          <w:iCs/>
        </w:rPr>
        <w:t>supra</w:t>
      </w:r>
      <w:r w:rsidRPr="0099367E" w:rsidR="00D60DD8">
        <w:t>, 77</w:t>
      </w:r>
      <w:r w:rsidRPr="0099367E" w:rsidR="002A0A11">
        <w:t> </w:t>
      </w:r>
      <w:r w:rsidRPr="0099367E" w:rsidR="00D60DD8">
        <w:t>Cal.App.5th at p. 569 (dis. opn. of Elia, J.)</w:t>
      </w:r>
      <w:r w:rsidRPr="0099367E" w:rsidR="00F27A6D">
        <w:t>.)</w:t>
      </w:r>
      <w:r w:rsidRPr="0099367E" w:rsidR="0042536C">
        <w:rPr>
          <w:i/>
          <w:iCs/>
        </w:rPr>
        <w:t xml:space="preserve"> </w:t>
      </w:r>
      <w:r w:rsidRPr="0099367E" w:rsidR="00470563">
        <w:rPr>
          <w:i/>
          <w:iCs/>
        </w:rPr>
        <w:t xml:space="preserve"> </w:t>
      </w:r>
      <w:r w:rsidRPr="0099367E" w:rsidR="00470563">
        <w:t>Likewise, i</w:t>
      </w:r>
      <w:r w:rsidRPr="0099367E" w:rsidR="00562505">
        <w:t xml:space="preserve">n </w:t>
      </w:r>
      <w:r w:rsidRPr="0099367E" w:rsidR="00562505">
        <w:rPr>
          <w:i/>
          <w:iCs/>
        </w:rPr>
        <w:t>Perez</w:t>
      </w:r>
      <w:r w:rsidRPr="0099367E" w:rsidR="00562505">
        <w:t>, the Court of Appeal</w:t>
      </w:r>
      <w:r w:rsidRPr="0099367E" w:rsidR="00834E7C">
        <w:t xml:space="preserve"> held that because section 1109 is a procedural statute that ensures a jury will not be prejudiced by gang-related evidence, </w:t>
      </w:r>
      <w:r w:rsidRPr="0099367E" w:rsidR="00772807">
        <w:t xml:space="preserve">and not one that </w:t>
      </w:r>
      <w:r w:rsidRPr="0099367E" w:rsidR="00FB3499">
        <w:t>reduce</w:t>
      </w:r>
      <w:r w:rsidRPr="0099367E" w:rsidR="00772807">
        <w:t>s</w:t>
      </w:r>
      <w:r w:rsidRPr="0099367E" w:rsidR="00FB3499">
        <w:t xml:space="preserve"> the punishment imposed or reduce</w:t>
      </w:r>
      <w:r w:rsidRPr="0099367E" w:rsidR="00772807">
        <w:t>s</w:t>
      </w:r>
      <w:r w:rsidRPr="0099367E" w:rsidR="00FB3499">
        <w:t xml:space="preserve"> the scope of application of the gang statute, i</w:t>
      </w:r>
      <w:r w:rsidRPr="0099367E" w:rsidR="00254BA9">
        <w:t xml:space="preserve">t does not give rise to an inference of retroactivity under </w:t>
      </w:r>
      <w:r w:rsidRPr="0099367E" w:rsidR="00254BA9">
        <w:rPr>
          <w:i/>
          <w:iCs/>
        </w:rPr>
        <w:t>Estrada</w:t>
      </w:r>
      <w:r w:rsidRPr="0099367E" w:rsidR="00254BA9">
        <w:t>.  (</w:t>
      </w:r>
      <w:r w:rsidRPr="0099367E" w:rsidR="00254BA9">
        <w:rPr>
          <w:i/>
          <w:iCs/>
        </w:rPr>
        <w:t>Perez</w:t>
      </w:r>
      <w:r w:rsidRPr="0099367E" w:rsidR="00254BA9">
        <w:t>, at p.</w:t>
      </w:r>
      <w:r w:rsidRPr="0099367E" w:rsidR="00772807">
        <w:t> </w:t>
      </w:r>
      <w:r w:rsidRPr="0099367E" w:rsidR="00254BA9">
        <w:t>207.)</w:t>
      </w:r>
      <w:r w:rsidRPr="0099367E" w:rsidR="00DF6D7D">
        <w:t xml:space="preserve"> </w:t>
      </w:r>
      <w:r w:rsidRPr="0099367E" w:rsidR="00254BA9">
        <w:t xml:space="preserve"> The </w:t>
      </w:r>
      <w:r w:rsidRPr="0099367E" w:rsidR="00254BA9">
        <w:rPr>
          <w:i/>
          <w:iCs/>
        </w:rPr>
        <w:t xml:space="preserve">Perez </w:t>
      </w:r>
      <w:r w:rsidRPr="0099367E" w:rsidR="00254BA9">
        <w:t xml:space="preserve">court contrasted </w:t>
      </w:r>
      <w:r w:rsidRPr="0099367E" w:rsidR="0096444F">
        <w:t>“</w:t>
      </w:r>
      <w:r w:rsidRPr="0099367E" w:rsidR="00254BA9">
        <w:t xml:space="preserve">the new law in </w:t>
      </w:r>
      <w:r w:rsidRPr="0099367E" w:rsidR="00254BA9">
        <w:rPr>
          <w:i/>
          <w:iCs/>
        </w:rPr>
        <w:t>Lara</w:t>
      </w:r>
      <w:r w:rsidRPr="0099367E" w:rsidR="00254BA9">
        <w:t xml:space="preserve">, </w:t>
      </w:r>
      <w:r w:rsidRPr="0099367E" w:rsidR="00090E4A">
        <w:t>which was a new procedural law that had the effect of potentially reducing the punishment for a class of defendants</w:t>
      </w:r>
      <w:r w:rsidRPr="0099367E" w:rsidR="00254BA9">
        <w:t>,” with</w:t>
      </w:r>
      <w:r w:rsidRPr="0099367E" w:rsidR="00090E4A">
        <w:t xml:space="preserve"> </w:t>
      </w:r>
      <w:r w:rsidRPr="0099367E" w:rsidR="006F6B4F">
        <w:t xml:space="preserve">bifurcation under </w:t>
      </w:r>
      <w:r w:rsidRPr="0099367E" w:rsidR="00090E4A">
        <w:t>section 1109</w:t>
      </w:r>
      <w:r w:rsidRPr="0099367E" w:rsidR="00DF6D7D">
        <w:t>, which</w:t>
      </w:r>
      <w:r w:rsidRPr="0099367E" w:rsidR="00090E4A">
        <w:t xml:space="preserve"> </w:t>
      </w:r>
      <w:r w:rsidRPr="0099367E" w:rsidR="00DF6D7D">
        <w:t>“</w:t>
      </w:r>
      <w:r w:rsidRPr="0099367E" w:rsidR="00090E4A">
        <w:t>ensures a jury will not be prejudiced by the introduction of evidence to support gang enhancement allegations.”  (</w:t>
      </w:r>
      <w:r w:rsidRPr="0099367E" w:rsidR="00090E4A">
        <w:rPr>
          <w:i/>
          <w:iCs/>
        </w:rPr>
        <w:t>Perez</w:t>
      </w:r>
      <w:r w:rsidRPr="0099367E" w:rsidR="00090E4A">
        <w:t>, at p.</w:t>
      </w:r>
      <w:r w:rsidRPr="0099367E" w:rsidR="00772807">
        <w:t> </w:t>
      </w:r>
      <w:r w:rsidRPr="0099367E" w:rsidR="00090E4A">
        <w:t xml:space="preserve">207.) </w:t>
      </w:r>
      <w:r w:rsidRPr="0099367E" w:rsidR="00C24F94">
        <w:t xml:space="preserve"> The </w:t>
      </w:r>
      <w:r w:rsidRPr="0099367E" w:rsidR="00C24F94">
        <w:rPr>
          <w:i/>
          <w:iCs/>
        </w:rPr>
        <w:t xml:space="preserve">Boukes </w:t>
      </w:r>
      <w:r w:rsidRPr="0099367E" w:rsidR="00C24F94">
        <w:t xml:space="preserve">court agreed, concluding that section </w:t>
      </w:r>
      <w:r w:rsidRPr="0099367E" w:rsidR="00772807">
        <w:t xml:space="preserve">1109 </w:t>
      </w:r>
      <w:r w:rsidRPr="0099367E" w:rsidR="00C24F94">
        <w:t>does not apply retroactively because it does not reduce punishment imposed on gang enhancements.  (</w:t>
      </w:r>
      <w:r w:rsidRPr="0099367E" w:rsidR="00C24F94">
        <w:rPr>
          <w:i/>
          <w:iCs/>
        </w:rPr>
        <w:t>Boukes</w:t>
      </w:r>
      <w:r w:rsidRPr="0099367E" w:rsidR="00C24F94">
        <w:t>, at p.</w:t>
      </w:r>
      <w:r w:rsidRPr="0099367E" w:rsidR="00772807">
        <w:t> </w:t>
      </w:r>
      <w:r w:rsidRPr="0099367E" w:rsidR="00BA79DA">
        <w:t>948.)</w:t>
      </w:r>
    </w:p>
    <w:p w:rsidR="008B1FF5" w:rsidRPr="0099367E" w:rsidP="00C06DCD" w14:paraId="1D81A2A6" w14:textId="77777777">
      <w:pPr>
        <w:ind w:firstLine="720"/>
      </w:pPr>
      <w:r w:rsidRPr="0099367E">
        <w:t xml:space="preserve">With this background in mind, we turn to the question of whether section 1109’s bifurcation provisions apply retroactively.  </w:t>
      </w:r>
    </w:p>
    <w:p w:rsidR="00212E2D" w:rsidRPr="0099367E" w:rsidP="008B2B2F" w14:paraId="1D81A2A7" w14:textId="77777777">
      <w:pPr>
        <w:pStyle w:val="Heading3"/>
        <w:ind w:left="1584" w:hanging="432"/>
      </w:pPr>
      <w:r w:rsidRPr="0099367E">
        <w:t>Discussion</w:t>
      </w:r>
    </w:p>
    <w:p w:rsidR="007E322A" w:rsidRPr="0099367E" w:rsidP="00C06DCD" w14:paraId="1D81A2A8" w14:textId="77777777">
      <w:pPr>
        <w:tabs>
          <w:tab w:val="left" w:pos="720"/>
        </w:tabs>
        <w:ind w:firstLine="720"/>
      </w:pPr>
      <w:r w:rsidRPr="0099367E">
        <w:t xml:space="preserve">Before </w:t>
      </w:r>
      <w:r w:rsidRPr="0099367E" w:rsidR="00C86810">
        <w:t xml:space="preserve">we address whether </w:t>
      </w:r>
      <w:r w:rsidRPr="0099367E" w:rsidR="006A3214">
        <w:t>section 1109</w:t>
      </w:r>
      <w:r w:rsidRPr="0099367E" w:rsidR="000B4B7F">
        <w:t>’s provisions</w:t>
      </w:r>
      <w:r w:rsidRPr="0099367E" w:rsidR="006A3214">
        <w:t xml:space="preserve"> </w:t>
      </w:r>
      <w:r w:rsidRPr="0099367E" w:rsidR="00D60E95">
        <w:t>provide the sort of relief</w:t>
      </w:r>
      <w:r w:rsidRPr="0099367E" w:rsidR="006A3214">
        <w:t xml:space="preserve"> </w:t>
      </w:r>
      <w:r w:rsidRPr="0099367E" w:rsidR="00D60E95">
        <w:t>contemplated in</w:t>
      </w:r>
      <w:r w:rsidRPr="0099367E" w:rsidR="006A3214">
        <w:t xml:space="preserve"> </w:t>
      </w:r>
      <w:r w:rsidRPr="0099367E" w:rsidR="00C86810">
        <w:rPr>
          <w:i/>
          <w:iCs/>
        </w:rPr>
        <w:t>Estrada</w:t>
      </w:r>
      <w:r w:rsidRPr="0099367E" w:rsidR="00143832">
        <w:t xml:space="preserve"> </w:t>
      </w:r>
      <w:r w:rsidRPr="0099367E" w:rsidR="00EB7CB9">
        <w:t>such that an inference of retroactivity arises</w:t>
      </w:r>
      <w:r w:rsidRPr="0099367E" w:rsidR="006A3214">
        <w:t xml:space="preserve">, </w:t>
      </w:r>
      <w:r w:rsidRPr="0099367E" w:rsidR="000B4B7F">
        <w:t xml:space="preserve">we </w:t>
      </w:r>
      <w:r w:rsidRPr="0099367E" w:rsidR="00424BCE">
        <w:t>resolve</w:t>
      </w:r>
      <w:r w:rsidRPr="0099367E" w:rsidR="00357CEE">
        <w:t xml:space="preserve"> </w:t>
      </w:r>
      <w:r w:rsidRPr="0099367E" w:rsidR="00443228">
        <w:t xml:space="preserve">the threshold question of </w:t>
      </w:r>
      <w:r w:rsidRPr="0099367E" w:rsidR="00357CEE">
        <w:t xml:space="preserve">whether </w:t>
      </w:r>
      <w:r w:rsidRPr="0099367E" w:rsidR="001E7C77">
        <w:t xml:space="preserve">the statute </w:t>
      </w:r>
      <w:r w:rsidRPr="0099367E" w:rsidR="008B3846">
        <w:t xml:space="preserve">expressly or impliedly addresses </w:t>
      </w:r>
      <w:r w:rsidRPr="0099367E" w:rsidR="00155D31">
        <w:t>retroactive application</w:t>
      </w:r>
      <w:r w:rsidRPr="0099367E" w:rsidR="0036358E">
        <w:t xml:space="preserve">. </w:t>
      </w:r>
      <w:r w:rsidRPr="0099367E" w:rsidR="001F2184">
        <w:t xml:space="preserve"> </w:t>
      </w:r>
      <w:r w:rsidRPr="0099367E" w:rsidR="00337BD5">
        <w:t>As noted, i</w:t>
      </w:r>
      <w:r w:rsidRPr="0099367E" w:rsidR="001F2184">
        <w:t xml:space="preserve">f </w:t>
      </w:r>
      <w:r w:rsidRPr="0099367E" w:rsidR="008B1528">
        <w:t>the</w:t>
      </w:r>
      <w:r w:rsidRPr="0099367E" w:rsidR="00337BD5">
        <w:t xml:space="preserve"> statute</w:t>
      </w:r>
      <w:r w:rsidRPr="0099367E" w:rsidR="008B1528">
        <w:t xml:space="preserve"> </w:t>
      </w:r>
      <w:r w:rsidRPr="0099367E" w:rsidR="00425604">
        <w:t>expressly states that it is retroactive</w:t>
      </w:r>
      <w:r w:rsidRPr="0099367E" w:rsidR="008B1528">
        <w:t xml:space="preserve"> </w:t>
      </w:r>
      <w:r w:rsidRPr="0099367E" w:rsidR="00C918B9">
        <w:t xml:space="preserve">or </w:t>
      </w:r>
      <w:r w:rsidRPr="0099367E" w:rsidR="00811073">
        <w:t>otherwise</w:t>
      </w:r>
      <w:r w:rsidRPr="0099367E" w:rsidR="00C918B9">
        <w:t xml:space="preserve"> </w:t>
      </w:r>
      <w:r w:rsidRPr="0099367E" w:rsidR="00425604">
        <w:t>clearly</w:t>
      </w:r>
      <w:r w:rsidRPr="0099367E" w:rsidR="0033013B">
        <w:t xml:space="preserve"> and unavoidably</w:t>
      </w:r>
      <w:r w:rsidRPr="0099367E" w:rsidR="00425604">
        <w:t xml:space="preserve"> </w:t>
      </w:r>
      <w:r w:rsidRPr="0099367E" w:rsidR="00811073">
        <w:t xml:space="preserve">indicates </w:t>
      </w:r>
      <w:r w:rsidRPr="0099367E" w:rsidR="00425604">
        <w:t>that</w:t>
      </w:r>
      <w:r w:rsidRPr="0099367E" w:rsidR="00A117DC">
        <w:t xml:space="preserve"> the Legislature inten</w:t>
      </w:r>
      <w:r w:rsidRPr="0099367E" w:rsidR="00425604">
        <w:t>ded</w:t>
      </w:r>
      <w:r w:rsidRPr="0099367E" w:rsidR="00A117DC">
        <w:t xml:space="preserve"> retroactive operation</w:t>
      </w:r>
      <w:r w:rsidRPr="0099367E" w:rsidR="008B1528">
        <w:t xml:space="preserve">, </w:t>
      </w:r>
      <w:r w:rsidRPr="0099367E" w:rsidR="00B524BC">
        <w:t>that determination governs</w:t>
      </w:r>
      <w:r w:rsidRPr="0099367E" w:rsidR="0079607B">
        <w:t>, regardless of whether section 1109 lessens punishment</w:t>
      </w:r>
      <w:r w:rsidRPr="0099367E" w:rsidR="00FF087D">
        <w:t xml:space="preserve"> within the meaning of </w:t>
      </w:r>
      <w:r w:rsidRPr="0099367E" w:rsidR="00FF087D">
        <w:rPr>
          <w:i/>
          <w:iCs/>
        </w:rPr>
        <w:t>Estrada</w:t>
      </w:r>
      <w:r w:rsidRPr="0099367E" w:rsidR="0079607B">
        <w:t>.</w:t>
      </w:r>
    </w:p>
    <w:p w:rsidR="004B0468" w:rsidRPr="0099367E" w:rsidP="00C06DCD" w14:paraId="1D81A2A9" w14:textId="77777777">
      <w:pPr>
        <w:tabs>
          <w:tab w:val="left" w:pos="720"/>
        </w:tabs>
        <w:ind w:firstLine="720"/>
      </w:pPr>
      <w:r w:rsidRPr="0099367E">
        <w:t>The parties agree that s</w:t>
      </w:r>
      <w:r w:rsidRPr="0099367E" w:rsidR="00AB7875">
        <w:t xml:space="preserve">ection 1109 does not </w:t>
      </w:r>
      <w:r w:rsidRPr="0099367E" w:rsidR="0091629D">
        <w:t xml:space="preserve">contain </w:t>
      </w:r>
      <w:r w:rsidRPr="0099367E" w:rsidR="00571330">
        <w:t xml:space="preserve">an express </w:t>
      </w:r>
      <w:r w:rsidRPr="0099367E" w:rsidR="00877CF3">
        <w:t>statement</w:t>
      </w:r>
      <w:r w:rsidRPr="0099367E" w:rsidR="00296297">
        <w:t xml:space="preserve"> as to its retroactivity</w:t>
      </w:r>
      <w:r w:rsidRPr="0099367E">
        <w:t xml:space="preserve">. </w:t>
      </w:r>
      <w:r w:rsidRPr="0099367E" w:rsidR="006339ED">
        <w:t xml:space="preserve"> Defendants maintain, however, that</w:t>
      </w:r>
      <w:r w:rsidRPr="0099367E" w:rsidR="0097758F">
        <w:t xml:space="preserve"> </w:t>
      </w:r>
      <w:r w:rsidRPr="0099367E" w:rsidR="00020AC8">
        <w:t xml:space="preserve">the </w:t>
      </w:r>
      <w:r w:rsidRPr="0099367E" w:rsidR="00504091">
        <w:t xml:space="preserve">legislative findings and </w:t>
      </w:r>
      <w:r w:rsidRPr="0099367E" w:rsidR="00565129">
        <w:t xml:space="preserve">declaration of purpose accompanying Assembly Bill 333 </w:t>
      </w:r>
      <w:r w:rsidRPr="0099367E" w:rsidR="00020AC8">
        <w:t>clearly indicate</w:t>
      </w:r>
      <w:r w:rsidRPr="0099367E" w:rsidR="00BF323B">
        <w:t xml:space="preserve"> </w:t>
      </w:r>
      <w:r w:rsidRPr="0099367E" w:rsidR="00C9143B">
        <w:t xml:space="preserve">the Legislature intended </w:t>
      </w:r>
      <w:r w:rsidRPr="0099367E" w:rsidR="00565129">
        <w:t>its provisions would</w:t>
      </w:r>
      <w:r w:rsidRPr="0099367E" w:rsidR="00877CF3">
        <w:t xml:space="preserve"> apply</w:t>
      </w:r>
      <w:r w:rsidRPr="0099367E" w:rsidR="000B4E10">
        <w:t xml:space="preserve"> retroactively</w:t>
      </w:r>
      <w:r w:rsidRPr="0099367E" w:rsidR="006C5DC6">
        <w:t>.</w:t>
      </w:r>
      <w:r w:rsidRPr="0099367E" w:rsidR="004D47C3">
        <w:t xml:space="preserve">  </w:t>
      </w:r>
      <w:r w:rsidRPr="0099367E" w:rsidR="00B11968">
        <w:t>They contend that the Legislature’s stated objective to reduce the prejudicial impact of gang evidence</w:t>
      </w:r>
      <w:r w:rsidRPr="0099367E" w:rsidR="007A1D06">
        <w:t>,</w:t>
      </w:r>
      <w:r w:rsidRPr="0099367E" w:rsidR="00C40275">
        <w:t xml:space="preserve"> and </w:t>
      </w:r>
      <w:r w:rsidRPr="0099367E" w:rsidR="007A1D06">
        <w:t>the</w:t>
      </w:r>
      <w:r w:rsidRPr="0099367E" w:rsidR="00C40275">
        <w:t xml:space="preserve"> concerns </w:t>
      </w:r>
      <w:r w:rsidRPr="0099367E" w:rsidR="007A1D06">
        <w:t xml:space="preserve">it expressed </w:t>
      </w:r>
      <w:r w:rsidRPr="0099367E" w:rsidR="00C40275">
        <w:t xml:space="preserve">regarding racial and socioeconomic disparities relating to prosecution under the </w:t>
      </w:r>
      <w:r w:rsidRPr="0099367E" w:rsidR="002E3C9E">
        <w:t>gang enhancement statute</w:t>
      </w:r>
      <w:r w:rsidRPr="0099367E" w:rsidR="007A1D06">
        <w:t>,</w:t>
      </w:r>
      <w:r w:rsidRPr="0099367E" w:rsidR="002E3C9E">
        <w:t xml:space="preserve"> demonstrate that the Legislature intended </w:t>
      </w:r>
      <w:r w:rsidRPr="0099367E" w:rsidR="00962140">
        <w:t>the statute’s</w:t>
      </w:r>
      <w:r w:rsidRPr="0099367E">
        <w:t xml:space="preserve"> bifurcation provisions would apply retroactively.</w:t>
      </w:r>
      <w:r w:rsidRPr="0099367E" w:rsidR="00B11968">
        <w:t xml:space="preserve"> </w:t>
      </w:r>
    </w:p>
    <w:p w:rsidR="00AA15CB" w:rsidRPr="0099367E" w:rsidP="001A58B8" w14:paraId="1D81A2AA" w14:textId="77777777">
      <w:pPr>
        <w:tabs>
          <w:tab w:val="left" w:pos="720"/>
        </w:tabs>
        <w:ind w:firstLine="720"/>
      </w:pPr>
      <w:r w:rsidRPr="0099367E">
        <w:t xml:space="preserve">There is no question that the legislative findings </w:t>
      </w:r>
      <w:r w:rsidRPr="0099367E" w:rsidR="00CD1A46">
        <w:t xml:space="preserve">accompanying Assembly Bill 333 </w:t>
      </w:r>
      <w:r w:rsidRPr="0099367E" w:rsidR="00962140">
        <w:t>reflect</w:t>
      </w:r>
      <w:r w:rsidRPr="0099367E">
        <w:t xml:space="preserve"> significant concerns about gang enhancements in general, including about their usefulness in stemming crime and their disproportionate impact</w:t>
      </w:r>
      <w:r w:rsidRPr="0099367E" w:rsidR="009C6424">
        <w:t xml:space="preserve"> on people of color</w:t>
      </w:r>
      <w:r w:rsidRPr="0099367E" w:rsidR="006E7EF1">
        <w:t xml:space="preserve"> in particular</w:t>
      </w:r>
      <w:r w:rsidRPr="0099367E" w:rsidR="001A58B8">
        <w:t>.</w:t>
      </w:r>
      <w:r>
        <w:rPr>
          <w:rStyle w:val="FootnoteReference"/>
        </w:rPr>
        <w:footnoteReference w:id="6"/>
      </w:r>
      <w:r w:rsidRPr="0099367E" w:rsidR="001A58B8">
        <w:t xml:space="preserve">  However, </w:t>
      </w:r>
      <w:r w:rsidRPr="0099367E" w:rsidR="005C3B5B">
        <w:t xml:space="preserve">we do not discern from </w:t>
      </w:r>
      <w:r w:rsidRPr="0099367E" w:rsidR="001A58B8">
        <w:t xml:space="preserve">these findings </w:t>
      </w:r>
      <w:r w:rsidRPr="0099367E" w:rsidR="003F6544">
        <w:t xml:space="preserve">a “ ‘clear and unavoidable implication’ ” that the Legislature intended </w:t>
      </w:r>
      <w:r w:rsidRPr="0099367E" w:rsidR="0099204A">
        <w:t xml:space="preserve">Assembly Bill 333’s bifurcation provisions to apply retroactively.  </w:t>
      </w:r>
      <w:r w:rsidRPr="0099367E" w:rsidR="003F6544">
        <w:t>(</w:t>
      </w:r>
      <w:r w:rsidRPr="0099367E" w:rsidR="003F6544">
        <w:rPr>
          <w:i/>
          <w:iCs/>
        </w:rPr>
        <w:t>Brown</w:t>
      </w:r>
      <w:r w:rsidRPr="0099367E" w:rsidR="003F6544">
        <w:t xml:space="preserve">, </w:t>
      </w:r>
      <w:r w:rsidRPr="0099367E" w:rsidR="003F6544">
        <w:rPr>
          <w:i/>
          <w:iCs/>
        </w:rPr>
        <w:t>supra</w:t>
      </w:r>
      <w:r w:rsidRPr="0099367E" w:rsidR="003F6544">
        <w:t>, 54</w:t>
      </w:r>
      <w:r w:rsidRPr="0099367E" w:rsidR="002A0A11">
        <w:t> </w:t>
      </w:r>
      <w:r w:rsidRPr="0099367E" w:rsidR="003F6544">
        <w:t>Cal.4th at p.</w:t>
      </w:r>
      <w:r w:rsidRPr="0099367E" w:rsidR="009C6424">
        <w:t> </w:t>
      </w:r>
      <w:r w:rsidRPr="0099367E" w:rsidR="003F6544">
        <w:t>3</w:t>
      </w:r>
      <w:r w:rsidRPr="0099367E" w:rsidR="00D60DD8">
        <w:t>19</w:t>
      </w:r>
      <w:r w:rsidRPr="0099367E" w:rsidR="008500EE">
        <w:t>.</w:t>
      </w:r>
      <w:r w:rsidRPr="0099367E" w:rsidR="003F6544">
        <w:t xml:space="preserve">)  </w:t>
      </w:r>
      <w:r w:rsidRPr="0099367E" w:rsidR="00811073">
        <w:t>Moreover</w:t>
      </w:r>
      <w:r w:rsidRPr="0099367E" w:rsidR="009D05E3">
        <w:t>, there is nothing in the legislative history to suggest that the Legislature considered the issue of retroactivity</w:t>
      </w:r>
      <w:r w:rsidRPr="0099367E" w:rsidR="005413BC">
        <w:t xml:space="preserve"> at all.  </w:t>
      </w:r>
      <w:r w:rsidRPr="0099367E" w:rsidR="007B17BB">
        <w:t xml:space="preserve">(Cf. </w:t>
      </w:r>
      <w:r w:rsidRPr="0099367E" w:rsidR="007B17BB">
        <w:rPr>
          <w:i/>
          <w:iCs/>
        </w:rPr>
        <w:t>Evangelatos</w:t>
      </w:r>
      <w:r w:rsidRPr="0099367E" w:rsidR="007B17BB">
        <w:t xml:space="preserve">, </w:t>
      </w:r>
      <w:r w:rsidRPr="0099367E" w:rsidR="007B17BB">
        <w:rPr>
          <w:i/>
          <w:iCs/>
        </w:rPr>
        <w:t>supra</w:t>
      </w:r>
      <w:r w:rsidRPr="0099367E" w:rsidR="007B17BB">
        <w:t>, 44</w:t>
      </w:r>
      <w:r w:rsidRPr="0099367E" w:rsidR="002A0A11">
        <w:t> </w:t>
      </w:r>
      <w:r w:rsidRPr="0099367E" w:rsidR="007B17BB">
        <w:t>Cal.3d at p.</w:t>
      </w:r>
      <w:r w:rsidRPr="0099367E" w:rsidR="009C6424">
        <w:t> </w:t>
      </w:r>
      <w:r w:rsidRPr="0099367E" w:rsidR="007B17BB">
        <w:t>1211</w:t>
      </w:r>
      <w:r w:rsidRPr="0099367E" w:rsidR="00003772">
        <w:t xml:space="preserve"> [</w:t>
      </w:r>
      <w:r w:rsidRPr="0099367E" w:rsidR="00125A79">
        <w:t xml:space="preserve">enactment’s stated objective to remedy system of inequity and injustice in tort actions </w:t>
      </w:r>
      <w:r w:rsidRPr="0099367E" w:rsidR="00A04BA4">
        <w:t>does not suggest that the retroactivity question was considered].)</w:t>
      </w:r>
      <w:r w:rsidRPr="0099367E" w:rsidR="00AD5B0B">
        <w:t xml:space="preserve">  </w:t>
      </w:r>
    </w:p>
    <w:p w:rsidR="00DB591B" w:rsidRPr="0099367E" w:rsidP="001A58B8" w14:paraId="1D81A2AB" w14:textId="77777777">
      <w:pPr>
        <w:tabs>
          <w:tab w:val="left" w:pos="720"/>
        </w:tabs>
        <w:ind w:firstLine="720"/>
      </w:pPr>
      <w:r w:rsidRPr="0099367E">
        <w:t xml:space="preserve">Indeed, our opinion </w:t>
      </w:r>
      <w:r w:rsidRPr="0099367E" w:rsidR="00AD5B0B">
        <w:t xml:space="preserve">in </w:t>
      </w:r>
      <w:r w:rsidRPr="0099367E" w:rsidR="00AD5B0B">
        <w:rPr>
          <w:i/>
          <w:iCs/>
        </w:rPr>
        <w:t>Tran</w:t>
      </w:r>
      <w:r w:rsidRPr="0099367E" w:rsidR="00AD5B0B">
        <w:t xml:space="preserve">, which concerned Assembly Bill 333’s amendments to </w:t>
      </w:r>
      <w:r w:rsidRPr="0099367E" w:rsidR="008D3A35">
        <w:t>the gang enhancement statute</w:t>
      </w:r>
      <w:r w:rsidRPr="0099367E" w:rsidR="00AD5B0B">
        <w:t>,</w:t>
      </w:r>
      <w:r w:rsidRPr="0099367E" w:rsidR="00AD5B0B">
        <w:rPr>
          <w:i/>
          <w:iCs/>
        </w:rPr>
        <w:t xml:space="preserve"> </w:t>
      </w:r>
      <w:r w:rsidRPr="0099367E" w:rsidR="00AD5B0B">
        <w:t>also suggests that the bill’s legislative history does not shed</w:t>
      </w:r>
      <w:r w:rsidRPr="0099367E">
        <w:t xml:space="preserve"> much</w:t>
      </w:r>
      <w:r w:rsidRPr="0099367E" w:rsidR="00AD5B0B">
        <w:t xml:space="preserve"> light on whether the Legislature intended </w:t>
      </w:r>
      <w:r w:rsidRPr="0099367E" w:rsidR="009C6424">
        <w:t xml:space="preserve">for </w:t>
      </w:r>
      <w:r w:rsidRPr="0099367E" w:rsidR="00AD5B0B">
        <w:t xml:space="preserve">its provisions </w:t>
      </w:r>
      <w:r w:rsidRPr="0099367E" w:rsidR="009C6424">
        <w:t xml:space="preserve">to </w:t>
      </w:r>
      <w:r w:rsidRPr="0099367E" w:rsidR="00AD5B0B">
        <w:t xml:space="preserve">have retroactive operation.  If it did, </w:t>
      </w:r>
      <w:r w:rsidRPr="0099367E">
        <w:t xml:space="preserve">it would not have been necessary in </w:t>
      </w:r>
      <w:r w:rsidRPr="0099367E">
        <w:rPr>
          <w:i/>
          <w:iCs/>
        </w:rPr>
        <w:t>Tran</w:t>
      </w:r>
      <w:r w:rsidRPr="0099367E">
        <w:t xml:space="preserve"> to </w:t>
      </w:r>
      <w:r w:rsidRPr="0099367E" w:rsidR="00AD5B0B">
        <w:t xml:space="preserve">resort </w:t>
      </w:r>
      <w:r w:rsidRPr="0099367E" w:rsidR="009C6424">
        <w:t xml:space="preserve">to </w:t>
      </w:r>
      <w:r w:rsidRPr="0099367E" w:rsidR="00AD5B0B">
        <w:t xml:space="preserve">the secondary question of whether the amendments to section 186.22 apply retroactively under </w:t>
      </w:r>
      <w:r w:rsidRPr="0099367E" w:rsidR="00AD5B0B">
        <w:rPr>
          <w:i/>
          <w:iCs/>
        </w:rPr>
        <w:t>Estrada</w:t>
      </w:r>
      <w:r w:rsidRPr="0099367E" w:rsidR="00AD5B0B">
        <w:t>.  (</w:t>
      </w:r>
      <w:r w:rsidRPr="0099367E" w:rsidR="00AD5B0B">
        <w:rPr>
          <w:i/>
          <w:iCs/>
        </w:rPr>
        <w:t>Tran</w:t>
      </w:r>
      <w:r w:rsidRPr="0099367E" w:rsidR="00AD5B0B">
        <w:t xml:space="preserve">, </w:t>
      </w:r>
      <w:r w:rsidRPr="0099367E" w:rsidR="00AD5B0B">
        <w:rPr>
          <w:i/>
          <w:iCs/>
        </w:rPr>
        <w:t>supra</w:t>
      </w:r>
      <w:r w:rsidRPr="0099367E" w:rsidR="00AD5B0B">
        <w:t>, 13</w:t>
      </w:r>
      <w:r w:rsidRPr="0099367E" w:rsidR="002A0A11">
        <w:t> </w:t>
      </w:r>
      <w:r w:rsidRPr="0099367E" w:rsidR="00AD5B0B">
        <w:t xml:space="preserve">Cal.5th at pp. 1206–1207.)  </w:t>
      </w:r>
    </w:p>
    <w:p w:rsidR="003F51CD" w:rsidRPr="0099367E" w:rsidP="00C06DCD" w14:paraId="1D81A2AC" w14:textId="77777777">
      <w:pPr>
        <w:tabs>
          <w:tab w:val="left" w:pos="720"/>
        </w:tabs>
        <w:ind w:firstLine="720"/>
      </w:pPr>
      <w:r w:rsidRPr="0099367E">
        <w:t>M</w:t>
      </w:r>
      <w:r w:rsidRPr="0099367E" w:rsidR="008D14A0">
        <w:t>ost of th</w:t>
      </w:r>
      <w:r w:rsidRPr="0099367E" w:rsidR="008D3A35">
        <w:t>e legislative</w:t>
      </w:r>
      <w:r w:rsidRPr="0099367E" w:rsidR="008D14A0">
        <w:t xml:space="preserve"> findings appear to relate most directly to the provisions of Assembly Bill 333 that substantively narrow the gang enhancement statute, not </w:t>
      </w:r>
      <w:r w:rsidRPr="0099367E" w:rsidR="001F6B9D">
        <w:t>section 1109</w:t>
      </w:r>
      <w:r w:rsidRPr="0099367E" w:rsidR="008D14A0">
        <w:t>.</w:t>
      </w:r>
      <w:r w:rsidRPr="0099367E" w:rsidR="00AA15CB">
        <w:t xml:space="preserve">  T</w:t>
      </w:r>
      <w:r w:rsidRPr="0099367E" w:rsidR="00564A17">
        <w:t xml:space="preserve">he legislative findings describe the function of section 1109 in more </w:t>
      </w:r>
      <w:r w:rsidRPr="0099367E" w:rsidR="001F6B9D">
        <w:t>equivocal</w:t>
      </w:r>
      <w:r w:rsidRPr="0099367E" w:rsidR="00564A17">
        <w:t xml:space="preserve"> terms.  (Stats. 2021, ch. 699, § 2, subd. </w:t>
      </w:r>
      <w:r w:rsidRPr="0099367E" w:rsidR="001D4541">
        <w:t>(d)</w:t>
      </w:r>
      <w:r w:rsidRPr="0099367E" w:rsidR="004F5C2A">
        <w:t>(6)</w:t>
      </w:r>
      <w:r w:rsidRPr="0099367E" w:rsidR="001D4541">
        <w:t xml:space="preserve"> [“</w:t>
      </w:r>
      <w:r w:rsidRPr="0099367E" w:rsidR="004F5C2A">
        <w:t>G</w:t>
      </w:r>
      <w:r w:rsidRPr="0099367E" w:rsidR="001D4541">
        <w:t xml:space="preserve">ang enhancement evidence </w:t>
      </w:r>
      <w:r w:rsidRPr="0099367E" w:rsidR="001D4541">
        <w:rPr>
          <w:i/>
          <w:iCs/>
        </w:rPr>
        <w:t>can be</w:t>
      </w:r>
      <w:r w:rsidRPr="0099367E" w:rsidR="001D4541">
        <w:t xml:space="preserve"> unreliable and prejudicial to a jury”</w:t>
      </w:r>
      <w:r w:rsidRPr="0099367E" w:rsidR="00771246">
        <w:t xml:space="preserve"> </w:t>
      </w:r>
      <w:r w:rsidRPr="0099367E" w:rsidR="005D18B6">
        <w:t>(</w:t>
      </w:r>
      <w:r w:rsidRPr="0099367E" w:rsidR="00771246">
        <w:t>italics added</w:t>
      </w:r>
      <w:r w:rsidRPr="0099367E" w:rsidR="005D18B6">
        <w:t>)</w:t>
      </w:r>
      <w:r w:rsidRPr="0099367E" w:rsidR="001D4541">
        <w:t xml:space="preserve">]; </w:t>
      </w:r>
      <w:r w:rsidRPr="0099367E" w:rsidR="001D4541">
        <w:rPr>
          <w:i/>
          <w:iCs/>
        </w:rPr>
        <w:t>id</w:t>
      </w:r>
      <w:r w:rsidRPr="00F36ECC" w:rsidR="001D4541">
        <w:t>.</w:t>
      </w:r>
      <w:r w:rsidRPr="0099367E" w:rsidR="001D4541">
        <w:t xml:space="preserve">, subd. </w:t>
      </w:r>
      <w:r w:rsidRPr="0099367E" w:rsidR="00564A17">
        <w:t xml:space="preserve">(e) [“Studies </w:t>
      </w:r>
      <w:r w:rsidRPr="0099367E" w:rsidR="00564A17">
        <w:rPr>
          <w:i/>
          <w:iCs/>
        </w:rPr>
        <w:t>suggest</w:t>
      </w:r>
      <w:r w:rsidRPr="0099367E" w:rsidR="00564A17">
        <w:t xml:space="preserve"> that allowing a jury to hear the kind of evidence that supports a gang enhancement before it has decided whether the defendant is guilty or not </w:t>
      </w:r>
      <w:r w:rsidRPr="0099367E" w:rsidR="00564A17">
        <w:rPr>
          <w:i/>
          <w:iCs/>
        </w:rPr>
        <w:t xml:space="preserve">may </w:t>
      </w:r>
      <w:r w:rsidRPr="0099367E" w:rsidR="00564A17">
        <w:t xml:space="preserve">lead to wrongful convictions” </w:t>
      </w:r>
      <w:r w:rsidRPr="0099367E" w:rsidR="005D18B6">
        <w:t>(</w:t>
      </w:r>
      <w:r w:rsidRPr="0099367E" w:rsidR="00564A17">
        <w:t>italics added</w:t>
      </w:r>
      <w:r w:rsidRPr="0099367E" w:rsidR="005D18B6">
        <w:t>)</w:t>
      </w:r>
      <w:r w:rsidRPr="0099367E" w:rsidR="00564A17">
        <w:t xml:space="preserve">]; </w:t>
      </w:r>
      <w:r w:rsidRPr="0099367E" w:rsidR="00564A17">
        <w:rPr>
          <w:i/>
          <w:iCs/>
        </w:rPr>
        <w:t>id</w:t>
      </w:r>
      <w:r w:rsidRPr="00F36ECC" w:rsidR="00564A17">
        <w:t>.</w:t>
      </w:r>
      <w:r w:rsidRPr="0099367E" w:rsidR="00564A17">
        <w:t xml:space="preserve">, subd. (f) [“Bifurcation of trials where gang evidence is alleged </w:t>
      </w:r>
      <w:r w:rsidRPr="0099367E" w:rsidR="00564A17">
        <w:rPr>
          <w:i/>
          <w:iCs/>
        </w:rPr>
        <w:t>can</w:t>
      </w:r>
      <w:r w:rsidRPr="0099367E" w:rsidR="00564A17">
        <w:t xml:space="preserve"> help reduce its harmful and prejudicial impact”</w:t>
      </w:r>
      <w:r w:rsidRPr="0099367E" w:rsidR="00962140">
        <w:t xml:space="preserve"> </w:t>
      </w:r>
      <w:r w:rsidRPr="0099367E" w:rsidR="005D18B6">
        <w:t>(</w:t>
      </w:r>
      <w:r w:rsidRPr="0099367E" w:rsidR="00564A17">
        <w:t>italics added</w:t>
      </w:r>
      <w:r w:rsidRPr="0099367E" w:rsidR="005D18B6">
        <w:t>)</w:t>
      </w:r>
      <w:r w:rsidRPr="0099367E" w:rsidR="00564A17">
        <w:t>].)</w:t>
      </w:r>
      <w:r>
        <w:rPr>
          <w:rStyle w:val="FootnoteReference"/>
        </w:rPr>
        <w:footnoteReference w:id="7"/>
      </w:r>
      <w:r w:rsidRPr="0099367E" w:rsidR="00564A17">
        <w:t xml:space="preserve"> </w:t>
      </w:r>
      <w:r w:rsidRPr="0099367E" w:rsidR="00CE677A">
        <w:t xml:space="preserve"> These limited assertions align with the </w:t>
      </w:r>
      <w:r w:rsidRPr="0099367E" w:rsidR="001F6B9D">
        <w:t xml:space="preserve">measured nature of change </w:t>
      </w:r>
      <w:r w:rsidRPr="0099367E" w:rsidR="009C6424">
        <w:t xml:space="preserve">in </w:t>
      </w:r>
      <w:r w:rsidRPr="0099367E" w:rsidR="006C39D4">
        <w:t xml:space="preserve">subdivision (a) of </w:t>
      </w:r>
      <w:r w:rsidRPr="0099367E" w:rsidR="00CE677A">
        <w:t>section 1109, which gives defendants the election of a bifurcated or a unitary trial</w:t>
      </w:r>
      <w:r w:rsidRPr="0099367E" w:rsidR="00C2548A">
        <w:t>,</w:t>
      </w:r>
      <w:r w:rsidRPr="0099367E" w:rsidR="00CE677A">
        <w:t xml:space="preserve"> rather than making </w:t>
      </w:r>
      <w:r w:rsidRPr="0099367E" w:rsidR="00C2548A">
        <w:t xml:space="preserve">bifurcation </w:t>
      </w:r>
      <w:r w:rsidRPr="0099367E" w:rsidR="00CE677A">
        <w:t xml:space="preserve">mandatory whenever gang evidence may be introduced. </w:t>
      </w:r>
      <w:r w:rsidRPr="0099367E" w:rsidR="00825E53">
        <w:t xml:space="preserve"> </w:t>
      </w:r>
      <w:r w:rsidRPr="0099367E" w:rsidR="00C2548A">
        <w:t xml:space="preserve">In short, the legislative findings </w:t>
      </w:r>
      <w:r w:rsidRPr="0099367E" w:rsidR="00512709">
        <w:t>do not clearly indicate</w:t>
      </w:r>
      <w:r w:rsidRPr="0099367E" w:rsidR="00825E53">
        <w:t xml:space="preserve"> </w:t>
      </w:r>
      <w:r w:rsidRPr="0099367E" w:rsidR="0057297A">
        <w:t xml:space="preserve">the Legislature intended section 1109 </w:t>
      </w:r>
      <w:r w:rsidRPr="0099367E" w:rsidR="0058017B">
        <w:t xml:space="preserve">to </w:t>
      </w:r>
      <w:r w:rsidRPr="0099367E" w:rsidR="0057297A">
        <w:t>have retroactive operation.</w:t>
      </w:r>
      <w:r w:rsidRPr="0099367E" w:rsidR="001C72DD">
        <w:t xml:space="preserve">  (See </w:t>
      </w:r>
      <w:r w:rsidRPr="0099367E" w:rsidR="00A5705B">
        <w:rPr>
          <w:i/>
          <w:iCs/>
        </w:rPr>
        <w:t>Buycks</w:t>
      </w:r>
      <w:r w:rsidRPr="0099367E" w:rsidR="00A5705B">
        <w:t xml:space="preserve">, </w:t>
      </w:r>
      <w:r w:rsidRPr="0099367E" w:rsidR="00A5705B">
        <w:rPr>
          <w:i/>
          <w:iCs/>
        </w:rPr>
        <w:t>supra</w:t>
      </w:r>
      <w:r w:rsidRPr="0099367E" w:rsidR="00A5705B">
        <w:t>, 5 Cal.5th at p. 880 [statute that is ambiguous regarding retroactive application applies prospectively].)</w:t>
      </w:r>
      <w:r w:rsidRPr="0099367E" w:rsidR="0057297A">
        <w:t xml:space="preserve">  </w:t>
      </w:r>
    </w:p>
    <w:p w:rsidR="00373422" w:rsidRPr="0099367E" w:rsidP="00C06DCD" w14:paraId="1D81A2AD" w14:textId="77777777">
      <w:pPr>
        <w:tabs>
          <w:tab w:val="left" w:pos="720"/>
        </w:tabs>
        <w:ind w:firstLine="720"/>
      </w:pPr>
      <w:r w:rsidRPr="0099367E">
        <w:t xml:space="preserve">With no </w:t>
      </w:r>
      <w:r w:rsidRPr="0099367E" w:rsidR="008562B7">
        <w:t>“express declaration of retroactivity or a clear and compelling implication that the Legislature intended” to apply the statute retroactively (</w:t>
      </w:r>
      <w:r w:rsidRPr="0099367E" w:rsidR="008562B7">
        <w:rPr>
          <w:i/>
          <w:iCs/>
        </w:rPr>
        <w:t>Hayes</w:t>
      </w:r>
      <w:r w:rsidRPr="0099367E" w:rsidR="008562B7">
        <w:t xml:space="preserve">, </w:t>
      </w:r>
      <w:r w:rsidRPr="0099367E" w:rsidR="008562B7">
        <w:rPr>
          <w:i/>
          <w:iCs/>
        </w:rPr>
        <w:t>supra</w:t>
      </w:r>
      <w:r w:rsidRPr="0099367E" w:rsidR="008562B7">
        <w:t>, 49 Cal.3d at p. 1274)</w:t>
      </w:r>
      <w:r w:rsidRPr="0099367E" w:rsidR="00BE4861">
        <w:t xml:space="preserve">, </w:t>
      </w:r>
      <w:r w:rsidRPr="0099367E" w:rsidR="000C641D">
        <w:t>we apply section 3’s presumption that section 1109 operates prospectively</w:t>
      </w:r>
      <w:r w:rsidRPr="0099367E" w:rsidR="00BE4861">
        <w:t xml:space="preserve"> </w:t>
      </w:r>
      <w:r w:rsidRPr="0099367E" w:rsidR="000C641D">
        <w:t>unless the statute</w:t>
      </w:r>
      <w:r w:rsidRPr="0099367E" w:rsidR="006D1CCA">
        <w:t xml:space="preserve"> </w:t>
      </w:r>
      <w:r w:rsidRPr="0099367E" w:rsidR="006F6B4F">
        <w:t xml:space="preserve">“lessen[s] . . . punishment” </w:t>
      </w:r>
      <w:r w:rsidRPr="0099367E" w:rsidR="003018AC">
        <w:t>within the meaning of</w:t>
      </w:r>
      <w:r w:rsidRPr="0099367E" w:rsidR="005F57E2">
        <w:t xml:space="preserve"> </w:t>
      </w:r>
      <w:r w:rsidRPr="0099367E" w:rsidR="005F57E2">
        <w:rPr>
          <w:i/>
          <w:iCs/>
        </w:rPr>
        <w:t>Estrada</w:t>
      </w:r>
      <w:r w:rsidRPr="0099367E" w:rsidR="00AC1390">
        <w:t>.</w:t>
      </w:r>
      <w:r>
        <w:rPr>
          <w:rStyle w:val="FootnoteReference"/>
        </w:rPr>
        <w:footnoteReference w:id="8"/>
      </w:r>
      <w:r w:rsidRPr="0099367E" w:rsidR="005F57E2">
        <w:t xml:space="preserve">  </w:t>
      </w:r>
      <w:r w:rsidRPr="0099367E" w:rsidR="00825537">
        <w:t>(</w:t>
      </w:r>
      <w:r w:rsidRPr="0099367E" w:rsidR="00825537">
        <w:rPr>
          <w:i/>
          <w:iCs/>
        </w:rPr>
        <w:t>Estrada</w:t>
      </w:r>
      <w:r w:rsidRPr="0099367E" w:rsidR="00825537">
        <w:t xml:space="preserve">, </w:t>
      </w:r>
      <w:r w:rsidRPr="0099367E" w:rsidR="00825537">
        <w:rPr>
          <w:i/>
          <w:iCs/>
        </w:rPr>
        <w:t>supra</w:t>
      </w:r>
      <w:r w:rsidRPr="0099367E" w:rsidR="00825537">
        <w:t>, 63</w:t>
      </w:r>
      <w:r w:rsidRPr="0099367E" w:rsidR="00A13009">
        <w:t> </w:t>
      </w:r>
      <w:r w:rsidRPr="0099367E" w:rsidR="00825537">
        <w:t xml:space="preserve">Cal.2d at p. 745.)  </w:t>
      </w:r>
      <w:r w:rsidRPr="0099367E" w:rsidR="003A4237">
        <w:t>W</w:t>
      </w:r>
      <w:r w:rsidRPr="0099367E" w:rsidR="00B521F4">
        <w:t xml:space="preserve">e </w:t>
      </w:r>
      <w:r w:rsidRPr="0099367E" w:rsidR="005F57E2">
        <w:t>co</w:t>
      </w:r>
      <w:r w:rsidRPr="0099367E" w:rsidR="00D26605">
        <w:t>nclude th</w:t>
      </w:r>
      <w:r w:rsidRPr="0099367E" w:rsidR="00FF1315">
        <w:t xml:space="preserve">at </w:t>
      </w:r>
      <w:r w:rsidRPr="0099367E" w:rsidR="00020AC8">
        <w:t xml:space="preserve">it </w:t>
      </w:r>
      <w:r w:rsidRPr="0099367E" w:rsidR="00B435AC">
        <w:t xml:space="preserve">does </w:t>
      </w:r>
      <w:r w:rsidRPr="0099367E" w:rsidR="00020AC8">
        <w:t>not</w:t>
      </w:r>
      <w:r w:rsidRPr="0099367E" w:rsidR="00D26605">
        <w:t>.</w:t>
      </w:r>
    </w:p>
    <w:p w:rsidR="00790B13" w:rsidRPr="0099367E" w:rsidP="00C06DCD" w14:paraId="1D81A2AE" w14:textId="77777777">
      <w:pPr>
        <w:tabs>
          <w:tab w:val="left" w:pos="720"/>
        </w:tabs>
        <w:ind w:firstLine="720"/>
      </w:pPr>
      <w:r w:rsidRPr="0099367E">
        <w:t>As noted, s</w:t>
      </w:r>
      <w:r w:rsidRPr="0099367E" w:rsidR="00BB78E4">
        <w:t xml:space="preserve">ection 1109 </w:t>
      </w:r>
      <w:r w:rsidRPr="0099367E" w:rsidR="001B3E4B">
        <w:t>requires the</w:t>
      </w:r>
      <w:r w:rsidRPr="0099367E" w:rsidR="006A3D31">
        <w:t xml:space="preserve"> trial court to try an underlying offense separately from a gang enhancement </w:t>
      </w:r>
      <w:r w:rsidRPr="0099367E" w:rsidR="00E23529">
        <w:t>if requested by the defense</w:t>
      </w:r>
      <w:r w:rsidRPr="0099367E" w:rsidR="00EF147E">
        <w:t>,</w:t>
      </w:r>
      <w:r w:rsidRPr="0099367E" w:rsidR="00D76FC2">
        <w:t xml:space="preserve"> and</w:t>
      </w:r>
      <w:r w:rsidRPr="0099367E" w:rsidR="00EF147E">
        <w:t xml:space="preserve"> it</w:t>
      </w:r>
      <w:r w:rsidRPr="0099367E" w:rsidR="00D76FC2">
        <w:t xml:space="preserve"> mandates that a substantive gang offense be tried separately from nongang</w:t>
      </w:r>
      <w:r w:rsidRPr="0099367E" w:rsidR="00AE6915">
        <w:t>-</w:t>
      </w:r>
      <w:r w:rsidRPr="0099367E" w:rsidR="00D76FC2">
        <w:t>related offenses</w:t>
      </w:r>
      <w:r w:rsidRPr="0099367E" w:rsidR="00E23529">
        <w:t xml:space="preserve">.  </w:t>
      </w:r>
      <w:r w:rsidRPr="0099367E" w:rsidR="006D3D88">
        <w:t>By its terms, s</w:t>
      </w:r>
      <w:r w:rsidRPr="0099367E" w:rsidR="00C94453">
        <w:t xml:space="preserve">ection 1109 </w:t>
      </w:r>
      <w:r w:rsidRPr="0099367E" w:rsidR="006D3D88">
        <w:t xml:space="preserve">does not </w:t>
      </w:r>
      <w:r w:rsidRPr="0099367E" w:rsidR="009353E3">
        <w:t xml:space="preserve">directly </w:t>
      </w:r>
      <w:r w:rsidRPr="0099367E" w:rsidR="006E518F">
        <w:t xml:space="preserve">or potentially reduce </w:t>
      </w:r>
      <w:r w:rsidRPr="0099367E" w:rsidR="006D3D88">
        <w:t>the punishment for an offense</w:t>
      </w:r>
      <w:r w:rsidRPr="0099367E" w:rsidR="005516B5">
        <w:t xml:space="preserve">.  </w:t>
      </w:r>
      <w:r w:rsidRPr="0099367E" w:rsidR="005878D5">
        <w:t>Nor does it</w:t>
      </w:r>
      <w:r w:rsidRPr="0099367E" w:rsidR="00970BB8">
        <w:t xml:space="preserve"> change the elements of a substantive offense, defense, or penalty enhancement.  </w:t>
      </w:r>
      <w:r w:rsidRPr="0099367E" w:rsidR="005878D5">
        <w:t>Likewise, it does not</w:t>
      </w:r>
      <w:r w:rsidRPr="0099367E" w:rsidR="002A1556">
        <w:t xml:space="preserve"> create an </w:t>
      </w:r>
      <w:r w:rsidRPr="0099367E" w:rsidR="00C61A1B">
        <w:t xml:space="preserve">alternative </w:t>
      </w:r>
      <w:r w:rsidRPr="0099367E" w:rsidR="002A1556">
        <w:t xml:space="preserve">avenue </w:t>
      </w:r>
      <w:r w:rsidRPr="0099367E" w:rsidR="00C61A1B">
        <w:t xml:space="preserve">for certain individuals to </w:t>
      </w:r>
      <w:r w:rsidRPr="0099367E" w:rsidR="001C55EF">
        <w:t xml:space="preserve">receive </w:t>
      </w:r>
      <w:r w:rsidRPr="0099367E" w:rsidR="00C61A1B">
        <w:t>lesser or no punishment</w:t>
      </w:r>
      <w:r w:rsidRPr="0099367E" w:rsidR="005516B5">
        <w:t xml:space="preserve">.  </w:t>
      </w:r>
      <w:r w:rsidRPr="0099367E" w:rsidR="0094104B">
        <w:t>Instead, section 1109</w:t>
      </w:r>
      <w:r w:rsidRPr="0099367E" w:rsidR="005F2F72">
        <w:t xml:space="preserve"> reflects</w:t>
      </w:r>
      <w:r w:rsidRPr="0099367E" w:rsidR="0094104B">
        <w:t xml:space="preserve"> </w:t>
      </w:r>
      <w:r w:rsidRPr="0099367E" w:rsidR="00E11FDA">
        <w:t xml:space="preserve">a prophylactic procedural rule that modifies the sequence of trial proceedings.  </w:t>
      </w:r>
      <w:r w:rsidRPr="0099367E" w:rsidR="0076154D">
        <w:t xml:space="preserve">In an effort to minimize the </w:t>
      </w:r>
      <w:r w:rsidRPr="0099367E" w:rsidR="00054CB8">
        <w:t xml:space="preserve">potentially </w:t>
      </w:r>
      <w:r w:rsidRPr="0099367E" w:rsidR="0076154D">
        <w:t xml:space="preserve">prejudicial impact of gang evidence, it gives defendants the option to </w:t>
      </w:r>
      <w:r w:rsidRPr="0099367E">
        <w:t xml:space="preserve">request bifurcation at trial of the gang enhancement allegations charged under section 186.22, subdivision (b) and the other charged offenses.  </w:t>
      </w:r>
    </w:p>
    <w:p w:rsidR="00906DB6" w:rsidRPr="0099367E" w:rsidP="00C06DCD" w14:paraId="1D81A2AF" w14:textId="77777777">
      <w:pPr>
        <w:tabs>
          <w:tab w:val="left" w:pos="720"/>
        </w:tabs>
        <w:ind w:firstLine="720"/>
      </w:pPr>
      <w:r w:rsidRPr="0099367E">
        <w:t xml:space="preserve">Because </w:t>
      </w:r>
      <w:r w:rsidRPr="0099367E" w:rsidR="009E1243">
        <w:t xml:space="preserve">the procedures established by section 1109 do </w:t>
      </w:r>
      <w:r w:rsidRPr="0099367E" w:rsidR="00A47839">
        <w:t xml:space="preserve">not </w:t>
      </w:r>
      <w:r w:rsidRPr="0099367E">
        <w:t>alter</w:t>
      </w:r>
      <w:r w:rsidRPr="0099367E" w:rsidR="00A47839">
        <w:t xml:space="preserve"> the criminality of defendant’s conduct or the severity of punishment</w:t>
      </w:r>
      <w:r w:rsidRPr="0099367E" w:rsidR="008E3E15">
        <w:t xml:space="preserve">, </w:t>
      </w:r>
      <w:r w:rsidRPr="0099367E">
        <w:t>the logic of</w:t>
      </w:r>
      <w:r w:rsidRPr="0099367E" w:rsidR="008E3E15">
        <w:t xml:space="preserve"> </w:t>
      </w:r>
      <w:r w:rsidRPr="0099367E" w:rsidR="008E3E15">
        <w:rPr>
          <w:i/>
          <w:iCs/>
        </w:rPr>
        <w:t>Estrada</w:t>
      </w:r>
      <w:r w:rsidRPr="0099367E" w:rsidR="008E3E15">
        <w:t xml:space="preserve"> </w:t>
      </w:r>
      <w:r w:rsidRPr="0099367E">
        <w:t>does not apply</w:t>
      </w:r>
      <w:r w:rsidRPr="0099367E" w:rsidR="008E3E15">
        <w:t>.</w:t>
      </w:r>
      <w:r w:rsidRPr="0099367E" w:rsidR="00F6373A">
        <w:t xml:space="preserve">  </w:t>
      </w:r>
      <w:r w:rsidRPr="0099367E" w:rsidR="003F779D">
        <w:t xml:space="preserve">(See </w:t>
      </w:r>
      <w:r w:rsidRPr="0099367E" w:rsidR="003F779D">
        <w:rPr>
          <w:i/>
          <w:iCs/>
        </w:rPr>
        <w:t>Robertson</w:t>
      </w:r>
      <w:r w:rsidRPr="0099367E" w:rsidR="003F779D">
        <w:t xml:space="preserve">, </w:t>
      </w:r>
      <w:r w:rsidRPr="0099367E" w:rsidR="003F779D">
        <w:rPr>
          <w:i/>
          <w:iCs/>
        </w:rPr>
        <w:t>supra</w:t>
      </w:r>
      <w:r w:rsidRPr="0099367E" w:rsidR="003F779D">
        <w:t>, 48</w:t>
      </w:r>
      <w:r w:rsidRPr="0099367E" w:rsidR="00A13009">
        <w:t> </w:t>
      </w:r>
      <w:r w:rsidRPr="0099367E" w:rsidR="003F779D">
        <w:t>Cal.3d at p.</w:t>
      </w:r>
      <w:r w:rsidRPr="0099367E" w:rsidR="000F59B2">
        <w:t> </w:t>
      </w:r>
      <w:r w:rsidRPr="0099367E" w:rsidR="003F779D">
        <w:t xml:space="preserve">51.)  </w:t>
      </w:r>
      <w:r w:rsidRPr="0099367E" w:rsidR="00D802E2">
        <w:t>The f</w:t>
      </w:r>
      <w:r w:rsidRPr="0099367E" w:rsidR="003F779D">
        <w:t>u</w:t>
      </w:r>
      <w:r w:rsidRPr="0099367E" w:rsidR="00D802E2">
        <w:t xml:space="preserve">rther any particular amendatory act is from a clear reduction of punishment, or </w:t>
      </w:r>
      <w:r w:rsidRPr="0099367E" w:rsidR="00A8426B">
        <w:t xml:space="preserve">removal </w:t>
      </w:r>
      <w:r w:rsidRPr="0099367E" w:rsidR="00D802E2">
        <w:t xml:space="preserve">of </w:t>
      </w:r>
      <w:r w:rsidRPr="0099367E" w:rsidR="000F59B2">
        <w:t xml:space="preserve">a </w:t>
      </w:r>
      <w:r w:rsidRPr="0099367E" w:rsidR="00D802E2">
        <w:t>class of defendants from the criminal system altogether, the less “inevitable” and “obvious” (</w:t>
      </w:r>
      <w:r w:rsidRPr="0099367E" w:rsidR="00D802E2">
        <w:rPr>
          <w:i/>
          <w:iCs/>
        </w:rPr>
        <w:t>Estrada</w:t>
      </w:r>
      <w:r w:rsidRPr="0099367E" w:rsidR="00D802E2">
        <w:t xml:space="preserve">, </w:t>
      </w:r>
      <w:r w:rsidRPr="0099367E" w:rsidR="00D802E2">
        <w:rPr>
          <w:i/>
          <w:iCs/>
        </w:rPr>
        <w:t>supra</w:t>
      </w:r>
      <w:r w:rsidRPr="0099367E" w:rsidR="00D802E2">
        <w:t>, 63</w:t>
      </w:r>
      <w:r w:rsidRPr="0099367E" w:rsidR="00A13009">
        <w:t> </w:t>
      </w:r>
      <w:r w:rsidRPr="0099367E" w:rsidR="00D802E2">
        <w:t>Cal.2d at p.</w:t>
      </w:r>
      <w:r w:rsidRPr="0099367E" w:rsidR="000F59B2">
        <w:t> </w:t>
      </w:r>
      <w:r w:rsidRPr="0099367E" w:rsidR="00D802E2">
        <w:t>745)</w:t>
      </w:r>
      <w:r w:rsidRPr="0099367E" w:rsidR="00D802E2">
        <w:rPr>
          <w:i/>
          <w:iCs/>
        </w:rPr>
        <w:t xml:space="preserve"> </w:t>
      </w:r>
      <w:r w:rsidRPr="0099367E" w:rsidR="00D802E2">
        <w:t xml:space="preserve">and more speculative the inference of retroactivity becomes.  </w:t>
      </w:r>
      <w:r w:rsidRPr="0099367E" w:rsidR="00CE003B">
        <w:t>(</w:t>
      </w:r>
      <w:r w:rsidRPr="0099367E" w:rsidR="00CE003B">
        <w:rPr>
          <w:bCs/>
          <w:i/>
          <w:iCs/>
        </w:rPr>
        <w:t>Brown</w:t>
      </w:r>
      <w:r w:rsidRPr="0099367E" w:rsidR="00CE003B">
        <w:rPr>
          <w:bCs/>
        </w:rPr>
        <w:t xml:space="preserve">, </w:t>
      </w:r>
      <w:r w:rsidRPr="0099367E" w:rsidR="00CE003B">
        <w:rPr>
          <w:bCs/>
          <w:i/>
          <w:iCs/>
        </w:rPr>
        <w:t>supra</w:t>
      </w:r>
      <w:r w:rsidRPr="0099367E" w:rsidR="00CE003B">
        <w:rPr>
          <w:bCs/>
        </w:rPr>
        <w:t>, 54</w:t>
      </w:r>
      <w:r w:rsidRPr="0099367E" w:rsidR="00A13009">
        <w:rPr>
          <w:bCs/>
        </w:rPr>
        <w:t> </w:t>
      </w:r>
      <w:r w:rsidRPr="0099367E" w:rsidR="00CE003B">
        <w:rPr>
          <w:bCs/>
        </w:rPr>
        <w:t>Cal.4th at p.</w:t>
      </w:r>
      <w:r w:rsidRPr="0099367E" w:rsidR="000F59B2">
        <w:rPr>
          <w:bCs/>
        </w:rPr>
        <w:t> </w:t>
      </w:r>
      <w:r w:rsidRPr="0099367E" w:rsidR="00CE003B">
        <w:rPr>
          <w:bCs/>
        </w:rPr>
        <w:t>325 [</w:t>
      </w:r>
      <w:r w:rsidRPr="0099367E" w:rsidR="00A933BE">
        <w:rPr>
          <w:bCs/>
        </w:rPr>
        <w:t xml:space="preserve">“a statute increasing the rate at which prisoners may earn credits for good behavior does not represent a judgment about the needs of the criminal law with respect to a particular criminal offense, and thus does not support an analogous inference of retroactive intent”].)  </w:t>
      </w:r>
      <w:r w:rsidRPr="0099367E" w:rsidR="00D802E2">
        <w:t xml:space="preserve">We decline to extend the reach of our holding in </w:t>
      </w:r>
      <w:r w:rsidRPr="0099367E" w:rsidR="00D802E2">
        <w:rPr>
          <w:i/>
          <w:iCs/>
        </w:rPr>
        <w:t>Estrada</w:t>
      </w:r>
      <w:r w:rsidRPr="0099367E" w:rsidR="00D802E2">
        <w:t> to a statute so untethered from its logic.</w:t>
      </w:r>
    </w:p>
    <w:p w:rsidR="00B17C70" w:rsidRPr="0099367E" w:rsidP="00C06DCD" w14:paraId="1D81A2B0" w14:textId="77777777">
      <w:pPr>
        <w:tabs>
          <w:tab w:val="left" w:pos="720"/>
        </w:tabs>
        <w:ind w:firstLine="720"/>
        <w:rPr>
          <w:szCs w:val="26"/>
        </w:rPr>
      </w:pPr>
      <w:r w:rsidRPr="0099367E">
        <w:rPr>
          <w:szCs w:val="26"/>
        </w:rPr>
        <w:t xml:space="preserve">The reasoning we applied in </w:t>
      </w:r>
      <w:r w:rsidRPr="0099367E">
        <w:rPr>
          <w:i/>
          <w:iCs/>
          <w:szCs w:val="26"/>
        </w:rPr>
        <w:t>Estrada</w:t>
      </w:r>
      <w:r w:rsidRPr="0099367E">
        <w:rPr>
          <w:szCs w:val="26"/>
        </w:rPr>
        <w:t xml:space="preserve"> leads us to conclude that there are also practical reasons why it makes sense to distinguish between the retroactive effect of new legislation reducing the punishment prescribed by law </w:t>
      </w:r>
      <w:r w:rsidRPr="0099367E" w:rsidR="00735EED">
        <w:rPr>
          <w:szCs w:val="26"/>
        </w:rPr>
        <w:t xml:space="preserve">and </w:t>
      </w:r>
      <w:r w:rsidRPr="0099367E">
        <w:rPr>
          <w:szCs w:val="26"/>
        </w:rPr>
        <w:t xml:space="preserve">the retroactive effect of new legislation </w:t>
      </w:r>
      <w:r w:rsidRPr="0099367E" w:rsidR="00735EED">
        <w:rPr>
          <w:szCs w:val="26"/>
        </w:rPr>
        <w:t>that makes</w:t>
      </w:r>
      <w:r w:rsidRPr="0099367E">
        <w:rPr>
          <w:szCs w:val="26"/>
        </w:rPr>
        <w:t xml:space="preserve"> </w:t>
      </w:r>
      <w:r w:rsidRPr="0099367E" w:rsidR="00B9232D">
        <w:rPr>
          <w:szCs w:val="26"/>
        </w:rPr>
        <w:t>the type</w:t>
      </w:r>
      <w:r w:rsidRPr="0099367E" w:rsidR="004F5C2A">
        <w:rPr>
          <w:szCs w:val="26"/>
        </w:rPr>
        <w:t>s</w:t>
      </w:r>
      <w:r w:rsidRPr="0099367E" w:rsidR="00B9232D">
        <w:rPr>
          <w:szCs w:val="26"/>
        </w:rPr>
        <w:t xml:space="preserve"> of </w:t>
      </w:r>
      <w:r w:rsidRPr="0099367E">
        <w:rPr>
          <w:szCs w:val="26"/>
        </w:rPr>
        <w:t>changes</w:t>
      </w:r>
      <w:r w:rsidRPr="0099367E" w:rsidR="00B9232D">
        <w:rPr>
          <w:szCs w:val="26"/>
        </w:rPr>
        <w:t xml:space="preserve"> we see in section 1109</w:t>
      </w:r>
      <w:r w:rsidRPr="0099367E">
        <w:rPr>
          <w:szCs w:val="26"/>
        </w:rPr>
        <w:t xml:space="preserve">.  </w:t>
      </w:r>
      <w:r w:rsidRPr="0099367E" w:rsidR="00735EED">
        <w:rPr>
          <w:szCs w:val="26"/>
        </w:rPr>
        <w:t>T</w:t>
      </w:r>
      <w:r w:rsidRPr="0099367E">
        <w:rPr>
          <w:szCs w:val="26"/>
        </w:rPr>
        <w:t>he Legislature</w:t>
      </w:r>
      <w:r w:rsidRPr="0099367E" w:rsidR="005D4AFE">
        <w:rPr>
          <w:szCs w:val="26"/>
        </w:rPr>
        <w:t xml:space="preserve">, as the lawmaking </w:t>
      </w:r>
      <w:r w:rsidRPr="0099367E" w:rsidR="0052230F">
        <w:rPr>
          <w:szCs w:val="26"/>
        </w:rPr>
        <w:t>body</w:t>
      </w:r>
      <w:r w:rsidRPr="0099367E" w:rsidR="005D4AFE">
        <w:rPr>
          <w:szCs w:val="26"/>
        </w:rPr>
        <w:t xml:space="preserve"> of the state (Cal. Const., art. IV, §</w:t>
      </w:r>
      <w:r w:rsidRPr="0099367E" w:rsidR="00E64DAA">
        <w:rPr>
          <w:szCs w:val="26"/>
        </w:rPr>
        <w:t> </w:t>
      </w:r>
      <w:r w:rsidRPr="0099367E" w:rsidR="005D4AFE">
        <w:rPr>
          <w:szCs w:val="26"/>
        </w:rPr>
        <w:t>1),</w:t>
      </w:r>
      <w:r w:rsidRPr="0099367E">
        <w:rPr>
          <w:szCs w:val="26"/>
        </w:rPr>
        <w:t xml:space="preserve"> </w:t>
      </w:r>
      <w:r w:rsidRPr="0099367E" w:rsidR="005D4AFE">
        <w:rPr>
          <w:szCs w:val="26"/>
        </w:rPr>
        <w:t xml:space="preserve">is accorded </w:t>
      </w:r>
      <w:r w:rsidRPr="0099367E">
        <w:rPr>
          <w:szCs w:val="26"/>
        </w:rPr>
        <w:t xml:space="preserve">considerable deference in deciding how to set the penalties for particular offenses.  (E.g., </w:t>
      </w:r>
      <w:r w:rsidRPr="0099367E">
        <w:rPr>
          <w:i/>
          <w:iCs/>
          <w:szCs w:val="26"/>
        </w:rPr>
        <w:t>People v. Wilkinson</w:t>
      </w:r>
      <w:r w:rsidRPr="0099367E">
        <w:rPr>
          <w:szCs w:val="26"/>
        </w:rPr>
        <w:t xml:space="preserve"> (2004) 33</w:t>
      </w:r>
      <w:r w:rsidRPr="0099367E" w:rsidR="00A13009">
        <w:rPr>
          <w:szCs w:val="26"/>
        </w:rPr>
        <w:t> </w:t>
      </w:r>
      <w:r w:rsidRPr="0099367E">
        <w:rPr>
          <w:szCs w:val="26"/>
        </w:rPr>
        <w:t xml:space="preserve">Cal.4th 821, 840–841.)  When the Legislature determines that </w:t>
      </w:r>
      <w:r w:rsidRPr="0099367E" w:rsidR="005D4AFE">
        <w:rPr>
          <w:szCs w:val="26"/>
        </w:rPr>
        <w:t xml:space="preserve">one of </w:t>
      </w:r>
      <w:r w:rsidRPr="0099367E">
        <w:rPr>
          <w:szCs w:val="26"/>
        </w:rPr>
        <w:t xml:space="preserve">its enactments </w:t>
      </w:r>
      <w:r w:rsidRPr="0099367E" w:rsidR="005D4AFE">
        <w:rPr>
          <w:szCs w:val="26"/>
        </w:rPr>
        <w:t>operates</w:t>
      </w:r>
      <w:r w:rsidRPr="0099367E">
        <w:rPr>
          <w:szCs w:val="26"/>
        </w:rPr>
        <w:t xml:space="preserve"> too harshly, we presume that </w:t>
      </w:r>
      <w:r w:rsidRPr="0099367E" w:rsidR="00E8482F">
        <w:rPr>
          <w:szCs w:val="26"/>
        </w:rPr>
        <w:t>it wants its reevaluation, as embodied in a new law,</w:t>
      </w:r>
      <w:r w:rsidRPr="0099367E">
        <w:rPr>
          <w:szCs w:val="26"/>
        </w:rPr>
        <w:t xml:space="preserve"> to apply as broadly as possible within the limits of finality.  (</w:t>
      </w:r>
      <w:r w:rsidRPr="0099367E">
        <w:rPr>
          <w:i/>
          <w:iCs/>
          <w:szCs w:val="26"/>
        </w:rPr>
        <w:t>Estrada</w:t>
      </w:r>
      <w:r w:rsidRPr="0099367E">
        <w:rPr>
          <w:szCs w:val="26"/>
        </w:rPr>
        <w:t xml:space="preserve">, </w:t>
      </w:r>
      <w:r w:rsidRPr="0099367E">
        <w:rPr>
          <w:i/>
          <w:iCs/>
          <w:szCs w:val="26"/>
        </w:rPr>
        <w:t>supra</w:t>
      </w:r>
      <w:r w:rsidRPr="0099367E">
        <w:rPr>
          <w:szCs w:val="26"/>
        </w:rPr>
        <w:t>, 63</w:t>
      </w:r>
      <w:r w:rsidRPr="0099367E" w:rsidR="00A13009">
        <w:rPr>
          <w:szCs w:val="26"/>
        </w:rPr>
        <w:t> </w:t>
      </w:r>
      <w:r w:rsidRPr="0099367E">
        <w:rPr>
          <w:szCs w:val="26"/>
        </w:rPr>
        <w:t xml:space="preserve">Cal.2d at p. 745.) </w:t>
      </w:r>
      <w:r w:rsidRPr="0099367E" w:rsidR="000F59B2">
        <w:rPr>
          <w:szCs w:val="26"/>
        </w:rPr>
        <w:t xml:space="preserve"> </w:t>
      </w:r>
    </w:p>
    <w:p w:rsidR="00B17C70" w:rsidRPr="0099367E" w:rsidP="00C06DCD" w14:paraId="1D81A2B1" w14:textId="77777777">
      <w:pPr>
        <w:tabs>
          <w:tab w:val="left" w:pos="720"/>
        </w:tabs>
        <w:ind w:firstLine="720"/>
      </w:pPr>
      <w:r w:rsidRPr="0099367E">
        <w:rPr>
          <w:szCs w:val="26"/>
        </w:rPr>
        <w:t xml:space="preserve">But </w:t>
      </w:r>
      <w:r w:rsidRPr="0099367E" w:rsidR="00E8482F">
        <w:rPr>
          <w:szCs w:val="26"/>
        </w:rPr>
        <w:t xml:space="preserve">it is more difficult to draw such an inference when a statute makes </w:t>
      </w:r>
      <w:r w:rsidRPr="0099367E" w:rsidR="00487981">
        <w:rPr>
          <w:szCs w:val="26"/>
        </w:rPr>
        <w:t>the types of changes reflected in section 1109</w:t>
      </w:r>
      <w:r w:rsidRPr="0099367E">
        <w:rPr>
          <w:szCs w:val="26"/>
        </w:rPr>
        <w:t xml:space="preserve">.  </w:t>
      </w:r>
      <w:r w:rsidRPr="0099367E" w:rsidR="000F59B2">
        <w:rPr>
          <w:szCs w:val="26"/>
        </w:rPr>
        <w:t xml:space="preserve">While </w:t>
      </w:r>
      <w:r w:rsidRPr="0099367E">
        <w:rPr>
          <w:szCs w:val="26"/>
        </w:rPr>
        <w:t xml:space="preserve">the Legislature may determine that </w:t>
      </w:r>
      <w:r w:rsidRPr="0099367E" w:rsidR="000F59B2">
        <w:rPr>
          <w:szCs w:val="26"/>
        </w:rPr>
        <w:t xml:space="preserve">certain </w:t>
      </w:r>
      <w:r w:rsidRPr="0099367E">
        <w:rPr>
          <w:szCs w:val="26"/>
        </w:rPr>
        <w:t>additional procedures are warranted to enhance the fairness of criminal proceedings, as it did in enacting section 1109</w:t>
      </w:r>
      <w:r w:rsidRPr="0099367E" w:rsidR="000F59B2">
        <w:rPr>
          <w:szCs w:val="26"/>
        </w:rPr>
        <w:t xml:space="preserve">, </w:t>
      </w:r>
      <w:r w:rsidRPr="0099367E">
        <w:rPr>
          <w:szCs w:val="26"/>
        </w:rPr>
        <w:t xml:space="preserve">the Legislature might </w:t>
      </w:r>
      <w:r w:rsidRPr="0099367E" w:rsidR="00822F20">
        <w:rPr>
          <w:szCs w:val="26"/>
        </w:rPr>
        <w:t xml:space="preserve">decide to adopt </w:t>
      </w:r>
      <w:r w:rsidRPr="0099367E">
        <w:rPr>
          <w:szCs w:val="26"/>
        </w:rPr>
        <w:t xml:space="preserve">a rule of prospective application </w:t>
      </w:r>
      <w:r w:rsidRPr="0099367E" w:rsidR="00487981">
        <w:rPr>
          <w:szCs w:val="26"/>
        </w:rPr>
        <w:t xml:space="preserve">for such changes </w:t>
      </w:r>
      <w:r w:rsidRPr="0099367E" w:rsidR="00E8482F">
        <w:rPr>
          <w:szCs w:val="26"/>
        </w:rPr>
        <w:t>for reasons other than</w:t>
      </w:r>
      <w:r w:rsidRPr="0099367E">
        <w:rPr>
          <w:szCs w:val="26"/>
        </w:rPr>
        <w:t xml:space="preserve"> “a desire for vengeance.”  </w:t>
      </w:r>
      <w:bookmarkStart w:id="3" w:name="_Hlk156312070"/>
      <w:r w:rsidRPr="0099367E">
        <w:rPr>
          <w:szCs w:val="26"/>
        </w:rPr>
        <w:t>(</w:t>
      </w:r>
      <w:r w:rsidRPr="0099367E">
        <w:rPr>
          <w:i/>
          <w:iCs/>
          <w:szCs w:val="26"/>
        </w:rPr>
        <w:t>Estrada</w:t>
      </w:r>
      <w:r w:rsidRPr="0099367E">
        <w:rPr>
          <w:szCs w:val="26"/>
        </w:rPr>
        <w:t xml:space="preserve">, </w:t>
      </w:r>
      <w:r w:rsidRPr="0099367E">
        <w:rPr>
          <w:i/>
          <w:iCs/>
          <w:szCs w:val="26"/>
        </w:rPr>
        <w:t>supra</w:t>
      </w:r>
      <w:r w:rsidRPr="0099367E">
        <w:rPr>
          <w:szCs w:val="26"/>
        </w:rPr>
        <w:t>, 63</w:t>
      </w:r>
      <w:r w:rsidRPr="0099367E" w:rsidR="00A13009">
        <w:rPr>
          <w:szCs w:val="26"/>
        </w:rPr>
        <w:t> </w:t>
      </w:r>
      <w:r w:rsidRPr="0099367E">
        <w:rPr>
          <w:szCs w:val="26"/>
        </w:rPr>
        <w:t xml:space="preserve">Cal.2d at p. 745.)  </w:t>
      </w:r>
      <w:r w:rsidRPr="0099367E" w:rsidR="00487981">
        <w:rPr>
          <w:szCs w:val="26"/>
        </w:rPr>
        <w:t xml:space="preserve">Some </w:t>
      </w:r>
      <w:r w:rsidRPr="0099367E">
        <w:rPr>
          <w:szCs w:val="26"/>
        </w:rPr>
        <w:t>change</w:t>
      </w:r>
      <w:r w:rsidRPr="0099367E" w:rsidR="00487981">
        <w:rPr>
          <w:szCs w:val="26"/>
        </w:rPr>
        <w:t>s</w:t>
      </w:r>
      <w:r w:rsidRPr="0099367E">
        <w:rPr>
          <w:szCs w:val="26"/>
        </w:rPr>
        <w:t xml:space="preserve"> </w:t>
      </w:r>
      <w:r w:rsidRPr="0099367E" w:rsidR="00EA5BB3">
        <w:rPr>
          <w:szCs w:val="26"/>
        </w:rPr>
        <w:t xml:space="preserve">adopted by the Legislature </w:t>
      </w:r>
      <w:r w:rsidRPr="0099367E">
        <w:rPr>
          <w:szCs w:val="26"/>
        </w:rPr>
        <w:t xml:space="preserve">might enhance the fundamental fairness already guaranteed by the Constitution and by existing statutory protections.  But </w:t>
      </w:r>
      <w:r w:rsidRPr="0099367E" w:rsidR="00487981">
        <w:rPr>
          <w:szCs w:val="26"/>
        </w:rPr>
        <w:t xml:space="preserve">applying these </w:t>
      </w:r>
      <w:r w:rsidRPr="0099367E">
        <w:rPr>
          <w:szCs w:val="26"/>
        </w:rPr>
        <w:t xml:space="preserve">changes retroactively to already-concluded proceedings will inevitably come with systemic costs (which may affect the resources available to ensure the timely and effective administration of justice in other cases).  Thus, </w:t>
      </w:r>
      <w:r w:rsidRPr="0099367E">
        <w:t xml:space="preserve">even if the Legislature </w:t>
      </w:r>
      <w:r w:rsidRPr="0099367E" w:rsidR="00EA5BB3">
        <w:t xml:space="preserve">decides </w:t>
      </w:r>
      <w:r w:rsidRPr="0099367E">
        <w:t>it makes good policy sense to provide a defendant with a right to bifurcation as specified in section 1109 on a going forward basis, it could also reasonably intend, for reasons other than “vengeance” (</w:t>
      </w:r>
      <w:r w:rsidRPr="0099367E" w:rsidR="007961DA">
        <w:rPr>
          <w:i/>
          <w:iCs/>
        </w:rPr>
        <w:t>Estrada</w:t>
      </w:r>
      <w:r w:rsidRPr="0099367E" w:rsidR="007961DA">
        <w:t>, at p. 745</w:t>
      </w:r>
      <w:r w:rsidRPr="0099367E">
        <w:t xml:space="preserve">), that the change in the law should </w:t>
      </w:r>
      <w:r w:rsidRPr="0099367E">
        <w:rPr>
          <w:i/>
          <w:iCs/>
        </w:rPr>
        <w:t>not</w:t>
      </w:r>
      <w:r w:rsidRPr="0099367E">
        <w:t xml:space="preserve"> apply </w:t>
      </w:r>
      <w:r w:rsidRPr="0099367E" w:rsidR="00AE6915">
        <w:t xml:space="preserve">to </w:t>
      </w:r>
      <w:r w:rsidRPr="0099367E">
        <w:t xml:space="preserve">defendants who have already been tried.  </w:t>
      </w:r>
      <w:r w:rsidRPr="0099367E" w:rsidR="00620B01">
        <w:t xml:space="preserve">(Cf. </w:t>
      </w:r>
      <w:r w:rsidRPr="0099367E" w:rsidR="00620B01">
        <w:rPr>
          <w:i/>
          <w:iCs/>
        </w:rPr>
        <w:t>Jenkins v. Delaware</w:t>
      </w:r>
      <w:r w:rsidRPr="0099367E" w:rsidR="00620B01">
        <w:t xml:space="preserve"> (1969) 395</w:t>
      </w:r>
      <w:r w:rsidRPr="0099367E" w:rsidR="00A13009">
        <w:t> </w:t>
      </w:r>
      <w:r w:rsidRPr="0099367E" w:rsidR="00620B01">
        <w:t xml:space="preserve">U.S. </w:t>
      </w:r>
      <w:r w:rsidRPr="0099367E" w:rsidR="004F5C2A">
        <w:t>213</w:t>
      </w:r>
      <w:r w:rsidRPr="0099367E" w:rsidR="00620B01">
        <w:t>, 218</w:t>
      </w:r>
      <w:r w:rsidRPr="0099367E" w:rsidR="001E6D63">
        <w:t xml:space="preserve"> </w:t>
      </w:r>
      <w:r w:rsidRPr="0099367E" w:rsidR="00926EB2">
        <w:t>[</w:t>
      </w:r>
      <w:r w:rsidRPr="0099367E" w:rsidR="00B24FED">
        <w:t xml:space="preserve">potential incongruities </w:t>
      </w:r>
      <w:r w:rsidRPr="0099367E" w:rsidR="00F2548C">
        <w:t>“inherent in prospective decision</w:t>
      </w:r>
      <w:r w:rsidRPr="0099367E" w:rsidR="00831A22">
        <w:t xml:space="preserve"> </w:t>
      </w:r>
      <w:r w:rsidRPr="0099367E" w:rsidR="00F2548C">
        <w:t>making, i.e., some defendants benefit from the new rule while others do not</w:t>
      </w:r>
      <w:r w:rsidRPr="0099367E" w:rsidR="00752599">
        <w:t xml:space="preserve">,” “must be balanced against the impetus the technique provides for the implementation </w:t>
      </w:r>
      <w:r w:rsidRPr="0099367E" w:rsidR="005E2E95">
        <w:t>o</w:t>
      </w:r>
      <w:r w:rsidRPr="0099367E" w:rsidR="00752599">
        <w:t>f long overdue reforms, which otherwise could not be practica</w:t>
      </w:r>
      <w:r w:rsidRPr="0099367E" w:rsidR="00831A22">
        <w:t>b</w:t>
      </w:r>
      <w:r w:rsidRPr="0099367E" w:rsidR="00752599">
        <w:t>ly effected”</w:t>
      </w:r>
      <w:r w:rsidRPr="0099367E" w:rsidR="00831A22">
        <w:t xml:space="preserve"> (italics omitted)</w:t>
      </w:r>
      <w:r w:rsidRPr="0099367E" w:rsidR="00752599">
        <w:t xml:space="preserve">].)  </w:t>
      </w:r>
    </w:p>
    <w:bookmarkEnd w:id="3"/>
    <w:p w:rsidR="00066B42" w:rsidRPr="0099367E" w:rsidP="00C06DCD" w14:paraId="1D81A2B2" w14:textId="77777777">
      <w:pPr>
        <w:tabs>
          <w:tab w:val="left" w:pos="720"/>
        </w:tabs>
        <w:ind w:firstLine="720"/>
        <w:rPr>
          <w:szCs w:val="26"/>
          <w:shd w:val="clear" w:color="auto" w:fill="FFFFFF"/>
        </w:rPr>
      </w:pPr>
      <w:r w:rsidRPr="0099367E">
        <w:rPr>
          <w:szCs w:val="26"/>
        </w:rPr>
        <w:t>I</w:t>
      </w:r>
      <w:r w:rsidRPr="0099367E" w:rsidR="00B17C70">
        <w:rPr>
          <w:szCs w:val="26"/>
        </w:rPr>
        <w:t xml:space="preserve">t makes practical sense </w:t>
      </w:r>
      <w:r w:rsidRPr="0099367E" w:rsidR="0057160F">
        <w:rPr>
          <w:szCs w:val="26"/>
        </w:rPr>
        <w:t xml:space="preserve">for courts to look to the Legislature to weigh the costs and benefits of retroactive versus only prospective application, and </w:t>
      </w:r>
      <w:r w:rsidRPr="0099367E" w:rsidR="0057160F">
        <w:rPr>
          <w:i/>
          <w:iCs/>
          <w:szCs w:val="26"/>
        </w:rPr>
        <w:t>not</w:t>
      </w:r>
      <w:r w:rsidRPr="0099367E" w:rsidR="0057160F">
        <w:rPr>
          <w:szCs w:val="26"/>
        </w:rPr>
        <w:t xml:space="preserve"> to infer retroactive intent from legislative silence</w:t>
      </w:r>
      <w:r w:rsidRPr="0099367E">
        <w:rPr>
          <w:szCs w:val="26"/>
        </w:rPr>
        <w:t xml:space="preserve"> in these circumstances</w:t>
      </w:r>
      <w:r w:rsidRPr="0099367E" w:rsidR="0057160F">
        <w:rPr>
          <w:szCs w:val="26"/>
        </w:rPr>
        <w:t xml:space="preserve">.  </w:t>
      </w:r>
      <w:r w:rsidRPr="0099367E" w:rsidR="00B17C70">
        <w:rPr>
          <w:szCs w:val="26"/>
        </w:rPr>
        <w:t>That is because</w:t>
      </w:r>
      <w:r w:rsidRPr="0099367E">
        <w:rPr>
          <w:szCs w:val="26"/>
        </w:rPr>
        <w:t xml:space="preserve"> </w:t>
      </w:r>
      <w:r w:rsidRPr="0099367E" w:rsidR="00B17C70">
        <w:rPr>
          <w:szCs w:val="26"/>
        </w:rPr>
        <w:t>“we can[not]</w:t>
      </w:r>
      <w:r w:rsidRPr="0099367E" w:rsidR="004A2AAA">
        <w:rPr>
          <w:szCs w:val="26"/>
        </w:rPr>
        <w:t> . . . </w:t>
      </w:r>
      <w:r w:rsidRPr="0099367E" w:rsidR="00B17C70">
        <w:rPr>
          <w:szCs w:val="26"/>
        </w:rPr>
        <w:t xml:space="preserve">say with confidence, as we did in </w:t>
      </w:r>
      <w:r w:rsidRPr="0099367E" w:rsidR="00B17C70">
        <w:rPr>
          <w:i/>
          <w:iCs/>
          <w:szCs w:val="26"/>
        </w:rPr>
        <w:t>Estrada</w:t>
      </w:r>
      <w:r w:rsidRPr="0099367E" w:rsidR="00B17C70">
        <w:rPr>
          <w:szCs w:val="26"/>
        </w:rPr>
        <w:t>, that the enacting body lacked any discernible reason to limit application of the law with respect to cases pending on direct review.”  (</w:t>
      </w:r>
      <w:r w:rsidRPr="0099367E" w:rsidR="00B17C70">
        <w:rPr>
          <w:i/>
          <w:iCs/>
          <w:szCs w:val="26"/>
        </w:rPr>
        <w:t>Conley</w:t>
      </w:r>
      <w:r w:rsidRPr="0099367E" w:rsidR="00B17C70">
        <w:rPr>
          <w:szCs w:val="26"/>
        </w:rPr>
        <w:t xml:space="preserve">, </w:t>
      </w:r>
      <w:r w:rsidRPr="0099367E" w:rsidR="00B17C70">
        <w:rPr>
          <w:i/>
          <w:iCs/>
          <w:szCs w:val="26"/>
        </w:rPr>
        <w:t>supra</w:t>
      </w:r>
      <w:r w:rsidRPr="0099367E" w:rsidR="00B17C70">
        <w:rPr>
          <w:szCs w:val="26"/>
        </w:rPr>
        <w:t>, 63</w:t>
      </w:r>
      <w:r w:rsidRPr="0099367E" w:rsidR="00A13009">
        <w:rPr>
          <w:szCs w:val="26"/>
        </w:rPr>
        <w:t> </w:t>
      </w:r>
      <w:r w:rsidRPr="0099367E" w:rsidR="00B17C70">
        <w:rPr>
          <w:szCs w:val="26"/>
        </w:rPr>
        <w:t>Cal.4th at pp.</w:t>
      </w:r>
      <w:r w:rsidRPr="0099367E" w:rsidR="00EA5BB3">
        <w:rPr>
          <w:szCs w:val="26"/>
        </w:rPr>
        <w:t> </w:t>
      </w:r>
      <w:r w:rsidRPr="0099367E" w:rsidR="00B17C70">
        <w:rPr>
          <w:szCs w:val="26"/>
        </w:rPr>
        <w:t xml:space="preserve">658–659; </w:t>
      </w:r>
      <w:r w:rsidRPr="0099367E" w:rsidR="00BC1024">
        <w:rPr>
          <w:szCs w:val="26"/>
        </w:rPr>
        <w:t xml:space="preserve">see </w:t>
      </w:r>
      <w:r w:rsidRPr="0099367E" w:rsidR="00B17C70">
        <w:rPr>
          <w:i/>
          <w:iCs/>
          <w:szCs w:val="26"/>
        </w:rPr>
        <w:t>id</w:t>
      </w:r>
      <w:r w:rsidRPr="0099367E" w:rsidR="00B17C70">
        <w:rPr>
          <w:szCs w:val="26"/>
        </w:rPr>
        <w:t>. at p.</w:t>
      </w:r>
      <w:r w:rsidRPr="0099367E" w:rsidR="00EA5BB3">
        <w:rPr>
          <w:szCs w:val="26"/>
        </w:rPr>
        <w:t> </w:t>
      </w:r>
      <w:r w:rsidRPr="0099367E" w:rsidR="00B17C70">
        <w:rPr>
          <w:szCs w:val="26"/>
        </w:rPr>
        <w:t xml:space="preserve">658 [declining to apply </w:t>
      </w:r>
      <w:r w:rsidRPr="0099367E" w:rsidR="00B17C70">
        <w:rPr>
          <w:i/>
          <w:iCs/>
          <w:szCs w:val="26"/>
        </w:rPr>
        <w:t>Estrada</w:t>
      </w:r>
      <w:r w:rsidRPr="0099367E" w:rsidR="00B17C70">
        <w:rPr>
          <w:szCs w:val="26"/>
        </w:rPr>
        <w:t xml:space="preserve"> where “the enacting body creates a special mechanism for application of the new lesser punishment to persons who have previously been sentenced, and</w:t>
      </w:r>
      <w:r w:rsidRPr="0099367E" w:rsidR="00B5580E">
        <w:rPr>
          <w:szCs w:val="26"/>
        </w:rPr>
        <w:t> . . . </w:t>
      </w:r>
      <w:r w:rsidRPr="0099367E" w:rsidR="00B17C70">
        <w:rPr>
          <w:szCs w:val="26"/>
        </w:rPr>
        <w:t>the body expressly makes retroactive application of the lesser punishment contingent on a court</w:t>
      </w:r>
      <w:r w:rsidRPr="0099367E" w:rsidR="00413907">
        <w:rPr>
          <w:szCs w:val="26"/>
        </w:rPr>
        <w:t>’</w:t>
      </w:r>
      <w:r w:rsidRPr="0099367E" w:rsidR="00B17C70">
        <w:rPr>
          <w:szCs w:val="26"/>
        </w:rPr>
        <w:t>s evaluation of the defendant</w:t>
      </w:r>
      <w:r w:rsidRPr="0099367E" w:rsidR="00413907">
        <w:rPr>
          <w:szCs w:val="26"/>
        </w:rPr>
        <w:t>’</w:t>
      </w:r>
      <w:r w:rsidRPr="0099367E" w:rsidR="00B17C70">
        <w:rPr>
          <w:szCs w:val="26"/>
        </w:rPr>
        <w:t>s dangerousness”].)</w:t>
      </w:r>
      <w:r w:rsidRPr="0099367E" w:rsidR="00590409">
        <w:rPr>
          <w:szCs w:val="26"/>
        </w:rPr>
        <w:t xml:space="preserve">  </w:t>
      </w:r>
      <w:r w:rsidRPr="0099367E" w:rsidR="00590409">
        <w:rPr>
          <w:szCs w:val="26"/>
          <w:shd w:val="clear" w:color="auto" w:fill="FFFFFF"/>
        </w:rPr>
        <w:t>Here, we cannot presume the Legislature’s silence on section 1109’s retroactivity equates with an intent to undo or jeopardize completed trials conducted under valid and constitutional laws (and where evidence supports guilt beyond a reasonable doubt).</w:t>
      </w:r>
      <w:r w:rsidRPr="0099367E" w:rsidR="00D034C4">
        <w:rPr>
          <w:szCs w:val="26"/>
          <w:shd w:val="clear" w:color="auto" w:fill="FFFFFF"/>
        </w:rPr>
        <w:t xml:space="preserve">  </w:t>
      </w:r>
    </w:p>
    <w:p w:rsidR="004C1248" w:rsidRPr="0099367E" w:rsidP="00C06DCD" w14:paraId="1D81A2B3" w14:textId="77777777">
      <w:pPr>
        <w:tabs>
          <w:tab w:val="left" w:pos="720"/>
        </w:tabs>
        <w:ind w:firstLine="720"/>
      </w:pPr>
      <w:r w:rsidRPr="0099367E">
        <w:t xml:space="preserve">Defendants contend that section 1109 is sufficiently similar to the statutes at issue in </w:t>
      </w:r>
      <w:r w:rsidRPr="0099367E">
        <w:rPr>
          <w:i/>
          <w:iCs/>
        </w:rPr>
        <w:t xml:space="preserve">Lara </w:t>
      </w:r>
      <w:r w:rsidRPr="0099367E">
        <w:t xml:space="preserve">and </w:t>
      </w:r>
      <w:r w:rsidRPr="0099367E">
        <w:rPr>
          <w:i/>
          <w:iCs/>
        </w:rPr>
        <w:t xml:space="preserve">Frahs </w:t>
      </w:r>
      <w:r w:rsidRPr="0099367E">
        <w:t xml:space="preserve">to bring it within the scope of </w:t>
      </w:r>
      <w:r w:rsidRPr="0099367E">
        <w:rPr>
          <w:i/>
          <w:iCs/>
        </w:rPr>
        <w:t>Estrada</w:t>
      </w:r>
      <w:r w:rsidRPr="0099367E">
        <w:t xml:space="preserve">.  We disagree.  It is true that the statutes we considered in </w:t>
      </w:r>
      <w:r w:rsidRPr="0099367E">
        <w:rPr>
          <w:i/>
          <w:iCs/>
        </w:rPr>
        <w:t>Lara</w:t>
      </w:r>
      <w:r w:rsidRPr="0099367E">
        <w:t xml:space="preserve"> and </w:t>
      </w:r>
      <w:r w:rsidRPr="0099367E">
        <w:rPr>
          <w:i/>
          <w:iCs/>
        </w:rPr>
        <w:t>Frahs</w:t>
      </w:r>
      <w:r w:rsidRPr="0099367E">
        <w:t xml:space="preserve"> had substantial procedural components.  But the core of the changes made by those statutes was to allow for the possibility of channeling cases involving certain classes of offenders the Legislature identified as having diminished culpability — juvenile offenders (in </w:t>
      </w:r>
      <w:r w:rsidRPr="0099367E">
        <w:rPr>
          <w:i/>
          <w:iCs/>
        </w:rPr>
        <w:t>Lara</w:t>
      </w:r>
      <w:r w:rsidRPr="0099367E">
        <w:t xml:space="preserve">) and offenders with mental health disorders (in </w:t>
      </w:r>
      <w:r w:rsidRPr="0099367E">
        <w:rPr>
          <w:i/>
          <w:iCs/>
        </w:rPr>
        <w:t>Frahs</w:t>
      </w:r>
      <w:r w:rsidRPr="0099367E">
        <w:t>) — away from ordinary criminal proceedings, thereby reducing those offenders’ exposure to the punishment otherwise prescribed under applicable criminal law.  (</w:t>
      </w:r>
      <w:r w:rsidRPr="0099367E">
        <w:rPr>
          <w:i/>
          <w:iCs/>
        </w:rPr>
        <w:t>Lara</w:t>
      </w:r>
      <w:r w:rsidRPr="0099367E">
        <w:t xml:space="preserve">, </w:t>
      </w:r>
      <w:r w:rsidRPr="0099367E">
        <w:rPr>
          <w:i/>
          <w:iCs/>
        </w:rPr>
        <w:t>supra</w:t>
      </w:r>
      <w:r w:rsidRPr="0099367E">
        <w:t>, 4</w:t>
      </w:r>
      <w:r w:rsidRPr="0099367E" w:rsidR="00F46DF9">
        <w:t> </w:t>
      </w:r>
      <w:r w:rsidRPr="0099367E">
        <w:t xml:space="preserve">Cal.5th at p. 303; </w:t>
      </w:r>
      <w:r w:rsidRPr="0099367E">
        <w:rPr>
          <w:i/>
          <w:iCs/>
        </w:rPr>
        <w:t>Frahs</w:t>
      </w:r>
      <w:r w:rsidRPr="0099367E">
        <w:t xml:space="preserve">, </w:t>
      </w:r>
      <w:r w:rsidRPr="0099367E">
        <w:rPr>
          <w:i/>
          <w:iCs/>
        </w:rPr>
        <w:t>supra</w:t>
      </w:r>
      <w:r w:rsidRPr="0099367E">
        <w:t>, 9</w:t>
      </w:r>
      <w:r w:rsidRPr="0099367E" w:rsidR="00F46DF9">
        <w:t> </w:t>
      </w:r>
      <w:r w:rsidRPr="0099367E">
        <w:t xml:space="preserve">Cal.5th at p. 624.)  The crux of the statutes at issue in </w:t>
      </w:r>
      <w:r w:rsidRPr="0099367E">
        <w:rPr>
          <w:i/>
          <w:iCs/>
        </w:rPr>
        <w:t>Lara</w:t>
      </w:r>
      <w:r w:rsidRPr="0099367E">
        <w:t xml:space="preserve"> and </w:t>
      </w:r>
      <w:r w:rsidRPr="0099367E">
        <w:rPr>
          <w:i/>
          <w:iCs/>
        </w:rPr>
        <w:t>Frahs</w:t>
      </w:r>
      <w:r w:rsidRPr="0099367E">
        <w:t>, and what mattered for purposes of our analysis, was the path to reduced punishment based on a legislative judgment that the punishments prescribed by law for certain offenses are frequently inappropriate for certain classes of persons who bear reduced culpability for their crimes.  (</w:t>
      </w:r>
      <w:r w:rsidRPr="0099367E">
        <w:rPr>
          <w:i/>
          <w:iCs/>
        </w:rPr>
        <w:t>Frahs</w:t>
      </w:r>
      <w:r w:rsidRPr="0099367E">
        <w:t xml:space="preserve">, at p. 624 [“The statute here is similar to the scheme we considered in </w:t>
      </w:r>
      <w:r w:rsidRPr="0099367E">
        <w:rPr>
          <w:i/>
          <w:iCs/>
        </w:rPr>
        <w:t>Lara</w:t>
      </w:r>
      <w:r w:rsidRPr="0099367E">
        <w:t xml:space="preserve">, in that section 1001.36 by design and function provides a possible ameliorating benefit for a class of persons . . . by offering an opportunity for diversion and ultimately the dismissal of charges”].)  </w:t>
      </w:r>
    </w:p>
    <w:p w:rsidR="00EE6C3B" w:rsidRPr="0099367E" w:rsidP="001F6B9D" w14:paraId="1D81A2B4" w14:textId="77777777">
      <w:pPr>
        <w:ind w:firstLine="720"/>
      </w:pPr>
      <w:r w:rsidRPr="0099367E">
        <w:t>Section 1109, in contrast, does not reflect an intent to benefit defendants in the same way.  It is by design and function a procedural change</w:t>
      </w:r>
      <w:r w:rsidRPr="0099367E" w:rsidR="00223081">
        <w:t xml:space="preserve"> affecting the sequence of trial proceedings</w:t>
      </w:r>
      <w:r w:rsidRPr="0099367E" w:rsidR="00A90AC6">
        <w:t xml:space="preserve"> in situations where the defendant elects to invoke the statute</w:t>
      </w:r>
      <w:r w:rsidRPr="0099367E">
        <w:t xml:space="preserve">.  Unlike with the statutory changes at issue in </w:t>
      </w:r>
      <w:r w:rsidRPr="0099367E">
        <w:rPr>
          <w:i/>
          <w:iCs/>
        </w:rPr>
        <w:t>Lara</w:t>
      </w:r>
      <w:r w:rsidRPr="0099367E">
        <w:t xml:space="preserve"> and </w:t>
      </w:r>
      <w:r w:rsidRPr="0099367E">
        <w:rPr>
          <w:i/>
          <w:iCs/>
        </w:rPr>
        <w:t>Frahs</w:t>
      </w:r>
      <w:r w:rsidRPr="0099367E">
        <w:t xml:space="preserve">, in enacting section 1109, the Legislature did not identify any class of defendants having a characteristic potentially demonstrating diminished culpability deserving of </w:t>
      </w:r>
      <w:r w:rsidRPr="0099367E">
        <w:rPr>
          <w:i/>
          <w:iCs/>
        </w:rPr>
        <w:t>less</w:t>
      </w:r>
      <w:r w:rsidRPr="0099367E">
        <w:t xml:space="preserve"> punishment.  Instead, section 1109 is designed to provide fairer proceedings for defendants subject to the </w:t>
      </w:r>
      <w:r w:rsidRPr="0099367E">
        <w:rPr>
          <w:i/>
          <w:iCs/>
        </w:rPr>
        <w:t>same</w:t>
      </w:r>
      <w:r w:rsidRPr="0099367E">
        <w:t xml:space="preserve"> potential punishment.  </w:t>
      </w:r>
      <w:r w:rsidRPr="0099367E" w:rsidR="00C46572">
        <w:t>No “ ‘obvious’ and ‘inevitable’</w:t>
      </w:r>
      <w:r w:rsidRPr="0099367E" w:rsidR="000267FE">
        <w:t xml:space="preserve"> inference” of retroactivity arises based on the statute’s operation.  (See </w:t>
      </w:r>
      <w:r w:rsidR="00ED38C3">
        <w:t>d</w:t>
      </w:r>
      <w:r w:rsidRPr="0099367E" w:rsidR="000267FE">
        <w:t xml:space="preserve">is. opn. of Evans, J., </w:t>
      </w:r>
      <w:r w:rsidRPr="0099367E" w:rsidR="000267FE">
        <w:rPr>
          <w:i/>
          <w:iCs/>
        </w:rPr>
        <w:t>post</w:t>
      </w:r>
      <w:r w:rsidRPr="0099367E" w:rsidR="000267FE">
        <w:t xml:space="preserve">, at p. </w:t>
      </w:r>
      <w:r w:rsidR="004F71B0">
        <w:t>4</w:t>
      </w:r>
      <w:r w:rsidRPr="0099367E" w:rsidR="000267FE">
        <w:t>.)</w:t>
      </w:r>
      <w:r w:rsidRPr="0099367E" w:rsidR="00C46572">
        <w:t xml:space="preserve"> </w:t>
      </w:r>
      <w:r w:rsidRPr="0099367E" w:rsidR="00854A5C">
        <w:t xml:space="preserve"> </w:t>
      </w:r>
    </w:p>
    <w:p w:rsidR="006D52E5" w:rsidP="001F6B9D" w14:paraId="1D81A2B5" w14:textId="77777777">
      <w:pPr>
        <w:ind w:firstLine="720"/>
      </w:pPr>
      <w:r w:rsidRPr="0099367E">
        <w:t xml:space="preserve">Defendants who elect a bifurcated trial will still be tried in a criminal court.  They will face the same charges and the same potential sentences for those charges if convicted.  And in </w:t>
      </w:r>
      <w:r w:rsidRPr="0099367E" w:rsidR="00223081">
        <w:t xml:space="preserve">some </w:t>
      </w:r>
      <w:r w:rsidRPr="0099367E">
        <w:t xml:space="preserve">instances, the same gang evidence introduced to establish the elements of a gang enhancement might be admissible at a bifurcated trial on the underlying charge.  (See </w:t>
      </w:r>
      <w:r w:rsidRPr="0099367E">
        <w:rPr>
          <w:i/>
          <w:iCs/>
        </w:rPr>
        <w:t>Hernandez</w:t>
      </w:r>
      <w:r w:rsidRPr="0099367E">
        <w:t xml:space="preserve">, </w:t>
      </w:r>
      <w:r w:rsidRPr="0099367E">
        <w:rPr>
          <w:i/>
          <w:iCs/>
        </w:rPr>
        <w:t>supra</w:t>
      </w:r>
      <w:r w:rsidRPr="0099367E">
        <w:t>, 33</w:t>
      </w:r>
      <w:r w:rsidRPr="0099367E" w:rsidR="00F46DF9">
        <w:t> </w:t>
      </w:r>
      <w:r w:rsidRPr="0099367E">
        <w:t>Cal.4th at p. 1048</w:t>
      </w:r>
      <w:r w:rsidRPr="0099367E" w:rsidR="003B5704">
        <w:t xml:space="preserve"> [“the criminal street gang enhancement is attached to the charged offense and is, by definition, inextricably intertwined with that offense”]</w:t>
      </w:r>
      <w:r w:rsidRPr="0099367E" w:rsidR="00431FF3">
        <w:t xml:space="preserve">; </w:t>
      </w:r>
      <w:r w:rsidRPr="0099367E" w:rsidR="00573FE7">
        <w:rPr>
          <w:i/>
          <w:iCs/>
        </w:rPr>
        <w:t>id</w:t>
      </w:r>
      <w:r w:rsidRPr="00F36ECC" w:rsidR="00573FE7">
        <w:t>.</w:t>
      </w:r>
      <w:r w:rsidRPr="0099367E" w:rsidR="00573FE7">
        <w:t xml:space="preserve"> at pp.</w:t>
      </w:r>
      <w:r w:rsidRPr="0099367E" w:rsidR="008336D9">
        <w:t> </w:t>
      </w:r>
      <w:r w:rsidRPr="0099367E" w:rsidR="00D24F5E">
        <w:t>1049–1050</w:t>
      </w:r>
      <w:r w:rsidRPr="0099367E" w:rsidR="00C20525">
        <w:t xml:space="preserve"> [“To the extent the evidence supporting the gang enhancement would be admissible at </w:t>
      </w:r>
      <w:r w:rsidRPr="0099367E" w:rsidR="004F5C2A">
        <w:t xml:space="preserve">a </w:t>
      </w:r>
      <w:r w:rsidRPr="0099367E" w:rsidR="00C20525">
        <w:t>trial of guilt, any inference of prejudice would be dispelled”]</w:t>
      </w:r>
      <w:r w:rsidRPr="0099367E" w:rsidR="00BF6BAB">
        <w:t xml:space="preserve">; see also </w:t>
      </w:r>
      <w:r w:rsidRPr="0099367E" w:rsidR="00B56DC6">
        <w:rPr>
          <w:i/>
          <w:iCs/>
        </w:rPr>
        <w:t xml:space="preserve">People v. Chhoun </w:t>
      </w:r>
      <w:r w:rsidRPr="0099367E" w:rsidR="00B56DC6">
        <w:t>(2021) 11</w:t>
      </w:r>
      <w:r w:rsidRPr="0099367E" w:rsidR="00F46DF9">
        <w:t> </w:t>
      </w:r>
      <w:r w:rsidRPr="0099367E" w:rsidR="00B56DC6">
        <w:t>Cal.5th 1, 31 [“The People are generally entitled to introduce evidence of a defendant’s gang affiliation and activity if it is relevant to the charged offense”]</w:t>
      </w:r>
      <w:r w:rsidRPr="0099367E" w:rsidR="00493359">
        <w:t xml:space="preserve">; </w:t>
      </w:r>
      <w:r w:rsidRPr="0099367E" w:rsidR="00493359">
        <w:rPr>
          <w:i/>
          <w:iCs/>
        </w:rPr>
        <w:t>Boukes</w:t>
      </w:r>
      <w:r w:rsidRPr="0099367E" w:rsidR="00493359">
        <w:t xml:space="preserve">, </w:t>
      </w:r>
      <w:r w:rsidRPr="0099367E" w:rsidR="00493359">
        <w:rPr>
          <w:i/>
          <w:iCs/>
        </w:rPr>
        <w:t>supra</w:t>
      </w:r>
      <w:r w:rsidRPr="0099367E" w:rsidR="00493359">
        <w:t xml:space="preserve">, </w:t>
      </w:r>
      <w:r w:rsidRPr="0099367E" w:rsidR="007D4C7C">
        <w:t>83</w:t>
      </w:r>
      <w:r w:rsidRPr="0099367E" w:rsidR="00F46DF9">
        <w:t> </w:t>
      </w:r>
      <w:r w:rsidRPr="0099367E" w:rsidR="007D4C7C">
        <w:t>Cal.App.5th at p. 948</w:t>
      </w:r>
      <w:r w:rsidR="006F6CD1">
        <w:t>, review granted</w:t>
      </w:r>
      <w:r w:rsidRPr="0099367E" w:rsidR="007D4C7C">
        <w:t xml:space="preserve"> [holding any error in lack of bifurcation was harmless beyond a reasonable doubt because </w:t>
      </w:r>
      <w:r w:rsidRPr="0099367E" w:rsidR="00240175">
        <w:t>evidence of defendant’s gang affiliation “would have been admissible for reasons aside from any effort to prove the special circumstance and gang enhancement findings, for instance, defendant’s motivation for the killing”]</w:t>
      </w:r>
      <w:r w:rsidRPr="0099367E">
        <w:t xml:space="preserve">.)  </w:t>
      </w:r>
    </w:p>
    <w:p w:rsidR="00725C36" w:rsidRPr="0099367E" w:rsidP="001F6B9D" w14:paraId="1D81A2B6" w14:textId="77777777">
      <w:pPr>
        <w:ind w:firstLine="720"/>
      </w:pPr>
      <w:r w:rsidRPr="0099367E">
        <w:t xml:space="preserve">Under these circumstances, the rationale of </w:t>
      </w:r>
      <w:r w:rsidRPr="0099367E">
        <w:rPr>
          <w:i/>
          <w:iCs/>
        </w:rPr>
        <w:t>Estrada</w:t>
      </w:r>
      <w:r w:rsidRPr="0099367E">
        <w:t xml:space="preserve"> does not apply; we cannot say it is “inevitable” that the Legislature would intend retroactive application of the bifurcation provisions without expressly so declaring.  (</w:t>
      </w:r>
      <w:r w:rsidRPr="0099367E">
        <w:rPr>
          <w:i/>
          <w:iCs/>
        </w:rPr>
        <w:t>Estrada</w:t>
      </w:r>
      <w:r w:rsidRPr="0099367E">
        <w:t xml:space="preserve">, </w:t>
      </w:r>
      <w:r w:rsidRPr="0099367E">
        <w:rPr>
          <w:i/>
          <w:iCs/>
        </w:rPr>
        <w:t>supra</w:t>
      </w:r>
      <w:r w:rsidRPr="0099367E">
        <w:t>, 63</w:t>
      </w:r>
      <w:r w:rsidRPr="0099367E" w:rsidR="00F46DF9">
        <w:t> </w:t>
      </w:r>
      <w:r w:rsidRPr="0099367E">
        <w:t xml:space="preserve">Cal.2d at p. 745.)  </w:t>
      </w:r>
      <w:r w:rsidRPr="0099367E">
        <w:rPr>
          <w:rFonts w:cstheme="minorHAnsi"/>
          <w:szCs w:val="26"/>
        </w:rPr>
        <w:t xml:space="preserve">Neither </w:t>
      </w:r>
      <w:r w:rsidRPr="0099367E">
        <w:rPr>
          <w:rFonts w:cstheme="minorHAnsi"/>
          <w:i/>
          <w:iCs/>
          <w:szCs w:val="26"/>
        </w:rPr>
        <w:t>Frahs</w:t>
      </w:r>
      <w:r w:rsidRPr="0099367E">
        <w:rPr>
          <w:rFonts w:cstheme="minorHAnsi"/>
          <w:szCs w:val="26"/>
        </w:rPr>
        <w:t xml:space="preserve"> nor </w:t>
      </w:r>
      <w:r w:rsidRPr="0099367E">
        <w:rPr>
          <w:rFonts w:cstheme="minorHAnsi"/>
          <w:i/>
          <w:iCs/>
          <w:szCs w:val="26"/>
        </w:rPr>
        <w:t>Lara</w:t>
      </w:r>
      <w:r w:rsidRPr="0099367E">
        <w:rPr>
          <w:rFonts w:cstheme="minorHAnsi"/>
          <w:szCs w:val="26"/>
        </w:rPr>
        <w:t xml:space="preserve"> goes so far as defendants here propose.  New bifurcation procedures </w:t>
      </w:r>
      <w:r w:rsidRPr="0099367E" w:rsidR="009259A0">
        <w:rPr>
          <w:rFonts w:cstheme="minorHAnsi"/>
          <w:szCs w:val="26"/>
        </w:rPr>
        <w:t xml:space="preserve">that may, </w:t>
      </w:r>
      <w:r w:rsidRPr="0099367E" w:rsidR="004F2D4C">
        <w:t xml:space="preserve">in some instances, be beneficial to a criminal defendant in that </w:t>
      </w:r>
      <w:r w:rsidRPr="0099367E" w:rsidR="009259A0">
        <w:t>they</w:t>
      </w:r>
      <w:r w:rsidRPr="0099367E" w:rsidR="004F2D4C">
        <w:t xml:space="preserve"> conceivably could result in the exclusion of gang-related evidence during the trial of charged offenses </w:t>
      </w:r>
      <w:r w:rsidRPr="0099367E">
        <w:rPr>
          <w:rFonts w:cstheme="minorHAnsi"/>
          <w:szCs w:val="26"/>
        </w:rPr>
        <w:t>are not the equivalent of a change in the legislated punishment that must be applied to all nonfinal cases on appeal.</w:t>
      </w:r>
      <w:r>
        <w:rPr>
          <w:rStyle w:val="FootnoteReference"/>
          <w:rFonts w:cstheme="minorHAnsi"/>
          <w:szCs w:val="26"/>
        </w:rPr>
        <w:footnoteReference w:id="9"/>
      </w:r>
      <w:r w:rsidRPr="0099367E">
        <w:rPr>
          <w:rFonts w:cstheme="minorHAnsi"/>
          <w:szCs w:val="26"/>
        </w:rPr>
        <w:t xml:space="preserve">  </w:t>
      </w:r>
      <w:r w:rsidRPr="0099367E" w:rsidR="00814CBF">
        <w:rPr>
          <w:rFonts w:cstheme="minorHAnsi"/>
          <w:szCs w:val="26"/>
        </w:rPr>
        <w:t>(</w:t>
      </w:r>
      <w:r w:rsidRPr="0099367E" w:rsidR="00814CBF">
        <w:rPr>
          <w:i/>
          <w:iCs/>
        </w:rPr>
        <w:t>Estrada</w:t>
      </w:r>
      <w:r w:rsidRPr="0099367E" w:rsidR="00814CBF">
        <w:t>, at p. 745</w:t>
      </w:r>
      <w:r w:rsidRPr="0099367E" w:rsidR="00AF34A5">
        <w:t xml:space="preserve">; </w:t>
      </w:r>
      <w:r w:rsidRPr="0099367E" w:rsidR="003C5935">
        <w:rPr>
          <w:i/>
          <w:iCs/>
        </w:rPr>
        <w:t>Brown</w:t>
      </w:r>
      <w:r w:rsidRPr="0099367E" w:rsidR="003C5935">
        <w:t xml:space="preserve">, </w:t>
      </w:r>
      <w:r w:rsidRPr="0099367E" w:rsidR="003C5935">
        <w:rPr>
          <w:i/>
          <w:iCs/>
        </w:rPr>
        <w:t>supra</w:t>
      </w:r>
      <w:r w:rsidRPr="0099367E" w:rsidR="003C5935">
        <w:t>, 54 Cal.4th</w:t>
      </w:r>
      <w:r w:rsidRPr="0099367E" w:rsidR="003C5935">
        <w:rPr>
          <w:i/>
          <w:iCs/>
        </w:rPr>
        <w:t xml:space="preserve"> </w:t>
      </w:r>
      <w:r w:rsidRPr="0099367E" w:rsidR="003C5935">
        <w:t xml:space="preserve">at p. 325, fn. 15 [legislative intent to equalize custody conduct credits, which served to reduce punishment by decreasing days in custody, “does not, by itself, provide a logical basis for inferring the Legislature wished to do so </w:t>
      </w:r>
      <w:r w:rsidRPr="0099367E" w:rsidR="003C5935">
        <w:rPr>
          <w:i/>
          <w:iCs/>
        </w:rPr>
        <w:t>retroactively</w:t>
      </w:r>
      <w:r w:rsidRPr="0099367E" w:rsidR="003C5935">
        <w:t>”]</w:t>
      </w:r>
      <w:r w:rsidRPr="0099367E" w:rsidR="00814CBF">
        <w:t xml:space="preserve">.)  </w:t>
      </w:r>
      <w:r w:rsidRPr="0099367E">
        <w:rPr>
          <w:rFonts w:cstheme="minorHAnsi"/>
          <w:szCs w:val="26"/>
        </w:rPr>
        <w:t xml:space="preserve">We decline to </w:t>
      </w:r>
      <w:r w:rsidRPr="0099367E">
        <w:rPr>
          <w:szCs w:val="26"/>
          <w:shd w:val="clear" w:color="auto" w:fill="FFFFFF"/>
        </w:rPr>
        <w:t xml:space="preserve">apply </w:t>
      </w:r>
      <w:r w:rsidRPr="0099367E">
        <w:rPr>
          <w:i/>
          <w:iCs/>
          <w:szCs w:val="26"/>
          <w:shd w:val="clear" w:color="auto" w:fill="FFFFFF"/>
        </w:rPr>
        <w:t>Estrada</w:t>
      </w:r>
      <w:r w:rsidRPr="0099367E">
        <w:rPr>
          <w:szCs w:val="26"/>
          <w:shd w:val="clear" w:color="auto" w:fill="FFFFFF"/>
        </w:rPr>
        <w:t>’s inference of retroactivity when, as here, there is no alteration to criminality or the legislated punishment.</w:t>
      </w:r>
    </w:p>
    <w:p w:rsidR="005F5D0A" w:rsidRPr="0099367E" w:rsidP="00C06DCD" w14:paraId="1D81A2B7" w14:textId="77777777">
      <w:pPr>
        <w:tabs>
          <w:tab w:val="left" w:pos="720"/>
        </w:tabs>
        <w:ind w:firstLine="720"/>
        <w:rPr>
          <w:szCs w:val="26"/>
        </w:rPr>
      </w:pPr>
      <w:r w:rsidRPr="0099367E">
        <w:rPr>
          <w:szCs w:val="26"/>
        </w:rPr>
        <w:t>Defendants also contend that</w:t>
      </w:r>
      <w:r w:rsidRPr="0099367E" w:rsidR="001C7AE4">
        <w:rPr>
          <w:szCs w:val="26"/>
        </w:rPr>
        <w:t xml:space="preserve"> even if</w:t>
      </w:r>
      <w:r w:rsidRPr="0099367E">
        <w:rPr>
          <w:szCs w:val="26"/>
        </w:rPr>
        <w:t xml:space="preserve"> the Legislature’s stated objectives in passing Assembly Bill 333</w:t>
      </w:r>
      <w:r w:rsidRPr="0099367E" w:rsidR="001C7AE4">
        <w:rPr>
          <w:szCs w:val="26"/>
        </w:rPr>
        <w:t xml:space="preserve"> do not provide a clear indication that the Legislature intended that the measure’s bifurcation provisions</w:t>
      </w:r>
      <w:r w:rsidRPr="0099367E">
        <w:rPr>
          <w:szCs w:val="26"/>
        </w:rPr>
        <w:t xml:space="preserve"> </w:t>
      </w:r>
      <w:r w:rsidRPr="0099367E" w:rsidR="001C7AE4">
        <w:rPr>
          <w:szCs w:val="26"/>
        </w:rPr>
        <w:t xml:space="preserve">would apply retroactively, they nonetheless </w:t>
      </w:r>
      <w:r w:rsidRPr="0099367E">
        <w:rPr>
          <w:szCs w:val="26"/>
        </w:rPr>
        <w:t xml:space="preserve">demonstrate that section 1109 is an ameliorative statute within the meaning of </w:t>
      </w:r>
      <w:r w:rsidRPr="0099367E">
        <w:rPr>
          <w:i/>
          <w:iCs/>
          <w:szCs w:val="26"/>
        </w:rPr>
        <w:t>Estrada</w:t>
      </w:r>
      <w:r w:rsidRPr="0099367E">
        <w:rPr>
          <w:szCs w:val="26"/>
        </w:rPr>
        <w:t xml:space="preserve">.  The Court of Appeal majority likewise relied on Assembly Bill 333’s legislative findings in concluding that </w:t>
      </w:r>
      <w:r w:rsidRPr="0099367E">
        <w:rPr>
          <w:i/>
          <w:iCs/>
          <w:szCs w:val="26"/>
        </w:rPr>
        <w:t>Estrada</w:t>
      </w:r>
      <w:r w:rsidRPr="0099367E">
        <w:rPr>
          <w:szCs w:val="26"/>
        </w:rPr>
        <w:t>’s inference of retroactivity applies.  (</w:t>
      </w:r>
      <w:r w:rsidRPr="0099367E">
        <w:rPr>
          <w:i/>
          <w:iCs/>
          <w:szCs w:val="26"/>
        </w:rPr>
        <w:t>Burgos</w:t>
      </w:r>
      <w:r w:rsidRPr="0099367E">
        <w:rPr>
          <w:szCs w:val="26"/>
        </w:rPr>
        <w:t xml:space="preserve">, </w:t>
      </w:r>
      <w:r w:rsidRPr="0099367E">
        <w:rPr>
          <w:i/>
          <w:iCs/>
          <w:szCs w:val="26"/>
        </w:rPr>
        <w:t>supra</w:t>
      </w:r>
      <w:r w:rsidRPr="0099367E">
        <w:rPr>
          <w:szCs w:val="26"/>
        </w:rPr>
        <w:t>, 77</w:t>
      </w:r>
      <w:r w:rsidRPr="0099367E" w:rsidR="00F46DF9">
        <w:rPr>
          <w:szCs w:val="26"/>
        </w:rPr>
        <w:t> </w:t>
      </w:r>
      <w:r w:rsidRPr="0099367E">
        <w:rPr>
          <w:szCs w:val="26"/>
        </w:rPr>
        <w:t xml:space="preserve">Cal.App.5th at pp. 566–567.)  </w:t>
      </w:r>
    </w:p>
    <w:p w:rsidR="00223081" w:rsidRPr="0099367E" w:rsidP="00223081" w14:paraId="1D81A2B8" w14:textId="77777777">
      <w:pPr>
        <w:tabs>
          <w:tab w:val="left" w:pos="720"/>
        </w:tabs>
        <w:ind w:firstLine="720"/>
        <w:rPr>
          <w:szCs w:val="26"/>
        </w:rPr>
      </w:pPr>
      <w:r w:rsidRPr="0099367E">
        <w:rPr>
          <w:szCs w:val="26"/>
        </w:rPr>
        <w:t xml:space="preserve">This logic is unavailing.  </w:t>
      </w:r>
      <w:r w:rsidRPr="0099367E" w:rsidR="005F5D0A">
        <w:rPr>
          <w:szCs w:val="26"/>
        </w:rPr>
        <w:t xml:space="preserve">Again, we decline to extend the reach of </w:t>
      </w:r>
      <w:r w:rsidRPr="0099367E" w:rsidR="005F5D0A">
        <w:rPr>
          <w:i/>
          <w:iCs/>
          <w:szCs w:val="26"/>
        </w:rPr>
        <w:t>Estrada</w:t>
      </w:r>
      <w:r w:rsidRPr="0099367E" w:rsidR="005F5D0A">
        <w:rPr>
          <w:szCs w:val="26"/>
        </w:rPr>
        <w:t xml:space="preserve">’s inference to statutes like section 1109 without a clearer indication of legislative intent </w:t>
      </w:r>
      <w:r w:rsidRPr="0099367E" w:rsidR="00913498">
        <w:rPr>
          <w:szCs w:val="26"/>
        </w:rPr>
        <w:t>to mitigate punishment</w:t>
      </w:r>
      <w:r w:rsidRPr="0099367E" w:rsidR="005F5D0A">
        <w:rPr>
          <w:szCs w:val="26"/>
        </w:rPr>
        <w:t xml:space="preserve">.  As noted, </w:t>
      </w:r>
      <w:r w:rsidRPr="0099367E" w:rsidR="00922389">
        <w:rPr>
          <w:szCs w:val="26"/>
        </w:rPr>
        <w:t>section 1109</w:t>
      </w:r>
      <w:r w:rsidRPr="0099367E" w:rsidR="00AE55ED">
        <w:rPr>
          <w:szCs w:val="26"/>
        </w:rPr>
        <w:t>’s provision</w:t>
      </w:r>
      <w:r w:rsidRPr="0099367E" w:rsidR="00326DF5">
        <w:rPr>
          <w:szCs w:val="26"/>
        </w:rPr>
        <w:t>s</w:t>
      </w:r>
      <w:r w:rsidRPr="0099367E" w:rsidR="00922389">
        <w:rPr>
          <w:szCs w:val="26"/>
        </w:rPr>
        <w:t xml:space="preserve"> do not </w:t>
      </w:r>
      <w:r w:rsidRPr="0099367E" w:rsidR="00AE55ED">
        <w:t>directly or potentially reduce the punishment for an offense</w:t>
      </w:r>
      <w:r w:rsidRPr="0099367E" w:rsidR="00326DF5">
        <w:t>,</w:t>
      </w:r>
      <w:r w:rsidRPr="0099367E" w:rsidR="00AE55ED">
        <w:t xml:space="preserve"> change the elements of a substantive offense, defense, or penalty</w:t>
      </w:r>
      <w:r w:rsidRPr="0099367E" w:rsidR="00326DF5">
        <w:t xml:space="preserve">, or </w:t>
      </w:r>
      <w:r w:rsidRPr="0099367E" w:rsidR="00AE55ED">
        <w:t xml:space="preserve">create an alternative avenue for certain individuals to receive lesser or no punishment. </w:t>
      </w:r>
      <w:r w:rsidRPr="0099367E" w:rsidR="00326DF5">
        <w:t xml:space="preserve"> </w:t>
      </w:r>
      <w:r w:rsidRPr="0099367E" w:rsidR="00326DF5">
        <w:rPr>
          <w:szCs w:val="26"/>
        </w:rPr>
        <w:t>T</w:t>
      </w:r>
      <w:r w:rsidRPr="0099367E" w:rsidR="005F5D0A">
        <w:rPr>
          <w:szCs w:val="26"/>
        </w:rPr>
        <w:t xml:space="preserve">he uncodified legislative findings </w:t>
      </w:r>
      <w:r w:rsidRPr="0099367E" w:rsidR="00DC65FB">
        <w:rPr>
          <w:szCs w:val="26"/>
        </w:rPr>
        <w:t xml:space="preserve">concerned with bifurcation </w:t>
      </w:r>
      <w:r w:rsidRPr="0099367E" w:rsidR="005F5D0A">
        <w:rPr>
          <w:szCs w:val="26"/>
        </w:rPr>
        <w:t xml:space="preserve">establish an intent to promote fairness and reduce the potential for prejudice in trial proceedings where a gang enhancement is alleged.  But they do not reflect an intent to lessen punishment within the meaning of </w:t>
      </w:r>
      <w:r w:rsidRPr="0099367E" w:rsidR="005F5D0A">
        <w:rPr>
          <w:i/>
          <w:iCs/>
          <w:szCs w:val="26"/>
        </w:rPr>
        <w:t>Estrada</w:t>
      </w:r>
      <w:r w:rsidRPr="0099367E" w:rsidR="005F5D0A">
        <w:rPr>
          <w:szCs w:val="26"/>
        </w:rPr>
        <w:t xml:space="preserve"> and its progeny</w:t>
      </w:r>
      <w:r w:rsidRPr="0099367E" w:rsidR="00E31DFA">
        <w:rPr>
          <w:szCs w:val="26"/>
        </w:rPr>
        <w:t>.</w:t>
      </w:r>
      <w:r w:rsidRPr="0099367E" w:rsidR="005F5D0A">
        <w:rPr>
          <w:szCs w:val="26"/>
        </w:rPr>
        <w:t xml:space="preserve"> </w:t>
      </w:r>
      <w:r w:rsidRPr="0099367E" w:rsidR="00E31DFA">
        <w:rPr>
          <w:szCs w:val="26"/>
        </w:rPr>
        <w:t xml:space="preserve"> T</w:t>
      </w:r>
      <w:r w:rsidRPr="0099367E" w:rsidR="005F5D0A">
        <w:rPr>
          <w:szCs w:val="26"/>
        </w:rPr>
        <w:t>hus</w:t>
      </w:r>
      <w:r w:rsidRPr="0099367E" w:rsidR="00DC65FB">
        <w:rPr>
          <w:szCs w:val="26"/>
        </w:rPr>
        <w:t>, they</w:t>
      </w:r>
      <w:r w:rsidRPr="0099367E" w:rsidR="005F5D0A">
        <w:rPr>
          <w:szCs w:val="26"/>
        </w:rPr>
        <w:t xml:space="preserve"> are insufficient to rebut section 3’s “</w:t>
      </w:r>
      <w:r w:rsidRPr="0099367E" w:rsidR="005F5D0A">
        <w:t>strong presumption of prospective operation.”  (</w:t>
      </w:r>
      <w:r w:rsidRPr="0099367E" w:rsidR="005F5D0A">
        <w:rPr>
          <w:i/>
          <w:iCs/>
        </w:rPr>
        <w:t>Brown</w:t>
      </w:r>
      <w:r w:rsidRPr="0099367E" w:rsidR="005F5D0A">
        <w:t xml:space="preserve">, </w:t>
      </w:r>
      <w:r w:rsidRPr="0099367E" w:rsidR="005F5D0A">
        <w:rPr>
          <w:i/>
          <w:iCs/>
        </w:rPr>
        <w:t>supra</w:t>
      </w:r>
      <w:r w:rsidRPr="0099367E" w:rsidR="005F5D0A">
        <w:t>, 54</w:t>
      </w:r>
      <w:r w:rsidRPr="0099367E" w:rsidR="00F46DF9">
        <w:t> </w:t>
      </w:r>
      <w:r w:rsidRPr="0099367E" w:rsidR="005F5D0A">
        <w:t xml:space="preserve">Cal.4th at p. 324.) </w:t>
      </w:r>
      <w:r w:rsidRPr="0099367E" w:rsidR="005F5D0A">
        <w:rPr>
          <w:szCs w:val="26"/>
        </w:rPr>
        <w:t xml:space="preserve"> “[T]he mere fact that the statute is remedial and subject to the rule of liberal construction” cannot, without more, give rise to the implication that the Legislature intended it to have retroactive application.  (</w:t>
      </w:r>
      <w:r w:rsidRPr="0099367E" w:rsidR="005F5D0A">
        <w:rPr>
          <w:i/>
          <w:iCs/>
          <w:szCs w:val="26"/>
        </w:rPr>
        <w:t>Aetna</w:t>
      </w:r>
      <w:r w:rsidRPr="0099367E" w:rsidR="005F5D0A">
        <w:rPr>
          <w:szCs w:val="26"/>
        </w:rPr>
        <w:t xml:space="preserve">, </w:t>
      </w:r>
      <w:r w:rsidRPr="0099367E" w:rsidR="005F5D0A">
        <w:rPr>
          <w:i/>
          <w:iCs/>
          <w:szCs w:val="26"/>
        </w:rPr>
        <w:t>supra</w:t>
      </w:r>
      <w:r w:rsidRPr="0099367E" w:rsidR="005F5D0A">
        <w:rPr>
          <w:szCs w:val="26"/>
        </w:rPr>
        <w:t>, 30</w:t>
      </w:r>
      <w:r w:rsidRPr="0099367E" w:rsidR="00F46DF9">
        <w:rPr>
          <w:szCs w:val="26"/>
        </w:rPr>
        <w:t> </w:t>
      </w:r>
      <w:r w:rsidRPr="0099367E" w:rsidR="005F5D0A">
        <w:rPr>
          <w:szCs w:val="26"/>
        </w:rPr>
        <w:t>Cal.2d at p. 395</w:t>
      </w:r>
      <w:r w:rsidRPr="0099367E" w:rsidR="009A5354">
        <w:rPr>
          <w:szCs w:val="26"/>
        </w:rPr>
        <w:t>.</w:t>
      </w:r>
      <w:r w:rsidRPr="0099367E" w:rsidR="005F5D0A">
        <w:rPr>
          <w:szCs w:val="26"/>
        </w:rPr>
        <w:t>)</w:t>
      </w:r>
      <w:r>
        <w:rPr>
          <w:rStyle w:val="FootnoteReference"/>
          <w:szCs w:val="26"/>
        </w:rPr>
        <w:footnoteReference w:id="10"/>
      </w:r>
    </w:p>
    <w:p w:rsidR="005F5D0A" w:rsidRPr="0099367E" w:rsidP="00223081" w14:paraId="1D81A2B9" w14:textId="77777777">
      <w:pPr>
        <w:tabs>
          <w:tab w:val="left" w:pos="720"/>
        </w:tabs>
        <w:ind w:firstLine="720"/>
      </w:pPr>
      <w:r w:rsidRPr="0099367E">
        <w:t xml:space="preserve">In this respect, we also find it notable that defendants and the Court of Appeal </w:t>
      </w:r>
      <w:r w:rsidRPr="0099367E" w:rsidR="00BC1024">
        <w:t xml:space="preserve">majority </w:t>
      </w:r>
      <w:r w:rsidRPr="0099367E">
        <w:t>focus primarily on the legislative findings accompanying Assembly Bill 333 rather than the text of section 1109 itself.</w:t>
      </w:r>
      <w:r>
        <w:rPr>
          <w:rStyle w:val="FootnoteReference"/>
        </w:rPr>
        <w:footnoteReference w:id="11"/>
      </w:r>
      <w:r w:rsidRPr="0099367E">
        <w:t xml:space="preserve">  </w:t>
      </w:r>
      <w:r w:rsidRPr="0099367E" w:rsidR="00A23DC8">
        <w:t xml:space="preserve">Likewise, the </w:t>
      </w:r>
      <w:r w:rsidRPr="0099367E" w:rsidR="00F56EEA">
        <w:t>dissent makes a single passing reference to</w:t>
      </w:r>
      <w:r w:rsidRPr="0099367E" w:rsidR="00A23DC8">
        <w:t xml:space="preserve"> section 1109</w:t>
      </w:r>
      <w:r w:rsidRPr="0099367E" w:rsidR="00F56EEA">
        <w:t>’s</w:t>
      </w:r>
      <w:r w:rsidRPr="0099367E" w:rsidR="00A23DC8">
        <w:t xml:space="preserve"> </w:t>
      </w:r>
      <w:r w:rsidRPr="0099367E" w:rsidR="00D638FF">
        <w:t xml:space="preserve">actual </w:t>
      </w:r>
      <w:r w:rsidRPr="0099367E" w:rsidR="00F56EEA">
        <w:t>provisions</w:t>
      </w:r>
      <w:r w:rsidRPr="0099367E" w:rsidR="00A23DC8">
        <w:t xml:space="preserve">, noting only that </w:t>
      </w:r>
      <w:r w:rsidRPr="0099367E" w:rsidR="0080177D">
        <w:t>it</w:t>
      </w:r>
      <w:r w:rsidRPr="0099367E" w:rsidR="0042437A">
        <w:t xml:space="preserve"> grants a criminal defendant </w:t>
      </w:r>
      <w:r w:rsidRPr="0099367E" w:rsidR="00CE349A">
        <w:t>charged with one or more gang enhancements “</w:t>
      </w:r>
      <w:r w:rsidRPr="0099367E" w:rsidR="0042437A">
        <w:t xml:space="preserve">the right to have the question of guilt be tried in </w:t>
      </w:r>
      <w:r w:rsidRPr="0099367E" w:rsidR="00CE349A">
        <w:t>‘</w:t>
      </w:r>
      <w:r w:rsidRPr="0099367E" w:rsidR="0042437A">
        <w:t xml:space="preserve">separate phases.’ ”  </w:t>
      </w:r>
      <w:r w:rsidRPr="0099367E" w:rsidR="0080177D">
        <w:t xml:space="preserve">(Dis. opn. of Evans, J., at p. 1.)  </w:t>
      </w:r>
      <w:r w:rsidRPr="0099367E" w:rsidR="00AD1271">
        <w:t xml:space="preserve">But this is the inverse of our usual </w:t>
      </w:r>
      <w:r w:rsidRPr="0099367E" w:rsidR="00AD1271">
        <w:rPr>
          <w:i/>
          <w:iCs/>
        </w:rPr>
        <w:t>Estrada</w:t>
      </w:r>
      <w:r w:rsidRPr="0099367E" w:rsidR="00AD1271">
        <w:t xml:space="preserve"> inquiry.</w:t>
      </w:r>
      <w:r w:rsidRPr="0099367E" w:rsidR="00AD1271">
        <w:rPr>
          <w:i/>
          <w:iCs/>
        </w:rPr>
        <w:t xml:space="preserve">  </w:t>
      </w:r>
      <w:r w:rsidRPr="0099367E">
        <w:rPr>
          <w:i/>
          <w:iCs/>
        </w:rPr>
        <w:t>Estrada</w:t>
      </w:r>
      <w:r w:rsidRPr="0099367E">
        <w:t xml:space="preserve"> and its progeny focused on the substantive statutory provisions in determining whether they gave rise to an inference of retroactivity.  </w:t>
      </w:r>
      <w:r w:rsidRPr="0099367E" w:rsidR="00EB2FE5">
        <w:t xml:space="preserve">Consistent with standard principles of statutory interpretation, </w:t>
      </w:r>
      <w:r w:rsidRPr="0099367E" w:rsidR="00E446A5">
        <w:t xml:space="preserve">our precedent instructs that we should </w:t>
      </w:r>
      <w:r w:rsidRPr="0099367E" w:rsidR="00EB2FE5">
        <w:t>focus on the statute itself before examining legislative findings or legislative history.</w:t>
      </w:r>
      <w:r w:rsidRPr="0099367E" w:rsidR="00E446A5">
        <w:t xml:space="preserve">  </w:t>
      </w:r>
      <w:r w:rsidRPr="0099367E">
        <w:t xml:space="preserve">(See, e.g., </w:t>
      </w:r>
      <w:r w:rsidRPr="0099367E">
        <w:rPr>
          <w:i/>
          <w:iCs/>
        </w:rPr>
        <w:t>Frahs</w:t>
      </w:r>
      <w:r w:rsidRPr="0099367E">
        <w:t xml:space="preserve">, </w:t>
      </w:r>
      <w:r w:rsidRPr="0099367E">
        <w:rPr>
          <w:i/>
          <w:iCs/>
        </w:rPr>
        <w:t>supra</w:t>
      </w:r>
      <w:r w:rsidRPr="0099367E">
        <w:t>, 9</w:t>
      </w:r>
      <w:r w:rsidRPr="0099367E" w:rsidR="00F46DF9">
        <w:t> </w:t>
      </w:r>
      <w:r w:rsidRPr="0099367E">
        <w:t xml:space="preserve">Cal.5th at p. 635; </w:t>
      </w:r>
      <w:r w:rsidRPr="0099367E">
        <w:rPr>
          <w:i/>
          <w:iCs/>
        </w:rPr>
        <w:t>Lara</w:t>
      </w:r>
      <w:r w:rsidRPr="0099367E">
        <w:t xml:space="preserve">, </w:t>
      </w:r>
      <w:r w:rsidRPr="0099367E">
        <w:rPr>
          <w:i/>
          <w:iCs/>
        </w:rPr>
        <w:t>supra</w:t>
      </w:r>
      <w:r w:rsidRPr="0099367E">
        <w:t>, 4</w:t>
      </w:r>
      <w:r w:rsidRPr="0099367E" w:rsidR="00F46DF9">
        <w:t> </w:t>
      </w:r>
      <w:r w:rsidRPr="0099367E">
        <w:t xml:space="preserve">Cal.5th at pp. 303, 309.) </w:t>
      </w:r>
      <w:r w:rsidRPr="0099367E" w:rsidR="00DE2F4E">
        <w:t xml:space="preserve"> </w:t>
      </w:r>
      <w:r w:rsidRPr="0099367E">
        <w:t xml:space="preserve">Indeed, in determining whether Assembly Bill 333’s amendments to section 186.22 applied retroactively under </w:t>
      </w:r>
      <w:r w:rsidRPr="0099367E">
        <w:rPr>
          <w:i/>
          <w:iCs/>
        </w:rPr>
        <w:t>Estrada</w:t>
      </w:r>
      <w:r w:rsidRPr="0099367E">
        <w:t>, we relied on section 186.22’s substantive changes to the elements of the gang enhancement rather than the accompanying legislative findings and statements of purpose, concluding that section 186.22 applied retroactively because it increased the threshold for conviction of the gang offense and imposition of the gang enhancement.  (</w:t>
      </w:r>
      <w:r w:rsidRPr="0099367E">
        <w:rPr>
          <w:i/>
          <w:iCs/>
        </w:rPr>
        <w:t>Tran</w:t>
      </w:r>
      <w:r w:rsidRPr="0099367E">
        <w:t xml:space="preserve">, </w:t>
      </w:r>
      <w:r w:rsidRPr="0099367E">
        <w:rPr>
          <w:i/>
          <w:iCs/>
        </w:rPr>
        <w:t>supra</w:t>
      </w:r>
      <w:r w:rsidRPr="0099367E">
        <w:t>, 13</w:t>
      </w:r>
      <w:r w:rsidRPr="0099367E" w:rsidR="00F46DF9">
        <w:t> </w:t>
      </w:r>
      <w:r w:rsidRPr="0099367E">
        <w:t xml:space="preserve">Cal.5th at pp. 1206–1207.) </w:t>
      </w:r>
      <w:r w:rsidRPr="0099367E">
        <w:rPr>
          <w:i/>
          <w:iCs/>
        </w:rPr>
        <w:t xml:space="preserve"> </w:t>
      </w:r>
      <w:r w:rsidRPr="0099367E">
        <w:t xml:space="preserve">Although legislative findings may be </w:t>
      </w:r>
      <w:r w:rsidRPr="0099367E" w:rsidR="00096191">
        <w:t xml:space="preserve">a </w:t>
      </w:r>
      <w:r w:rsidRPr="0099367E">
        <w:t xml:space="preserve">useful </w:t>
      </w:r>
      <w:r w:rsidRPr="0099367E" w:rsidR="00096191">
        <w:t xml:space="preserve">aid </w:t>
      </w:r>
      <w:r w:rsidRPr="0099367E">
        <w:t xml:space="preserve">in confirming whether we should presume retroactive intent based on the ameliorative nature of a statute, we are disinclined to bypass section 1109’s substantive provisions, which </w:t>
      </w:r>
      <w:r w:rsidRPr="0099367E" w:rsidR="001C7AE4">
        <w:t xml:space="preserve">do </w:t>
      </w:r>
      <w:r w:rsidRPr="0099367E">
        <w:t xml:space="preserve">not </w:t>
      </w:r>
      <w:r w:rsidRPr="0099367E" w:rsidR="002C4D19">
        <w:t xml:space="preserve">actually operate to </w:t>
      </w:r>
      <w:r w:rsidRPr="0099367E">
        <w:t xml:space="preserve">mitigate punishment, and </w:t>
      </w:r>
      <w:r w:rsidRPr="0099367E" w:rsidR="002C4D19">
        <w:t>rely</w:t>
      </w:r>
      <w:r w:rsidRPr="0099367E" w:rsidR="001C7AE4">
        <w:t xml:space="preserve"> </w:t>
      </w:r>
      <w:r w:rsidRPr="0099367E">
        <w:t xml:space="preserve">on legislative findings </w:t>
      </w:r>
      <w:r w:rsidRPr="0099367E" w:rsidR="004B1DDD">
        <w:t xml:space="preserve">relating to </w:t>
      </w:r>
      <w:r w:rsidRPr="0099367E" w:rsidR="000B0B7D">
        <w:t>potential prejudice</w:t>
      </w:r>
      <w:r w:rsidRPr="0099367E" w:rsidR="004B1DDD">
        <w:t xml:space="preserve"> </w:t>
      </w:r>
      <w:r w:rsidRPr="0099367E">
        <w:t xml:space="preserve">in determining whether </w:t>
      </w:r>
      <w:r w:rsidRPr="0099367E">
        <w:rPr>
          <w:i/>
          <w:iCs/>
        </w:rPr>
        <w:t>Estrada</w:t>
      </w:r>
      <w:r w:rsidRPr="0099367E">
        <w:t>’s inference of retroactivity applies.</w:t>
      </w:r>
      <w:r w:rsidRPr="0099367E" w:rsidR="006879D5">
        <w:t xml:space="preserve">  </w:t>
      </w:r>
    </w:p>
    <w:p w:rsidR="0064373D" w:rsidRPr="0099367E" w:rsidP="00C06DCD" w14:paraId="1D81A2BA" w14:textId="77777777">
      <w:pPr>
        <w:ind w:firstLine="720"/>
      </w:pPr>
      <w:r w:rsidRPr="0099367E">
        <w:t>W</w:t>
      </w:r>
      <w:r w:rsidRPr="0099367E" w:rsidR="002D7ED6">
        <w:t>e do</w:t>
      </w:r>
      <w:r w:rsidRPr="0099367E" w:rsidR="001D7F25">
        <w:t xml:space="preserve"> no</w:t>
      </w:r>
      <w:r w:rsidRPr="0099367E">
        <w:t>t</w:t>
      </w:r>
      <w:r w:rsidRPr="0099367E" w:rsidR="001D7F25">
        <w:t xml:space="preserve"> dispute that </w:t>
      </w:r>
      <w:r w:rsidRPr="0099367E" w:rsidR="00B5350E">
        <w:t xml:space="preserve">the changes implemented through </w:t>
      </w:r>
      <w:r w:rsidRPr="0099367E" w:rsidR="00B80632">
        <w:t xml:space="preserve">section 1109 </w:t>
      </w:r>
      <w:r w:rsidRPr="0099367E" w:rsidR="00B5350E">
        <w:t>are</w:t>
      </w:r>
      <w:r w:rsidRPr="0099367E" w:rsidR="00B80632">
        <w:t xml:space="preserve"> designed to serve </w:t>
      </w:r>
      <w:r w:rsidRPr="0099367E" w:rsidR="005D2566">
        <w:t>the</w:t>
      </w:r>
      <w:r w:rsidRPr="0099367E" w:rsidR="00B80632">
        <w:t xml:space="preserve"> </w:t>
      </w:r>
      <w:r w:rsidRPr="0099367E" w:rsidR="00605608">
        <w:t>salutatory</w:t>
      </w:r>
      <w:r w:rsidRPr="0099367E" w:rsidR="00B80632">
        <w:t xml:space="preserve"> goal</w:t>
      </w:r>
      <w:r w:rsidRPr="0099367E" w:rsidR="005D2566">
        <w:t>s</w:t>
      </w:r>
      <w:r w:rsidRPr="0099367E" w:rsidR="00B80632">
        <w:t xml:space="preserve"> of enhancing the overall fairness of </w:t>
      </w:r>
      <w:r w:rsidRPr="0099367E" w:rsidR="00365D86">
        <w:t>crimina</w:t>
      </w:r>
      <w:r w:rsidRPr="0099367E" w:rsidR="00B80632">
        <w:t>l proceedings</w:t>
      </w:r>
      <w:r w:rsidRPr="0099367E" w:rsidR="003F6145">
        <w:t xml:space="preserve"> and reducing the potential for prejudice</w:t>
      </w:r>
      <w:r w:rsidRPr="0099367E" w:rsidR="00B80632">
        <w:t xml:space="preserve">.  </w:t>
      </w:r>
      <w:r w:rsidRPr="0099367E" w:rsidR="00365D86">
        <w:t xml:space="preserve">(Stats. 2021, ch. 699, </w:t>
      </w:r>
      <w:r w:rsidRPr="0099367E" w:rsidR="00C41452">
        <w:t>§</w:t>
      </w:r>
      <w:r w:rsidRPr="0099367E" w:rsidR="00E64DAA">
        <w:t> </w:t>
      </w:r>
      <w:r w:rsidRPr="0099367E" w:rsidR="00C41452">
        <w:t xml:space="preserve">2, subds. (d)(6), </w:t>
      </w:r>
      <w:r w:rsidRPr="0099367E" w:rsidR="00B877DB">
        <w:t xml:space="preserve">(e) </w:t>
      </w:r>
      <w:r w:rsidRPr="0099367E" w:rsidR="00AE6915">
        <w:t xml:space="preserve">&amp; </w:t>
      </w:r>
      <w:r w:rsidRPr="0099367E" w:rsidR="00C41452">
        <w:t xml:space="preserve">(f).)  </w:t>
      </w:r>
      <w:r w:rsidRPr="0099367E" w:rsidR="00E067A7">
        <w:t xml:space="preserve">Yet we have declined to infer retroactive intent </w:t>
      </w:r>
      <w:r w:rsidRPr="0099367E" w:rsidR="00BA2D30">
        <w:t xml:space="preserve">under the principles of </w:t>
      </w:r>
      <w:r w:rsidRPr="0099367E" w:rsidR="00BA2D30">
        <w:rPr>
          <w:i/>
          <w:iCs/>
        </w:rPr>
        <w:t xml:space="preserve">Estrada </w:t>
      </w:r>
      <w:r w:rsidRPr="0099367E" w:rsidR="005564AA">
        <w:t xml:space="preserve">based </w:t>
      </w:r>
      <w:r w:rsidRPr="0099367E">
        <w:t xml:space="preserve">solely </w:t>
      </w:r>
      <w:r w:rsidRPr="0099367E" w:rsidR="005564AA">
        <w:t>on</w:t>
      </w:r>
      <w:r w:rsidRPr="0099367E">
        <w:t xml:space="preserve"> the presence of</w:t>
      </w:r>
      <w:r w:rsidRPr="0099367E" w:rsidR="005564AA">
        <w:t xml:space="preserve"> similar </w:t>
      </w:r>
      <w:r w:rsidRPr="0099367E" w:rsidR="00823EF4">
        <w:t>remedial purpose</w:t>
      </w:r>
      <w:r w:rsidRPr="0099367E" w:rsidR="00B5350E">
        <w:t>s</w:t>
      </w:r>
      <w:r w:rsidRPr="0099367E" w:rsidR="00823EF4">
        <w:t>.</w:t>
      </w:r>
      <w:r w:rsidRPr="0099367E" w:rsidR="002A0AA0">
        <w:t xml:space="preserve">  </w:t>
      </w:r>
      <w:r w:rsidRPr="0099367E">
        <w:t xml:space="preserve">In </w:t>
      </w:r>
      <w:r w:rsidRPr="0099367E">
        <w:rPr>
          <w:i/>
          <w:iCs/>
        </w:rPr>
        <w:t>Brown</w:t>
      </w:r>
      <w:r w:rsidRPr="0099367E">
        <w:t xml:space="preserve">, we rejected the </w:t>
      </w:r>
      <w:r w:rsidRPr="0099367E" w:rsidR="00EA5BB3">
        <w:t>argument</w:t>
      </w:r>
      <w:r w:rsidRPr="0099367E">
        <w:t xml:space="preserve"> that the </w:t>
      </w:r>
      <w:r w:rsidRPr="0099367E">
        <w:rPr>
          <w:i/>
          <w:iCs/>
        </w:rPr>
        <w:t>Estrada</w:t>
      </w:r>
      <w:r w:rsidRPr="0099367E">
        <w:t xml:space="preserve"> inference extends </w:t>
      </w:r>
      <w:r w:rsidRPr="0099367E" w:rsidR="00EA5BB3">
        <w:t xml:space="preserve">“broadly </w:t>
      </w:r>
      <w:r w:rsidRPr="0099367E" w:rsidR="00B14E6C">
        <w:t xml:space="preserve">to any statute that reduces punishment in </w:t>
      </w:r>
      <w:r w:rsidRPr="0099367E" w:rsidR="00EA5BB3">
        <w:t xml:space="preserve">any </w:t>
      </w:r>
      <w:r w:rsidRPr="0099367E" w:rsidR="00B14E6C">
        <w:t>manner” (</w:t>
      </w:r>
      <w:r w:rsidRPr="0099367E" w:rsidR="00B14E6C">
        <w:rPr>
          <w:i/>
          <w:iCs/>
        </w:rPr>
        <w:t>Brown</w:t>
      </w:r>
      <w:r w:rsidRPr="0099367E" w:rsidR="00B14E6C">
        <w:t xml:space="preserve">, </w:t>
      </w:r>
      <w:r w:rsidRPr="0099367E" w:rsidR="00B14E6C">
        <w:rPr>
          <w:i/>
          <w:iCs/>
        </w:rPr>
        <w:t>supra</w:t>
      </w:r>
      <w:r w:rsidRPr="0099367E" w:rsidR="00B14E6C">
        <w:t>, 54</w:t>
      </w:r>
      <w:r w:rsidRPr="0099367E" w:rsidR="00F46DF9">
        <w:t> </w:t>
      </w:r>
      <w:r w:rsidRPr="0099367E" w:rsidR="00B14E6C">
        <w:t>Cal.4th at p.</w:t>
      </w:r>
      <w:r w:rsidRPr="0099367E" w:rsidR="00EA5BB3">
        <w:t> </w:t>
      </w:r>
      <w:r w:rsidRPr="0099367E" w:rsidR="00B14E6C">
        <w:t xml:space="preserve">325), explaining that </w:t>
      </w:r>
      <w:r w:rsidRPr="0099367E" w:rsidR="00E860F9">
        <w:t xml:space="preserve">such a position “would expand the </w:t>
      </w:r>
      <w:r w:rsidRPr="0099367E" w:rsidR="00C83CEE">
        <w:rPr>
          <w:i/>
          <w:iCs/>
        </w:rPr>
        <w:t>Estrada</w:t>
      </w:r>
      <w:r w:rsidRPr="0099367E" w:rsidR="00C83CEE">
        <w:t xml:space="preserve"> rule’s scope of operation in precisely the manner we forbade in </w:t>
      </w:r>
      <w:r w:rsidRPr="0099367E" w:rsidR="00C83CEE">
        <w:rPr>
          <w:i/>
          <w:iCs/>
        </w:rPr>
        <w:t>Evangelatos</w:t>
      </w:r>
      <w:r w:rsidRPr="0099367E" w:rsidR="00C83CEE">
        <w:t>” (</w:t>
      </w:r>
      <w:r w:rsidRPr="0099367E" w:rsidR="00C83CEE">
        <w:rPr>
          <w:i/>
          <w:iCs/>
        </w:rPr>
        <w:t>ibid</w:t>
      </w:r>
      <w:r w:rsidRPr="0099367E" w:rsidR="00C83CEE">
        <w:t>.).  In t</w:t>
      </w:r>
      <w:r w:rsidRPr="0099367E" w:rsidR="00413907">
        <w:t xml:space="preserve">he </w:t>
      </w:r>
      <w:r w:rsidRPr="0099367E" w:rsidR="00C83CEE">
        <w:t xml:space="preserve">earlier </w:t>
      </w:r>
      <w:r w:rsidRPr="0099367E" w:rsidR="00413907">
        <w:rPr>
          <w:i/>
          <w:iCs/>
        </w:rPr>
        <w:t xml:space="preserve">Evangelatos </w:t>
      </w:r>
      <w:r w:rsidRPr="0099367E" w:rsidR="00C83CEE">
        <w:t xml:space="preserve">decision, we </w:t>
      </w:r>
      <w:r w:rsidRPr="0099367E" w:rsidR="00E271EB">
        <w:t>rejected th</w:t>
      </w:r>
      <w:r w:rsidRPr="0099367E" w:rsidR="00EA5BB3">
        <w:t>e</w:t>
      </w:r>
      <w:r w:rsidRPr="0099367E" w:rsidR="00E271EB">
        <w:t xml:space="preserve"> argument that </w:t>
      </w:r>
      <w:r w:rsidRPr="0099367E" w:rsidR="000B4F2D">
        <w:t xml:space="preserve">a </w:t>
      </w:r>
      <w:r w:rsidRPr="0099367E" w:rsidR="00413907">
        <w:t>tort</w:t>
      </w:r>
      <w:r w:rsidRPr="0099367E" w:rsidR="00BC1024">
        <w:t xml:space="preserve"> </w:t>
      </w:r>
      <w:r w:rsidRPr="0099367E" w:rsidR="00413907">
        <w:t xml:space="preserve">reform </w:t>
      </w:r>
      <w:r w:rsidRPr="0099367E" w:rsidR="000B4F2D">
        <w:t>proposition’s purpose</w:t>
      </w:r>
      <w:r w:rsidRPr="0099367E" w:rsidR="00A72FB7">
        <w:t>, to rectify the “system of inequity and injustice” (Civ. Code, §</w:t>
      </w:r>
      <w:r w:rsidRPr="0099367E" w:rsidR="00E64DAA">
        <w:t> </w:t>
      </w:r>
      <w:r w:rsidRPr="0099367E" w:rsidR="00A72FB7">
        <w:t xml:space="preserve">1431.1, subd. (a)), demonstrated that the electorate intended for </w:t>
      </w:r>
      <w:r w:rsidRPr="0099367E" w:rsidR="00413907">
        <w:t>it</w:t>
      </w:r>
      <w:r w:rsidRPr="0099367E" w:rsidR="00A72FB7">
        <w:t xml:space="preserve"> to apply retroactively.  (</w:t>
      </w:r>
      <w:r w:rsidRPr="0099367E" w:rsidR="00A72FB7">
        <w:rPr>
          <w:i/>
          <w:iCs/>
        </w:rPr>
        <w:t>Evangelatos</w:t>
      </w:r>
      <w:r w:rsidRPr="0099367E" w:rsidR="00A72FB7">
        <w:t xml:space="preserve">, </w:t>
      </w:r>
      <w:r w:rsidRPr="0099367E" w:rsidR="00A72FB7">
        <w:rPr>
          <w:i/>
          <w:iCs/>
        </w:rPr>
        <w:t>supra</w:t>
      </w:r>
      <w:r w:rsidRPr="0099367E" w:rsidR="00A72FB7">
        <w:t>, 44</w:t>
      </w:r>
      <w:r w:rsidRPr="0099367E" w:rsidR="00ED2EF6">
        <w:t> </w:t>
      </w:r>
      <w:r w:rsidRPr="0099367E" w:rsidR="00A72FB7">
        <w:t>Cal.3d at p.</w:t>
      </w:r>
      <w:r w:rsidRPr="0099367E" w:rsidR="00EA5BB3">
        <w:t> </w:t>
      </w:r>
      <w:r w:rsidRPr="0099367E" w:rsidR="00A72FB7">
        <w:t xml:space="preserve">1213.)  </w:t>
      </w:r>
      <w:r w:rsidRPr="0099367E" w:rsidR="00C60BE0">
        <w:t>We explained:  “Although the ‘findings and declaration of purpose’ included in the proposition clearly indicate that the measure was proposed to remedy the perceived inequities resulting under the preexisting joint and several liability doctrine and to create what the proponents considered a fairer system under which ‘defendants in tort actions shall be held financially liable in closer proportion to their degree of fault’ [citation], such a remedial purpose does not necessarily indicate an intent to apply the statute retroactively.  Most statutory changes are, of course, intended to improve a preexisting situation and to bring about a fairer state of affairs, and if such an objective were itself sufficient to demonstrate a clear legislative intent to apply a statute retroactively, almost all statutory provisions and initiative measures would apply retroactively rather than prospectively.  In light of the general principles of statutory interpretation set out above, and particularly the provisions of Civil Code section 3 [articulating the general rule of prospective application], the contention is clearly flawed.”  (</w:t>
      </w:r>
      <w:r w:rsidRPr="0099367E" w:rsidR="00C60BE0">
        <w:rPr>
          <w:i/>
          <w:iCs/>
        </w:rPr>
        <w:t>Ibid</w:t>
      </w:r>
      <w:r w:rsidRPr="0099367E" w:rsidR="00C60BE0">
        <w:t xml:space="preserve">.)  </w:t>
      </w:r>
      <w:r w:rsidRPr="0099367E" w:rsidR="001D7F25">
        <w:t>These same principles apply here and support the prospective application of section 1109’s bifurcation procedures.</w:t>
      </w:r>
      <w:r>
        <w:rPr>
          <w:rStyle w:val="FootnoteReference"/>
        </w:rPr>
        <w:footnoteReference w:id="12"/>
      </w:r>
    </w:p>
    <w:p w:rsidR="000D5AF1" w:rsidRPr="0099367E" w:rsidP="00C06DCD" w14:paraId="1D81A2BB" w14:textId="77777777">
      <w:pPr>
        <w:ind w:firstLine="720"/>
        <w:rPr>
          <w:szCs w:val="26"/>
        </w:rPr>
      </w:pPr>
      <w:r w:rsidRPr="0099367E">
        <w:rPr>
          <w:szCs w:val="26"/>
        </w:rPr>
        <w:t xml:space="preserve">Our Courts of Appeal </w:t>
      </w:r>
      <w:r w:rsidRPr="0099367E" w:rsidR="008D3312">
        <w:rPr>
          <w:szCs w:val="26"/>
        </w:rPr>
        <w:t xml:space="preserve">have expressed a similar understanding of </w:t>
      </w:r>
      <w:r w:rsidRPr="0099367E" w:rsidR="008D3312">
        <w:rPr>
          <w:i/>
          <w:iCs/>
          <w:szCs w:val="26"/>
        </w:rPr>
        <w:t>Estrada</w:t>
      </w:r>
      <w:r w:rsidRPr="0099367E" w:rsidR="008D3312">
        <w:rPr>
          <w:szCs w:val="26"/>
        </w:rPr>
        <w:t>’s limited applicability in a variety of contexts.</w:t>
      </w:r>
      <w:r w:rsidRPr="0099367E">
        <w:rPr>
          <w:szCs w:val="26"/>
        </w:rPr>
        <w:t xml:space="preserve">  </w:t>
      </w:r>
      <w:r w:rsidRPr="0099367E" w:rsidR="00261945">
        <w:rPr>
          <w:szCs w:val="26"/>
        </w:rPr>
        <w:t>I</w:t>
      </w:r>
      <w:r w:rsidRPr="0099367E">
        <w:rPr>
          <w:szCs w:val="26"/>
        </w:rPr>
        <w:t xml:space="preserve">n </w:t>
      </w:r>
      <w:r w:rsidRPr="0099367E">
        <w:rPr>
          <w:i/>
          <w:iCs/>
          <w:szCs w:val="26"/>
        </w:rPr>
        <w:t>Cervantes</w:t>
      </w:r>
      <w:r w:rsidRPr="0099367E">
        <w:rPr>
          <w:szCs w:val="26"/>
        </w:rPr>
        <w:t>,</w:t>
      </w:r>
      <w:r w:rsidRPr="0099367E">
        <w:rPr>
          <w:i/>
          <w:iCs/>
          <w:szCs w:val="26"/>
        </w:rPr>
        <w:t xml:space="preserve"> </w:t>
      </w:r>
      <w:r w:rsidRPr="0099367E">
        <w:rPr>
          <w:szCs w:val="26"/>
        </w:rPr>
        <w:t>for example, the Court of Appeal held that</w:t>
      </w:r>
      <w:r w:rsidRPr="0099367E" w:rsidR="003B727A">
        <w:rPr>
          <w:szCs w:val="26"/>
        </w:rPr>
        <w:t xml:space="preserve"> statutory</w:t>
      </w:r>
      <w:r w:rsidRPr="0099367E">
        <w:rPr>
          <w:szCs w:val="26"/>
        </w:rPr>
        <w:t xml:space="preserve"> amendments </w:t>
      </w:r>
      <w:r w:rsidRPr="0099367E" w:rsidR="003B727A">
        <w:rPr>
          <w:szCs w:val="26"/>
        </w:rPr>
        <w:t xml:space="preserve">that </w:t>
      </w:r>
      <w:r w:rsidRPr="0099367E">
        <w:rPr>
          <w:szCs w:val="26"/>
        </w:rPr>
        <w:t>expanded the circumstances in which custodial interrogations must be recorded applied</w:t>
      </w:r>
      <w:r w:rsidRPr="0099367E" w:rsidR="003B727A">
        <w:rPr>
          <w:szCs w:val="26"/>
        </w:rPr>
        <w:t xml:space="preserve"> only</w:t>
      </w:r>
      <w:r w:rsidRPr="0099367E">
        <w:rPr>
          <w:szCs w:val="26"/>
        </w:rPr>
        <w:t xml:space="preserve"> prospectively (</w:t>
      </w:r>
      <w:r w:rsidRPr="0099367E">
        <w:rPr>
          <w:i/>
          <w:iCs/>
          <w:szCs w:val="26"/>
        </w:rPr>
        <w:t>Cervantes</w:t>
      </w:r>
      <w:r w:rsidRPr="0099367E">
        <w:rPr>
          <w:szCs w:val="26"/>
        </w:rPr>
        <w:t xml:space="preserve">, </w:t>
      </w:r>
      <w:r w:rsidRPr="0099367E">
        <w:rPr>
          <w:i/>
          <w:iCs/>
          <w:szCs w:val="26"/>
        </w:rPr>
        <w:t>supra</w:t>
      </w:r>
      <w:r w:rsidRPr="0099367E">
        <w:rPr>
          <w:szCs w:val="26"/>
        </w:rPr>
        <w:t>, 55</w:t>
      </w:r>
      <w:r w:rsidRPr="0099367E" w:rsidR="004C4694">
        <w:rPr>
          <w:szCs w:val="26"/>
        </w:rPr>
        <w:t> </w:t>
      </w:r>
      <w:r w:rsidRPr="0099367E">
        <w:rPr>
          <w:szCs w:val="26"/>
        </w:rPr>
        <w:t>Cal.App.5th at p. 941), notwithstanding the fact that the Legislature had declared</w:t>
      </w:r>
      <w:r w:rsidRPr="0099367E" w:rsidR="003B727A">
        <w:rPr>
          <w:szCs w:val="26"/>
        </w:rPr>
        <w:t xml:space="preserve"> in the enactment</w:t>
      </w:r>
      <w:r w:rsidRPr="0099367E">
        <w:rPr>
          <w:szCs w:val="26"/>
        </w:rPr>
        <w:t xml:space="preserve"> that recording interrogations during police questioning of suspects “decreases wrongful convictions based on false confessions and enhances public confidence in the criminal justice process” (Stats. 2016, ch. 791, § 1, subd. (b)).  (See </w:t>
      </w:r>
      <w:r w:rsidRPr="0099367E">
        <w:rPr>
          <w:i/>
          <w:iCs/>
          <w:szCs w:val="26"/>
        </w:rPr>
        <w:t>id</w:t>
      </w:r>
      <w:r w:rsidRPr="0099367E">
        <w:rPr>
          <w:szCs w:val="26"/>
        </w:rPr>
        <w:t>., subd. (a)(2) [citing national study finding that false confessions extracted during police questioning of suspects have been identified as a leading cause of wrongful conviction</w:t>
      </w:r>
      <w:r w:rsidRPr="0099367E" w:rsidR="00A40563">
        <w:rPr>
          <w:szCs w:val="26"/>
        </w:rPr>
        <w:t>s</w:t>
      </w:r>
      <w:r w:rsidRPr="0099367E">
        <w:rPr>
          <w:szCs w:val="26"/>
        </w:rPr>
        <w:t>].)</w:t>
      </w:r>
      <w:r w:rsidRPr="0099367E" w:rsidR="00261945">
        <w:rPr>
          <w:szCs w:val="26"/>
        </w:rPr>
        <w:t xml:space="preserve">  </w:t>
      </w:r>
      <w:r w:rsidRPr="0099367E" w:rsidR="00190618">
        <w:rPr>
          <w:szCs w:val="26"/>
        </w:rPr>
        <w:t xml:space="preserve">And in </w:t>
      </w:r>
      <w:r w:rsidRPr="0099367E" w:rsidR="00190618">
        <w:rPr>
          <w:i/>
          <w:iCs/>
          <w:szCs w:val="26"/>
        </w:rPr>
        <w:t>Sandee</w:t>
      </w:r>
      <w:r w:rsidRPr="0099367E" w:rsidR="00190618">
        <w:rPr>
          <w:szCs w:val="26"/>
        </w:rPr>
        <w:t xml:space="preserve">, the Court of Appeal held that the Electronic Communications Privacy Act did not apply retroactively under </w:t>
      </w:r>
      <w:r w:rsidRPr="0099367E" w:rsidR="00190618">
        <w:rPr>
          <w:i/>
          <w:iCs/>
          <w:szCs w:val="26"/>
        </w:rPr>
        <w:t>Estrada</w:t>
      </w:r>
      <w:r w:rsidRPr="0099367E" w:rsidR="00190618">
        <w:rPr>
          <w:szCs w:val="26"/>
        </w:rPr>
        <w:t xml:space="preserve"> notwithstanding the </w:t>
      </w:r>
      <w:r w:rsidRPr="0099367E" w:rsidR="003B727A">
        <w:rPr>
          <w:szCs w:val="26"/>
        </w:rPr>
        <w:t xml:space="preserve">likelihood that the </w:t>
      </w:r>
      <w:r w:rsidRPr="0099367E" w:rsidR="00E94FEB">
        <w:rPr>
          <w:szCs w:val="26"/>
        </w:rPr>
        <w:t>a</w:t>
      </w:r>
      <w:r w:rsidRPr="0099367E" w:rsidR="00190618">
        <w:rPr>
          <w:szCs w:val="26"/>
        </w:rPr>
        <w:t xml:space="preserve">ct’s increased restrictions on law enforcement access to electronic devices </w:t>
      </w:r>
      <w:r w:rsidRPr="0099367E" w:rsidR="003B727A">
        <w:rPr>
          <w:szCs w:val="26"/>
        </w:rPr>
        <w:t xml:space="preserve">would benefit </w:t>
      </w:r>
      <w:r w:rsidRPr="0099367E" w:rsidR="00190618">
        <w:rPr>
          <w:szCs w:val="26"/>
        </w:rPr>
        <w:t>defendants, because the law did not have the effect of lessening the punishment for a crime.  (</w:t>
      </w:r>
      <w:r w:rsidRPr="0099367E" w:rsidR="00190618">
        <w:rPr>
          <w:i/>
          <w:iCs/>
          <w:szCs w:val="26"/>
        </w:rPr>
        <w:t>Sandee</w:t>
      </w:r>
      <w:r w:rsidRPr="0099367E" w:rsidR="00190618">
        <w:rPr>
          <w:szCs w:val="26"/>
        </w:rPr>
        <w:t xml:space="preserve">, </w:t>
      </w:r>
      <w:r w:rsidRPr="0099367E" w:rsidR="00190618">
        <w:rPr>
          <w:i/>
          <w:iCs/>
          <w:szCs w:val="26"/>
        </w:rPr>
        <w:t>supra</w:t>
      </w:r>
      <w:r w:rsidRPr="0099367E" w:rsidR="00190618">
        <w:rPr>
          <w:szCs w:val="26"/>
        </w:rPr>
        <w:t>, 15</w:t>
      </w:r>
      <w:r w:rsidRPr="0099367E" w:rsidR="004C4694">
        <w:rPr>
          <w:szCs w:val="26"/>
        </w:rPr>
        <w:t> </w:t>
      </w:r>
      <w:r w:rsidRPr="0099367E" w:rsidR="00190618">
        <w:rPr>
          <w:szCs w:val="26"/>
        </w:rPr>
        <w:t>Cal.App.5th at p.</w:t>
      </w:r>
      <w:r w:rsidRPr="0099367E" w:rsidR="00DE2F4E">
        <w:rPr>
          <w:szCs w:val="26"/>
        </w:rPr>
        <w:t> </w:t>
      </w:r>
      <w:r w:rsidRPr="0099367E" w:rsidR="00190618">
        <w:rPr>
          <w:szCs w:val="26"/>
        </w:rPr>
        <w:t>305, fn.</w:t>
      </w:r>
      <w:r w:rsidRPr="0099367E" w:rsidR="00DE2F4E">
        <w:rPr>
          <w:szCs w:val="26"/>
        </w:rPr>
        <w:t> </w:t>
      </w:r>
      <w:r w:rsidRPr="0099367E" w:rsidR="004F5C2A">
        <w:rPr>
          <w:szCs w:val="26"/>
        </w:rPr>
        <w:t>7</w:t>
      </w:r>
      <w:r w:rsidRPr="0099367E" w:rsidR="00190618">
        <w:rPr>
          <w:szCs w:val="26"/>
        </w:rPr>
        <w:t>.)</w:t>
      </w:r>
      <w:r w:rsidRPr="0099367E" w:rsidR="006B118D">
        <w:rPr>
          <w:szCs w:val="26"/>
        </w:rPr>
        <w:t xml:space="preserve">  </w:t>
      </w:r>
      <w:r w:rsidRPr="0099367E" w:rsidR="00F84ED4">
        <w:rPr>
          <w:szCs w:val="26"/>
        </w:rPr>
        <w:t>The objective of the statutes</w:t>
      </w:r>
      <w:r w:rsidRPr="0099367E" w:rsidR="00F82025">
        <w:rPr>
          <w:szCs w:val="26"/>
        </w:rPr>
        <w:t xml:space="preserve"> at issue in these decisions</w:t>
      </w:r>
      <w:r w:rsidRPr="0099367E" w:rsidR="00F84ED4">
        <w:rPr>
          <w:szCs w:val="26"/>
        </w:rPr>
        <w:t xml:space="preserve">, like section 1109, </w:t>
      </w:r>
      <w:r w:rsidRPr="0099367E" w:rsidR="00152A5E">
        <w:rPr>
          <w:szCs w:val="26"/>
        </w:rPr>
        <w:t xml:space="preserve">is to enhance the fairness of </w:t>
      </w:r>
      <w:r w:rsidRPr="0099367E" w:rsidR="004F5C2A">
        <w:rPr>
          <w:szCs w:val="26"/>
        </w:rPr>
        <w:t xml:space="preserve">a </w:t>
      </w:r>
      <w:r w:rsidRPr="0099367E" w:rsidR="00152A5E">
        <w:rPr>
          <w:szCs w:val="26"/>
        </w:rPr>
        <w:t xml:space="preserve">criminal </w:t>
      </w:r>
      <w:r w:rsidRPr="0099367E" w:rsidR="005C140B">
        <w:rPr>
          <w:szCs w:val="26"/>
        </w:rPr>
        <w:t>proceeding</w:t>
      </w:r>
      <w:r w:rsidRPr="0099367E" w:rsidR="00152A5E">
        <w:rPr>
          <w:szCs w:val="26"/>
        </w:rPr>
        <w:t>.</w:t>
      </w:r>
      <w:r w:rsidRPr="0099367E" w:rsidR="00C65CEC">
        <w:rPr>
          <w:szCs w:val="26"/>
        </w:rPr>
        <w:t xml:space="preserve">  But they do not </w:t>
      </w:r>
      <w:r w:rsidRPr="0099367E" w:rsidR="008C2B4E">
        <w:rPr>
          <w:szCs w:val="26"/>
        </w:rPr>
        <w:t xml:space="preserve">implicate the logic of </w:t>
      </w:r>
      <w:r w:rsidRPr="0099367E" w:rsidR="008C2B4E">
        <w:rPr>
          <w:i/>
          <w:iCs/>
          <w:szCs w:val="26"/>
        </w:rPr>
        <w:t>Estrada</w:t>
      </w:r>
      <w:r w:rsidRPr="0099367E" w:rsidR="008C2B4E">
        <w:rPr>
          <w:szCs w:val="26"/>
        </w:rPr>
        <w:t xml:space="preserve">.  </w:t>
      </w:r>
    </w:p>
    <w:p w:rsidR="007C5FF3" w:rsidRPr="0099367E" w:rsidP="007C5FF3" w14:paraId="1D81A2BC" w14:textId="77777777">
      <w:pPr>
        <w:tabs>
          <w:tab w:val="left" w:pos="720"/>
        </w:tabs>
        <w:ind w:firstLine="720"/>
        <w:rPr>
          <w:szCs w:val="26"/>
          <w:shd w:val="clear" w:color="auto" w:fill="FFFFFF"/>
        </w:rPr>
      </w:pPr>
      <w:r w:rsidRPr="0099367E">
        <w:rPr>
          <w:szCs w:val="26"/>
          <w:shd w:val="clear" w:color="auto" w:fill="FFFFFF"/>
        </w:rPr>
        <w:t>The dissent posits that “section 3’s presumption of prospective effect does not apply to ‘new provisions’ —</w:t>
      </w:r>
      <w:r w:rsidRPr="0099367E" w:rsidR="006A133A">
        <w:rPr>
          <w:szCs w:val="26"/>
          <w:shd w:val="clear" w:color="auto" w:fill="FFFFFF"/>
        </w:rPr>
        <w:t xml:space="preserve"> </w:t>
      </w:r>
      <w:r w:rsidRPr="0099367E">
        <w:rPr>
          <w:szCs w:val="26"/>
          <w:shd w:val="clear" w:color="auto" w:fill="FFFFFF"/>
        </w:rPr>
        <w:t>like the one here —</w:t>
      </w:r>
      <w:r w:rsidRPr="0099367E" w:rsidR="006A133A">
        <w:rPr>
          <w:szCs w:val="26"/>
          <w:shd w:val="clear" w:color="auto" w:fill="FFFFFF"/>
        </w:rPr>
        <w:t xml:space="preserve"> </w:t>
      </w:r>
      <w:r w:rsidRPr="0099367E">
        <w:rPr>
          <w:szCs w:val="26"/>
          <w:shd w:val="clear" w:color="auto" w:fill="FFFFFF"/>
        </w:rPr>
        <w:t xml:space="preserve">‘which clearly benefit only defendants.’ ”  (Dis. opn. of Evans, J., </w:t>
      </w:r>
      <w:r w:rsidRPr="0099367E">
        <w:rPr>
          <w:i/>
          <w:iCs/>
          <w:szCs w:val="26"/>
          <w:shd w:val="clear" w:color="auto" w:fill="FFFFFF"/>
        </w:rPr>
        <w:t>post</w:t>
      </w:r>
      <w:r w:rsidRPr="0099367E">
        <w:rPr>
          <w:szCs w:val="26"/>
          <w:shd w:val="clear" w:color="auto" w:fill="FFFFFF"/>
        </w:rPr>
        <w:t xml:space="preserve">, at p. 5, citing </w:t>
      </w:r>
      <w:r w:rsidRPr="0099367E">
        <w:rPr>
          <w:i/>
          <w:iCs/>
          <w:szCs w:val="26"/>
          <w:shd w:val="clear" w:color="auto" w:fill="FFFFFF"/>
        </w:rPr>
        <w:t>Tapia</w:t>
      </w:r>
      <w:r w:rsidRPr="0099367E">
        <w:rPr>
          <w:szCs w:val="26"/>
          <w:shd w:val="clear" w:color="auto" w:fill="FFFFFF"/>
        </w:rPr>
        <w:t xml:space="preserve">, </w:t>
      </w:r>
      <w:r w:rsidRPr="0099367E">
        <w:rPr>
          <w:i/>
          <w:iCs/>
          <w:szCs w:val="26"/>
          <w:shd w:val="clear" w:color="auto" w:fill="FFFFFF"/>
        </w:rPr>
        <w:t>supra</w:t>
      </w:r>
      <w:r w:rsidRPr="0099367E">
        <w:rPr>
          <w:szCs w:val="26"/>
          <w:shd w:val="clear" w:color="auto" w:fill="FFFFFF"/>
        </w:rPr>
        <w:t>, 53</w:t>
      </w:r>
      <w:r w:rsidRPr="0099367E" w:rsidR="004C4694">
        <w:rPr>
          <w:szCs w:val="26"/>
          <w:shd w:val="clear" w:color="auto" w:fill="FFFFFF"/>
        </w:rPr>
        <w:t> </w:t>
      </w:r>
      <w:r w:rsidRPr="0099367E">
        <w:rPr>
          <w:szCs w:val="26"/>
          <w:shd w:val="clear" w:color="auto" w:fill="FFFFFF"/>
        </w:rPr>
        <w:t xml:space="preserve">Cal.3d at p. 300.)  </w:t>
      </w:r>
      <w:r w:rsidR="0057309C">
        <w:rPr>
          <w:szCs w:val="26"/>
          <w:shd w:val="clear" w:color="auto" w:fill="FFFFFF"/>
        </w:rPr>
        <w:t>Neither the text of section 3 nor our cases support this proposition.  Our cases have instead made clear that the presumption applies except to changes that mitigate punishment.  T</w:t>
      </w:r>
      <w:r w:rsidRPr="0099367E">
        <w:rPr>
          <w:szCs w:val="26"/>
          <w:shd w:val="clear" w:color="auto" w:fill="FFFFFF"/>
        </w:rPr>
        <w:t xml:space="preserve">he statutory provisions at issue in </w:t>
      </w:r>
      <w:r w:rsidRPr="0099367E">
        <w:rPr>
          <w:i/>
          <w:iCs/>
          <w:szCs w:val="26"/>
          <w:shd w:val="clear" w:color="auto" w:fill="FFFFFF"/>
        </w:rPr>
        <w:t>Tapia</w:t>
      </w:r>
      <w:r w:rsidRPr="0099367E">
        <w:rPr>
          <w:szCs w:val="26"/>
          <w:shd w:val="clear" w:color="auto" w:fill="FFFFFF"/>
        </w:rPr>
        <w:t xml:space="preserve"> applied retroactively because they benefitted defendants in the specific manner </w:t>
      </w:r>
      <w:r w:rsidRPr="0099367E" w:rsidR="004F096C">
        <w:rPr>
          <w:szCs w:val="26"/>
          <w:shd w:val="clear" w:color="auto" w:fill="FFFFFF"/>
        </w:rPr>
        <w:t>contemplated</w:t>
      </w:r>
      <w:r w:rsidRPr="0099367E">
        <w:rPr>
          <w:szCs w:val="26"/>
          <w:shd w:val="clear" w:color="auto" w:fill="FFFFFF"/>
        </w:rPr>
        <w:t xml:space="preserve"> by </w:t>
      </w:r>
      <w:r w:rsidRPr="0099367E">
        <w:rPr>
          <w:i/>
          <w:iCs/>
          <w:szCs w:val="26"/>
          <w:shd w:val="clear" w:color="auto" w:fill="FFFFFF"/>
        </w:rPr>
        <w:t>Estrada</w:t>
      </w:r>
      <w:r w:rsidRPr="0099367E">
        <w:rPr>
          <w:szCs w:val="26"/>
          <w:shd w:val="clear" w:color="auto" w:fill="FFFFFF"/>
        </w:rPr>
        <w:t xml:space="preserve"> and its progeny.  (See </w:t>
      </w:r>
      <w:r w:rsidRPr="0099367E">
        <w:rPr>
          <w:i/>
          <w:iCs/>
          <w:szCs w:val="26"/>
          <w:shd w:val="clear" w:color="auto" w:fill="FFFFFF"/>
        </w:rPr>
        <w:t>Tran</w:t>
      </w:r>
      <w:r w:rsidRPr="0099367E">
        <w:rPr>
          <w:szCs w:val="26"/>
          <w:shd w:val="clear" w:color="auto" w:fill="FFFFFF"/>
        </w:rPr>
        <w:t xml:space="preserve">, </w:t>
      </w:r>
      <w:r w:rsidRPr="0099367E">
        <w:rPr>
          <w:i/>
          <w:iCs/>
          <w:szCs w:val="26"/>
          <w:shd w:val="clear" w:color="auto" w:fill="FFFFFF"/>
        </w:rPr>
        <w:t>supra</w:t>
      </w:r>
      <w:r w:rsidRPr="0099367E">
        <w:rPr>
          <w:szCs w:val="26"/>
          <w:shd w:val="clear" w:color="auto" w:fill="FFFFFF"/>
        </w:rPr>
        <w:t>,</w:t>
      </w:r>
      <w:r w:rsidRPr="0099367E">
        <w:rPr>
          <w:i/>
          <w:iCs/>
          <w:szCs w:val="26"/>
          <w:shd w:val="clear" w:color="auto" w:fill="FFFFFF"/>
        </w:rPr>
        <w:t xml:space="preserve"> </w:t>
      </w:r>
      <w:r w:rsidRPr="0099367E">
        <w:rPr>
          <w:szCs w:val="26"/>
          <w:shd w:val="clear" w:color="auto" w:fill="FFFFFF"/>
        </w:rPr>
        <w:t>13</w:t>
      </w:r>
      <w:r w:rsidRPr="0099367E" w:rsidR="004C4694">
        <w:rPr>
          <w:szCs w:val="26"/>
          <w:shd w:val="clear" w:color="auto" w:fill="FFFFFF"/>
        </w:rPr>
        <w:t> </w:t>
      </w:r>
      <w:r w:rsidRPr="0099367E">
        <w:rPr>
          <w:szCs w:val="26"/>
          <w:shd w:val="clear" w:color="auto" w:fill="FFFFFF"/>
        </w:rPr>
        <w:t xml:space="preserve">Cal.5th at p. 1207, </w:t>
      </w:r>
      <w:r w:rsidR="00CA4C9A">
        <w:rPr>
          <w:szCs w:val="26"/>
          <w:shd w:val="clear" w:color="auto" w:fill="FFFFFF"/>
        </w:rPr>
        <w:t>quo</w:t>
      </w:r>
      <w:r w:rsidRPr="0099367E">
        <w:rPr>
          <w:szCs w:val="26"/>
          <w:shd w:val="clear" w:color="auto" w:fill="FFFFFF"/>
        </w:rPr>
        <w:t xml:space="preserve">ting </w:t>
      </w:r>
      <w:r w:rsidRPr="0099367E">
        <w:rPr>
          <w:i/>
          <w:iCs/>
          <w:szCs w:val="26"/>
          <w:shd w:val="clear" w:color="auto" w:fill="FFFFFF"/>
        </w:rPr>
        <w:t>Tapia</w:t>
      </w:r>
      <w:r w:rsidRPr="0099367E">
        <w:rPr>
          <w:szCs w:val="26"/>
          <w:shd w:val="clear" w:color="auto" w:fill="FFFFFF"/>
        </w:rPr>
        <w:t>, at p. 301 [“</w:t>
      </w:r>
      <w:r w:rsidRPr="0099367E">
        <w:rPr>
          <w:i/>
          <w:iCs/>
          <w:szCs w:val="26"/>
          <w:shd w:val="clear" w:color="auto" w:fill="FFFFFF"/>
        </w:rPr>
        <w:t>Estrada</w:t>
      </w:r>
      <w:r w:rsidRPr="0099367E">
        <w:rPr>
          <w:szCs w:val="26"/>
          <w:shd w:val="clear" w:color="auto" w:fill="FFFFFF"/>
        </w:rPr>
        <w:t xml:space="preserve"> applies to statutory amendments ‘which redefine, to the benefit of defendants, </w:t>
      </w:r>
      <w:r w:rsidRPr="0099367E">
        <w:rPr>
          <w:i/>
          <w:iCs/>
          <w:szCs w:val="26"/>
          <w:shd w:val="clear" w:color="auto" w:fill="FFFFFF"/>
        </w:rPr>
        <w:t>conduct subject to criminal sanctions</w:t>
      </w:r>
      <w:r w:rsidRPr="00A7390D">
        <w:rPr>
          <w:szCs w:val="26"/>
          <w:shd w:val="clear" w:color="auto" w:fill="FFFFFF"/>
        </w:rPr>
        <w:t>’</w:t>
      </w:r>
      <w:r w:rsidRPr="00C43CDC">
        <w:rPr>
          <w:szCs w:val="26"/>
          <w:shd w:val="clear" w:color="auto" w:fill="FFFFFF"/>
        </w:rPr>
        <w:t> </w:t>
      </w:r>
      <w:r w:rsidRPr="0099367E">
        <w:rPr>
          <w:szCs w:val="26"/>
          <w:shd w:val="clear" w:color="auto" w:fill="FFFFFF"/>
        </w:rPr>
        <w:t xml:space="preserve">” (italics added)].)  </w:t>
      </w:r>
      <w:r w:rsidRPr="0099367E">
        <w:t xml:space="preserve">Specifically, the statutory </w:t>
      </w:r>
      <w:r w:rsidRPr="0099367E" w:rsidR="00B66C10">
        <w:t>provisions</w:t>
      </w:r>
      <w:r w:rsidRPr="0099367E">
        <w:t xml:space="preserve"> found to operate retroactively in </w:t>
      </w:r>
      <w:r w:rsidRPr="0099367E">
        <w:rPr>
          <w:i/>
          <w:iCs/>
        </w:rPr>
        <w:t xml:space="preserve">Tapia </w:t>
      </w:r>
      <w:r w:rsidRPr="0099367E">
        <w:t>“provide</w:t>
      </w:r>
      <w:r w:rsidRPr="0099367E" w:rsidR="00D85477">
        <w:t>[]</w:t>
      </w:r>
      <w:r w:rsidRPr="0099367E">
        <w:t xml:space="preserve"> that the killing of a prosecutor or judge, to constitute a special circumstance, must be intentional” and “also provide</w:t>
      </w:r>
      <w:r w:rsidRPr="0099367E" w:rsidR="00D85477">
        <w:t>[]</w:t>
      </w:r>
      <w:r w:rsidRPr="0099367E">
        <w:t xml:space="preserve"> that an accomplice, for a non-felony-murder special circumstance to be found true, must have had the intent to kill.”  (</w:t>
      </w:r>
      <w:r w:rsidRPr="0099367E">
        <w:rPr>
          <w:i/>
          <w:iCs/>
        </w:rPr>
        <w:t>Tapia</w:t>
      </w:r>
      <w:r w:rsidRPr="0099367E">
        <w:t>, at p.</w:t>
      </w:r>
      <w:r w:rsidRPr="0099367E" w:rsidR="00356402">
        <w:t> </w:t>
      </w:r>
      <w:r w:rsidRPr="0099367E">
        <w:t xml:space="preserve">301.)  Section 1109, by contrast, does not create an affirmative defense, contract a criminal offense, or otherwise lessen punishment </w:t>
      </w:r>
      <w:r w:rsidRPr="0099367E" w:rsidR="00630E5F">
        <w:t xml:space="preserve">by redefining the law’s treatment of </w:t>
      </w:r>
      <w:r w:rsidRPr="0099367E" w:rsidR="000933ED">
        <w:t xml:space="preserve">a </w:t>
      </w:r>
      <w:r w:rsidRPr="0099367E" w:rsidR="00630E5F">
        <w:t>defendant’s conduct</w:t>
      </w:r>
      <w:r w:rsidRPr="0099367E">
        <w:t xml:space="preserve">.  </w:t>
      </w:r>
      <w:r w:rsidR="007C1AB3">
        <w:t>There is no basis in our case law for inferring that the Legislature intended a rule about the conduct of trials to apply retroactively to cases that have already been tried, absent a clear indication to that effect.</w:t>
      </w:r>
    </w:p>
    <w:p w:rsidR="00114839" w:rsidRPr="0099367E" w:rsidP="00C06DCD" w14:paraId="1D81A2BD" w14:textId="77777777">
      <w:pPr>
        <w:tabs>
          <w:tab w:val="left" w:pos="720"/>
        </w:tabs>
        <w:ind w:firstLine="720"/>
      </w:pPr>
      <w:r w:rsidRPr="0099367E">
        <w:t>It is</w:t>
      </w:r>
      <w:r w:rsidRPr="0099367E" w:rsidR="00215A88">
        <w:t>,</w:t>
      </w:r>
      <w:r w:rsidRPr="0099367E">
        <w:t xml:space="preserve"> of course</w:t>
      </w:r>
      <w:r w:rsidRPr="0099367E" w:rsidR="00215A88">
        <w:t>,</w:t>
      </w:r>
      <w:r w:rsidRPr="0099367E">
        <w:t xml:space="preserve"> true that procedures designed to enhance the fairness and accuracy of particular proceedings might indirectly result in reduced </w:t>
      </w:r>
      <w:r w:rsidRPr="0099367E" w:rsidR="00215A88">
        <w:t>punishment for individual offenders, insofar as the procedures might increase the chances of acquittal.  But</w:t>
      </w:r>
      <w:r w:rsidRPr="0099367E" w:rsidR="009D0CF6">
        <w:t xml:space="preserve"> </w:t>
      </w:r>
      <w:r w:rsidRPr="0099367E" w:rsidR="00081652">
        <w:t xml:space="preserve">the question </w:t>
      </w:r>
      <w:r w:rsidRPr="0099367E" w:rsidR="00820F78">
        <w:t xml:space="preserve">before us </w:t>
      </w:r>
      <w:r w:rsidRPr="0099367E" w:rsidR="00081652">
        <w:t xml:space="preserve">is whether </w:t>
      </w:r>
      <w:r w:rsidRPr="0099367E" w:rsidR="00820F78">
        <w:t>section 1109</w:t>
      </w:r>
      <w:r w:rsidRPr="0099367E" w:rsidR="000B307F">
        <w:t xml:space="preserve"> constitutes a change within the meaning and logic of </w:t>
      </w:r>
      <w:r w:rsidRPr="0099367E" w:rsidR="000B307F">
        <w:rPr>
          <w:i/>
          <w:iCs/>
        </w:rPr>
        <w:t>Estrada</w:t>
      </w:r>
      <w:r w:rsidRPr="0099367E" w:rsidR="000B307F">
        <w:t>, and</w:t>
      </w:r>
      <w:r w:rsidRPr="0099367E" w:rsidR="000B307F">
        <w:rPr>
          <w:i/>
          <w:iCs/>
        </w:rPr>
        <w:t xml:space="preserve"> </w:t>
      </w:r>
      <w:r w:rsidRPr="0099367E" w:rsidR="009D0CF6">
        <w:t xml:space="preserve">we have not previously applied the </w:t>
      </w:r>
      <w:r w:rsidRPr="0099367E" w:rsidR="009D0CF6">
        <w:rPr>
          <w:i/>
          <w:iCs/>
        </w:rPr>
        <w:t xml:space="preserve">Estrada </w:t>
      </w:r>
      <w:r w:rsidRPr="0099367E" w:rsidR="009D0CF6">
        <w:t xml:space="preserve">inference so broadly.  </w:t>
      </w:r>
      <w:r w:rsidRPr="0099367E" w:rsidR="00C274F4">
        <w:t>As the dissent</w:t>
      </w:r>
      <w:r w:rsidRPr="0099367E" w:rsidR="004F5BA8">
        <w:t>ing Court of Appeal justice</w:t>
      </w:r>
      <w:r w:rsidRPr="0099367E" w:rsidR="00C274F4">
        <w:t xml:space="preserve"> aptly put it, </w:t>
      </w:r>
      <w:r w:rsidRPr="0099367E" w:rsidR="008F6A3E">
        <w:t xml:space="preserve">“Although the Legislature expressly intended section 1109 to enhance the fairness of future proceedings, there is a manifest distinction between the Legislature’s creation of new criminal procedures designed to enhance fairness and its enactment of provisions that reduce the possibility of punishment.  The underlying rationale for the </w:t>
      </w:r>
      <w:r w:rsidRPr="0099367E" w:rsidR="008F6A3E">
        <w:rPr>
          <w:i/>
          <w:iCs/>
        </w:rPr>
        <w:t>Estrada</w:t>
      </w:r>
      <w:r w:rsidRPr="0099367E" w:rsidR="008F6A3E">
        <w:t xml:space="preserve"> rule is to avoid the inference that the Legislature was bent on vengeance.  No such inference arises from the nonretroactivity of section 1109’s provisions.  Instead, the Legislature has clearly decided that these new procedures offer a better way to avoid the risk of undue prejudice than the previous procedures of discretionary bifurcation coupled with restrictive jury instructions.”</w:t>
      </w:r>
      <w:r w:rsidRPr="0099367E" w:rsidR="00842F61">
        <w:t xml:space="preserve">  (</w:t>
      </w:r>
      <w:r w:rsidRPr="0099367E" w:rsidR="00842F61">
        <w:rPr>
          <w:i/>
          <w:iCs/>
        </w:rPr>
        <w:t>Burgos</w:t>
      </w:r>
      <w:r w:rsidRPr="0099367E" w:rsidR="00842F61">
        <w:t xml:space="preserve">, </w:t>
      </w:r>
      <w:r w:rsidRPr="0099367E" w:rsidR="00842F61">
        <w:rPr>
          <w:i/>
          <w:iCs/>
        </w:rPr>
        <w:t>supra</w:t>
      </w:r>
      <w:r w:rsidRPr="0099367E" w:rsidR="00842F61">
        <w:t>, 77</w:t>
      </w:r>
      <w:r w:rsidRPr="0099367E" w:rsidR="004C4694">
        <w:t> </w:t>
      </w:r>
      <w:r w:rsidRPr="0099367E" w:rsidR="00842F61">
        <w:t>Cal.App.5th at pp.</w:t>
      </w:r>
      <w:r w:rsidRPr="0099367E" w:rsidR="00500885">
        <w:t> </w:t>
      </w:r>
      <w:r w:rsidRPr="0099367E" w:rsidR="00842F61">
        <w:t xml:space="preserve">573–574 </w:t>
      </w:r>
      <w:r w:rsidRPr="0099367E" w:rsidR="004D2FB3">
        <w:t>(</w:t>
      </w:r>
      <w:r w:rsidRPr="0099367E" w:rsidR="00842F61">
        <w:t>dis. opn. of Elia, J.</w:t>
      </w:r>
      <w:r w:rsidRPr="0099367E" w:rsidR="004D2FB3">
        <w:t>)</w:t>
      </w:r>
      <w:r w:rsidRPr="0099367E" w:rsidR="00842F61">
        <w:t>.)</w:t>
      </w:r>
      <w:r w:rsidRPr="0099367E" w:rsidR="0052455B">
        <w:t xml:space="preserve">  </w:t>
      </w:r>
      <w:r w:rsidRPr="0099367E" w:rsidR="001553C6">
        <w:t xml:space="preserve">To hold that </w:t>
      </w:r>
      <w:r w:rsidRPr="0099367E" w:rsidR="007975E5">
        <w:rPr>
          <w:i/>
          <w:iCs/>
        </w:rPr>
        <w:t>any</w:t>
      </w:r>
      <w:r w:rsidRPr="0099367E" w:rsidR="007975E5">
        <w:t xml:space="preserve"> new procedur</w:t>
      </w:r>
      <w:r w:rsidRPr="0099367E" w:rsidR="00FC2F07">
        <w:t>es</w:t>
      </w:r>
      <w:r w:rsidRPr="0099367E" w:rsidR="007975E5">
        <w:t xml:space="preserve"> which </w:t>
      </w:r>
      <w:r w:rsidRPr="0099367E" w:rsidR="007975E5">
        <w:rPr>
          <w:i/>
          <w:iCs/>
        </w:rPr>
        <w:t xml:space="preserve">could </w:t>
      </w:r>
      <w:r w:rsidRPr="0099367E" w:rsidR="007975E5">
        <w:t>inure to a defendant’s benefit</w:t>
      </w:r>
      <w:r w:rsidRPr="0099367E" w:rsidR="009A5686">
        <w:t xml:space="preserve"> come within the </w:t>
      </w:r>
      <w:r w:rsidRPr="0099367E" w:rsidR="009A5686">
        <w:rPr>
          <w:i/>
          <w:iCs/>
        </w:rPr>
        <w:t>Estrada</w:t>
      </w:r>
      <w:r w:rsidRPr="0099367E" w:rsidR="009A5686">
        <w:t xml:space="preserve"> exception to section 3’s default rule</w:t>
      </w:r>
      <w:r w:rsidRPr="0099367E" w:rsidR="00413907">
        <w:t xml:space="preserve"> on that basis alone</w:t>
      </w:r>
      <w:r w:rsidRPr="0099367E" w:rsidR="009A5686">
        <w:t xml:space="preserve"> </w:t>
      </w:r>
      <w:r w:rsidRPr="0099367E" w:rsidR="00473FDA">
        <w:t xml:space="preserve">is not a “logical extension of </w:t>
      </w:r>
      <w:r w:rsidRPr="0099367E" w:rsidR="00473FDA">
        <w:rPr>
          <w:i/>
          <w:iCs/>
        </w:rPr>
        <w:t>Estrada</w:t>
      </w:r>
      <w:r w:rsidRPr="0099367E" w:rsidR="00473FDA">
        <w:t xml:space="preserve">’s reasoning” and </w:t>
      </w:r>
      <w:r w:rsidRPr="0099367E" w:rsidR="009A5686">
        <w:t xml:space="preserve">would represent a significant expansion of </w:t>
      </w:r>
      <w:r w:rsidRPr="0099367E" w:rsidR="00577455">
        <w:rPr>
          <w:i/>
          <w:iCs/>
        </w:rPr>
        <w:t>Estrada</w:t>
      </w:r>
      <w:r w:rsidRPr="0099367E" w:rsidR="006D330C">
        <w:t xml:space="preserve">’s scope of operation “in precisely the manner we </w:t>
      </w:r>
      <w:r w:rsidRPr="0099367E" w:rsidR="00C47DD1">
        <w:t xml:space="preserve">[previously] </w:t>
      </w:r>
      <w:r w:rsidRPr="0099367E" w:rsidR="006D330C">
        <w:t>forbade</w:t>
      </w:r>
      <w:r w:rsidRPr="0099367E" w:rsidR="00B13D49">
        <w:t>.</w:t>
      </w:r>
      <w:r w:rsidRPr="0099367E" w:rsidR="006D330C">
        <w:t xml:space="preserve">” </w:t>
      </w:r>
      <w:r w:rsidRPr="0099367E" w:rsidR="00496E1F">
        <w:t xml:space="preserve"> (</w:t>
      </w:r>
      <w:r w:rsidRPr="0099367E" w:rsidR="00496E1F">
        <w:rPr>
          <w:i/>
          <w:iCs/>
        </w:rPr>
        <w:t>Brown</w:t>
      </w:r>
      <w:r w:rsidRPr="0099367E" w:rsidR="00496E1F">
        <w:t xml:space="preserve">, </w:t>
      </w:r>
      <w:r w:rsidRPr="0099367E" w:rsidR="00496E1F">
        <w:rPr>
          <w:i/>
          <w:iCs/>
        </w:rPr>
        <w:t>supra</w:t>
      </w:r>
      <w:r w:rsidRPr="0099367E" w:rsidR="00496E1F">
        <w:t>, 54</w:t>
      </w:r>
      <w:r w:rsidRPr="0099367E" w:rsidR="004C4694">
        <w:t> </w:t>
      </w:r>
      <w:r w:rsidRPr="0099367E" w:rsidR="00496E1F">
        <w:t>Cal.4th at p.</w:t>
      </w:r>
      <w:r w:rsidRPr="0099367E" w:rsidR="00500885">
        <w:t> </w:t>
      </w:r>
      <w:r w:rsidRPr="0099367E" w:rsidR="00C512EF">
        <w:t>325.)</w:t>
      </w:r>
      <w:r w:rsidRPr="0099367E">
        <w:rPr>
          <w:szCs w:val="26"/>
          <w:shd w:val="clear" w:color="auto" w:fill="FFFFFF"/>
        </w:rPr>
        <w:t xml:space="preserve">  </w:t>
      </w:r>
    </w:p>
    <w:p w:rsidR="00042CDB" w:rsidRPr="0099367E" w:rsidP="00C06DCD" w14:paraId="1D81A2BE" w14:textId="77777777">
      <w:pPr>
        <w:tabs>
          <w:tab w:val="left" w:pos="720"/>
        </w:tabs>
        <w:ind w:firstLine="720"/>
      </w:pPr>
      <w:r w:rsidRPr="0099367E">
        <w:t>D</w:t>
      </w:r>
      <w:r w:rsidRPr="0099367E" w:rsidR="00FF16F8">
        <w:t xml:space="preserve">efendants also </w:t>
      </w:r>
      <w:r w:rsidRPr="0099367E" w:rsidR="00B878EC">
        <w:t>assert</w:t>
      </w:r>
      <w:r w:rsidRPr="0099367E" w:rsidR="00FF16F8">
        <w:t xml:space="preserve"> that the retroactivity of Assembly Bill 333 should be considered as a whole</w:t>
      </w:r>
      <w:r w:rsidRPr="0099367E" w:rsidR="001B7FBF">
        <w:t xml:space="preserve">.  Because the legislative findings </w:t>
      </w:r>
      <w:r w:rsidRPr="0099367E" w:rsidR="00380693">
        <w:t>pertain to the entirety of</w:t>
      </w:r>
      <w:r w:rsidRPr="0099367E" w:rsidR="001B7FBF">
        <w:t xml:space="preserve"> </w:t>
      </w:r>
      <w:r w:rsidRPr="0099367E" w:rsidR="00D26AFF">
        <w:t xml:space="preserve">the bill and </w:t>
      </w:r>
      <w:r w:rsidRPr="0099367E" w:rsidR="003B452E">
        <w:t xml:space="preserve">it is undisputed that </w:t>
      </w:r>
      <w:r w:rsidRPr="0099367E" w:rsidR="00380693">
        <w:t>the amendments to section 186.22</w:t>
      </w:r>
      <w:r w:rsidRPr="0099367E" w:rsidR="00D26AFF">
        <w:t xml:space="preserve"> have retroactive application, defendants argue, </w:t>
      </w:r>
      <w:r w:rsidRPr="0099367E" w:rsidR="00380693">
        <w:t xml:space="preserve">section 1109’s provisions </w:t>
      </w:r>
      <w:r w:rsidRPr="0099367E" w:rsidR="00911FBC">
        <w:t xml:space="preserve">should also apply retroactively.  </w:t>
      </w:r>
      <w:r w:rsidRPr="0099367E" w:rsidR="008D1601">
        <w:t xml:space="preserve">But </w:t>
      </w:r>
      <w:r w:rsidRPr="0099367E" w:rsidR="006B5E2B">
        <w:t xml:space="preserve">most of </w:t>
      </w:r>
      <w:r w:rsidRPr="0099367E" w:rsidR="0038328F">
        <w:t xml:space="preserve">the findings relate </w:t>
      </w:r>
      <w:r w:rsidRPr="0099367E" w:rsidR="00E02E33">
        <w:t xml:space="preserve">to the </w:t>
      </w:r>
      <w:r w:rsidRPr="0099367E" w:rsidR="00957033">
        <w:t>former gang enhancement provisions, not</w:t>
      </w:r>
      <w:r w:rsidRPr="0099367E" w:rsidR="0038328F">
        <w:t xml:space="preserve"> </w:t>
      </w:r>
      <w:r w:rsidRPr="0099367E" w:rsidR="00957033">
        <w:t xml:space="preserve">discretionary </w:t>
      </w:r>
      <w:r w:rsidRPr="0099367E" w:rsidR="0038328F">
        <w:t>bifurcation</w:t>
      </w:r>
      <w:r w:rsidRPr="0099367E" w:rsidR="00384192">
        <w:t xml:space="preserve">.  </w:t>
      </w:r>
      <w:r w:rsidRPr="0099367E" w:rsidR="00A61F6F">
        <w:t>Moreover, we do not examine retroactivity at the level of the entire enactment</w:t>
      </w:r>
      <w:r w:rsidRPr="0099367E" w:rsidR="002F4DAA">
        <w:t xml:space="preserve">.  We </w:t>
      </w:r>
      <w:r w:rsidRPr="0099367E" w:rsidR="00541157">
        <w:t xml:space="preserve">focus on the nature of each </w:t>
      </w:r>
      <w:r w:rsidRPr="0099367E" w:rsidR="007A4F6B">
        <w:t xml:space="preserve">provision </w:t>
      </w:r>
      <w:r w:rsidRPr="0099367E" w:rsidR="00F0796D">
        <w:t>rather than its company</w:t>
      </w:r>
      <w:r w:rsidRPr="0099367E" w:rsidR="008D1601">
        <w:t>.  (</w:t>
      </w:r>
      <w:r w:rsidRPr="0099367E" w:rsidR="00544946">
        <w:t>E</w:t>
      </w:r>
      <w:r w:rsidRPr="0099367E" w:rsidR="008D1601">
        <w:t xml:space="preserve">.g., </w:t>
      </w:r>
      <w:r w:rsidRPr="0099367E" w:rsidR="008D1601">
        <w:rPr>
          <w:i/>
          <w:iCs/>
        </w:rPr>
        <w:t>Tapia</w:t>
      </w:r>
      <w:r w:rsidRPr="0099367E" w:rsidR="002C2856">
        <w:t xml:space="preserve">, </w:t>
      </w:r>
      <w:r w:rsidRPr="0099367E" w:rsidR="002C2856">
        <w:rPr>
          <w:i/>
          <w:iCs/>
        </w:rPr>
        <w:t>supra</w:t>
      </w:r>
      <w:r w:rsidRPr="0099367E" w:rsidR="002C2856">
        <w:t>,</w:t>
      </w:r>
      <w:r w:rsidRPr="0099367E" w:rsidR="001F258A">
        <w:t xml:space="preserve"> </w:t>
      </w:r>
      <w:r w:rsidRPr="0099367E" w:rsidR="008D1601">
        <w:t>53</w:t>
      </w:r>
      <w:r w:rsidRPr="0099367E" w:rsidR="009473E4">
        <w:t> </w:t>
      </w:r>
      <w:r w:rsidRPr="0099367E" w:rsidR="008D1601">
        <w:t xml:space="preserve">Cal.3d </w:t>
      </w:r>
      <w:r w:rsidRPr="0099367E" w:rsidR="002C2856">
        <w:t>at p</w:t>
      </w:r>
      <w:r w:rsidRPr="0099367E" w:rsidR="00971615">
        <w:t>p</w:t>
      </w:r>
      <w:r w:rsidRPr="0099367E" w:rsidR="002C2856">
        <w:t>.</w:t>
      </w:r>
      <w:r w:rsidRPr="0099367E" w:rsidR="001F258A">
        <w:t> </w:t>
      </w:r>
      <w:r w:rsidRPr="0099367E" w:rsidR="008D1601">
        <w:t>286</w:t>
      </w:r>
      <w:r w:rsidRPr="0099367E" w:rsidR="00971615">
        <w:t>, 289, 301</w:t>
      </w:r>
      <w:r w:rsidRPr="0099367E" w:rsidR="007D6F4D">
        <w:t xml:space="preserve">; </w:t>
      </w:r>
      <w:r w:rsidRPr="0099367E" w:rsidR="007D6F4D">
        <w:rPr>
          <w:i/>
          <w:iCs/>
        </w:rPr>
        <w:t>Francis</w:t>
      </w:r>
      <w:r w:rsidRPr="0099367E" w:rsidR="007D6F4D">
        <w:t xml:space="preserve">, </w:t>
      </w:r>
      <w:r w:rsidRPr="0099367E" w:rsidR="007D6F4D">
        <w:rPr>
          <w:i/>
          <w:iCs/>
        </w:rPr>
        <w:t>supra</w:t>
      </w:r>
      <w:r w:rsidRPr="0099367E" w:rsidR="007D6F4D">
        <w:t>, 71</w:t>
      </w:r>
      <w:r w:rsidRPr="0099367E" w:rsidR="009473E4">
        <w:t> </w:t>
      </w:r>
      <w:r w:rsidRPr="0099367E" w:rsidR="007D6F4D">
        <w:t>Cal.</w:t>
      </w:r>
      <w:r w:rsidRPr="0099367E" w:rsidR="006E257E">
        <w:t>2</w:t>
      </w:r>
      <w:r w:rsidRPr="0099367E" w:rsidR="007D6F4D">
        <w:t>d at p.</w:t>
      </w:r>
      <w:r w:rsidRPr="0099367E" w:rsidR="001F258A">
        <w:t> </w:t>
      </w:r>
      <w:r w:rsidRPr="0099367E" w:rsidR="00855932">
        <w:t>78 [rejecting argument that legislative intent applicable to chaptere</w:t>
      </w:r>
      <w:r w:rsidRPr="0099367E" w:rsidR="00892EA5">
        <w:t xml:space="preserve">d laws </w:t>
      </w:r>
      <w:r w:rsidRPr="0099367E" w:rsidR="00043F21">
        <w:t>“</w:t>
      </w:r>
      <w:r w:rsidRPr="0099367E" w:rsidR="00892EA5">
        <w:t xml:space="preserve">is </w:t>
      </w:r>
      <w:r w:rsidRPr="0099367E" w:rsidR="00043F21">
        <w:t>‘</w:t>
      </w:r>
      <w:r w:rsidRPr="0099367E" w:rsidR="00892EA5">
        <w:t>presumptively the same</w:t>
      </w:r>
      <w:r w:rsidRPr="0099367E" w:rsidR="00043F21">
        <w:t>’ </w:t>
      </w:r>
      <w:r w:rsidRPr="0099367E" w:rsidR="00E900A8">
        <w:t>”</w:t>
      </w:r>
      <w:r w:rsidRPr="0099367E" w:rsidR="00043F21">
        <w:t>; to the contrary, “the Legislature manifestly could have different inten</w:t>
      </w:r>
      <w:r w:rsidRPr="0099367E" w:rsidR="007657B0">
        <w:t>t</w:t>
      </w:r>
      <w:r w:rsidRPr="0099367E" w:rsidR="00043F21">
        <w:t>s with respect to different sections contained in one chapter”</w:t>
      </w:r>
      <w:r w:rsidRPr="0099367E" w:rsidR="00E900A8">
        <w:t>]</w:t>
      </w:r>
      <w:r w:rsidRPr="0099367E" w:rsidR="00127A47">
        <w:t xml:space="preserve">; </w:t>
      </w:r>
      <w:r w:rsidRPr="0099367E" w:rsidR="00127A47">
        <w:rPr>
          <w:i/>
          <w:iCs/>
        </w:rPr>
        <w:t>Burgos</w:t>
      </w:r>
      <w:r w:rsidRPr="0099367E" w:rsidR="00127A47">
        <w:t xml:space="preserve">, </w:t>
      </w:r>
      <w:r w:rsidRPr="0099367E" w:rsidR="00127A47">
        <w:rPr>
          <w:i/>
          <w:iCs/>
        </w:rPr>
        <w:t>supra</w:t>
      </w:r>
      <w:r w:rsidRPr="0099367E" w:rsidR="00127A47">
        <w:t xml:space="preserve">, </w:t>
      </w:r>
      <w:r w:rsidRPr="0099367E" w:rsidR="00B403BE">
        <w:t>77</w:t>
      </w:r>
      <w:r w:rsidRPr="0099367E" w:rsidR="009473E4">
        <w:t> </w:t>
      </w:r>
      <w:r w:rsidRPr="0099367E" w:rsidR="00B403BE">
        <w:t>Cal.App.5th at p. 5</w:t>
      </w:r>
      <w:r w:rsidRPr="0099367E" w:rsidR="0028555B">
        <w:t>73</w:t>
      </w:r>
      <w:r w:rsidRPr="0099367E" w:rsidR="00B403BE">
        <w:t xml:space="preserve"> (dis. opn. of Elia, J.)</w:t>
      </w:r>
      <w:r w:rsidRPr="0099367E" w:rsidR="002A7D65">
        <w:t xml:space="preserve"> [</w:t>
      </w:r>
      <w:r w:rsidRPr="0099367E" w:rsidR="00570774">
        <w:t>“</w:t>
      </w:r>
      <w:r w:rsidRPr="0099367E" w:rsidR="002A7D65">
        <w:t xml:space="preserve">Many legislative bills amend numerous (sometimes hundreds of) statutes, and whether a specific amendatory statute is subject to the </w:t>
      </w:r>
      <w:r w:rsidRPr="0099367E" w:rsidR="002A7D65">
        <w:rPr>
          <w:i/>
          <w:iCs/>
        </w:rPr>
        <w:t>Estrada</w:t>
      </w:r>
      <w:r w:rsidRPr="0099367E" w:rsidR="002A7D65">
        <w:t xml:space="preserve"> rule depends on the nature of the amendment, not the mere fact that the amendment was enacted in the company of other amendments in a single legislative bill”]</w:t>
      </w:r>
      <w:r w:rsidRPr="0099367E" w:rsidR="008D1601">
        <w:t xml:space="preserve">.)  </w:t>
      </w:r>
      <w:r w:rsidRPr="0099367E" w:rsidR="00F45C45">
        <w:t xml:space="preserve">The mere placement of multiple provisions in a single bill does not provide a “clear and compelling implication” that the Legislature intended </w:t>
      </w:r>
      <w:r w:rsidRPr="0099367E" w:rsidR="00FA6523">
        <w:t xml:space="preserve">all would have </w:t>
      </w:r>
      <w:r w:rsidRPr="0099367E" w:rsidR="00F45C45">
        <w:t>retroactive application.  (</w:t>
      </w:r>
      <w:r w:rsidRPr="0099367E" w:rsidR="00F45C45">
        <w:rPr>
          <w:i/>
          <w:iCs/>
        </w:rPr>
        <w:t>Hayes</w:t>
      </w:r>
      <w:r w:rsidRPr="0099367E" w:rsidR="00F45C45">
        <w:t xml:space="preserve">, </w:t>
      </w:r>
      <w:r w:rsidRPr="0099367E" w:rsidR="00F45C45">
        <w:rPr>
          <w:i/>
          <w:iCs/>
        </w:rPr>
        <w:t>supra</w:t>
      </w:r>
      <w:r w:rsidRPr="0099367E" w:rsidR="00F45C45">
        <w:t>, 49</w:t>
      </w:r>
      <w:r w:rsidRPr="0099367E" w:rsidR="009473E4">
        <w:t> </w:t>
      </w:r>
      <w:r w:rsidRPr="0099367E" w:rsidR="00F45C45">
        <w:t>Cal.3d at p.</w:t>
      </w:r>
      <w:r w:rsidRPr="0099367E" w:rsidR="001F258A">
        <w:t> </w:t>
      </w:r>
      <w:r w:rsidRPr="0099367E" w:rsidR="00F45C45">
        <w:t xml:space="preserve">1274.)  </w:t>
      </w:r>
      <w:r w:rsidRPr="0099367E" w:rsidR="00ED294A">
        <w:t>Accor</w:t>
      </w:r>
      <w:r w:rsidRPr="0099367E" w:rsidR="00EE6A72">
        <w:t xml:space="preserve">dingly, </w:t>
      </w:r>
      <w:r w:rsidRPr="0099367E" w:rsidR="00700A91">
        <w:t xml:space="preserve">in the face of the Legislature’s silence regarding Assembly Bill </w:t>
      </w:r>
      <w:r w:rsidRPr="0099367E" w:rsidR="00793C5B">
        <w:t xml:space="preserve">333’s application, </w:t>
      </w:r>
      <w:r w:rsidR="009F6406">
        <w:t>we</w:t>
      </w:r>
      <w:r w:rsidRPr="0099367E" w:rsidR="00995A85">
        <w:t xml:space="preserve"> conclude</w:t>
      </w:r>
      <w:r w:rsidRPr="0099367E" w:rsidR="00813964">
        <w:t xml:space="preserve"> that</w:t>
      </w:r>
      <w:r w:rsidRPr="0099367E" w:rsidR="00567A56">
        <w:t xml:space="preserve"> </w:t>
      </w:r>
      <w:r w:rsidRPr="0099367E" w:rsidR="00917A3C">
        <w:rPr>
          <w:i/>
          <w:iCs/>
        </w:rPr>
        <w:t>Estrada</w:t>
      </w:r>
      <w:r w:rsidRPr="0099367E" w:rsidR="00995A85">
        <w:t>’s</w:t>
      </w:r>
      <w:r w:rsidRPr="0099367E" w:rsidR="00917A3C">
        <w:rPr>
          <w:i/>
          <w:iCs/>
        </w:rPr>
        <w:t xml:space="preserve"> </w:t>
      </w:r>
      <w:r w:rsidRPr="0099367E" w:rsidR="00917A3C">
        <w:t xml:space="preserve">inference of retroactivity applies </w:t>
      </w:r>
      <w:r w:rsidRPr="0099367E" w:rsidR="00995A85">
        <w:t xml:space="preserve">to </w:t>
      </w:r>
      <w:r w:rsidR="003824F4">
        <w:t xml:space="preserve">the punishment-mitigating changes to </w:t>
      </w:r>
      <w:r w:rsidRPr="0099367E" w:rsidR="00567A56">
        <w:t>section 186.</w:t>
      </w:r>
      <w:r w:rsidRPr="0099367E" w:rsidR="00917A3C">
        <w:t>22</w:t>
      </w:r>
      <w:r w:rsidRPr="0099367E" w:rsidR="00995A85">
        <w:t>,</w:t>
      </w:r>
      <w:r w:rsidRPr="0099367E" w:rsidR="00793C5B">
        <w:t xml:space="preserve"> </w:t>
      </w:r>
      <w:r w:rsidRPr="0099367E" w:rsidR="00917A3C">
        <w:t xml:space="preserve">but not </w:t>
      </w:r>
      <w:r w:rsidR="003824F4">
        <w:t xml:space="preserve">provisions governing the conduct of trial in </w:t>
      </w:r>
      <w:r w:rsidRPr="0099367E" w:rsidR="00EE6A72">
        <w:t>section 1109.  (</w:t>
      </w:r>
      <w:r w:rsidRPr="0099367E" w:rsidR="0079160B">
        <w:t xml:space="preserve">See </w:t>
      </w:r>
      <w:r w:rsidRPr="0099367E" w:rsidR="00EE6A72">
        <w:rPr>
          <w:i/>
          <w:iCs/>
        </w:rPr>
        <w:t>Brown</w:t>
      </w:r>
      <w:r w:rsidRPr="0099367E" w:rsidR="00EE6A72">
        <w:t xml:space="preserve">, </w:t>
      </w:r>
      <w:r w:rsidRPr="0099367E" w:rsidR="00EE6A72">
        <w:rPr>
          <w:i/>
          <w:iCs/>
        </w:rPr>
        <w:t>supra</w:t>
      </w:r>
      <w:r w:rsidRPr="0099367E" w:rsidR="00EE6A72">
        <w:t>, 54</w:t>
      </w:r>
      <w:r w:rsidRPr="0099367E" w:rsidR="009473E4">
        <w:t> </w:t>
      </w:r>
      <w:r w:rsidRPr="0099367E" w:rsidR="00EE6A72">
        <w:t>Cal.4th at p.</w:t>
      </w:r>
      <w:r w:rsidRPr="0099367E" w:rsidR="00E948C4">
        <w:t> </w:t>
      </w:r>
      <w:r w:rsidRPr="0099367E" w:rsidR="00EE6A72">
        <w:t xml:space="preserve">322 [when statutory language does not clearly support interpretation of retroactive application, courts must “resolve such ambiguities in favor of prospective operation,” which “is precisely the function of section 3 and the default rule it embodies”].)  </w:t>
      </w:r>
    </w:p>
    <w:p w:rsidR="0007509D" w:rsidRPr="0099367E" w:rsidP="00C06DCD" w14:paraId="1D81A2BF" w14:textId="77777777">
      <w:pPr>
        <w:tabs>
          <w:tab w:val="left" w:pos="720"/>
        </w:tabs>
        <w:ind w:firstLine="720"/>
      </w:pPr>
      <w:r w:rsidRPr="0099367E">
        <w:t xml:space="preserve">In sum, </w:t>
      </w:r>
      <w:r w:rsidRPr="0099367E" w:rsidR="006378C8">
        <w:t xml:space="preserve">we </w:t>
      </w:r>
      <w:r w:rsidRPr="0099367E">
        <w:t xml:space="preserve">see no justification </w:t>
      </w:r>
      <w:r w:rsidRPr="0099367E" w:rsidR="00E052A8">
        <w:t xml:space="preserve">in </w:t>
      </w:r>
      <w:r w:rsidRPr="0099367E" w:rsidR="00E052A8">
        <w:rPr>
          <w:i/>
          <w:iCs/>
        </w:rPr>
        <w:t xml:space="preserve">Estrada </w:t>
      </w:r>
      <w:r w:rsidRPr="0099367E" w:rsidR="00E052A8">
        <w:t xml:space="preserve">and its progeny for applying the </w:t>
      </w:r>
      <w:r w:rsidRPr="0099367E" w:rsidR="00E052A8">
        <w:rPr>
          <w:i/>
          <w:iCs/>
        </w:rPr>
        <w:t xml:space="preserve">Estrada </w:t>
      </w:r>
      <w:r w:rsidRPr="0099367E" w:rsidR="00E052A8">
        <w:t xml:space="preserve">inference </w:t>
      </w:r>
      <w:r w:rsidRPr="0099367E" w:rsidR="00282DA0">
        <w:t xml:space="preserve">of retroactivity </w:t>
      </w:r>
      <w:r w:rsidRPr="0099367E" w:rsidR="00E052A8">
        <w:t xml:space="preserve">to section 1109.  </w:t>
      </w:r>
      <w:r w:rsidRPr="0099367E" w:rsidR="006378C8">
        <w:t xml:space="preserve">We </w:t>
      </w:r>
      <w:r w:rsidRPr="0099367E" w:rsidR="00E052A8">
        <w:t xml:space="preserve">therefore turn to </w:t>
      </w:r>
      <w:r w:rsidRPr="0099367E" w:rsidR="009C57C0">
        <w:t>B</w:t>
      </w:r>
      <w:r w:rsidRPr="0099367E" w:rsidR="002E3AC2">
        <w:t>urgos’s</w:t>
      </w:r>
      <w:r w:rsidRPr="0099367E" w:rsidR="009C57C0">
        <w:t xml:space="preserve"> alternative</w:t>
      </w:r>
      <w:r w:rsidRPr="0099367E" w:rsidR="002E3AC2">
        <w:t xml:space="preserve"> </w:t>
      </w:r>
      <w:r w:rsidRPr="0099367E" w:rsidR="00E052A8">
        <w:t xml:space="preserve">claim that equal protection principles require </w:t>
      </w:r>
      <w:r w:rsidRPr="0099367E" w:rsidR="00F45735">
        <w:t xml:space="preserve">the statute to be applied </w:t>
      </w:r>
      <w:r w:rsidRPr="0099367E" w:rsidR="00E052A8">
        <w:t>retroacti</w:t>
      </w:r>
      <w:r w:rsidRPr="0099367E" w:rsidR="00F45735">
        <w:t>vely</w:t>
      </w:r>
      <w:r w:rsidRPr="0099367E" w:rsidR="00E052A8">
        <w:t>.</w:t>
      </w:r>
    </w:p>
    <w:p w:rsidR="000B03B9" w:rsidRPr="0099367E" w:rsidP="00C06DCD" w14:paraId="1D81A2C0" w14:textId="77777777">
      <w:pPr>
        <w:pStyle w:val="Heading2"/>
        <w:numPr>
          <w:ilvl w:val="0"/>
          <w:numId w:val="5"/>
        </w:numPr>
      </w:pPr>
      <w:r w:rsidRPr="0099367E">
        <w:t xml:space="preserve">Prospective Application </w:t>
      </w:r>
      <w:r w:rsidRPr="0099367E" w:rsidR="000372D9">
        <w:t>o</w:t>
      </w:r>
      <w:r w:rsidRPr="0099367E">
        <w:t xml:space="preserve">f Section 1109 </w:t>
      </w:r>
      <w:r w:rsidRPr="0099367E" w:rsidR="00E72933">
        <w:t>D</w:t>
      </w:r>
      <w:r w:rsidRPr="0099367E">
        <w:t xml:space="preserve">oes </w:t>
      </w:r>
      <w:r w:rsidRPr="0099367E" w:rsidR="00E72933">
        <w:t>N</w:t>
      </w:r>
      <w:r w:rsidRPr="0099367E">
        <w:t>ot Violate Equal Protection Principles</w:t>
      </w:r>
    </w:p>
    <w:p w:rsidR="000B03B9" w:rsidRPr="0099367E" w:rsidP="00C06DCD" w14:paraId="1D81A2C1" w14:textId="77777777">
      <w:pPr>
        <w:tabs>
          <w:tab w:val="left" w:pos="720"/>
        </w:tabs>
        <w:ind w:firstLine="720"/>
      </w:pPr>
      <w:r w:rsidRPr="0099367E">
        <w:t xml:space="preserve">In the alternative, </w:t>
      </w:r>
      <w:r w:rsidRPr="0099367E" w:rsidR="00884A7B">
        <w:t>Burgos</w:t>
      </w:r>
      <w:r w:rsidRPr="0099367E" w:rsidR="00396817">
        <w:t xml:space="preserve"> argue</w:t>
      </w:r>
      <w:r w:rsidRPr="0099367E" w:rsidR="00F138F4">
        <w:t>s</w:t>
      </w:r>
      <w:r w:rsidRPr="0099367E">
        <w:t xml:space="preserve"> </w:t>
      </w:r>
      <w:r w:rsidRPr="0099367E" w:rsidR="00396817">
        <w:t xml:space="preserve">that </w:t>
      </w:r>
      <w:r w:rsidRPr="0099367E" w:rsidR="001A571A">
        <w:t>prospective-only application of section 1109</w:t>
      </w:r>
      <w:r w:rsidRPr="0099367E" w:rsidR="00884A7B">
        <w:t xml:space="preserve"> would</w:t>
      </w:r>
      <w:r w:rsidRPr="0099367E" w:rsidR="001A571A">
        <w:t xml:space="preserve"> violate </w:t>
      </w:r>
      <w:r w:rsidRPr="0099367E" w:rsidR="007A584F">
        <w:t>the equal protection clauses of the federal and state Constitutions (U.S. Const., 14th Amend.; Cal. Const., art. I, §</w:t>
      </w:r>
      <w:r w:rsidRPr="0099367E" w:rsidR="00E64DAA">
        <w:t> </w:t>
      </w:r>
      <w:r w:rsidRPr="0099367E" w:rsidR="007A584F">
        <w:t xml:space="preserve">7, subd. (a)).  </w:t>
      </w:r>
      <w:r w:rsidRPr="0099367E" w:rsidR="002A5D92">
        <w:t xml:space="preserve">He contends </w:t>
      </w:r>
      <w:r w:rsidRPr="0099367E" w:rsidR="001F465C">
        <w:t>there is no rational basis to distinguish between</w:t>
      </w:r>
      <w:r w:rsidRPr="0099367E" w:rsidR="00991594">
        <w:t xml:space="preserve"> two classes of individuals charged with gang enhancements, those convicted before </w:t>
      </w:r>
      <w:r w:rsidRPr="0099367E" w:rsidR="00051042">
        <w:t xml:space="preserve">the effective date of </w:t>
      </w:r>
      <w:r w:rsidRPr="0099367E" w:rsidR="004F1D7B">
        <w:t>section 1109</w:t>
      </w:r>
      <w:r w:rsidRPr="0099367E" w:rsidR="00991594">
        <w:t xml:space="preserve">, whose judgments are not yet final, and those convicted after </w:t>
      </w:r>
      <w:r w:rsidRPr="0099367E" w:rsidR="004F1D7B">
        <w:t>section 1109’s enactment</w:t>
      </w:r>
      <w:r w:rsidRPr="0099367E" w:rsidR="00991594">
        <w:t xml:space="preserve">.  </w:t>
      </w:r>
      <w:r w:rsidRPr="0099367E" w:rsidR="006378C8">
        <w:t>W</w:t>
      </w:r>
      <w:r w:rsidRPr="0099367E" w:rsidR="002947DD">
        <w:t>e disagree.</w:t>
      </w:r>
    </w:p>
    <w:p w:rsidR="002E2D04" w:rsidRPr="0099367E" w:rsidP="00C06DCD" w14:paraId="1D81A2C2" w14:textId="77777777">
      <w:pPr>
        <w:tabs>
          <w:tab w:val="left" w:pos="720"/>
        </w:tabs>
        <w:ind w:firstLine="720"/>
      </w:pPr>
      <w:r w:rsidRPr="0099367E">
        <w:t xml:space="preserve">“The </w:t>
      </w:r>
      <w:r w:rsidRPr="0099367E" w:rsidR="00E94FEB">
        <w:t>e</w:t>
      </w:r>
      <w:r w:rsidRPr="0099367E">
        <w:t xml:space="preserve">qual </w:t>
      </w:r>
      <w:r w:rsidRPr="0099367E" w:rsidR="00E94FEB">
        <w:t>p</w:t>
      </w:r>
      <w:r w:rsidRPr="0099367E">
        <w:t xml:space="preserve">rotection </w:t>
      </w:r>
      <w:r w:rsidRPr="0099367E" w:rsidR="00E94FEB">
        <w:t>c</w:t>
      </w:r>
      <w:r w:rsidRPr="0099367E">
        <w:t>lause of the Fourteenth Amendment to the United States Constitution provides that no state may ‘deny to any person within its jurisdiction the equal protection of the laws.</w:t>
      </w:r>
      <w:r w:rsidRPr="0099367E" w:rsidR="00116445">
        <w:t>’</w:t>
      </w:r>
      <w:r w:rsidRPr="0099367E">
        <w:t xml:space="preserve"> </w:t>
      </w:r>
      <w:r w:rsidRPr="0099367E" w:rsidR="0090629A">
        <w:t xml:space="preserve"> </w:t>
      </w:r>
      <w:r w:rsidRPr="0099367E" w:rsidR="00116445">
        <w:t xml:space="preserve">[Citation.] </w:t>
      </w:r>
      <w:r w:rsidRPr="0099367E">
        <w:t xml:space="preserve"> This provision is </w:t>
      </w:r>
      <w:r w:rsidRPr="0099367E" w:rsidR="00116445">
        <w:t>‘</w:t>
      </w:r>
      <w:r w:rsidRPr="0099367E">
        <w:t>essentially a direction that all persons similarly situated should be treated alike.</w:t>
      </w:r>
      <w:r w:rsidRPr="0099367E" w:rsidR="00116445">
        <w:t>’  [Citation.</w:t>
      </w:r>
      <w:r w:rsidRPr="0099367E" w:rsidR="0090629A">
        <w:t>]</w:t>
      </w:r>
      <w:r w:rsidRPr="0099367E" w:rsidR="00116445">
        <w:t xml:space="preserve">  ‘</w:t>
      </w:r>
      <w:r w:rsidRPr="0099367E">
        <w:t>At core, the requirement of equal protection ensures that the government does not treat a group of people unequally without some justification.</w:t>
      </w:r>
      <w:r w:rsidRPr="0099367E" w:rsidR="00116445">
        <w:t>’ ”</w:t>
      </w:r>
      <w:r w:rsidRPr="0099367E">
        <w:t xml:space="preserve"> </w:t>
      </w:r>
      <w:r w:rsidRPr="0099367E" w:rsidR="00116445">
        <w:t xml:space="preserve"> (</w:t>
      </w:r>
      <w:r w:rsidRPr="0099367E" w:rsidR="00116445">
        <w:rPr>
          <w:i/>
          <w:iCs/>
        </w:rPr>
        <w:t xml:space="preserve">People v. Hardin </w:t>
      </w:r>
      <w:r w:rsidRPr="0099367E" w:rsidR="00116445">
        <w:t xml:space="preserve">(2024) </w:t>
      </w:r>
      <w:r w:rsidRPr="0099367E" w:rsidR="004F5C2A">
        <w:t>15</w:t>
      </w:r>
      <w:r w:rsidRPr="0099367E" w:rsidR="009473E4">
        <w:t> </w:t>
      </w:r>
      <w:r w:rsidRPr="0099367E" w:rsidR="00116445">
        <w:t xml:space="preserve">Cal.5th </w:t>
      </w:r>
      <w:r w:rsidRPr="0099367E" w:rsidR="004F5C2A">
        <w:t>834, 847, fn. omitted</w:t>
      </w:r>
      <w:r w:rsidRPr="0099367E" w:rsidR="009B0655">
        <w:t xml:space="preserve"> (</w:t>
      </w:r>
      <w:r w:rsidRPr="0099367E" w:rsidR="009B0655">
        <w:rPr>
          <w:i/>
          <w:iCs/>
        </w:rPr>
        <w:t>Hardin</w:t>
      </w:r>
      <w:r w:rsidRPr="0099367E" w:rsidR="009B0655">
        <w:t>)</w:t>
      </w:r>
      <w:r w:rsidRPr="0099367E" w:rsidR="00116445">
        <w:t>.)</w:t>
      </w:r>
      <w:r w:rsidRPr="0099367E" w:rsidR="003A64C9">
        <w:t xml:space="preserve">  </w:t>
      </w:r>
    </w:p>
    <w:p w:rsidR="00B44345" w:rsidRPr="0099367E" w:rsidP="00C06DCD" w14:paraId="1D81A2C3" w14:textId="77777777">
      <w:pPr>
        <w:tabs>
          <w:tab w:val="left" w:pos="720"/>
        </w:tabs>
        <w:ind w:firstLine="720"/>
      </w:pPr>
      <w:r w:rsidRPr="0099367E">
        <w:t>“The degree of justification required to satisfy equal protection depends on the type of unequal treatment at issue.</w:t>
      </w:r>
      <w:r w:rsidRPr="0099367E" w:rsidR="007925D7">
        <w:t>”</w:t>
      </w:r>
      <w:r w:rsidRPr="0099367E">
        <w:t xml:space="preserve">  </w:t>
      </w:r>
      <w:r w:rsidRPr="0099367E" w:rsidR="007925D7">
        <w:t>(</w:t>
      </w:r>
      <w:r w:rsidRPr="0099367E" w:rsidR="007925D7">
        <w:rPr>
          <w:i/>
          <w:iCs/>
        </w:rPr>
        <w:t>Hardin</w:t>
      </w:r>
      <w:r w:rsidRPr="0099367E" w:rsidR="009B0655">
        <w:t xml:space="preserve">, </w:t>
      </w:r>
      <w:r w:rsidRPr="0099367E" w:rsidR="009B0655">
        <w:rPr>
          <w:i/>
          <w:iCs/>
        </w:rPr>
        <w:t>supra</w:t>
      </w:r>
      <w:r w:rsidRPr="0099367E" w:rsidR="009B0655">
        <w:t>,</w:t>
      </w:r>
      <w:r w:rsidRPr="0099367E" w:rsidR="007925D7">
        <w:rPr>
          <w:i/>
          <w:iCs/>
        </w:rPr>
        <w:t xml:space="preserve"> </w:t>
      </w:r>
      <w:r w:rsidRPr="0099367E" w:rsidR="004F5C2A">
        <w:t>15</w:t>
      </w:r>
      <w:r w:rsidRPr="0099367E" w:rsidR="009473E4">
        <w:t> </w:t>
      </w:r>
      <w:r w:rsidRPr="0099367E" w:rsidR="007925D7">
        <w:t xml:space="preserve">Cal.5th </w:t>
      </w:r>
      <w:r w:rsidRPr="0099367E" w:rsidR="009B0655">
        <w:t>at p.</w:t>
      </w:r>
      <w:r w:rsidRPr="0099367E" w:rsidR="007925D7">
        <w:t xml:space="preserve"> </w:t>
      </w:r>
      <w:r w:rsidRPr="0099367E" w:rsidR="004F5C2A">
        <w:t xml:space="preserve">847.)  </w:t>
      </w:r>
      <w:r w:rsidRPr="0099367E" w:rsidR="00E23196">
        <w:t>“[W]</w:t>
      </w:r>
      <w:r w:rsidRPr="0099367E">
        <w:t>hen a statute involves neither a suspect classification nor a fundamental right, the ‘general rule is that legislation is presumed to be valid and will be sustained if the classification drawn by the statute is rationally related to a legitimate state interest.</w:t>
      </w:r>
      <w:r w:rsidRPr="0099367E" w:rsidR="00E23196">
        <w:t>’ </w:t>
      </w:r>
      <w:r w:rsidRPr="0099367E">
        <w:t>”</w:t>
      </w:r>
      <w:r w:rsidRPr="0099367E" w:rsidR="00E23196">
        <w:t xml:space="preserve">  (</w:t>
      </w:r>
      <w:r w:rsidRPr="0099367E" w:rsidR="00E23196">
        <w:rPr>
          <w:i/>
          <w:iCs/>
        </w:rPr>
        <w:t>Ibid</w:t>
      </w:r>
      <w:r w:rsidRPr="00F36ECC" w:rsidR="00E23196">
        <w:t>.</w:t>
      </w:r>
      <w:r w:rsidRPr="0099367E" w:rsidR="00E23196">
        <w:t xml:space="preserve">)  </w:t>
      </w:r>
      <w:r w:rsidRPr="0099367E" w:rsidR="00310418">
        <w:t>Burgos concedes that rational basis review applies.</w:t>
      </w:r>
    </w:p>
    <w:p w:rsidR="00630284" w:rsidRPr="0099367E" w:rsidP="00C06DCD" w14:paraId="1D81A2C4" w14:textId="77777777">
      <w:pPr>
        <w:tabs>
          <w:tab w:val="left" w:pos="720"/>
        </w:tabs>
        <w:ind w:firstLine="720"/>
      </w:pPr>
      <w:r w:rsidRPr="0099367E">
        <w:t xml:space="preserve">We recently clarified that “when plaintiffs challenge laws drawing distinctions between identifiable groups or classes of persons, on the basis that the distinctions drawn are inconsistent with equal protection, courts no longer need to ask at the threshold whether the two groups are similarly situated for purposes of the law in question.  The only pertinent inquiry is whether the challenged difference in treatment is adequately justified under the applicable standard of review.  The burden is on the party challenging the law to show that it is not.”  </w:t>
      </w:r>
      <w:r w:rsidRPr="0099367E" w:rsidR="009B0655">
        <w:t>(</w:t>
      </w:r>
      <w:r w:rsidRPr="0099367E" w:rsidR="009B0655">
        <w:rPr>
          <w:i/>
          <w:iCs/>
        </w:rPr>
        <w:t>Hardin</w:t>
      </w:r>
      <w:r w:rsidRPr="0099367E" w:rsidR="009B0655">
        <w:t xml:space="preserve">, </w:t>
      </w:r>
      <w:r w:rsidRPr="0099367E" w:rsidR="009B0655">
        <w:rPr>
          <w:i/>
          <w:iCs/>
        </w:rPr>
        <w:t>supra</w:t>
      </w:r>
      <w:r w:rsidRPr="0099367E" w:rsidR="009B0655">
        <w:t>,</w:t>
      </w:r>
      <w:r w:rsidRPr="0099367E" w:rsidR="009B0655">
        <w:rPr>
          <w:i/>
          <w:iCs/>
        </w:rPr>
        <w:t xml:space="preserve"> </w:t>
      </w:r>
      <w:r w:rsidRPr="0099367E" w:rsidR="004F5C2A">
        <w:t>15</w:t>
      </w:r>
      <w:r w:rsidRPr="0099367E" w:rsidR="009473E4">
        <w:t> </w:t>
      </w:r>
      <w:r w:rsidRPr="0099367E" w:rsidR="009B0655">
        <w:t xml:space="preserve">Cal.5th at </w:t>
      </w:r>
      <w:r w:rsidRPr="0099367E" w:rsidR="004F5C2A">
        <w:t>p</w:t>
      </w:r>
      <w:r w:rsidRPr="0099367E" w:rsidR="009B0655">
        <w:t xml:space="preserve">p. </w:t>
      </w:r>
      <w:r w:rsidRPr="0099367E" w:rsidR="004F5C2A">
        <w:t xml:space="preserve">850–851.)  </w:t>
      </w:r>
    </w:p>
    <w:p w:rsidR="00FA3165" w:rsidRPr="0099367E" w:rsidP="00C06DCD" w14:paraId="1D81A2C5" w14:textId="77777777">
      <w:pPr>
        <w:tabs>
          <w:tab w:val="left" w:pos="720"/>
        </w:tabs>
        <w:ind w:firstLine="720"/>
      </w:pPr>
      <w:r w:rsidRPr="0099367E">
        <w:t>W</w:t>
      </w:r>
      <w:r w:rsidRPr="0099367E" w:rsidR="0027682A">
        <w:t xml:space="preserve">e have repeatedly rejected an equal protection </w:t>
      </w:r>
      <w:r w:rsidRPr="0099367E" w:rsidR="003F4A59">
        <w:t xml:space="preserve">argument based on the </w:t>
      </w:r>
      <w:r w:rsidRPr="0099367E" w:rsidR="0014189F">
        <w:t>timing</w:t>
      </w:r>
      <w:r w:rsidRPr="0099367E" w:rsidR="003F4A59">
        <w:t xml:space="preserve"> of a st</w:t>
      </w:r>
      <w:r w:rsidRPr="0099367E" w:rsidR="006A7B5C">
        <w:t>atute lessening punishment for a particular offense.  (</w:t>
      </w:r>
      <w:r w:rsidRPr="0099367E" w:rsidR="006A7B5C">
        <w:rPr>
          <w:i/>
          <w:iCs/>
        </w:rPr>
        <w:t>Floyd</w:t>
      </w:r>
      <w:r w:rsidRPr="0099367E" w:rsidR="00335F05">
        <w:t xml:space="preserve">, </w:t>
      </w:r>
      <w:r w:rsidRPr="0099367E" w:rsidR="00335F05">
        <w:rPr>
          <w:i/>
          <w:iCs/>
        </w:rPr>
        <w:t>supra</w:t>
      </w:r>
      <w:r w:rsidRPr="0099367E" w:rsidR="00335F05">
        <w:t>,</w:t>
      </w:r>
      <w:r w:rsidRPr="0099367E" w:rsidR="006A7B5C">
        <w:t xml:space="preserve"> 31</w:t>
      </w:r>
      <w:r w:rsidRPr="0099367E" w:rsidR="009473E4">
        <w:t> </w:t>
      </w:r>
      <w:r w:rsidRPr="0099367E" w:rsidR="006A7B5C">
        <w:t xml:space="preserve">Cal.4th </w:t>
      </w:r>
      <w:r w:rsidRPr="0099367E" w:rsidR="00335F05">
        <w:t>at p</w:t>
      </w:r>
      <w:r w:rsidRPr="0099367E" w:rsidR="002F6E6F">
        <w:t>p</w:t>
      </w:r>
      <w:r w:rsidRPr="0099367E" w:rsidR="00335F05">
        <w:t>.</w:t>
      </w:r>
      <w:r w:rsidRPr="0099367E" w:rsidR="001F258A">
        <w:t> </w:t>
      </w:r>
      <w:r w:rsidRPr="0099367E" w:rsidR="006A7B5C">
        <w:t>188</w:t>
      </w:r>
      <w:r w:rsidRPr="0099367E" w:rsidR="002F6E6F">
        <w:t>–190</w:t>
      </w:r>
      <w:r w:rsidRPr="0099367E" w:rsidR="00F32DBF">
        <w:t>;</w:t>
      </w:r>
      <w:r w:rsidRPr="0099367E" w:rsidR="00B8496D">
        <w:t xml:space="preserve"> </w:t>
      </w:r>
      <w:r w:rsidRPr="0099367E" w:rsidR="00B8496D">
        <w:rPr>
          <w:i/>
          <w:iCs/>
        </w:rPr>
        <w:t xml:space="preserve">Baker v. Superior Court </w:t>
      </w:r>
      <w:r w:rsidRPr="0099367E" w:rsidR="00B8496D">
        <w:t>(1984) 35</w:t>
      </w:r>
      <w:r w:rsidRPr="0099367E" w:rsidR="009473E4">
        <w:t> </w:t>
      </w:r>
      <w:r w:rsidRPr="0099367E" w:rsidR="00B8496D">
        <w:t>Cal.3d 663, 668</w:t>
      </w:r>
      <w:r w:rsidRPr="0099367E" w:rsidR="00D6278D">
        <w:t>–669</w:t>
      </w:r>
      <w:r w:rsidRPr="0099367E" w:rsidR="00F32DBF">
        <w:t xml:space="preserve">; </w:t>
      </w:r>
      <w:r w:rsidRPr="0099367E" w:rsidR="00AF481C">
        <w:t>accord</w:t>
      </w:r>
      <w:r w:rsidRPr="0099367E" w:rsidR="001161B8">
        <w:t>,</w:t>
      </w:r>
      <w:r w:rsidRPr="0099367E" w:rsidR="00AF481C">
        <w:t xml:space="preserve"> </w:t>
      </w:r>
      <w:r w:rsidRPr="0099367E" w:rsidR="00AF481C">
        <w:rPr>
          <w:i/>
          <w:iCs/>
        </w:rPr>
        <w:t>People v. Willis</w:t>
      </w:r>
      <w:r w:rsidRPr="0099367E" w:rsidR="00AF481C">
        <w:t xml:space="preserve"> (1978) 84</w:t>
      </w:r>
      <w:r w:rsidRPr="0099367E" w:rsidR="009473E4">
        <w:t> </w:t>
      </w:r>
      <w:r w:rsidRPr="0099367E" w:rsidR="00AF481C">
        <w:t xml:space="preserve">Cal.App.3d 952, 956; </w:t>
      </w:r>
      <w:r w:rsidRPr="0099367E" w:rsidR="00AF481C">
        <w:rPr>
          <w:i/>
          <w:iCs/>
        </w:rPr>
        <w:t xml:space="preserve">People v. Superior Court </w:t>
      </w:r>
      <w:r w:rsidRPr="0099367E" w:rsidR="00AF481C">
        <w:t>(</w:t>
      </w:r>
      <w:r w:rsidRPr="0099367E" w:rsidR="00AF481C">
        <w:rPr>
          <w:i/>
          <w:iCs/>
        </w:rPr>
        <w:t>Gonzales</w:t>
      </w:r>
      <w:r w:rsidRPr="0099367E" w:rsidR="00AF481C">
        <w:t>) (1978) 78</w:t>
      </w:r>
      <w:r w:rsidRPr="0099367E" w:rsidR="009473E4">
        <w:t> </w:t>
      </w:r>
      <w:r w:rsidRPr="0099367E" w:rsidR="00AF481C">
        <w:t>Cal.App.3d 134, 142</w:t>
      </w:r>
      <w:r w:rsidRPr="0099367E" w:rsidR="00545672">
        <w:t>–</w:t>
      </w:r>
      <w:r w:rsidRPr="0099367E" w:rsidR="00AF481C">
        <w:t>14</w:t>
      </w:r>
      <w:r w:rsidRPr="0099367E" w:rsidR="00545672">
        <w:t>3</w:t>
      </w:r>
      <w:r w:rsidRPr="0099367E" w:rsidR="006A7B5C">
        <w:t>.)</w:t>
      </w:r>
      <w:r w:rsidRPr="0099367E" w:rsidR="004B572C">
        <w:t xml:space="preserve">  </w:t>
      </w:r>
      <w:r w:rsidRPr="0099367E" w:rsidR="00353BEC">
        <w:t>We</w:t>
      </w:r>
      <w:r w:rsidRPr="0099367E" w:rsidR="004B572C">
        <w:t xml:space="preserve"> </w:t>
      </w:r>
      <w:r w:rsidRPr="0099367E" w:rsidR="00E54896">
        <w:t xml:space="preserve">have </w:t>
      </w:r>
      <w:r w:rsidRPr="0099367E" w:rsidR="0036388C">
        <w:t>explained</w:t>
      </w:r>
      <w:r w:rsidRPr="0099367E" w:rsidR="004B572C">
        <w:t xml:space="preserve"> </w:t>
      </w:r>
      <w:r w:rsidRPr="0099367E" w:rsidR="000A57EB">
        <w:t xml:space="preserve">the basis for this holding as follows: </w:t>
      </w:r>
      <w:r w:rsidRPr="0099367E" w:rsidR="004B572C">
        <w:t xml:space="preserve"> “</w:t>
      </w:r>
      <w:r w:rsidRPr="0099367E" w:rsidR="004B572C">
        <w:rPr>
          <w:i/>
          <w:iCs/>
        </w:rPr>
        <w:t xml:space="preserve">Estrada </w:t>
      </w:r>
      <w:r w:rsidRPr="0099367E" w:rsidR="004B572C">
        <w:t>itself recognized that when the Legislature has amended a statute to lessen the punishment, its determination as to which statute should apply to all convictions not yet final, ‘</w:t>
      </w:r>
      <w:r w:rsidRPr="0099367E" w:rsidR="004B572C">
        <w:rPr>
          <w:i/>
          <w:iCs/>
        </w:rPr>
        <w:t>either way</w:t>
      </w:r>
      <w:r w:rsidRPr="0099367E" w:rsidR="004B572C">
        <w:t>, would have been legal and constitutional.’</w:t>
      </w:r>
      <w:r w:rsidRPr="0099367E" w:rsidR="001F258A">
        <w:t xml:space="preserve"> </w:t>
      </w:r>
      <w:r w:rsidRPr="0099367E" w:rsidR="00F13724">
        <w:t xml:space="preserve"> [Citations.]  That the Legislature’s choice, either way, would be constitutional is the foundation for our oft-repeated statement that, in this type of circumstance, the problem ‘is one of trying to ascertain the legislative intent —</w:t>
      </w:r>
      <w:r w:rsidRPr="0099367E" w:rsidR="001F258A">
        <w:t xml:space="preserve"> </w:t>
      </w:r>
      <w:r w:rsidRPr="0099367E" w:rsidR="00F13724">
        <w:t xml:space="preserve">did the Legislature intend the old or new statute to apply?’  [Citations.]  Defendant’s equal protection argument presumes that the </w:t>
      </w:r>
      <w:r w:rsidRPr="0099367E" w:rsidR="00F13724">
        <w:rPr>
          <w:i/>
          <w:iCs/>
        </w:rPr>
        <w:t xml:space="preserve">Estrada </w:t>
      </w:r>
      <w:r w:rsidRPr="0099367E" w:rsidR="00F13724">
        <w:t xml:space="preserve">rule is constitutionally compelled. </w:t>
      </w:r>
      <w:r w:rsidRPr="0099367E" w:rsidR="00255F9D">
        <w:t xml:space="preserve"> </w:t>
      </w:r>
      <w:r w:rsidRPr="0099367E" w:rsidR="00F13724">
        <w:t>As we have stated repeatedly, it is not.</w:t>
      </w:r>
      <w:r w:rsidRPr="0099367E" w:rsidR="004B572C">
        <w:t>”  (</w:t>
      </w:r>
      <w:r w:rsidRPr="0099367E" w:rsidR="004B572C">
        <w:rPr>
          <w:i/>
          <w:iCs/>
        </w:rPr>
        <w:t>Floyd</w:t>
      </w:r>
      <w:r w:rsidRPr="0099367E" w:rsidR="004B572C">
        <w:t xml:space="preserve">, </w:t>
      </w:r>
      <w:r w:rsidRPr="0099367E" w:rsidR="000D530F">
        <w:rPr>
          <w:i/>
          <w:iCs/>
        </w:rPr>
        <w:t>supra</w:t>
      </w:r>
      <w:r w:rsidRPr="0099367E" w:rsidR="000D530F">
        <w:t>, 31</w:t>
      </w:r>
      <w:r w:rsidRPr="0099367E" w:rsidR="009473E4">
        <w:t> </w:t>
      </w:r>
      <w:r w:rsidRPr="0099367E" w:rsidR="000D530F">
        <w:t xml:space="preserve">Cal.4th </w:t>
      </w:r>
      <w:r w:rsidRPr="0099367E" w:rsidR="004B572C">
        <w:t>at pp.</w:t>
      </w:r>
      <w:r w:rsidRPr="0099367E" w:rsidR="001F258A">
        <w:t> </w:t>
      </w:r>
      <w:r w:rsidRPr="0099367E" w:rsidR="004B572C">
        <w:t>188–189</w:t>
      </w:r>
      <w:r w:rsidRPr="0099367E" w:rsidR="008C5D66">
        <w:t xml:space="preserve">; see </w:t>
      </w:r>
      <w:r w:rsidRPr="0099367E" w:rsidR="008C5D66">
        <w:rPr>
          <w:i/>
          <w:iCs/>
        </w:rPr>
        <w:t xml:space="preserve">People v. Aranda </w:t>
      </w:r>
      <w:r w:rsidRPr="0099367E" w:rsidR="008C5D66">
        <w:t>(1965) 63</w:t>
      </w:r>
      <w:r w:rsidRPr="0099367E" w:rsidR="009473E4">
        <w:t> </w:t>
      </w:r>
      <w:r w:rsidRPr="0099367E" w:rsidR="008C5D66">
        <w:t>Cal.2d 518, 532</w:t>
      </w:r>
      <w:r w:rsidRPr="0099367E" w:rsidR="00285E1A">
        <w:t xml:space="preserve"> [“A refusal to apply a statute retroactively does not violate the Fourteenth Amendment</w:t>
      </w:r>
      <w:r w:rsidRPr="0099367E" w:rsidR="00EA4DEB">
        <w:t>”]</w:t>
      </w:r>
      <w:r w:rsidRPr="0099367E" w:rsidR="001161B8">
        <w:t xml:space="preserve">, superseded by statute as stated in </w:t>
      </w:r>
      <w:r w:rsidRPr="0099367E" w:rsidR="001161B8">
        <w:rPr>
          <w:i/>
          <w:iCs/>
        </w:rPr>
        <w:t>People v. Capistrano</w:t>
      </w:r>
      <w:r w:rsidRPr="0099367E" w:rsidR="001161B8">
        <w:t xml:space="preserve"> (2014) 59 Cal.4th 830, 868</w:t>
      </w:r>
      <w:r w:rsidRPr="0099367E" w:rsidR="00285E1A">
        <w:t>.)</w:t>
      </w:r>
      <w:r w:rsidRPr="0099367E" w:rsidR="00A34E8C">
        <w:t xml:space="preserve">  </w:t>
      </w:r>
      <w:r w:rsidRPr="0099367E" w:rsidR="002A6800">
        <w:t xml:space="preserve">Burgos offers no persuasive reason </w:t>
      </w:r>
      <w:r w:rsidRPr="0099367E" w:rsidR="001F258A">
        <w:t xml:space="preserve">to </w:t>
      </w:r>
      <w:r w:rsidRPr="0099367E" w:rsidR="00EE2AF4">
        <w:t>refrain from applying our prior precedent</w:t>
      </w:r>
      <w:r w:rsidRPr="0099367E" w:rsidR="001140FF">
        <w:t xml:space="preserve"> to</w:t>
      </w:r>
      <w:r w:rsidRPr="0099367E" w:rsidR="008F2E81">
        <w:t xml:space="preserve"> </w:t>
      </w:r>
      <w:r w:rsidRPr="0099367E" w:rsidR="00DC2E21">
        <w:t xml:space="preserve">an amended statute </w:t>
      </w:r>
      <w:r w:rsidRPr="0099367E" w:rsidR="001140FF">
        <w:t xml:space="preserve">that </w:t>
      </w:r>
      <w:r w:rsidRPr="0099367E" w:rsidR="00DC2E21">
        <w:t xml:space="preserve">is </w:t>
      </w:r>
      <w:r w:rsidRPr="0099367E" w:rsidR="00C824B2">
        <w:t>not ameliorative</w:t>
      </w:r>
      <w:r w:rsidRPr="0099367E" w:rsidR="000A7BD2">
        <w:t xml:space="preserve"> under </w:t>
      </w:r>
      <w:r w:rsidRPr="0099367E" w:rsidR="000A7BD2">
        <w:rPr>
          <w:i/>
          <w:iCs/>
        </w:rPr>
        <w:t>Estrada</w:t>
      </w:r>
      <w:r w:rsidRPr="0099367E" w:rsidR="00E4055D">
        <w:t>.</w:t>
      </w:r>
      <w:r>
        <w:rPr>
          <w:rStyle w:val="FootnoteReference"/>
        </w:rPr>
        <w:footnoteReference w:id="13"/>
      </w:r>
      <w:r w:rsidRPr="0099367E" w:rsidR="00232C5C">
        <w:t xml:space="preserve">  </w:t>
      </w:r>
    </w:p>
    <w:p w:rsidR="00373422" w:rsidRPr="0099367E" w:rsidP="00C06DCD" w14:paraId="1D81A2C6" w14:textId="77777777">
      <w:pPr>
        <w:tabs>
          <w:tab w:val="left" w:pos="720"/>
        </w:tabs>
        <w:ind w:firstLine="720"/>
      </w:pPr>
      <w:r w:rsidRPr="0099367E">
        <w:t>Accordingly</w:t>
      </w:r>
      <w:r w:rsidRPr="0099367E" w:rsidR="00FA3165">
        <w:t>, we hold that equal protection principles do not require</w:t>
      </w:r>
      <w:r w:rsidRPr="0099367E" w:rsidR="003F0A53">
        <w:t xml:space="preserve"> section 1109 to be applied retroactively.</w:t>
      </w:r>
    </w:p>
    <w:p w:rsidR="00940180" w:rsidRPr="0099367E" w:rsidP="00C06DCD" w14:paraId="1D81A2C7" w14:textId="77777777">
      <w:pPr>
        <w:pStyle w:val="Heading2"/>
        <w:numPr>
          <w:ilvl w:val="0"/>
          <w:numId w:val="5"/>
        </w:numPr>
      </w:pPr>
      <w:r w:rsidRPr="0099367E">
        <w:t xml:space="preserve">Burgos’s Additional Arguments Exceed </w:t>
      </w:r>
      <w:r w:rsidRPr="0099367E" w:rsidR="00CC10BF">
        <w:t>t</w:t>
      </w:r>
      <w:r w:rsidRPr="0099367E">
        <w:t xml:space="preserve">he Scope </w:t>
      </w:r>
      <w:r w:rsidRPr="0099367E" w:rsidR="00CC10BF">
        <w:t>o</w:t>
      </w:r>
      <w:r w:rsidRPr="0099367E">
        <w:t xml:space="preserve">f Review </w:t>
      </w:r>
    </w:p>
    <w:p w:rsidR="009E2CB6" w:rsidRPr="0099367E" w:rsidP="00C06DCD" w14:paraId="1D81A2C8" w14:textId="77777777">
      <w:pPr>
        <w:tabs>
          <w:tab w:val="left" w:pos="720"/>
        </w:tabs>
        <w:ind w:firstLine="720"/>
      </w:pPr>
      <w:r w:rsidRPr="0099367E">
        <w:t xml:space="preserve">Burgos also </w:t>
      </w:r>
      <w:r w:rsidRPr="0099367E" w:rsidR="00BA597D">
        <w:t>c</w:t>
      </w:r>
      <w:r w:rsidRPr="0099367E" w:rsidR="00690383">
        <w:t xml:space="preserve">ontends that </w:t>
      </w:r>
      <w:r w:rsidRPr="0099367E" w:rsidR="004778AA">
        <w:t xml:space="preserve">even if section 1109 applies prospectively only, </w:t>
      </w:r>
      <w:r w:rsidRPr="0099367E" w:rsidR="00680C2C">
        <w:t>the admission</w:t>
      </w:r>
      <w:r w:rsidRPr="0099367E" w:rsidR="004E205C">
        <w:t xml:space="preserve"> </w:t>
      </w:r>
      <w:r w:rsidRPr="0099367E" w:rsidR="00F27F47">
        <w:t xml:space="preserve">of </w:t>
      </w:r>
      <w:r w:rsidRPr="0099367E" w:rsidR="003F740B">
        <w:t xml:space="preserve">gang evidence </w:t>
      </w:r>
      <w:r w:rsidRPr="0099367E" w:rsidR="004778AA">
        <w:t xml:space="preserve">at </w:t>
      </w:r>
      <w:r w:rsidRPr="0099367E" w:rsidR="00F27F47">
        <w:t>his</w:t>
      </w:r>
      <w:r w:rsidRPr="0099367E" w:rsidR="004778AA">
        <w:t xml:space="preserve"> trial </w:t>
      </w:r>
      <w:r w:rsidRPr="0099367E" w:rsidR="00BA597D">
        <w:t xml:space="preserve">was </w:t>
      </w:r>
      <w:r w:rsidRPr="0099367E" w:rsidR="00893215">
        <w:t xml:space="preserve">unduly prejudicial and violated his due process rights.  </w:t>
      </w:r>
      <w:r w:rsidRPr="0099367E" w:rsidR="00DE1563">
        <w:t xml:space="preserve">The Court of Appeal did not reach </w:t>
      </w:r>
      <w:r w:rsidRPr="0099367E" w:rsidR="00350859">
        <w:t xml:space="preserve">this </w:t>
      </w:r>
      <w:r w:rsidRPr="0099367E" w:rsidR="00F27F47">
        <w:t xml:space="preserve">and other </w:t>
      </w:r>
      <w:r w:rsidRPr="0099367E" w:rsidR="00DE1563">
        <w:t>claims</w:t>
      </w:r>
      <w:r w:rsidRPr="0099367E" w:rsidR="00350859">
        <w:t xml:space="preserve"> brought by the defense</w:t>
      </w:r>
      <w:r w:rsidRPr="0099367E" w:rsidR="00DE1563">
        <w:t xml:space="preserve"> in light of its holding that Assembly Bill </w:t>
      </w:r>
      <w:r w:rsidRPr="0099367E" w:rsidR="002C1085">
        <w:t>applies retroactively.  (</w:t>
      </w:r>
      <w:r w:rsidRPr="0099367E" w:rsidR="002C1085">
        <w:rPr>
          <w:i/>
          <w:iCs/>
        </w:rPr>
        <w:t>Burgos</w:t>
      </w:r>
      <w:r w:rsidRPr="0099367E" w:rsidR="002C1085">
        <w:t xml:space="preserve">, </w:t>
      </w:r>
      <w:r w:rsidRPr="0099367E" w:rsidR="002C1085">
        <w:rPr>
          <w:i/>
          <w:iCs/>
        </w:rPr>
        <w:t>supra</w:t>
      </w:r>
      <w:r w:rsidRPr="0099367E" w:rsidR="002C1085">
        <w:t xml:space="preserve">, </w:t>
      </w:r>
      <w:r w:rsidRPr="0099367E" w:rsidR="002026D3">
        <w:t>77</w:t>
      </w:r>
      <w:r w:rsidRPr="0099367E" w:rsidR="009473E4">
        <w:t> </w:t>
      </w:r>
      <w:r w:rsidRPr="0099367E" w:rsidR="002026D3">
        <w:t>Cal.App.5th at p.</w:t>
      </w:r>
      <w:r w:rsidRPr="0099367E" w:rsidR="001F258A">
        <w:t> </w:t>
      </w:r>
      <w:r w:rsidRPr="0099367E" w:rsidR="002026D3">
        <w:t>5</w:t>
      </w:r>
      <w:r w:rsidRPr="0099367E" w:rsidR="00D3684F">
        <w:t>6</w:t>
      </w:r>
      <w:r w:rsidRPr="0099367E" w:rsidR="002026D3">
        <w:t>4, fn.</w:t>
      </w:r>
      <w:r w:rsidRPr="0099367E" w:rsidR="001F258A">
        <w:t> </w:t>
      </w:r>
      <w:r w:rsidRPr="0099367E" w:rsidR="00D3684F">
        <w:t>4</w:t>
      </w:r>
      <w:r w:rsidRPr="0099367E" w:rsidR="002026D3">
        <w:t xml:space="preserve">.)  </w:t>
      </w:r>
    </w:p>
    <w:p w:rsidR="0048006F" w:rsidRPr="0099367E" w:rsidP="00C06DCD" w14:paraId="1D81A2C9" w14:textId="77777777">
      <w:pPr>
        <w:tabs>
          <w:tab w:val="left" w:pos="720"/>
        </w:tabs>
        <w:ind w:firstLine="720"/>
      </w:pPr>
      <w:r w:rsidRPr="0099367E">
        <w:t>W</w:t>
      </w:r>
      <w:r w:rsidRPr="0099367E" w:rsidR="00666799">
        <w:t xml:space="preserve">e decline to </w:t>
      </w:r>
      <w:r w:rsidRPr="0099367E" w:rsidR="00F27F47">
        <w:t>address Burgos’s claims of</w:t>
      </w:r>
      <w:r w:rsidRPr="0099367E" w:rsidR="00666799">
        <w:t xml:space="preserve"> prejudice because </w:t>
      </w:r>
      <w:r w:rsidRPr="0099367E" w:rsidR="00F27F47">
        <w:t xml:space="preserve">they </w:t>
      </w:r>
      <w:r w:rsidRPr="0099367E" w:rsidR="00666799">
        <w:t xml:space="preserve">exceed </w:t>
      </w:r>
      <w:r w:rsidRPr="0099367E" w:rsidR="0055066F">
        <w:t xml:space="preserve">the </w:t>
      </w:r>
      <w:r w:rsidRPr="0099367E" w:rsidR="00666799">
        <w:t xml:space="preserve">scope of </w:t>
      </w:r>
      <w:r w:rsidRPr="0099367E" w:rsidR="0055066F">
        <w:t xml:space="preserve">our </w:t>
      </w:r>
      <w:r w:rsidRPr="0099367E" w:rsidR="00666799">
        <w:t>review.  Our briefing order was limited to the question of whether “the provision of Penal Code section 1109 governing the bifurcation at trial of gang enhancements from the substantive offense or offenses appl[ies] retroactively to cases that are not yet final.”</w:t>
      </w:r>
      <w:r w:rsidRPr="0099367E" w:rsidR="009D6E6A">
        <w:t xml:space="preserve">  Having answered this question in the negative</w:t>
      </w:r>
      <w:r w:rsidRPr="0099367E" w:rsidR="000C6185">
        <w:t xml:space="preserve">, we remand the matter to the Court of Appeal to resolve </w:t>
      </w:r>
      <w:r w:rsidRPr="0099367E" w:rsidR="00B36253">
        <w:t>any</w:t>
      </w:r>
      <w:r w:rsidRPr="0099367E" w:rsidR="000C6185">
        <w:t xml:space="preserve"> remaining claims in the first instance.</w:t>
      </w:r>
      <w:r w:rsidRPr="0099367E" w:rsidR="00EB4AC3">
        <w:rPr>
          <w:rStyle w:val="FootnoteReference"/>
        </w:rPr>
        <w:t xml:space="preserve"> </w:t>
      </w:r>
    </w:p>
    <w:p w:rsidR="003F6988" w:rsidRPr="0099367E" w:rsidP="00C06DCD" w14:paraId="1D81A2CA" w14:textId="77777777">
      <w:pPr>
        <w:pStyle w:val="Heading1"/>
      </w:pPr>
      <w:r w:rsidRPr="0099367E">
        <w:t xml:space="preserve">III. </w:t>
      </w:r>
      <w:r w:rsidRPr="0099367E" w:rsidR="00A963A3">
        <w:t xml:space="preserve"> </w:t>
      </w:r>
      <w:r w:rsidRPr="0099367E">
        <w:t>Disposition</w:t>
      </w:r>
    </w:p>
    <w:p w:rsidR="00BF19A1" w:rsidRPr="0099367E" w:rsidP="00C06DCD" w14:paraId="1D81A2CB" w14:textId="77777777">
      <w:pPr>
        <w:tabs>
          <w:tab w:val="left" w:pos="720"/>
        </w:tabs>
        <w:ind w:firstLine="720"/>
      </w:pPr>
      <w:r w:rsidRPr="0099367E">
        <w:t>We conclude that s</w:t>
      </w:r>
      <w:r w:rsidRPr="0099367E" w:rsidR="00CB09FE">
        <w:t xml:space="preserve">ection 1109 </w:t>
      </w:r>
      <w:r w:rsidRPr="0099367E" w:rsidR="0012504D">
        <w:t>does not apply retroactively</w:t>
      </w:r>
      <w:r w:rsidRPr="0099367E" w:rsidR="002D00CD">
        <w:t xml:space="preserve">.  </w:t>
      </w:r>
      <w:r w:rsidRPr="0099367E" w:rsidR="004A6F1E">
        <w:t xml:space="preserve">Because </w:t>
      </w:r>
      <w:r w:rsidRPr="0099367E" w:rsidR="00787A41">
        <w:t xml:space="preserve">the Court of Appeal </w:t>
      </w:r>
      <w:r w:rsidRPr="0099367E" w:rsidR="00FB54DD">
        <w:t xml:space="preserve">majority </w:t>
      </w:r>
      <w:r w:rsidRPr="0099367E" w:rsidR="00787A41">
        <w:t>concluded otherwise, we reverse its judgment</w:t>
      </w:r>
      <w:r w:rsidRPr="0099367E" w:rsidR="005A74F1">
        <w:t xml:space="preserve"> and remand the matter for further proceedings consistent with </w:t>
      </w:r>
      <w:r w:rsidRPr="0099367E" w:rsidR="00BB1C72">
        <w:t xml:space="preserve">our </w:t>
      </w:r>
      <w:r w:rsidRPr="0099367E" w:rsidR="005A74F1">
        <w:t>opinion</w:t>
      </w:r>
      <w:r w:rsidRPr="0099367E" w:rsidR="00E219F5">
        <w:t>.</w:t>
      </w:r>
      <w:r w:rsidRPr="0099367E" w:rsidR="00FB5E8B">
        <w:t xml:space="preserve">  </w:t>
      </w:r>
    </w:p>
    <w:p w:rsidR="003F6988" w:rsidRPr="0099367E" w:rsidP="00C06DCD" w14:paraId="1D81A2CC" w14:textId="77777777">
      <w:pPr>
        <w:tabs>
          <w:tab w:val="left" w:pos="720"/>
        </w:tabs>
        <w:ind w:firstLine="720"/>
      </w:pPr>
      <w:r w:rsidRPr="0099367E">
        <w:t>We</w:t>
      </w:r>
      <w:r w:rsidRPr="0099367E" w:rsidR="00FB5E8B">
        <w:t xml:space="preserve"> also disapprove </w:t>
      </w:r>
      <w:r w:rsidRPr="0099367E" w:rsidR="00FB5E8B">
        <w:rPr>
          <w:i/>
          <w:iCs/>
        </w:rPr>
        <w:t>People v. Montano</w:t>
      </w:r>
      <w:r w:rsidRPr="0099367E" w:rsidR="00FB5E8B">
        <w:t xml:space="preserve">, </w:t>
      </w:r>
      <w:r w:rsidRPr="0099367E" w:rsidR="00FB5E8B">
        <w:rPr>
          <w:i/>
          <w:iCs/>
        </w:rPr>
        <w:t>supra</w:t>
      </w:r>
      <w:r w:rsidRPr="0099367E" w:rsidR="00FB5E8B">
        <w:t>, 80</w:t>
      </w:r>
      <w:r w:rsidRPr="0099367E" w:rsidR="009473E4">
        <w:t> </w:t>
      </w:r>
      <w:r w:rsidRPr="0099367E" w:rsidR="00FB5E8B">
        <w:t>Cal.App.5th 82</w:t>
      </w:r>
      <w:r w:rsidRPr="0099367E" w:rsidR="00C26FF4">
        <w:t xml:space="preserve"> and</w:t>
      </w:r>
      <w:r w:rsidRPr="0099367E" w:rsidR="00FB5E8B">
        <w:t xml:space="preserve"> </w:t>
      </w:r>
      <w:r w:rsidRPr="0099367E" w:rsidR="00FB5E8B">
        <w:rPr>
          <w:i/>
          <w:iCs/>
        </w:rPr>
        <w:t>People v. Ramos</w:t>
      </w:r>
      <w:r w:rsidRPr="0099367E" w:rsidR="00BF4C12">
        <w:t xml:space="preserve">, </w:t>
      </w:r>
      <w:r w:rsidRPr="0099367E" w:rsidR="00BF4C12">
        <w:rPr>
          <w:i/>
          <w:iCs/>
        </w:rPr>
        <w:t>supra</w:t>
      </w:r>
      <w:r w:rsidRPr="0099367E" w:rsidR="00BF4C12">
        <w:t>,</w:t>
      </w:r>
      <w:r w:rsidRPr="0099367E" w:rsidR="00BF19A1">
        <w:t xml:space="preserve"> </w:t>
      </w:r>
      <w:r w:rsidRPr="0099367E" w:rsidR="00FB5E8B">
        <w:t>77</w:t>
      </w:r>
      <w:r w:rsidRPr="0099367E" w:rsidR="009473E4">
        <w:t> </w:t>
      </w:r>
      <w:r w:rsidRPr="0099367E" w:rsidR="00FB5E8B">
        <w:t>Cal.App.5th 1116</w:t>
      </w:r>
      <w:r w:rsidRPr="0099367E" w:rsidR="00D41261">
        <w:t xml:space="preserve">, to the extent they are inconsistent with </w:t>
      </w:r>
      <w:r w:rsidRPr="0099367E" w:rsidR="00066CD1">
        <w:t>our</w:t>
      </w:r>
      <w:r w:rsidRPr="0099367E" w:rsidR="00D41261">
        <w:t xml:space="preserve"> opinion.</w:t>
      </w:r>
    </w:p>
    <w:p w:rsidR="00FB0C15" w:rsidRPr="0099367E" w:rsidP="00C06DCD" w14:paraId="1D81A2CD" w14:textId="77777777">
      <w:pPr>
        <w:tabs>
          <w:tab w:val="left" w:pos="720"/>
        </w:tabs>
        <w:ind w:firstLine="720"/>
      </w:pPr>
    </w:p>
    <w:p w:rsidR="003F6988" w:rsidRPr="0099367E" w:rsidP="00C06DCD" w14:paraId="1D81A2CE" w14:textId="77777777">
      <w:pPr>
        <w:tabs>
          <w:tab w:val="left" w:pos="1440"/>
        </w:tabs>
        <w:rPr>
          <w:b/>
          <w:bCs/>
        </w:rPr>
      </w:pPr>
      <w:r w:rsidRPr="0099367E">
        <w:tab/>
      </w:r>
      <w:r w:rsidRPr="0099367E">
        <w:tab/>
      </w:r>
      <w:r w:rsidRPr="0099367E">
        <w:tab/>
      </w:r>
      <w:r w:rsidRPr="0099367E">
        <w:tab/>
      </w:r>
      <w:r w:rsidRPr="0099367E">
        <w:tab/>
      </w:r>
      <w:r w:rsidRPr="0099367E">
        <w:tab/>
      </w:r>
      <w:r w:rsidRPr="0099367E" w:rsidR="0012504D">
        <w:rPr>
          <w:b/>
          <w:bCs/>
        </w:rPr>
        <w:t>GUERRERO,</w:t>
      </w:r>
      <w:r w:rsidRPr="0099367E">
        <w:rPr>
          <w:b/>
          <w:bCs/>
        </w:rPr>
        <w:t xml:space="preserve"> </w:t>
      </w:r>
      <w:r w:rsidRPr="0099367E" w:rsidR="0012504D">
        <w:rPr>
          <w:b/>
          <w:bCs/>
        </w:rPr>
        <w:t>C.</w:t>
      </w:r>
      <w:r w:rsidRPr="0099367E" w:rsidR="00066CD1">
        <w:rPr>
          <w:b/>
          <w:bCs/>
        </w:rPr>
        <w:t> </w:t>
      </w:r>
      <w:r w:rsidRPr="0099367E">
        <w:rPr>
          <w:b/>
          <w:bCs/>
        </w:rPr>
        <w:t>J.</w:t>
      </w:r>
    </w:p>
    <w:p w:rsidR="00967773" w:rsidP="00C06DCD" w14:paraId="1D81A2CF" w14:textId="77777777">
      <w:pPr>
        <w:rPr>
          <w:b/>
          <w:bCs/>
        </w:rPr>
      </w:pPr>
      <w:r w:rsidRPr="001616D3">
        <w:rPr>
          <w:b/>
          <w:bCs/>
        </w:rPr>
        <w:t>We Concur:</w:t>
      </w:r>
    </w:p>
    <w:p w:rsidR="00F716CE" w:rsidRPr="00077BAA" w:rsidP="00F716CE" w14:paraId="1D81A2D0" w14:textId="77777777">
      <w:pPr>
        <w:spacing w:after="0" w:line="240" w:lineRule="auto"/>
        <w:rPr>
          <w:b/>
          <w:lang w:val="it-IT"/>
        </w:rPr>
      </w:pPr>
      <w:r w:rsidRPr="00077BAA">
        <w:rPr>
          <w:b/>
          <w:lang w:val="it-IT"/>
        </w:rPr>
        <w:t>CORRIGAN, J.</w:t>
      </w:r>
    </w:p>
    <w:p w:rsidR="00F716CE" w:rsidRPr="00077BAA" w:rsidP="00F716CE" w14:paraId="1D81A2D1" w14:textId="77777777">
      <w:pPr>
        <w:spacing w:after="0" w:line="240" w:lineRule="auto"/>
        <w:jc w:val="left"/>
        <w:rPr>
          <w:b/>
        </w:rPr>
      </w:pPr>
      <w:r>
        <w:rPr>
          <w:b/>
        </w:rPr>
        <w:t>KRUGER, J.</w:t>
      </w:r>
    </w:p>
    <w:p w:rsidR="00F716CE" w:rsidRPr="00077BAA" w:rsidP="00F716CE" w14:paraId="1D81A2D2" w14:textId="77777777">
      <w:pPr>
        <w:spacing w:after="0" w:line="240" w:lineRule="auto"/>
        <w:jc w:val="left"/>
        <w:rPr>
          <w:b/>
          <w:lang w:val="it-IT"/>
        </w:rPr>
      </w:pPr>
      <w:r>
        <w:rPr>
          <w:b/>
          <w:lang w:val="it-IT"/>
        </w:rPr>
        <w:t>GROBAN, J.</w:t>
      </w:r>
    </w:p>
    <w:p w:rsidR="00F716CE" w:rsidP="00F716CE" w14:paraId="1D81A2D3" w14:textId="77777777">
      <w:pPr>
        <w:spacing w:after="0" w:line="240" w:lineRule="auto"/>
        <w:jc w:val="left"/>
        <w:rPr>
          <w:b/>
        </w:rPr>
      </w:pPr>
      <w:r w:rsidRPr="00077BAA">
        <w:rPr>
          <w:b/>
        </w:rPr>
        <w:t>JENKINS, J.</w:t>
      </w:r>
    </w:p>
    <w:p w:rsidR="0010302F" w:rsidP="00C06DCD" w14:paraId="614C6FD0" w14:textId="77777777">
      <w:pPr>
        <w:rPr>
          <w:b/>
          <w:bCs/>
        </w:rPr>
        <w:sectPr w:rsidSect="001B33E8">
          <w:footerReference w:type="first" r:id="rId8"/>
          <w:pgSz w:w="12240" w:h="15840" w:code="1"/>
          <w:pgMar w:top="1800" w:right="2160" w:bottom="1440" w:left="2160" w:header="720" w:footer="720" w:gutter="0"/>
          <w:pgNumType w:start="1"/>
          <w:cols w:space="720"/>
          <w:titlePg/>
          <w:docGrid w:linePitch="367"/>
        </w:sectPr>
      </w:pPr>
    </w:p>
    <w:p w:rsidR="002E6E1B" w:rsidRPr="002E6E1B" w:rsidP="002E6E1B" w14:paraId="03FBBEE2" w14:textId="77777777">
      <w:pPr>
        <w:jc w:val="center"/>
        <w:rPr>
          <w:bCs/>
          <w:caps/>
          <w:szCs w:val="27"/>
        </w:rPr>
      </w:pPr>
      <w:r w:rsidRPr="002E6E1B">
        <w:rPr>
          <w:bCs/>
          <w:caps/>
          <w:szCs w:val="27"/>
        </w:rPr>
        <w:t xml:space="preserve">PEOPLE </w:t>
      </w:r>
      <w:r w:rsidRPr="002E6E1B">
        <w:rPr>
          <w:bCs/>
          <w:szCs w:val="27"/>
        </w:rPr>
        <w:t>v</w:t>
      </w:r>
      <w:r w:rsidRPr="002E6E1B">
        <w:rPr>
          <w:bCs/>
          <w:caps/>
          <w:szCs w:val="27"/>
        </w:rPr>
        <w:t xml:space="preserve">. </w:t>
      </w:r>
      <w:bookmarkStart w:id="4" w:name="defendant"/>
      <w:bookmarkEnd w:id="4"/>
      <w:r w:rsidRPr="002E6E1B">
        <w:rPr>
          <w:bCs/>
          <w:caps/>
          <w:szCs w:val="27"/>
        </w:rPr>
        <w:t>BURGOS</w:t>
      </w:r>
    </w:p>
    <w:p w:rsidR="002E6E1B" w:rsidRPr="002E6E1B" w:rsidP="002E6E1B" w14:paraId="6BD6A942" w14:textId="77777777">
      <w:pPr>
        <w:jc w:val="center"/>
        <w:rPr>
          <w:iCs/>
          <w:szCs w:val="27"/>
        </w:rPr>
      </w:pPr>
      <w:r w:rsidRPr="002E6E1B">
        <w:rPr>
          <w:iCs/>
          <w:szCs w:val="27"/>
        </w:rPr>
        <w:t>S</w:t>
      </w:r>
      <w:bookmarkStart w:id="5" w:name="casenum"/>
      <w:bookmarkEnd w:id="5"/>
      <w:r w:rsidRPr="002E6E1B">
        <w:rPr>
          <w:iCs/>
          <w:szCs w:val="27"/>
        </w:rPr>
        <w:t>274743</w:t>
      </w:r>
    </w:p>
    <w:p w:rsidR="002E6E1B" w:rsidRPr="002E6E1B" w:rsidP="002E6E1B" w14:paraId="25283BEB" w14:textId="77777777">
      <w:pPr>
        <w:jc w:val="left"/>
        <w:rPr>
          <w:b/>
          <w:szCs w:val="27"/>
        </w:rPr>
      </w:pPr>
    </w:p>
    <w:p w:rsidR="002E6E1B" w:rsidRPr="002E6E1B" w:rsidP="002E6E1B" w14:paraId="138F726D" w14:textId="77777777">
      <w:pPr>
        <w:jc w:val="center"/>
        <w:rPr>
          <w:bCs/>
          <w:caps/>
          <w:szCs w:val="27"/>
        </w:rPr>
      </w:pPr>
      <w:bookmarkStart w:id="6" w:name="opinion"/>
      <w:bookmarkEnd w:id="6"/>
      <w:r w:rsidRPr="002E6E1B">
        <w:rPr>
          <w:bCs/>
          <w:caps/>
          <w:szCs w:val="27"/>
        </w:rPr>
        <w:t>C</w:t>
      </w:r>
      <w:r w:rsidRPr="002E6E1B">
        <w:rPr>
          <w:bCs/>
          <w:szCs w:val="27"/>
        </w:rPr>
        <w:t>oncurring Opinion by Justice Groban</w:t>
      </w:r>
    </w:p>
    <w:p w:rsidR="002E6E1B" w:rsidRPr="002E6E1B" w:rsidP="002E6E1B" w14:paraId="01258117" w14:textId="77777777">
      <w:pPr>
        <w:jc w:val="left"/>
        <w:rPr>
          <w:szCs w:val="27"/>
        </w:rPr>
      </w:pPr>
    </w:p>
    <w:p w:rsidR="002E6E1B" w:rsidRPr="002E6E1B" w:rsidP="002E6E1B" w14:paraId="16D5F965" w14:textId="77777777">
      <w:pPr>
        <w:ind w:firstLine="720"/>
        <w:rPr>
          <w:szCs w:val="27"/>
        </w:rPr>
      </w:pPr>
      <w:r w:rsidRPr="002E6E1B">
        <w:rPr>
          <w:szCs w:val="27"/>
        </w:rPr>
        <w:t xml:space="preserve">I agree with the majority opinion that the inference of retroactivity from </w:t>
      </w:r>
      <w:r w:rsidRPr="002E6E1B">
        <w:rPr>
          <w:i/>
          <w:iCs/>
          <w:szCs w:val="27"/>
        </w:rPr>
        <w:t>In re Estrada</w:t>
      </w:r>
      <w:r w:rsidRPr="002E6E1B">
        <w:rPr>
          <w:szCs w:val="27"/>
        </w:rPr>
        <w:t xml:space="preserve"> (1965) 63 Cal.2d 740 does not extend to Penal Code section 1109.  (Maj. opn., </w:t>
      </w:r>
      <w:r w:rsidRPr="002E6E1B">
        <w:rPr>
          <w:i/>
          <w:iCs/>
          <w:szCs w:val="27"/>
        </w:rPr>
        <w:t>ante</w:t>
      </w:r>
      <w:r w:rsidRPr="002E6E1B">
        <w:rPr>
          <w:szCs w:val="27"/>
        </w:rPr>
        <w:t>, at p. 2.)  However, I write separately to emphasize a point we have made before: It would be preferable for “the Legislature, and the electorate with respect to ballot measures, to consider the retroactive application of new laws and to regularly express their intent regarding if and how they should be applied retroactively.”  (</w:t>
      </w:r>
      <w:r w:rsidRPr="002E6E1B">
        <w:rPr>
          <w:i/>
          <w:iCs/>
          <w:szCs w:val="27"/>
        </w:rPr>
        <w:t>People v. Prudholme</w:t>
      </w:r>
      <w:r w:rsidRPr="002E6E1B">
        <w:rPr>
          <w:szCs w:val="27"/>
        </w:rPr>
        <w:t xml:space="preserve"> (2023) 14 Cal.5th 961, 980.)  Instead, without an express statement from the Legislature, we are left to attempt to glean what we </w:t>
      </w:r>
      <w:r w:rsidRPr="002E6E1B">
        <w:rPr>
          <w:i/>
          <w:iCs/>
          <w:szCs w:val="27"/>
        </w:rPr>
        <w:t>think</w:t>
      </w:r>
      <w:r w:rsidRPr="002E6E1B">
        <w:rPr>
          <w:szCs w:val="27"/>
        </w:rPr>
        <w:t xml:space="preserve"> the Legislature intended.  In the last 10 years alone, we have been compelled to make a retroactivity determination at least nine times, including the present case.  None of the new laws at issue in these cases contained an express statement regarding retroactivity.</w:t>
      </w:r>
      <w:r>
        <w:rPr>
          <w:b/>
          <w:position w:val="6"/>
          <w:szCs w:val="27"/>
          <w:vertAlign w:val="superscript"/>
        </w:rPr>
        <w:footnoteReference w:id="14"/>
      </w:r>
    </w:p>
    <w:p w:rsidR="002E6E1B" w:rsidRPr="002E6E1B" w:rsidP="002E6E1B" w14:paraId="29CD4759" w14:textId="77777777">
      <w:pPr>
        <w:ind w:firstLine="720"/>
        <w:rPr>
          <w:szCs w:val="27"/>
        </w:rPr>
      </w:pPr>
      <w:r w:rsidRPr="002E6E1B">
        <w:rPr>
          <w:szCs w:val="27"/>
        </w:rPr>
        <w:t xml:space="preserve">Our Courts of Appeal have been compelled to make this determination with even greater regularity.  </w:t>
      </w:r>
      <w:bookmarkStart w:id="7" w:name="_Hlk164333072"/>
      <w:r w:rsidRPr="002E6E1B">
        <w:rPr>
          <w:szCs w:val="27"/>
        </w:rPr>
        <w:t>There have been well over a dozen published Court of Appeal cases in just the last two years that have addressed the retroactivity of new laws where no express statement regarding retroactivity was provided by the Legislature.</w:t>
      </w:r>
      <w:bookmarkEnd w:id="7"/>
      <w:r>
        <w:rPr>
          <w:b/>
          <w:position w:val="6"/>
          <w:szCs w:val="27"/>
          <w:vertAlign w:val="superscript"/>
        </w:rPr>
        <w:footnoteReference w:id="15"/>
      </w:r>
      <w:r w:rsidRPr="002E6E1B">
        <w:rPr>
          <w:szCs w:val="27"/>
          <w:vertAlign w:val="superscript"/>
        </w:rPr>
        <w:t xml:space="preserve"> </w:t>
      </w:r>
    </w:p>
    <w:p w:rsidR="002E6E1B" w:rsidRPr="002E6E1B" w:rsidP="002E6E1B" w14:paraId="4336F464" w14:textId="77777777">
      <w:pPr>
        <w:ind w:firstLine="720"/>
        <w:rPr>
          <w:szCs w:val="27"/>
        </w:rPr>
      </w:pPr>
      <w:r w:rsidRPr="002E6E1B">
        <w:rPr>
          <w:szCs w:val="27"/>
        </w:rPr>
        <w:t xml:space="preserve">Without a clear statement from the Legislature, we scour uncodified legislative findings, declarations of purpose, statements on the floor, and committee reports in an effort to decipher the Legislature’s intent.  This process is admittedly less precise than simply looking to a clear statement in the statute itself.  Indeed, two of my distinguished colleagues here, analyzing exactly the same legislative materials relied on by the majority, have come to the opposite conclusion regarding retroactivity.  (Dis. opn., </w:t>
      </w:r>
      <w:r w:rsidRPr="002E6E1B">
        <w:rPr>
          <w:i/>
          <w:iCs/>
          <w:szCs w:val="27"/>
        </w:rPr>
        <w:t>post</w:t>
      </w:r>
      <w:r w:rsidRPr="002E6E1B">
        <w:rPr>
          <w:szCs w:val="27"/>
        </w:rPr>
        <w:t xml:space="preserve">, at p. 1.)   Going forward, the Legislature can remain silent regarding retroactivity and we will continue to use these less than perfect analytical tools to determine what we believe it meant.  Or, instead, the Legislature can take a more preferable course and plainly state whether or not the statute in question is retroactive. </w:t>
      </w:r>
    </w:p>
    <w:p w:rsidR="002E6E1B" w:rsidRPr="002E6E1B" w:rsidP="002E6E1B" w14:paraId="2E4A745D" w14:textId="77777777">
      <w:pPr>
        <w:ind w:firstLine="720"/>
        <w:rPr>
          <w:szCs w:val="27"/>
        </w:rPr>
      </w:pPr>
    </w:p>
    <w:p w:rsidR="002E6E1B" w:rsidRPr="002E6E1B" w:rsidP="002E6E1B" w14:paraId="795ECF46" w14:textId="78E348EC">
      <w:pPr>
        <w:jc w:val="left"/>
        <w:rPr>
          <w:b/>
          <w:bCs/>
          <w:szCs w:val="27"/>
        </w:rPr>
      </w:pPr>
      <w:r w:rsidRPr="002E6E1B">
        <w:rPr>
          <w:szCs w:val="27"/>
        </w:rPr>
        <w:tab/>
      </w:r>
      <w:r w:rsidRPr="002E6E1B">
        <w:rPr>
          <w:szCs w:val="27"/>
        </w:rPr>
        <w:tab/>
      </w:r>
      <w:r w:rsidRPr="002E6E1B">
        <w:rPr>
          <w:szCs w:val="27"/>
        </w:rPr>
        <w:tab/>
      </w:r>
      <w:r w:rsidRPr="002E6E1B">
        <w:rPr>
          <w:szCs w:val="27"/>
        </w:rPr>
        <w:tab/>
      </w:r>
      <w:r w:rsidRPr="002E6E1B">
        <w:rPr>
          <w:szCs w:val="27"/>
        </w:rPr>
        <w:tab/>
      </w:r>
      <w:r w:rsidRPr="002E6E1B">
        <w:rPr>
          <w:szCs w:val="27"/>
        </w:rPr>
        <w:tab/>
      </w:r>
      <w:r w:rsidRPr="002E6E1B">
        <w:rPr>
          <w:szCs w:val="27"/>
        </w:rPr>
        <w:tab/>
      </w:r>
      <w:r w:rsidRPr="002E6E1B">
        <w:rPr>
          <w:szCs w:val="27"/>
        </w:rPr>
        <w:tab/>
      </w:r>
      <w:r w:rsidRPr="002E6E1B">
        <w:rPr>
          <w:b/>
          <w:bCs/>
          <w:szCs w:val="27"/>
        </w:rPr>
        <w:t>GROBAN, J.</w:t>
      </w:r>
    </w:p>
    <w:p w:rsidR="002E6E1B" w:rsidRPr="002E6E1B" w:rsidP="009470FF" w14:paraId="2BC6B9DB" w14:textId="77777777">
      <w:pPr>
        <w:jc w:val="left"/>
        <w:rPr>
          <w:rFonts w:ascii="Times New Roman" w:hAnsi="Times New Roman"/>
          <w:b/>
          <w:szCs w:val="27"/>
        </w:rPr>
      </w:pPr>
      <w:bookmarkStart w:id="8" w:name="due"/>
      <w:bookmarkStart w:id="9" w:name="calendar"/>
      <w:bookmarkStart w:id="10" w:name="memonum"/>
      <w:bookmarkStart w:id="11" w:name="plaintiff"/>
      <w:bookmarkEnd w:id="8"/>
      <w:bookmarkEnd w:id="9"/>
      <w:bookmarkEnd w:id="10"/>
      <w:bookmarkEnd w:id="11"/>
      <w:r w:rsidRPr="002E6E1B">
        <w:rPr>
          <w:rFonts w:ascii="Times New Roman" w:hAnsi="Times New Roman"/>
          <w:b/>
          <w:szCs w:val="27"/>
        </w:rPr>
        <w:t>I Concur:</w:t>
      </w:r>
    </w:p>
    <w:p w:rsidR="002E6E1B" w:rsidRPr="002E6E1B" w:rsidP="002E6E1B" w14:paraId="0D03E93B" w14:textId="02DAD410">
      <w:pPr>
        <w:spacing w:after="0" w:line="240" w:lineRule="auto"/>
        <w:jc w:val="left"/>
        <w:rPr>
          <w:szCs w:val="27"/>
        </w:rPr>
      </w:pPr>
      <w:r w:rsidRPr="002E6E1B">
        <w:rPr>
          <w:rFonts w:ascii="Times New Roman" w:hAnsi="Times New Roman"/>
          <w:b/>
          <w:szCs w:val="27"/>
          <w:lang w:val="it-IT"/>
        </w:rPr>
        <w:t>CORRIGAN, J.</w:t>
      </w:r>
    </w:p>
    <w:p w:rsidR="002E6E1B" w:rsidP="00C06DCD" w14:paraId="5F3BADF6" w14:textId="77777777">
      <w:pPr>
        <w:rPr>
          <w:b/>
          <w:bCs/>
        </w:rPr>
        <w:sectPr w:rsidSect="00394A4C">
          <w:headerReference w:type="default" r:id="rId9"/>
          <w:footerReference w:type="default" r:id="rId10"/>
          <w:footnotePr>
            <w:numRestart w:val="eachSect"/>
          </w:footnotePr>
          <w:pgSz w:w="12240" w:h="15840"/>
          <w:pgMar w:top="1800" w:right="2160" w:bottom="1440" w:left="2160" w:header="720" w:footer="720" w:gutter="0"/>
          <w:pgNumType w:start="1"/>
          <w:cols w:space="720"/>
          <w:titlePg/>
          <w:docGrid w:linePitch="354"/>
        </w:sectPr>
      </w:pPr>
    </w:p>
    <w:p w:rsidR="00950617" w:rsidRPr="00950617" w:rsidP="00950617" w14:paraId="6EB7E723" w14:textId="77777777">
      <w:pPr>
        <w:jc w:val="center"/>
      </w:pPr>
      <w:r w:rsidRPr="00950617">
        <w:t>PEOPLE v. BURGOS</w:t>
      </w:r>
    </w:p>
    <w:p w:rsidR="00950617" w:rsidRPr="00950617" w:rsidP="00950617" w14:paraId="202B19A9" w14:textId="77777777">
      <w:pPr>
        <w:jc w:val="center"/>
      </w:pPr>
      <w:r w:rsidRPr="00950617">
        <w:t>S274743</w:t>
      </w:r>
    </w:p>
    <w:p w:rsidR="00950617" w:rsidRPr="00950617" w:rsidP="00950617" w14:paraId="30842A42" w14:textId="77777777">
      <w:pPr>
        <w:jc w:val="center"/>
      </w:pPr>
    </w:p>
    <w:p w:rsidR="00950617" w:rsidRPr="00950617" w:rsidP="00950617" w14:paraId="5955F2DA" w14:textId="77777777">
      <w:pPr>
        <w:jc w:val="center"/>
      </w:pPr>
      <w:r w:rsidRPr="00950617">
        <w:t>Dissenting Opinion by Justice Evans</w:t>
      </w:r>
    </w:p>
    <w:p w:rsidR="00950617" w:rsidRPr="00950617" w:rsidP="00950617" w14:paraId="51527CF8" w14:textId="77777777">
      <w:pPr>
        <w:jc w:val="center"/>
      </w:pPr>
    </w:p>
    <w:p w:rsidR="00950617" w:rsidRPr="00950617" w:rsidP="00950617" w14:paraId="649125E3" w14:textId="77777777">
      <w:pPr>
        <w:ind w:firstLine="720"/>
      </w:pPr>
      <w:r w:rsidRPr="00950617">
        <w:t>Whether ameliorative legislation, such as Penal Code section 1109,</w:t>
      </w:r>
      <w:r>
        <w:rPr>
          <w:b/>
          <w:position w:val="4"/>
          <w:vertAlign w:val="superscript"/>
        </w:rPr>
        <w:footnoteReference w:id="16"/>
      </w:r>
      <w:r w:rsidRPr="00950617">
        <w:t xml:space="preserve"> applies retroactively is a question of legislative intent.  (</w:t>
      </w:r>
      <w:r w:rsidRPr="00950617">
        <w:rPr>
          <w:i/>
          <w:iCs/>
        </w:rPr>
        <w:t>In re Estrada</w:t>
      </w:r>
      <w:r w:rsidRPr="00950617">
        <w:t xml:space="preserve"> (1965) 63 Cal.2d 740, 745 (</w:t>
      </w:r>
      <w:r w:rsidRPr="00950617">
        <w:rPr>
          <w:i/>
          <w:iCs/>
        </w:rPr>
        <w:t>Estrada</w:t>
      </w:r>
      <w:r w:rsidRPr="00950617">
        <w:t xml:space="preserve">).)  One may readily discern the Legislature’s intent with respect to section 1109 by examining its text and context, the uncodified legislative findings accompanying its enactment, and its legislative history.  (See </w:t>
      </w:r>
      <w:r w:rsidRPr="00950617">
        <w:rPr>
          <w:i/>
          <w:iCs/>
        </w:rPr>
        <w:t>In re Marriage of Bouquet</w:t>
      </w:r>
      <w:r w:rsidRPr="00950617">
        <w:t xml:space="preserve"> (1976) 16 Cal.3d 583, 587 (</w:t>
      </w:r>
      <w:r w:rsidRPr="00950617">
        <w:rPr>
          <w:i/>
          <w:iCs/>
        </w:rPr>
        <w:t>Bouquet</w:t>
      </w:r>
      <w:r w:rsidRPr="00950617">
        <w:t xml:space="preserve">) [“Consistent with </w:t>
      </w:r>
      <w:r w:rsidRPr="00950617">
        <w:rPr>
          <w:i/>
          <w:iCs/>
        </w:rPr>
        <w:t>Estrada</w:t>
      </w:r>
      <w:r w:rsidRPr="00950617">
        <w:t>’s mandate, we must address ‘all pertinent factors’ when attempting to divine the legislative purpose”].)  That examination convinces me that the Legislature intended this statute, which was explicitly intended to prevent the conviction of innocent defendants, to have retroactive effect.  I therefore respectfully dissent.</w:t>
      </w:r>
    </w:p>
    <w:p w:rsidR="00950617" w:rsidRPr="00950617" w:rsidP="00950617" w14:paraId="2F674F9B" w14:textId="77777777">
      <w:pPr>
        <w:ind w:firstLine="720"/>
      </w:pPr>
      <w:r w:rsidRPr="00950617">
        <w:t>As relevant here, section 1109 grants a criminal defendant who is charged with one or more gang enhancements (§ 186.22, subds. (b), (d)) the right to have the question of guilt be tried in “separate phases” (§ 1109, subd. (a)):  trial on the underlying offense and then, if necessary, trial on the truth of the gang enhancement.  (</w:t>
      </w:r>
      <w:r w:rsidRPr="00950617">
        <w:rPr>
          <w:i/>
          <w:iCs/>
        </w:rPr>
        <w:t>Id.,</w:t>
      </w:r>
      <w:r w:rsidRPr="00950617">
        <w:t xml:space="preserve"> subd. (a)(1) &amp; (2).)  </w:t>
      </w:r>
    </w:p>
    <w:p w:rsidR="00950617" w:rsidRPr="00950617" w:rsidP="00950617" w14:paraId="2965B47E" w14:textId="77777777">
      <w:pPr>
        <w:ind w:firstLine="720"/>
      </w:pPr>
      <w:r w:rsidRPr="00950617">
        <w:t xml:space="preserve">Placing the choice whether to bifurcate proceedings involving a gang enhancement in the defendant’s hands represented a sea change in how gang cases are tried.  Previously, defendants had to rely entirely on the trial court’s discretion to bifurcate trial of a gang enhancement from nongang offenses.  (See </w:t>
      </w:r>
      <w:r w:rsidRPr="00950617">
        <w:rPr>
          <w:i/>
          <w:iCs/>
        </w:rPr>
        <w:t>People v. Hernandez</w:t>
      </w:r>
      <w:r w:rsidRPr="00950617">
        <w:t xml:space="preserve"> (2004) 33 Cal.4th 1040, 1049–1050.)  In practice, that discretion was exercised only “rarely.”  (Sen. Com. on Public Safety, Analysis of Assem. Bill No. 333 (2021</w:t>
      </w:r>
      <w:r w:rsidRPr="00950617">
        <w:softHyphen/>
        <w:t>–2022 Reg. Sess.) as amended May 28, 2021, p. 8.)  Because of what was then regarded as the efficiencies of joinder, courts denied bifurcation even when admission of the gang evidence would have been excluded as “unduly prejudicial” in the trial on the nongang offenses.  (</w:t>
      </w:r>
      <w:r w:rsidRPr="00950617">
        <w:rPr>
          <w:i/>
          <w:iCs/>
        </w:rPr>
        <w:t>Hernandez</w:t>
      </w:r>
      <w:r w:rsidRPr="00950617">
        <w:t xml:space="preserve">, at p. 1050; see Sen. Com. on Public Safety, Analysis of Assem. Bill No. 333, </w:t>
      </w:r>
      <w:r w:rsidRPr="00950617">
        <w:rPr>
          <w:i/>
          <w:iCs/>
        </w:rPr>
        <w:t>supra</w:t>
      </w:r>
      <w:r w:rsidRPr="00950617">
        <w:t xml:space="preserve">, as amended May 28, 2021, at p. 9.)  </w:t>
      </w:r>
    </w:p>
    <w:p w:rsidR="00950617" w:rsidRPr="00950617" w:rsidP="00950617" w14:paraId="3DCA0EAE" w14:textId="77777777">
      <w:pPr>
        <w:ind w:firstLine="720"/>
      </w:pPr>
      <w:r w:rsidRPr="00950617">
        <w:t xml:space="preserve">The legislative history of section 1109 explained the magnitude of the potential prejudice:  evidence supporting a gang enhancement “ ‘may be so extraordinarily prejudicial, and of so little relevance to guilt, that it threatens to sway the jury to convict </w:t>
      </w:r>
      <w:r w:rsidRPr="00950617">
        <w:rPr>
          <w:i/>
          <w:iCs/>
        </w:rPr>
        <w:t>regardless of the defendant’s actual guilt</w:t>
      </w:r>
      <w:r w:rsidRPr="00950617">
        <w:t xml:space="preserve">.’ ”  (Sen. Com. on Public Safety, Analysis of Assem. Bill No. 333, </w:t>
      </w:r>
      <w:r w:rsidRPr="00950617">
        <w:rPr>
          <w:i/>
          <w:iCs/>
        </w:rPr>
        <w:t>supra</w:t>
      </w:r>
      <w:r w:rsidRPr="00950617">
        <w:t xml:space="preserve">, as amended May 28, 2021, p. 8, italics added.)  The legislative history also noted the testimony of a San Joaquin County deputy district attorney and expert on gang prosecutions before the Committee on the Revision of the Penal Code, who “ ‘agreed that bifurcating evidence of gang involvement from evidence related to the underlying charges would reduce the risk of unfairly prejudicing juries and </w:t>
      </w:r>
      <w:r w:rsidRPr="00950617">
        <w:rPr>
          <w:i/>
          <w:iCs/>
        </w:rPr>
        <w:t>convicting innocent people</w:t>
      </w:r>
      <w:r w:rsidRPr="00950617">
        <w:t>.’ ”  (</w:t>
      </w:r>
      <w:r w:rsidRPr="00950617">
        <w:rPr>
          <w:i/>
          <w:iCs/>
        </w:rPr>
        <w:t>Id</w:t>
      </w:r>
      <w:r w:rsidRPr="00950617">
        <w:t xml:space="preserve">. at p. 10, italics added.)  </w:t>
      </w:r>
    </w:p>
    <w:p w:rsidR="00950617" w:rsidRPr="00950617" w:rsidP="00950617" w14:paraId="0BA1F8F0" w14:textId="77777777">
      <w:pPr>
        <w:ind w:firstLine="720"/>
      </w:pPr>
      <w:r w:rsidRPr="00950617">
        <w:t xml:space="preserve">This unfairness was of profound concern to the Legislature.  In clear and forceful language, the Legislature found and declared that “[g]ang enhancement evidence can be unreliable and prejudicial to a jury because it is lumped into evidence of the underlying charges which further perpetuates unfair prejudice in juries and </w:t>
      </w:r>
      <w:r w:rsidRPr="00950617">
        <w:rPr>
          <w:i/>
          <w:iCs/>
        </w:rPr>
        <w:t>convictions of innocent people</w:t>
      </w:r>
      <w:r w:rsidRPr="00950617">
        <w:t>.”  (Stats. 2021, ch. 699, § 2, subd. (d)(6), italics added.)  It relied on studies showing that “allowing a jury to hear the kind of evidence that supports a gang enhancement before it has decided whether the defendant is guilty or not may lead to wrongful convictions” and noted, as a result, that “[t]he mere specter of gang enhancements pressures defendants to accept unfavorable plea deals rather than risk a trial filled with prejudicial evidence and a substantially longer sentence.”  (</w:t>
      </w:r>
      <w:r w:rsidRPr="00950617">
        <w:rPr>
          <w:i/>
          <w:iCs/>
        </w:rPr>
        <w:t>Id</w:t>
      </w:r>
      <w:r w:rsidRPr="00950617">
        <w:t xml:space="preserve">., § 2, subd. (e).)  Citing the 2020 Annual Report of the Committee on Revision of the Penal Code, the Legislature found that this unfairness was borne disproportionately by “people of color, creating a racial disparity.”  (Stats. 2021, ch. 699, § 2, subd. (d)(1).)  </w:t>
      </w:r>
    </w:p>
    <w:p w:rsidR="00950617" w:rsidRPr="00950617" w:rsidP="00950617" w14:paraId="5FD7CCDA" w14:textId="77777777">
      <w:pPr>
        <w:ind w:firstLine="720"/>
      </w:pPr>
      <w:r w:rsidRPr="00950617">
        <w:t>The disparity identified by the Legislature is substantial.  Nearly 90 percent of individuals in the state’s gang database are Black or Latino (Stats. 2021, ch. 699, § 2, subd. (d)(10)), and over 98 percent of people sentenced to prison for a gang enhancement in our state’s largest county are people of color.  (</w:t>
      </w:r>
      <w:r w:rsidRPr="00950617">
        <w:rPr>
          <w:i/>
          <w:iCs/>
        </w:rPr>
        <w:t>Id</w:t>
      </w:r>
      <w:r w:rsidRPr="00950617">
        <w:t>., subd. (d)(4).)  The Legislature further found that “gang enhancement statutes criminalize entire neighborhoods historically impacted by poverty, racial inequality, and mass incarceration as they punish people based on their cultural identity, who they know, and where they live.”  (</w:t>
      </w:r>
      <w:r w:rsidRPr="00950617">
        <w:rPr>
          <w:i/>
          <w:iCs/>
        </w:rPr>
        <w:t>Id</w:t>
      </w:r>
      <w:r w:rsidRPr="00950617">
        <w:t xml:space="preserve">., subd. (a).) </w:t>
      </w:r>
    </w:p>
    <w:p w:rsidR="00950617" w:rsidRPr="00950617" w:rsidP="00950617" w14:paraId="74DAB3D7" w14:textId="77777777">
      <w:pPr>
        <w:ind w:firstLine="720"/>
      </w:pPr>
      <w:r w:rsidRPr="00950617">
        <w:t>Like the Court of Appeal below, I believe the Legislature’s concern about the conviction of innocent defendants indicates it wanted to extend the benefit of this ameliorative statute “to every case to which it constitutionally could apply.”  (</w:t>
      </w:r>
      <w:r w:rsidRPr="00950617">
        <w:rPr>
          <w:i/>
          <w:iCs/>
        </w:rPr>
        <w:t>Estrada</w:t>
      </w:r>
      <w:r w:rsidRPr="00950617">
        <w:t xml:space="preserve">, </w:t>
      </w:r>
      <w:r w:rsidRPr="00950617">
        <w:rPr>
          <w:i/>
          <w:iCs/>
        </w:rPr>
        <w:t>supra</w:t>
      </w:r>
      <w:r w:rsidRPr="00950617">
        <w:t>, 63 Cal.2d at p. 745.)  Legislatures as well as courts are aware that avoiding “the injustice that results from the conviction of an innocent person has long been at the core of our criminal justice system.”  (</w:t>
      </w:r>
      <w:r w:rsidRPr="00950617">
        <w:rPr>
          <w:i/>
          <w:iCs/>
        </w:rPr>
        <w:t>Schlup v. Delo</w:t>
      </w:r>
      <w:r w:rsidRPr="00950617">
        <w:t xml:space="preserve"> (1995) 513 U.S. 298, 325.)  A legal maxim, well known to lawyers and nonlawyers alike, states “ ‘that it is better that ninety-nine . . . offenders should escape, than that one innocent man should be condemned.’ ”  (</w:t>
      </w:r>
      <w:r w:rsidRPr="00950617">
        <w:rPr>
          <w:i/>
          <w:iCs/>
        </w:rPr>
        <w:t>Ibid</w:t>
      </w:r>
      <w:r w:rsidRPr="00950617">
        <w:t>.)  Against this shared background, the Legislature’s explicit concern about preventing “wrongful convictions” of “innocent people” (Stats. 2021, ch. 699, § 2, subds. (e), (d)(6)), which it supported with empirical studies (</w:t>
      </w:r>
      <w:r w:rsidRPr="00950617">
        <w:rPr>
          <w:i/>
          <w:iCs/>
        </w:rPr>
        <w:t>id</w:t>
      </w:r>
      <w:r w:rsidRPr="00950617">
        <w:t xml:space="preserve">., subd. (e)), cannot reasonably be read as “equivocal.”  (Maj. opn., </w:t>
      </w:r>
      <w:r w:rsidRPr="00950617">
        <w:rPr>
          <w:i/>
          <w:iCs/>
        </w:rPr>
        <w:t>ante</w:t>
      </w:r>
      <w:r w:rsidRPr="00950617">
        <w:t xml:space="preserve">, at p. 21.) </w:t>
      </w:r>
    </w:p>
    <w:p w:rsidR="00950617" w:rsidRPr="00950617" w:rsidP="00950617" w14:paraId="0532277C" w14:textId="77777777">
      <w:pPr>
        <w:ind w:firstLine="720"/>
      </w:pPr>
      <w:r w:rsidRPr="00950617">
        <w:t>In short, section 1109 is an ameliorative statute that by design and function is aimed at preventing the conviction of innocent defendants.  It is an “obvious” and “inevitable” inference the Legislature would have been as concerned about wrongful convictions of innocent people that were then occurring or already had occurred as it was about wrongful convictions that could occur three months later, once the statute took effect.  (</w:t>
      </w:r>
      <w:r w:rsidRPr="00950617">
        <w:rPr>
          <w:i/>
          <w:iCs/>
        </w:rPr>
        <w:t>Estrada</w:t>
      </w:r>
      <w:r w:rsidRPr="00950617">
        <w:t xml:space="preserve">, </w:t>
      </w:r>
      <w:r w:rsidRPr="00950617">
        <w:rPr>
          <w:i/>
          <w:iCs/>
        </w:rPr>
        <w:t>supra</w:t>
      </w:r>
      <w:r w:rsidRPr="00950617">
        <w:t xml:space="preserve">, 63 Cal.2d at p. 745; cf. </w:t>
      </w:r>
      <w:r w:rsidRPr="00950617">
        <w:rPr>
          <w:i/>
          <w:iCs/>
        </w:rPr>
        <w:t>In re Johnson</w:t>
      </w:r>
      <w:r w:rsidRPr="00950617">
        <w:t xml:space="preserve"> (1970) 3 Cal.3d 404, 413 [“the more directly the new rule in question serves to preclude the conviction of innocent persons, the more likely it is that the rule will be afforded retrospective application”].)  “[T]o hold otherwise would be to conclude that the Legislature was motivated by a desire for vengeance,” as there can be no penological justification for denying the benefit of section 1109 to innocent defendants whose convictions are not yet final.  (</w:t>
      </w:r>
      <w:r w:rsidRPr="00950617">
        <w:rPr>
          <w:i/>
          <w:iCs/>
        </w:rPr>
        <w:t>Estrada</w:t>
      </w:r>
      <w:r w:rsidRPr="00950617">
        <w:t xml:space="preserve">, at p. 745.)  </w:t>
      </w:r>
    </w:p>
    <w:p w:rsidR="00950617" w:rsidRPr="00950617" w:rsidP="00950617" w14:paraId="70217492" w14:textId="77777777">
      <w:pPr>
        <w:ind w:firstLine="720"/>
      </w:pPr>
      <w:r w:rsidRPr="00950617">
        <w:t xml:space="preserve">Consequently, this is yet another instance where the “ ‘logic’ ” and “rationale” (maj. opn., </w:t>
      </w:r>
      <w:r w:rsidRPr="00950617">
        <w:rPr>
          <w:i/>
          <w:iCs/>
        </w:rPr>
        <w:t>ante</w:t>
      </w:r>
      <w:r w:rsidRPr="00950617">
        <w:t xml:space="preserve">, at pp. 12–13) of </w:t>
      </w:r>
      <w:r w:rsidRPr="00950617">
        <w:rPr>
          <w:i/>
          <w:iCs/>
        </w:rPr>
        <w:t>Estrada</w:t>
      </w:r>
      <w:r w:rsidRPr="00950617">
        <w:t xml:space="preserve"> require a statute to be applied retroactively.  As we have previously explained, section 3’s presumption of prospective effect does not apply to “new provisions” — like the one here — “which clearly benefit only defendants.”  (</w:t>
      </w:r>
      <w:r w:rsidRPr="00950617">
        <w:rPr>
          <w:i/>
          <w:iCs/>
        </w:rPr>
        <w:t>Tapia v. Superior Court</w:t>
      </w:r>
      <w:r w:rsidRPr="00950617">
        <w:t xml:space="preserve"> (1991) 53 Cal.3d 282, 300; see </w:t>
      </w:r>
      <w:r w:rsidRPr="00950617">
        <w:rPr>
          <w:i/>
          <w:iCs/>
        </w:rPr>
        <w:t>People v. Conley</w:t>
      </w:r>
      <w:r w:rsidRPr="00950617">
        <w:t xml:space="preserve"> (2016) 63 Cal.4th 646, 657 (</w:t>
      </w:r>
      <w:r w:rsidRPr="00950617">
        <w:rPr>
          <w:i/>
          <w:iCs/>
        </w:rPr>
        <w:t>Conley</w:t>
      </w:r>
      <w:r w:rsidRPr="00950617">
        <w:t xml:space="preserve">) [“The </w:t>
      </w:r>
      <w:r w:rsidRPr="00950617">
        <w:rPr>
          <w:i/>
          <w:iCs/>
        </w:rPr>
        <w:t>Estrada</w:t>
      </w:r>
      <w:r w:rsidRPr="00950617">
        <w:t xml:space="preserve"> rule rests on an inference that, in the absence of contrary indications, a legislative body ordinarily intends for ameliorative changes to the criminal law to extend as broadly as possible”].)  Section 1109 should therefore be given retroactive effect.</w:t>
      </w:r>
    </w:p>
    <w:p w:rsidR="00950617" w:rsidRPr="00950617" w:rsidP="00950617" w14:paraId="4E81EB8A" w14:textId="77777777">
      <w:pPr>
        <w:keepNext/>
        <w:spacing w:before="140" w:line="240" w:lineRule="atLeast"/>
        <w:jc w:val="center"/>
        <w:outlineLvl w:val="0"/>
        <w:rPr>
          <w:b/>
          <w:smallCaps/>
        </w:rPr>
      </w:pPr>
      <w:r w:rsidRPr="00950617">
        <w:rPr>
          <w:b/>
          <w:smallCaps/>
        </w:rPr>
        <w:t xml:space="preserve">I. </w:t>
      </w:r>
    </w:p>
    <w:p w:rsidR="00950617" w:rsidRPr="00950617" w:rsidP="00950617" w14:paraId="6935F98D" w14:textId="77777777">
      <w:pPr>
        <w:ind w:firstLine="720"/>
      </w:pPr>
      <w:r w:rsidRPr="00950617">
        <w:t xml:space="preserve">The majority opinion evades this conclusion by disregarding the development of the </w:t>
      </w:r>
      <w:r w:rsidRPr="00950617">
        <w:rPr>
          <w:i/>
          <w:iCs/>
        </w:rPr>
        <w:t>Estrada</w:t>
      </w:r>
      <w:r w:rsidRPr="00950617">
        <w:t xml:space="preserve"> doctrine over the past several decades and focusing instead only on the narrow question whether the statute here “mitigate[s] punishment.”  (Maj. opn., </w:t>
      </w:r>
      <w:r w:rsidRPr="00950617">
        <w:rPr>
          <w:i/>
          <w:iCs/>
        </w:rPr>
        <w:t>ante</w:t>
      </w:r>
      <w:r w:rsidRPr="00950617">
        <w:t xml:space="preserve">, at p. 34.)  While it is true that the particular statute in </w:t>
      </w:r>
      <w:r w:rsidRPr="00950617">
        <w:rPr>
          <w:i/>
          <w:iCs/>
        </w:rPr>
        <w:t>Estrada</w:t>
      </w:r>
      <w:r w:rsidRPr="00950617">
        <w:t xml:space="preserve"> did act “to lessen the punishment” (</w:t>
      </w:r>
      <w:bookmarkStart w:id="12" w:name="_Hlk164686050"/>
      <w:r w:rsidRPr="00950617">
        <w:rPr>
          <w:i/>
          <w:iCs/>
        </w:rPr>
        <w:t>Estrada</w:t>
      </w:r>
      <w:r w:rsidRPr="00950617">
        <w:t xml:space="preserve">, </w:t>
      </w:r>
      <w:r w:rsidRPr="00950617">
        <w:rPr>
          <w:i/>
          <w:iCs/>
        </w:rPr>
        <w:t>supra</w:t>
      </w:r>
      <w:r w:rsidRPr="00950617">
        <w:t>, 63 Cal.2d at p. 745</w:t>
      </w:r>
      <w:bookmarkEnd w:id="12"/>
      <w:r w:rsidRPr="00950617">
        <w:t xml:space="preserve">), we have long since recognized that </w:t>
      </w:r>
      <w:r w:rsidRPr="00950617">
        <w:rPr>
          <w:i/>
          <w:iCs/>
        </w:rPr>
        <w:t>Estrada</w:t>
      </w:r>
      <w:r w:rsidRPr="00950617">
        <w:t xml:space="preserve"> can apply to many other types of statutes, including those that “created an affirmative defense” (maj. opn., </w:t>
      </w:r>
      <w:r w:rsidRPr="00950617">
        <w:rPr>
          <w:i/>
          <w:iCs/>
        </w:rPr>
        <w:t>ante</w:t>
      </w:r>
      <w:r w:rsidRPr="00950617">
        <w:t>, at p. 10), “contracted a criminal offense” (</w:t>
      </w:r>
      <w:r w:rsidRPr="00950617">
        <w:rPr>
          <w:i/>
          <w:iCs/>
        </w:rPr>
        <w:t>ibid</w:t>
      </w:r>
      <w:r w:rsidRPr="00950617">
        <w:t>.), or granted courts “</w:t>
      </w:r>
      <w:r w:rsidRPr="00950617">
        <w:rPr>
          <w:i/>
          <w:iCs/>
        </w:rPr>
        <w:t>discretion</w:t>
      </w:r>
      <w:r w:rsidRPr="00950617">
        <w:t xml:space="preserve"> to impose lesser punishment” (</w:t>
      </w:r>
      <w:r w:rsidRPr="00950617">
        <w:rPr>
          <w:i/>
          <w:iCs/>
        </w:rPr>
        <w:t>ibid</w:t>
      </w:r>
      <w:r w:rsidRPr="00950617">
        <w:t>., italics added).  Our precedent likewise holds that a statute may be retroactive even when it is not restricted to “a particular crime” (</w:t>
      </w:r>
      <w:r w:rsidRPr="00950617">
        <w:rPr>
          <w:i/>
          <w:iCs/>
        </w:rPr>
        <w:t>id.</w:t>
      </w:r>
      <w:r w:rsidRPr="00950617">
        <w:t xml:space="preserve"> at p. 11) and even though “</w:t>
      </w:r>
      <w:r w:rsidRPr="00950617">
        <w:rPr>
          <w:i/>
          <w:iCs/>
        </w:rPr>
        <w:t>Estrada</w:t>
      </w:r>
      <w:r w:rsidRPr="00950617">
        <w:t xml:space="preserve"> was not directly on point,” so long as “ ‘its rationale’ ” or “ ‘logic’ ” applies (</w:t>
      </w:r>
      <w:r w:rsidRPr="00950617">
        <w:rPr>
          <w:i/>
          <w:iCs/>
        </w:rPr>
        <w:t>id</w:t>
      </w:r>
      <w:r w:rsidRPr="00950617">
        <w:t xml:space="preserve">., at pp. 11, 16).  </w:t>
      </w:r>
    </w:p>
    <w:p w:rsidR="00950617" w:rsidRPr="00950617" w:rsidP="00950617" w14:paraId="56B3900E" w14:textId="77777777">
      <w:pPr>
        <w:ind w:firstLine="720"/>
      </w:pPr>
      <w:r w:rsidRPr="00950617">
        <w:t xml:space="preserve">The foregoing amply demonstrates the folly of an unduly narrow focus on whether an ameliorative statute has a particular kind of effect on punishment.  Consider </w:t>
      </w:r>
      <w:r w:rsidRPr="00950617">
        <w:rPr>
          <w:i/>
          <w:iCs/>
        </w:rPr>
        <w:t>People v. Brown</w:t>
      </w:r>
      <w:r w:rsidRPr="00950617">
        <w:t xml:space="preserve"> (2012) 54 Cal.4th 314 (</w:t>
      </w:r>
      <w:r w:rsidRPr="00950617">
        <w:rPr>
          <w:i/>
          <w:iCs/>
        </w:rPr>
        <w:t>Brown</w:t>
      </w:r>
      <w:r w:rsidRPr="00950617">
        <w:t xml:space="preserve">), which similarly attempted to cabin </w:t>
      </w:r>
      <w:r w:rsidRPr="00950617">
        <w:rPr>
          <w:i/>
          <w:iCs/>
        </w:rPr>
        <w:t>Estrada</w:t>
      </w:r>
      <w:r w:rsidRPr="00950617">
        <w:t xml:space="preserve">’s scope only to the specific circumstances which, to that point, our case law happened to have addressed.  In rejecting an attempt to make retroactive a temporary increase in the rate at which county jail inmates could earn conduct credits, </w:t>
      </w:r>
      <w:r w:rsidRPr="00950617">
        <w:rPr>
          <w:i/>
          <w:iCs/>
        </w:rPr>
        <w:t>Brown</w:t>
      </w:r>
      <w:r w:rsidRPr="00950617">
        <w:t xml:space="preserve"> purported to limit </w:t>
      </w:r>
      <w:r w:rsidRPr="00950617">
        <w:rPr>
          <w:i/>
          <w:iCs/>
        </w:rPr>
        <w:t>Estrada</w:t>
      </w:r>
      <w:r w:rsidRPr="00950617">
        <w:t xml:space="preserve"> to “ ‘ “[a] legislative mitigation of the penalty </w:t>
      </w:r>
      <w:r w:rsidRPr="00950617">
        <w:rPr>
          <w:i/>
          <w:iCs/>
        </w:rPr>
        <w:t>for a particular crime</w:t>
      </w:r>
      <w:r w:rsidRPr="00950617">
        <w:t xml:space="preserve">” ’ ” and deemed it significant that the increase in credits for good behavior “does not represent a judgment about the needs of the criminal law with respect to </w:t>
      </w:r>
      <w:r w:rsidRPr="00950617">
        <w:rPr>
          <w:i/>
          <w:iCs/>
        </w:rPr>
        <w:t>a particular criminal offense</w:t>
      </w:r>
      <w:r w:rsidRPr="00950617">
        <w:t>.”  (</w:t>
      </w:r>
      <w:r w:rsidRPr="00950617">
        <w:rPr>
          <w:i/>
          <w:iCs/>
        </w:rPr>
        <w:t>Brown</w:t>
      </w:r>
      <w:r w:rsidRPr="00950617">
        <w:t xml:space="preserve">, at p. 325, second italics added.)  </w:t>
      </w:r>
    </w:p>
    <w:p w:rsidR="00950617" w:rsidRPr="00950617" w:rsidP="00950617" w14:paraId="41AA5043" w14:textId="77777777">
      <w:pPr>
        <w:ind w:firstLine="720"/>
      </w:pPr>
      <w:r w:rsidRPr="00950617">
        <w:t xml:space="preserve">A few years later, however, we reversed field and repudiated </w:t>
      </w:r>
      <w:r w:rsidRPr="00950617">
        <w:rPr>
          <w:i/>
          <w:iCs/>
        </w:rPr>
        <w:t>Brown</w:t>
      </w:r>
      <w:r w:rsidRPr="00950617">
        <w:t xml:space="preserve">’s narrow reading of </w:t>
      </w:r>
      <w:r w:rsidRPr="00950617">
        <w:rPr>
          <w:i/>
          <w:iCs/>
        </w:rPr>
        <w:t>Estrada</w:t>
      </w:r>
      <w:r w:rsidRPr="00950617">
        <w:t xml:space="preserve">.  We deemed it irrelevant that a new procedural provision prohibiting prosecutors from charging juveniles with crimes directly in adult court, and instead conditioning transfer to adult court on a fitness hearing in juvenile court, “did not ameliorate the punishment, or possible punishment, </w:t>
      </w:r>
      <w:r w:rsidRPr="00950617">
        <w:rPr>
          <w:i/>
          <w:iCs/>
        </w:rPr>
        <w:t>for a particular crime</w:t>
      </w:r>
      <w:r w:rsidRPr="00950617">
        <w:t>.”  (</w:t>
      </w:r>
      <w:r w:rsidRPr="00950617">
        <w:rPr>
          <w:i/>
          <w:iCs/>
        </w:rPr>
        <w:t xml:space="preserve">People v. Superior Court </w:t>
      </w:r>
      <w:r w:rsidRPr="00950617">
        <w:t>(</w:t>
      </w:r>
      <w:r w:rsidRPr="00950617">
        <w:rPr>
          <w:i/>
          <w:iCs/>
        </w:rPr>
        <w:t>Lara</w:t>
      </w:r>
      <w:r w:rsidRPr="00950617">
        <w:t>) (2018) 4 Cal.5th 299, 308, italics added (</w:t>
      </w:r>
      <w:r w:rsidRPr="00950617">
        <w:rPr>
          <w:i/>
          <w:iCs/>
        </w:rPr>
        <w:t>Lara</w:t>
      </w:r>
      <w:r w:rsidRPr="00950617">
        <w:t xml:space="preserve">).)  Although the “effect” of the new rule was “different from the statutory changes in </w:t>
      </w:r>
      <w:r w:rsidRPr="00950617">
        <w:rPr>
          <w:i/>
          <w:iCs/>
        </w:rPr>
        <w:t>Estrada</w:t>
      </w:r>
      <w:r w:rsidRPr="00950617">
        <w:t>,” we reasoned that “the same inference of retroactivity should apply” because “[t]he possibility of being treated as a juvenile in juvenile court . . . can result in dramatically different and more lenient treatment.”  (</w:t>
      </w:r>
      <w:r w:rsidRPr="00950617">
        <w:rPr>
          <w:i/>
          <w:iCs/>
        </w:rPr>
        <w:t>Lara</w:t>
      </w:r>
      <w:r w:rsidRPr="00950617">
        <w:t xml:space="preserve">, at pp. 308, 303.)  Shortly after that, we applied the </w:t>
      </w:r>
      <w:r w:rsidRPr="00950617">
        <w:rPr>
          <w:i/>
          <w:iCs/>
        </w:rPr>
        <w:t>Estrada</w:t>
      </w:r>
      <w:r w:rsidRPr="00950617">
        <w:t xml:space="preserve"> retroactivity exception to a new legislative scheme that, for most charged felonies, offered defendants the possibility of mental health diversion.  (</w:t>
      </w:r>
      <w:r w:rsidRPr="00950617">
        <w:rPr>
          <w:i/>
          <w:iCs/>
        </w:rPr>
        <w:t>People v. Frahs</w:t>
      </w:r>
      <w:r w:rsidRPr="00950617">
        <w:t xml:space="preserve"> (2020) 9 Cal.5th 618 (</w:t>
      </w:r>
      <w:r w:rsidRPr="00950617">
        <w:rPr>
          <w:i/>
          <w:iCs/>
        </w:rPr>
        <w:t>Frahs</w:t>
      </w:r>
      <w:r w:rsidRPr="00950617">
        <w:t xml:space="preserve">).)  And in </w:t>
      </w:r>
      <w:r w:rsidRPr="00950617">
        <w:rPr>
          <w:i/>
          <w:iCs/>
        </w:rPr>
        <w:t>People v. Prudholme</w:t>
      </w:r>
      <w:r w:rsidRPr="00950617">
        <w:t xml:space="preserve"> (2023) 14 Cal.5th 961 (</w:t>
      </w:r>
      <w:r w:rsidRPr="00950617">
        <w:rPr>
          <w:i/>
          <w:iCs/>
        </w:rPr>
        <w:t>Prudholme</w:t>
      </w:r>
      <w:r w:rsidRPr="00950617">
        <w:t xml:space="preserve">), we applied the </w:t>
      </w:r>
      <w:r w:rsidRPr="00950617">
        <w:rPr>
          <w:i/>
          <w:iCs/>
        </w:rPr>
        <w:t>Estrada</w:t>
      </w:r>
      <w:r w:rsidRPr="00950617">
        <w:t xml:space="preserve"> retroactivity exception to a statute reducing the maximum allowable probation term for a wide range of offenses, despite the fact that the new statute was not limited to “any particular offense” (</w:t>
      </w:r>
      <w:r w:rsidRPr="00950617">
        <w:rPr>
          <w:i/>
          <w:iCs/>
        </w:rPr>
        <w:t>id</w:t>
      </w:r>
      <w:r w:rsidRPr="00950617">
        <w:t>. at p. 976) and did not even involve “punishment” but instead modified the terms of “an act of leniency” (</w:t>
      </w:r>
      <w:r w:rsidRPr="00950617">
        <w:rPr>
          <w:i/>
          <w:iCs/>
        </w:rPr>
        <w:t>id</w:t>
      </w:r>
      <w:r w:rsidRPr="00950617">
        <w:t xml:space="preserve">. at p. 968) — and despite the fact that </w:t>
      </w:r>
      <w:r w:rsidRPr="00950617">
        <w:rPr>
          <w:i/>
          <w:iCs/>
        </w:rPr>
        <w:t>Estrada</w:t>
      </w:r>
      <w:r w:rsidRPr="00950617">
        <w:t xml:space="preserve"> was “not directly on point” (</w:t>
      </w:r>
      <w:r w:rsidRPr="00950617">
        <w:rPr>
          <w:i/>
          <w:iCs/>
        </w:rPr>
        <w:t>ibid</w:t>
      </w:r>
      <w:r w:rsidRPr="00950617">
        <w:t xml:space="preserve">.).  </w:t>
      </w:r>
    </w:p>
    <w:p w:rsidR="00950617" w:rsidRPr="00950617" w:rsidP="00950617" w14:paraId="3DD5F8C0" w14:textId="77777777">
      <w:pPr>
        <w:ind w:firstLine="720"/>
      </w:pPr>
      <w:r w:rsidRPr="00950617">
        <w:t xml:space="preserve">What mattered in </w:t>
      </w:r>
      <w:r w:rsidRPr="00950617">
        <w:rPr>
          <w:i/>
          <w:iCs/>
        </w:rPr>
        <w:t>Prudholme</w:t>
      </w:r>
      <w:r w:rsidRPr="00950617">
        <w:t xml:space="preserve">, as well as in these other cases, was not whether the particular statute made a “punishment-mitigating change[]” (maj. opn., </w:t>
      </w:r>
      <w:r w:rsidRPr="00950617">
        <w:rPr>
          <w:i/>
          <w:iCs/>
        </w:rPr>
        <w:t>ante</w:t>
      </w:r>
      <w:r w:rsidRPr="00950617">
        <w:t xml:space="preserve">, at p. 36) nor whether the statute happened to mirror statutes we had previously deemed to be retroactive under </w:t>
      </w:r>
      <w:r w:rsidRPr="00950617">
        <w:rPr>
          <w:i/>
          <w:iCs/>
        </w:rPr>
        <w:t>Estrada</w:t>
      </w:r>
      <w:r w:rsidRPr="00950617">
        <w:t xml:space="preserve">, but whether the “rationale of </w:t>
      </w:r>
      <w:r w:rsidRPr="00950617">
        <w:rPr>
          <w:i/>
          <w:iCs/>
        </w:rPr>
        <w:t>Estrada</w:t>
      </w:r>
      <w:r w:rsidRPr="00950617">
        <w:t>” applied.  (</w:t>
      </w:r>
      <w:r w:rsidRPr="00950617">
        <w:rPr>
          <w:i/>
          <w:iCs/>
        </w:rPr>
        <w:t>Prudholme</w:t>
      </w:r>
      <w:r w:rsidRPr="00950617">
        <w:t xml:space="preserve">, </w:t>
      </w:r>
      <w:r w:rsidRPr="00950617">
        <w:rPr>
          <w:i/>
          <w:iCs/>
        </w:rPr>
        <w:t>supra</w:t>
      </w:r>
      <w:r w:rsidRPr="00950617">
        <w:t>, 14 Cal.5th at p. 968.)  That rationale inquires whether the statute “by design and function provides a possible ameliorating benefit” (</w:t>
      </w:r>
      <w:r w:rsidRPr="00950617">
        <w:rPr>
          <w:i/>
          <w:iCs/>
        </w:rPr>
        <w:t>Frahs</w:t>
      </w:r>
      <w:r w:rsidRPr="00950617">
        <w:t xml:space="preserve">, </w:t>
      </w:r>
      <w:r w:rsidRPr="00950617">
        <w:rPr>
          <w:i/>
          <w:iCs/>
        </w:rPr>
        <w:t>supra</w:t>
      </w:r>
      <w:r w:rsidRPr="00950617">
        <w:t xml:space="preserve">, 9 Cal.5th at p. 624) as to punishment (see </w:t>
      </w:r>
      <w:r w:rsidRPr="00950617">
        <w:rPr>
          <w:i/>
          <w:iCs/>
        </w:rPr>
        <w:t>Estrada</w:t>
      </w:r>
      <w:r w:rsidRPr="00950617">
        <w:t xml:space="preserve">, </w:t>
      </w:r>
      <w:r w:rsidRPr="00950617">
        <w:rPr>
          <w:i/>
          <w:iCs/>
        </w:rPr>
        <w:t>supra</w:t>
      </w:r>
      <w:r w:rsidRPr="00950617">
        <w:t xml:space="preserve">, 63 Cal.2d at p. 745) </w:t>
      </w:r>
      <w:r w:rsidRPr="00950617">
        <w:rPr>
          <w:i/>
          <w:iCs/>
        </w:rPr>
        <w:t>or</w:t>
      </w:r>
      <w:r w:rsidRPr="00950617">
        <w:t xml:space="preserve"> as to the issue of guilt or innocence (see </w:t>
      </w:r>
      <w:r w:rsidRPr="00950617">
        <w:rPr>
          <w:i/>
          <w:iCs/>
        </w:rPr>
        <w:t>People v. Wright</w:t>
      </w:r>
      <w:r w:rsidRPr="00950617">
        <w:t xml:space="preserve"> (2006) 40 Cal.4th 81, 95 [newly enacted affirmative defense]) for an identifiable “class of persons” (</w:t>
      </w:r>
      <w:r w:rsidRPr="00950617">
        <w:rPr>
          <w:i/>
          <w:iCs/>
        </w:rPr>
        <w:t>Lara</w:t>
      </w:r>
      <w:r w:rsidRPr="00950617">
        <w:t xml:space="preserve">, </w:t>
      </w:r>
      <w:r w:rsidRPr="00950617">
        <w:rPr>
          <w:i/>
          <w:iCs/>
        </w:rPr>
        <w:t>supra</w:t>
      </w:r>
      <w:r w:rsidRPr="00950617">
        <w:t xml:space="preserve">, 4 Cal.5th at p. 308; </w:t>
      </w:r>
      <w:r w:rsidRPr="00950617">
        <w:rPr>
          <w:i/>
          <w:iCs/>
        </w:rPr>
        <w:t>Frahs</w:t>
      </w:r>
      <w:r w:rsidRPr="00950617">
        <w:t xml:space="preserve">, at p. 624).  Where, as here, the Legislature enacts an ameliorative statute aimed at benefiting defendants, it “represents a legislative judgment that the lesser penalty </w:t>
      </w:r>
      <w:r w:rsidRPr="00950617">
        <w:rPr>
          <w:i/>
          <w:iCs/>
        </w:rPr>
        <w:t>or the different treatment</w:t>
      </w:r>
      <w:r w:rsidRPr="00950617">
        <w:t xml:space="preserve"> is sufficient to meet the legitimate ends of the criminal law.”  (</w:t>
      </w:r>
      <w:r w:rsidRPr="00950617">
        <w:rPr>
          <w:i/>
          <w:iCs/>
        </w:rPr>
        <w:t>Estrada</w:t>
      </w:r>
      <w:r w:rsidRPr="00950617">
        <w:t>, at p. 745, italics added.)</w:t>
      </w:r>
    </w:p>
    <w:p w:rsidR="00950617" w:rsidRPr="00950617" w:rsidP="00950617" w14:paraId="54B4B27E" w14:textId="77777777">
      <w:pPr>
        <w:ind w:firstLine="720"/>
      </w:pPr>
      <w:r w:rsidRPr="00950617">
        <w:t xml:space="preserve">Even if the test for retroactivity were limited to whether the statute reflected an intent to lessen punishment, section 1109 certainly satisfies the test.  The Legislature explicitly contemplated that bifurcating trial on a gang enhancement from trial on the underlying felony — like a statute narrowing the definition of a crime or recognizing a new affirmative defense — would significantly increase the possibility of acquittal and thereby “ ‘reduce the possibility of punishment.’ ”  (Maj. opn., </w:t>
      </w:r>
      <w:r w:rsidRPr="00950617">
        <w:rPr>
          <w:i/>
          <w:iCs/>
        </w:rPr>
        <w:t>ante</w:t>
      </w:r>
      <w:r w:rsidRPr="00950617">
        <w:t xml:space="preserve">, at p. 35.)  It is true that section 1109 is procedural, but (as the majority concedes (see maj. opn., </w:t>
      </w:r>
      <w:r w:rsidRPr="00950617">
        <w:rPr>
          <w:i/>
          <w:iCs/>
        </w:rPr>
        <w:t>ante</w:t>
      </w:r>
      <w:r w:rsidRPr="00950617">
        <w:t xml:space="preserve">, at p. 26)) so too were the statutes we considered in </w:t>
      </w:r>
      <w:r w:rsidRPr="00950617">
        <w:rPr>
          <w:i/>
          <w:iCs/>
        </w:rPr>
        <w:t>Lara</w:t>
      </w:r>
      <w:r w:rsidRPr="00950617">
        <w:t xml:space="preserve"> and </w:t>
      </w:r>
      <w:r w:rsidRPr="00950617">
        <w:rPr>
          <w:i/>
          <w:iCs/>
        </w:rPr>
        <w:t>Frahs</w:t>
      </w:r>
      <w:r w:rsidRPr="00950617">
        <w:t xml:space="preserve">.  (See also </w:t>
      </w:r>
      <w:r w:rsidRPr="00950617">
        <w:rPr>
          <w:i/>
          <w:iCs/>
        </w:rPr>
        <w:t>People v. Stamps</w:t>
      </w:r>
      <w:r w:rsidRPr="00950617">
        <w:t xml:space="preserve"> (2020) 9 Cal.5th 685, 699 [statute “[e]liminating the prior restriction on the court’s ability to strike a serious felony enhancement”]; </w:t>
      </w:r>
      <w:r w:rsidRPr="00950617">
        <w:rPr>
          <w:i/>
          <w:iCs/>
        </w:rPr>
        <w:t>People v. Francis</w:t>
      </w:r>
      <w:r w:rsidRPr="00950617">
        <w:t xml:space="preserve"> (1969) 71 Cal.2d 66, 76 [statute “vest[ing] in the trial court discretion to impose either the same penalty as under the former law or a lesser penalty”].)  Section 1109, like these other procedural statutes, is retroactive because it reflects an intent to “ma[k]e a reduced punishment </w:t>
      </w:r>
      <w:r w:rsidRPr="00950617">
        <w:rPr>
          <w:i/>
          <w:iCs/>
        </w:rPr>
        <w:t>possible</w:t>
      </w:r>
      <w:r w:rsidRPr="00950617">
        <w:t>.”  (</w:t>
      </w:r>
      <w:r w:rsidRPr="00950617">
        <w:rPr>
          <w:i/>
          <w:iCs/>
        </w:rPr>
        <w:t>Frahs</w:t>
      </w:r>
      <w:r w:rsidRPr="00950617">
        <w:t xml:space="preserve">, </w:t>
      </w:r>
      <w:r w:rsidRPr="00950617">
        <w:rPr>
          <w:i/>
          <w:iCs/>
        </w:rPr>
        <w:t>supra</w:t>
      </w:r>
      <w:r w:rsidRPr="00950617">
        <w:t xml:space="preserve">, 9 Cal.5th at p. 629.)  </w:t>
      </w:r>
    </w:p>
    <w:p w:rsidR="00950617" w:rsidRPr="00950617" w:rsidP="00950617" w14:paraId="33307653" w14:textId="77777777">
      <w:pPr>
        <w:ind w:firstLine="720"/>
      </w:pPr>
      <w:r w:rsidRPr="00950617">
        <w:t xml:space="preserve">The majority opinion’s occasional effort to broaden its characterization of </w:t>
      </w:r>
      <w:r w:rsidRPr="00950617">
        <w:rPr>
          <w:i/>
          <w:iCs/>
        </w:rPr>
        <w:t>Estrada</w:t>
      </w:r>
      <w:r w:rsidRPr="00950617">
        <w:t xml:space="preserve">’s rationale — i.e., as applicable to “statutes that either reduce the punishment for a criminal offense or create discretion to reduce such punishment, or narrow the scope of criminal liability” (maj. opn., </w:t>
      </w:r>
      <w:r w:rsidRPr="00950617">
        <w:rPr>
          <w:i/>
          <w:iCs/>
        </w:rPr>
        <w:t>ante</w:t>
      </w:r>
      <w:r w:rsidRPr="00950617">
        <w:t xml:space="preserve">, at p. 16) — falls short of the mark.  This characterization does not articulate an actual rationale; it merely describes the individual instances in which this court has previously found </w:t>
      </w:r>
      <w:r w:rsidRPr="00950617">
        <w:rPr>
          <w:i/>
          <w:iCs/>
        </w:rPr>
        <w:t>Estrada</w:t>
      </w:r>
      <w:r w:rsidRPr="00950617">
        <w:t xml:space="preserve"> to apply.</w:t>
      </w:r>
      <w:r>
        <w:rPr>
          <w:b/>
          <w:position w:val="4"/>
          <w:vertAlign w:val="superscript"/>
        </w:rPr>
        <w:footnoteReference w:id="17"/>
      </w:r>
      <w:r w:rsidRPr="00950617">
        <w:t xml:space="preserve">  What’s worse, this mechanical approach replicates </w:t>
      </w:r>
      <w:r w:rsidRPr="00950617">
        <w:rPr>
          <w:i/>
          <w:iCs/>
        </w:rPr>
        <w:t>Brown</w:t>
      </w:r>
      <w:r w:rsidRPr="00950617">
        <w:t xml:space="preserve">’s improperly narrow reading of </w:t>
      </w:r>
      <w:r w:rsidRPr="00950617">
        <w:rPr>
          <w:i/>
          <w:iCs/>
        </w:rPr>
        <w:t xml:space="preserve">Estrada, </w:t>
      </w:r>
      <w:r w:rsidRPr="00950617">
        <w:t xml:space="preserve">which we shortly thereafter effectively repudiated in </w:t>
      </w:r>
      <w:r w:rsidRPr="00950617">
        <w:rPr>
          <w:i/>
          <w:iCs/>
        </w:rPr>
        <w:t>Lara</w:t>
      </w:r>
      <w:r w:rsidRPr="00950617">
        <w:t xml:space="preserve">, </w:t>
      </w:r>
      <w:r w:rsidRPr="00950617">
        <w:rPr>
          <w:i/>
          <w:iCs/>
        </w:rPr>
        <w:t>Frahs</w:t>
      </w:r>
      <w:r w:rsidRPr="00950617">
        <w:t xml:space="preserve">, and </w:t>
      </w:r>
      <w:r w:rsidRPr="00950617">
        <w:rPr>
          <w:i/>
          <w:iCs/>
        </w:rPr>
        <w:t>Prudholme</w:t>
      </w:r>
      <w:r w:rsidRPr="00950617">
        <w:t xml:space="preserve">.  I fear this zigzag approach to applying </w:t>
      </w:r>
      <w:r w:rsidRPr="00950617">
        <w:rPr>
          <w:i/>
          <w:iCs/>
        </w:rPr>
        <w:t>Estrada</w:t>
      </w:r>
      <w:r w:rsidRPr="00950617">
        <w:t xml:space="preserve"> will sow confusion in the law and exacerbate the uncertainty that has already led the lower courts time and again to arrive at conflicting decisions as to whether a given statute is retroactive.</w:t>
      </w:r>
      <w:r w:rsidRPr="00950617">
        <w:rPr>
          <w:b/>
          <w:position w:val="4"/>
          <w:vertAlign w:val="superscript"/>
        </w:rPr>
        <w:t xml:space="preserve"> </w:t>
      </w:r>
      <w:r w:rsidRPr="00950617">
        <w:t xml:space="preserve"> (Compare, e.g., </w:t>
      </w:r>
      <w:r w:rsidRPr="00950617">
        <w:rPr>
          <w:i/>
          <w:iCs/>
        </w:rPr>
        <w:t>People v. Burgos</w:t>
      </w:r>
      <w:r w:rsidRPr="00950617">
        <w:t xml:space="preserve"> (2022) 77 Cal.App.5th 550, 565–567 with </w:t>
      </w:r>
      <w:r w:rsidRPr="00950617">
        <w:rPr>
          <w:i/>
          <w:iCs/>
        </w:rPr>
        <w:t>People v. Perez</w:t>
      </w:r>
      <w:r w:rsidRPr="00950617">
        <w:t xml:space="preserve"> (2022) 78 Cal.App.5th 192, 207.)  Yet we are not without the tools to solve the problem.  The question for courts, properly understood, is whether a statute, by design and function, provides a clear and significant benefit to defendants as to punishment or on the question of guilt and innocence.  Unlike the majority, I find it unimaginable the Legislature would have restricted its concern about convicting the innocent to only a subset of those it could constitutionally reach.  </w:t>
      </w:r>
    </w:p>
    <w:p w:rsidR="00950617" w:rsidRPr="00950617" w:rsidP="00950617" w14:paraId="65380CDE" w14:textId="77777777">
      <w:pPr>
        <w:keepNext/>
        <w:spacing w:before="140" w:line="240" w:lineRule="atLeast"/>
        <w:jc w:val="center"/>
        <w:outlineLvl w:val="0"/>
        <w:rPr>
          <w:b/>
          <w:smallCaps/>
        </w:rPr>
      </w:pPr>
      <w:r w:rsidRPr="00950617">
        <w:rPr>
          <w:b/>
          <w:smallCaps/>
        </w:rPr>
        <w:t>II.</w:t>
      </w:r>
    </w:p>
    <w:p w:rsidR="00950617" w:rsidRPr="00950617" w:rsidP="00950617" w14:paraId="32527BC3" w14:textId="77777777">
      <w:pPr>
        <w:ind w:firstLine="720"/>
      </w:pPr>
      <w:r w:rsidRPr="00950617">
        <w:t xml:space="preserve">The majority opinion seeks to downplay the Legislature’s focus on preventing wrongful convictions of innocent people in two ways.  First, it tries to divert attention away from the express legislative findings accompanying the enactment of section 1109.  Second, it insists the Legislature could not have meant what it said about the risk of convicting innocent people when irrelevant gang evidence is included in a trial on the underlying substantive offense.  Neither effort is persuasive.  </w:t>
      </w:r>
    </w:p>
    <w:p w:rsidR="00950617" w:rsidRPr="00950617" w:rsidP="00950617" w14:paraId="2162BCE3" w14:textId="77777777">
      <w:pPr>
        <w:keepNext/>
        <w:spacing w:before="140" w:line="240" w:lineRule="atLeast"/>
        <w:jc w:val="center"/>
        <w:outlineLvl w:val="0"/>
        <w:rPr>
          <w:b/>
          <w:smallCaps/>
        </w:rPr>
      </w:pPr>
      <w:r w:rsidRPr="00950617">
        <w:rPr>
          <w:b/>
          <w:smallCaps/>
        </w:rPr>
        <w:t xml:space="preserve">A. </w:t>
      </w:r>
    </w:p>
    <w:p w:rsidR="00950617" w:rsidRPr="00950617" w:rsidP="00950617" w14:paraId="63F50A28" w14:textId="77777777">
      <w:pPr>
        <w:ind w:firstLine="720"/>
      </w:pPr>
      <w:r w:rsidRPr="00950617">
        <w:t xml:space="preserve">The majority opinion intimates there is something untoward about considering the explicit legislative findings included in the uncodified section of the bill that enacted section 1109.  (See maj. opn., </w:t>
      </w:r>
      <w:r w:rsidRPr="00950617">
        <w:rPr>
          <w:i/>
          <w:iCs/>
        </w:rPr>
        <w:t>ante</w:t>
      </w:r>
      <w:r w:rsidRPr="00950617">
        <w:t>, at pp. 30–31.)  Not so.  As the majority opinion elsewhere concedes, the question of whether new legislation applies retroactively “ ‘ “is one of trying to ascertain the legislative intent.” ’ ”  (</w:t>
      </w:r>
      <w:r w:rsidRPr="00950617">
        <w:rPr>
          <w:i/>
          <w:iCs/>
        </w:rPr>
        <w:t>Id.</w:t>
      </w:r>
      <w:r w:rsidRPr="00950617">
        <w:t xml:space="preserve"> at p. 38.)  From the beginning we have instructed courts making that inquiry to consider “all pertinent factors” (</w:t>
      </w:r>
      <w:r w:rsidRPr="00950617">
        <w:rPr>
          <w:i/>
          <w:iCs/>
        </w:rPr>
        <w:t>Estrada</w:t>
      </w:r>
      <w:r w:rsidRPr="00950617">
        <w:t xml:space="preserve">, </w:t>
      </w:r>
      <w:r w:rsidRPr="00950617">
        <w:rPr>
          <w:i/>
          <w:iCs/>
        </w:rPr>
        <w:t>supra</w:t>
      </w:r>
      <w:r w:rsidRPr="00950617">
        <w:t xml:space="preserve">, 63 Cal.2d at p. 746), and we have reaffirmed that broad review continuously (see, e.g., </w:t>
      </w:r>
      <w:r w:rsidRPr="00950617">
        <w:rPr>
          <w:i/>
          <w:iCs/>
        </w:rPr>
        <w:t>Bouquet</w:t>
      </w:r>
      <w:r w:rsidRPr="00950617">
        <w:t xml:space="preserve">, </w:t>
      </w:r>
      <w:r w:rsidRPr="00950617">
        <w:rPr>
          <w:i/>
          <w:iCs/>
        </w:rPr>
        <w:t>supra</w:t>
      </w:r>
      <w:r w:rsidRPr="00950617">
        <w:t xml:space="preserve">, 16 Cal.3d at p. 587 [“Consistent with </w:t>
      </w:r>
      <w:r w:rsidRPr="00950617">
        <w:rPr>
          <w:i/>
          <w:iCs/>
        </w:rPr>
        <w:t>Estrada</w:t>
      </w:r>
      <w:r w:rsidRPr="00950617">
        <w:t xml:space="preserve">’s mandate, we must address ‘all pertinent factors’ ”]), including in our most recent retroactivity decisions (see, e.g., </w:t>
      </w:r>
      <w:r w:rsidRPr="00950617">
        <w:rPr>
          <w:i/>
          <w:iCs/>
        </w:rPr>
        <w:t>Prudholme</w:t>
      </w:r>
      <w:r w:rsidRPr="00950617">
        <w:t xml:space="preserve">, </w:t>
      </w:r>
      <w:r w:rsidRPr="00950617">
        <w:rPr>
          <w:i/>
          <w:iCs/>
        </w:rPr>
        <w:t>supra</w:t>
      </w:r>
      <w:r w:rsidRPr="00950617">
        <w:t>, 14 Cal.5th 961, 967 (</w:t>
      </w:r>
      <w:r w:rsidRPr="00950617">
        <w:rPr>
          <w:i/>
          <w:iCs/>
        </w:rPr>
        <w:t>Prudholme</w:t>
      </w:r>
      <w:r w:rsidRPr="00950617">
        <w:t>)</w:t>
      </w:r>
      <w:r w:rsidRPr="00950617">
        <w:rPr>
          <w:i/>
          <w:iCs/>
        </w:rPr>
        <w:t xml:space="preserve"> </w:t>
      </w:r>
      <w:r w:rsidRPr="00950617">
        <w:t xml:space="preserve">[quoting </w:t>
      </w:r>
      <w:r w:rsidRPr="00950617">
        <w:rPr>
          <w:i/>
          <w:iCs/>
        </w:rPr>
        <w:t>Estrada</w:t>
      </w:r>
      <w:r w:rsidRPr="00950617">
        <w:t xml:space="preserve">]).  The majority opinion’s contention that we have “disapproved” this practice (maj. opn., </w:t>
      </w:r>
      <w:r w:rsidRPr="00950617">
        <w:rPr>
          <w:i/>
          <w:iCs/>
        </w:rPr>
        <w:t>ante</w:t>
      </w:r>
      <w:r w:rsidRPr="00950617">
        <w:t>, at p. 14, fn. 3) is manifestly mistaken.</w:t>
      </w:r>
    </w:p>
    <w:p w:rsidR="00950617" w:rsidRPr="00950617" w:rsidP="00950617" w14:paraId="4A939B7D" w14:textId="77777777">
      <w:pPr>
        <w:ind w:firstLine="720"/>
      </w:pPr>
      <w:r w:rsidRPr="00950617">
        <w:t>It is also beyond dispute that the Legislature’s explicit findings are a valuable resource in ascertaining legislative intent.  We regularly consult uncodified provisions, which are “part of the statutory law” (</w:t>
      </w:r>
      <w:r w:rsidRPr="00950617">
        <w:rPr>
          <w:i/>
          <w:iCs/>
        </w:rPr>
        <w:t>Carter v. California Dept. of Veterans Affairs</w:t>
      </w:r>
      <w:r w:rsidRPr="00950617">
        <w:t xml:space="preserve"> (2006) 38 Cal.4th 914, 925), to ascertain “[t]he general intent” of legislation (</w:t>
      </w:r>
      <w:r w:rsidRPr="00950617">
        <w:rPr>
          <w:i/>
          <w:iCs/>
        </w:rPr>
        <w:t>Munson v. Del Taco, Inc.</w:t>
      </w:r>
      <w:r w:rsidRPr="00950617">
        <w:t xml:space="preserve"> (2009) 46 Cal.4th 661, 669) as well as its “express purpose and intended scope” (</w:t>
      </w:r>
      <w:r w:rsidRPr="00950617">
        <w:rPr>
          <w:i/>
          <w:iCs/>
        </w:rPr>
        <w:t>People v. Valencia</w:t>
      </w:r>
      <w:r w:rsidRPr="00950617">
        <w:t xml:space="preserve"> (2017) 3 Cal.5th 347, 362). (See generally </w:t>
      </w:r>
      <w:r w:rsidRPr="00950617">
        <w:rPr>
          <w:i/>
          <w:iCs/>
        </w:rPr>
        <w:t>People v. Allen</w:t>
      </w:r>
      <w:r w:rsidRPr="00950617">
        <w:t xml:space="preserve"> (1999) 21 Cal.4th 846, 858, fn. 13 [uncodified sections “express the Legislature’s view on some aspect of the operation or effect of the bill”].)  Those findings, which are set forth above, evidence the Legislature’s special concern about the risk of convicting innocent people.</w:t>
      </w:r>
    </w:p>
    <w:p w:rsidR="00950617" w:rsidRPr="00950617" w:rsidP="00950617" w14:paraId="1BC0E706" w14:textId="77777777">
      <w:pPr>
        <w:keepNext/>
        <w:spacing w:before="140" w:line="240" w:lineRule="atLeast"/>
        <w:jc w:val="center"/>
        <w:outlineLvl w:val="0"/>
        <w:rPr>
          <w:b/>
          <w:smallCaps/>
        </w:rPr>
      </w:pPr>
      <w:r w:rsidRPr="00950617">
        <w:rPr>
          <w:b/>
          <w:smallCaps/>
        </w:rPr>
        <w:t>B.</w:t>
      </w:r>
    </w:p>
    <w:p w:rsidR="00950617" w:rsidRPr="00950617" w:rsidP="00950617" w14:paraId="526B9823" w14:textId="77777777">
      <w:pPr>
        <w:ind w:firstLine="720"/>
      </w:pPr>
      <w:r w:rsidRPr="00950617">
        <w:t xml:space="preserve">In fact, it’s no exaggeration to say that convicting the innocent is what the law abhors most.  Such a scenario is the subject of some of our culture’s most enduring literature and film, from To Kill a Mockingbird to The Shawshank Redemption.  Instances of convicting the innocent haunt our nation’s history.  (See, e.g., Stevenson, Just Mercy:  A Story of Justice and Redemption (2014); The Central Park Five (Sundance Selects 2012).)  It is therefore perplexing that the majority opinion describes the Legislature’s findings on this fundamental point to be merely “ ‘ “vague phrases” ’ ” and “ ‘ “broad general language.” ’ ”  (Maj. opn., </w:t>
      </w:r>
      <w:r w:rsidRPr="00950617">
        <w:rPr>
          <w:i/>
          <w:iCs/>
        </w:rPr>
        <w:t>ante</w:t>
      </w:r>
      <w:r w:rsidRPr="00950617">
        <w:t>, at p. 14, fn. 3.)</w:t>
      </w:r>
    </w:p>
    <w:p w:rsidR="00950617" w:rsidRPr="00950617" w:rsidP="00950617" w14:paraId="04B85115" w14:textId="77777777">
      <w:pPr>
        <w:ind w:firstLine="720"/>
      </w:pPr>
      <w:r w:rsidRPr="00950617">
        <w:t>I view the findings differently.  The Legislature stated clearly and specifically that lumping gang enhancement evidence with “evidence of the underlying charges . . . perpetuates unfair prejudice in juries and convictions of innocent people.”  (Stats. 2021, ch. 699, § 2, subd. (d)(6).)  The Legislature supported this finding with empirical studies showing that the jury’s consideration of “the kind of evidence that supports a gang enhancement . . . may lead to wrongful convictions.”  (</w:t>
      </w:r>
      <w:r w:rsidRPr="00950617">
        <w:rPr>
          <w:i/>
          <w:iCs/>
        </w:rPr>
        <w:t>Id</w:t>
      </w:r>
      <w:r w:rsidRPr="00950617">
        <w:t xml:space="preserve">., § 2, subd. (e).)  Finally, the legislative history noted that the proposed remedy — section 1109 — would be effective.  As noted above, a prosecution gang expert opined that “ ‘bifurcating evidence of gang involvement from evidence related to the underlying charges would reduce the risk of unfairly prejudicing juries and convicting innocent people.’ ”  (Sen. Com. on Public Safety, Analysis of Assem. Bill No. 333, </w:t>
      </w:r>
      <w:r w:rsidRPr="00950617">
        <w:rPr>
          <w:i/>
          <w:iCs/>
        </w:rPr>
        <w:t>supra</w:t>
      </w:r>
      <w:r w:rsidRPr="00950617">
        <w:t xml:space="preserve">, as amended May 28, 2021, p. 10.)  </w:t>
      </w:r>
    </w:p>
    <w:p w:rsidR="00950617" w:rsidRPr="00950617" w:rsidP="00950617" w14:paraId="2E0B485B" w14:textId="77777777">
      <w:pPr>
        <w:ind w:firstLine="720"/>
      </w:pPr>
      <w:r w:rsidRPr="00950617">
        <w:t xml:space="preserve">To characterize the Legislature’s conscious effort to remedy this type of injustice as merely a general desire “to promote fairness and reduce the potential for prejudice in trial proceedings” (maj. opn., </w:t>
      </w:r>
      <w:r w:rsidRPr="00950617">
        <w:rPr>
          <w:i/>
          <w:iCs/>
        </w:rPr>
        <w:t>ante</w:t>
      </w:r>
      <w:r w:rsidRPr="00950617">
        <w:t xml:space="preserve">, at p. 29) is not only a profound understatement but a category error.  Section 1109 is not merely a “new procedure[] which </w:t>
      </w:r>
      <w:r w:rsidRPr="00950617">
        <w:rPr>
          <w:i/>
          <w:iCs/>
        </w:rPr>
        <w:t>could</w:t>
      </w:r>
      <w:r w:rsidRPr="00950617">
        <w:t xml:space="preserve"> inure to a defendant’s benefit.”  (Maj. opn., </w:t>
      </w:r>
      <w:r w:rsidRPr="00950617">
        <w:rPr>
          <w:i/>
          <w:iCs/>
        </w:rPr>
        <w:t>ante</w:t>
      </w:r>
      <w:r w:rsidRPr="00950617">
        <w:t xml:space="preserve">, at p. 35.)  Rather, it enables juries, at the defendant’s option, to carefully and soberly assess the evidence regarding the charged offense without being distracted by the irrelevant and inflammatory suggestion the defendant is allegedly associated with a criminal street gang.  </w:t>
      </w:r>
      <w:r w:rsidRPr="00950617">
        <w:rPr>
          <w:i/>
          <w:iCs/>
        </w:rPr>
        <w:t>Never before</w:t>
      </w:r>
      <w:r w:rsidRPr="00950617">
        <w:t xml:space="preserve"> have we denied retroactive effect to a statute that “by design and function provides a possible ameliorating benefit for a class of persons” (</w:t>
      </w:r>
      <w:r w:rsidRPr="00950617">
        <w:rPr>
          <w:i/>
          <w:iCs/>
        </w:rPr>
        <w:t>Frahs</w:t>
      </w:r>
      <w:r w:rsidRPr="00950617">
        <w:t xml:space="preserve">, </w:t>
      </w:r>
      <w:r w:rsidRPr="00950617">
        <w:rPr>
          <w:i/>
          <w:iCs/>
        </w:rPr>
        <w:t>supra</w:t>
      </w:r>
      <w:r w:rsidRPr="00950617">
        <w:t>, 9 Cal.5th at p. 624) — and certainly not when the statute</w:t>
      </w:r>
      <w:r w:rsidRPr="00950617">
        <w:rPr>
          <w:i/>
          <w:iCs/>
        </w:rPr>
        <w:t xml:space="preserve"> </w:t>
      </w:r>
      <w:r w:rsidRPr="00950617">
        <w:t xml:space="preserve">is aimed at preventing the conviction of an innocent defendant.  Not even once.  </w:t>
      </w:r>
    </w:p>
    <w:p w:rsidR="00950617" w:rsidRPr="00950617" w:rsidP="00950617" w14:paraId="01E3879B" w14:textId="77777777">
      <w:pPr>
        <w:keepNext/>
        <w:spacing w:before="140" w:line="240" w:lineRule="atLeast"/>
        <w:jc w:val="center"/>
        <w:outlineLvl w:val="0"/>
        <w:rPr>
          <w:b/>
          <w:smallCaps/>
        </w:rPr>
      </w:pPr>
      <w:r w:rsidRPr="00950617">
        <w:rPr>
          <w:b/>
          <w:smallCaps/>
        </w:rPr>
        <w:t xml:space="preserve">C. </w:t>
      </w:r>
    </w:p>
    <w:p w:rsidR="00950617" w:rsidRPr="00950617" w:rsidP="00950617" w14:paraId="10D5EFCC" w14:textId="77777777">
      <w:pPr>
        <w:ind w:firstLine="720"/>
      </w:pPr>
      <w:r w:rsidRPr="00950617">
        <w:t>The remaining cases on which the majority opinion relies — none of which was “designed to provide a clear and significant benefit to defendants” (</w:t>
      </w:r>
      <w:r w:rsidRPr="00950617">
        <w:rPr>
          <w:i/>
          <w:iCs/>
        </w:rPr>
        <w:t>People v. Cervantes</w:t>
      </w:r>
      <w:r w:rsidRPr="00950617">
        <w:t xml:space="preserve"> (2020) 55 Cal.App.5th 927, 941) — are soundly distinguishable.  </w:t>
      </w:r>
      <w:bookmarkStart w:id="13" w:name="_Hlk164333286"/>
      <w:r w:rsidRPr="00950617">
        <w:rPr>
          <w:i/>
          <w:iCs/>
        </w:rPr>
        <w:t>Cervantes</w:t>
      </w:r>
      <w:r w:rsidRPr="00950617">
        <w:t xml:space="preserve"> </w:t>
      </w:r>
      <w:bookmarkEnd w:id="13"/>
      <w:r w:rsidRPr="00950617">
        <w:t>considered the retroactive effect of an amended statute requiring that custodial interrogations of murder suspects be recorded.  (§ 859.5, subds. (a), (b), (d); Stats. 2016, ch. 791, § 2.)  In enacting the amendments, the Legislature had made findings that recorded interrogations would generally promote fairness neutrally to both the prosecution and the defense and reduce the likelihood of prejudice arising from inaccurate reports of what transpired.  (Stats. 2016, ch. 791, § 1, subd. (a)(2), (3).)  In particular, the Legislature believed that recorded interrogations would not only “decrease[] wrongful convictions based on false confessions” (</w:t>
      </w:r>
      <w:r w:rsidRPr="00950617">
        <w:rPr>
          <w:i/>
          <w:iCs/>
        </w:rPr>
        <w:t>id</w:t>
      </w:r>
      <w:r w:rsidRPr="00950617">
        <w:t>., § 1, subd. (b)), but also “ ‘prevent disputes about how an officer conducted himself or herself or treated a suspect during the course of an interrogation, prevent a defendant from lying about the account of events he or she originally provided to law enforcement, and spare judges and jurors the time necessary and the need to assess which account of an interrogation to believe.’ ”  (</w:t>
      </w:r>
      <w:r w:rsidRPr="00950617">
        <w:rPr>
          <w:i/>
          <w:iCs/>
        </w:rPr>
        <w:t>Cervantes</w:t>
      </w:r>
      <w:r w:rsidRPr="00950617">
        <w:t>, at p. 941, quoting Stats. 2016, ch. 791, § 1, subd. (b).)  Because the amendments were aimed at improving the justice system generally, they were not retroactive.  (</w:t>
      </w:r>
      <w:r w:rsidRPr="00950617">
        <w:rPr>
          <w:i/>
          <w:iCs/>
        </w:rPr>
        <w:t>Cervantes</w:t>
      </w:r>
      <w:r w:rsidRPr="00950617">
        <w:t xml:space="preserve">, at p. 941; see also </w:t>
      </w:r>
      <w:r w:rsidRPr="00950617">
        <w:rPr>
          <w:i/>
          <w:iCs/>
        </w:rPr>
        <w:t>People v. Sandee</w:t>
      </w:r>
      <w:r w:rsidRPr="00950617">
        <w:t xml:space="preserve"> (2017) 15 Cal.App.5th 294, 305 &amp; fn. 7 [statute limiting governmental searches of cell phones, designed to protect Californians’ privacy, was not retroactive].)</w:t>
      </w:r>
      <w:r>
        <w:rPr>
          <w:b/>
          <w:vertAlign w:val="superscript"/>
        </w:rPr>
        <w:footnoteReference w:id="18"/>
      </w:r>
      <w:r w:rsidRPr="00950617">
        <w:t xml:space="preserve">  These examples of “new procedures which </w:t>
      </w:r>
      <w:r w:rsidRPr="00950617">
        <w:rPr>
          <w:i/>
          <w:iCs/>
        </w:rPr>
        <w:t xml:space="preserve">could </w:t>
      </w:r>
      <w:r w:rsidRPr="00950617">
        <w:t xml:space="preserve">inure to a defendant’s benefit” (maj. opn., </w:t>
      </w:r>
      <w:r w:rsidRPr="00950617">
        <w:rPr>
          <w:i/>
          <w:iCs/>
        </w:rPr>
        <w:t>ante</w:t>
      </w:r>
      <w:r w:rsidRPr="00950617">
        <w:t>, at p. 35) or general improvements in “how criminal cases are investigated or tried” (</w:t>
      </w:r>
      <w:r w:rsidRPr="00950617">
        <w:rPr>
          <w:i/>
          <w:iCs/>
        </w:rPr>
        <w:t>id</w:t>
      </w:r>
      <w:r w:rsidRPr="00950617">
        <w:t xml:space="preserve">. at p. 13) shed little light on section 1109 and the stakes highlighted by the Legislature. </w:t>
      </w:r>
    </w:p>
    <w:p w:rsidR="00950617" w:rsidRPr="00950617" w:rsidP="00950617" w14:paraId="7A5D1836" w14:textId="77777777">
      <w:pPr>
        <w:ind w:firstLine="720"/>
      </w:pPr>
      <w:r w:rsidRPr="00950617">
        <w:t xml:space="preserve">The majority opinion’s hypothesized legislative justification for refusing to apply section 1109 retroactively likewise does not withstand scrutiny.  The majority opinion suggests that the “systemic costs” of retroactive application could justify a decision not to apply the new bifurcation policy to defendants who have already been tried, noting these “completed trials” were “conducted under valid and constitutional laws (and where evidence supports guilt beyond a reasonable doubt).”  (Maj. opn., </w:t>
      </w:r>
      <w:r w:rsidRPr="00950617">
        <w:rPr>
          <w:i/>
          <w:iCs/>
        </w:rPr>
        <w:t>ante</w:t>
      </w:r>
      <w:r w:rsidRPr="00950617">
        <w:t xml:space="preserve">, at pp. 25–26.)  But this stated concern fails to distinguish the case before us from any of the other instances in which we have found </w:t>
      </w:r>
      <w:r w:rsidRPr="00950617">
        <w:rPr>
          <w:i/>
          <w:iCs/>
        </w:rPr>
        <w:t>Estrada</w:t>
      </w:r>
      <w:r w:rsidRPr="00950617">
        <w:t xml:space="preserve"> to apply.  </w:t>
      </w:r>
      <w:r w:rsidRPr="00950617">
        <w:rPr>
          <w:i/>
          <w:iCs/>
        </w:rPr>
        <w:t>Anytime</w:t>
      </w:r>
      <w:r w:rsidRPr="00950617">
        <w:t xml:space="preserve"> the Legislature reduces punishment, expands the opportunities for diversion, limits the ability to try a minor as an adult, or increases the possibility of acquittal by, say, adding a new element to (or otherwise narrowing) an offense, retroactive application of the new statute could equally “undo or jeopardize completed trials conducted under valid and constitutional laws (and where evidence supports guilt beyond a reasonable doubt).”  (</w:t>
      </w:r>
      <w:r w:rsidRPr="00950617">
        <w:rPr>
          <w:i/>
          <w:iCs/>
        </w:rPr>
        <w:t>Id</w:t>
      </w:r>
      <w:r w:rsidRPr="00950617">
        <w:t xml:space="preserve">. at p. 26.)  In </w:t>
      </w:r>
      <w:r w:rsidRPr="00950617">
        <w:rPr>
          <w:i/>
          <w:iCs/>
        </w:rPr>
        <w:t>Frahs</w:t>
      </w:r>
      <w:r w:rsidRPr="00950617">
        <w:t xml:space="preserve">, </w:t>
      </w:r>
      <w:r w:rsidRPr="00950617">
        <w:rPr>
          <w:i/>
          <w:iCs/>
        </w:rPr>
        <w:t>supra</w:t>
      </w:r>
      <w:r w:rsidRPr="00950617">
        <w:t xml:space="preserve">, 9 Cal.5th 618, for example, a defendant who had been convicted of second degree robbery, found to have suffered a prior serious felony conviction, and sentenced to nine years in prison was allowed to seek eligibility for mental health diversion under section 1001.36 — despite the fact the defendant had been found guilty beyond a reasonable doubt under valid and constitutional laws as they then existed.  </w:t>
      </w:r>
    </w:p>
    <w:p w:rsidR="00950617" w:rsidRPr="00950617" w:rsidP="00950617" w14:paraId="6076BBD0" w14:textId="77777777">
      <w:pPr>
        <w:ind w:firstLine="720"/>
      </w:pPr>
      <w:r w:rsidRPr="00950617">
        <w:t>In this case, the Court of Appeal found it “likely” the jury improperly relied on evidence of Francisco Burgos’s and his codefendants’ gang membership to establish their guilt of two counts of robbery, given that neither victim identified any of the defendants at trial.  (</w:t>
      </w:r>
      <w:r w:rsidRPr="00950617">
        <w:rPr>
          <w:i/>
          <w:iCs/>
        </w:rPr>
        <w:t>People v. Burgos</w:t>
      </w:r>
      <w:r w:rsidRPr="00950617">
        <w:t xml:space="preserve">, </w:t>
      </w:r>
      <w:r w:rsidRPr="00950617">
        <w:rPr>
          <w:i/>
          <w:iCs/>
        </w:rPr>
        <w:t>supra</w:t>
      </w:r>
      <w:r w:rsidRPr="00950617">
        <w:t>, 77 Cal.App.5th at p. 569.)  Denying Burgos, whose conviction is not yet final, the opportunity to demonstrate he would not have been convicted had the gang enhancement been bifurcated “can, by hypothesis, serve no purpose other than to satisfy a desire for vengeance.”  (</w:t>
      </w:r>
      <w:r w:rsidRPr="00950617">
        <w:rPr>
          <w:i/>
          <w:iCs/>
        </w:rPr>
        <w:t>Frahs</w:t>
      </w:r>
      <w:r w:rsidRPr="00950617">
        <w:t xml:space="preserve">, </w:t>
      </w:r>
      <w:r w:rsidRPr="00950617">
        <w:rPr>
          <w:i/>
          <w:iCs/>
        </w:rPr>
        <w:t>supra</w:t>
      </w:r>
      <w:r w:rsidRPr="00950617">
        <w:t xml:space="preserve">, 9 Cal.5th at p. 628.)  While the Legislature may be free, as a </w:t>
      </w:r>
      <w:r w:rsidRPr="00950617">
        <w:rPr>
          <w:i/>
          <w:iCs/>
        </w:rPr>
        <w:t>constitutional</w:t>
      </w:r>
      <w:r w:rsidRPr="00950617">
        <w:t xml:space="preserve"> matter, to apply such a statute either retroactively or prospectively (see maj. opn., </w:t>
      </w:r>
      <w:r w:rsidRPr="00950617">
        <w:rPr>
          <w:i/>
          <w:iCs/>
        </w:rPr>
        <w:t>ante</w:t>
      </w:r>
      <w:r w:rsidRPr="00950617">
        <w:t xml:space="preserve">, at pp. 38–39) — or even to provide for an </w:t>
      </w:r>
      <w:r w:rsidRPr="00950617">
        <w:rPr>
          <w:i/>
          <w:iCs/>
        </w:rPr>
        <w:t>alternate</w:t>
      </w:r>
      <w:r w:rsidRPr="00950617">
        <w:t xml:space="preserve"> avenue of relief, and thereby rebut the inference of retroactive effect (see, e.g., </w:t>
      </w:r>
      <w:r w:rsidRPr="00950617">
        <w:rPr>
          <w:i/>
          <w:iCs/>
        </w:rPr>
        <w:t>Conley</w:t>
      </w:r>
      <w:r w:rsidRPr="00950617">
        <w:t xml:space="preserve">, </w:t>
      </w:r>
      <w:r w:rsidRPr="00950617">
        <w:rPr>
          <w:i/>
          <w:iCs/>
        </w:rPr>
        <w:t>supra</w:t>
      </w:r>
      <w:r w:rsidRPr="00950617">
        <w:t xml:space="preserve">, 63 Cal.4th at pp. 658–659) — the majority opinion cites no authority suggesting that “systemic costs” (maj. opn., </w:t>
      </w:r>
      <w:r w:rsidRPr="00950617">
        <w:rPr>
          <w:i/>
          <w:iCs/>
        </w:rPr>
        <w:t>ante</w:t>
      </w:r>
      <w:r w:rsidRPr="00950617">
        <w:t>, at p. 25) have ever led the Legislature to intend prospective-only application of an ameliorative statute that “by design and function” (</w:t>
      </w:r>
      <w:r w:rsidRPr="00950617">
        <w:rPr>
          <w:i/>
          <w:iCs/>
        </w:rPr>
        <w:t>Frahs</w:t>
      </w:r>
      <w:r w:rsidRPr="00950617">
        <w:t>, at p. 624) was aimed at preventing the wrongful conviction of innocent people.  Given its express findings, there is no indication the Legislature had “a fear of too much justice,” which in this circumstance “would be repugnant to deeply rooted conceptions” against punishing the innocent.  (</w:t>
      </w:r>
      <w:r w:rsidRPr="00950617">
        <w:rPr>
          <w:i/>
          <w:iCs/>
        </w:rPr>
        <w:t>McCleskey v. Kemp</w:t>
      </w:r>
      <w:r w:rsidRPr="00950617">
        <w:t xml:space="preserve"> (1987) 481 U.S. 279, 339 (dis. opn. of Brennan, J.).) </w:t>
      </w:r>
    </w:p>
    <w:p w:rsidR="00950617" w:rsidRPr="00950617" w:rsidP="00950617" w14:paraId="460FFF7E" w14:textId="77777777">
      <w:pPr>
        <w:keepNext/>
        <w:spacing w:before="140" w:line="240" w:lineRule="atLeast"/>
        <w:jc w:val="center"/>
        <w:outlineLvl w:val="0"/>
        <w:rPr>
          <w:b/>
          <w:smallCaps/>
        </w:rPr>
      </w:pPr>
      <w:r w:rsidRPr="00950617">
        <w:rPr>
          <w:b/>
          <w:smallCaps/>
        </w:rPr>
        <w:t>III.</w:t>
      </w:r>
    </w:p>
    <w:p w:rsidR="00950617" w:rsidRPr="00950617" w:rsidP="00950617" w14:paraId="6EC951F2" w14:textId="77777777">
      <w:pPr>
        <w:ind w:firstLine="720"/>
      </w:pPr>
      <w:r w:rsidRPr="00950617">
        <w:t>For all these reasons, I am unwilling to conclude the Legislature would have been so nonchalant about denying a remedy for innocent defendants who were convicted simply because the jury was allowed to consider evidence of their alleged association with gangs that was unrelated to the charged crimes a few days, weeks, or months before the effective date of section 1109.  By finding otherwise, the court today seems to have lost sight of the fact that the general statutory presumption in section 3 that statutes operate prospectively “is not a straitjacket.”  (</w:t>
      </w:r>
      <w:r w:rsidRPr="00950617">
        <w:rPr>
          <w:i/>
          <w:iCs/>
        </w:rPr>
        <w:t>Estrada, supra</w:t>
      </w:r>
      <w:r w:rsidRPr="00950617">
        <w:t>, 63 Cal.2d at p. 746.)  As we recently observed, this presumption “should not be followed blindly in complete disregard of factors that may give a clue to the legislative intent.”  (</w:t>
      </w:r>
      <w:r w:rsidRPr="00950617">
        <w:rPr>
          <w:i/>
          <w:iCs/>
        </w:rPr>
        <w:t>Prudholme</w:t>
      </w:r>
      <w:r w:rsidRPr="00950617">
        <w:t xml:space="preserve">, </w:t>
      </w:r>
      <w:r w:rsidRPr="00950617">
        <w:rPr>
          <w:i/>
          <w:iCs/>
        </w:rPr>
        <w:t>supra</w:t>
      </w:r>
      <w:r w:rsidRPr="00950617">
        <w:t>, 14 Cal.5th at p. 967.)  Section 1109’s explicit focus on the risk of wrongful conviction of innocent people offers much more than a clue.</w:t>
      </w:r>
    </w:p>
    <w:p w:rsidR="00950617" w:rsidRPr="00950617" w:rsidP="00950617" w14:paraId="3C59B490" w14:textId="77777777">
      <w:pPr>
        <w:ind w:firstLine="720"/>
      </w:pPr>
      <w:r w:rsidRPr="00950617">
        <w:t xml:space="preserve">Unlike the majority opinion, I believe that a statute which, by design and function, provides a clear benefit to defendants on the question of guilt or innocence should apply in every case to which it constitutionally could apply — regardless of whether the statute might be characterized as more procedural than substantive.  It seems rather unlikely the Legislature would have been more concerned about the elusive line between statutes that are procedural and those that are substantive than whether the previous statutory regime may have led to the conviction of innocent people whose judgments could still be corrected.  </w:t>
      </w:r>
    </w:p>
    <w:p w:rsidR="00950617" w:rsidRPr="00950617" w:rsidP="00950617" w14:paraId="5870D7B2" w14:textId="77777777">
      <w:pPr>
        <w:ind w:firstLine="720"/>
      </w:pPr>
      <w:r w:rsidRPr="00950617">
        <w:t xml:space="preserve">I therefore respectfully dissent.  </w:t>
      </w:r>
    </w:p>
    <w:p w:rsidR="00950617" w:rsidRPr="00950617" w:rsidP="00950617" w14:paraId="7C0FAA44" w14:textId="77777777">
      <w:pPr>
        <w:ind w:firstLine="720"/>
      </w:pPr>
    </w:p>
    <w:p w:rsidR="00950617" w:rsidRPr="00950617" w:rsidP="00950617" w14:paraId="0003F469" w14:textId="77777777">
      <w:pPr>
        <w:ind w:firstLine="720"/>
        <w:rPr>
          <w:b/>
          <w:bCs/>
        </w:rPr>
      </w:pPr>
      <w:r w:rsidRPr="00950617">
        <w:tab/>
      </w:r>
      <w:r w:rsidRPr="00950617">
        <w:tab/>
      </w:r>
      <w:r w:rsidRPr="00950617">
        <w:tab/>
      </w:r>
      <w:r w:rsidRPr="00950617">
        <w:tab/>
      </w:r>
      <w:r w:rsidRPr="00950617">
        <w:tab/>
      </w:r>
      <w:r w:rsidRPr="00950617">
        <w:tab/>
      </w:r>
      <w:r w:rsidRPr="00950617">
        <w:tab/>
      </w:r>
      <w:r w:rsidRPr="00950617">
        <w:rPr>
          <w:b/>
          <w:bCs/>
        </w:rPr>
        <w:t>EVANS, J.</w:t>
      </w:r>
    </w:p>
    <w:p w:rsidR="00950617" w:rsidRPr="00950617" w:rsidP="0012351F" w14:paraId="23DEB2B8" w14:textId="77777777">
      <w:pPr>
        <w:rPr>
          <w:b/>
          <w:szCs w:val="27"/>
        </w:rPr>
      </w:pPr>
      <w:r w:rsidRPr="00950617">
        <w:rPr>
          <w:b/>
          <w:szCs w:val="27"/>
        </w:rPr>
        <w:t>I Concur:</w:t>
      </w:r>
    </w:p>
    <w:p w:rsidR="00950617" w:rsidRPr="00950617" w:rsidP="0012351F" w14:paraId="317AF5E7" w14:textId="5932EECF">
      <w:pPr>
        <w:rPr>
          <w:b/>
          <w:bCs/>
        </w:rPr>
      </w:pPr>
      <w:r w:rsidRPr="00950617">
        <w:rPr>
          <w:b/>
          <w:szCs w:val="27"/>
        </w:rPr>
        <w:t>L</w:t>
      </w:r>
      <w:r w:rsidR="00EC2913">
        <w:rPr>
          <w:b/>
          <w:szCs w:val="27"/>
        </w:rPr>
        <w:t>IU</w:t>
      </w:r>
      <w:r w:rsidRPr="00950617">
        <w:rPr>
          <w:b/>
          <w:szCs w:val="27"/>
        </w:rPr>
        <w:t>, J.</w:t>
      </w:r>
    </w:p>
    <w:p w:rsidR="0012351F" w:rsidP="00C06DCD" w14:paraId="02395D50" w14:textId="77777777">
      <w:pPr>
        <w:rPr>
          <w:b/>
          <w:bCs/>
        </w:rPr>
        <w:sectPr w:rsidSect="00EF6DB7">
          <w:headerReference w:type="default" r:id="rId11"/>
          <w:footerReference w:type="default" r:id="rId12"/>
          <w:footerReference w:type="first" r:id="rId13"/>
          <w:footnotePr>
            <w:numRestart w:val="eachSect"/>
          </w:footnotePr>
          <w:pgSz w:w="12240" w:h="15840" w:code="1"/>
          <w:pgMar w:top="1800" w:right="2160" w:bottom="1440" w:left="2160" w:header="720" w:footer="720" w:gutter="0"/>
          <w:pgNumType w:start="1"/>
          <w:cols w:space="720"/>
          <w:titlePg/>
        </w:sectPr>
      </w:pPr>
    </w:p>
    <w:p w:rsidR="00844CFF" w:rsidRPr="00844CFF" w:rsidP="00844CFF" w14:paraId="6BFBD93B" w14:textId="77777777">
      <w:pPr>
        <w:spacing w:after="0" w:line="240" w:lineRule="auto"/>
        <w:jc w:val="left"/>
        <w:rPr>
          <w:i/>
          <w:sz w:val="24"/>
          <w:szCs w:val="24"/>
        </w:rPr>
      </w:pPr>
      <w:r w:rsidRPr="00844CFF">
        <w:rPr>
          <w:i/>
          <w:sz w:val="24"/>
          <w:szCs w:val="24"/>
        </w:rPr>
        <w:t>See next page for addresses and telephone numbers for counsel who argued in Supreme Court.</w:t>
      </w:r>
    </w:p>
    <w:p w:rsidR="00844CFF" w:rsidRPr="00844CFF" w:rsidP="00844CFF" w14:paraId="37C9AF69" w14:textId="77777777">
      <w:pPr>
        <w:spacing w:after="0" w:line="240" w:lineRule="auto"/>
        <w:jc w:val="left"/>
        <w:rPr>
          <w:i/>
          <w:sz w:val="24"/>
          <w:szCs w:val="24"/>
        </w:rPr>
      </w:pPr>
    </w:p>
    <w:p w:rsidR="00844CFF" w:rsidRPr="00844CFF" w:rsidP="00844CFF" w14:paraId="4F5B161A" w14:textId="77777777">
      <w:pPr>
        <w:spacing w:after="0" w:line="240" w:lineRule="auto"/>
        <w:jc w:val="left"/>
        <w:rPr>
          <w:bCs/>
          <w:sz w:val="24"/>
          <w:szCs w:val="24"/>
        </w:rPr>
      </w:pPr>
      <w:r w:rsidRPr="00844CFF">
        <w:rPr>
          <w:b/>
          <w:sz w:val="24"/>
          <w:szCs w:val="24"/>
        </w:rPr>
        <w:t xml:space="preserve">Name of Opinion  </w:t>
      </w:r>
      <w:r w:rsidRPr="00844CFF">
        <w:rPr>
          <w:bCs/>
          <w:sz w:val="24"/>
          <w:szCs w:val="24"/>
        </w:rPr>
        <w:t>People v. Burgos</w:t>
      </w:r>
    </w:p>
    <w:p w:rsidR="00844CFF" w:rsidRPr="00844CFF" w:rsidP="00844CFF" w14:paraId="746BBDCE" w14:textId="77777777">
      <w:pPr>
        <w:spacing w:after="0" w:line="240" w:lineRule="auto"/>
        <w:jc w:val="left"/>
        <w:rPr>
          <w:b/>
          <w:sz w:val="24"/>
          <w:szCs w:val="24"/>
        </w:rPr>
      </w:pPr>
      <w:r w:rsidRPr="00844CFF">
        <w:rPr>
          <w:b/>
          <w:sz w:val="24"/>
          <w:szCs w:val="24"/>
        </w:rPr>
        <w:t xml:space="preserve">__________________________________________________________ </w:t>
      </w:r>
    </w:p>
    <w:p w:rsidR="00844CFF" w:rsidRPr="00844CFF" w:rsidP="00844CFF" w14:paraId="645D8A49" w14:textId="77777777">
      <w:pPr>
        <w:spacing w:after="0" w:line="240" w:lineRule="auto"/>
        <w:jc w:val="left"/>
        <w:rPr>
          <w:b/>
          <w:sz w:val="24"/>
          <w:szCs w:val="24"/>
        </w:rPr>
      </w:pPr>
    </w:p>
    <w:p w:rsidR="00844CFF" w:rsidRPr="00844CFF" w:rsidP="00844CFF" w14:paraId="738EF57F" w14:textId="77777777">
      <w:pPr>
        <w:spacing w:after="0" w:line="240" w:lineRule="auto"/>
        <w:jc w:val="left"/>
        <w:rPr>
          <w:sz w:val="24"/>
          <w:szCs w:val="24"/>
        </w:rPr>
      </w:pPr>
      <w:r w:rsidRPr="00844CFF">
        <w:rPr>
          <w:b/>
          <w:bCs/>
          <w:sz w:val="24"/>
          <w:szCs w:val="24"/>
          <w:u w:val="single"/>
        </w:rPr>
        <w:t>Procedural Posture</w:t>
      </w:r>
      <w:r w:rsidRPr="00844CFF">
        <w:rPr>
          <w:b/>
          <w:bCs/>
          <w:sz w:val="24"/>
          <w:szCs w:val="24"/>
        </w:rPr>
        <w:t xml:space="preserve"> </w:t>
      </w:r>
      <w:r w:rsidRPr="00844CFF">
        <w:rPr>
          <w:sz w:val="24"/>
          <w:szCs w:val="24"/>
        </w:rPr>
        <w:t>(see XX below)</w:t>
      </w:r>
    </w:p>
    <w:p w:rsidR="00844CFF" w:rsidRPr="00844CFF" w:rsidP="00844CFF" w14:paraId="4E6D0751" w14:textId="77777777">
      <w:pPr>
        <w:spacing w:after="0" w:line="240" w:lineRule="auto"/>
        <w:jc w:val="left"/>
        <w:rPr>
          <w:sz w:val="24"/>
          <w:szCs w:val="24"/>
        </w:rPr>
      </w:pPr>
      <w:r w:rsidRPr="00844CFF">
        <w:rPr>
          <w:b/>
          <w:bCs/>
          <w:sz w:val="24"/>
          <w:szCs w:val="24"/>
        </w:rPr>
        <w:t>Original Appeal</w:t>
      </w:r>
      <w:r w:rsidRPr="00844CFF">
        <w:rPr>
          <w:sz w:val="24"/>
          <w:szCs w:val="24"/>
        </w:rPr>
        <w:t xml:space="preserve"> </w:t>
      </w:r>
    </w:p>
    <w:p w:rsidR="00844CFF" w:rsidRPr="00844CFF" w:rsidP="00844CFF" w14:paraId="47BE83C5" w14:textId="77777777">
      <w:pPr>
        <w:spacing w:after="0" w:line="240" w:lineRule="auto"/>
        <w:jc w:val="left"/>
        <w:rPr>
          <w:b/>
          <w:bCs/>
          <w:sz w:val="24"/>
          <w:szCs w:val="24"/>
        </w:rPr>
      </w:pPr>
      <w:r w:rsidRPr="00844CFF">
        <w:rPr>
          <w:b/>
          <w:bCs/>
          <w:sz w:val="24"/>
          <w:szCs w:val="24"/>
        </w:rPr>
        <w:t>Original Proceeding</w:t>
      </w:r>
    </w:p>
    <w:p w:rsidR="00844CFF" w:rsidRPr="00844CFF" w:rsidP="00844CFF" w14:paraId="72D1F222" w14:textId="77777777">
      <w:pPr>
        <w:spacing w:after="0" w:line="240" w:lineRule="auto"/>
        <w:jc w:val="left"/>
        <w:rPr>
          <w:sz w:val="24"/>
          <w:szCs w:val="24"/>
        </w:rPr>
      </w:pPr>
      <w:r w:rsidRPr="00844CFF">
        <w:rPr>
          <w:b/>
          <w:bCs/>
          <w:sz w:val="24"/>
          <w:szCs w:val="24"/>
        </w:rPr>
        <w:t>Review Granted</w:t>
      </w:r>
      <w:r w:rsidRPr="00844CFF">
        <w:rPr>
          <w:sz w:val="24"/>
          <w:szCs w:val="24"/>
        </w:rPr>
        <w:t xml:space="preserve"> </w:t>
      </w:r>
      <w:r w:rsidRPr="00844CFF">
        <w:rPr>
          <w:b/>
          <w:bCs/>
          <w:sz w:val="24"/>
          <w:szCs w:val="24"/>
        </w:rPr>
        <w:t xml:space="preserve">(published) </w:t>
      </w:r>
      <w:r w:rsidRPr="00844CFF">
        <w:rPr>
          <w:sz w:val="24"/>
          <w:szCs w:val="24"/>
        </w:rPr>
        <w:t>XX 77 Cal.App.5th 550</w:t>
      </w:r>
    </w:p>
    <w:p w:rsidR="00844CFF" w:rsidRPr="00844CFF" w:rsidP="00844CFF" w14:paraId="7B42ECD2" w14:textId="77777777">
      <w:pPr>
        <w:spacing w:after="0" w:line="240" w:lineRule="auto"/>
        <w:jc w:val="left"/>
        <w:rPr>
          <w:sz w:val="24"/>
          <w:szCs w:val="24"/>
        </w:rPr>
      </w:pPr>
      <w:r w:rsidRPr="00844CFF">
        <w:rPr>
          <w:b/>
          <w:bCs/>
          <w:sz w:val="24"/>
          <w:szCs w:val="24"/>
        </w:rPr>
        <w:t xml:space="preserve">Review Granted (unpublished) </w:t>
      </w:r>
    </w:p>
    <w:p w:rsidR="00844CFF" w:rsidRPr="00844CFF" w:rsidP="00844CFF" w14:paraId="518438D6" w14:textId="77777777">
      <w:pPr>
        <w:spacing w:after="0" w:line="240" w:lineRule="auto"/>
        <w:jc w:val="left"/>
        <w:rPr>
          <w:b/>
          <w:bCs/>
          <w:sz w:val="24"/>
          <w:szCs w:val="24"/>
        </w:rPr>
      </w:pPr>
      <w:r w:rsidRPr="00844CFF">
        <w:rPr>
          <w:b/>
          <w:bCs/>
          <w:sz w:val="24"/>
          <w:szCs w:val="24"/>
        </w:rPr>
        <w:t>Rehearing Granted</w:t>
      </w:r>
    </w:p>
    <w:p w:rsidR="00844CFF" w:rsidRPr="00844CFF" w:rsidP="00844CFF" w14:paraId="58855005" w14:textId="77777777">
      <w:pPr>
        <w:spacing w:after="0" w:line="240" w:lineRule="auto"/>
        <w:jc w:val="left"/>
        <w:rPr>
          <w:b/>
          <w:sz w:val="24"/>
          <w:szCs w:val="24"/>
        </w:rPr>
      </w:pPr>
      <w:r w:rsidRPr="00844CFF">
        <w:rPr>
          <w:b/>
          <w:sz w:val="24"/>
          <w:szCs w:val="24"/>
        </w:rPr>
        <w:t xml:space="preserve">__________________________________________________________ </w:t>
      </w:r>
    </w:p>
    <w:p w:rsidR="00844CFF" w:rsidRPr="00844CFF" w:rsidP="00844CFF" w14:paraId="0D5BA756" w14:textId="77777777">
      <w:pPr>
        <w:spacing w:after="0" w:line="240" w:lineRule="auto"/>
        <w:jc w:val="left"/>
        <w:rPr>
          <w:b/>
          <w:sz w:val="24"/>
          <w:szCs w:val="24"/>
        </w:rPr>
      </w:pPr>
    </w:p>
    <w:p w:rsidR="00844CFF" w:rsidRPr="00844CFF" w:rsidP="00844CFF" w14:paraId="102F47B7" w14:textId="77777777">
      <w:pPr>
        <w:spacing w:after="0" w:line="240" w:lineRule="auto"/>
        <w:jc w:val="left"/>
        <w:rPr>
          <w:bCs/>
          <w:sz w:val="24"/>
          <w:szCs w:val="24"/>
        </w:rPr>
      </w:pPr>
      <w:r w:rsidRPr="00844CFF">
        <w:rPr>
          <w:b/>
          <w:sz w:val="24"/>
          <w:szCs w:val="24"/>
        </w:rPr>
        <w:t>Opinion No.</w:t>
      </w:r>
      <w:r w:rsidRPr="00844CFF">
        <w:rPr>
          <w:sz w:val="24"/>
          <w:szCs w:val="24"/>
        </w:rPr>
        <w:t xml:space="preserve"> S274743</w:t>
      </w:r>
    </w:p>
    <w:p w:rsidR="00844CFF" w:rsidRPr="00844CFF" w:rsidP="00844CFF" w14:paraId="00DEF72C" w14:textId="77777777">
      <w:pPr>
        <w:spacing w:after="0" w:line="240" w:lineRule="auto"/>
        <w:jc w:val="left"/>
        <w:rPr>
          <w:bCs/>
          <w:sz w:val="24"/>
          <w:szCs w:val="24"/>
        </w:rPr>
      </w:pPr>
      <w:r w:rsidRPr="00844CFF">
        <w:rPr>
          <w:b/>
          <w:sz w:val="24"/>
          <w:szCs w:val="24"/>
        </w:rPr>
        <w:t>Date Filed:</w:t>
      </w:r>
      <w:r w:rsidRPr="00844CFF">
        <w:rPr>
          <w:sz w:val="24"/>
          <w:szCs w:val="24"/>
        </w:rPr>
        <w:t xml:space="preserve">  June 3, 2024</w:t>
      </w:r>
    </w:p>
    <w:p w:rsidR="00844CFF" w:rsidRPr="00844CFF" w:rsidP="00844CFF" w14:paraId="04BD1599" w14:textId="77777777">
      <w:pPr>
        <w:spacing w:after="0" w:line="240" w:lineRule="auto"/>
        <w:jc w:val="left"/>
        <w:rPr>
          <w:b/>
          <w:sz w:val="24"/>
          <w:szCs w:val="24"/>
        </w:rPr>
      </w:pPr>
      <w:r w:rsidRPr="00844CFF">
        <w:rPr>
          <w:b/>
          <w:sz w:val="24"/>
          <w:szCs w:val="24"/>
        </w:rPr>
        <w:t xml:space="preserve">__________________________________________________________ </w:t>
      </w:r>
    </w:p>
    <w:p w:rsidR="00844CFF" w:rsidRPr="00844CFF" w:rsidP="00844CFF" w14:paraId="64F2546A" w14:textId="77777777">
      <w:pPr>
        <w:spacing w:after="0" w:line="240" w:lineRule="auto"/>
        <w:jc w:val="left"/>
        <w:rPr>
          <w:b/>
          <w:sz w:val="24"/>
          <w:szCs w:val="24"/>
        </w:rPr>
      </w:pPr>
    </w:p>
    <w:p w:rsidR="00844CFF" w:rsidRPr="00844CFF" w:rsidP="00844CFF" w14:paraId="3F9D56EF" w14:textId="77777777">
      <w:pPr>
        <w:spacing w:after="0" w:line="240" w:lineRule="auto"/>
        <w:jc w:val="left"/>
        <w:rPr>
          <w:bCs/>
          <w:sz w:val="24"/>
          <w:szCs w:val="24"/>
        </w:rPr>
      </w:pPr>
      <w:r w:rsidRPr="00844CFF">
        <w:rPr>
          <w:b/>
          <w:sz w:val="24"/>
          <w:szCs w:val="24"/>
        </w:rPr>
        <w:t xml:space="preserve">Court:  </w:t>
      </w:r>
      <w:r w:rsidRPr="00844CFF">
        <w:rPr>
          <w:bCs/>
          <w:sz w:val="24"/>
          <w:szCs w:val="24"/>
        </w:rPr>
        <w:t>Superior</w:t>
      </w:r>
      <w:r w:rsidRPr="00844CFF">
        <w:rPr>
          <w:b/>
          <w:sz w:val="24"/>
          <w:szCs w:val="24"/>
        </w:rPr>
        <w:t xml:space="preserve"> </w:t>
      </w:r>
    </w:p>
    <w:p w:rsidR="00844CFF" w:rsidRPr="00844CFF" w:rsidP="00844CFF" w14:paraId="121CE30C" w14:textId="77777777">
      <w:pPr>
        <w:spacing w:after="0" w:line="240" w:lineRule="auto"/>
        <w:jc w:val="left"/>
        <w:rPr>
          <w:bCs/>
          <w:sz w:val="24"/>
          <w:szCs w:val="24"/>
        </w:rPr>
      </w:pPr>
      <w:r w:rsidRPr="00844CFF">
        <w:rPr>
          <w:b/>
          <w:sz w:val="24"/>
          <w:szCs w:val="24"/>
        </w:rPr>
        <w:t xml:space="preserve">County:  </w:t>
      </w:r>
      <w:r w:rsidRPr="00844CFF">
        <w:rPr>
          <w:bCs/>
          <w:sz w:val="24"/>
          <w:szCs w:val="24"/>
        </w:rPr>
        <w:t>Santa Clara</w:t>
      </w:r>
    </w:p>
    <w:p w:rsidR="00844CFF" w:rsidRPr="00844CFF" w:rsidP="00844CFF" w14:paraId="793EFD20" w14:textId="20520347">
      <w:pPr>
        <w:spacing w:after="0" w:line="240" w:lineRule="auto"/>
        <w:ind w:left="720" w:hanging="720"/>
        <w:jc w:val="left"/>
        <w:rPr>
          <w:bCs/>
          <w:sz w:val="24"/>
          <w:szCs w:val="24"/>
        </w:rPr>
      </w:pPr>
      <w:r w:rsidRPr="00844CFF">
        <w:rPr>
          <w:b/>
          <w:sz w:val="24"/>
          <w:szCs w:val="24"/>
        </w:rPr>
        <w:t>Judge</w:t>
      </w:r>
      <w:r w:rsidR="00AF1ADB">
        <w:rPr>
          <w:b/>
          <w:sz w:val="24"/>
          <w:szCs w:val="24"/>
        </w:rPr>
        <w:t>s</w:t>
      </w:r>
      <w:r w:rsidRPr="00844CFF">
        <w:rPr>
          <w:b/>
          <w:sz w:val="24"/>
          <w:szCs w:val="24"/>
        </w:rPr>
        <w:t xml:space="preserve">: </w:t>
      </w:r>
      <w:r w:rsidRPr="00844CFF">
        <w:rPr>
          <w:bCs/>
          <w:sz w:val="24"/>
          <w:szCs w:val="24"/>
        </w:rPr>
        <w:t xml:space="preserve"> Cynthia A. Sevely</w:t>
      </w:r>
      <w:r w:rsidR="00AF1ADB">
        <w:rPr>
          <w:bCs/>
          <w:sz w:val="24"/>
          <w:szCs w:val="24"/>
        </w:rPr>
        <w:t xml:space="preserve"> and Helen E. Williams</w:t>
      </w:r>
    </w:p>
    <w:p w:rsidR="00844CFF" w:rsidRPr="00844CFF" w:rsidP="00844CFF" w14:paraId="0081B68E" w14:textId="77777777">
      <w:pPr>
        <w:spacing w:after="0" w:line="240" w:lineRule="auto"/>
        <w:jc w:val="left"/>
        <w:rPr>
          <w:b/>
          <w:sz w:val="24"/>
          <w:szCs w:val="24"/>
        </w:rPr>
      </w:pPr>
      <w:r w:rsidRPr="00844CFF">
        <w:rPr>
          <w:b/>
          <w:sz w:val="24"/>
          <w:szCs w:val="24"/>
        </w:rPr>
        <w:t xml:space="preserve">__________________________________________________________  </w:t>
      </w:r>
    </w:p>
    <w:p w:rsidR="00844CFF" w:rsidRPr="00844CFF" w:rsidP="00844CFF" w14:paraId="0B4517DE" w14:textId="77777777">
      <w:pPr>
        <w:spacing w:after="0" w:line="240" w:lineRule="auto"/>
        <w:jc w:val="left"/>
        <w:rPr>
          <w:b/>
          <w:sz w:val="24"/>
          <w:szCs w:val="24"/>
        </w:rPr>
      </w:pPr>
    </w:p>
    <w:p w:rsidR="00844CFF" w:rsidRPr="00844CFF" w:rsidP="00844CFF" w14:paraId="74B14E8D" w14:textId="77777777">
      <w:pPr>
        <w:spacing w:after="0" w:line="240" w:lineRule="auto"/>
        <w:jc w:val="left"/>
        <w:rPr>
          <w:b/>
          <w:sz w:val="24"/>
          <w:szCs w:val="24"/>
        </w:rPr>
      </w:pPr>
      <w:r w:rsidRPr="00844CFF">
        <w:rPr>
          <w:b/>
          <w:sz w:val="24"/>
          <w:szCs w:val="24"/>
        </w:rPr>
        <w:t>Counsel:</w:t>
      </w:r>
    </w:p>
    <w:p w:rsidR="00844CFF" w:rsidRPr="00844CFF" w:rsidP="00844CFF" w14:paraId="511F77B0" w14:textId="77777777">
      <w:pPr>
        <w:spacing w:after="0" w:line="240" w:lineRule="auto"/>
        <w:jc w:val="left"/>
        <w:rPr>
          <w:b/>
          <w:sz w:val="24"/>
          <w:szCs w:val="24"/>
        </w:rPr>
      </w:pPr>
    </w:p>
    <w:p w:rsidR="00844CFF" w:rsidRPr="00844CFF" w:rsidP="00844CFF" w14:paraId="3F3F71EE"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Laurie Wilmore, under appointment by the Supreme Court; and Conrad Petermann, under appointment by the Court of Appeal, for Defendant and Appellant Francisco Burgos.</w:t>
      </w:r>
    </w:p>
    <w:p w:rsidR="00844CFF" w:rsidRPr="00844CFF" w:rsidP="00844CFF" w14:paraId="00028CE2" w14:textId="77777777">
      <w:pPr>
        <w:spacing w:after="0" w:line="240" w:lineRule="auto"/>
        <w:jc w:val="left"/>
        <w:rPr>
          <w:color w:val="212121"/>
          <w:sz w:val="24"/>
          <w:szCs w:val="24"/>
          <w:shd w:val="clear" w:color="auto" w:fill="FFFFFF"/>
        </w:rPr>
      </w:pPr>
    </w:p>
    <w:p w:rsidR="00844CFF" w:rsidRPr="00844CFF" w:rsidP="00844CFF" w14:paraId="7CE37045"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Jean M. Marinovich, under appointment by the Supreme Court, for Defendant and Appellant Damon Stevenson, Jr.</w:t>
      </w:r>
    </w:p>
    <w:p w:rsidR="00844CFF" w:rsidRPr="00844CFF" w:rsidP="00844CFF" w14:paraId="3C5713C9" w14:textId="77777777">
      <w:pPr>
        <w:spacing w:after="0" w:line="240" w:lineRule="auto"/>
        <w:jc w:val="left"/>
        <w:rPr>
          <w:color w:val="212121"/>
          <w:sz w:val="24"/>
          <w:szCs w:val="24"/>
          <w:shd w:val="clear" w:color="auto" w:fill="FFFFFF"/>
        </w:rPr>
      </w:pPr>
    </w:p>
    <w:p w:rsidR="00844CFF" w:rsidRPr="00844CFF" w:rsidP="00844CFF" w14:paraId="739ECC13"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Solomon R. Wollack, under appointment by the Supreme Court, for Defendant and Appellant James Richardson.</w:t>
      </w:r>
    </w:p>
    <w:p w:rsidR="00844CFF" w:rsidRPr="00844CFF" w:rsidP="00844CFF" w14:paraId="2E07EEBD" w14:textId="77777777">
      <w:pPr>
        <w:spacing w:after="0" w:line="240" w:lineRule="auto"/>
        <w:jc w:val="left"/>
        <w:rPr>
          <w:color w:val="212121"/>
          <w:sz w:val="24"/>
          <w:szCs w:val="24"/>
          <w:shd w:val="clear" w:color="auto" w:fill="FFFFFF"/>
        </w:rPr>
      </w:pPr>
    </w:p>
    <w:p w:rsidR="00844CFF" w:rsidRPr="00844CFF" w:rsidP="00844CFF" w14:paraId="015E89A1"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 xml:space="preserve">Rob Bonta, Attorney General, Lance E. Winters, Chief Assistant Attorney General, Jeffrey M. Laurence, Assistant Attorney General, Alice B. Lustre, Seth K. Schalit and J. Michael Chamberlain, Deputy Attorneys General, for Plaintiff and Respondent. </w:t>
      </w:r>
      <w:r w:rsidRPr="00844CFF">
        <w:rPr>
          <w:color w:val="212121"/>
          <w:sz w:val="24"/>
          <w:szCs w:val="24"/>
          <w:shd w:val="clear" w:color="auto" w:fill="FFFFFF"/>
        </w:rPr>
        <w:br w:type="page"/>
      </w:r>
      <w:r w:rsidRPr="00844CFF">
        <w:rPr>
          <w:b/>
          <w:sz w:val="24"/>
          <w:szCs w:val="24"/>
        </w:rPr>
        <w:t xml:space="preserve">Counsel who argued in Supreme Court (not intended for publication with opinion): </w:t>
      </w:r>
    </w:p>
    <w:p w:rsidR="00844CFF" w:rsidRPr="00844CFF" w:rsidP="00844CFF" w14:paraId="22D2851C" w14:textId="77777777">
      <w:pPr>
        <w:spacing w:after="0" w:line="240" w:lineRule="auto"/>
        <w:jc w:val="left"/>
        <w:rPr>
          <w:sz w:val="24"/>
          <w:szCs w:val="24"/>
        </w:rPr>
      </w:pPr>
    </w:p>
    <w:p w:rsidR="00844CFF" w:rsidRPr="00844CFF" w:rsidP="00844CFF" w14:paraId="01494FAE"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Solomon R. Wollack</w:t>
      </w:r>
    </w:p>
    <w:p w:rsidR="00844CFF" w:rsidRPr="00844CFF" w:rsidP="00844CFF" w14:paraId="74827048"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Attorney at Law</w:t>
      </w:r>
    </w:p>
    <w:p w:rsidR="00844CFF" w:rsidRPr="00844CFF" w:rsidP="00844CFF" w14:paraId="4B1A66D7"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P.O. Box 23933</w:t>
      </w:r>
    </w:p>
    <w:p w:rsidR="00844CFF" w:rsidRPr="00844CFF" w:rsidP="00844CFF" w14:paraId="4EE82A49"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Pleasant Hill, CA 94523</w:t>
      </w:r>
    </w:p>
    <w:p w:rsidR="00844CFF" w:rsidRPr="00844CFF" w:rsidP="00844CFF" w14:paraId="3BAB06BD"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(925) 671-2501</w:t>
      </w:r>
    </w:p>
    <w:p w:rsidR="00844CFF" w:rsidRPr="00844CFF" w:rsidP="00844CFF" w14:paraId="2B2E60CB" w14:textId="77777777">
      <w:pPr>
        <w:spacing w:after="0" w:line="240" w:lineRule="auto"/>
        <w:jc w:val="left"/>
        <w:rPr>
          <w:color w:val="212121"/>
          <w:sz w:val="24"/>
          <w:szCs w:val="24"/>
          <w:shd w:val="clear" w:color="auto" w:fill="FFFFFF"/>
        </w:rPr>
      </w:pPr>
    </w:p>
    <w:p w:rsidR="00844CFF" w:rsidRPr="00844CFF" w:rsidP="00844CFF" w14:paraId="2D44274F"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Jeffrey M. Laurence</w:t>
      </w:r>
    </w:p>
    <w:p w:rsidR="00844CFF" w:rsidRPr="00844CFF" w:rsidP="00844CFF" w14:paraId="2AA4DA31"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Assistant Attorney General</w:t>
      </w:r>
    </w:p>
    <w:p w:rsidR="00844CFF" w:rsidRPr="00844CFF" w:rsidP="00844CFF" w14:paraId="11535123"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455 Golden Gate Avenue, Suite 11000</w:t>
      </w:r>
    </w:p>
    <w:p w:rsidR="00844CFF" w:rsidRPr="00844CFF" w:rsidP="00844CFF" w14:paraId="445C5C32"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San Francisco, CA 94102</w:t>
      </w:r>
    </w:p>
    <w:p w:rsidR="00844CFF" w:rsidRPr="00844CFF" w:rsidP="00844CFF" w14:paraId="2649B1A6" w14:textId="77777777">
      <w:pPr>
        <w:spacing w:after="0" w:line="240" w:lineRule="auto"/>
        <w:jc w:val="left"/>
        <w:rPr>
          <w:color w:val="212121"/>
          <w:sz w:val="24"/>
          <w:szCs w:val="24"/>
          <w:shd w:val="clear" w:color="auto" w:fill="FFFFFF"/>
        </w:rPr>
      </w:pPr>
      <w:r w:rsidRPr="00844CFF">
        <w:rPr>
          <w:color w:val="212121"/>
          <w:sz w:val="24"/>
          <w:szCs w:val="24"/>
          <w:shd w:val="clear" w:color="auto" w:fill="FFFFFF"/>
        </w:rPr>
        <w:t>(415) 510-3812</w:t>
      </w:r>
    </w:p>
    <w:p w:rsidR="00844CFF" w:rsidRPr="00844CFF" w:rsidP="00844CFF" w14:paraId="7430EBB8" w14:textId="77777777">
      <w:pPr>
        <w:spacing w:after="0" w:line="240" w:lineRule="auto"/>
        <w:jc w:val="left"/>
        <w:rPr>
          <w:sz w:val="24"/>
          <w:szCs w:val="24"/>
        </w:rPr>
      </w:pPr>
    </w:p>
    <w:p w:rsidR="00F64F70" w:rsidRPr="001616D3" w:rsidP="00C06DCD" w14:paraId="1D81A2D4" w14:textId="77777777">
      <w:pPr>
        <w:rPr>
          <w:b/>
          <w:bCs/>
        </w:rPr>
      </w:pPr>
    </w:p>
    <w:sectPr w:rsidSect="00EC2BB8">
      <w:headerReference w:type="default" r:id="rId14"/>
      <w:footerReference w:type="default" r:id="rId15"/>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2BC" w14:paraId="1D81A2DB"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DCD" w14:paraId="1D81A2DC"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261D" w14:paraId="4294BF5C" w14:textId="77777777">
    <w:pPr>
      <w:pStyle w:val="Footer"/>
    </w:pPr>
    <w:r>
      <w:fldChar w:fldCharType="begin"/>
    </w:r>
    <w:r>
      <w:instrText>PAGE</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261D" w14:paraId="27350343" w14:textId="77777777">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3263590"/>
      <w:docPartObj>
        <w:docPartGallery w:val="Page Numbers (Bottom of Page)"/>
        <w:docPartUnique/>
      </w:docPartObj>
    </w:sdtPr>
    <w:sdtEndPr>
      <w:rPr>
        <w:noProof/>
      </w:rPr>
    </w:sdtEndPr>
    <w:sdtContent>
      <w:p w:rsidR="00E9261D" w14:paraId="7DF6A934"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E9261D" w14:paraId="7AC6264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CFF" w:rsidRPr="00844CFF" w:rsidP="00844CFF" w14:paraId="7D81AD66" w14:textId="72E6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0BD6" w14:paraId="1D81A2D5" w14:textId="77777777">
      <w:r>
        <w:separator/>
      </w:r>
    </w:p>
  </w:footnote>
  <w:footnote w:type="continuationSeparator" w:id="1">
    <w:p w:rsidR="00310BD6" w14:paraId="1D81A2D6" w14:textId="77777777">
      <w:pPr>
        <w:rPr>
          <w:sz w:val="22"/>
        </w:rPr>
      </w:pPr>
      <w:r>
        <w:continuationSeparator/>
      </w:r>
    </w:p>
  </w:footnote>
  <w:footnote w:type="continuationNotice" w:id="2">
    <w:p w:rsidR="00310BD6" w14:paraId="1D81A2D7" w14:textId="77777777">
      <w:pPr>
        <w:jc w:val="right"/>
        <w:rPr>
          <w:i/>
          <w:sz w:val="20"/>
        </w:rPr>
      </w:pPr>
    </w:p>
  </w:footnote>
  <w:footnote w:id="3">
    <w:p w:rsidR="003E4597" w:rsidRPr="0099367E" w:rsidP="00C06DCD" w14:paraId="1D81A2DD" w14:textId="77777777">
      <w:pPr>
        <w:pStyle w:val="FootnoteText"/>
      </w:pPr>
      <w:r w:rsidRPr="0099367E">
        <w:rPr>
          <w:rStyle w:val="FootnoteReference"/>
        </w:rPr>
        <w:footnoteRef/>
      </w:r>
      <w:r w:rsidRPr="0099367E">
        <w:t xml:space="preserve"> </w:t>
      </w:r>
      <w:r w:rsidRPr="0099367E">
        <w:tab/>
        <w:t xml:space="preserve">All </w:t>
      </w:r>
      <w:r w:rsidRPr="0099367E" w:rsidR="00566D04">
        <w:t>further</w:t>
      </w:r>
      <w:r w:rsidRPr="0099367E">
        <w:t xml:space="preserve"> statutory </w:t>
      </w:r>
      <w:r w:rsidRPr="0099367E" w:rsidR="00C04ED1">
        <w:t>references</w:t>
      </w:r>
      <w:r w:rsidRPr="0099367E">
        <w:t xml:space="preserve"> are to the Penal Code unless otherwise indicated.</w:t>
      </w:r>
    </w:p>
  </w:footnote>
  <w:footnote w:id="4">
    <w:p w:rsidR="00C257DC" w:rsidRPr="0099367E" w:rsidP="00C06DCD" w14:paraId="1D81A2DE" w14:textId="77777777">
      <w:pPr>
        <w:pStyle w:val="FootnoteText"/>
      </w:pPr>
      <w:r w:rsidRPr="0099367E">
        <w:rPr>
          <w:rStyle w:val="FootnoteReference"/>
        </w:rPr>
        <w:footnoteRef/>
      </w:r>
      <w:r w:rsidRPr="0099367E">
        <w:t xml:space="preserve"> </w:t>
      </w:r>
      <w:r w:rsidRPr="0099367E">
        <w:tab/>
        <w:t xml:space="preserve">Lozano pleaded guilty prior to trial and Byrd was acquitted at trial.  </w:t>
      </w:r>
    </w:p>
  </w:footnote>
  <w:footnote w:id="5">
    <w:p w:rsidR="004C3E48" w:rsidRPr="0099367E" w14:paraId="1D81A2DF" w14:textId="77777777">
      <w:pPr>
        <w:pStyle w:val="FootnoteText"/>
      </w:pPr>
      <w:r w:rsidRPr="0099367E">
        <w:rPr>
          <w:rStyle w:val="FootnoteReference"/>
        </w:rPr>
        <w:footnoteRef/>
      </w:r>
      <w:r w:rsidRPr="0099367E">
        <w:t xml:space="preserve"> </w:t>
      </w:r>
      <w:r w:rsidRPr="0099367E">
        <w:tab/>
        <w:t xml:space="preserve">The dissenting opinion attempts to </w:t>
      </w:r>
      <w:r w:rsidRPr="0099367E" w:rsidR="00F002AF">
        <w:t>downplay</w:t>
      </w:r>
      <w:r w:rsidRPr="0099367E">
        <w:t xml:space="preserve"> </w:t>
      </w:r>
      <w:r w:rsidRPr="0099367E" w:rsidR="00DE16AF">
        <w:t xml:space="preserve">the significance of </w:t>
      </w:r>
      <w:r w:rsidRPr="0099367E">
        <w:t xml:space="preserve">our decision in </w:t>
      </w:r>
      <w:r w:rsidRPr="0099367E">
        <w:rPr>
          <w:i/>
          <w:iCs/>
        </w:rPr>
        <w:t>Brown</w:t>
      </w:r>
      <w:r w:rsidRPr="0099367E">
        <w:t xml:space="preserve">, </w:t>
      </w:r>
      <w:r w:rsidRPr="0099367E" w:rsidR="00F002AF">
        <w:t>asserting that we “reversed field</w:t>
      </w:r>
      <w:r w:rsidR="004F71B0">
        <w:t xml:space="preserve"> and repudiated </w:t>
      </w:r>
      <w:r w:rsidR="004F71B0">
        <w:rPr>
          <w:i/>
          <w:iCs/>
        </w:rPr>
        <w:t>Brown</w:t>
      </w:r>
      <w:r w:rsidR="004F71B0">
        <w:t xml:space="preserve">’s narrow reading of </w:t>
      </w:r>
      <w:r w:rsidR="004F71B0">
        <w:rPr>
          <w:i/>
          <w:iCs/>
        </w:rPr>
        <w:t>Estrada</w:t>
      </w:r>
      <w:r w:rsidRPr="0099367E" w:rsidR="00F002AF">
        <w:t>” a few years later</w:t>
      </w:r>
      <w:r w:rsidR="004F71B0">
        <w:t xml:space="preserve">. </w:t>
      </w:r>
      <w:r w:rsidRPr="0099367E" w:rsidR="00FE2A2F">
        <w:t xml:space="preserve"> (</w:t>
      </w:r>
      <w:r w:rsidR="004F71B0">
        <w:t>D</w:t>
      </w:r>
      <w:r w:rsidRPr="0099367E" w:rsidR="00FE2A2F">
        <w:t>is. opn.</w:t>
      </w:r>
      <w:r w:rsidRPr="0099367E" w:rsidR="009221CD">
        <w:t xml:space="preserve"> of Evans, J.</w:t>
      </w:r>
      <w:r w:rsidRPr="0099367E" w:rsidR="00FE2A2F">
        <w:t xml:space="preserve">, </w:t>
      </w:r>
      <w:r w:rsidRPr="0099367E" w:rsidR="009221CD">
        <w:rPr>
          <w:i/>
          <w:iCs/>
        </w:rPr>
        <w:t>post</w:t>
      </w:r>
      <w:r w:rsidRPr="0099367E" w:rsidR="00FE2A2F">
        <w:t>, at p.</w:t>
      </w:r>
      <w:r w:rsidR="000D3257">
        <w:t> </w:t>
      </w:r>
      <w:r w:rsidR="004F71B0">
        <w:t xml:space="preserve">6; see </w:t>
      </w:r>
      <w:r w:rsidRPr="0099367E" w:rsidR="00D125ED">
        <w:rPr>
          <w:i/>
          <w:iCs/>
        </w:rPr>
        <w:t>id.</w:t>
      </w:r>
      <w:r w:rsidRPr="0099367E" w:rsidR="00C6728F">
        <w:t xml:space="preserve"> at</w:t>
      </w:r>
      <w:r w:rsidRPr="0099367E" w:rsidR="00D125ED">
        <w:t xml:space="preserve"> p</w:t>
      </w:r>
      <w:r w:rsidR="00553423">
        <w:t>p</w:t>
      </w:r>
      <w:r w:rsidRPr="0099367E" w:rsidR="00D125ED">
        <w:t>.</w:t>
      </w:r>
      <w:r w:rsidRPr="0099367E" w:rsidR="003D670E">
        <w:t> </w:t>
      </w:r>
      <w:r w:rsidR="00553423">
        <w:t>8–</w:t>
      </w:r>
      <w:r w:rsidR="004F71B0">
        <w:t>9.</w:t>
      </w:r>
      <w:r w:rsidRPr="0099367E" w:rsidR="00D125ED">
        <w:t>)</w:t>
      </w:r>
      <w:r w:rsidR="000D3257">
        <w:t xml:space="preserve">  </w:t>
      </w:r>
      <w:r w:rsidRPr="0099367E" w:rsidR="0051356F">
        <w:t xml:space="preserve">Rather than </w:t>
      </w:r>
      <w:r w:rsidR="002F2FFF">
        <w:t>renouncing</w:t>
      </w:r>
      <w:r w:rsidRPr="0099367E" w:rsidR="002F2FFF">
        <w:t xml:space="preserve"> </w:t>
      </w:r>
      <w:r w:rsidRPr="0099367E" w:rsidR="0051356F">
        <w:t>it,</w:t>
      </w:r>
      <w:r w:rsidRPr="0099367E" w:rsidR="005768FA">
        <w:t xml:space="preserve"> this </w:t>
      </w:r>
      <w:r w:rsidR="00900018">
        <w:t>c</w:t>
      </w:r>
      <w:r w:rsidRPr="0099367E" w:rsidR="005768FA">
        <w:t xml:space="preserve">ourt has continued to cite </w:t>
      </w:r>
      <w:r w:rsidRPr="0099367E" w:rsidR="005768FA">
        <w:rPr>
          <w:i/>
          <w:iCs/>
        </w:rPr>
        <w:t>Brown</w:t>
      </w:r>
      <w:r w:rsidRPr="0099367E" w:rsidR="005768FA">
        <w:t xml:space="preserve"> with approval in discussing principles of retroactivity</w:t>
      </w:r>
      <w:r w:rsidRPr="0099367E" w:rsidR="0051356F">
        <w:t>.</w:t>
      </w:r>
      <w:r w:rsidRPr="0099367E" w:rsidR="005768FA">
        <w:t xml:space="preserve">  </w:t>
      </w:r>
      <w:r w:rsidRPr="0099367E" w:rsidR="0090654B">
        <w:t xml:space="preserve">(See, e.g., </w:t>
      </w:r>
      <w:r w:rsidRPr="0099367E" w:rsidR="0055750A">
        <w:rPr>
          <w:i/>
          <w:iCs/>
        </w:rPr>
        <w:t xml:space="preserve">People v. Esquivel </w:t>
      </w:r>
      <w:r w:rsidRPr="0099367E" w:rsidR="0055750A">
        <w:t>(2021) 11</w:t>
      </w:r>
      <w:r w:rsidRPr="0099367E" w:rsidR="006F7953">
        <w:t> </w:t>
      </w:r>
      <w:r w:rsidRPr="0099367E" w:rsidR="0055750A">
        <w:t>Cal.5th 671, 676</w:t>
      </w:r>
      <w:r w:rsidRPr="0099367E" w:rsidR="00AE5702">
        <w:t xml:space="preserve"> [</w:t>
      </w:r>
      <w:r w:rsidRPr="0099367E" w:rsidR="00527C6F">
        <w:t xml:space="preserve">including </w:t>
      </w:r>
      <w:r w:rsidRPr="0099367E" w:rsidR="00527C6F">
        <w:rPr>
          <w:i/>
          <w:iCs/>
        </w:rPr>
        <w:t>Brown</w:t>
      </w:r>
      <w:r w:rsidRPr="0099367E" w:rsidR="00527C6F">
        <w:t xml:space="preserve"> in </w:t>
      </w:r>
      <w:r w:rsidRPr="0099367E" w:rsidR="00BF4C50">
        <w:t xml:space="preserve">summary of this court’s </w:t>
      </w:r>
      <w:r w:rsidRPr="0099367E" w:rsidR="00072751">
        <w:t>relevant precedent</w:t>
      </w:r>
      <w:r w:rsidRPr="0099367E" w:rsidR="003900FF">
        <w:t xml:space="preserve"> evaluating whether </w:t>
      </w:r>
      <w:r w:rsidRPr="0099367E" w:rsidR="00D62A8C">
        <w:t>specific legislation ameliorates punishment]</w:t>
      </w:r>
      <w:r w:rsidRPr="0099367E" w:rsidR="0055750A">
        <w:t xml:space="preserve">; </w:t>
      </w:r>
      <w:r w:rsidRPr="0099367E" w:rsidR="00145EE3">
        <w:rPr>
          <w:i/>
          <w:iCs/>
        </w:rPr>
        <w:t>Buycks</w:t>
      </w:r>
      <w:r w:rsidRPr="0099367E" w:rsidR="00145EE3">
        <w:t>,</w:t>
      </w:r>
      <w:r w:rsidRPr="0099367E" w:rsidR="00145EE3">
        <w:rPr>
          <w:i/>
          <w:iCs/>
        </w:rPr>
        <w:t xml:space="preserve"> supra</w:t>
      </w:r>
      <w:r w:rsidRPr="0099367E" w:rsidR="00145EE3">
        <w:t>, 5</w:t>
      </w:r>
      <w:r w:rsidRPr="0099367E" w:rsidR="006F7953">
        <w:t> </w:t>
      </w:r>
      <w:r w:rsidRPr="0099367E" w:rsidR="00145EE3">
        <w:t>Cal.5th at p. 880</w:t>
      </w:r>
      <w:r w:rsidRPr="0099367E" w:rsidR="00145EE3">
        <w:rPr>
          <w:i/>
          <w:iCs/>
        </w:rPr>
        <w:t xml:space="preserve"> </w:t>
      </w:r>
      <w:r w:rsidRPr="0099367E" w:rsidR="00145EE3">
        <w:t xml:space="preserve">[reaffirming </w:t>
      </w:r>
      <w:r w:rsidRPr="0099367E" w:rsidR="00145EE3">
        <w:rPr>
          <w:i/>
          <w:iCs/>
        </w:rPr>
        <w:t>Brow</w:t>
      </w:r>
      <w:r w:rsidRPr="0099367E" w:rsidR="00D813D3">
        <w:rPr>
          <w:i/>
          <w:iCs/>
        </w:rPr>
        <w:t>n</w:t>
      </w:r>
      <w:r w:rsidRPr="0099367E" w:rsidR="00D813D3">
        <w:t>’</w:t>
      </w:r>
      <w:r w:rsidRPr="0099367E" w:rsidR="00145EE3">
        <w:t>s holding];</w:t>
      </w:r>
      <w:r w:rsidRPr="0099367E" w:rsidR="00145EE3">
        <w:rPr>
          <w:i/>
          <w:iCs/>
        </w:rPr>
        <w:t xml:space="preserve"> </w:t>
      </w:r>
      <w:r w:rsidRPr="0099367E" w:rsidR="00D64DF9">
        <w:rPr>
          <w:i/>
          <w:iCs/>
        </w:rPr>
        <w:t xml:space="preserve">People v. Hajek and Vo </w:t>
      </w:r>
      <w:r w:rsidRPr="0099367E" w:rsidR="00D64DF9">
        <w:t>(2014) 58</w:t>
      </w:r>
      <w:r w:rsidRPr="0099367E" w:rsidR="006F7953">
        <w:t> </w:t>
      </w:r>
      <w:r w:rsidRPr="0099367E" w:rsidR="00D64DF9">
        <w:t xml:space="preserve">Cal.4th 1144, 1195–1196 [same]; </w:t>
      </w:r>
      <w:r w:rsidRPr="0099367E" w:rsidR="0090654B">
        <w:rPr>
          <w:i/>
          <w:iCs/>
        </w:rPr>
        <w:t>Lara</w:t>
      </w:r>
      <w:r w:rsidRPr="0099367E" w:rsidR="0090654B">
        <w:t xml:space="preserve">, </w:t>
      </w:r>
      <w:r w:rsidRPr="0099367E" w:rsidR="0090654B">
        <w:rPr>
          <w:i/>
          <w:iCs/>
        </w:rPr>
        <w:t>supra</w:t>
      </w:r>
      <w:r w:rsidRPr="0099367E" w:rsidR="0090654B">
        <w:t>, 4</w:t>
      </w:r>
      <w:r w:rsidRPr="0099367E" w:rsidR="006F7953">
        <w:t> </w:t>
      </w:r>
      <w:r w:rsidRPr="0099367E" w:rsidR="0090654B">
        <w:t xml:space="preserve">Cal.5th at p. 312 </w:t>
      </w:r>
      <w:r w:rsidRPr="0099367E" w:rsidR="006B27D3">
        <w:t>[</w:t>
      </w:r>
      <w:r w:rsidRPr="0099367E" w:rsidR="00173AE8">
        <w:t>agreeing that conduct credits at issue in</w:t>
      </w:r>
      <w:r w:rsidRPr="0099367E" w:rsidR="006B27D3">
        <w:t xml:space="preserve"> </w:t>
      </w:r>
      <w:r w:rsidRPr="0099367E" w:rsidR="006B27D3">
        <w:rPr>
          <w:i/>
          <w:iCs/>
        </w:rPr>
        <w:t>Brown</w:t>
      </w:r>
      <w:r w:rsidRPr="0099367E" w:rsidR="00E12654">
        <w:t xml:space="preserve"> </w:t>
      </w:r>
      <w:r w:rsidRPr="0099367E" w:rsidR="00FA4A5A">
        <w:t>we</w:t>
      </w:r>
      <w:r w:rsidRPr="0099367E" w:rsidR="00173AE8">
        <w:t>re</w:t>
      </w:r>
      <w:r w:rsidRPr="0099367E" w:rsidR="00E12654">
        <w:t xml:space="preserve"> “not ‘analogous’ to the </w:t>
      </w:r>
      <w:r w:rsidRPr="0099367E" w:rsidR="00E12654">
        <w:rPr>
          <w:i/>
          <w:iCs/>
        </w:rPr>
        <w:t>Estrada</w:t>
      </w:r>
      <w:r w:rsidRPr="0099367E" w:rsidR="00E12654">
        <w:t xml:space="preserve"> situation, and </w:t>
      </w:r>
      <w:r w:rsidRPr="0099367E" w:rsidR="00E12654">
        <w:rPr>
          <w:i/>
          <w:iCs/>
        </w:rPr>
        <w:t>Estrada</w:t>
      </w:r>
      <w:r w:rsidRPr="0099367E" w:rsidR="00E12654">
        <w:t>’s logic d</w:t>
      </w:r>
      <w:r w:rsidRPr="0099367E" w:rsidR="00FA4A5A">
        <w:t>[id]</w:t>
      </w:r>
      <w:r w:rsidRPr="0099367E" w:rsidR="00E12654">
        <w:t xml:space="preserve"> not apply”</w:t>
      </w:r>
      <w:r w:rsidRPr="0099367E" w:rsidR="00FA4A5A">
        <w:t xml:space="preserve"> to them</w:t>
      </w:r>
      <w:r w:rsidRPr="0099367E" w:rsidR="00E12654">
        <w:t>].)</w:t>
      </w:r>
      <w:r w:rsidRPr="0099367E" w:rsidR="00173AE8">
        <w:t xml:space="preserve">  </w:t>
      </w:r>
    </w:p>
    <w:p w:rsidR="00441ACA" w:rsidRPr="0099367E" w:rsidP="00982287" w14:paraId="1D81A2E0" w14:textId="77777777">
      <w:pPr>
        <w:pStyle w:val="FootnoteText"/>
        <w:ind w:firstLine="720"/>
      </w:pPr>
      <w:r w:rsidRPr="0099367E">
        <w:t>In contrast, the dissent</w:t>
      </w:r>
      <w:r w:rsidRPr="0099367E" w:rsidR="00D04B7E">
        <w:t xml:space="preserve"> </w:t>
      </w:r>
      <w:r w:rsidRPr="0099367E" w:rsidR="00140D91">
        <w:t>relies</w:t>
      </w:r>
      <w:r w:rsidRPr="0099367E" w:rsidR="0020436F">
        <w:t xml:space="preserve"> on</w:t>
      </w:r>
      <w:r w:rsidRPr="0099367E" w:rsidR="00DE74E7">
        <w:t xml:space="preserve"> cases that </w:t>
      </w:r>
      <w:r w:rsidRPr="0099367E" w:rsidR="0042642F">
        <w:t>have</w:t>
      </w:r>
      <w:r w:rsidRPr="0099367E" w:rsidR="008E1E0A">
        <w:t xml:space="preserve"> either</w:t>
      </w:r>
      <w:r w:rsidRPr="0099367E" w:rsidR="0042642F">
        <w:rPr>
          <w:i/>
          <w:iCs/>
        </w:rPr>
        <w:t xml:space="preserve"> </w:t>
      </w:r>
      <w:r w:rsidRPr="0099367E" w:rsidR="0042642F">
        <w:t xml:space="preserve">been </w:t>
      </w:r>
      <w:r w:rsidRPr="0099367E" w:rsidR="00617082">
        <w:t>disapproved</w:t>
      </w:r>
      <w:r w:rsidRPr="0099367E" w:rsidR="004C3E48">
        <w:t xml:space="preserve"> </w:t>
      </w:r>
      <w:r w:rsidRPr="0099367E" w:rsidR="008E1E0A">
        <w:t xml:space="preserve">by our court </w:t>
      </w:r>
      <w:r w:rsidRPr="0099367E" w:rsidR="004C3E48">
        <w:t xml:space="preserve">as </w:t>
      </w:r>
      <w:r w:rsidRPr="0099367E" w:rsidR="00FE7142">
        <w:t xml:space="preserve">improperly expanding </w:t>
      </w:r>
      <w:r w:rsidRPr="0099367E" w:rsidR="00FE7142">
        <w:rPr>
          <w:i/>
          <w:iCs/>
        </w:rPr>
        <w:t>Estrada</w:t>
      </w:r>
      <w:r w:rsidRPr="0099367E" w:rsidR="00FE7142">
        <w:t>’s reach</w:t>
      </w:r>
      <w:r w:rsidRPr="0099367E" w:rsidR="00617082">
        <w:t xml:space="preserve"> or do not involve </w:t>
      </w:r>
      <w:r w:rsidRPr="0099367E" w:rsidR="00FE7142">
        <w:t xml:space="preserve">the interpretation of statutes at all. </w:t>
      </w:r>
      <w:r w:rsidRPr="0099367E" w:rsidR="00E12654">
        <w:t xml:space="preserve"> </w:t>
      </w:r>
      <w:r w:rsidRPr="0099367E" w:rsidR="003E7E55">
        <w:t>(</w:t>
      </w:r>
      <w:r w:rsidRPr="0099367E" w:rsidR="00FE7142">
        <w:t>S</w:t>
      </w:r>
      <w:r w:rsidRPr="0099367E" w:rsidR="003E7E55">
        <w:t>ee</w:t>
      </w:r>
      <w:r w:rsidRPr="0099367E" w:rsidR="006A3B91">
        <w:t xml:space="preserve"> </w:t>
      </w:r>
      <w:r w:rsidRPr="0099367E" w:rsidR="00AC4170">
        <w:t xml:space="preserve">dis. opn. of Evans, J., </w:t>
      </w:r>
      <w:r w:rsidRPr="0099367E" w:rsidR="00AC4170">
        <w:rPr>
          <w:i/>
          <w:iCs/>
        </w:rPr>
        <w:t>post</w:t>
      </w:r>
      <w:r w:rsidRPr="0099367E" w:rsidR="00AC4170">
        <w:t xml:space="preserve">, </w:t>
      </w:r>
      <w:r w:rsidRPr="0099367E" w:rsidR="00C6728F">
        <w:t xml:space="preserve">at </w:t>
      </w:r>
      <w:r w:rsidRPr="0099367E" w:rsidR="00AC4170">
        <w:t xml:space="preserve">p. 1, </w:t>
      </w:r>
      <w:r w:rsidRPr="0099367E" w:rsidR="00010EF4">
        <w:t xml:space="preserve">citing </w:t>
      </w:r>
      <w:r w:rsidRPr="0099367E" w:rsidR="00010EF4">
        <w:rPr>
          <w:i/>
          <w:iCs/>
        </w:rPr>
        <w:t>In re Marriage of Bouquet</w:t>
      </w:r>
      <w:r w:rsidRPr="0099367E" w:rsidR="00010EF4">
        <w:t xml:space="preserve"> (1976) 16</w:t>
      </w:r>
      <w:r w:rsidRPr="0099367E" w:rsidR="006F7953">
        <w:t> </w:t>
      </w:r>
      <w:r w:rsidRPr="0099367E" w:rsidR="00010EF4">
        <w:t>Cal.3d 583, 587</w:t>
      </w:r>
      <w:r w:rsidRPr="0099367E" w:rsidR="007D7263">
        <w:t xml:space="preserve">; dis. opn. of Evans, J., </w:t>
      </w:r>
      <w:r w:rsidRPr="0099367E" w:rsidR="007D7263">
        <w:rPr>
          <w:i/>
          <w:iCs/>
        </w:rPr>
        <w:t>post</w:t>
      </w:r>
      <w:r w:rsidRPr="0099367E" w:rsidR="007D7263">
        <w:t>, at p.</w:t>
      </w:r>
      <w:r w:rsidRPr="0099367E" w:rsidR="007D7263">
        <w:rPr>
          <w:i/>
          <w:iCs/>
        </w:rPr>
        <w:t xml:space="preserve"> </w:t>
      </w:r>
      <w:r w:rsidR="004F71B0">
        <w:t>4</w:t>
      </w:r>
      <w:r w:rsidRPr="0099367E" w:rsidR="00BE5D01">
        <w:t xml:space="preserve">, citing </w:t>
      </w:r>
      <w:r w:rsidRPr="0099367E" w:rsidR="00BE5D01">
        <w:rPr>
          <w:i/>
          <w:iCs/>
        </w:rPr>
        <w:t>In re Johnson</w:t>
      </w:r>
      <w:r w:rsidRPr="0099367E" w:rsidR="00BE5D01">
        <w:t xml:space="preserve"> (1970) 3</w:t>
      </w:r>
      <w:r w:rsidRPr="0099367E" w:rsidR="006F7953">
        <w:t> </w:t>
      </w:r>
      <w:r w:rsidRPr="0099367E" w:rsidR="00BE5D01">
        <w:t>Cal.3d 404, 413.</w:t>
      </w:r>
      <w:r w:rsidRPr="0099367E" w:rsidR="00AC4170">
        <w:t>)</w:t>
      </w:r>
      <w:r w:rsidRPr="0099367E" w:rsidR="00BE5D01">
        <w:t xml:space="preserve"> </w:t>
      </w:r>
      <w:r w:rsidRPr="0099367E" w:rsidR="00AC4170">
        <w:rPr>
          <w:i/>
          <w:iCs/>
        </w:rPr>
        <w:t xml:space="preserve"> </w:t>
      </w:r>
      <w:r w:rsidRPr="0099367E" w:rsidR="00BE5D01">
        <w:t xml:space="preserve">In </w:t>
      </w:r>
      <w:r w:rsidRPr="0099367E" w:rsidR="006A3B91">
        <w:rPr>
          <w:i/>
          <w:iCs/>
        </w:rPr>
        <w:t>Californians</w:t>
      </w:r>
      <w:r w:rsidRPr="0099367E" w:rsidR="00EA42E8">
        <w:rPr>
          <w:i/>
          <w:iCs/>
        </w:rPr>
        <w:t xml:space="preserve"> for Disability Rights v. Mervyn’s, LLC</w:t>
      </w:r>
      <w:r w:rsidRPr="0099367E" w:rsidR="00EA42E8">
        <w:t xml:space="preserve"> (2006) 39</w:t>
      </w:r>
      <w:r w:rsidRPr="0099367E" w:rsidR="006F7953">
        <w:t> </w:t>
      </w:r>
      <w:r w:rsidRPr="0099367E" w:rsidR="00EA42E8">
        <w:t xml:space="preserve">Cal.4th </w:t>
      </w:r>
      <w:r w:rsidRPr="0099367E" w:rsidR="00B84F1F">
        <w:t>223, 229–230</w:t>
      </w:r>
      <w:r w:rsidRPr="0099367E" w:rsidR="00BE5D01">
        <w:t xml:space="preserve">, we explained that </w:t>
      </w:r>
      <w:r w:rsidRPr="0099367E" w:rsidR="00B84F1F">
        <w:t xml:space="preserve">“at least in modern times, we have been cautious not to </w:t>
      </w:r>
      <w:r w:rsidRPr="0099367E" w:rsidR="00341C6D">
        <w:t>infer the voters’ or the Legislature’s intent on the subject of prospective versus retrospective operation from ‘vague phrases’</w:t>
      </w:r>
      <w:r w:rsidRPr="0099367E" w:rsidR="007808D5">
        <w:t xml:space="preserve"> [citation] and ‘broad, general language’ [citation] in statutes, initiative measures and ballot pamphlets.</w:t>
      </w:r>
      <w:r w:rsidRPr="0099367E" w:rsidR="00976216">
        <w:t xml:space="preserve">  We have also disapproved statements to the contrary in certain older cases,” </w:t>
      </w:r>
      <w:r w:rsidR="005E5E69">
        <w:t xml:space="preserve">including </w:t>
      </w:r>
      <w:r w:rsidRPr="0099367E" w:rsidR="00976216">
        <w:rPr>
          <w:i/>
          <w:iCs/>
        </w:rPr>
        <w:t>Marriage of Bouquet</w:t>
      </w:r>
      <w:r w:rsidRPr="0099367E" w:rsidR="003C1F9B">
        <w:t xml:space="preserve">.  </w:t>
      </w:r>
      <w:r w:rsidRPr="0099367E" w:rsidR="00BA375D">
        <w:t xml:space="preserve">And </w:t>
      </w:r>
      <w:r w:rsidRPr="0099367E" w:rsidR="00BB5A20">
        <w:rPr>
          <w:i/>
          <w:iCs/>
        </w:rPr>
        <w:t>Johnson</w:t>
      </w:r>
      <w:r w:rsidRPr="0099367E" w:rsidR="004D1FE3">
        <w:t xml:space="preserve"> </w:t>
      </w:r>
      <w:r w:rsidRPr="0099367E" w:rsidR="00BA375D">
        <w:t>addresses the</w:t>
      </w:r>
      <w:r w:rsidRPr="0099367E" w:rsidR="004D1FE3">
        <w:t xml:space="preserve"> </w:t>
      </w:r>
      <w:r w:rsidRPr="0099367E" w:rsidR="002C70DB">
        <w:t xml:space="preserve">standards for determining “[t]he retrospective effect of a </w:t>
      </w:r>
      <w:r w:rsidRPr="0099367E" w:rsidR="002C70DB">
        <w:rPr>
          <w:i/>
          <w:iCs/>
        </w:rPr>
        <w:t>law-making opinion</w:t>
      </w:r>
      <w:r w:rsidRPr="0099367E" w:rsidR="002C70DB">
        <w:t>” (</w:t>
      </w:r>
      <w:r w:rsidR="0037319B">
        <w:rPr>
          <w:i/>
          <w:iCs/>
        </w:rPr>
        <w:t>Johnson</w:t>
      </w:r>
      <w:r w:rsidR="0037319B">
        <w:t>,</w:t>
      </w:r>
      <w:r w:rsidRPr="0099367E" w:rsidR="00BA375D">
        <w:rPr>
          <w:i/>
          <w:iCs/>
        </w:rPr>
        <w:t xml:space="preserve"> </w:t>
      </w:r>
      <w:r w:rsidRPr="0099367E" w:rsidR="00BA375D">
        <w:t>at p.</w:t>
      </w:r>
      <w:r w:rsidRPr="0099367E" w:rsidR="003D670E">
        <w:t> </w:t>
      </w:r>
      <w:r w:rsidRPr="0099367E" w:rsidR="00BA375D">
        <w:t xml:space="preserve">410, </w:t>
      </w:r>
      <w:r w:rsidRPr="0099367E" w:rsidR="002C70DB">
        <w:t>italics added)</w:t>
      </w:r>
      <w:r w:rsidRPr="0099367E" w:rsidR="0027493E">
        <w:t xml:space="preserve">, which are fundamentally different from </w:t>
      </w:r>
      <w:r w:rsidRPr="0099367E" w:rsidR="00DF758A">
        <w:t>determining the retroactive operation of a statute.  (See</w:t>
      </w:r>
      <w:r w:rsidRPr="0099367E" w:rsidR="00B45D51">
        <w:t xml:space="preserve">, e.g., </w:t>
      </w:r>
      <w:r w:rsidRPr="0099367E" w:rsidR="00B45D51">
        <w:rPr>
          <w:i/>
          <w:iCs/>
        </w:rPr>
        <w:t>Frlekin v. Apple Inc.</w:t>
      </w:r>
      <w:r w:rsidRPr="0099367E" w:rsidR="00B45D51">
        <w:t xml:space="preserve"> (2020) 8</w:t>
      </w:r>
      <w:r w:rsidRPr="0099367E" w:rsidR="006F7953">
        <w:t> </w:t>
      </w:r>
      <w:r w:rsidRPr="0099367E" w:rsidR="00B45D51">
        <w:t>Cal.5th</w:t>
      </w:r>
      <w:r w:rsidRPr="0099367E" w:rsidR="00B45D51">
        <w:rPr>
          <w:vertAlign w:val="superscript"/>
        </w:rPr>
        <w:t xml:space="preserve"> </w:t>
      </w:r>
      <w:r w:rsidRPr="0099367E" w:rsidR="00B45D51">
        <w:t xml:space="preserve">1038, 1057 [“ ‘ “The general rule that judicial decisions are given retroactive effect is basic in our legal tradition” ’ ”].)  </w:t>
      </w:r>
    </w:p>
  </w:footnote>
  <w:footnote w:id="6">
    <w:p w:rsidR="00CD1A46" w:rsidRPr="0099367E" w14:paraId="1D81A2E1" w14:textId="77777777">
      <w:pPr>
        <w:pStyle w:val="FootnoteText"/>
      </w:pPr>
      <w:r w:rsidRPr="0099367E">
        <w:rPr>
          <w:rStyle w:val="FootnoteReference"/>
        </w:rPr>
        <w:footnoteRef/>
      </w:r>
      <w:r w:rsidRPr="0099367E">
        <w:t xml:space="preserve"> </w:t>
      </w:r>
      <w:r w:rsidRPr="0099367E" w:rsidR="00910B4D">
        <w:tab/>
      </w:r>
      <w:r w:rsidRPr="0099367E" w:rsidR="00322076">
        <w:t>For example, t</w:t>
      </w:r>
      <w:r w:rsidRPr="0099367E" w:rsidR="00910B4D">
        <w:t xml:space="preserve">he legislative findings accompanying Assembly Bill 333 </w:t>
      </w:r>
      <w:r w:rsidRPr="0099367E" w:rsidR="00322076">
        <w:t xml:space="preserve">state that </w:t>
      </w:r>
      <w:r w:rsidRPr="0099367E" w:rsidR="003647CE">
        <w:t xml:space="preserve">“[c]urrent gang enhancement statutes criminalize entire neighborhoods historically impacted by poverty, racial inequality, and mass incarceration as they punish people based on their cultural identity, who they know, and where they live” (Stats. 2021, ch. </w:t>
      </w:r>
      <w:r w:rsidRPr="0099367E" w:rsidR="00BD4DD2">
        <w:t xml:space="preserve">699, § 2, subd. (a)), “[n]o </w:t>
      </w:r>
      <w:r w:rsidRPr="0099367E" w:rsidR="00980CD4">
        <w:t>empirical studies have produced evidence showing that gang enhancements meaningfully reduce crime or violence” (</w:t>
      </w:r>
      <w:r w:rsidRPr="0099367E" w:rsidR="00980CD4">
        <w:rPr>
          <w:i/>
          <w:iCs/>
        </w:rPr>
        <w:t>id.</w:t>
      </w:r>
      <w:r w:rsidRPr="0099367E" w:rsidR="00980CD4">
        <w:t>, subd. (c)),</w:t>
      </w:r>
      <w:r w:rsidRPr="0099367E" w:rsidR="001A532F">
        <w:t xml:space="preserve"> </w:t>
      </w:r>
      <w:r w:rsidRPr="0099367E" w:rsidR="00E4553F">
        <w:t xml:space="preserve">and </w:t>
      </w:r>
      <w:r w:rsidRPr="0099367E" w:rsidR="001A532F">
        <w:t>“[t]he gang enhancement statute is applied inconsistently against people of color, creating a racial disparity</w:t>
      </w:r>
      <w:r w:rsidRPr="0099367E" w:rsidR="00E4553F">
        <w:t>” (</w:t>
      </w:r>
      <w:r w:rsidRPr="0099367E" w:rsidR="00E4553F">
        <w:rPr>
          <w:i/>
          <w:iCs/>
        </w:rPr>
        <w:t>id.</w:t>
      </w:r>
      <w:r w:rsidRPr="0099367E" w:rsidR="00E4553F">
        <w:t>, subd. (d)(1)).</w:t>
      </w:r>
    </w:p>
  </w:footnote>
  <w:footnote w:id="7">
    <w:p w:rsidR="00BA2C55" w:rsidRPr="0099367E" w:rsidP="00800D70" w14:paraId="1D81A2E2" w14:textId="77777777">
      <w:pPr>
        <w:pStyle w:val="FootnoteText"/>
      </w:pPr>
      <w:r w:rsidRPr="0099367E">
        <w:rPr>
          <w:rStyle w:val="FootnoteReference"/>
        </w:rPr>
        <w:footnoteRef/>
      </w:r>
      <w:r w:rsidRPr="0099367E">
        <w:t xml:space="preserve"> </w:t>
      </w:r>
      <w:r w:rsidRPr="0099367E">
        <w:tab/>
        <w:t xml:space="preserve">We disagree with the dissent’s characterization of </w:t>
      </w:r>
      <w:r w:rsidRPr="0099367E" w:rsidR="00AF1523">
        <w:t>the legislative findings pertaining to section 1109</w:t>
      </w:r>
      <w:r w:rsidRPr="0099367E" w:rsidR="00595F55">
        <w:t xml:space="preserve"> as </w:t>
      </w:r>
      <w:r w:rsidRPr="0099367E">
        <w:t>“clear and forceful”</w:t>
      </w:r>
      <w:r w:rsidRPr="0099367E" w:rsidR="00595F55">
        <w:t xml:space="preserve"> (</w:t>
      </w:r>
      <w:r w:rsidR="00853093">
        <w:t>d</w:t>
      </w:r>
      <w:r w:rsidRPr="0099367E" w:rsidR="00595F55">
        <w:t xml:space="preserve">is. opn. of Evans, J., </w:t>
      </w:r>
      <w:r w:rsidRPr="0099367E" w:rsidR="00595F55">
        <w:rPr>
          <w:i/>
          <w:iCs/>
        </w:rPr>
        <w:t>post</w:t>
      </w:r>
      <w:r w:rsidRPr="0099367E" w:rsidR="00595F55">
        <w:t>, at p.</w:t>
      </w:r>
      <w:r w:rsidRPr="0099367E" w:rsidR="006B734F">
        <w:t> </w:t>
      </w:r>
      <w:r w:rsidRPr="0099367E" w:rsidR="00595F55">
        <w:t>2)</w:t>
      </w:r>
      <w:r w:rsidRPr="0099367E" w:rsidR="00591654">
        <w:t xml:space="preserve"> </w:t>
      </w:r>
      <w:r w:rsidRPr="0099367E" w:rsidR="00A90BD5">
        <w:t xml:space="preserve">on the relevant issue before us — i.e., whether the limited bifurcation provisions apply retroactively to nonfinal judgments.  We of course are “aware that </w:t>
      </w:r>
      <w:r w:rsidR="004F71B0">
        <w:t xml:space="preserve">avoiding </w:t>
      </w:r>
      <w:r w:rsidRPr="0099367E" w:rsidR="00A90BD5">
        <w:t>‘the injustice that results from the conviction of an innocent person has long been at the core of our criminal justice system’ ” (</w:t>
      </w:r>
      <w:r w:rsidR="009D63FC">
        <w:t>d</w:t>
      </w:r>
      <w:r w:rsidRPr="0099367E" w:rsidR="00A90BD5">
        <w:t xml:space="preserve">is. opn. of Evans, J., </w:t>
      </w:r>
      <w:r w:rsidRPr="0099367E" w:rsidR="00A90AC6">
        <w:rPr>
          <w:i/>
          <w:iCs/>
        </w:rPr>
        <w:t>post</w:t>
      </w:r>
      <w:r w:rsidRPr="0099367E" w:rsidR="00A90AC6">
        <w:t>, at p.</w:t>
      </w:r>
      <w:r w:rsidRPr="0099367E" w:rsidR="00092B37">
        <w:t> </w:t>
      </w:r>
      <w:r w:rsidRPr="0099367E" w:rsidR="00A90AC6">
        <w:t xml:space="preserve">4, </w:t>
      </w:r>
      <w:r w:rsidRPr="0099367E">
        <w:t xml:space="preserve">citing </w:t>
      </w:r>
      <w:r w:rsidRPr="0099367E" w:rsidR="00A90BD5">
        <w:rPr>
          <w:i/>
          <w:iCs/>
        </w:rPr>
        <w:t>Schlup v. Delo</w:t>
      </w:r>
      <w:r w:rsidRPr="0099367E" w:rsidR="00A90BD5">
        <w:t xml:space="preserve"> (1995) 513 U.S. 298, 325)</w:t>
      </w:r>
      <w:r w:rsidRPr="0099367E" w:rsidR="00092B37">
        <w:t xml:space="preserve">, and we are cognizant </w:t>
      </w:r>
      <w:r w:rsidRPr="0099367E" w:rsidR="00F93C2F">
        <w:t xml:space="preserve">that </w:t>
      </w:r>
      <w:r w:rsidRPr="0099367E" w:rsidR="00092B37">
        <w:t xml:space="preserve">the Legislature </w:t>
      </w:r>
      <w:r w:rsidRPr="0099367E" w:rsidR="00F93C2F">
        <w:t xml:space="preserve">identified racial disparities </w:t>
      </w:r>
      <w:r w:rsidRPr="0099367E" w:rsidR="00092B37">
        <w:t>in the use of gang enhancements (</w:t>
      </w:r>
      <w:r w:rsidR="009D63FC">
        <w:t>d</w:t>
      </w:r>
      <w:r w:rsidRPr="0099367E" w:rsidR="00092B37">
        <w:t xml:space="preserve">is. opn. of Evans, J., </w:t>
      </w:r>
      <w:r w:rsidRPr="0099367E" w:rsidR="00092B37">
        <w:rPr>
          <w:i/>
          <w:iCs/>
        </w:rPr>
        <w:t>post</w:t>
      </w:r>
      <w:r w:rsidRPr="0099367E" w:rsidR="00092B37">
        <w:t>, at p. 3).</w:t>
      </w:r>
      <w:r w:rsidRPr="0099367E" w:rsidR="00A90BD5">
        <w:t xml:space="preserve">  </w:t>
      </w:r>
      <w:r w:rsidRPr="0099367E">
        <w:t xml:space="preserve">But we also note that strongly worded legislative findings relating to racial bias and unfairness in the criminal justice system do not necessarily convey that the Legislature intended for </w:t>
      </w:r>
      <w:r w:rsidR="000F4103">
        <w:t>section 1109 —</w:t>
      </w:r>
      <w:r w:rsidR="001F73AC">
        <w:t xml:space="preserve"> </w:t>
      </w:r>
      <w:r w:rsidR="000F4103">
        <w:t>which concerns the order of presentation of evidence at trial, not the substantive scope of the gang enhancements — </w:t>
      </w:r>
      <w:r w:rsidRPr="0099367E">
        <w:t>to apply retroactively</w:t>
      </w:r>
      <w:r w:rsidR="000F4103">
        <w:t xml:space="preserve"> to cases that have already been tried</w:t>
      </w:r>
      <w:r w:rsidRPr="0099367E">
        <w:t xml:space="preserve">.  (Compare Stats. 2020, ch. 317, § 2, subds. (a)–(j) with Pen. Code, </w:t>
      </w:r>
      <w:r w:rsidRPr="0099367E" w:rsidR="00316545">
        <w:t xml:space="preserve">former </w:t>
      </w:r>
      <w:r w:rsidRPr="0099367E">
        <w:t>§ 745, subd. (j) [“This section applies only prospectively in cases in which judgment has not been entered prior to January 1, 2021”].)</w:t>
      </w:r>
    </w:p>
  </w:footnote>
  <w:footnote w:id="8">
    <w:p w:rsidR="00120EA3" w:rsidRPr="0099367E" w:rsidP="00C06DCD" w14:paraId="1D81A2E3" w14:textId="77777777">
      <w:pPr>
        <w:pStyle w:val="FootnoteText"/>
      </w:pPr>
      <w:r w:rsidRPr="0099367E">
        <w:rPr>
          <w:rStyle w:val="FootnoteReference"/>
        </w:rPr>
        <w:footnoteRef/>
      </w:r>
      <w:r w:rsidRPr="0099367E">
        <w:t xml:space="preserve"> </w:t>
      </w:r>
      <w:r w:rsidRPr="0099367E">
        <w:tab/>
      </w:r>
      <w:r w:rsidRPr="0099367E" w:rsidR="00112C15">
        <w:t xml:space="preserve">Stevenson </w:t>
      </w:r>
      <w:r w:rsidRPr="0099367E" w:rsidR="00774BAA">
        <w:t>incorrectly</w:t>
      </w:r>
      <w:r w:rsidRPr="0099367E" w:rsidR="00112C15">
        <w:t xml:space="preserve"> suggests that </w:t>
      </w:r>
      <w:r w:rsidRPr="0099367E" w:rsidR="00D35CD3">
        <w:t xml:space="preserve">the Legislature’s failure to include an express provision regarding </w:t>
      </w:r>
      <w:r w:rsidRPr="0099367E" w:rsidR="00874744">
        <w:t xml:space="preserve">the prospective application of </w:t>
      </w:r>
      <w:r w:rsidRPr="0099367E" w:rsidR="00D35CD3">
        <w:t xml:space="preserve">Assembly Bill 333 supports a finding that the Legislature </w:t>
      </w:r>
      <w:r w:rsidRPr="0099367E" w:rsidR="00774BAA">
        <w:t xml:space="preserve">intended </w:t>
      </w:r>
      <w:r w:rsidRPr="0099367E" w:rsidR="00874744">
        <w:t xml:space="preserve">the statute to apply </w:t>
      </w:r>
      <w:r w:rsidRPr="0099367E" w:rsidR="00774BAA">
        <w:t>retroactiv</w:t>
      </w:r>
      <w:r w:rsidRPr="0099367E" w:rsidR="00874744">
        <w:t>ely</w:t>
      </w:r>
      <w:r w:rsidRPr="0099367E" w:rsidR="00774BAA">
        <w:t xml:space="preserve">.  </w:t>
      </w:r>
      <w:r w:rsidRPr="0099367E" w:rsidR="00274920">
        <w:t>As stated above</w:t>
      </w:r>
      <w:r w:rsidRPr="0099367E" w:rsidR="0022133E">
        <w:t xml:space="preserve">, </w:t>
      </w:r>
      <w:r w:rsidRPr="0099367E" w:rsidR="00EE47FA">
        <w:t>if a statute is silent as to retroactivity, it is generally presumed</w:t>
      </w:r>
      <w:r w:rsidRPr="0099367E" w:rsidR="0022133E">
        <w:t xml:space="preserve"> to apply prospectively</w:t>
      </w:r>
      <w:r w:rsidRPr="0099367E" w:rsidR="00906CCC">
        <w:t>.  (</w:t>
      </w:r>
      <w:r w:rsidRPr="0099367E" w:rsidR="001027F2">
        <w:rPr>
          <w:iCs/>
        </w:rPr>
        <w:t>§</w:t>
      </w:r>
      <w:r w:rsidRPr="0099367E" w:rsidR="00E64DAA">
        <w:rPr>
          <w:iCs/>
        </w:rPr>
        <w:t> </w:t>
      </w:r>
      <w:r w:rsidRPr="0099367E" w:rsidR="001027F2">
        <w:t xml:space="preserve">3; </w:t>
      </w:r>
      <w:r w:rsidRPr="0099367E" w:rsidR="00495B1C">
        <w:rPr>
          <w:i/>
          <w:iCs/>
        </w:rPr>
        <w:t>Brown</w:t>
      </w:r>
      <w:r w:rsidRPr="0099367E" w:rsidR="00495B1C">
        <w:t xml:space="preserve">, </w:t>
      </w:r>
      <w:r w:rsidRPr="0099367E" w:rsidR="00495B1C">
        <w:rPr>
          <w:i/>
          <w:iCs/>
        </w:rPr>
        <w:t>supra</w:t>
      </w:r>
      <w:r w:rsidRPr="0099367E" w:rsidR="00495B1C">
        <w:t>, 54</w:t>
      </w:r>
      <w:r w:rsidRPr="0099367E" w:rsidR="00A13009">
        <w:t> </w:t>
      </w:r>
      <w:r w:rsidRPr="0099367E" w:rsidR="00495B1C">
        <w:t>Cal.4th at p.</w:t>
      </w:r>
      <w:r w:rsidRPr="0099367E" w:rsidR="000F59B2">
        <w:t> </w:t>
      </w:r>
      <w:r w:rsidRPr="0099367E" w:rsidR="00495B1C">
        <w:t>320</w:t>
      </w:r>
      <w:r w:rsidRPr="0099367E" w:rsidR="00E637F2">
        <w:t>;</w:t>
      </w:r>
      <w:r w:rsidRPr="0099367E" w:rsidR="00A8426B">
        <w:t xml:space="preserve"> </w:t>
      </w:r>
      <w:r w:rsidRPr="0099367E" w:rsidR="00E637F2">
        <w:rPr>
          <w:i/>
          <w:iCs/>
        </w:rPr>
        <w:t>Evangelatos</w:t>
      </w:r>
      <w:r w:rsidRPr="0099367E" w:rsidR="00E637F2">
        <w:t xml:space="preserve">, </w:t>
      </w:r>
      <w:r w:rsidRPr="0099367E" w:rsidR="00E637F2">
        <w:rPr>
          <w:i/>
          <w:iCs/>
        </w:rPr>
        <w:t>supra</w:t>
      </w:r>
      <w:r w:rsidRPr="0099367E" w:rsidR="00E637F2">
        <w:t>, 44</w:t>
      </w:r>
      <w:r w:rsidRPr="0099367E" w:rsidR="00A13009">
        <w:t> </w:t>
      </w:r>
      <w:r w:rsidRPr="0099367E" w:rsidR="00E637F2">
        <w:t xml:space="preserve">Cal.3d at </w:t>
      </w:r>
      <w:r w:rsidRPr="0099367E" w:rsidR="00963486">
        <w:t>p</w:t>
      </w:r>
      <w:r w:rsidRPr="0099367E" w:rsidR="00E637F2">
        <w:t>.</w:t>
      </w:r>
      <w:r w:rsidRPr="0099367E" w:rsidR="000F59B2">
        <w:t> </w:t>
      </w:r>
      <w:r w:rsidRPr="0099367E" w:rsidR="001F4FFF">
        <w:t xml:space="preserve">1209 </w:t>
      </w:r>
      <w:r w:rsidRPr="0099367E" w:rsidR="00E82463">
        <w:t>[</w:t>
      </w:r>
      <w:r w:rsidRPr="0099367E" w:rsidR="00CB77D4">
        <w:t>under “the general principle of prospectivity, the absence of any express provision directing retroactive application strongly supports prospective operation of the measure</w:t>
      </w:r>
      <w:r w:rsidRPr="0099367E" w:rsidR="0077490C">
        <w:t>”</w:t>
      </w:r>
      <w:r w:rsidRPr="0099367E" w:rsidR="00D86826">
        <w:t>]</w:t>
      </w:r>
      <w:r w:rsidRPr="0099367E" w:rsidR="00495B1C">
        <w:t xml:space="preserve">.)  </w:t>
      </w:r>
    </w:p>
  </w:footnote>
  <w:footnote w:id="9">
    <w:p w:rsidR="008D3312" w:rsidRPr="0099367E" w14:paraId="1D81A2E4" w14:textId="77777777">
      <w:pPr>
        <w:pStyle w:val="FootnoteText"/>
      </w:pPr>
      <w:r w:rsidRPr="0099367E">
        <w:rPr>
          <w:rStyle w:val="FootnoteReference"/>
        </w:rPr>
        <w:footnoteRef/>
      </w:r>
      <w:r w:rsidRPr="0099367E">
        <w:t xml:space="preserve"> </w:t>
      </w:r>
      <w:r w:rsidRPr="0099367E">
        <w:tab/>
      </w:r>
      <w:r w:rsidRPr="0099367E" w:rsidR="00DD1183">
        <w:t xml:space="preserve">In Assembly Bill 333’s findings and declarations, the Legislature cited a decision by this court in which we recognized that gang evidence may in some instances be prejudicial (Stats. 2021, ch. 699, § 2, subd. (e), citing </w:t>
      </w:r>
      <w:r w:rsidRPr="0099367E" w:rsidR="00DD1183">
        <w:rPr>
          <w:i/>
          <w:iCs/>
        </w:rPr>
        <w:t>People v. Williams</w:t>
      </w:r>
      <w:r w:rsidRPr="0099367E" w:rsidR="00DD1183">
        <w:t xml:space="preserve"> (1997) 16</w:t>
      </w:r>
      <w:r w:rsidRPr="0099367E" w:rsidR="00F46DF9">
        <w:t> </w:t>
      </w:r>
      <w:r w:rsidRPr="0099367E" w:rsidR="00DD1183">
        <w:t xml:space="preserve">Cal.4th 153, 193).  But in that case we actually </w:t>
      </w:r>
      <w:r w:rsidRPr="0099367E" w:rsidR="00DD1183">
        <w:rPr>
          <w:i/>
          <w:iCs/>
        </w:rPr>
        <w:t xml:space="preserve">upheld </w:t>
      </w:r>
      <w:r w:rsidRPr="0099367E" w:rsidR="00DD1183">
        <w:t>the trial court’s denial of the defendant’s motion to exclude gang evidence because the evidence was relevant to motive and identity and its probative value outweighed its prejudicial effect (</w:t>
      </w:r>
      <w:r w:rsidRPr="0099367E" w:rsidR="00DD1183">
        <w:rPr>
          <w:i/>
          <w:iCs/>
        </w:rPr>
        <w:t>Williams</w:t>
      </w:r>
      <w:r w:rsidRPr="0099367E" w:rsidR="00DD1183">
        <w:t>, at p. 193).</w:t>
      </w:r>
      <w:r w:rsidRPr="0099367E" w:rsidR="008336D9">
        <w:t xml:space="preserve">  </w:t>
      </w:r>
    </w:p>
  </w:footnote>
  <w:footnote w:id="10">
    <w:p w:rsidR="009A5354" w:rsidRPr="0099367E" w:rsidP="00A43384" w14:paraId="1D81A2E5" w14:textId="77777777">
      <w:pPr>
        <w:pStyle w:val="FootnoteText"/>
      </w:pPr>
      <w:r w:rsidRPr="0099367E">
        <w:rPr>
          <w:rStyle w:val="FootnoteReference"/>
        </w:rPr>
        <w:footnoteRef/>
      </w:r>
      <w:r w:rsidRPr="0099367E">
        <w:t xml:space="preserve"> </w:t>
      </w:r>
      <w:r w:rsidRPr="0099367E">
        <w:tab/>
      </w:r>
      <w:r w:rsidRPr="0099367E" w:rsidR="00904579">
        <w:t xml:space="preserve">The dissent emphasizes that the Legislature intended to prevent the conviction of “innocent” defendants serving “wrongful convictions.”  </w:t>
      </w:r>
      <w:r w:rsidRPr="0099367E" w:rsidR="00904579">
        <w:rPr>
          <w:szCs w:val="26"/>
          <w:shd w:val="clear" w:color="auto" w:fill="FFFFFF"/>
        </w:rPr>
        <w:t xml:space="preserve">(Dis. opn. of Evans, J., </w:t>
      </w:r>
      <w:r w:rsidRPr="0099367E" w:rsidR="00904579">
        <w:rPr>
          <w:i/>
          <w:iCs/>
          <w:szCs w:val="26"/>
          <w:shd w:val="clear" w:color="auto" w:fill="FFFFFF"/>
        </w:rPr>
        <w:t>post</w:t>
      </w:r>
      <w:r w:rsidRPr="0099367E" w:rsidR="00904579">
        <w:rPr>
          <w:szCs w:val="26"/>
          <w:shd w:val="clear" w:color="auto" w:fill="FFFFFF"/>
        </w:rPr>
        <w:t>, at pp. </w:t>
      </w:r>
      <w:r w:rsidR="001D3387">
        <w:rPr>
          <w:szCs w:val="26"/>
          <w:shd w:val="clear" w:color="auto" w:fill="FFFFFF"/>
        </w:rPr>
        <w:t>1</w:t>
      </w:r>
      <w:r w:rsidRPr="0099367E" w:rsidR="00904579">
        <w:t>–</w:t>
      </w:r>
      <w:r w:rsidR="004F71B0">
        <w:rPr>
          <w:szCs w:val="26"/>
          <w:shd w:val="clear" w:color="auto" w:fill="FFFFFF"/>
        </w:rPr>
        <w:t>4</w:t>
      </w:r>
      <w:r w:rsidRPr="0099367E" w:rsidR="00904579">
        <w:rPr>
          <w:szCs w:val="26"/>
          <w:shd w:val="clear" w:color="auto" w:fill="FFFFFF"/>
        </w:rPr>
        <w:t>, 9</w:t>
      </w:r>
      <w:r w:rsidRPr="0099367E" w:rsidR="00904579">
        <w:t>–</w:t>
      </w:r>
      <w:r w:rsidRPr="0099367E" w:rsidR="004F71B0">
        <w:rPr>
          <w:szCs w:val="26"/>
          <w:shd w:val="clear" w:color="auto" w:fill="FFFFFF"/>
        </w:rPr>
        <w:t>1</w:t>
      </w:r>
      <w:r w:rsidR="004F71B0">
        <w:rPr>
          <w:szCs w:val="26"/>
          <w:shd w:val="clear" w:color="auto" w:fill="FFFFFF"/>
        </w:rPr>
        <w:t>2</w:t>
      </w:r>
      <w:r w:rsidRPr="0099367E" w:rsidR="00904579">
        <w:rPr>
          <w:szCs w:val="26"/>
          <w:shd w:val="clear" w:color="auto" w:fill="FFFFFF"/>
        </w:rPr>
        <w:t xml:space="preserve">, </w:t>
      </w:r>
      <w:r w:rsidRPr="0099367E" w:rsidR="005508A1">
        <w:rPr>
          <w:szCs w:val="26"/>
          <w:shd w:val="clear" w:color="auto" w:fill="FFFFFF"/>
        </w:rPr>
        <w:t>1</w:t>
      </w:r>
      <w:r w:rsidR="005508A1">
        <w:rPr>
          <w:szCs w:val="26"/>
          <w:shd w:val="clear" w:color="auto" w:fill="FFFFFF"/>
        </w:rPr>
        <w:t>4</w:t>
      </w:r>
      <w:r w:rsidR="00DF347D">
        <w:rPr>
          <w:szCs w:val="26"/>
          <w:shd w:val="clear" w:color="auto" w:fill="FFFFFF"/>
        </w:rPr>
        <w:t>–1</w:t>
      </w:r>
      <w:r w:rsidR="004F71B0">
        <w:rPr>
          <w:szCs w:val="26"/>
          <w:shd w:val="clear" w:color="auto" w:fill="FFFFFF"/>
        </w:rPr>
        <w:t>6</w:t>
      </w:r>
      <w:r w:rsidRPr="0099367E" w:rsidR="00904579">
        <w:rPr>
          <w:szCs w:val="26"/>
          <w:shd w:val="clear" w:color="auto" w:fill="FFFFFF"/>
        </w:rPr>
        <w:t>.)  We acknowledge the important remedial purposes of the changes enacted by the Legislature</w:t>
      </w:r>
      <w:r w:rsidR="000D3257">
        <w:rPr>
          <w:szCs w:val="26"/>
          <w:shd w:val="clear" w:color="auto" w:fill="FFFFFF"/>
        </w:rPr>
        <w:t xml:space="preserve">, but we </w:t>
      </w:r>
      <w:r w:rsidRPr="0099367E" w:rsidR="000D3257">
        <w:rPr>
          <w:szCs w:val="26"/>
          <w:shd w:val="clear" w:color="auto" w:fill="FFFFFF"/>
        </w:rPr>
        <w:t xml:space="preserve">decline to infer retroactivity </w:t>
      </w:r>
      <w:r w:rsidRPr="0099367E" w:rsidR="000D3257">
        <w:rPr>
          <w:szCs w:val="26"/>
        </w:rPr>
        <w:t>based on such “broad, general language in statutes.”  (</w:t>
      </w:r>
      <w:r w:rsidRPr="0099367E" w:rsidR="000D3257">
        <w:rPr>
          <w:i/>
          <w:iCs/>
          <w:szCs w:val="26"/>
        </w:rPr>
        <w:t>Brown</w:t>
      </w:r>
      <w:r w:rsidRPr="0099367E" w:rsidR="000D3257">
        <w:rPr>
          <w:szCs w:val="26"/>
        </w:rPr>
        <w:t xml:space="preserve">, </w:t>
      </w:r>
      <w:r w:rsidRPr="0099367E" w:rsidR="000D3257">
        <w:rPr>
          <w:i/>
          <w:iCs/>
          <w:szCs w:val="26"/>
        </w:rPr>
        <w:t>supra</w:t>
      </w:r>
      <w:r w:rsidRPr="0099367E" w:rsidR="000D3257">
        <w:rPr>
          <w:szCs w:val="26"/>
        </w:rPr>
        <w:t xml:space="preserve">, </w:t>
      </w:r>
      <w:r w:rsidRPr="0099367E" w:rsidR="000D3257">
        <w:t xml:space="preserve">54 Cal.4th </w:t>
      </w:r>
      <w:r w:rsidRPr="0099367E" w:rsidR="000D3257">
        <w:rPr>
          <w:szCs w:val="26"/>
        </w:rPr>
        <w:t xml:space="preserve">at p. 319.)  </w:t>
      </w:r>
      <w:r w:rsidRPr="006C5A5D" w:rsidR="000D3257">
        <w:rPr>
          <w:szCs w:val="26"/>
        </w:rPr>
        <w:t xml:space="preserve">The Legislature chose to adopt optional bifurcation procedures that </w:t>
      </w:r>
      <w:r w:rsidRPr="006C5A5D" w:rsidR="006C5A5D">
        <w:rPr>
          <w:szCs w:val="26"/>
        </w:rPr>
        <w:t xml:space="preserve">operate in a </w:t>
      </w:r>
      <w:r w:rsidRPr="006C5A5D" w:rsidR="000D3257">
        <w:rPr>
          <w:szCs w:val="26"/>
        </w:rPr>
        <w:t xml:space="preserve">limited </w:t>
      </w:r>
      <w:r w:rsidRPr="006C5A5D" w:rsidR="006C5A5D">
        <w:rPr>
          <w:szCs w:val="26"/>
        </w:rPr>
        <w:t>manner</w:t>
      </w:r>
      <w:r w:rsidRPr="006C5A5D" w:rsidR="00F9195B">
        <w:rPr>
          <w:szCs w:val="26"/>
        </w:rPr>
        <w:t>; a</w:t>
      </w:r>
      <w:r w:rsidRPr="006C5A5D" w:rsidR="000D3257">
        <w:rPr>
          <w:szCs w:val="26"/>
        </w:rPr>
        <w:t xml:space="preserve">s noted, gang evidence may still be admissible where relevant to the underlying charges.  A voluntary procedure which may (or may not) alter when gang evidence is admitted at trial is not the type of ameliorative reduction in punishment that gives rise to </w:t>
      </w:r>
      <w:r w:rsidRPr="006C5A5D" w:rsidR="000D3257">
        <w:rPr>
          <w:i/>
          <w:iCs/>
          <w:szCs w:val="26"/>
        </w:rPr>
        <w:t>Estrada</w:t>
      </w:r>
      <w:r w:rsidRPr="006C5A5D" w:rsidR="000D3257">
        <w:rPr>
          <w:szCs w:val="26"/>
        </w:rPr>
        <w:t>’s inference of retroactivity.</w:t>
      </w:r>
    </w:p>
  </w:footnote>
  <w:footnote w:id="11">
    <w:p w:rsidR="005F5D0A" w:rsidRPr="0099367E" w:rsidP="00C06DCD" w14:paraId="1D81A2E6" w14:textId="77777777">
      <w:pPr>
        <w:pStyle w:val="FootnoteText"/>
      </w:pPr>
      <w:r w:rsidRPr="0099367E">
        <w:rPr>
          <w:rStyle w:val="FootnoteReference"/>
        </w:rPr>
        <w:footnoteRef/>
      </w:r>
      <w:r w:rsidRPr="0099367E">
        <w:t xml:space="preserve"> </w:t>
      </w:r>
      <w:r w:rsidRPr="0099367E">
        <w:tab/>
        <w:t xml:space="preserve">In evaluating whether section 1109 applies retroactively under </w:t>
      </w:r>
      <w:r w:rsidRPr="0099367E">
        <w:rPr>
          <w:i/>
          <w:iCs/>
        </w:rPr>
        <w:t>Estrada</w:t>
      </w:r>
      <w:r w:rsidRPr="0099367E">
        <w:t>,</w:t>
      </w:r>
      <w:r w:rsidRPr="0099367E">
        <w:rPr>
          <w:i/>
          <w:iCs/>
        </w:rPr>
        <w:t xml:space="preserve"> </w:t>
      </w:r>
      <w:r w:rsidRPr="0099367E">
        <w:t>the Court of Appeal addressed the statutory language only in passing, observing simply that it applies to a distinct class of defendants (those charged with gang enhancements</w:t>
      </w:r>
      <w:r w:rsidRPr="0099367E" w:rsidR="000245E2">
        <w:t xml:space="preserve"> or active participation in a street gang</w:t>
      </w:r>
      <w:r w:rsidRPr="0099367E">
        <w:t>).  (</w:t>
      </w:r>
      <w:r w:rsidRPr="0099367E">
        <w:rPr>
          <w:i/>
          <w:iCs/>
        </w:rPr>
        <w:t>Burgos</w:t>
      </w:r>
      <w:r w:rsidRPr="0099367E">
        <w:t xml:space="preserve">, </w:t>
      </w:r>
      <w:r w:rsidRPr="0099367E">
        <w:rPr>
          <w:i/>
          <w:iCs/>
        </w:rPr>
        <w:t>supra</w:t>
      </w:r>
      <w:r w:rsidRPr="0099367E">
        <w:t>, 77</w:t>
      </w:r>
      <w:r w:rsidRPr="0099367E" w:rsidR="00F46DF9">
        <w:t> </w:t>
      </w:r>
      <w:r w:rsidRPr="0099367E">
        <w:t xml:space="preserve">Cal.App.5th at p. 565.)  That section 1109 applies to a class of persons is of minimal significance in determining whether it applies retroactively under </w:t>
      </w:r>
      <w:r w:rsidRPr="0099367E">
        <w:rPr>
          <w:i/>
          <w:iCs/>
        </w:rPr>
        <w:t>Estrada</w:t>
      </w:r>
      <w:r w:rsidRPr="0099367E">
        <w:t xml:space="preserve">, since it is axiomatic that an amendatory act will affect a class of persons.  Although we took note of the fact that the stated purposes of the enactments in </w:t>
      </w:r>
      <w:r w:rsidRPr="0099367E">
        <w:rPr>
          <w:i/>
          <w:iCs/>
        </w:rPr>
        <w:t xml:space="preserve">Lara </w:t>
      </w:r>
      <w:r w:rsidRPr="0099367E">
        <w:t xml:space="preserve">and </w:t>
      </w:r>
      <w:r w:rsidRPr="0099367E">
        <w:rPr>
          <w:i/>
          <w:iCs/>
        </w:rPr>
        <w:t xml:space="preserve">Frahs </w:t>
      </w:r>
      <w:r w:rsidRPr="0099367E">
        <w:t xml:space="preserve">were to address specific classes of individuals, we did so in the context of identifying the Legislature’s desire to reduce their reentry into the criminal system.  (See </w:t>
      </w:r>
      <w:r w:rsidRPr="0099367E">
        <w:rPr>
          <w:i/>
          <w:iCs/>
        </w:rPr>
        <w:t>Lara</w:t>
      </w:r>
      <w:r w:rsidRPr="0099367E">
        <w:t xml:space="preserve">, </w:t>
      </w:r>
      <w:r w:rsidRPr="0099367E">
        <w:rPr>
          <w:i/>
          <w:iCs/>
        </w:rPr>
        <w:t>supra</w:t>
      </w:r>
      <w:r w:rsidRPr="0099367E">
        <w:t>, 4</w:t>
      </w:r>
      <w:r w:rsidRPr="0099367E" w:rsidR="00F46DF9">
        <w:t> </w:t>
      </w:r>
      <w:r w:rsidRPr="0099367E">
        <w:t xml:space="preserve">Cal.5th at p. 309; </w:t>
      </w:r>
      <w:r w:rsidRPr="0099367E">
        <w:rPr>
          <w:i/>
          <w:iCs/>
        </w:rPr>
        <w:t>Frahs</w:t>
      </w:r>
      <w:r w:rsidRPr="0099367E">
        <w:t xml:space="preserve">, </w:t>
      </w:r>
      <w:r w:rsidRPr="0099367E">
        <w:rPr>
          <w:i/>
          <w:iCs/>
        </w:rPr>
        <w:t>supra</w:t>
      </w:r>
      <w:r w:rsidRPr="0099367E">
        <w:t>, 9</w:t>
      </w:r>
      <w:r w:rsidRPr="0099367E" w:rsidR="00F46DF9">
        <w:t> </w:t>
      </w:r>
      <w:r w:rsidRPr="0099367E">
        <w:t xml:space="preserve">Cal.5th at p. 626.)  </w:t>
      </w:r>
    </w:p>
  </w:footnote>
  <w:footnote w:id="12">
    <w:p w:rsidR="009C7606" w:rsidRPr="0099367E" w14:paraId="1D81A2E7" w14:textId="77777777">
      <w:pPr>
        <w:pStyle w:val="FootnoteText"/>
      </w:pPr>
      <w:r w:rsidRPr="0099367E">
        <w:rPr>
          <w:rStyle w:val="FootnoteReference"/>
        </w:rPr>
        <w:footnoteRef/>
      </w:r>
      <w:r w:rsidRPr="0099367E">
        <w:t xml:space="preserve"> </w:t>
      </w:r>
      <w:r w:rsidRPr="0099367E">
        <w:tab/>
        <w:t xml:space="preserve">The dissent points out that “the statutory scheme in </w:t>
      </w:r>
      <w:r w:rsidRPr="0099367E">
        <w:rPr>
          <w:i/>
          <w:iCs/>
        </w:rPr>
        <w:t>Evangelatos v. Superior Court</w:t>
      </w:r>
      <w:r w:rsidRPr="0099367E">
        <w:t xml:space="preserve"> (1988) 44 Cal.3d 1188 did not even implicate the criminal law.”  </w:t>
      </w:r>
      <w:r w:rsidRPr="0099367E">
        <w:rPr>
          <w:szCs w:val="26"/>
          <w:shd w:val="clear" w:color="auto" w:fill="FFFFFF"/>
        </w:rPr>
        <w:t xml:space="preserve">(Dis. opn. of Evans, J., </w:t>
      </w:r>
      <w:r w:rsidRPr="0099367E">
        <w:rPr>
          <w:i/>
          <w:iCs/>
          <w:szCs w:val="26"/>
          <w:shd w:val="clear" w:color="auto" w:fill="FFFFFF"/>
        </w:rPr>
        <w:t>post</w:t>
      </w:r>
      <w:r w:rsidRPr="0099367E">
        <w:rPr>
          <w:szCs w:val="26"/>
          <w:shd w:val="clear" w:color="auto" w:fill="FFFFFF"/>
        </w:rPr>
        <w:t>, at p. </w:t>
      </w:r>
      <w:r w:rsidRPr="0099367E" w:rsidR="004F71B0">
        <w:rPr>
          <w:szCs w:val="26"/>
          <w:shd w:val="clear" w:color="auto" w:fill="FFFFFF"/>
        </w:rPr>
        <w:t>1</w:t>
      </w:r>
      <w:r w:rsidR="004F71B0">
        <w:rPr>
          <w:szCs w:val="26"/>
          <w:shd w:val="clear" w:color="auto" w:fill="FFFFFF"/>
        </w:rPr>
        <w:t>3</w:t>
      </w:r>
      <w:r w:rsidRPr="0099367E">
        <w:rPr>
          <w:szCs w:val="26"/>
          <w:shd w:val="clear" w:color="auto" w:fill="FFFFFF"/>
        </w:rPr>
        <w:t xml:space="preserve">, fn. 5.)  </w:t>
      </w:r>
      <w:r w:rsidRPr="0099367E" w:rsidR="000933ED">
        <w:rPr>
          <w:szCs w:val="26"/>
          <w:shd w:val="clear" w:color="auto" w:fill="FFFFFF"/>
        </w:rPr>
        <w:t xml:space="preserve">But </w:t>
      </w:r>
      <w:r w:rsidR="00280B6D">
        <w:rPr>
          <w:szCs w:val="26"/>
          <w:shd w:val="clear" w:color="auto" w:fill="FFFFFF"/>
        </w:rPr>
        <w:t>both</w:t>
      </w:r>
      <w:r w:rsidRPr="0099367E" w:rsidR="000933ED">
        <w:rPr>
          <w:szCs w:val="26"/>
          <w:shd w:val="clear" w:color="auto" w:fill="FFFFFF"/>
        </w:rPr>
        <w:t xml:space="preserve"> Civil Code section 3 and Penal Code section 3</w:t>
      </w:r>
      <w:r w:rsidR="00280B6D">
        <w:rPr>
          <w:szCs w:val="26"/>
          <w:shd w:val="clear" w:color="auto" w:fill="FFFFFF"/>
        </w:rPr>
        <w:t xml:space="preserve"> contain </w:t>
      </w:r>
      <w:r w:rsidR="004F09AA">
        <w:rPr>
          <w:szCs w:val="26"/>
          <w:shd w:val="clear" w:color="auto" w:fill="FFFFFF"/>
        </w:rPr>
        <w:t>a default presumption in favor of prospective application</w:t>
      </w:r>
      <w:r w:rsidRPr="0099367E" w:rsidR="000933ED">
        <w:rPr>
          <w:szCs w:val="26"/>
          <w:shd w:val="clear" w:color="auto" w:fill="FFFFFF"/>
        </w:rPr>
        <w:t xml:space="preserve">.  </w:t>
      </w:r>
    </w:p>
  </w:footnote>
  <w:footnote w:id="13">
    <w:p w:rsidR="009374FD" w:rsidRPr="0099367E" w14:paraId="1D81A2E8" w14:textId="77777777">
      <w:pPr>
        <w:pStyle w:val="FootnoteText"/>
      </w:pPr>
      <w:r w:rsidRPr="0099367E">
        <w:rPr>
          <w:rStyle w:val="FootnoteReference"/>
        </w:rPr>
        <w:footnoteRef/>
      </w:r>
      <w:r w:rsidRPr="0099367E">
        <w:t xml:space="preserve"> </w:t>
      </w:r>
      <w:r w:rsidRPr="0099367E" w:rsidR="00D16189">
        <w:tab/>
        <w:t xml:space="preserve">In </w:t>
      </w:r>
      <w:r w:rsidRPr="0099367E" w:rsidR="00D16189">
        <w:rPr>
          <w:i/>
          <w:iCs/>
        </w:rPr>
        <w:t>Hardin</w:t>
      </w:r>
      <w:r w:rsidRPr="0099367E" w:rsidR="00D16189">
        <w:t>, we explained that our rejection of the two-step framework for determining equal protection challenges did not “call into question any of this court’s precedent that purported to dispose of an equal protection challenge upon deciding that the challenged disparate treatment did not involve groups that were similarly situated for purposes of the law in question.”  (</w:t>
      </w:r>
      <w:r w:rsidRPr="0099367E" w:rsidR="00D16189">
        <w:rPr>
          <w:i/>
          <w:iCs/>
        </w:rPr>
        <w:t>Hardin</w:t>
      </w:r>
      <w:r w:rsidRPr="0099367E" w:rsidR="00D16189">
        <w:t xml:space="preserve">, </w:t>
      </w:r>
      <w:r w:rsidRPr="0099367E" w:rsidR="00D16189">
        <w:rPr>
          <w:i/>
          <w:iCs/>
        </w:rPr>
        <w:t>supra</w:t>
      </w:r>
      <w:r w:rsidRPr="0099367E" w:rsidR="00D16189">
        <w:t xml:space="preserve">, </w:t>
      </w:r>
      <w:r w:rsidRPr="0099367E" w:rsidR="004F5C2A">
        <w:t>15</w:t>
      </w:r>
      <w:r w:rsidRPr="0099367E" w:rsidR="009473E4">
        <w:t> </w:t>
      </w:r>
      <w:r w:rsidRPr="0099367E" w:rsidR="00D16189">
        <w:t>Cal.</w:t>
      </w:r>
      <w:r w:rsidRPr="0099367E" w:rsidR="00B13D6C">
        <w:t xml:space="preserve">5th </w:t>
      </w:r>
      <w:r w:rsidRPr="0099367E" w:rsidR="00D16189">
        <w:t>at p.</w:t>
      </w:r>
      <w:r w:rsidRPr="0099367E" w:rsidR="00B13D6C">
        <w:t xml:space="preserve"> </w:t>
      </w:r>
      <w:r w:rsidRPr="0099367E" w:rsidR="004F5C2A">
        <w:t xml:space="preserve">851.)  </w:t>
      </w:r>
      <w:r w:rsidRPr="0099367E" w:rsidR="00D16189">
        <w:t xml:space="preserve">Thus, </w:t>
      </w:r>
      <w:r w:rsidRPr="0099367E" w:rsidR="00D16189">
        <w:rPr>
          <w:i/>
          <w:iCs/>
        </w:rPr>
        <w:t>Hardin</w:t>
      </w:r>
      <w:r w:rsidRPr="0099367E" w:rsidR="00D16189">
        <w:t xml:space="preserve"> does not call into question any of our prior precedent rejecting an equal protection argument based on the timing of a statute lessening punishment for a particular offense</w:t>
      </w:r>
      <w:r w:rsidRPr="0099367E" w:rsidR="00A069FD">
        <w:t>,</w:t>
      </w:r>
      <w:r w:rsidRPr="0099367E" w:rsidR="00D16189">
        <w:t xml:space="preserve"> even assuming such precedent might be said to have been premised on an application of the two-step framework.</w:t>
      </w:r>
    </w:p>
  </w:footnote>
  <w:footnote w:id="14">
    <w:p w:rsidR="002E6E1B" w:rsidRPr="006257B1" w:rsidP="002E6E1B" w14:paraId="6A172CAF" w14:textId="77777777">
      <w:pPr>
        <w:pStyle w:val="FootnoteText"/>
        <w:rPr>
          <w:szCs w:val="27"/>
        </w:rPr>
      </w:pPr>
      <w:r>
        <w:rPr>
          <w:rStyle w:val="FootnoteReference"/>
        </w:rPr>
        <w:footnoteRef/>
      </w:r>
      <w:r>
        <w:t xml:space="preserve"> </w:t>
      </w:r>
      <w:r>
        <w:tab/>
      </w:r>
      <w:r w:rsidRPr="009849E8">
        <w:rPr>
          <w:szCs w:val="27"/>
        </w:rPr>
        <w:t>See</w:t>
      </w:r>
      <w:r>
        <w:rPr>
          <w:szCs w:val="27"/>
        </w:rPr>
        <w:t xml:space="preserve"> </w:t>
      </w:r>
      <w:r w:rsidRPr="009849E8">
        <w:rPr>
          <w:i/>
          <w:iCs/>
          <w:szCs w:val="27"/>
        </w:rPr>
        <w:t>People v. Tran</w:t>
      </w:r>
      <w:r w:rsidRPr="009849E8">
        <w:rPr>
          <w:szCs w:val="27"/>
        </w:rPr>
        <w:t xml:space="preserve"> (2022) 13</w:t>
      </w:r>
      <w:r>
        <w:rPr>
          <w:szCs w:val="27"/>
        </w:rPr>
        <w:t> </w:t>
      </w:r>
      <w:r w:rsidRPr="009849E8">
        <w:rPr>
          <w:szCs w:val="27"/>
        </w:rPr>
        <w:t xml:space="preserve">Cal.5th 1169, 1206–1207 </w:t>
      </w:r>
      <w:r>
        <w:rPr>
          <w:szCs w:val="27"/>
        </w:rPr>
        <w:t xml:space="preserve">(amendments </w:t>
      </w:r>
      <w:r w:rsidRPr="009849E8">
        <w:rPr>
          <w:szCs w:val="27"/>
        </w:rPr>
        <w:t>to Pen</w:t>
      </w:r>
      <w:r>
        <w:rPr>
          <w:szCs w:val="27"/>
        </w:rPr>
        <w:t>.</w:t>
      </w:r>
      <w:r w:rsidRPr="009849E8">
        <w:rPr>
          <w:szCs w:val="27"/>
        </w:rPr>
        <w:t xml:space="preserve"> Code</w:t>
      </w:r>
      <w:r>
        <w:rPr>
          <w:szCs w:val="27"/>
        </w:rPr>
        <w:t>,</w:t>
      </w:r>
      <w:r w:rsidRPr="009849E8">
        <w:rPr>
          <w:szCs w:val="27"/>
        </w:rPr>
        <w:t xml:space="preserve"> </w:t>
      </w:r>
      <w:r w:rsidRPr="00CA1A65">
        <w:rPr>
          <w:szCs w:val="26"/>
        </w:rPr>
        <w:t>§</w:t>
      </w:r>
      <w:r w:rsidRPr="009849E8">
        <w:rPr>
          <w:szCs w:val="27"/>
        </w:rPr>
        <w:t xml:space="preserve"> 186.22 apply retroactively to nonfinal cases</w:t>
      </w:r>
      <w:r>
        <w:rPr>
          <w:szCs w:val="27"/>
        </w:rPr>
        <w:t>)</w:t>
      </w:r>
      <w:r w:rsidRPr="009849E8">
        <w:rPr>
          <w:szCs w:val="27"/>
        </w:rPr>
        <w:t xml:space="preserve">; </w:t>
      </w:r>
      <w:r w:rsidRPr="009849E8">
        <w:rPr>
          <w:i/>
          <w:iCs/>
          <w:szCs w:val="27"/>
        </w:rPr>
        <w:t>Prudholme, supra</w:t>
      </w:r>
      <w:r w:rsidRPr="009849E8">
        <w:rPr>
          <w:szCs w:val="27"/>
        </w:rPr>
        <w:t>, 14</w:t>
      </w:r>
      <w:r>
        <w:rPr>
          <w:szCs w:val="27"/>
        </w:rPr>
        <w:t> </w:t>
      </w:r>
      <w:r w:rsidRPr="009849E8">
        <w:rPr>
          <w:szCs w:val="27"/>
        </w:rPr>
        <w:t>Cal.5th at p</w:t>
      </w:r>
      <w:r>
        <w:rPr>
          <w:szCs w:val="27"/>
        </w:rPr>
        <w:t>age </w:t>
      </w:r>
      <w:r w:rsidRPr="009849E8">
        <w:rPr>
          <w:szCs w:val="27"/>
        </w:rPr>
        <w:t xml:space="preserve">963 </w:t>
      </w:r>
      <w:r>
        <w:rPr>
          <w:szCs w:val="27"/>
        </w:rPr>
        <w:t>(</w:t>
      </w:r>
      <w:r w:rsidRPr="009849E8">
        <w:rPr>
          <w:szCs w:val="27"/>
        </w:rPr>
        <w:t xml:space="preserve">Assembly Bill No. 1950 </w:t>
      </w:r>
      <w:r w:rsidRPr="008831FE">
        <w:rPr>
          <w:szCs w:val="27"/>
        </w:rPr>
        <w:t>(2019</w:t>
      </w:r>
      <w:r w:rsidRPr="00691B4A">
        <w:rPr>
          <w:szCs w:val="27"/>
        </w:rPr>
        <w:t>–</w:t>
      </w:r>
      <w:r w:rsidRPr="008831FE">
        <w:rPr>
          <w:szCs w:val="27"/>
        </w:rPr>
        <w:t>2020 Reg. Sess.)</w:t>
      </w:r>
      <w:r>
        <w:rPr>
          <w:szCs w:val="27"/>
        </w:rPr>
        <w:t xml:space="preserve"> (Assembly Bill 1950) </w:t>
      </w:r>
      <w:r w:rsidRPr="009849E8">
        <w:rPr>
          <w:szCs w:val="27"/>
        </w:rPr>
        <w:t>applies retroactively to nonfinal cases</w:t>
      </w:r>
      <w:r>
        <w:rPr>
          <w:szCs w:val="27"/>
        </w:rPr>
        <w:t>)</w:t>
      </w:r>
      <w:r w:rsidRPr="009849E8">
        <w:rPr>
          <w:szCs w:val="27"/>
        </w:rPr>
        <w:t xml:space="preserve">; </w:t>
      </w:r>
      <w:r w:rsidRPr="009849E8">
        <w:rPr>
          <w:i/>
          <w:iCs/>
          <w:szCs w:val="27"/>
        </w:rPr>
        <w:t>People v. Stamps</w:t>
      </w:r>
      <w:r w:rsidRPr="009849E8">
        <w:rPr>
          <w:szCs w:val="27"/>
        </w:rPr>
        <w:t xml:space="preserve"> (2020) 9 Cal.5th 685, 699 </w:t>
      </w:r>
      <w:r>
        <w:rPr>
          <w:szCs w:val="27"/>
        </w:rPr>
        <w:t>(</w:t>
      </w:r>
      <w:r w:rsidRPr="009849E8">
        <w:rPr>
          <w:szCs w:val="27"/>
        </w:rPr>
        <w:t xml:space="preserve">Senate Bill No. 1393 </w:t>
      </w:r>
      <w:r w:rsidRPr="00576A49">
        <w:rPr>
          <w:szCs w:val="27"/>
        </w:rPr>
        <w:t xml:space="preserve">(2017–2018 Reg. Sess.) </w:t>
      </w:r>
      <w:r w:rsidRPr="009849E8">
        <w:rPr>
          <w:szCs w:val="27"/>
        </w:rPr>
        <w:t>applies retroactively to nonfinal cases</w:t>
      </w:r>
      <w:r>
        <w:rPr>
          <w:szCs w:val="27"/>
        </w:rPr>
        <w:t>)</w:t>
      </w:r>
      <w:r w:rsidRPr="009849E8">
        <w:rPr>
          <w:szCs w:val="27"/>
        </w:rPr>
        <w:t xml:space="preserve">; </w:t>
      </w:r>
      <w:r w:rsidRPr="009849E8">
        <w:rPr>
          <w:i/>
          <w:iCs/>
          <w:szCs w:val="27"/>
        </w:rPr>
        <w:t>People v. Frahs</w:t>
      </w:r>
      <w:r w:rsidRPr="009849E8">
        <w:rPr>
          <w:szCs w:val="27"/>
        </w:rPr>
        <w:t xml:space="preserve"> (2020) 9</w:t>
      </w:r>
      <w:r>
        <w:rPr>
          <w:szCs w:val="27"/>
        </w:rPr>
        <w:t> </w:t>
      </w:r>
      <w:r w:rsidRPr="009849E8">
        <w:rPr>
          <w:szCs w:val="27"/>
        </w:rPr>
        <w:t xml:space="preserve">Cal.5th 618, 624, 628–637 </w:t>
      </w:r>
      <w:r>
        <w:rPr>
          <w:szCs w:val="27"/>
        </w:rPr>
        <w:t>(</w:t>
      </w:r>
      <w:r w:rsidRPr="009849E8">
        <w:rPr>
          <w:szCs w:val="27"/>
        </w:rPr>
        <w:t>Pen</w:t>
      </w:r>
      <w:r>
        <w:rPr>
          <w:szCs w:val="27"/>
        </w:rPr>
        <w:t>.</w:t>
      </w:r>
      <w:r w:rsidRPr="009849E8">
        <w:rPr>
          <w:szCs w:val="27"/>
        </w:rPr>
        <w:t xml:space="preserve"> Code</w:t>
      </w:r>
      <w:r>
        <w:rPr>
          <w:szCs w:val="27"/>
        </w:rPr>
        <w:t>,</w:t>
      </w:r>
      <w:r w:rsidRPr="009849E8">
        <w:rPr>
          <w:szCs w:val="27"/>
        </w:rPr>
        <w:t xml:space="preserve"> </w:t>
      </w:r>
      <w:r w:rsidRPr="00CA1A65">
        <w:rPr>
          <w:szCs w:val="26"/>
        </w:rPr>
        <w:t>§</w:t>
      </w:r>
      <w:r w:rsidRPr="009849E8">
        <w:rPr>
          <w:szCs w:val="27"/>
        </w:rPr>
        <w:t xml:space="preserve"> 1001.36 applies retroactively to nonfinal cases</w:t>
      </w:r>
      <w:r>
        <w:rPr>
          <w:szCs w:val="27"/>
        </w:rPr>
        <w:t>)</w:t>
      </w:r>
      <w:r w:rsidRPr="009849E8">
        <w:rPr>
          <w:szCs w:val="27"/>
        </w:rPr>
        <w:t xml:space="preserve">; </w:t>
      </w:r>
      <w:r w:rsidRPr="009849E8">
        <w:rPr>
          <w:i/>
          <w:iCs/>
          <w:szCs w:val="27"/>
        </w:rPr>
        <w:t xml:space="preserve">People v. Superior Court </w:t>
      </w:r>
      <w:r w:rsidRPr="00C97746">
        <w:rPr>
          <w:szCs w:val="27"/>
        </w:rPr>
        <w:t>(</w:t>
      </w:r>
      <w:r w:rsidRPr="009849E8">
        <w:rPr>
          <w:i/>
          <w:iCs/>
          <w:szCs w:val="27"/>
        </w:rPr>
        <w:t>Lara</w:t>
      </w:r>
      <w:r w:rsidRPr="00C97746">
        <w:rPr>
          <w:szCs w:val="27"/>
        </w:rPr>
        <w:t>)</w:t>
      </w:r>
      <w:r w:rsidRPr="00E91F7D">
        <w:rPr>
          <w:szCs w:val="27"/>
        </w:rPr>
        <w:t> </w:t>
      </w:r>
      <w:r w:rsidRPr="009849E8">
        <w:rPr>
          <w:szCs w:val="27"/>
        </w:rPr>
        <w:t>(2018) 4</w:t>
      </w:r>
      <w:r>
        <w:rPr>
          <w:szCs w:val="27"/>
        </w:rPr>
        <w:t> </w:t>
      </w:r>
      <w:r w:rsidRPr="009849E8">
        <w:rPr>
          <w:szCs w:val="27"/>
        </w:rPr>
        <w:t xml:space="preserve">Cal.5th 299, 304 </w:t>
      </w:r>
      <w:r>
        <w:rPr>
          <w:szCs w:val="27"/>
        </w:rPr>
        <w:t>(</w:t>
      </w:r>
      <w:r w:rsidRPr="009849E8">
        <w:rPr>
          <w:szCs w:val="27"/>
        </w:rPr>
        <w:t xml:space="preserve">Proposition 57 </w:t>
      </w:r>
      <w:r w:rsidRPr="008C750E">
        <w:rPr>
          <w:szCs w:val="27"/>
        </w:rPr>
        <w:t xml:space="preserve"> (approved Nov</w:t>
      </w:r>
      <w:r>
        <w:rPr>
          <w:szCs w:val="27"/>
        </w:rPr>
        <w:t>.</w:t>
      </w:r>
      <w:r w:rsidRPr="008C750E">
        <w:rPr>
          <w:szCs w:val="27"/>
        </w:rPr>
        <w:t xml:space="preserve"> 8, 2016)</w:t>
      </w:r>
      <w:r>
        <w:rPr>
          <w:szCs w:val="27"/>
        </w:rPr>
        <w:t xml:space="preserve"> </w:t>
      </w:r>
      <w:r w:rsidRPr="009849E8">
        <w:rPr>
          <w:szCs w:val="27"/>
        </w:rPr>
        <w:t>applies retroactively to nonfinal cases</w:t>
      </w:r>
      <w:r>
        <w:rPr>
          <w:szCs w:val="27"/>
        </w:rPr>
        <w:t>)</w:t>
      </w:r>
      <w:r w:rsidRPr="009849E8">
        <w:rPr>
          <w:szCs w:val="27"/>
        </w:rPr>
        <w:t xml:space="preserve">; </w:t>
      </w:r>
      <w:r w:rsidRPr="009849E8">
        <w:rPr>
          <w:i/>
          <w:iCs/>
          <w:szCs w:val="27"/>
        </w:rPr>
        <w:t>People v. Gentile</w:t>
      </w:r>
      <w:r w:rsidRPr="009849E8">
        <w:rPr>
          <w:szCs w:val="27"/>
        </w:rPr>
        <w:t> (2020) 10</w:t>
      </w:r>
      <w:r>
        <w:rPr>
          <w:szCs w:val="27"/>
        </w:rPr>
        <w:t> </w:t>
      </w:r>
      <w:r w:rsidRPr="009849E8">
        <w:rPr>
          <w:szCs w:val="27"/>
        </w:rPr>
        <w:t xml:space="preserve">Cal.5th 830, 852 </w:t>
      </w:r>
      <w:r>
        <w:rPr>
          <w:szCs w:val="27"/>
        </w:rPr>
        <w:t>(</w:t>
      </w:r>
      <w:r w:rsidRPr="009849E8">
        <w:rPr>
          <w:szCs w:val="27"/>
        </w:rPr>
        <w:t xml:space="preserve">Senate Bill </w:t>
      </w:r>
      <w:r>
        <w:rPr>
          <w:szCs w:val="27"/>
        </w:rPr>
        <w:t xml:space="preserve">No. </w:t>
      </w:r>
      <w:r w:rsidRPr="009849E8">
        <w:rPr>
          <w:szCs w:val="27"/>
        </w:rPr>
        <w:t xml:space="preserve">1437 </w:t>
      </w:r>
      <w:r w:rsidRPr="00B20944">
        <w:rPr>
          <w:szCs w:val="27"/>
        </w:rPr>
        <w:t>(2017</w:t>
      </w:r>
      <w:r w:rsidRPr="009849E8">
        <w:rPr>
          <w:szCs w:val="27"/>
        </w:rPr>
        <w:t>–</w:t>
      </w:r>
      <w:r w:rsidRPr="00B20944">
        <w:rPr>
          <w:szCs w:val="27"/>
        </w:rPr>
        <w:t xml:space="preserve">2018 Reg. Sess.) </w:t>
      </w:r>
      <w:r w:rsidRPr="009849E8">
        <w:rPr>
          <w:szCs w:val="27"/>
        </w:rPr>
        <w:t>does not apply retroactively to nonfinal cases on direct appeal</w:t>
      </w:r>
      <w:r>
        <w:rPr>
          <w:szCs w:val="27"/>
        </w:rPr>
        <w:t>)</w:t>
      </w:r>
      <w:r w:rsidRPr="009849E8">
        <w:rPr>
          <w:szCs w:val="27"/>
        </w:rPr>
        <w:t xml:space="preserve">; </w:t>
      </w:r>
      <w:r w:rsidRPr="009849E8">
        <w:rPr>
          <w:i/>
          <w:iCs/>
          <w:szCs w:val="27"/>
        </w:rPr>
        <w:t>People v. DeHoyos</w:t>
      </w:r>
      <w:r w:rsidRPr="009849E8">
        <w:rPr>
          <w:szCs w:val="27"/>
        </w:rPr>
        <w:t xml:space="preserve"> (2018) 4</w:t>
      </w:r>
      <w:r>
        <w:rPr>
          <w:szCs w:val="27"/>
        </w:rPr>
        <w:t> </w:t>
      </w:r>
      <w:r w:rsidRPr="009849E8">
        <w:rPr>
          <w:szCs w:val="27"/>
        </w:rPr>
        <w:t xml:space="preserve">Cal.5th 594, 602–603 </w:t>
      </w:r>
      <w:r>
        <w:rPr>
          <w:szCs w:val="27"/>
        </w:rPr>
        <w:t>(</w:t>
      </w:r>
      <w:r w:rsidRPr="009849E8">
        <w:rPr>
          <w:szCs w:val="27"/>
        </w:rPr>
        <w:t>Proposition 47</w:t>
      </w:r>
      <w:r>
        <w:rPr>
          <w:szCs w:val="27"/>
        </w:rPr>
        <w:t xml:space="preserve"> </w:t>
      </w:r>
      <w:r w:rsidRPr="00F95A7D">
        <w:rPr>
          <w:szCs w:val="27"/>
        </w:rPr>
        <w:t xml:space="preserve"> (approved Nov. 4, 2014)</w:t>
      </w:r>
      <w:r w:rsidRPr="009849E8">
        <w:rPr>
          <w:szCs w:val="27"/>
        </w:rPr>
        <w:t xml:space="preserve"> does not apply retroactively to nonfinal cases on direct appeal</w:t>
      </w:r>
      <w:r>
        <w:rPr>
          <w:szCs w:val="27"/>
        </w:rPr>
        <w:t>)</w:t>
      </w:r>
      <w:r w:rsidRPr="009849E8">
        <w:rPr>
          <w:szCs w:val="27"/>
        </w:rPr>
        <w:t xml:space="preserve">; </w:t>
      </w:r>
      <w:r w:rsidRPr="009849E8">
        <w:rPr>
          <w:i/>
          <w:iCs/>
          <w:szCs w:val="27"/>
        </w:rPr>
        <w:t>People v. Conley</w:t>
      </w:r>
      <w:r w:rsidRPr="009849E8">
        <w:rPr>
          <w:szCs w:val="27"/>
        </w:rPr>
        <w:t xml:space="preserve"> (2016) 63</w:t>
      </w:r>
      <w:r>
        <w:rPr>
          <w:szCs w:val="27"/>
        </w:rPr>
        <w:t> </w:t>
      </w:r>
      <w:r w:rsidRPr="009849E8">
        <w:rPr>
          <w:szCs w:val="27"/>
        </w:rPr>
        <w:t xml:space="preserve">Cal.4th 646, 657 </w:t>
      </w:r>
      <w:r>
        <w:rPr>
          <w:szCs w:val="27"/>
        </w:rPr>
        <w:t>(</w:t>
      </w:r>
      <w:r w:rsidRPr="009849E8">
        <w:rPr>
          <w:szCs w:val="27"/>
        </w:rPr>
        <w:t xml:space="preserve">Proposition 36 </w:t>
      </w:r>
      <w:r>
        <w:rPr>
          <w:szCs w:val="27"/>
        </w:rPr>
        <w:t xml:space="preserve">(approved </w:t>
      </w:r>
      <w:r w:rsidRPr="0003073E">
        <w:rPr>
          <w:szCs w:val="27"/>
        </w:rPr>
        <w:t>Nov. 6, 2012</w:t>
      </w:r>
      <w:r>
        <w:rPr>
          <w:szCs w:val="27"/>
        </w:rPr>
        <w:t xml:space="preserve">) </w:t>
      </w:r>
      <w:r w:rsidRPr="009849E8">
        <w:rPr>
          <w:szCs w:val="27"/>
        </w:rPr>
        <w:t>does not apply retroactively to nonfinal cases on direct appeal</w:t>
      </w:r>
      <w:r>
        <w:rPr>
          <w:szCs w:val="27"/>
        </w:rPr>
        <w:t>)</w:t>
      </w:r>
      <w:r w:rsidRPr="009849E8">
        <w:rPr>
          <w:szCs w:val="27"/>
        </w:rPr>
        <w:t xml:space="preserve">; see also </w:t>
      </w:r>
      <w:r w:rsidRPr="009849E8">
        <w:rPr>
          <w:i/>
          <w:iCs/>
          <w:szCs w:val="27"/>
        </w:rPr>
        <w:t>People v. Esquivel</w:t>
      </w:r>
      <w:r w:rsidRPr="009849E8">
        <w:rPr>
          <w:szCs w:val="27"/>
        </w:rPr>
        <w:t> (2021) 11</w:t>
      </w:r>
      <w:r>
        <w:rPr>
          <w:szCs w:val="27"/>
        </w:rPr>
        <w:t> </w:t>
      </w:r>
      <w:r w:rsidRPr="009849E8">
        <w:rPr>
          <w:szCs w:val="27"/>
        </w:rPr>
        <w:t xml:space="preserve">Cal.5th 671, 675–676 </w:t>
      </w:r>
      <w:r>
        <w:rPr>
          <w:szCs w:val="27"/>
        </w:rPr>
        <w:t>(</w:t>
      </w:r>
      <w:r w:rsidRPr="009849E8">
        <w:rPr>
          <w:szCs w:val="27"/>
        </w:rPr>
        <w:t>collecting cases</w:t>
      </w:r>
      <w:r>
        <w:rPr>
          <w:szCs w:val="27"/>
        </w:rPr>
        <w:t>)</w:t>
      </w:r>
      <w:r w:rsidRPr="009849E8">
        <w:rPr>
          <w:szCs w:val="27"/>
        </w:rPr>
        <w:t>.</w:t>
      </w:r>
    </w:p>
  </w:footnote>
  <w:footnote w:id="15">
    <w:p w:rsidR="002E6E1B" w:rsidRPr="004A698D" w:rsidP="002E6E1B" w14:paraId="161A34E1" w14:textId="77777777">
      <w:pPr>
        <w:pStyle w:val="FootnoteText"/>
      </w:pPr>
      <w:r>
        <w:rPr>
          <w:rStyle w:val="FootnoteReference"/>
        </w:rPr>
        <w:footnoteRef/>
      </w:r>
      <w:r>
        <w:t xml:space="preserve"> </w:t>
      </w:r>
      <w:r>
        <w:tab/>
      </w:r>
      <w:r w:rsidRPr="006257B1">
        <w:rPr>
          <w:szCs w:val="27"/>
        </w:rPr>
        <w:t xml:space="preserve">See, e.g., </w:t>
      </w:r>
      <w:r w:rsidRPr="006257B1">
        <w:rPr>
          <w:i/>
          <w:iCs/>
          <w:szCs w:val="27"/>
        </w:rPr>
        <w:t>People v. Slaton</w:t>
      </w:r>
      <w:r w:rsidRPr="006257B1">
        <w:rPr>
          <w:szCs w:val="27"/>
        </w:rPr>
        <w:t> (2023) 95</w:t>
      </w:r>
      <w:r>
        <w:rPr>
          <w:szCs w:val="27"/>
        </w:rPr>
        <w:t> </w:t>
      </w:r>
      <w:r w:rsidRPr="006257B1">
        <w:rPr>
          <w:szCs w:val="27"/>
        </w:rPr>
        <w:t>Cal.App.5th 363, 376, review granted Nov</w:t>
      </w:r>
      <w:r>
        <w:rPr>
          <w:szCs w:val="27"/>
        </w:rPr>
        <w:t>ember</w:t>
      </w:r>
      <w:r w:rsidRPr="006257B1">
        <w:rPr>
          <w:szCs w:val="27"/>
        </w:rPr>
        <w:t xml:space="preserve"> 15, 2023, S282047 </w:t>
      </w:r>
      <w:r>
        <w:rPr>
          <w:szCs w:val="27"/>
        </w:rPr>
        <w:t>(</w:t>
      </w:r>
      <w:r w:rsidRPr="006257B1">
        <w:rPr>
          <w:szCs w:val="27"/>
        </w:rPr>
        <w:t>Evid</w:t>
      </w:r>
      <w:r>
        <w:rPr>
          <w:szCs w:val="27"/>
        </w:rPr>
        <w:t>.</w:t>
      </w:r>
      <w:r w:rsidRPr="006257B1">
        <w:rPr>
          <w:szCs w:val="27"/>
        </w:rPr>
        <w:t xml:space="preserve"> Code</w:t>
      </w:r>
      <w:r>
        <w:rPr>
          <w:szCs w:val="27"/>
        </w:rPr>
        <w:t>,</w:t>
      </w:r>
      <w:r w:rsidRPr="006257B1">
        <w:rPr>
          <w:szCs w:val="27"/>
        </w:rPr>
        <w:t xml:space="preserve"> </w:t>
      </w:r>
      <w:r w:rsidRPr="00CA1A65">
        <w:rPr>
          <w:szCs w:val="26"/>
        </w:rPr>
        <w:t>§</w:t>
      </w:r>
      <w:r w:rsidRPr="006257B1">
        <w:rPr>
          <w:szCs w:val="27"/>
        </w:rPr>
        <w:t xml:space="preserve"> 352.2 does not apply retroactively to nonfinal cases on direct appeal</w:t>
      </w:r>
      <w:r>
        <w:rPr>
          <w:szCs w:val="27"/>
        </w:rPr>
        <w:t>)</w:t>
      </w:r>
      <w:r w:rsidRPr="006257B1">
        <w:rPr>
          <w:szCs w:val="27"/>
        </w:rPr>
        <w:t xml:space="preserve">; </w:t>
      </w:r>
      <w:r w:rsidRPr="006257B1">
        <w:rPr>
          <w:i/>
          <w:iCs/>
          <w:szCs w:val="27"/>
        </w:rPr>
        <w:t>People v. Ramos</w:t>
      </w:r>
      <w:r w:rsidRPr="006257B1">
        <w:rPr>
          <w:szCs w:val="27"/>
        </w:rPr>
        <w:t> (2023) 90</w:t>
      </w:r>
      <w:r>
        <w:rPr>
          <w:szCs w:val="27"/>
        </w:rPr>
        <w:t> </w:t>
      </w:r>
      <w:r w:rsidRPr="006257B1">
        <w:rPr>
          <w:szCs w:val="27"/>
        </w:rPr>
        <w:t>Cal.App.5th 578,  596 , review granted July 12, 2023, S280073</w:t>
      </w:r>
      <w:r>
        <w:rPr>
          <w:szCs w:val="27"/>
        </w:rPr>
        <w:t xml:space="preserve"> (same)</w:t>
      </w:r>
      <w:r w:rsidRPr="006257B1">
        <w:rPr>
          <w:szCs w:val="27"/>
        </w:rPr>
        <w:t xml:space="preserve">; </w:t>
      </w:r>
      <w:r w:rsidRPr="006257B1">
        <w:rPr>
          <w:i/>
          <w:iCs/>
          <w:szCs w:val="27"/>
        </w:rPr>
        <w:t>People v. Venable</w:t>
      </w:r>
      <w:r w:rsidRPr="006257B1">
        <w:rPr>
          <w:szCs w:val="27"/>
        </w:rPr>
        <w:t> (2023) 88</w:t>
      </w:r>
      <w:r>
        <w:rPr>
          <w:szCs w:val="27"/>
        </w:rPr>
        <w:t> </w:t>
      </w:r>
      <w:r w:rsidRPr="006257B1">
        <w:rPr>
          <w:szCs w:val="27"/>
        </w:rPr>
        <w:t xml:space="preserve">Cal.App.5th 445, 456, review granted May 17, 2023, S279081 </w:t>
      </w:r>
      <w:r>
        <w:rPr>
          <w:szCs w:val="27"/>
        </w:rPr>
        <w:t>(</w:t>
      </w:r>
      <w:r w:rsidRPr="006257B1">
        <w:rPr>
          <w:szCs w:val="27"/>
        </w:rPr>
        <w:t>Evid</w:t>
      </w:r>
      <w:r>
        <w:rPr>
          <w:szCs w:val="27"/>
        </w:rPr>
        <w:t>.</w:t>
      </w:r>
      <w:r w:rsidRPr="006257B1">
        <w:rPr>
          <w:szCs w:val="27"/>
        </w:rPr>
        <w:t xml:space="preserve"> Code</w:t>
      </w:r>
      <w:r>
        <w:rPr>
          <w:szCs w:val="27"/>
        </w:rPr>
        <w:t>,</w:t>
      </w:r>
      <w:r w:rsidRPr="006257B1">
        <w:rPr>
          <w:szCs w:val="27"/>
        </w:rPr>
        <w:t xml:space="preserve"> </w:t>
      </w:r>
      <w:r w:rsidRPr="00CA1A65">
        <w:rPr>
          <w:szCs w:val="26"/>
        </w:rPr>
        <w:t>§</w:t>
      </w:r>
      <w:r w:rsidRPr="006257B1">
        <w:rPr>
          <w:szCs w:val="27"/>
        </w:rPr>
        <w:t xml:space="preserve"> 352.2 applies retroactively to nonfinal cases</w:t>
      </w:r>
      <w:r>
        <w:rPr>
          <w:szCs w:val="27"/>
        </w:rPr>
        <w:t>)</w:t>
      </w:r>
      <w:r w:rsidRPr="006257B1">
        <w:rPr>
          <w:szCs w:val="27"/>
        </w:rPr>
        <w:t xml:space="preserve">; </w:t>
      </w:r>
      <w:r w:rsidRPr="006257B1">
        <w:rPr>
          <w:i/>
          <w:iCs/>
          <w:szCs w:val="27"/>
        </w:rPr>
        <w:t>People v. Jackson</w:t>
      </w:r>
      <w:r w:rsidRPr="006257B1">
        <w:rPr>
          <w:szCs w:val="27"/>
        </w:rPr>
        <w:t> (2023) 93</w:t>
      </w:r>
      <w:r>
        <w:rPr>
          <w:szCs w:val="27"/>
        </w:rPr>
        <w:t> </w:t>
      </w:r>
      <w:r w:rsidRPr="006257B1">
        <w:rPr>
          <w:szCs w:val="27"/>
        </w:rPr>
        <w:t>Cal.App.5th 207, 212, review granted Sept</w:t>
      </w:r>
      <w:r>
        <w:rPr>
          <w:szCs w:val="27"/>
        </w:rPr>
        <w:t>ember</w:t>
      </w:r>
      <w:r w:rsidRPr="006257B1">
        <w:rPr>
          <w:szCs w:val="27"/>
        </w:rPr>
        <w:t xml:space="preserve"> 13, 2023, S281267 </w:t>
      </w:r>
      <w:r>
        <w:rPr>
          <w:szCs w:val="27"/>
        </w:rPr>
        <w:t>(</w:t>
      </w:r>
      <w:r w:rsidRPr="006257B1">
        <w:rPr>
          <w:szCs w:val="27"/>
        </w:rPr>
        <w:t xml:space="preserve">Assembly Bill 1950 modified </w:t>
      </w:r>
      <w:r>
        <w:rPr>
          <w:szCs w:val="27"/>
        </w:rPr>
        <w:t xml:space="preserve">the </w:t>
      </w:r>
      <w:r w:rsidRPr="006257B1">
        <w:rPr>
          <w:szCs w:val="27"/>
        </w:rPr>
        <w:t>defendant’s probationary period</w:t>
      </w:r>
      <w:r>
        <w:rPr>
          <w:szCs w:val="27"/>
        </w:rPr>
        <w:t>)</w:t>
      </w:r>
      <w:r w:rsidRPr="006257B1">
        <w:rPr>
          <w:szCs w:val="27"/>
        </w:rPr>
        <w:t xml:space="preserve">; </w:t>
      </w:r>
      <w:r w:rsidRPr="006257B1">
        <w:rPr>
          <w:i/>
          <w:iCs/>
          <w:szCs w:val="27"/>
        </w:rPr>
        <w:t>People v. Shelly</w:t>
      </w:r>
      <w:r w:rsidRPr="006257B1">
        <w:rPr>
          <w:szCs w:val="27"/>
        </w:rPr>
        <w:t> (2022) 81</w:t>
      </w:r>
      <w:r>
        <w:rPr>
          <w:szCs w:val="27"/>
        </w:rPr>
        <w:t> </w:t>
      </w:r>
      <w:r w:rsidRPr="006257B1">
        <w:rPr>
          <w:szCs w:val="27"/>
        </w:rPr>
        <w:t xml:space="preserve">Cal.App.5th 181, 186 </w:t>
      </w:r>
      <w:r>
        <w:rPr>
          <w:szCs w:val="27"/>
        </w:rPr>
        <w:t>(</w:t>
      </w:r>
      <w:r w:rsidRPr="006257B1">
        <w:rPr>
          <w:szCs w:val="27"/>
        </w:rPr>
        <w:t>Assembly Bill 1950 applies retroactively to nonfinal cases</w:t>
      </w:r>
      <w:r>
        <w:rPr>
          <w:szCs w:val="27"/>
        </w:rPr>
        <w:t>)</w:t>
      </w:r>
      <w:r w:rsidRPr="006257B1">
        <w:rPr>
          <w:szCs w:val="27"/>
        </w:rPr>
        <w:t xml:space="preserve">; </w:t>
      </w:r>
      <w:r w:rsidRPr="006257B1">
        <w:rPr>
          <w:i/>
          <w:iCs/>
          <w:szCs w:val="27"/>
        </w:rPr>
        <w:t>People v. Govan</w:t>
      </w:r>
      <w:r w:rsidRPr="006257B1">
        <w:rPr>
          <w:szCs w:val="27"/>
        </w:rPr>
        <w:t> (2023) 91</w:t>
      </w:r>
      <w:r>
        <w:rPr>
          <w:szCs w:val="27"/>
        </w:rPr>
        <w:t> </w:t>
      </w:r>
      <w:r w:rsidRPr="006257B1">
        <w:rPr>
          <w:szCs w:val="27"/>
        </w:rPr>
        <w:t xml:space="preserve">Cal.App.5th 1015, 1020 </w:t>
      </w:r>
      <w:r>
        <w:rPr>
          <w:szCs w:val="27"/>
        </w:rPr>
        <w:t>(</w:t>
      </w:r>
      <w:r w:rsidRPr="006257B1">
        <w:rPr>
          <w:szCs w:val="27"/>
        </w:rPr>
        <w:t>Assembly Bill No. 518’s (2021–2022 Reg. Sess.) amendments to Pen</w:t>
      </w:r>
      <w:r>
        <w:rPr>
          <w:szCs w:val="27"/>
        </w:rPr>
        <w:t>.</w:t>
      </w:r>
      <w:r w:rsidRPr="006257B1">
        <w:rPr>
          <w:szCs w:val="27"/>
        </w:rPr>
        <w:t xml:space="preserve"> Code</w:t>
      </w:r>
      <w:r>
        <w:rPr>
          <w:szCs w:val="27"/>
        </w:rPr>
        <w:t>,</w:t>
      </w:r>
      <w:r w:rsidRPr="006257B1">
        <w:rPr>
          <w:szCs w:val="27"/>
        </w:rPr>
        <w:t xml:space="preserve"> </w:t>
      </w:r>
      <w:r w:rsidRPr="00CA1A65">
        <w:rPr>
          <w:szCs w:val="26"/>
        </w:rPr>
        <w:t>§</w:t>
      </w:r>
      <w:r w:rsidRPr="006257B1">
        <w:rPr>
          <w:szCs w:val="27"/>
        </w:rPr>
        <w:t xml:space="preserve"> 654 apply retroactively to nonfinal cases</w:t>
      </w:r>
      <w:r>
        <w:rPr>
          <w:szCs w:val="27"/>
        </w:rPr>
        <w:t>)</w:t>
      </w:r>
      <w:r w:rsidRPr="006257B1">
        <w:rPr>
          <w:szCs w:val="27"/>
        </w:rPr>
        <w:t xml:space="preserve">; </w:t>
      </w:r>
      <w:r w:rsidRPr="006257B1">
        <w:rPr>
          <w:i/>
          <w:iCs/>
          <w:szCs w:val="27"/>
        </w:rPr>
        <w:t>In re S.S.</w:t>
      </w:r>
      <w:r w:rsidRPr="006257B1">
        <w:rPr>
          <w:szCs w:val="27"/>
        </w:rPr>
        <w:t> (2023) 89</w:t>
      </w:r>
      <w:r>
        <w:rPr>
          <w:szCs w:val="27"/>
        </w:rPr>
        <w:t> </w:t>
      </w:r>
      <w:r w:rsidRPr="006257B1">
        <w:rPr>
          <w:szCs w:val="27"/>
        </w:rPr>
        <w:t xml:space="preserve">Cal.App.5th 1277, 1288 </w:t>
      </w:r>
      <w:r>
        <w:rPr>
          <w:szCs w:val="27"/>
        </w:rPr>
        <w:t>(</w:t>
      </w:r>
      <w:r w:rsidRPr="006257B1">
        <w:rPr>
          <w:szCs w:val="27"/>
        </w:rPr>
        <w:t>Assembly Bill No. 2361’s (2021–2022 Reg. Sess.) amendments to Welf</w:t>
      </w:r>
      <w:r>
        <w:rPr>
          <w:szCs w:val="27"/>
        </w:rPr>
        <w:t>.</w:t>
      </w:r>
      <w:r w:rsidRPr="006257B1">
        <w:rPr>
          <w:szCs w:val="27"/>
        </w:rPr>
        <w:t xml:space="preserve"> </w:t>
      </w:r>
      <w:r>
        <w:rPr>
          <w:szCs w:val="27"/>
        </w:rPr>
        <w:t>&amp;</w:t>
      </w:r>
      <w:r w:rsidRPr="006257B1">
        <w:rPr>
          <w:szCs w:val="27"/>
        </w:rPr>
        <w:t xml:space="preserve"> Inst</w:t>
      </w:r>
      <w:r>
        <w:rPr>
          <w:szCs w:val="27"/>
        </w:rPr>
        <w:t>.</w:t>
      </w:r>
      <w:r w:rsidRPr="006257B1">
        <w:rPr>
          <w:szCs w:val="27"/>
        </w:rPr>
        <w:t xml:space="preserve"> Code</w:t>
      </w:r>
      <w:r>
        <w:rPr>
          <w:szCs w:val="27"/>
        </w:rPr>
        <w:t>,</w:t>
      </w:r>
      <w:r w:rsidRPr="006257B1">
        <w:rPr>
          <w:szCs w:val="27"/>
        </w:rPr>
        <w:t xml:space="preserve"> </w:t>
      </w:r>
      <w:r w:rsidRPr="00CA1A65">
        <w:rPr>
          <w:szCs w:val="26"/>
        </w:rPr>
        <w:t>§</w:t>
      </w:r>
      <w:r w:rsidRPr="006257B1">
        <w:rPr>
          <w:szCs w:val="27"/>
        </w:rPr>
        <w:t xml:space="preserve"> 707 apply retroactively to nonfinal cases</w:t>
      </w:r>
      <w:r>
        <w:rPr>
          <w:szCs w:val="27"/>
        </w:rPr>
        <w:t>)</w:t>
      </w:r>
      <w:r w:rsidRPr="006257B1">
        <w:rPr>
          <w:szCs w:val="27"/>
        </w:rPr>
        <w:t xml:space="preserve">; </w:t>
      </w:r>
      <w:r w:rsidRPr="006257B1">
        <w:rPr>
          <w:i/>
          <w:iCs/>
          <w:szCs w:val="27"/>
        </w:rPr>
        <w:t>People v. E.M.</w:t>
      </w:r>
      <w:r w:rsidRPr="006257B1">
        <w:rPr>
          <w:szCs w:val="27"/>
        </w:rPr>
        <w:t> (2022) 85</w:t>
      </w:r>
      <w:r>
        <w:rPr>
          <w:szCs w:val="27"/>
        </w:rPr>
        <w:t> </w:t>
      </w:r>
      <w:r w:rsidRPr="006257B1">
        <w:rPr>
          <w:szCs w:val="27"/>
        </w:rPr>
        <w:t xml:space="preserve">Cal.App.5th 1075, 1088–1090  [trial court erred in denying recall on the ground that Senate Bill </w:t>
      </w:r>
      <w:r>
        <w:rPr>
          <w:szCs w:val="27"/>
        </w:rPr>
        <w:t xml:space="preserve">No. </w:t>
      </w:r>
      <w:r w:rsidRPr="006257B1">
        <w:rPr>
          <w:szCs w:val="27"/>
        </w:rPr>
        <w:t>1393 did not apply retroactively to defendant’s case</w:t>
      </w:r>
      <w:r>
        <w:rPr>
          <w:szCs w:val="27"/>
        </w:rPr>
        <w:t xml:space="preserve"> because it was final on appeal</w:t>
      </w:r>
      <w:r w:rsidRPr="006257B1">
        <w:rPr>
          <w:szCs w:val="27"/>
        </w:rPr>
        <w:t xml:space="preserve">]; </w:t>
      </w:r>
      <w:r w:rsidRPr="006257B1">
        <w:rPr>
          <w:i/>
          <w:iCs/>
          <w:szCs w:val="27"/>
        </w:rPr>
        <w:t xml:space="preserve">People v. Superior Court </w:t>
      </w:r>
      <w:r w:rsidRPr="00C97746">
        <w:rPr>
          <w:szCs w:val="27"/>
        </w:rPr>
        <w:t>(</w:t>
      </w:r>
      <w:r w:rsidRPr="006257B1">
        <w:rPr>
          <w:i/>
          <w:iCs/>
          <w:szCs w:val="27"/>
        </w:rPr>
        <w:t>Ortiz</w:t>
      </w:r>
      <w:r w:rsidRPr="00C97746">
        <w:rPr>
          <w:szCs w:val="27"/>
        </w:rPr>
        <w:t>)</w:t>
      </w:r>
      <w:r w:rsidRPr="006257B1">
        <w:rPr>
          <w:szCs w:val="27"/>
        </w:rPr>
        <w:t> (2022) 81</w:t>
      </w:r>
      <w:r>
        <w:rPr>
          <w:szCs w:val="27"/>
        </w:rPr>
        <w:t> </w:t>
      </w:r>
      <w:r w:rsidRPr="006257B1">
        <w:rPr>
          <w:szCs w:val="27"/>
        </w:rPr>
        <w:t>Cal.App.5th 851, 860, f</w:t>
      </w:r>
      <w:r>
        <w:rPr>
          <w:szCs w:val="27"/>
        </w:rPr>
        <w:t>ootnote</w:t>
      </w:r>
      <w:r w:rsidRPr="006257B1">
        <w:rPr>
          <w:szCs w:val="27"/>
        </w:rPr>
        <w:t xml:space="preserve"> 2 </w:t>
      </w:r>
      <w:r>
        <w:rPr>
          <w:szCs w:val="27"/>
        </w:rPr>
        <w:t>(</w:t>
      </w:r>
      <w:r w:rsidRPr="006257B1">
        <w:rPr>
          <w:szCs w:val="27"/>
        </w:rPr>
        <w:t>Pen</w:t>
      </w:r>
      <w:r>
        <w:rPr>
          <w:szCs w:val="27"/>
        </w:rPr>
        <w:t>.</w:t>
      </w:r>
      <w:r w:rsidRPr="006257B1">
        <w:rPr>
          <w:szCs w:val="27"/>
        </w:rPr>
        <w:t xml:space="preserve"> Code</w:t>
      </w:r>
      <w:r>
        <w:rPr>
          <w:szCs w:val="27"/>
        </w:rPr>
        <w:t>,</w:t>
      </w:r>
      <w:r w:rsidRPr="006257B1">
        <w:rPr>
          <w:szCs w:val="27"/>
        </w:rPr>
        <w:t xml:space="preserve"> </w:t>
      </w:r>
      <w:r w:rsidRPr="00CA1A65">
        <w:rPr>
          <w:szCs w:val="26"/>
        </w:rPr>
        <w:t>§</w:t>
      </w:r>
      <w:r w:rsidRPr="006257B1">
        <w:rPr>
          <w:szCs w:val="27"/>
        </w:rPr>
        <w:t xml:space="preserve"> 1001.95 applies retroactively to nonfinal cases</w:t>
      </w:r>
      <w:r>
        <w:rPr>
          <w:szCs w:val="27"/>
        </w:rPr>
        <w:t>)</w:t>
      </w:r>
      <w:r w:rsidRPr="006257B1">
        <w:rPr>
          <w:szCs w:val="27"/>
        </w:rPr>
        <w:t xml:space="preserve">; </w:t>
      </w:r>
      <w:r w:rsidRPr="006257B1">
        <w:rPr>
          <w:i/>
          <w:iCs/>
          <w:szCs w:val="27"/>
        </w:rPr>
        <w:t>In re N.L.</w:t>
      </w:r>
      <w:r w:rsidRPr="006257B1">
        <w:rPr>
          <w:szCs w:val="27"/>
        </w:rPr>
        <w:t> (2022) 81</w:t>
      </w:r>
      <w:r>
        <w:rPr>
          <w:szCs w:val="27"/>
        </w:rPr>
        <w:t> </w:t>
      </w:r>
      <w:r w:rsidRPr="006257B1">
        <w:rPr>
          <w:szCs w:val="27"/>
        </w:rPr>
        <w:t xml:space="preserve">Cal.App.5th 463, 469 </w:t>
      </w:r>
      <w:r>
        <w:rPr>
          <w:szCs w:val="27"/>
        </w:rPr>
        <w:t>(</w:t>
      </w:r>
      <w:r w:rsidRPr="006257B1">
        <w:rPr>
          <w:szCs w:val="27"/>
        </w:rPr>
        <w:t>Senate Bill No. 383 (2021–2022 Reg. Sess.) applies retroactively to nonfinal cases</w:t>
      </w:r>
      <w:r>
        <w:rPr>
          <w:szCs w:val="27"/>
        </w:rPr>
        <w:t>)</w:t>
      </w:r>
      <w:r w:rsidRPr="006257B1">
        <w:rPr>
          <w:szCs w:val="27"/>
        </w:rPr>
        <w:t xml:space="preserve">; </w:t>
      </w:r>
      <w:r w:rsidRPr="006257B1">
        <w:rPr>
          <w:i/>
          <w:iCs/>
          <w:szCs w:val="27"/>
        </w:rPr>
        <w:t>People v. Zabelle</w:t>
      </w:r>
      <w:r w:rsidRPr="006257B1">
        <w:rPr>
          <w:szCs w:val="27"/>
        </w:rPr>
        <w:t> (2022) 80</w:t>
      </w:r>
      <w:r>
        <w:rPr>
          <w:szCs w:val="27"/>
        </w:rPr>
        <w:t> </w:t>
      </w:r>
      <w:r w:rsidRPr="006257B1">
        <w:rPr>
          <w:szCs w:val="27"/>
        </w:rPr>
        <w:t xml:space="preserve">Cal.App.5th 1098, 1109 </w:t>
      </w:r>
      <w:r>
        <w:rPr>
          <w:szCs w:val="27"/>
        </w:rPr>
        <w:t>(</w:t>
      </w:r>
      <w:r w:rsidRPr="006257B1">
        <w:rPr>
          <w:szCs w:val="27"/>
        </w:rPr>
        <w:t>Pen</w:t>
      </w:r>
      <w:r>
        <w:rPr>
          <w:szCs w:val="27"/>
        </w:rPr>
        <w:t>.</w:t>
      </w:r>
      <w:r w:rsidRPr="006257B1">
        <w:rPr>
          <w:szCs w:val="27"/>
        </w:rPr>
        <w:t xml:space="preserve"> Code</w:t>
      </w:r>
      <w:r>
        <w:rPr>
          <w:szCs w:val="27"/>
        </w:rPr>
        <w:t>,</w:t>
      </w:r>
      <w:r w:rsidRPr="006257B1">
        <w:rPr>
          <w:szCs w:val="27"/>
        </w:rPr>
        <w:t xml:space="preserve"> </w:t>
      </w:r>
      <w:r w:rsidRPr="00CA1A65">
        <w:rPr>
          <w:szCs w:val="26"/>
        </w:rPr>
        <w:t>§</w:t>
      </w:r>
      <w:r w:rsidRPr="006257B1">
        <w:rPr>
          <w:szCs w:val="27"/>
        </w:rPr>
        <w:t xml:space="preserve"> 1170’s amended statutory language applies retroactively to nonfinal cases</w:t>
      </w:r>
      <w:r>
        <w:rPr>
          <w:szCs w:val="27"/>
        </w:rPr>
        <w:t>)</w:t>
      </w:r>
      <w:r w:rsidRPr="006257B1">
        <w:rPr>
          <w:szCs w:val="27"/>
        </w:rPr>
        <w:t xml:space="preserve">; </w:t>
      </w:r>
      <w:r w:rsidRPr="006257B1">
        <w:rPr>
          <w:i/>
          <w:iCs/>
          <w:szCs w:val="27"/>
        </w:rPr>
        <w:t>People v. Singh</w:t>
      </w:r>
      <w:r w:rsidRPr="006257B1">
        <w:rPr>
          <w:szCs w:val="27"/>
        </w:rPr>
        <w:t> (2022) 81</w:t>
      </w:r>
      <w:r>
        <w:rPr>
          <w:szCs w:val="27"/>
        </w:rPr>
        <w:t> </w:t>
      </w:r>
      <w:r w:rsidRPr="006257B1">
        <w:rPr>
          <w:szCs w:val="27"/>
        </w:rPr>
        <w:t xml:space="preserve">Cal.App.5th 147, 153 </w:t>
      </w:r>
      <w:r>
        <w:rPr>
          <w:szCs w:val="27"/>
        </w:rPr>
        <w:t>(</w:t>
      </w:r>
      <w:r w:rsidRPr="006257B1">
        <w:rPr>
          <w:szCs w:val="27"/>
        </w:rPr>
        <w:t>Assembly Bill No. 1259 (2021–2022 Reg. Sess.) applies retroactively to nonfinal cases</w:t>
      </w:r>
      <w:r>
        <w:rPr>
          <w:szCs w:val="27"/>
        </w:rPr>
        <w:t>)</w:t>
      </w:r>
      <w:r w:rsidRPr="006257B1">
        <w:rPr>
          <w:szCs w:val="27"/>
        </w:rPr>
        <w:t xml:space="preserve">.  </w:t>
      </w:r>
    </w:p>
  </w:footnote>
  <w:footnote w:id="16">
    <w:p w:rsidR="00950617" w:rsidP="00950617" w14:paraId="553871D3" w14:textId="77777777">
      <w:pPr>
        <w:pStyle w:val="FootnoteText"/>
      </w:pPr>
      <w:r>
        <w:rPr>
          <w:rStyle w:val="FootnoteReference"/>
        </w:rPr>
        <w:footnoteRef/>
      </w:r>
      <w:r>
        <w:t xml:space="preserve"> </w:t>
      </w:r>
      <w:r>
        <w:tab/>
        <w:t>All subsequent references are to the Penal Code unless otherwise specified.</w:t>
      </w:r>
    </w:p>
  </w:footnote>
  <w:footnote w:id="17">
    <w:p w:rsidR="00950617" w:rsidRPr="00947E54" w:rsidP="00950617" w14:paraId="7173981C" w14:textId="77777777">
      <w:pPr>
        <w:pStyle w:val="FootnoteText"/>
      </w:pPr>
      <w:r>
        <w:rPr>
          <w:rStyle w:val="FootnoteReference"/>
        </w:rPr>
        <w:footnoteRef/>
      </w:r>
      <w:r>
        <w:t xml:space="preserve"> </w:t>
      </w:r>
      <w:r>
        <w:tab/>
        <w:t xml:space="preserve">In fact, it’s not even an accurate description.  If the test under </w:t>
      </w:r>
      <w:r>
        <w:rPr>
          <w:i/>
          <w:iCs/>
        </w:rPr>
        <w:t>Estrada</w:t>
      </w:r>
      <w:r>
        <w:t xml:space="preserve"> were solely whether “ ‘the Legislature has amended a statute to lessen the punishment’ ” (maj. opn., </w:t>
      </w:r>
      <w:r>
        <w:rPr>
          <w:i/>
          <w:iCs/>
        </w:rPr>
        <w:t>ante</w:t>
      </w:r>
      <w:r>
        <w:t xml:space="preserve">, at p. 38), then the amended statute at issue in </w:t>
      </w:r>
      <w:r>
        <w:rPr>
          <w:i/>
          <w:iCs/>
        </w:rPr>
        <w:t>Brown</w:t>
      </w:r>
      <w:r>
        <w:t xml:space="preserve">, </w:t>
      </w:r>
      <w:r>
        <w:rPr>
          <w:i/>
          <w:iCs/>
        </w:rPr>
        <w:t>supra</w:t>
      </w:r>
      <w:r>
        <w:t>, 54 Cal.4th 314, which temporarily increased the rate at which county inmates could earn conduct credits (and thus “earlier release from custody” (</w:t>
      </w:r>
      <w:r>
        <w:rPr>
          <w:i/>
          <w:iCs/>
        </w:rPr>
        <w:t>id</w:t>
      </w:r>
      <w:r>
        <w:t xml:space="preserve">. at p. 322)), would have had retroactive effect.  But </w:t>
      </w:r>
      <w:r>
        <w:rPr>
          <w:i/>
          <w:iCs/>
        </w:rPr>
        <w:t>Brown</w:t>
      </w:r>
      <w:r>
        <w:t xml:space="preserve"> correctly did not restrict its analysis to the statute’s effect on punishment.  We reasoned instead that the amended credits statute, enacted in the face of </w:t>
      </w:r>
      <w:r w:rsidRPr="00106C0A">
        <w:t>“a state fiscal emergency” (</w:t>
      </w:r>
      <w:r w:rsidRPr="00106C0A">
        <w:rPr>
          <w:i/>
          <w:iCs/>
        </w:rPr>
        <w:t>id</w:t>
      </w:r>
      <w:r w:rsidRPr="00106C0A">
        <w:t>. at p. 318)</w:t>
      </w:r>
      <w:r>
        <w:t xml:space="preserve">, was not designed to confer a benefit on defendants; rather, it was designed to “offer[] incentives for </w:t>
      </w:r>
      <w:r>
        <w:rPr>
          <w:i/>
          <w:iCs/>
        </w:rPr>
        <w:t>future</w:t>
      </w:r>
      <w:r>
        <w:t xml:space="preserve"> good behavior.”  (</w:t>
      </w:r>
      <w:r>
        <w:rPr>
          <w:i/>
          <w:iCs/>
        </w:rPr>
        <w:t>Id</w:t>
      </w:r>
      <w:r>
        <w:t xml:space="preserve">. at p. 324, italics added.) </w:t>
      </w:r>
    </w:p>
  </w:footnote>
  <w:footnote w:id="18">
    <w:p w:rsidR="00950617" w:rsidRPr="002E4C62" w:rsidP="00950617" w14:paraId="7A9F5444" w14:textId="77777777">
      <w:pPr>
        <w:pStyle w:val="FootnoteText"/>
      </w:pPr>
      <w:r>
        <w:rPr>
          <w:rStyle w:val="FootnoteReference"/>
        </w:rPr>
        <w:footnoteRef/>
      </w:r>
      <w:r>
        <w:t xml:space="preserve"> </w:t>
      </w:r>
      <w:r>
        <w:tab/>
        <w:t xml:space="preserve">The statute at issue in </w:t>
      </w:r>
      <w:r>
        <w:rPr>
          <w:i/>
          <w:iCs/>
        </w:rPr>
        <w:t>People v. Robertson</w:t>
      </w:r>
      <w:r>
        <w:t xml:space="preserve"> (1989) 48 Cal.3d 18, 51, did not implicate a defendant’s guilt or innocence, and the statutory scheme in </w:t>
      </w:r>
      <w:r>
        <w:rPr>
          <w:i/>
          <w:iCs/>
        </w:rPr>
        <w:t>Evangelatos v. Superior Court</w:t>
      </w:r>
      <w:r>
        <w:t xml:space="preserve"> (1988) 44 Cal.3d 1188 did not even implicate the criminal law at all.  (</w:t>
      </w:r>
      <w:r>
        <w:rPr>
          <w:i/>
          <w:iCs/>
        </w:rPr>
        <w:t>Id</w:t>
      </w:r>
      <w:r>
        <w:t>. at p. 1210, fn. 15 [“</w:t>
      </w:r>
      <w:r w:rsidRPr="002E4C62">
        <w:t xml:space="preserve">the </w:t>
      </w:r>
      <w:r w:rsidRPr="002E4C62">
        <w:rPr>
          <w:i/>
          <w:iCs/>
        </w:rPr>
        <w:t>Estrada</w:t>
      </w:r>
      <w:r w:rsidRPr="002E4C62">
        <w:t xml:space="preserve"> decision provides no guidance for the resolution of this case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DCD" w14:paraId="1D81A2D8" w14:textId="77777777">
    <w:pPr>
      <w:pStyle w:val="Header"/>
    </w:pPr>
    <w:r>
      <w:t>PEOPLE v. BURGOS</w:t>
    </w:r>
  </w:p>
  <w:p w:rsidR="00C06DCD" w14:paraId="1D81A2D9" w14:textId="77777777">
    <w:pPr>
      <w:pStyle w:val="Header"/>
    </w:pPr>
    <w:r>
      <w:t>Opinion of the Court by Guerrero, C. J.</w:t>
    </w:r>
  </w:p>
  <w:p w:rsidR="00C06DCD" w14:paraId="1D81A2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261D" w:rsidRPr="00B67844" w:rsidP="00B67844" w14:paraId="066B6685" w14:textId="77777777">
    <w:pPr>
      <w:pStyle w:val="Header"/>
      <w:rPr>
        <w:szCs w:val="22"/>
      </w:rPr>
    </w:pPr>
    <w:r w:rsidRPr="00B67844">
      <w:rPr>
        <w:szCs w:val="22"/>
      </w:rPr>
      <w:t xml:space="preserve">PEOPLE v. </w:t>
    </w:r>
    <w:r>
      <w:rPr>
        <w:szCs w:val="22"/>
      </w:rPr>
      <w:t>BURGOS</w:t>
    </w:r>
  </w:p>
  <w:p w:rsidR="00E9261D" w:rsidP="00D07A51" w14:paraId="6148BA6E" w14:textId="77777777">
    <w:pPr>
      <w:pStyle w:val="Header"/>
      <w:rPr>
        <w:szCs w:val="22"/>
      </w:rPr>
    </w:pPr>
    <w:r w:rsidRPr="00B67844">
      <w:rPr>
        <w:szCs w:val="22"/>
      </w:rPr>
      <w:t>Groban, J., concurring</w:t>
    </w:r>
  </w:p>
  <w:p w:rsidR="00E9261D" w:rsidRPr="00B67844" w:rsidP="00B67844" w14:paraId="3E24FE0E" w14:textId="77777777">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261D" w14:paraId="4D70BCB3" w14:textId="77777777">
    <w:pPr>
      <w:pStyle w:val="Header"/>
    </w:pPr>
    <w:r>
      <w:t>PEOPLE v. BURGOS</w:t>
    </w:r>
  </w:p>
  <w:p w:rsidR="00E9261D" w14:paraId="7903EC93" w14:textId="77777777">
    <w:pPr>
      <w:pStyle w:val="Header"/>
    </w:pPr>
    <w:r>
      <w:t>Evans, J., dissenting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CFF" w:rsidRPr="00844CFF" w:rsidP="00844CFF" w14:paraId="55964C94" w14:textId="1C8ED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E24CA4"/>
    <w:multiLevelType w:val="hybridMultilevel"/>
    <w:tmpl w:val="27D46BB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A7A3A3E"/>
    <w:multiLevelType w:val="hybridMultilevel"/>
    <w:tmpl w:val="3FE2559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E3865EF"/>
    <w:multiLevelType w:val="hybridMultilevel"/>
    <w:tmpl w:val="C8AE452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E225F43"/>
    <w:multiLevelType w:val="hybridMultilevel"/>
    <w:tmpl w:val="8C728BD2"/>
    <w:lvl w:ilvl="0">
      <w:start w:val="1"/>
      <w:numFmt w:val="decimal"/>
      <w:lvlText w:val="(%1)"/>
      <w:lvlJc w:val="left"/>
      <w:pPr>
        <w:ind w:left="1808" w:hanging="368"/>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EC24742"/>
    <w:multiLevelType w:val="hybridMultilevel"/>
    <w:tmpl w:val="B59495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27053F8"/>
    <w:multiLevelType w:val="hybridMultilevel"/>
    <w:tmpl w:val="336044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D812E0D"/>
    <w:multiLevelType w:val="hybridMultilevel"/>
    <w:tmpl w:val="7CC29D4A"/>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7">
    <w:nsid w:val="6FF3141D"/>
    <w:multiLevelType w:val="hybridMultilevel"/>
    <w:tmpl w:val="96104B18"/>
    <w:lvl w:ilvl="0">
      <w:start w:val="1"/>
      <w:numFmt w:val="decimal"/>
      <w:pStyle w:val="Heading3"/>
      <w:lvlText w:val="%1."/>
      <w:lvlJc w:val="left"/>
      <w:pPr>
        <w:ind w:left="1872" w:hanging="360"/>
      </w:pPr>
      <w:rPr>
        <w:i w:val="0"/>
        <w:iCs/>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9C"/>
    <w:rsid w:val="00000318"/>
    <w:rsid w:val="00002582"/>
    <w:rsid w:val="00002986"/>
    <w:rsid w:val="00002DC7"/>
    <w:rsid w:val="000034C3"/>
    <w:rsid w:val="000035FC"/>
    <w:rsid w:val="00003772"/>
    <w:rsid w:val="00004CE2"/>
    <w:rsid w:val="00006AA4"/>
    <w:rsid w:val="0000714E"/>
    <w:rsid w:val="00007167"/>
    <w:rsid w:val="00010232"/>
    <w:rsid w:val="0001046E"/>
    <w:rsid w:val="000108E5"/>
    <w:rsid w:val="00010B1B"/>
    <w:rsid w:val="00010EF4"/>
    <w:rsid w:val="00011081"/>
    <w:rsid w:val="00011CDF"/>
    <w:rsid w:val="00012112"/>
    <w:rsid w:val="000140AF"/>
    <w:rsid w:val="0001463F"/>
    <w:rsid w:val="00014D26"/>
    <w:rsid w:val="00014E1B"/>
    <w:rsid w:val="00014E34"/>
    <w:rsid w:val="00015690"/>
    <w:rsid w:val="00016239"/>
    <w:rsid w:val="00016B4F"/>
    <w:rsid w:val="00017208"/>
    <w:rsid w:val="00017705"/>
    <w:rsid w:val="000201D0"/>
    <w:rsid w:val="000209FA"/>
    <w:rsid w:val="00020AC8"/>
    <w:rsid w:val="000217DA"/>
    <w:rsid w:val="00021D2A"/>
    <w:rsid w:val="000225DE"/>
    <w:rsid w:val="00022994"/>
    <w:rsid w:val="00022D0B"/>
    <w:rsid w:val="00022DB6"/>
    <w:rsid w:val="0002305D"/>
    <w:rsid w:val="0002319B"/>
    <w:rsid w:val="00023251"/>
    <w:rsid w:val="00023264"/>
    <w:rsid w:val="000245E2"/>
    <w:rsid w:val="000246A2"/>
    <w:rsid w:val="0002493B"/>
    <w:rsid w:val="00024F6C"/>
    <w:rsid w:val="00025139"/>
    <w:rsid w:val="0002577A"/>
    <w:rsid w:val="00025C43"/>
    <w:rsid w:val="00025EE2"/>
    <w:rsid w:val="00025F62"/>
    <w:rsid w:val="0002607F"/>
    <w:rsid w:val="00026183"/>
    <w:rsid w:val="00026204"/>
    <w:rsid w:val="000267FE"/>
    <w:rsid w:val="000268B6"/>
    <w:rsid w:val="00026EAD"/>
    <w:rsid w:val="00027EBF"/>
    <w:rsid w:val="00030430"/>
    <w:rsid w:val="0003057D"/>
    <w:rsid w:val="0003073E"/>
    <w:rsid w:val="00030DCC"/>
    <w:rsid w:val="00033BF1"/>
    <w:rsid w:val="0003411E"/>
    <w:rsid w:val="00034460"/>
    <w:rsid w:val="000345B9"/>
    <w:rsid w:val="00034ED6"/>
    <w:rsid w:val="00036E65"/>
    <w:rsid w:val="00036F95"/>
    <w:rsid w:val="000372D9"/>
    <w:rsid w:val="00040617"/>
    <w:rsid w:val="000407F5"/>
    <w:rsid w:val="00040AC8"/>
    <w:rsid w:val="00040B04"/>
    <w:rsid w:val="00040F23"/>
    <w:rsid w:val="00041027"/>
    <w:rsid w:val="0004138D"/>
    <w:rsid w:val="000429E2"/>
    <w:rsid w:val="00042CDB"/>
    <w:rsid w:val="00042D79"/>
    <w:rsid w:val="00043031"/>
    <w:rsid w:val="000432EC"/>
    <w:rsid w:val="00043F21"/>
    <w:rsid w:val="00044AA0"/>
    <w:rsid w:val="00045CC6"/>
    <w:rsid w:val="00046215"/>
    <w:rsid w:val="00047222"/>
    <w:rsid w:val="0004722E"/>
    <w:rsid w:val="000479F1"/>
    <w:rsid w:val="000503E2"/>
    <w:rsid w:val="00050698"/>
    <w:rsid w:val="00050FAC"/>
    <w:rsid w:val="00051042"/>
    <w:rsid w:val="0005128C"/>
    <w:rsid w:val="00051491"/>
    <w:rsid w:val="00051A07"/>
    <w:rsid w:val="00052055"/>
    <w:rsid w:val="00052330"/>
    <w:rsid w:val="00052E1D"/>
    <w:rsid w:val="00053EC8"/>
    <w:rsid w:val="00054CB8"/>
    <w:rsid w:val="00057CD5"/>
    <w:rsid w:val="00060C50"/>
    <w:rsid w:val="00060F30"/>
    <w:rsid w:val="000626B6"/>
    <w:rsid w:val="0006297C"/>
    <w:rsid w:val="00062C91"/>
    <w:rsid w:val="000632DD"/>
    <w:rsid w:val="00063569"/>
    <w:rsid w:val="000638A0"/>
    <w:rsid w:val="00064289"/>
    <w:rsid w:val="000644B7"/>
    <w:rsid w:val="00064570"/>
    <w:rsid w:val="00065D49"/>
    <w:rsid w:val="000660FA"/>
    <w:rsid w:val="00066386"/>
    <w:rsid w:val="000663A5"/>
    <w:rsid w:val="00066529"/>
    <w:rsid w:val="00066877"/>
    <w:rsid w:val="00066B42"/>
    <w:rsid w:val="00066CD1"/>
    <w:rsid w:val="00066D1F"/>
    <w:rsid w:val="0006755F"/>
    <w:rsid w:val="000678CB"/>
    <w:rsid w:val="00067C12"/>
    <w:rsid w:val="00067DA4"/>
    <w:rsid w:val="000701F5"/>
    <w:rsid w:val="00070A06"/>
    <w:rsid w:val="00070C41"/>
    <w:rsid w:val="00070C5E"/>
    <w:rsid w:val="00071D27"/>
    <w:rsid w:val="0007245B"/>
    <w:rsid w:val="00072751"/>
    <w:rsid w:val="00072948"/>
    <w:rsid w:val="0007294A"/>
    <w:rsid w:val="00072C07"/>
    <w:rsid w:val="00072EB6"/>
    <w:rsid w:val="00074B1A"/>
    <w:rsid w:val="00074BBB"/>
    <w:rsid w:val="0007509D"/>
    <w:rsid w:val="000750C4"/>
    <w:rsid w:val="0007522A"/>
    <w:rsid w:val="00075243"/>
    <w:rsid w:val="00075D44"/>
    <w:rsid w:val="0007680E"/>
    <w:rsid w:val="0007705C"/>
    <w:rsid w:val="00077826"/>
    <w:rsid w:val="00077A58"/>
    <w:rsid w:val="00077B5B"/>
    <w:rsid w:val="00077BAA"/>
    <w:rsid w:val="00077C5B"/>
    <w:rsid w:val="0008043B"/>
    <w:rsid w:val="00080FBC"/>
    <w:rsid w:val="00081652"/>
    <w:rsid w:val="00081A6B"/>
    <w:rsid w:val="00082B01"/>
    <w:rsid w:val="00084360"/>
    <w:rsid w:val="00084385"/>
    <w:rsid w:val="000848C1"/>
    <w:rsid w:val="0008611B"/>
    <w:rsid w:val="00086814"/>
    <w:rsid w:val="000871E1"/>
    <w:rsid w:val="0009013F"/>
    <w:rsid w:val="00090624"/>
    <w:rsid w:val="00090B82"/>
    <w:rsid w:val="00090E4A"/>
    <w:rsid w:val="00091A3F"/>
    <w:rsid w:val="00091D86"/>
    <w:rsid w:val="000927E8"/>
    <w:rsid w:val="00092873"/>
    <w:rsid w:val="00092B37"/>
    <w:rsid w:val="000933ED"/>
    <w:rsid w:val="00093418"/>
    <w:rsid w:val="000938DA"/>
    <w:rsid w:val="00093AC1"/>
    <w:rsid w:val="00094BAC"/>
    <w:rsid w:val="0009503C"/>
    <w:rsid w:val="00095421"/>
    <w:rsid w:val="00096191"/>
    <w:rsid w:val="00096CAB"/>
    <w:rsid w:val="00097003"/>
    <w:rsid w:val="00097446"/>
    <w:rsid w:val="00097531"/>
    <w:rsid w:val="0009761F"/>
    <w:rsid w:val="00097FA7"/>
    <w:rsid w:val="000A15D4"/>
    <w:rsid w:val="000A1711"/>
    <w:rsid w:val="000A1C35"/>
    <w:rsid w:val="000A1CD3"/>
    <w:rsid w:val="000A1FB8"/>
    <w:rsid w:val="000A27F6"/>
    <w:rsid w:val="000A2928"/>
    <w:rsid w:val="000A2ECF"/>
    <w:rsid w:val="000A3D53"/>
    <w:rsid w:val="000A3D97"/>
    <w:rsid w:val="000A3DB1"/>
    <w:rsid w:val="000A3E99"/>
    <w:rsid w:val="000A49CE"/>
    <w:rsid w:val="000A4D39"/>
    <w:rsid w:val="000A57EB"/>
    <w:rsid w:val="000A6D3D"/>
    <w:rsid w:val="000A6DB3"/>
    <w:rsid w:val="000A708E"/>
    <w:rsid w:val="000A7144"/>
    <w:rsid w:val="000A750C"/>
    <w:rsid w:val="000A7998"/>
    <w:rsid w:val="000A7A51"/>
    <w:rsid w:val="000A7A71"/>
    <w:rsid w:val="000A7BD2"/>
    <w:rsid w:val="000A7EE9"/>
    <w:rsid w:val="000B03B9"/>
    <w:rsid w:val="000B05F3"/>
    <w:rsid w:val="000B0614"/>
    <w:rsid w:val="000B087C"/>
    <w:rsid w:val="000B093C"/>
    <w:rsid w:val="000B0A20"/>
    <w:rsid w:val="000B0B7D"/>
    <w:rsid w:val="000B1583"/>
    <w:rsid w:val="000B18FE"/>
    <w:rsid w:val="000B21E3"/>
    <w:rsid w:val="000B2B79"/>
    <w:rsid w:val="000B2EEC"/>
    <w:rsid w:val="000B307F"/>
    <w:rsid w:val="000B37F1"/>
    <w:rsid w:val="000B4B7F"/>
    <w:rsid w:val="000B4DF6"/>
    <w:rsid w:val="000B4E10"/>
    <w:rsid w:val="000B4F2D"/>
    <w:rsid w:val="000B53FB"/>
    <w:rsid w:val="000B6A90"/>
    <w:rsid w:val="000B72DB"/>
    <w:rsid w:val="000B73CC"/>
    <w:rsid w:val="000B76CB"/>
    <w:rsid w:val="000B7855"/>
    <w:rsid w:val="000C0E02"/>
    <w:rsid w:val="000C1AFA"/>
    <w:rsid w:val="000C2C47"/>
    <w:rsid w:val="000C340D"/>
    <w:rsid w:val="000C38F9"/>
    <w:rsid w:val="000C3D03"/>
    <w:rsid w:val="000C4850"/>
    <w:rsid w:val="000C4D09"/>
    <w:rsid w:val="000C56EA"/>
    <w:rsid w:val="000C5715"/>
    <w:rsid w:val="000C5998"/>
    <w:rsid w:val="000C5FE6"/>
    <w:rsid w:val="000C6185"/>
    <w:rsid w:val="000C6318"/>
    <w:rsid w:val="000C641D"/>
    <w:rsid w:val="000C6CA7"/>
    <w:rsid w:val="000C76B6"/>
    <w:rsid w:val="000D0232"/>
    <w:rsid w:val="000D19A6"/>
    <w:rsid w:val="000D1DB0"/>
    <w:rsid w:val="000D266B"/>
    <w:rsid w:val="000D2E45"/>
    <w:rsid w:val="000D2FC3"/>
    <w:rsid w:val="000D3257"/>
    <w:rsid w:val="000D34E1"/>
    <w:rsid w:val="000D35DC"/>
    <w:rsid w:val="000D3C55"/>
    <w:rsid w:val="000D3CCC"/>
    <w:rsid w:val="000D4145"/>
    <w:rsid w:val="000D42BA"/>
    <w:rsid w:val="000D448D"/>
    <w:rsid w:val="000D482F"/>
    <w:rsid w:val="000D4F7F"/>
    <w:rsid w:val="000D5118"/>
    <w:rsid w:val="000D5208"/>
    <w:rsid w:val="000D530F"/>
    <w:rsid w:val="000D57AE"/>
    <w:rsid w:val="000D5AF1"/>
    <w:rsid w:val="000D68B4"/>
    <w:rsid w:val="000D7417"/>
    <w:rsid w:val="000D7EE2"/>
    <w:rsid w:val="000E0AD4"/>
    <w:rsid w:val="000E133A"/>
    <w:rsid w:val="000E178F"/>
    <w:rsid w:val="000E1B95"/>
    <w:rsid w:val="000E1CEE"/>
    <w:rsid w:val="000E2301"/>
    <w:rsid w:val="000E2380"/>
    <w:rsid w:val="000E2839"/>
    <w:rsid w:val="000E3224"/>
    <w:rsid w:val="000E4343"/>
    <w:rsid w:val="000E4A88"/>
    <w:rsid w:val="000E4D80"/>
    <w:rsid w:val="000E4E8B"/>
    <w:rsid w:val="000E59DF"/>
    <w:rsid w:val="000E5D67"/>
    <w:rsid w:val="000E663F"/>
    <w:rsid w:val="000E67EB"/>
    <w:rsid w:val="000E7969"/>
    <w:rsid w:val="000F038E"/>
    <w:rsid w:val="000F0533"/>
    <w:rsid w:val="000F0EC3"/>
    <w:rsid w:val="000F1FCA"/>
    <w:rsid w:val="000F2451"/>
    <w:rsid w:val="000F31A3"/>
    <w:rsid w:val="000F31F9"/>
    <w:rsid w:val="000F3311"/>
    <w:rsid w:val="000F358D"/>
    <w:rsid w:val="000F38C5"/>
    <w:rsid w:val="000F3C52"/>
    <w:rsid w:val="000F4103"/>
    <w:rsid w:val="000F43D7"/>
    <w:rsid w:val="000F4644"/>
    <w:rsid w:val="000F4B4C"/>
    <w:rsid w:val="000F59B2"/>
    <w:rsid w:val="000F64B5"/>
    <w:rsid w:val="000F6C2C"/>
    <w:rsid w:val="000F72B0"/>
    <w:rsid w:val="000F7BBC"/>
    <w:rsid w:val="0010014A"/>
    <w:rsid w:val="001004BF"/>
    <w:rsid w:val="00100628"/>
    <w:rsid w:val="00100A14"/>
    <w:rsid w:val="0010139E"/>
    <w:rsid w:val="001013E7"/>
    <w:rsid w:val="00101A8A"/>
    <w:rsid w:val="0010231D"/>
    <w:rsid w:val="001027F2"/>
    <w:rsid w:val="00102902"/>
    <w:rsid w:val="00102B2F"/>
    <w:rsid w:val="0010302F"/>
    <w:rsid w:val="00103CF3"/>
    <w:rsid w:val="00103F2C"/>
    <w:rsid w:val="00104505"/>
    <w:rsid w:val="001047FF"/>
    <w:rsid w:val="00105795"/>
    <w:rsid w:val="0010581A"/>
    <w:rsid w:val="001058D4"/>
    <w:rsid w:val="00105C55"/>
    <w:rsid w:val="00106176"/>
    <w:rsid w:val="001066DE"/>
    <w:rsid w:val="00106AA3"/>
    <w:rsid w:val="00106C0A"/>
    <w:rsid w:val="001070BC"/>
    <w:rsid w:val="00107A21"/>
    <w:rsid w:val="00107BC6"/>
    <w:rsid w:val="00107E28"/>
    <w:rsid w:val="0011003F"/>
    <w:rsid w:val="001102D7"/>
    <w:rsid w:val="001122DF"/>
    <w:rsid w:val="001129F7"/>
    <w:rsid w:val="00112A65"/>
    <w:rsid w:val="00112C15"/>
    <w:rsid w:val="001140FF"/>
    <w:rsid w:val="0011411F"/>
    <w:rsid w:val="00114839"/>
    <w:rsid w:val="00114F9B"/>
    <w:rsid w:val="001161B8"/>
    <w:rsid w:val="001162D6"/>
    <w:rsid w:val="00116445"/>
    <w:rsid w:val="00117623"/>
    <w:rsid w:val="001178BE"/>
    <w:rsid w:val="00117B44"/>
    <w:rsid w:val="00117EB5"/>
    <w:rsid w:val="0012025D"/>
    <w:rsid w:val="00120EA3"/>
    <w:rsid w:val="001214CC"/>
    <w:rsid w:val="00121809"/>
    <w:rsid w:val="00121B61"/>
    <w:rsid w:val="00121B81"/>
    <w:rsid w:val="00121C77"/>
    <w:rsid w:val="00122ADC"/>
    <w:rsid w:val="00122CC2"/>
    <w:rsid w:val="00123255"/>
    <w:rsid w:val="0012351F"/>
    <w:rsid w:val="00123531"/>
    <w:rsid w:val="001235A3"/>
    <w:rsid w:val="00123D18"/>
    <w:rsid w:val="00124143"/>
    <w:rsid w:val="00124AA5"/>
    <w:rsid w:val="00124EE6"/>
    <w:rsid w:val="00125006"/>
    <w:rsid w:val="0012504D"/>
    <w:rsid w:val="0012518B"/>
    <w:rsid w:val="00125A79"/>
    <w:rsid w:val="00125EBC"/>
    <w:rsid w:val="0012629A"/>
    <w:rsid w:val="0012646E"/>
    <w:rsid w:val="001266D8"/>
    <w:rsid w:val="00126D30"/>
    <w:rsid w:val="0012733D"/>
    <w:rsid w:val="00127A47"/>
    <w:rsid w:val="00130165"/>
    <w:rsid w:val="00130E99"/>
    <w:rsid w:val="00131081"/>
    <w:rsid w:val="001316F6"/>
    <w:rsid w:val="00131C9F"/>
    <w:rsid w:val="00131EEF"/>
    <w:rsid w:val="0013232A"/>
    <w:rsid w:val="00133275"/>
    <w:rsid w:val="00133BF4"/>
    <w:rsid w:val="00133CB9"/>
    <w:rsid w:val="001341AB"/>
    <w:rsid w:val="00134D23"/>
    <w:rsid w:val="00135D40"/>
    <w:rsid w:val="00136112"/>
    <w:rsid w:val="00136C20"/>
    <w:rsid w:val="0013725B"/>
    <w:rsid w:val="00137C7C"/>
    <w:rsid w:val="00137DD4"/>
    <w:rsid w:val="00140498"/>
    <w:rsid w:val="0014049B"/>
    <w:rsid w:val="00140770"/>
    <w:rsid w:val="00140D91"/>
    <w:rsid w:val="00140F55"/>
    <w:rsid w:val="001413A4"/>
    <w:rsid w:val="0014189F"/>
    <w:rsid w:val="00142B46"/>
    <w:rsid w:val="00142D99"/>
    <w:rsid w:val="00143832"/>
    <w:rsid w:val="001441CF"/>
    <w:rsid w:val="001450BC"/>
    <w:rsid w:val="0014585B"/>
    <w:rsid w:val="00145EE3"/>
    <w:rsid w:val="0014728B"/>
    <w:rsid w:val="00150546"/>
    <w:rsid w:val="0015083B"/>
    <w:rsid w:val="00150954"/>
    <w:rsid w:val="00150DB4"/>
    <w:rsid w:val="00150E9F"/>
    <w:rsid w:val="00150F0F"/>
    <w:rsid w:val="001510CC"/>
    <w:rsid w:val="001511C4"/>
    <w:rsid w:val="001511EB"/>
    <w:rsid w:val="001512EA"/>
    <w:rsid w:val="00151DA3"/>
    <w:rsid w:val="00152354"/>
    <w:rsid w:val="001523D4"/>
    <w:rsid w:val="00152A5E"/>
    <w:rsid w:val="00153794"/>
    <w:rsid w:val="00153895"/>
    <w:rsid w:val="001543E9"/>
    <w:rsid w:val="0015528F"/>
    <w:rsid w:val="001553C6"/>
    <w:rsid w:val="001556EA"/>
    <w:rsid w:val="001558B0"/>
    <w:rsid w:val="00155D31"/>
    <w:rsid w:val="001563F2"/>
    <w:rsid w:val="001564E7"/>
    <w:rsid w:val="00156655"/>
    <w:rsid w:val="00157BDE"/>
    <w:rsid w:val="00160408"/>
    <w:rsid w:val="001604B1"/>
    <w:rsid w:val="00160516"/>
    <w:rsid w:val="00160ED4"/>
    <w:rsid w:val="001616D3"/>
    <w:rsid w:val="0016176B"/>
    <w:rsid w:val="00161884"/>
    <w:rsid w:val="00161FD0"/>
    <w:rsid w:val="00163309"/>
    <w:rsid w:val="0016356F"/>
    <w:rsid w:val="00163FCE"/>
    <w:rsid w:val="00165D0D"/>
    <w:rsid w:val="00166E5B"/>
    <w:rsid w:val="0016742C"/>
    <w:rsid w:val="00170E25"/>
    <w:rsid w:val="00171776"/>
    <w:rsid w:val="00171A0F"/>
    <w:rsid w:val="00172BCF"/>
    <w:rsid w:val="00173411"/>
    <w:rsid w:val="001735B7"/>
    <w:rsid w:val="001735C9"/>
    <w:rsid w:val="00173AE8"/>
    <w:rsid w:val="00174665"/>
    <w:rsid w:val="001746F7"/>
    <w:rsid w:val="00174E34"/>
    <w:rsid w:val="001767EC"/>
    <w:rsid w:val="001767F2"/>
    <w:rsid w:val="00176964"/>
    <w:rsid w:val="001769C8"/>
    <w:rsid w:val="00176D39"/>
    <w:rsid w:val="001773F6"/>
    <w:rsid w:val="00177E58"/>
    <w:rsid w:val="00177F54"/>
    <w:rsid w:val="00180011"/>
    <w:rsid w:val="00180121"/>
    <w:rsid w:val="001805D2"/>
    <w:rsid w:val="00180C33"/>
    <w:rsid w:val="0018110F"/>
    <w:rsid w:val="00182105"/>
    <w:rsid w:val="00182C65"/>
    <w:rsid w:val="00183ADE"/>
    <w:rsid w:val="0018456B"/>
    <w:rsid w:val="001845F2"/>
    <w:rsid w:val="00184D27"/>
    <w:rsid w:val="00185E96"/>
    <w:rsid w:val="001864A1"/>
    <w:rsid w:val="00186600"/>
    <w:rsid w:val="00186F57"/>
    <w:rsid w:val="00190618"/>
    <w:rsid w:val="001908A8"/>
    <w:rsid w:val="00190B90"/>
    <w:rsid w:val="001912D8"/>
    <w:rsid w:val="00191905"/>
    <w:rsid w:val="00191D48"/>
    <w:rsid w:val="00192138"/>
    <w:rsid w:val="0019404C"/>
    <w:rsid w:val="0019407D"/>
    <w:rsid w:val="001948B5"/>
    <w:rsid w:val="0019501A"/>
    <w:rsid w:val="00195327"/>
    <w:rsid w:val="0019571A"/>
    <w:rsid w:val="0019581F"/>
    <w:rsid w:val="001960BF"/>
    <w:rsid w:val="00196E64"/>
    <w:rsid w:val="00196FC3"/>
    <w:rsid w:val="001971D4"/>
    <w:rsid w:val="001975AC"/>
    <w:rsid w:val="00197A51"/>
    <w:rsid w:val="00197C99"/>
    <w:rsid w:val="001A0826"/>
    <w:rsid w:val="001A103F"/>
    <w:rsid w:val="001A1067"/>
    <w:rsid w:val="001A151E"/>
    <w:rsid w:val="001A1536"/>
    <w:rsid w:val="001A1CC9"/>
    <w:rsid w:val="001A20AD"/>
    <w:rsid w:val="001A2154"/>
    <w:rsid w:val="001A22EE"/>
    <w:rsid w:val="001A2479"/>
    <w:rsid w:val="001A2F6B"/>
    <w:rsid w:val="001A4772"/>
    <w:rsid w:val="001A4A00"/>
    <w:rsid w:val="001A532F"/>
    <w:rsid w:val="001A54EF"/>
    <w:rsid w:val="001A571A"/>
    <w:rsid w:val="001A582B"/>
    <w:rsid w:val="001A58B8"/>
    <w:rsid w:val="001A652F"/>
    <w:rsid w:val="001A693D"/>
    <w:rsid w:val="001A6C9B"/>
    <w:rsid w:val="001A6E0F"/>
    <w:rsid w:val="001A7475"/>
    <w:rsid w:val="001A7DA7"/>
    <w:rsid w:val="001A7E04"/>
    <w:rsid w:val="001B0702"/>
    <w:rsid w:val="001B1771"/>
    <w:rsid w:val="001B1922"/>
    <w:rsid w:val="001B199B"/>
    <w:rsid w:val="001B1EA4"/>
    <w:rsid w:val="001B2A8B"/>
    <w:rsid w:val="001B2FE3"/>
    <w:rsid w:val="001B32DE"/>
    <w:rsid w:val="001B33E8"/>
    <w:rsid w:val="001B34B5"/>
    <w:rsid w:val="001B3610"/>
    <w:rsid w:val="001B3958"/>
    <w:rsid w:val="001B3E4B"/>
    <w:rsid w:val="001B4216"/>
    <w:rsid w:val="001B423D"/>
    <w:rsid w:val="001B4834"/>
    <w:rsid w:val="001B488A"/>
    <w:rsid w:val="001B4CE2"/>
    <w:rsid w:val="001B4EDA"/>
    <w:rsid w:val="001B5A14"/>
    <w:rsid w:val="001B63E6"/>
    <w:rsid w:val="001B6D39"/>
    <w:rsid w:val="001B6F4A"/>
    <w:rsid w:val="001B7233"/>
    <w:rsid w:val="001B7442"/>
    <w:rsid w:val="001B7831"/>
    <w:rsid w:val="001B7EB8"/>
    <w:rsid w:val="001B7FBF"/>
    <w:rsid w:val="001B7FCE"/>
    <w:rsid w:val="001C216A"/>
    <w:rsid w:val="001C3AF4"/>
    <w:rsid w:val="001C49F5"/>
    <w:rsid w:val="001C51E3"/>
    <w:rsid w:val="001C55EF"/>
    <w:rsid w:val="001C57AF"/>
    <w:rsid w:val="001C5C5C"/>
    <w:rsid w:val="001C5D4B"/>
    <w:rsid w:val="001C628C"/>
    <w:rsid w:val="001C6739"/>
    <w:rsid w:val="001C697D"/>
    <w:rsid w:val="001C72DD"/>
    <w:rsid w:val="001C75B9"/>
    <w:rsid w:val="001C7AE4"/>
    <w:rsid w:val="001C7E37"/>
    <w:rsid w:val="001D0690"/>
    <w:rsid w:val="001D07FD"/>
    <w:rsid w:val="001D1FEC"/>
    <w:rsid w:val="001D20F8"/>
    <w:rsid w:val="001D26B9"/>
    <w:rsid w:val="001D2FFD"/>
    <w:rsid w:val="001D3387"/>
    <w:rsid w:val="001D369B"/>
    <w:rsid w:val="001D3CC0"/>
    <w:rsid w:val="001D3E26"/>
    <w:rsid w:val="001D3E39"/>
    <w:rsid w:val="001D4541"/>
    <w:rsid w:val="001D4871"/>
    <w:rsid w:val="001D48D2"/>
    <w:rsid w:val="001D5643"/>
    <w:rsid w:val="001D6DF7"/>
    <w:rsid w:val="001D72FC"/>
    <w:rsid w:val="001D7E21"/>
    <w:rsid w:val="001D7F25"/>
    <w:rsid w:val="001E0505"/>
    <w:rsid w:val="001E05FC"/>
    <w:rsid w:val="001E0875"/>
    <w:rsid w:val="001E1AFF"/>
    <w:rsid w:val="001E2E5A"/>
    <w:rsid w:val="001E4BAC"/>
    <w:rsid w:val="001E4FA4"/>
    <w:rsid w:val="001E5482"/>
    <w:rsid w:val="001E5E18"/>
    <w:rsid w:val="001E6D63"/>
    <w:rsid w:val="001E6FDE"/>
    <w:rsid w:val="001E7C77"/>
    <w:rsid w:val="001E7EA1"/>
    <w:rsid w:val="001F0B14"/>
    <w:rsid w:val="001F0FD4"/>
    <w:rsid w:val="001F1379"/>
    <w:rsid w:val="001F1414"/>
    <w:rsid w:val="001F1459"/>
    <w:rsid w:val="001F1A2C"/>
    <w:rsid w:val="001F2184"/>
    <w:rsid w:val="001F258A"/>
    <w:rsid w:val="001F37E5"/>
    <w:rsid w:val="001F4046"/>
    <w:rsid w:val="001F4294"/>
    <w:rsid w:val="001F44DF"/>
    <w:rsid w:val="001F45BB"/>
    <w:rsid w:val="001F465C"/>
    <w:rsid w:val="001F4F2C"/>
    <w:rsid w:val="001F4FFF"/>
    <w:rsid w:val="001F5D0A"/>
    <w:rsid w:val="001F62F5"/>
    <w:rsid w:val="001F6B9D"/>
    <w:rsid w:val="001F6C03"/>
    <w:rsid w:val="001F73AC"/>
    <w:rsid w:val="001F743C"/>
    <w:rsid w:val="001F79B1"/>
    <w:rsid w:val="002004EF"/>
    <w:rsid w:val="00200530"/>
    <w:rsid w:val="00200CB9"/>
    <w:rsid w:val="00200D9B"/>
    <w:rsid w:val="0020137D"/>
    <w:rsid w:val="00201505"/>
    <w:rsid w:val="00201691"/>
    <w:rsid w:val="0020253A"/>
    <w:rsid w:val="002026D3"/>
    <w:rsid w:val="002028E3"/>
    <w:rsid w:val="00202D14"/>
    <w:rsid w:val="00203675"/>
    <w:rsid w:val="00203E38"/>
    <w:rsid w:val="00203F28"/>
    <w:rsid w:val="0020436F"/>
    <w:rsid w:val="00204D5E"/>
    <w:rsid w:val="00204F2E"/>
    <w:rsid w:val="00205795"/>
    <w:rsid w:val="002057D6"/>
    <w:rsid w:val="00205DCA"/>
    <w:rsid w:val="00205E79"/>
    <w:rsid w:val="002061C6"/>
    <w:rsid w:val="0020678D"/>
    <w:rsid w:val="00206E92"/>
    <w:rsid w:val="00206E94"/>
    <w:rsid w:val="00207210"/>
    <w:rsid w:val="0020729E"/>
    <w:rsid w:val="00207AC3"/>
    <w:rsid w:val="00210C79"/>
    <w:rsid w:val="0021126A"/>
    <w:rsid w:val="002112B5"/>
    <w:rsid w:val="00211B95"/>
    <w:rsid w:val="002121D0"/>
    <w:rsid w:val="002124A9"/>
    <w:rsid w:val="00212997"/>
    <w:rsid w:val="00212E2D"/>
    <w:rsid w:val="0021376D"/>
    <w:rsid w:val="00214425"/>
    <w:rsid w:val="002144AD"/>
    <w:rsid w:val="00214E29"/>
    <w:rsid w:val="00215028"/>
    <w:rsid w:val="00215381"/>
    <w:rsid w:val="00215638"/>
    <w:rsid w:val="00215A88"/>
    <w:rsid w:val="00215BB0"/>
    <w:rsid w:val="00215EF8"/>
    <w:rsid w:val="00216139"/>
    <w:rsid w:val="00216152"/>
    <w:rsid w:val="002162E5"/>
    <w:rsid w:val="0021669C"/>
    <w:rsid w:val="00216710"/>
    <w:rsid w:val="002168E8"/>
    <w:rsid w:val="00217B48"/>
    <w:rsid w:val="00217CF6"/>
    <w:rsid w:val="002205AD"/>
    <w:rsid w:val="0022076E"/>
    <w:rsid w:val="0022133E"/>
    <w:rsid w:val="00221D95"/>
    <w:rsid w:val="0022212D"/>
    <w:rsid w:val="002225D0"/>
    <w:rsid w:val="0022292F"/>
    <w:rsid w:val="00222E1E"/>
    <w:rsid w:val="00223081"/>
    <w:rsid w:val="002231BB"/>
    <w:rsid w:val="0022359D"/>
    <w:rsid w:val="002237D3"/>
    <w:rsid w:val="00223E9C"/>
    <w:rsid w:val="002247BC"/>
    <w:rsid w:val="0022508F"/>
    <w:rsid w:val="00225260"/>
    <w:rsid w:val="002255DC"/>
    <w:rsid w:val="002268F2"/>
    <w:rsid w:val="00227280"/>
    <w:rsid w:val="002272D1"/>
    <w:rsid w:val="0022794A"/>
    <w:rsid w:val="00227C4C"/>
    <w:rsid w:val="0023052C"/>
    <w:rsid w:val="00230F37"/>
    <w:rsid w:val="00231273"/>
    <w:rsid w:val="002318C8"/>
    <w:rsid w:val="00231A34"/>
    <w:rsid w:val="0023241F"/>
    <w:rsid w:val="0023253D"/>
    <w:rsid w:val="00232992"/>
    <w:rsid w:val="00232C5C"/>
    <w:rsid w:val="00232E61"/>
    <w:rsid w:val="002332FF"/>
    <w:rsid w:val="00233F61"/>
    <w:rsid w:val="00233F6D"/>
    <w:rsid w:val="002344EE"/>
    <w:rsid w:val="002358C4"/>
    <w:rsid w:val="00236780"/>
    <w:rsid w:val="00236C11"/>
    <w:rsid w:val="00236E38"/>
    <w:rsid w:val="00236FB2"/>
    <w:rsid w:val="002377D8"/>
    <w:rsid w:val="002378F6"/>
    <w:rsid w:val="00237908"/>
    <w:rsid w:val="00237A54"/>
    <w:rsid w:val="00237BB7"/>
    <w:rsid w:val="00237DA1"/>
    <w:rsid w:val="00240175"/>
    <w:rsid w:val="0024149E"/>
    <w:rsid w:val="002414D8"/>
    <w:rsid w:val="00241721"/>
    <w:rsid w:val="00241FFA"/>
    <w:rsid w:val="00242A2D"/>
    <w:rsid w:val="00243261"/>
    <w:rsid w:val="00243C3F"/>
    <w:rsid w:val="002441B1"/>
    <w:rsid w:val="002443A9"/>
    <w:rsid w:val="002447A3"/>
    <w:rsid w:val="002448D2"/>
    <w:rsid w:val="00244F72"/>
    <w:rsid w:val="0024524B"/>
    <w:rsid w:val="002452D7"/>
    <w:rsid w:val="002462DA"/>
    <w:rsid w:val="002463DE"/>
    <w:rsid w:val="002475F5"/>
    <w:rsid w:val="0025031C"/>
    <w:rsid w:val="00250536"/>
    <w:rsid w:val="00250928"/>
    <w:rsid w:val="00250AEB"/>
    <w:rsid w:val="00250AF4"/>
    <w:rsid w:val="00250B20"/>
    <w:rsid w:val="00250CCC"/>
    <w:rsid w:val="00250F16"/>
    <w:rsid w:val="00250FF8"/>
    <w:rsid w:val="00251165"/>
    <w:rsid w:val="00251C9A"/>
    <w:rsid w:val="00252C77"/>
    <w:rsid w:val="002530C1"/>
    <w:rsid w:val="002534ED"/>
    <w:rsid w:val="0025366E"/>
    <w:rsid w:val="00253E73"/>
    <w:rsid w:val="00254BA9"/>
    <w:rsid w:val="00254D1A"/>
    <w:rsid w:val="00255104"/>
    <w:rsid w:val="00255B63"/>
    <w:rsid w:val="00255C1B"/>
    <w:rsid w:val="00255F9D"/>
    <w:rsid w:val="00256606"/>
    <w:rsid w:val="00256F08"/>
    <w:rsid w:val="002571CB"/>
    <w:rsid w:val="0025735B"/>
    <w:rsid w:val="002574BB"/>
    <w:rsid w:val="002579B0"/>
    <w:rsid w:val="00257BC6"/>
    <w:rsid w:val="00260DDA"/>
    <w:rsid w:val="00260E8F"/>
    <w:rsid w:val="00261945"/>
    <w:rsid w:val="002627BC"/>
    <w:rsid w:val="00263219"/>
    <w:rsid w:val="00263609"/>
    <w:rsid w:val="00263911"/>
    <w:rsid w:val="00265970"/>
    <w:rsid w:val="002662EA"/>
    <w:rsid w:val="00266BBC"/>
    <w:rsid w:val="00266C3C"/>
    <w:rsid w:val="00266FF7"/>
    <w:rsid w:val="00267D88"/>
    <w:rsid w:val="00270AC8"/>
    <w:rsid w:val="00270DEB"/>
    <w:rsid w:val="00270F46"/>
    <w:rsid w:val="00271410"/>
    <w:rsid w:val="00271FEB"/>
    <w:rsid w:val="00272060"/>
    <w:rsid w:val="0027215E"/>
    <w:rsid w:val="00274920"/>
    <w:rsid w:val="0027493E"/>
    <w:rsid w:val="00274C20"/>
    <w:rsid w:val="00274D82"/>
    <w:rsid w:val="00275F63"/>
    <w:rsid w:val="0027682A"/>
    <w:rsid w:val="00276ABF"/>
    <w:rsid w:val="00276B2F"/>
    <w:rsid w:val="002774EA"/>
    <w:rsid w:val="0027767F"/>
    <w:rsid w:val="00277929"/>
    <w:rsid w:val="00277E7B"/>
    <w:rsid w:val="002809B2"/>
    <w:rsid w:val="00280A5F"/>
    <w:rsid w:val="00280B21"/>
    <w:rsid w:val="00280B6D"/>
    <w:rsid w:val="00280F8E"/>
    <w:rsid w:val="0028120A"/>
    <w:rsid w:val="002812FB"/>
    <w:rsid w:val="00281335"/>
    <w:rsid w:val="002818F1"/>
    <w:rsid w:val="00282DA0"/>
    <w:rsid w:val="00283259"/>
    <w:rsid w:val="0028328A"/>
    <w:rsid w:val="00283632"/>
    <w:rsid w:val="002837C1"/>
    <w:rsid w:val="00283A95"/>
    <w:rsid w:val="0028407D"/>
    <w:rsid w:val="0028460F"/>
    <w:rsid w:val="00284D2D"/>
    <w:rsid w:val="00284D30"/>
    <w:rsid w:val="0028555B"/>
    <w:rsid w:val="0028585C"/>
    <w:rsid w:val="00285E1A"/>
    <w:rsid w:val="00286B53"/>
    <w:rsid w:val="00287916"/>
    <w:rsid w:val="00290F02"/>
    <w:rsid w:val="002913CF"/>
    <w:rsid w:val="002916EB"/>
    <w:rsid w:val="00292265"/>
    <w:rsid w:val="002927D3"/>
    <w:rsid w:val="00293A9A"/>
    <w:rsid w:val="00293BCC"/>
    <w:rsid w:val="0029407D"/>
    <w:rsid w:val="002944DF"/>
    <w:rsid w:val="0029472E"/>
    <w:rsid w:val="002947DD"/>
    <w:rsid w:val="002952D0"/>
    <w:rsid w:val="00295F99"/>
    <w:rsid w:val="00296297"/>
    <w:rsid w:val="00296363"/>
    <w:rsid w:val="00296811"/>
    <w:rsid w:val="00296AD0"/>
    <w:rsid w:val="00297001"/>
    <w:rsid w:val="00297644"/>
    <w:rsid w:val="00297CBB"/>
    <w:rsid w:val="002A0A11"/>
    <w:rsid w:val="002A0AA0"/>
    <w:rsid w:val="002A14FC"/>
    <w:rsid w:val="002A1556"/>
    <w:rsid w:val="002A186E"/>
    <w:rsid w:val="002A1BD5"/>
    <w:rsid w:val="002A1D79"/>
    <w:rsid w:val="002A1EE9"/>
    <w:rsid w:val="002A2197"/>
    <w:rsid w:val="002A2851"/>
    <w:rsid w:val="002A2A10"/>
    <w:rsid w:val="002A2D58"/>
    <w:rsid w:val="002A355D"/>
    <w:rsid w:val="002A3E2E"/>
    <w:rsid w:val="002A4745"/>
    <w:rsid w:val="002A595A"/>
    <w:rsid w:val="002A5BE8"/>
    <w:rsid w:val="002A5D92"/>
    <w:rsid w:val="002A6149"/>
    <w:rsid w:val="002A6800"/>
    <w:rsid w:val="002A6C69"/>
    <w:rsid w:val="002A6E79"/>
    <w:rsid w:val="002A6E99"/>
    <w:rsid w:val="002A7170"/>
    <w:rsid w:val="002A7480"/>
    <w:rsid w:val="002A778C"/>
    <w:rsid w:val="002A7D65"/>
    <w:rsid w:val="002B0325"/>
    <w:rsid w:val="002B09B8"/>
    <w:rsid w:val="002B2082"/>
    <w:rsid w:val="002B3116"/>
    <w:rsid w:val="002B3545"/>
    <w:rsid w:val="002B3CC5"/>
    <w:rsid w:val="002B410A"/>
    <w:rsid w:val="002B415F"/>
    <w:rsid w:val="002B5CDF"/>
    <w:rsid w:val="002B5DE2"/>
    <w:rsid w:val="002B6B9C"/>
    <w:rsid w:val="002B71A1"/>
    <w:rsid w:val="002B74E3"/>
    <w:rsid w:val="002B7630"/>
    <w:rsid w:val="002B7818"/>
    <w:rsid w:val="002B79C6"/>
    <w:rsid w:val="002B79F7"/>
    <w:rsid w:val="002B7E1B"/>
    <w:rsid w:val="002C09C8"/>
    <w:rsid w:val="002C1085"/>
    <w:rsid w:val="002C10D9"/>
    <w:rsid w:val="002C1229"/>
    <w:rsid w:val="002C17A8"/>
    <w:rsid w:val="002C1D3E"/>
    <w:rsid w:val="002C1EA1"/>
    <w:rsid w:val="002C20CA"/>
    <w:rsid w:val="002C2856"/>
    <w:rsid w:val="002C2B16"/>
    <w:rsid w:val="002C2DD9"/>
    <w:rsid w:val="002C3168"/>
    <w:rsid w:val="002C420A"/>
    <w:rsid w:val="002C4784"/>
    <w:rsid w:val="002C4812"/>
    <w:rsid w:val="002C4AC0"/>
    <w:rsid w:val="002C4D19"/>
    <w:rsid w:val="002C530B"/>
    <w:rsid w:val="002C5E67"/>
    <w:rsid w:val="002C5F16"/>
    <w:rsid w:val="002C6409"/>
    <w:rsid w:val="002C6796"/>
    <w:rsid w:val="002C68DD"/>
    <w:rsid w:val="002C6D94"/>
    <w:rsid w:val="002C6ECA"/>
    <w:rsid w:val="002C70DB"/>
    <w:rsid w:val="002C72F7"/>
    <w:rsid w:val="002D00CD"/>
    <w:rsid w:val="002D1221"/>
    <w:rsid w:val="002D158A"/>
    <w:rsid w:val="002D2E44"/>
    <w:rsid w:val="002D3978"/>
    <w:rsid w:val="002D3F51"/>
    <w:rsid w:val="002D4376"/>
    <w:rsid w:val="002D47F1"/>
    <w:rsid w:val="002D4BE2"/>
    <w:rsid w:val="002D4C6A"/>
    <w:rsid w:val="002D687F"/>
    <w:rsid w:val="002D6923"/>
    <w:rsid w:val="002D697C"/>
    <w:rsid w:val="002D6EE8"/>
    <w:rsid w:val="002D7AA4"/>
    <w:rsid w:val="002D7ED6"/>
    <w:rsid w:val="002E052E"/>
    <w:rsid w:val="002E063B"/>
    <w:rsid w:val="002E0DD5"/>
    <w:rsid w:val="002E0FE7"/>
    <w:rsid w:val="002E104E"/>
    <w:rsid w:val="002E1804"/>
    <w:rsid w:val="002E1B42"/>
    <w:rsid w:val="002E23C2"/>
    <w:rsid w:val="002E2D04"/>
    <w:rsid w:val="002E2DDA"/>
    <w:rsid w:val="002E32D1"/>
    <w:rsid w:val="002E3AC2"/>
    <w:rsid w:val="002E3C9E"/>
    <w:rsid w:val="002E3EAF"/>
    <w:rsid w:val="002E414D"/>
    <w:rsid w:val="002E4C62"/>
    <w:rsid w:val="002E5023"/>
    <w:rsid w:val="002E6091"/>
    <w:rsid w:val="002E62A3"/>
    <w:rsid w:val="002E6B28"/>
    <w:rsid w:val="002E6E1B"/>
    <w:rsid w:val="002E6E9F"/>
    <w:rsid w:val="002E6EED"/>
    <w:rsid w:val="002E6EEF"/>
    <w:rsid w:val="002E75BF"/>
    <w:rsid w:val="002E7F96"/>
    <w:rsid w:val="002F0C5F"/>
    <w:rsid w:val="002F0DFF"/>
    <w:rsid w:val="002F167C"/>
    <w:rsid w:val="002F1DA2"/>
    <w:rsid w:val="002F242C"/>
    <w:rsid w:val="002F2680"/>
    <w:rsid w:val="002F29F9"/>
    <w:rsid w:val="002F2FFF"/>
    <w:rsid w:val="002F30F9"/>
    <w:rsid w:val="002F31B9"/>
    <w:rsid w:val="002F48D6"/>
    <w:rsid w:val="002F4DAA"/>
    <w:rsid w:val="002F5058"/>
    <w:rsid w:val="002F54EF"/>
    <w:rsid w:val="002F56CC"/>
    <w:rsid w:val="002F5FC0"/>
    <w:rsid w:val="002F61C4"/>
    <w:rsid w:val="002F61E8"/>
    <w:rsid w:val="002F6E6F"/>
    <w:rsid w:val="002F74CF"/>
    <w:rsid w:val="002F75D2"/>
    <w:rsid w:val="002F7FCE"/>
    <w:rsid w:val="00300023"/>
    <w:rsid w:val="0030128D"/>
    <w:rsid w:val="003018AC"/>
    <w:rsid w:val="00302808"/>
    <w:rsid w:val="00302835"/>
    <w:rsid w:val="00303825"/>
    <w:rsid w:val="003040D6"/>
    <w:rsid w:val="003040FF"/>
    <w:rsid w:val="00304130"/>
    <w:rsid w:val="00304945"/>
    <w:rsid w:val="00304A12"/>
    <w:rsid w:val="00304ECF"/>
    <w:rsid w:val="00304FC7"/>
    <w:rsid w:val="003053FF"/>
    <w:rsid w:val="0030559E"/>
    <w:rsid w:val="00305853"/>
    <w:rsid w:val="00305F07"/>
    <w:rsid w:val="00306050"/>
    <w:rsid w:val="003060F2"/>
    <w:rsid w:val="0030653D"/>
    <w:rsid w:val="003065B0"/>
    <w:rsid w:val="00306614"/>
    <w:rsid w:val="00306A96"/>
    <w:rsid w:val="00306ED9"/>
    <w:rsid w:val="00306FA1"/>
    <w:rsid w:val="00307327"/>
    <w:rsid w:val="00307412"/>
    <w:rsid w:val="003074BC"/>
    <w:rsid w:val="00307893"/>
    <w:rsid w:val="00307E04"/>
    <w:rsid w:val="00310057"/>
    <w:rsid w:val="003100BC"/>
    <w:rsid w:val="00310418"/>
    <w:rsid w:val="0031081F"/>
    <w:rsid w:val="00310BD6"/>
    <w:rsid w:val="00310EEC"/>
    <w:rsid w:val="00310FFA"/>
    <w:rsid w:val="003115E0"/>
    <w:rsid w:val="003117A8"/>
    <w:rsid w:val="0031204C"/>
    <w:rsid w:val="00312278"/>
    <w:rsid w:val="00313420"/>
    <w:rsid w:val="00313595"/>
    <w:rsid w:val="00313F78"/>
    <w:rsid w:val="0031407B"/>
    <w:rsid w:val="00314759"/>
    <w:rsid w:val="00315DBC"/>
    <w:rsid w:val="00316545"/>
    <w:rsid w:val="0031723F"/>
    <w:rsid w:val="00317ED2"/>
    <w:rsid w:val="00320076"/>
    <w:rsid w:val="00320345"/>
    <w:rsid w:val="003203BA"/>
    <w:rsid w:val="003209ED"/>
    <w:rsid w:val="00320FC5"/>
    <w:rsid w:val="003211A9"/>
    <w:rsid w:val="00321645"/>
    <w:rsid w:val="00322076"/>
    <w:rsid w:val="003225C6"/>
    <w:rsid w:val="0032291F"/>
    <w:rsid w:val="00322A98"/>
    <w:rsid w:val="00322B21"/>
    <w:rsid w:val="00322FDD"/>
    <w:rsid w:val="00323173"/>
    <w:rsid w:val="003240D7"/>
    <w:rsid w:val="00324A83"/>
    <w:rsid w:val="00324C76"/>
    <w:rsid w:val="0032515E"/>
    <w:rsid w:val="003251AD"/>
    <w:rsid w:val="00325281"/>
    <w:rsid w:val="00325342"/>
    <w:rsid w:val="003258EB"/>
    <w:rsid w:val="00325B25"/>
    <w:rsid w:val="00325BC8"/>
    <w:rsid w:val="00325CA8"/>
    <w:rsid w:val="00325EB5"/>
    <w:rsid w:val="00326402"/>
    <w:rsid w:val="00326D75"/>
    <w:rsid w:val="00326DF5"/>
    <w:rsid w:val="00327417"/>
    <w:rsid w:val="003275E7"/>
    <w:rsid w:val="00327632"/>
    <w:rsid w:val="003276E9"/>
    <w:rsid w:val="00327B96"/>
    <w:rsid w:val="00327D03"/>
    <w:rsid w:val="00327E63"/>
    <w:rsid w:val="00327ECA"/>
    <w:rsid w:val="0033013B"/>
    <w:rsid w:val="00331177"/>
    <w:rsid w:val="003315F6"/>
    <w:rsid w:val="00332439"/>
    <w:rsid w:val="003328EF"/>
    <w:rsid w:val="00332977"/>
    <w:rsid w:val="00332B0B"/>
    <w:rsid w:val="00333929"/>
    <w:rsid w:val="00334093"/>
    <w:rsid w:val="00334856"/>
    <w:rsid w:val="00334E8A"/>
    <w:rsid w:val="003359B3"/>
    <w:rsid w:val="00335F05"/>
    <w:rsid w:val="00336052"/>
    <w:rsid w:val="00337BD5"/>
    <w:rsid w:val="00337DA8"/>
    <w:rsid w:val="00337DBD"/>
    <w:rsid w:val="0034011A"/>
    <w:rsid w:val="003403CD"/>
    <w:rsid w:val="00340A47"/>
    <w:rsid w:val="00340C6C"/>
    <w:rsid w:val="00341228"/>
    <w:rsid w:val="003414D3"/>
    <w:rsid w:val="0034187F"/>
    <w:rsid w:val="00341C6D"/>
    <w:rsid w:val="00342CAE"/>
    <w:rsid w:val="00342E65"/>
    <w:rsid w:val="00342FD0"/>
    <w:rsid w:val="003430BB"/>
    <w:rsid w:val="00343D82"/>
    <w:rsid w:val="00344149"/>
    <w:rsid w:val="0034423E"/>
    <w:rsid w:val="0034465B"/>
    <w:rsid w:val="003448DC"/>
    <w:rsid w:val="00344995"/>
    <w:rsid w:val="00344D1A"/>
    <w:rsid w:val="00344D5F"/>
    <w:rsid w:val="003453A6"/>
    <w:rsid w:val="003464DB"/>
    <w:rsid w:val="00347985"/>
    <w:rsid w:val="00347C0A"/>
    <w:rsid w:val="00347DB2"/>
    <w:rsid w:val="00350859"/>
    <w:rsid w:val="00350D43"/>
    <w:rsid w:val="003510D8"/>
    <w:rsid w:val="00351463"/>
    <w:rsid w:val="0035157E"/>
    <w:rsid w:val="003515CE"/>
    <w:rsid w:val="00351731"/>
    <w:rsid w:val="00351935"/>
    <w:rsid w:val="00351BBC"/>
    <w:rsid w:val="00351FDC"/>
    <w:rsid w:val="00352412"/>
    <w:rsid w:val="003530D0"/>
    <w:rsid w:val="003537F2"/>
    <w:rsid w:val="00353BEC"/>
    <w:rsid w:val="00353C67"/>
    <w:rsid w:val="00353D47"/>
    <w:rsid w:val="00354CCE"/>
    <w:rsid w:val="00354DA9"/>
    <w:rsid w:val="00356402"/>
    <w:rsid w:val="00356F65"/>
    <w:rsid w:val="0035702E"/>
    <w:rsid w:val="0035735B"/>
    <w:rsid w:val="003576DC"/>
    <w:rsid w:val="00357CEE"/>
    <w:rsid w:val="00360321"/>
    <w:rsid w:val="003610A1"/>
    <w:rsid w:val="00361C6D"/>
    <w:rsid w:val="00361DE3"/>
    <w:rsid w:val="00362981"/>
    <w:rsid w:val="00362C2F"/>
    <w:rsid w:val="00362CBB"/>
    <w:rsid w:val="0036301D"/>
    <w:rsid w:val="00363333"/>
    <w:rsid w:val="0036358E"/>
    <w:rsid w:val="0036388C"/>
    <w:rsid w:val="00363C36"/>
    <w:rsid w:val="003647CE"/>
    <w:rsid w:val="00364B7D"/>
    <w:rsid w:val="00364C52"/>
    <w:rsid w:val="00365491"/>
    <w:rsid w:val="00365D86"/>
    <w:rsid w:val="00366D07"/>
    <w:rsid w:val="003674F7"/>
    <w:rsid w:val="0036771B"/>
    <w:rsid w:val="00367976"/>
    <w:rsid w:val="00367D93"/>
    <w:rsid w:val="00370376"/>
    <w:rsid w:val="00370E24"/>
    <w:rsid w:val="00371121"/>
    <w:rsid w:val="00371195"/>
    <w:rsid w:val="00371AA2"/>
    <w:rsid w:val="00371C3B"/>
    <w:rsid w:val="00371D29"/>
    <w:rsid w:val="0037265B"/>
    <w:rsid w:val="0037319B"/>
    <w:rsid w:val="0037335C"/>
    <w:rsid w:val="00373422"/>
    <w:rsid w:val="00374185"/>
    <w:rsid w:val="003741A9"/>
    <w:rsid w:val="0037498A"/>
    <w:rsid w:val="00374E22"/>
    <w:rsid w:val="003753A2"/>
    <w:rsid w:val="00375855"/>
    <w:rsid w:val="00375913"/>
    <w:rsid w:val="00375BFE"/>
    <w:rsid w:val="00375CB6"/>
    <w:rsid w:val="003766DD"/>
    <w:rsid w:val="00376E6F"/>
    <w:rsid w:val="00377365"/>
    <w:rsid w:val="0037757D"/>
    <w:rsid w:val="00377754"/>
    <w:rsid w:val="00377E2B"/>
    <w:rsid w:val="00380693"/>
    <w:rsid w:val="00380943"/>
    <w:rsid w:val="0038129F"/>
    <w:rsid w:val="00381675"/>
    <w:rsid w:val="003824F4"/>
    <w:rsid w:val="0038272B"/>
    <w:rsid w:val="00382C9B"/>
    <w:rsid w:val="0038328F"/>
    <w:rsid w:val="00383654"/>
    <w:rsid w:val="00383C1C"/>
    <w:rsid w:val="00383F84"/>
    <w:rsid w:val="00384192"/>
    <w:rsid w:val="00384F91"/>
    <w:rsid w:val="00386332"/>
    <w:rsid w:val="00386977"/>
    <w:rsid w:val="00386A0A"/>
    <w:rsid w:val="00386A9B"/>
    <w:rsid w:val="00387134"/>
    <w:rsid w:val="00387393"/>
    <w:rsid w:val="00387C3A"/>
    <w:rsid w:val="003900FF"/>
    <w:rsid w:val="003906CF"/>
    <w:rsid w:val="00390BED"/>
    <w:rsid w:val="003917FF"/>
    <w:rsid w:val="00391AC5"/>
    <w:rsid w:val="003920CE"/>
    <w:rsid w:val="0039330B"/>
    <w:rsid w:val="003938C3"/>
    <w:rsid w:val="00393E5C"/>
    <w:rsid w:val="003940BA"/>
    <w:rsid w:val="00394A4C"/>
    <w:rsid w:val="00395E66"/>
    <w:rsid w:val="00396239"/>
    <w:rsid w:val="00396817"/>
    <w:rsid w:val="00397109"/>
    <w:rsid w:val="0039725F"/>
    <w:rsid w:val="0039776D"/>
    <w:rsid w:val="00397E57"/>
    <w:rsid w:val="003A0453"/>
    <w:rsid w:val="003A0AD2"/>
    <w:rsid w:val="003A11FC"/>
    <w:rsid w:val="003A14A6"/>
    <w:rsid w:val="003A213B"/>
    <w:rsid w:val="003A2339"/>
    <w:rsid w:val="003A24B7"/>
    <w:rsid w:val="003A2523"/>
    <w:rsid w:val="003A2AE2"/>
    <w:rsid w:val="003A3555"/>
    <w:rsid w:val="003A35A2"/>
    <w:rsid w:val="003A3655"/>
    <w:rsid w:val="003A389D"/>
    <w:rsid w:val="003A3D74"/>
    <w:rsid w:val="003A3DCC"/>
    <w:rsid w:val="003A3F4A"/>
    <w:rsid w:val="003A4237"/>
    <w:rsid w:val="003A47C8"/>
    <w:rsid w:val="003A4889"/>
    <w:rsid w:val="003A4C02"/>
    <w:rsid w:val="003A5453"/>
    <w:rsid w:val="003A54D7"/>
    <w:rsid w:val="003A5539"/>
    <w:rsid w:val="003A56BF"/>
    <w:rsid w:val="003A60EA"/>
    <w:rsid w:val="003A64C9"/>
    <w:rsid w:val="003A68C7"/>
    <w:rsid w:val="003A6B54"/>
    <w:rsid w:val="003A7647"/>
    <w:rsid w:val="003A799B"/>
    <w:rsid w:val="003A7ED4"/>
    <w:rsid w:val="003B017B"/>
    <w:rsid w:val="003B022E"/>
    <w:rsid w:val="003B06B3"/>
    <w:rsid w:val="003B07BB"/>
    <w:rsid w:val="003B0DFC"/>
    <w:rsid w:val="003B1084"/>
    <w:rsid w:val="003B1E4C"/>
    <w:rsid w:val="003B1EF9"/>
    <w:rsid w:val="003B2263"/>
    <w:rsid w:val="003B26CE"/>
    <w:rsid w:val="003B3482"/>
    <w:rsid w:val="003B452E"/>
    <w:rsid w:val="003B525B"/>
    <w:rsid w:val="003B5704"/>
    <w:rsid w:val="003B5A36"/>
    <w:rsid w:val="003B6094"/>
    <w:rsid w:val="003B62DD"/>
    <w:rsid w:val="003B6425"/>
    <w:rsid w:val="003B676B"/>
    <w:rsid w:val="003B69C6"/>
    <w:rsid w:val="003B6C52"/>
    <w:rsid w:val="003B6C91"/>
    <w:rsid w:val="003B6C98"/>
    <w:rsid w:val="003B6D30"/>
    <w:rsid w:val="003B727A"/>
    <w:rsid w:val="003B7589"/>
    <w:rsid w:val="003B798F"/>
    <w:rsid w:val="003C06C8"/>
    <w:rsid w:val="003C0A8C"/>
    <w:rsid w:val="003C1497"/>
    <w:rsid w:val="003C14E1"/>
    <w:rsid w:val="003C1A3C"/>
    <w:rsid w:val="003C1C37"/>
    <w:rsid w:val="003C1EE6"/>
    <w:rsid w:val="003C1F9B"/>
    <w:rsid w:val="003C2277"/>
    <w:rsid w:val="003C25EA"/>
    <w:rsid w:val="003C2998"/>
    <w:rsid w:val="003C2C6A"/>
    <w:rsid w:val="003C4B0C"/>
    <w:rsid w:val="003C4ED2"/>
    <w:rsid w:val="003C5768"/>
    <w:rsid w:val="003C5935"/>
    <w:rsid w:val="003C5B06"/>
    <w:rsid w:val="003C62FB"/>
    <w:rsid w:val="003C6491"/>
    <w:rsid w:val="003C6D6F"/>
    <w:rsid w:val="003C6E2F"/>
    <w:rsid w:val="003C787F"/>
    <w:rsid w:val="003C7895"/>
    <w:rsid w:val="003C78D1"/>
    <w:rsid w:val="003C7A5D"/>
    <w:rsid w:val="003D0470"/>
    <w:rsid w:val="003D092A"/>
    <w:rsid w:val="003D095E"/>
    <w:rsid w:val="003D11F0"/>
    <w:rsid w:val="003D1387"/>
    <w:rsid w:val="003D1851"/>
    <w:rsid w:val="003D2327"/>
    <w:rsid w:val="003D2401"/>
    <w:rsid w:val="003D27CA"/>
    <w:rsid w:val="003D2CB9"/>
    <w:rsid w:val="003D37D0"/>
    <w:rsid w:val="003D3825"/>
    <w:rsid w:val="003D3B94"/>
    <w:rsid w:val="003D422E"/>
    <w:rsid w:val="003D423E"/>
    <w:rsid w:val="003D4701"/>
    <w:rsid w:val="003D4745"/>
    <w:rsid w:val="003D50C1"/>
    <w:rsid w:val="003D670E"/>
    <w:rsid w:val="003D6793"/>
    <w:rsid w:val="003D6866"/>
    <w:rsid w:val="003D68E7"/>
    <w:rsid w:val="003D6D40"/>
    <w:rsid w:val="003D6FA3"/>
    <w:rsid w:val="003D7089"/>
    <w:rsid w:val="003E03BE"/>
    <w:rsid w:val="003E048E"/>
    <w:rsid w:val="003E04CA"/>
    <w:rsid w:val="003E0698"/>
    <w:rsid w:val="003E1BB6"/>
    <w:rsid w:val="003E22C9"/>
    <w:rsid w:val="003E2ACC"/>
    <w:rsid w:val="003E33E9"/>
    <w:rsid w:val="003E3FC3"/>
    <w:rsid w:val="003E4043"/>
    <w:rsid w:val="003E4597"/>
    <w:rsid w:val="003E465D"/>
    <w:rsid w:val="003E4840"/>
    <w:rsid w:val="003E4A45"/>
    <w:rsid w:val="003E4CAB"/>
    <w:rsid w:val="003E4D0A"/>
    <w:rsid w:val="003E5195"/>
    <w:rsid w:val="003E52F1"/>
    <w:rsid w:val="003E546F"/>
    <w:rsid w:val="003E67EB"/>
    <w:rsid w:val="003E6A15"/>
    <w:rsid w:val="003E6E20"/>
    <w:rsid w:val="003E70B8"/>
    <w:rsid w:val="003E72E1"/>
    <w:rsid w:val="003E7E55"/>
    <w:rsid w:val="003E7E62"/>
    <w:rsid w:val="003F0184"/>
    <w:rsid w:val="003F0A53"/>
    <w:rsid w:val="003F0DCA"/>
    <w:rsid w:val="003F11D9"/>
    <w:rsid w:val="003F15E0"/>
    <w:rsid w:val="003F1A3F"/>
    <w:rsid w:val="003F1A43"/>
    <w:rsid w:val="003F1AFE"/>
    <w:rsid w:val="003F1E3E"/>
    <w:rsid w:val="003F1F1C"/>
    <w:rsid w:val="003F1F32"/>
    <w:rsid w:val="003F26B8"/>
    <w:rsid w:val="003F2CD6"/>
    <w:rsid w:val="003F3696"/>
    <w:rsid w:val="003F389C"/>
    <w:rsid w:val="003F431A"/>
    <w:rsid w:val="003F467D"/>
    <w:rsid w:val="003F4A59"/>
    <w:rsid w:val="003F4D4A"/>
    <w:rsid w:val="003F51CD"/>
    <w:rsid w:val="003F5FD1"/>
    <w:rsid w:val="003F6145"/>
    <w:rsid w:val="003F6544"/>
    <w:rsid w:val="003F6988"/>
    <w:rsid w:val="003F6D62"/>
    <w:rsid w:val="003F7053"/>
    <w:rsid w:val="003F740B"/>
    <w:rsid w:val="003F779D"/>
    <w:rsid w:val="003F7973"/>
    <w:rsid w:val="00400238"/>
    <w:rsid w:val="00400C19"/>
    <w:rsid w:val="00400D20"/>
    <w:rsid w:val="00400F41"/>
    <w:rsid w:val="004013F8"/>
    <w:rsid w:val="004017C9"/>
    <w:rsid w:val="004018FA"/>
    <w:rsid w:val="004019F4"/>
    <w:rsid w:val="00401F5F"/>
    <w:rsid w:val="00402A14"/>
    <w:rsid w:val="00402DA6"/>
    <w:rsid w:val="0040362F"/>
    <w:rsid w:val="004039FF"/>
    <w:rsid w:val="00403A27"/>
    <w:rsid w:val="00404AA2"/>
    <w:rsid w:val="00404DA9"/>
    <w:rsid w:val="00405580"/>
    <w:rsid w:val="004067F5"/>
    <w:rsid w:val="004073E6"/>
    <w:rsid w:val="00407902"/>
    <w:rsid w:val="00407D7E"/>
    <w:rsid w:val="00410813"/>
    <w:rsid w:val="00410838"/>
    <w:rsid w:val="00410F1B"/>
    <w:rsid w:val="00411904"/>
    <w:rsid w:val="004119B0"/>
    <w:rsid w:val="0041327D"/>
    <w:rsid w:val="00413907"/>
    <w:rsid w:val="004146BA"/>
    <w:rsid w:val="004152FA"/>
    <w:rsid w:val="00415564"/>
    <w:rsid w:val="00415B5F"/>
    <w:rsid w:val="00415F6D"/>
    <w:rsid w:val="00416720"/>
    <w:rsid w:val="004172B3"/>
    <w:rsid w:val="0041733A"/>
    <w:rsid w:val="004177C0"/>
    <w:rsid w:val="00417BC1"/>
    <w:rsid w:val="004204EB"/>
    <w:rsid w:val="00423264"/>
    <w:rsid w:val="00423806"/>
    <w:rsid w:val="004239BC"/>
    <w:rsid w:val="004239EA"/>
    <w:rsid w:val="0042411D"/>
    <w:rsid w:val="004241FD"/>
    <w:rsid w:val="0042437A"/>
    <w:rsid w:val="004246F4"/>
    <w:rsid w:val="00424BCE"/>
    <w:rsid w:val="0042536C"/>
    <w:rsid w:val="0042546B"/>
    <w:rsid w:val="00425604"/>
    <w:rsid w:val="00426067"/>
    <w:rsid w:val="00426068"/>
    <w:rsid w:val="0042622D"/>
    <w:rsid w:val="0042642F"/>
    <w:rsid w:val="00426F79"/>
    <w:rsid w:val="00427395"/>
    <w:rsid w:val="00430398"/>
    <w:rsid w:val="00430D36"/>
    <w:rsid w:val="00431181"/>
    <w:rsid w:val="00431FEE"/>
    <w:rsid w:val="00431FF3"/>
    <w:rsid w:val="004322AD"/>
    <w:rsid w:val="0043232D"/>
    <w:rsid w:val="00432AFB"/>
    <w:rsid w:val="00432CDB"/>
    <w:rsid w:val="004335D1"/>
    <w:rsid w:val="004335EC"/>
    <w:rsid w:val="0043372C"/>
    <w:rsid w:val="00433E94"/>
    <w:rsid w:val="00434302"/>
    <w:rsid w:val="004343C6"/>
    <w:rsid w:val="00435252"/>
    <w:rsid w:val="00435583"/>
    <w:rsid w:val="00435E9A"/>
    <w:rsid w:val="004360F6"/>
    <w:rsid w:val="004364BB"/>
    <w:rsid w:val="00436566"/>
    <w:rsid w:val="00440350"/>
    <w:rsid w:val="00440D1D"/>
    <w:rsid w:val="0044190A"/>
    <w:rsid w:val="00441ACA"/>
    <w:rsid w:val="004427A7"/>
    <w:rsid w:val="004431F4"/>
    <w:rsid w:val="00443228"/>
    <w:rsid w:val="004436E4"/>
    <w:rsid w:val="00443707"/>
    <w:rsid w:val="00443E85"/>
    <w:rsid w:val="0044499D"/>
    <w:rsid w:val="00445DAD"/>
    <w:rsid w:val="00445FD1"/>
    <w:rsid w:val="0044648A"/>
    <w:rsid w:val="00446916"/>
    <w:rsid w:val="00446C92"/>
    <w:rsid w:val="004472F9"/>
    <w:rsid w:val="0045014D"/>
    <w:rsid w:val="004509BB"/>
    <w:rsid w:val="00450B06"/>
    <w:rsid w:val="00450CF0"/>
    <w:rsid w:val="00451486"/>
    <w:rsid w:val="004524CA"/>
    <w:rsid w:val="00452BBE"/>
    <w:rsid w:val="00453389"/>
    <w:rsid w:val="004537D1"/>
    <w:rsid w:val="00454602"/>
    <w:rsid w:val="004549AB"/>
    <w:rsid w:val="00455124"/>
    <w:rsid w:val="00455651"/>
    <w:rsid w:val="00455BD3"/>
    <w:rsid w:val="00456218"/>
    <w:rsid w:val="00456D6F"/>
    <w:rsid w:val="00457044"/>
    <w:rsid w:val="00457086"/>
    <w:rsid w:val="0045732C"/>
    <w:rsid w:val="004573E6"/>
    <w:rsid w:val="004602EE"/>
    <w:rsid w:val="00461DFB"/>
    <w:rsid w:val="00462417"/>
    <w:rsid w:val="00462805"/>
    <w:rsid w:val="00462D34"/>
    <w:rsid w:val="0046326D"/>
    <w:rsid w:val="00464C26"/>
    <w:rsid w:val="00464D62"/>
    <w:rsid w:val="0046534F"/>
    <w:rsid w:val="004663A3"/>
    <w:rsid w:val="0046654D"/>
    <w:rsid w:val="00466EDC"/>
    <w:rsid w:val="00467528"/>
    <w:rsid w:val="00467753"/>
    <w:rsid w:val="00467B23"/>
    <w:rsid w:val="00470563"/>
    <w:rsid w:val="00470A65"/>
    <w:rsid w:val="00470B61"/>
    <w:rsid w:val="0047195F"/>
    <w:rsid w:val="00473040"/>
    <w:rsid w:val="00473FDA"/>
    <w:rsid w:val="00474B0C"/>
    <w:rsid w:val="00474EB6"/>
    <w:rsid w:val="004753CF"/>
    <w:rsid w:val="0047658E"/>
    <w:rsid w:val="00476638"/>
    <w:rsid w:val="004770A9"/>
    <w:rsid w:val="0047741E"/>
    <w:rsid w:val="004778AA"/>
    <w:rsid w:val="0048006F"/>
    <w:rsid w:val="00480629"/>
    <w:rsid w:val="00480639"/>
    <w:rsid w:val="00480D8B"/>
    <w:rsid w:val="00480F17"/>
    <w:rsid w:val="004811CF"/>
    <w:rsid w:val="004817E9"/>
    <w:rsid w:val="004822C9"/>
    <w:rsid w:val="0048318A"/>
    <w:rsid w:val="004836F9"/>
    <w:rsid w:val="00483DDC"/>
    <w:rsid w:val="00485260"/>
    <w:rsid w:val="00485C90"/>
    <w:rsid w:val="004868C0"/>
    <w:rsid w:val="0048698D"/>
    <w:rsid w:val="00486DF8"/>
    <w:rsid w:val="00486ED1"/>
    <w:rsid w:val="004870C3"/>
    <w:rsid w:val="00487981"/>
    <w:rsid w:val="00487EE1"/>
    <w:rsid w:val="004908BC"/>
    <w:rsid w:val="004911A0"/>
    <w:rsid w:val="0049123E"/>
    <w:rsid w:val="00491461"/>
    <w:rsid w:val="004917E3"/>
    <w:rsid w:val="00491A85"/>
    <w:rsid w:val="00491FEC"/>
    <w:rsid w:val="0049218E"/>
    <w:rsid w:val="00493359"/>
    <w:rsid w:val="004948EE"/>
    <w:rsid w:val="00494CBD"/>
    <w:rsid w:val="00494D7F"/>
    <w:rsid w:val="00494E9E"/>
    <w:rsid w:val="004959D6"/>
    <w:rsid w:val="00495A67"/>
    <w:rsid w:val="00495B1C"/>
    <w:rsid w:val="004961CB"/>
    <w:rsid w:val="00496628"/>
    <w:rsid w:val="00496E1F"/>
    <w:rsid w:val="00497971"/>
    <w:rsid w:val="00497C78"/>
    <w:rsid w:val="004A0184"/>
    <w:rsid w:val="004A0D2A"/>
    <w:rsid w:val="004A139F"/>
    <w:rsid w:val="004A13F3"/>
    <w:rsid w:val="004A1525"/>
    <w:rsid w:val="004A16FD"/>
    <w:rsid w:val="004A1F8C"/>
    <w:rsid w:val="004A2AAA"/>
    <w:rsid w:val="004A2ECB"/>
    <w:rsid w:val="004A3F8E"/>
    <w:rsid w:val="004A4818"/>
    <w:rsid w:val="004A4D8D"/>
    <w:rsid w:val="004A4E73"/>
    <w:rsid w:val="004A53DF"/>
    <w:rsid w:val="004A5E8B"/>
    <w:rsid w:val="004A5F88"/>
    <w:rsid w:val="004A698D"/>
    <w:rsid w:val="004A6F1E"/>
    <w:rsid w:val="004A71D4"/>
    <w:rsid w:val="004B0468"/>
    <w:rsid w:val="004B071B"/>
    <w:rsid w:val="004B0AF0"/>
    <w:rsid w:val="004B0DAD"/>
    <w:rsid w:val="004B121F"/>
    <w:rsid w:val="004B1AEC"/>
    <w:rsid w:val="004B1DDD"/>
    <w:rsid w:val="004B2242"/>
    <w:rsid w:val="004B31D4"/>
    <w:rsid w:val="004B32E0"/>
    <w:rsid w:val="004B3413"/>
    <w:rsid w:val="004B3B2E"/>
    <w:rsid w:val="004B3C1D"/>
    <w:rsid w:val="004B3C74"/>
    <w:rsid w:val="004B3D3C"/>
    <w:rsid w:val="004B3EFD"/>
    <w:rsid w:val="004B3FE6"/>
    <w:rsid w:val="004B4158"/>
    <w:rsid w:val="004B42C3"/>
    <w:rsid w:val="004B461D"/>
    <w:rsid w:val="004B4C5E"/>
    <w:rsid w:val="004B52FB"/>
    <w:rsid w:val="004B542D"/>
    <w:rsid w:val="004B572C"/>
    <w:rsid w:val="004B5AC0"/>
    <w:rsid w:val="004B5CF8"/>
    <w:rsid w:val="004B64DF"/>
    <w:rsid w:val="004B663D"/>
    <w:rsid w:val="004B6BB1"/>
    <w:rsid w:val="004B6E7B"/>
    <w:rsid w:val="004B6F59"/>
    <w:rsid w:val="004B6F6D"/>
    <w:rsid w:val="004B746B"/>
    <w:rsid w:val="004B74DC"/>
    <w:rsid w:val="004B7BB6"/>
    <w:rsid w:val="004B7CDB"/>
    <w:rsid w:val="004C00F1"/>
    <w:rsid w:val="004C021D"/>
    <w:rsid w:val="004C02C9"/>
    <w:rsid w:val="004C0AB8"/>
    <w:rsid w:val="004C1248"/>
    <w:rsid w:val="004C228B"/>
    <w:rsid w:val="004C2924"/>
    <w:rsid w:val="004C32E2"/>
    <w:rsid w:val="004C3612"/>
    <w:rsid w:val="004C39D3"/>
    <w:rsid w:val="004C3E48"/>
    <w:rsid w:val="004C4370"/>
    <w:rsid w:val="004C4499"/>
    <w:rsid w:val="004C4694"/>
    <w:rsid w:val="004C47B7"/>
    <w:rsid w:val="004C4D47"/>
    <w:rsid w:val="004C5431"/>
    <w:rsid w:val="004C5575"/>
    <w:rsid w:val="004C5ACA"/>
    <w:rsid w:val="004C6BAF"/>
    <w:rsid w:val="004C7013"/>
    <w:rsid w:val="004C731F"/>
    <w:rsid w:val="004C7ACE"/>
    <w:rsid w:val="004D07BD"/>
    <w:rsid w:val="004D0C56"/>
    <w:rsid w:val="004D0D89"/>
    <w:rsid w:val="004D0F90"/>
    <w:rsid w:val="004D1012"/>
    <w:rsid w:val="004D1044"/>
    <w:rsid w:val="004D1083"/>
    <w:rsid w:val="004D1C13"/>
    <w:rsid w:val="004D1FE3"/>
    <w:rsid w:val="004D20EC"/>
    <w:rsid w:val="004D2195"/>
    <w:rsid w:val="004D21BB"/>
    <w:rsid w:val="004D29B6"/>
    <w:rsid w:val="004D2FB3"/>
    <w:rsid w:val="004D33FE"/>
    <w:rsid w:val="004D3AB0"/>
    <w:rsid w:val="004D431E"/>
    <w:rsid w:val="004D47C3"/>
    <w:rsid w:val="004D608A"/>
    <w:rsid w:val="004D6878"/>
    <w:rsid w:val="004D7211"/>
    <w:rsid w:val="004D7FD8"/>
    <w:rsid w:val="004E0104"/>
    <w:rsid w:val="004E058C"/>
    <w:rsid w:val="004E0F25"/>
    <w:rsid w:val="004E1587"/>
    <w:rsid w:val="004E163C"/>
    <w:rsid w:val="004E1C3B"/>
    <w:rsid w:val="004E205C"/>
    <w:rsid w:val="004E20C6"/>
    <w:rsid w:val="004E296C"/>
    <w:rsid w:val="004E315E"/>
    <w:rsid w:val="004E3EDB"/>
    <w:rsid w:val="004E45CF"/>
    <w:rsid w:val="004E58D2"/>
    <w:rsid w:val="004E7EB6"/>
    <w:rsid w:val="004F096C"/>
    <w:rsid w:val="004F09AA"/>
    <w:rsid w:val="004F0C74"/>
    <w:rsid w:val="004F0D80"/>
    <w:rsid w:val="004F1B73"/>
    <w:rsid w:val="004F1D7B"/>
    <w:rsid w:val="004F2143"/>
    <w:rsid w:val="004F2C49"/>
    <w:rsid w:val="004F2D4C"/>
    <w:rsid w:val="004F38AF"/>
    <w:rsid w:val="004F455C"/>
    <w:rsid w:val="004F4FE5"/>
    <w:rsid w:val="004F527A"/>
    <w:rsid w:val="004F53AC"/>
    <w:rsid w:val="004F5BA8"/>
    <w:rsid w:val="004F5C2A"/>
    <w:rsid w:val="004F6541"/>
    <w:rsid w:val="004F6893"/>
    <w:rsid w:val="004F690D"/>
    <w:rsid w:val="004F6AEA"/>
    <w:rsid w:val="004F6E95"/>
    <w:rsid w:val="004F7186"/>
    <w:rsid w:val="004F71B0"/>
    <w:rsid w:val="004F7923"/>
    <w:rsid w:val="004F7F7E"/>
    <w:rsid w:val="00500209"/>
    <w:rsid w:val="005004B8"/>
    <w:rsid w:val="00500668"/>
    <w:rsid w:val="00500885"/>
    <w:rsid w:val="00500AFA"/>
    <w:rsid w:val="00500C04"/>
    <w:rsid w:val="00500C29"/>
    <w:rsid w:val="0050176B"/>
    <w:rsid w:val="00501906"/>
    <w:rsid w:val="00501BB9"/>
    <w:rsid w:val="00501E4D"/>
    <w:rsid w:val="005024BC"/>
    <w:rsid w:val="00502E51"/>
    <w:rsid w:val="00503E3E"/>
    <w:rsid w:val="00504091"/>
    <w:rsid w:val="00505079"/>
    <w:rsid w:val="0050540A"/>
    <w:rsid w:val="00506938"/>
    <w:rsid w:val="00507021"/>
    <w:rsid w:val="00507091"/>
    <w:rsid w:val="005073B1"/>
    <w:rsid w:val="00510986"/>
    <w:rsid w:val="00510BD6"/>
    <w:rsid w:val="0051186F"/>
    <w:rsid w:val="00511E9E"/>
    <w:rsid w:val="00512709"/>
    <w:rsid w:val="00512734"/>
    <w:rsid w:val="005128FF"/>
    <w:rsid w:val="00512CD7"/>
    <w:rsid w:val="00512DD4"/>
    <w:rsid w:val="0051356F"/>
    <w:rsid w:val="005138F5"/>
    <w:rsid w:val="0051450C"/>
    <w:rsid w:val="00514749"/>
    <w:rsid w:val="005147A6"/>
    <w:rsid w:val="00514868"/>
    <w:rsid w:val="00514F94"/>
    <w:rsid w:val="00515225"/>
    <w:rsid w:val="0051533E"/>
    <w:rsid w:val="00515683"/>
    <w:rsid w:val="005156C8"/>
    <w:rsid w:val="005159DE"/>
    <w:rsid w:val="00515EA2"/>
    <w:rsid w:val="0051603A"/>
    <w:rsid w:val="005170C5"/>
    <w:rsid w:val="005177A6"/>
    <w:rsid w:val="0052000F"/>
    <w:rsid w:val="00520AE1"/>
    <w:rsid w:val="00520CD1"/>
    <w:rsid w:val="00520DA4"/>
    <w:rsid w:val="005215DB"/>
    <w:rsid w:val="00521C2E"/>
    <w:rsid w:val="00521EC6"/>
    <w:rsid w:val="00521FAC"/>
    <w:rsid w:val="0052230F"/>
    <w:rsid w:val="005226DA"/>
    <w:rsid w:val="00522997"/>
    <w:rsid w:val="0052455B"/>
    <w:rsid w:val="00524A73"/>
    <w:rsid w:val="00524B7E"/>
    <w:rsid w:val="0052506B"/>
    <w:rsid w:val="00525652"/>
    <w:rsid w:val="00525893"/>
    <w:rsid w:val="00525D5B"/>
    <w:rsid w:val="00525F0C"/>
    <w:rsid w:val="00526194"/>
    <w:rsid w:val="00526883"/>
    <w:rsid w:val="005269FB"/>
    <w:rsid w:val="005271C7"/>
    <w:rsid w:val="00527C6F"/>
    <w:rsid w:val="0053012F"/>
    <w:rsid w:val="00530481"/>
    <w:rsid w:val="00530CD3"/>
    <w:rsid w:val="00531459"/>
    <w:rsid w:val="00531E54"/>
    <w:rsid w:val="00531EC0"/>
    <w:rsid w:val="00532931"/>
    <w:rsid w:val="005333B5"/>
    <w:rsid w:val="005333C1"/>
    <w:rsid w:val="00533E5E"/>
    <w:rsid w:val="005346CE"/>
    <w:rsid w:val="00534B78"/>
    <w:rsid w:val="00534CCD"/>
    <w:rsid w:val="00535056"/>
    <w:rsid w:val="0053556D"/>
    <w:rsid w:val="00535659"/>
    <w:rsid w:val="0053574C"/>
    <w:rsid w:val="005366B5"/>
    <w:rsid w:val="00536806"/>
    <w:rsid w:val="005373F9"/>
    <w:rsid w:val="00540900"/>
    <w:rsid w:val="00541157"/>
    <w:rsid w:val="005413BC"/>
    <w:rsid w:val="005425DE"/>
    <w:rsid w:val="00542DAC"/>
    <w:rsid w:val="00542E39"/>
    <w:rsid w:val="0054322F"/>
    <w:rsid w:val="00543506"/>
    <w:rsid w:val="00543801"/>
    <w:rsid w:val="0054382E"/>
    <w:rsid w:val="00544079"/>
    <w:rsid w:val="00544387"/>
    <w:rsid w:val="005445A7"/>
    <w:rsid w:val="00544946"/>
    <w:rsid w:val="00544C0E"/>
    <w:rsid w:val="00544CE0"/>
    <w:rsid w:val="00545672"/>
    <w:rsid w:val="00547EE8"/>
    <w:rsid w:val="0055066F"/>
    <w:rsid w:val="005508A1"/>
    <w:rsid w:val="00550A71"/>
    <w:rsid w:val="005516B4"/>
    <w:rsid w:val="005516B5"/>
    <w:rsid w:val="00551716"/>
    <w:rsid w:val="0055189F"/>
    <w:rsid w:val="00551F39"/>
    <w:rsid w:val="00551F40"/>
    <w:rsid w:val="00552ACD"/>
    <w:rsid w:val="00553300"/>
    <w:rsid w:val="00553423"/>
    <w:rsid w:val="00553A10"/>
    <w:rsid w:val="005541D9"/>
    <w:rsid w:val="0055427E"/>
    <w:rsid w:val="00554617"/>
    <w:rsid w:val="00554C05"/>
    <w:rsid w:val="00554F3C"/>
    <w:rsid w:val="00555625"/>
    <w:rsid w:val="005558CD"/>
    <w:rsid w:val="00555A48"/>
    <w:rsid w:val="00555A92"/>
    <w:rsid w:val="00555A9D"/>
    <w:rsid w:val="00555FDD"/>
    <w:rsid w:val="005564AA"/>
    <w:rsid w:val="00556CE9"/>
    <w:rsid w:val="00557409"/>
    <w:rsid w:val="0055750A"/>
    <w:rsid w:val="005577D1"/>
    <w:rsid w:val="00557B3A"/>
    <w:rsid w:val="00557F0F"/>
    <w:rsid w:val="00560281"/>
    <w:rsid w:val="00560A1E"/>
    <w:rsid w:val="0056119C"/>
    <w:rsid w:val="00561473"/>
    <w:rsid w:val="005617A9"/>
    <w:rsid w:val="00561E67"/>
    <w:rsid w:val="00562505"/>
    <w:rsid w:val="00562AAE"/>
    <w:rsid w:val="00562CC6"/>
    <w:rsid w:val="00562E58"/>
    <w:rsid w:val="00563380"/>
    <w:rsid w:val="00563383"/>
    <w:rsid w:val="005649AA"/>
    <w:rsid w:val="00564A17"/>
    <w:rsid w:val="00565129"/>
    <w:rsid w:val="00565AA2"/>
    <w:rsid w:val="00565D0A"/>
    <w:rsid w:val="005664A8"/>
    <w:rsid w:val="005666E9"/>
    <w:rsid w:val="00566A6C"/>
    <w:rsid w:val="00566CFF"/>
    <w:rsid w:val="00566D04"/>
    <w:rsid w:val="00567694"/>
    <w:rsid w:val="00567A56"/>
    <w:rsid w:val="00567CCD"/>
    <w:rsid w:val="00567E35"/>
    <w:rsid w:val="00570730"/>
    <w:rsid w:val="00570774"/>
    <w:rsid w:val="00570B91"/>
    <w:rsid w:val="00570C31"/>
    <w:rsid w:val="00570F00"/>
    <w:rsid w:val="00571330"/>
    <w:rsid w:val="0057160F"/>
    <w:rsid w:val="00572935"/>
    <w:rsid w:val="0057297A"/>
    <w:rsid w:val="0057302B"/>
    <w:rsid w:val="0057309C"/>
    <w:rsid w:val="005730BF"/>
    <w:rsid w:val="00573FE7"/>
    <w:rsid w:val="0057435E"/>
    <w:rsid w:val="00574889"/>
    <w:rsid w:val="005752AE"/>
    <w:rsid w:val="00575304"/>
    <w:rsid w:val="00575B75"/>
    <w:rsid w:val="00576795"/>
    <w:rsid w:val="005768FA"/>
    <w:rsid w:val="00576A49"/>
    <w:rsid w:val="00576AE2"/>
    <w:rsid w:val="00576B69"/>
    <w:rsid w:val="005770F3"/>
    <w:rsid w:val="00577455"/>
    <w:rsid w:val="00577683"/>
    <w:rsid w:val="005776AF"/>
    <w:rsid w:val="0058017B"/>
    <w:rsid w:val="00581417"/>
    <w:rsid w:val="0058149E"/>
    <w:rsid w:val="00581869"/>
    <w:rsid w:val="005824D1"/>
    <w:rsid w:val="005827EE"/>
    <w:rsid w:val="00582B97"/>
    <w:rsid w:val="00582C20"/>
    <w:rsid w:val="00582D5B"/>
    <w:rsid w:val="005841FE"/>
    <w:rsid w:val="005854B4"/>
    <w:rsid w:val="00585692"/>
    <w:rsid w:val="00585720"/>
    <w:rsid w:val="00585C87"/>
    <w:rsid w:val="0058608D"/>
    <w:rsid w:val="00586233"/>
    <w:rsid w:val="0058634F"/>
    <w:rsid w:val="00586957"/>
    <w:rsid w:val="00586BF5"/>
    <w:rsid w:val="0058781D"/>
    <w:rsid w:val="005878D5"/>
    <w:rsid w:val="00590409"/>
    <w:rsid w:val="00590ECA"/>
    <w:rsid w:val="00591654"/>
    <w:rsid w:val="00593EE9"/>
    <w:rsid w:val="005946EC"/>
    <w:rsid w:val="00594D7C"/>
    <w:rsid w:val="00594FD8"/>
    <w:rsid w:val="00595014"/>
    <w:rsid w:val="00595016"/>
    <w:rsid w:val="00595806"/>
    <w:rsid w:val="00595F55"/>
    <w:rsid w:val="005968A3"/>
    <w:rsid w:val="005969A2"/>
    <w:rsid w:val="005975BA"/>
    <w:rsid w:val="0059760F"/>
    <w:rsid w:val="00597960"/>
    <w:rsid w:val="0059796B"/>
    <w:rsid w:val="00597AA6"/>
    <w:rsid w:val="00597C61"/>
    <w:rsid w:val="00597D91"/>
    <w:rsid w:val="005A0823"/>
    <w:rsid w:val="005A0994"/>
    <w:rsid w:val="005A0B2A"/>
    <w:rsid w:val="005A0EB5"/>
    <w:rsid w:val="005A1549"/>
    <w:rsid w:val="005A17AA"/>
    <w:rsid w:val="005A1CCC"/>
    <w:rsid w:val="005A31D0"/>
    <w:rsid w:val="005A3BAD"/>
    <w:rsid w:val="005A459C"/>
    <w:rsid w:val="005A4ED7"/>
    <w:rsid w:val="005A517A"/>
    <w:rsid w:val="005A5F18"/>
    <w:rsid w:val="005A5F9C"/>
    <w:rsid w:val="005A6182"/>
    <w:rsid w:val="005A65D2"/>
    <w:rsid w:val="005A6BFA"/>
    <w:rsid w:val="005A6FA5"/>
    <w:rsid w:val="005A74F1"/>
    <w:rsid w:val="005A7528"/>
    <w:rsid w:val="005A75BE"/>
    <w:rsid w:val="005A7699"/>
    <w:rsid w:val="005A796D"/>
    <w:rsid w:val="005A7B19"/>
    <w:rsid w:val="005B0403"/>
    <w:rsid w:val="005B1FA3"/>
    <w:rsid w:val="005B203F"/>
    <w:rsid w:val="005B31CA"/>
    <w:rsid w:val="005B3298"/>
    <w:rsid w:val="005B34DC"/>
    <w:rsid w:val="005B3849"/>
    <w:rsid w:val="005B4633"/>
    <w:rsid w:val="005B4917"/>
    <w:rsid w:val="005B5918"/>
    <w:rsid w:val="005B5E79"/>
    <w:rsid w:val="005B63E7"/>
    <w:rsid w:val="005B6649"/>
    <w:rsid w:val="005B6767"/>
    <w:rsid w:val="005B6B18"/>
    <w:rsid w:val="005B7B38"/>
    <w:rsid w:val="005B7C3A"/>
    <w:rsid w:val="005C0DE1"/>
    <w:rsid w:val="005C140B"/>
    <w:rsid w:val="005C231F"/>
    <w:rsid w:val="005C27ED"/>
    <w:rsid w:val="005C399F"/>
    <w:rsid w:val="005C3B5B"/>
    <w:rsid w:val="005C3E73"/>
    <w:rsid w:val="005C4328"/>
    <w:rsid w:val="005C4394"/>
    <w:rsid w:val="005C4A29"/>
    <w:rsid w:val="005C5369"/>
    <w:rsid w:val="005C5D76"/>
    <w:rsid w:val="005C5E2F"/>
    <w:rsid w:val="005C5F29"/>
    <w:rsid w:val="005C6D46"/>
    <w:rsid w:val="005C7AC4"/>
    <w:rsid w:val="005D03CA"/>
    <w:rsid w:val="005D0493"/>
    <w:rsid w:val="005D0AD7"/>
    <w:rsid w:val="005D0E37"/>
    <w:rsid w:val="005D10D0"/>
    <w:rsid w:val="005D12BD"/>
    <w:rsid w:val="005D1355"/>
    <w:rsid w:val="005D13C5"/>
    <w:rsid w:val="005D1520"/>
    <w:rsid w:val="005D1611"/>
    <w:rsid w:val="005D18B6"/>
    <w:rsid w:val="005D1F2C"/>
    <w:rsid w:val="005D2101"/>
    <w:rsid w:val="005D241C"/>
    <w:rsid w:val="005D24C9"/>
    <w:rsid w:val="005D2566"/>
    <w:rsid w:val="005D2D96"/>
    <w:rsid w:val="005D4AFE"/>
    <w:rsid w:val="005D4B5B"/>
    <w:rsid w:val="005D500E"/>
    <w:rsid w:val="005D5C8E"/>
    <w:rsid w:val="005D61E1"/>
    <w:rsid w:val="005D65F9"/>
    <w:rsid w:val="005D66F6"/>
    <w:rsid w:val="005D69CA"/>
    <w:rsid w:val="005D6EAB"/>
    <w:rsid w:val="005D7A1C"/>
    <w:rsid w:val="005E10A3"/>
    <w:rsid w:val="005E1654"/>
    <w:rsid w:val="005E170D"/>
    <w:rsid w:val="005E19E3"/>
    <w:rsid w:val="005E2E95"/>
    <w:rsid w:val="005E38A8"/>
    <w:rsid w:val="005E3C83"/>
    <w:rsid w:val="005E46B9"/>
    <w:rsid w:val="005E4A3C"/>
    <w:rsid w:val="005E4BCE"/>
    <w:rsid w:val="005E4FE3"/>
    <w:rsid w:val="005E5E69"/>
    <w:rsid w:val="005E61A6"/>
    <w:rsid w:val="005E6FB7"/>
    <w:rsid w:val="005E705A"/>
    <w:rsid w:val="005E7EF3"/>
    <w:rsid w:val="005F019A"/>
    <w:rsid w:val="005F0A84"/>
    <w:rsid w:val="005F13AD"/>
    <w:rsid w:val="005F2753"/>
    <w:rsid w:val="005F2F72"/>
    <w:rsid w:val="005F334F"/>
    <w:rsid w:val="005F3A6B"/>
    <w:rsid w:val="005F4D5E"/>
    <w:rsid w:val="005F5495"/>
    <w:rsid w:val="005F57E2"/>
    <w:rsid w:val="005F5D0A"/>
    <w:rsid w:val="005F68A9"/>
    <w:rsid w:val="005F6F08"/>
    <w:rsid w:val="005F6F1C"/>
    <w:rsid w:val="005F785C"/>
    <w:rsid w:val="0060098F"/>
    <w:rsid w:val="0060190C"/>
    <w:rsid w:val="00601E5E"/>
    <w:rsid w:val="0060204E"/>
    <w:rsid w:val="006025CB"/>
    <w:rsid w:val="006028B0"/>
    <w:rsid w:val="00602A82"/>
    <w:rsid w:val="00602B08"/>
    <w:rsid w:val="00602C80"/>
    <w:rsid w:val="006031A1"/>
    <w:rsid w:val="006035CB"/>
    <w:rsid w:val="00604696"/>
    <w:rsid w:val="0060500E"/>
    <w:rsid w:val="00605094"/>
    <w:rsid w:val="006055E8"/>
    <w:rsid w:val="00605608"/>
    <w:rsid w:val="00605716"/>
    <w:rsid w:val="0060598F"/>
    <w:rsid w:val="00605F8B"/>
    <w:rsid w:val="00605FF9"/>
    <w:rsid w:val="00606027"/>
    <w:rsid w:val="00606231"/>
    <w:rsid w:val="00607BE5"/>
    <w:rsid w:val="006105C1"/>
    <w:rsid w:val="00610FB3"/>
    <w:rsid w:val="0061146A"/>
    <w:rsid w:val="00611793"/>
    <w:rsid w:val="0061209F"/>
    <w:rsid w:val="006126B1"/>
    <w:rsid w:val="006128C3"/>
    <w:rsid w:val="00613DC2"/>
    <w:rsid w:val="00613E6D"/>
    <w:rsid w:val="00614B6F"/>
    <w:rsid w:val="00614CBD"/>
    <w:rsid w:val="00614CC0"/>
    <w:rsid w:val="00614D08"/>
    <w:rsid w:val="006152A0"/>
    <w:rsid w:val="006155FD"/>
    <w:rsid w:val="00615943"/>
    <w:rsid w:val="006161D2"/>
    <w:rsid w:val="00616288"/>
    <w:rsid w:val="00616B46"/>
    <w:rsid w:val="00616CE2"/>
    <w:rsid w:val="00617082"/>
    <w:rsid w:val="00617A00"/>
    <w:rsid w:val="00617B5C"/>
    <w:rsid w:val="00617C25"/>
    <w:rsid w:val="00620809"/>
    <w:rsid w:val="00620B01"/>
    <w:rsid w:val="006219F2"/>
    <w:rsid w:val="006235FA"/>
    <w:rsid w:val="00623C4B"/>
    <w:rsid w:val="00623E8B"/>
    <w:rsid w:val="0062480F"/>
    <w:rsid w:val="0062569D"/>
    <w:rsid w:val="00625790"/>
    <w:rsid w:val="00625796"/>
    <w:rsid w:val="006257B1"/>
    <w:rsid w:val="00625CD5"/>
    <w:rsid w:val="006268B7"/>
    <w:rsid w:val="006268CB"/>
    <w:rsid w:val="00626920"/>
    <w:rsid w:val="006278E4"/>
    <w:rsid w:val="00627B19"/>
    <w:rsid w:val="00630237"/>
    <w:rsid w:val="00630284"/>
    <w:rsid w:val="0063099F"/>
    <w:rsid w:val="00630B56"/>
    <w:rsid w:val="00630E5F"/>
    <w:rsid w:val="00631466"/>
    <w:rsid w:val="00632183"/>
    <w:rsid w:val="006323E3"/>
    <w:rsid w:val="006326D9"/>
    <w:rsid w:val="00632B1B"/>
    <w:rsid w:val="00633280"/>
    <w:rsid w:val="006338B2"/>
    <w:rsid w:val="006339ED"/>
    <w:rsid w:val="00633B1B"/>
    <w:rsid w:val="00633BDA"/>
    <w:rsid w:val="00633BE6"/>
    <w:rsid w:val="00633C4E"/>
    <w:rsid w:val="00633CE6"/>
    <w:rsid w:val="00634B3D"/>
    <w:rsid w:val="00634E90"/>
    <w:rsid w:val="00635023"/>
    <w:rsid w:val="00635E37"/>
    <w:rsid w:val="00636303"/>
    <w:rsid w:val="00636E43"/>
    <w:rsid w:val="006377EF"/>
    <w:rsid w:val="006378C8"/>
    <w:rsid w:val="00637A37"/>
    <w:rsid w:val="006408C8"/>
    <w:rsid w:val="006409B6"/>
    <w:rsid w:val="006418C7"/>
    <w:rsid w:val="00641BBC"/>
    <w:rsid w:val="00641C7C"/>
    <w:rsid w:val="0064373D"/>
    <w:rsid w:val="00643A52"/>
    <w:rsid w:val="00644478"/>
    <w:rsid w:val="00644DBC"/>
    <w:rsid w:val="0064690F"/>
    <w:rsid w:val="00646D0B"/>
    <w:rsid w:val="00646D78"/>
    <w:rsid w:val="006473AB"/>
    <w:rsid w:val="00647D7C"/>
    <w:rsid w:val="006504D4"/>
    <w:rsid w:val="00650576"/>
    <w:rsid w:val="006511FC"/>
    <w:rsid w:val="006512AE"/>
    <w:rsid w:val="006514E0"/>
    <w:rsid w:val="006528FF"/>
    <w:rsid w:val="00652B53"/>
    <w:rsid w:val="00652DD6"/>
    <w:rsid w:val="00653042"/>
    <w:rsid w:val="006531B1"/>
    <w:rsid w:val="00653CEA"/>
    <w:rsid w:val="00653EFC"/>
    <w:rsid w:val="00655D78"/>
    <w:rsid w:val="006561E6"/>
    <w:rsid w:val="006562DB"/>
    <w:rsid w:val="00656632"/>
    <w:rsid w:val="00656AF9"/>
    <w:rsid w:val="006611DB"/>
    <w:rsid w:val="006615D8"/>
    <w:rsid w:val="0066199D"/>
    <w:rsid w:val="00662368"/>
    <w:rsid w:val="0066247A"/>
    <w:rsid w:val="0066293D"/>
    <w:rsid w:val="006637BF"/>
    <w:rsid w:val="00663DBE"/>
    <w:rsid w:val="00664493"/>
    <w:rsid w:val="006644C7"/>
    <w:rsid w:val="00664746"/>
    <w:rsid w:val="0066533D"/>
    <w:rsid w:val="006654A3"/>
    <w:rsid w:val="00665A43"/>
    <w:rsid w:val="00665D31"/>
    <w:rsid w:val="00666799"/>
    <w:rsid w:val="006670F5"/>
    <w:rsid w:val="00667192"/>
    <w:rsid w:val="0066722C"/>
    <w:rsid w:val="0066724B"/>
    <w:rsid w:val="0066729D"/>
    <w:rsid w:val="006674F3"/>
    <w:rsid w:val="00670193"/>
    <w:rsid w:val="00670A1B"/>
    <w:rsid w:val="00670D02"/>
    <w:rsid w:val="006713D7"/>
    <w:rsid w:val="006714C6"/>
    <w:rsid w:val="00671600"/>
    <w:rsid w:val="006716A7"/>
    <w:rsid w:val="0067217F"/>
    <w:rsid w:val="006729D0"/>
    <w:rsid w:val="00672E8F"/>
    <w:rsid w:val="00672F18"/>
    <w:rsid w:val="00673F8C"/>
    <w:rsid w:val="00675212"/>
    <w:rsid w:val="006763D9"/>
    <w:rsid w:val="006765B4"/>
    <w:rsid w:val="00677C0B"/>
    <w:rsid w:val="00677EBF"/>
    <w:rsid w:val="0068085E"/>
    <w:rsid w:val="00680951"/>
    <w:rsid w:val="00680C2C"/>
    <w:rsid w:val="00680E13"/>
    <w:rsid w:val="006812E8"/>
    <w:rsid w:val="006815DD"/>
    <w:rsid w:val="006817D7"/>
    <w:rsid w:val="00682098"/>
    <w:rsid w:val="006823A4"/>
    <w:rsid w:val="00682495"/>
    <w:rsid w:val="00683C61"/>
    <w:rsid w:val="00683E89"/>
    <w:rsid w:val="00683F08"/>
    <w:rsid w:val="0068490F"/>
    <w:rsid w:val="0068638E"/>
    <w:rsid w:val="0068736C"/>
    <w:rsid w:val="0068741E"/>
    <w:rsid w:val="006879D5"/>
    <w:rsid w:val="00690179"/>
    <w:rsid w:val="00690383"/>
    <w:rsid w:val="00690449"/>
    <w:rsid w:val="006913F3"/>
    <w:rsid w:val="0069199C"/>
    <w:rsid w:val="00691B4A"/>
    <w:rsid w:val="0069239F"/>
    <w:rsid w:val="0069287C"/>
    <w:rsid w:val="006929FF"/>
    <w:rsid w:val="00692C29"/>
    <w:rsid w:val="00693441"/>
    <w:rsid w:val="006934A8"/>
    <w:rsid w:val="006934FA"/>
    <w:rsid w:val="00694127"/>
    <w:rsid w:val="00694219"/>
    <w:rsid w:val="006942FB"/>
    <w:rsid w:val="0069461B"/>
    <w:rsid w:val="00694936"/>
    <w:rsid w:val="00695016"/>
    <w:rsid w:val="006958BB"/>
    <w:rsid w:val="00695BCF"/>
    <w:rsid w:val="00696A47"/>
    <w:rsid w:val="00697122"/>
    <w:rsid w:val="00697127"/>
    <w:rsid w:val="006A01A3"/>
    <w:rsid w:val="006A025D"/>
    <w:rsid w:val="006A133A"/>
    <w:rsid w:val="006A14C0"/>
    <w:rsid w:val="006A259A"/>
    <w:rsid w:val="006A2C24"/>
    <w:rsid w:val="006A2D79"/>
    <w:rsid w:val="006A3214"/>
    <w:rsid w:val="006A3253"/>
    <w:rsid w:val="006A3433"/>
    <w:rsid w:val="006A3674"/>
    <w:rsid w:val="006A377C"/>
    <w:rsid w:val="006A3B91"/>
    <w:rsid w:val="006A3D31"/>
    <w:rsid w:val="006A4377"/>
    <w:rsid w:val="006A48E1"/>
    <w:rsid w:val="006A4A8F"/>
    <w:rsid w:val="006A4BEE"/>
    <w:rsid w:val="006A5155"/>
    <w:rsid w:val="006A55BB"/>
    <w:rsid w:val="006A5BC1"/>
    <w:rsid w:val="006A5C97"/>
    <w:rsid w:val="006A6129"/>
    <w:rsid w:val="006A6286"/>
    <w:rsid w:val="006A648D"/>
    <w:rsid w:val="006A699D"/>
    <w:rsid w:val="006A73C4"/>
    <w:rsid w:val="006A773F"/>
    <w:rsid w:val="006A7B5C"/>
    <w:rsid w:val="006B07CC"/>
    <w:rsid w:val="006B118D"/>
    <w:rsid w:val="006B15FD"/>
    <w:rsid w:val="006B26DA"/>
    <w:rsid w:val="006B27D3"/>
    <w:rsid w:val="006B2F5A"/>
    <w:rsid w:val="006B37BC"/>
    <w:rsid w:val="006B43DA"/>
    <w:rsid w:val="006B532C"/>
    <w:rsid w:val="006B5941"/>
    <w:rsid w:val="006B5B46"/>
    <w:rsid w:val="006B5E2B"/>
    <w:rsid w:val="006B62C5"/>
    <w:rsid w:val="006B650D"/>
    <w:rsid w:val="006B6718"/>
    <w:rsid w:val="006B6E45"/>
    <w:rsid w:val="006B734F"/>
    <w:rsid w:val="006C01AB"/>
    <w:rsid w:val="006C01B8"/>
    <w:rsid w:val="006C06F2"/>
    <w:rsid w:val="006C0A6C"/>
    <w:rsid w:val="006C1906"/>
    <w:rsid w:val="006C2572"/>
    <w:rsid w:val="006C2698"/>
    <w:rsid w:val="006C2AFF"/>
    <w:rsid w:val="006C39D4"/>
    <w:rsid w:val="006C40BE"/>
    <w:rsid w:val="006C5746"/>
    <w:rsid w:val="006C5A5D"/>
    <w:rsid w:val="006C5DC6"/>
    <w:rsid w:val="006C6A68"/>
    <w:rsid w:val="006C6B46"/>
    <w:rsid w:val="006D0653"/>
    <w:rsid w:val="006D0965"/>
    <w:rsid w:val="006D0A6E"/>
    <w:rsid w:val="006D0B84"/>
    <w:rsid w:val="006D1BA2"/>
    <w:rsid w:val="006D1CCA"/>
    <w:rsid w:val="006D1ED8"/>
    <w:rsid w:val="006D2031"/>
    <w:rsid w:val="006D22B1"/>
    <w:rsid w:val="006D29A5"/>
    <w:rsid w:val="006D2CC6"/>
    <w:rsid w:val="006D2E83"/>
    <w:rsid w:val="006D30B9"/>
    <w:rsid w:val="006D330C"/>
    <w:rsid w:val="006D3D88"/>
    <w:rsid w:val="006D450A"/>
    <w:rsid w:val="006D4FBA"/>
    <w:rsid w:val="006D52E5"/>
    <w:rsid w:val="006D54C5"/>
    <w:rsid w:val="006D5D33"/>
    <w:rsid w:val="006D6139"/>
    <w:rsid w:val="006D6262"/>
    <w:rsid w:val="006D6728"/>
    <w:rsid w:val="006D6929"/>
    <w:rsid w:val="006D6A85"/>
    <w:rsid w:val="006D7922"/>
    <w:rsid w:val="006D7EA5"/>
    <w:rsid w:val="006D7F25"/>
    <w:rsid w:val="006E00F7"/>
    <w:rsid w:val="006E13C3"/>
    <w:rsid w:val="006E163B"/>
    <w:rsid w:val="006E257E"/>
    <w:rsid w:val="006E3563"/>
    <w:rsid w:val="006E394A"/>
    <w:rsid w:val="006E3B98"/>
    <w:rsid w:val="006E48C0"/>
    <w:rsid w:val="006E4925"/>
    <w:rsid w:val="006E518F"/>
    <w:rsid w:val="006E57E0"/>
    <w:rsid w:val="006E72C1"/>
    <w:rsid w:val="006E72F9"/>
    <w:rsid w:val="006E7EF1"/>
    <w:rsid w:val="006F005B"/>
    <w:rsid w:val="006F03C6"/>
    <w:rsid w:val="006F03DB"/>
    <w:rsid w:val="006F08AF"/>
    <w:rsid w:val="006F153C"/>
    <w:rsid w:val="006F1562"/>
    <w:rsid w:val="006F2014"/>
    <w:rsid w:val="006F2110"/>
    <w:rsid w:val="006F2199"/>
    <w:rsid w:val="006F235D"/>
    <w:rsid w:val="006F2605"/>
    <w:rsid w:val="006F2767"/>
    <w:rsid w:val="006F2941"/>
    <w:rsid w:val="006F2A04"/>
    <w:rsid w:val="006F331A"/>
    <w:rsid w:val="006F33C7"/>
    <w:rsid w:val="006F385F"/>
    <w:rsid w:val="006F3D17"/>
    <w:rsid w:val="006F3E3F"/>
    <w:rsid w:val="006F49F4"/>
    <w:rsid w:val="006F4DE9"/>
    <w:rsid w:val="006F633F"/>
    <w:rsid w:val="006F65EF"/>
    <w:rsid w:val="006F6B4F"/>
    <w:rsid w:val="006F6CB2"/>
    <w:rsid w:val="006F6CD1"/>
    <w:rsid w:val="006F78F3"/>
    <w:rsid w:val="006F7953"/>
    <w:rsid w:val="00700A91"/>
    <w:rsid w:val="00700A9E"/>
    <w:rsid w:val="007013F9"/>
    <w:rsid w:val="00702389"/>
    <w:rsid w:val="0070299C"/>
    <w:rsid w:val="00702F5E"/>
    <w:rsid w:val="0070314F"/>
    <w:rsid w:val="00703861"/>
    <w:rsid w:val="00703EC4"/>
    <w:rsid w:val="0070480D"/>
    <w:rsid w:val="00704B0B"/>
    <w:rsid w:val="00704F0D"/>
    <w:rsid w:val="007051BF"/>
    <w:rsid w:val="0070524A"/>
    <w:rsid w:val="00705EB6"/>
    <w:rsid w:val="007068F2"/>
    <w:rsid w:val="00706AD1"/>
    <w:rsid w:val="00706AD8"/>
    <w:rsid w:val="00706D4D"/>
    <w:rsid w:val="00706DF6"/>
    <w:rsid w:val="007075C6"/>
    <w:rsid w:val="00707862"/>
    <w:rsid w:val="007079BB"/>
    <w:rsid w:val="007105BF"/>
    <w:rsid w:val="007112B3"/>
    <w:rsid w:val="00711F78"/>
    <w:rsid w:val="007123BF"/>
    <w:rsid w:val="007127D3"/>
    <w:rsid w:val="00713177"/>
    <w:rsid w:val="007136B5"/>
    <w:rsid w:val="00713BC6"/>
    <w:rsid w:val="0071445A"/>
    <w:rsid w:val="00714CC8"/>
    <w:rsid w:val="00715593"/>
    <w:rsid w:val="00715B26"/>
    <w:rsid w:val="00715D3C"/>
    <w:rsid w:val="00716018"/>
    <w:rsid w:val="00716C23"/>
    <w:rsid w:val="00717204"/>
    <w:rsid w:val="007173E0"/>
    <w:rsid w:val="007177D4"/>
    <w:rsid w:val="00717FDF"/>
    <w:rsid w:val="00720783"/>
    <w:rsid w:val="007207E2"/>
    <w:rsid w:val="007214E6"/>
    <w:rsid w:val="007216F0"/>
    <w:rsid w:val="00721F08"/>
    <w:rsid w:val="0072267C"/>
    <w:rsid w:val="00723232"/>
    <w:rsid w:val="00723928"/>
    <w:rsid w:val="00723EAD"/>
    <w:rsid w:val="00725C36"/>
    <w:rsid w:val="0072618A"/>
    <w:rsid w:val="00726252"/>
    <w:rsid w:val="007263ED"/>
    <w:rsid w:val="007266EC"/>
    <w:rsid w:val="00727177"/>
    <w:rsid w:val="007274FD"/>
    <w:rsid w:val="007301E8"/>
    <w:rsid w:val="00730720"/>
    <w:rsid w:val="00730925"/>
    <w:rsid w:val="00730EF7"/>
    <w:rsid w:val="0073192E"/>
    <w:rsid w:val="00731971"/>
    <w:rsid w:val="00731C9E"/>
    <w:rsid w:val="00731D7F"/>
    <w:rsid w:val="0073264B"/>
    <w:rsid w:val="00732EC8"/>
    <w:rsid w:val="007330EC"/>
    <w:rsid w:val="00733652"/>
    <w:rsid w:val="00733A34"/>
    <w:rsid w:val="00733AD8"/>
    <w:rsid w:val="00733BE7"/>
    <w:rsid w:val="00734B7D"/>
    <w:rsid w:val="00734BE5"/>
    <w:rsid w:val="00735299"/>
    <w:rsid w:val="00735530"/>
    <w:rsid w:val="007355AE"/>
    <w:rsid w:val="00735A02"/>
    <w:rsid w:val="00735AC3"/>
    <w:rsid w:val="00735EED"/>
    <w:rsid w:val="0073613C"/>
    <w:rsid w:val="007368A4"/>
    <w:rsid w:val="00737B98"/>
    <w:rsid w:val="007408E8"/>
    <w:rsid w:val="00740E5D"/>
    <w:rsid w:val="00741BFB"/>
    <w:rsid w:val="00741D42"/>
    <w:rsid w:val="00741D52"/>
    <w:rsid w:val="00742798"/>
    <w:rsid w:val="00742D8E"/>
    <w:rsid w:val="0074359F"/>
    <w:rsid w:val="007435EC"/>
    <w:rsid w:val="00743B6A"/>
    <w:rsid w:val="00744142"/>
    <w:rsid w:val="007441E0"/>
    <w:rsid w:val="0074468B"/>
    <w:rsid w:val="00744736"/>
    <w:rsid w:val="00744817"/>
    <w:rsid w:val="00744C17"/>
    <w:rsid w:val="00744C3D"/>
    <w:rsid w:val="0074565F"/>
    <w:rsid w:val="00745BA9"/>
    <w:rsid w:val="00746288"/>
    <w:rsid w:val="0074647F"/>
    <w:rsid w:val="00746BF5"/>
    <w:rsid w:val="00746D5B"/>
    <w:rsid w:val="00747D48"/>
    <w:rsid w:val="00750A23"/>
    <w:rsid w:val="007510C4"/>
    <w:rsid w:val="007513E5"/>
    <w:rsid w:val="007514C7"/>
    <w:rsid w:val="00751939"/>
    <w:rsid w:val="00751B64"/>
    <w:rsid w:val="00751DE1"/>
    <w:rsid w:val="00752599"/>
    <w:rsid w:val="00752673"/>
    <w:rsid w:val="00752800"/>
    <w:rsid w:val="00753105"/>
    <w:rsid w:val="00753164"/>
    <w:rsid w:val="007545A5"/>
    <w:rsid w:val="0075464C"/>
    <w:rsid w:val="007547F4"/>
    <w:rsid w:val="007548A2"/>
    <w:rsid w:val="00754E8A"/>
    <w:rsid w:val="00754EB6"/>
    <w:rsid w:val="00755B78"/>
    <w:rsid w:val="00755E06"/>
    <w:rsid w:val="007560B9"/>
    <w:rsid w:val="00756347"/>
    <w:rsid w:val="00756770"/>
    <w:rsid w:val="00756F09"/>
    <w:rsid w:val="00756F72"/>
    <w:rsid w:val="00757B0C"/>
    <w:rsid w:val="007601C4"/>
    <w:rsid w:val="00760821"/>
    <w:rsid w:val="00760A14"/>
    <w:rsid w:val="0076154D"/>
    <w:rsid w:val="00761A8C"/>
    <w:rsid w:val="00762FD5"/>
    <w:rsid w:val="00763728"/>
    <w:rsid w:val="007640B9"/>
    <w:rsid w:val="007644C0"/>
    <w:rsid w:val="0076472C"/>
    <w:rsid w:val="007656AD"/>
    <w:rsid w:val="007657B0"/>
    <w:rsid w:val="00765E33"/>
    <w:rsid w:val="00766519"/>
    <w:rsid w:val="00766819"/>
    <w:rsid w:val="00767332"/>
    <w:rsid w:val="00767AF9"/>
    <w:rsid w:val="00767B4F"/>
    <w:rsid w:val="0077006C"/>
    <w:rsid w:val="007700CE"/>
    <w:rsid w:val="00770586"/>
    <w:rsid w:val="00770AC1"/>
    <w:rsid w:val="0077112F"/>
    <w:rsid w:val="00771246"/>
    <w:rsid w:val="00771833"/>
    <w:rsid w:val="00771E7B"/>
    <w:rsid w:val="00772070"/>
    <w:rsid w:val="00772807"/>
    <w:rsid w:val="00772B6F"/>
    <w:rsid w:val="00772C86"/>
    <w:rsid w:val="007730FE"/>
    <w:rsid w:val="007732C4"/>
    <w:rsid w:val="00773778"/>
    <w:rsid w:val="00774144"/>
    <w:rsid w:val="0077425A"/>
    <w:rsid w:val="0077490C"/>
    <w:rsid w:val="00774BAA"/>
    <w:rsid w:val="007754D6"/>
    <w:rsid w:val="00776AAC"/>
    <w:rsid w:val="00776F55"/>
    <w:rsid w:val="007770B5"/>
    <w:rsid w:val="007770B8"/>
    <w:rsid w:val="007774A1"/>
    <w:rsid w:val="007778C6"/>
    <w:rsid w:val="00777E7D"/>
    <w:rsid w:val="00777EDD"/>
    <w:rsid w:val="00777F5D"/>
    <w:rsid w:val="007800E2"/>
    <w:rsid w:val="007801F3"/>
    <w:rsid w:val="007808D5"/>
    <w:rsid w:val="00780F58"/>
    <w:rsid w:val="00780FBF"/>
    <w:rsid w:val="00782136"/>
    <w:rsid w:val="00782E90"/>
    <w:rsid w:val="007837A3"/>
    <w:rsid w:val="00784235"/>
    <w:rsid w:val="007843BE"/>
    <w:rsid w:val="0078440D"/>
    <w:rsid w:val="00784753"/>
    <w:rsid w:val="0078528D"/>
    <w:rsid w:val="00785853"/>
    <w:rsid w:val="007858AF"/>
    <w:rsid w:val="00785DDC"/>
    <w:rsid w:val="007867A0"/>
    <w:rsid w:val="00786B7C"/>
    <w:rsid w:val="00786EA2"/>
    <w:rsid w:val="007876E9"/>
    <w:rsid w:val="007878D2"/>
    <w:rsid w:val="00787A41"/>
    <w:rsid w:val="00787C62"/>
    <w:rsid w:val="00787F6C"/>
    <w:rsid w:val="0079053A"/>
    <w:rsid w:val="0079073F"/>
    <w:rsid w:val="00790B13"/>
    <w:rsid w:val="00790F99"/>
    <w:rsid w:val="00791033"/>
    <w:rsid w:val="00791136"/>
    <w:rsid w:val="00791587"/>
    <w:rsid w:val="0079160B"/>
    <w:rsid w:val="007921D6"/>
    <w:rsid w:val="0079256C"/>
    <w:rsid w:val="007925D7"/>
    <w:rsid w:val="0079283F"/>
    <w:rsid w:val="007929F9"/>
    <w:rsid w:val="00793066"/>
    <w:rsid w:val="0079311E"/>
    <w:rsid w:val="00793C5B"/>
    <w:rsid w:val="00795312"/>
    <w:rsid w:val="0079607B"/>
    <w:rsid w:val="007961DA"/>
    <w:rsid w:val="00796E52"/>
    <w:rsid w:val="00796EDC"/>
    <w:rsid w:val="0079718B"/>
    <w:rsid w:val="007971BE"/>
    <w:rsid w:val="007975E5"/>
    <w:rsid w:val="0079783B"/>
    <w:rsid w:val="007979F9"/>
    <w:rsid w:val="00797D30"/>
    <w:rsid w:val="00797FCC"/>
    <w:rsid w:val="007A032E"/>
    <w:rsid w:val="007A0C42"/>
    <w:rsid w:val="007A1C7B"/>
    <w:rsid w:val="007A1D06"/>
    <w:rsid w:val="007A1E38"/>
    <w:rsid w:val="007A24C3"/>
    <w:rsid w:val="007A32A4"/>
    <w:rsid w:val="007A3424"/>
    <w:rsid w:val="007A3436"/>
    <w:rsid w:val="007A363F"/>
    <w:rsid w:val="007A40EB"/>
    <w:rsid w:val="007A46EB"/>
    <w:rsid w:val="007A4852"/>
    <w:rsid w:val="007A4DC5"/>
    <w:rsid w:val="007A4E8D"/>
    <w:rsid w:val="007A4F6B"/>
    <w:rsid w:val="007A5146"/>
    <w:rsid w:val="007A5453"/>
    <w:rsid w:val="007A584F"/>
    <w:rsid w:val="007A6A3B"/>
    <w:rsid w:val="007A6AF6"/>
    <w:rsid w:val="007A6C3E"/>
    <w:rsid w:val="007A6C8C"/>
    <w:rsid w:val="007A70B8"/>
    <w:rsid w:val="007A7649"/>
    <w:rsid w:val="007A7E22"/>
    <w:rsid w:val="007B039E"/>
    <w:rsid w:val="007B0555"/>
    <w:rsid w:val="007B1546"/>
    <w:rsid w:val="007B1682"/>
    <w:rsid w:val="007B17BB"/>
    <w:rsid w:val="007B187C"/>
    <w:rsid w:val="007B22EA"/>
    <w:rsid w:val="007B257C"/>
    <w:rsid w:val="007B2DA6"/>
    <w:rsid w:val="007B3558"/>
    <w:rsid w:val="007B3F1F"/>
    <w:rsid w:val="007B4078"/>
    <w:rsid w:val="007B4091"/>
    <w:rsid w:val="007B4766"/>
    <w:rsid w:val="007B507E"/>
    <w:rsid w:val="007B54AC"/>
    <w:rsid w:val="007B588B"/>
    <w:rsid w:val="007B590C"/>
    <w:rsid w:val="007B5D5C"/>
    <w:rsid w:val="007B5D70"/>
    <w:rsid w:val="007B6828"/>
    <w:rsid w:val="007B6863"/>
    <w:rsid w:val="007B68AD"/>
    <w:rsid w:val="007B7C54"/>
    <w:rsid w:val="007C006B"/>
    <w:rsid w:val="007C006C"/>
    <w:rsid w:val="007C0156"/>
    <w:rsid w:val="007C02F4"/>
    <w:rsid w:val="007C040D"/>
    <w:rsid w:val="007C062A"/>
    <w:rsid w:val="007C1123"/>
    <w:rsid w:val="007C16ED"/>
    <w:rsid w:val="007C1890"/>
    <w:rsid w:val="007C1AB3"/>
    <w:rsid w:val="007C1B36"/>
    <w:rsid w:val="007C1C3D"/>
    <w:rsid w:val="007C1EB5"/>
    <w:rsid w:val="007C23EB"/>
    <w:rsid w:val="007C25EE"/>
    <w:rsid w:val="007C29BF"/>
    <w:rsid w:val="007C336A"/>
    <w:rsid w:val="007C3A29"/>
    <w:rsid w:val="007C3BDC"/>
    <w:rsid w:val="007C40F3"/>
    <w:rsid w:val="007C414F"/>
    <w:rsid w:val="007C432B"/>
    <w:rsid w:val="007C510E"/>
    <w:rsid w:val="007C5685"/>
    <w:rsid w:val="007C5FF3"/>
    <w:rsid w:val="007C643E"/>
    <w:rsid w:val="007C6838"/>
    <w:rsid w:val="007C6AFB"/>
    <w:rsid w:val="007C7D7F"/>
    <w:rsid w:val="007D061F"/>
    <w:rsid w:val="007D08D7"/>
    <w:rsid w:val="007D0E32"/>
    <w:rsid w:val="007D1643"/>
    <w:rsid w:val="007D1E75"/>
    <w:rsid w:val="007D21A7"/>
    <w:rsid w:val="007D24F5"/>
    <w:rsid w:val="007D2751"/>
    <w:rsid w:val="007D2B51"/>
    <w:rsid w:val="007D3834"/>
    <w:rsid w:val="007D49F8"/>
    <w:rsid w:val="007D4C7C"/>
    <w:rsid w:val="007D5788"/>
    <w:rsid w:val="007D5C03"/>
    <w:rsid w:val="007D61CD"/>
    <w:rsid w:val="007D6BD7"/>
    <w:rsid w:val="007D6C59"/>
    <w:rsid w:val="007D6F4D"/>
    <w:rsid w:val="007D7263"/>
    <w:rsid w:val="007D73C8"/>
    <w:rsid w:val="007D7725"/>
    <w:rsid w:val="007D7FD7"/>
    <w:rsid w:val="007E045F"/>
    <w:rsid w:val="007E07EA"/>
    <w:rsid w:val="007E100D"/>
    <w:rsid w:val="007E1BC9"/>
    <w:rsid w:val="007E2143"/>
    <w:rsid w:val="007E2506"/>
    <w:rsid w:val="007E2FFD"/>
    <w:rsid w:val="007E322A"/>
    <w:rsid w:val="007E35BE"/>
    <w:rsid w:val="007E35F6"/>
    <w:rsid w:val="007E4B79"/>
    <w:rsid w:val="007E509F"/>
    <w:rsid w:val="007E51E8"/>
    <w:rsid w:val="007E5A29"/>
    <w:rsid w:val="007E5D7E"/>
    <w:rsid w:val="007E65F3"/>
    <w:rsid w:val="007E7044"/>
    <w:rsid w:val="007E7460"/>
    <w:rsid w:val="007E764B"/>
    <w:rsid w:val="007E79AB"/>
    <w:rsid w:val="007E7CBD"/>
    <w:rsid w:val="007F08E5"/>
    <w:rsid w:val="007F0CEC"/>
    <w:rsid w:val="007F16BF"/>
    <w:rsid w:val="007F1EB9"/>
    <w:rsid w:val="007F225C"/>
    <w:rsid w:val="007F2D69"/>
    <w:rsid w:val="007F3520"/>
    <w:rsid w:val="007F399F"/>
    <w:rsid w:val="007F4AE0"/>
    <w:rsid w:val="007F6404"/>
    <w:rsid w:val="007F6D84"/>
    <w:rsid w:val="007F6D9B"/>
    <w:rsid w:val="007F6FA7"/>
    <w:rsid w:val="007F72E1"/>
    <w:rsid w:val="007F7467"/>
    <w:rsid w:val="007F7688"/>
    <w:rsid w:val="008001D1"/>
    <w:rsid w:val="00800650"/>
    <w:rsid w:val="00800D70"/>
    <w:rsid w:val="008015FF"/>
    <w:rsid w:val="0080177D"/>
    <w:rsid w:val="00801BA7"/>
    <w:rsid w:val="008024CE"/>
    <w:rsid w:val="00802B73"/>
    <w:rsid w:val="00802E7D"/>
    <w:rsid w:val="0080358C"/>
    <w:rsid w:val="0080394B"/>
    <w:rsid w:val="00803D1A"/>
    <w:rsid w:val="008046BB"/>
    <w:rsid w:val="008048CF"/>
    <w:rsid w:val="00804B46"/>
    <w:rsid w:val="00804F9F"/>
    <w:rsid w:val="00804FCA"/>
    <w:rsid w:val="008059FE"/>
    <w:rsid w:val="00805A23"/>
    <w:rsid w:val="008064B7"/>
    <w:rsid w:val="00806FE7"/>
    <w:rsid w:val="008074A9"/>
    <w:rsid w:val="008076CE"/>
    <w:rsid w:val="0080771C"/>
    <w:rsid w:val="008104B0"/>
    <w:rsid w:val="008108F6"/>
    <w:rsid w:val="00811073"/>
    <w:rsid w:val="00811729"/>
    <w:rsid w:val="008121DC"/>
    <w:rsid w:val="008123DB"/>
    <w:rsid w:val="008135AA"/>
    <w:rsid w:val="0081390E"/>
    <w:rsid w:val="00813964"/>
    <w:rsid w:val="0081445B"/>
    <w:rsid w:val="008144F0"/>
    <w:rsid w:val="008148B4"/>
    <w:rsid w:val="00814CBF"/>
    <w:rsid w:val="008168FD"/>
    <w:rsid w:val="00816ADD"/>
    <w:rsid w:val="00817144"/>
    <w:rsid w:val="00817341"/>
    <w:rsid w:val="00817BB2"/>
    <w:rsid w:val="0082025D"/>
    <w:rsid w:val="00820545"/>
    <w:rsid w:val="0082068D"/>
    <w:rsid w:val="00820964"/>
    <w:rsid w:val="00820B45"/>
    <w:rsid w:val="00820F78"/>
    <w:rsid w:val="00820F7D"/>
    <w:rsid w:val="00821850"/>
    <w:rsid w:val="00822825"/>
    <w:rsid w:val="00822D30"/>
    <w:rsid w:val="00822F20"/>
    <w:rsid w:val="008238D7"/>
    <w:rsid w:val="00823EF4"/>
    <w:rsid w:val="008243D9"/>
    <w:rsid w:val="00824B36"/>
    <w:rsid w:val="00825508"/>
    <w:rsid w:val="00825537"/>
    <w:rsid w:val="008255FC"/>
    <w:rsid w:val="00825E2E"/>
    <w:rsid w:val="00825E53"/>
    <w:rsid w:val="008267CE"/>
    <w:rsid w:val="008267E8"/>
    <w:rsid w:val="00826A34"/>
    <w:rsid w:val="0082745B"/>
    <w:rsid w:val="0082766F"/>
    <w:rsid w:val="008277DE"/>
    <w:rsid w:val="00827AA0"/>
    <w:rsid w:val="00830378"/>
    <w:rsid w:val="008313B0"/>
    <w:rsid w:val="0083151F"/>
    <w:rsid w:val="00831A22"/>
    <w:rsid w:val="00832B15"/>
    <w:rsid w:val="008336D9"/>
    <w:rsid w:val="0083408B"/>
    <w:rsid w:val="00834E7C"/>
    <w:rsid w:val="00834F6B"/>
    <w:rsid w:val="00835E4C"/>
    <w:rsid w:val="00836559"/>
    <w:rsid w:val="00836D9B"/>
    <w:rsid w:val="00836E87"/>
    <w:rsid w:val="00837641"/>
    <w:rsid w:val="00837B3F"/>
    <w:rsid w:val="008400DC"/>
    <w:rsid w:val="0084221C"/>
    <w:rsid w:val="00842F61"/>
    <w:rsid w:val="008437A6"/>
    <w:rsid w:val="008437CE"/>
    <w:rsid w:val="00844133"/>
    <w:rsid w:val="008441A2"/>
    <w:rsid w:val="0084483F"/>
    <w:rsid w:val="008449AC"/>
    <w:rsid w:val="00844CFF"/>
    <w:rsid w:val="0084604E"/>
    <w:rsid w:val="008463F3"/>
    <w:rsid w:val="008473D8"/>
    <w:rsid w:val="008500EE"/>
    <w:rsid w:val="00850C9D"/>
    <w:rsid w:val="00850E4A"/>
    <w:rsid w:val="00851221"/>
    <w:rsid w:val="00851384"/>
    <w:rsid w:val="008513E4"/>
    <w:rsid w:val="00851F00"/>
    <w:rsid w:val="00851F8A"/>
    <w:rsid w:val="00852310"/>
    <w:rsid w:val="008529D7"/>
    <w:rsid w:val="00853093"/>
    <w:rsid w:val="00853834"/>
    <w:rsid w:val="008541F1"/>
    <w:rsid w:val="00854A5C"/>
    <w:rsid w:val="00855932"/>
    <w:rsid w:val="00855AFA"/>
    <w:rsid w:val="00855CFE"/>
    <w:rsid w:val="00855F82"/>
    <w:rsid w:val="008562B7"/>
    <w:rsid w:val="00856D5A"/>
    <w:rsid w:val="00857FB0"/>
    <w:rsid w:val="008607BA"/>
    <w:rsid w:val="00861E26"/>
    <w:rsid w:val="00861EF7"/>
    <w:rsid w:val="00862026"/>
    <w:rsid w:val="00862054"/>
    <w:rsid w:val="00862211"/>
    <w:rsid w:val="008622CA"/>
    <w:rsid w:val="00862ED1"/>
    <w:rsid w:val="0086311F"/>
    <w:rsid w:val="00863807"/>
    <w:rsid w:val="00863CF0"/>
    <w:rsid w:val="00864463"/>
    <w:rsid w:val="00864D0F"/>
    <w:rsid w:val="00864ED9"/>
    <w:rsid w:val="0086513B"/>
    <w:rsid w:val="00865B32"/>
    <w:rsid w:val="0086663D"/>
    <w:rsid w:val="00866BCD"/>
    <w:rsid w:val="00867664"/>
    <w:rsid w:val="008676E0"/>
    <w:rsid w:val="00867895"/>
    <w:rsid w:val="008678C4"/>
    <w:rsid w:val="00867981"/>
    <w:rsid w:val="00867AE2"/>
    <w:rsid w:val="00867FD3"/>
    <w:rsid w:val="0087086A"/>
    <w:rsid w:val="008708B2"/>
    <w:rsid w:val="0087090B"/>
    <w:rsid w:val="00871A5E"/>
    <w:rsid w:val="0087224D"/>
    <w:rsid w:val="00872932"/>
    <w:rsid w:val="008731E7"/>
    <w:rsid w:val="0087440B"/>
    <w:rsid w:val="00874744"/>
    <w:rsid w:val="00874796"/>
    <w:rsid w:val="008748A2"/>
    <w:rsid w:val="00874B0D"/>
    <w:rsid w:val="008752B9"/>
    <w:rsid w:val="0087552B"/>
    <w:rsid w:val="00875896"/>
    <w:rsid w:val="00876D91"/>
    <w:rsid w:val="0087714D"/>
    <w:rsid w:val="00877CF3"/>
    <w:rsid w:val="00880299"/>
    <w:rsid w:val="00880580"/>
    <w:rsid w:val="00880938"/>
    <w:rsid w:val="008810A7"/>
    <w:rsid w:val="00881582"/>
    <w:rsid w:val="008831FE"/>
    <w:rsid w:val="0088350B"/>
    <w:rsid w:val="00883F67"/>
    <w:rsid w:val="0088410D"/>
    <w:rsid w:val="0088435D"/>
    <w:rsid w:val="00884735"/>
    <w:rsid w:val="008847A8"/>
    <w:rsid w:val="00884A7B"/>
    <w:rsid w:val="008865D2"/>
    <w:rsid w:val="00886ADA"/>
    <w:rsid w:val="00887151"/>
    <w:rsid w:val="00887315"/>
    <w:rsid w:val="00891E16"/>
    <w:rsid w:val="00891EF6"/>
    <w:rsid w:val="0089208D"/>
    <w:rsid w:val="008929BD"/>
    <w:rsid w:val="00892EA5"/>
    <w:rsid w:val="00893215"/>
    <w:rsid w:val="0089354B"/>
    <w:rsid w:val="00893A2D"/>
    <w:rsid w:val="00893C64"/>
    <w:rsid w:val="00893F21"/>
    <w:rsid w:val="00894378"/>
    <w:rsid w:val="00894C3A"/>
    <w:rsid w:val="00894E2B"/>
    <w:rsid w:val="00894F36"/>
    <w:rsid w:val="008958AF"/>
    <w:rsid w:val="00896003"/>
    <w:rsid w:val="0089688E"/>
    <w:rsid w:val="00896F06"/>
    <w:rsid w:val="00897DD7"/>
    <w:rsid w:val="008A0054"/>
    <w:rsid w:val="008A079A"/>
    <w:rsid w:val="008A0922"/>
    <w:rsid w:val="008A0961"/>
    <w:rsid w:val="008A1726"/>
    <w:rsid w:val="008A1BD1"/>
    <w:rsid w:val="008A291E"/>
    <w:rsid w:val="008A2FA0"/>
    <w:rsid w:val="008A439D"/>
    <w:rsid w:val="008A4ECB"/>
    <w:rsid w:val="008A534F"/>
    <w:rsid w:val="008A5748"/>
    <w:rsid w:val="008A60E0"/>
    <w:rsid w:val="008A6260"/>
    <w:rsid w:val="008A6376"/>
    <w:rsid w:val="008A66B4"/>
    <w:rsid w:val="008A6C51"/>
    <w:rsid w:val="008A774B"/>
    <w:rsid w:val="008B0323"/>
    <w:rsid w:val="008B05D3"/>
    <w:rsid w:val="008B0C78"/>
    <w:rsid w:val="008B1528"/>
    <w:rsid w:val="008B1C48"/>
    <w:rsid w:val="008B1D60"/>
    <w:rsid w:val="008B1FF5"/>
    <w:rsid w:val="008B2B2F"/>
    <w:rsid w:val="008B2EF4"/>
    <w:rsid w:val="008B3009"/>
    <w:rsid w:val="008B3846"/>
    <w:rsid w:val="008B3D50"/>
    <w:rsid w:val="008B459D"/>
    <w:rsid w:val="008B4775"/>
    <w:rsid w:val="008B54C5"/>
    <w:rsid w:val="008B58D8"/>
    <w:rsid w:val="008B58FD"/>
    <w:rsid w:val="008B5B68"/>
    <w:rsid w:val="008B6033"/>
    <w:rsid w:val="008B6786"/>
    <w:rsid w:val="008B6B42"/>
    <w:rsid w:val="008B7FBD"/>
    <w:rsid w:val="008C00AA"/>
    <w:rsid w:val="008C03B6"/>
    <w:rsid w:val="008C0637"/>
    <w:rsid w:val="008C0925"/>
    <w:rsid w:val="008C11A7"/>
    <w:rsid w:val="008C15BF"/>
    <w:rsid w:val="008C1780"/>
    <w:rsid w:val="008C187E"/>
    <w:rsid w:val="008C2710"/>
    <w:rsid w:val="008C2912"/>
    <w:rsid w:val="008C2AC1"/>
    <w:rsid w:val="008C2B2C"/>
    <w:rsid w:val="008C2B4E"/>
    <w:rsid w:val="008C34C0"/>
    <w:rsid w:val="008C4197"/>
    <w:rsid w:val="008C46A7"/>
    <w:rsid w:val="008C47CB"/>
    <w:rsid w:val="008C4E24"/>
    <w:rsid w:val="008C4FEC"/>
    <w:rsid w:val="008C5332"/>
    <w:rsid w:val="008C5362"/>
    <w:rsid w:val="008C5D66"/>
    <w:rsid w:val="008C5E8B"/>
    <w:rsid w:val="008C698D"/>
    <w:rsid w:val="008C6A6E"/>
    <w:rsid w:val="008C73D4"/>
    <w:rsid w:val="008C750E"/>
    <w:rsid w:val="008D079C"/>
    <w:rsid w:val="008D1475"/>
    <w:rsid w:val="008D14A0"/>
    <w:rsid w:val="008D1601"/>
    <w:rsid w:val="008D164E"/>
    <w:rsid w:val="008D2969"/>
    <w:rsid w:val="008D315B"/>
    <w:rsid w:val="008D3224"/>
    <w:rsid w:val="008D3312"/>
    <w:rsid w:val="008D33D4"/>
    <w:rsid w:val="008D3510"/>
    <w:rsid w:val="008D3A35"/>
    <w:rsid w:val="008D4BA8"/>
    <w:rsid w:val="008D4BDB"/>
    <w:rsid w:val="008D4CE1"/>
    <w:rsid w:val="008D5447"/>
    <w:rsid w:val="008D698F"/>
    <w:rsid w:val="008D7011"/>
    <w:rsid w:val="008D750C"/>
    <w:rsid w:val="008D7E02"/>
    <w:rsid w:val="008E00F2"/>
    <w:rsid w:val="008E033D"/>
    <w:rsid w:val="008E0E72"/>
    <w:rsid w:val="008E17C1"/>
    <w:rsid w:val="008E1E0A"/>
    <w:rsid w:val="008E201D"/>
    <w:rsid w:val="008E2D65"/>
    <w:rsid w:val="008E32C1"/>
    <w:rsid w:val="008E3315"/>
    <w:rsid w:val="008E3E15"/>
    <w:rsid w:val="008E4547"/>
    <w:rsid w:val="008E45B5"/>
    <w:rsid w:val="008E54EC"/>
    <w:rsid w:val="008E5EAD"/>
    <w:rsid w:val="008E6715"/>
    <w:rsid w:val="008E6F56"/>
    <w:rsid w:val="008E7531"/>
    <w:rsid w:val="008F0943"/>
    <w:rsid w:val="008F0E46"/>
    <w:rsid w:val="008F0E7F"/>
    <w:rsid w:val="008F148C"/>
    <w:rsid w:val="008F271D"/>
    <w:rsid w:val="008F2E81"/>
    <w:rsid w:val="008F33E9"/>
    <w:rsid w:val="008F346D"/>
    <w:rsid w:val="008F37F7"/>
    <w:rsid w:val="008F4F0D"/>
    <w:rsid w:val="008F511E"/>
    <w:rsid w:val="008F55B2"/>
    <w:rsid w:val="008F5976"/>
    <w:rsid w:val="008F61D8"/>
    <w:rsid w:val="008F628B"/>
    <w:rsid w:val="008F669F"/>
    <w:rsid w:val="008F6A3E"/>
    <w:rsid w:val="008F6AAB"/>
    <w:rsid w:val="008F6B20"/>
    <w:rsid w:val="008F6ED6"/>
    <w:rsid w:val="008F70F1"/>
    <w:rsid w:val="008F7632"/>
    <w:rsid w:val="008F7AC1"/>
    <w:rsid w:val="008F7CA9"/>
    <w:rsid w:val="00900018"/>
    <w:rsid w:val="009004AF"/>
    <w:rsid w:val="00900649"/>
    <w:rsid w:val="00900D28"/>
    <w:rsid w:val="009013EF"/>
    <w:rsid w:val="0090167F"/>
    <w:rsid w:val="009017A2"/>
    <w:rsid w:val="00901B28"/>
    <w:rsid w:val="00902297"/>
    <w:rsid w:val="0090232D"/>
    <w:rsid w:val="0090237E"/>
    <w:rsid w:val="00902811"/>
    <w:rsid w:val="009035C6"/>
    <w:rsid w:val="009038FD"/>
    <w:rsid w:val="00904579"/>
    <w:rsid w:val="00905114"/>
    <w:rsid w:val="0090539D"/>
    <w:rsid w:val="009055E8"/>
    <w:rsid w:val="0090629A"/>
    <w:rsid w:val="0090654B"/>
    <w:rsid w:val="009069CD"/>
    <w:rsid w:val="00906CCC"/>
    <w:rsid w:val="00906D64"/>
    <w:rsid w:val="00906DB6"/>
    <w:rsid w:val="00906DE9"/>
    <w:rsid w:val="00907626"/>
    <w:rsid w:val="00907EAD"/>
    <w:rsid w:val="0091075C"/>
    <w:rsid w:val="00910B4D"/>
    <w:rsid w:val="00910E5A"/>
    <w:rsid w:val="00911FBC"/>
    <w:rsid w:val="00912514"/>
    <w:rsid w:val="00912843"/>
    <w:rsid w:val="00912E26"/>
    <w:rsid w:val="0091329A"/>
    <w:rsid w:val="00913449"/>
    <w:rsid w:val="00913490"/>
    <w:rsid w:val="00913498"/>
    <w:rsid w:val="00913685"/>
    <w:rsid w:val="00913D09"/>
    <w:rsid w:val="00915219"/>
    <w:rsid w:val="0091586C"/>
    <w:rsid w:val="0091629D"/>
    <w:rsid w:val="0091648E"/>
    <w:rsid w:val="00916CF8"/>
    <w:rsid w:val="0091735C"/>
    <w:rsid w:val="009178D7"/>
    <w:rsid w:val="00917A3C"/>
    <w:rsid w:val="00920938"/>
    <w:rsid w:val="009213DB"/>
    <w:rsid w:val="00921481"/>
    <w:rsid w:val="009221CD"/>
    <w:rsid w:val="00922389"/>
    <w:rsid w:val="0092275F"/>
    <w:rsid w:val="009227D9"/>
    <w:rsid w:val="00922E1C"/>
    <w:rsid w:val="0092304A"/>
    <w:rsid w:val="00923306"/>
    <w:rsid w:val="00923828"/>
    <w:rsid w:val="00924A25"/>
    <w:rsid w:val="009250A8"/>
    <w:rsid w:val="0092525A"/>
    <w:rsid w:val="009259A0"/>
    <w:rsid w:val="00925BC3"/>
    <w:rsid w:val="0092689E"/>
    <w:rsid w:val="00926975"/>
    <w:rsid w:val="009269EB"/>
    <w:rsid w:val="00926C21"/>
    <w:rsid w:val="00926EB2"/>
    <w:rsid w:val="00926F6D"/>
    <w:rsid w:val="00927487"/>
    <w:rsid w:val="0092751D"/>
    <w:rsid w:val="00927DE4"/>
    <w:rsid w:val="00927EC5"/>
    <w:rsid w:val="00930176"/>
    <w:rsid w:val="009302F4"/>
    <w:rsid w:val="009307C8"/>
    <w:rsid w:val="00930A2F"/>
    <w:rsid w:val="009311E8"/>
    <w:rsid w:val="00931B59"/>
    <w:rsid w:val="00932FCE"/>
    <w:rsid w:val="00933434"/>
    <w:rsid w:val="00933F9F"/>
    <w:rsid w:val="0093415F"/>
    <w:rsid w:val="009353E3"/>
    <w:rsid w:val="009355EB"/>
    <w:rsid w:val="009359E1"/>
    <w:rsid w:val="00935D05"/>
    <w:rsid w:val="0093647D"/>
    <w:rsid w:val="0093656C"/>
    <w:rsid w:val="00936C02"/>
    <w:rsid w:val="009374FD"/>
    <w:rsid w:val="009376E9"/>
    <w:rsid w:val="00937B16"/>
    <w:rsid w:val="00937E6A"/>
    <w:rsid w:val="00937F24"/>
    <w:rsid w:val="00937F7A"/>
    <w:rsid w:val="00940180"/>
    <w:rsid w:val="0094030B"/>
    <w:rsid w:val="0094096A"/>
    <w:rsid w:val="00940CAA"/>
    <w:rsid w:val="0094104B"/>
    <w:rsid w:val="00941876"/>
    <w:rsid w:val="00941AE8"/>
    <w:rsid w:val="00942298"/>
    <w:rsid w:val="0094249D"/>
    <w:rsid w:val="00942AC8"/>
    <w:rsid w:val="00945A20"/>
    <w:rsid w:val="00946409"/>
    <w:rsid w:val="00946985"/>
    <w:rsid w:val="009470FF"/>
    <w:rsid w:val="009473E4"/>
    <w:rsid w:val="009474EA"/>
    <w:rsid w:val="009475E4"/>
    <w:rsid w:val="00947637"/>
    <w:rsid w:val="00947E54"/>
    <w:rsid w:val="00950043"/>
    <w:rsid w:val="009503AC"/>
    <w:rsid w:val="00950617"/>
    <w:rsid w:val="0095160B"/>
    <w:rsid w:val="0095179D"/>
    <w:rsid w:val="00951CE7"/>
    <w:rsid w:val="00951CFE"/>
    <w:rsid w:val="0095231D"/>
    <w:rsid w:val="0095251B"/>
    <w:rsid w:val="00953111"/>
    <w:rsid w:val="0095455E"/>
    <w:rsid w:val="00954592"/>
    <w:rsid w:val="0095497B"/>
    <w:rsid w:val="00954D52"/>
    <w:rsid w:val="0095593A"/>
    <w:rsid w:val="00955E00"/>
    <w:rsid w:val="00956038"/>
    <w:rsid w:val="00956A87"/>
    <w:rsid w:val="00957033"/>
    <w:rsid w:val="009571B4"/>
    <w:rsid w:val="0095749A"/>
    <w:rsid w:val="00960188"/>
    <w:rsid w:val="009605F1"/>
    <w:rsid w:val="00960686"/>
    <w:rsid w:val="00961FB8"/>
    <w:rsid w:val="00962140"/>
    <w:rsid w:val="00962152"/>
    <w:rsid w:val="009622EB"/>
    <w:rsid w:val="00962946"/>
    <w:rsid w:val="00962EAF"/>
    <w:rsid w:val="009632A4"/>
    <w:rsid w:val="00963486"/>
    <w:rsid w:val="00963974"/>
    <w:rsid w:val="00963F1A"/>
    <w:rsid w:val="009640D2"/>
    <w:rsid w:val="00964132"/>
    <w:rsid w:val="0096415F"/>
    <w:rsid w:val="0096444F"/>
    <w:rsid w:val="009644D0"/>
    <w:rsid w:val="0096455A"/>
    <w:rsid w:val="00964827"/>
    <w:rsid w:val="0096504B"/>
    <w:rsid w:val="00965402"/>
    <w:rsid w:val="00965B6F"/>
    <w:rsid w:val="00965FCC"/>
    <w:rsid w:val="00966489"/>
    <w:rsid w:val="00966571"/>
    <w:rsid w:val="00967773"/>
    <w:rsid w:val="009679BB"/>
    <w:rsid w:val="00970631"/>
    <w:rsid w:val="00970814"/>
    <w:rsid w:val="00970BB8"/>
    <w:rsid w:val="00971575"/>
    <w:rsid w:val="00971615"/>
    <w:rsid w:val="00972248"/>
    <w:rsid w:val="009725CC"/>
    <w:rsid w:val="009728C6"/>
    <w:rsid w:val="00972B2C"/>
    <w:rsid w:val="00972F59"/>
    <w:rsid w:val="009737A3"/>
    <w:rsid w:val="00973BC7"/>
    <w:rsid w:val="00974935"/>
    <w:rsid w:val="00974DAE"/>
    <w:rsid w:val="00975BD9"/>
    <w:rsid w:val="00976216"/>
    <w:rsid w:val="009767FE"/>
    <w:rsid w:val="00976C8B"/>
    <w:rsid w:val="00976E8A"/>
    <w:rsid w:val="00976EE2"/>
    <w:rsid w:val="0097758F"/>
    <w:rsid w:val="00977F11"/>
    <w:rsid w:val="0098057B"/>
    <w:rsid w:val="00980599"/>
    <w:rsid w:val="00980CD4"/>
    <w:rsid w:val="00981397"/>
    <w:rsid w:val="0098181D"/>
    <w:rsid w:val="00981D1E"/>
    <w:rsid w:val="00982287"/>
    <w:rsid w:val="00982367"/>
    <w:rsid w:val="00982781"/>
    <w:rsid w:val="00982C2A"/>
    <w:rsid w:val="00983006"/>
    <w:rsid w:val="00984295"/>
    <w:rsid w:val="009849E8"/>
    <w:rsid w:val="00984DF9"/>
    <w:rsid w:val="00985A57"/>
    <w:rsid w:val="00985ABB"/>
    <w:rsid w:val="00985CF5"/>
    <w:rsid w:val="00986D2C"/>
    <w:rsid w:val="00986D6F"/>
    <w:rsid w:val="00990E90"/>
    <w:rsid w:val="00991594"/>
    <w:rsid w:val="0099204A"/>
    <w:rsid w:val="0099205E"/>
    <w:rsid w:val="009929EC"/>
    <w:rsid w:val="00992EB5"/>
    <w:rsid w:val="0099367E"/>
    <w:rsid w:val="0099391B"/>
    <w:rsid w:val="00993B23"/>
    <w:rsid w:val="00994315"/>
    <w:rsid w:val="00994411"/>
    <w:rsid w:val="00994D80"/>
    <w:rsid w:val="00995272"/>
    <w:rsid w:val="0099562C"/>
    <w:rsid w:val="00995660"/>
    <w:rsid w:val="0099574F"/>
    <w:rsid w:val="00995805"/>
    <w:rsid w:val="00995A7B"/>
    <w:rsid w:val="00995A85"/>
    <w:rsid w:val="00996843"/>
    <w:rsid w:val="00996B60"/>
    <w:rsid w:val="00997BD7"/>
    <w:rsid w:val="00997D25"/>
    <w:rsid w:val="009A03AB"/>
    <w:rsid w:val="009A05A0"/>
    <w:rsid w:val="009A08AF"/>
    <w:rsid w:val="009A1B22"/>
    <w:rsid w:val="009A1E77"/>
    <w:rsid w:val="009A3A38"/>
    <w:rsid w:val="009A3BED"/>
    <w:rsid w:val="009A4081"/>
    <w:rsid w:val="009A41F1"/>
    <w:rsid w:val="009A463F"/>
    <w:rsid w:val="009A5354"/>
    <w:rsid w:val="009A5562"/>
    <w:rsid w:val="009A5686"/>
    <w:rsid w:val="009A5B45"/>
    <w:rsid w:val="009A5FEA"/>
    <w:rsid w:val="009A645A"/>
    <w:rsid w:val="009A6B0D"/>
    <w:rsid w:val="009A6C09"/>
    <w:rsid w:val="009A76EC"/>
    <w:rsid w:val="009A7923"/>
    <w:rsid w:val="009A7CFC"/>
    <w:rsid w:val="009B0655"/>
    <w:rsid w:val="009B13F5"/>
    <w:rsid w:val="009B1DD7"/>
    <w:rsid w:val="009B23CD"/>
    <w:rsid w:val="009B2D15"/>
    <w:rsid w:val="009B30A0"/>
    <w:rsid w:val="009B30B9"/>
    <w:rsid w:val="009B370A"/>
    <w:rsid w:val="009B3AEA"/>
    <w:rsid w:val="009B3AF2"/>
    <w:rsid w:val="009B3B54"/>
    <w:rsid w:val="009B3E92"/>
    <w:rsid w:val="009B4B17"/>
    <w:rsid w:val="009B572E"/>
    <w:rsid w:val="009B5E49"/>
    <w:rsid w:val="009B6161"/>
    <w:rsid w:val="009B632F"/>
    <w:rsid w:val="009B6989"/>
    <w:rsid w:val="009B6E24"/>
    <w:rsid w:val="009B6E2A"/>
    <w:rsid w:val="009B743D"/>
    <w:rsid w:val="009B75CF"/>
    <w:rsid w:val="009B7ACF"/>
    <w:rsid w:val="009B7D85"/>
    <w:rsid w:val="009C0513"/>
    <w:rsid w:val="009C140E"/>
    <w:rsid w:val="009C2810"/>
    <w:rsid w:val="009C2B25"/>
    <w:rsid w:val="009C2C03"/>
    <w:rsid w:val="009C3DD0"/>
    <w:rsid w:val="009C3EEE"/>
    <w:rsid w:val="009C423F"/>
    <w:rsid w:val="009C493C"/>
    <w:rsid w:val="009C4AF1"/>
    <w:rsid w:val="009C4E68"/>
    <w:rsid w:val="009C51F9"/>
    <w:rsid w:val="009C5488"/>
    <w:rsid w:val="009C57C0"/>
    <w:rsid w:val="009C60FC"/>
    <w:rsid w:val="009C6424"/>
    <w:rsid w:val="009C6714"/>
    <w:rsid w:val="009C6B2F"/>
    <w:rsid w:val="009C7606"/>
    <w:rsid w:val="009C77E7"/>
    <w:rsid w:val="009C7B03"/>
    <w:rsid w:val="009C7B48"/>
    <w:rsid w:val="009D04CC"/>
    <w:rsid w:val="009D04FF"/>
    <w:rsid w:val="009D05E3"/>
    <w:rsid w:val="009D06BC"/>
    <w:rsid w:val="009D0888"/>
    <w:rsid w:val="009D0CF6"/>
    <w:rsid w:val="009D138F"/>
    <w:rsid w:val="009D2BF5"/>
    <w:rsid w:val="009D2D76"/>
    <w:rsid w:val="009D2F6B"/>
    <w:rsid w:val="009D30C0"/>
    <w:rsid w:val="009D54A0"/>
    <w:rsid w:val="009D63FC"/>
    <w:rsid w:val="009D67C2"/>
    <w:rsid w:val="009D6B2A"/>
    <w:rsid w:val="009D6E6A"/>
    <w:rsid w:val="009D6F1A"/>
    <w:rsid w:val="009D75F9"/>
    <w:rsid w:val="009D7BF5"/>
    <w:rsid w:val="009D7E17"/>
    <w:rsid w:val="009E0183"/>
    <w:rsid w:val="009E05A8"/>
    <w:rsid w:val="009E0F72"/>
    <w:rsid w:val="009E1243"/>
    <w:rsid w:val="009E1E6B"/>
    <w:rsid w:val="009E2003"/>
    <w:rsid w:val="009E2CA8"/>
    <w:rsid w:val="009E2CB6"/>
    <w:rsid w:val="009E2D06"/>
    <w:rsid w:val="009E30FB"/>
    <w:rsid w:val="009E48BE"/>
    <w:rsid w:val="009E4D7D"/>
    <w:rsid w:val="009E4FCF"/>
    <w:rsid w:val="009E50FF"/>
    <w:rsid w:val="009E55E8"/>
    <w:rsid w:val="009E5ECE"/>
    <w:rsid w:val="009E6025"/>
    <w:rsid w:val="009E7A37"/>
    <w:rsid w:val="009F027A"/>
    <w:rsid w:val="009F07C1"/>
    <w:rsid w:val="009F139C"/>
    <w:rsid w:val="009F16E0"/>
    <w:rsid w:val="009F2CDE"/>
    <w:rsid w:val="009F308B"/>
    <w:rsid w:val="009F33B7"/>
    <w:rsid w:val="009F34E9"/>
    <w:rsid w:val="009F472E"/>
    <w:rsid w:val="009F4F8A"/>
    <w:rsid w:val="009F530B"/>
    <w:rsid w:val="009F6012"/>
    <w:rsid w:val="009F6406"/>
    <w:rsid w:val="009F646B"/>
    <w:rsid w:val="009F6F28"/>
    <w:rsid w:val="009F79C7"/>
    <w:rsid w:val="009F7BFE"/>
    <w:rsid w:val="009F7E89"/>
    <w:rsid w:val="00A004BA"/>
    <w:rsid w:val="00A00C7D"/>
    <w:rsid w:val="00A00F88"/>
    <w:rsid w:val="00A01662"/>
    <w:rsid w:val="00A01BAD"/>
    <w:rsid w:val="00A01C16"/>
    <w:rsid w:val="00A01CD6"/>
    <w:rsid w:val="00A0252E"/>
    <w:rsid w:val="00A026F1"/>
    <w:rsid w:val="00A0285F"/>
    <w:rsid w:val="00A02BEA"/>
    <w:rsid w:val="00A03C07"/>
    <w:rsid w:val="00A0458C"/>
    <w:rsid w:val="00A045D6"/>
    <w:rsid w:val="00A04A6C"/>
    <w:rsid w:val="00A04BA4"/>
    <w:rsid w:val="00A04C01"/>
    <w:rsid w:val="00A055D9"/>
    <w:rsid w:val="00A05840"/>
    <w:rsid w:val="00A05941"/>
    <w:rsid w:val="00A06292"/>
    <w:rsid w:val="00A066AD"/>
    <w:rsid w:val="00A066E2"/>
    <w:rsid w:val="00A0672D"/>
    <w:rsid w:val="00A0682E"/>
    <w:rsid w:val="00A068F3"/>
    <w:rsid w:val="00A069EA"/>
    <w:rsid w:val="00A069FD"/>
    <w:rsid w:val="00A06C5C"/>
    <w:rsid w:val="00A077C8"/>
    <w:rsid w:val="00A07EBB"/>
    <w:rsid w:val="00A07F08"/>
    <w:rsid w:val="00A100BD"/>
    <w:rsid w:val="00A10103"/>
    <w:rsid w:val="00A101F1"/>
    <w:rsid w:val="00A1037E"/>
    <w:rsid w:val="00A1060C"/>
    <w:rsid w:val="00A117DC"/>
    <w:rsid w:val="00A1185A"/>
    <w:rsid w:val="00A11C15"/>
    <w:rsid w:val="00A12CEB"/>
    <w:rsid w:val="00A13009"/>
    <w:rsid w:val="00A13186"/>
    <w:rsid w:val="00A13210"/>
    <w:rsid w:val="00A1342F"/>
    <w:rsid w:val="00A13CF2"/>
    <w:rsid w:val="00A147E0"/>
    <w:rsid w:val="00A14AD2"/>
    <w:rsid w:val="00A14D5F"/>
    <w:rsid w:val="00A15537"/>
    <w:rsid w:val="00A15849"/>
    <w:rsid w:val="00A1596E"/>
    <w:rsid w:val="00A16294"/>
    <w:rsid w:val="00A1631D"/>
    <w:rsid w:val="00A164D3"/>
    <w:rsid w:val="00A16F53"/>
    <w:rsid w:val="00A1703E"/>
    <w:rsid w:val="00A171E2"/>
    <w:rsid w:val="00A179B8"/>
    <w:rsid w:val="00A2079F"/>
    <w:rsid w:val="00A20FC7"/>
    <w:rsid w:val="00A210D0"/>
    <w:rsid w:val="00A21768"/>
    <w:rsid w:val="00A22182"/>
    <w:rsid w:val="00A222D6"/>
    <w:rsid w:val="00A23DC8"/>
    <w:rsid w:val="00A2469A"/>
    <w:rsid w:val="00A250F2"/>
    <w:rsid w:val="00A26709"/>
    <w:rsid w:val="00A26A93"/>
    <w:rsid w:val="00A274A8"/>
    <w:rsid w:val="00A31707"/>
    <w:rsid w:val="00A31966"/>
    <w:rsid w:val="00A31A73"/>
    <w:rsid w:val="00A3285E"/>
    <w:rsid w:val="00A32AE3"/>
    <w:rsid w:val="00A338E7"/>
    <w:rsid w:val="00A339C3"/>
    <w:rsid w:val="00A33B3B"/>
    <w:rsid w:val="00A345BC"/>
    <w:rsid w:val="00A34ABE"/>
    <w:rsid w:val="00A34E8C"/>
    <w:rsid w:val="00A35419"/>
    <w:rsid w:val="00A357DC"/>
    <w:rsid w:val="00A35AD6"/>
    <w:rsid w:val="00A363A3"/>
    <w:rsid w:val="00A3643B"/>
    <w:rsid w:val="00A36911"/>
    <w:rsid w:val="00A36A8B"/>
    <w:rsid w:val="00A37420"/>
    <w:rsid w:val="00A37586"/>
    <w:rsid w:val="00A40563"/>
    <w:rsid w:val="00A405E4"/>
    <w:rsid w:val="00A4065F"/>
    <w:rsid w:val="00A40E62"/>
    <w:rsid w:val="00A41D91"/>
    <w:rsid w:val="00A41F30"/>
    <w:rsid w:val="00A429A8"/>
    <w:rsid w:val="00A42B31"/>
    <w:rsid w:val="00A42D12"/>
    <w:rsid w:val="00A43384"/>
    <w:rsid w:val="00A43554"/>
    <w:rsid w:val="00A44C78"/>
    <w:rsid w:val="00A45596"/>
    <w:rsid w:val="00A45B16"/>
    <w:rsid w:val="00A461FA"/>
    <w:rsid w:val="00A4714D"/>
    <w:rsid w:val="00A47839"/>
    <w:rsid w:val="00A47B85"/>
    <w:rsid w:val="00A47F74"/>
    <w:rsid w:val="00A50FCC"/>
    <w:rsid w:val="00A51010"/>
    <w:rsid w:val="00A51243"/>
    <w:rsid w:val="00A52470"/>
    <w:rsid w:val="00A52EE8"/>
    <w:rsid w:val="00A52FAC"/>
    <w:rsid w:val="00A532DC"/>
    <w:rsid w:val="00A5430C"/>
    <w:rsid w:val="00A55309"/>
    <w:rsid w:val="00A55841"/>
    <w:rsid w:val="00A558CE"/>
    <w:rsid w:val="00A55E7E"/>
    <w:rsid w:val="00A569D9"/>
    <w:rsid w:val="00A5705B"/>
    <w:rsid w:val="00A5742D"/>
    <w:rsid w:val="00A57FF1"/>
    <w:rsid w:val="00A60FA3"/>
    <w:rsid w:val="00A60FAF"/>
    <w:rsid w:val="00A61820"/>
    <w:rsid w:val="00A61953"/>
    <w:rsid w:val="00A61A93"/>
    <w:rsid w:val="00A61F6F"/>
    <w:rsid w:val="00A620D5"/>
    <w:rsid w:val="00A62E05"/>
    <w:rsid w:val="00A6313E"/>
    <w:rsid w:val="00A646F6"/>
    <w:rsid w:val="00A65CFC"/>
    <w:rsid w:val="00A66E10"/>
    <w:rsid w:val="00A676A1"/>
    <w:rsid w:val="00A6771B"/>
    <w:rsid w:val="00A6798F"/>
    <w:rsid w:val="00A70690"/>
    <w:rsid w:val="00A70D1B"/>
    <w:rsid w:val="00A7119D"/>
    <w:rsid w:val="00A71C4E"/>
    <w:rsid w:val="00A71F28"/>
    <w:rsid w:val="00A723E5"/>
    <w:rsid w:val="00A72D5C"/>
    <w:rsid w:val="00A72FB7"/>
    <w:rsid w:val="00A7390D"/>
    <w:rsid w:val="00A75C46"/>
    <w:rsid w:val="00A75D0F"/>
    <w:rsid w:val="00A75F25"/>
    <w:rsid w:val="00A76032"/>
    <w:rsid w:val="00A76E61"/>
    <w:rsid w:val="00A7708D"/>
    <w:rsid w:val="00A770BF"/>
    <w:rsid w:val="00A778A5"/>
    <w:rsid w:val="00A77A01"/>
    <w:rsid w:val="00A8001A"/>
    <w:rsid w:val="00A81E60"/>
    <w:rsid w:val="00A8259B"/>
    <w:rsid w:val="00A82862"/>
    <w:rsid w:val="00A8387D"/>
    <w:rsid w:val="00A83923"/>
    <w:rsid w:val="00A83AAD"/>
    <w:rsid w:val="00A8426B"/>
    <w:rsid w:val="00A84528"/>
    <w:rsid w:val="00A85160"/>
    <w:rsid w:val="00A85680"/>
    <w:rsid w:val="00A85D24"/>
    <w:rsid w:val="00A86CD1"/>
    <w:rsid w:val="00A872CB"/>
    <w:rsid w:val="00A874A2"/>
    <w:rsid w:val="00A8756D"/>
    <w:rsid w:val="00A87DAF"/>
    <w:rsid w:val="00A90AC6"/>
    <w:rsid w:val="00A90BD5"/>
    <w:rsid w:val="00A90F2B"/>
    <w:rsid w:val="00A911A2"/>
    <w:rsid w:val="00A91E44"/>
    <w:rsid w:val="00A92761"/>
    <w:rsid w:val="00A9289F"/>
    <w:rsid w:val="00A928D6"/>
    <w:rsid w:val="00A92A1A"/>
    <w:rsid w:val="00A93183"/>
    <w:rsid w:val="00A93274"/>
    <w:rsid w:val="00A933BE"/>
    <w:rsid w:val="00A93534"/>
    <w:rsid w:val="00A93B8F"/>
    <w:rsid w:val="00A947D6"/>
    <w:rsid w:val="00A94956"/>
    <w:rsid w:val="00A9529C"/>
    <w:rsid w:val="00A95654"/>
    <w:rsid w:val="00A95E8F"/>
    <w:rsid w:val="00A95F16"/>
    <w:rsid w:val="00A96292"/>
    <w:rsid w:val="00A963A3"/>
    <w:rsid w:val="00A97206"/>
    <w:rsid w:val="00A972AB"/>
    <w:rsid w:val="00A978AA"/>
    <w:rsid w:val="00A97EB2"/>
    <w:rsid w:val="00AA0471"/>
    <w:rsid w:val="00AA0D43"/>
    <w:rsid w:val="00AA122D"/>
    <w:rsid w:val="00AA15B3"/>
    <w:rsid w:val="00AA15CB"/>
    <w:rsid w:val="00AA2194"/>
    <w:rsid w:val="00AA2C2D"/>
    <w:rsid w:val="00AA2DC2"/>
    <w:rsid w:val="00AA33EC"/>
    <w:rsid w:val="00AA4E28"/>
    <w:rsid w:val="00AA53B3"/>
    <w:rsid w:val="00AA565E"/>
    <w:rsid w:val="00AA5C41"/>
    <w:rsid w:val="00AA7132"/>
    <w:rsid w:val="00AA7458"/>
    <w:rsid w:val="00AB05E5"/>
    <w:rsid w:val="00AB0A49"/>
    <w:rsid w:val="00AB3F89"/>
    <w:rsid w:val="00AB4143"/>
    <w:rsid w:val="00AB4CBA"/>
    <w:rsid w:val="00AB5185"/>
    <w:rsid w:val="00AB5414"/>
    <w:rsid w:val="00AB5655"/>
    <w:rsid w:val="00AB593F"/>
    <w:rsid w:val="00AB649D"/>
    <w:rsid w:val="00AB67FB"/>
    <w:rsid w:val="00AB7875"/>
    <w:rsid w:val="00AB7A75"/>
    <w:rsid w:val="00AC0436"/>
    <w:rsid w:val="00AC0668"/>
    <w:rsid w:val="00AC0BDA"/>
    <w:rsid w:val="00AC1157"/>
    <w:rsid w:val="00AC1390"/>
    <w:rsid w:val="00AC1B21"/>
    <w:rsid w:val="00AC3134"/>
    <w:rsid w:val="00AC32ED"/>
    <w:rsid w:val="00AC3A93"/>
    <w:rsid w:val="00AC3F4B"/>
    <w:rsid w:val="00AC40AD"/>
    <w:rsid w:val="00AC4170"/>
    <w:rsid w:val="00AC4241"/>
    <w:rsid w:val="00AC4C41"/>
    <w:rsid w:val="00AC4DB7"/>
    <w:rsid w:val="00AC55B8"/>
    <w:rsid w:val="00AC5A24"/>
    <w:rsid w:val="00AC74DD"/>
    <w:rsid w:val="00AC7D34"/>
    <w:rsid w:val="00AD0514"/>
    <w:rsid w:val="00AD0848"/>
    <w:rsid w:val="00AD0BF7"/>
    <w:rsid w:val="00AD0CA0"/>
    <w:rsid w:val="00AD1271"/>
    <w:rsid w:val="00AD1E7D"/>
    <w:rsid w:val="00AD24D6"/>
    <w:rsid w:val="00AD272F"/>
    <w:rsid w:val="00AD2A0F"/>
    <w:rsid w:val="00AD3016"/>
    <w:rsid w:val="00AD33D0"/>
    <w:rsid w:val="00AD3EAC"/>
    <w:rsid w:val="00AD3F72"/>
    <w:rsid w:val="00AD4BB9"/>
    <w:rsid w:val="00AD4DB0"/>
    <w:rsid w:val="00AD52F6"/>
    <w:rsid w:val="00AD5B0B"/>
    <w:rsid w:val="00AD6394"/>
    <w:rsid w:val="00AD64C0"/>
    <w:rsid w:val="00AD66CF"/>
    <w:rsid w:val="00AD6772"/>
    <w:rsid w:val="00AD6A08"/>
    <w:rsid w:val="00AD6E3B"/>
    <w:rsid w:val="00AD7C37"/>
    <w:rsid w:val="00AE02D7"/>
    <w:rsid w:val="00AE1A96"/>
    <w:rsid w:val="00AE2DFE"/>
    <w:rsid w:val="00AE33B2"/>
    <w:rsid w:val="00AE3DFB"/>
    <w:rsid w:val="00AE434F"/>
    <w:rsid w:val="00AE4ACE"/>
    <w:rsid w:val="00AE4DE6"/>
    <w:rsid w:val="00AE5195"/>
    <w:rsid w:val="00AE55ED"/>
    <w:rsid w:val="00AE5702"/>
    <w:rsid w:val="00AE5A1C"/>
    <w:rsid w:val="00AE5B65"/>
    <w:rsid w:val="00AE5C0B"/>
    <w:rsid w:val="00AE6915"/>
    <w:rsid w:val="00AE70C5"/>
    <w:rsid w:val="00AF00D7"/>
    <w:rsid w:val="00AF0865"/>
    <w:rsid w:val="00AF1394"/>
    <w:rsid w:val="00AF1523"/>
    <w:rsid w:val="00AF1AA8"/>
    <w:rsid w:val="00AF1ADB"/>
    <w:rsid w:val="00AF2100"/>
    <w:rsid w:val="00AF224D"/>
    <w:rsid w:val="00AF22ED"/>
    <w:rsid w:val="00AF232D"/>
    <w:rsid w:val="00AF23DD"/>
    <w:rsid w:val="00AF257D"/>
    <w:rsid w:val="00AF29E7"/>
    <w:rsid w:val="00AF2F05"/>
    <w:rsid w:val="00AF30FD"/>
    <w:rsid w:val="00AF34A5"/>
    <w:rsid w:val="00AF39E1"/>
    <w:rsid w:val="00AF3CBC"/>
    <w:rsid w:val="00AF3DD6"/>
    <w:rsid w:val="00AF3F59"/>
    <w:rsid w:val="00AF40F9"/>
    <w:rsid w:val="00AF41BA"/>
    <w:rsid w:val="00AF465E"/>
    <w:rsid w:val="00AF481C"/>
    <w:rsid w:val="00AF4853"/>
    <w:rsid w:val="00AF49E7"/>
    <w:rsid w:val="00AF4B19"/>
    <w:rsid w:val="00AF4BB9"/>
    <w:rsid w:val="00AF4C07"/>
    <w:rsid w:val="00AF541E"/>
    <w:rsid w:val="00AF5758"/>
    <w:rsid w:val="00AF6171"/>
    <w:rsid w:val="00AF6959"/>
    <w:rsid w:val="00AF6ACE"/>
    <w:rsid w:val="00AF6E80"/>
    <w:rsid w:val="00AF7605"/>
    <w:rsid w:val="00AF77A7"/>
    <w:rsid w:val="00B0022F"/>
    <w:rsid w:val="00B00278"/>
    <w:rsid w:val="00B002D1"/>
    <w:rsid w:val="00B008DB"/>
    <w:rsid w:val="00B00A71"/>
    <w:rsid w:val="00B013B0"/>
    <w:rsid w:val="00B014AB"/>
    <w:rsid w:val="00B021FF"/>
    <w:rsid w:val="00B02EDE"/>
    <w:rsid w:val="00B03D82"/>
    <w:rsid w:val="00B04100"/>
    <w:rsid w:val="00B04347"/>
    <w:rsid w:val="00B05290"/>
    <w:rsid w:val="00B06A91"/>
    <w:rsid w:val="00B06CC9"/>
    <w:rsid w:val="00B072E2"/>
    <w:rsid w:val="00B07518"/>
    <w:rsid w:val="00B07CE9"/>
    <w:rsid w:val="00B10005"/>
    <w:rsid w:val="00B10147"/>
    <w:rsid w:val="00B11037"/>
    <w:rsid w:val="00B11968"/>
    <w:rsid w:val="00B124EB"/>
    <w:rsid w:val="00B1290F"/>
    <w:rsid w:val="00B12A7C"/>
    <w:rsid w:val="00B12E1A"/>
    <w:rsid w:val="00B13284"/>
    <w:rsid w:val="00B13CB5"/>
    <w:rsid w:val="00B13D49"/>
    <w:rsid w:val="00B13D6C"/>
    <w:rsid w:val="00B146D9"/>
    <w:rsid w:val="00B14B03"/>
    <w:rsid w:val="00B14E26"/>
    <w:rsid w:val="00B14E6C"/>
    <w:rsid w:val="00B15013"/>
    <w:rsid w:val="00B1517C"/>
    <w:rsid w:val="00B15182"/>
    <w:rsid w:val="00B1524A"/>
    <w:rsid w:val="00B15587"/>
    <w:rsid w:val="00B15F9D"/>
    <w:rsid w:val="00B16D99"/>
    <w:rsid w:val="00B1724E"/>
    <w:rsid w:val="00B17C70"/>
    <w:rsid w:val="00B20131"/>
    <w:rsid w:val="00B20944"/>
    <w:rsid w:val="00B21371"/>
    <w:rsid w:val="00B21A3B"/>
    <w:rsid w:val="00B2237A"/>
    <w:rsid w:val="00B227F7"/>
    <w:rsid w:val="00B23502"/>
    <w:rsid w:val="00B23800"/>
    <w:rsid w:val="00B249FC"/>
    <w:rsid w:val="00B24C57"/>
    <w:rsid w:val="00B24FED"/>
    <w:rsid w:val="00B251FF"/>
    <w:rsid w:val="00B2595B"/>
    <w:rsid w:val="00B25CD9"/>
    <w:rsid w:val="00B25D43"/>
    <w:rsid w:val="00B26F20"/>
    <w:rsid w:val="00B26F21"/>
    <w:rsid w:val="00B27B8B"/>
    <w:rsid w:val="00B27F52"/>
    <w:rsid w:val="00B27F89"/>
    <w:rsid w:val="00B3014A"/>
    <w:rsid w:val="00B308E7"/>
    <w:rsid w:val="00B30B97"/>
    <w:rsid w:val="00B30E42"/>
    <w:rsid w:val="00B3119D"/>
    <w:rsid w:val="00B31510"/>
    <w:rsid w:val="00B31FA5"/>
    <w:rsid w:val="00B320B8"/>
    <w:rsid w:val="00B323DB"/>
    <w:rsid w:val="00B3244B"/>
    <w:rsid w:val="00B3301D"/>
    <w:rsid w:val="00B33BB3"/>
    <w:rsid w:val="00B34099"/>
    <w:rsid w:val="00B34C5F"/>
    <w:rsid w:val="00B34D6E"/>
    <w:rsid w:val="00B34DA4"/>
    <w:rsid w:val="00B351CB"/>
    <w:rsid w:val="00B3528E"/>
    <w:rsid w:val="00B36253"/>
    <w:rsid w:val="00B364A2"/>
    <w:rsid w:val="00B36612"/>
    <w:rsid w:val="00B3760A"/>
    <w:rsid w:val="00B37BA5"/>
    <w:rsid w:val="00B37C82"/>
    <w:rsid w:val="00B37E17"/>
    <w:rsid w:val="00B40155"/>
    <w:rsid w:val="00B401DB"/>
    <w:rsid w:val="00B403BE"/>
    <w:rsid w:val="00B40990"/>
    <w:rsid w:val="00B40A07"/>
    <w:rsid w:val="00B40D1A"/>
    <w:rsid w:val="00B40F4C"/>
    <w:rsid w:val="00B41143"/>
    <w:rsid w:val="00B414BB"/>
    <w:rsid w:val="00B41F10"/>
    <w:rsid w:val="00B4214B"/>
    <w:rsid w:val="00B4329E"/>
    <w:rsid w:val="00B43594"/>
    <w:rsid w:val="00B435AC"/>
    <w:rsid w:val="00B43666"/>
    <w:rsid w:val="00B44345"/>
    <w:rsid w:val="00B446DC"/>
    <w:rsid w:val="00B45D51"/>
    <w:rsid w:val="00B46543"/>
    <w:rsid w:val="00B479D2"/>
    <w:rsid w:val="00B47CE4"/>
    <w:rsid w:val="00B5035D"/>
    <w:rsid w:val="00B50897"/>
    <w:rsid w:val="00B50ACA"/>
    <w:rsid w:val="00B50CC3"/>
    <w:rsid w:val="00B50D42"/>
    <w:rsid w:val="00B51399"/>
    <w:rsid w:val="00B5186F"/>
    <w:rsid w:val="00B521F4"/>
    <w:rsid w:val="00B52290"/>
    <w:rsid w:val="00B522A6"/>
    <w:rsid w:val="00B524BC"/>
    <w:rsid w:val="00B52551"/>
    <w:rsid w:val="00B52820"/>
    <w:rsid w:val="00B5350E"/>
    <w:rsid w:val="00B55248"/>
    <w:rsid w:val="00B5559B"/>
    <w:rsid w:val="00B5580E"/>
    <w:rsid w:val="00B559AF"/>
    <w:rsid w:val="00B55C62"/>
    <w:rsid w:val="00B56150"/>
    <w:rsid w:val="00B56651"/>
    <w:rsid w:val="00B566EA"/>
    <w:rsid w:val="00B5671E"/>
    <w:rsid w:val="00B56DC6"/>
    <w:rsid w:val="00B573DC"/>
    <w:rsid w:val="00B5744B"/>
    <w:rsid w:val="00B579EE"/>
    <w:rsid w:val="00B600D6"/>
    <w:rsid w:val="00B60597"/>
    <w:rsid w:val="00B615F8"/>
    <w:rsid w:val="00B61C4F"/>
    <w:rsid w:val="00B61DAA"/>
    <w:rsid w:val="00B62604"/>
    <w:rsid w:val="00B63878"/>
    <w:rsid w:val="00B63EAE"/>
    <w:rsid w:val="00B64917"/>
    <w:rsid w:val="00B649F2"/>
    <w:rsid w:val="00B64AD0"/>
    <w:rsid w:val="00B65611"/>
    <w:rsid w:val="00B65B3C"/>
    <w:rsid w:val="00B65CB5"/>
    <w:rsid w:val="00B6616E"/>
    <w:rsid w:val="00B662FE"/>
    <w:rsid w:val="00B66C10"/>
    <w:rsid w:val="00B66CCC"/>
    <w:rsid w:val="00B674DD"/>
    <w:rsid w:val="00B67844"/>
    <w:rsid w:val="00B67E1F"/>
    <w:rsid w:val="00B67F66"/>
    <w:rsid w:val="00B70715"/>
    <w:rsid w:val="00B70946"/>
    <w:rsid w:val="00B71187"/>
    <w:rsid w:val="00B713F7"/>
    <w:rsid w:val="00B715F2"/>
    <w:rsid w:val="00B731B7"/>
    <w:rsid w:val="00B73201"/>
    <w:rsid w:val="00B73272"/>
    <w:rsid w:val="00B740A5"/>
    <w:rsid w:val="00B75E26"/>
    <w:rsid w:val="00B75F17"/>
    <w:rsid w:val="00B76472"/>
    <w:rsid w:val="00B7685F"/>
    <w:rsid w:val="00B77F9C"/>
    <w:rsid w:val="00B80632"/>
    <w:rsid w:val="00B813EA"/>
    <w:rsid w:val="00B81BD9"/>
    <w:rsid w:val="00B81F16"/>
    <w:rsid w:val="00B823FA"/>
    <w:rsid w:val="00B82AF1"/>
    <w:rsid w:val="00B83A26"/>
    <w:rsid w:val="00B8437F"/>
    <w:rsid w:val="00B845EB"/>
    <w:rsid w:val="00B8496D"/>
    <w:rsid w:val="00B84F1F"/>
    <w:rsid w:val="00B84FFE"/>
    <w:rsid w:val="00B851EF"/>
    <w:rsid w:val="00B8610D"/>
    <w:rsid w:val="00B862E0"/>
    <w:rsid w:val="00B877DB"/>
    <w:rsid w:val="00B878A6"/>
    <w:rsid w:val="00B878EC"/>
    <w:rsid w:val="00B87937"/>
    <w:rsid w:val="00B87B28"/>
    <w:rsid w:val="00B87D2E"/>
    <w:rsid w:val="00B87DC2"/>
    <w:rsid w:val="00B87EDF"/>
    <w:rsid w:val="00B87FC7"/>
    <w:rsid w:val="00B90528"/>
    <w:rsid w:val="00B90FA1"/>
    <w:rsid w:val="00B90FBC"/>
    <w:rsid w:val="00B91CD9"/>
    <w:rsid w:val="00B91FCE"/>
    <w:rsid w:val="00B9232D"/>
    <w:rsid w:val="00B9235A"/>
    <w:rsid w:val="00B92B57"/>
    <w:rsid w:val="00B92ED5"/>
    <w:rsid w:val="00B9343E"/>
    <w:rsid w:val="00B93525"/>
    <w:rsid w:val="00B93A43"/>
    <w:rsid w:val="00B93AA3"/>
    <w:rsid w:val="00B94066"/>
    <w:rsid w:val="00B948AE"/>
    <w:rsid w:val="00B954B5"/>
    <w:rsid w:val="00B95DB1"/>
    <w:rsid w:val="00B95FAC"/>
    <w:rsid w:val="00B96125"/>
    <w:rsid w:val="00B965DD"/>
    <w:rsid w:val="00B96F4C"/>
    <w:rsid w:val="00B97BE6"/>
    <w:rsid w:val="00BA0FA7"/>
    <w:rsid w:val="00BA101A"/>
    <w:rsid w:val="00BA1544"/>
    <w:rsid w:val="00BA242E"/>
    <w:rsid w:val="00BA2C55"/>
    <w:rsid w:val="00BA2D30"/>
    <w:rsid w:val="00BA2DB7"/>
    <w:rsid w:val="00BA2E79"/>
    <w:rsid w:val="00BA30D8"/>
    <w:rsid w:val="00BA373F"/>
    <w:rsid w:val="00BA375D"/>
    <w:rsid w:val="00BA401F"/>
    <w:rsid w:val="00BA524E"/>
    <w:rsid w:val="00BA597D"/>
    <w:rsid w:val="00BA707E"/>
    <w:rsid w:val="00BA79DA"/>
    <w:rsid w:val="00BB134C"/>
    <w:rsid w:val="00BB1C72"/>
    <w:rsid w:val="00BB248C"/>
    <w:rsid w:val="00BB3177"/>
    <w:rsid w:val="00BB4436"/>
    <w:rsid w:val="00BB4D58"/>
    <w:rsid w:val="00BB5A20"/>
    <w:rsid w:val="00BB65AD"/>
    <w:rsid w:val="00BB6A50"/>
    <w:rsid w:val="00BB6E6D"/>
    <w:rsid w:val="00BB71E2"/>
    <w:rsid w:val="00BB71ED"/>
    <w:rsid w:val="00BB7621"/>
    <w:rsid w:val="00BB77F1"/>
    <w:rsid w:val="00BB78E4"/>
    <w:rsid w:val="00BB7C14"/>
    <w:rsid w:val="00BC01F8"/>
    <w:rsid w:val="00BC0297"/>
    <w:rsid w:val="00BC061F"/>
    <w:rsid w:val="00BC0A76"/>
    <w:rsid w:val="00BC0BBE"/>
    <w:rsid w:val="00BC0BC4"/>
    <w:rsid w:val="00BC0ED8"/>
    <w:rsid w:val="00BC1024"/>
    <w:rsid w:val="00BC1052"/>
    <w:rsid w:val="00BC1355"/>
    <w:rsid w:val="00BC1CB7"/>
    <w:rsid w:val="00BC2BFE"/>
    <w:rsid w:val="00BC368C"/>
    <w:rsid w:val="00BC38BB"/>
    <w:rsid w:val="00BC3C55"/>
    <w:rsid w:val="00BC3FE6"/>
    <w:rsid w:val="00BC43C4"/>
    <w:rsid w:val="00BC4684"/>
    <w:rsid w:val="00BC4B18"/>
    <w:rsid w:val="00BC4BDD"/>
    <w:rsid w:val="00BC4DF9"/>
    <w:rsid w:val="00BC6CBF"/>
    <w:rsid w:val="00BC7B9B"/>
    <w:rsid w:val="00BD0613"/>
    <w:rsid w:val="00BD1CBC"/>
    <w:rsid w:val="00BD2279"/>
    <w:rsid w:val="00BD255C"/>
    <w:rsid w:val="00BD2B27"/>
    <w:rsid w:val="00BD32A2"/>
    <w:rsid w:val="00BD3E01"/>
    <w:rsid w:val="00BD435D"/>
    <w:rsid w:val="00BD4D73"/>
    <w:rsid w:val="00BD4DD2"/>
    <w:rsid w:val="00BD4FD7"/>
    <w:rsid w:val="00BD5D4E"/>
    <w:rsid w:val="00BD5EF9"/>
    <w:rsid w:val="00BD61B9"/>
    <w:rsid w:val="00BD6255"/>
    <w:rsid w:val="00BD6352"/>
    <w:rsid w:val="00BD6498"/>
    <w:rsid w:val="00BD6828"/>
    <w:rsid w:val="00BD7531"/>
    <w:rsid w:val="00BD78B9"/>
    <w:rsid w:val="00BD7BE9"/>
    <w:rsid w:val="00BD7CBA"/>
    <w:rsid w:val="00BD7E0D"/>
    <w:rsid w:val="00BE030A"/>
    <w:rsid w:val="00BE12EC"/>
    <w:rsid w:val="00BE199F"/>
    <w:rsid w:val="00BE22B5"/>
    <w:rsid w:val="00BE2CD6"/>
    <w:rsid w:val="00BE3056"/>
    <w:rsid w:val="00BE3255"/>
    <w:rsid w:val="00BE3DE4"/>
    <w:rsid w:val="00BE3FED"/>
    <w:rsid w:val="00BE43AB"/>
    <w:rsid w:val="00BE4861"/>
    <w:rsid w:val="00BE487F"/>
    <w:rsid w:val="00BE48DF"/>
    <w:rsid w:val="00BE4F6C"/>
    <w:rsid w:val="00BE5227"/>
    <w:rsid w:val="00BE5D01"/>
    <w:rsid w:val="00BE67AC"/>
    <w:rsid w:val="00BE698A"/>
    <w:rsid w:val="00BE6A0B"/>
    <w:rsid w:val="00BE6B70"/>
    <w:rsid w:val="00BE73E0"/>
    <w:rsid w:val="00BE7809"/>
    <w:rsid w:val="00BF078C"/>
    <w:rsid w:val="00BF098E"/>
    <w:rsid w:val="00BF19A1"/>
    <w:rsid w:val="00BF247D"/>
    <w:rsid w:val="00BF2A77"/>
    <w:rsid w:val="00BF323B"/>
    <w:rsid w:val="00BF3C30"/>
    <w:rsid w:val="00BF4A27"/>
    <w:rsid w:val="00BF4C12"/>
    <w:rsid w:val="00BF4C50"/>
    <w:rsid w:val="00BF578C"/>
    <w:rsid w:val="00BF5848"/>
    <w:rsid w:val="00BF5C82"/>
    <w:rsid w:val="00BF68FC"/>
    <w:rsid w:val="00BF6BAB"/>
    <w:rsid w:val="00BF786A"/>
    <w:rsid w:val="00BF791E"/>
    <w:rsid w:val="00BF7938"/>
    <w:rsid w:val="00BF7B25"/>
    <w:rsid w:val="00C000E3"/>
    <w:rsid w:val="00C01AAC"/>
    <w:rsid w:val="00C01F67"/>
    <w:rsid w:val="00C02085"/>
    <w:rsid w:val="00C03104"/>
    <w:rsid w:val="00C03824"/>
    <w:rsid w:val="00C03EAD"/>
    <w:rsid w:val="00C04408"/>
    <w:rsid w:val="00C0456C"/>
    <w:rsid w:val="00C0486E"/>
    <w:rsid w:val="00C04B6A"/>
    <w:rsid w:val="00C04ED1"/>
    <w:rsid w:val="00C0589C"/>
    <w:rsid w:val="00C05B40"/>
    <w:rsid w:val="00C05E46"/>
    <w:rsid w:val="00C06D92"/>
    <w:rsid w:val="00C06DCD"/>
    <w:rsid w:val="00C06F96"/>
    <w:rsid w:val="00C070BA"/>
    <w:rsid w:val="00C075B4"/>
    <w:rsid w:val="00C10287"/>
    <w:rsid w:val="00C10B25"/>
    <w:rsid w:val="00C10E90"/>
    <w:rsid w:val="00C12671"/>
    <w:rsid w:val="00C1434F"/>
    <w:rsid w:val="00C143E7"/>
    <w:rsid w:val="00C15350"/>
    <w:rsid w:val="00C15591"/>
    <w:rsid w:val="00C15CAB"/>
    <w:rsid w:val="00C15F3D"/>
    <w:rsid w:val="00C1612B"/>
    <w:rsid w:val="00C161C3"/>
    <w:rsid w:val="00C16203"/>
    <w:rsid w:val="00C1638A"/>
    <w:rsid w:val="00C1671A"/>
    <w:rsid w:val="00C17961"/>
    <w:rsid w:val="00C17AC9"/>
    <w:rsid w:val="00C17C0E"/>
    <w:rsid w:val="00C20300"/>
    <w:rsid w:val="00C20525"/>
    <w:rsid w:val="00C20648"/>
    <w:rsid w:val="00C20737"/>
    <w:rsid w:val="00C208C7"/>
    <w:rsid w:val="00C20E9D"/>
    <w:rsid w:val="00C21586"/>
    <w:rsid w:val="00C217E4"/>
    <w:rsid w:val="00C21DB3"/>
    <w:rsid w:val="00C2219C"/>
    <w:rsid w:val="00C229A3"/>
    <w:rsid w:val="00C234F6"/>
    <w:rsid w:val="00C23503"/>
    <w:rsid w:val="00C23554"/>
    <w:rsid w:val="00C23C57"/>
    <w:rsid w:val="00C23FB6"/>
    <w:rsid w:val="00C241C5"/>
    <w:rsid w:val="00C24560"/>
    <w:rsid w:val="00C24F94"/>
    <w:rsid w:val="00C2548A"/>
    <w:rsid w:val="00C25569"/>
    <w:rsid w:val="00C257DC"/>
    <w:rsid w:val="00C26338"/>
    <w:rsid w:val="00C26FF4"/>
    <w:rsid w:val="00C274F4"/>
    <w:rsid w:val="00C278A6"/>
    <w:rsid w:val="00C27D42"/>
    <w:rsid w:val="00C302F3"/>
    <w:rsid w:val="00C303EE"/>
    <w:rsid w:val="00C3083D"/>
    <w:rsid w:val="00C30974"/>
    <w:rsid w:val="00C31367"/>
    <w:rsid w:val="00C317C2"/>
    <w:rsid w:val="00C31A54"/>
    <w:rsid w:val="00C31AC2"/>
    <w:rsid w:val="00C31F65"/>
    <w:rsid w:val="00C324CA"/>
    <w:rsid w:val="00C32905"/>
    <w:rsid w:val="00C32E25"/>
    <w:rsid w:val="00C32FBE"/>
    <w:rsid w:val="00C334E9"/>
    <w:rsid w:val="00C3364F"/>
    <w:rsid w:val="00C33C59"/>
    <w:rsid w:val="00C3413B"/>
    <w:rsid w:val="00C34A12"/>
    <w:rsid w:val="00C34A99"/>
    <w:rsid w:val="00C351FF"/>
    <w:rsid w:val="00C35210"/>
    <w:rsid w:val="00C35315"/>
    <w:rsid w:val="00C354A2"/>
    <w:rsid w:val="00C36447"/>
    <w:rsid w:val="00C366C9"/>
    <w:rsid w:val="00C3675F"/>
    <w:rsid w:val="00C3725D"/>
    <w:rsid w:val="00C37FCE"/>
    <w:rsid w:val="00C40210"/>
    <w:rsid w:val="00C40275"/>
    <w:rsid w:val="00C403CF"/>
    <w:rsid w:val="00C407D2"/>
    <w:rsid w:val="00C4081B"/>
    <w:rsid w:val="00C4085F"/>
    <w:rsid w:val="00C40D34"/>
    <w:rsid w:val="00C4100B"/>
    <w:rsid w:val="00C412BC"/>
    <w:rsid w:val="00C41452"/>
    <w:rsid w:val="00C41976"/>
    <w:rsid w:val="00C41D9D"/>
    <w:rsid w:val="00C4248E"/>
    <w:rsid w:val="00C427DC"/>
    <w:rsid w:val="00C42CEB"/>
    <w:rsid w:val="00C42DFC"/>
    <w:rsid w:val="00C4317E"/>
    <w:rsid w:val="00C436C6"/>
    <w:rsid w:val="00C43A70"/>
    <w:rsid w:val="00C43CDC"/>
    <w:rsid w:val="00C44015"/>
    <w:rsid w:val="00C44328"/>
    <w:rsid w:val="00C443B6"/>
    <w:rsid w:val="00C45C01"/>
    <w:rsid w:val="00C45C86"/>
    <w:rsid w:val="00C4643B"/>
    <w:rsid w:val="00C46572"/>
    <w:rsid w:val="00C466CF"/>
    <w:rsid w:val="00C467CE"/>
    <w:rsid w:val="00C46EE4"/>
    <w:rsid w:val="00C471C1"/>
    <w:rsid w:val="00C47865"/>
    <w:rsid w:val="00C47DD1"/>
    <w:rsid w:val="00C5006D"/>
    <w:rsid w:val="00C50194"/>
    <w:rsid w:val="00C50D98"/>
    <w:rsid w:val="00C512EF"/>
    <w:rsid w:val="00C51631"/>
    <w:rsid w:val="00C51E0E"/>
    <w:rsid w:val="00C527C9"/>
    <w:rsid w:val="00C528B3"/>
    <w:rsid w:val="00C52B70"/>
    <w:rsid w:val="00C5357D"/>
    <w:rsid w:val="00C53647"/>
    <w:rsid w:val="00C545ED"/>
    <w:rsid w:val="00C5460C"/>
    <w:rsid w:val="00C547AD"/>
    <w:rsid w:val="00C54C75"/>
    <w:rsid w:val="00C55965"/>
    <w:rsid w:val="00C55BC1"/>
    <w:rsid w:val="00C56107"/>
    <w:rsid w:val="00C56BAF"/>
    <w:rsid w:val="00C578C3"/>
    <w:rsid w:val="00C60BE0"/>
    <w:rsid w:val="00C60C19"/>
    <w:rsid w:val="00C60E42"/>
    <w:rsid w:val="00C610D9"/>
    <w:rsid w:val="00C61A1B"/>
    <w:rsid w:val="00C61C34"/>
    <w:rsid w:val="00C62528"/>
    <w:rsid w:val="00C62793"/>
    <w:rsid w:val="00C634A2"/>
    <w:rsid w:val="00C639AE"/>
    <w:rsid w:val="00C63B19"/>
    <w:rsid w:val="00C63EB2"/>
    <w:rsid w:val="00C6483C"/>
    <w:rsid w:val="00C64EC1"/>
    <w:rsid w:val="00C65CEC"/>
    <w:rsid w:val="00C66078"/>
    <w:rsid w:val="00C6612A"/>
    <w:rsid w:val="00C66483"/>
    <w:rsid w:val="00C66687"/>
    <w:rsid w:val="00C6672F"/>
    <w:rsid w:val="00C668DD"/>
    <w:rsid w:val="00C671CD"/>
    <w:rsid w:val="00C6728F"/>
    <w:rsid w:val="00C672DD"/>
    <w:rsid w:val="00C67BF6"/>
    <w:rsid w:val="00C709B1"/>
    <w:rsid w:val="00C71758"/>
    <w:rsid w:val="00C71FA7"/>
    <w:rsid w:val="00C71FD1"/>
    <w:rsid w:val="00C71FF1"/>
    <w:rsid w:val="00C720ED"/>
    <w:rsid w:val="00C7245C"/>
    <w:rsid w:val="00C73BEA"/>
    <w:rsid w:val="00C73C39"/>
    <w:rsid w:val="00C73CD4"/>
    <w:rsid w:val="00C74235"/>
    <w:rsid w:val="00C74707"/>
    <w:rsid w:val="00C74ABF"/>
    <w:rsid w:val="00C74C3D"/>
    <w:rsid w:val="00C753ED"/>
    <w:rsid w:val="00C75457"/>
    <w:rsid w:val="00C76321"/>
    <w:rsid w:val="00C76555"/>
    <w:rsid w:val="00C76D3D"/>
    <w:rsid w:val="00C76D99"/>
    <w:rsid w:val="00C770BE"/>
    <w:rsid w:val="00C773F6"/>
    <w:rsid w:val="00C77E98"/>
    <w:rsid w:val="00C803D8"/>
    <w:rsid w:val="00C81627"/>
    <w:rsid w:val="00C81745"/>
    <w:rsid w:val="00C8186F"/>
    <w:rsid w:val="00C824B2"/>
    <w:rsid w:val="00C824C8"/>
    <w:rsid w:val="00C83CEE"/>
    <w:rsid w:val="00C8428F"/>
    <w:rsid w:val="00C8439B"/>
    <w:rsid w:val="00C84A5A"/>
    <w:rsid w:val="00C85B3F"/>
    <w:rsid w:val="00C86555"/>
    <w:rsid w:val="00C86810"/>
    <w:rsid w:val="00C86D14"/>
    <w:rsid w:val="00C86E62"/>
    <w:rsid w:val="00C86E66"/>
    <w:rsid w:val="00C87390"/>
    <w:rsid w:val="00C873F3"/>
    <w:rsid w:val="00C877B2"/>
    <w:rsid w:val="00C87A94"/>
    <w:rsid w:val="00C87D48"/>
    <w:rsid w:val="00C90460"/>
    <w:rsid w:val="00C9143B"/>
    <w:rsid w:val="00C91633"/>
    <w:rsid w:val="00C918B9"/>
    <w:rsid w:val="00C91BA3"/>
    <w:rsid w:val="00C92221"/>
    <w:rsid w:val="00C9248A"/>
    <w:rsid w:val="00C932FE"/>
    <w:rsid w:val="00C9337D"/>
    <w:rsid w:val="00C941C6"/>
    <w:rsid w:val="00C94453"/>
    <w:rsid w:val="00C94D9D"/>
    <w:rsid w:val="00C94F86"/>
    <w:rsid w:val="00C95D67"/>
    <w:rsid w:val="00C9678C"/>
    <w:rsid w:val="00C976AD"/>
    <w:rsid w:val="00C97746"/>
    <w:rsid w:val="00C97B4E"/>
    <w:rsid w:val="00C97D43"/>
    <w:rsid w:val="00CA13BA"/>
    <w:rsid w:val="00CA1926"/>
    <w:rsid w:val="00CA1A65"/>
    <w:rsid w:val="00CA235E"/>
    <w:rsid w:val="00CA2788"/>
    <w:rsid w:val="00CA2A25"/>
    <w:rsid w:val="00CA2E91"/>
    <w:rsid w:val="00CA3202"/>
    <w:rsid w:val="00CA3441"/>
    <w:rsid w:val="00CA3B5A"/>
    <w:rsid w:val="00CA4C59"/>
    <w:rsid w:val="00CA4C65"/>
    <w:rsid w:val="00CA4C9A"/>
    <w:rsid w:val="00CA5B01"/>
    <w:rsid w:val="00CA6BD7"/>
    <w:rsid w:val="00CA7323"/>
    <w:rsid w:val="00CA76A1"/>
    <w:rsid w:val="00CA7C37"/>
    <w:rsid w:val="00CA7D50"/>
    <w:rsid w:val="00CB0937"/>
    <w:rsid w:val="00CB09FE"/>
    <w:rsid w:val="00CB11F3"/>
    <w:rsid w:val="00CB1433"/>
    <w:rsid w:val="00CB2652"/>
    <w:rsid w:val="00CB27D4"/>
    <w:rsid w:val="00CB2D75"/>
    <w:rsid w:val="00CB3060"/>
    <w:rsid w:val="00CB33AF"/>
    <w:rsid w:val="00CB3593"/>
    <w:rsid w:val="00CB3F13"/>
    <w:rsid w:val="00CB3F6D"/>
    <w:rsid w:val="00CB5392"/>
    <w:rsid w:val="00CB568F"/>
    <w:rsid w:val="00CB56BC"/>
    <w:rsid w:val="00CB5B78"/>
    <w:rsid w:val="00CB5D9F"/>
    <w:rsid w:val="00CB63EA"/>
    <w:rsid w:val="00CB670B"/>
    <w:rsid w:val="00CB710E"/>
    <w:rsid w:val="00CB77D4"/>
    <w:rsid w:val="00CB7907"/>
    <w:rsid w:val="00CC0B24"/>
    <w:rsid w:val="00CC10BF"/>
    <w:rsid w:val="00CC11C4"/>
    <w:rsid w:val="00CC49B0"/>
    <w:rsid w:val="00CC4A03"/>
    <w:rsid w:val="00CC4A82"/>
    <w:rsid w:val="00CC6606"/>
    <w:rsid w:val="00CC787F"/>
    <w:rsid w:val="00CC7B9E"/>
    <w:rsid w:val="00CD0695"/>
    <w:rsid w:val="00CD11BB"/>
    <w:rsid w:val="00CD1A46"/>
    <w:rsid w:val="00CD219F"/>
    <w:rsid w:val="00CD23B9"/>
    <w:rsid w:val="00CD2C5B"/>
    <w:rsid w:val="00CD2FBF"/>
    <w:rsid w:val="00CD31B3"/>
    <w:rsid w:val="00CD448C"/>
    <w:rsid w:val="00CD4610"/>
    <w:rsid w:val="00CD4C7D"/>
    <w:rsid w:val="00CD4DEA"/>
    <w:rsid w:val="00CD52B1"/>
    <w:rsid w:val="00CD5371"/>
    <w:rsid w:val="00CD547C"/>
    <w:rsid w:val="00CD5780"/>
    <w:rsid w:val="00CD5AED"/>
    <w:rsid w:val="00CD6BF4"/>
    <w:rsid w:val="00CD7174"/>
    <w:rsid w:val="00CD73BD"/>
    <w:rsid w:val="00CD7489"/>
    <w:rsid w:val="00CD759A"/>
    <w:rsid w:val="00CD7C6B"/>
    <w:rsid w:val="00CE003B"/>
    <w:rsid w:val="00CE0319"/>
    <w:rsid w:val="00CE0E4A"/>
    <w:rsid w:val="00CE1091"/>
    <w:rsid w:val="00CE1164"/>
    <w:rsid w:val="00CE2383"/>
    <w:rsid w:val="00CE23B7"/>
    <w:rsid w:val="00CE2BE9"/>
    <w:rsid w:val="00CE30CC"/>
    <w:rsid w:val="00CE349A"/>
    <w:rsid w:val="00CE4175"/>
    <w:rsid w:val="00CE49BF"/>
    <w:rsid w:val="00CE4F16"/>
    <w:rsid w:val="00CE65E2"/>
    <w:rsid w:val="00CE677A"/>
    <w:rsid w:val="00CE6957"/>
    <w:rsid w:val="00CE70F9"/>
    <w:rsid w:val="00CE7506"/>
    <w:rsid w:val="00CE787A"/>
    <w:rsid w:val="00CE7BDD"/>
    <w:rsid w:val="00CE7C8E"/>
    <w:rsid w:val="00CF09E1"/>
    <w:rsid w:val="00CF14AD"/>
    <w:rsid w:val="00CF21FD"/>
    <w:rsid w:val="00CF2928"/>
    <w:rsid w:val="00CF2D62"/>
    <w:rsid w:val="00CF3557"/>
    <w:rsid w:val="00CF397B"/>
    <w:rsid w:val="00CF3BCB"/>
    <w:rsid w:val="00CF4190"/>
    <w:rsid w:val="00CF539A"/>
    <w:rsid w:val="00CF5A91"/>
    <w:rsid w:val="00CF5CE2"/>
    <w:rsid w:val="00CF6743"/>
    <w:rsid w:val="00CF6876"/>
    <w:rsid w:val="00CF6CFF"/>
    <w:rsid w:val="00CF72F5"/>
    <w:rsid w:val="00CF781D"/>
    <w:rsid w:val="00CF7C11"/>
    <w:rsid w:val="00D0055A"/>
    <w:rsid w:val="00D00BFE"/>
    <w:rsid w:val="00D0104F"/>
    <w:rsid w:val="00D011B3"/>
    <w:rsid w:val="00D01555"/>
    <w:rsid w:val="00D01972"/>
    <w:rsid w:val="00D01B8B"/>
    <w:rsid w:val="00D0277D"/>
    <w:rsid w:val="00D029B8"/>
    <w:rsid w:val="00D03225"/>
    <w:rsid w:val="00D034C4"/>
    <w:rsid w:val="00D036DC"/>
    <w:rsid w:val="00D03A1D"/>
    <w:rsid w:val="00D03D34"/>
    <w:rsid w:val="00D043CF"/>
    <w:rsid w:val="00D04777"/>
    <w:rsid w:val="00D04B7E"/>
    <w:rsid w:val="00D04E9B"/>
    <w:rsid w:val="00D0517E"/>
    <w:rsid w:val="00D056A3"/>
    <w:rsid w:val="00D057A9"/>
    <w:rsid w:val="00D05A5E"/>
    <w:rsid w:val="00D05C57"/>
    <w:rsid w:val="00D0642D"/>
    <w:rsid w:val="00D06888"/>
    <w:rsid w:val="00D0693F"/>
    <w:rsid w:val="00D06B86"/>
    <w:rsid w:val="00D06C83"/>
    <w:rsid w:val="00D078F6"/>
    <w:rsid w:val="00D07A51"/>
    <w:rsid w:val="00D10234"/>
    <w:rsid w:val="00D10ADC"/>
    <w:rsid w:val="00D11342"/>
    <w:rsid w:val="00D11E45"/>
    <w:rsid w:val="00D11EE4"/>
    <w:rsid w:val="00D122C3"/>
    <w:rsid w:val="00D125ED"/>
    <w:rsid w:val="00D12856"/>
    <w:rsid w:val="00D12C14"/>
    <w:rsid w:val="00D134C7"/>
    <w:rsid w:val="00D13C3E"/>
    <w:rsid w:val="00D1430C"/>
    <w:rsid w:val="00D143B7"/>
    <w:rsid w:val="00D143BE"/>
    <w:rsid w:val="00D1442A"/>
    <w:rsid w:val="00D152CB"/>
    <w:rsid w:val="00D155EE"/>
    <w:rsid w:val="00D16007"/>
    <w:rsid w:val="00D16189"/>
    <w:rsid w:val="00D1653B"/>
    <w:rsid w:val="00D16552"/>
    <w:rsid w:val="00D179F8"/>
    <w:rsid w:val="00D17BC5"/>
    <w:rsid w:val="00D20310"/>
    <w:rsid w:val="00D206C4"/>
    <w:rsid w:val="00D20D81"/>
    <w:rsid w:val="00D21986"/>
    <w:rsid w:val="00D22900"/>
    <w:rsid w:val="00D2303A"/>
    <w:rsid w:val="00D23AB5"/>
    <w:rsid w:val="00D23C20"/>
    <w:rsid w:val="00D23CDA"/>
    <w:rsid w:val="00D242C2"/>
    <w:rsid w:val="00D24F5E"/>
    <w:rsid w:val="00D24F81"/>
    <w:rsid w:val="00D254B4"/>
    <w:rsid w:val="00D2657C"/>
    <w:rsid w:val="00D26605"/>
    <w:rsid w:val="00D269DD"/>
    <w:rsid w:val="00D26AFF"/>
    <w:rsid w:val="00D27572"/>
    <w:rsid w:val="00D276A2"/>
    <w:rsid w:val="00D30490"/>
    <w:rsid w:val="00D30F65"/>
    <w:rsid w:val="00D32347"/>
    <w:rsid w:val="00D328FB"/>
    <w:rsid w:val="00D32A31"/>
    <w:rsid w:val="00D32EF7"/>
    <w:rsid w:val="00D33043"/>
    <w:rsid w:val="00D33673"/>
    <w:rsid w:val="00D34DE6"/>
    <w:rsid w:val="00D35369"/>
    <w:rsid w:val="00D3582A"/>
    <w:rsid w:val="00D35CD3"/>
    <w:rsid w:val="00D36308"/>
    <w:rsid w:val="00D3684F"/>
    <w:rsid w:val="00D368EB"/>
    <w:rsid w:val="00D36AA5"/>
    <w:rsid w:val="00D36C39"/>
    <w:rsid w:val="00D370E2"/>
    <w:rsid w:val="00D376E2"/>
    <w:rsid w:val="00D40985"/>
    <w:rsid w:val="00D40C9D"/>
    <w:rsid w:val="00D40D67"/>
    <w:rsid w:val="00D40F20"/>
    <w:rsid w:val="00D41261"/>
    <w:rsid w:val="00D417AB"/>
    <w:rsid w:val="00D432DC"/>
    <w:rsid w:val="00D436DF"/>
    <w:rsid w:val="00D43A14"/>
    <w:rsid w:val="00D43C46"/>
    <w:rsid w:val="00D4488D"/>
    <w:rsid w:val="00D44949"/>
    <w:rsid w:val="00D44CA1"/>
    <w:rsid w:val="00D44D00"/>
    <w:rsid w:val="00D44EC0"/>
    <w:rsid w:val="00D44F59"/>
    <w:rsid w:val="00D45A54"/>
    <w:rsid w:val="00D45FCF"/>
    <w:rsid w:val="00D4612D"/>
    <w:rsid w:val="00D47455"/>
    <w:rsid w:val="00D50139"/>
    <w:rsid w:val="00D519CE"/>
    <w:rsid w:val="00D52022"/>
    <w:rsid w:val="00D526E9"/>
    <w:rsid w:val="00D52790"/>
    <w:rsid w:val="00D52BD5"/>
    <w:rsid w:val="00D52E8F"/>
    <w:rsid w:val="00D53BD1"/>
    <w:rsid w:val="00D53F63"/>
    <w:rsid w:val="00D54C40"/>
    <w:rsid w:val="00D54E09"/>
    <w:rsid w:val="00D55274"/>
    <w:rsid w:val="00D5527E"/>
    <w:rsid w:val="00D55325"/>
    <w:rsid w:val="00D555F1"/>
    <w:rsid w:val="00D55A3F"/>
    <w:rsid w:val="00D55CC4"/>
    <w:rsid w:val="00D562E7"/>
    <w:rsid w:val="00D56376"/>
    <w:rsid w:val="00D5673A"/>
    <w:rsid w:val="00D5678F"/>
    <w:rsid w:val="00D56F4B"/>
    <w:rsid w:val="00D56F71"/>
    <w:rsid w:val="00D570E8"/>
    <w:rsid w:val="00D57E62"/>
    <w:rsid w:val="00D601B7"/>
    <w:rsid w:val="00D60280"/>
    <w:rsid w:val="00D60DD8"/>
    <w:rsid w:val="00D60E95"/>
    <w:rsid w:val="00D6147A"/>
    <w:rsid w:val="00D61931"/>
    <w:rsid w:val="00D61A06"/>
    <w:rsid w:val="00D61B0C"/>
    <w:rsid w:val="00D6278D"/>
    <w:rsid w:val="00D628BF"/>
    <w:rsid w:val="00D62A8C"/>
    <w:rsid w:val="00D62BA1"/>
    <w:rsid w:val="00D62DFF"/>
    <w:rsid w:val="00D62E68"/>
    <w:rsid w:val="00D62F12"/>
    <w:rsid w:val="00D63227"/>
    <w:rsid w:val="00D63370"/>
    <w:rsid w:val="00D638FF"/>
    <w:rsid w:val="00D63B9B"/>
    <w:rsid w:val="00D64706"/>
    <w:rsid w:val="00D64CF1"/>
    <w:rsid w:val="00D64DF9"/>
    <w:rsid w:val="00D65F28"/>
    <w:rsid w:val="00D6647B"/>
    <w:rsid w:val="00D66F86"/>
    <w:rsid w:val="00D67391"/>
    <w:rsid w:val="00D67940"/>
    <w:rsid w:val="00D67E68"/>
    <w:rsid w:val="00D67FC0"/>
    <w:rsid w:val="00D704CF"/>
    <w:rsid w:val="00D7067F"/>
    <w:rsid w:val="00D70ECD"/>
    <w:rsid w:val="00D71B8C"/>
    <w:rsid w:val="00D71EE0"/>
    <w:rsid w:val="00D71F4C"/>
    <w:rsid w:val="00D7221C"/>
    <w:rsid w:val="00D726AB"/>
    <w:rsid w:val="00D72AB5"/>
    <w:rsid w:val="00D72F3C"/>
    <w:rsid w:val="00D73D02"/>
    <w:rsid w:val="00D74FB4"/>
    <w:rsid w:val="00D75459"/>
    <w:rsid w:val="00D759D3"/>
    <w:rsid w:val="00D75E25"/>
    <w:rsid w:val="00D7609B"/>
    <w:rsid w:val="00D760AF"/>
    <w:rsid w:val="00D763FF"/>
    <w:rsid w:val="00D76FC2"/>
    <w:rsid w:val="00D77037"/>
    <w:rsid w:val="00D77587"/>
    <w:rsid w:val="00D7785D"/>
    <w:rsid w:val="00D802E2"/>
    <w:rsid w:val="00D803CE"/>
    <w:rsid w:val="00D80E76"/>
    <w:rsid w:val="00D80F40"/>
    <w:rsid w:val="00D813D3"/>
    <w:rsid w:val="00D81676"/>
    <w:rsid w:val="00D81825"/>
    <w:rsid w:val="00D821FF"/>
    <w:rsid w:val="00D82674"/>
    <w:rsid w:val="00D82752"/>
    <w:rsid w:val="00D82894"/>
    <w:rsid w:val="00D82FC3"/>
    <w:rsid w:val="00D83827"/>
    <w:rsid w:val="00D83B20"/>
    <w:rsid w:val="00D8424D"/>
    <w:rsid w:val="00D848E0"/>
    <w:rsid w:val="00D8526E"/>
    <w:rsid w:val="00D85477"/>
    <w:rsid w:val="00D854A0"/>
    <w:rsid w:val="00D8663A"/>
    <w:rsid w:val="00D86826"/>
    <w:rsid w:val="00D870B6"/>
    <w:rsid w:val="00D87464"/>
    <w:rsid w:val="00D874EF"/>
    <w:rsid w:val="00D87D52"/>
    <w:rsid w:val="00D900E5"/>
    <w:rsid w:val="00D90F72"/>
    <w:rsid w:val="00D90FE6"/>
    <w:rsid w:val="00D915F1"/>
    <w:rsid w:val="00D919FC"/>
    <w:rsid w:val="00D91C90"/>
    <w:rsid w:val="00D92021"/>
    <w:rsid w:val="00D927F8"/>
    <w:rsid w:val="00D92877"/>
    <w:rsid w:val="00D9322D"/>
    <w:rsid w:val="00D93E31"/>
    <w:rsid w:val="00D93E35"/>
    <w:rsid w:val="00D940B7"/>
    <w:rsid w:val="00D947BE"/>
    <w:rsid w:val="00D94930"/>
    <w:rsid w:val="00D94DE8"/>
    <w:rsid w:val="00D951BF"/>
    <w:rsid w:val="00D95F72"/>
    <w:rsid w:val="00D96295"/>
    <w:rsid w:val="00D96B39"/>
    <w:rsid w:val="00DA0513"/>
    <w:rsid w:val="00DA088C"/>
    <w:rsid w:val="00DA1076"/>
    <w:rsid w:val="00DA28D9"/>
    <w:rsid w:val="00DA2A13"/>
    <w:rsid w:val="00DA2CE7"/>
    <w:rsid w:val="00DA3069"/>
    <w:rsid w:val="00DA3917"/>
    <w:rsid w:val="00DA3B78"/>
    <w:rsid w:val="00DA3F8B"/>
    <w:rsid w:val="00DA4572"/>
    <w:rsid w:val="00DA47A5"/>
    <w:rsid w:val="00DA65C6"/>
    <w:rsid w:val="00DA6C7E"/>
    <w:rsid w:val="00DA73E8"/>
    <w:rsid w:val="00DA79EC"/>
    <w:rsid w:val="00DA7D0F"/>
    <w:rsid w:val="00DB0A57"/>
    <w:rsid w:val="00DB0A79"/>
    <w:rsid w:val="00DB22B5"/>
    <w:rsid w:val="00DB3AD0"/>
    <w:rsid w:val="00DB3B75"/>
    <w:rsid w:val="00DB418E"/>
    <w:rsid w:val="00DB4D86"/>
    <w:rsid w:val="00DB4DD1"/>
    <w:rsid w:val="00DB591B"/>
    <w:rsid w:val="00DB5EC7"/>
    <w:rsid w:val="00DB65C2"/>
    <w:rsid w:val="00DB720B"/>
    <w:rsid w:val="00DB738A"/>
    <w:rsid w:val="00DB7788"/>
    <w:rsid w:val="00DB7BE0"/>
    <w:rsid w:val="00DB7E6D"/>
    <w:rsid w:val="00DC040D"/>
    <w:rsid w:val="00DC1A84"/>
    <w:rsid w:val="00DC1C33"/>
    <w:rsid w:val="00DC23B2"/>
    <w:rsid w:val="00DC25FA"/>
    <w:rsid w:val="00DC2E21"/>
    <w:rsid w:val="00DC3CB7"/>
    <w:rsid w:val="00DC4504"/>
    <w:rsid w:val="00DC49A2"/>
    <w:rsid w:val="00DC4FCD"/>
    <w:rsid w:val="00DC62B8"/>
    <w:rsid w:val="00DC65FB"/>
    <w:rsid w:val="00DC6E2A"/>
    <w:rsid w:val="00DC7A9B"/>
    <w:rsid w:val="00DC7D34"/>
    <w:rsid w:val="00DC7FD1"/>
    <w:rsid w:val="00DD0822"/>
    <w:rsid w:val="00DD1183"/>
    <w:rsid w:val="00DD1394"/>
    <w:rsid w:val="00DD19B5"/>
    <w:rsid w:val="00DD1FA0"/>
    <w:rsid w:val="00DD3018"/>
    <w:rsid w:val="00DD34BD"/>
    <w:rsid w:val="00DD3C02"/>
    <w:rsid w:val="00DD3E1F"/>
    <w:rsid w:val="00DD3E69"/>
    <w:rsid w:val="00DD432A"/>
    <w:rsid w:val="00DD4C50"/>
    <w:rsid w:val="00DD56D1"/>
    <w:rsid w:val="00DD5704"/>
    <w:rsid w:val="00DD6AE7"/>
    <w:rsid w:val="00DD6E53"/>
    <w:rsid w:val="00DD7470"/>
    <w:rsid w:val="00DD75B5"/>
    <w:rsid w:val="00DD761C"/>
    <w:rsid w:val="00DD78F4"/>
    <w:rsid w:val="00DD7A42"/>
    <w:rsid w:val="00DD7BBD"/>
    <w:rsid w:val="00DD7FB7"/>
    <w:rsid w:val="00DE008E"/>
    <w:rsid w:val="00DE0C4F"/>
    <w:rsid w:val="00DE0F61"/>
    <w:rsid w:val="00DE1563"/>
    <w:rsid w:val="00DE16AF"/>
    <w:rsid w:val="00DE1701"/>
    <w:rsid w:val="00DE1A7B"/>
    <w:rsid w:val="00DE2627"/>
    <w:rsid w:val="00DE271A"/>
    <w:rsid w:val="00DE2F4E"/>
    <w:rsid w:val="00DE53C6"/>
    <w:rsid w:val="00DE5EA5"/>
    <w:rsid w:val="00DE6006"/>
    <w:rsid w:val="00DE6216"/>
    <w:rsid w:val="00DE6C59"/>
    <w:rsid w:val="00DE6CF9"/>
    <w:rsid w:val="00DE74E7"/>
    <w:rsid w:val="00DE76F8"/>
    <w:rsid w:val="00DE7F3A"/>
    <w:rsid w:val="00DF08AF"/>
    <w:rsid w:val="00DF0BA5"/>
    <w:rsid w:val="00DF0E2B"/>
    <w:rsid w:val="00DF1C52"/>
    <w:rsid w:val="00DF1CD1"/>
    <w:rsid w:val="00DF2C69"/>
    <w:rsid w:val="00DF347D"/>
    <w:rsid w:val="00DF4F0A"/>
    <w:rsid w:val="00DF552C"/>
    <w:rsid w:val="00DF593A"/>
    <w:rsid w:val="00DF59A6"/>
    <w:rsid w:val="00DF641F"/>
    <w:rsid w:val="00DF6D7D"/>
    <w:rsid w:val="00DF758A"/>
    <w:rsid w:val="00DF7963"/>
    <w:rsid w:val="00E001E2"/>
    <w:rsid w:val="00E0027E"/>
    <w:rsid w:val="00E00F9E"/>
    <w:rsid w:val="00E01203"/>
    <w:rsid w:val="00E0158F"/>
    <w:rsid w:val="00E0175C"/>
    <w:rsid w:val="00E01E44"/>
    <w:rsid w:val="00E02E33"/>
    <w:rsid w:val="00E03437"/>
    <w:rsid w:val="00E0401F"/>
    <w:rsid w:val="00E04265"/>
    <w:rsid w:val="00E052A8"/>
    <w:rsid w:val="00E061AD"/>
    <w:rsid w:val="00E06511"/>
    <w:rsid w:val="00E067A7"/>
    <w:rsid w:val="00E06B87"/>
    <w:rsid w:val="00E10C7D"/>
    <w:rsid w:val="00E10CE9"/>
    <w:rsid w:val="00E10F9C"/>
    <w:rsid w:val="00E11852"/>
    <w:rsid w:val="00E11A55"/>
    <w:rsid w:val="00E11B2E"/>
    <w:rsid w:val="00E11FDA"/>
    <w:rsid w:val="00E1226D"/>
    <w:rsid w:val="00E125AC"/>
    <w:rsid w:val="00E12654"/>
    <w:rsid w:val="00E12E26"/>
    <w:rsid w:val="00E13769"/>
    <w:rsid w:val="00E145A9"/>
    <w:rsid w:val="00E15C2A"/>
    <w:rsid w:val="00E168FA"/>
    <w:rsid w:val="00E16BC1"/>
    <w:rsid w:val="00E177F2"/>
    <w:rsid w:val="00E1793E"/>
    <w:rsid w:val="00E17F8A"/>
    <w:rsid w:val="00E2004B"/>
    <w:rsid w:val="00E200D2"/>
    <w:rsid w:val="00E219F5"/>
    <w:rsid w:val="00E21F7A"/>
    <w:rsid w:val="00E22B80"/>
    <w:rsid w:val="00E230C1"/>
    <w:rsid w:val="00E23196"/>
    <w:rsid w:val="00E23412"/>
    <w:rsid w:val="00E23492"/>
    <w:rsid w:val="00E23529"/>
    <w:rsid w:val="00E23A57"/>
    <w:rsid w:val="00E2445A"/>
    <w:rsid w:val="00E24496"/>
    <w:rsid w:val="00E2454F"/>
    <w:rsid w:val="00E24AF3"/>
    <w:rsid w:val="00E25034"/>
    <w:rsid w:val="00E26113"/>
    <w:rsid w:val="00E2628B"/>
    <w:rsid w:val="00E263BC"/>
    <w:rsid w:val="00E271EB"/>
    <w:rsid w:val="00E2734F"/>
    <w:rsid w:val="00E27E11"/>
    <w:rsid w:val="00E30270"/>
    <w:rsid w:val="00E307DF"/>
    <w:rsid w:val="00E309A4"/>
    <w:rsid w:val="00E309AD"/>
    <w:rsid w:val="00E30A24"/>
    <w:rsid w:val="00E30A63"/>
    <w:rsid w:val="00E31C9C"/>
    <w:rsid w:val="00E31DFA"/>
    <w:rsid w:val="00E31FB9"/>
    <w:rsid w:val="00E32486"/>
    <w:rsid w:val="00E3260B"/>
    <w:rsid w:val="00E32852"/>
    <w:rsid w:val="00E33F74"/>
    <w:rsid w:val="00E341F4"/>
    <w:rsid w:val="00E349E5"/>
    <w:rsid w:val="00E34A10"/>
    <w:rsid w:val="00E35358"/>
    <w:rsid w:val="00E35734"/>
    <w:rsid w:val="00E3721D"/>
    <w:rsid w:val="00E37810"/>
    <w:rsid w:val="00E4055D"/>
    <w:rsid w:val="00E4139C"/>
    <w:rsid w:val="00E41B5F"/>
    <w:rsid w:val="00E41E4F"/>
    <w:rsid w:val="00E42B60"/>
    <w:rsid w:val="00E4366D"/>
    <w:rsid w:val="00E43BD3"/>
    <w:rsid w:val="00E446A5"/>
    <w:rsid w:val="00E44EAF"/>
    <w:rsid w:val="00E4553F"/>
    <w:rsid w:val="00E45651"/>
    <w:rsid w:val="00E45B3E"/>
    <w:rsid w:val="00E464C0"/>
    <w:rsid w:val="00E466C5"/>
    <w:rsid w:val="00E4677C"/>
    <w:rsid w:val="00E46CBE"/>
    <w:rsid w:val="00E4715A"/>
    <w:rsid w:val="00E47654"/>
    <w:rsid w:val="00E504AA"/>
    <w:rsid w:val="00E5074B"/>
    <w:rsid w:val="00E51697"/>
    <w:rsid w:val="00E528DF"/>
    <w:rsid w:val="00E52AA3"/>
    <w:rsid w:val="00E52C43"/>
    <w:rsid w:val="00E52CE7"/>
    <w:rsid w:val="00E530B7"/>
    <w:rsid w:val="00E54896"/>
    <w:rsid w:val="00E552A4"/>
    <w:rsid w:val="00E552E0"/>
    <w:rsid w:val="00E55475"/>
    <w:rsid w:val="00E55A46"/>
    <w:rsid w:val="00E57B13"/>
    <w:rsid w:val="00E57E0A"/>
    <w:rsid w:val="00E60833"/>
    <w:rsid w:val="00E60909"/>
    <w:rsid w:val="00E60D84"/>
    <w:rsid w:val="00E61EAA"/>
    <w:rsid w:val="00E62BDB"/>
    <w:rsid w:val="00E62DAF"/>
    <w:rsid w:val="00E6347C"/>
    <w:rsid w:val="00E6367B"/>
    <w:rsid w:val="00E637F2"/>
    <w:rsid w:val="00E6392C"/>
    <w:rsid w:val="00E63D90"/>
    <w:rsid w:val="00E63DCA"/>
    <w:rsid w:val="00E64172"/>
    <w:rsid w:val="00E64454"/>
    <w:rsid w:val="00E64C70"/>
    <w:rsid w:val="00E64DAA"/>
    <w:rsid w:val="00E64E56"/>
    <w:rsid w:val="00E65602"/>
    <w:rsid w:val="00E66364"/>
    <w:rsid w:val="00E666C8"/>
    <w:rsid w:val="00E669D4"/>
    <w:rsid w:val="00E678FA"/>
    <w:rsid w:val="00E67987"/>
    <w:rsid w:val="00E679DB"/>
    <w:rsid w:val="00E67AAC"/>
    <w:rsid w:val="00E67D3C"/>
    <w:rsid w:val="00E704EB"/>
    <w:rsid w:val="00E71693"/>
    <w:rsid w:val="00E71710"/>
    <w:rsid w:val="00E72340"/>
    <w:rsid w:val="00E72933"/>
    <w:rsid w:val="00E731B6"/>
    <w:rsid w:val="00E732F8"/>
    <w:rsid w:val="00E736C7"/>
    <w:rsid w:val="00E73914"/>
    <w:rsid w:val="00E73D3B"/>
    <w:rsid w:val="00E7513D"/>
    <w:rsid w:val="00E7552E"/>
    <w:rsid w:val="00E76125"/>
    <w:rsid w:val="00E763BC"/>
    <w:rsid w:val="00E76484"/>
    <w:rsid w:val="00E76D47"/>
    <w:rsid w:val="00E772C6"/>
    <w:rsid w:val="00E77CCA"/>
    <w:rsid w:val="00E80478"/>
    <w:rsid w:val="00E806A4"/>
    <w:rsid w:val="00E8092D"/>
    <w:rsid w:val="00E80BDB"/>
    <w:rsid w:val="00E81B48"/>
    <w:rsid w:val="00E81C7B"/>
    <w:rsid w:val="00E81DD9"/>
    <w:rsid w:val="00E81F5D"/>
    <w:rsid w:val="00E822AE"/>
    <w:rsid w:val="00E82463"/>
    <w:rsid w:val="00E824A9"/>
    <w:rsid w:val="00E8278A"/>
    <w:rsid w:val="00E840B7"/>
    <w:rsid w:val="00E84581"/>
    <w:rsid w:val="00E8482F"/>
    <w:rsid w:val="00E855BF"/>
    <w:rsid w:val="00E85C32"/>
    <w:rsid w:val="00E860F9"/>
    <w:rsid w:val="00E862C8"/>
    <w:rsid w:val="00E86AD3"/>
    <w:rsid w:val="00E877AC"/>
    <w:rsid w:val="00E87840"/>
    <w:rsid w:val="00E900A8"/>
    <w:rsid w:val="00E906EC"/>
    <w:rsid w:val="00E9070E"/>
    <w:rsid w:val="00E9094C"/>
    <w:rsid w:val="00E917F7"/>
    <w:rsid w:val="00E919A8"/>
    <w:rsid w:val="00E91F7D"/>
    <w:rsid w:val="00E9200D"/>
    <w:rsid w:val="00E9223D"/>
    <w:rsid w:val="00E924EC"/>
    <w:rsid w:val="00E925D1"/>
    <w:rsid w:val="00E9261D"/>
    <w:rsid w:val="00E92CD4"/>
    <w:rsid w:val="00E935A7"/>
    <w:rsid w:val="00E93714"/>
    <w:rsid w:val="00E93AC3"/>
    <w:rsid w:val="00E93E78"/>
    <w:rsid w:val="00E93EB5"/>
    <w:rsid w:val="00E93FB9"/>
    <w:rsid w:val="00E944A1"/>
    <w:rsid w:val="00E9451B"/>
    <w:rsid w:val="00E94651"/>
    <w:rsid w:val="00E948C4"/>
    <w:rsid w:val="00E94FEB"/>
    <w:rsid w:val="00E95A73"/>
    <w:rsid w:val="00E95DEA"/>
    <w:rsid w:val="00E96068"/>
    <w:rsid w:val="00E96B32"/>
    <w:rsid w:val="00E96F53"/>
    <w:rsid w:val="00E97E43"/>
    <w:rsid w:val="00EA02C5"/>
    <w:rsid w:val="00EA1511"/>
    <w:rsid w:val="00EA1B9F"/>
    <w:rsid w:val="00EA1BE3"/>
    <w:rsid w:val="00EA215A"/>
    <w:rsid w:val="00EA2303"/>
    <w:rsid w:val="00EA26E0"/>
    <w:rsid w:val="00EA30EE"/>
    <w:rsid w:val="00EA344D"/>
    <w:rsid w:val="00EA38BF"/>
    <w:rsid w:val="00EA3BBB"/>
    <w:rsid w:val="00EA3F06"/>
    <w:rsid w:val="00EA42E8"/>
    <w:rsid w:val="00EA4709"/>
    <w:rsid w:val="00EA4DEB"/>
    <w:rsid w:val="00EA53EB"/>
    <w:rsid w:val="00EA5BB3"/>
    <w:rsid w:val="00EA61AE"/>
    <w:rsid w:val="00EA6557"/>
    <w:rsid w:val="00EA6761"/>
    <w:rsid w:val="00EA6DC2"/>
    <w:rsid w:val="00EA7236"/>
    <w:rsid w:val="00EB0F12"/>
    <w:rsid w:val="00EB10CF"/>
    <w:rsid w:val="00EB1AA9"/>
    <w:rsid w:val="00EB23BF"/>
    <w:rsid w:val="00EB2827"/>
    <w:rsid w:val="00EB2A50"/>
    <w:rsid w:val="00EB2EBC"/>
    <w:rsid w:val="00EB2FE5"/>
    <w:rsid w:val="00EB3121"/>
    <w:rsid w:val="00EB3313"/>
    <w:rsid w:val="00EB33F9"/>
    <w:rsid w:val="00EB3B68"/>
    <w:rsid w:val="00EB3E35"/>
    <w:rsid w:val="00EB484D"/>
    <w:rsid w:val="00EB4AC3"/>
    <w:rsid w:val="00EB4CB3"/>
    <w:rsid w:val="00EB4F03"/>
    <w:rsid w:val="00EB5360"/>
    <w:rsid w:val="00EB544D"/>
    <w:rsid w:val="00EB5AE1"/>
    <w:rsid w:val="00EB5BEB"/>
    <w:rsid w:val="00EB5F4C"/>
    <w:rsid w:val="00EB668F"/>
    <w:rsid w:val="00EB76BC"/>
    <w:rsid w:val="00EB7CB9"/>
    <w:rsid w:val="00EC008E"/>
    <w:rsid w:val="00EC0C6C"/>
    <w:rsid w:val="00EC0F09"/>
    <w:rsid w:val="00EC113A"/>
    <w:rsid w:val="00EC13BE"/>
    <w:rsid w:val="00EC22C3"/>
    <w:rsid w:val="00EC23DE"/>
    <w:rsid w:val="00EC2913"/>
    <w:rsid w:val="00EC2AE3"/>
    <w:rsid w:val="00EC2B3D"/>
    <w:rsid w:val="00EC2F72"/>
    <w:rsid w:val="00EC3180"/>
    <w:rsid w:val="00EC3F28"/>
    <w:rsid w:val="00EC4796"/>
    <w:rsid w:val="00EC4EC1"/>
    <w:rsid w:val="00EC5805"/>
    <w:rsid w:val="00EC58C9"/>
    <w:rsid w:val="00EC7916"/>
    <w:rsid w:val="00EC7A22"/>
    <w:rsid w:val="00EC7AA8"/>
    <w:rsid w:val="00ED06BD"/>
    <w:rsid w:val="00ED09AE"/>
    <w:rsid w:val="00ED0E30"/>
    <w:rsid w:val="00ED0F96"/>
    <w:rsid w:val="00ED18E0"/>
    <w:rsid w:val="00ED1B9C"/>
    <w:rsid w:val="00ED294A"/>
    <w:rsid w:val="00ED2EF6"/>
    <w:rsid w:val="00ED355C"/>
    <w:rsid w:val="00ED38C3"/>
    <w:rsid w:val="00ED3A00"/>
    <w:rsid w:val="00ED3F4A"/>
    <w:rsid w:val="00ED4375"/>
    <w:rsid w:val="00ED4E49"/>
    <w:rsid w:val="00ED4FCA"/>
    <w:rsid w:val="00ED5357"/>
    <w:rsid w:val="00ED5CB1"/>
    <w:rsid w:val="00ED5D9D"/>
    <w:rsid w:val="00ED6434"/>
    <w:rsid w:val="00ED6A58"/>
    <w:rsid w:val="00ED765E"/>
    <w:rsid w:val="00EE2989"/>
    <w:rsid w:val="00EE2AF4"/>
    <w:rsid w:val="00EE3A34"/>
    <w:rsid w:val="00EE3C7C"/>
    <w:rsid w:val="00EE40EB"/>
    <w:rsid w:val="00EE47FA"/>
    <w:rsid w:val="00EE4986"/>
    <w:rsid w:val="00EE4B71"/>
    <w:rsid w:val="00EE5829"/>
    <w:rsid w:val="00EE5BA2"/>
    <w:rsid w:val="00EE5E12"/>
    <w:rsid w:val="00EE6A72"/>
    <w:rsid w:val="00EE6C3B"/>
    <w:rsid w:val="00EE6D25"/>
    <w:rsid w:val="00EE6F43"/>
    <w:rsid w:val="00EE78E7"/>
    <w:rsid w:val="00EE7DD8"/>
    <w:rsid w:val="00EF02AC"/>
    <w:rsid w:val="00EF0A9B"/>
    <w:rsid w:val="00EF0E6A"/>
    <w:rsid w:val="00EF1054"/>
    <w:rsid w:val="00EF10A7"/>
    <w:rsid w:val="00EF147E"/>
    <w:rsid w:val="00EF1BB6"/>
    <w:rsid w:val="00EF2C41"/>
    <w:rsid w:val="00EF2E69"/>
    <w:rsid w:val="00EF4109"/>
    <w:rsid w:val="00EF48C3"/>
    <w:rsid w:val="00EF4D8A"/>
    <w:rsid w:val="00EF4F3A"/>
    <w:rsid w:val="00EF554B"/>
    <w:rsid w:val="00EF5D25"/>
    <w:rsid w:val="00EF62DA"/>
    <w:rsid w:val="00EF66C2"/>
    <w:rsid w:val="00EF6D91"/>
    <w:rsid w:val="00EF6DAA"/>
    <w:rsid w:val="00EF6DB7"/>
    <w:rsid w:val="00EF6ED0"/>
    <w:rsid w:val="00EF701F"/>
    <w:rsid w:val="00EF7A2E"/>
    <w:rsid w:val="00EF7B65"/>
    <w:rsid w:val="00EF7E9B"/>
    <w:rsid w:val="00F002AF"/>
    <w:rsid w:val="00F003CD"/>
    <w:rsid w:val="00F005CA"/>
    <w:rsid w:val="00F00A29"/>
    <w:rsid w:val="00F00B1C"/>
    <w:rsid w:val="00F00CFF"/>
    <w:rsid w:val="00F00F48"/>
    <w:rsid w:val="00F01927"/>
    <w:rsid w:val="00F01FA5"/>
    <w:rsid w:val="00F01FDD"/>
    <w:rsid w:val="00F02065"/>
    <w:rsid w:val="00F0268B"/>
    <w:rsid w:val="00F028AD"/>
    <w:rsid w:val="00F036A9"/>
    <w:rsid w:val="00F0391F"/>
    <w:rsid w:val="00F03B3C"/>
    <w:rsid w:val="00F03FA6"/>
    <w:rsid w:val="00F0420E"/>
    <w:rsid w:val="00F05622"/>
    <w:rsid w:val="00F05BB9"/>
    <w:rsid w:val="00F05E1B"/>
    <w:rsid w:val="00F06019"/>
    <w:rsid w:val="00F060D9"/>
    <w:rsid w:val="00F0625F"/>
    <w:rsid w:val="00F062DE"/>
    <w:rsid w:val="00F06FF7"/>
    <w:rsid w:val="00F07338"/>
    <w:rsid w:val="00F0796D"/>
    <w:rsid w:val="00F07D38"/>
    <w:rsid w:val="00F10190"/>
    <w:rsid w:val="00F10C83"/>
    <w:rsid w:val="00F10F8E"/>
    <w:rsid w:val="00F11145"/>
    <w:rsid w:val="00F1139A"/>
    <w:rsid w:val="00F11463"/>
    <w:rsid w:val="00F12325"/>
    <w:rsid w:val="00F12CA3"/>
    <w:rsid w:val="00F12DDB"/>
    <w:rsid w:val="00F13724"/>
    <w:rsid w:val="00F138F4"/>
    <w:rsid w:val="00F1426A"/>
    <w:rsid w:val="00F144CE"/>
    <w:rsid w:val="00F14891"/>
    <w:rsid w:val="00F149A7"/>
    <w:rsid w:val="00F14D3E"/>
    <w:rsid w:val="00F14DDF"/>
    <w:rsid w:val="00F153CA"/>
    <w:rsid w:val="00F1565F"/>
    <w:rsid w:val="00F15798"/>
    <w:rsid w:val="00F15E5E"/>
    <w:rsid w:val="00F163A4"/>
    <w:rsid w:val="00F1654E"/>
    <w:rsid w:val="00F166DF"/>
    <w:rsid w:val="00F16711"/>
    <w:rsid w:val="00F16E9E"/>
    <w:rsid w:val="00F20743"/>
    <w:rsid w:val="00F20BDA"/>
    <w:rsid w:val="00F21255"/>
    <w:rsid w:val="00F220B8"/>
    <w:rsid w:val="00F223E9"/>
    <w:rsid w:val="00F22E1C"/>
    <w:rsid w:val="00F2312F"/>
    <w:rsid w:val="00F235FB"/>
    <w:rsid w:val="00F23F22"/>
    <w:rsid w:val="00F24401"/>
    <w:rsid w:val="00F24FD4"/>
    <w:rsid w:val="00F25204"/>
    <w:rsid w:val="00F2548C"/>
    <w:rsid w:val="00F25B6D"/>
    <w:rsid w:val="00F26FBC"/>
    <w:rsid w:val="00F272A2"/>
    <w:rsid w:val="00F278E7"/>
    <w:rsid w:val="00F27A6D"/>
    <w:rsid w:val="00F27B33"/>
    <w:rsid w:val="00F27BA2"/>
    <w:rsid w:val="00F27F47"/>
    <w:rsid w:val="00F307FB"/>
    <w:rsid w:val="00F31154"/>
    <w:rsid w:val="00F315B7"/>
    <w:rsid w:val="00F31DE8"/>
    <w:rsid w:val="00F31EB9"/>
    <w:rsid w:val="00F3235A"/>
    <w:rsid w:val="00F32C87"/>
    <w:rsid w:val="00F32DBF"/>
    <w:rsid w:val="00F32DEE"/>
    <w:rsid w:val="00F33A9F"/>
    <w:rsid w:val="00F341BD"/>
    <w:rsid w:val="00F3423B"/>
    <w:rsid w:val="00F346DF"/>
    <w:rsid w:val="00F34A35"/>
    <w:rsid w:val="00F35F6C"/>
    <w:rsid w:val="00F36BFD"/>
    <w:rsid w:val="00F36D51"/>
    <w:rsid w:val="00F36ECC"/>
    <w:rsid w:val="00F3784D"/>
    <w:rsid w:val="00F379B8"/>
    <w:rsid w:val="00F37CE5"/>
    <w:rsid w:val="00F40063"/>
    <w:rsid w:val="00F406E4"/>
    <w:rsid w:val="00F40946"/>
    <w:rsid w:val="00F40B6C"/>
    <w:rsid w:val="00F41196"/>
    <w:rsid w:val="00F419FC"/>
    <w:rsid w:val="00F42DEC"/>
    <w:rsid w:val="00F42F73"/>
    <w:rsid w:val="00F43C63"/>
    <w:rsid w:val="00F43FB0"/>
    <w:rsid w:val="00F4426E"/>
    <w:rsid w:val="00F442A9"/>
    <w:rsid w:val="00F44B02"/>
    <w:rsid w:val="00F451A5"/>
    <w:rsid w:val="00F453C8"/>
    <w:rsid w:val="00F45735"/>
    <w:rsid w:val="00F45C45"/>
    <w:rsid w:val="00F46DB4"/>
    <w:rsid w:val="00F46DF9"/>
    <w:rsid w:val="00F47930"/>
    <w:rsid w:val="00F47EED"/>
    <w:rsid w:val="00F50995"/>
    <w:rsid w:val="00F51485"/>
    <w:rsid w:val="00F519E5"/>
    <w:rsid w:val="00F51AC4"/>
    <w:rsid w:val="00F520ED"/>
    <w:rsid w:val="00F522AD"/>
    <w:rsid w:val="00F53C1E"/>
    <w:rsid w:val="00F53D52"/>
    <w:rsid w:val="00F53F09"/>
    <w:rsid w:val="00F54FE0"/>
    <w:rsid w:val="00F55150"/>
    <w:rsid w:val="00F56229"/>
    <w:rsid w:val="00F562F7"/>
    <w:rsid w:val="00F56B87"/>
    <w:rsid w:val="00F56EAB"/>
    <w:rsid w:val="00F56EEA"/>
    <w:rsid w:val="00F57E49"/>
    <w:rsid w:val="00F62661"/>
    <w:rsid w:val="00F62BE8"/>
    <w:rsid w:val="00F6313F"/>
    <w:rsid w:val="00F6373A"/>
    <w:rsid w:val="00F63828"/>
    <w:rsid w:val="00F63A7A"/>
    <w:rsid w:val="00F6492C"/>
    <w:rsid w:val="00F64CAE"/>
    <w:rsid w:val="00F64F70"/>
    <w:rsid w:val="00F65136"/>
    <w:rsid w:val="00F65797"/>
    <w:rsid w:val="00F6598D"/>
    <w:rsid w:val="00F65E8D"/>
    <w:rsid w:val="00F66036"/>
    <w:rsid w:val="00F66172"/>
    <w:rsid w:val="00F66636"/>
    <w:rsid w:val="00F6665B"/>
    <w:rsid w:val="00F667B8"/>
    <w:rsid w:val="00F66FE6"/>
    <w:rsid w:val="00F67692"/>
    <w:rsid w:val="00F678AF"/>
    <w:rsid w:val="00F67B3D"/>
    <w:rsid w:val="00F67D4F"/>
    <w:rsid w:val="00F7023F"/>
    <w:rsid w:val="00F70282"/>
    <w:rsid w:val="00F70DAD"/>
    <w:rsid w:val="00F70E6D"/>
    <w:rsid w:val="00F716CE"/>
    <w:rsid w:val="00F721FD"/>
    <w:rsid w:val="00F72D49"/>
    <w:rsid w:val="00F72E08"/>
    <w:rsid w:val="00F73002"/>
    <w:rsid w:val="00F74DF6"/>
    <w:rsid w:val="00F75099"/>
    <w:rsid w:val="00F756D5"/>
    <w:rsid w:val="00F758B1"/>
    <w:rsid w:val="00F75E8D"/>
    <w:rsid w:val="00F764C0"/>
    <w:rsid w:val="00F76B89"/>
    <w:rsid w:val="00F76BDF"/>
    <w:rsid w:val="00F76CED"/>
    <w:rsid w:val="00F77E1F"/>
    <w:rsid w:val="00F80604"/>
    <w:rsid w:val="00F81486"/>
    <w:rsid w:val="00F81A8F"/>
    <w:rsid w:val="00F81CEE"/>
    <w:rsid w:val="00F82025"/>
    <w:rsid w:val="00F82149"/>
    <w:rsid w:val="00F8233D"/>
    <w:rsid w:val="00F82C23"/>
    <w:rsid w:val="00F82D50"/>
    <w:rsid w:val="00F82DC7"/>
    <w:rsid w:val="00F8345B"/>
    <w:rsid w:val="00F8380C"/>
    <w:rsid w:val="00F83B14"/>
    <w:rsid w:val="00F84728"/>
    <w:rsid w:val="00F84ED4"/>
    <w:rsid w:val="00F85542"/>
    <w:rsid w:val="00F858FA"/>
    <w:rsid w:val="00F85923"/>
    <w:rsid w:val="00F85FED"/>
    <w:rsid w:val="00F86099"/>
    <w:rsid w:val="00F8633B"/>
    <w:rsid w:val="00F8633E"/>
    <w:rsid w:val="00F863D3"/>
    <w:rsid w:val="00F86E85"/>
    <w:rsid w:val="00F87B25"/>
    <w:rsid w:val="00F907EA"/>
    <w:rsid w:val="00F90A37"/>
    <w:rsid w:val="00F9195B"/>
    <w:rsid w:val="00F92332"/>
    <w:rsid w:val="00F92583"/>
    <w:rsid w:val="00F92F0A"/>
    <w:rsid w:val="00F93573"/>
    <w:rsid w:val="00F93C2F"/>
    <w:rsid w:val="00F93C8F"/>
    <w:rsid w:val="00F94525"/>
    <w:rsid w:val="00F95A51"/>
    <w:rsid w:val="00F95A7D"/>
    <w:rsid w:val="00F95FEF"/>
    <w:rsid w:val="00F963AF"/>
    <w:rsid w:val="00F96A43"/>
    <w:rsid w:val="00F96CEB"/>
    <w:rsid w:val="00F96F19"/>
    <w:rsid w:val="00F97400"/>
    <w:rsid w:val="00F974EB"/>
    <w:rsid w:val="00F97C48"/>
    <w:rsid w:val="00F97E3D"/>
    <w:rsid w:val="00FA10BC"/>
    <w:rsid w:val="00FA124A"/>
    <w:rsid w:val="00FA202C"/>
    <w:rsid w:val="00FA21DC"/>
    <w:rsid w:val="00FA2768"/>
    <w:rsid w:val="00FA2D2B"/>
    <w:rsid w:val="00FA3165"/>
    <w:rsid w:val="00FA3778"/>
    <w:rsid w:val="00FA4071"/>
    <w:rsid w:val="00FA415E"/>
    <w:rsid w:val="00FA441F"/>
    <w:rsid w:val="00FA44B4"/>
    <w:rsid w:val="00FA45A1"/>
    <w:rsid w:val="00FA4989"/>
    <w:rsid w:val="00FA4A5A"/>
    <w:rsid w:val="00FA56E9"/>
    <w:rsid w:val="00FA5B9B"/>
    <w:rsid w:val="00FA6179"/>
    <w:rsid w:val="00FA6435"/>
    <w:rsid w:val="00FA6523"/>
    <w:rsid w:val="00FA6BF3"/>
    <w:rsid w:val="00FA6DA5"/>
    <w:rsid w:val="00FA722B"/>
    <w:rsid w:val="00FA73EE"/>
    <w:rsid w:val="00FA76BD"/>
    <w:rsid w:val="00FB0C15"/>
    <w:rsid w:val="00FB0D73"/>
    <w:rsid w:val="00FB12FA"/>
    <w:rsid w:val="00FB156B"/>
    <w:rsid w:val="00FB19A6"/>
    <w:rsid w:val="00FB1C79"/>
    <w:rsid w:val="00FB2AB4"/>
    <w:rsid w:val="00FB2B34"/>
    <w:rsid w:val="00FB3499"/>
    <w:rsid w:val="00FB3DEE"/>
    <w:rsid w:val="00FB4CC4"/>
    <w:rsid w:val="00FB54DD"/>
    <w:rsid w:val="00FB55DF"/>
    <w:rsid w:val="00FB56B0"/>
    <w:rsid w:val="00FB5BED"/>
    <w:rsid w:val="00FB5E8B"/>
    <w:rsid w:val="00FB6177"/>
    <w:rsid w:val="00FB76BE"/>
    <w:rsid w:val="00FB78CF"/>
    <w:rsid w:val="00FB7FE1"/>
    <w:rsid w:val="00FC05B1"/>
    <w:rsid w:val="00FC0871"/>
    <w:rsid w:val="00FC0988"/>
    <w:rsid w:val="00FC0F18"/>
    <w:rsid w:val="00FC1236"/>
    <w:rsid w:val="00FC1EFB"/>
    <w:rsid w:val="00FC1EFC"/>
    <w:rsid w:val="00FC26A2"/>
    <w:rsid w:val="00FC27F8"/>
    <w:rsid w:val="00FC2D2D"/>
    <w:rsid w:val="00FC2D76"/>
    <w:rsid w:val="00FC2F07"/>
    <w:rsid w:val="00FC2F77"/>
    <w:rsid w:val="00FC3239"/>
    <w:rsid w:val="00FC32CD"/>
    <w:rsid w:val="00FC398E"/>
    <w:rsid w:val="00FC3B9A"/>
    <w:rsid w:val="00FC3CB5"/>
    <w:rsid w:val="00FC3CC2"/>
    <w:rsid w:val="00FC428A"/>
    <w:rsid w:val="00FC57D6"/>
    <w:rsid w:val="00FC5FA5"/>
    <w:rsid w:val="00FC60F0"/>
    <w:rsid w:val="00FC741D"/>
    <w:rsid w:val="00FC74C1"/>
    <w:rsid w:val="00FD053D"/>
    <w:rsid w:val="00FD0545"/>
    <w:rsid w:val="00FD0B7E"/>
    <w:rsid w:val="00FD0B83"/>
    <w:rsid w:val="00FD0EE3"/>
    <w:rsid w:val="00FD1D7E"/>
    <w:rsid w:val="00FD1DCC"/>
    <w:rsid w:val="00FD2421"/>
    <w:rsid w:val="00FD2AC9"/>
    <w:rsid w:val="00FD32A4"/>
    <w:rsid w:val="00FD344E"/>
    <w:rsid w:val="00FD3884"/>
    <w:rsid w:val="00FD39EE"/>
    <w:rsid w:val="00FD3FD5"/>
    <w:rsid w:val="00FD4138"/>
    <w:rsid w:val="00FD4EAE"/>
    <w:rsid w:val="00FD5C92"/>
    <w:rsid w:val="00FD5F91"/>
    <w:rsid w:val="00FD6F4A"/>
    <w:rsid w:val="00FE05D4"/>
    <w:rsid w:val="00FE0653"/>
    <w:rsid w:val="00FE0A09"/>
    <w:rsid w:val="00FE0F0B"/>
    <w:rsid w:val="00FE1C2D"/>
    <w:rsid w:val="00FE2179"/>
    <w:rsid w:val="00FE2A2F"/>
    <w:rsid w:val="00FE2D06"/>
    <w:rsid w:val="00FE3A59"/>
    <w:rsid w:val="00FE496E"/>
    <w:rsid w:val="00FE512E"/>
    <w:rsid w:val="00FE631F"/>
    <w:rsid w:val="00FE6680"/>
    <w:rsid w:val="00FE6AC0"/>
    <w:rsid w:val="00FE7142"/>
    <w:rsid w:val="00FE77CB"/>
    <w:rsid w:val="00FF04A5"/>
    <w:rsid w:val="00FF07B0"/>
    <w:rsid w:val="00FF0800"/>
    <w:rsid w:val="00FF087D"/>
    <w:rsid w:val="00FF0CC4"/>
    <w:rsid w:val="00FF0D71"/>
    <w:rsid w:val="00FF1315"/>
    <w:rsid w:val="00FF1376"/>
    <w:rsid w:val="00FF16F8"/>
    <w:rsid w:val="00FF2164"/>
    <w:rsid w:val="00FF2906"/>
    <w:rsid w:val="00FF2CB9"/>
    <w:rsid w:val="00FF3845"/>
    <w:rsid w:val="00FF3956"/>
    <w:rsid w:val="00FF4395"/>
    <w:rsid w:val="00FF4684"/>
    <w:rsid w:val="00FF4795"/>
    <w:rsid w:val="00FF4E7D"/>
    <w:rsid w:val="00FF5235"/>
    <w:rsid w:val="00FF538B"/>
    <w:rsid w:val="00FF5471"/>
    <w:rsid w:val="00FF6A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DCD"/>
    <w:pPr>
      <w:spacing w:after="100" w:line="400" w:lineRule="exact"/>
      <w:jc w:val="both"/>
    </w:pPr>
    <w:rPr>
      <w:rFonts w:ascii="Century Schoolbook" w:hAnsi="Century Schoolbook"/>
      <w:sz w:val="27"/>
    </w:rPr>
  </w:style>
  <w:style w:type="paragraph" w:styleId="Heading1">
    <w:name w:val="heading 1"/>
    <w:basedOn w:val="Normal"/>
    <w:next w:val="Normal"/>
    <w:qFormat/>
    <w:rsid w:val="00C06DCD"/>
    <w:pPr>
      <w:keepNext/>
      <w:spacing w:before="140" w:line="240" w:lineRule="atLeast"/>
      <w:jc w:val="center"/>
      <w:outlineLvl w:val="0"/>
    </w:pPr>
    <w:rPr>
      <w:b/>
      <w:smallCaps/>
    </w:rPr>
  </w:style>
  <w:style w:type="paragraph" w:styleId="Heading2">
    <w:name w:val="heading 2"/>
    <w:basedOn w:val="Normal"/>
    <w:next w:val="Normal"/>
    <w:qFormat/>
    <w:rsid w:val="00C06DC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06DCD"/>
    <w:pPr>
      <w:keepNext/>
      <w:numPr>
        <w:numId w:val="7"/>
      </w:numPr>
      <w:tabs>
        <w:tab w:val="left" w:pos="1584"/>
      </w:tabs>
      <w:spacing w:before="140" w:line="240" w:lineRule="atLeast"/>
      <w:jc w:val="left"/>
      <w:outlineLvl w:val="2"/>
    </w:pPr>
    <w:rPr>
      <w:i/>
    </w:rPr>
  </w:style>
  <w:style w:type="paragraph" w:styleId="Heading4">
    <w:name w:val="heading 4"/>
    <w:basedOn w:val="Normal"/>
    <w:rsid w:val="00C06DCD"/>
    <w:pPr>
      <w:keepNext/>
      <w:tabs>
        <w:tab w:val="left" w:pos="2016"/>
      </w:tabs>
      <w:spacing w:before="140" w:line="240" w:lineRule="atLeast"/>
      <w:ind w:left="2016" w:hanging="432"/>
      <w:jc w:val="left"/>
      <w:outlineLvl w:val="3"/>
    </w:pPr>
    <w:rPr>
      <w:i/>
    </w:rPr>
  </w:style>
  <w:style w:type="paragraph" w:styleId="Heading5">
    <w:name w:val="heading 5"/>
    <w:basedOn w:val="Normal"/>
    <w:rsid w:val="00C06DC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06DCD"/>
    <w:pPr>
      <w:ind w:left="720"/>
    </w:pPr>
  </w:style>
  <w:style w:type="paragraph" w:styleId="Footer">
    <w:name w:val="footer"/>
    <w:basedOn w:val="Normal"/>
    <w:link w:val="FooterChar"/>
    <w:uiPriority w:val="99"/>
    <w:qFormat/>
    <w:rsid w:val="00C06DCD"/>
    <w:pPr>
      <w:tabs>
        <w:tab w:val="center" w:pos="3960"/>
        <w:tab w:val="right" w:pos="10080"/>
      </w:tabs>
      <w:spacing w:after="0" w:line="240" w:lineRule="auto"/>
      <w:jc w:val="center"/>
    </w:pPr>
    <w:rPr>
      <w:sz w:val="22"/>
    </w:rPr>
  </w:style>
  <w:style w:type="paragraph" w:styleId="Header">
    <w:name w:val="header"/>
    <w:basedOn w:val="Normal"/>
    <w:qFormat/>
    <w:rsid w:val="00C06DC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06DCD"/>
    <w:rPr>
      <w:rFonts w:ascii="Century Schoolbook" w:hAnsi="Century Schoolbook"/>
      <w:b/>
      <w:i w:val="0"/>
      <w:position w:val="4"/>
      <w:sz w:val="27"/>
      <w:vertAlign w:val="superscript"/>
    </w:rPr>
  </w:style>
  <w:style w:type="paragraph" w:styleId="FootnoteText">
    <w:name w:val="footnote text"/>
    <w:basedOn w:val="Normal"/>
    <w:rsid w:val="00C06DCD"/>
    <w:pPr>
      <w:spacing w:line="300" w:lineRule="exact"/>
    </w:pPr>
  </w:style>
  <w:style w:type="paragraph" w:customStyle="1" w:styleId="Title1">
    <w:name w:val="Title1"/>
    <w:basedOn w:val="Normal"/>
    <w:rsid w:val="00C06DCD"/>
    <w:pPr>
      <w:tabs>
        <w:tab w:val="left" w:pos="5760"/>
        <w:tab w:val="left" w:pos="6480"/>
      </w:tabs>
      <w:spacing w:line="240" w:lineRule="atLeast"/>
    </w:pPr>
  </w:style>
  <w:style w:type="paragraph" w:customStyle="1" w:styleId="Recommend">
    <w:name w:val="Recommend"/>
    <w:basedOn w:val="Normal"/>
    <w:rsid w:val="00C06DCD"/>
  </w:style>
  <w:style w:type="paragraph" w:customStyle="1" w:styleId="Summary">
    <w:name w:val="Summary"/>
    <w:basedOn w:val="Normal"/>
    <w:rsid w:val="00C06DCD"/>
    <w:pPr>
      <w:ind w:left="2160" w:hanging="2160"/>
    </w:pPr>
  </w:style>
  <w:style w:type="paragraph" w:customStyle="1" w:styleId="Text">
    <w:name w:val="Text"/>
    <w:basedOn w:val="Normal"/>
    <w:rsid w:val="00C06DCD"/>
    <w:pPr>
      <w:tabs>
        <w:tab w:val="left" w:pos="720"/>
        <w:tab w:val="left" w:pos="1440"/>
        <w:tab w:val="left" w:pos="2160"/>
        <w:tab w:val="center" w:pos="4320"/>
      </w:tabs>
      <w:spacing w:line="480" w:lineRule="atLeast"/>
      <w:ind w:firstLine="540"/>
    </w:pPr>
  </w:style>
  <w:style w:type="paragraph" w:styleId="Date">
    <w:name w:val="Date"/>
    <w:basedOn w:val="Normal"/>
    <w:semiHidden/>
    <w:rsid w:val="00C06DCD"/>
    <w:pPr>
      <w:jc w:val="right"/>
    </w:pPr>
  </w:style>
  <w:style w:type="character" w:styleId="PageNumber">
    <w:name w:val="page number"/>
    <w:basedOn w:val="DefaultParagraphFont"/>
    <w:semiHidden/>
    <w:rsid w:val="00C06DCD"/>
  </w:style>
  <w:style w:type="paragraph" w:customStyle="1" w:styleId="subject">
    <w:name w:val="subject"/>
    <w:basedOn w:val="Normal"/>
    <w:rsid w:val="00C06DCD"/>
    <w:pPr>
      <w:tabs>
        <w:tab w:val="left" w:pos="1008"/>
      </w:tabs>
      <w:ind w:left="990" w:hanging="990"/>
    </w:pPr>
    <w:rPr>
      <w:b/>
    </w:rPr>
  </w:style>
  <w:style w:type="paragraph" w:customStyle="1" w:styleId="Titles">
    <w:name w:val="Titles"/>
    <w:basedOn w:val="Normal"/>
    <w:rsid w:val="00C06DCD"/>
    <w:pPr>
      <w:tabs>
        <w:tab w:val="left" w:pos="2160"/>
      </w:tabs>
      <w:ind w:left="2160" w:hanging="2160"/>
    </w:pPr>
    <w:rPr>
      <w:b/>
    </w:rPr>
  </w:style>
  <w:style w:type="paragraph" w:styleId="TOAHeading">
    <w:name w:val="toa heading"/>
    <w:basedOn w:val="Normal"/>
    <w:next w:val="Normal"/>
    <w:semiHidden/>
    <w:rsid w:val="00C06DCD"/>
    <w:pPr>
      <w:spacing w:before="120"/>
    </w:pPr>
    <w:rPr>
      <w:b/>
    </w:rPr>
  </w:style>
  <w:style w:type="paragraph" w:styleId="TOC1">
    <w:name w:val="toc 1"/>
    <w:basedOn w:val="Normal"/>
    <w:next w:val="Normal"/>
    <w:autoRedefine/>
    <w:semiHidden/>
    <w:rsid w:val="00C06DCD"/>
  </w:style>
  <w:style w:type="paragraph" w:styleId="TOC2">
    <w:name w:val="toc 2"/>
    <w:basedOn w:val="Normal"/>
    <w:next w:val="Normal"/>
    <w:autoRedefine/>
    <w:semiHidden/>
    <w:rsid w:val="00C06DCD"/>
    <w:pPr>
      <w:ind w:left="259"/>
    </w:pPr>
  </w:style>
  <w:style w:type="paragraph" w:styleId="TOC3">
    <w:name w:val="toc 3"/>
    <w:basedOn w:val="Normal"/>
    <w:next w:val="Normal"/>
    <w:autoRedefine/>
    <w:semiHidden/>
    <w:rsid w:val="00C06DCD"/>
    <w:pPr>
      <w:ind w:left="520"/>
    </w:pPr>
  </w:style>
  <w:style w:type="paragraph" w:styleId="TOC4">
    <w:name w:val="toc 4"/>
    <w:basedOn w:val="Normal"/>
    <w:next w:val="Normal"/>
    <w:autoRedefine/>
    <w:semiHidden/>
    <w:rsid w:val="00C06DCD"/>
    <w:pPr>
      <w:ind w:left="780"/>
    </w:pPr>
  </w:style>
  <w:style w:type="paragraph" w:styleId="TOC5">
    <w:name w:val="toc 5"/>
    <w:basedOn w:val="Normal"/>
    <w:next w:val="Normal"/>
    <w:autoRedefine/>
    <w:semiHidden/>
    <w:rsid w:val="00C06DCD"/>
    <w:pPr>
      <w:ind w:left="1040"/>
    </w:pPr>
  </w:style>
  <w:style w:type="paragraph" w:styleId="TOC6">
    <w:name w:val="toc 6"/>
    <w:basedOn w:val="Normal"/>
    <w:next w:val="Normal"/>
    <w:autoRedefine/>
    <w:semiHidden/>
    <w:rsid w:val="00C06DCD"/>
    <w:pPr>
      <w:ind w:left="1300"/>
    </w:pPr>
  </w:style>
  <w:style w:type="paragraph" w:styleId="TOC7">
    <w:name w:val="toc 7"/>
    <w:basedOn w:val="Normal"/>
    <w:next w:val="Normal"/>
    <w:autoRedefine/>
    <w:semiHidden/>
    <w:rsid w:val="00C06DCD"/>
    <w:pPr>
      <w:ind w:left="1560"/>
    </w:pPr>
  </w:style>
  <w:style w:type="paragraph" w:styleId="TOC8">
    <w:name w:val="toc 8"/>
    <w:basedOn w:val="Normal"/>
    <w:next w:val="Normal"/>
    <w:autoRedefine/>
    <w:semiHidden/>
    <w:rsid w:val="00C06DCD"/>
    <w:pPr>
      <w:ind w:left="1820"/>
    </w:pPr>
  </w:style>
  <w:style w:type="paragraph" w:styleId="TOC9">
    <w:name w:val="toc 9"/>
    <w:basedOn w:val="Normal"/>
    <w:next w:val="Normal"/>
    <w:autoRedefine/>
    <w:semiHidden/>
    <w:rsid w:val="00C06DCD"/>
    <w:pPr>
      <w:ind w:left="2080"/>
    </w:pPr>
  </w:style>
  <w:style w:type="paragraph" w:customStyle="1" w:styleId="Contents">
    <w:name w:val="Contents"/>
    <w:basedOn w:val="Normal"/>
    <w:rsid w:val="00C06DCD"/>
    <w:pPr>
      <w:jc w:val="center"/>
    </w:pPr>
    <w:rPr>
      <w:b/>
      <w:spacing w:val="100"/>
    </w:rPr>
  </w:style>
  <w:style w:type="paragraph" w:styleId="ListParagraph">
    <w:name w:val="List Paragraph"/>
    <w:basedOn w:val="Normal"/>
    <w:uiPriority w:val="34"/>
    <w:qFormat/>
    <w:rsid w:val="00DE0C4F"/>
    <w:pPr>
      <w:ind w:left="720"/>
      <w:contextualSpacing/>
    </w:pPr>
  </w:style>
  <w:style w:type="character" w:styleId="CommentReference">
    <w:name w:val="annotation reference"/>
    <w:basedOn w:val="DefaultParagraphFont"/>
    <w:uiPriority w:val="99"/>
    <w:semiHidden/>
    <w:unhideWhenUsed/>
    <w:rsid w:val="003D4745"/>
    <w:rPr>
      <w:sz w:val="16"/>
      <w:szCs w:val="16"/>
    </w:rPr>
  </w:style>
  <w:style w:type="paragraph" w:styleId="CommentText">
    <w:name w:val="annotation text"/>
    <w:basedOn w:val="Normal"/>
    <w:link w:val="CommentTextChar"/>
    <w:uiPriority w:val="99"/>
    <w:unhideWhenUsed/>
    <w:rsid w:val="003D4745"/>
    <w:rPr>
      <w:sz w:val="20"/>
    </w:rPr>
  </w:style>
  <w:style w:type="character" w:customStyle="1" w:styleId="CommentTextChar">
    <w:name w:val="Comment Text Char"/>
    <w:basedOn w:val="DefaultParagraphFont"/>
    <w:link w:val="CommentText"/>
    <w:uiPriority w:val="99"/>
    <w:rsid w:val="003D4745"/>
  </w:style>
  <w:style w:type="paragraph" w:styleId="CommentSubject">
    <w:name w:val="annotation subject"/>
    <w:basedOn w:val="CommentText"/>
    <w:next w:val="CommentText"/>
    <w:link w:val="CommentSubjectChar"/>
    <w:uiPriority w:val="99"/>
    <w:semiHidden/>
    <w:unhideWhenUsed/>
    <w:rsid w:val="003D4745"/>
    <w:rPr>
      <w:b/>
      <w:bCs/>
    </w:rPr>
  </w:style>
  <w:style w:type="character" w:customStyle="1" w:styleId="CommentSubjectChar">
    <w:name w:val="Comment Subject Char"/>
    <w:basedOn w:val="CommentTextChar"/>
    <w:link w:val="CommentSubject"/>
    <w:uiPriority w:val="99"/>
    <w:semiHidden/>
    <w:rsid w:val="003D4745"/>
    <w:rPr>
      <w:b/>
      <w:bCs/>
    </w:rPr>
  </w:style>
  <w:style w:type="character" w:styleId="Hyperlink">
    <w:name w:val="Hyperlink"/>
    <w:basedOn w:val="DefaultParagraphFont"/>
    <w:uiPriority w:val="99"/>
    <w:unhideWhenUsed/>
    <w:rsid w:val="00C77E98"/>
    <w:rPr>
      <w:color w:val="0000FF" w:themeColor="hyperlink"/>
      <w:u w:val="single"/>
    </w:rPr>
  </w:style>
  <w:style w:type="character" w:customStyle="1" w:styleId="UnresolvedMention1">
    <w:name w:val="Unresolved Mention1"/>
    <w:basedOn w:val="DefaultParagraphFont"/>
    <w:uiPriority w:val="99"/>
    <w:semiHidden/>
    <w:unhideWhenUsed/>
    <w:rsid w:val="00C77E98"/>
    <w:rPr>
      <w:color w:val="605E5C"/>
      <w:shd w:val="clear" w:color="auto" w:fill="E1DFDD"/>
    </w:rPr>
  </w:style>
  <w:style w:type="character" w:styleId="FollowedHyperlink">
    <w:name w:val="FollowedHyperlink"/>
    <w:basedOn w:val="DefaultParagraphFont"/>
    <w:uiPriority w:val="99"/>
    <w:semiHidden/>
    <w:unhideWhenUsed/>
    <w:rsid w:val="00626920"/>
    <w:rPr>
      <w:color w:val="800080" w:themeColor="followedHyperlink"/>
      <w:u w:val="single"/>
    </w:rPr>
  </w:style>
  <w:style w:type="character" w:styleId="Emphasis">
    <w:name w:val="Emphasis"/>
    <w:basedOn w:val="DefaultParagraphFont"/>
    <w:uiPriority w:val="20"/>
    <w:qFormat/>
    <w:rsid w:val="00B33BB3"/>
    <w:rPr>
      <w:i/>
      <w:iCs/>
    </w:rPr>
  </w:style>
  <w:style w:type="character" w:customStyle="1" w:styleId="costarpage">
    <w:name w:val="co_starpage"/>
    <w:basedOn w:val="DefaultParagraphFont"/>
    <w:rsid w:val="00387C3A"/>
  </w:style>
  <w:style w:type="paragraph" w:styleId="Revision">
    <w:name w:val="Revision"/>
    <w:hidden/>
    <w:uiPriority w:val="99"/>
    <w:semiHidden/>
    <w:rsid w:val="00F1139A"/>
    <w:rPr>
      <w:sz w:val="26"/>
    </w:rPr>
  </w:style>
  <w:style w:type="character" w:customStyle="1" w:styleId="cosearchwithinterm">
    <w:name w:val="co_searchwithinterm"/>
    <w:basedOn w:val="DefaultParagraphFont"/>
    <w:rsid w:val="0010139E"/>
  </w:style>
  <w:style w:type="character" w:customStyle="1" w:styleId="cohighlightpoints">
    <w:name w:val="co_highlightpoints"/>
    <w:basedOn w:val="DefaultParagraphFont"/>
    <w:rsid w:val="00107A21"/>
  </w:style>
  <w:style w:type="character" w:customStyle="1" w:styleId="normaltextrun">
    <w:name w:val="normaltextrun"/>
    <w:basedOn w:val="DefaultParagraphFont"/>
    <w:rsid w:val="00E35358"/>
  </w:style>
  <w:style w:type="character" w:styleId="Strong">
    <w:name w:val="Strong"/>
    <w:basedOn w:val="DefaultParagraphFont"/>
    <w:uiPriority w:val="22"/>
    <w:qFormat/>
    <w:rsid w:val="00D870B6"/>
    <w:rPr>
      <w:b/>
      <w:bCs/>
    </w:rPr>
  </w:style>
  <w:style w:type="paragraph" w:styleId="BodyText">
    <w:name w:val="Body Text"/>
    <w:basedOn w:val="Normal"/>
    <w:link w:val="BodyTextChar"/>
    <w:qFormat/>
    <w:rsid w:val="00C06DCD"/>
  </w:style>
  <w:style w:type="character" w:customStyle="1" w:styleId="BodyTextChar">
    <w:name w:val="Body Text Char"/>
    <w:basedOn w:val="DefaultParagraphFont"/>
    <w:link w:val="BodyText"/>
    <w:rsid w:val="00C06DCD"/>
    <w:rPr>
      <w:rFonts w:ascii="Century Schoolbook" w:hAnsi="Century Schoolbook"/>
      <w:sz w:val="27"/>
    </w:rPr>
  </w:style>
  <w:style w:type="character" w:customStyle="1" w:styleId="cohl">
    <w:name w:val="co_hl"/>
    <w:basedOn w:val="DefaultParagraphFont"/>
    <w:rsid w:val="00441ACA"/>
  </w:style>
  <w:style w:type="character" w:customStyle="1" w:styleId="cosearchterm">
    <w:name w:val="co_searchterm"/>
    <w:basedOn w:val="DefaultParagraphFont"/>
    <w:rsid w:val="00441ACA"/>
  </w:style>
  <w:style w:type="character" w:customStyle="1" w:styleId="coinlinekeyciteflag">
    <w:name w:val="co_inlinekeyciteflag"/>
    <w:basedOn w:val="DefaultParagraphFont"/>
    <w:rsid w:val="00806FE7"/>
  </w:style>
  <w:style w:type="paragraph" w:styleId="NormalWeb">
    <w:name w:val="Normal (Web)"/>
    <w:basedOn w:val="Normal"/>
    <w:uiPriority w:val="99"/>
    <w:semiHidden/>
    <w:unhideWhenUsed/>
    <w:rsid w:val="00950617"/>
    <w:rPr>
      <w:rFonts w:ascii="Times New Roman" w:hAnsi="Times New Roman"/>
      <w:sz w:val="24"/>
      <w:szCs w:val="24"/>
    </w:rPr>
  </w:style>
  <w:style w:type="character" w:customStyle="1" w:styleId="FooterChar">
    <w:name w:val="Footer Char"/>
    <w:basedOn w:val="DefaultParagraphFont"/>
    <w:link w:val="Footer"/>
    <w:uiPriority w:val="99"/>
    <w:rsid w:val="00950617"/>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3CF3-D78A-4BD6-9318-21215F94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14033</Words>
  <Characters>79989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2024-06-03T16:45:13Z</dcterms:created>
  <dcterms:modified xsi:type="dcterms:W3CDTF">2024-06-03T16:45:13Z</dcterms:modified>
</cp:coreProperties>
</file>