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3.3.0 -->
  <w:body>
    <w:p w:rsidR="00187CD0" w:rsidP="0012253F">
      <w:pPr>
        <w:spacing w:line="400" w:lineRule="exact"/>
        <w:jc w:val="center"/>
        <w:rPr>
          <w:rFonts w:ascii="Century Schoolbook" w:hAnsi="Century Schoolbook"/>
          <w:b/>
          <w:bCs/>
          <w:sz w:val="36"/>
          <w:szCs w:val="36"/>
        </w:rPr>
      </w:pPr>
      <w:r w:rsidRPr="00E23B6E">
        <w:rPr>
          <w:rFonts w:ascii="Century Schoolbook" w:hAnsi="Century Schoolbook"/>
          <w:b/>
          <w:bCs/>
          <w:sz w:val="36"/>
          <w:szCs w:val="36"/>
        </w:rPr>
        <w:t>IN THE SUPREME COURT OF</w:t>
      </w:r>
    </w:p>
    <w:p w:rsidR="00187CD0" w:rsidRPr="00E23B6E" w:rsidP="0012253F">
      <w:pPr>
        <w:spacing w:line="400" w:lineRule="exact"/>
        <w:jc w:val="center"/>
        <w:rPr>
          <w:rFonts w:ascii="Century Schoolbook" w:hAnsi="Century Schoolbook"/>
          <w:b/>
          <w:bCs/>
          <w:sz w:val="36"/>
          <w:szCs w:val="36"/>
        </w:rPr>
      </w:pPr>
      <w:r w:rsidRPr="00E23B6E">
        <w:rPr>
          <w:rFonts w:ascii="Century Schoolbook" w:hAnsi="Century Schoolbook"/>
          <w:b/>
          <w:bCs/>
          <w:sz w:val="36"/>
          <w:szCs w:val="36"/>
        </w:rPr>
        <w:t>CALIFORNIA</w:t>
      </w:r>
    </w:p>
    <w:p w:rsidR="00187CD0" w:rsidRPr="00E23B6E" w:rsidP="0012253F">
      <w:pPr>
        <w:spacing w:line="400" w:lineRule="exact"/>
        <w:jc w:val="both"/>
        <w:rPr>
          <w:rFonts w:ascii="Century Schoolbook" w:hAnsi="Century Schoolbook"/>
          <w:sz w:val="27"/>
          <w:szCs w:val="26"/>
        </w:rPr>
      </w:pPr>
    </w:p>
    <w:p w:rsidR="00187CD0" w:rsidRPr="00E23B6E" w:rsidP="0012253F">
      <w:pPr>
        <w:spacing w:line="400" w:lineRule="exact"/>
        <w:jc w:val="center"/>
        <w:rPr>
          <w:rFonts w:ascii="Century Schoolbook" w:hAnsi="Century Schoolbook"/>
          <w:sz w:val="27"/>
          <w:szCs w:val="26"/>
        </w:rPr>
      </w:pPr>
      <w:r>
        <w:rPr>
          <w:rFonts w:ascii="Century Schoolbook" w:hAnsi="Century Schoolbook"/>
          <w:sz w:val="27"/>
          <w:szCs w:val="26"/>
        </w:rPr>
        <w:t>DAVID MEINHARDT</w:t>
      </w:r>
      <w:r w:rsidRPr="00E23B6E">
        <w:rPr>
          <w:rFonts w:ascii="Century Schoolbook" w:hAnsi="Century Schoolbook"/>
          <w:sz w:val="27"/>
          <w:szCs w:val="26"/>
        </w:rPr>
        <w:t>,</w:t>
      </w:r>
    </w:p>
    <w:p w:rsidR="00187CD0" w:rsidRPr="00E23B6E" w:rsidP="0012253F">
      <w:pPr>
        <w:spacing w:line="400" w:lineRule="exact"/>
        <w:jc w:val="center"/>
        <w:rPr>
          <w:rFonts w:ascii="Century Schoolbook" w:hAnsi="Century Schoolbook"/>
          <w:sz w:val="27"/>
          <w:szCs w:val="26"/>
        </w:rPr>
      </w:pPr>
      <w:r w:rsidRPr="00E23B6E">
        <w:rPr>
          <w:rFonts w:ascii="Century Schoolbook" w:hAnsi="Century Schoolbook"/>
          <w:sz w:val="27"/>
          <w:szCs w:val="26"/>
        </w:rPr>
        <w:t xml:space="preserve">Plaintiff and </w:t>
      </w:r>
      <w:r>
        <w:rPr>
          <w:rFonts w:ascii="Century Schoolbook" w:hAnsi="Century Schoolbook"/>
          <w:sz w:val="27"/>
          <w:szCs w:val="26"/>
        </w:rPr>
        <w:t>Appellant</w:t>
      </w:r>
      <w:r w:rsidRPr="00E23B6E">
        <w:rPr>
          <w:rFonts w:ascii="Century Schoolbook" w:hAnsi="Century Schoolbook"/>
          <w:sz w:val="27"/>
          <w:szCs w:val="26"/>
        </w:rPr>
        <w:t>,</w:t>
      </w:r>
    </w:p>
    <w:p w:rsidR="00187CD0" w:rsidRPr="00E23B6E" w:rsidP="0012253F">
      <w:pPr>
        <w:spacing w:line="400" w:lineRule="exact"/>
        <w:jc w:val="center"/>
        <w:rPr>
          <w:rFonts w:ascii="Century Schoolbook" w:hAnsi="Century Schoolbook"/>
          <w:sz w:val="27"/>
          <w:szCs w:val="26"/>
        </w:rPr>
      </w:pPr>
      <w:r w:rsidRPr="00E23B6E">
        <w:rPr>
          <w:rFonts w:ascii="Century Schoolbook" w:hAnsi="Century Schoolbook"/>
          <w:sz w:val="27"/>
          <w:szCs w:val="26"/>
        </w:rPr>
        <w:t>v.</w:t>
      </w:r>
    </w:p>
    <w:p w:rsidR="00187CD0" w:rsidRPr="00E23B6E" w:rsidP="0012253F">
      <w:pPr>
        <w:spacing w:line="400" w:lineRule="exact"/>
        <w:jc w:val="center"/>
        <w:rPr>
          <w:rFonts w:ascii="Century Schoolbook" w:hAnsi="Century Schoolbook"/>
          <w:sz w:val="27"/>
          <w:szCs w:val="26"/>
        </w:rPr>
      </w:pPr>
      <w:r>
        <w:rPr>
          <w:rFonts w:ascii="Century Schoolbook" w:hAnsi="Century Schoolbook"/>
          <w:sz w:val="27"/>
          <w:szCs w:val="26"/>
        </w:rPr>
        <w:t>CITY OF SUNNYVALE</w:t>
      </w:r>
      <w:r w:rsidRPr="00E23B6E">
        <w:rPr>
          <w:rFonts w:ascii="Century Schoolbook" w:hAnsi="Century Schoolbook"/>
          <w:sz w:val="27"/>
          <w:szCs w:val="26"/>
        </w:rPr>
        <w:t>,</w:t>
      </w:r>
    </w:p>
    <w:p w:rsidR="00187CD0" w:rsidP="0012253F">
      <w:pPr>
        <w:spacing w:line="400" w:lineRule="exact"/>
        <w:jc w:val="center"/>
        <w:rPr>
          <w:rFonts w:ascii="Century Schoolbook" w:hAnsi="Century Schoolbook"/>
          <w:sz w:val="27"/>
          <w:szCs w:val="26"/>
        </w:rPr>
      </w:pPr>
      <w:r w:rsidRPr="00E23B6E">
        <w:rPr>
          <w:rFonts w:ascii="Century Schoolbook" w:hAnsi="Century Schoolbook"/>
          <w:sz w:val="27"/>
          <w:szCs w:val="26"/>
        </w:rPr>
        <w:t xml:space="preserve">Defendant and </w:t>
      </w:r>
      <w:r>
        <w:rPr>
          <w:rFonts w:ascii="Century Schoolbook" w:hAnsi="Century Schoolbook"/>
          <w:sz w:val="27"/>
          <w:szCs w:val="26"/>
        </w:rPr>
        <w:t>Respondent;</w:t>
      </w:r>
    </w:p>
    <w:p w:rsidR="00187CD0" w:rsidRPr="001A25B7" w:rsidP="0012253F">
      <w:pPr>
        <w:spacing w:line="400" w:lineRule="exact"/>
        <w:jc w:val="center"/>
        <w:rPr>
          <w:rFonts w:ascii="Century Schoolbook" w:hAnsi="Century Schoolbook"/>
          <w:sz w:val="27"/>
          <w:szCs w:val="26"/>
        </w:rPr>
      </w:pPr>
      <w:r w:rsidRPr="001A25B7">
        <w:rPr>
          <w:rFonts w:ascii="Century Schoolbook" w:hAnsi="Century Schoolbook"/>
          <w:sz w:val="27"/>
          <w:szCs w:val="26"/>
        </w:rPr>
        <w:t>SUNNYVALE DEPARTMENT OF</w:t>
      </w:r>
      <w:r>
        <w:rPr>
          <w:rFonts w:ascii="Century Schoolbook" w:hAnsi="Century Schoolbook"/>
          <w:sz w:val="27"/>
          <w:szCs w:val="26"/>
        </w:rPr>
        <w:t xml:space="preserve"> </w:t>
      </w:r>
      <w:r w:rsidRPr="001A25B7">
        <w:rPr>
          <w:rFonts w:ascii="Century Schoolbook" w:hAnsi="Century Schoolbook"/>
          <w:sz w:val="27"/>
          <w:szCs w:val="26"/>
        </w:rPr>
        <w:t>PUBLIC SAFETY</w:t>
      </w:r>
      <w:r>
        <w:rPr>
          <w:rFonts w:ascii="Century Schoolbook" w:hAnsi="Century Schoolbook"/>
          <w:sz w:val="27"/>
          <w:szCs w:val="26"/>
        </w:rPr>
        <w:t>,</w:t>
      </w:r>
    </w:p>
    <w:p w:rsidR="00187CD0" w:rsidRPr="00E23B6E" w:rsidP="0012253F">
      <w:pPr>
        <w:spacing w:line="400" w:lineRule="exact"/>
        <w:jc w:val="center"/>
        <w:rPr>
          <w:rFonts w:ascii="Century Schoolbook" w:hAnsi="Century Schoolbook"/>
          <w:sz w:val="27"/>
          <w:szCs w:val="26"/>
        </w:rPr>
      </w:pPr>
      <w:r>
        <w:rPr>
          <w:rFonts w:ascii="Century Schoolbook" w:hAnsi="Century Schoolbook"/>
          <w:sz w:val="27"/>
          <w:szCs w:val="26"/>
        </w:rPr>
        <w:t xml:space="preserve">Real Party </w:t>
      </w:r>
      <w:r w:rsidRPr="001A25B7">
        <w:rPr>
          <w:rFonts w:ascii="Century Schoolbook" w:hAnsi="Century Schoolbook"/>
          <w:sz w:val="27"/>
          <w:szCs w:val="26"/>
        </w:rPr>
        <w:tab/>
        <w:t>in Interest and</w:t>
      </w:r>
      <w:r>
        <w:rPr>
          <w:rFonts w:ascii="Century Schoolbook" w:hAnsi="Century Schoolbook"/>
          <w:sz w:val="27"/>
          <w:szCs w:val="26"/>
        </w:rPr>
        <w:t xml:space="preserve"> Respondent.</w:t>
      </w:r>
    </w:p>
    <w:p w:rsidR="00187CD0" w:rsidRPr="00E23B6E" w:rsidP="0012253F">
      <w:pPr>
        <w:spacing w:line="400" w:lineRule="exact"/>
        <w:jc w:val="center"/>
        <w:rPr>
          <w:rFonts w:ascii="Century Schoolbook" w:hAnsi="Century Schoolbook"/>
          <w:sz w:val="27"/>
          <w:szCs w:val="26"/>
        </w:rPr>
      </w:pPr>
    </w:p>
    <w:p w:rsidR="00187CD0" w:rsidRPr="00E23B6E" w:rsidP="0012253F">
      <w:pPr>
        <w:spacing w:line="400" w:lineRule="exact"/>
        <w:jc w:val="center"/>
        <w:rPr>
          <w:rFonts w:ascii="Century Schoolbook" w:hAnsi="Century Schoolbook"/>
          <w:sz w:val="27"/>
          <w:szCs w:val="26"/>
        </w:rPr>
      </w:pPr>
      <w:r w:rsidRPr="00E23B6E">
        <w:rPr>
          <w:rFonts w:ascii="Century Schoolbook" w:hAnsi="Century Schoolbook"/>
          <w:sz w:val="27"/>
          <w:szCs w:val="26"/>
        </w:rPr>
        <w:t>S</w:t>
      </w:r>
      <w:r>
        <w:rPr>
          <w:rFonts w:ascii="Century Schoolbook" w:hAnsi="Century Schoolbook"/>
          <w:sz w:val="27"/>
          <w:szCs w:val="26"/>
        </w:rPr>
        <w:t>274147</w:t>
      </w:r>
    </w:p>
    <w:p w:rsidR="00187CD0" w:rsidRPr="00E23B6E" w:rsidP="0012253F">
      <w:pPr>
        <w:spacing w:line="400" w:lineRule="exact"/>
        <w:jc w:val="both"/>
        <w:rPr>
          <w:rFonts w:ascii="Century Schoolbook" w:hAnsi="Century Schoolbook"/>
          <w:sz w:val="27"/>
          <w:szCs w:val="26"/>
        </w:rPr>
      </w:pPr>
    </w:p>
    <w:p w:rsidR="00187CD0" w:rsidRPr="00E23B6E" w:rsidP="0012253F">
      <w:pPr>
        <w:spacing w:line="400" w:lineRule="exact"/>
        <w:jc w:val="center"/>
        <w:rPr>
          <w:rFonts w:ascii="Century Schoolbook" w:hAnsi="Century Schoolbook"/>
          <w:sz w:val="27"/>
          <w:szCs w:val="26"/>
        </w:rPr>
      </w:pPr>
      <w:r>
        <w:rPr>
          <w:rFonts w:ascii="Century Schoolbook" w:hAnsi="Century Schoolbook"/>
          <w:sz w:val="27"/>
          <w:szCs w:val="26"/>
        </w:rPr>
        <w:t xml:space="preserve">Fourth Appellate District, </w:t>
      </w:r>
      <w:r>
        <w:rPr>
          <w:rFonts w:ascii="Century Schoolbook" w:hAnsi="Century Schoolbook"/>
          <w:sz w:val="27"/>
          <w:szCs w:val="26"/>
        </w:rPr>
        <w:t>Division One</w:t>
      </w:r>
    </w:p>
    <w:p w:rsidR="00187CD0" w:rsidP="0012253F">
      <w:pPr>
        <w:spacing w:line="400" w:lineRule="exact"/>
        <w:jc w:val="center"/>
        <w:rPr>
          <w:rFonts w:ascii="Century Schoolbook" w:hAnsi="Century Schoolbook"/>
          <w:sz w:val="27"/>
          <w:szCs w:val="26"/>
        </w:rPr>
      </w:pPr>
      <w:r>
        <w:rPr>
          <w:rFonts w:ascii="Century Schoolbook" w:hAnsi="Century Schoolbook"/>
          <w:sz w:val="27"/>
          <w:szCs w:val="26"/>
        </w:rPr>
        <w:t>D079451</w:t>
      </w:r>
    </w:p>
    <w:p w:rsidR="00187CD0" w:rsidP="0012253F">
      <w:pPr>
        <w:spacing w:line="400" w:lineRule="exact"/>
        <w:jc w:val="center"/>
        <w:rPr>
          <w:rFonts w:ascii="Century Schoolbook" w:hAnsi="Century Schoolbook"/>
          <w:sz w:val="27"/>
          <w:szCs w:val="26"/>
        </w:rPr>
      </w:pPr>
    </w:p>
    <w:p w:rsidR="00187CD0" w:rsidRPr="004E64E3" w:rsidP="0012253F">
      <w:pPr>
        <w:spacing w:line="400" w:lineRule="exact"/>
        <w:jc w:val="center"/>
        <w:rPr>
          <w:rFonts w:ascii="Century Schoolbook" w:hAnsi="Century Schoolbook"/>
          <w:sz w:val="27"/>
          <w:szCs w:val="26"/>
        </w:rPr>
      </w:pPr>
      <w:r w:rsidRPr="004E64E3">
        <w:rPr>
          <w:rFonts w:ascii="Century Schoolbook" w:hAnsi="Century Schoolbook"/>
          <w:sz w:val="27"/>
          <w:szCs w:val="26"/>
        </w:rPr>
        <w:t>Santa Clara County Superior Court</w:t>
      </w:r>
    </w:p>
    <w:p w:rsidR="00187CD0" w:rsidP="0012253F">
      <w:pPr>
        <w:spacing w:line="400" w:lineRule="exact"/>
        <w:jc w:val="center"/>
        <w:rPr>
          <w:rFonts w:ascii="Century Schoolbook" w:hAnsi="Century Schoolbook"/>
          <w:sz w:val="27"/>
          <w:szCs w:val="26"/>
        </w:rPr>
      </w:pPr>
      <w:r w:rsidRPr="004E64E3">
        <w:rPr>
          <w:rFonts w:ascii="Century Schoolbook" w:hAnsi="Century Schoolbook"/>
          <w:sz w:val="27"/>
          <w:szCs w:val="26"/>
        </w:rPr>
        <w:t>19CV346911</w:t>
      </w:r>
    </w:p>
    <w:p w:rsidR="00187CD0" w:rsidP="0012253F">
      <w:pPr>
        <w:pBdr>
          <w:bottom w:val="single" w:sz="4" w:space="1" w:color="auto"/>
        </w:pBdr>
        <w:tabs>
          <w:tab w:val="left" w:pos="1440"/>
          <w:tab w:val="left" w:pos="4680"/>
          <w:tab w:val="center" w:pos="7200"/>
        </w:tabs>
        <w:spacing w:line="400" w:lineRule="exact"/>
        <w:jc w:val="center"/>
      </w:pPr>
    </w:p>
    <w:p w:rsidR="00187CD0" w:rsidP="0012253F">
      <w:pPr>
        <w:tabs>
          <w:tab w:val="left" w:pos="1440"/>
          <w:tab w:val="left" w:pos="4680"/>
          <w:tab w:val="center" w:pos="7200"/>
        </w:tabs>
        <w:spacing w:line="400" w:lineRule="exact"/>
        <w:jc w:val="center"/>
      </w:pPr>
    </w:p>
    <w:p w:rsidR="00187CD0" w:rsidRPr="00160785" w:rsidP="00160785">
      <w:pPr>
        <w:pBdr>
          <w:bottom w:val="single" w:sz="4" w:space="1" w:color="auto"/>
        </w:pBdr>
        <w:tabs>
          <w:tab w:val="left" w:pos="1440"/>
          <w:tab w:val="left" w:pos="4680"/>
          <w:tab w:val="center" w:pos="7200"/>
        </w:tabs>
        <w:spacing w:line="400" w:lineRule="exact"/>
        <w:jc w:val="center"/>
        <w:rPr>
          <w:rFonts w:ascii="Century Schoolbook" w:hAnsi="Century Schoolbook"/>
          <w:sz w:val="27"/>
          <w:szCs w:val="27"/>
        </w:rPr>
      </w:pPr>
      <w:r>
        <w:rPr>
          <w:rFonts w:ascii="Century Schoolbook" w:hAnsi="Century Schoolbook"/>
          <w:sz w:val="27"/>
          <w:szCs w:val="27"/>
        </w:rPr>
        <w:t>July 29</w:t>
      </w:r>
      <w:r w:rsidRPr="00160785">
        <w:rPr>
          <w:rFonts w:ascii="Century Schoolbook" w:hAnsi="Century Schoolbook"/>
          <w:sz w:val="27"/>
          <w:szCs w:val="27"/>
        </w:rPr>
        <w:t>, 2024</w:t>
      </w:r>
    </w:p>
    <w:p w:rsidR="00187CD0" w:rsidRPr="00160785" w:rsidP="00160785">
      <w:pPr>
        <w:pBdr>
          <w:bottom w:val="single" w:sz="4" w:space="1" w:color="auto"/>
        </w:pBdr>
        <w:tabs>
          <w:tab w:val="left" w:pos="1440"/>
          <w:tab w:val="left" w:pos="4680"/>
          <w:tab w:val="center" w:pos="7200"/>
        </w:tabs>
        <w:spacing w:line="400" w:lineRule="exact"/>
        <w:jc w:val="center"/>
        <w:rPr>
          <w:rFonts w:ascii="Century Schoolbook" w:hAnsi="Century Schoolbook"/>
          <w:sz w:val="27"/>
          <w:szCs w:val="27"/>
        </w:rPr>
      </w:pPr>
    </w:p>
    <w:p w:rsidR="00187CD0" w:rsidP="00160785">
      <w:pPr>
        <w:pBdr>
          <w:bottom w:val="single" w:sz="4" w:space="1" w:color="auto"/>
        </w:pBdr>
        <w:tabs>
          <w:tab w:val="left" w:pos="1440"/>
          <w:tab w:val="left" w:pos="4680"/>
          <w:tab w:val="center" w:pos="7200"/>
        </w:tabs>
        <w:spacing w:line="400" w:lineRule="exact"/>
        <w:rPr>
          <w:rFonts w:ascii="Century Schoolbook" w:hAnsi="Century Schoolbook"/>
          <w:sz w:val="27"/>
          <w:szCs w:val="27"/>
        </w:rPr>
      </w:pPr>
      <w:r w:rsidRPr="00160785">
        <w:rPr>
          <w:rFonts w:ascii="Century Schoolbook" w:hAnsi="Century Schoolbook"/>
          <w:sz w:val="27"/>
          <w:szCs w:val="27"/>
        </w:rPr>
        <w:t>Justice Jenkins authored the opinion of the Court, in which Justices Corrigan, Liu, Kruger, Groban, Evans</w:t>
      </w:r>
      <w:r>
        <w:rPr>
          <w:rFonts w:ascii="Century Schoolbook" w:hAnsi="Century Schoolbook"/>
          <w:sz w:val="27"/>
          <w:szCs w:val="27"/>
        </w:rPr>
        <w:t xml:space="preserve">, and </w:t>
      </w:r>
      <w:r w:rsidRPr="00160785">
        <w:rPr>
          <w:rFonts w:ascii="Century Schoolbook" w:hAnsi="Century Schoolbook"/>
          <w:sz w:val="27"/>
          <w:szCs w:val="27"/>
        </w:rPr>
        <w:t xml:space="preserve"> </w:t>
      </w:r>
      <w:r>
        <w:rPr>
          <w:rFonts w:ascii="Century Schoolbook" w:hAnsi="Century Schoolbook"/>
          <w:sz w:val="27"/>
          <w:szCs w:val="27"/>
        </w:rPr>
        <w:t>Sanchez</w:t>
      </w:r>
      <w:r>
        <w:rPr>
          <w:rStyle w:val="FootnoteReference"/>
          <w:szCs w:val="27"/>
        </w:rPr>
        <w:footnoteReference w:customMarkFollows="1" w:id="3"/>
        <w:t xml:space="preserve">*</w:t>
      </w:r>
      <w:r>
        <w:rPr>
          <w:rFonts w:ascii="Century Schoolbook" w:hAnsi="Century Schoolbook"/>
          <w:sz w:val="27"/>
          <w:szCs w:val="27"/>
        </w:rPr>
        <w:t xml:space="preserve"> </w:t>
      </w:r>
      <w:r w:rsidRPr="00160785">
        <w:rPr>
          <w:rFonts w:ascii="Century Schoolbook" w:hAnsi="Century Schoolbook"/>
          <w:sz w:val="27"/>
          <w:szCs w:val="27"/>
        </w:rPr>
        <w:t>concurred.</w:t>
      </w:r>
    </w:p>
    <w:p w:rsidR="00187CD0" w:rsidRPr="00496FB6" w:rsidP="009E7A45">
      <w:pPr>
        <w:pBdr>
          <w:bottom w:val="single" w:sz="4" w:space="1" w:color="auto"/>
        </w:pBdr>
        <w:tabs>
          <w:tab w:val="left" w:pos="1440"/>
          <w:tab w:val="left" w:pos="4680"/>
          <w:tab w:val="center" w:pos="7200"/>
        </w:tabs>
        <w:spacing w:line="480" w:lineRule="atLeast"/>
      </w:pPr>
      <w:bookmarkStart w:id="0" w:name="Return"/>
      <w:bookmarkEnd w:id="0"/>
    </w:p>
    <w:p w:rsidR="00187CD0" w:rsidP="000251C1">
      <w:pPr>
        <w:tabs>
          <w:tab w:val="left" w:pos="1440"/>
        </w:tabs>
        <w:rPr>
          <w:rFonts w:ascii="Century Schoolbook" w:hAnsi="Century Schoolbook"/>
          <w:color w:val="212121"/>
          <w:sz w:val="27"/>
          <w:szCs w:val="27"/>
        </w:rPr>
      </w:pPr>
    </w:p>
    <w:p w:rsidR="00187CD0" w:rsidP="00E23B6E">
      <w:pPr>
        <w:spacing w:after="100" w:line="400" w:lineRule="exact"/>
        <w:jc w:val="both"/>
        <w:rPr>
          <w:rFonts w:ascii="Century Schoolbook" w:hAnsi="Century Schoolbook"/>
          <w:sz w:val="27"/>
          <w:szCs w:val="26"/>
        </w:rPr>
        <w:sectPr w:rsidSect="00871DF5">
          <w:headerReference w:type="even" r:id="rId5"/>
          <w:headerReference w:type="default" r:id="rId6"/>
          <w:footerReference w:type="even" r:id="rId7"/>
          <w:footerReference w:type="default" r:id="rId8"/>
          <w:headerReference w:type="first" r:id="rId9"/>
          <w:pgSz w:w="12240" w:h="15840"/>
          <w:pgMar w:top="1800" w:right="2160" w:bottom="1440" w:left="2160" w:header="720" w:footer="720" w:gutter="0"/>
          <w:cols w:space="720"/>
          <w:titlePg/>
          <w:docGrid w:linePitch="360"/>
        </w:sectPr>
      </w:pPr>
    </w:p>
    <w:p w:rsidR="00187CD0" w:rsidP="00D553F3">
      <w:pPr>
        <w:spacing w:after="100" w:line="400" w:lineRule="exact"/>
        <w:jc w:val="center"/>
        <w:rPr>
          <w:rFonts w:ascii="Century Schoolbook" w:hAnsi="Century Schoolbook"/>
          <w:sz w:val="27"/>
          <w:szCs w:val="26"/>
        </w:rPr>
      </w:pPr>
      <w:r>
        <w:rPr>
          <w:rFonts w:ascii="Century Schoolbook" w:hAnsi="Century Schoolbook"/>
          <w:sz w:val="27"/>
          <w:szCs w:val="26"/>
        </w:rPr>
        <w:t>MEINHARDT v. CITY OF SUNNYVALE</w:t>
      </w:r>
    </w:p>
    <w:p w:rsidR="00187CD0" w:rsidP="00D553F3">
      <w:pPr>
        <w:spacing w:after="100" w:line="400" w:lineRule="exact"/>
        <w:jc w:val="center"/>
        <w:rPr>
          <w:rFonts w:ascii="Century Schoolbook" w:hAnsi="Century Schoolbook"/>
          <w:sz w:val="27"/>
          <w:szCs w:val="26"/>
        </w:rPr>
      </w:pPr>
      <w:r>
        <w:rPr>
          <w:rFonts w:ascii="Century Schoolbook" w:hAnsi="Century Schoolbook"/>
          <w:sz w:val="27"/>
          <w:szCs w:val="26"/>
        </w:rPr>
        <w:t>S274147</w:t>
      </w:r>
    </w:p>
    <w:p w:rsidR="00187CD0" w:rsidP="00C50388">
      <w:pPr>
        <w:spacing w:after="100" w:line="400" w:lineRule="exact"/>
        <w:jc w:val="both"/>
        <w:rPr>
          <w:rFonts w:ascii="Century Schoolbook" w:hAnsi="Century Schoolbook"/>
          <w:sz w:val="27"/>
          <w:szCs w:val="26"/>
        </w:rPr>
      </w:pPr>
    </w:p>
    <w:p w:rsidR="00187CD0" w:rsidP="001E4514">
      <w:pPr>
        <w:spacing w:after="100" w:line="400" w:lineRule="exact"/>
        <w:jc w:val="center"/>
        <w:rPr>
          <w:rFonts w:ascii="Century Schoolbook" w:hAnsi="Century Schoolbook"/>
          <w:sz w:val="27"/>
          <w:szCs w:val="26"/>
        </w:rPr>
      </w:pPr>
      <w:r>
        <w:rPr>
          <w:rFonts w:ascii="Century Schoolbook" w:hAnsi="Century Schoolbook"/>
          <w:sz w:val="27"/>
          <w:szCs w:val="26"/>
        </w:rPr>
        <w:t>Opinion of the Court by Jenkins, J.</w:t>
      </w:r>
    </w:p>
    <w:p w:rsidR="00187CD0" w:rsidP="00C47792">
      <w:pPr>
        <w:spacing w:after="100" w:line="400" w:lineRule="exact"/>
        <w:jc w:val="both"/>
        <w:rPr>
          <w:rFonts w:ascii="Century Schoolbook" w:hAnsi="Century Schoolbook"/>
          <w:sz w:val="27"/>
          <w:szCs w:val="26"/>
        </w:rPr>
      </w:pPr>
    </w:p>
    <w:p w:rsidR="00187CD0" w:rsidRPr="00C50388" w:rsidP="00C47792">
      <w:pPr>
        <w:spacing w:after="100" w:line="400" w:lineRule="exact"/>
        <w:ind w:firstLine="720"/>
        <w:jc w:val="both"/>
        <w:rPr>
          <w:rFonts w:ascii="Century Schoolbook" w:hAnsi="Century Schoolbook"/>
          <w:sz w:val="27"/>
          <w:szCs w:val="26"/>
        </w:rPr>
      </w:pPr>
      <w:r w:rsidRPr="00C50388">
        <w:rPr>
          <w:rFonts w:ascii="Century Schoolbook" w:hAnsi="Century Schoolbook"/>
          <w:sz w:val="27"/>
          <w:szCs w:val="26"/>
        </w:rPr>
        <w:t>Calif</w:t>
      </w:r>
      <w:r>
        <w:rPr>
          <w:rFonts w:ascii="Century Schoolbook" w:hAnsi="Century Schoolbook"/>
          <w:sz w:val="27"/>
          <w:szCs w:val="26"/>
        </w:rPr>
        <w:t>o</w:t>
      </w:r>
      <w:r w:rsidRPr="00C50388">
        <w:rPr>
          <w:rFonts w:ascii="Century Schoolbook" w:hAnsi="Century Schoolbook"/>
          <w:sz w:val="27"/>
          <w:szCs w:val="26"/>
        </w:rPr>
        <w:t>rnia Rules of Court, rule 8.104(a)(1),</w:t>
      </w:r>
      <w:r>
        <w:rPr>
          <w:rStyle w:val="FootnoteReference"/>
          <w:szCs w:val="26"/>
          <w:vertAlign w:val="superscript"/>
        </w:rPr>
        <w:footnoteReference w:id="4"/>
      </w:r>
      <w:r w:rsidRPr="00C50388">
        <w:rPr>
          <w:rFonts w:ascii="Century Schoolbook" w:hAnsi="Century Schoolbook"/>
          <w:sz w:val="27"/>
          <w:szCs w:val="26"/>
        </w:rPr>
        <w:t xml:space="preserve"> provides that “a notice of appeal must be filed on or before the earliest of</w:t>
      </w:r>
      <w:r>
        <w:rPr>
          <w:rFonts w:ascii="Century Schoolbook" w:hAnsi="Century Schoolbook"/>
          <w:sz w:val="27"/>
          <w:szCs w:val="26"/>
        </w:rPr>
        <w:t>:</w:t>
      </w:r>
      <w:r w:rsidRPr="00C50388">
        <w:rPr>
          <w:rFonts w:ascii="Century Schoolbook" w:hAnsi="Century Schoolbook"/>
          <w:sz w:val="27"/>
          <w:szCs w:val="26"/>
        </w:rPr>
        <w:t xml:space="preserve"> [¶] (A) 60 days after the superior court clerk serves on the party filing the notice of appeal a document entitled ‘Notice of Entry’ of judgment or a filed-endorsed copy of the </w:t>
      </w:r>
      <w:r w:rsidRPr="00C50388">
        <w:rPr>
          <w:rFonts w:ascii="Century Schoolbook" w:hAnsi="Century Schoolbook"/>
          <w:sz w:val="27"/>
          <w:szCs w:val="26"/>
        </w:rPr>
        <w:t>judgment, showing the date either was served; [¶] (B)</w:t>
      </w:r>
      <w:r>
        <w:rPr>
          <w:rFonts w:ascii="Century Schoolbook" w:hAnsi="Century Schoolbook"/>
          <w:sz w:val="27"/>
          <w:szCs w:val="26"/>
        </w:rPr>
        <w:t xml:space="preserve"> </w:t>
      </w:r>
      <w:r w:rsidRPr="00C50388">
        <w:rPr>
          <w:rFonts w:ascii="Century Schoolbook" w:hAnsi="Century Schoolbook"/>
          <w:sz w:val="27"/>
          <w:szCs w:val="26"/>
        </w:rPr>
        <w:t>60</w:t>
      </w:r>
      <w:r>
        <w:rPr>
          <w:rFonts w:ascii="Century Schoolbook" w:hAnsi="Century Schoolbook"/>
          <w:sz w:val="27"/>
          <w:szCs w:val="26"/>
        </w:rPr>
        <w:t xml:space="preserve"> </w:t>
      </w:r>
      <w:r w:rsidRPr="00C50388">
        <w:rPr>
          <w:rFonts w:ascii="Century Schoolbook" w:hAnsi="Century Schoolbook"/>
          <w:sz w:val="27"/>
          <w:szCs w:val="26"/>
        </w:rPr>
        <w:t>days after the party filing the notice of appeal serves or is served by a party with a document entitled ‘Notice of Entry’ of judgment or a filed-endorsed copy of the judgment, accompanied by proof o</w:t>
      </w:r>
      <w:r w:rsidRPr="00C50388">
        <w:rPr>
          <w:rFonts w:ascii="Century Schoolbook" w:hAnsi="Century Schoolbook"/>
          <w:sz w:val="27"/>
          <w:szCs w:val="26"/>
        </w:rPr>
        <w:t>f service; or [¶] (C) 180 days after entry of judgment.”  This time limit is jurisdictional</w:t>
      </w:r>
      <w:r>
        <w:rPr>
          <w:rFonts w:ascii="Century Schoolbook" w:hAnsi="Century Schoolbook"/>
          <w:sz w:val="27"/>
          <w:szCs w:val="26"/>
        </w:rPr>
        <w:t>:</w:t>
      </w:r>
      <w:r w:rsidRPr="00C50388">
        <w:rPr>
          <w:rFonts w:ascii="Century Schoolbook" w:hAnsi="Century Schoolbook"/>
          <w:sz w:val="27"/>
          <w:szCs w:val="26"/>
        </w:rPr>
        <w:t xml:space="preserve"> “no court may extend the time to file a notice of appeal” (rule 8.104(b)), and relief cannot be conferred by stipulation, waiver, or estoppel (</w:t>
      </w:r>
      <w:r w:rsidRPr="00C50388">
        <w:rPr>
          <w:rFonts w:ascii="Century Schoolbook" w:hAnsi="Century Schoolbook"/>
          <w:i/>
          <w:iCs/>
          <w:sz w:val="27"/>
          <w:szCs w:val="26"/>
        </w:rPr>
        <w:t>Hollister Convalesce</w:t>
      </w:r>
      <w:r w:rsidRPr="00C50388">
        <w:rPr>
          <w:rFonts w:ascii="Century Schoolbook" w:hAnsi="Century Schoolbook"/>
          <w:i/>
          <w:iCs/>
          <w:sz w:val="27"/>
          <w:szCs w:val="26"/>
        </w:rPr>
        <w:t>nt Hosp. Inc, v. Rico</w:t>
      </w:r>
      <w:r w:rsidRPr="00C50388">
        <w:rPr>
          <w:rFonts w:ascii="Century Schoolbook" w:hAnsi="Century Schoolbook"/>
          <w:sz w:val="27"/>
          <w:szCs w:val="26"/>
        </w:rPr>
        <w:t xml:space="preserve"> (1974) 15 Cal.3d 660, 666–667).  “If a notice of appeal is filed late, the reviewing court must dismiss the appeal.”  (Rule 8.104(b).)</w:t>
      </w:r>
    </w:p>
    <w:p w:rsidR="00187CD0" w:rsidRPr="00C50388" w:rsidP="00C47792">
      <w:pPr>
        <w:spacing w:after="100" w:line="400" w:lineRule="exact"/>
        <w:ind w:firstLine="720"/>
        <w:jc w:val="both"/>
        <w:rPr>
          <w:rFonts w:ascii="Century Schoolbook" w:hAnsi="Century Schoolbook"/>
          <w:sz w:val="27"/>
          <w:szCs w:val="26"/>
        </w:rPr>
      </w:pPr>
      <w:r w:rsidRPr="00C50388">
        <w:rPr>
          <w:rFonts w:ascii="Century Schoolbook" w:hAnsi="Century Schoolbook"/>
          <w:sz w:val="27"/>
          <w:szCs w:val="26"/>
        </w:rPr>
        <w:t>We granted review in this case to resolve uncertainty about when the time to appeal starts to run i</w:t>
      </w:r>
      <w:r w:rsidRPr="00C50388">
        <w:rPr>
          <w:rFonts w:ascii="Century Schoolbook" w:hAnsi="Century Schoolbook"/>
          <w:sz w:val="27"/>
          <w:szCs w:val="26"/>
        </w:rPr>
        <w:t>n writ of administrative mandate</w:t>
      </w:r>
      <w:r>
        <w:rPr>
          <w:rStyle w:val="FootnoteReference"/>
          <w:b w:val="0"/>
          <w:bCs/>
          <w:szCs w:val="26"/>
          <w:vertAlign w:val="superscript"/>
        </w:rPr>
        <w:footnoteReference w:id="5"/>
      </w:r>
      <w:r w:rsidRPr="00C50388">
        <w:rPr>
          <w:rFonts w:ascii="Century Schoolbook" w:hAnsi="Century Schoolbook"/>
          <w:sz w:val="27"/>
          <w:szCs w:val="26"/>
        </w:rPr>
        <w:t xml:space="preserve"> proceedings pursuant to section</w:t>
      </w:r>
      <w:r>
        <w:rPr>
          <w:rFonts w:ascii="Century Schoolbook" w:hAnsi="Century Schoolbook"/>
          <w:sz w:val="27"/>
          <w:szCs w:val="26"/>
        </w:rPr>
        <w:t xml:space="preserve"> </w:t>
      </w:r>
      <w:r w:rsidRPr="00C50388">
        <w:rPr>
          <w:rFonts w:ascii="Century Schoolbook" w:hAnsi="Century Schoolbook"/>
          <w:sz w:val="27"/>
          <w:szCs w:val="26"/>
        </w:rPr>
        <w:t>1094.5 of the Code of Civil Procedure.</w:t>
      </w:r>
      <w:r>
        <w:rPr>
          <w:rStyle w:val="FootnoteReference"/>
          <w:b w:val="0"/>
          <w:bCs/>
          <w:szCs w:val="26"/>
          <w:vertAlign w:val="superscript"/>
        </w:rPr>
        <w:footnoteReference w:id="6"/>
      </w:r>
      <w:r w:rsidRPr="007E1841">
        <w:rPr>
          <w:rFonts w:ascii="Century Schoolbook" w:hAnsi="Century Schoolbook"/>
          <w:sz w:val="27"/>
          <w:szCs w:val="26"/>
          <w:vertAlign w:val="superscript"/>
        </w:rPr>
        <w:t xml:space="preserve"> </w:t>
      </w:r>
      <w:r w:rsidRPr="00C50388">
        <w:rPr>
          <w:rFonts w:ascii="Century Schoolbook" w:hAnsi="Century Schoolbook"/>
          <w:sz w:val="27"/>
          <w:szCs w:val="26"/>
        </w:rPr>
        <w:t xml:space="preserve"> Some Courts of Appeal, including </w:t>
      </w:r>
      <w:r>
        <w:rPr>
          <w:rFonts w:ascii="Century Schoolbook" w:hAnsi="Century Schoolbook"/>
          <w:sz w:val="27"/>
          <w:szCs w:val="26"/>
        </w:rPr>
        <w:t>that</w:t>
      </w:r>
      <w:r w:rsidRPr="00C50388">
        <w:rPr>
          <w:rFonts w:ascii="Century Schoolbook" w:hAnsi="Century Schoolbook"/>
          <w:sz w:val="27"/>
          <w:szCs w:val="26"/>
        </w:rPr>
        <w:t xml:space="preserve"> in this case </w:t>
      </w:r>
      <w:r>
        <w:rPr>
          <w:rFonts w:ascii="Century Schoolbook" w:hAnsi="Century Schoolbook"/>
          <w:sz w:val="27"/>
          <w:szCs w:val="26"/>
        </w:rPr>
        <w:t>which</w:t>
      </w:r>
      <w:r w:rsidRPr="00C50388">
        <w:rPr>
          <w:rFonts w:ascii="Century Schoolbook" w:hAnsi="Century Schoolbook"/>
          <w:sz w:val="27"/>
          <w:szCs w:val="26"/>
        </w:rPr>
        <w:t xml:space="preserve"> dismissed the appeal as untimely, hold that the time starts to run with the filing of an “order” that disposes of all issues in the case and contemplates no further action, not with subsequent entry of a “judgment.”  (E.g.,</w:t>
      </w:r>
      <w:r>
        <w:rPr>
          <w:rFonts w:ascii="Century Schoolbook" w:hAnsi="Century Schoolbook"/>
          <w:sz w:val="27"/>
          <w:szCs w:val="26"/>
        </w:rPr>
        <w:t xml:space="preserve"> </w:t>
      </w:r>
      <w:r w:rsidRPr="00C50388">
        <w:rPr>
          <w:rFonts w:ascii="Century Schoolbook" w:hAnsi="Century Schoolbook"/>
          <w:i/>
          <w:iCs/>
          <w:sz w:val="27"/>
          <w:szCs w:val="26"/>
        </w:rPr>
        <w:t xml:space="preserve">Meinhardt v. </w:t>
      </w:r>
      <w:r>
        <w:rPr>
          <w:rFonts w:ascii="Century Schoolbook" w:hAnsi="Century Schoolbook"/>
          <w:i/>
          <w:iCs/>
          <w:sz w:val="27"/>
          <w:szCs w:val="26"/>
        </w:rPr>
        <w:t>City of Sunnyvale</w:t>
      </w:r>
      <w:r w:rsidRPr="00C50388">
        <w:rPr>
          <w:rFonts w:ascii="Century Schoolbook" w:hAnsi="Century Schoolbook"/>
          <w:i/>
          <w:iCs/>
          <w:sz w:val="27"/>
          <w:szCs w:val="26"/>
        </w:rPr>
        <w:t xml:space="preserve"> </w:t>
      </w:r>
      <w:r w:rsidRPr="00C50388">
        <w:rPr>
          <w:rFonts w:ascii="Century Schoolbook" w:hAnsi="Century Schoolbook"/>
          <w:sz w:val="27"/>
          <w:szCs w:val="26"/>
        </w:rPr>
        <w:t>(2022) 76 Cal.App.5th 43, 50–51 (</w:t>
      </w:r>
      <w:r w:rsidRPr="00C50388">
        <w:rPr>
          <w:rFonts w:ascii="Century Schoolbook" w:hAnsi="Century Schoolbook"/>
          <w:i/>
          <w:iCs/>
          <w:sz w:val="27"/>
          <w:szCs w:val="26"/>
        </w:rPr>
        <w:t>Meinhardt</w:t>
      </w:r>
      <w:r w:rsidRPr="00C50388">
        <w:rPr>
          <w:rFonts w:ascii="Century Schoolbook" w:hAnsi="Century Schoolbook"/>
          <w:sz w:val="27"/>
          <w:szCs w:val="26"/>
        </w:rPr>
        <w:t xml:space="preserve">); </w:t>
      </w:r>
      <w:r w:rsidRPr="00C50388">
        <w:rPr>
          <w:rFonts w:ascii="Century Schoolbook" w:hAnsi="Century Schoolbook"/>
          <w:i/>
          <w:iCs/>
          <w:sz w:val="27"/>
          <w:szCs w:val="26"/>
        </w:rPr>
        <w:t>City of Calexico v. Bergeson</w:t>
      </w:r>
      <w:r w:rsidRPr="00C50388">
        <w:rPr>
          <w:rFonts w:ascii="Century Schoolbook" w:hAnsi="Century Schoolbook"/>
          <w:sz w:val="27"/>
          <w:szCs w:val="26"/>
        </w:rPr>
        <w:t xml:space="preserve"> (2021) 64</w:t>
      </w:r>
      <w:r>
        <w:rPr>
          <w:rFonts w:ascii="Century Schoolbook" w:hAnsi="Century Schoolbook"/>
          <w:sz w:val="27"/>
          <w:szCs w:val="26"/>
        </w:rPr>
        <w:t xml:space="preserve"> </w:t>
      </w:r>
      <w:r w:rsidRPr="00C50388">
        <w:rPr>
          <w:rFonts w:ascii="Century Schoolbook" w:hAnsi="Century Schoolbook"/>
          <w:sz w:val="27"/>
          <w:szCs w:val="26"/>
        </w:rPr>
        <w:t>Cal.App.5th 180, 182–183 (</w:t>
      </w:r>
      <w:r w:rsidRPr="00C50388">
        <w:rPr>
          <w:rFonts w:ascii="Century Schoolbook" w:hAnsi="Century Schoolbook"/>
          <w:i/>
          <w:iCs/>
          <w:sz w:val="27"/>
          <w:szCs w:val="26"/>
        </w:rPr>
        <w:t>City of Calexico</w:t>
      </w:r>
      <w:r w:rsidRPr="00C50388">
        <w:rPr>
          <w:rFonts w:ascii="Century Schoolbook" w:hAnsi="Century Schoolbook"/>
          <w:sz w:val="27"/>
          <w:szCs w:val="26"/>
        </w:rPr>
        <w:t>).)  Other Courts of Appeal hold that the time starts to run with the entry of a “judgment,” not with the filing of a prior “order</w:t>
      </w:r>
      <w:r w:rsidRPr="00C50388">
        <w:rPr>
          <w:rFonts w:ascii="Century Schoolbook" w:hAnsi="Century Schoolbook"/>
          <w:sz w:val="27"/>
          <w:szCs w:val="26"/>
        </w:rPr>
        <w:t>” (</w:t>
      </w:r>
      <w:r>
        <w:rPr>
          <w:rFonts w:ascii="Century Schoolbook" w:hAnsi="Century Schoolbook"/>
          <w:sz w:val="27"/>
          <w:szCs w:val="26"/>
        </w:rPr>
        <w:t xml:space="preserve">E.g., </w:t>
      </w:r>
      <w:r w:rsidRPr="00C50388">
        <w:rPr>
          <w:rFonts w:ascii="Century Schoolbook" w:hAnsi="Century Schoolbook"/>
          <w:i/>
          <w:iCs/>
          <w:sz w:val="27"/>
          <w:szCs w:val="26"/>
        </w:rPr>
        <w:t>Protect Our Water v. County of Merced</w:t>
      </w:r>
      <w:r w:rsidRPr="00C50388">
        <w:rPr>
          <w:rFonts w:ascii="Century Schoolbook" w:hAnsi="Century Schoolbook"/>
          <w:sz w:val="27"/>
          <w:szCs w:val="26"/>
        </w:rPr>
        <w:t xml:space="preserve"> (2003) 110 Cal.App.4th 362, 368, fn. 2 (</w:t>
      </w:r>
      <w:r w:rsidRPr="00C50388">
        <w:rPr>
          <w:rFonts w:ascii="Century Schoolbook" w:hAnsi="Century Schoolbook"/>
          <w:i/>
          <w:iCs/>
          <w:sz w:val="27"/>
          <w:szCs w:val="26"/>
        </w:rPr>
        <w:t>Protect Our Water</w:t>
      </w:r>
      <w:r w:rsidRPr="00C50388">
        <w:rPr>
          <w:rFonts w:ascii="Century Schoolbook" w:hAnsi="Century Schoolbook"/>
          <w:sz w:val="27"/>
          <w:szCs w:val="26"/>
        </w:rPr>
        <w:t>)) or “minute order” (</w:t>
      </w:r>
      <w:r w:rsidRPr="00C50388">
        <w:rPr>
          <w:rFonts w:ascii="Century Schoolbook" w:hAnsi="Century Schoolbook"/>
          <w:i/>
          <w:iCs/>
          <w:sz w:val="27"/>
          <w:szCs w:val="26"/>
        </w:rPr>
        <w:t>Hadley v. Superior Cour</w:t>
      </w:r>
      <w:r w:rsidRPr="00C50388">
        <w:rPr>
          <w:rFonts w:ascii="Century Schoolbook" w:hAnsi="Century Schoolbook"/>
          <w:sz w:val="27"/>
          <w:szCs w:val="26"/>
        </w:rPr>
        <w:t xml:space="preserve">t (1972) 29 Cal.App.3d </w:t>
      </w:r>
      <w:r>
        <w:rPr>
          <w:rFonts w:ascii="Century Schoolbook" w:hAnsi="Century Schoolbook"/>
          <w:sz w:val="27"/>
          <w:szCs w:val="26"/>
        </w:rPr>
        <w:t>3</w:t>
      </w:r>
      <w:r w:rsidRPr="00C50388">
        <w:rPr>
          <w:rFonts w:ascii="Century Schoolbook" w:hAnsi="Century Schoolbook"/>
          <w:sz w:val="27"/>
          <w:szCs w:val="26"/>
        </w:rPr>
        <w:t xml:space="preserve">89, </w:t>
      </w:r>
      <w:r>
        <w:rPr>
          <w:rFonts w:ascii="Century Schoolbook" w:hAnsi="Century Schoolbook"/>
          <w:sz w:val="27"/>
          <w:szCs w:val="26"/>
        </w:rPr>
        <w:t>392</w:t>
      </w:r>
      <w:r w:rsidRPr="00C50388">
        <w:rPr>
          <w:rFonts w:ascii="Century Schoolbook" w:hAnsi="Century Schoolbook"/>
          <w:sz w:val="27"/>
          <w:szCs w:val="26"/>
        </w:rPr>
        <w:t>).</w:t>
      </w:r>
    </w:p>
    <w:p w:rsidR="00187CD0" w:rsidRPr="00C50388" w:rsidP="00C47792">
      <w:pPr>
        <w:spacing w:after="100" w:line="400" w:lineRule="exact"/>
        <w:ind w:firstLine="720"/>
        <w:jc w:val="both"/>
        <w:rPr>
          <w:rFonts w:ascii="Century Schoolbook" w:hAnsi="Century Schoolbook"/>
          <w:sz w:val="27"/>
          <w:szCs w:val="26"/>
        </w:rPr>
      </w:pPr>
      <w:r w:rsidRPr="00C50388">
        <w:rPr>
          <w:rFonts w:ascii="Century Schoolbook" w:hAnsi="Century Schoolbook"/>
          <w:sz w:val="27"/>
          <w:szCs w:val="26"/>
        </w:rPr>
        <w:t>“The time of appealability, having jurisdictional consequences, should ab</w:t>
      </w:r>
      <w:r w:rsidRPr="00C50388">
        <w:rPr>
          <w:rFonts w:ascii="Century Schoolbook" w:hAnsi="Century Schoolbook"/>
          <w:sz w:val="27"/>
          <w:szCs w:val="26"/>
        </w:rPr>
        <w:t>ove all be clear.”  (</w:t>
      </w:r>
      <w:r w:rsidRPr="00C50388">
        <w:rPr>
          <w:rFonts w:ascii="Century Schoolbook" w:hAnsi="Century Schoolbook"/>
          <w:i/>
          <w:iCs/>
          <w:sz w:val="27"/>
          <w:szCs w:val="26"/>
        </w:rPr>
        <w:t>Budinich v. Becton Dickinson and Co.</w:t>
      </w:r>
      <w:r w:rsidRPr="00C50388">
        <w:rPr>
          <w:rFonts w:ascii="Century Schoolbook" w:hAnsi="Century Schoolbook"/>
          <w:sz w:val="27"/>
          <w:szCs w:val="26"/>
        </w:rPr>
        <w:t xml:space="preserve"> (1988) 486 U.S. 196, 202.)  “[B]right lines are essential in this area, to avoid both inadvertent forfeiture of the right to appeal and excessive protective appeals by parties afraid they might suff</w:t>
      </w:r>
      <w:r w:rsidRPr="00C50388">
        <w:rPr>
          <w:rFonts w:ascii="Century Schoolbook" w:hAnsi="Century Schoolbook"/>
          <w:sz w:val="27"/>
          <w:szCs w:val="26"/>
        </w:rPr>
        <w:t>er such a forfeiture.”  (</w:t>
      </w:r>
      <w:r w:rsidRPr="00C50388">
        <w:rPr>
          <w:rFonts w:ascii="Century Schoolbook" w:hAnsi="Century Schoolbook"/>
          <w:i/>
          <w:iCs/>
          <w:sz w:val="27"/>
          <w:szCs w:val="26"/>
        </w:rPr>
        <w:t>In</w:t>
      </w:r>
      <w:r>
        <w:rPr>
          <w:rFonts w:ascii="Century Schoolbook" w:hAnsi="Century Schoolbook"/>
          <w:i/>
          <w:iCs/>
          <w:sz w:val="27"/>
          <w:szCs w:val="26"/>
        </w:rPr>
        <w:t xml:space="preserve"> </w:t>
      </w:r>
      <w:r w:rsidRPr="00C50388">
        <w:rPr>
          <w:rFonts w:ascii="Century Schoolbook" w:hAnsi="Century Schoolbook"/>
          <w:i/>
          <w:iCs/>
          <w:sz w:val="27"/>
          <w:szCs w:val="26"/>
        </w:rPr>
        <w:t xml:space="preserve">re Baycol Cases I &amp; II </w:t>
      </w:r>
      <w:r w:rsidRPr="00C50388">
        <w:rPr>
          <w:rFonts w:ascii="Century Schoolbook" w:hAnsi="Century Schoolbook"/>
          <w:sz w:val="27"/>
          <w:szCs w:val="26"/>
        </w:rPr>
        <w:t>(2011) 51 Cal.4th 751, 761 (</w:t>
      </w:r>
      <w:r w:rsidRPr="00C50388">
        <w:rPr>
          <w:rFonts w:ascii="Century Schoolbook" w:hAnsi="Century Schoolbook"/>
          <w:i/>
          <w:iCs/>
          <w:sz w:val="27"/>
          <w:szCs w:val="26"/>
        </w:rPr>
        <w:t>Baycol</w:t>
      </w:r>
      <w:r w:rsidRPr="00C50388">
        <w:rPr>
          <w:rFonts w:ascii="Century Schoolbook" w:hAnsi="Century Schoolbook"/>
          <w:sz w:val="27"/>
          <w:szCs w:val="26"/>
        </w:rPr>
        <w:t>).)  “</w:t>
      </w:r>
      <w:r>
        <w:rPr>
          <w:rFonts w:ascii="Century Schoolbook" w:hAnsi="Century Schoolbook"/>
          <w:sz w:val="27"/>
          <w:szCs w:val="26"/>
        </w:rPr>
        <w:t> </w:t>
      </w:r>
      <w:r w:rsidRPr="00C50388">
        <w:rPr>
          <w:rFonts w:ascii="Century Schoolbook" w:hAnsi="Century Schoolbook"/>
          <w:sz w:val="27"/>
          <w:szCs w:val="26"/>
        </w:rPr>
        <w:t>‘Neither parties nor appellate courts should be required to speculate about jurisdictional time limits.’ ”  (</w:t>
      </w:r>
      <w:r w:rsidRPr="00C50388">
        <w:rPr>
          <w:rFonts w:ascii="Century Schoolbook" w:hAnsi="Century Schoolbook"/>
          <w:i/>
          <w:iCs/>
          <w:sz w:val="27"/>
          <w:szCs w:val="26"/>
        </w:rPr>
        <w:t xml:space="preserve">Alan v. American Honda Motor Co., Inc. </w:t>
      </w:r>
      <w:r w:rsidRPr="00C50388">
        <w:rPr>
          <w:rFonts w:ascii="Century Schoolbook" w:hAnsi="Century Schoolbook"/>
          <w:sz w:val="27"/>
          <w:szCs w:val="26"/>
        </w:rPr>
        <w:t>(2007) 40 Cal.4t</w:t>
      </w:r>
      <w:r w:rsidRPr="00C50388">
        <w:rPr>
          <w:rFonts w:ascii="Century Schoolbook" w:hAnsi="Century Schoolbook"/>
          <w:sz w:val="27"/>
          <w:szCs w:val="26"/>
        </w:rPr>
        <w:t>h 894, 905 (</w:t>
      </w:r>
      <w:r w:rsidRPr="00C50388">
        <w:rPr>
          <w:rFonts w:ascii="Century Schoolbook" w:hAnsi="Century Schoolbook"/>
          <w:i/>
          <w:iCs/>
          <w:sz w:val="27"/>
          <w:szCs w:val="26"/>
        </w:rPr>
        <w:t>Alan</w:t>
      </w:r>
      <w:r w:rsidRPr="00C50388">
        <w:rPr>
          <w:rFonts w:ascii="Century Schoolbook" w:hAnsi="Century Schoolbook"/>
          <w:sz w:val="27"/>
          <w:szCs w:val="26"/>
        </w:rPr>
        <w:t>).)</w:t>
      </w:r>
    </w:p>
    <w:p w:rsidR="00187CD0" w:rsidRPr="00C50388" w:rsidP="00C47792">
      <w:pPr>
        <w:spacing w:after="100" w:line="400" w:lineRule="exact"/>
        <w:ind w:firstLine="720"/>
        <w:jc w:val="both"/>
        <w:rPr>
          <w:rFonts w:ascii="Century Schoolbook" w:hAnsi="Century Schoolbook"/>
          <w:sz w:val="27"/>
          <w:szCs w:val="26"/>
        </w:rPr>
      </w:pPr>
      <w:r w:rsidRPr="00C50388">
        <w:rPr>
          <w:rFonts w:ascii="Century Schoolbook" w:hAnsi="Century Schoolbook"/>
          <w:sz w:val="27"/>
          <w:szCs w:val="26"/>
        </w:rPr>
        <w:t>Given these considerations, and for the reasons set forth below, we adopt a “bright line[]” rule (</w:t>
      </w:r>
      <w:r w:rsidRPr="00C50388">
        <w:rPr>
          <w:rFonts w:ascii="Century Schoolbook" w:hAnsi="Century Schoolbook"/>
          <w:i/>
          <w:iCs/>
          <w:sz w:val="27"/>
          <w:szCs w:val="26"/>
        </w:rPr>
        <w:t>Baycol</w:t>
      </w:r>
      <w:r w:rsidRPr="00C50388">
        <w:rPr>
          <w:rFonts w:ascii="Century Schoolbook" w:hAnsi="Century Schoolbook"/>
          <w:sz w:val="27"/>
          <w:szCs w:val="26"/>
        </w:rPr>
        <w:t xml:space="preserve">, </w:t>
      </w:r>
      <w:r w:rsidRPr="00C50388">
        <w:rPr>
          <w:rFonts w:ascii="Century Schoolbook" w:hAnsi="Century Schoolbook"/>
          <w:i/>
          <w:iCs/>
          <w:sz w:val="27"/>
          <w:szCs w:val="26"/>
        </w:rPr>
        <w:t>supra</w:t>
      </w:r>
      <w:r w:rsidRPr="00C50388">
        <w:rPr>
          <w:rFonts w:ascii="Century Schoolbook" w:hAnsi="Century Schoolbook"/>
          <w:sz w:val="27"/>
          <w:szCs w:val="26"/>
        </w:rPr>
        <w:t>, 51 Cal.4th at p.</w:t>
      </w:r>
      <w:r>
        <w:rPr>
          <w:rFonts w:ascii="Century Schoolbook" w:hAnsi="Century Schoolbook"/>
          <w:sz w:val="27"/>
          <w:szCs w:val="26"/>
        </w:rPr>
        <w:t xml:space="preserve"> </w:t>
      </w:r>
      <w:r w:rsidRPr="00C50388">
        <w:rPr>
          <w:rFonts w:ascii="Century Schoolbook" w:hAnsi="Century Schoolbook"/>
          <w:sz w:val="27"/>
          <w:szCs w:val="26"/>
        </w:rPr>
        <w:t xml:space="preserve">761) that the time to appeal in administrative mandate proceedings starts to run with entry of “judgment” </w:t>
      </w:r>
      <w:r w:rsidRPr="00C50388">
        <w:rPr>
          <w:rFonts w:ascii="Century Schoolbook" w:hAnsi="Century Schoolbook"/>
          <w:sz w:val="27"/>
          <w:szCs w:val="26"/>
        </w:rPr>
        <w:t xml:space="preserve">or service of notice of entry of “judgment,” rather than with the filing of, or </w:t>
      </w:r>
      <w:r>
        <w:rPr>
          <w:rFonts w:ascii="Century Schoolbook" w:hAnsi="Century Schoolbook"/>
          <w:sz w:val="27"/>
          <w:szCs w:val="26"/>
        </w:rPr>
        <w:t xml:space="preserve">service of </w:t>
      </w:r>
      <w:r w:rsidRPr="00C50388">
        <w:rPr>
          <w:rFonts w:ascii="Century Schoolbook" w:hAnsi="Century Schoolbook"/>
          <w:sz w:val="27"/>
          <w:szCs w:val="26"/>
        </w:rPr>
        <w:t>notice of the filing of, an “order,” minute order, or other ruling.  We therefore reverse the judgment of the Court of Appeal, which held to the contrary.</w:t>
      </w:r>
    </w:p>
    <w:p w:rsidR="00187CD0" w:rsidRPr="00C50388" w:rsidP="00C47792">
      <w:pPr>
        <w:keepNext/>
        <w:spacing w:after="100" w:line="400" w:lineRule="exact"/>
        <w:jc w:val="center"/>
        <w:rPr>
          <w:rFonts w:ascii="Century Schoolbook" w:hAnsi="Century Schoolbook"/>
          <w:b/>
          <w:bCs/>
          <w:smallCaps/>
          <w:sz w:val="27"/>
          <w:szCs w:val="26"/>
        </w:rPr>
      </w:pPr>
      <w:r w:rsidRPr="00C50388">
        <w:rPr>
          <w:rFonts w:ascii="Century Schoolbook" w:hAnsi="Century Schoolbook"/>
          <w:b/>
          <w:bCs/>
          <w:smallCaps/>
          <w:sz w:val="27"/>
          <w:szCs w:val="26"/>
        </w:rPr>
        <w:t>Factual an</w:t>
      </w:r>
      <w:r w:rsidRPr="00C50388">
        <w:rPr>
          <w:rFonts w:ascii="Century Schoolbook" w:hAnsi="Century Schoolbook"/>
          <w:b/>
          <w:bCs/>
          <w:smallCaps/>
          <w:sz w:val="27"/>
          <w:szCs w:val="26"/>
        </w:rPr>
        <w:t>d Procedural Background</w:t>
      </w:r>
    </w:p>
    <w:p w:rsidR="00187CD0" w:rsidRPr="00C50388" w:rsidP="00C47792">
      <w:pPr>
        <w:spacing w:after="100" w:line="400" w:lineRule="exact"/>
        <w:ind w:firstLine="720"/>
        <w:jc w:val="both"/>
        <w:rPr>
          <w:rFonts w:ascii="Century Schoolbook" w:hAnsi="Century Schoolbook"/>
          <w:sz w:val="27"/>
          <w:szCs w:val="26"/>
        </w:rPr>
      </w:pPr>
      <w:r w:rsidRPr="00C50388">
        <w:rPr>
          <w:rFonts w:ascii="Century Schoolbook" w:hAnsi="Century Schoolbook"/>
          <w:sz w:val="27"/>
          <w:szCs w:val="26"/>
        </w:rPr>
        <w:t>In May 2019, the City of Sunnyvale Department of Public Safety (Department) imposed a 44-hour suspension on Officer David Meinhardt (Meinhardt), and the City of Sunnyvale Personnel Board (</w:t>
      </w:r>
      <w:r>
        <w:rPr>
          <w:rFonts w:ascii="Century Schoolbook" w:hAnsi="Century Schoolbook"/>
          <w:sz w:val="27"/>
          <w:szCs w:val="26"/>
        </w:rPr>
        <w:t>the Board</w:t>
      </w:r>
      <w:r w:rsidRPr="00C50388">
        <w:rPr>
          <w:rFonts w:ascii="Century Schoolbook" w:hAnsi="Century Schoolbook"/>
          <w:sz w:val="27"/>
          <w:szCs w:val="26"/>
        </w:rPr>
        <w:t xml:space="preserve">) upheld the suspension.  </w:t>
      </w:r>
      <w:r w:rsidRPr="00C50388">
        <w:rPr>
          <w:rFonts w:ascii="Century Schoolbook" w:hAnsi="Century Schoolbook"/>
          <w:sz w:val="27"/>
          <w:szCs w:val="26"/>
        </w:rPr>
        <w:t>Meinhardt challenged the suspension by filing a petition for writ of administrative mandate in the superior court, naming the Board as a defendant and the Department as real party in interest (together, the City).  On August 6, 2020, after briefing and a h</w:t>
      </w:r>
      <w:r w:rsidRPr="00C50388">
        <w:rPr>
          <w:rFonts w:ascii="Century Schoolbook" w:hAnsi="Century Schoolbook"/>
          <w:sz w:val="27"/>
          <w:szCs w:val="26"/>
        </w:rPr>
        <w:t>earing, the court filed a document entitled “ORDER” (the August 6 Order) containing factual findings and legal rulings and concluding, “the Petition for Writ of Administrative Mandamus is DENIED.”  The clerk of the court served the August 6 Order on the pa</w:t>
      </w:r>
      <w:r w:rsidRPr="00C50388">
        <w:rPr>
          <w:rFonts w:ascii="Century Schoolbook" w:hAnsi="Century Schoolbook"/>
          <w:sz w:val="27"/>
          <w:szCs w:val="26"/>
        </w:rPr>
        <w:t>rties by mail the same day.  On August</w:t>
      </w:r>
      <w:r>
        <w:rPr>
          <w:rFonts w:ascii="Century Schoolbook" w:hAnsi="Century Schoolbook"/>
          <w:sz w:val="27"/>
          <w:szCs w:val="26"/>
        </w:rPr>
        <w:t xml:space="preserve"> </w:t>
      </w:r>
      <w:r w:rsidRPr="00C50388">
        <w:rPr>
          <w:rFonts w:ascii="Century Schoolbook" w:hAnsi="Century Schoolbook"/>
          <w:sz w:val="27"/>
          <w:szCs w:val="26"/>
        </w:rPr>
        <w:t>14, 2020, the City served Meinhardt with a judicial council form CIV-130 entitled “Notice of Entry of Judgment or Order</w:t>
      </w:r>
      <w:r>
        <w:rPr>
          <w:rFonts w:ascii="Century Schoolbook" w:hAnsi="Century Schoolbook"/>
          <w:sz w:val="27"/>
          <w:szCs w:val="26"/>
        </w:rPr>
        <w:t>,</w:t>
      </w:r>
      <w:r w:rsidRPr="00C50388">
        <w:rPr>
          <w:rFonts w:ascii="Century Schoolbook" w:hAnsi="Century Schoolbook"/>
          <w:sz w:val="27"/>
          <w:szCs w:val="26"/>
        </w:rPr>
        <w:t xml:space="preserve">” along with a file-stamped copy of the August 6 Order. </w:t>
      </w:r>
    </w:p>
    <w:p w:rsidR="00187CD0" w:rsidRPr="00C50388" w:rsidP="00C47792">
      <w:pPr>
        <w:spacing w:after="100" w:line="400" w:lineRule="exact"/>
        <w:ind w:firstLine="720"/>
        <w:jc w:val="both"/>
        <w:rPr>
          <w:rFonts w:ascii="Century Schoolbook" w:hAnsi="Century Schoolbook"/>
          <w:sz w:val="27"/>
          <w:szCs w:val="26"/>
        </w:rPr>
      </w:pPr>
      <w:r w:rsidRPr="00C50388">
        <w:rPr>
          <w:rFonts w:ascii="Century Schoolbook" w:hAnsi="Century Schoolbook"/>
          <w:sz w:val="27"/>
          <w:szCs w:val="26"/>
        </w:rPr>
        <w:t>On September 4, 2020, the parties signed</w:t>
      </w:r>
      <w:r w:rsidRPr="00C50388">
        <w:rPr>
          <w:rFonts w:ascii="Century Schoolbook" w:hAnsi="Century Schoolbook"/>
          <w:sz w:val="27"/>
          <w:szCs w:val="26"/>
        </w:rPr>
        <w:t xml:space="preserve"> and submitted to the court a document entitled “JUDGMENT” that stated, “On August 6, 2020, the Court issued an Order Denying Petitioner David Meinhardt’s Petition for Writ of Administrative Mandamus</w:t>
      </w:r>
      <w:r>
        <w:rPr>
          <w:rFonts w:ascii="Century Schoolbook" w:hAnsi="Century Schoolbook"/>
          <w:sz w:val="27"/>
          <w:szCs w:val="26"/>
        </w:rPr>
        <w:t> . . . </w:t>
      </w:r>
      <w:r w:rsidRPr="00C50388">
        <w:rPr>
          <w:rFonts w:ascii="Century Schoolbook" w:hAnsi="Century Schoolbook"/>
          <w:sz w:val="27"/>
          <w:szCs w:val="26"/>
        </w:rPr>
        <w:t>.  For the reasons set forth in the Order, the Cou</w:t>
      </w:r>
      <w:r w:rsidRPr="00C50388">
        <w:rPr>
          <w:rFonts w:ascii="Century Schoolbook" w:hAnsi="Century Schoolbook"/>
          <w:sz w:val="27"/>
          <w:szCs w:val="26"/>
        </w:rPr>
        <w:t>rt hereby enters Judgment for Respondents City of Sunnyvale, et al., and against Petitioner David Meinhardt, who shall take nothing by this action. [¶] IT IS SO ORDERED, ADJUDGED AND DECREED.”  The court signed this document on September 17, 2020, and Mein</w:t>
      </w:r>
      <w:r w:rsidRPr="00C50388">
        <w:rPr>
          <w:rFonts w:ascii="Century Schoolbook" w:hAnsi="Century Schoolbook"/>
          <w:sz w:val="27"/>
          <w:szCs w:val="26"/>
        </w:rPr>
        <w:t>hardt served on the City a “Notice of Entry of Judgment” on September 22, 2020.  The trial court entered the judgment on its docket on September 25, 2020 (the September 25 Judgment).</w:t>
      </w:r>
      <w:r>
        <w:rPr>
          <w:rStyle w:val="FootnoteReference"/>
          <w:szCs w:val="26"/>
          <w:vertAlign w:val="superscript"/>
        </w:rPr>
        <w:footnoteReference w:id="7"/>
      </w:r>
      <w:r w:rsidRPr="00C50388">
        <w:rPr>
          <w:rFonts w:ascii="Century Schoolbook" w:hAnsi="Century Schoolbook"/>
          <w:sz w:val="27"/>
          <w:szCs w:val="26"/>
        </w:rPr>
        <w:t xml:space="preserve"> </w:t>
      </w:r>
    </w:p>
    <w:p w:rsidR="00187CD0" w:rsidRPr="00C50388" w:rsidP="00C47792">
      <w:pPr>
        <w:spacing w:after="100" w:line="400" w:lineRule="exact"/>
        <w:ind w:firstLine="720"/>
        <w:jc w:val="both"/>
        <w:rPr>
          <w:rFonts w:ascii="Century Schoolbook" w:hAnsi="Century Schoolbook"/>
          <w:sz w:val="27"/>
          <w:szCs w:val="26"/>
        </w:rPr>
      </w:pPr>
      <w:r w:rsidRPr="00C50388">
        <w:rPr>
          <w:rFonts w:ascii="Century Schoolbook" w:hAnsi="Century Schoolbook"/>
          <w:sz w:val="27"/>
          <w:szCs w:val="26"/>
        </w:rPr>
        <w:t>On October 15, 2020, Meinhardt filed a notice of appeal from the Septe</w:t>
      </w:r>
      <w:r w:rsidRPr="00C50388">
        <w:rPr>
          <w:rFonts w:ascii="Century Schoolbook" w:hAnsi="Century Schoolbook"/>
          <w:sz w:val="27"/>
          <w:szCs w:val="26"/>
        </w:rPr>
        <w:t>mber 25 Judgment.  The Court of Appeal requested briefing on the appeal’s timeliness and thereafter dismissed the appeal as untimely, concluding the August 6 Order was the “final judgment” from which Meinhardt should have appealed because it “denied” his m</w:t>
      </w:r>
      <w:r w:rsidRPr="00C50388">
        <w:rPr>
          <w:rFonts w:ascii="Century Schoolbook" w:hAnsi="Century Schoolbook"/>
          <w:sz w:val="27"/>
          <w:szCs w:val="26"/>
        </w:rPr>
        <w:t>andate petition “in its entirety and did not contemplate any further action in the case.”  (</w:t>
      </w:r>
      <w:r w:rsidRPr="00C50388">
        <w:rPr>
          <w:rFonts w:ascii="Century Schoolbook" w:hAnsi="Century Schoolbook"/>
          <w:i/>
          <w:iCs/>
          <w:sz w:val="27"/>
          <w:szCs w:val="26"/>
        </w:rPr>
        <w:t>Meinhardt</w:t>
      </w:r>
      <w:r w:rsidRPr="00C50388">
        <w:rPr>
          <w:rFonts w:ascii="Century Schoolbook" w:hAnsi="Century Schoolbook"/>
          <w:sz w:val="27"/>
          <w:szCs w:val="26"/>
        </w:rPr>
        <w:t xml:space="preserve">, </w:t>
      </w:r>
      <w:r w:rsidRPr="00C50388">
        <w:rPr>
          <w:rFonts w:ascii="Century Schoolbook" w:hAnsi="Century Schoolbook"/>
          <w:i/>
          <w:iCs/>
          <w:sz w:val="27"/>
          <w:szCs w:val="26"/>
        </w:rPr>
        <w:t>supra</w:t>
      </w:r>
      <w:r w:rsidRPr="00C50388">
        <w:rPr>
          <w:rFonts w:ascii="Century Schoolbook" w:hAnsi="Century Schoolbook"/>
          <w:sz w:val="27"/>
          <w:szCs w:val="26"/>
        </w:rPr>
        <w:t>, 76 Cal.App.5th at p.</w:t>
      </w:r>
      <w:r>
        <w:rPr>
          <w:rFonts w:ascii="Century Schoolbook" w:hAnsi="Century Schoolbook"/>
          <w:sz w:val="27"/>
          <w:szCs w:val="26"/>
        </w:rPr>
        <w:t xml:space="preserve"> 63</w:t>
      </w:r>
      <w:r w:rsidRPr="00C50388">
        <w:rPr>
          <w:rFonts w:ascii="Century Schoolbook" w:hAnsi="Century Schoolbook"/>
          <w:sz w:val="27"/>
          <w:szCs w:val="26"/>
        </w:rPr>
        <w:t xml:space="preserve">.)  In so concluding, the Court of Appeal acknowledged a split in published authority on the timeliness issue but chose to </w:t>
      </w:r>
      <w:r w:rsidRPr="00C50388">
        <w:rPr>
          <w:rFonts w:ascii="Century Schoolbook" w:hAnsi="Century Schoolbook"/>
          <w:sz w:val="27"/>
          <w:szCs w:val="26"/>
        </w:rPr>
        <w:t xml:space="preserve">follow </w:t>
      </w:r>
      <w:r w:rsidRPr="00C50388">
        <w:rPr>
          <w:rFonts w:ascii="Century Schoolbook" w:hAnsi="Century Schoolbook"/>
          <w:i/>
          <w:iCs/>
          <w:sz w:val="27"/>
          <w:szCs w:val="26"/>
        </w:rPr>
        <w:t>Laraway v. Pasadena Unified School District</w:t>
      </w:r>
      <w:r w:rsidRPr="00C50388">
        <w:rPr>
          <w:rFonts w:ascii="Century Schoolbook" w:hAnsi="Century Schoolbook"/>
          <w:sz w:val="27"/>
          <w:szCs w:val="26"/>
        </w:rPr>
        <w:t xml:space="preserve"> (2002) 98 Cal.App.4th 579 (</w:t>
      </w:r>
      <w:r w:rsidRPr="00C50388">
        <w:rPr>
          <w:rFonts w:ascii="Century Schoolbook" w:hAnsi="Century Schoolbook"/>
          <w:i/>
          <w:iCs/>
          <w:sz w:val="27"/>
          <w:szCs w:val="26"/>
        </w:rPr>
        <w:t>Laraway</w:t>
      </w:r>
      <w:r w:rsidRPr="00C50388">
        <w:rPr>
          <w:rFonts w:ascii="Century Schoolbook" w:hAnsi="Century Schoolbook"/>
          <w:sz w:val="27"/>
          <w:szCs w:val="26"/>
        </w:rPr>
        <w:t xml:space="preserve">) and </w:t>
      </w:r>
      <w:r w:rsidRPr="00C50388">
        <w:rPr>
          <w:rFonts w:ascii="Century Schoolbook" w:hAnsi="Century Schoolbook"/>
          <w:i/>
          <w:iCs/>
          <w:sz w:val="27"/>
          <w:szCs w:val="26"/>
        </w:rPr>
        <w:t>City of Calexico</w:t>
      </w:r>
      <w:r w:rsidRPr="00C50388">
        <w:rPr>
          <w:rFonts w:ascii="Century Schoolbook" w:hAnsi="Century Schoolbook"/>
          <w:sz w:val="27"/>
          <w:szCs w:val="26"/>
        </w:rPr>
        <w:t xml:space="preserve">, </w:t>
      </w:r>
      <w:r w:rsidRPr="00C50388">
        <w:rPr>
          <w:rFonts w:ascii="Century Schoolbook" w:hAnsi="Century Schoolbook"/>
          <w:i/>
          <w:iCs/>
          <w:sz w:val="27"/>
          <w:szCs w:val="26"/>
        </w:rPr>
        <w:t>supra</w:t>
      </w:r>
      <w:r w:rsidRPr="00C50388">
        <w:rPr>
          <w:rFonts w:ascii="Century Schoolbook" w:hAnsi="Century Schoolbook"/>
          <w:sz w:val="27"/>
          <w:szCs w:val="26"/>
        </w:rPr>
        <w:t>, 64 Cal.App.5th 180, which held that the time to appeal in writ proceedings</w:t>
      </w:r>
      <w:r>
        <w:rPr>
          <w:rStyle w:val="FootnoteReference"/>
          <w:szCs w:val="26"/>
          <w:vertAlign w:val="superscript"/>
        </w:rPr>
        <w:footnoteReference w:id="8"/>
      </w:r>
      <w:r w:rsidRPr="00C50388">
        <w:rPr>
          <w:rFonts w:ascii="Century Schoolbook" w:hAnsi="Century Schoolbook"/>
          <w:sz w:val="27"/>
          <w:szCs w:val="26"/>
        </w:rPr>
        <w:t xml:space="preserve"> starts from the filing of</w:t>
      </w:r>
      <w:r>
        <w:rPr>
          <w:rFonts w:ascii="Century Schoolbook" w:hAnsi="Century Schoolbook"/>
          <w:sz w:val="27"/>
          <w:szCs w:val="26"/>
        </w:rPr>
        <w:t> —</w:t>
      </w:r>
      <w:r w:rsidRPr="00C50388">
        <w:rPr>
          <w:rFonts w:ascii="Century Schoolbook" w:hAnsi="Century Schoolbook"/>
          <w:sz w:val="27"/>
          <w:szCs w:val="26"/>
        </w:rPr>
        <w:t xml:space="preserve"> or service of a file-endorsed copy </w:t>
      </w:r>
      <w:r w:rsidRPr="00C50388">
        <w:rPr>
          <w:rFonts w:ascii="Century Schoolbook" w:hAnsi="Century Schoolbook"/>
          <w:sz w:val="27"/>
          <w:szCs w:val="26"/>
        </w:rPr>
        <w:t>of (together with a document reflecting the date of service of)</w:t>
      </w:r>
      <w:r>
        <w:rPr>
          <w:rFonts w:ascii="Century Schoolbook" w:hAnsi="Century Schoolbook"/>
          <w:sz w:val="27"/>
          <w:szCs w:val="26"/>
        </w:rPr>
        <w:t> —</w:t>
      </w:r>
      <w:r w:rsidRPr="00C50388">
        <w:rPr>
          <w:rFonts w:ascii="Century Schoolbook" w:hAnsi="Century Schoolbook"/>
          <w:sz w:val="27"/>
          <w:szCs w:val="26"/>
        </w:rPr>
        <w:t xml:space="preserve"> an order or ruling that is sufficiently final to constitute the judgment, not from </w:t>
      </w:r>
      <w:r>
        <w:rPr>
          <w:rFonts w:ascii="Century Schoolbook" w:hAnsi="Century Schoolbook"/>
          <w:sz w:val="27"/>
          <w:szCs w:val="26"/>
        </w:rPr>
        <w:t xml:space="preserve">a subsequent </w:t>
      </w:r>
      <w:r w:rsidRPr="00C50388">
        <w:rPr>
          <w:rFonts w:ascii="Century Schoolbook" w:hAnsi="Century Schoolbook"/>
          <w:sz w:val="27"/>
          <w:szCs w:val="26"/>
        </w:rPr>
        <w:t>entry of judgment.  (</w:t>
      </w:r>
      <w:r w:rsidRPr="00C50388">
        <w:rPr>
          <w:rFonts w:ascii="Century Schoolbook" w:hAnsi="Century Schoolbook"/>
          <w:i/>
          <w:iCs/>
          <w:sz w:val="27"/>
          <w:szCs w:val="26"/>
        </w:rPr>
        <w:t>Meinhardt</w:t>
      </w:r>
      <w:r w:rsidRPr="00C50388">
        <w:rPr>
          <w:rFonts w:ascii="Century Schoolbook" w:hAnsi="Century Schoolbook"/>
          <w:sz w:val="27"/>
          <w:szCs w:val="26"/>
        </w:rPr>
        <w:t>, at pp. 51, 67–68.)  We granted Meinhardt’s petition for review</w:t>
      </w:r>
      <w:r w:rsidRPr="00C50388">
        <w:rPr>
          <w:rFonts w:ascii="Century Schoolbook" w:hAnsi="Century Schoolbook"/>
          <w:sz w:val="27"/>
          <w:szCs w:val="26"/>
        </w:rPr>
        <w:t>, which asserted that his notice of appeal was timely filed, within 60</w:t>
      </w:r>
      <w:r>
        <w:rPr>
          <w:rFonts w:ascii="Century Schoolbook" w:hAnsi="Century Schoolbook"/>
          <w:sz w:val="27"/>
          <w:szCs w:val="26"/>
        </w:rPr>
        <w:t xml:space="preserve"> </w:t>
      </w:r>
      <w:r w:rsidRPr="00C50388">
        <w:rPr>
          <w:rFonts w:ascii="Century Schoolbook" w:hAnsi="Century Schoolbook"/>
          <w:sz w:val="27"/>
          <w:szCs w:val="26"/>
        </w:rPr>
        <w:t>days of service of notice of entry of the September 25 Judgment.</w:t>
      </w:r>
    </w:p>
    <w:p w:rsidR="00187CD0" w:rsidRPr="00C50388" w:rsidP="00110165">
      <w:pPr>
        <w:keepNext/>
        <w:spacing w:after="100" w:line="400" w:lineRule="exact"/>
        <w:jc w:val="center"/>
        <w:rPr>
          <w:rFonts w:ascii="Century Schoolbook" w:hAnsi="Century Schoolbook"/>
          <w:b/>
          <w:bCs/>
          <w:smallCaps/>
          <w:sz w:val="27"/>
          <w:szCs w:val="26"/>
        </w:rPr>
      </w:pPr>
      <w:r w:rsidRPr="00C50388">
        <w:rPr>
          <w:rFonts w:ascii="Century Schoolbook" w:hAnsi="Century Schoolbook"/>
          <w:b/>
          <w:bCs/>
          <w:smallCaps/>
          <w:sz w:val="27"/>
          <w:szCs w:val="26"/>
        </w:rPr>
        <w:t>Discussion</w:t>
      </w:r>
    </w:p>
    <w:p w:rsidR="00187CD0" w:rsidRPr="00C50388" w:rsidP="00C47792">
      <w:pPr>
        <w:pStyle w:val="ListParagraph"/>
        <w:keepNext/>
        <w:numPr>
          <w:ilvl w:val="0"/>
          <w:numId w:val="1"/>
        </w:numPr>
        <w:spacing w:after="100" w:line="400" w:lineRule="exact"/>
        <w:jc w:val="both"/>
        <w:rPr>
          <w:rFonts w:ascii="Century Schoolbook" w:hAnsi="Century Schoolbook"/>
          <w:b/>
          <w:bCs/>
          <w:sz w:val="27"/>
          <w:szCs w:val="26"/>
        </w:rPr>
      </w:pPr>
      <w:r w:rsidRPr="00C50388">
        <w:rPr>
          <w:rFonts w:ascii="Century Schoolbook" w:hAnsi="Century Schoolbook"/>
          <w:b/>
          <w:bCs/>
          <w:sz w:val="27"/>
          <w:szCs w:val="26"/>
        </w:rPr>
        <w:t>Appealability of “Judgments” in Administrative Mandate Proceedings</w:t>
      </w:r>
    </w:p>
    <w:p w:rsidR="00187CD0" w:rsidRPr="00C50388" w:rsidP="00C47792">
      <w:pPr>
        <w:spacing w:after="100" w:line="400" w:lineRule="exact"/>
        <w:ind w:firstLine="720"/>
        <w:jc w:val="both"/>
        <w:rPr>
          <w:rFonts w:ascii="Century Schoolbook" w:hAnsi="Century Schoolbook"/>
          <w:sz w:val="27"/>
          <w:szCs w:val="26"/>
        </w:rPr>
      </w:pPr>
      <w:r w:rsidRPr="00C50388">
        <w:rPr>
          <w:rFonts w:ascii="Century Schoolbook" w:hAnsi="Century Schoolbook"/>
          <w:sz w:val="27"/>
          <w:szCs w:val="26"/>
        </w:rPr>
        <w:t>The right to appeal in California is “enti</w:t>
      </w:r>
      <w:r w:rsidRPr="00C50388">
        <w:rPr>
          <w:rFonts w:ascii="Century Schoolbook" w:hAnsi="Century Schoolbook"/>
          <w:sz w:val="27"/>
          <w:szCs w:val="26"/>
        </w:rPr>
        <w:t>rely statutory and subject to complete legislative control.”  (</w:t>
      </w:r>
      <w:r w:rsidRPr="00C50388">
        <w:rPr>
          <w:rFonts w:ascii="Century Schoolbook" w:hAnsi="Century Schoolbook"/>
          <w:i/>
          <w:iCs/>
          <w:sz w:val="27"/>
          <w:szCs w:val="26"/>
        </w:rPr>
        <w:t>Trede v. Superior Cour</w:t>
      </w:r>
      <w:r w:rsidRPr="00C50388">
        <w:rPr>
          <w:rFonts w:ascii="Century Schoolbook" w:hAnsi="Century Schoolbook"/>
          <w:sz w:val="27"/>
          <w:szCs w:val="26"/>
        </w:rPr>
        <w:t>t (1943) 21 Cal.2d 630, 634</w:t>
      </w:r>
      <w:r>
        <w:rPr>
          <w:rFonts w:ascii="Century Schoolbook" w:hAnsi="Century Schoolbook"/>
          <w:sz w:val="27"/>
          <w:szCs w:val="26"/>
        </w:rPr>
        <w:t xml:space="preserve"> (</w:t>
      </w:r>
      <w:r>
        <w:rPr>
          <w:rFonts w:ascii="Century Schoolbook" w:hAnsi="Century Schoolbook"/>
          <w:i/>
          <w:iCs/>
          <w:sz w:val="27"/>
          <w:szCs w:val="26"/>
        </w:rPr>
        <w:t>Trede</w:t>
      </w:r>
      <w:r>
        <w:rPr>
          <w:rFonts w:ascii="Century Schoolbook" w:hAnsi="Century Schoolbook"/>
          <w:sz w:val="27"/>
          <w:szCs w:val="26"/>
        </w:rPr>
        <w:t>)</w:t>
      </w:r>
      <w:r w:rsidRPr="00C50388">
        <w:rPr>
          <w:rFonts w:ascii="Century Schoolbook" w:hAnsi="Century Schoolbook"/>
          <w:sz w:val="27"/>
          <w:szCs w:val="26"/>
        </w:rPr>
        <w:t>;</w:t>
      </w:r>
      <w:r w:rsidRPr="00C50388">
        <w:rPr>
          <w:rFonts w:ascii="Century Schoolbook" w:hAnsi="Century Schoolbook"/>
          <w:sz w:val="27"/>
        </w:rPr>
        <w:t xml:space="preserve"> </w:t>
      </w:r>
      <w:r>
        <w:rPr>
          <w:rFonts w:ascii="Century Schoolbook" w:hAnsi="Century Schoolbook"/>
          <w:sz w:val="27"/>
        </w:rPr>
        <w:t xml:space="preserve">see </w:t>
      </w:r>
      <w:r w:rsidRPr="00C50388">
        <w:rPr>
          <w:rFonts w:ascii="Century Schoolbook" w:hAnsi="Century Schoolbook"/>
          <w:i/>
          <w:iCs/>
          <w:sz w:val="27"/>
          <w:szCs w:val="26"/>
        </w:rPr>
        <w:t>Griset v. Fair Political Practices Com.</w:t>
      </w:r>
      <w:r w:rsidRPr="00C50388">
        <w:rPr>
          <w:rFonts w:ascii="Century Schoolbook" w:hAnsi="Century Schoolbook"/>
          <w:sz w:val="27"/>
          <w:szCs w:val="26"/>
        </w:rPr>
        <w:t xml:space="preserve"> (2001) 25 Cal.4th 688, 69</w:t>
      </w:r>
      <w:r>
        <w:rPr>
          <w:rFonts w:ascii="Century Schoolbook" w:hAnsi="Century Schoolbook"/>
          <w:sz w:val="27"/>
          <w:szCs w:val="26"/>
        </w:rPr>
        <w:t>6</w:t>
      </w:r>
      <w:r w:rsidRPr="00C50388">
        <w:rPr>
          <w:rFonts w:ascii="Century Schoolbook" w:hAnsi="Century Schoolbook"/>
          <w:sz w:val="27"/>
          <w:szCs w:val="26"/>
        </w:rPr>
        <w:t xml:space="preserve"> (</w:t>
      </w:r>
      <w:r w:rsidRPr="00C50388">
        <w:rPr>
          <w:rFonts w:ascii="Century Schoolbook" w:hAnsi="Century Schoolbook"/>
          <w:i/>
          <w:iCs/>
          <w:sz w:val="27"/>
          <w:szCs w:val="26"/>
        </w:rPr>
        <w:t>Griset</w:t>
      </w:r>
      <w:r w:rsidRPr="00C50388">
        <w:rPr>
          <w:rFonts w:ascii="Century Schoolbook" w:hAnsi="Century Schoolbook"/>
          <w:sz w:val="27"/>
          <w:szCs w:val="26"/>
        </w:rPr>
        <w:t xml:space="preserve">) [whether a trial court’s order is appealable is </w:t>
      </w:r>
      <w:r w:rsidRPr="00C50388">
        <w:rPr>
          <w:rFonts w:ascii="Century Schoolbook" w:hAnsi="Century Schoolbook"/>
          <w:sz w:val="27"/>
          <w:szCs w:val="26"/>
        </w:rPr>
        <w:t>determined by statute].)  Although the Judicial Council, in the California Rules of Court, has prescribed procedural rules governing the appellate process, it “does not have power to” promulgate rules that “restrict the statutory right of appeal.”  (</w:t>
      </w:r>
      <w:r w:rsidRPr="00C50388">
        <w:rPr>
          <w:rFonts w:ascii="Century Schoolbook" w:hAnsi="Century Schoolbook"/>
          <w:i/>
          <w:iCs/>
          <w:sz w:val="27"/>
          <w:szCs w:val="26"/>
        </w:rPr>
        <w:t>In</w:t>
      </w:r>
      <w:r>
        <w:rPr>
          <w:rFonts w:ascii="Century Schoolbook" w:hAnsi="Century Schoolbook"/>
          <w:i/>
          <w:iCs/>
          <w:sz w:val="27"/>
          <w:szCs w:val="26"/>
        </w:rPr>
        <w:t xml:space="preserve"> </w:t>
      </w:r>
      <w:r w:rsidRPr="00C50388">
        <w:rPr>
          <w:rFonts w:ascii="Century Schoolbook" w:hAnsi="Century Schoolbook"/>
          <w:i/>
          <w:iCs/>
          <w:sz w:val="27"/>
          <w:szCs w:val="26"/>
        </w:rPr>
        <w:t xml:space="preserve">re </w:t>
      </w:r>
      <w:r w:rsidRPr="00C50388">
        <w:rPr>
          <w:rFonts w:ascii="Century Schoolbook" w:hAnsi="Century Schoolbook"/>
          <w:i/>
          <w:iCs/>
          <w:sz w:val="27"/>
          <w:szCs w:val="26"/>
        </w:rPr>
        <w:t>Aaron</w:t>
      </w:r>
      <w:r>
        <w:rPr>
          <w:rFonts w:ascii="Century Schoolbook" w:hAnsi="Century Schoolbook"/>
          <w:i/>
          <w:iCs/>
          <w:sz w:val="27"/>
          <w:szCs w:val="26"/>
        </w:rPr>
        <w:t xml:space="preserve"> </w:t>
      </w:r>
      <w:r w:rsidRPr="00C50388">
        <w:rPr>
          <w:rFonts w:ascii="Century Schoolbook" w:hAnsi="Century Schoolbook"/>
          <w:i/>
          <w:iCs/>
          <w:sz w:val="27"/>
          <w:szCs w:val="26"/>
        </w:rPr>
        <w:t xml:space="preserve">R. </w:t>
      </w:r>
      <w:r w:rsidRPr="00C50388">
        <w:rPr>
          <w:rFonts w:ascii="Century Schoolbook" w:hAnsi="Century Schoolbook"/>
          <w:sz w:val="27"/>
          <w:szCs w:val="26"/>
        </w:rPr>
        <w:t>(2005) 130 Cal.App.4th 697, 704.)  Consequently, a rule “construed to define a right of appeal more restrictive than the right of appeal afforded by” statute “would be ‘to that extent void.’ ”  (</w:t>
      </w:r>
      <w:r w:rsidRPr="00C50388">
        <w:rPr>
          <w:rFonts w:ascii="Century Schoolbook" w:hAnsi="Century Schoolbook"/>
          <w:i/>
          <w:iCs/>
          <w:sz w:val="27"/>
          <w:szCs w:val="26"/>
        </w:rPr>
        <w:t>Ibid</w:t>
      </w:r>
      <w:r w:rsidRPr="00C50388">
        <w:rPr>
          <w:rFonts w:ascii="Century Schoolbook" w:hAnsi="Century Schoolbook"/>
          <w:sz w:val="27"/>
          <w:szCs w:val="26"/>
        </w:rPr>
        <w:t>.)</w:t>
      </w:r>
    </w:p>
    <w:p w:rsidR="00187CD0" w:rsidRPr="00C50388" w:rsidP="00C47792">
      <w:pPr>
        <w:spacing w:after="100" w:line="400" w:lineRule="exact"/>
        <w:ind w:firstLine="720"/>
        <w:jc w:val="both"/>
        <w:rPr>
          <w:rFonts w:ascii="Century Schoolbook" w:hAnsi="Century Schoolbook"/>
          <w:sz w:val="27"/>
          <w:szCs w:val="26"/>
        </w:rPr>
      </w:pPr>
      <w:r w:rsidRPr="00C50388">
        <w:rPr>
          <w:rFonts w:ascii="Century Schoolbook" w:hAnsi="Century Schoolbook"/>
          <w:sz w:val="27"/>
          <w:szCs w:val="26"/>
        </w:rPr>
        <w:t>Reviewing courts likewise must remain true to</w:t>
      </w:r>
      <w:r w:rsidRPr="00C50388">
        <w:rPr>
          <w:rFonts w:ascii="Century Schoolbook" w:hAnsi="Century Schoolbook"/>
          <w:sz w:val="27"/>
          <w:szCs w:val="26"/>
        </w:rPr>
        <w:t xml:space="preserve"> statutes</w:t>
      </w:r>
      <w:r>
        <w:rPr>
          <w:rFonts w:ascii="Century Schoolbook" w:hAnsi="Century Schoolbook"/>
          <w:sz w:val="27"/>
          <w:szCs w:val="26"/>
        </w:rPr>
        <w:t>.</w:t>
      </w:r>
      <w:r w:rsidRPr="00C50388">
        <w:rPr>
          <w:rFonts w:ascii="Century Schoolbook" w:hAnsi="Century Schoolbook"/>
          <w:sz w:val="27"/>
          <w:szCs w:val="26"/>
        </w:rPr>
        <w:t xml:space="preserve"> “</w:t>
      </w:r>
      <w:r>
        <w:rPr>
          <w:rFonts w:ascii="Century Schoolbook" w:hAnsi="Century Schoolbook"/>
          <w:sz w:val="27"/>
          <w:szCs w:val="26"/>
        </w:rPr>
        <w:t>T</w:t>
      </w:r>
      <w:r w:rsidRPr="00C50388">
        <w:rPr>
          <w:rFonts w:ascii="Century Schoolbook" w:hAnsi="Century Schoolbook"/>
          <w:sz w:val="27"/>
          <w:szCs w:val="26"/>
        </w:rPr>
        <w:t>hough the rules governing appealability have common law roots,” courts “are not at liberty to modify those [common law] contours in ways at odds with the statutory language.”  (</w:t>
      </w:r>
      <w:r w:rsidRPr="00C50388">
        <w:rPr>
          <w:rFonts w:ascii="Century Schoolbook" w:hAnsi="Century Schoolbook"/>
          <w:i/>
          <w:iCs/>
          <w:sz w:val="27"/>
          <w:szCs w:val="26"/>
        </w:rPr>
        <w:t>Baycol</w:t>
      </w:r>
      <w:r w:rsidRPr="00C50388">
        <w:rPr>
          <w:rFonts w:ascii="Century Schoolbook" w:hAnsi="Century Schoolbook"/>
          <w:sz w:val="27"/>
          <w:szCs w:val="26"/>
        </w:rPr>
        <w:t xml:space="preserve">, </w:t>
      </w:r>
      <w:r w:rsidRPr="00C50388">
        <w:rPr>
          <w:rFonts w:ascii="Century Schoolbook" w:hAnsi="Century Schoolbook"/>
          <w:i/>
          <w:iCs/>
          <w:sz w:val="27"/>
          <w:szCs w:val="26"/>
        </w:rPr>
        <w:t>supra</w:t>
      </w:r>
      <w:r w:rsidRPr="00C50388">
        <w:rPr>
          <w:rFonts w:ascii="Century Schoolbook" w:hAnsi="Century Schoolbook"/>
          <w:sz w:val="27"/>
          <w:szCs w:val="26"/>
        </w:rPr>
        <w:t>, 51 Cal.4th at p.</w:t>
      </w:r>
      <w:r>
        <w:rPr>
          <w:rFonts w:ascii="Century Schoolbook" w:hAnsi="Century Schoolbook"/>
          <w:sz w:val="27"/>
          <w:szCs w:val="26"/>
        </w:rPr>
        <w:t xml:space="preserve"> 759, fn. 5</w:t>
      </w:r>
      <w:r w:rsidRPr="00C50388">
        <w:rPr>
          <w:rFonts w:ascii="Century Schoolbook" w:hAnsi="Century Schoolbook"/>
          <w:sz w:val="27"/>
          <w:szCs w:val="26"/>
        </w:rPr>
        <w:t>.)  “A reviewing court’s</w:t>
      </w:r>
      <w:r w:rsidRPr="00C50388">
        <w:rPr>
          <w:rFonts w:ascii="Century Schoolbook" w:hAnsi="Century Schoolbook"/>
          <w:sz w:val="27"/>
          <w:szCs w:val="26"/>
        </w:rPr>
        <w:t xml:space="preserve"> obligation to exercise the appellate jurisdiction with which it is vested, once that jurisdiction has been properly invoked, is established and not open to question.”  (</w:t>
      </w:r>
      <w:r w:rsidRPr="00C50388">
        <w:rPr>
          <w:rFonts w:ascii="Century Schoolbook" w:hAnsi="Century Schoolbook"/>
          <w:i/>
          <w:iCs/>
          <w:sz w:val="27"/>
          <w:szCs w:val="26"/>
        </w:rPr>
        <w:t>Leone v. Medical Board</w:t>
      </w:r>
      <w:r w:rsidRPr="00C50388">
        <w:rPr>
          <w:rFonts w:ascii="Century Schoolbook" w:hAnsi="Century Schoolbook"/>
          <w:sz w:val="27"/>
          <w:szCs w:val="26"/>
        </w:rPr>
        <w:t xml:space="preserve"> (2000) 22</w:t>
      </w:r>
      <w:r>
        <w:rPr>
          <w:rFonts w:ascii="Century Schoolbook" w:hAnsi="Century Schoolbook"/>
          <w:sz w:val="27"/>
          <w:szCs w:val="26"/>
        </w:rPr>
        <w:t xml:space="preserve"> </w:t>
      </w:r>
      <w:r w:rsidRPr="00C50388">
        <w:rPr>
          <w:rFonts w:ascii="Century Schoolbook" w:hAnsi="Century Schoolbook"/>
          <w:sz w:val="27"/>
          <w:szCs w:val="26"/>
        </w:rPr>
        <w:t>Cal.4th 660, 66</w:t>
      </w:r>
      <w:r>
        <w:rPr>
          <w:rFonts w:ascii="Century Schoolbook" w:hAnsi="Century Schoolbook"/>
          <w:sz w:val="27"/>
          <w:szCs w:val="26"/>
        </w:rPr>
        <w:t>9</w:t>
      </w:r>
      <w:r w:rsidRPr="00C50388">
        <w:rPr>
          <w:rFonts w:ascii="Century Schoolbook" w:hAnsi="Century Schoolbook"/>
          <w:sz w:val="27"/>
          <w:szCs w:val="26"/>
        </w:rPr>
        <w:t>.)  Similarly, an appellate court gen</w:t>
      </w:r>
      <w:r w:rsidRPr="00C50388">
        <w:rPr>
          <w:rFonts w:ascii="Century Schoolbook" w:hAnsi="Century Schoolbook"/>
          <w:sz w:val="27"/>
          <w:szCs w:val="26"/>
        </w:rPr>
        <w:t>erally lacks jurisdiction to decide an appeal from an order unless the order is one that is expressly made appealable by statute.  (</w:t>
      </w:r>
      <w:r w:rsidRPr="00C50388">
        <w:rPr>
          <w:rFonts w:ascii="Century Schoolbook" w:hAnsi="Century Schoolbook"/>
          <w:i/>
          <w:iCs/>
          <w:sz w:val="27"/>
          <w:szCs w:val="26"/>
        </w:rPr>
        <w:t>Griset</w:t>
      </w:r>
      <w:r w:rsidRPr="00C50388">
        <w:rPr>
          <w:rFonts w:ascii="Century Schoolbook" w:hAnsi="Century Schoolbook"/>
          <w:sz w:val="27"/>
          <w:szCs w:val="26"/>
        </w:rPr>
        <w:t xml:space="preserve">, </w:t>
      </w:r>
      <w:r w:rsidRPr="00C50388">
        <w:rPr>
          <w:rFonts w:ascii="Century Schoolbook" w:hAnsi="Century Schoolbook"/>
          <w:i/>
          <w:iCs/>
          <w:sz w:val="27"/>
          <w:szCs w:val="26"/>
        </w:rPr>
        <w:t>supra</w:t>
      </w:r>
      <w:r w:rsidRPr="00C50388">
        <w:rPr>
          <w:rFonts w:ascii="Century Schoolbook" w:hAnsi="Century Schoolbook"/>
          <w:sz w:val="27"/>
          <w:szCs w:val="26"/>
        </w:rPr>
        <w:t>, 25 Cal.4th at p.</w:t>
      </w:r>
      <w:r>
        <w:rPr>
          <w:rFonts w:ascii="Century Schoolbook" w:hAnsi="Century Schoolbook"/>
          <w:sz w:val="27"/>
          <w:szCs w:val="26"/>
        </w:rPr>
        <w:t xml:space="preserve"> </w:t>
      </w:r>
      <w:r w:rsidRPr="00C50388">
        <w:rPr>
          <w:rFonts w:ascii="Century Schoolbook" w:hAnsi="Century Schoolbook"/>
          <w:sz w:val="27"/>
          <w:szCs w:val="26"/>
        </w:rPr>
        <w:t xml:space="preserve">698; </w:t>
      </w:r>
      <w:r w:rsidRPr="00C50388">
        <w:rPr>
          <w:rFonts w:ascii="Century Schoolbook" w:hAnsi="Century Schoolbook"/>
          <w:i/>
          <w:iCs/>
          <w:sz w:val="27"/>
          <w:szCs w:val="26"/>
        </w:rPr>
        <w:t>Garau v. Torrance Unified School Dist.</w:t>
      </w:r>
      <w:r w:rsidRPr="00C50388">
        <w:rPr>
          <w:rFonts w:ascii="Century Schoolbook" w:hAnsi="Century Schoolbook"/>
          <w:sz w:val="27"/>
          <w:szCs w:val="26"/>
        </w:rPr>
        <w:t xml:space="preserve"> (2006) 137 Cal.App.4th 192, 198.)</w:t>
      </w:r>
    </w:p>
    <w:p w:rsidR="00187CD0" w:rsidRPr="00C50388" w:rsidP="00C47792">
      <w:pPr>
        <w:spacing w:after="100" w:line="400" w:lineRule="exact"/>
        <w:ind w:firstLine="720"/>
        <w:jc w:val="both"/>
        <w:rPr>
          <w:rFonts w:ascii="Century Schoolbook" w:hAnsi="Century Schoolbook"/>
          <w:sz w:val="27"/>
          <w:szCs w:val="26"/>
        </w:rPr>
      </w:pPr>
      <w:r w:rsidRPr="00C50388">
        <w:rPr>
          <w:rFonts w:ascii="Century Schoolbook" w:hAnsi="Century Schoolbook"/>
          <w:sz w:val="27"/>
          <w:szCs w:val="26"/>
        </w:rPr>
        <w:t>Section 904.1,</w:t>
      </w:r>
      <w:r w:rsidRPr="00C50388">
        <w:rPr>
          <w:rFonts w:ascii="Century Schoolbook" w:hAnsi="Century Schoolbook"/>
          <w:sz w:val="27"/>
          <w:szCs w:val="26"/>
        </w:rPr>
        <w:t xml:space="preserve"> which provides a list of appealable judgments and orders, permits an appeal in any unlimited civil action</w:t>
      </w:r>
      <w:r>
        <w:rPr>
          <w:rStyle w:val="FootnoteReference"/>
          <w:szCs w:val="26"/>
          <w:vertAlign w:val="superscript"/>
        </w:rPr>
        <w:footnoteReference w:id="9"/>
      </w:r>
      <w:r w:rsidRPr="00C50388">
        <w:rPr>
          <w:rFonts w:ascii="Century Schoolbook" w:hAnsi="Century Schoolbook"/>
          <w:sz w:val="27"/>
        </w:rPr>
        <w:t xml:space="preserve"> </w:t>
      </w:r>
      <w:r w:rsidRPr="00C50388">
        <w:rPr>
          <w:rFonts w:ascii="Century Schoolbook" w:hAnsi="Century Schoolbook"/>
          <w:sz w:val="27"/>
          <w:szCs w:val="26"/>
        </w:rPr>
        <w:t>to be taken from any of 14 enumerated filings.  The first such filing, with exceptions not relevant here, is “a judgment, except an interlocutory j</w:t>
      </w:r>
      <w:r w:rsidRPr="00C50388">
        <w:rPr>
          <w:rFonts w:ascii="Century Schoolbook" w:hAnsi="Century Schoolbook"/>
          <w:sz w:val="27"/>
          <w:szCs w:val="26"/>
        </w:rPr>
        <w:t>udgment.”  (</w:t>
      </w:r>
      <w:r>
        <w:rPr>
          <w:rFonts w:ascii="Century Schoolbook" w:hAnsi="Century Schoolbook"/>
          <w:sz w:val="27"/>
          <w:szCs w:val="26"/>
        </w:rPr>
        <w:t>§ </w:t>
      </w:r>
      <w:r w:rsidRPr="00C50388">
        <w:rPr>
          <w:rFonts w:ascii="Century Schoolbook" w:hAnsi="Century Schoolbook"/>
          <w:sz w:val="27"/>
          <w:szCs w:val="26"/>
        </w:rPr>
        <w:t>904.1, subd. (a)(1).)  This means an appeal must be taken “from a judgment that is not intermediate or nonfinal but is the one final judgment.”  (</w:t>
      </w:r>
      <w:r w:rsidRPr="00C50388">
        <w:rPr>
          <w:rFonts w:ascii="Century Schoolbook" w:hAnsi="Century Schoolbook"/>
          <w:i/>
          <w:iCs/>
          <w:sz w:val="27"/>
          <w:szCs w:val="26"/>
        </w:rPr>
        <w:t>Morehart v. County of Santra Barbara</w:t>
      </w:r>
      <w:r w:rsidRPr="00C50388">
        <w:rPr>
          <w:rFonts w:ascii="Century Schoolbook" w:hAnsi="Century Schoolbook"/>
          <w:sz w:val="27"/>
          <w:szCs w:val="26"/>
        </w:rPr>
        <w:t xml:space="preserve"> (1994) 7 Cal.4th 725, 741 (</w:t>
      </w:r>
      <w:r w:rsidRPr="00C50388">
        <w:rPr>
          <w:rFonts w:ascii="Century Schoolbook" w:hAnsi="Century Schoolbook"/>
          <w:i/>
          <w:iCs/>
          <w:sz w:val="27"/>
          <w:szCs w:val="26"/>
        </w:rPr>
        <w:t>Morehart</w:t>
      </w:r>
      <w:r w:rsidRPr="00C50388">
        <w:rPr>
          <w:rFonts w:ascii="Century Schoolbook" w:hAnsi="Century Schoolbook"/>
          <w:sz w:val="27"/>
          <w:szCs w:val="26"/>
        </w:rPr>
        <w:t xml:space="preserve">); </w:t>
      </w:r>
      <w:r w:rsidRPr="00C50388">
        <w:rPr>
          <w:rFonts w:ascii="Century Schoolbook" w:hAnsi="Century Schoolbook"/>
          <w:i/>
          <w:iCs/>
          <w:sz w:val="27"/>
          <w:szCs w:val="26"/>
        </w:rPr>
        <w:t xml:space="preserve">Dhillon v. John Muir </w:t>
      </w:r>
      <w:r w:rsidRPr="00C50388">
        <w:rPr>
          <w:rFonts w:ascii="Century Schoolbook" w:hAnsi="Century Schoolbook"/>
          <w:i/>
          <w:iCs/>
          <w:sz w:val="27"/>
          <w:szCs w:val="26"/>
        </w:rPr>
        <w:t>Health</w:t>
      </w:r>
      <w:r w:rsidRPr="00C50388">
        <w:rPr>
          <w:rFonts w:ascii="Century Schoolbook" w:hAnsi="Century Schoolbook"/>
          <w:sz w:val="27"/>
          <w:szCs w:val="26"/>
        </w:rPr>
        <w:t xml:space="preserve"> (2017) 2 Cal.5th 1111, 1112 (</w:t>
      </w:r>
      <w:r w:rsidRPr="00C50388">
        <w:rPr>
          <w:rFonts w:ascii="Century Schoolbook" w:hAnsi="Century Schoolbook"/>
          <w:i/>
          <w:iCs/>
          <w:sz w:val="27"/>
          <w:szCs w:val="26"/>
        </w:rPr>
        <w:t>Dhillon</w:t>
      </w:r>
      <w:r w:rsidRPr="00C50388">
        <w:rPr>
          <w:rFonts w:ascii="Century Schoolbook" w:hAnsi="Century Schoolbook"/>
          <w:sz w:val="27"/>
          <w:szCs w:val="26"/>
        </w:rPr>
        <w:t xml:space="preserve">) [“As a general rule, a litigant may appeal an adverse ruling only after the trial court renders a final judgment”].)  This “one </w:t>
      </w:r>
      <w:r>
        <w:rPr>
          <w:rFonts w:ascii="Century Schoolbook" w:hAnsi="Century Schoolbook"/>
          <w:sz w:val="27"/>
          <w:szCs w:val="26"/>
        </w:rPr>
        <w:t xml:space="preserve">final </w:t>
      </w:r>
      <w:r w:rsidRPr="00C50388">
        <w:rPr>
          <w:rFonts w:ascii="Century Schoolbook" w:hAnsi="Century Schoolbook"/>
          <w:sz w:val="27"/>
          <w:szCs w:val="26"/>
        </w:rPr>
        <w:t xml:space="preserve">judgment rule is </w:t>
      </w:r>
      <w:r>
        <w:rPr>
          <w:rFonts w:ascii="Century Schoolbook" w:hAnsi="Century Schoolbook"/>
          <w:sz w:val="27"/>
          <w:szCs w:val="26"/>
        </w:rPr>
        <w:t>‘</w:t>
      </w:r>
      <w:r w:rsidRPr="00C50388">
        <w:rPr>
          <w:rFonts w:ascii="Century Schoolbook" w:hAnsi="Century Schoolbook"/>
          <w:sz w:val="27"/>
          <w:szCs w:val="26"/>
        </w:rPr>
        <w:t>a fundamental principle of appellate practice</w:t>
      </w:r>
      <w:r>
        <w:rPr>
          <w:rFonts w:ascii="Century Schoolbook" w:hAnsi="Century Schoolbook"/>
          <w:sz w:val="27"/>
          <w:szCs w:val="26"/>
        </w:rPr>
        <w:t>’ </w:t>
      </w:r>
      <w:r w:rsidRPr="00C50388">
        <w:rPr>
          <w:rFonts w:ascii="Century Schoolbook" w:hAnsi="Century Schoolbook"/>
          <w:sz w:val="27"/>
          <w:szCs w:val="26"/>
        </w:rPr>
        <w:t>” (</w:t>
      </w:r>
      <w:r w:rsidRPr="00C50388">
        <w:rPr>
          <w:rFonts w:ascii="Century Schoolbook" w:hAnsi="Century Schoolbook"/>
          <w:i/>
          <w:iCs/>
          <w:sz w:val="27"/>
          <w:szCs w:val="26"/>
        </w:rPr>
        <w:t>Baycol</w:t>
      </w:r>
      <w:r w:rsidRPr="00C50388">
        <w:rPr>
          <w:rFonts w:ascii="Century Schoolbook" w:hAnsi="Century Schoolbook"/>
          <w:sz w:val="27"/>
          <w:szCs w:val="26"/>
        </w:rPr>
        <w:t xml:space="preserve">, </w:t>
      </w:r>
      <w:r w:rsidRPr="00C50388">
        <w:rPr>
          <w:rFonts w:ascii="Century Schoolbook" w:hAnsi="Century Schoolbook"/>
          <w:i/>
          <w:iCs/>
          <w:sz w:val="27"/>
          <w:szCs w:val="26"/>
        </w:rPr>
        <w:t>supra,</w:t>
      </w:r>
      <w:r w:rsidRPr="00C50388">
        <w:rPr>
          <w:rFonts w:ascii="Century Schoolbook" w:hAnsi="Century Schoolbook"/>
          <w:sz w:val="27"/>
          <w:szCs w:val="26"/>
        </w:rPr>
        <w:t xml:space="preserve"> 51</w:t>
      </w:r>
      <w:r>
        <w:rPr>
          <w:rFonts w:ascii="Century Schoolbook" w:hAnsi="Century Schoolbook"/>
          <w:sz w:val="27"/>
          <w:szCs w:val="26"/>
        </w:rPr>
        <w:t xml:space="preserve"> </w:t>
      </w:r>
      <w:r w:rsidRPr="00C50388">
        <w:rPr>
          <w:rFonts w:ascii="Century Schoolbook" w:hAnsi="Century Schoolbook"/>
          <w:sz w:val="27"/>
          <w:szCs w:val="26"/>
        </w:rPr>
        <w:t>Cal.4th at p. 756), the purpose of which is to prevent “ ‘piecemeal disposition and multiple appeals’</w:t>
      </w:r>
      <w:r>
        <w:rPr>
          <w:rFonts w:ascii="Century Schoolbook" w:hAnsi="Century Schoolbook"/>
          <w:sz w:val="27"/>
          <w:szCs w:val="26"/>
        </w:rPr>
        <w:t> </w:t>
      </w:r>
      <w:r w:rsidRPr="00C50388">
        <w:rPr>
          <w:rFonts w:ascii="Century Schoolbook" w:hAnsi="Century Schoolbook"/>
          <w:sz w:val="27"/>
          <w:szCs w:val="26"/>
        </w:rPr>
        <w:t>” that “</w:t>
      </w:r>
      <w:r>
        <w:rPr>
          <w:rFonts w:ascii="Century Schoolbook" w:hAnsi="Century Schoolbook"/>
          <w:sz w:val="27"/>
          <w:szCs w:val="26"/>
        </w:rPr>
        <w:t> </w:t>
      </w:r>
      <w:r w:rsidRPr="00C50388">
        <w:rPr>
          <w:rFonts w:ascii="Century Schoolbook" w:hAnsi="Century Schoolbook"/>
          <w:sz w:val="27"/>
          <w:szCs w:val="26"/>
        </w:rPr>
        <w:t>‘tend to be oppressive and costly’ ” (</w:t>
      </w:r>
      <w:r w:rsidRPr="00C50388">
        <w:rPr>
          <w:rFonts w:ascii="Century Schoolbook" w:hAnsi="Century Schoolbook"/>
          <w:i/>
          <w:iCs/>
          <w:sz w:val="27"/>
          <w:szCs w:val="26"/>
        </w:rPr>
        <w:t>Morehart</w:t>
      </w:r>
      <w:r w:rsidRPr="00C50388">
        <w:rPr>
          <w:rFonts w:ascii="Century Schoolbook" w:hAnsi="Century Schoolbook"/>
          <w:sz w:val="27"/>
          <w:szCs w:val="26"/>
        </w:rPr>
        <w:t xml:space="preserve">, </w:t>
      </w:r>
      <w:r w:rsidRPr="00C50388">
        <w:rPr>
          <w:rFonts w:ascii="Century Schoolbook" w:hAnsi="Century Schoolbook"/>
          <w:i/>
          <w:iCs/>
          <w:sz w:val="27"/>
          <w:szCs w:val="26"/>
        </w:rPr>
        <w:t>supra</w:t>
      </w:r>
      <w:r w:rsidRPr="00C50388">
        <w:rPr>
          <w:rFonts w:ascii="Century Schoolbook" w:hAnsi="Century Schoolbook"/>
          <w:sz w:val="27"/>
          <w:szCs w:val="26"/>
        </w:rPr>
        <w:t>, 7 Cal.4th at p.</w:t>
      </w:r>
      <w:r>
        <w:rPr>
          <w:rFonts w:ascii="Century Schoolbook" w:hAnsi="Century Schoolbook"/>
          <w:sz w:val="27"/>
          <w:szCs w:val="26"/>
        </w:rPr>
        <w:t xml:space="preserve"> </w:t>
      </w:r>
      <w:r w:rsidRPr="00C50388">
        <w:rPr>
          <w:rFonts w:ascii="Century Schoolbook" w:hAnsi="Century Schoolbook"/>
          <w:sz w:val="27"/>
          <w:szCs w:val="26"/>
        </w:rPr>
        <w:t>741, fn.</w:t>
      </w:r>
      <w:r>
        <w:rPr>
          <w:rFonts w:ascii="Century Schoolbook" w:hAnsi="Century Schoolbook"/>
          <w:sz w:val="27"/>
          <w:szCs w:val="26"/>
        </w:rPr>
        <w:t xml:space="preserve"> </w:t>
      </w:r>
      <w:r w:rsidRPr="00C50388">
        <w:rPr>
          <w:rFonts w:ascii="Century Schoolbook" w:hAnsi="Century Schoolbook"/>
          <w:sz w:val="27"/>
          <w:szCs w:val="26"/>
        </w:rPr>
        <w:t xml:space="preserve">9).  Section 904.1 also lists several “orders” </w:t>
      </w:r>
      <w:r w:rsidRPr="00C50388">
        <w:rPr>
          <w:rFonts w:ascii="Century Schoolbook" w:hAnsi="Century Schoolbook"/>
          <w:sz w:val="27"/>
          <w:szCs w:val="26"/>
        </w:rPr>
        <w:t>that are appealable, including an order appointing a receiver (subd. (a)(7)), an order for sanctions of more than $5,000 (subd. (12)), and an order granting or denying a special motion to strike under section 425.16 (subd. (13)).  Section 904.1 is suppleme</w:t>
      </w:r>
      <w:r w:rsidRPr="00C50388">
        <w:rPr>
          <w:rFonts w:ascii="Century Schoolbook" w:hAnsi="Century Schoolbook"/>
          <w:sz w:val="27"/>
          <w:szCs w:val="26"/>
        </w:rPr>
        <w:t>nted by other statutes that create rights to appeal specific orders, such as section 1294, which makes appealable an order dismissing or denying a petition to compel arbitration.</w:t>
      </w:r>
    </w:p>
    <w:p w:rsidR="00187CD0" w:rsidRPr="00C50388" w:rsidP="00C47792">
      <w:pPr>
        <w:spacing w:after="100" w:line="400" w:lineRule="exact"/>
        <w:ind w:firstLine="720"/>
        <w:jc w:val="both"/>
        <w:rPr>
          <w:rFonts w:ascii="Century Schoolbook" w:hAnsi="Century Schoolbook"/>
          <w:sz w:val="27"/>
          <w:szCs w:val="26"/>
        </w:rPr>
      </w:pPr>
      <w:r w:rsidRPr="00C50388">
        <w:rPr>
          <w:rFonts w:ascii="Century Schoolbook" w:hAnsi="Century Schoolbook"/>
          <w:sz w:val="27"/>
          <w:szCs w:val="26"/>
        </w:rPr>
        <w:t>Many “orders” are not statutorily appealable</w:t>
      </w:r>
      <w:r>
        <w:rPr>
          <w:rFonts w:ascii="Century Schoolbook" w:hAnsi="Century Schoolbook"/>
          <w:sz w:val="27"/>
          <w:szCs w:val="26"/>
        </w:rPr>
        <w:t>,</w:t>
      </w:r>
      <w:r w:rsidRPr="00C50388">
        <w:rPr>
          <w:rFonts w:ascii="Century Schoolbook" w:hAnsi="Century Schoolbook"/>
          <w:sz w:val="27"/>
          <w:szCs w:val="26"/>
        </w:rPr>
        <w:t xml:space="preserve"> and an appeal must therefore be taken from a “judgment” before the trial court’s decision may be reviewed</w:t>
      </w:r>
      <w:r>
        <w:rPr>
          <w:rFonts w:ascii="Century Schoolbook" w:hAnsi="Century Schoolbook"/>
          <w:sz w:val="27"/>
          <w:szCs w:val="26"/>
        </w:rPr>
        <w:t xml:space="preserve">. </w:t>
      </w:r>
      <w:r w:rsidRPr="00C50388">
        <w:rPr>
          <w:rFonts w:ascii="Century Schoolbook" w:hAnsi="Century Schoolbook"/>
          <w:sz w:val="27"/>
          <w:szCs w:val="26"/>
        </w:rPr>
        <w:t xml:space="preserve"> </w:t>
      </w:r>
      <w:r>
        <w:rPr>
          <w:rFonts w:ascii="Century Schoolbook" w:hAnsi="Century Schoolbook"/>
          <w:sz w:val="27"/>
          <w:szCs w:val="26"/>
        </w:rPr>
        <w:t xml:space="preserve">This </w:t>
      </w:r>
      <w:r w:rsidRPr="00C50388">
        <w:rPr>
          <w:rFonts w:ascii="Century Schoolbook" w:hAnsi="Century Schoolbook"/>
          <w:sz w:val="27"/>
          <w:szCs w:val="26"/>
        </w:rPr>
        <w:t>includ</w:t>
      </w:r>
      <w:r>
        <w:rPr>
          <w:rFonts w:ascii="Century Schoolbook" w:hAnsi="Century Schoolbook"/>
          <w:sz w:val="27"/>
          <w:szCs w:val="26"/>
        </w:rPr>
        <w:t>es</w:t>
      </w:r>
      <w:r w:rsidRPr="00C50388">
        <w:rPr>
          <w:rFonts w:ascii="Century Schoolbook" w:hAnsi="Century Schoolbook"/>
          <w:sz w:val="27"/>
          <w:szCs w:val="26"/>
        </w:rPr>
        <w:t xml:space="preserve"> orders granting judgment on the pleadings (</w:t>
      </w:r>
      <w:r w:rsidRPr="00C50388">
        <w:rPr>
          <w:rFonts w:ascii="Century Schoolbook" w:hAnsi="Century Schoolbook"/>
          <w:i/>
          <w:iCs/>
          <w:sz w:val="27"/>
          <w:szCs w:val="26"/>
        </w:rPr>
        <w:t>Varjabedian v. City of Madera</w:t>
      </w:r>
      <w:r w:rsidRPr="00C50388">
        <w:rPr>
          <w:rFonts w:ascii="Century Schoolbook" w:hAnsi="Century Schoolbook"/>
          <w:sz w:val="27"/>
          <w:szCs w:val="26"/>
        </w:rPr>
        <w:t xml:space="preserve"> (1977) 20 Cal.3d 285, 289, fn.</w:t>
      </w:r>
      <w:r>
        <w:rPr>
          <w:rFonts w:ascii="Century Schoolbook" w:hAnsi="Century Schoolbook"/>
          <w:sz w:val="27"/>
          <w:szCs w:val="26"/>
        </w:rPr>
        <w:t xml:space="preserve"> </w:t>
      </w:r>
      <w:r w:rsidRPr="00C50388">
        <w:rPr>
          <w:rFonts w:ascii="Century Schoolbook" w:hAnsi="Century Schoolbook"/>
          <w:sz w:val="27"/>
          <w:szCs w:val="26"/>
        </w:rPr>
        <w:t>1), orders denying motions fo</w:t>
      </w:r>
      <w:r w:rsidRPr="00C50388">
        <w:rPr>
          <w:rFonts w:ascii="Century Schoolbook" w:hAnsi="Century Schoolbook"/>
          <w:sz w:val="27"/>
          <w:szCs w:val="26"/>
        </w:rPr>
        <w:t>r a new trial (</w:t>
      </w:r>
      <w:r w:rsidRPr="00C50388">
        <w:rPr>
          <w:rFonts w:ascii="Century Schoolbook" w:hAnsi="Century Schoolbook"/>
          <w:i/>
          <w:iCs/>
          <w:sz w:val="27"/>
          <w:szCs w:val="26"/>
        </w:rPr>
        <w:t xml:space="preserve">Walker v. Los Angeles County Metropolitan Transportation Authority </w:t>
      </w:r>
      <w:r w:rsidRPr="00C50388">
        <w:rPr>
          <w:rFonts w:ascii="Century Schoolbook" w:hAnsi="Century Schoolbook"/>
          <w:sz w:val="27"/>
          <w:szCs w:val="26"/>
        </w:rPr>
        <w:t>(2005) 35 Cal.4th 15, 19), and orders sustaining demurrers without leave to amend (</w:t>
      </w:r>
      <w:r w:rsidRPr="00C50388">
        <w:rPr>
          <w:rFonts w:ascii="Century Schoolbook" w:hAnsi="Century Schoolbook"/>
          <w:i/>
          <w:iCs/>
          <w:sz w:val="27"/>
          <w:szCs w:val="26"/>
        </w:rPr>
        <w:t>Berri v. Superior Court</w:t>
      </w:r>
      <w:r w:rsidRPr="00C50388">
        <w:rPr>
          <w:rFonts w:ascii="Century Schoolbook" w:hAnsi="Century Schoolbook"/>
          <w:sz w:val="27"/>
          <w:szCs w:val="26"/>
        </w:rPr>
        <w:t xml:space="preserve"> (1955) 43 Cal.2d 856, 860)</w:t>
      </w:r>
      <w:r>
        <w:rPr>
          <w:rFonts w:ascii="Century Schoolbook" w:hAnsi="Century Schoolbook"/>
          <w:sz w:val="27"/>
          <w:szCs w:val="26"/>
        </w:rPr>
        <w:t xml:space="preserve"> (</w:t>
      </w:r>
      <w:r>
        <w:rPr>
          <w:rFonts w:ascii="Century Schoolbook" w:hAnsi="Century Schoolbook"/>
          <w:i/>
          <w:iCs/>
          <w:sz w:val="27"/>
          <w:szCs w:val="26"/>
        </w:rPr>
        <w:t>Berri</w:t>
      </w:r>
      <w:r>
        <w:rPr>
          <w:rFonts w:ascii="Century Schoolbook" w:hAnsi="Century Schoolbook"/>
          <w:sz w:val="27"/>
          <w:szCs w:val="26"/>
        </w:rPr>
        <w:t>)</w:t>
      </w:r>
      <w:r w:rsidRPr="00C50388">
        <w:rPr>
          <w:rFonts w:ascii="Century Schoolbook" w:hAnsi="Century Schoolbook"/>
          <w:sz w:val="27"/>
          <w:szCs w:val="26"/>
        </w:rPr>
        <w:t xml:space="preserve">. </w:t>
      </w:r>
    </w:p>
    <w:p w:rsidR="00187CD0" w:rsidRPr="00C50388" w:rsidP="00C47792">
      <w:pPr>
        <w:spacing w:after="100" w:line="400" w:lineRule="exact"/>
        <w:ind w:firstLine="720"/>
        <w:jc w:val="both"/>
        <w:rPr>
          <w:rFonts w:ascii="Century Schoolbook" w:hAnsi="Century Schoolbook"/>
          <w:sz w:val="27"/>
          <w:szCs w:val="26"/>
        </w:rPr>
      </w:pPr>
      <w:r w:rsidRPr="00C50388">
        <w:rPr>
          <w:rFonts w:ascii="Century Schoolbook" w:hAnsi="Century Schoolbook"/>
          <w:sz w:val="27"/>
          <w:szCs w:val="26"/>
        </w:rPr>
        <w:t>An order granting or denying a</w:t>
      </w:r>
      <w:r w:rsidRPr="00C50388">
        <w:rPr>
          <w:rFonts w:ascii="Century Schoolbook" w:hAnsi="Century Schoolbook"/>
          <w:sz w:val="27"/>
          <w:szCs w:val="26"/>
        </w:rPr>
        <w:t xml:space="preserve"> petition for writ of administrative mandate is also not enumerated in section 904.1 as an appealable order.  Nor does any other statute expressly make such an order appealable.  Indeed, the language of section 1094.5 is consistent with the view that entry</w:t>
      </w:r>
      <w:r w:rsidRPr="00C50388">
        <w:rPr>
          <w:rFonts w:ascii="Century Schoolbook" w:hAnsi="Century Schoolbook"/>
          <w:sz w:val="27"/>
          <w:szCs w:val="26"/>
        </w:rPr>
        <w:t xml:space="preserve"> of a “judgment” is contemplated in administrative mandate proceedings.  Section</w:t>
      </w:r>
      <w:r>
        <w:rPr>
          <w:rFonts w:ascii="Century Schoolbook" w:hAnsi="Century Schoolbook"/>
          <w:sz w:val="27"/>
          <w:szCs w:val="26"/>
        </w:rPr>
        <w:t xml:space="preserve"> </w:t>
      </w:r>
      <w:r w:rsidRPr="00C50388">
        <w:rPr>
          <w:rFonts w:ascii="Century Schoolbook" w:hAnsi="Century Schoolbook"/>
          <w:sz w:val="27"/>
          <w:szCs w:val="26"/>
        </w:rPr>
        <w:t>1094.5, subdivision (f), provides</w:t>
      </w:r>
      <w:r>
        <w:rPr>
          <w:rFonts w:ascii="Century Schoolbook" w:hAnsi="Century Schoolbook"/>
          <w:sz w:val="27"/>
          <w:szCs w:val="26"/>
        </w:rPr>
        <w:t>, first,</w:t>
      </w:r>
      <w:r w:rsidRPr="00C50388">
        <w:rPr>
          <w:rFonts w:ascii="Century Schoolbook" w:hAnsi="Century Schoolbook"/>
          <w:sz w:val="27"/>
          <w:szCs w:val="26"/>
        </w:rPr>
        <w:t xml:space="preserve"> that the “</w:t>
      </w:r>
      <w:r w:rsidRPr="00C50388">
        <w:rPr>
          <w:rFonts w:ascii="Century Schoolbook" w:hAnsi="Century Schoolbook"/>
          <w:i/>
          <w:iCs/>
          <w:sz w:val="27"/>
          <w:szCs w:val="26"/>
        </w:rPr>
        <w:t>court shall enter judgment</w:t>
      </w:r>
      <w:r w:rsidRPr="00C50388">
        <w:rPr>
          <w:rFonts w:ascii="Century Schoolbook" w:hAnsi="Century Schoolbook"/>
          <w:sz w:val="27"/>
          <w:szCs w:val="26"/>
        </w:rPr>
        <w:t xml:space="preserve">” (italics added) in administrative mandate proceedings, and then </w:t>
      </w:r>
      <w:r>
        <w:rPr>
          <w:rFonts w:ascii="Century Schoolbook" w:hAnsi="Century Schoolbook"/>
          <w:sz w:val="27"/>
          <w:szCs w:val="26"/>
        </w:rPr>
        <w:t xml:space="preserve">it </w:t>
      </w:r>
      <w:r w:rsidRPr="00C50388">
        <w:rPr>
          <w:rFonts w:ascii="Century Schoolbook" w:hAnsi="Century Schoolbook"/>
          <w:sz w:val="27"/>
          <w:szCs w:val="26"/>
        </w:rPr>
        <w:t xml:space="preserve">describes the procedure for </w:t>
      </w:r>
      <w:r w:rsidRPr="00C50388">
        <w:rPr>
          <w:rFonts w:ascii="Century Schoolbook" w:hAnsi="Century Schoolbook"/>
          <w:sz w:val="27"/>
          <w:szCs w:val="26"/>
        </w:rPr>
        <w:t>doing so as follows:  “The court shall enter judgment either commanding respondent to set aside the order or decision, or denying the writ.  Where the judgment commands that the order or decision be set aside, it may order the reconsideration of the case i</w:t>
      </w:r>
      <w:r w:rsidRPr="00C50388">
        <w:rPr>
          <w:rFonts w:ascii="Century Schoolbook" w:hAnsi="Century Schoolbook"/>
          <w:sz w:val="27"/>
          <w:szCs w:val="26"/>
        </w:rPr>
        <w:t>n light of the court’s opinion and judgment and may order respondent to take such further action as is specially enjoined upon it by law, but the judgment shall not limit or control in any way the discretion legally vested in the respondent.”  In outlining</w:t>
      </w:r>
      <w:r w:rsidRPr="00C50388">
        <w:rPr>
          <w:rFonts w:ascii="Century Schoolbook" w:hAnsi="Century Schoolbook"/>
          <w:sz w:val="27"/>
          <w:szCs w:val="26"/>
        </w:rPr>
        <w:t xml:space="preserve"> the law governing the issuance of stays of administrative orders, subdivision (g) </w:t>
      </w:r>
      <w:r>
        <w:rPr>
          <w:rFonts w:ascii="Century Schoolbook" w:hAnsi="Century Schoolbook"/>
          <w:sz w:val="27"/>
          <w:szCs w:val="26"/>
        </w:rPr>
        <w:t xml:space="preserve">of section 1094.5 </w:t>
      </w:r>
      <w:r w:rsidRPr="00C50388">
        <w:rPr>
          <w:rFonts w:ascii="Century Schoolbook" w:hAnsi="Century Schoolbook"/>
          <w:sz w:val="27"/>
          <w:szCs w:val="26"/>
        </w:rPr>
        <w:t>refers to the taking of a “</w:t>
      </w:r>
      <w:r w:rsidRPr="00C50388">
        <w:rPr>
          <w:rFonts w:ascii="Century Schoolbook" w:hAnsi="Century Schoolbook"/>
          <w:i/>
          <w:iCs/>
          <w:sz w:val="27"/>
          <w:szCs w:val="26"/>
        </w:rPr>
        <w:t>notice of appeal from the judgment</w:t>
      </w:r>
      <w:r w:rsidRPr="00C50388">
        <w:rPr>
          <w:rFonts w:ascii="Century Schoolbook" w:hAnsi="Century Schoolbook"/>
          <w:sz w:val="27"/>
          <w:szCs w:val="26"/>
        </w:rPr>
        <w:t>” (italics added):  “[T]he court in which proceedings under this section are instituted may st</w:t>
      </w:r>
      <w:r w:rsidRPr="00C50388">
        <w:rPr>
          <w:rFonts w:ascii="Century Schoolbook" w:hAnsi="Century Schoolbook"/>
          <w:sz w:val="27"/>
          <w:szCs w:val="26"/>
        </w:rPr>
        <w:t>ay the operation of the administrative order or decision pending the judgment of the court, or until the filing of a notice of appeal from the judgment or until the expiration of the time for filing the notice, whichever occurs first.”  Subdivision (h)(1)</w:t>
      </w:r>
      <w:r>
        <w:rPr>
          <w:rFonts w:ascii="Century Schoolbook" w:hAnsi="Century Schoolbook"/>
          <w:sz w:val="27"/>
          <w:szCs w:val="26"/>
        </w:rPr>
        <w:t xml:space="preserve"> </w:t>
      </w:r>
      <w:r>
        <w:rPr>
          <w:rFonts w:ascii="Century Schoolbook" w:hAnsi="Century Schoolbook"/>
          <w:sz w:val="27"/>
          <w:szCs w:val="26"/>
        </w:rPr>
        <w:t>of section 1094.5</w:t>
      </w:r>
      <w:r w:rsidRPr="00C50388">
        <w:rPr>
          <w:rFonts w:ascii="Century Schoolbook" w:hAnsi="Century Schoolbook"/>
          <w:sz w:val="27"/>
          <w:szCs w:val="26"/>
        </w:rPr>
        <w:t>, which sets forth other rules relating to stays, also contemplates that the notice of appeal will be “from the judgment.”</w:t>
      </w:r>
    </w:p>
    <w:p w:rsidR="00187CD0" w:rsidRPr="00C50388" w:rsidP="00C47792">
      <w:pPr>
        <w:spacing w:after="100" w:line="400" w:lineRule="exact"/>
        <w:ind w:firstLine="720"/>
        <w:jc w:val="both"/>
        <w:rPr>
          <w:rFonts w:ascii="Century Schoolbook" w:hAnsi="Century Schoolbook"/>
          <w:sz w:val="27"/>
          <w:szCs w:val="26"/>
        </w:rPr>
      </w:pPr>
      <w:r w:rsidRPr="00C50388">
        <w:rPr>
          <w:rFonts w:ascii="Century Schoolbook" w:hAnsi="Century Schoolbook"/>
          <w:sz w:val="27"/>
          <w:szCs w:val="26"/>
        </w:rPr>
        <w:t xml:space="preserve">Section 1064, which applies to </w:t>
      </w:r>
      <w:r>
        <w:rPr>
          <w:rFonts w:ascii="Century Schoolbook" w:hAnsi="Century Schoolbook"/>
          <w:sz w:val="27"/>
          <w:szCs w:val="26"/>
        </w:rPr>
        <w:t>“</w:t>
      </w:r>
      <w:r w:rsidRPr="00C50388">
        <w:rPr>
          <w:rFonts w:ascii="Century Schoolbook" w:hAnsi="Century Schoolbook"/>
          <w:sz w:val="27"/>
          <w:szCs w:val="26"/>
        </w:rPr>
        <w:t>special proceeding</w:t>
      </w:r>
      <w:r>
        <w:rPr>
          <w:rFonts w:ascii="Century Schoolbook" w:hAnsi="Century Schoolbook"/>
          <w:sz w:val="27"/>
          <w:szCs w:val="26"/>
        </w:rPr>
        <w:t>[</w:t>
      </w:r>
      <w:r w:rsidRPr="00C50388">
        <w:rPr>
          <w:rFonts w:ascii="Century Schoolbook" w:hAnsi="Century Schoolbook"/>
          <w:sz w:val="27"/>
          <w:szCs w:val="26"/>
        </w:rPr>
        <w:t>s</w:t>
      </w:r>
      <w:r>
        <w:rPr>
          <w:rFonts w:ascii="Century Schoolbook" w:hAnsi="Century Schoolbook"/>
          <w:sz w:val="27"/>
          <w:szCs w:val="26"/>
        </w:rPr>
        <w:t>]”</w:t>
      </w:r>
      <w:r w:rsidRPr="00C50388">
        <w:rPr>
          <w:rFonts w:ascii="Century Schoolbook" w:hAnsi="Century Schoolbook"/>
          <w:sz w:val="27"/>
          <w:szCs w:val="26"/>
        </w:rPr>
        <w:t xml:space="preserve"> including administrative mandate proceedings, and section 577</w:t>
      </w:r>
      <w:r w:rsidRPr="00C50388">
        <w:rPr>
          <w:rFonts w:ascii="Century Schoolbook" w:hAnsi="Century Schoolbook"/>
          <w:sz w:val="27"/>
          <w:szCs w:val="26"/>
        </w:rPr>
        <w:t xml:space="preserve">, which more broadly applies to “an action or proceeding,” </w:t>
      </w:r>
      <w:r>
        <w:rPr>
          <w:rFonts w:ascii="Century Schoolbook" w:hAnsi="Century Schoolbook"/>
          <w:sz w:val="27"/>
          <w:szCs w:val="26"/>
        </w:rPr>
        <w:t xml:space="preserve">say </w:t>
      </w:r>
      <w:r w:rsidRPr="00C50388">
        <w:rPr>
          <w:rFonts w:ascii="Century Schoolbook" w:hAnsi="Century Schoolbook"/>
          <w:sz w:val="27"/>
          <w:szCs w:val="26"/>
        </w:rPr>
        <w:t>it is a “judgment”</w:t>
      </w:r>
      <w:r>
        <w:rPr>
          <w:rFonts w:ascii="Century Schoolbook" w:hAnsi="Century Schoolbook"/>
          <w:sz w:val="27"/>
          <w:szCs w:val="26"/>
        </w:rPr>
        <w:t> —</w:t>
      </w:r>
      <w:r w:rsidRPr="00C50388">
        <w:rPr>
          <w:rFonts w:ascii="Century Schoolbook" w:hAnsi="Century Schoolbook"/>
          <w:sz w:val="27"/>
          <w:szCs w:val="26"/>
        </w:rPr>
        <w:t xml:space="preserve"> and not an “order” or other ruling</w:t>
      </w:r>
      <w:r>
        <w:rPr>
          <w:rFonts w:ascii="Century Schoolbook" w:hAnsi="Century Schoolbook"/>
          <w:sz w:val="27"/>
          <w:szCs w:val="26"/>
        </w:rPr>
        <w:t> —</w:t>
      </w:r>
      <w:r w:rsidRPr="00C50388">
        <w:rPr>
          <w:rFonts w:ascii="Century Schoolbook" w:hAnsi="Century Schoolbook"/>
          <w:sz w:val="27"/>
          <w:szCs w:val="26"/>
        </w:rPr>
        <w:t xml:space="preserve"> that signals the end of a case.  These sections </w:t>
      </w:r>
      <w:r>
        <w:rPr>
          <w:rFonts w:ascii="Century Schoolbook" w:hAnsi="Century Schoolbook"/>
          <w:sz w:val="27"/>
          <w:szCs w:val="26"/>
        </w:rPr>
        <w:t xml:space="preserve">explicitly </w:t>
      </w:r>
      <w:r w:rsidRPr="00C50388">
        <w:rPr>
          <w:rFonts w:ascii="Century Schoolbook" w:hAnsi="Century Schoolbook"/>
          <w:sz w:val="27"/>
          <w:szCs w:val="26"/>
        </w:rPr>
        <w:t>provide that a “</w:t>
      </w:r>
      <w:r w:rsidRPr="00C50388">
        <w:rPr>
          <w:rFonts w:ascii="Century Schoolbook" w:hAnsi="Century Schoolbook"/>
          <w:i/>
          <w:iCs/>
          <w:sz w:val="27"/>
          <w:szCs w:val="26"/>
        </w:rPr>
        <w:t>judgment</w:t>
      </w:r>
      <w:r w:rsidRPr="00C50388">
        <w:rPr>
          <w:rFonts w:ascii="Century Schoolbook" w:hAnsi="Century Schoolbook"/>
          <w:sz w:val="27"/>
          <w:szCs w:val="26"/>
        </w:rPr>
        <w:t xml:space="preserve">” “is the final determination of the rights of </w:t>
      </w:r>
      <w:r w:rsidRPr="00C50388">
        <w:rPr>
          <w:rFonts w:ascii="Century Schoolbook" w:hAnsi="Century Schoolbook"/>
          <w:sz w:val="27"/>
          <w:szCs w:val="26"/>
        </w:rPr>
        <w:t>the parties.”  (§</w:t>
      </w:r>
      <w:r>
        <w:rPr>
          <w:rFonts w:ascii="Century Schoolbook" w:hAnsi="Century Schoolbook"/>
          <w:sz w:val="27"/>
          <w:szCs w:val="26"/>
        </w:rPr>
        <w:t>§ </w:t>
      </w:r>
      <w:r w:rsidRPr="00C50388">
        <w:rPr>
          <w:rFonts w:ascii="Century Schoolbook" w:hAnsi="Century Schoolbook"/>
          <w:sz w:val="27"/>
          <w:szCs w:val="26"/>
        </w:rPr>
        <w:t>577, 1064, italics added.)  In contrast, section</w:t>
      </w:r>
      <w:r>
        <w:rPr>
          <w:rFonts w:ascii="Century Schoolbook" w:hAnsi="Century Schoolbook"/>
          <w:sz w:val="27"/>
          <w:szCs w:val="26"/>
        </w:rPr>
        <w:t xml:space="preserve"> </w:t>
      </w:r>
      <w:r w:rsidRPr="00C50388">
        <w:rPr>
          <w:rFonts w:ascii="Century Schoolbook" w:hAnsi="Century Schoolbook"/>
          <w:sz w:val="27"/>
          <w:szCs w:val="26"/>
        </w:rPr>
        <w:t xml:space="preserve">1003 defines an “order” as “[e]very direction of a court or judge, made or entered in writing, and not included in a judgment.”  (See </w:t>
      </w:r>
      <w:r>
        <w:rPr>
          <w:rFonts w:ascii="Century Schoolbook" w:hAnsi="Century Schoolbook"/>
          <w:sz w:val="27"/>
          <w:szCs w:val="26"/>
        </w:rPr>
        <w:t>§ </w:t>
      </w:r>
      <w:r w:rsidRPr="00C50388">
        <w:rPr>
          <w:rFonts w:ascii="Century Schoolbook" w:hAnsi="Century Schoolbook"/>
          <w:sz w:val="27"/>
          <w:szCs w:val="26"/>
        </w:rPr>
        <w:t>1064 [definition of “order” in civil actions applies</w:t>
      </w:r>
      <w:r w:rsidRPr="00C50388">
        <w:rPr>
          <w:rFonts w:ascii="Century Schoolbook" w:hAnsi="Century Schoolbook"/>
          <w:sz w:val="27"/>
          <w:szCs w:val="26"/>
        </w:rPr>
        <w:t xml:space="preserve"> in special proceedings].)  </w:t>
      </w:r>
    </w:p>
    <w:p w:rsidR="00187CD0" w:rsidRPr="00C50388" w:rsidP="00C47792">
      <w:pPr>
        <w:spacing w:after="100" w:line="400" w:lineRule="exact"/>
        <w:ind w:firstLine="720"/>
        <w:jc w:val="both"/>
        <w:rPr>
          <w:rFonts w:ascii="Century Schoolbook" w:hAnsi="Century Schoolbook"/>
          <w:sz w:val="27"/>
          <w:szCs w:val="26"/>
        </w:rPr>
      </w:pPr>
      <w:r w:rsidRPr="00C50388">
        <w:rPr>
          <w:rFonts w:ascii="Century Schoolbook" w:hAnsi="Century Schoolbook"/>
          <w:sz w:val="27"/>
          <w:szCs w:val="26"/>
        </w:rPr>
        <w:t xml:space="preserve">Consistent with the language of sections 1094.5 and 1064, courts have contemplated that there will be entry of a formal judgment following an order granting or denying a petition for writ of administrative mandate.  (E.g., </w:t>
      </w:r>
      <w:r w:rsidRPr="00C50388">
        <w:rPr>
          <w:rFonts w:ascii="Century Schoolbook" w:hAnsi="Century Schoolbook"/>
          <w:i/>
          <w:iCs/>
          <w:sz w:val="27"/>
          <w:szCs w:val="26"/>
        </w:rPr>
        <w:t>Voic</w:t>
      </w:r>
      <w:r w:rsidRPr="00C50388">
        <w:rPr>
          <w:rFonts w:ascii="Century Schoolbook" w:hAnsi="Century Schoolbook"/>
          <w:i/>
          <w:iCs/>
          <w:sz w:val="27"/>
          <w:szCs w:val="26"/>
        </w:rPr>
        <w:t>es of the Wetlands v. State Water Resources Control</w:t>
      </w:r>
      <w:r w:rsidRPr="00C50388">
        <w:rPr>
          <w:rFonts w:ascii="Century Schoolbook" w:hAnsi="Century Schoolbook"/>
          <w:sz w:val="27"/>
          <w:szCs w:val="26"/>
        </w:rPr>
        <w:t xml:space="preserve"> </w:t>
      </w:r>
      <w:r w:rsidRPr="00C50388">
        <w:rPr>
          <w:rFonts w:ascii="Century Schoolbook" w:hAnsi="Century Schoolbook"/>
          <w:i/>
          <w:iCs/>
          <w:sz w:val="27"/>
          <w:szCs w:val="26"/>
        </w:rPr>
        <w:t>Board</w:t>
      </w:r>
      <w:r w:rsidRPr="00C50388">
        <w:rPr>
          <w:rFonts w:ascii="Century Schoolbook" w:hAnsi="Century Schoolbook"/>
          <w:sz w:val="27"/>
          <w:szCs w:val="26"/>
        </w:rPr>
        <w:t xml:space="preserve"> (2011) 52 Cal.4th 499, 526 [“The trial court here followed that mandate [of section 1094.5]; it issued a final judgment denying a writ of mandamus”];</w:t>
      </w:r>
      <w:r w:rsidRPr="00C50388">
        <w:rPr>
          <w:rFonts w:ascii="Century Schoolbook" w:hAnsi="Century Schoolbook"/>
          <w:i/>
          <w:iCs/>
          <w:sz w:val="27"/>
          <w:szCs w:val="26"/>
        </w:rPr>
        <w:t xml:space="preserve"> JHK Enterprises, Inc. v. Department of Industria</w:t>
      </w:r>
      <w:r w:rsidRPr="00C50388">
        <w:rPr>
          <w:rFonts w:ascii="Century Schoolbook" w:hAnsi="Century Schoolbook"/>
          <w:i/>
          <w:iCs/>
          <w:sz w:val="27"/>
          <w:szCs w:val="26"/>
        </w:rPr>
        <w:t xml:space="preserve">l Relations </w:t>
      </w:r>
      <w:r w:rsidRPr="00C50388">
        <w:rPr>
          <w:rFonts w:ascii="Century Schoolbook" w:hAnsi="Century Schoolbook"/>
          <w:sz w:val="27"/>
          <w:szCs w:val="26"/>
        </w:rPr>
        <w:t>(2006) 142 Cal.App.4th 1046, 1056 [treating “order” as appealable but stating, “[</w:t>
      </w:r>
      <w:r w:rsidRPr="0012253F">
        <w:rPr>
          <w:rFonts w:ascii="Century Schoolbook" w:hAnsi="Century Schoolbook"/>
          <w:sz w:val="27"/>
          <w:szCs w:val="26"/>
        </w:rPr>
        <w:t>o</w:t>
      </w:r>
      <w:r w:rsidRPr="00C50388">
        <w:rPr>
          <w:rFonts w:ascii="Century Schoolbook" w:hAnsi="Century Schoolbook"/>
          <w:sz w:val="27"/>
          <w:szCs w:val="26"/>
        </w:rPr>
        <w:t xml:space="preserve">]rdinarily, an appeal must be taken only from a final judgment, even in a mandamus action,” citing </w:t>
      </w:r>
      <w:r>
        <w:rPr>
          <w:rFonts w:ascii="Century Schoolbook" w:hAnsi="Century Schoolbook"/>
          <w:sz w:val="27"/>
          <w:szCs w:val="26"/>
        </w:rPr>
        <w:t>§ </w:t>
      </w:r>
      <w:r w:rsidRPr="00C50388">
        <w:rPr>
          <w:rFonts w:ascii="Century Schoolbook" w:hAnsi="Century Schoolbook"/>
          <w:sz w:val="27"/>
          <w:szCs w:val="26"/>
        </w:rPr>
        <w:t xml:space="preserve">904.1 and </w:t>
      </w:r>
      <w:r w:rsidRPr="00C50388">
        <w:rPr>
          <w:rFonts w:ascii="Century Schoolbook" w:hAnsi="Century Schoolbook"/>
          <w:i/>
          <w:iCs/>
          <w:sz w:val="27"/>
          <w:szCs w:val="26"/>
        </w:rPr>
        <w:t>Griset</w:t>
      </w:r>
      <w:r w:rsidRPr="00C50388">
        <w:rPr>
          <w:rFonts w:ascii="Century Schoolbook" w:hAnsi="Century Schoolbook"/>
          <w:sz w:val="27"/>
          <w:szCs w:val="26"/>
        </w:rPr>
        <w:t xml:space="preserve">, </w:t>
      </w:r>
      <w:r w:rsidRPr="00C50388">
        <w:rPr>
          <w:rFonts w:ascii="Century Schoolbook" w:hAnsi="Century Schoolbook"/>
          <w:i/>
          <w:iCs/>
          <w:sz w:val="27"/>
          <w:szCs w:val="26"/>
        </w:rPr>
        <w:t>supra</w:t>
      </w:r>
      <w:r w:rsidRPr="00C50388">
        <w:rPr>
          <w:rFonts w:ascii="Century Schoolbook" w:hAnsi="Century Schoolbook"/>
          <w:sz w:val="27"/>
          <w:szCs w:val="26"/>
        </w:rPr>
        <w:t xml:space="preserve">, 25 Cal.4th at p. 697]; </w:t>
      </w:r>
      <w:r w:rsidRPr="00C50388">
        <w:rPr>
          <w:rFonts w:ascii="Century Schoolbook" w:hAnsi="Century Schoolbook"/>
          <w:i/>
          <w:iCs/>
          <w:sz w:val="27"/>
          <w:szCs w:val="26"/>
        </w:rPr>
        <w:t>Cody v. Justi</w:t>
      </w:r>
      <w:r w:rsidRPr="00C50388">
        <w:rPr>
          <w:rFonts w:ascii="Century Schoolbook" w:hAnsi="Century Schoolbook"/>
          <w:i/>
          <w:iCs/>
          <w:sz w:val="27"/>
          <w:szCs w:val="26"/>
        </w:rPr>
        <w:t xml:space="preserve">ce Court of Vacaville Judicial Dist. </w:t>
      </w:r>
      <w:r w:rsidRPr="00C50388">
        <w:rPr>
          <w:rFonts w:ascii="Century Schoolbook" w:hAnsi="Century Schoolbook"/>
          <w:sz w:val="27"/>
          <w:szCs w:val="26"/>
        </w:rPr>
        <w:t>(1965) 238 Cal.App.2d 275, 277, fn. 1 [permitting an appeal from an “order” denying a writ of mandate but stating, “</w:t>
      </w:r>
      <w:r>
        <w:rPr>
          <w:rFonts w:ascii="Century Schoolbook" w:hAnsi="Century Schoolbook"/>
          <w:sz w:val="27"/>
          <w:szCs w:val="26"/>
        </w:rPr>
        <w:t>I</w:t>
      </w:r>
      <w:r w:rsidRPr="00C50388">
        <w:rPr>
          <w:rFonts w:ascii="Century Schoolbook" w:hAnsi="Century Schoolbook"/>
          <w:sz w:val="27"/>
          <w:szCs w:val="26"/>
        </w:rPr>
        <w:t xml:space="preserve">t would seem that the granting or denial of relief in mandamus proceedings is effectuated by a </w:t>
      </w:r>
      <w:r w:rsidRPr="0012253F">
        <w:rPr>
          <w:rFonts w:ascii="Century Schoolbook" w:hAnsi="Century Schoolbook"/>
          <w:i/>
          <w:iCs/>
          <w:sz w:val="27"/>
          <w:szCs w:val="26"/>
        </w:rPr>
        <w:t>judgmen</w:t>
      </w:r>
      <w:r w:rsidRPr="0012253F">
        <w:rPr>
          <w:rFonts w:ascii="Century Schoolbook" w:hAnsi="Century Schoolbook"/>
          <w:i/>
          <w:iCs/>
          <w:sz w:val="27"/>
          <w:szCs w:val="26"/>
        </w:rPr>
        <w:t>t</w:t>
      </w:r>
      <w:r w:rsidRPr="00C50388">
        <w:rPr>
          <w:rFonts w:ascii="Century Schoolbook" w:hAnsi="Century Schoolbook"/>
          <w:sz w:val="27"/>
          <w:szCs w:val="26"/>
        </w:rPr>
        <w:t xml:space="preserve"> rather than an </w:t>
      </w:r>
      <w:r w:rsidRPr="0012253F">
        <w:rPr>
          <w:rFonts w:ascii="Century Schoolbook" w:hAnsi="Century Schoolbook"/>
          <w:i/>
          <w:iCs/>
          <w:sz w:val="27"/>
          <w:szCs w:val="26"/>
        </w:rPr>
        <w:t>order</w:t>
      </w:r>
      <w:r w:rsidRPr="00C50388">
        <w:rPr>
          <w:rFonts w:ascii="Century Schoolbook" w:hAnsi="Century Schoolbook"/>
          <w:sz w:val="27"/>
          <w:szCs w:val="26"/>
        </w:rPr>
        <w:t xml:space="preserve">”].)  </w:t>
      </w:r>
    </w:p>
    <w:p w:rsidR="00187CD0" w:rsidRPr="00C50388" w:rsidP="00C47792">
      <w:pPr>
        <w:spacing w:after="100" w:line="400" w:lineRule="exact"/>
        <w:ind w:firstLine="720"/>
        <w:jc w:val="both"/>
        <w:rPr>
          <w:rFonts w:ascii="Century Schoolbook" w:hAnsi="Century Schoolbook"/>
          <w:sz w:val="27"/>
          <w:szCs w:val="26"/>
        </w:rPr>
      </w:pPr>
      <w:r w:rsidRPr="00C50388">
        <w:rPr>
          <w:rFonts w:ascii="Century Schoolbook" w:hAnsi="Century Schoolbook"/>
          <w:sz w:val="27"/>
          <w:szCs w:val="26"/>
        </w:rPr>
        <w:t>The Legislature’s “complete</w:t>
      </w:r>
      <w:r>
        <w:rPr>
          <w:rFonts w:ascii="Century Schoolbook" w:hAnsi="Century Schoolbook"/>
          <w:sz w:val="27"/>
          <w:szCs w:val="26"/>
        </w:rPr>
        <w:t> . . .</w:t>
      </w:r>
      <w:r w:rsidRPr="00C50388">
        <w:rPr>
          <w:rFonts w:ascii="Century Schoolbook" w:hAnsi="Century Schoolbook"/>
          <w:sz w:val="27"/>
          <w:szCs w:val="26"/>
        </w:rPr>
        <w:t xml:space="preserve"> control” over the right to appeal, the “entirely statutory” nature of the right to appeal (</w:t>
      </w:r>
      <w:r w:rsidRPr="00C50388">
        <w:rPr>
          <w:rFonts w:ascii="Century Schoolbook" w:hAnsi="Century Schoolbook"/>
          <w:i/>
          <w:iCs/>
          <w:sz w:val="27"/>
          <w:szCs w:val="26"/>
        </w:rPr>
        <w:t>Trede</w:t>
      </w:r>
      <w:r w:rsidRPr="00C50388">
        <w:rPr>
          <w:rFonts w:ascii="Century Schoolbook" w:hAnsi="Century Schoolbook"/>
          <w:sz w:val="27"/>
          <w:szCs w:val="26"/>
        </w:rPr>
        <w:t xml:space="preserve">, </w:t>
      </w:r>
      <w:r w:rsidRPr="00C50388">
        <w:rPr>
          <w:rFonts w:ascii="Century Schoolbook" w:hAnsi="Century Schoolbook"/>
          <w:i/>
          <w:iCs/>
          <w:sz w:val="27"/>
          <w:szCs w:val="26"/>
        </w:rPr>
        <w:t>supra</w:t>
      </w:r>
      <w:r w:rsidRPr="00C50388">
        <w:rPr>
          <w:rFonts w:ascii="Century Schoolbook" w:hAnsi="Century Schoolbook"/>
          <w:sz w:val="27"/>
          <w:szCs w:val="26"/>
        </w:rPr>
        <w:t>, 21 Cal.2d at p.</w:t>
      </w:r>
      <w:r>
        <w:rPr>
          <w:rFonts w:ascii="Century Schoolbook" w:hAnsi="Century Schoolbook"/>
          <w:sz w:val="27"/>
          <w:szCs w:val="26"/>
        </w:rPr>
        <w:t xml:space="preserve"> </w:t>
      </w:r>
      <w:r w:rsidRPr="00C50388">
        <w:rPr>
          <w:rFonts w:ascii="Century Schoolbook" w:hAnsi="Century Schoolbook"/>
          <w:sz w:val="27"/>
          <w:szCs w:val="26"/>
        </w:rPr>
        <w:t xml:space="preserve">634), and the plain language of section 1094.5, which requires entry of </w:t>
      </w:r>
      <w:r w:rsidRPr="00C50388">
        <w:rPr>
          <w:rFonts w:ascii="Century Schoolbook" w:hAnsi="Century Schoolbook"/>
          <w:sz w:val="27"/>
          <w:szCs w:val="26"/>
        </w:rPr>
        <w:t xml:space="preserve">“judgment,” all </w:t>
      </w:r>
      <w:r>
        <w:rPr>
          <w:rFonts w:ascii="Century Schoolbook" w:hAnsi="Century Schoolbook"/>
          <w:sz w:val="27"/>
          <w:szCs w:val="26"/>
        </w:rPr>
        <w:t>indicate</w:t>
      </w:r>
      <w:r w:rsidRPr="00C50388">
        <w:rPr>
          <w:rFonts w:ascii="Century Schoolbook" w:hAnsi="Century Schoolbook"/>
          <w:sz w:val="27"/>
          <w:szCs w:val="26"/>
        </w:rPr>
        <w:t xml:space="preserve"> that entry of “judgment,” and not the filing of an order, minute order, ruling, statement of decision, or any other differently entitled document, signals the end of the case in administrative mandate proceedings.</w:t>
      </w:r>
    </w:p>
    <w:p w:rsidR="00187CD0" w:rsidRPr="00C50388" w:rsidP="00160785">
      <w:pPr>
        <w:pStyle w:val="ListParagraph"/>
        <w:keepNext/>
        <w:numPr>
          <w:ilvl w:val="0"/>
          <w:numId w:val="1"/>
        </w:numPr>
        <w:spacing w:after="100" w:line="400" w:lineRule="exact"/>
        <w:jc w:val="both"/>
        <w:rPr>
          <w:rFonts w:ascii="Century Schoolbook" w:hAnsi="Century Schoolbook"/>
          <w:b/>
          <w:bCs/>
          <w:sz w:val="27"/>
          <w:szCs w:val="26"/>
        </w:rPr>
      </w:pPr>
      <w:r w:rsidRPr="00C50388">
        <w:rPr>
          <w:rFonts w:ascii="Century Schoolbook" w:hAnsi="Century Schoolbook"/>
          <w:b/>
          <w:bCs/>
          <w:sz w:val="27"/>
          <w:szCs w:val="26"/>
        </w:rPr>
        <w:t>“Judgments” and T</w:t>
      </w:r>
      <w:r w:rsidRPr="00C50388">
        <w:rPr>
          <w:rFonts w:ascii="Century Schoolbook" w:hAnsi="Century Schoolbook"/>
          <w:b/>
          <w:bCs/>
          <w:sz w:val="27"/>
          <w:szCs w:val="26"/>
        </w:rPr>
        <w:t>imeliness of Administrative Mandate Appeals</w:t>
      </w:r>
    </w:p>
    <w:p w:rsidR="00187CD0" w:rsidRPr="00C50388" w:rsidP="00C47792">
      <w:pPr>
        <w:spacing w:after="100" w:line="400" w:lineRule="exact"/>
        <w:ind w:firstLine="720"/>
        <w:jc w:val="both"/>
        <w:rPr>
          <w:rFonts w:ascii="Century Schoolbook" w:hAnsi="Century Schoolbook"/>
          <w:sz w:val="27"/>
          <w:szCs w:val="26"/>
        </w:rPr>
      </w:pPr>
      <w:r w:rsidRPr="00C50388">
        <w:rPr>
          <w:rFonts w:ascii="Century Schoolbook" w:hAnsi="Century Schoolbook"/>
          <w:sz w:val="27"/>
          <w:szCs w:val="26"/>
        </w:rPr>
        <w:t>Despite the requirement of a “judgment,” the significance of the one judgment rule, and statutory limitations on what is appealable, reviewing courts, including ours, have deemed orders and other rulings to be th</w:t>
      </w:r>
      <w:r w:rsidRPr="00C50388">
        <w:rPr>
          <w:rFonts w:ascii="Century Schoolbook" w:hAnsi="Century Schoolbook"/>
          <w:sz w:val="27"/>
          <w:szCs w:val="26"/>
        </w:rPr>
        <w:t>e “judgments” under certain circumstances</w:t>
      </w:r>
      <w:r>
        <w:rPr>
          <w:rFonts w:ascii="Century Schoolbook" w:hAnsi="Century Schoolbook"/>
          <w:sz w:val="27"/>
          <w:szCs w:val="26"/>
        </w:rPr>
        <w:t>, such as</w:t>
      </w:r>
      <w:r w:rsidRPr="00C50388">
        <w:rPr>
          <w:rFonts w:ascii="Century Schoolbook" w:hAnsi="Century Schoolbook"/>
          <w:sz w:val="27"/>
          <w:szCs w:val="26"/>
        </w:rPr>
        <w:t xml:space="preserve"> when the ruling is sufficiently final to constitute the one judgment in the case, to promote judicial economy, to preserve a party’s right to appeal, and to permit appellate review on the merits.  (E.g., </w:t>
      </w:r>
      <w:r w:rsidRPr="00C50388">
        <w:rPr>
          <w:rFonts w:ascii="Century Schoolbook" w:hAnsi="Century Schoolbook"/>
          <w:i/>
          <w:iCs/>
          <w:sz w:val="27"/>
          <w:szCs w:val="26"/>
        </w:rPr>
        <w:t>S</w:t>
      </w:r>
      <w:r w:rsidRPr="00C50388">
        <w:rPr>
          <w:rFonts w:ascii="Century Schoolbook" w:hAnsi="Century Schoolbook"/>
          <w:i/>
          <w:iCs/>
          <w:sz w:val="27"/>
          <w:szCs w:val="26"/>
        </w:rPr>
        <w:t>aben, Earlix &amp; Associates v. Fillet</w:t>
      </w:r>
      <w:r w:rsidRPr="00C50388">
        <w:rPr>
          <w:rFonts w:ascii="Century Schoolbook" w:hAnsi="Century Schoolbook"/>
          <w:sz w:val="27"/>
          <w:szCs w:val="26"/>
        </w:rPr>
        <w:t xml:space="preserve"> (2005) 134 Cal.App.4th 1024, 1030 [“some courts have chosen to treat an appeal from an order</w:t>
      </w:r>
      <w:r>
        <w:rPr>
          <w:rFonts w:ascii="Century Schoolbook" w:hAnsi="Century Schoolbook"/>
          <w:sz w:val="27"/>
          <w:szCs w:val="26"/>
        </w:rPr>
        <w:t> . . .</w:t>
      </w:r>
      <w:r w:rsidRPr="00C50388">
        <w:rPr>
          <w:rFonts w:ascii="Century Schoolbook" w:hAnsi="Century Schoolbook"/>
          <w:sz w:val="27"/>
          <w:szCs w:val="26"/>
        </w:rPr>
        <w:t xml:space="preserve"> as an appeal from a subsequently entered judgment, or even to deem the order itself to be a judgment, in order to save th</w:t>
      </w:r>
      <w:r w:rsidRPr="00C50388">
        <w:rPr>
          <w:rFonts w:ascii="Century Schoolbook" w:hAnsi="Century Schoolbook"/>
          <w:sz w:val="27"/>
          <w:szCs w:val="26"/>
        </w:rPr>
        <w:t xml:space="preserve">e faulty appeal”]; </w:t>
      </w:r>
      <w:r w:rsidRPr="00C50388">
        <w:rPr>
          <w:rFonts w:ascii="Century Schoolbook" w:hAnsi="Century Schoolbook"/>
          <w:i/>
          <w:iCs/>
          <w:sz w:val="27"/>
          <w:szCs w:val="26"/>
        </w:rPr>
        <w:t>Morgan v. Imperial Irrigation Dist.</w:t>
      </w:r>
      <w:r w:rsidRPr="00C50388">
        <w:rPr>
          <w:rFonts w:ascii="Century Schoolbook" w:hAnsi="Century Schoolbook"/>
          <w:sz w:val="27"/>
          <w:szCs w:val="26"/>
        </w:rPr>
        <w:t xml:space="preserve"> (2014) 223 Cal.App.4th 892, 90</w:t>
      </w:r>
      <w:r>
        <w:rPr>
          <w:rFonts w:ascii="Century Schoolbook" w:hAnsi="Century Schoolbook"/>
          <w:sz w:val="27"/>
          <w:szCs w:val="26"/>
        </w:rPr>
        <w:t>4</w:t>
      </w:r>
      <w:r w:rsidRPr="00C50388">
        <w:rPr>
          <w:rFonts w:ascii="Century Schoolbook" w:hAnsi="Century Schoolbook"/>
          <w:sz w:val="27"/>
          <w:szCs w:val="26"/>
        </w:rPr>
        <w:t xml:space="preserve"> [“exercis[ing] its discretion [to] treat” as an appealable judgment a “statement of decision” that disposed of all issues].)  </w:t>
      </w:r>
    </w:p>
    <w:p w:rsidR="00187CD0" w:rsidRPr="00C50388" w:rsidP="00C47792">
      <w:pPr>
        <w:spacing w:after="100" w:line="400" w:lineRule="exact"/>
        <w:ind w:firstLine="720"/>
        <w:jc w:val="both"/>
        <w:rPr>
          <w:rFonts w:ascii="Century Schoolbook" w:hAnsi="Century Schoolbook"/>
          <w:sz w:val="27"/>
          <w:szCs w:val="26"/>
        </w:rPr>
      </w:pPr>
      <w:r w:rsidRPr="00C50388">
        <w:rPr>
          <w:rFonts w:ascii="Century Schoolbook" w:hAnsi="Century Schoolbook"/>
          <w:sz w:val="27"/>
          <w:szCs w:val="26"/>
        </w:rPr>
        <w:t xml:space="preserve">This practice has been common in </w:t>
      </w:r>
      <w:r w:rsidRPr="00C50388">
        <w:rPr>
          <w:rFonts w:ascii="Century Schoolbook" w:hAnsi="Century Schoolbook"/>
          <w:sz w:val="27"/>
          <w:szCs w:val="26"/>
        </w:rPr>
        <w:t>cases involving orders that reflect the trial court’s final decision but are not statutorily appealable, such as orders granting summary judgment (</w:t>
      </w:r>
      <w:r w:rsidRPr="00C50388">
        <w:rPr>
          <w:rFonts w:ascii="Century Schoolbook" w:hAnsi="Century Schoolbook"/>
          <w:i/>
          <w:iCs/>
          <w:sz w:val="27"/>
          <w:szCs w:val="26"/>
        </w:rPr>
        <w:t>Sullivan v. Delta Air Lines, Inc.</w:t>
      </w:r>
      <w:r w:rsidRPr="00C50388">
        <w:rPr>
          <w:rFonts w:ascii="Century Schoolbook" w:hAnsi="Century Schoolbook"/>
          <w:sz w:val="27"/>
          <w:szCs w:val="26"/>
        </w:rPr>
        <w:t xml:space="preserve"> (1997) 15 Cal.4th 278, 307, fn. 10) and orders sustaining demurrers without</w:t>
      </w:r>
      <w:r w:rsidRPr="00C50388">
        <w:rPr>
          <w:rFonts w:ascii="Century Schoolbook" w:hAnsi="Century Schoolbook"/>
          <w:sz w:val="27"/>
          <w:szCs w:val="26"/>
        </w:rPr>
        <w:t xml:space="preserve"> leave to amend (</w:t>
      </w:r>
      <w:r w:rsidRPr="00C50388">
        <w:rPr>
          <w:rFonts w:ascii="Century Schoolbook" w:hAnsi="Century Schoolbook"/>
          <w:i/>
          <w:iCs/>
          <w:sz w:val="27"/>
          <w:szCs w:val="26"/>
        </w:rPr>
        <w:t>In</w:t>
      </w:r>
      <w:r>
        <w:rPr>
          <w:rFonts w:ascii="Century Schoolbook" w:hAnsi="Century Schoolbook"/>
          <w:i/>
          <w:iCs/>
          <w:sz w:val="27"/>
          <w:szCs w:val="26"/>
        </w:rPr>
        <w:t xml:space="preserve"> </w:t>
      </w:r>
      <w:r w:rsidRPr="00C50388">
        <w:rPr>
          <w:rFonts w:ascii="Century Schoolbook" w:hAnsi="Century Schoolbook"/>
          <w:i/>
          <w:iCs/>
          <w:sz w:val="27"/>
          <w:szCs w:val="26"/>
        </w:rPr>
        <w:t>re Social Services Payment Cases</w:t>
      </w:r>
      <w:r w:rsidRPr="00C50388">
        <w:rPr>
          <w:rFonts w:ascii="Century Schoolbook" w:hAnsi="Century Schoolbook"/>
          <w:sz w:val="27"/>
          <w:szCs w:val="26"/>
        </w:rPr>
        <w:t xml:space="preserve"> (2008) 166 Cal.App.4th 1249, 1262</w:t>
      </w:r>
      <w:r>
        <w:rPr>
          <w:rFonts w:ascii="Century Schoolbook" w:hAnsi="Century Schoolbook"/>
          <w:sz w:val="27"/>
          <w:szCs w:val="26"/>
        </w:rPr>
        <w:t>, fn. 4</w:t>
      </w:r>
      <w:r w:rsidRPr="00C50388">
        <w:rPr>
          <w:rFonts w:ascii="Century Schoolbook" w:hAnsi="Century Schoolbook"/>
          <w:sz w:val="27"/>
          <w:szCs w:val="26"/>
        </w:rPr>
        <w:t xml:space="preserve"> [treating an appeal “taken from the nonappealable order sustaining the demurrer</w:t>
      </w:r>
      <w:r>
        <w:rPr>
          <w:rFonts w:ascii="Century Schoolbook" w:hAnsi="Century Schoolbook"/>
          <w:sz w:val="27"/>
          <w:szCs w:val="26"/>
        </w:rPr>
        <w:t xml:space="preserve"> . . . </w:t>
      </w:r>
      <w:r w:rsidRPr="00C50388">
        <w:rPr>
          <w:rFonts w:ascii="Century Schoolbook" w:hAnsi="Century Schoolbook"/>
          <w:sz w:val="27"/>
          <w:szCs w:val="26"/>
        </w:rPr>
        <w:t>as a premature but valid notice of appeal from the subsequently entered judg</w:t>
      </w:r>
      <w:r w:rsidRPr="00C50388">
        <w:rPr>
          <w:rFonts w:ascii="Century Schoolbook" w:hAnsi="Century Schoolbook"/>
          <w:sz w:val="27"/>
          <w:szCs w:val="26"/>
        </w:rPr>
        <w:t xml:space="preserve">ment”].)  In </w:t>
      </w:r>
      <w:r w:rsidRPr="00C50388">
        <w:rPr>
          <w:rFonts w:ascii="Century Schoolbook" w:hAnsi="Century Schoolbook"/>
          <w:i/>
          <w:iCs/>
          <w:sz w:val="27"/>
          <w:szCs w:val="26"/>
        </w:rPr>
        <w:t>In</w:t>
      </w:r>
      <w:r>
        <w:rPr>
          <w:rFonts w:ascii="Century Schoolbook" w:hAnsi="Century Schoolbook"/>
          <w:i/>
          <w:iCs/>
          <w:sz w:val="27"/>
          <w:szCs w:val="26"/>
        </w:rPr>
        <w:t xml:space="preserve"> </w:t>
      </w:r>
      <w:r w:rsidRPr="00C50388">
        <w:rPr>
          <w:rFonts w:ascii="Century Schoolbook" w:hAnsi="Century Schoolbook"/>
          <w:i/>
          <w:iCs/>
          <w:sz w:val="27"/>
          <w:szCs w:val="26"/>
        </w:rPr>
        <w:t>re Social Services Payment Cases,</w:t>
      </w:r>
      <w:r w:rsidRPr="00C50388">
        <w:rPr>
          <w:rFonts w:ascii="Century Schoolbook" w:hAnsi="Century Schoolbook"/>
          <w:sz w:val="27"/>
          <w:szCs w:val="26"/>
        </w:rPr>
        <w:t xml:space="preserve"> </w:t>
      </w:r>
      <w:r>
        <w:rPr>
          <w:rFonts w:ascii="Century Schoolbook" w:hAnsi="Century Schoolbook"/>
          <w:sz w:val="27"/>
          <w:szCs w:val="26"/>
        </w:rPr>
        <w:t xml:space="preserve">at page 1262, footnote 4, </w:t>
      </w:r>
      <w:r w:rsidRPr="00C50388">
        <w:rPr>
          <w:rFonts w:ascii="Century Schoolbook" w:hAnsi="Century Schoolbook"/>
          <w:sz w:val="27"/>
          <w:szCs w:val="26"/>
        </w:rPr>
        <w:t>the Court of Appeal cited in support of its decision former rule 8.104(e)(2), now rule 8.104(d)(2), which is entitled “Premature notice of appeal” and provides:  “The reviewing cou</w:t>
      </w:r>
      <w:r w:rsidRPr="00C50388">
        <w:rPr>
          <w:rFonts w:ascii="Century Schoolbook" w:hAnsi="Century Schoolbook"/>
          <w:sz w:val="27"/>
          <w:szCs w:val="26"/>
        </w:rPr>
        <w:t>rt may treat a notice of appeal filed after the superior court has announced its intended ruling, but before it has rendered judgment, as filed immediately after entry of judgment</w:t>
      </w:r>
      <w:r>
        <w:rPr>
          <w:rFonts w:ascii="Century Schoolbook" w:hAnsi="Century Schoolbook"/>
          <w:sz w:val="27"/>
          <w:szCs w:val="26"/>
        </w:rPr>
        <w:t>.”</w:t>
      </w:r>
    </w:p>
    <w:p w:rsidR="00187CD0" w:rsidRPr="00C50388" w:rsidP="00C47792">
      <w:pPr>
        <w:spacing w:after="100" w:line="400" w:lineRule="exact"/>
        <w:ind w:firstLine="720"/>
        <w:jc w:val="both"/>
        <w:rPr>
          <w:rFonts w:ascii="Century Schoolbook" w:hAnsi="Century Schoolbook"/>
          <w:sz w:val="27"/>
          <w:szCs w:val="26"/>
        </w:rPr>
      </w:pPr>
      <w:r w:rsidRPr="00C50388">
        <w:rPr>
          <w:rFonts w:ascii="Century Schoolbook" w:hAnsi="Century Schoolbook"/>
          <w:sz w:val="27"/>
          <w:szCs w:val="26"/>
        </w:rPr>
        <w:t>Appellate courts have followed this practice in the context of administrat</w:t>
      </w:r>
      <w:r w:rsidRPr="00C50388">
        <w:rPr>
          <w:rFonts w:ascii="Century Schoolbook" w:hAnsi="Century Schoolbook"/>
          <w:sz w:val="27"/>
          <w:szCs w:val="26"/>
        </w:rPr>
        <w:t xml:space="preserve">ive mandate proceedings as well.  In </w:t>
      </w:r>
      <w:r w:rsidRPr="00C50388">
        <w:rPr>
          <w:rFonts w:ascii="Century Schoolbook" w:hAnsi="Century Schoolbook"/>
          <w:i/>
          <w:iCs/>
          <w:sz w:val="27"/>
          <w:szCs w:val="26"/>
        </w:rPr>
        <w:t>Tomra Pacific, Inc. v. Chiang</w:t>
      </w:r>
      <w:r w:rsidRPr="00C50388">
        <w:rPr>
          <w:rFonts w:ascii="Century Schoolbook" w:hAnsi="Century Schoolbook"/>
          <w:sz w:val="27"/>
          <w:szCs w:val="26"/>
        </w:rPr>
        <w:t xml:space="preserve"> (2011) 199 Cal.App.4th 463, 481–482</w:t>
      </w:r>
      <w:r>
        <w:rPr>
          <w:rFonts w:ascii="Century Schoolbook" w:hAnsi="Century Schoolbook"/>
          <w:sz w:val="27"/>
          <w:szCs w:val="26"/>
        </w:rPr>
        <w:t xml:space="preserve"> (</w:t>
      </w:r>
      <w:r>
        <w:rPr>
          <w:rFonts w:ascii="Century Schoolbook" w:hAnsi="Century Schoolbook"/>
          <w:i/>
          <w:iCs/>
          <w:sz w:val="27"/>
          <w:szCs w:val="26"/>
        </w:rPr>
        <w:t>Tomra Pacific</w:t>
      </w:r>
      <w:r>
        <w:rPr>
          <w:rFonts w:ascii="Century Schoolbook" w:hAnsi="Century Schoolbook"/>
          <w:sz w:val="27"/>
          <w:szCs w:val="26"/>
        </w:rPr>
        <w:t>)</w:t>
      </w:r>
      <w:r w:rsidRPr="00C50388">
        <w:rPr>
          <w:rFonts w:ascii="Century Schoolbook" w:hAnsi="Century Schoolbook"/>
          <w:sz w:val="27"/>
          <w:szCs w:val="26"/>
        </w:rPr>
        <w:t>, the Court of Appeal stated:  “We note that the order denying the petitions for a writ of mandate is not termed a judgment and does not e</w:t>
      </w:r>
      <w:r w:rsidRPr="00C50388">
        <w:rPr>
          <w:rFonts w:ascii="Century Schoolbook" w:hAnsi="Century Schoolbook"/>
          <w:sz w:val="27"/>
          <w:szCs w:val="26"/>
        </w:rPr>
        <w:t xml:space="preserve">xplicitly address the declaratory relief causes of action.  Nevertheless, we are satisfied that the order before us constitutes an appealable final judgment as it left no issue for further consideration.”  In another case, </w:t>
      </w:r>
      <w:r>
        <w:rPr>
          <w:rFonts w:ascii="Century Schoolbook" w:hAnsi="Century Schoolbook"/>
          <w:sz w:val="27"/>
          <w:szCs w:val="26"/>
        </w:rPr>
        <w:t>a different</w:t>
      </w:r>
      <w:r w:rsidRPr="0048772D">
        <w:rPr>
          <w:rFonts w:ascii="Century Schoolbook" w:hAnsi="Century Schoolbook"/>
          <w:sz w:val="27"/>
          <w:szCs w:val="26"/>
        </w:rPr>
        <w:t xml:space="preserve"> Court of Appeal state</w:t>
      </w:r>
      <w:r w:rsidRPr="0048772D">
        <w:rPr>
          <w:rFonts w:ascii="Century Schoolbook" w:hAnsi="Century Schoolbook"/>
          <w:sz w:val="27"/>
          <w:szCs w:val="26"/>
        </w:rPr>
        <w:t>d</w:t>
      </w:r>
      <w:r w:rsidRPr="00C50388">
        <w:rPr>
          <w:rFonts w:ascii="Century Schoolbook" w:hAnsi="Century Schoolbook"/>
          <w:sz w:val="27"/>
          <w:szCs w:val="26"/>
        </w:rPr>
        <w:t>:  “Although the trial court never entered a formal judgment on the petition for writ of mandate, its order denying the petition in its entirety ‘constitutes a final judgment for purposes of an appeal.’ ”  (</w:t>
      </w:r>
      <w:r w:rsidRPr="00C50388">
        <w:rPr>
          <w:rFonts w:ascii="Century Schoolbook" w:hAnsi="Century Schoolbook"/>
          <w:i/>
          <w:iCs/>
          <w:sz w:val="27"/>
          <w:szCs w:val="26"/>
        </w:rPr>
        <w:t>Sandlin v. McLaughlin</w:t>
      </w:r>
      <w:r>
        <w:rPr>
          <w:rFonts w:ascii="Century Schoolbook" w:hAnsi="Century Schoolbook"/>
          <w:sz w:val="27"/>
          <w:szCs w:val="26"/>
        </w:rPr>
        <w:t xml:space="preserve"> (2020)</w:t>
      </w:r>
      <w:r w:rsidRPr="00C50388">
        <w:rPr>
          <w:rFonts w:ascii="Century Schoolbook" w:hAnsi="Century Schoolbook"/>
          <w:sz w:val="27"/>
          <w:szCs w:val="26"/>
        </w:rPr>
        <w:t xml:space="preserve"> 50 Cal.App.5th </w:t>
      </w:r>
      <w:r>
        <w:rPr>
          <w:rFonts w:ascii="Century Schoolbook" w:hAnsi="Century Schoolbook"/>
          <w:sz w:val="27"/>
          <w:szCs w:val="26"/>
        </w:rPr>
        <w:t>805,</w:t>
      </w:r>
      <w:r>
        <w:rPr>
          <w:rFonts w:ascii="Century Schoolbook" w:hAnsi="Century Schoolbook"/>
          <w:sz w:val="27"/>
          <w:szCs w:val="26"/>
        </w:rPr>
        <w:t xml:space="preserve"> </w:t>
      </w:r>
      <w:r w:rsidRPr="00C50388">
        <w:rPr>
          <w:rFonts w:ascii="Century Schoolbook" w:hAnsi="Century Schoolbook"/>
          <w:sz w:val="27"/>
          <w:szCs w:val="26"/>
        </w:rPr>
        <w:t>820</w:t>
      </w:r>
      <w:r>
        <w:rPr>
          <w:rFonts w:ascii="Century Schoolbook" w:hAnsi="Century Schoolbook"/>
          <w:sz w:val="27"/>
          <w:szCs w:val="26"/>
        </w:rPr>
        <w:t xml:space="preserve"> (</w:t>
      </w:r>
      <w:r>
        <w:rPr>
          <w:rFonts w:ascii="Century Schoolbook" w:hAnsi="Century Schoolbook"/>
          <w:i/>
          <w:iCs/>
          <w:sz w:val="27"/>
          <w:szCs w:val="26"/>
        </w:rPr>
        <w:t>Sandlin</w:t>
      </w:r>
      <w:r>
        <w:rPr>
          <w:rFonts w:ascii="Century Schoolbook" w:hAnsi="Century Schoolbook"/>
          <w:sz w:val="27"/>
          <w:szCs w:val="26"/>
        </w:rPr>
        <w:t>)</w:t>
      </w:r>
      <w:r w:rsidRPr="00C50388">
        <w:rPr>
          <w:rFonts w:ascii="Century Schoolbook" w:hAnsi="Century Schoolbook"/>
          <w:sz w:val="27"/>
          <w:szCs w:val="26"/>
        </w:rPr>
        <w:t xml:space="preserve">.)  </w:t>
      </w:r>
    </w:p>
    <w:p w:rsidR="00187CD0" w:rsidRPr="00C50388" w:rsidP="00C47792">
      <w:pPr>
        <w:spacing w:after="100" w:line="400" w:lineRule="exact"/>
        <w:ind w:firstLine="720"/>
        <w:jc w:val="both"/>
        <w:rPr>
          <w:rFonts w:ascii="Century Schoolbook" w:hAnsi="Century Schoolbook"/>
          <w:sz w:val="27"/>
          <w:szCs w:val="26"/>
        </w:rPr>
      </w:pPr>
      <w:r w:rsidRPr="00C50388">
        <w:rPr>
          <w:rFonts w:ascii="Century Schoolbook" w:hAnsi="Century Schoolbook"/>
          <w:sz w:val="27"/>
          <w:szCs w:val="26"/>
        </w:rPr>
        <w:t xml:space="preserve">Relying on this practice of </w:t>
      </w:r>
      <w:r w:rsidRPr="00C50388">
        <w:rPr>
          <w:rFonts w:ascii="Century Schoolbook" w:hAnsi="Century Schoolbook"/>
          <w:i/>
          <w:iCs/>
          <w:sz w:val="27"/>
          <w:szCs w:val="26"/>
        </w:rPr>
        <w:t>permitting</w:t>
      </w:r>
      <w:r w:rsidRPr="00C50388">
        <w:rPr>
          <w:rFonts w:ascii="Century Schoolbook" w:hAnsi="Century Schoolbook"/>
          <w:sz w:val="27"/>
          <w:szCs w:val="26"/>
        </w:rPr>
        <w:t xml:space="preserve"> an appeal by deeming a sufficiently final order or other ruling to be appealable, the Court of Appeal in this case </w:t>
      </w:r>
      <w:r w:rsidRPr="00C50388">
        <w:rPr>
          <w:rFonts w:ascii="Century Schoolbook" w:hAnsi="Century Schoolbook"/>
          <w:i/>
          <w:iCs/>
          <w:sz w:val="27"/>
          <w:szCs w:val="26"/>
        </w:rPr>
        <w:t>dismissed</w:t>
      </w:r>
      <w:r w:rsidRPr="00C50388">
        <w:rPr>
          <w:rFonts w:ascii="Century Schoolbook" w:hAnsi="Century Schoolbook"/>
          <w:sz w:val="27"/>
          <w:szCs w:val="26"/>
        </w:rPr>
        <w:t xml:space="preserve"> the appeal, holding that in administrative mandate proceedings the filing</w:t>
      </w:r>
      <w:r w:rsidRPr="00C50388">
        <w:rPr>
          <w:rFonts w:ascii="Century Schoolbook" w:hAnsi="Century Schoolbook"/>
          <w:sz w:val="27"/>
          <w:szCs w:val="26"/>
        </w:rPr>
        <w:t xml:space="preserve"> of such an order is also the entry of judgment from which the time to appeal under rule 8.104(a)(1) begins.  (</w:t>
      </w:r>
      <w:r w:rsidRPr="00C50388">
        <w:rPr>
          <w:rFonts w:ascii="Century Schoolbook" w:hAnsi="Century Schoolbook"/>
          <w:i/>
          <w:iCs/>
          <w:sz w:val="27"/>
          <w:szCs w:val="26"/>
        </w:rPr>
        <w:t>Meinhardt</w:t>
      </w:r>
      <w:r w:rsidRPr="00C50388">
        <w:rPr>
          <w:rFonts w:ascii="Century Schoolbook" w:hAnsi="Century Schoolbook"/>
          <w:sz w:val="27"/>
          <w:szCs w:val="26"/>
        </w:rPr>
        <w:t xml:space="preserve">, </w:t>
      </w:r>
      <w:r w:rsidRPr="00C50388">
        <w:rPr>
          <w:rFonts w:ascii="Century Schoolbook" w:hAnsi="Century Schoolbook"/>
          <w:i/>
          <w:iCs/>
          <w:sz w:val="27"/>
          <w:szCs w:val="26"/>
        </w:rPr>
        <w:t>supra</w:t>
      </w:r>
      <w:r w:rsidRPr="00C50388">
        <w:rPr>
          <w:rFonts w:ascii="Century Schoolbook" w:hAnsi="Century Schoolbook"/>
          <w:sz w:val="27"/>
          <w:szCs w:val="26"/>
        </w:rPr>
        <w:t>, 76 Cal.App.5th at p.</w:t>
      </w:r>
      <w:r>
        <w:rPr>
          <w:rFonts w:ascii="Century Schoolbook" w:hAnsi="Century Schoolbook"/>
          <w:sz w:val="27"/>
          <w:szCs w:val="26"/>
        </w:rPr>
        <w:t xml:space="preserve"> </w:t>
      </w:r>
      <w:r w:rsidRPr="00C50388">
        <w:rPr>
          <w:rFonts w:ascii="Century Schoolbook" w:hAnsi="Century Schoolbook"/>
          <w:sz w:val="27"/>
          <w:szCs w:val="26"/>
        </w:rPr>
        <w:t>55.)</w:t>
      </w:r>
      <w:r>
        <w:rPr>
          <w:rStyle w:val="FootnoteReference"/>
          <w:szCs w:val="26"/>
          <w:vertAlign w:val="superscript"/>
        </w:rPr>
        <w:footnoteReference w:id="10"/>
      </w:r>
      <w:r w:rsidRPr="00C50388">
        <w:rPr>
          <w:rFonts w:ascii="Century Schoolbook" w:hAnsi="Century Schoolbook"/>
          <w:sz w:val="27"/>
          <w:szCs w:val="26"/>
        </w:rPr>
        <w:t xml:space="preserve"> </w:t>
      </w:r>
      <w:r>
        <w:rPr>
          <w:rFonts w:ascii="Century Schoolbook" w:hAnsi="Century Schoolbook"/>
          <w:sz w:val="27"/>
          <w:szCs w:val="26"/>
        </w:rPr>
        <w:t xml:space="preserve"> </w:t>
      </w:r>
      <w:r w:rsidRPr="00C50388">
        <w:rPr>
          <w:rFonts w:ascii="Century Schoolbook" w:hAnsi="Century Schoolbook"/>
          <w:sz w:val="27"/>
          <w:szCs w:val="26"/>
        </w:rPr>
        <w:t>For reasons that follow, we reject this approach.</w:t>
      </w:r>
    </w:p>
    <w:p w:rsidR="00187CD0" w:rsidRPr="00C50388" w:rsidP="00C47792">
      <w:pPr>
        <w:spacing w:after="100" w:line="400" w:lineRule="exact"/>
        <w:ind w:firstLine="720"/>
        <w:jc w:val="both"/>
        <w:rPr>
          <w:rFonts w:ascii="Century Schoolbook" w:hAnsi="Century Schoolbook"/>
          <w:sz w:val="27"/>
          <w:szCs w:val="26"/>
        </w:rPr>
      </w:pPr>
      <w:r w:rsidRPr="00C50388">
        <w:rPr>
          <w:rFonts w:ascii="Century Schoolbook" w:hAnsi="Century Schoolbook"/>
          <w:sz w:val="27"/>
          <w:szCs w:val="26"/>
        </w:rPr>
        <w:t xml:space="preserve">In </w:t>
      </w:r>
      <w:r w:rsidRPr="00C50388">
        <w:rPr>
          <w:rFonts w:ascii="Century Schoolbook" w:hAnsi="Century Schoolbook"/>
          <w:i/>
          <w:iCs/>
          <w:sz w:val="27"/>
          <w:szCs w:val="26"/>
        </w:rPr>
        <w:t>Alan</w:t>
      </w:r>
      <w:r w:rsidRPr="00C50388">
        <w:rPr>
          <w:rFonts w:ascii="Century Schoolbook" w:hAnsi="Century Schoolbook"/>
          <w:sz w:val="27"/>
          <w:szCs w:val="26"/>
        </w:rPr>
        <w:t>, the Court of Appeal dismissed as untime</w:t>
      </w:r>
      <w:r w:rsidRPr="00C50388">
        <w:rPr>
          <w:rFonts w:ascii="Century Schoolbook" w:hAnsi="Century Schoolbook"/>
          <w:sz w:val="27"/>
          <w:szCs w:val="26"/>
        </w:rPr>
        <w:t>ly an appeal from an order denying class certification</w:t>
      </w:r>
      <w:r>
        <w:rPr>
          <w:rStyle w:val="FootnoteReference"/>
          <w:szCs w:val="26"/>
          <w:vertAlign w:val="superscript"/>
        </w:rPr>
        <w:footnoteReference w:id="11"/>
      </w:r>
      <w:r w:rsidRPr="00C50388">
        <w:rPr>
          <w:rFonts w:ascii="Century Schoolbook" w:hAnsi="Century Schoolbook"/>
          <w:sz w:val="27"/>
          <w:szCs w:val="26"/>
        </w:rPr>
        <w:t xml:space="preserve"> because a minute order entitled “Ruling on Submitted Matter,” with an accompanying Statement of Decision, had been mailed to the parties 63</w:t>
      </w:r>
      <w:r>
        <w:rPr>
          <w:rFonts w:ascii="Century Schoolbook" w:hAnsi="Century Schoolbook"/>
          <w:sz w:val="27"/>
          <w:szCs w:val="26"/>
        </w:rPr>
        <w:t xml:space="preserve"> </w:t>
      </w:r>
      <w:r w:rsidRPr="00C50388">
        <w:rPr>
          <w:rFonts w:ascii="Century Schoolbook" w:hAnsi="Century Schoolbook"/>
          <w:sz w:val="27"/>
          <w:szCs w:val="26"/>
        </w:rPr>
        <w:t>days earlier.  (</w:t>
      </w:r>
      <w:r w:rsidRPr="00C50388">
        <w:rPr>
          <w:rFonts w:ascii="Century Schoolbook" w:hAnsi="Century Schoolbook"/>
          <w:i/>
          <w:iCs/>
          <w:sz w:val="27"/>
          <w:szCs w:val="26"/>
        </w:rPr>
        <w:t>Alan</w:t>
      </w:r>
      <w:r w:rsidRPr="00C50388">
        <w:rPr>
          <w:rFonts w:ascii="Century Schoolbook" w:hAnsi="Century Schoolbook"/>
          <w:sz w:val="27"/>
          <w:szCs w:val="26"/>
        </w:rPr>
        <w:t xml:space="preserve">, </w:t>
      </w:r>
      <w:r w:rsidRPr="00C50388">
        <w:rPr>
          <w:rFonts w:ascii="Century Schoolbook" w:hAnsi="Century Schoolbook"/>
          <w:i/>
          <w:iCs/>
          <w:sz w:val="27"/>
          <w:szCs w:val="26"/>
        </w:rPr>
        <w:t>supra</w:t>
      </w:r>
      <w:r w:rsidRPr="00C50388">
        <w:rPr>
          <w:rFonts w:ascii="Century Schoolbook" w:hAnsi="Century Schoolbook"/>
          <w:sz w:val="27"/>
          <w:szCs w:val="26"/>
        </w:rPr>
        <w:t>, 40 Cal.4th at p.</w:t>
      </w:r>
      <w:r>
        <w:rPr>
          <w:rFonts w:ascii="Century Schoolbook" w:hAnsi="Century Schoolbook"/>
          <w:sz w:val="27"/>
          <w:szCs w:val="26"/>
        </w:rPr>
        <w:t> </w:t>
      </w:r>
      <w:r w:rsidRPr="00C50388">
        <w:rPr>
          <w:rFonts w:ascii="Century Schoolbook" w:hAnsi="Century Schoolbook"/>
          <w:sz w:val="27"/>
          <w:szCs w:val="26"/>
        </w:rPr>
        <w:t>89</w:t>
      </w:r>
      <w:r>
        <w:rPr>
          <w:rFonts w:ascii="Century Schoolbook" w:hAnsi="Century Schoolbook"/>
          <w:sz w:val="27"/>
          <w:szCs w:val="26"/>
        </w:rPr>
        <w:t xml:space="preserve">8, </w:t>
      </w:r>
      <w:r>
        <w:rPr>
          <w:rFonts w:ascii="Century Schoolbook" w:hAnsi="Century Schoolbook"/>
          <w:sz w:val="27"/>
          <w:szCs w:val="26"/>
        </w:rPr>
        <w:t>capitalization omitted</w:t>
      </w:r>
      <w:r w:rsidRPr="00C50388">
        <w:rPr>
          <w:rFonts w:ascii="Century Schoolbook" w:hAnsi="Century Schoolbook"/>
          <w:sz w:val="27"/>
          <w:szCs w:val="26"/>
        </w:rPr>
        <w:t>.)  Our court reversed, holding that unless and until a proper “</w:t>
      </w:r>
      <w:r>
        <w:rPr>
          <w:rFonts w:ascii="Century Schoolbook" w:hAnsi="Century Schoolbook"/>
          <w:sz w:val="27"/>
          <w:szCs w:val="26"/>
        </w:rPr>
        <w:t> ‘</w:t>
      </w:r>
      <w:r w:rsidRPr="00C50388">
        <w:rPr>
          <w:rFonts w:ascii="Century Schoolbook" w:hAnsi="Century Schoolbook"/>
          <w:sz w:val="27"/>
          <w:szCs w:val="26"/>
        </w:rPr>
        <w:t>Notice of Entry</w:t>
      </w:r>
      <w:r>
        <w:rPr>
          <w:rFonts w:ascii="Century Schoolbook" w:hAnsi="Century Schoolbook"/>
          <w:sz w:val="27"/>
          <w:szCs w:val="26"/>
        </w:rPr>
        <w:t>’ </w:t>
      </w:r>
      <w:r w:rsidRPr="00C50388">
        <w:rPr>
          <w:rFonts w:ascii="Century Schoolbook" w:hAnsi="Century Schoolbook"/>
          <w:sz w:val="27"/>
          <w:szCs w:val="26"/>
        </w:rPr>
        <w:t>” was served, the 60-day period in which to file the appeal under rule 8.104(a)(1) had not commenced.  (</w:t>
      </w:r>
      <w:r w:rsidRPr="00C50388">
        <w:rPr>
          <w:rFonts w:ascii="Century Schoolbook" w:hAnsi="Century Schoolbook"/>
          <w:i/>
          <w:iCs/>
          <w:sz w:val="27"/>
          <w:szCs w:val="26"/>
        </w:rPr>
        <w:t>Id</w:t>
      </w:r>
      <w:r w:rsidRPr="00C50388">
        <w:rPr>
          <w:rFonts w:ascii="Century Schoolbook" w:hAnsi="Century Schoolbook"/>
          <w:sz w:val="27"/>
          <w:szCs w:val="26"/>
        </w:rPr>
        <w:t>. at p. 905.)  We acknowledged that a stateme</w:t>
      </w:r>
      <w:r w:rsidRPr="00C50388">
        <w:rPr>
          <w:rFonts w:ascii="Century Schoolbook" w:hAnsi="Century Schoolbook"/>
          <w:sz w:val="27"/>
          <w:szCs w:val="26"/>
        </w:rPr>
        <w:t>nt of decision may, under some circumstances, be construed as the final judgment:  “Reviewing courts have discretion to treat statements of decision as appealable when they must, as when a statement of decision is signed and filed and does, in fact, consti</w:t>
      </w:r>
      <w:r w:rsidRPr="00C50388">
        <w:rPr>
          <w:rFonts w:ascii="Century Schoolbook" w:hAnsi="Century Schoolbook"/>
          <w:sz w:val="27"/>
          <w:szCs w:val="26"/>
        </w:rPr>
        <w:t>tute the court’s final decision on the merits.”  (</w:t>
      </w:r>
      <w:r w:rsidRPr="00C50388">
        <w:rPr>
          <w:rFonts w:ascii="Century Schoolbook" w:hAnsi="Century Schoolbook"/>
          <w:i/>
          <w:iCs/>
          <w:sz w:val="27"/>
          <w:szCs w:val="26"/>
        </w:rPr>
        <w:t>Id</w:t>
      </w:r>
      <w:r w:rsidRPr="00C50388">
        <w:rPr>
          <w:rFonts w:ascii="Century Schoolbook" w:hAnsi="Century Schoolbook"/>
          <w:sz w:val="27"/>
          <w:szCs w:val="26"/>
        </w:rPr>
        <w:t>. at p. 90</w:t>
      </w:r>
      <w:r>
        <w:rPr>
          <w:rFonts w:ascii="Century Schoolbook" w:hAnsi="Century Schoolbook"/>
          <w:sz w:val="27"/>
          <w:szCs w:val="26"/>
        </w:rPr>
        <w:t>1</w:t>
      </w:r>
      <w:r w:rsidRPr="00C50388">
        <w:rPr>
          <w:rFonts w:ascii="Century Schoolbook" w:hAnsi="Century Schoolbook"/>
          <w:sz w:val="27"/>
          <w:szCs w:val="26"/>
        </w:rPr>
        <w:t xml:space="preserve">.)  However, we declined to construe a court’s ruling as an appealable judgment for the purpose </w:t>
      </w:r>
      <w:r w:rsidRPr="00C50388">
        <w:rPr>
          <w:rFonts w:ascii="Century Schoolbook" w:hAnsi="Century Schoolbook"/>
          <w:i/>
          <w:iCs/>
          <w:sz w:val="27"/>
          <w:szCs w:val="26"/>
        </w:rPr>
        <w:t>of barring</w:t>
      </w:r>
      <w:r w:rsidRPr="00C50388">
        <w:rPr>
          <w:rFonts w:ascii="Century Schoolbook" w:hAnsi="Century Schoolbook"/>
          <w:sz w:val="27"/>
          <w:szCs w:val="26"/>
        </w:rPr>
        <w:t xml:space="preserve"> appeal:  “Certainly the desire to cut off a litigant’s right to appeal cannot justify </w:t>
      </w:r>
      <w:r w:rsidRPr="00C50388">
        <w:rPr>
          <w:rFonts w:ascii="Century Schoolbook" w:hAnsi="Century Schoolbook"/>
          <w:sz w:val="27"/>
          <w:szCs w:val="26"/>
        </w:rPr>
        <w:t>creating an exception to the general rule.  Such an exception would directly contravene ‘</w:t>
      </w:r>
      <w:r>
        <w:rPr>
          <w:rFonts w:ascii="Century Schoolbook" w:hAnsi="Century Schoolbook"/>
          <w:sz w:val="27"/>
          <w:szCs w:val="26"/>
        </w:rPr>
        <w:t xml:space="preserve">the </w:t>
      </w:r>
      <w:r w:rsidRPr="00C50388">
        <w:rPr>
          <w:rFonts w:ascii="Century Schoolbook" w:hAnsi="Century Schoolbook"/>
          <w:sz w:val="27"/>
          <w:szCs w:val="26"/>
        </w:rPr>
        <w:t>well-established policy, based on the remedial character of the right of appeal, of according that right in doubtful cases “when such can be accomplished without d</w:t>
      </w:r>
      <w:r w:rsidRPr="00C50388">
        <w:rPr>
          <w:rFonts w:ascii="Century Schoolbook" w:hAnsi="Century Schoolbook"/>
          <w:sz w:val="27"/>
          <w:szCs w:val="26"/>
        </w:rPr>
        <w:t>oing violence to applicable rules.” ’</w:t>
      </w:r>
      <w:r>
        <w:rPr>
          <w:rFonts w:ascii="Century Schoolbook" w:hAnsi="Century Schoolbook"/>
          <w:sz w:val="27"/>
          <w:szCs w:val="26"/>
        </w:rPr>
        <w:t> </w:t>
      </w:r>
      <w:r w:rsidRPr="00C50388">
        <w:rPr>
          <w:rFonts w:ascii="Century Schoolbook" w:hAnsi="Century Schoolbook"/>
          <w:sz w:val="27"/>
          <w:szCs w:val="26"/>
        </w:rPr>
        <w:t>”  (</w:t>
      </w:r>
      <w:r>
        <w:rPr>
          <w:rFonts w:ascii="Century Schoolbook" w:hAnsi="Century Schoolbook"/>
          <w:i/>
          <w:iCs/>
          <w:sz w:val="27"/>
          <w:szCs w:val="26"/>
        </w:rPr>
        <w:t>Ibid</w:t>
      </w:r>
      <w:r>
        <w:rPr>
          <w:rFonts w:ascii="Century Schoolbook" w:hAnsi="Century Schoolbook"/>
          <w:sz w:val="27"/>
          <w:szCs w:val="26"/>
        </w:rPr>
        <w:t>.</w:t>
      </w:r>
      <w:r w:rsidRPr="00C50388">
        <w:rPr>
          <w:rFonts w:ascii="Century Schoolbook" w:hAnsi="Century Schoolbook"/>
          <w:sz w:val="27"/>
          <w:szCs w:val="26"/>
        </w:rPr>
        <w:t xml:space="preserve">)  We also emphasized the importance of insuring clear rules govern the right to appeal:  </w:t>
      </w:r>
      <w:r>
        <w:rPr>
          <w:rFonts w:ascii="Century Schoolbook" w:hAnsi="Century Schoolbook"/>
          <w:sz w:val="27"/>
          <w:szCs w:val="26"/>
        </w:rPr>
        <w:t>“</w:t>
      </w:r>
      <w:r w:rsidRPr="00C50388">
        <w:rPr>
          <w:rFonts w:ascii="Century Schoolbook" w:hAnsi="Century Schoolbook"/>
          <w:sz w:val="27"/>
          <w:szCs w:val="26"/>
        </w:rPr>
        <w:t xml:space="preserve">rule </w:t>
      </w:r>
      <w:r>
        <w:rPr>
          <w:rFonts w:ascii="Century Schoolbook" w:hAnsi="Century Schoolbook"/>
          <w:sz w:val="27"/>
          <w:szCs w:val="26"/>
        </w:rPr>
        <w:t>[</w:t>
      </w:r>
      <w:r w:rsidRPr="00C50388">
        <w:rPr>
          <w:rFonts w:ascii="Century Schoolbook" w:hAnsi="Century Schoolbook"/>
          <w:sz w:val="27"/>
          <w:szCs w:val="26"/>
        </w:rPr>
        <w:t>8.104</w:t>
      </w:r>
      <w:r>
        <w:rPr>
          <w:rFonts w:ascii="Century Schoolbook" w:hAnsi="Century Schoolbook"/>
          <w:sz w:val="27"/>
          <w:szCs w:val="26"/>
        </w:rPr>
        <w:t>(a)(1)]</w:t>
      </w:r>
      <w:r w:rsidRPr="00C50388">
        <w:rPr>
          <w:rFonts w:ascii="Century Schoolbook" w:hAnsi="Century Schoolbook"/>
          <w:sz w:val="27"/>
          <w:szCs w:val="26"/>
        </w:rPr>
        <w:t xml:space="preserve"> does not require litigants to glean the required information from multiple documents or to guess, a</w:t>
      </w:r>
      <w:r w:rsidRPr="00C50388">
        <w:rPr>
          <w:rFonts w:ascii="Century Schoolbook" w:hAnsi="Century Schoolbook"/>
          <w:sz w:val="27"/>
          <w:szCs w:val="26"/>
        </w:rPr>
        <w:t>t their peril, whether such documents in combination trigger the duty to file a notice of appeal.  ‘Neither parties nor appellate courts should be required to speculate about jurisdictional time limits.’ ”  (</w:t>
      </w:r>
      <w:r>
        <w:rPr>
          <w:rFonts w:ascii="Century Schoolbook" w:hAnsi="Century Schoolbook"/>
          <w:i/>
          <w:iCs/>
          <w:sz w:val="27"/>
          <w:szCs w:val="26"/>
        </w:rPr>
        <w:t>Id.</w:t>
      </w:r>
      <w:r>
        <w:rPr>
          <w:rFonts w:ascii="Century Schoolbook" w:hAnsi="Century Schoolbook"/>
          <w:sz w:val="27"/>
          <w:szCs w:val="26"/>
        </w:rPr>
        <w:t xml:space="preserve"> </w:t>
      </w:r>
      <w:r w:rsidRPr="00C50388">
        <w:rPr>
          <w:rFonts w:ascii="Century Schoolbook" w:hAnsi="Century Schoolbook"/>
          <w:sz w:val="27"/>
          <w:szCs w:val="26"/>
        </w:rPr>
        <w:t xml:space="preserve">at p. 905.)  </w:t>
      </w:r>
    </w:p>
    <w:p w:rsidR="00187CD0" w:rsidRPr="00C50388" w:rsidP="00C47792">
      <w:pPr>
        <w:spacing w:after="100" w:line="400" w:lineRule="exact"/>
        <w:ind w:firstLine="720"/>
        <w:jc w:val="both"/>
        <w:rPr>
          <w:rFonts w:ascii="Century Schoolbook" w:hAnsi="Century Schoolbook"/>
          <w:sz w:val="27"/>
          <w:szCs w:val="26"/>
        </w:rPr>
      </w:pPr>
      <w:r w:rsidRPr="00C50388">
        <w:rPr>
          <w:rFonts w:ascii="Century Schoolbook" w:hAnsi="Century Schoolbook"/>
          <w:sz w:val="27"/>
          <w:szCs w:val="26"/>
        </w:rPr>
        <w:t xml:space="preserve">The Court of Appeal in </w:t>
      </w:r>
      <w:r w:rsidRPr="00C50388">
        <w:rPr>
          <w:rFonts w:ascii="Century Schoolbook" w:hAnsi="Century Schoolbook"/>
          <w:i/>
          <w:iCs/>
          <w:sz w:val="27"/>
          <w:szCs w:val="26"/>
        </w:rPr>
        <w:t>Davis v</w:t>
      </w:r>
      <w:r w:rsidRPr="00C50388">
        <w:rPr>
          <w:rFonts w:ascii="Century Schoolbook" w:hAnsi="Century Schoolbook"/>
          <w:i/>
          <w:iCs/>
          <w:sz w:val="27"/>
          <w:szCs w:val="26"/>
        </w:rPr>
        <w:t>. Superior Court</w:t>
      </w:r>
      <w:r w:rsidRPr="00C50388">
        <w:rPr>
          <w:rFonts w:ascii="Century Schoolbook" w:hAnsi="Century Schoolbook"/>
          <w:sz w:val="27"/>
          <w:szCs w:val="26"/>
        </w:rPr>
        <w:t xml:space="preserve"> (2011) 196 Cal.App.4th 669</w:t>
      </w:r>
      <w:r>
        <w:rPr>
          <w:rFonts w:ascii="Century Schoolbook" w:hAnsi="Century Schoolbook"/>
          <w:sz w:val="27"/>
          <w:szCs w:val="26"/>
        </w:rPr>
        <w:t xml:space="preserve"> (</w:t>
      </w:r>
      <w:r>
        <w:rPr>
          <w:rFonts w:ascii="Century Schoolbook" w:hAnsi="Century Schoolbook"/>
          <w:i/>
          <w:iCs/>
          <w:sz w:val="27"/>
          <w:szCs w:val="26"/>
        </w:rPr>
        <w:t>Davis</w:t>
      </w:r>
      <w:r>
        <w:rPr>
          <w:rFonts w:ascii="Century Schoolbook" w:hAnsi="Century Schoolbook"/>
          <w:sz w:val="27"/>
          <w:szCs w:val="26"/>
        </w:rPr>
        <w:t>)</w:t>
      </w:r>
      <w:r w:rsidRPr="00C50388">
        <w:rPr>
          <w:rFonts w:ascii="Century Schoolbook" w:hAnsi="Century Schoolbook"/>
          <w:sz w:val="27"/>
          <w:szCs w:val="26"/>
        </w:rPr>
        <w:t xml:space="preserve">, similarly distinguished between treating a ruling as a judgment </w:t>
      </w:r>
      <w:r w:rsidRPr="00C50388">
        <w:rPr>
          <w:rFonts w:ascii="Century Schoolbook" w:hAnsi="Century Schoolbook"/>
          <w:i/>
          <w:iCs/>
          <w:sz w:val="27"/>
          <w:szCs w:val="26"/>
        </w:rPr>
        <w:t xml:space="preserve">for the purpose of preserving </w:t>
      </w:r>
      <w:r w:rsidRPr="00C50388">
        <w:rPr>
          <w:rFonts w:ascii="Century Schoolbook" w:hAnsi="Century Schoolbook"/>
          <w:sz w:val="27"/>
          <w:szCs w:val="26"/>
        </w:rPr>
        <w:t xml:space="preserve">an appeal and doing so </w:t>
      </w:r>
      <w:r w:rsidRPr="00C50388">
        <w:rPr>
          <w:rFonts w:ascii="Century Schoolbook" w:hAnsi="Century Schoolbook"/>
          <w:i/>
          <w:iCs/>
          <w:sz w:val="27"/>
          <w:szCs w:val="26"/>
        </w:rPr>
        <w:t>to deny</w:t>
      </w:r>
      <w:r w:rsidRPr="00C50388">
        <w:rPr>
          <w:rFonts w:ascii="Century Schoolbook" w:hAnsi="Century Schoolbook"/>
          <w:sz w:val="27"/>
          <w:szCs w:val="26"/>
        </w:rPr>
        <w:t xml:space="preserve"> a party’s right of appeal.  The question in </w:t>
      </w:r>
      <w:r w:rsidRPr="00C50388">
        <w:rPr>
          <w:rFonts w:ascii="Century Schoolbook" w:hAnsi="Century Schoolbook"/>
          <w:i/>
          <w:iCs/>
          <w:sz w:val="27"/>
          <w:szCs w:val="26"/>
        </w:rPr>
        <w:t xml:space="preserve">Davis </w:t>
      </w:r>
      <w:r w:rsidRPr="00C50388">
        <w:rPr>
          <w:rFonts w:ascii="Century Schoolbook" w:hAnsi="Century Schoolbook"/>
          <w:sz w:val="27"/>
          <w:szCs w:val="26"/>
        </w:rPr>
        <w:t>was whether the notice of ap</w:t>
      </w:r>
      <w:r w:rsidRPr="00C50388">
        <w:rPr>
          <w:rFonts w:ascii="Century Schoolbook" w:hAnsi="Century Schoolbook"/>
          <w:sz w:val="27"/>
          <w:szCs w:val="26"/>
        </w:rPr>
        <w:t xml:space="preserve">peal, filed from a judgment granting summary judgment, was timely when a prior “order” granted the same relief.  The Court of Appeal stated:  “In </w:t>
      </w:r>
      <w:r w:rsidRPr="00C50388">
        <w:rPr>
          <w:rFonts w:ascii="Century Schoolbook" w:hAnsi="Century Schoolbook"/>
          <w:i/>
          <w:iCs/>
          <w:sz w:val="27"/>
          <w:szCs w:val="26"/>
        </w:rPr>
        <w:t xml:space="preserve">Swain </w:t>
      </w:r>
      <w:r w:rsidRPr="00C50388">
        <w:rPr>
          <w:rFonts w:ascii="Century Schoolbook" w:hAnsi="Century Schoolbook"/>
          <w:sz w:val="27"/>
          <w:szCs w:val="26"/>
        </w:rPr>
        <w:t>[</w:t>
      </w:r>
      <w:r w:rsidRPr="00C50388">
        <w:rPr>
          <w:rFonts w:ascii="Century Schoolbook" w:hAnsi="Century Schoolbook"/>
          <w:i/>
          <w:iCs/>
          <w:sz w:val="27"/>
          <w:szCs w:val="26"/>
        </w:rPr>
        <w:t>v. California Casualty Ins. Co.</w:t>
      </w:r>
      <w:r w:rsidRPr="00C50388">
        <w:rPr>
          <w:rFonts w:ascii="Century Schoolbook" w:hAnsi="Century Schoolbook"/>
          <w:sz w:val="27"/>
          <w:szCs w:val="26"/>
        </w:rPr>
        <w:t xml:space="preserve"> (1999) 99 Cal.App.4th 1</w:t>
      </w:r>
      <w:r>
        <w:rPr>
          <w:rFonts w:ascii="Century Schoolbook" w:hAnsi="Century Schoolbook"/>
          <w:sz w:val="27"/>
          <w:szCs w:val="26"/>
        </w:rPr>
        <w:t>, 6</w:t>
      </w:r>
      <w:r w:rsidRPr="00C50388">
        <w:rPr>
          <w:rFonts w:ascii="Century Schoolbook" w:hAnsi="Century Schoolbook"/>
          <w:sz w:val="27"/>
          <w:szCs w:val="26"/>
        </w:rPr>
        <w:t xml:space="preserve">], the appellate court’s willingness to read </w:t>
      </w:r>
      <w:r w:rsidRPr="00C50388">
        <w:rPr>
          <w:rFonts w:ascii="Century Schoolbook" w:hAnsi="Century Schoolbook"/>
          <w:sz w:val="27"/>
          <w:szCs w:val="26"/>
        </w:rPr>
        <w:t>the language of the court’s order as constituting the court’s judgment vindicated the right to appeal</w:t>
      </w:r>
      <w:r>
        <w:rPr>
          <w:rFonts w:ascii="Century Schoolbook" w:hAnsi="Century Schoolbook"/>
          <w:sz w:val="27"/>
          <w:szCs w:val="26"/>
        </w:rPr>
        <w:t> . . . </w:t>
      </w:r>
      <w:r w:rsidRPr="00C50388">
        <w:rPr>
          <w:rFonts w:ascii="Century Schoolbook" w:hAnsi="Century Schoolbook"/>
          <w:sz w:val="27"/>
          <w:szCs w:val="26"/>
        </w:rPr>
        <w:t>. Here, in contrast, construing the trial court’s language as its judgment when it was styled as an order extinguishes the right to appeal.  Consist</w:t>
      </w:r>
      <w:r w:rsidRPr="00C50388">
        <w:rPr>
          <w:rFonts w:ascii="Century Schoolbook" w:hAnsi="Century Schoolbook"/>
          <w:sz w:val="27"/>
          <w:szCs w:val="26"/>
        </w:rPr>
        <w:t xml:space="preserve">ent with the importance of the right to appeal, we conclude that denying Davis his appellate rights requires more than an ‘order’ (the court’s own title for its ruling) </w:t>
      </w:r>
      <w:r>
        <w:rPr>
          <w:rFonts w:ascii="Century Schoolbook" w:hAnsi="Century Schoolbook"/>
          <w:sz w:val="27"/>
          <w:szCs w:val="26"/>
        </w:rPr>
        <w:t>dressed up</w:t>
      </w:r>
      <w:r w:rsidRPr="00C50388">
        <w:rPr>
          <w:rFonts w:ascii="Century Schoolbook" w:hAnsi="Century Schoolbook"/>
          <w:sz w:val="27"/>
          <w:szCs w:val="26"/>
        </w:rPr>
        <w:t xml:space="preserve"> to masquerade as a ‘judgment.’ ”  (</w:t>
      </w:r>
      <w:r w:rsidRPr="00C50388">
        <w:rPr>
          <w:rFonts w:ascii="Century Schoolbook" w:hAnsi="Century Schoolbook"/>
          <w:i/>
          <w:iCs/>
          <w:sz w:val="27"/>
          <w:szCs w:val="26"/>
        </w:rPr>
        <w:t>Davis</w:t>
      </w:r>
      <w:r w:rsidRPr="00C50388">
        <w:rPr>
          <w:rFonts w:ascii="Century Schoolbook" w:hAnsi="Century Schoolbook"/>
          <w:sz w:val="27"/>
          <w:szCs w:val="26"/>
        </w:rPr>
        <w:t>,  at p. 674.)</w:t>
      </w:r>
    </w:p>
    <w:p w:rsidR="00187CD0" w:rsidRPr="00C50388" w:rsidP="00C47792">
      <w:pPr>
        <w:spacing w:after="100" w:line="400" w:lineRule="exact"/>
        <w:ind w:firstLine="720"/>
        <w:jc w:val="both"/>
        <w:rPr>
          <w:rFonts w:ascii="Century Schoolbook" w:hAnsi="Century Schoolbook"/>
          <w:sz w:val="27"/>
          <w:szCs w:val="26"/>
        </w:rPr>
      </w:pPr>
      <w:r w:rsidRPr="00C50388">
        <w:rPr>
          <w:rFonts w:ascii="Century Schoolbook" w:hAnsi="Century Schoolbook"/>
          <w:sz w:val="27"/>
          <w:szCs w:val="26"/>
        </w:rPr>
        <w:t xml:space="preserve">Similarly, here, the </w:t>
      </w:r>
      <w:r w:rsidRPr="00C50388">
        <w:rPr>
          <w:rFonts w:ascii="Century Schoolbook" w:hAnsi="Century Schoolbook"/>
          <w:sz w:val="27"/>
          <w:szCs w:val="26"/>
        </w:rPr>
        <w:t xml:space="preserve">fact that an appellate court may preserve an appeal by deeming an order or other ruling to be a judgment does not necessarily mean the order or ruling </w:t>
      </w:r>
      <w:r w:rsidRPr="00C50388">
        <w:rPr>
          <w:rFonts w:ascii="Century Schoolbook" w:hAnsi="Century Schoolbook"/>
          <w:i/>
          <w:iCs/>
          <w:sz w:val="27"/>
          <w:szCs w:val="26"/>
        </w:rPr>
        <w:t>is</w:t>
      </w:r>
      <w:r w:rsidRPr="00C50388">
        <w:rPr>
          <w:rFonts w:ascii="Century Schoolbook" w:hAnsi="Century Schoolbook"/>
          <w:sz w:val="27"/>
          <w:szCs w:val="26"/>
        </w:rPr>
        <w:t xml:space="preserve"> the judgment for all purposes, including commencing the time in which an appeal may be taken.  It is i</w:t>
      </w:r>
      <w:r w:rsidRPr="00C50388">
        <w:rPr>
          <w:rFonts w:ascii="Century Schoolbook" w:hAnsi="Century Schoolbook"/>
          <w:sz w:val="27"/>
          <w:szCs w:val="26"/>
        </w:rPr>
        <w:t xml:space="preserve">n the context of </w:t>
      </w:r>
      <w:r w:rsidRPr="00C50388">
        <w:rPr>
          <w:rFonts w:ascii="Century Schoolbook" w:hAnsi="Century Schoolbook"/>
          <w:i/>
          <w:iCs/>
          <w:sz w:val="27"/>
          <w:szCs w:val="26"/>
        </w:rPr>
        <w:t xml:space="preserve">preserving </w:t>
      </w:r>
      <w:r w:rsidRPr="00C50388">
        <w:rPr>
          <w:rFonts w:ascii="Century Schoolbook" w:hAnsi="Century Schoolbook"/>
          <w:sz w:val="27"/>
          <w:szCs w:val="26"/>
        </w:rPr>
        <w:t>the right to appeal that we have stated that an order or other ruling constitutes a judgment.  We are aware of no case of this court construing a court’s ruling to be a judgment for the purpose of</w:t>
      </w:r>
      <w:r w:rsidRPr="00C50388">
        <w:rPr>
          <w:rFonts w:ascii="Century Schoolbook" w:hAnsi="Century Schoolbook"/>
          <w:i/>
          <w:iCs/>
          <w:sz w:val="27"/>
          <w:szCs w:val="26"/>
        </w:rPr>
        <w:t xml:space="preserve"> dismissing</w:t>
      </w:r>
      <w:r w:rsidRPr="00C50388">
        <w:rPr>
          <w:rFonts w:ascii="Century Schoolbook" w:hAnsi="Century Schoolbook"/>
          <w:sz w:val="27"/>
          <w:szCs w:val="26"/>
        </w:rPr>
        <w:t xml:space="preserve"> an appeal as untimel</w:t>
      </w:r>
      <w:r w:rsidRPr="00C50388">
        <w:rPr>
          <w:rFonts w:ascii="Century Schoolbook" w:hAnsi="Century Schoolbook"/>
          <w:sz w:val="27"/>
          <w:szCs w:val="26"/>
        </w:rPr>
        <w:t>y</w:t>
      </w:r>
      <w:r>
        <w:rPr>
          <w:rFonts w:ascii="Century Schoolbook" w:hAnsi="Century Schoolbook"/>
          <w:sz w:val="27"/>
          <w:szCs w:val="26"/>
        </w:rPr>
        <w:t> —</w:t>
      </w:r>
      <w:r w:rsidRPr="00C50388">
        <w:rPr>
          <w:rFonts w:ascii="Century Schoolbook" w:hAnsi="Century Schoolbook"/>
          <w:sz w:val="27"/>
          <w:szCs w:val="26"/>
        </w:rPr>
        <w:t xml:space="preserve"> in administrative mandate proceedings or otherwise</w:t>
      </w:r>
      <w:r>
        <w:rPr>
          <w:rFonts w:ascii="Century Schoolbook" w:hAnsi="Century Schoolbook"/>
          <w:sz w:val="27"/>
          <w:szCs w:val="26"/>
        </w:rPr>
        <w:t> —</w:t>
      </w:r>
      <w:r w:rsidRPr="00C50388">
        <w:rPr>
          <w:rFonts w:ascii="Century Schoolbook" w:hAnsi="Century Schoolbook"/>
          <w:sz w:val="27"/>
          <w:szCs w:val="26"/>
        </w:rPr>
        <w:t xml:space="preserve"> and we decline to do so here.  </w:t>
      </w:r>
    </w:p>
    <w:p w:rsidR="00187CD0" w:rsidRPr="00C50388" w:rsidP="00C47792">
      <w:pPr>
        <w:spacing w:after="100" w:line="400" w:lineRule="exact"/>
        <w:ind w:firstLine="720"/>
        <w:jc w:val="both"/>
        <w:rPr>
          <w:rFonts w:ascii="Century Schoolbook" w:hAnsi="Century Schoolbook"/>
          <w:sz w:val="27"/>
          <w:szCs w:val="26"/>
        </w:rPr>
      </w:pPr>
      <w:r w:rsidRPr="00C50388">
        <w:rPr>
          <w:rFonts w:ascii="Century Schoolbook" w:hAnsi="Century Schoolbook"/>
          <w:sz w:val="27"/>
          <w:szCs w:val="26"/>
        </w:rPr>
        <w:t>Instead, we conclude that the time to appeal in administrative mandate proceedings begins with the entry of “judgment” or service of notice of entry of “judgment,” not</w:t>
      </w:r>
      <w:r w:rsidRPr="00C50388">
        <w:rPr>
          <w:rFonts w:ascii="Century Schoolbook" w:hAnsi="Century Schoolbook"/>
          <w:sz w:val="27"/>
          <w:szCs w:val="26"/>
        </w:rPr>
        <w:t xml:space="preserve"> with the filing of an “order” or other ruling, or service of notice of filing of such a ruling, even where an appellate court might deem such a ruling appealable in order to vindicate the right of appeal.  This conclusion is consistent with the plain lang</w:t>
      </w:r>
      <w:r w:rsidRPr="00C50388">
        <w:rPr>
          <w:rFonts w:ascii="Century Schoolbook" w:hAnsi="Century Schoolbook"/>
          <w:sz w:val="27"/>
          <w:szCs w:val="26"/>
        </w:rPr>
        <w:t>uage of the relevant statutes and rules that contemplate the entry of a “judgment,” and with “ ‘</w:t>
      </w:r>
      <w:r>
        <w:rPr>
          <w:rFonts w:ascii="Century Schoolbook" w:hAnsi="Century Schoolbook"/>
          <w:sz w:val="27"/>
          <w:szCs w:val="26"/>
        </w:rPr>
        <w:t xml:space="preserve">the </w:t>
      </w:r>
      <w:r w:rsidRPr="00C50388">
        <w:rPr>
          <w:rFonts w:ascii="Century Schoolbook" w:hAnsi="Century Schoolbook"/>
          <w:sz w:val="27"/>
          <w:szCs w:val="26"/>
        </w:rPr>
        <w:t>well-established policy, based on the remedial character of the right of appeal, of according that right in doubtful cases “when such can be accomplished wi</w:t>
      </w:r>
      <w:r w:rsidRPr="00C50388">
        <w:rPr>
          <w:rFonts w:ascii="Century Schoolbook" w:hAnsi="Century Schoolbook"/>
          <w:sz w:val="27"/>
          <w:szCs w:val="26"/>
        </w:rPr>
        <w:t>thout doing violence to applicable rules.” ’</w:t>
      </w:r>
      <w:r>
        <w:rPr>
          <w:rFonts w:ascii="Century Schoolbook" w:hAnsi="Century Schoolbook"/>
          <w:sz w:val="27"/>
          <w:szCs w:val="26"/>
        </w:rPr>
        <w:t> </w:t>
      </w:r>
      <w:r w:rsidRPr="00C50388">
        <w:rPr>
          <w:rFonts w:ascii="Century Schoolbook" w:hAnsi="Century Schoolbook"/>
          <w:sz w:val="27"/>
          <w:szCs w:val="26"/>
        </w:rPr>
        <w:t>”  (</w:t>
      </w:r>
      <w:r w:rsidRPr="00C50388">
        <w:rPr>
          <w:rFonts w:ascii="Century Schoolbook" w:hAnsi="Century Schoolbook"/>
          <w:i/>
          <w:iCs/>
          <w:sz w:val="27"/>
          <w:szCs w:val="26"/>
        </w:rPr>
        <w:t>Alan</w:t>
      </w:r>
      <w:r w:rsidRPr="00C50388">
        <w:rPr>
          <w:rFonts w:ascii="Century Schoolbook" w:hAnsi="Century Schoolbook"/>
          <w:sz w:val="27"/>
          <w:szCs w:val="26"/>
        </w:rPr>
        <w:t xml:space="preserve">, </w:t>
      </w:r>
      <w:r w:rsidRPr="00C50388">
        <w:rPr>
          <w:rFonts w:ascii="Century Schoolbook" w:hAnsi="Century Schoolbook"/>
          <w:i/>
          <w:iCs/>
          <w:sz w:val="27"/>
          <w:szCs w:val="26"/>
        </w:rPr>
        <w:t>supra</w:t>
      </w:r>
      <w:r w:rsidRPr="00C50388">
        <w:rPr>
          <w:rFonts w:ascii="Century Schoolbook" w:hAnsi="Century Schoolbook"/>
          <w:sz w:val="27"/>
          <w:szCs w:val="26"/>
        </w:rPr>
        <w:t>, 40 Cal.4th at p.</w:t>
      </w:r>
      <w:r>
        <w:rPr>
          <w:rFonts w:ascii="Century Schoolbook" w:hAnsi="Century Schoolbook"/>
          <w:sz w:val="27"/>
          <w:szCs w:val="26"/>
        </w:rPr>
        <w:t xml:space="preserve"> </w:t>
      </w:r>
      <w:r w:rsidRPr="00C50388">
        <w:rPr>
          <w:rFonts w:ascii="Century Schoolbook" w:hAnsi="Century Schoolbook"/>
          <w:sz w:val="27"/>
          <w:szCs w:val="26"/>
        </w:rPr>
        <w:t>90</w:t>
      </w:r>
      <w:r>
        <w:rPr>
          <w:rFonts w:ascii="Century Schoolbook" w:hAnsi="Century Schoolbook"/>
          <w:sz w:val="27"/>
          <w:szCs w:val="26"/>
        </w:rPr>
        <w:t>1</w:t>
      </w:r>
      <w:r w:rsidRPr="00C50388">
        <w:rPr>
          <w:rFonts w:ascii="Century Schoolbook" w:hAnsi="Century Schoolbook"/>
          <w:sz w:val="27"/>
          <w:szCs w:val="26"/>
        </w:rPr>
        <w:t>.)</w:t>
      </w:r>
    </w:p>
    <w:p w:rsidR="00187CD0" w:rsidRPr="00C50388" w:rsidP="00C47792">
      <w:pPr>
        <w:spacing w:after="100" w:line="400" w:lineRule="exact"/>
        <w:ind w:firstLine="720"/>
        <w:jc w:val="both"/>
        <w:rPr>
          <w:rFonts w:ascii="Century Schoolbook" w:hAnsi="Century Schoolbook"/>
          <w:sz w:val="27"/>
          <w:szCs w:val="26"/>
        </w:rPr>
      </w:pPr>
      <w:r>
        <w:rPr>
          <w:rFonts w:ascii="Century Schoolbook" w:hAnsi="Century Schoolbook"/>
          <w:sz w:val="27"/>
          <w:szCs w:val="26"/>
        </w:rPr>
        <w:t>Our</w:t>
      </w:r>
      <w:r w:rsidRPr="00C50388">
        <w:rPr>
          <w:rFonts w:ascii="Century Schoolbook" w:hAnsi="Century Schoolbook"/>
          <w:sz w:val="27"/>
          <w:szCs w:val="26"/>
        </w:rPr>
        <w:t xml:space="preserve"> conclusion is also consistent with the goal of providing clarity to litigants when it comes to jurisdictional deadlines.  As stated above, “bright lines are essential in this area, to avoid both inadvertent forfeiture of the right to appeal and excessive </w:t>
      </w:r>
      <w:r w:rsidRPr="00C50388">
        <w:rPr>
          <w:rFonts w:ascii="Century Schoolbook" w:hAnsi="Century Schoolbook"/>
          <w:sz w:val="27"/>
          <w:szCs w:val="26"/>
        </w:rPr>
        <w:t>protective appeals by parties afraid they might suffer such a forfeiture.”  (</w:t>
      </w:r>
      <w:r w:rsidRPr="00C50388">
        <w:rPr>
          <w:rFonts w:ascii="Century Schoolbook" w:hAnsi="Century Schoolbook"/>
          <w:i/>
          <w:iCs/>
          <w:sz w:val="27"/>
          <w:szCs w:val="26"/>
        </w:rPr>
        <w:t>Baycol</w:t>
      </w:r>
      <w:r w:rsidRPr="00C50388">
        <w:rPr>
          <w:rFonts w:ascii="Century Schoolbook" w:hAnsi="Century Schoolbook"/>
          <w:sz w:val="27"/>
          <w:szCs w:val="26"/>
        </w:rPr>
        <w:t xml:space="preserve">, </w:t>
      </w:r>
      <w:r w:rsidRPr="00C50388">
        <w:rPr>
          <w:rFonts w:ascii="Century Schoolbook" w:hAnsi="Century Schoolbook"/>
          <w:i/>
          <w:iCs/>
          <w:sz w:val="27"/>
          <w:szCs w:val="26"/>
        </w:rPr>
        <w:t>supra</w:t>
      </w:r>
      <w:r w:rsidRPr="00C50388">
        <w:rPr>
          <w:rFonts w:ascii="Century Schoolbook" w:hAnsi="Century Schoolbook"/>
          <w:sz w:val="27"/>
          <w:szCs w:val="26"/>
        </w:rPr>
        <w:t>, 51 Cal.4th at p. 761.)  “</w:t>
      </w:r>
      <w:r>
        <w:rPr>
          <w:rFonts w:ascii="Century Schoolbook" w:hAnsi="Century Schoolbook"/>
          <w:sz w:val="27"/>
          <w:szCs w:val="26"/>
        </w:rPr>
        <w:t> </w:t>
      </w:r>
      <w:r w:rsidRPr="00C50388">
        <w:rPr>
          <w:rFonts w:ascii="Century Schoolbook" w:hAnsi="Century Schoolbook"/>
          <w:sz w:val="27"/>
          <w:szCs w:val="26"/>
        </w:rPr>
        <w:t>‘Neither parties nor appellate courts should be required to speculate about jurisdictional time limits.’</w:t>
      </w:r>
      <w:r>
        <w:rPr>
          <w:rFonts w:ascii="Century Schoolbook" w:hAnsi="Century Schoolbook"/>
          <w:sz w:val="27"/>
          <w:szCs w:val="26"/>
        </w:rPr>
        <w:t> </w:t>
      </w:r>
      <w:r w:rsidRPr="00C50388">
        <w:rPr>
          <w:rFonts w:ascii="Century Schoolbook" w:hAnsi="Century Schoolbook"/>
          <w:sz w:val="27"/>
          <w:szCs w:val="26"/>
        </w:rPr>
        <w:t>”  (</w:t>
      </w:r>
      <w:r w:rsidRPr="00C50388">
        <w:rPr>
          <w:rFonts w:ascii="Century Schoolbook" w:hAnsi="Century Schoolbook"/>
          <w:i/>
          <w:iCs/>
          <w:sz w:val="27"/>
          <w:szCs w:val="26"/>
        </w:rPr>
        <w:t>Alan</w:t>
      </w:r>
      <w:r w:rsidRPr="00C50388">
        <w:rPr>
          <w:rFonts w:ascii="Century Schoolbook" w:hAnsi="Century Schoolbook"/>
          <w:sz w:val="27"/>
          <w:szCs w:val="26"/>
        </w:rPr>
        <w:t xml:space="preserve">, </w:t>
      </w:r>
      <w:r w:rsidRPr="00C50388">
        <w:rPr>
          <w:rFonts w:ascii="Century Schoolbook" w:hAnsi="Century Schoolbook"/>
          <w:i/>
          <w:iCs/>
          <w:sz w:val="27"/>
          <w:szCs w:val="26"/>
        </w:rPr>
        <w:t>supra</w:t>
      </w:r>
      <w:r w:rsidRPr="00C50388">
        <w:rPr>
          <w:rFonts w:ascii="Century Schoolbook" w:hAnsi="Century Schoolbook"/>
          <w:sz w:val="27"/>
          <w:szCs w:val="26"/>
        </w:rPr>
        <w:t>, 40 Cal.4th at p.</w:t>
      </w:r>
      <w:r>
        <w:rPr>
          <w:rFonts w:ascii="Century Schoolbook" w:hAnsi="Century Schoolbook"/>
          <w:sz w:val="27"/>
          <w:szCs w:val="26"/>
        </w:rPr>
        <w:t xml:space="preserve"> </w:t>
      </w:r>
      <w:r w:rsidRPr="00C50388">
        <w:rPr>
          <w:rFonts w:ascii="Century Schoolbook" w:hAnsi="Century Schoolbook"/>
          <w:sz w:val="27"/>
          <w:szCs w:val="26"/>
        </w:rPr>
        <w:t>905.)  In the case where an appellate court permits an appeal, the party seeking review of the trial court’s decision has already filed a notice of appeal.  Based on that notice of appeal, the appellate court determines whether the decision from which the</w:t>
      </w:r>
      <w:r w:rsidRPr="00C50388">
        <w:rPr>
          <w:rFonts w:ascii="Century Schoolbook" w:hAnsi="Century Schoolbook"/>
          <w:sz w:val="27"/>
          <w:szCs w:val="26"/>
        </w:rPr>
        <w:t xml:space="preserve"> appeal was taken is sufficiently final to constitute a judgment, and if it determines that it is, it may permit the appeal to go forward without a formal judgment.</w:t>
      </w:r>
      <w:r>
        <w:rPr>
          <w:rStyle w:val="FootnoteReference"/>
          <w:szCs w:val="26"/>
          <w:vertAlign w:val="superscript"/>
        </w:rPr>
        <w:footnoteReference w:id="12"/>
      </w:r>
      <w:r w:rsidRPr="00C50388">
        <w:rPr>
          <w:rFonts w:ascii="Century Schoolbook" w:hAnsi="Century Schoolbook"/>
          <w:sz w:val="27"/>
          <w:szCs w:val="26"/>
        </w:rPr>
        <w:t xml:space="preserve">  </w:t>
      </w:r>
    </w:p>
    <w:p w:rsidR="00187CD0" w:rsidRPr="00C50388" w:rsidP="00C47792">
      <w:pPr>
        <w:spacing w:after="100" w:line="400" w:lineRule="exact"/>
        <w:ind w:firstLine="720"/>
        <w:jc w:val="both"/>
        <w:rPr>
          <w:rFonts w:ascii="Century Schoolbook" w:hAnsi="Century Schoolbook"/>
          <w:sz w:val="27"/>
          <w:szCs w:val="26"/>
        </w:rPr>
      </w:pPr>
      <w:r w:rsidRPr="00C50388">
        <w:rPr>
          <w:rFonts w:ascii="Century Schoolbook" w:hAnsi="Century Schoolbook"/>
          <w:sz w:val="27"/>
          <w:szCs w:val="26"/>
        </w:rPr>
        <w:t>In contrast, a holding that an order or other ruling that is sufficiently final to cons</w:t>
      </w:r>
      <w:r w:rsidRPr="00C50388">
        <w:rPr>
          <w:rFonts w:ascii="Century Schoolbook" w:hAnsi="Century Schoolbook"/>
          <w:sz w:val="27"/>
          <w:szCs w:val="26"/>
        </w:rPr>
        <w:t xml:space="preserve">titute a judgment also </w:t>
      </w:r>
      <w:r w:rsidRPr="00C50388">
        <w:rPr>
          <w:rFonts w:ascii="Century Schoolbook" w:hAnsi="Century Schoolbook"/>
          <w:i/>
          <w:iCs/>
          <w:sz w:val="27"/>
          <w:szCs w:val="26"/>
        </w:rPr>
        <w:t>commences the running of the time to appeal</w:t>
      </w:r>
      <w:r w:rsidRPr="00C50388">
        <w:rPr>
          <w:rFonts w:ascii="Century Schoolbook" w:hAnsi="Century Schoolbook"/>
          <w:sz w:val="27"/>
          <w:szCs w:val="26"/>
        </w:rPr>
        <w:t xml:space="preserve"> under rule 8.104(a)(1) would require parties to guess whether any ruling issued in the case may later be construed by a reviewing court to be the judgment that started the appellate clock. </w:t>
      </w:r>
      <w:r w:rsidRPr="00C50388">
        <w:rPr>
          <w:rFonts w:ascii="Century Schoolbook" w:hAnsi="Century Schoolbook"/>
          <w:sz w:val="27"/>
          <w:szCs w:val="26"/>
        </w:rPr>
        <w:t xml:space="preserve"> The Court of Appeal here stated that parties must timely appeal from rulings that are “</w:t>
      </w:r>
      <w:r w:rsidRPr="00C50388">
        <w:rPr>
          <w:rFonts w:ascii="Century Schoolbook" w:hAnsi="Century Schoolbook"/>
          <w:i/>
          <w:iCs/>
          <w:sz w:val="27"/>
          <w:szCs w:val="26"/>
        </w:rPr>
        <w:t>in effect</w:t>
      </w:r>
      <w:r w:rsidRPr="00C50388">
        <w:rPr>
          <w:rFonts w:ascii="Century Schoolbook" w:hAnsi="Century Schoolbook"/>
          <w:sz w:val="27"/>
          <w:szCs w:val="26"/>
        </w:rPr>
        <w:t>” judgments (</w:t>
      </w:r>
      <w:r w:rsidRPr="00C50388">
        <w:rPr>
          <w:rFonts w:ascii="Century Schoolbook" w:hAnsi="Century Schoolbook"/>
          <w:i/>
          <w:iCs/>
          <w:sz w:val="27"/>
          <w:szCs w:val="26"/>
        </w:rPr>
        <w:t>Meinhardt</w:t>
      </w:r>
      <w:r w:rsidRPr="00C50388">
        <w:rPr>
          <w:rFonts w:ascii="Century Schoolbook" w:hAnsi="Century Schoolbook"/>
          <w:sz w:val="27"/>
          <w:szCs w:val="26"/>
        </w:rPr>
        <w:t xml:space="preserve">, </w:t>
      </w:r>
      <w:r w:rsidRPr="00C50388">
        <w:rPr>
          <w:rFonts w:ascii="Century Schoolbook" w:hAnsi="Century Schoolbook"/>
          <w:i/>
          <w:iCs/>
          <w:sz w:val="27"/>
          <w:szCs w:val="26"/>
        </w:rPr>
        <w:t>supra</w:t>
      </w:r>
      <w:r w:rsidRPr="00C50388">
        <w:rPr>
          <w:rFonts w:ascii="Century Schoolbook" w:hAnsi="Century Schoolbook"/>
          <w:sz w:val="27"/>
          <w:szCs w:val="26"/>
        </w:rPr>
        <w:t>, 76 Cal.App.5th at p. 69, italics added), but it may not always be clear in a given case whether a ruling is sufficiently final t</w:t>
      </w:r>
      <w:r w:rsidRPr="00C50388">
        <w:rPr>
          <w:rFonts w:ascii="Century Schoolbook" w:hAnsi="Century Schoolbook"/>
          <w:sz w:val="27"/>
          <w:szCs w:val="26"/>
        </w:rPr>
        <w:t>o effectively constitute a judgment.</w:t>
      </w:r>
      <w:r>
        <w:rPr>
          <w:rStyle w:val="FootnoteReference"/>
          <w:szCs w:val="26"/>
          <w:vertAlign w:val="superscript"/>
        </w:rPr>
        <w:footnoteReference w:id="13"/>
      </w:r>
      <w:r w:rsidRPr="00C50388">
        <w:rPr>
          <w:rFonts w:ascii="Century Schoolbook" w:hAnsi="Century Schoolbook"/>
          <w:sz w:val="27"/>
          <w:szCs w:val="26"/>
        </w:rPr>
        <w:t xml:space="preserve">  This uncertainty leaves parties guessing as to whether the time to appeal begins from the filing of, or service of notice of filing of, an order or other ruling, or from entry of, or service of notice of entry of, a </w:t>
      </w:r>
      <w:r w:rsidRPr="00C50388">
        <w:rPr>
          <w:rFonts w:ascii="Century Schoolbook" w:hAnsi="Century Schoolbook"/>
          <w:sz w:val="27"/>
          <w:szCs w:val="26"/>
        </w:rPr>
        <w:t xml:space="preserve">judgment that may be subsequently entered.  As commentators discussing the </w:t>
      </w:r>
      <w:r w:rsidRPr="00C50388">
        <w:rPr>
          <w:rFonts w:ascii="Century Schoolbook" w:hAnsi="Century Schoolbook"/>
          <w:i/>
          <w:iCs/>
          <w:sz w:val="27"/>
          <w:szCs w:val="26"/>
        </w:rPr>
        <w:t>Meinhardt</w:t>
      </w:r>
      <w:r w:rsidRPr="00C50388">
        <w:rPr>
          <w:rFonts w:ascii="Century Schoolbook" w:hAnsi="Century Schoolbook"/>
          <w:sz w:val="27"/>
          <w:szCs w:val="26"/>
        </w:rPr>
        <w:t xml:space="preserve"> case have noted, the “appealability of orders adjudicating writs of mandate can present difficult problems, even for experienced writ practitioners.”  (</w:t>
      </w:r>
      <w:r w:rsidRPr="00882122">
        <w:rPr>
          <w:rFonts w:ascii="Century Schoolbook" w:hAnsi="Century Schoolbook"/>
          <w:sz w:val="27"/>
          <w:szCs w:val="26"/>
        </w:rPr>
        <w:t>Asimow, et al., Cal</w:t>
      </w:r>
      <w:r w:rsidRPr="00882122">
        <w:rPr>
          <w:rFonts w:ascii="Century Schoolbook" w:hAnsi="Century Schoolbook"/>
          <w:sz w:val="27"/>
          <w:szCs w:val="26"/>
        </w:rPr>
        <w:t>. Practice Guide: Administrative Law (The Rutter Group 2023) ¶ 21:22.2</w:t>
      </w:r>
      <w:r w:rsidRPr="00C50388">
        <w:rPr>
          <w:rFonts w:ascii="Century Schoolbook" w:hAnsi="Century Schoolbook"/>
          <w:sz w:val="27"/>
          <w:szCs w:val="26"/>
        </w:rPr>
        <w:t xml:space="preserve">.)  The </w:t>
      </w:r>
      <w:r w:rsidRPr="00C50388">
        <w:rPr>
          <w:rFonts w:ascii="Century Schoolbook" w:hAnsi="Century Schoolbook"/>
          <w:i/>
          <w:iCs/>
          <w:sz w:val="27"/>
          <w:szCs w:val="26"/>
        </w:rPr>
        <w:t>Meinhardt</w:t>
      </w:r>
      <w:r w:rsidRPr="00C50388">
        <w:rPr>
          <w:rFonts w:ascii="Century Schoolbook" w:hAnsi="Century Schoolbook"/>
          <w:sz w:val="27"/>
          <w:szCs w:val="26"/>
        </w:rPr>
        <w:t xml:space="preserve"> rule requires “attorneys [to] scrutinize any order adjudicating a writ,” which “may be titled ‘order,’ ‘statement of decision,’ ‘findings of fact and conclusions of law</w:t>
      </w:r>
      <w:r w:rsidRPr="00C50388">
        <w:rPr>
          <w:rFonts w:ascii="Century Schoolbook" w:hAnsi="Century Schoolbook"/>
          <w:sz w:val="27"/>
          <w:szCs w:val="26"/>
        </w:rPr>
        <w:t>,’ or some other title,” depending on the court or the particular judge’s practices.  (</w:t>
      </w:r>
      <w:r w:rsidRPr="00D81695">
        <w:rPr>
          <w:rFonts w:ascii="Century Schoolbook" w:hAnsi="Century Schoolbook"/>
          <w:i/>
          <w:iCs/>
          <w:sz w:val="27"/>
          <w:szCs w:val="26"/>
        </w:rPr>
        <w:t>Ibid.</w:t>
      </w:r>
      <w:r w:rsidRPr="00C50388">
        <w:rPr>
          <w:rFonts w:ascii="Century Schoolbook" w:hAnsi="Century Schoolbook"/>
          <w:sz w:val="27"/>
          <w:szCs w:val="26"/>
        </w:rPr>
        <w:t>)</w:t>
      </w:r>
    </w:p>
    <w:p w:rsidR="00187CD0" w:rsidRPr="00C50388" w:rsidP="00C47792">
      <w:pPr>
        <w:spacing w:after="100" w:line="400" w:lineRule="exact"/>
        <w:ind w:firstLine="720"/>
        <w:jc w:val="both"/>
        <w:rPr>
          <w:rFonts w:ascii="Century Schoolbook" w:hAnsi="Century Schoolbook"/>
          <w:sz w:val="27"/>
          <w:szCs w:val="26"/>
        </w:rPr>
      </w:pPr>
      <w:r w:rsidRPr="00C50388">
        <w:rPr>
          <w:rFonts w:ascii="Century Schoolbook" w:hAnsi="Century Schoolbook"/>
          <w:sz w:val="27"/>
          <w:szCs w:val="26"/>
        </w:rPr>
        <w:t>Insofar as the City argues that the definition of “judgment” as the “final determination of the rights of the parties” (§</w:t>
      </w:r>
      <w:r>
        <w:rPr>
          <w:rFonts w:ascii="Century Schoolbook" w:hAnsi="Century Schoolbook"/>
          <w:sz w:val="27"/>
          <w:szCs w:val="26"/>
        </w:rPr>
        <w:t>§ </w:t>
      </w:r>
      <w:r w:rsidRPr="00C50388">
        <w:rPr>
          <w:rFonts w:ascii="Century Schoolbook" w:hAnsi="Century Schoolbook"/>
          <w:sz w:val="27"/>
          <w:szCs w:val="26"/>
        </w:rPr>
        <w:t>577, 1064)</w:t>
      </w:r>
      <w:r>
        <w:rPr>
          <w:rFonts w:ascii="Century Schoolbook" w:hAnsi="Century Schoolbook"/>
          <w:sz w:val="27"/>
          <w:szCs w:val="26"/>
        </w:rPr>
        <w:t>,</w:t>
      </w:r>
      <w:r w:rsidRPr="00C50388">
        <w:rPr>
          <w:rFonts w:ascii="Century Schoolbook" w:hAnsi="Century Schoolbook"/>
          <w:sz w:val="27"/>
          <w:szCs w:val="26"/>
        </w:rPr>
        <w:t xml:space="preserve"> and the definition of “judg</w:t>
      </w:r>
      <w:r w:rsidRPr="00C50388">
        <w:rPr>
          <w:rFonts w:ascii="Century Schoolbook" w:hAnsi="Century Schoolbook"/>
          <w:sz w:val="27"/>
          <w:szCs w:val="26"/>
        </w:rPr>
        <w:t>ment” as including “appealable order[s]” (rule 8.104(e))</w:t>
      </w:r>
      <w:r>
        <w:rPr>
          <w:rFonts w:ascii="Century Schoolbook" w:hAnsi="Century Schoolbook"/>
          <w:sz w:val="27"/>
          <w:szCs w:val="26"/>
        </w:rPr>
        <w:t>,</w:t>
      </w:r>
      <w:r w:rsidRPr="00C50388">
        <w:rPr>
          <w:rFonts w:ascii="Century Schoolbook" w:hAnsi="Century Schoolbook"/>
          <w:sz w:val="27"/>
          <w:szCs w:val="26"/>
        </w:rPr>
        <w:t xml:space="preserve"> support its position that an order that may be found to meet that definition is a judgment for the purpose of starting the time to appeal, we disagree.  Although some “orders” granting or denying pe</w:t>
      </w:r>
      <w:r w:rsidRPr="00C50388">
        <w:rPr>
          <w:rFonts w:ascii="Century Schoolbook" w:hAnsi="Century Schoolbook"/>
          <w:sz w:val="27"/>
          <w:szCs w:val="26"/>
        </w:rPr>
        <w:t>titions for writ of administrative mandate may be sufficiently final to fall within the legal definition of “judgment” (§</w:t>
      </w:r>
      <w:r>
        <w:rPr>
          <w:rFonts w:ascii="Century Schoolbook" w:hAnsi="Century Schoolbook"/>
          <w:sz w:val="27"/>
          <w:szCs w:val="26"/>
        </w:rPr>
        <w:t>§ </w:t>
      </w:r>
      <w:r w:rsidRPr="00C50388">
        <w:rPr>
          <w:rFonts w:ascii="Century Schoolbook" w:hAnsi="Century Schoolbook"/>
          <w:sz w:val="27"/>
          <w:szCs w:val="26"/>
        </w:rPr>
        <w:t>577, 1064), parties should not be required to guess, on a case-by-case basis, whether a given order constitutes a “judgment” such tha</w:t>
      </w:r>
      <w:r w:rsidRPr="00C50388">
        <w:rPr>
          <w:rFonts w:ascii="Century Schoolbook" w:hAnsi="Century Schoolbook"/>
          <w:sz w:val="27"/>
          <w:szCs w:val="26"/>
        </w:rPr>
        <w:t>t the time to appeal will begin to run.  We do not believe the Judicial Council, in promulgating rule 8.104, intended to require such a case-by-case analysis by the parties regarding whether the time to appeal has started to run.  (</w:t>
      </w:r>
      <w:r w:rsidRPr="00C50388">
        <w:rPr>
          <w:rFonts w:ascii="Century Schoolbook" w:hAnsi="Century Schoolbook"/>
          <w:i/>
          <w:iCs/>
          <w:sz w:val="27"/>
          <w:szCs w:val="26"/>
        </w:rPr>
        <w:t>Alan</w:t>
      </w:r>
      <w:r w:rsidRPr="00C50388">
        <w:rPr>
          <w:rFonts w:ascii="Century Schoolbook" w:hAnsi="Century Schoolbook"/>
          <w:sz w:val="27"/>
          <w:szCs w:val="26"/>
        </w:rPr>
        <w:t xml:space="preserve">, </w:t>
      </w:r>
      <w:r w:rsidRPr="00C50388">
        <w:rPr>
          <w:rFonts w:ascii="Century Schoolbook" w:hAnsi="Century Schoolbook"/>
          <w:i/>
          <w:iCs/>
          <w:sz w:val="27"/>
          <w:szCs w:val="26"/>
        </w:rPr>
        <w:t>supra</w:t>
      </w:r>
      <w:r w:rsidRPr="00C50388">
        <w:rPr>
          <w:rFonts w:ascii="Century Schoolbook" w:hAnsi="Century Schoolbook"/>
          <w:sz w:val="27"/>
          <w:szCs w:val="26"/>
        </w:rPr>
        <w:t xml:space="preserve">, 40 Cal.4th </w:t>
      </w:r>
      <w:r w:rsidRPr="00C50388">
        <w:rPr>
          <w:rFonts w:ascii="Century Schoolbook" w:hAnsi="Century Schoolbook"/>
          <w:sz w:val="27"/>
          <w:szCs w:val="26"/>
        </w:rPr>
        <w:t>at p. 905 [rule 8.104(a)(1) “does not require litigants</w:t>
      </w:r>
      <w:r>
        <w:rPr>
          <w:rFonts w:ascii="Century Schoolbook" w:hAnsi="Century Schoolbook"/>
          <w:sz w:val="27"/>
          <w:szCs w:val="26"/>
        </w:rPr>
        <w:t> . . .</w:t>
      </w:r>
      <w:r w:rsidRPr="00C50388">
        <w:rPr>
          <w:rFonts w:ascii="Century Schoolbook" w:hAnsi="Century Schoolbook"/>
          <w:sz w:val="27"/>
          <w:szCs w:val="26"/>
        </w:rPr>
        <w:t xml:space="preserve"> to guess, at their peril</w:t>
      </w:r>
      <w:r>
        <w:rPr>
          <w:rFonts w:ascii="Century Schoolbook" w:hAnsi="Century Schoolbook"/>
          <w:sz w:val="27"/>
          <w:szCs w:val="26"/>
        </w:rPr>
        <w:t>,</w:t>
      </w:r>
      <w:r w:rsidRPr="00C50388">
        <w:rPr>
          <w:rFonts w:ascii="Century Schoolbook" w:hAnsi="Century Schoolbook"/>
          <w:sz w:val="27"/>
          <w:szCs w:val="26"/>
        </w:rPr>
        <w:t>” whether their duty to file a notice of appeal is triggered].)  Requiring entry of, or service of notice of entry of, a “judgment”</w:t>
      </w:r>
      <w:r>
        <w:rPr>
          <w:rFonts w:ascii="Century Schoolbook" w:hAnsi="Century Schoolbook"/>
          <w:sz w:val="27"/>
          <w:szCs w:val="26"/>
        </w:rPr>
        <w:t> —</w:t>
      </w:r>
      <w:r w:rsidRPr="00C50388">
        <w:rPr>
          <w:rFonts w:ascii="Century Schoolbook" w:hAnsi="Century Schoolbook"/>
          <w:sz w:val="27"/>
          <w:szCs w:val="26"/>
        </w:rPr>
        <w:t xml:space="preserve"> so denominated</w:t>
      </w:r>
      <w:r>
        <w:rPr>
          <w:rFonts w:ascii="Century Schoolbook" w:hAnsi="Century Schoolbook"/>
          <w:sz w:val="27"/>
          <w:szCs w:val="26"/>
        </w:rPr>
        <w:t> —</w:t>
      </w:r>
      <w:r w:rsidRPr="00C50388">
        <w:rPr>
          <w:rFonts w:ascii="Century Schoolbook" w:hAnsi="Century Schoolbook"/>
          <w:sz w:val="27"/>
          <w:szCs w:val="26"/>
        </w:rPr>
        <w:t xml:space="preserve"> to start the time to appeal leaves little room for confusion about when there is finality, and therefore comports with the importance of having “bright lines . . . in this area, to avoid both inadvertent forfeiture of the right to appeal and excessive pro</w:t>
      </w:r>
      <w:r w:rsidRPr="00C50388">
        <w:rPr>
          <w:rFonts w:ascii="Century Schoolbook" w:hAnsi="Century Schoolbook"/>
          <w:sz w:val="27"/>
          <w:szCs w:val="26"/>
        </w:rPr>
        <w:t>tective appeals by parties afraid they might suffer such a forfeiture.”  (</w:t>
      </w:r>
      <w:r w:rsidRPr="00C50388">
        <w:rPr>
          <w:rFonts w:ascii="Century Schoolbook" w:hAnsi="Century Schoolbook"/>
          <w:i/>
          <w:iCs/>
          <w:sz w:val="27"/>
          <w:szCs w:val="26"/>
        </w:rPr>
        <w:t>Baycol</w:t>
      </w:r>
      <w:r w:rsidRPr="00C50388">
        <w:rPr>
          <w:rFonts w:ascii="Century Schoolbook" w:hAnsi="Century Schoolbook"/>
          <w:sz w:val="27"/>
          <w:szCs w:val="26"/>
        </w:rPr>
        <w:t xml:space="preserve">, </w:t>
      </w:r>
      <w:r w:rsidRPr="00C50388">
        <w:rPr>
          <w:rFonts w:ascii="Century Schoolbook" w:hAnsi="Century Schoolbook"/>
          <w:i/>
          <w:iCs/>
          <w:sz w:val="27"/>
          <w:szCs w:val="26"/>
        </w:rPr>
        <w:t>supra</w:t>
      </w:r>
      <w:r w:rsidRPr="00C50388">
        <w:rPr>
          <w:rFonts w:ascii="Century Schoolbook" w:hAnsi="Century Schoolbook"/>
          <w:sz w:val="27"/>
          <w:szCs w:val="26"/>
        </w:rPr>
        <w:t>, 51 Cal.4th at p.</w:t>
      </w:r>
      <w:r>
        <w:rPr>
          <w:rFonts w:ascii="Century Schoolbook" w:hAnsi="Century Schoolbook"/>
          <w:sz w:val="27"/>
          <w:szCs w:val="26"/>
        </w:rPr>
        <w:t xml:space="preserve"> </w:t>
      </w:r>
      <w:r w:rsidRPr="00C50388">
        <w:rPr>
          <w:rFonts w:ascii="Century Schoolbook" w:hAnsi="Century Schoolbook"/>
          <w:sz w:val="27"/>
          <w:szCs w:val="26"/>
        </w:rPr>
        <w:t>7</w:t>
      </w:r>
      <w:r>
        <w:rPr>
          <w:rFonts w:ascii="Century Schoolbook" w:hAnsi="Century Schoolbook"/>
          <w:sz w:val="27"/>
          <w:szCs w:val="26"/>
        </w:rPr>
        <w:t>6</w:t>
      </w:r>
      <w:r w:rsidRPr="00C50388">
        <w:rPr>
          <w:rFonts w:ascii="Century Schoolbook" w:hAnsi="Century Schoolbook"/>
          <w:sz w:val="27"/>
          <w:szCs w:val="26"/>
        </w:rPr>
        <w:t xml:space="preserve">1.) </w:t>
      </w:r>
    </w:p>
    <w:p w:rsidR="00187CD0" w:rsidRPr="00C50388" w:rsidP="00C47792">
      <w:pPr>
        <w:spacing w:after="100" w:line="400" w:lineRule="exact"/>
        <w:ind w:firstLine="720"/>
        <w:jc w:val="both"/>
        <w:rPr>
          <w:rFonts w:ascii="Century Schoolbook" w:hAnsi="Century Schoolbook"/>
          <w:sz w:val="27"/>
          <w:szCs w:val="26"/>
        </w:rPr>
      </w:pPr>
      <w:r w:rsidRPr="00C50388">
        <w:rPr>
          <w:rFonts w:ascii="Century Schoolbook" w:hAnsi="Century Schoolbook"/>
          <w:sz w:val="27"/>
          <w:szCs w:val="26"/>
        </w:rPr>
        <w:t xml:space="preserve">The City asserts that requiring entry of “judgment” to start the appellate clock would serve no purpose and </w:t>
      </w:r>
      <w:r>
        <w:rPr>
          <w:rFonts w:ascii="Century Schoolbook" w:hAnsi="Century Schoolbook"/>
          <w:sz w:val="27"/>
          <w:szCs w:val="26"/>
        </w:rPr>
        <w:t xml:space="preserve">could produce </w:t>
      </w:r>
      <w:r w:rsidRPr="00C50388">
        <w:rPr>
          <w:rFonts w:ascii="Century Schoolbook" w:hAnsi="Century Schoolbook"/>
          <w:sz w:val="27"/>
          <w:szCs w:val="26"/>
        </w:rPr>
        <w:t>“unnecessary delay” i</w:t>
      </w:r>
      <w:r w:rsidRPr="00C50388">
        <w:rPr>
          <w:rFonts w:ascii="Century Schoolbook" w:hAnsi="Century Schoolbook"/>
          <w:sz w:val="27"/>
          <w:szCs w:val="26"/>
        </w:rPr>
        <w:t xml:space="preserve">n administrative mandate proceedings.  </w:t>
      </w:r>
      <w:r>
        <w:rPr>
          <w:rFonts w:ascii="Century Schoolbook" w:hAnsi="Century Schoolbook"/>
          <w:sz w:val="27"/>
          <w:szCs w:val="26"/>
        </w:rPr>
        <w:t xml:space="preserve">It </w:t>
      </w:r>
      <w:r w:rsidRPr="00827C16">
        <w:rPr>
          <w:rFonts w:ascii="Century Schoolbook" w:hAnsi="Century Schoolbook"/>
          <w:sz w:val="27"/>
          <w:szCs w:val="26"/>
        </w:rPr>
        <w:t>expresses concern that some trial judges</w:t>
      </w:r>
      <w:r>
        <w:rPr>
          <w:rFonts w:ascii="Century Schoolbook" w:hAnsi="Century Schoolbook"/>
          <w:sz w:val="27"/>
          <w:szCs w:val="26"/>
        </w:rPr>
        <w:t xml:space="preserve">, “for whatever reason,” </w:t>
      </w:r>
      <w:r w:rsidRPr="00827C16">
        <w:rPr>
          <w:rFonts w:ascii="Century Schoolbook" w:hAnsi="Century Schoolbook"/>
          <w:sz w:val="27"/>
          <w:szCs w:val="26"/>
        </w:rPr>
        <w:t xml:space="preserve">delay in signing proposed judgments or entering </w:t>
      </w:r>
      <w:r>
        <w:rPr>
          <w:rFonts w:ascii="Century Schoolbook" w:hAnsi="Century Schoolbook"/>
          <w:sz w:val="27"/>
          <w:szCs w:val="26"/>
        </w:rPr>
        <w:t>a ”</w:t>
      </w:r>
      <w:r w:rsidRPr="00C50388">
        <w:rPr>
          <w:rFonts w:ascii="Century Schoolbook" w:hAnsi="Century Schoolbook"/>
          <w:sz w:val="27"/>
          <w:szCs w:val="26"/>
        </w:rPr>
        <w:t xml:space="preserve">document titled ‘judgment,’ thereby delaying any appellate review of the trial court’s decision.” </w:t>
      </w:r>
      <w:r w:rsidRPr="00C50388">
        <w:rPr>
          <w:rFonts w:ascii="Century Schoolbook" w:hAnsi="Century Schoolbook"/>
          <w:sz w:val="27"/>
          <w:szCs w:val="26"/>
        </w:rPr>
        <w:t xml:space="preserve"> But the same may be said as to any civil action in which the trial court’s decision must be in the form of a “judgment” to be appealable</w:t>
      </w:r>
      <w:r>
        <w:rPr>
          <w:rFonts w:ascii="Century Schoolbook" w:hAnsi="Century Schoolbook"/>
          <w:sz w:val="27"/>
          <w:szCs w:val="26"/>
        </w:rPr>
        <w:t> —</w:t>
      </w:r>
      <w:r w:rsidRPr="00C50388">
        <w:rPr>
          <w:rFonts w:ascii="Century Schoolbook" w:hAnsi="Century Schoolbook"/>
          <w:sz w:val="27"/>
          <w:szCs w:val="26"/>
        </w:rPr>
        <w:t xml:space="preserve"> for example, orders sustaining demurrers without leave to amend</w:t>
      </w:r>
      <w:r>
        <w:rPr>
          <w:rFonts w:ascii="Century Schoolbook" w:hAnsi="Century Schoolbook"/>
          <w:sz w:val="27"/>
          <w:szCs w:val="26"/>
        </w:rPr>
        <w:t> —</w:t>
      </w:r>
      <w:r w:rsidRPr="00C50388">
        <w:rPr>
          <w:rFonts w:ascii="Century Schoolbook" w:hAnsi="Century Schoolbook"/>
          <w:sz w:val="27"/>
          <w:szCs w:val="26"/>
        </w:rPr>
        <w:t xml:space="preserve"> </w:t>
      </w:r>
      <w:r>
        <w:rPr>
          <w:rFonts w:ascii="Century Schoolbook" w:hAnsi="Century Schoolbook"/>
          <w:sz w:val="27"/>
          <w:szCs w:val="26"/>
        </w:rPr>
        <w:t>yet</w:t>
      </w:r>
      <w:r w:rsidRPr="00C50388">
        <w:rPr>
          <w:rFonts w:ascii="Century Schoolbook" w:hAnsi="Century Schoolbook"/>
          <w:sz w:val="27"/>
          <w:szCs w:val="26"/>
        </w:rPr>
        <w:t xml:space="preserve"> this requirement does not appear to have cause</w:t>
      </w:r>
      <w:r w:rsidRPr="00C50388">
        <w:rPr>
          <w:rFonts w:ascii="Century Schoolbook" w:hAnsi="Century Schoolbook"/>
          <w:sz w:val="27"/>
          <w:szCs w:val="26"/>
        </w:rPr>
        <w:t>d undue delay because appellate courts are authorized to deem these orders to be judgments to permit the appeals to be proceed.  (Rule 8.104(d)(2).)  The same is true for writ proceedings; as noted above, when a party has appealed from an order granting or</w:t>
      </w:r>
      <w:r w:rsidRPr="00C50388">
        <w:rPr>
          <w:rFonts w:ascii="Century Schoolbook" w:hAnsi="Century Schoolbook"/>
          <w:sz w:val="27"/>
          <w:szCs w:val="26"/>
        </w:rPr>
        <w:t xml:space="preserve"> denying a writ petition, appellate courts have permitted appeals to go forward after determining the order in question has resolved all issues between the parties.  (E.g., </w:t>
      </w:r>
      <w:r w:rsidRPr="00C50388">
        <w:rPr>
          <w:rFonts w:ascii="Century Schoolbook" w:hAnsi="Century Schoolbook"/>
          <w:i/>
          <w:iCs/>
          <w:sz w:val="27"/>
          <w:szCs w:val="26"/>
        </w:rPr>
        <w:t>Tomra Pacific</w:t>
      </w:r>
      <w:r w:rsidRPr="00C50388">
        <w:rPr>
          <w:rFonts w:ascii="Century Schoolbook" w:hAnsi="Century Schoolbook"/>
          <w:sz w:val="27"/>
          <w:szCs w:val="26"/>
        </w:rPr>
        <w:t xml:space="preserve">, </w:t>
      </w:r>
      <w:r w:rsidRPr="00C50388">
        <w:rPr>
          <w:rFonts w:ascii="Century Schoolbook" w:hAnsi="Century Schoolbook"/>
          <w:i/>
          <w:iCs/>
          <w:sz w:val="27"/>
          <w:szCs w:val="26"/>
        </w:rPr>
        <w:t>supra</w:t>
      </w:r>
      <w:r w:rsidRPr="00C50388">
        <w:rPr>
          <w:rFonts w:ascii="Century Schoolbook" w:hAnsi="Century Schoolbook"/>
          <w:sz w:val="27"/>
          <w:szCs w:val="26"/>
        </w:rPr>
        <w:t>, 199 Cal.App.4th at pp.</w:t>
      </w:r>
      <w:r>
        <w:rPr>
          <w:rFonts w:ascii="Century Schoolbook" w:hAnsi="Century Schoolbook"/>
          <w:sz w:val="27"/>
          <w:szCs w:val="26"/>
        </w:rPr>
        <w:t xml:space="preserve"> </w:t>
      </w:r>
      <w:r w:rsidRPr="00C50388">
        <w:rPr>
          <w:rFonts w:ascii="Century Schoolbook" w:hAnsi="Century Schoolbook"/>
          <w:sz w:val="27"/>
          <w:szCs w:val="26"/>
        </w:rPr>
        <w:t xml:space="preserve">481–482, </w:t>
      </w:r>
      <w:r w:rsidRPr="00C50388">
        <w:rPr>
          <w:rFonts w:ascii="Century Schoolbook" w:hAnsi="Century Schoolbook"/>
          <w:i/>
          <w:iCs/>
          <w:sz w:val="27"/>
          <w:szCs w:val="26"/>
        </w:rPr>
        <w:t>Sandlin</w:t>
      </w:r>
      <w:r w:rsidRPr="00C50388">
        <w:rPr>
          <w:rFonts w:ascii="Century Schoolbook" w:hAnsi="Century Schoolbook"/>
          <w:sz w:val="27"/>
          <w:szCs w:val="26"/>
        </w:rPr>
        <w:t xml:space="preserve">, </w:t>
      </w:r>
      <w:r w:rsidRPr="00C50388">
        <w:rPr>
          <w:rFonts w:ascii="Century Schoolbook" w:hAnsi="Century Schoolbook"/>
          <w:i/>
          <w:iCs/>
          <w:sz w:val="27"/>
          <w:szCs w:val="26"/>
        </w:rPr>
        <w:t>supra</w:t>
      </w:r>
      <w:r w:rsidRPr="00C50388">
        <w:rPr>
          <w:rFonts w:ascii="Century Schoolbook" w:hAnsi="Century Schoolbook"/>
          <w:sz w:val="27"/>
          <w:szCs w:val="26"/>
        </w:rPr>
        <w:t>, 50 Cal.App.5t</w:t>
      </w:r>
      <w:r w:rsidRPr="00C50388">
        <w:rPr>
          <w:rFonts w:ascii="Century Schoolbook" w:hAnsi="Century Schoolbook"/>
          <w:sz w:val="27"/>
          <w:szCs w:val="26"/>
        </w:rPr>
        <w:t xml:space="preserve">h at p. 820.)  </w:t>
      </w:r>
      <w:r>
        <w:rPr>
          <w:rFonts w:ascii="Century Schoolbook" w:hAnsi="Century Schoolbook"/>
          <w:sz w:val="27"/>
          <w:szCs w:val="26"/>
        </w:rPr>
        <w:t>Moreover, w</w:t>
      </w:r>
      <w:r w:rsidRPr="00AF2E8D">
        <w:rPr>
          <w:rFonts w:ascii="Century Schoolbook" w:hAnsi="Century Schoolbook"/>
          <w:sz w:val="27"/>
          <w:szCs w:val="26"/>
        </w:rPr>
        <w:t xml:space="preserve">e are confident that trial courts, parties, and counsel will work together to ensure </w:t>
      </w:r>
      <w:r>
        <w:rPr>
          <w:rFonts w:ascii="Century Schoolbook" w:hAnsi="Century Schoolbook"/>
          <w:sz w:val="27"/>
          <w:szCs w:val="26"/>
        </w:rPr>
        <w:t xml:space="preserve">that </w:t>
      </w:r>
      <w:r w:rsidRPr="00AF2E8D">
        <w:rPr>
          <w:rFonts w:ascii="Century Schoolbook" w:hAnsi="Century Schoolbook"/>
          <w:sz w:val="27"/>
          <w:szCs w:val="26"/>
        </w:rPr>
        <w:t xml:space="preserve">judgments are timely signed and entered.  In the event </w:t>
      </w:r>
      <w:r>
        <w:rPr>
          <w:rFonts w:ascii="Century Schoolbook" w:hAnsi="Century Schoolbook"/>
          <w:sz w:val="27"/>
          <w:szCs w:val="26"/>
        </w:rPr>
        <w:t xml:space="preserve">this does not occur, parties may pursue other options, such as the </w:t>
      </w:r>
      <w:r w:rsidRPr="00AF2E8D">
        <w:rPr>
          <w:rFonts w:ascii="Century Schoolbook" w:hAnsi="Century Schoolbook"/>
          <w:sz w:val="27"/>
          <w:szCs w:val="26"/>
        </w:rPr>
        <w:t xml:space="preserve">filing </w:t>
      </w:r>
      <w:r>
        <w:rPr>
          <w:rFonts w:ascii="Century Schoolbook" w:hAnsi="Century Schoolbook"/>
          <w:sz w:val="27"/>
          <w:szCs w:val="26"/>
        </w:rPr>
        <w:t xml:space="preserve">of </w:t>
      </w:r>
      <w:r w:rsidRPr="00AF2E8D">
        <w:rPr>
          <w:rFonts w:ascii="Century Schoolbook" w:hAnsi="Century Schoolbook"/>
          <w:sz w:val="27"/>
          <w:szCs w:val="26"/>
        </w:rPr>
        <w:t>a petiti</w:t>
      </w:r>
      <w:r w:rsidRPr="00AF2E8D">
        <w:rPr>
          <w:rFonts w:ascii="Century Schoolbook" w:hAnsi="Century Schoolbook"/>
          <w:sz w:val="27"/>
          <w:szCs w:val="26"/>
        </w:rPr>
        <w:t xml:space="preserve">on for a writ of mandate to compel the trial court to </w:t>
      </w:r>
      <w:r>
        <w:rPr>
          <w:rFonts w:ascii="Century Schoolbook" w:hAnsi="Century Schoolbook"/>
          <w:sz w:val="27"/>
          <w:szCs w:val="26"/>
        </w:rPr>
        <w:t>enter judgment</w:t>
      </w:r>
      <w:r w:rsidRPr="00AF2E8D">
        <w:rPr>
          <w:rFonts w:ascii="Century Schoolbook" w:hAnsi="Century Schoolbook"/>
          <w:sz w:val="27"/>
          <w:szCs w:val="26"/>
        </w:rPr>
        <w:t xml:space="preserve">.  (See </w:t>
      </w:r>
      <w:r w:rsidRPr="00AF2E8D">
        <w:rPr>
          <w:rFonts w:ascii="Century Schoolbook" w:hAnsi="Century Schoolbook"/>
          <w:i/>
          <w:iCs/>
          <w:sz w:val="27"/>
          <w:szCs w:val="26"/>
        </w:rPr>
        <w:t>Hadley v. Superior Court</w:t>
      </w:r>
      <w:r>
        <w:rPr>
          <w:rFonts w:ascii="Century Schoolbook" w:hAnsi="Century Schoolbook"/>
          <w:sz w:val="27"/>
          <w:szCs w:val="26"/>
        </w:rPr>
        <w:t xml:space="preserve">, </w:t>
      </w:r>
      <w:r>
        <w:rPr>
          <w:rFonts w:ascii="Century Schoolbook" w:hAnsi="Century Schoolbook"/>
          <w:i/>
          <w:iCs/>
          <w:sz w:val="27"/>
          <w:szCs w:val="26"/>
        </w:rPr>
        <w:t>supra</w:t>
      </w:r>
      <w:r>
        <w:rPr>
          <w:rFonts w:ascii="Century Schoolbook" w:hAnsi="Century Schoolbook"/>
          <w:sz w:val="27"/>
          <w:szCs w:val="26"/>
        </w:rPr>
        <w:t xml:space="preserve">, </w:t>
      </w:r>
      <w:r w:rsidRPr="00AF2E8D">
        <w:rPr>
          <w:rFonts w:ascii="Century Schoolbook" w:hAnsi="Century Schoolbook"/>
          <w:sz w:val="27"/>
          <w:szCs w:val="26"/>
        </w:rPr>
        <w:t>29 Cal.App.3d at p. 390.</w:t>
      </w:r>
      <w:r>
        <w:rPr>
          <w:rFonts w:ascii="Century Schoolbook" w:hAnsi="Century Schoolbook"/>
          <w:sz w:val="27"/>
          <w:szCs w:val="26"/>
        </w:rPr>
        <w:t>)</w:t>
      </w:r>
      <w:r w:rsidRPr="00AF2E8D">
        <w:rPr>
          <w:rFonts w:ascii="Century Schoolbook" w:hAnsi="Century Schoolbook"/>
          <w:sz w:val="27"/>
          <w:szCs w:val="26"/>
        </w:rPr>
        <w:t xml:space="preserve">  </w:t>
      </w:r>
    </w:p>
    <w:p w:rsidR="00187CD0" w:rsidRPr="00C50388" w:rsidP="00C47792">
      <w:pPr>
        <w:spacing w:after="100" w:line="400" w:lineRule="exact"/>
        <w:ind w:firstLine="720"/>
        <w:jc w:val="both"/>
        <w:rPr>
          <w:rFonts w:ascii="Century Schoolbook" w:hAnsi="Century Schoolbook"/>
          <w:sz w:val="27"/>
          <w:szCs w:val="26"/>
        </w:rPr>
      </w:pPr>
      <w:r w:rsidRPr="00C50388">
        <w:rPr>
          <w:rFonts w:ascii="Century Schoolbook" w:hAnsi="Century Schoolbook"/>
          <w:sz w:val="27"/>
          <w:szCs w:val="26"/>
        </w:rPr>
        <w:t>The City also asserts that requiring entry of judgment would cause parties to purposefully “prop the door open for appe</w:t>
      </w:r>
      <w:r w:rsidRPr="00C50388">
        <w:rPr>
          <w:rFonts w:ascii="Century Schoolbook" w:hAnsi="Century Schoolbook"/>
          <w:sz w:val="27"/>
          <w:szCs w:val="26"/>
        </w:rPr>
        <w:t>llate review</w:t>
      </w:r>
      <w:r>
        <w:rPr>
          <w:rFonts w:ascii="Century Schoolbook" w:hAnsi="Century Schoolbook"/>
          <w:sz w:val="27"/>
          <w:szCs w:val="26"/>
        </w:rPr>
        <w:t> —</w:t>
      </w:r>
      <w:r w:rsidRPr="00C50388">
        <w:rPr>
          <w:rFonts w:ascii="Century Schoolbook" w:hAnsi="Century Schoolbook"/>
          <w:sz w:val="27"/>
          <w:szCs w:val="26"/>
        </w:rPr>
        <w:t xml:space="preserve"> for months or years</w:t>
      </w:r>
      <w:r>
        <w:rPr>
          <w:rFonts w:ascii="Century Schoolbook" w:hAnsi="Century Schoolbook"/>
          <w:sz w:val="27"/>
          <w:szCs w:val="26"/>
        </w:rPr>
        <w:t> . . . </w:t>
      </w:r>
      <w:r w:rsidRPr="00C50388">
        <w:rPr>
          <w:rFonts w:ascii="Century Schoolbook" w:hAnsi="Century Schoolbook"/>
          <w:sz w:val="27"/>
          <w:szCs w:val="26"/>
        </w:rPr>
        <w:t xml:space="preserve">. If they can persuade the trial court to hold off from entering ‘judgment,’ the parties can create their own convenient window for seeking appellate review.”  However, a prevailing party in an </w:t>
      </w:r>
      <w:r w:rsidRPr="00C50388">
        <w:rPr>
          <w:rFonts w:ascii="Century Schoolbook" w:hAnsi="Century Schoolbook"/>
          <w:sz w:val="27"/>
          <w:szCs w:val="26"/>
        </w:rPr>
        <w:t>administrative mandate proceeding, just as in any civil action, has both the ability and the incentive to promptly submit a proposed judgment to the court, obtain entry of judgment, and serve a notice of entry of judgment to commence the time to appeal.</w:t>
      </w:r>
      <w:r>
        <w:rPr>
          <w:rFonts w:ascii="Century Schoolbook" w:hAnsi="Century Schoolbook"/>
          <w:sz w:val="27"/>
          <w:szCs w:val="26"/>
        </w:rPr>
        <w:t xml:space="preserve"> </w:t>
      </w:r>
    </w:p>
    <w:p w:rsidR="00187CD0" w:rsidRPr="00C50388" w:rsidP="00C47792">
      <w:pPr>
        <w:spacing w:after="100" w:line="400" w:lineRule="exact"/>
        <w:ind w:firstLine="720"/>
        <w:jc w:val="both"/>
        <w:rPr>
          <w:rFonts w:ascii="Century Schoolbook" w:hAnsi="Century Schoolbook"/>
          <w:sz w:val="27"/>
          <w:szCs w:val="26"/>
        </w:rPr>
      </w:pPr>
      <w:r w:rsidRPr="00C50388">
        <w:rPr>
          <w:rFonts w:ascii="Century Schoolbook" w:hAnsi="Century Schoolbook"/>
          <w:sz w:val="27"/>
          <w:szCs w:val="26"/>
        </w:rPr>
        <w:t>F</w:t>
      </w:r>
      <w:r w:rsidRPr="00C50388">
        <w:rPr>
          <w:rFonts w:ascii="Century Schoolbook" w:hAnsi="Century Schoolbook"/>
          <w:sz w:val="27"/>
          <w:szCs w:val="26"/>
        </w:rPr>
        <w:t>urther, notwithstanding the City’s description of the September 25 Judgment as an “irrelevant” document, a judgment is significant in that the time between the filing of an order or other ruling and entry of judgment allows the parties to request</w:t>
      </w:r>
      <w:r>
        <w:rPr>
          <w:rFonts w:ascii="Century Schoolbook" w:hAnsi="Century Schoolbook"/>
          <w:sz w:val="27"/>
          <w:szCs w:val="26"/>
        </w:rPr>
        <w:t> —</w:t>
      </w:r>
      <w:r w:rsidRPr="00C50388">
        <w:rPr>
          <w:rFonts w:ascii="Century Schoolbook" w:hAnsi="Century Schoolbook"/>
          <w:sz w:val="27"/>
          <w:szCs w:val="26"/>
        </w:rPr>
        <w:t xml:space="preserve"> and tri</w:t>
      </w:r>
      <w:r w:rsidRPr="00C50388">
        <w:rPr>
          <w:rFonts w:ascii="Century Schoolbook" w:hAnsi="Century Schoolbook"/>
          <w:sz w:val="27"/>
          <w:szCs w:val="26"/>
        </w:rPr>
        <w:t>al courts to make</w:t>
      </w:r>
      <w:r>
        <w:rPr>
          <w:rFonts w:ascii="Century Schoolbook" w:hAnsi="Century Schoolbook"/>
          <w:sz w:val="27"/>
          <w:szCs w:val="26"/>
        </w:rPr>
        <w:t> —</w:t>
      </w:r>
      <w:r w:rsidRPr="00C50388">
        <w:rPr>
          <w:rFonts w:ascii="Century Schoolbook" w:hAnsi="Century Schoolbook"/>
          <w:sz w:val="27"/>
          <w:szCs w:val="26"/>
        </w:rPr>
        <w:t xml:space="preserve"> changes to the order or other ruling before the trial court loses jurisdiction.  (</w:t>
      </w:r>
      <w:r w:rsidRPr="00C50388">
        <w:rPr>
          <w:rFonts w:ascii="Century Schoolbook" w:hAnsi="Century Schoolbook"/>
          <w:i/>
          <w:iCs/>
          <w:sz w:val="27"/>
          <w:szCs w:val="26"/>
        </w:rPr>
        <w:t xml:space="preserve">Safeco </w:t>
      </w:r>
      <w:r w:rsidRPr="00E66341">
        <w:rPr>
          <w:rFonts w:ascii="Century Schoolbook" w:hAnsi="Century Schoolbook"/>
          <w:i/>
          <w:iCs/>
          <w:sz w:val="27"/>
          <w:szCs w:val="26"/>
        </w:rPr>
        <w:t>Ins.</w:t>
      </w:r>
      <w:r w:rsidRPr="00C50388">
        <w:rPr>
          <w:rFonts w:ascii="Century Schoolbook" w:hAnsi="Century Schoolbook"/>
          <w:i/>
          <w:iCs/>
          <w:sz w:val="27"/>
          <w:szCs w:val="26"/>
        </w:rPr>
        <w:t xml:space="preserve"> Co. v. Architectural Facades Unlimited, Inc</w:t>
      </w:r>
      <w:r w:rsidRPr="00C50388">
        <w:rPr>
          <w:rFonts w:ascii="Century Schoolbook" w:hAnsi="Century Schoolbook"/>
          <w:sz w:val="27"/>
          <w:szCs w:val="26"/>
        </w:rPr>
        <w:t>. (2005) 134 Cal.App.4th 1477, 1482 [trial court lost jurisdiction to consider motion for reconside</w:t>
      </w:r>
      <w:r w:rsidRPr="00C50388">
        <w:rPr>
          <w:rFonts w:ascii="Century Schoolbook" w:hAnsi="Century Schoolbook"/>
          <w:sz w:val="27"/>
          <w:szCs w:val="26"/>
        </w:rPr>
        <w:t xml:space="preserve">ration upon entry of judgment]; </w:t>
      </w:r>
      <w:r w:rsidRPr="00C50388">
        <w:rPr>
          <w:rFonts w:ascii="Century Schoolbook" w:hAnsi="Century Schoolbook"/>
          <w:i/>
          <w:iCs/>
          <w:sz w:val="27"/>
          <w:szCs w:val="26"/>
        </w:rPr>
        <w:t>Berri</w:t>
      </w:r>
      <w:r w:rsidRPr="00C50388">
        <w:rPr>
          <w:rFonts w:ascii="Century Schoolbook" w:hAnsi="Century Schoolbook"/>
          <w:sz w:val="27"/>
          <w:szCs w:val="26"/>
        </w:rPr>
        <w:t xml:space="preserve">, </w:t>
      </w:r>
      <w:r w:rsidRPr="00C50388">
        <w:rPr>
          <w:rFonts w:ascii="Century Schoolbook" w:hAnsi="Century Schoolbook"/>
          <w:i/>
          <w:iCs/>
          <w:sz w:val="27"/>
          <w:szCs w:val="26"/>
        </w:rPr>
        <w:t>supra</w:t>
      </w:r>
      <w:r w:rsidRPr="00C50388">
        <w:rPr>
          <w:rFonts w:ascii="Century Schoolbook" w:hAnsi="Century Schoolbook"/>
          <w:sz w:val="27"/>
          <w:szCs w:val="26"/>
        </w:rPr>
        <w:t>, 43 Cal.2d at p.</w:t>
      </w:r>
      <w:r>
        <w:rPr>
          <w:rFonts w:ascii="Century Schoolbook" w:hAnsi="Century Schoolbook"/>
          <w:sz w:val="27"/>
          <w:szCs w:val="26"/>
        </w:rPr>
        <w:t xml:space="preserve"> </w:t>
      </w:r>
      <w:r w:rsidRPr="00C50388">
        <w:rPr>
          <w:rFonts w:ascii="Century Schoolbook" w:hAnsi="Century Schoolbook"/>
          <w:sz w:val="27"/>
          <w:szCs w:val="26"/>
        </w:rPr>
        <w:t>860 [“an order sustaining a demurrer without leave to amend is not appealable as it is not the final judgment in the case</w:t>
      </w:r>
      <w:r>
        <w:rPr>
          <w:rFonts w:ascii="Century Schoolbook" w:hAnsi="Century Schoolbook"/>
          <w:sz w:val="27"/>
          <w:szCs w:val="26"/>
        </w:rPr>
        <w:t>”</w:t>
      </w:r>
      <w:r w:rsidRPr="00C50388">
        <w:rPr>
          <w:rFonts w:ascii="Century Schoolbook" w:hAnsi="Century Schoolbook"/>
          <w:sz w:val="27"/>
          <w:szCs w:val="26"/>
        </w:rPr>
        <w:t xml:space="preserve"> and</w:t>
      </w:r>
      <w:r>
        <w:rPr>
          <w:rFonts w:ascii="Century Schoolbook" w:hAnsi="Century Schoolbook"/>
          <w:sz w:val="27"/>
          <w:szCs w:val="26"/>
        </w:rPr>
        <w:t> “</w:t>
      </w:r>
      <w:r w:rsidRPr="00C50388">
        <w:rPr>
          <w:rFonts w:ascii="Century Schoolbook" w:hAnsi="Century Schoolbook"/>
          <w:sz w:val="27"/>
          <w:szCs w:val="26"/>
        </w:rPr>
        <w:t xml:space="preserve">the trial court may reconsider its ruling after such an order but </w:t>
      </w:r>
      <w:r w:rsidRPr="00C50388">
        <w:rPr>
          <w:rFonts w:ascii="Century Schoolbook" w:hAnsi="Century Schoolbook"/>
          <w:sz w:val="27"/>
          <w:szCs w:val="26"/>
        </w:rPr>
        <w:t xml:space="preserve">before judgment and come to a different conclusion”].)  As we have explained, one of the reasons for the one judgment rule is that “[u]ntil a final judgment is rendered the trial court may completely obviate an appeal by altering the rulings from which an </w:t>
      </w:r>
      <w:r w:rsidRPr="00C50388">
        <w:rPr>
          <w:rFonts w:ascii="Century Schoolbook" w:hAnsi="Century Schoolbook"/>
          <w:sz w:val="27"/>
          <w:szCs w:val="26"/>
        </w:rPr>
        <w:t xml:space="preserve">appeal would otherwise </w:t>
      </w:r>
      <w:r>
        <w:rPr>
          <w:rFonts w:ascii="Century Schoolbook" w:hAnsi="Century Schoolbook"/>
          <w:sz w:val="27"/>
          <w:szCs w:val="26"/>
        </w:rPr>
        <w:t>have been</w:t>
      </w:r>
      <w:r w:rsidRPr="00C50388">
        <w:rPr>
          <w:rFonts w:ascii="Century Schoolbook" w:hAnsi="Century Schoolbook"/>
          <w:sz w:val="27"/>
          <w:szCs w:val="26"/>
        </w:rPr>
        <w:t xml:space="preserve"> taken.”  (</w:t>
      </w:r>
      <w:r w:rsidRPr="00C50388">
        <w:rPr>
          <w:rFonts w:ascii="Century Schoolbook" w:hAnsi="Century Schoolbook"/>
          <w:i/>
          <w:iCs/>
          <w:sz w:val="27"/>
          <w:szCs w:val="26"/>
        </w:rPr>
        <w:t>Morehart</w:t>
      </w:r>
      <w:r w:rsidRPr="00C50388">
        <w:rPr>
          <w:rFonts w:ascii="Century Schoolbook" w:hAnsi="Century Schoolbook"/>
          <w:sz w:val="27"/>
          <w:szCs w:val="26"/>
        </w:rPr>
        <w:t xml:space="preserve">, </w:t>
      </w:r>
      <w:r w:rsidRPr="00C50388">
        <w:rPr>
          <w:rFonts w:ascii="Century Schoolbook" w:hAnsi="Century Schoolbook"/>
          <w:i/>
          <w:iCs/>
          <w:sz w:val="27"/>
          <w:szCs w:val="26"/>
        </w:rPr>
        <w:t>supra</w:t>
      </w:r>
      <w:r w:rsidRPr="00C50388">
        <w:rPr>
          <w:rFonts w:ascii="Century Schoolbook" w:hAnsi="Century Schoolbook"/>
          <w:sz w:val="27"/>
          <w:szCs w:val="26"/>
        </w:rPr>
        <w:t>, 7 Cal.4th at p.</w:t>
      </w:r>
      <w:r>
        <w:rPr>
          <w:rFonts w:ascii="Century Schoolbook" w:hAnsi="Century Schoolbook"/>
          <w:sz w:val="27"/>
          <w:szCs w:val="26"/>
        </w:rPr>
        <w:t> </w:t>
      </w:r>
      <w:r w:rsidRPr="00C50388">
        <w:rPr>
          <w:rFonts w:ascii="Century Schoolbook" w:hAnsi="Century Schoolbook"/>
          <w:sz w:val="27"/>
          <w:szCs w:val="26"/>
        </w:rPr>
        <w:t>741, fn.</w:t>
      </w:r>
      <w:r>
        <w:rPr>
          <w:rFonts w:ascii="Century Schoolbook" w:hAnsi="Century Schoolbook"/>
          <w:sz w:val="27"/>
          <w:szCs w:val="26"/>
        </w:rPr>
        <w:t xml:space="preserve"> </w:t>
      </w:r>
      <w:r w:rsidRPr="00C50388">
        <w:rPr>
          <w:rFonts w:ascii="Century Schoolbook" w:hAnsi="Century Schoolbook"/>
          <w:sz w:val="27"/>
          <w:szCs w:val="26"/>
        </w:rPr>
        <w:t>9.)  “At any time before a judgment is entered the court may change its conclusions of law and enter a judgment different from that first announced, and [judges] who [have</w:t>
      </w:r>
      <w:r w:rsidRPr="00C50388">
        <w:rPr>
          <w:rFonts w:ascii="Century Schoolbook" w:hAnsi="Century Schoolbook"/>
          <w:sz w:val="27"/>
          <w:szCs w:val="26"/>
        </w:rPr>
        <w:t>] heard the evidence may at any time before entry of judgment amend or change [their] findings of fact.”  (</w:t>
      </w:r>
      <w:r w:rsidRPr="00C50388">
        <w:rPr>
          <w:rFonts w:ascii="Century Schoolbook" w:hAnsi="Century Schoolbook"/>
          <w:i/>
          <w:iCs/>
          <w:sz w:val="27"/>
          <w:szCs w:val="26"/>
        </w:rPr>
        <w:t>Wilson v. Los Angeles County Emp. Association</w:t>
      </w:r>
      <w:r w:rsidRPr="00C50388">
        <w:rPr>
          <w:rFonts w:ascii="Century Schoolbook" w:hAnsi="Century Schoolbook"/>
          <w:sz w:val="27"/>
          <w:szCs w:val="26"/>
        </w:rPr>
        <w:t xml:space="preserve"> (1954) 127 Cal.App.2d 285, 289.)  Once judgment is entered, the trial court “may correct judicial error</w:t>
      </w:r>
      <w:r w:rsidRPr="00C50388">
        <w:rPr>
          <w:rFonts w:ascii="Century Schoolbook" w:hAnsi="Century Schoolbook"/>
          <w:sz w:val="27"/>
          <w:szCs w:val="26"/>
        </w:rPr>
        <w:t xml:space="preserve"> only through certain limited procedure</w:t>
      </w:r>
      <w:r>
        <w:rPr>
          <w:rFonts w:ascii="Century Schoolbook" w:hAnsi="Century Schoolbook"/>
          <w:sz w:val="27"/>
          <w:szCs w:val="26"/>
        </w:rPr>
        <w:t>s</w:t>
      </w:r>
      <w:r w:rsidRPr="00C50388">
        <w:rPr>
          <w:rFonts w:ascii="Century Schoolbook" w:hAnsi="Century Schoolbook"/>
          <w:sz w:val="27"/>
          <w:szCs w:val="26"/>
        </w:rPr>
        <w:t xml:space="preserve"> such as motions for new trial and motions to vacate the judgment.”  (</w:t>
      </w:r>
      <w:r w:rsidRPr="00C50388">
        <w:rPr>
          <w:rFonts w:ascii="Century Schoolbook" w:hAnsi="Century Schoolbook"/>
          <w:i/>
          <w:iCs/>
          <w:sz w:val="27"/>
          <w:szCs w:val="26"/>
        </w:rPr>
        <w:t>Passavanti v. Williams</w:t>
      </w:r>
      <w:r w:rsidRPr="00C50388">
        <w:rPr>
          <w:rFonts w:ascii="Century Schoolbook" w:hAnsi="Century Schoolbook"/>
          <w:sz w:val="27"/>
          <w:szCs w:val="26"/>
        </w:rPr>
        <w:t xml:space="preserve"> (1990) 225 Cal.App.3d 1602, 1606.)</w:t>
      </w:r>
      <w:r>
        <w:rPr>
          <w:rStyle w:val="FootnoteReference"/>
          <w:szCs w:val="26"/>
          <w:vertAlign w:val="superscript"/>
        </w:rPr>
        <w:footnoteReference w:id="14"/>
      </w:r>
      <w:r w:rsidRPr="00C50388">
        <w:rPr>
          <w:rFonts w:ascii="Century Schoolbook" w:hAnsi="Century Schoolbook"/>
          <w:sz w:val="27"/>
          <w:szCs w:val="26"/>
        </w:rPr>
        <w:t xml:space="preserve"> </w:t>
      </w:r>
    </w:p>
    <w:p w:rsidR="00187CD0" w:rsidRPr="00C50388" w:rsidP="00C47792">
      <w:pPr>
        <w:spacing w:after="100" w:line="400" w:lineRule="exact"/>
        <w:ind w:firstLine="720"/>
        <w:jc w:val="both"/>
        <w:rPr>
          <w:rFonts w:ascii="Century Schoolbook" w:hAnsi="Century Schoolbook"/>
          <w:sz w:val="27"/>
          <w:szCs w:val="26"/>
        </w:rPr>
      </w:pPr>
      <w:r w:rsidRPr="00C50388">
        <w:rPr>
          <w:rFonts w:ascii="Century Schoolbook" w:hAnsi="Century Schoolbook"/>
          <w:sz w:val="27"/>
          <w:szCs w:val="26"/>
        </w:rPr>
        <w:t>We note that the City does not argue</w:t>
      </w:r>
      <w:r>
        <w:rPr>
          <w:rFonts w:ascii="Century Schoolbook" w:hAnsi="Century Schoolbook"/>
          <w:sz w:val="27"/>
          <w:szCs w:val="26"/>
        </w:rPr>
        <w:t> —</w:t>
      </w:r>
      <w:r w:rsidRPr="00C50388">
        <w:rPr>
          <w:rFonts w:ascii="Century Schoolbook" w:hAnsi="Century Schoolbook"/>
          <w:sz w:val="27"/>
          <w:szCs w:val="26"/>
        </w:rPr>
        <w:t xml:space="preserve"> and the Court of Appeal did not suggest</w:t>
      </w:r>
      <w:r>
        <w:rPr>
          <w:rFonts w:ascii="Century Schoolbook" w:hAnsi="Century Schoolbook"/>
          <w:sz w:val="27"/>
          <w:szCs w:val="26"/>
        </w:rPr>
        <w:t> —</w:t>
      </w:r>
      <w:r w:rsidRPr="00C50388">
        <w:rPr>
          <w:rFonts w:ascii="Century Schoolbook" w:hAnsi="Century Schoolbook"/>
          <w:sz w:val="27"/>
          <w:szCs w:val="26"/>
        </w:rPr>
        <w:t xml:space="preserve"> that the time to appeal in </w:t>
      </w:r>
      <w:r w:rsidRPr="00C50388">
        <w:rPr>
          <w:rFonts w:ascii="Century Schoolbook" w:hAnsi="Century Schoolbook"/>
          <w:i/>
          <w:iCs/>
          <w:sz w:val="27"/>
          <w:szCs w:val="26"/>
        </w:rPr>
        <w:t xml:space="preserve">all civil cases </w:t>
      </w:r>
      <w:r w:rsidRPr="00C50388">
        <w:rPr>
          <w:rFonts w:ascii="Century Schoolbook" w:hAnsi="Century Schoolbook"/>
          <w:sz w:val="27"/>
          <w:szCs w:val="26"/>
        </w:rPr>
        <w:t>begins with the filing of any order that is sufficiently final to constitute the judgment in the case.  But they also have not persuasively explained why the time to appe</w:t>
      </w:r>
      <w:r w:rsidRPr="00C50388">
        <w:rPr>
          <w:rFonts w:ascii="Century Schoolbook" w:hAnsi="Century Schoolbook"/>
          <w:sz w:val="27"/>
          <w:szCs w:val="26"/>
        </w:rPr>
        <w:t>al should begin with the filing of such an order in administrative mandate proceedings in particular.  The City asserts in a cursory fashion that “one reason for [treating administrative mandate proceedings differently from civil actions] may be that</w:t>
      </w:r>
      <w:r>
        <w:rPr>
          <w:rFonts w:ascii="Century Schoolbook" w:hAnsi="Century Schoolbook"/>
          <w:sz w:val="27"/>
          <w:szCs w:val="26"/>
        </w:rPr>
        <w:t> . . .</w:t>
      </w:r>
      <w:r w:rsidRPr="00C50388">
        <w:rPr>
          <w:rFonts w:ascii="Century Schoolbook" w:hAnsi="Century Schoolbook"/>
          <w:sz w:val="27"/>
          <w:szCs w:val="26"/>
        </w:rPr>
        <w:t xml:space="preserve"> orders resolving all the issues in [administrative mandate proceedings] do not take numerous forms.  This is in contrast to ordinary civil actions, in which resolution of cases can range from motions to dismiss, to summary judgment, to trial by judge or j</w:t>
      </w:r>
      <w:r w:rsidRPr="00C50388">
        <w:rPr>
          <w:rFonts w:ascii="Century Schoolbook" w:hAnsi="Century Schoolbook"/>
          <w:sz w:val="27"/>
          <w:szCs w:val="26"/>
        </w:rPr>
        <w:t xml:space="preserve">ury, and in which numerous types of monetary and non-monetary remedies can be imposed.”  As Meinhardt points out, however, the City’s argument “defies the actual diversity of practice that occurs in administrative mandate cases.”  (Citing, e.g., </w:t>
      </w:r>
      <w:r w:rsidRPr="00C50388">
        <w:rPr>
          <w:rFonts w:ascii="Century Schoolbook" w:hAnsi="Century Schoolbook"/>
          <w:i/>
          <w:iCs/>
          <w:sz w:val="27"/>
          <w:szCs w:val="26"/>
        </w:rPr>
        <w:t>Saint Fran</w:t>
      </w:r>
      <w:r w:rsidRPr="00C50388">
        <w:rPr>
          <w:rFonts w:ascii="Century Schoolbook" w:hAnsi="Century Schoolbook"/>
          <w:i/>
          <w:iCs/>
          <w:sz w:val="27"/>
          <w:szCs w:val="26"/>
        </w:rPr>
        <w:t xml:space="preserve">cis Memorial Hospital v. State Dept. of Public Health </w:t>
      </w:r>
      <w:r w:rsidRPr="00C50388">
        <w:rPr>
          <w:rFonts w:ascii="Century Schoolbook" w:hAnsi="Century Schoolbook"/>
          <w:sz w:val="27"/>
          <w:szCs w:val="26"/>
        </w:rPr>
        <w:t xml:space="preserve">(20020) 9 Cal.5th 710, 719 [resolving administrative mandate case by demurrer]; </w:t>
      </w:r>
      <w:r w:rsidRPr="00C50388">
        <w:rPr>
          <w:rFonts w:ascii="Century Schoolbook" w:hAnsi="Century Schoolbook"/>
          <w:i/>
          <w:iCs/>
          <w:sz w:val="27"/>
          <w:szCs w:val="26"/>
        </w:rPr>
        <w:t>Angelier v. State Board of Pharmacy</w:t>
      </w:r>
      <w:r w:rsidRPr="00C50388">
        <w:rPr>
          <w:rFonts w:ascii="Century Schoolbook" w:hAnsi="Century Schoolbook"/>
          <w:sz w:val="27"/>
          <w:szCs w:val="26"/>
        </w:rPr>
        <w:t xml:space="preserve"> (1997) 58 Cal.App.4th 592, 598, fn. 5 [statement of decision requirement of section 63</w:t>
      </w:r>
      <w:r w:rsidRPr="00C50388">
        <w:rPr>
          <w:rFonts w:ascii="Century Schoolbook" w:hAnsi="Century Schoolbook"/>
          <w:sz w:val="27"/>
          <w:szCs w:val="26"/>
        </w:rPr>
        <w:t>2 is implicated in administrative mandate proceedings where trial court is required to independently weigh the evidence, as opposed to merely assessing its sufficiency].)  Nothing in the language of the relevant statutes and rules or in section 1094.5’s le</w:t>
      </w:r>
      <w:r w:rsidRPr="00C50388">
        <w:rPr>
          <w:rFonts w:ascii="Century Schoolbook" w:hAnsi="Century Schoolbook"/>
          <w:sz w:val="27"/>
          <w:szCs w:val="26"/>
        </w:rPr>
        <w:t>gislative history</w:t>
      </w:r>
      <w:r>
        <w:rPr>
          <w:rStyle w:val="FootnoteReference"/>
          <w:szCs w:val="26"/>
          <w:vertAlign w:val="superscript"/>
        </w:rPr>
        <w:footnoteReference w:id="15"/>
      </w:r>
      <w:r w:rsidRPr="00C50388">
        <w:rPr>
          <w:rFonts w:ascii="Century Schoolbook" w:hAnsi="Century Schoolbook"/>
          <w:sz w:val="27"/>
          <w:szCs w:val="26"/>
        </w:rPr>
        <w:t xml:space="preserve"> suggests that the calculation of the time to appeal in administrative mandate proceedings is different from the calculation in other proceedings.  To the contrary, section</w:t>
      </w:r>
      <w:r>
        <w:rPr>
          <w:rFonts w:ascii="Century Schoolbook" w:hAnsi="Century Schoolbook"/>
          <w:sz w:val="27"/>
          <w:szCs w:val="26"/>
        </w:rPr>
        <w:t xml:space="preserve"> </w:t>
      </w:r>
      <w:r w:rsidRPr="00C50388">
        <w:rPr>
          <w:rFonts w:ascii="Century Schoolbook" w:hAnsi="Century Schoolbook"/>
          <w:sz w:val="27"/>
          <w:szCs w:val="26"/>
        </w:rPr>
        <w:t>1110 explicitly provides that appellate rules and procedures tha</w:t>
      </w:r>
      <w:r w:rsidRPr="00C50388">
        <w:rPr>
          <w:rFonts w:ascii="Century Schoolbook" w:hAnsi="Century Schoolbook"/>
          <w:sz w:val="27"/>
          <w:szCs w:val="26"/>
        </w:rPr>
        <w:t xml:space="preserve">t apply to civil actions apply to all special proceedings.  </w:t>
      </w:r>
    </w:p>
    <w:p w:rsidR="00187CD0" w:rsidRPr="00C50388" w:rsidP="00C47792">
      <w:pPr>
        <w:spacing w:after="100" w:line="400" w:lineRule="exact"/>
        <w:ind w:firstLine="720"/>
        <w:jc w:val="both"/>
        <w:rPr>
          <w:rFonts w:ascii="Century Schoolbook" w:hAnsi="Century Schoolbook"/>
          <w:sz w:val="27"/>
          <w:szCs w:val="26"/>
        </w:rPr>
      </w:pPr>
      <w:r w:rsidRPr="00C50388">
        <w:rPr>
          <w:rFonts w:ascii="Century Schoolbook" w:hAnsi="Century Schoolbook"/>
          <w:sz w:val="27"/>
          <w:szCs w:val="26"/>
        </w:rPr>
        <w:t xml:space="preserve"> The City argues that </w:t>
      </w:r>
      <w:r w:rsidRPr="00C50388">
        <w:rPr>
          <w:rFonts w:ascii="Century Schoolbook" w:hAnsi="Century Schoolbook"/>
          <w:i/>
          <w:iCs/>
          <w:sz w:val="27"/>
          <w:szCs w:val="26"/>
        </w:rPr>
        <w:t xml:space="preserve">Dhillon </w:t>
      </w:r>
      <w:r w:rsidRPr="00C50388">
        <w:rPr>
          <w:rFonts w:ascii="Century Schoolbook" w:hAnsi="Century Schoolbook"/>
          <w:sz w:val="27"/>
          <w:szCs w:val="26"/>
        </w:rPr>
        <w:t xml:space="preserve">supports its position and the Court of Appeal’s holding, but the argument is unpersuasive because </w:t>
      </w:r>
      <w:r w:rsidRPr="00C50388">
        <w:rPr>
          <w:rFonts w:ascii="Century Schoolbook" w:hAnsi="Century Schoolbook"/>
          <w:i/>
          <w:iCs/>
          <w:sz w:val="27"/>
          <w:szCs w:val="26"/>
        </w:rPr>
        <w:t xml:space="preserve">Dhillon </w:t>
      </w:r>
      <w:r w:rsidRPr="00C50388">
        <w:rPr>
          <w:rFonts w:ascii="Century Schoolbook" w:hAnsi="Century Schoolbook"/>
          <w:sz w:val="27"/>
          <w:szCs w:val="26"/>
        </w:rPr>
        <w:t>did not address timeliness.  There, a surgeon filed a petit</w:t>
      </w:r>
      <w:r w:rsidRPr="00C50388">
        <w:rPr>
          <w:rFonts w:ascii="Century Schoolbook" w:hAnsi="Century Schoolbook"/>
          <w:sz w:val="27"/>
          <w:szCs w:val="26"/>
        </w:rPr>
        <w:t>ion for writ of administrative mandate challenging a hospital’s decision to suspend his clinical privileges.  (</w:t>
      </w:r>
      <w:r w:rsidRPr="00C50388">
        <w:rPr>
          <w:rFonts w:ascii="Century Schoolbook" w:hAnsi="Century Schoolbook"/>
          <w:i/>
          <w:iCs/>
          <w:sz w:val="27"/>
          <w:szCs w:val="26"/>
        </w:rPr>
        <w:t>Dhillon</w:t>
      </w:r>
      <w:r w:rsidRPr="00C50388">
        <w:rPr>
          <w:rFonts w:ascii="Century Schoolbook" w:hAnsi="Century Schoolbook"/>
          <w:sz w:val="27"/>
          <w:szCs w:val="26"/>
        </w:rPr>
        <w:t xml:space="preserve">, </w:t>
      </w:r>
      <w:r w:rsidRPr="00C50388">
        <w:rPr>
          <w:rFonts w:ascii="Century Schoolbook" w:hAnsi="Century Schoolbook"/>
          <w:i/>
          <w:iCs/>
          <w:sz w:val="27"/>
          <w:szCs w:val="26"/>
        </w:rPr>
        <w:t>supra</w:t>
      </w:r>
      <w:r w:rsidRPr="00C50388">
        <w:rPr>
          <w:rFonts w:ascii="Century Schoolbook" w:hAnsi="Century Schoolbook"/>
          <w:sz w:val="27"/>
          <w:szCs w:val="26"/>
        </w:rPr>
        <w:t>, 2 Cal.5th at p.</w:t>
      </w:r>
      <w:r>
        <w:rPr>
          <w:rFonts w:ascii="Century Schoolbook" w:hAnsi="Century Schoolbook"/>
          <w:sz w:val="27"/>
          <w:szCs w:val="26"/>
        </w:rPr>
        <w:t xml:space="preserve"> </w:t>
      </w:r>
      <w:r w:rsidRPr="00C50388">
        <w:rPr>
          <w:rFonts w:ascii="Century Schoolbook" w:hAnsi="Century Schoolbook"/>
          <w:sz w:val="27"/>
          <w:szCs w:val="26"/>
        </w:rPr>
        <w:t xml:space="preserve">1116.)  The trial court ruled the surgeon was entitled to an administrative hearing before suspension of his </w:t>
      </w:r>
      <w:r w:rsidRPr="00C50388">
        <w:rPr>
          <w:rFonts w:ascii="Century Schoolbook" w:hAnsi="Century Schoolbook"/>
          <w:sz w:val="27"/>
          <w:szCs w:val="26"/>
        </w:rPr>
        <w:t>privileges and ordered the hospital owner to conduct such a hearing.  (</w:t>
      </w:r>
      <w:r w:rsidRPr="00C50388">
        <w:rPr>
          <w:rFonts w:ascii="Century Schoolbook" w:hAnsi="Century Schoolbook"/>
          <w:i/>
          <w:iCs/>
          <w:sz w:val="27"/>
          <w:szCs w:val="26"/>
        </w:rPr>
        <w:t>Ibid</w:t>
      </w:r>
      <w:r w:rsidRPr="00C50388">
        <w:rPr>
          <w:rFonts w:ascii="Century Schoolbook" w:hAnsi="Century Schoolbook"/>
          <w:sz w:val="27"/>
          <w:szCs w:val="26"/>
        </w:rPr>
        <w:t>.)  At the time, our Courts of Appeal disagreed as to whether rulings that partially granted writ petitions by ordering administrative hearings to take place were sufficiently final</w:t>
      </w:r>
      <w:r w:rsidRPr="00C50388">
        <w:rPr>
          <w:rFonts w:ascii="Century Schoolbook" w:hAnsi="Century Schoolbook"/>
          <w:sz w:val="27"/>
          <w:szCs w:val="26"/>
        </w:rPr>
        <w:t xml:space="preserve"> for purposes of appealability; we resolved that conflict by holding that they were.  (</w:t>
      </w:r>
      <w:r w:rsidRPr="00C50388">
        <w:rPr>
          <w:rFonts w:ascii="Century Schoolbook" w:hAnsi="Century Schoolbook"/>
          <w:i/>
          <w:iCs/>
          <w:sz w:val="27"/>
          <w:szCs w:val="26"/>
        </w:rPr>
        <w:t>Id</w:t>
      </w:r>
      <w:r w:rsidRPr="00C50388">
        <w:rPr>
          <w:rFonts w:ascii="Century Schoolbook" w:hAnsi="Century Schoolbook"/>
          <w:sz w:val="27"/>
          <w:szCs w:val="26"/>
        </w:rPr>
        <w:t>. at pp. 1113–1114.)  In stating that the “remand order” was, given its nature, “an appealable final judgment” (</w:t>
      </w:r>
      <w:r w:rsidRPr="00C50388">
        <w:rPr>
          <w:rFonts w:ascii="Century Schoolbook" w:hAnsi="Century Schoolbook"/>
          <w:i/>
          <w:iCs/>
          <w:sz w:val="27"/>
          <w:szCs w:val="26"/>
        </w:rPr>
        <w:t>id.</w:t>
      </w:r>
      <w:r w:rsidRPr="00C50388">
        <w:rPr>
          <w:rFonts w:ascii="Century Schoolbook" w:hAnsi="Century Schoolbook"/>
          <w:sz w:val="27"/>
          <w:szCs w:val="26"/>
        </w:rPr>
        <w:t xml:space="preserve"> at p.</w:t>
      </w:r>
      <w:r>
        <w:rPr>
          <w:rFonts w:ascii="Century Schoolbook" w:hAnsi="Century Schoolbook"/>
          <w:sz w:val="27"/>
          <w:szCs w:val="26"/>
        </w:rPr>
        <w:t xml:space="preserve"> </w:t>
      </w:r>
      <w:r w:rsidRPr="00C50388">
        <w:rPr>
          <w:rFonts w:ascii="Century Schoolbook" w:hAnsi="Century Schoolbook"/>
          <w:sz w:val="27"/>
          <w:szCs w:val="26"/>
        </w:rPr>
        <w:t>1116), we were addressing a question of appea</w:t>
      </w:r>
      <w:r w:rsidRPr="00C50388">
        <w:rPr>
          <w:rFonts w:ascii="Century Schoolbook" w:hAnsi="Century Schoolbook"/>
          <w:sz w:val="27"/>
          <w:szCs w:val="26"/>
        </w:rPr>
        <w:t xml:space="preserve">lability, not a question of timeliness.  The only issue before us was whether the trial court’s ruling that only partially granted a writ petition was sufficiently final for purposes of permitting the appeal to go forward.  Thus, </w:t>
      </w:r>
      <w:r w:rsidRPr="00C50388">
        <w:rPr>
          <w:rFonts w:ascii="Century Schoolbook" w:hAnsi="Century Schoolbook"/>
          <w:i/>
          <w:iCs/>
          <w:sz w:val="27"/>
          <w:szCs w:val="26"/>
        </w:rPr>
        <w:t>Dhillon</w:t>
      </w:r>
      <w:r w:rsidRPr="00C50388">
        <w:rPr>
          <w:rFonts w:ascii="Century Schoolbook" w:hAnsi="Century Schoolbook"/>
          <w:sz w:val="27"/>
          <w:szCs w:val="26"/>
        </w:rPr>
        <w:t xml:space="preserve"> does not support t</w:t>
      </w:r>
      <w:r w:rsidRPr="00C50388">
        <w:rPr>
          <w:rFonts w:ascii="Century Schoolbook" w:hAnsi="Century Schoolbook"/>
          <w:sz w:val="27"/>
          <w:szCs w:val="26"/>
        </w:rPr>
        <w:t xml:space="preserve">he City’s argument or the Court of Appeal’s holding that an order granting or denying a petition for writ of administrative mandate is the judgment from which the time to appeal begins to run.  (See </w:t>
      </w:r>
      <w:r w:rsidRPr="00C50388">
        <w:rPr>
          <w:rFonts w:ascii="Century Schoolbook" w:hAnsi="Century Schoolbook"/>
          <w:i/>
          <w:iCs/>
          <w:sz w:val="27"/>
          <w:szCs w:val="26"/>
        </w:rPr>
        <w:t>B.B. v. County of Los Angeles</w:t>
      </w:r>
      <w:r w:rsidRPr="00C50388">
        <w:rPr>
          <w:rFonts w:ascii="Century Schoolbook" w:hAnsi="Century Schoolbook"/>
          <w:sz w:val="27"/>
          <w:szCs w:val="26"/>
        </w:rPr>
        <w:t xml:space="preserve"> (2020) 10 Cal.5th 1, 11 [“A</w:t>
      </w:r>
      <w:r w:rsidRPr="00C50388">
        <w:rPr>
          <w:rFonts w:ascii="Century Schoolbook" w:hAnsi="Century Schoolbook"/>
          <w:sz w:val="27"/>
          <w:szCs w:val="26"/>
        </w:rPr>
        <w:t>s we have repeatedly observed, ‘</w:t>
      </w:r>
      <w:r>
        <w:rPr>
          <w:rFonts w:ascii="Century Schoolbook" w:hAnsi="Century Schoolbook"/>
          <w:sz w:val="27"/>
          <w:szCs w:val="26"/>
        </w:rPr>
        <w:t> </w:t>
      </w:r>
      <w:r w:rsidRPr="00C50388">
        <w:rPr>
          <w:rFonts w:ascii="Century Schoolbook" w:hAnsi="Century Schoolbook"/>
          <w:sz w:val="27"/>
          <w:szCs w:val="26"/>
        </w:rPr>
        <w:t>“</w:t>
      </w:r>
      <w:r>
        <w:rPr>
          <w:rFonts w:ascii="Century Schoolbook" w:hAnsi="Century Schoolbook"/>
          <w:sz w:val="27"/>
          <w:szCs w:val="26"/>
        </w:rPr>
        <w:t> </w:t>
      </w:r>
      <w:r w:rsidRPr="00C50388">
        <w:rPr>
          <w:rFonts w:ascii="Century Schoolbook" w:hAnsi="Century Schoolbook"/>
          <w:sz w:val="27"/>
          <w:szCs w:val="26"/>
        </w:rPr>
        <w:t>cases are not authority for propositions not considered.” ’ ”].)</w:t>
      </w:r>
      <w:r>
        <w:rPr>
          <w:rStyle w:val="FootnoteReference"/>
          <w:szCs w:val="26"/>
          <w:vertAlign w:val="superscript"/>
        </w:rPr>
        <w:footnoteReference w:id="16"/>
      </w:r>
      <w:r w:rsidRPr="00C50388">
        <w:rPr>
          <w:rFonts w:ascii="Century Schoolbook" w:hAnsi="Century Schoolbook"/>
          <w:sz w:val="27"/>
          <w:szCs w:val="26"/>
        </w:rPr>
        <w:t xml:space="preserve"> </w:t>
      </w:r>
    </w:p>
    <w:p w:rsidR="00187CD0" w:rsidRPr="00C50388" w:rsidP="00C47792">
      <w:pPr>
        <w:spacing w:after="100" w:line="400" w:lineRule="exact"/>
        <w:ind w:firstLine="720"/>
        <w:jc w:val="both"/>
        <w:rPr>
          <w:rFonts w:ascii="Century Schoolbook" w:hAnsi="Century Schoolbook"/>
          <w:sz w:val="27"/>
          <w:szCs w:val="26"/>
        </w:rPr>
      </w:pPr>
      <w:r w:rsidRPr="00C50388">
        <w:rPr>
          <w:rFonts w:ascii="Century Schoolbook" w:hAnsi="Century Schoolbook"/>
          <w:sz w:val="27"/>
          <w:szCs w:val="26"/>
        </w:rPr>
        <w:t>In this case, after the trial court filed an “order” denying Meinhardt’s petition for writ of administrative mandate, the parties signed, and the trial c</w:t>
      </w:r>
      <w:r w:rsidRPr="00C50388">
        <w:rPr>
          <w:rFonts w:ascii="Century Schoolbook" w:hAnsi="Century Schoolbook"/>
          <w:sz w:val="27"/>
          <w:szCs w:val="26"/>
        </w:rPr>
        <w:t>ourt signed and entered, a “judgment,” which Meinhardt promptly served on the parties.  If the earlier “order” was the “judgment” from which Meinhardt should have appealed, the subsequent entry of a judgment that explicitly stated, “the Court hereby enters</w:t>
      </w:r>
      <w:r w:rsidRPr="00C50388">
        <w:rPr>
          <w:rFonts w:ascii="Century Schoolbook" w:hAnsi="Century Schoolbook"/>
          <w:sz w:val="27"/>
          <w:szCs w:val="26"/>
        </w:rPr>
        <w:t xml:space="preserve"> Judgment,” was not merely a nullity or a mistake</w:t>
      </w:r>
      <w:r>
        <w:rPr>
          <w:rFonts w:ascii="Century Schoolbook" w:hAnsi="Century Schoolbook"/>
          <w:sz w:val="27"/>
          <w:szCs w:val="26"/>
        </w:rPr>
        <w:t xml:space="preserve">; </w:t>
      </w:r>
      <w:r w:rsidRPr="00C50388">
        <w:rPr>
          <w:rFonts w:ascii="Century Schoolbook" w:hAnsi="Century Schoolbook"/>
          <w:sz w:val="27"/>
          <w:szCs w:val="26"/>
        </w:rPr>
        <w:t xml:space="preserve">it was </w:t>
      </w:r>
      <w:r>
        <w:rPr>
          <w:rFonts w:ascii="Century Schoolbook" w:hAnsi="Century Schoolbook"/>
          <w:sz w:val="27"/>
          <w:szCs w:val="26"/>
        </w:rPr>
        <w:t>potentially</w:t>
      </w:r>
      <w:r w:rsidRPr="00C50388">
        <w:rPr>
          <w:rFonts w:ascii="Century Schoolbook" w:hAnsi="Century Schoolbook"/>
          <w:sz w:val="27"/>
          <w:szCs w:val="26"/>
        </w:rPr>
        <w:t xml:space="preserve"> misleading.  (See </w:t>
      </w:r>
      <w:r w:rsidRPr="00C50388">
        <w:rPr>
          <w:rFonts w:ascii="Century Schoolbook" w:hAnsi="Century Schoolbook"/>
          <w:i/>
          <w:iCs/>
          <w:sz w:val="27"/>
          <w:szCs w:val="26"/>
        </w:rPr>
        <w:t>Davis</w:t>
      </w:r>
      <w:r w:rsidRPr="00C50388">
        <w:rPr>
          <w:rFonts w:ascii="Century Schoolbook" w:hAnsi="Century Schoolbook"/>
          <w:sz w:val="27"/>
          <w:szCs w:val="26"/>
        </w:rPr>
        <w:t xml:space="preserve">, </w:t>
      </w:r>
      <w:r w:rsidRPr="00C50388">
        <w:rPr>
          <w:rFonts w:ascii="Century Schoolbook" w:hAnsi="Century Schoolbook"/>
          <w:i/>
          <w:iCs/>
          <w:sz w:val="27"/>
          <w:szCs w:val="26"/>
        </w:rPr>
        <w:t>supra</w:t>
      </w:r>
      <w:r w:rsidRPr="00C50388">
        <w:rPr>
          <w:rFonts w:ascii="Century Schoolbook" w:hAnsi="Century Schoolbook"/>
          <w:sz w:val="27"/>
          <w:szCs w:val="26"/>
        </w:rPr>
        <w:t xml:space="preserve">, </w:t>
      </w:r>
      <w:r>
        <w:rPr>
          <w:rFonts w:ascii="Century Schoolbook" w:hAnsi="Century Schoolbook"/>
          <w:sz w:val="27"/>
          <w:szCs w:val="26"/>
        </w:rPr>
        <w:t>1</w:t>
      </w:r>
      <w:r w:rsidRPr="00C50388">
        <w:rPr>
          <w:rFonts w:ascii="Century Schoolbook" w:hAnsi="Century Schoolbook"/>
          <w:sz w:val="27"/>
          <w:szCs w:val="26"/>
        </w:rPr>
        <w:t xml:space="preserve">96 Cal.App.4th at p. 673 [“The city’s filing of its </w:t>
      </w:r>
      <w:r>
        <w:rPr>
          <w:rFonts w:ascii="Century Schoolbook" w:hAnsi="Century Schoolbook"/>
          <w:sz w:val="27"/>
          <w:szCs w:val="26"/>
        </w:rPr>
        <w:t>‘</w:t>
      </w:r>
      <w:r w:rsidRPr="00C50388">
        <w:rPr>
          <w:rFonts w:ascii="Century Schoolbook" w:hAnsi="Century Schoolbook"/>
          <w:sz w:val="27"/>
          <w:szCs w:val="26"/>
        </w:rPr>
        <w:t>[Proposed] Judgment</w:t>
      </w:r>
      <w:r>
        <w:rPr>
          <w:rFonts w:ascii="Century Schoolbook" w:hAnsi="Century Schoolbook"/>
          <w:sz w:val="27"/>
          <w:szCs w:val="26"/>
        </w:rPr>
        <w:t>’</w:t>
      </w:r>
      <w:r w:rsidRPr="00C50388">
        <w:rPr>
          <w:rFonts w:ascii="Century Schoolbook" w:hAnsi="Century Schoolbook"/>
          <w:sz w:val="27"/>
          <w:szCs w:val="26"/>
        </w:rPr>
        <w:t xml:space="preserve"> belies its assertion that nothing more needed to be done, for if nothing more w</w:t>
      </w:r>
      <w:r w:rsidRPr="00C50388">
        <w:rPr>
          <w:rFonts w:ascii="Century Schoolbook" w:hAnsi="Century Schoolbook"/>
          <w:sz w:val="27"/>
          <w:szCs w:val="26"/>
        </w:rPr>
        <w:t>ere needed then why did the city file its proposed judgment?”].)</w:t>
      </w:r>
    </w:p>
    <w:p w:rsidR="00187CD0" w:rsidRPr="00C50388" w:rsidP="00C47792">
      <w:pPr>
        <w:spacing w:after="100" w:line="400" w:lineRule="exact"/>
        <w:ind w:firstLine="720"/>
        <w:jc w:val="both"/>
        <w:rPr>
          <w:rFonts w:ascii="Century Schoolbook" w:hAnsi="Century Schoolbook"/>
          <w:sz w:val="27"/>
          <w:szCs w:val="26"/>
        </w:rPr>
      </w:pPr>
      <w:r w:rsidRPr="00C50388">
        <w:rPr>
          <w:rFonts w:ascii="Century Schoolbook" w:hAnsi="Century Schoolbook"/>
          <w:sz w:val="27"/>
          <w:szCs w:val="26"/>
        </w:rPr>
        <w:t xml:space="preserve">Finally, we note that under the Court of Appeal’s analysis, parties would be unable to take a trial court at its word when it states that it is entering judgment.  Instead, they will need to </w:t>
      </w:r>
      <w:r w:rsidRPr="00C50388">
        <w:rPr>
          <w:rFonts w:ascii="Century Schoolbook" w:hAnsi="Century Schoolbook"/>
          <w:sz w:val="27"/>
          <w:szCs w:val="26"/>
        </w:rPr>
        <w:t xml:space="preserve">evaluate whether a </w:t>
      </w:r>
      <w:r>
        <w:rPr>
          <w:rFonts w:ascii="Century Schoolbook" w:hAnsi="Century Schoolbook"/>
          <w:sz w:val="27"/>
          <w:szCs w:val="26"/>
        </w:rPr>
        <w:t xml:space="preserve">prior </w:t>
      </w:r>
      <w:r w:rsidRPr="00C50388">
        <w:rPr>
          <w:rFonts w:ascii="Century Schoolbook" w:hAnsi="Century Schoolbook"/>
          <w:sz w:val="27"/>
          <w:szCs w:val="26"/>
        </w:rPr>
        <w:t xml:space="preserve">minute order, statement of decision, order, or other ruling may later be found to be sufficiently final to constitute the judgment for purposes of commencing the running of the time to appeal.  Ultimately, that rule would serve no </w:t>
      </w:r>
      <w:r w:rsidRPr="00C50388">
        <w:rPr>
          <w:rFonts w:ascii="Century Schoolbook" w:hAnsi="Century Schoolbook"/>
          <w:sz w:val="27"/>
          <w:szCs w:val="26"/>
        </w:rPr>
        <w:t xml:space="preserve">apparent purpose and would encourage parties to file multiple protective appeals, thereby depriving the parties and the courts of the benefits of the one judgment rule.  (See </w:t>
      </w:r>
      <w:r w:rsidRPr="00C50388">
        <w:rPr>
          <w:rFonts w:ascii="Century Schoolbook" w:hAnsi="Century Schoolbook"/>
          <w:i/>
          <w:iCs/>
          <w:sz w:val="27"/>
          <w:szCs w:val="26"/>
        </w:rPr>
        <w:t>Morehart</w:t>
      </w:r>
      <w:r w:rsidRPr="00C50388">
        <w:rPr>
          <w:rFonts w:ascii="Century Schoolbook" w:hAnsi="Century Schoolbook"/>
          <w:sz w:val="27"/>
          <w:szCs w:val="26"/>
        </w:rPr>
        <w:t>,</w:t>
      </w:r>
      <w:r w:rsidRPr="00C50388">
        <w:rPr>
          <w:rFonts w:ascii="Century Schoolbook" w:hAnsi="Century Schoolbook"/>
          <w:i/>
          <w:iCs/>
          <w:sz w:val="27"/>
          <w:szCs w:val="26"/>
        </w:rPr>
        <w:t xml:space="preserve"> supra</w:t>
      </w:r>
      <w:r w:rsidRPr="00C50388">
        <w:rPr>
          <w:rFonts w:ascii="Century Schoolbook" w:hAnsi="Century Schoolbook"/>
          <w:sz w:val="27"/>
          <w:szCs w:val="26"/>
        </w:rPr>
        <w:t>, 7</w:t>
      </w:r>
      <w:r>
        <w:rPr>
          <w:rFonts w:ascii="Century Schoolbook" w:hAnsi="Century Schoolbook"/>
          <w:sz w:val="27"/>
          <w:szCs w:val="26"/>
        </w:rPr>
        <w:t xml:space="preserve"> </w:t>
      </w:r>
      <w:r w:rsidRPr="00C50388">
        <w:rPr>
          <w:rFonts w:ascii="Century Schoolbook" w:hAnsi="Century Schoolbook"/>
          <w:sz w:val="27"/>
          <w:szCs w:val="26"/>
        </w:rPr>
        <w:t>Cal.4th at p.</w:t>
      </w:r>
      <w:r>
        <w:rPr>
          <w:rFonts w:ascii="Century Schoolbook" w:hAnsi="Century Schoolbook"/>
          <w:sz w:val="27"/>
          <w:szCs w:val="26"/>
        </w:rPr>
        <w:t xml:space="preserve"> 738, fn. 4</w:t>
      </w:r>
      <w:r w:rsidRPr="00C50388">
        <w:rPr>
          <w:rFonts w:ascii="Century Schoolbook" w:hAnsi="Century Schoolbook"/>
          <w:sz w:val="27"/>
          <w:szCs w:val="26"/>
        </w:rPr>
        <w:t xml:space="preserve"> [one final judgment rule is intended </w:t>
      </w:r>
      <w:r w:rsidRPr="00C50388">
        <w:rPr>
          <w:rFonts w:ascii="Century Schoolbook" w:hAnsi="Century Schoolbook"/>
          <w:sz w:val="27"/>
          <w:szCs w:val="26"/>
        </w:rPr>
        <w:t xml:space="preserve">to avoid </w:t>
      </w:r>
      <w:r>
        <w:rPr>
          <w:rFonts w:ascii="Century Schoolbook" w:hAnsi="Century Schoolbook"/>
          <w:sz w:val="27"/>
          <w:szCs w:val="26"/>
        </w:rPr>
        <w:t>“ ‘ “</w:t>
      </w:r>
      <w:r w:rsidRPr="00C50388">
        <w:rPr>
          <w:rFonts w:ascii="Century Schoolbook" w:hAnsi="Century Schoolbook"/>
          <w:sz w:val="27"/>
          <w:szCs w:val="26"/>
        </w:rPr>
        <w:t>piecemeal disposition and multiple appeals</w:t>
      </w:r>
      <w:r>
        <w:rPr>
          <w:rFonts w:ascii="Century Schoolbook" w:hAnsi="Century Schoolbook"/>
          <w:sz w:val="27"/>
          <w:szCs w:val="26"/>
        </w:rPr>
        <w:t>” ’ ”</w:t>
      </w:r>
      <w:r w:rsidRPr="00C50388">
        <w:rPr>
          <w:rFonts w:ascii="Century Schoolbook" w:hAnsi="Century Schoolbook"/>
          <w:sz w:val="27"/>
          <w:szCs w:val="26"/>
        </w:rPr>
        <w:t>].)  Our resolution of the question better promotes clarity and uniformity, access to the courts for all parties</w:t>
      </w:r>
      <w:r>
        <w:rPr>
          <w:rFonts w:ascii="Century Schoolbook" w:hAnsi="Century Schoolbook"/>
          <w:sz w:val="27"/>
          <w:szCs w:val="26"/>
        </w:rPr>
        <w:t> —</w:t>
      </w:r>
      <w:r w:rsidRPr="00C50388">
        <w:rPr>
          <w:rFonts w:ascii="Century Schoolbook" w:hAnsi="Century Schoolbook"/>
          <w:sz w:val="27"/>
          <w:szCs w:val="26"/>
        </w:rPr>
        <w:t xml:space="preserve"> whether represented by counsel or not</w:t>
      </w:r>
      <w:r>
        <w:rPr>
          <w:rFonts w:ascii="Century Schoolbook" w:hAnsi="Century Schoolbook"/>
          <w:sz w:val="27"/>
          <w:szCs w:val="26"/>
        </w:rPr>
        <w:t> —</w:t>
      </w:r>
      <w:r w:rsidRPr="00C50388">
        <w:rPr>
          <w:rFonts w:ascii="Century Schoolbook" w:hAnsi="Century Schoolbook"/>
          <w:sz w:val="27"/>
          <w:szCs w:val="26"/>
        </w:rPr>
        <w:t xml:space="preserve"> and preserves the right to appellate rev</w:t>
      </w:r>
      <w:r w:rsidRPr="00C50388">
        <w:rPr>
          <w:rFonts w:ascii="Century Schoolbook" w:hAnsi="Century Schoolbook"/>
          <w:sz w:val="27"/>
          <w:szCs w:val="26"/>
        </w:rPr>
        <w:t>iew on the merits.  We conclude that entry of</w:t>
      </w:r>
      <w:r>
        <w:rPr>
          <w:rFonts w:ascii="Century Schoolbook" w:hAnsi="Century Schoolbook"/>
          <w:sz w:val="27"/>
          <w:szCs w:val="26"/>
        </w:rPr>
        <w:t> —</w:t>
      </w:r>
      <w:r w:rsidRPr="00C50388">
        <w:rPr>
          <w:rFonts w:ascii="Century Schoolbook" w:hAnsi="Century Schoolbook"/>
          <w:sz w:val="27"/>
          <w:szCs w:val="26"/>
        </w:rPr>
        <w:t xml:space="preserve"> or service of notice of entry of</w:t>
      </w:r>
      <w:r>
        <w:rPr>
          <w:rFonts w:ascii="Century Schoolbook" w:hAnsi="Century Schoolbook"/>
          <w:sz w:val="27"/>
          <w:szCs w:val="26"/>
        </w:rPr>
        <w:t> —</w:t>
      </w:r>
      <w:r w:rsidRPr="00C50388">
        <w:rPr>
          <w:rFonts w:ascii="Century Schoolbook" w:hAnsi="Century Schoolbook"/>
          <w:sz w:val="27"/>
          <w:szCs w:val="26"/>
        </w:rPr>
        <w:t xml:space="preserve"> the September 25 Judgment started the time to appeal in this case and that Meinhardt’s notice of appeal, filed October</w:t>
      </w:r>
      <w:r>
        <w:rPr>
          <w:rFonts w:ascii="Century Schoolbook" w:hAnsi="Century Schoolbook"/>
          <w:sz w:val="27"/>
          <w:szCs w:val="26"/>
        </w:rPr>
        <w:t xml:space="preserve"> </w:t>
      </w:r>
      <w:r w:rsidRPr="00C50388">
        <w:rPr>
          <w:rFonts w:ascii="Century Schoolbook" w:hAnsi="Century Schoolbook"/>
          <w:sz w:val="27"/>
          <w:szCs w:val="26"/>
        </w:rPr>
        <w:t>15, 2020, was therefore timely.  Accordingly, the Cour</w:t>
      </w:r>
      <w:r w:rsidRPr="00C50388">
        <w:rPr>
          <w:rFonts w:ascii="Century Schoolbook" w:hAnsi="Century Schoolbook"/>
          <w:sz w:val="27"/>
          <w:szCs w:val="26"/>
        </w:rPr>
        <w:t>t of Appeal erred in dismissing the appeal.</w:t>
      </w:r>
    </w:p>
    <w:p w:rsidR="00187CD0" w:rsidRPr="00C50388" w:rsidP="00110165">
      <w:pPr>
        <w:keepNext/>
        <w:spacing w:after="100" w:line="400" w:lineRule="exact"/>
        <w:jc w:val="center"/>
        <w:rPr>
          <w:rFonts w:ascii="Century Schoolbook" w:hAnsi="Century Schoolbook"/>
          <w:b/>
          <w:bCs/>
          <w:smallCaps/>
          <w:sz w:val="27"/>
          <w:szCs w:val="26"/>
        </w:rPr>
      </w:pPr>
      <w:r>
        <w:rPr>
          <w:rFonts w:ascii="Century Schoolbook" w:hAnsi="Century Schoolbook"/>
          <w:b/>
          <w:bCs/>
          <w:smallCaps/>
          <w:sz w:val="27"/>
          <w:szCs w:val="26"/>
        </w:rPr>
        <w:t>Disposition</w:t>
      </w:r>
    </w:p>
    <w:p w:rsidR="00187CD0" w:rsidP="00187038">
      <w:pPr>
        <w:spacing w:after="100" w:line="400" w:lineRule="exact"/>
        <w:ind w:firstLine="720"/>
        <w:jc w:val="both"/>
        <w:rPr>
          <w:rFonts w:ascii="Century Schoolbook" w:hAnsi="Century Schoolbook"/>
          <w:sz w:val="27"/>
          <w:szCs w:val="26"/>
        </w:rPr>
      </w:pPr>
      <w:r w:rsidRPr="00C50388">
        <w:rPr>
          <w:rFonts w:ascii="Century Schoolbook" w:hAnsi="Century Schoolbook"/>
          <w:sz w:val="27"/>
          <w:szCs w:val="26"/>
        </w:rPr>
        <w:t>We reverse the judgment of the Court of Appeal and remand the matter for further proceedings consistent with this opinion.</w:t>
      </w:r>
      <w:r>
        <w:rPr>
          <w:rStyle w:val="FootnoteReference"/>
          <w:szCs w:val="26"/>
          <w:vertAlign w:val="superscript"/>
        </w:rPr>
        <w:footnoteReference w:id="17"/>
      </w:r>
    </w:p>
    <w:p w:rsidR="00187CD0" w:rsidRPr="007B67FC" w:rsidP="00C47792">
      <w:pPr>
        <w:jc w:val="both"/>
        <w:rPr>
          <w:rFonts w:ascii="Century Schoolbook" w:hAnsi="Century Schoolbook"/>
          <w:sz w:val="27"/>
          <w:szCs w:val="27"/>
        </w:rPr>
      </w:pPr>
    </w:p>
    <w:p w:rsidR="00187CD0" w:rsidRPr="007B67FC" w:rsidP="00160785">
      <w:pPr>
        <w:spacing w:before="320"/>
        <w:ind w:left="5040"/>
        <w:rPr>
          <w:rFonts w:ascii="Century Schoolbook" w:hAnsi="Century Schoolbook"/>
          <w:b/>
          <w:bCs/>
          <w:color w:val="212121"/>
          <w:sz w:val="27"/>
          <w:szCs w:val="27"/>
        </w:rPr>
      </w:pPr>
      <w:r w:rsidRPr="007B67FC">
        <w:rPr>
          <w:rFonts w:ascii="Century Schoolbook" w:hAnsi="Century Schoolbook"/>
          <w:b/>
          <w:bCs/>
          <w:color w:val="212121"/>
          <w:sz w:val="27"/>
          <w:szCs w:val="27"/>
        </w:rPr>
        <w:t>JENKINS, J.</w:t>
      </w:r>
    </w:p>
    <w:p w:rsidR="00187CD0" w:rsidRPr="007B67FC" w:rsidP="00160785">
      <w:pPr>
        <w:ind w:left="5040"/>
        <w:rPr>
          <w:rFonts w:ascii="Century Schoolbook" w:hAnsi="Century Schoolbook"/>
          <w:b/>
          <w:bCs/>
          <w:color w:val="212121"/>
          <w:sz w:val="27"/>
          <w:szCs w:val="27"/>
        </w:rPr>
      </w:pPr>
    </w:p>
    <w:p w:rsidR="00187CD0" w:rsidRPr="007B67FC" w:rsidP="00160785">
      <w:pPr>
        <w:tabs>
          <w:tab w:val="left" w:pos="1440"/>
        </w:tabs>
        <w:spacing w:after="240"/>
        <w:rPr>
          <w:rFonts w:ascii="Century Schoolbook" w:hAnsi="Century Schoolbook"/>
          <w:b/>
          <w:bCs/>
          <w:sz w:val="27"/>
          <w:szCs w:val="27"/>
        </w:rPr>
      </w:pPr>
      <w:r w:rsidRPr="007B67FC">
        <w:rPr>
          <w:rFonts w:ascii="Century Schoolbook" w:hAnsi="Century Schoolbook"/>
          <w:b/>
          <w:bCs/>
          <w:sz w:val="27"/>
          <w:szCs w:val="27"/>
        </w:rPr>
        <w:t>We Concur:</w:t>
      </w:r>
    </w:p>
    <w:p w:rsidR="00187CD0" w:rsidRPr="007B67FC" w:rsidP="00160785">
      <w:pPr>
        <w:tabs>
          <w:tab w:val="left" w:pos="1440"/>
        </w:tabs>
        <w:rPr>
          <w:rFonts w:ascii="Century Schoolbook" w:hAnsi="Century Schoolbook"/>
          <w:b/>
          <w:bCs/>
          <w:sz w:val="27"/>
          <w:szCs w:val="27"/>
        </w:rPr>
      </w:pPr>
      <w:r w:rsidRPr="007B67FC">
        <w:rPr>
          <w:rFonts w:ascii="Century Schoolbook" w:hAnsi="Century Schoolbook"/>
          <w:b/>
          <w:bCs/>
          <w:sz w:val="27"/>
          <w:szCs w:val="27"/>
        </w:rPr>
        <w:t>CORRIGAN, J.</w:t>
      </w:r>
    </w:p>
    <w:p w:rsidR="00187CD0" w:rsidRPr="007B67FC" w:rsidP="00160785">
      <w:pPr>
        <w:tabs>
          <w:tab w:val="left" w:pos="1440"/>
        </w:tabs>
        <w:rPr>
          <w:rFonts w:ascii="Century Schoolbook" w:hAnsi="Century Schoolbook"/>
          <w:b/>
          <w:bCs/>
          <w:sz w:val="27"/>
          <w:szCs w:val="27"/>
        </w:rPr>
      </w:pPr>
      <w:r w:rsidRPr="007B67FC">
        <w:rPr>
          <w:rFonts w:ascii="Century Schoolbook" w:hAnsi="Century Schoolbook"/>
          <w:b/>
          <w:bCs/>
          <w:sz w:val="27"/>
          <w:szCs w:val="27"/>
        </w:rPr>
        <w:t>LIU, J.</w:t>
      </w:r>
    </w:p>
    <w:p w:rsidR="00187CD0" w:rsidRPr="007B67FC" w:rsidP="00160785">
      <w:pPr>
        <w:tabs>
          <w:tab w:val="left" w:pos="1440"/>
        </w:tabs>
        <w:rPr>
          <w:rFonts w:ascii="Century Schoolbook" w:hAnsi="Century Schoolbook"/>
          <w:b/>
          <w:bCs/>
          <w:sz w:val="27"/>
          <w:szCs w:val="27"/>
        </w:rPr>
      </w:pPr>
      <w:r w:rsidRPr="007B67FC">
        <w:rPr>
          <w:rFonts w:ascii="Century Schoolbook" w:hAnsi="Century Schoolbook"/>
          <w:b/>
          <w:bCs/>
          <w:sz w:val="27"/>
          <w:szCs w:val="27"/>
        </w:rPr>
        <w:t>KRUGER, J.</w:t>
      </w:r>
    </w:p>
    <w:p w:rsidR="00187CD0" w:rsidRPr="007B67FC" w:rsidP="00160785">
      <w:pPr>
        <w:tabs>
          <w:tab w:val="left" w:pos="1440"/>
        </w:tabs>
        <w:rPr>
          <w:rFonts w:ascii="Century Schoolbook" w:hAnsi="Century Schoolbook"/>
          <w:b/>
          <w:bCs/>
          <w:sz w:val="27"/>
          <w:szCs w:val="27"/>
        </w:rPr>
      </w:pPr>
      <w:r w:rsidRPr="007B67FC">
        <w:rPr>
          <w:rFonts w:ascii="Century Schoolbook" w:hAnsi="Century Schoolbook"/>
          <w:b/>
          <w:bCs/>
          <w:sz w:val="27"/>
          <w:szCs w:val="27"/>
        </w:rPr>
        <w:t>GROBAN, J.</w:t>
      </w:r>
    </w:p>
    <w:p w:rsidR="00187CD0" w:rsidRPr="007B67FC" w:rsidP="00160785">
      <w:pPr>
        <w:tabs>
          <w:tab w:val="left" w:pos="1440"/>
        </w:tabs>
        <w:rPr>
          <w:rFonts w:ascii="Century Schoolbook" w:hAnsi="Century Schoolbook"/>
          <w:b/>
          <w:bCs/>
          <w:sz w:val="27"/>
          <w:szCs w:val="27"/>
        </w:rPr>
      </w:pPr>
      <w:r w:rsidRPr="007B67FC">
        <w:rPr>
          <w:rFonts w:ascii="Century Schoolbook" w:hAnsi="Century Schoolbook"/>
          <w:b/>
          <w:bCs/>
          <w:sz w:val="27"/>
          <w:szCs w:val="27"/>
        </w:rPr>
        <w:t>EVANS, J.</w:t>
      </w:r>
    </w:p>
    <w:p w:rsidR="00187CD0" w:rsidP="007B67FC">
      <w:pPr>
        <w:tabs>
          <w:tab w:val="left" w:pos="1440"/>
        </w:tabs>
        <w:rPr>
          <w:rFonts w:ascii="Century Schoolbook" w:hAnsi="Century Schoolbook"/>
          <w:b/>
          <w:bCs/>
          <w:color w:val="212121"/>
          <w:sz w:val="27"/>
          <w:szCs w:val="27"/>
        </w:rPr>
      </w:pPr>
      <w:r w:rsidRPr="007B67FC">
        <w:rPr>
          <w:rFonts w:ascii="Century Schoolbook" w:hAnsi="Century Schoolbook"/>
          <w:b/>
          <w:bCs/>
          <w:color w:val="212121"/>
          <w:sz w:val="27"/>
          <w:szCs w:val="27"/>
        </w:rPr>
        <w:t>SANCHEZ, J.*</w:t>
      </w:r>
    </w:p>
    <w:p w:rsidR="00187CD0" w:rsidP="00BC0D62">
      <w:pPr>
        <w:tabs>
          <w:tab w:val="left" w:pos="1440"/>
        </w:tabs>
        <w:rPr>
          <w:rFonts w:ascii="Century Schoolbook" w:hAnsi="Century Schoolbook"/>
          <w:b/>
          <w:bCs/>
          <w:color w:val="212121"/>
          <w:sz w:val="27"/>
          <w:szCs w:val="27"/>
        </w:rPr>
      </w:pPr>
    </w:p>
    <w:p w:rsidR="00187CD0" w:rsidRPr="007B67FC" w:rsidP="00BC0D62">
      <w:pPr>
        <w:tabs>
          <w:tab w:val="left" w:pos="1440"/>
        </w:tabs>
        <w:rPr>
          <w:rFonts w:ascii="Century Schoolbook" w:hAnsi="Century Schoolbook"/>
          <w:color w:val="212121"/>
          <w:sz w:val="27"/>
          <w:szCs w:val="27"/>
        </w:rPr>
      </w:pPr>
      <w:r w:rsidRPr="007B67FC">
        <w:rPr>
          <w:rFonts w:ascii="Century Schoolbook" w:hAnsi="Century Schoolbook"/>
          <w:color w:val="212121"/>
          <w:sz w:val="27"/>
          <w:szCs w:val="27"/>
        </w:rPr>
        <w:t>__________________________</w:t>
      </w:r>
    </w:p>
    <w:p w:rsidR="00187CD0" w:rsidRPr="00C50388" w:rsidP="0040522A">
      <w:pPr>
        <w:tabs>
          <w:tab w:val="left" w:pos="720"/>
          <w:tab w:val="left" w:pos="1440"/>
        </w:tabs>
        <w:spacing w:after="100" w:line="300" w:lineRule="exact"/>
        <w:jc w:val="both"/>
        <w:rPr>
          <w:rFonts w:ascii="Century Schoolbook" w:hAnsi="Century Schoolbook"/>
          <w:sz w:val="27"/>
          <w:szCs w:val="26"/>
        </w:rPr>
      </w:pPr>
      <w:r w:rsidRPr="007B67FC">
        <w:rPr>
          <w:rFonts w:ascii="Century Schoolbook" w:hAnsi="Century Schoolbook"/>
          <w:color w:val="212121"/>
          <w:sz w:val="27"/>
          <w:szCs w:val="27"/>
        </w:rPr>
        <w:t>*</w:t>
      </w:r>
      <w:r>
        <w:rPr>
          <w:rFonts w:ascii="Century Schoolbook" w:hAnsi="Century Schoolbook"/>
          <w:color w:val="212121"/>
          <w:sz w:val="27"/>
          <w:szCs w:val="27"/>
        </w:rPr>
        <w:tab/>
      </w:r>
      <w:r w:rsidRPr="007B67FC">
        <w:rPr>
          <w:rFonts w:ascii="Century Schoolbook" w:hAnsi="Century Schoolbook"/>
          <w:color w:val="212121"/>
          <w:sz w:val="27"/>
          <w:szCs w:val="27"/>
        </w:rPr>
        <w:t>Associate Justice of the Court of Appeal, Fourth Appellate District, Division Three, assigned by the Chief Justice pursuant to article VI, section 6 of the California Constitution.</w:t>
      </w:r>
    </w:p>
    <w:p w:rsidR="00187CD0" w:rsidP="007B67FC">
      <w:pPr>
        <w:tabs>
          <w:tab w:val="left" w:pos="1440"/>
        </w:tabs>
        <w:rPr>
          <w:rFonts w:ascii="Century Schoolbook" w:hAnsi="Century Schoolbook"/>
          <w:b/>
          <w:bCs/>
          <w:color w:val="212121"/>
          <w:sz w:val="27"/>
          <w:szCs w:val="27"/>
        </w:rPr>
        <w:sectPr w:rsidSect="00871DF5">
          <w:footerReference w:type="first" r:id="rId10"/>
          <w:pgSz w:w="12240" w:h="15840"/>
          <w:pgMar w:top="1800" w:right="2160" w:bottom="1440" w:left="2160" w:header="720" w:footer="720" w:gutter="0"/>
          <w:pgNumType w:start="1"/>
          <w:cols w:space="720"/>
          <w:titlePg/>
          <w:docGrid w:linePitch="360"/>
        </w:sectPr>
      </w:pPr>
    </w:p>
    <w:p w:rsidR="00187CD0" w:rsidRPr="00BC0D62" w:rsidP="00BC0D62">
      <w:pPr>
        <w:rPr>
          <w:rFonts w:ascii="Century Schoolbook" w:eastAsia="Times New Roman" w:hAnsi="Century Schoolbook"/>
          <w:i/>
          <w:kern w:val="0"/>
          <w:sz w:val="24"/>
          <w14:ligatures w14:val="none"/>
        </w:rPr>
      </w:pPr>
      <w:r w:rsidRPr="00BC0D62">
        <w:rPr>
          <w:rFonts w:ascii="Century Schoolbook" w:eastAsia="Times New Roman" w:hAnsi="Century Schoolbook"/>
          <w:i/>
          <w:kern w:val="0"/>
          <w:sz w:val="24"/>
          <w14:ligatures w14:val="none"/>
        </w:rPr>
        <w:t>See next page for addresses and telephone numbers for counsel who argued in Supreme Court.</w:t>
      </w:r>
    </w:p>
    <w:p w:rsidR="00187CD0" w:rsidRPr="00BC0D62" w:rsidP="00BC0D62">
      <w:pPr>
        <w:rPr>
          <w:rFonts w:ascii="Century Schoolbook" w:eastAsia="Times New Roman" w:hAnsi="Century Schoolbook"/>
          <w:i/>
          <w:kern w:val="0"/>
          <w:sz w:val="24"/>
          <w14:ligatures w14:val="none"/>
        </w:rPr>
      </w:pPr>
    </w:p>
    <w:p w:rsidR="00187CD0" w:rsidRPr="00BC0D62" w:rsidP="00BC0D62">
      <w:pPr>
        <w:rPr>
          <w:rFonts w:ascii="Century Schoolbook" w:eastAsia="Times New Roman" w:hAnsi="Century Schoolbook"/>
          <w:bCs/>
          <w:kern w:val="0"/>
          <w:sz w:val="24"/>
          <w14:ligatures w14:val="none"/>
        </w:rPr>
      </w:pPr>
      <w:r w:rsidRPr="00BC0D62">
        <w:rPr>
          <w:rFonts w:ascii="Century Schoolbook" w:eastAsia="Times New Roman" w:hAnsi="Century Schoolbook"/>
          <w:b/>
          <w:kern w:val="0"/>
          <w:sz w:val="24"/>
          <w14:ligatures w14:val="none"/>
        </w:rPr>
        <w:t xml:space="preserve">Name of Opinion  </w:t>
      </w:r>
      <w:r w:rsidRPr="00BC0D62">
        <w:rPr>
          <w:rFonts w:ascii="Century Schoolbook" w:eastAsia="Times New Roman" w:hAnsi="Century Schoolbook"/>
          <w:bCs/>
          <w:kern w:val="0"/>
          <w:sz w:val="24"/>
          <w14:ligatures w14:val="none"/>
        </w:rPr>
        <w:t>Meinhardt v. City of Sunnyvale</w:t>
      </w:r>
    </w:p>
    <w:p w:rsidR="00187CD0" w:rsidRPr="00BC0D62" w:rsidP="00BC0D62">
      <w:pPr>
        <w:rPr>
          <w:rFonts w:ascii="Century Schoolbook" w:eastAsia="Times New Roman" w:hAnsi="Century Schoolbook"/>
          <w:b/>
          <w:kern w:val="0"/>
          <w:sz w:val="24"/>
          <w14:ligatures w14:val="none"/>
        </w:rPr>
      </w:pPr>
      <w:r w:rsidRPr="00BC0D62">
        <w:rPr>
          <w:rFonts w:ascii="Century Schoolbook" w:eastAsia="Times New Roman" w:hAnsi="Century Schoolbook"/>
          <w:b/>
          <w:kern w:val="0"/>
          <w:sz w:val="24"/>
          <w14:ligatures w14:val="none"/>
        </w:rPr>
        <w:t xml:space="preserve">__________________________________________________________ </w:t>
      </w:r>
    </w:p>
    <w:p w:rsidR="00187CD0" w:rsidRPr="00BC0D62" w:rsidP="00BC0D62">
      <w:pPr>
        <w:rPr>
          <w:rFonts w:ascii="Century Schoolbook" w:eastAsia="Times New Roman" w:hAnsi="Century Schoolbook"/>
          <w:b/>
          <w:kern w:val="0"/>
          <w:sz w:val="24"/>
          <w14:ligatures w14:val="none"/>
        </w:rPr>
      </w:pPr>
    </w:p>
    <w:p w:rsidR="00187CD0" w:rsidRPr="00BC0D62" w:rsidP="00BC0D62">
      <w:pPr>
        <w:rPr>
          <w:rFonts w:ascii="Century Schoolbook" w:eastAsia="Times New Roman" w:hAnsi="Century Schoolbook"/>
          <w:kern w:val="0"/>
          <w:sz w:val="24"/>
          <w14:ligatures w14:val="none"/>
        </w:rPr>
      </w:pPr>
      <w:r w:rsidRPr="00BC0D62">
        <w:rPr>
          <w:rFonts w:ascii="Century Schoolbook" w:eastAsia="Times New Roman" w:hAnsi="Century Schoolbook"/>
          <w:b/>
          <w:bCs/>
          <w:kern w:val="0"/>
          <w:sz w:val="24"/>
          <w:u w:val="single"/>
          <w14:ligatures w14:val="none"/>
        </w:rPr>
        <w:t>Procedural Posture</w:t>
      </w:r>
      <w:r w:rsidRPr="00BC0D62">
        <w:rPr>
          <w:rFonts w:ascii="Century Schoolbook" w:eastAsia="Times New Roman" w:hAnsi="Century Schoolbook"/>
          <w:b/>
          <w:bCs/>
          <w:kern w:val="0"/>
          <w:sz w:val="24"/>
          <w14:ligatures w14:val="none"/>
        </w:rPr>
        <w:t xml:space="preserve"> </w:t>
      </w:r>
      <w:r w:rsidRPr="00BC0D62">
        <w:rPr>
          <w:rFonts w:ascii="Century Schoolbook" w:eastAsia="Times New Roman" w:hAnsi="Century Schoolbook"/>
          <w:kern w:val="0"/>
          <w:sz w:val="24"/>
          <w14:ligatures w14:val="none"/>
        </w:rPr>
        <w:t>(see XX below)</w:t>
      </w:r>
    </w:p>
    <w:p w:rsidR="00187CD0" w:rsidRPr="00BC0D62" w:rsidP="00BC0D62">
      <w:pPr>
        <w:rPr>
          <w:rFonts w:ascii="Century Schoolbook" w:eastAsia="Times New Roman" w:hAnsi="Century Schoolbook"/>
          <w:kern w:val="0"/>
          <w:sz w:val="24"/>
          <w14:ligatures w14:val="none"/>
        </w:rPr>
      </w:pPr>
      <w:r w:rsidRPr="00BC0D62">
        <w:rPr>
          <w:rFonts w:ascii="Century Schoolbook" w:eastAsia="Times New Roman" w:hAnsi="Century Schoolbook"/>
          <w:b/>
          <w:bCs/>
          <w:kern w:val="0"/>
          <w:sz w:val="24"/>
          <w14:ligatures w14:val="none"/>
        </w:rPr>
        <w:t>Original Appeal</w:t>
      </w:r>
      <w:r w:rsidRPr="00BC0D62">
        <w:rPr>
          <w:rFonts w:ascii="Century Schoolbook" w:eastAsia="Times New Roman" w:hAnsi="Century Schoolbook"/>
          <w:kern w:val="0"/>
          <w:sz w:val="24"/>
          <w14:ligatures w14:val="none"/>
        </w:rPr>
        <w:t xml:space="preserve"> </w:t>
      </w:r>
    </w:p>
    <w:p w:rsidR="00187CD0" w:rsidRPr="00BC0D62" w:rsidP="00BC0D62">
      <w:pPr>
        <w:rPr>
          <w:rFonts w:ascii="Century Schoolbook" w:eastAsia="Times New Roman" w:hAnsi="Century Schoolbook"/>
          <w:b/>
          <w:bCs/>
          <w:kern w:val="0"/>
          <w:sz w:val="24"/>
          <w14:ligatures w14:val="none"/>
        </w:rPr>
      </w:pPr>
      <w:r w:rsidRPr="00BC0D62">
        <w:rPr>
          <w:rFonts w:ascii="Century Schoolbook" w:eastAsia="Times New Roman" w:hAnsi="Century Schoolbook"/>
          <w:b/>
          <w:bCs/>
          <w:kern w:val="0"/>
          <w:sz w:val="24"/>
          <w14:ligatures w14:val="none"/>
        </w:rPr>
        <w:t>Original Proceeding</w:t>
      </w:r>
    </w:p>
    <w:p w:rsidR="00187CD0" w:rsidRPr="00BC0D62" w:rsidP="00BC0D62">
      <w:pPr>
        <w:rPr>
          <w:rFonts w:ascii="Century Schoolbook" w:eastAsia="Times New Roman" w:hAnsi="Century Schoolbook"/>
          <w:kern w:val="0"/>
          <w:sz w:val="24"/>
          <w14:ligatures w14:val="none"/>
        </w:rPr>
      </w:pPr>
      <w:r w:rsidRPr="00BC0D62">
        <w:rPr>
          <w:rFonts w:ascii="Century Schoolbook" w:eastAsia="Times New Roman" w:hAnsi="Century Schoolbook"/>
          <w:b/>
          <w:bCs/>
          <w:kern w:val="0"/>
          <w:sz w:val="24"/>
          <w14:ligatures w14:val="none"/>
        </w:rPr>
        <w:t>Review Granted</w:t>
      </w:r>
      <w:r w:rsidRPr="00BC0D62">
        <w:rPr>
          <w:rFonts w:ascii="Century Schoolbook" w:eastAsia="Times New Roman" w:hAnsi="Century Schoolbook"/>
          <w:kern w:val="0"/>
          <w:sz w:val="24"/>
          <w14:ligatures w14:val="none"/>
        </w:rPr>
        <w:t xml:space="preserve"> </w:t>
      </w:r>
      <w:r w:rsidRPr="00BC0D62">
        <w:rPr>
          <w:rFonts w:ascii="Century Schoolbook" w:eastAsia="Times New Roman" w:hAnsi="Century Schoolbook"/>
          <w:b/>
          <w:bCs/>
          <w:kern w:val="0"/>
          <w:sz w:val="24"/>
          <w14:ligatures w14:val="none"/>
        </w:rPr>
        <w:t xml:space="preserve">(published) </w:t>
      </w:r>
      <w:r w:rsidRPr="00BC0D62">
        <w:rPr>
          <w:rFonts w:ascii="Century Schoolbook" w:eastAsia="Times New Roman" w:hAnsi="Century Schoolbook"/>
          <w:kern w:val="0"/>
          <w:sz w:val="24"/>
          <w14:ligatures w14:val="none"/>
        </w:rPr>
        <w:t>XX 76 Cal.App.5th 43</w:t>
      </w:r>
    </w:p>
    <w:p w:rsidR="00187CD0" w:rsidRPr="00BC0D62" w:rsidP="00BC0D62">
      <w:pPr>
        <w:rPr>
          <w:rFonts w:ascii="Century Schoolbook" w:eastAsia="Times New Roman" w:hAnsi="Century Schoolbook"/>
          <w:kern w:val="0"/>
          <w:sz w:val="24"/>
          <w14:ligatures w14:val="none"/>
        </w:rPr>
      </w:pPr>
      <w:r w:rsidRPr="00BC0D62">
        <w:rPr>
          <w:rFonts w:ascii="Century Schoolbook" w:eastAsia="Times New Roman" w:hAnsi="Century Schoolbook"/>
          <w:b/>
          <w:bCs/>
          <w:kern w:val="0"/>
          <w:sz w:val="24"/>
          <w14:ligatures w14:val="none"/>
        </w:rPr>
        <w:t xml:space="preserve">Review Granted (unpublished) </w:t>
      </w:r>
    </w:p>
    <w:p w:rsidR="00187CD0" w:rsidRPr="00BC0D62" w:rsidP="00BC0D62">
      <w:pPr>
        <w:rPr>
          <w:rFonts w:ascii="Century Schoolbook" w:eastAsia="Times New Roman" w:hAnsi="Century Schoolbook"/>
          <w:b/>
          <w:bCs/>
          <w:kern w:val="0"/>
          <w:sz w:val="24"/>
          <w14:ligatures w14:val="none"/>
        </w:rPr>
      </w:pPr>
      <w:r w:rsidRPr="00BC0D62">
        <w:rPr>
          <w:rFonts w:ascii="Century Schoolbook" w:eastAsia="Times New Roman" w:hAnsi="Century Schoolbook"/>
          <w:b/>
          <w:bCs/>
          <w:kern w:val="0"/>
          <w:sz w:val="24"/>
          <w14:ligatures w14:val="none"/>
        </w:rPr>
        <w:t>Rehearing Granted</w:t>
      </w:r>
    </w:p>
    <w:p w:rsidR="00187CD0" w:rsidRPr="00BC0D62" w:rsidP="00BC0D62">
      <w:pPr>
        <w:rPr>
          <w:rFonts w:ascii="Century Schoolbook" w:eastAsia="Times New Roman" w:hAnsi="Century Schoolbook"/>
          <w:b/>
          <w:kern w:val="0"/>
          <w:sz w:val="24"/>
          <w14:ligatures w14:val="none"/>
        </w:rPr>
      </w:pPr>
      <w:r w:rsidRPr="00BC0D62">
        <w:rPr>
          <w:rFonts w:ascii="Century Schoolbook" w:eastAsia="Times New Roman" w:hAnsi="Century Schoolbook"/>
          <w:b/>
          <w:kern w:val="0"/>
          <w:sz w:val="24"/>
          <w14:ligatures w14:val="none"/>
        </w:rPr>
        <w:t xml:space="preserve">__________________________________________________________ </w:t>
      </w:r>
    </w:p>
    <w:p w:rsidR="00187CD0" w:rsidRPr="00BC0D62" w:rsidP="00BC0D62">
      <w:pPr>
        <w:rPr>
          <w:rFonts w:ascii="Century Schoolbook" w:eastAsia="Times New Roman" w:hAnsi="Century Schoolbook"/>
          <w:b/>
          <w:kern w:val="0"/>
          <w:sz w:val="24"/>
          <w14:ligatures w14:val="none"/>
        </w:rPr>
      </w:pPr>
    </w:p>
    <w:p w:rsidR="00187CD0" w:rsidRPr="00BC0D62" w:rsidP="00BC0D62">
      <w:pPr>
        <w:rPr>
          <w:rFonts w:ascii="Century Schoolbook" w:eastAsia="Times New Roman" w:hAnsi="Century Schoolbook"/>
          <w:bCs/>
          <w:kern w:val="0"/>
          <w:sz w:val="24"/>
          <w14:ligatures w14:val="none"/>
        </w:rPr>
      </w:pPr>
      <w:r w:rsidRPr="00BC0D62">
        <w:rPr>
          <w:rFonts w:ascii="Century Schoolbook" w:eastAsia="Times New Roman" w:hAnsi="Century Schoolbook"/>
          <w:b/>
          <w:kern w:val="0"/>
          <w:sz w:val="24"/>
          <w14:ligatures w14:val="none"/>
        </w:rPr>
        <w:t>Opinion No.</w:t>
      </w:r>
      <w:r w:rsidRPr="00BC0D62">
        <w:rPr>
          <w:rFonts w:ascii="Century Schoolbook" w:eastAsia="Times New Roman" w:hAnsi="Century Schoolbook"/>
          <w:kern w:val="0"/>
          <w:sz w:val="24"/>
          <w14:ligatures w14:val="none"/>
        </w:rPr>
        <w:t xml:space="preserve"> S274147</w:t>
      </w:r>
    </w:p>
    <w:p w:rsidR="00187CD0" w:rsidRPr="00BC0D62" w:rsidP="00BC0D62">
      <w:pPr>
        <w:rPr>
          <w:rFonts w:ascii="Century Schoolbook" w:eastAsia="Times New Roman" w:hAnsi="Century Schoolbook"/>
          <w:bCs/>
          <w:kern w:val="0"/>
          <w:sz w:val="24"/>
          <w14:ligatures w14:val="none"/>
        </w:rPr>
      </w:pPr>
      <w:r w:rsidRPr="00BC0D62">
        <w:rPr>
          <w:rFonts w:ascii="Century Schoolbook" w:eastAsia="Times New Roman" w:hAnsi="Century Schoolbook"/>
          <w:b/>
          <w:kern w:val="0"/>
          <w:sz w:val="24"/>
          <w14:ligatures w14:val="none"/>
        </w:rPr>
        <w:t>Date Fil</w:t>
      </w:r>
      <w:r w:rsidRPr="00BC0D62">
        <w:rPr>
          <w:rFonts w:ascii="Century Schoolbook" w:eastAsia="Times New Roman" w:hAnsi="Century Schoolbook"/>
          <w:b/>
          <w:kern w:val="0"/>
          <w:sz w:val="24"/>
          <w14:ligatures w14:val="none"/>
        </w:rPr>
        <w:t>ed:</w:t>
      </w:r>
      <w:r w:rsidRPr="00BC0D62">
        <w:rPr>
          <w:rFonts w:ascii="Century Schoolbook" w:eastAsia="Times New Roman" w:hAnsi="Century Schoolbook"/>
          <w:kern w:val="0"/>
          <w:sz w:val="24"/>
          <w14:ligatures w14:val="none"/>
        </w:rPr>
        <w:t xml:space="preserve">  July 29, 2024</w:t>
      </w:r>
    </w:p>
    <w:p w:rsidR="00187CD0" w:rsidRPr="00BC0D62" w:rsidP="00BC0D62">
      <w:pPr>
        <w:rPr>
          <w:rFonts w:ascii="Century Schoolbook" w:eastAsia="Times New Roman" w:hAnsi="Century Schoolbook"/>
          <w:b/>
          <w:kern w:val="0"/>
          <w:sz w:val="24"/>
          <w14:ligatures w14:val="none"/>
        </w:rPr>
      </w:pPr>
      <w:r w:rsidRPr="00BC0D62">
        <w:rPr>
          <w:rFonts w:ascii="Century Schoolbook" w:eastAsia="Times New Roman" w:hAnsi="Century Schoolbook"/>
          <w:b/>
          <w:kern w:val="0"/>
          <w:sz w:val="24"/>
          <w14:ligatures w14:val="none"/>
        </w:rPr>
        <w:t xml:space="preserve">__________________________________________________________ </w:t>
      </w:r>
    </w:p>
    <w:p w:rsidR="00187CD0" w:rsidRPr="00BC0D62" w:rsidP="00BC0D62">
      <w:pPr>
        <w:rPr>
          <w:rFonts w:ascii="Century Schoolbook" w:eastAsia="Times New Roman" w:hAnsi="Century Schoolbook"/>
          <w:b/>
          <w:kern w:val="0"/>
          <w:sz w:val="24"/>
          <w14:ligatures w14:val="none"/>
        </w:rPr>
      </w:pPr>
    </w:p>
    <w:p w:rsidR="00187CD0" w:rsidRPr="00BC0D62" w:rsidP="00BC0D62">
      <w:pPr>
        <w:rPr>
          <w:rFonts w:ascii="Century Schoolbook" w:eastAsia="Times New Roman" w:hAnsi="Century Schoolbook"/>
          <w:bCs/>
          <w:kern w:val="0"/>
          <w:sz w:val="24"/>
          <w14:ligatures w14:val="none"/>
        </w:rPr>
      </w:pPr>
      <w:r w:rsidRPr="00BC0D62">
        <w:rPr>
          <w:rFonts w:ascii="Century Schoolbook" w:eastAsia="Times New Roman" w:hAnsi="Century Schoolbook"/>
          <w:b/>
          <w:kern w:val="0"/>
          <w:sz w:val="24"/>
          <w14:ligatures w14:val="none"/>
        </w:rPr>
        <w:t xml:space="preserve">Court:  </w:t>
      </w:r>
      <w:r w:rsidRPr="00BC0D62">
        <w:rPr>
          <w:rFonts w:ascii="Century Schoolbook" w:eastAsia="Times New Roman" w:hAnsi="Century Schoolbook"/>
          <w:bCs/>
          <w:kern w:val="0"/>
          <w:sz w:val="24"/>
          <w14:ligatures w14:val="none"/>
        </w:rPr>
        <w:t>Superior</w:t>
      </w:r>
      <w:r w:rsidRPr="00BC0D62">
        <w:rPr>
          <w:rFonts w:ascii="Century Schoolbook" w:eastAsia="Times New Roman" w:hAnsi="Century Schoolbook"/>
          <w:b/>
          <w:kern w:val="0"/>
          <w:sz w:val="24"/>
          <w14:ligatures w14:val="none"/>
        </w:rPr>
        <w:t xml:space="preserve"> </w:t>
      </w:r>
    </w:p>
    <w:p w:rsidR="00187CD0" w:rsidRPr="00BC0D62" w:rsidP="00BC0D62">
      <w:pPr>
        <w:rPr>
          <w:rFonts w:ascii="Century Schoolbook" w:eastAsia="Times New Roman" w:hAnsi="Century Schoolbook"/>
          <w:bCs/>
          <w:kern w:val="0"/>
          <w:sz w:val="24"/>
          <w14:ligatures w14:val="none"/>
        </w:rPr>
      </w:pPr>
      <w:r w:rsidRPr="00BC0D62">
        <w:rPr>
          <w:rFonts w:ascii="Century Schoolbook" w:eastAsia="Times New Roman" w:hAnsi="Century Schoolbook"/>
          <w:b/>
          <w:kern w:val="0"/>
          <w:sz w:val="24"/>
          <w14:ligatures w14:val="none"/>
        </w:rPr>
        <w:t xml:space="preserve">County:  </w:t>
      </w:r>
      <w:r w:rsidRPr="00BC0D62">
        <w:rPr>
          <w:rFonts w:ascii="Century Schoolbook" w:eastAsia="Times New Roman" w:hAnsi="Century Schoolbook"/>
          <w:bCs/>
          <w:kern w:val="0"/>
          <w:sz w:val="24"/>
          <w14:ligatures w14:val="none"/>
        </w:rPr>
        <w:t>Santa Clara</w:t>
      </w:r>
    </w:p>
    <w:p w:rsidR="00187CD0" w:rsidRPr="00BC0D62" w:rsidP="00BC0D62">
      <w:pPr>
        <w:ind w:left="720" w:hanging="720"/>
        <w:rPr>
          <w:rFonts w:ascii="Century Schoolbook" w:eastAsia="Times New Roman" w:hAnsi="Century Schoolbook"/>
          <w:bCs/>
          <w:kern w:val="0"/>
          <w:sz w:val="24"/>
          <w14:ligatures w14:val="none"/>
        </w:rPr>
      </w:pPr>
      <w:r w:rsidRPr="00BC0D62">
        <w:rPr>
          <w:rFonts w:ascii="Century Schoolbook" w:eastAsia="Times New Roman" w:hAnsi="Century Schoolbook"/>
          <w:b/>
          <w:kern w:val="0"/>
          <w:sz w:val="24"/>
          <w14:ligatures w14:val="none"/>
        </w:rPr>
        <w:t xml:space="preserve">Judge: </w:t>
      </w:r>
      <w:r w:rsidRPr="00BC0D62">
        <w:rPr>
          <w:rFonts w:ascii="Century Schoolbook" w:eastAsia="Times New Roman" w:hAnsi="Century Schoolbook"/>
          <w:bCs/>
          <w:kern w:val="0"/>
          <w:sz w:val="24"/>
          <w14:ligatures w14:val="none"/>
        </w:rPr>
        <w:t xml:space="preserve"> Peter H. Kirwan</w:t>
      </w:r>
    </w:p>
    <w:p w:rsidR="00187CD0" w:rsidRPr="00BC0D62" w:rsidP="00BC0D62">
      <w:pPr>
        <w:rPr>
          <w:rFonts w:ascii="Century Schoolbook" w:eastAsia="Times New Roman" w:hAnsi="Century Schoolbook"/>
          <w:b/>
          <w:kern w:val="0"/>
          <w:sz w:val="24"/>
          <w14:ligatures w14:val="none"/>
        </w:rPr>
      </w:pPr>
      <w:r w:rsidRPr="00BC0D62">
        <w:rPr>
          <w:rFonts w:ascii="Century Schoolbook" w:eastAsia="Times New Roman" w:hAnsi="Century Schoolbook"/>
          <w:b/>
          <w:kern w:val="0"/>
          <w:sz w:val="24"/>
          <w14:ligatures w14:val="none"/>
        </w:rPr>
        <w:t xml:space="preserve">__________________________________________________________  </w:t>
      </w:r>
    </w:p>
    <w:p w:rsidR="00187CD0" w:rsidRPr="00BC0D62" w:rsidP="00BC0D62">
      <w:pPr>
        <w:rPr>
          <w:rFonts w:ascii="Century Schoolbook" w:eastAsia="Times New Roman" w:hAnsi="Century Schoolbook"/>
          <w:b/>
          <w:kern w:val="0"/>
          <w:sz w:val="24"/>
          <w14:ligatures w14:val="none"/>
        </w:rPr>
      </w:pPr>
    </w:p>
    <w:p w:rsidR="00187CD0" w:rsidRPr="00BC0D62" w:rsidP="00BC0D62">
      <w:pPr>
        <w:rPr>
          <w:rFonts w:ascii="Century Schoolbook" w:eastAsia="Times New Roman" w:hAnsi="Century Schoolbook"/>
          <w:b/>
          <w:kern w:val="0"/>
          <w:sz w:val="24"/>
          <w14:ligatures w14:val="none"/>
        </w:rPr>
      </w:pPr>
      <w:r w:rsidRPr="00BC0D62">
        <w:rPr>
          <w:rFonts w:ascii="Century Schoolbook" w:eastAsia="Times New Roman" w:hAnsi="Century Schoolbook"/>
          <w:b/>
          <w:kern w:val="0"/>
          <w:sz w:val="24"/>
          <w14:ligatures w14:val="none"/>
        </w:rPr>
        <w:t>Counsel:</w:t>
      </w:r>
    </w:p>
    <w:p w:rsidR="00187CD0" w:rsidRPr="00BC0D62" w:rsidP="00BC0D62">
      <w:pPr>
        <w:rPr>
          <w:rFonts w:ascii="Century Schoolbook" w:eastAsia="Times New Roman" w:hAnsi="Century Schoolbook"/>
          <w:b/>
          <w:kern w:val="0"/>
          <w:sz w:val="24"/>
          <w14:ligatures w14:val="none"/>
        </w:rPr>
      </w:pPr>
    </w:p>
    <w:p w:rsidR="00187CD0" w:rsidRPr="00BC0D62" w:rsidP="00BC0D62">
      <w:pPr>
        <w:rPr>
          <w:rFonts w:ascii="Century Schoolbook" w:eastAsia="Times New Roman" w:hAnsi="Century Schoolbook"/>
          <w:color w:val="212121"/>
          <w:kern w:val="0"/>
          <w:sz w:val="24"/>
          <w:shd w:val="clear" w:color="auto" w:fill="FFFFFF"/>
          <w14:ligatures w14:val="none"/>
        </w:rPr>
      </w:pPr>
      <w:r w:rsidRPr="00BC0D62">
        <w:rPr>
          <w:rFonts w:ascii="Century Schoolbook" w:eastAsia="Times New Roman" w:hAnsi="Century Schoolbook"/>
          <w:color w:val="212121"/>
          <w:kern w:val="0"/>
          <w:sz w:val="24"/>
          <w:shd w:val="clear" w:color="auto" w:fill="FFFFFF"/>
          <w14:ligatures w14:val="none"/>
        </w:rPr>
        <w:t>Messing Adam &amp; Jasmine, Gregg McLean Adam; Kirkland &amp; Ellis, Michael Shipley and Nathaniel Haas for Plaintiff and Appellant.</w:t>
      </w:r>
    </w:p>
    <w:p w:rsidR="00187CD0" w:rsidRPr="00BC0D62" w:rsidP="00BC0D62">
      <w:pPr>
        <w:rPr>
          <w:rFonts w:ascii="Century Schoolbook" w:eastAsia="Times New Roman" w:hAnsi="Century Schoolbook"/>
          <w:color w:val="212121"/>
          <w:kern w:val="0"/>
          <w:sz w:val="24"/>
          <w:shd w:val="clear" w:color="auto" w:fill="FFFFFF"/>
          <w14:ligatures w14:val="none"/>
        </w:rPr>
      </w:pPr>
    </w:p>
    <w:p w:rsidR="00187CD0" w:rsidRPr="00BC0D62" w:rsidP="00BC0D62">
      <w:pPr>
        <w:rPr>
          <w:rFonts w:ascii="Century Schoolbook" w:eastAsia="Times New Roman" w:hAnsi="Century Schoolbook"/>
          <w:color w:val="212121"/>
          <w:kern w:val="0"/>
          <w:sz w:val="24"/>
          <w:shd w:val="clear" w:color="auto" w:fill="FFFFFF"/>
          <w14:ligatures w14:val="none"/>
        </w:rPr>
      </w:pPr>
      <w:r w:rsidRPr="00BC0D62">
        <w:rPr>
          <w:rFonts w:ascii="Century Schoolbook" w:eastAsia="Times New Roman" w:hAnsi="Century Schoolbook"/>
          <w:color w:val="212121"/>
          <w:kern w:val="0"/>
          <w:sz w:val="24"/>
          <w:shd w:val="clear" w:color="auto" w:fill="FFFFFF"/>
          <w14:ligatures w14:val="none"/>
        </w:rPr>
        <w:t>Kimberly E. Leefatt, Jaclyn H. Prange; Chatten-Brown, Cars</w:t>
      </w:r>
      <w:r w:rsidRPr="00BC0D62">
        <w:rPr>
          <w:rFonts w:ascii="Century Schoolbook" w:eastAsia="Times New Roman" w:hAnsi="Century Schoolbook"/>
          <w:color w:val="212121"/>
          <w:kern w:val="0"/>
          <w:sz w:val="24"/>
          <w:shd w:val="clear" w:color="auto" w:fill="FFFFFF"/>
          <w14:ligatures w14:val="none"/>
        </w:rPr>
        <w:t>tens &amp; Minteer and Douglas P. Carstens for the Natural Resources Defense Council, Sierra Club and Planning and Conservation League as Amici Curiae on behalf of Plaintiff and Appellant.</w:t>
      </w:r>
    </w:p>
    <w:p w:rsidR="00187CD0" w:rsidRPr="00BC0D62" w:rsidP="00BC0D62">
      <w:pPr>
        <w:rPr>
          <w:rFonts w:ascii="Century Schoolbook" w:eastAsia="Times New Roman" w:hAnsi="Century Schoolbook"/>
          <w:color w:val="212121"/>
          <w:kern w:val="0"/>
          <w:sz w:val="24"/>
          <w:shd w:val="clear" w:color="auto" w:fill="FFFFFF"/>
          <w14:ligatures w14:val="none"/>
        </w:rPr>
      </w:pPr>
    </w:p>
    <w:p w:rsidR="00187CD0" w:rsidRPr="00BC0D62" w:rsidP="00BC0D62">
      <w:pPr>
        <w:rPr>
          <w:rFonts w:ascii="Century Schoolbook" w:eastAsia="Times New Roman" w:hAnsi="Century Schoolbook"/>
          <w:color w:val="212121"/>
          <w:kern w:val="0"/>
          <w:sz w:val="24"/>
          <w:shd w:val="clear" w:color="auto" w:fill="FFFFFF"/>
          <w14:ligatures w14:val="none"/>
        </w:rPr>
      </w:pPr>
      <w:r w:rsidRPr="00BC0D62">
        <w:rPr>
          <w:rFonts w:ascii="Century Schoolbook" w:eastAsia="Times New Roman" w:hAnsi="Century Schoolbook"/>
          <w:color w:val="212121"/>
          <w:kern w:val="0"/>
          <w:sz w:val="24"/>
          <w:shd w:val="clear" w:color="auto" w:fill="FFFFFF"/>
          <w14:ligatures w14:val="none"/>
        </w:rPr>
        <w:t>Venskus &amp; Associates, Sabrina D. Venskus, Jason R. Sanders; Law Office</w:t>
      </w:r>
      <w:r w:rsidRPr="00BC0D62">
        <w:rPr>
          <w:rFonts w:ascii="Century Schoolbook" w:eastAsia="Times New Roman" w:hAnsi="Century Schoolbook"/>
          <w:color w:val="212121"/>
          <w:kern w:val="0"/>
          <w:sz w:val="24"/>
          <w:shd w:val="clear" w:color="auto" w:fill="FFFFFF"/>
          <w14:ligatures w14:val="none"/>
        </w:rPr>
        <w:t>s of Brian Acree and Brian Acree for Ballona Wetlands Land Trust as Amicus Curiae on behalf of Plaintiff and Appellant.</w:t>
      </w:r>
    </w:p>
    <w:p w:rsidR="00187CD0" w:rsidRPr="00BC0D62" w:rsidP="00BC0D62">
      <w:pPr>
        <w:rPr>
          <w:rFonts w:ascii="Century Schoolbook" w:eastAsia="Times New Roman" w:hAnsi="Century Schoolbook"/>
          <w:color w:val="212121"/>
          <w:kern w:val="0"/>
          <w:sz w:val="24"/>
          <w:shd w:val="clear" w:color="auto" w:fill="FFFFFF"/>
          <w14:ligatures w14:val="none"/>
        </w:rPr>
      </w:pPr>
    </w:p>
    <w:p w:rsidR="00187CD0" w:rsidRPr="00BC0D62" w:rsidP="00BC0D62">
      <w:pPr>
        <w:rPr>
          <w:rFonts w:ascii="Century Schoolbook" w:eastAsia="Times New Roman" w:hAnsi="Century Schoolbook"/>
          <w:color w:val="212121"/>
          <w:kern w:val="0"/>
          <w:sz w:val="24"/>
          <w:shd w:val="clear" w:color="auto" w:fill="FFFFFF"/>
          <w14:ligatures w14:val="none"/>
        </w:rPr>
      </w:pPr>
      <w:r w:rsidRPr="00BC0D62">
        <w:rPr>
          <w:rFonts w:ascii="Century Schoolbook" w:eastAsia="Times New Roman" w:hAnsi="Century Schoolbook"/>
          <w:color w:val="212121"/>
          <w:kern w:val="0"/>
          <w:sz w:val="24"/>
          <w:shd w:val="clear" w:color="auto" w:fill="FFFFFF"/>
          <w14:ligatures w14:val="none"/>
        </w:rPr>
        <w:t>Liebert Cassidy Whitmore, Brian P. Walter, Suzanne Solomon and David A. Urban for Defendant and Respondent.</w:t>
      </w:r>
    </w:p>
    <w:p w:rsidR="00187CD0" w:rsidRPr="00BC0D62" w:rsidP="00BC0D62">
      <w:pPr>
        <w:rPr>
          <w:rFonts w:ascii="Century Schoolbook" w:eastAsia="Times New Roman" w:hAnsi="Century Schoolbook"/>
          <w:color w:val="212121"/>
          <w:kern w:val="0"/>
          <w:sz w:val="24"/>
          <w:shd w:val="clear" w:color="auto" w:fill="FFFFFF"/>
          <w14:ligatures w14:val="none"/>
        </w:rPr>
      </w:pPr>
    </w:p>
    <w:p w:rsidR="00187CD0" w:rsidRPr="00BC0D62" w:rsidP="00BC0D62">
      <w:pPr>
        <w:rPr>
          <w:rFonts w:ascii="Century Schoolbook" w:eastAsia="Times New Roman" w:hAnsi="Century Schoolbook"/>
          <w:color w:val="212121"/>
          <w:kern w:val="0"/>
          <w:sz w:val="24"/>
          <w:shd w:val="clear" w:color="auto" w:fill="FFFFFF"/>
          <w14:ligatures w14:val="none"/>
        </w:rPr>
      </w:pPr>
      <w:r w:rsidRPr="00BC0D62">
        <w:rPr>
          <w:rFonts w:ascii="Century Schoolbook" w:eastAsia="Times New Roman" w:hAnsi="Century Schoolbook"/>
          <w:color w:val="212121"/>
          <w:kern w:val="0"/>
          <w:sz w:val="24"/>
          <w:shd w:val="clear" w:color="auto" w:fill="FFFFFF"/>
          <w14:ligatures w14:val="none"/>
        </w:rPr>
        <w:t>No appearance for Real Par</w:t>
      </w:r>
      <w:r w:rsidRPr="00BC0D62">
        <w:rPr>
          <w:rFonts w:ascii="Century Schoolbook" w:eastAsia="Times New Roman" w:hAnsi="Century Schoolbook"/>
          <w:color w:val="212121"/>
          <w:kern w:val="0"/>
          <w:sz w:val="24"/>
          <w:shd w:val="clear" w:color="auto" w:fill="FFFFFF"/>
          <w14:ligatures w14:val="none"/>
        </w:rPr>
        <w:t xml:space="preserve">ty in Interest and Respondent. </w:t>
      </w:r>
      <w:r w:rsidRPr="00BC0D62">
        <w:rPr>
          <w:rFonts w:ascii="Century Schoolbook" w:eastAsia="Times New Roman" w:hAnsi="Century Schoolbook"/>
          <w:color w:val="212121"/>
          <w:kern w:val="0"/>
          <w:sz w:val="24"/>
          <w:shd w:val="clear" w:color="auto" w:fill="FFFFFF"/>
          <w14:ligatures w14:val="none"/>
        </w:rPr>
        <w:br w:type="page"/>
      </w:r>
      <w:r w:rsidRPr="00BC0D62">
        <w:rPr>
          <w:rFonts w:ascii="Century Schoolbook" w:eastAsia="Times New Roman" w:hAnsi="Century Schoolbook"/>
          <w:b/>
          <w:kern w:val="0"/>
          <w:sz w:val="24"/>
          <w14:ligatures w14:val="none"/>
        </w:rPr>
        <w:t xml:space="preserve">Counsel who argued in Supreme Court (not intended for publication with opinion): </w:t>
      </w:r>
    </w:p>
    <w:p w:rsidR="00187CD0" w:rsidRPr="00BC0D62" w:rsidP="00BC0D62">
      <w:pPr>
        <w:rPr>
          <w:rFonts w:ascii="Century Schoolbook" w:eastAsia="Times New Roman" w:hAnsi="Century Schoolbook"/>
          <w:color w:val="212121"/>
          <w:kern w:val="0"/>
          <w:sz w:val="24"/>
          <w:shd w:val="clear" w:color="auto" w:fill="FFFFFF"/>
          <w14:ligatures w14:val="none"/>
        </w:rPr>
      </w:pPr>
    </w:p>
    <w:p w:rsidR="00187CD0" w:rsidRPr="00BC0D62" w:rsidP="00BC0D62">
      <w:pPr>
        <w:rPr>
          <w:rFonts w:ascii="Century Schoolbook" w:eastAsia="Times New Roman" w:hAnsi="Century Schoolbook"/>
          <w:color w:val="212121"/>
          <w:kern w:val="0"/>
          <w:sz w:val="24"/>
          <w:shd w:val="clear" w:color="auto" w:fill="FFFFFF"/>
          <w14:ligatures w14:val="none"/>
        </w:rPr>
      </w:pPr>
      <w:r w:rsidRPr="00BC0D62">
        <w:rPr>
          <w:rFonts w:ascii="Century Schoolbook" w:eastAsia="Times New Roman" w:hAnsi="Century Schoolbook"/>
          <w:color w:val="212121"/>
          <w:kern w:val="0"/>
          <w:sz w:val="24"/>
          <w:shd w:val="clear" w:color="auto" w:fill="FFFFFF"/>
          <w14:ligatures w14:val="none"/>
        </w:rPr>
        <w:t>Michael Shipley</w:t>
      </w:r>
    </w:p>
    <w:p w:rsidR="00187CD0" w:rsidRPr="00BC0D62" w:rsidP="00BC0D62">
      <w:pPr>
        <w:rPr>
          <w:rFonts w:ascii="Century Schoolbook" w:eastAsia="Times New Roman" w:hAnsi="Century Schoolbook"/>
          <w:color w:val="212121"/>
          <w:kern w:val="0"/>
          <w:sz w:val="24"/>
          <w:shd w:val="clear" w:color="auto" w:fill="FFFFFF"/>
          <w14:ligatures w14:val="none"/>
        </w:rPr>
      </w:pPr>
      <w:r w:rsidRPr="00BC0D62">
        <w:rPr>
          <w:rFonts w:ascii="Century Schoolbook" w:eastAsia="Times New Roman" w:hAnsi="Century Schoolbook"/>
          <w:color w:val="212121"/>
          <w:kern w:val="0"/>
          <w:sz w:val="24"/>
          <w:shd w:val="clear" w:color="auto" w:fill="FFFFFF"/>
          <w14:ligatures w14:val="none"/>
        </w:rPr>
        <w:t>Kirkland &amp; Ellis LLP</w:t>
      </w:r>
    </w:p>
    <w:p w:rsidR="00187CD0" w:rsidRPr="00BC0D62" w:rsidP="00BC0D62">
      <w:pPr>
        <w:rPr>
          <w:rFonts w:ascii="Century Schoolbook" w:eastAsia="Times New Roman" w:hAnsi="Century Schoolbook"/>
          <w:kern w:val="0"/>
          <w:sz w:val="24"/>
          <w14:ligatures w14:val="none"/>
        </w:rPr>
      </w:pPr>
      <w:r w:rsidRPr="00BC0D62">
        <w:rPr>
          <w:rFonts w:ascii="Century Schoolbook" w:eastAsia="Times New Roman" w:hAnsi="Century Schoolbook"/>
          <w:kern w:val="0"/>
          <w:sz w:val="24"/>
          <w14:ligatures w14:val="none"/>
        </w:rPr>
        <w:t>555 South Flower Street</w:t>
      </w:r>
    </w:p>
    <w:p w:rsidR="00187CD0" w:rsidRPr="00BC0D62" w:rsidP="00BC0D62">
      <w:pPr>
        <w:rPr>
          <w:rFonts w:ascii="Century Schoolbook" w:eastAsia="Times New Roman" w:hAnsi="Century Schoolbook"/>
          <w:kern w:val="0"/>
          <w:sz w:val="24"/>
          <w14:ligatures w14:val="none"/>
        </w:rPr>
      </w:pPr>
      <w:r w:rsidRPr="00BC0D62">
        <w:rPr>
          <w:rFonts w:ascii="Century Schoolbook" w:eastAsia="Times New Roman" w:hAnsi="Century Schoolbook"/>
          <w:kern w:val="0"/>
          <w:sz w:val="24"/>
          <w14:ligatures w14:val="none"/>
        </w:rPr>
        <w:t>Los Angeles, CA 90071</w:t>
      </w:r>
    </w:p>
    <w:p w:rsidR="00187CD0" w:rsidRPr="00BC0D62" w:rsidP="00BC0D62">
      <w:pPr>
        <w:rPr>
          <w:rFonts w:ascii="Century Schoolbook" w:eastAsia="Times New Roman" w:hAnsi="Century Schoolbook"/>
          <w:kern w:val="0"/>
          <w:sz w:val="24"/>
          <w14:ligatures w14:val="none"/>
        </w:rPr>
      </w:pPr>
      <w:r w:rsidRPr="00BC0D62">
        <w:rPr>
          <w:rFonts w:ascii="Century Schoolbook" w:eastAsia="Times New Roman" w:hAnsi="Century Schoolbook"/>
          <w:kern w:val="0"/>
          <w:sz w:val="24"/>
          <w14:ligatures w14:val="none"/>
        </w:rPr>
        <w:t>(213) 680-8222</w:t>
      </w:r>
    </w:p>
    <w:p w:rsidR="00187CD0" w:rsidRPr="00BC0D62" w:rsidP="00BC0D62">
      <w:pPr>
        <w:rPr>
          <w:rFonts w:ascii="Century Schoolbook" w:eastAsia="Times New Roman" w:hAnsi="Century Schoolbook"/>
          <w:kern w:val="0"/>
          <w:sz w:val="24"/>
          <w14:ligatures w14:val="none"/>
        </w:rPr>
      </w:pPr>
    </w:p>
    <w:p w:rsidR="00187CD0" w:rsidRPr="00BC0D62" w:rsidP="00BC0D62">
      <w:pPr>
        <w:rPr>
          <w:rFonts w:ascii="Century Schoolbook" w:eastAsia="Times New Roman" w:hAnsi="Century Schoolbook"/>
          <w:kern w:val="0"/>
          <w:sz w:val="24"/>
          <w14:ligatures w14:val="none"/>
        </w:rPr>
      </w:pPr>
      <w:r w:rsidRPr="00BC0D62">
        <w:rPr>
          <w:rFonts w:ascii="Century Schoolbook" w:eastAsia="Times New Roman" w:hAnsi="Century Schoolbook"/>
          <w:kern w:val="0"/>
          <w:sz w:val="24"/>
          <w14:ligatures w14:val="none"/>
        </w:rPr>
        <w:t>David A. Urban</w:t>
      </w:r>
    </w:p>
    <w:p w:rsidR="00187CD0" w:rsidRPr="00BC0D62" w:rsidP="00BC0D62">
      <w:pPr>
        <w:rPr>
          <w:rFonts w:ascii="Century Schoolbook" w:eastAsia="Times New Roman" w:hAnsi="Century Schoolbook"/>
          <w:color w:val="212121"/>
          <w:kern w:val="0"/>
          <w:sz w:val="24"/>
          <w:shd w:val="clear" w:color="auto" w:fill="FFFFFF"/>
          <w14:ligatures w14:val="none"/>
        </w:rPr>
      </w:pPr>
      <w:r w:rsidRPr="00BC0D62">
        <w:rPr>
          <w:rFonts w:ascii="Century Schoolbook" w:eastAsia="Times New Roman" w:hAnsi="Century Schoolbook"/>
          <w:color w:val="212121"/>
          <w:kern w:val="0"/>
          <w:sz w:val="24"/>
          <w:shd w:val="clear" w:color="auto" w:fill="FFFFFF"/>
          <w14:ligatures w14:val="none"/>
        </w:rPr>
        <w:t xml:space="preserve">Liebert Cassidy </w:t>
      </w:r>
      <w:r w:rsidRPr="00BC0D62">
        <w:rPr>
          <w:rFonts w:ascii="Century Schoolbook" w:eastAsia="Times New Roman" w:hAnsi="Century Schoolbook"/>
          <w:color w:val="212121"/>
          <w:kern w:val="0"/>
          <w:sz w:val="24"/>
          <w:shd w:val="clear" w:color="auto" w:fill="FFFFFF"/>
          <w14:ligatures w14:val="none"/>
        </w:rPr>
        <w:t>Whitmore</w:t>
      </w:r>
    </w:p>
    <w:p w:rsidR="00187CD0" w:rsidRPr="00BC0D62" w:rsidP="00BC0D62">
      <w:pPr>
        <w:rPr>
          <w:rFonts w:ascii="Century Schoolbook" w:eastAsia="Times New Roman" w:hAnsi="Century Schoolbook"/>
          <w:kern w:val="0"/>
          <w:sz w:val="24"/>
          <w14:ligatures w14:val="none"/>
        </w:rPr>
      </w:pPr>
      <w:r w:rsidRPr="00BC0D62">
        <w:rPr>
          <w:rFonts w:ascii="Century Schoolbook" w:eastAsia="Times New Roman" w:hAnsi="Century Schoolbook"/>
          <w:kern w:val="0"/>
          <w:sz w:val="24"/>
          <w14:ligatures w14:val="none"/>
        </w:rPr>
        <w:t>6033 West Century Boulevard, 5th Floor</w:t>
      </w:r>
    </w:p>
    <w:p w:rsidR="00187CD0" w:rsidRPr="00BC0D62" w:rsidP="00BC0D62">
      <w:pPr>
        <w:rPr>
          <w:rFonts w:ascii="Century Schoolbook" w:eastAsia="Times New Roman" w:hAnsi="Century Schoolbook"/>
          <w:kern w:val="0"/>
          <w:sz w:val="24"/>
          <w14:ligatures w14:val="none"/>
        </w:rPr>
      </w:pPr>
      <w:r w:rsidRPr="00BC0D62">
        <w:rPr>
          <w:rFonts w:ascii="Century Schoolbook" w:eastAsia="Times New Roman" w:hAnsi="Century Schoolbook"/>
          <w:kern w:val="0"/>
          <w:sz w:val="24"/>
          <w14:ligatures w14:val="none"/>
        </w:rPr>
        <w:t>Los Angeles, CA 90045</w:t>
      </w:r>
    </w:p>
    <w:p w:rsidR="00187CD0" w:rsidRPr="00BC0D62" w:rsidP="00BC0D62">
      <w:pPr>
        <w:rPr>
          <w:rFonts w:ascii="Century Schoolbook" w:eastAsia="Times New Roman" w:hAnsi="Century Schoolbook"/>
          <w:kern w:val="0"/>
          <w:sz w:val="24"/>
          <w14:ligatures w14:val="none"/>
        </w:rPr>
      </w:pPr>
      <w:r w:rsidRPr="00BC0D62">
        <w:rPr>
          <w:rFonts w:ascii="Century Schoolbook" w:eastAsia="Times New Roman" w:hAnsi="Century Schoolbook"/>
          <w:kern w:val="0"/>
          <w:sz w:val="24"/>
          <w14:ligatures w14:val="none"/>
        </w:rPr>
        <w:t>(310) 981-2045</w:t>
      </w:r>
    </w:p>
    <w:p w:rsidR="00187CD0" w:rsidP="007B67FC">
      <w:pPr>
        <w:tabs>
          <w:tab w:val="left" w:pos="1440"/>
        </w:tabs>
        <w:rPr>
          <w:rFonts w:ascii="Century Schoolbook" w:hAnsi="Century Schoolbook"/>
          <w:b/>
          <w:bCs/>
          <w:color w:val="212121"/>
          <w:sz w:val="27"/>
          <w:szCs w:val="27"/>
        </w:rPr>
      </w:pPr>
    </w:p>
    <w:p w:rsidR="00187CD0" w:rsidP="007B67FC">
      <w:pPr>
        <w:tabs>
          <w:tab w:val="left" w:pos="1440"/>
        </w:tabs>
        <w:rPr>
          <w:rFonts w:ascii="Century Schoolbook" w:hAnsi="Century Schoolbook"/>
          <w:b/>
          <w:bCs/>
          <w:color w:val="212121"/>
          <w:sz w:val="27"/>
          <w:szCs w:val="27"/>
        </w:rPr>
      </w:pPr>
    </w:p>
    <w:sectPr w:rsidSect="00871DF5">
      <w:headerReference w:type="default" r:id="rId11"/>
      <w:footerReference w:type="default" r:id="rId12"/>
      <w:headerReference w:type="first" r:id="rId13"/>
      <w:footerReference w:type="first" r:id="rId14"/>
      <w:pgSz w:w="12240" w:h="15840"/>
      <w:pgMar w:top="1800" w:right="2160" w:bottom="1440" w:left="2160" w:header="720" w:footer="720" w:gutter="0"/>
      <w:pgNumType w:start="1"/>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Schoolbook">
    <w:altName w:val="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87CD0">
    <w:pPr>
      <w:pStyle w:val="Footer"/>
    </w:pPr>
  </w:p>
  <w:p w:rsidR="00187CD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791709347"/>
      <w:docPartObj>
        <w:docPartGallery w:val="Page Numbers (Bottom of Page)"/>
        <w:docPartUnique/>
      </w:docPartObj>
    </w:sdtPr>
    <w:sdtEndPr>
      <w:rPr>
        <w:rFonts w:ascii="Century Schoolbook" w:hAnsi="Century Schoolbook"/>
        <w:noProof/>
        <w:sz w:val="27"/>
        <w:szCs w:val="27"/>
      </w:rPr>
    </w:sdtEndPr>
    <w:sdtContent>
      <w:p w:rsidR="00187CD0" w:rsidRPr="002B5D5A">
        <w:pPr>
          <w:pStyle w:val="Footer"/>
          <w:jc w:val="center"/>
          <w:rPr>
            <w:rFonts w:ascii="Century Schoolbook" w:hAnsi="Century Schoolbook"/>
            <w:sz w:val="27"/>
            <w:szCs w:val="27"/>
          </w:rPr>
        </w:pPr>
        <w:r w:rsidRPr="002B5D5A">
          <w:rPr>
            <w:rFonts w:ascii="Century Schoolbook" w:hAnsi="Century Schoolbook"/>
            <w:sz w:val="27"/>
            <w:szCs w:val="27"/>
          </w:rPr>
          <w:fldChar w:fldCharType="begin"/>
        </w:r>
        <w:r w:rsidRPr="002B5D5A">
          <w:rPr>
            <w:rFonts w:ascii="Century Schoolbook" w:hAnsi="Century Schoolbook"/>
            <w:sz w:val="27"/>
            <w:szCs w:val="27"/>
          </w:rPr>
          <w:instrText xml:space="preserve"> PAGE   \* MERGEFORMAT </w:instrText>
        </w:r>
        <w:r w:rsidRPr="002B5D5A">
          <w:rPr>
            <w:rFonts w:ascii="Century Schoolbook" w:hAnsi="Century Schoolbook"/>
            <w:sz w:val="27"/>
            <w:szCs w:val="27"/>
          </w:rPr>
          <w:fldChar w:fldCharType="separate"/>
        </w:r>
        <w:r w:rsidRPr="002B5D5A">
          <w:rPr>
            <w:rFonts w:ascii="Century Schoolbook" w:hAnsi="Century Schoolbook"/>
            <w:noProof/>
            <w:sz w:val="27"/>
            <w:szCs w:val="27"/>
          </w:rPr>
          <w:t>2</w:t>
        </w:r>
        <w:r w:rsidRPr="002B5D5A">
          <w:rPr>
            <w:rFonts w:ascii="Century Schoolbook" w:hAnsi="Century Schoolbook"/>
            <w:noProof/>
            <w:sz w:val="27"/>
            <w:szCs w:val="27"/>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673096474"/>
      <w:docPartObj>
        <w:docPartGallery w:val="Page Numbers (Bottom of Page)"/>
        <w:docPartUnique/>
      </w:docPartObj>
    </w:sdtPr>
    <w:sdtEndPr>
      <w:rPr>
        <w:noProof/>
      </w:rPr>
    </w:sdtEndPr>
    <w:sdtContent>
      <w:p w:rsidR="00187CD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87CD0" w:rsidRPr="002B5D5A">
    <w:pPr>
      <w:pStyle w:val="Footer"/>
      <w:jc w:val="center"/>
      <w:rPr>
        <w:rFonts w:ascii="Century Schoolbook" w:hAnsi="Century Schoolbook"/>
        <w:sz w:val="27"/>
        <w:szCs w:val="27"/>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87CD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187CD0" w:rsidP="00075EBA">
      <w:r>
        <w:separator/>
      </w:r>
    </w:p>
  </w:footnote>
  <w:footnote w:type="continuationSeparator" w:id="1">
    <w:p w:rsidR="00187CD0" w:rsidP="00075EBA">
      <w:r>
        <w:continuationSeparator/>
      </w:r>
    </w:p>
  </w:footnote>
  <w:footnote w:type="continuationNotice" w:id="2">
    <w:p w:rsidR="00187CD0"/>
  </w:footnote>
  <w:footnote w:id="3">
    <w:p w:rsidR="00187CD0" w:rsidP="0040522A">
      <w:pPr>
        <w:pStyle w:val="FootnoteText"/>
        <w:spacing w:line="300" w:lineRule="exact"/>
        <w:jc w:val="both"/>
        <w:rPr>
          <w:rFonts w:ascii="Century Schoolbook" w:hAnsi="Century Schoolbook"/>
          <w:sz w:val="27"/>
          <w:szCs w:val="27"/>
        </w:rPr>
      </w:pPr>
      <w:r>
        <w:rPr>
          <w:rStyle w:val="FootnoteReference"/>
        </w:rPr>
        <w:t>*</w:t>
      </w:r>
      <w:r>
        <w:t xml:space="preserve">  </w:t>
      </w:r>
      <w:r w:rsidRPr="006C3E87">
        <w:rPr>
          <w:rFonts w:ascii="Century Schoolbook" w:hAnsi="Century Schoolbook"/>
          <w:sz w:val="27"/>
          <w:szCs w:val="27"/>
        </w:rPr>
        <w:t xml:space="preserve">Associate Justice of the Court of Appeal, Fourth Appellate District, Division Three, assigned by the Chief Justice pursuant to article VI, </w:t>
      </w:r>
      <w:r w:rsidRPr="006C3E87">
        <w:rPr>
          <w:rFonts w:ascii="Century Schoolbook" w:hAnsi="Century Schoolbook"/>
          <w:sz w:val="27"/>
          <w:szCs w:val="27"/>
        </w:rPr>
        <w:t>section 6 of the California Constitution.</w:t>
      </w:r>
    </w:p>
    <w:p w:rsidR="00187CD0" w:rsidP="006C3E87">
      <w:pPr>
        <w:pStyle w:val="FootnoteText"/>
        <w:spacing w:line="300" w:lineRule="exact"/>
      </w:pPr>
    </w:p>
  </w:footnote>
  <w:footnote w:id="4">
    <w:p w:rsidR="00187CD0" w:rsidRPr="00611F05" w:rsidP="00871DF5">
      <w:pPr>
        <w:pStyle w:val="FootnoteText"/>
        <w:spacing w:after="100" w:line="300" w:lineRule="exact"/>
        <w:jc w:val="both"/>
        <w:rPr>
          <w:rFonts w:ascii="Century Schoolbook" w:hAnsi="Century Schoolbook"/>
          <w:sz w:val="27"/>
          <w:szCs w:val="27"/>
        </w:rPr>
      </w:pPr>
      <w:r w:rsidRPr="003A2386">
        <w:rPr>
          <w:rStyle w:val="FootnoteReference"/>
          <w:szCs w:val="27"/>
          <w:vertAlign w:val="superscript"/>
        </w:rPr>
        <w:footnoteRef/>
      </w:r>
      <w:r w:rsidRPr="00611F05">
        <w:rPr>
          <w:rFonts w:ascii="Century Schoolbook" w:hAnsi="Century Schoolbook"/>
          <w:sz w:val="27"/>
          <w:szCs w:val="27"/>
        </w:rPr>
        <w:t xml:space="preserve"> </w:t>
      </w:r>
      <w:r w:rsidRPr="00611F05">
        <w:rPr>
          <w:rFonts w:ascii="Century Schoolbook" w:hAnsi="Century Schoolbook"/>
          <w:sz w:val="27"/>
          <w:szCs w:val="27"/>
        </w:rPr>
        <w:tab/>
        <w:t>All further rule references are to the California Rules of Court unless otherwise stated.</w:t>
      </w:r>
    </w:p>
  </w:footnote>
  <w:footnote w:id="5">
    <w:p w:rsidR="00187CD0" w:rsidRPr="00611F05" w:rsidP="00871DF5">
      <w:pPr>
        <w:pStyle w:val="FootnoteText"/>
        <w:spacing w:after="100" w:line="300" w:lineRule="exact"/>
        <w:jc w:val="both"/>
        <w:rPr>
          <w:rFonts w:ascii="Century Schoolbook" w:hAnsi="Century Schoolbook"/>
          <w:sz w:val="27"/>
          <w:szCs w:val="27"/>
        </w:rPr>
      </w:pPr>
      <w:r w:rsidRPr="003A2386">
        <w:rPr>
          <w:rStyle w:val="FootnoteReference"/>
          <w:bCs/>
          <w:szCs w:val="27"/>
          <w:vertAlign w:val="superscript"/>
        </w:rPr>
        <w:footnoteRef/>
      </w:r>
      <w:r w:rsidRPr="00611F05">
        <w:rPr>
          <w:rFonts w:ascii="Century Schoolbook" w:hAnsi="Century Schoolbook"/>
          <w:sz w:val="27"/>
          <w:szCs w:val="27"/>
        </w:rPr>
        <w:t xml:space="preserve"> </w:t>
      </w:r>
      <w:r w:rsidRPr="00611F05">
        <w:rPr>
          <w:rFonts w:ascii="Century Schoolbook" w:hAnsi="Century Schoolbook"/>
          <w:sz w:val="27"/>
          <w:szCs w:val="27"/>
        </w:rPr>
        <w:tab/>
      </w:r>
      <w:r w:rsidRPr="00611F05">
        <w:rPr>
          <w:rFonts w:ascii="Century Schoolbook" w:hAnsi="Century Schoolbook"/>
          <w:sz w:val="27"/>
          <w:szCs w:val="27"/>
        </w:rPr>
        <w:t xml:space="preserve">We use the term writ of administrative mandate throughout this opinion, except in quotations.  (See Code of Civ. Proc., </w:t>
      </w:r>
      <w:r w:rsidRPr="00611F05">
        <w:rPr>
          <w:rFonts w:ascii="Century Schoolbook" w:hAnsi="Century Schoolbook" w:cstheme="minorHAnsi"/>
          <w:sz w:val="27"/>
          <w:szCs w:val="27"/>
        </w:rPr>
        <w:t>§</w:t>
      </w:r>
      <w:r w:rsidRPr="00611F05">
        <w:rPr>
          <w:rFonts w:ascii="Century Schoolbook" w:hAnsi="Century Schoolbook"/>
          <w:sz w:val="27"/>
          <w:szCs w:val="27"/>
        </w:rPr>
        <w:t xml:space="preserve"> 1084 [a “writ of mandamus may be denominated a writ of mandate”].)</w:t>
      </w:r>
    </w:p>
  </w:footnote>
  <w:footnote w:id="6">
    <w:p w:rsidR="00187CD0" w:rsidRPr="00611F05" w:rsidP="00871DF5">
      <w:pPr>
        <w:pStyle w:val="FootnoteText"/>
        <w:spacing w:after="100" w:line="300" w:lineRule="exact"/>
        <w:jc w:val="both"/>
        <w:rPr>
          <w:rFonts w:ascii="Century Schoolbook" w:hAnsi="Century Schoolbook"/>
          <w:sz w:val="27"/>
          <w:szCs w:val="27"/>
        </w:rPr>
      </w:pPr>
      <w:r w:rsidRPr="003A2386">
        <w:rPr>
          <w:rStyle w:val="FootnoteReference"/>
          <w:bCs/>
          <w:szCs w:val="27"/>
          <w:vertAlign w:val="superscript"/>
        </w:rPr>
        <w:footnoteRef/>
      </w:r>
      <w:r w:rsidRPr="00611F05">
        <w:rPr>
          <w:rFonts w:ascii="Century Schoolbook" w:hAnsi="Century Schoolbook"/>
          <w:sz w:val="27"/>
          <w:szCs w:val="27"/>
        </w:rPr>
        <w:t xml:space="preserve"> </w:t>
      </w:r>
      <w:r w:rsidRPr="00611F05">
        <w:rPr>
          <w:rFonts w:ascii="Century Schoolbook" w:hAnsi="Century Schoolbook"/>
          <w:sz w:val="27"/>
          <w:szCs w:val="27"/>
        </w:rPr>
        <w:tab/>
        <w:t>All further statutory references are to the Code of Civil Proced</w:t>
      </w:r>
      <w:r w:rsidRPr="00611F05">
        <w:rPr>
          <w:rFonts w:ascii="Century Schoolbook" w:hAnsi="Century Schoolbook"/>
          <w:sz w:val="27"/>
          <w:szCs w:val="27"/>
        </w:rPr>
        <w:t>ure unless otherwise stated.</w:t>
      </w:r>
    </w:p>
  </w:footnote>
  <w:footnote w:id="7">
    <w:p w:rsidR="00187CD0" w:rsidRPr="00B62484" w:rsidP="00871DF5">
      <w:pPr>
        <w:pStyle w:val="FootnoteText"/>
        <w:spacing w:after="100" w:line="300" w:lineRule="exact"/>
        <w:jc w:val="both"/>
        <w:rPr>
          <w:rFonts w:ascii="Century Schoolbook" w:hAnsi="Century Schoolbook"/>
          <w:sz w:val="27"/>
          <w:szCs w:val="27"/>
        </w:rPr>
      </w:pPr>
      <w:r w:rsidRPr="00627D56">
        <w:rPr>
          <w:rStyle w:val="FootnoteReference"/>
          <w:szCs w:val="27"/>
          <w:vertAlign w:val="superscript"/>
        </w:rPr>
        <w:footnoteRef/>
      </w:r>
      <w:r w:rsidRPr="00B62484">
        <w:rPr>
          <w:rFonts w:ascii="Century Schoolbook" w:hAnsi="Century Schoolbook"/>
          <w:sz w:val="27"/>
          <w:szCs w:val="27"/>
        </w:rPr>
        <w:t xml:space="preserve"> </w:t>
      </w:r>
      <w:r w:rsidRPr="00B62484">
        <w:rPr>
          <w:rFonts w:ascii="Century Schoolbook" w:hAnsi="Century Schoolbook"/>
          <w:sz w:val="27"/>
          <w:szCs w:val="27"/>
        </w:rPr>
        <w:tab/>
        <w:t xml:space="preserve">Meinhardt explains that he served on the City a notice of entry of judgment on September 22, 2020, before the judgment’s official entry on September 24, 2020, because he received from the court a courtesy copy of the </w:t>
      </w:r>
      <w:r w:rsidRPr="00B62484">
        <w:rPr>
          <w:rFonts w:ascii="Century Schoolbook" w:hAnsi="Century Schoolbook"/>
          <w:sz w:val="27"/>
          <w:szCs w:val="27"/>
        </w:rPr>
        <w:t>signed judgment before its entry in the docket, and he served a notice of entry of judgment shortly after receiving the signed document.  Given the date of official entry, we refer to the judgment as “the September 25 Judgment.”  The issue whether Meinhard</w:t>
      </w:r>
      <w:r w:rsidRPr="00B62484">
        <w:rPr>
          <w:rFonts w:ascii="Century Schoolbook" w:hAnsi="Century Schoolbook"/>
          <w:sz w:val="27"/>
          <w:szCs w:val="27"/>
        </w:rPr>
        <w:t xml:space="preserve">t’s premature service of the notice of entry of judgment triggered the 60-day period to file a notice of appeal is not before us and is not relevant to the disposition of this appeal.  (See rule 8.104(a)(1)(B) [60 days after service of “ ‘Notice of Entry’ </w:t>
      </w:r>
      <w:r w:rsidRPr="00B62484">
        <w:rPr>
          <w:rFonts w:ascii="Century Schoolbook" w:hAnsi="Century Schoolbook"/>
          <w:sz w:val="27"/>
          <w:szCs w:val="27"/>
        </w:rPr>
        <w:t>of judgment or a filed-endorsed copy of the judgment, accompanied by proof of service”]); rule 8.105(a)(1)(C) [“180 days after entry of judgment”].)</w:t>
      </w:r>
    </w:p>
  </w:footnote>
  <w:footnote w:id="8">
    <w:p w:rsidR="00187CD0" w:rsidRPr="00D81E9F" w:rsidP="00871DF5">
      <w:pPr>
        <w:pStyle w:val="FootnoteText"/>
        <w:spacing w:after="100" w:line="300" w:lineRule="exact"/>
        <w:jc w:val="both"/>
        <w:rPr>
          <w:rFonts w:ascii="Century Schoolbook" w:hAnsi="Century Schoolbook"/>
          <w:sz w:val="27"/>
          <w:szCs w:val="27"/>
        </w:rPr>
      </w:pPr>
      <w:r w:rsidRPr="005E70F3">
        <w:rPr>
          <w:rStyle w:val="FootnoteReference"/>
          <w:szCs w:val="27"/>
          <w:vertAlign w:val="superscript"/>
        </w:rPr>
        <w:footnoteRef/>
      </w:r>
      <w:r w:rsidRPr="00D81E9F">
        <w:rPr>
          <w:rFonts w:ascii="Century Schoolbook" w:hAnsi="Century Schoolbook"/>
          <w:sz w:val="27"/>
          <w:szCs w:val="27"/>
        </w:rPr>
        <w:t xml:space="preserve"> </w:t>
      </w:r>
      <w:r w:rsidRPr="00D81E9F">
        <w:rPr>
          <w:rFonts w:ascii="Century Schoolbook" w:hAnsi="Century Schoolbook"/>
          <w:sz w:val="27"/>
          <w:szCs w:val="27"/>
        </w:rPr>
        <w:tab/>
      </w:r>
      <w:r w:rsidRPr="00D81E9F">
        <w:rPr>
          <w:rFonts w:ascii="Century Schoolbook" w:hAnsi="Century Schoolbook"/>
          <w:i/>
          <w:iCs/>
          <w:sz w:val="27"/>
          <w:szCs w:val="27"/>
        </w:rPr>
        <w:t>City of Calexico</w:t>
      </w:r>
      <w:r w:rsidRPr="00D81E9F">
        <w:rPr>
          <w:rFonts w:ascii="Century Schoolbook" w:hAnsi="Century Schoolbook"/>
          <w:sz w:val="27"/>
          <w:szCs w:val="27"/>
        </w:rPr>
        <w:t xml:space="preserve"> was an</w:t>
      </w:r>
      <w:r>
        <w:rPr>
          <w:rFonts w:ascii="Century Schoolbook" w:hAnsi="Century Schoolbook"/>
          <w:sz w:val="27"/>
          <w:szCs w:val="27"/>
        </w:rPr>
        <w:t xml:space="preserve"> </w:t>
      </w:r>
      <w:r w:rsidRPr="00D81E9F">
        <w:rPr>
          <w:rFonts w:ascii="Century Schoolbook" w:hAnsi="Century Schoolbook"/>
          <w:sz w:val="27"/>
          <w:szCs w:val="27"/>
        </w:rPr>
        <w:t xml:space="preserve">administrative mandate case; it appears </w:t>
      </w:r>
      <w:r w:rsidRPr="00D81E9F">
        <w:rPr>
          <w:rFonts w:ascii="Century Schoolbook" w:hAnsi="Century Schoolbook"/>
          <w:i/>
          <w:iCs/>
          <w:sz w:val="27"/>
          <w:szCs w:val="27"/>
        </w:rPr>
        <w:t>Laraway</w:t>
      </w:r>
      <w:r w:rsidRPr="00D81E9F">
        <w:rPr>
          <w:rFonts w:ascii="Century Schoolbook" w:hAnsi="Century Schoolbook"/>
          <w:sz w:val="27"/>
          <w:szCs w:val="27"/>
        </w:rPr>
        <w:t xml:space="preserve"> was not.  (</w:t>
      </w:r>
      <w:r w:rsidRPr="00D81E9F">
        <w:rPr>
          <w:rFonts w:ascii="Century Schoolbook" w:hAnsi="Century Schoolbook"/>
          <w:i/>
          <w:iCs/>
          <w:sz w:val="27"/>
          <w:szCs w:val="27"/>
        </w:rPr>
        <w:t>City of Calexico</w:t>
      </w:r>
      <w:r w:rsidRPr="00D81E9F">
        <w:rPr>
          <w:rFonts w:ascii="Century Schoolbook" w:hAnsi="Century Schoolbook"/>
          <w:sz w:val="27"/>
          <w:szCs w:val="27"/>
        </w:rPr>
        <w:t xml:space="preserve">, </w:t>
      </w:r>
      <w:r w:rsidRPr="00D81E9F">
        <w:rPr>
          <w:rFonts w:ascii="Century Schoolbook" w:hAnsi="Century Schoolbook"/>
          <w:i/>
          <w:iCs/>
          <w:sz w:val="27"/>
          <w:szCs w:val="27"/>
        </w:rPr>
        <w:t>sup</w:t>
      </w:r>
      <w:r w:rsidRPr="00D81E9F">
        <w:rPr>
          <w:rFonts w:ascii="Century Schoolbook" w:hAnsi="Century Schoolbook"/>
          <w:i/>
          <w:iCs/>
          <w:sz w:val="27"/>
          <w:szCs w:val="27"/>
        </w:rPr>
        <w:t>ra</w:t>
      </w:r>
      <w:r w:rsidRPr="00D81E9F">
        <w:rPr>
          <w:rFonts w:ascii="Century Schoolbook" w:hAnsi="Century Schoolbook"/>
          <w:sz w:val="27"/>
          <w:szCs w:val="27"/>
        </w:rPr>
        <w:t>, 64 Cal.App.5th at p.</w:t>
      </w:r>
      <w:r>
        <w:rPr>
          <w:rFonts w:ascii="Century Schoolbook" w:hAnsi="Century Schoolbook"/>
          <w:sz w:val="27"/>
          <w:szCs w:val="27"/>
        </w:rPr>
        <w:t> </w:t>
      </w:r>
      <w:r w:rsidRPr="00D81E9F">
        <w:rPr>
          <w:rFonts w:ascii="Century Schoolbook" w:hAnsi="Century Schoolbook"/>
          <w:sz w:val="27"/>
          <w:szCs w:val="27"/>
        </w:rPr>
        <w:t xml:space="preserve">186 [section 1094.5 petition]; </w:t>
      </w:r>
      <w:r w:rsidRPr="00D81E9F">
        <w:rPr>
          <w:rFonts w:ascii="Century Schoolbook" w:hAnsi="Century Schoolbook"/>
          <w:i/>
          <w:iCs/>
          <w:sz w:val="27"/>
          <w:szCs w:val="27"/>
        </w:rPr>
        <w:t>Laraway</w:t>
      </w:r>
      <w:r w:rsidRPr="00D81E9F">
        <w:rPr>
          <w:rFonts w:ascii="Century Schoolbook" w:hAnsi="Century Schoolbook"/>
          <w:sz w:val="27"/>
          <w:szCs w:val="27"/>
        </w:rPr>
        <w:t xml:space="preserve">, </w:t>
      </w:r>
      <w:r w:rsidRPr="00D81E9F">
        <w:rPr>
          <w:rFonts w:ascii="Century Schoolbook" w:hAnsi="Century Schoolbook"/>
          <w:i/>
          <w:iCs/>
          <w:sz w:val="27"/>
          <w:szCs w:val="27"/>
        </w:rPr>
        <w:t>supra</w:t>
      </w:r>
      <w:r w:rsidRPr="00D81E9F">
        <w:rPr>
          <w:rFonts w:ascii="Century Schoolbook" w:hAnsi="Century Schoolbook"/>
          <w:sz w:val="27"/>
          <w:szCs w:val="27"/>
        </w:rPr>
        <w:t>, 98 Cal.App.4th at p. 580 [“a writ of mandamus and prohibition, and for injunctive and declaratory relief” relating to a public records request].)  The ruling that triggered the time to</w:t>
      </w:r>
      <w:r w:rsidRPr="00D81E9F">
        <w:rPr>
          <w:rFonts w:ascii="Century Schoolbook" w:hAnsi="Century Schoolbook"/>
          <w:sz w:val="27"/>
          <w:szCs w:val="27"/>
        </w:rPr>
        <w:t xml:space="preserve"> appeal was entitled “Order” in </w:t>
      </w:r>
      <w:r w:rsidRPr="00D81E9F">
        <w:rPr>
          <w:rFonts w:ascii="Century Schoolbook" w:hAnsi="Century Schoolbook"/>
          <w:i/>
          <w:iCs/>
          <w:sz w:val="27"/>
          <w:szCs w:val="27"/>
        </w:rPr>
        <w:t>Laraway</w:t>
      </w:r>
      <w:r w:rsidRPr="00D81E9F">
        <w:rPr>
          <w:rFonts w:ascii="Century Schoolbook" w:hAnsi="Century Schoolbook"/>
          <w:sz w:val="27"/>
          <w:szCs w:val="27"/>
        </w:rPr>
        <w:t xml:space="preserve"> (</w:t>
      </w:r>
      <w:r w:rsidRPr="00D81E9F">
        <w:rPr>
          <w:rFonts w:ascii="Century Schoolbook" w:hAnsi="Century Schoolbook"/>
          <w:i/>
          <w:iCs/>
          <w:sz w:val="27"/>
          <w:szCs w:val="27"/>
        </w:rPr>
        <w:t>Laraway</w:t>
      </w:r>
      <w:r w:rsidRPr="00D81E9F">
        <w:rPr>
          <w:rFonts w:ascii="Century Schoolbook" w:hAnsi="Century Schoolbook"/>
          <w:sz w:val="27"/>
          <w:szCs w:val="27"/>
        </w:rPr>
        <w:t xml:space="preserve">, at p. 581) and “Order and Ruling” in </w:t>
      </w:r>
      <w:r w:rsidRPr="00D81E9F">
        <w:rPr>
          <w:rFonts w:ascii="Century Schoolbook" w:hAnsi="Century Schoolbook"/>
          <w:i/>
          <w:iCs/>
          <w:sz w:val="27"/>
          <w:szCs w:val="27"/>
        </w:rPr>
        <w:t>City of Calexico</w:t>
      </w:r>
      <w:r w:rsidRPr="00D81E9F">
        <w:rPr>
          <w:rFonts w:ascii="Century Schoolbook" w:hAnsi="Century Schoolbook"/>
          <w:sz w:val="27"/>
          <w:szCs w:val="27"/>
        </w:rPr>
        <w:t xml:space="preserve"> (</w:t>
      </w:r>
      <w:r w:rsidRPr="00D81E9F">
        <w:rPr>
          <w:rFonts w:ascii="Century Schoolbook" w:hAnsi="Century Schoolbook"/>
          <w:i/>
          <w:iCs/>
          <w:sz w:val="27"/>
          <w:szCs w:val="27"/>
        </w:rPr>
        <w:t>City of Calexico</w:t>
      </w:r>
      <w:r w:rsidRPr="00D81E9F">
        <w:rPr>
          <w:rFonts w:ascii="Century Schoolbook" w:hAnsi="Century Schoolbook"/>
          <w:sz w:val="27"/>
          <w:szCs w:val="27"/>
        </w:rPr>
        <w:t>, at p. 185).</w:t>
      </w:r>
    </w:p>
  </w:footnote>
  <w:footnote w:id="9">
    <w:p w:rsidR="00187CD0" w:rsidRPr="002E5BAB" w:rsidP="00871DF5">
      <w:pPr>
        <w:pStyle w:val="FootnoteText"/>
        <w:spacing w:after="100" w:line="300" w:lineRule="exact"/>
        <w:jc w:val="both"/>
        <w:rPr>
          <w:rFonts w:ascii="Century Schoolbook" w:hAnsi="Century Schoolbook"/>
          <w:sz w:val="27"/>
          <w:szCs w:val="27"/>
        </w:rPr>
      </w:pPr>
      <w:r w:rsidRPr="000C2FB5">
        <w:rPr>
          <w:rStyle w:val="FootnoteReference"/>
          <w:szCs w:val="27"/>
          <w:vertAlign w:val="superscript"/>
        </w:rPr>
        <w:footnoteRef/>
      </w:r>
      <w:r w:rsidRPr="002E5BAB">
        <w:rPr>
          <w:rFonts w:ascii="Century Schoolbook" w:hAnsi="Century Schoolbook"/>
          <w:sz w:val="27"/>
          <w:szCs w:val="27"/>
        </w:rPr>
        <w:t xml:space="preserve"> </w:t>
      </w:r>
      <w:r w:rsidRPr="002E5BAB">
        <w:rPr>
          <w:rFonts w:ascii="Century Schoolbook" w:hAnsi="Century Schoolbook"/>
          <w:sz w:val="27"/>
          <w:szCs w:val="27"/>
        </w:rPr>
        <w:tab/>
        <w:t>This</w:t>
      </w:r>
      <w:r>
        <w:rPr>
          <w:rFonts w:ascii="Century Schoolbook" w:hAnsi="Century Schoolbook"/>
          <w:sz w:val="27"/>
          <w:szCs w:val="27"/>
        </w:rPr>
        <w:t xml:space="preserve"> includes special proceedings such as administrative mandate proceedings.  (§ 22 [“action” is “an ordinary proceeding”]; § 23 [“special proceeding” is “every other remedy”]; § 1110 [appellate rules and procedure that apply to civil actions apply to special</w:t>
      </w:r>
      <w:r>
        <w:rPr>
          <w:rFonts w:ascii="Century Schoolbook" w:hAnsi="Century Schoolbook"/>
          <w:sz w:val="27"/>
          <w:szCs w:val="27"/>
        </w:rPr>
        <w:t xml:space="preserve"> proceedings].)</w:t>
      </w:r>
    </w:p>
  </w:footnote>
  <w:footnote w:id="10">
    <w:p w:rsidR="00187CD0" w:rsidRPr="00FB2D7D" w:rsidP="00871DF5">
      <w:pPr>
        <w:pStyle w:val="FootnoteText"/>
        <w:spacing w:after="100" w:line="300" w:lineRule="exact"/>
        <w:jc w:val="both"/>
        <w:rPr>
          <w:rFonts w:ascii="Century Schoolbook" w:hAnsi="Century Schoolbook"/>
          <w:sz w:val="27"/>
          <w:szCs w:val="27"/>
        </w:rPr>
      </w:pPr>
      <w:r w:rsidRPr="003C5193">
        <w:rPr>
          <w:rStyle w:val="FootnoteReference"/>
          <w:szCs w:val="27"/>
          <w:vertAlign w:val="superscript"/>
        </w:rPr>
        <w:footnoteRef/>
      </w:r>
      <w:r w:rsidRPr="00FB2D7D">
        <w:rPr>
          <w:rFonts w:ascii="Century Schoolbook" w:hAnsi="Century Schoolbook"/>
          <w:sz w:val="27"/>
          <w:szCs w:val="27"/>
        </w:rPr>
        <w:t xml:space="preserve"> </w:t>
      </w:r>
      <w:r w:rsidRPr="00FB2D7D">
        <w:rPr>
          <w:rFonts w:ascii="Century Schoolbook" w:hAnsi="Century Schoolbook"/>
          <w:sz w:val="27"/>
          <w:szCs w:val="27"/>
        </w:rPr>
        <w:tab/>
        <w:t>As noted, the Court of Appeal also relied on two other appellate decisions that, based on similar reasoning, dismissed appeals as untimely.  (</w:t>
      </w:r>
      <w:r w:rsidRPr="00FB2D7D">
        <w:rPr>
          <w:rFonts w:ascii="Century Schoolbook" w:hAnsi="Century Schoolbook"/>
          <w:i/>
          <w:iCs/>
          <w:sz w:val="27"/>
          <w:szCs w:val="27"/>
        </w:rPr>
        <w:t>Meinhard</w:t>
      </w:r>
      <w:r w:rsidRPr="00FB2D7D">
        <w:rPr>
          <w:rFonts w:ascii="Century Schoolbook" w:hAnsi="Century Schoolbook"/>
          <w:sz w:val="27"/>
          <w:szCs w:val="27"/>
        </w:rPr>
        <w:t xml:space="preserve">t, </w:t>
      </w:r>
      <w:r w:rsidRPr="00FB2D7D">
        <w:rPr>
          <w:rFonts w:ascii="Century Schoolbook" w:hAnsi="Century Schoolbook"/>
          <w:i/>
          <w:iCs/>
          <w:sz w:val="27"/>
          <w:szCs w:val="27"/>
        </w:rPr>
        <w:t>supra</w:t>
      </w:r>
      <w:r w:rsidRPr="00FB2D7D">
        <w:rPr>
          <w:rFonts w:ascii="Century Schoolbook" w:hAnsi="Century Schoolbook"/>
          <w:sz w:val="27"/>
          <w:szCs w:val="27"/>
        </w:rPr>
        <w:t xml:space="preserve">, 76 Cal.App.5th at pp. 51, 67–68, discussing </w:t>
      </w:r>
      <w:r w:rsidRPr="00FB2D7D">
        <w:rPr>
          <w:rFonts w:ascii="Century Schoolbook" w:hAnsi="Century Schoolbook"/>
          <w:i/>
          <w:iCs/>
          <w:sz w:val="27"/>
          <w:szCs w:val="27"/>
        </w:rPr>
        <w:t>Laraway</w:t>
      </w:r>
      <w:r w:rsidRPr="00FB2D7D">
        <w:rPr>
          <w:rFonts w:ascii="Century Schoolbook" w:hAnsi="Century Schoolbook"/>
          <w:sz w:val="27"/>
          <w:szCs w:val="27"/>
        </w:rPr>
        <w:t xml:space="preserve">, </w:t>
      </w:r>
      <w:r w:rsidRPr="00FB2D7D">
        <w:rPr>
          <w:rFonts w:ascii="Century Schoolbook" w:hAnsi="Century Schoolbook"/>
          <w:i/>
          <w:iCs/>
          <w:sz w:val="27"/>
          <w:szCs w:val="27"/>
        </w:rPr>
        <w:t>supra</w:t>
      </w:r>
      <w:r w:rsidRPr="00FB2D7D">
        <w:rPr>
          <w:rFonts w:ascii="Century Schoolbook" w:hAnsi="Century Schoolbook"/>
          <w:sz w:val="27"/>
          <w:szCs w:val="27"/>
        </w:rPr>
        <w:t>, 98 Cal.App.4th 57</w:t>
      </w:r>
      <w:r w:rsidRPr="00FB2D7D">
        <w:rPr>
          <w:rFonts w:ascii="Century Schoolbook" w:hAnsi="Century Schoolbook"/>
          <w:sz w:val="27"/>
          <w:szCs w:val="27"/>
        </w:rPr>
        <w:t xml:space="preserve">9, and </w:t>
      </w:r>
      <w:r w:rsidRPr="00FB2D7D">
        <w:rPr>
          <w:rFonts w:ascii="Century Schoolbook" w:hAnsi="Century Schoolbook"/>
          <w:i/>
          <w:iCs/>
          <w:sz w:val="27"/>
          <w:szCs w:val="27"/>
        </w:rPr>
        <w:t>City of Calexico</w:t>
      </w:r>
      <w:r w:rsidRPr="00FB2D7D">
        <w:rPr>
          <w:rFonts w:ascii="Century Schoolbook" w:hAnsi="Century Schoolbook"/>
          <w:sz w:val="27"/>
          <w:szCs w:val="27"/>
        </w:rPr>
        <w:t xml:space="preserve">, </w:t>
      </w:r>
      <w:r w:rsidRPr="00FB2D7D">
        <w:rPr>
          <w:rFonts w:ascii="Century Schoolbook" w:hAnsi="Century Schoolbook"/>
          <w:i/>
          <w:iCs/>
          <w:sz w:val="27"/>
          <w:szCs w:val="27"/>
        </w:rPr>
        <w:t>supra</w:t>
      </w:r>
      <w:r w:rsidRPr="00FB2D7D">
        <w:rPr>
          <w:rFonts w:ascii="Century Schoolbook" w:hAnsi="Century Schoolbook"/>
          <w:sz w:val="27"/>
          <w:szCs w:val="27"/>
        </w:rPr>
        <w:t xml:space="preserve">, 64 Cal.App.5th </w:t>
      </w:r>
      <w:r>
        <w:rPr>
          <w:rFonts w:ascii="Century Schoolbook" w:hAnsi="Century Schoolbook"/>
          <w:sz w:val="27"/>
          <w:szCs w:val="27"/>
        </w:rPr>
        <w:t>1</w:t>
      </w:r>
      <w:r w:rsidRPr="00FB2D7D">
        <w:rPr>
          <w:rFonts w:ascii="Century Schoolbook" w:hAnsi="Century Schoolbook"/>
          <w:sz w:val="27"/>
          <w:szCs w:val="27"/>
        </w:rPr>
        <w:t>80.)</w:t>
      </w:r>
      <w:r>
        <w:rPr>
          <w:rFonts w:ascii="Century Schoolbook" w:hAnsi="Century Schoolbook"/>
          <w:sz w:val="27"/>
          <w:szCs w:val="27"/>
        </w:rPr>
        <w:t xml:space="preserve">  </w:t>
      </w:r>
      <w:r w:rsidRPr="00FB2D7D">
        <w:rPr>
          <w:rFonts w:ascii="Century Schoolbook" w:hAnsi="Century Schoolbook"/>
          <w:sz w:val="27"/>
          <w:szCs w:val="27"/>
        </w:rPr>
        <w:t xml:space="preserve">The Court of Appeal declined to follow </w:t>
      </w:r>
      <w:r w:rsidRPr="00FB2D7D">
        <w:rPr>
          <w:rFonts w:ascii="Century Schoolbook" w:hAnsi="Century Schoolbook"/>
          <w:i/>
          <w:iCs/>
          <w:sz w:val="27"/>
          <w:szCs w:val="27"/>
        </w:rPr>
        <w:t>Protect Our Water</w:t>
      </w:r>
      <w:r w:rsidRPr="00FB2D7D">
        <w:rPr>
          <w:rFonts w:ascii="Century Schoolbook" w:hAnsi="Century Schoolbook"/>
          <w:sz w:val="27"/>
          <w:szCs w:val="27"/>
        </w:rPr>
        <w:t xml:space="preserve">, in which another Court of Appeal denied a motion to dismiss the appeal as untimely, stating, “[Respondent] filed a motion to dismiss the appeal </w:t>
      </w:r>
      <w:r w:rsidRPr="00FB2D7D">
        <w:rPr>
          <w:rFonts w:ascii="Century Schoolbook" w:hAnsi="Century Schoolbook"/>
          <w:sz w:val="27"/>
          <w:szCs w:val="27"/>
        </w:rPr>
        <w:t xml:space="preserve">as untimely, arguing the appeal was filed more than 60 days after service of the order denying the writ of mandate.  However, the appeal was filed within 60 days after entry of the judgment, and the judgment is appealable.  (See </w:t>
      </w:r>
      <w:r w:rsidRPr="00FB2D7D">
        <w:rPr>
          <w:rFonts w:ascii="Century Schoolbook" w:hAnsi="Century Schoolbook"/>
          <w:i/>
          <w:iCs/>
          <w:sz w:val="27"/>
          <w:szCs w:val="27"/>
        </w:rPr>
        <w:t xml:space="preserve">Catalina Investments, Inc. </w:t>
      </w:r>
      <w:r w:rsidRPr="00FB2D7D">
        <w:rPr>
          <w:rFonts w:ascii="Century Schoolbook" w:hAnsi="Century Schoolbook"/>
          <w:i/>
          <w:iCs/>
          <w:sz w:val="27"/>
          <w:szCs w:val="27"/>
        </w:rPr>
        <w:t>v. Jones</w:t>
      </w:r>
      <w:r w:rsidRPr="00FB2D7D">
        <w:rPr>
          <w:rFonts w:ascii="Century Schoolbook" w:hAnsi="Century Schoolbook"/>
          <w:sz w:val="27"/>
          <w:szCs w:val="27"/>
        </w:rPr>
        <w:t xml:space="preserve"> (2002) 98 Cal.App.4th 1, 5, fn. 3; </w:t>
      </w:r>
      <w:r w:rsidRPr="005C70DD">
        <w:rPr>
          <w:rFonts w:ascii="Century Schoolbook" w:hAnsi="Century Schoolbook"/>
          <w:i/>
          <w:iCs/>
          <w:sz w:val="27"/>
          <w:szCs w:val="27"/>
        </w:rPr>
        <w:t>MCM Construction, Inc. v. City and County of San Francisco</w:t>
      </w:r>
      <w:r w:rsidRPr="00FB2D7D">
        <w:rPr>
          <w:rFonts w:ascii="Century Schoolbook" w:hAnsi="Century Schoolbook"/>
          <w:sz w:val="27"/>
          <w:szCs w:val="27"/>
        </w:rPr>
        <w:t xml:space="preserve"> (1998) 66 Cal.App.4th 359, 367, fn. 3.)”  (</w:t>
      </w:r>
      <w:r w:rsidRPr="005C70DD">
        <w:rPr>
          <w:rFonts w:ascii="Century Schoolbook" w:hAnsi="Century Schoolbook"/>
          <w:i/>
          <w:iCs/>
          <w:sz w:val="27"/>
          <w:szCs w:val="27"/>
        </w:rPr>
        <w:t>Meinhardt</w:t>
      </w:r>
      <w:r w:rsidRPr="00FB2D7D">
        <w:rPr>
          <w:rFonts w:ascii="Century Schoolbook" w:hAnsi="Century Schoolbook"/>
          <w:sz w:val="27"/>
          <w:szCs w:val="27"/>
        </w:rPr>
        <w:t xml:space="preserve">, </w:t>
      </w:r>
      <w:r w:rsidRPr="005C70DD">
        <w:rPr>
          <w:rFonts w:ascii="Century Schoolbook" w:hAnsi="Century Schoolbook"/>
          <w:i/>
          <w:iCs/>
          <w:sz w:val="27"/>
          <w:szCs w:val="27"/>
        </w:rPr>
        <w:t>supra</w:t>
      </w:r>
      <w:r w:rsidRPr="00FB2D7D">
        <w:rPr>
          <w:rFonts w:ascii="Century Schoolbook" w:hAnsi="Century Schoolbook"/>
          <w:sz w:val="27"/>
          <w:szCs w:val="27"/>
        </w:rPr>
        <w:t xml:space="preserve">, 76 Cal.App.5th at p. 67, quoting </w:t>
      </w:r>
      <w:r w:rsidRPr="005C70DD">
        <w:rPr>
          <w:rFonts w:ascii="Century Schoolbook" w:hAnsi="Century Schoolbook"/>
          <w:i/>
          <w:iCs/>
          <w:sz w:val="27"/>
          <w:szCs w:val="27"/>
        </w:rPr>
        <w:t>Protect Our Water</w:t>
      </w:r>
      <w:r w:rsidRPr="00FB2D7D">
        <w:rPr>
          <w:rFonts w:ascii="Century Schoolbook" w:hAnsi="Century Schoolbook"/>
          <w:sz w:val="27"/>
          <w:szCs w:val="27"/>
        </w:rPr>
        <w:t xml:space="preserve">, </w:t>
      </w:r>
      <w:r w:rsidRPr="005C70DD">
        <w:rPr>
          <w:rFonts w:ascii="Century Schoolbook" w:hAnsi="Century Schoolbook"/>
          <w:i/>
          <w:iCs/>
          <w:sz w:val="27"/>
          <w:szCs w:val="27"/>
        </w:rPr>
        <w:t>supra</w:t>
      </w:r>
      <w:r w:rsidRPr="00FB2D7D">
        <w:rPr>
          <w:rFonts w:ascii="Century Schoolbook" w:hAnsi="Century Schoolbook"/>
          <w:sz w:val="27"/>
          <w:szCs w:val="27"/>
        </w:rPr>
        <w:t>, 110 Cal.App.4th at p. 368, fn.</w:t>
      </w:r>
      <w:r>
        <w:rPr>
          <w:rFonts w:ascii="Century Schoolbook" w:hAnsi="Century Schoolbook"/>
          <w:sz w:val="27"/>
          <w:szCs w:val="27"/>
        </w:rPr>
        <w:t> </w:t>
      </w:r>
      <w:r w:rsidRPr="00FB2D7D">
        <w:rPr>
          <w:rFonts w:ascii="Century Schoolbook" w:hAnsi="Century Schoolbook"/>
          <w:sz w:val="27"/>
          <w:szCs w:val="27"/>
        </w:rPr>
        <w:t>2.</w:t>
      </w:r>
      <w:r w:rsidRPr="00FB2D7D">
        <w:rPr>
          <w:rFonts w:ascii="Century Schoolbook" w:hAnsi="Century Schoolbook"/>
          <w:sz w:val="27"/>
          <w:szCs w:val="27"/>
        </w:rPr>
        <w:t>)</w:t>
      </w:r>
    </w:p>
  </w:footnote>
  <w:footnote w:id="11">
    <w:p w:rsidR="00187CD0" w:rsidRPr="00FB098D" w:rsidP="00871DF5">
      <w:pPr>
        <w:pStyle w:val="FootnoteText"/>
        <w:spacing w:after="100" w:line="300" w:lineRule="exact"/>
        <w:jc w:val="both"/>
        <w:rPr>
          <w:rFonts w:ascii="Century Schoolbook" w:hAnsi="Century Schoolbook"/>
          <w:sz w:val="27"/>
          <w:szCs w:val="27"/>
        </w:rPr>
      </w:pPr>
      <w:r w:rsidRPr="00450CF9">
        <w:rPr>
          <w:rStyle w:val="FootnoteReference"/>
          <w:szCs w:val="27"/>
          <w:vertAlign w:val="superscript"/>
        </w:rPr>
        <w:footnoteRef/>
      </w:r>
      <w:r w:rsidRPr="00FB098D">
        <w:rPr>
          <w:rFonts w:ascii="Century Schoolbook" w:hAnsi="Century Schoolbook"/>
          <w:sz w:val="27"/>
          <w:szCs w:val="27"/>
        </w:rPr>
        <w:t xml:space="preserve"> </w:t>
      </w:r>
      <w:r w:rsidRPr="00FB098D">
        <w:rPr>
          <w:rFonts w:ascii="Century Schoolbook" w:hAnsi="Century Schoolbook"/>
          <w:sz w:val="27"/>
          <w:szCs w:val="27"/>
        </w:rPr>
        <w:tab/>
        <w:t>An order denying class certification is appealable where it would be the “death knell” of the action.  (</w:t>
      </w:r>
      <w:r w:rsidRPr="00FB098D">
        <w:rPr>
          <w:rFonts w:ascii="Century Schoolbook" w:hAnsi="Century Schoolbook"/>
          <w:i/>
          <w:iCs/>
          <w:sz w:val="27"/>
          <w:szCs w:val="27"/>
        </w:rPr>
        <w:t>Baycol</w:t>
      </w:r>
      <w:r w:rsidRPr="00FB098D">
        <w:rPr>
          <w:rFonts w:ascii="Century Schoolbook" w:hAnsi="Century Schoolbook"/>
          <w:sz w:val="27"/>
          <w:szCs w:val="27"/>
        </w:rPr>
        <w:t xml:space="preserve">, </w:t>
      </w:r>
      <w:r w:rsidRPr="00FB098D">
        <w:rPr>
          <w:rFonts w:ascii="Century Schoolbook" w:hAnsi="Century Schoolbook"/>
          <w:i/>
          <w:iCs/>
          <w:sz w:val="27"/>
          <w:szCs w:val="27"/>
        </w:rPr>
        <w:t>supra</w:t>
      </w:r>
      <w:r w:rsidRPr="00FB098D">
        <w:rPr>
          <w:rFonts w:ascii="Century Schoolbook" w:hAnsi="Century Schoolbook"/>
          <w:sz w:val="27"/>
          <w:szCs w:val="27"/>
        </w:rPr>
        <w:t>, 51 Cal.4</w:t>
      </w:r>
      <w:r>
        <w:rPr>
          <w:rFonts w:ascii="Century Schoolbook" w:hAnsi="Century Schoolbook"/>
          <w:sz w:val="27"/>
          <w:szCs w:val="27"/>
        </w:rPr>
        <w:t>th</w:t>
      </w:r>
      <w:r w:rsidRPr="00FB098D">
        <w:rPr>
          <w:rFonts w:ascii="Century Schoolbook" w:hAnsi="Century Schoolbook"/>
          <w:sz w:val="27"/>
          <w:szCs w:val="27"/>
        </w:rPr>
        <w:t xml:space="preserve"> at p. 757.)</w:t>
      </w:r>
    </w:p>
  </w:footnote>
  <w:footnote w:id="12">
    <w:p w:rsidR="00187CD0" w:rsidRPr="00C26291" w:rsidP="00871DF5">
      <w:pPr>
        <w:pStyle w:val="FootnoteText"/>
        <w:spacing w:after="100" w:line="300" w:lineRule="exact"/>
        <w:jc w:val="both"/>
        <w:rPr>
          <w:rFonts w:ascii="Century Schoolbook" w:hAnsi="Century Schoolbook"/>
          <w:sz w:val="27"/>
          <w:szCs w:val="27"/>
        </w:rPr>
      </w:pPr>
      <w:r w:rsidRPr="00102038">
        <w:rPr>
          <w:rStyle w:val="FootnoteReference"/>
          <w:szCs w:val="27"/>
          <w:vertAlign w:val="superscript"/>
        </w:rPr>
        <w:footnoteRef/>
      </w:r>
      <w:r w:rsidRPr="00C26291">
        <w:rPr>
          <w:rFonts w:ascii="Century Schoolbook" w:hAnsi="Century Schoolbook"/>
          <w:sz w:val="27"/>
          <w:szCs w:val="27"/>
        </w:rPr>
        <w:t xml:space="preserve"> </w:t>
      </w:r>
      <w:r w:rsidRPr="00C26291">
        <w:rPr>
          <w:rFonts w:ascii="Century Schoolbook" w:hAnsi="Century Schoolbook"/>
          <w:sz w:val="27"/>
          <w:szCs w:val="27"/>
        </w:rPr>
        <w:tab/>
      </w:r>
      <w:r w:rsidRPr="00C26291">
        <w:rPr>
          <w:rFonts w:ascii="Century Schoolbook" w:hAnsi="Century Schoolbook"/>
          <w:sz w:val="27"/>
          <w:szCs w:val="27"/>
        </w:rPr>
        <w:t xml:space="preserve">In some cases, appellate courts instruct the trial court to enter judgment nunc pro tunc as of the date of the ruling from which the appeal has been taken so that the notice of appeal is deemed to have been filed after entry of judgment.  (E.g., </w:t>
      </w:r>
      <w:r w:rsidRPr="00550D89">
        <w:rPr>
          <w:rFonts w:ascii="Century Schoolbook" w:hAnsi="Century Schoolbook"/>
          <w:i/>
          <w:iCs/>
          <w:sz w:val="27"/>
          <w:szCs w:val="27"/>
        </w:rPr>
        <w:t xml:space="preserve">Flores v. </w:t>
      </w:r>
      <w:r w:rsidRPr="00550D89">
        <w:rPr>
          <w:rFonts w:ascii="Century Schoolbook" w:hAnsi="Century Schoolbook"/>
          <w:i/>
          <w:iCs/>
          <w:sz w:val="27"/>
          <w:szCs w:val="27"/>
        </w:rPr>
        <w:t>Department of Corrections &amp; Rehabilitation</w:t>
      </w:r>
      <w:r w:rsidRPr="00C26291">
        <w:rPr>
          <w:rFonts w:ascii="Century Schoolbook" w:hAnsi="Century Schoolbook"/>
          <w:sz w:val="27"/>
          <w:szCs w:val="27"/>
        </w:rPr>
        <w:t xml:space="preserve"> (2014) 224 Cal.App.4th 199, 204 [instructing the trial court to enter judgment of dismissal nunc pro tunc “[t]o promote the orderly administration of justice, and to avoid the useless waste of judicial and litigan</w:t>
      </w:r>
      <w:r w:rsidRPr="00C26291">
        <w:rPr>
          <w:rFonts w:ascii="Century Schoolbook" w:hAnsi="Century Schoolbook"/>
          <w:sz w:val="27"/>
          <w:szCs w:val="27"/>
        </w:rPr>
        <w:t>t time that would result from dismissing the appeal merely to have a judgment formally entered in the trial court and a new appeal filed”].)</w:t>
      </w:r>
    </w:p>
  </w:footnote>
  <w:footnote w:id="13">
    <w:p w:rsidR="00187CD0" w:rsidRPr="00550D89" w:rsidP="00871DF5">
      <w:pPr>
        <w:pStyle w:val="FootnoteText"/>
        <w:spacing w:after="100" w:line="300" w:lineRule="exact"/>
        <w:jc w:val="both"/>
        <w:rPr>
          <w:rFonts w:ascii="Century Schoolbook" w:hAnsi="Century Schoolbook"/>
          <w:sz w:val="27"/>
          <w:szCs w:val="27"/>
        </w:rPr>
      </w:pPr>
      <w:r w:rsidRPr="00041309">
        <w:rPr>
          <w:rStyle w:val="FootnoteReference"/>
          <w:szCs w:val="27"/>
          <w:vertAlign w:val="superscript"/>
        </w:rPr>
        <w:footnoteRef/>
      </w:r>
      <w:r w:rsidRPr="00550D89">
        <w:rPr>
          <w:rFonts w:ascii="Century Schoolbook" w:hAnsi="Century Schoolbook"/>
          <w:sz w:val="27"/>
          <w:szCs w:val="27"/>
        </w:rPr>
        <w:t xml:space="preserve"> </w:t>
      </w:r>
      <w:r w:rsidRPr="00550D89">
        <w:rPr>
          <w:rFonts w:ascii="Century Schoolbook" w:hAnsi="Century Schoolbook"/>
          <w:sz w:val="27"/>
          <w:szCs w:val="27"/>
        </w:rPr>
        <w:tab/>
        <w:t>In some situations, such as in the case of an order sustaining a demurrer without leave to amend, or the order d</w:t>
      </w:r>
      <w:r w:rsidRPr="00550D89">
        <w:rPr>
          <w:rFonts w:ascii="Century Schoolbook" w:hAnsi="Century Schoolbook"/>
          <w:sz w:val="27"/>
          <w:szCs w:val="27"/>
        </w:rPr>
        <w:t>enying the petition at issue in this case, it may be fairly easy for litigants to determine whether the ruling is sufficiently final to constitute the judgment in the case; in other situations, however, that determination may not be so easy.</w:t>
      </w:r>
    </w:p>
  </w:footnote>
  <w:footnote w:id="14">
    <w:p w:rsidR="00187CD0" w:rsidRPr="0082774A" w:rsidP="00871DF5">
      <w:pPr>
        <w:pStyle w:val="FootnoteText"/>
        <w:spacing w:after="100" w:line="300" w:lineRule="exact"/>
        <w:jc w:val="both"/>
        <w:rPr>
          <w:rFonts w:ascii="Century Schoolbook" w:hAnsi="Century Schoolbook"/>
          <w:sz w:val="27"/>
          <w:szCs w:val="27"/>
        </w:rPr>
      </w:pPr>
      <w:r w:rsidRPr="00041309">
        <w:rPr>
          <w:rStyle w:val="FootnoteReference"/>
          <w:szCs w:val="27"/>
          <w:vertAlign w:val="superscript"/>
        </w:rPr>
        <w:footnoteRef/>
      </w:r>
      <w:r w:rsidRPr="0082774A">
        <w:rPr>
          <w:rFonts w:ascii="Century Schoolbook" w:hAnsi="Century Schoolbook"/>
          <w:sz w:val="27"/>
          <w:szCs w:val="27"/>
        </w:rPr>
        <w:t xml:space="preserve"> </w:t>
      </w:r>
      <w:r w:rsidRPr="0082774A">
        <w:rPr>
          <w:rFonts w:ascii="Century Schoolbook" w:hAnsi="Century Schoolbook"/>
          <w:sz w:val="27"/>
          <w:szCs w:val="27"/>
        </w:rPr>
        <w:tab/>
        <w:t>Meinhardt a</w:t>
      </w:r>
      <w:r w:rsidRPr="0082774A">
        <w:rPr>
          <w:rFonts w:ascii="Century Schoolbook" w:hAnsi="Century Schoolbook"/>
          <w:sz w:val="27"/>
          <w:szCs w:val="27"/>
        </w:rPr>
        <w:t>nd Amicus Curiae Ballona Wetlands Land Trust point out that the local court rules in some counties require parties in writ proceedings to incorporate trial court rulings into proposed judgments (see Sacramento County Superior Court Local Rules, rule 2.26(e</w:t>
      </w:r>
      <w:r w:rsidRPr="0082774A">
        <w:rPr>
          <w:rFonts w:ascii="Century Schoolbook" w:hAnsi="Century Schoolbook"/>
          <w:sz w:val="27"/>
          <w:szCs w:val="27"/>
        </w:rPr>
        <w:t>) [the prevailing party in writ proceedings must submit a proposed judgment to the court for approval]) or provide parties and trial courts the opportunity to resolve any issues after a judicial ruling and before entry of judgment (see Los Angeles County S</w:t>
      </w:r>
      <w:r w:rsidRPr="0082774A">
        <w:rPr>
          <w:rFonts w:ascii="Century Schoolbook" w:hAnsi="Century Schoolbook"/>
          <w:sz w:val="27"/>
          <w:szCs w:val="27"/>
        </w:rPr>
        <w:t>uperior Court Local Rules, rule 3.231(n) [parties in writ proceedings have 10 days after trial to raise objections to a proposed judgment and to meet and confer, and additional time, if necessary, for a hearing “for purposes of resolving any objections and</w:t>
      </w:r>
      <w:r w:rsidRPr="0082774A">
        <w:rPr>
          <w:rFonts w:ascii="Century Schoolbook" w:hAnsi="Century Schoolbook"/>
          <w:sz w:val="27"/>
          <w:szCs w:val="27"/>
        </w:rPr>
        <w:t xml:space="preserve"> signing the judgment”]).</w:t>
      </w:r>
    </w:p>
  </w:footnote>
  <w:footnote w:id="15">
    <w:p w:rsidR="00187CD0" w:rsidRPr="00841320" w:rsidP="00871DF5">
      <w:pPr>
        <w:pStyle w:val="FootnoteText"/>
        <w:spacing w:after="100" w:line="300" w:lineRule="exact"/>
        <w:jc w:val="both"/>
        <w:rPr>
          <w:rFonts w:ascii="Century Schoolbook" w:hAnsi="Century Schoolbook"/>
          <w:sz w:val="27"/>
          <w:szCs w:val="27"/>
        </w:rPr>
      </w:pPr>
      <w:r w:rsidRPr="00041309">
        <w:rPr>
          <w:rStyle w:val="FootnoteReference"/>
          <w:szCs w:val="27"/>
          <w:vertAlign w:val="superscript"/>
        </w:rPr>
        <w:footnoteRef/>
      </w:r>
      <w:r w:rsidRPr="00841320">
        <w:rPr>
          <w:rFonts w:ascii="Century Schoolbook" w:hAnsi="Century Schoolbook"/>
          <w:sz w:val="27"/>
          <w:szCs w:val="27"/>
        </w:rPr>
        <w:t xml:space="preserve"> </w:t>
      </w:r>
      <w:r w:rsidRPr="00841320">
        <w:rPr>
          <w:rFonts w:ascii="Century Schoolbook" w:hAnsi="Century Schoolbook"/>
          <w:sz w:val="27"/>
          <w:szCs w:val="27"/>
        </w:rPr>
        <w:tab/>
        <w:t>At Meinhardt’s request, we have taken judicial notice of, and reviewed, section 1094.5’s legislative history</w:t>
      </w:r>
      <w:r>
        <w:rPr>
          <w:rFonts w:ascii="Century Schoolbook" w:hAnsi="Century Schoolbook"/>
          <w:sz w:val="27"/>
          <w:szCs w:val="27"/>
        </w:rPr>
        <w:t>.</w:t>
      </w:r>
    </w:p>
  </w:footnote>
  <w:footnote w:id="16">
    <w:p w:rsidR="00187CD0" w:rsidRPr="00A33B75" w:rsidP="00871DF5">
      <w:pPr>
        <w:pStyle w:val="FootnoteText"/>
        <w:spacing w:after="100" w:line="300" w:lineRule="exact"/>
        <w:jc w:val="both"/>
        <w:rPr>
          <w:rFonts w:ascii="Century Schoolbook" w:hAnsi="Century Schoolbook"/>
          <w:sz w:val="27"/>
          <w:szCs w:val="27"/>
        </w:rPr>
      </w:pPr>
      <w:r w:rsidRPr="00E05952">
        <w:rPr>
          <w:rStyle w:val="FootnoteReference"/>
          <w:szCs w:val="27"/>
          <w:vertAlign w:val="superscript"/>
        </w:rPr>
        <w:footnoteRef/>
      </w:r>
      <w:r w:rsidRPr="00A33B75">
        <w:rPr>
          <w:rFonts w:ascii="Century Schoolbook" w:hAnsi="Century Schoolbook"/>
          <w:sz w:val="27"/>
          <w:szCs w:val="27"/>
        </w:rPr>
        <w:t xml:space="preserve"> </w:t>
      </w:r>
      <w:r w:rsidRPr="00A33B75">
        <w:rPr>
          <w:rFonts w:ascii="Century Schoolbook" w:hAnsi="Century Schoolbook"/>
          <w:sz w:val="27"/>
          <w:szCs w:val="27"/>
        </w:rPr>
        <w:tab/>
      </w:r>
      <w:r w:rsidRPr="00A33B75">
        <w:rPr>
          <w:rFonts w:ascii="Century Schoolbook" w:hAnsi="Century Schoolbook"/>
          <w:sz w:val="27"/>
          <w:szCs w:val="27"/>
        </w:rPr>
        <w:t xml:space="preserve">We also note Meinhardt’s observation in his Opening Brief that the Court of Appeal docket in </w:t>
      </w:r>
      <w:r w:rsidRPr="00A33B75">
        <w:rPr>
          <w:rFonts w:ascii="Century Schoolbook" w:hAnsi="Century Schoolbook"/>
          <w:i/>
          <w:iCs/>
          <w:sz w:val="27"/>
          <w:szCs w:val="27"/>
        </w:rPr>
        <w:t xml:space="preserve">Dhillon </w:t>
      </w:r>
      <w:r w:rsidRPr="00A33B75">
        <w:rPr>
          <w:rFonts w:ascii="Century Schoolbook" w:hAnsi="Century Schoolbook"/>
          <w:sz w:val="27"/>
          <w:szCs w:val="27"/>
        </w:rPr>
        <w:t>“reflects that the appellant timely took its appeal from both ‘(1) the superior court’s order</w:t>
      </w:r>
      <w:r>
        <w:rPr>
          <w:rFonts w:ascii="Century Schoolbook" w:hAnsi="Century Schoolbook"/>
          <w:sz w:val="27"/>
          <w:szCs w:val="27"/>
        </w:rPr>
        <w:t> </w:t>
      </w:r>
      <w:r w:rsidRPr="00A33B75">
        <w:rPr>
          <w:rFonts w:ascii="Century Schoolbook" w:hAnsi="Century Schoolbook"/>
          <w:sz w:val="27"/>
          <w:szCs w:val="27"/>
        </w:rPr>
        <w:t>— filed on or about 08/06/14 granting in part Jatinder Dhillo</w:t>
      </w:r>
      <w:r w:rsidRPr="00A33B75">
        <w:rPr>
          <w:rFonts w:ascii="Century Schoolbook" w:hAnsi="Century Schoolbook"/>
          <w:sz w:val="27"/>
          <w:szCs w:val="27"/>
        </w:rPr>
        <w:t>n’s motion for peremptory administrative writ [and] (2) the superior court’s judgment on writ of mandate, filed on or about 09/08/14.’ ”  Our own review of the Court of Appeal record confirms this observation.  The fact that a subsequent judgment was enter</w:t>
      </w:r>
      <w:r w:rsidRPr="00A33B75">
        <w:rPr>
          <w:rFonts w:ascii="Century Schoolbook" w:hAnsi="Century Schoolbook"/>
          <w:sz w:val="27"/>
          <w:szCs w:val="27"/>
        </w:rPr>
        <w:t xml:space="preserve">ed in </w:t>
      </w:r>
      <w:r w:rsidRPr="00A33B75">
        <w:rPr>
          <w:rFonts w:ascii="Century Schoolbook" w:hAnsi="Century Schoolbook"/>
          <w:i/>
          <w:iCs/>
          <w:sz w:val="27"/>
          <w:szCs w:val="27"/>
        </w:rPr>
        <w:t>Dhillon</w:t>
      </w:r>
      <w:r w:rsidRPr="00A33B75">
        <w:rPr>
          <w:rFonts w:ascii="Century Schoolbook" w:hAnsi="Century Schoolbook"/>
          <w:sz w:val="27"/>
          <w:szCs w:val="27"/>
        </w:rPr>
        <w:t xml:space="preserve"> simply was not relevant to the appealability issue we decided.</w:t>
      </w:r>
    </w:p>
  </w:footnote>
  <w:footnote w:id="17">
    <w:p w:rsidR="00187CD0" w:rsidRPr="005F5A02" w:rsidP="00871DF5">
      <w:pPr>
        <w:pStyle w:val="FootnoteText"/>
        <w:spacing w:after="100" w:line="300" w:lineRule="exact"/>
        <w:jc w:val="both"/>
        <w:rPr>
          <w:rFonts w:ascii="Century Schoolbook" w:hAnsi="Century Schoolbook"/>
          <w:sz w:val="27"/>
          <w:szCs w:val="27"/>
        </w:rPr>
      </w:pPr>
      <w:r w:rsidRPr="00967696">
        <w:rPr>
          <w:rStyle w:val="FootnoteReference"/>
          <w:szCs w:val="27"/>
          <w:vertAlign w:val="superscript"/>
        </w:rPr>
        <w:footnoteRef/>
      </w:r>
      <w:r w:rsidRPr="005F5A02">
        <w:rPr>
          <w:rFonts w:ascii="Century Schoolbook" w:hAnsi="Century Schoolbook"/>
          <w:sz w:val="27"/>
          <w:szCs w:val="27"/>
        </w:rPr>
        <w:t xml:space="preserve"> </w:t>
      </w:r>
      <w:r w:rsidRPr="005F5A02">
        <w:rPr>
          <w:rFonts w:ascii="Century Schoolbook" w:hAnsi="Century Schoolbook"/>
          <w:sz w:val="27"/>
          <w:szCs w:val="27"/>
        </w:rPr>
        <w:tab/>
        <w:t>We disapprove the cases on which the Court of Appeal relied that similarly dismissed, as untimely, appeals that were timely filed from entry of judgment</w:t>
      </w:r>
      <w:r>
        <w:rPr>
          <w:rFonts w:ascii="Century Schoolbook" w:hAnsi="Century Schoolbook"/>
          <w:sz w:val="27"/>
          <w:szCs w:val="27"/>
        </w:rPr>
        <w:t> </w:t>
      </w:r>
      <w:r w:rsidRPr="005F5A02">
        <w:rPr>
          <w:rFonts w:ascii="Century Schoolbook" w:hAnsi="Century Schoolbook"/>
          <w:sz w:val="27"/>
          <w:szCs w:val="27"/>
        </w:rPr>
        <w:t xml:space="preserve">— </w:t>
      </w:r>
      <w:r w:rsidRPr="005F5A02">
        <w:rPr>
          <w:rFonts w:ascii="Century Schoolbook" w:hAnsi="Century Schoolbook"/>
          <w:i/>
          <w:iCs/>
          <w:sz w:val="27"/>
          <w:szCs w:val="27"/>
        </w:rPr>
        <w:t>Laraway v. Pasadena U</w:t>
      </w:r>
      <w:r w:rsidRPr="005F5A02">
        <w:rPr>
          <w:rFonts w:ascii="Century Schoolbook" w:hAnsi="Century Schoolbook"/>
          <w:i/>
          <w:iCs/>
          <w:sz w:val="27"/>
          <w:szCs w:val="27"/>
        </w:rPr>
        <w:t>nified School District</w:t>
      </w:r>
      <w:r w:rsidRPr="005F5A02">
        <w:rPr>
          <w:rFonts w:ascii="Century Schoolbook" w:hAnsi="Century Schoolbook"/>
          <w:sz w:val="27"/>
          <w:szCs w:val="27"/>
        </w:rPr>
        <w:t xml:space="preserve">, </w:t>
      </w:r>
      <w:r w:rsidRPr="005F5A02">
        <w:rPr>
          <w:rFonts w:ascii="Century Schoolbook" w:hAnsi="Century Schoolbook"/>
          <w:i/>
          <w:iCs/>
          <w:sz w:val="27"/>
          <w:szCs w:val="27"/>
        </w:rPr>
        <w:t>supra</w:t>
      </w:r>
      <w:r w:rsidRPr="005F5A02">
        <w:rPr>
          <w:rFonts w:ascii="Century Schoolbook" w:hAnsi="Century Schoolbook"/>
          <w:sz w:val="27"/>
          <w:szCs w:val="27"/>
        </w:rPr>
        <w:t xml:space="preserve">, 98 Cal.App.4th 579 and </w:t>
      </w:r>
      <w:r w:rsidRPr="005F5A02">
        <w:rPr>
          <w:rFonts w:ascii="Century Schoolbook" w:hAnsi="Century Schoolbook"/>
          <w:i/>
          <w:iCs/>
          <w:sz w:val="27"/>
          <w:szCs w:val="27"/>
        </w:rPr>
        <w:t>City of Calexico v. Bergeson</w:t>
      </w:r>
      <w:r w:rsidRPr="005F5A02">
        <w:rPr>
          <w:rFonts w:ascii="Century Schoolbook" w:hAnsi="Century Schoolbook"/>
          <w:sz w:val="27"/>
          <w:szCs w:val="27"/>
        </w:rPr>
        <w:t xml:space="preserve">, </w:t>
      </w:r>
      <w:r w:rsidRPr="005F5A02">
        <w:rPr>
          <w:rFonts w:ascii="Century Schoolbook" w:hAnsi="Century Schoolbook"/>
          <w:i/>
          <w:iCs/>
          <w:sz w:val="27"/>
          <w:szCs w:val="27"/>
        </w:rPr>
        <w:t>supra</w:t>
      </w:r>
      <w:r w:rsidRPr="005F5A02">
        <w:rPr>
          <w:rFonts w:ascii="Century Schoolbook" w:hAnsi="Century Schoolbook"/>
          <w:sz w:val="27"/>
          <w:szCs w:val="27"/>
        </w:rPr>
        <w:t xml:space="preserve">, 64 Cal.App.5th 180.  The Court of Appeal also cited </w:t>
      </w:r>
      <w:r w:rsidRPr="005F5A02">
        <w:rPr>
          <w:rFonts w:ascii="Century Schoolbook" w:hAnsi="Century Schoolbook"/>
          <w:i/>
          <w:iCs/>
          <w:sz w:val="27"/>
          <w:szCs w:val="27"/>
        </w:rPr>
        <w:t>Valero Refining Co. California v. Bay Area Air Quality Management Dist. Hearing Bd.</w:t>
      </w:r>
      <w:r w:rsidRPr="005F5A02">
        <w:rPr>
          <w:rFonts w:ascii="Century Schoolbook" w:hAnsi="Century Schoolbook"/>
          <w:sz w:val="27"/>
          <w:szCs w:val="27"/>
        </w:rPr>
        <w:t xml:space="preserve"> (2020) 49 Cal.App.5th 618, in</w:t>
      </w:r>
      <w:r w:rsidRPr="005F5A02">
        <w:rPr>
          <w:rFonts w:ascii="Century Schoolbook" w:hAnsi="Century Schoolbook"/>
          <w:sz w:val="27"/>
          <w:szCs w:val="27"/>
        </w:rPr>
        <w:t xml:space="preserve"> support of its conclusion.  (</w:t>
      </w:r>
      <w:r w:rsidRPr="005F5A02">
        <w:rPr>
          <w:rFonts w:ascii="Century Schoolbook" w:hAnsi="Century Schoolbook"/>
          <w:i/>
          <w:iCs/>
          <w:sz w:val="27"/>
          <w:szCs w:val="27"/>
        </w:rPr>
        <w:t>Meinhardt</w:t>
      </w:r>
      <w:r w:rsidRPr="005F5A02">
        <w:rPr>
          <w:rFonts w:ascii="Century Schoolbook" w:hAnsi="Century Schoolbook"/>
          <w:sz w:val="27"/>
          <w:szCs w:val="27"/>
        </w:rPr>
        <w:t xml:space="preserve">, </w:t>
      </w:r>
      <w:r w:rsidRPr="005F5A02">
        <w:rPr>
          <w:rFonts w:ascii="Century Schoolbook" w:hAnsi="Century Schoolbook"/>
          <w:i/>
          <w:iCs/>
          <w:sz w:val="27"/>
          <w:szCs w:val="27"/>
        </w:rPr>
        <w:t>supra</w:t>
      </w:r>
      <w:r w:rsidRPr="005F5A02">
        <w:rPr>
          <w:rFonts w:ascii="Century Schoolbook" w:hAnsi="Century Schoolbook"/>
          <w:sz w:val="27"/>
          <w:szCs w:val="27"/>
        </w:rPr>
        <w:t>, 76 Cal.App.5th at p.</w:t>
      </w:r>
      <w:r>
        <w:rPr>
          <w:rFonts w:ascii="Century Schoolbook" w:hAnsi="Century Schoolbook"/>
          <w:sz w:val="27"/>
          <w:szCs w:val="27"/>
        </w:rPr>
        <w:t> </w:t>
      </w:r>
      <w:r w:rsidRPr="005F5A02">
        <w:rPr>
          <w:rFonts w:ascii="Century Schoolbook" w:hAnsi="Century Schoolbook"/>
          <w:sz w:val="27"/>
          <w:szCs w:val="27"/>
        </w:rPr>
        <w:t xml:space="preserve">50.)  The Court of Appeal in </w:t>
      </w:r>
      <w:r w:rsidRPr="005F5A02">
        <w:rPr>
          <w:rFonts w:ascii="Century Schoolbook" w:hAnsi="Century Schoolbook"/>
          <w:i/>
          <w:iCs/>
          <w:sz w:val="27"/>
          <w:szCs w:val="27"/>
        </w:rPr>
        <w:t xml:space="preserve">Valero </w:t>
      </w:r>
      <w:r w:rsidRPr="005F5A02">
        <w:rPr>
          <w:rFonts w:ascii="Century Schoolbook" w:hAnsi="Century Schoolbook"/>
          <w:sz w:val="27"/>
          <w:szCs w:val="27"/>
        </w:rPr>
        <w:t>stated in a footnote, “Contrary to the suggestion by [defendants], the appealable judgment was the court’s order granting a writ of mandate, not a ‘jud</w:t>
      </w:r>
      <w:r w:rsidRPr="005F5A02">
        <w:rPr>
          <w:rFonts w:ascii="Century Schoolbook" w:hAnsi="Century Schoolbook"/>
          <w:sz w:val="27"/>
          <w:szCs w:val="27"/>
        </w:rPr>
        <w:t>gment’ that it subsequently entered.”  (</w:t>
      </w:r>
      <w:r w:rsidRPr="005F5A02">
        <w:rPr>
          <w:rFonts w:ascii="Century Schoolbook" w:hAnsi="Century Schoolbook"/>
          <w:i/>
          <w:iCs/>
          <w:sz w:val="27"/>
          <w:szCs w:val="27"/>
        </w:rPr>
        <w:t>Valero</w:t>
      </w:r>
      <w:r w:rsidRPr="005F5A02">
        <w:rPr>
          <w:rFonts w:ascii="Century Schoolbook" w:hAnsi="Century Schoolbook"/>
          <w:sz w:val="27"/>
          <w:szCs w:val="27"/>
        </w:rPr>
        <w:t>, at p. 633, fn. 10.)  To the extent this means the time to appeal begins with the filing of an order in writ proceedings, and not a subsequently entered judgment, we disapprove this language.  Finally, we disa</w:t>
      </w:r>
      <w:r w:rsidRPr="005F5A02">
        <w:rPr>
          <w:rFonts w:ascii="Century Schoolbook" w:hAnsi="Century Schoolbook"/>
          <w:sz w:val="27"/>
          <w:szCs w:val="27"/>
        </w:rPr>
        <w:t xml:space="preserve">pprove </w:t>
      </w:r>
      <w:r w:rsidRPr="005F5A02">
        <w:rPr>
          <w:rFonts w:ascii="Century Schoolbook" w:hAnsi="Century Schoolbook"/>
          <w:i/>
          <w:iCs/>
          <w:sz w:val="27"/>
          <w:szCs w:val="27"/>
        </w:rPr>
        <w:t>Natomas Unified School Dist. v. Sacramento Bd. of Education</w:t>
      </w:r>
      <w:r w:rsidRPr="005F5A02">
        <w:rPr>
          <w:rFonts w:ascii="Century Schoolbook" w:hAnsi="Century Schoolbook"/>
          <w:sz w:val="27"/>
          <w:szCs w:val="27"/>
        </w:rPr>
        <w:t xml:space="preserve"> (2022) 86 Cal.App.5th 1013, to the extent it suggests that if the order granting a petition for writ of administrative mandate had finally resolved all issues in the case, it would have bee</w:t>
      </w:r>
      <w:r w:rsidRPr="005F5A02">
        <w:rPr>
          <w:rFonts w:ascii="Century Schoolbook" w:hAnsi="Century Schoolbook"/>
          <w:sz w:val="27"/>
          <w:szCs w:val="27"/>
        </w:rPr>
        <w:t>n the judgment that commenced the running of the time to appeal.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87CD0">
    <w:pPr>
      <w:pStyle w:val="Header"/>
    </w:pPr>
  </w:p>
  <w:p w:rsidR="00187CD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87CD0" w:rsidRPr="00AE79FF" w:rsidP="00F7607B">
    <w:pPr>
      <w:pStyle w:val="Header"/>
      <w:spacing w:after="80"/>
      <w:jc w:val="center"/>
      <w:rPr>
        <w:rFonts w:ascii="Century Schoolbook" w:hAnsi="Century Schoolbook"/>
      </w:rPr>
    </w:pPr>
    <w:r w:rsidRPr="00AE79FF">
      <w:rPr>
        <w:rFonts w:ascii="Century Schoolbook" w:hAnsi="Century Schoolbook"/>
      </w:rPr>
      <w:t>MEINHARDT v. CITY OF SUNNYVALE</w:t>
    </w:r>
  </w:p>
  <w:p w:rsidR="00187CD0" w:rsidRPr="00AE79FF" w:rsidP="00F7607B">
    <w:pPr>
      <w:pStyle w:val="Header"/>
      <w:spacing w:after="80"/>
      <w:jc w:val="center"/>
      <w:rPr>
        <w:rFonts w:ascii="Century Schoolbook" w:hAnsi="Century Schoolbook"/>
      </w:rPr>
    </w:pPr>
    <w:r w:rsidRPr="00AE79FF">
      <w:rPr>
        <w:rFonts w:ascii="Century Schoolbook" w:hAnsi="Century Schoolbook"/>
      </w:rPr>
      <w:t>Opinion of the Court by Jenkins, J.</w:t>
    </w:r>
  </w:p>
  <w:p w:rsidR="00187CD0" w:rsidP="00F7607B">
    <w:pPr>
      <w:spacing w:after="8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87CD0" w:rsidRPr="00B5550A" w:rsidP="00B5550A">
    <w:pPr>
      <w:pStyle w:val="Header"/>
      <w:jc w:val="right"/>
      <w:rPr>
        <w:rFonts w:asciiTheme="majorHAnsi" w:hAnsiTheme="majorHAnsi" w:cstheme="majorHAnsi"/>
        <w:i/>
        <w:iCs/>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87CD0" w:rsidP="00F7607B">
    <w:pPr>
      <w:spacing w:after="8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87CD0" w:rsidRPr="00B5550A" w:rsidP="00B5550A">
    <w:pPr>
      <w:pStyle w:val="Header"/>
      <w:jc w:val="right"/>
      <w:rPr>
        <w:rFonts w:asciiTheme="majorHAnsi" w:hAnsiTheme="majorHAnsi" w:cstheme="majorHAnsi"/>
        <w:i/>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5DA96B8A"/>
    <w:multiLevelType w:val="hybridMultilevel"/>
    <w:tmpl w:val="D3423E0A"/>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20241659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linkStyles/>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CD0"/>
    <w:rsid w:val="000251C1"/>
    <w:rsid w:val="00110165"/>
    <w:rsid w:val="0012253F"/>
    <w:rsid w:val="00160785"/>
    <w:rsid w:val="00187038"/>
    <w:rsid w:val="00187CD0"/>
    <w:rsid w:val="001A25B7"/>
    <w:rsid w:val="001E4514"/>
    <w:rsid w:val="002B5D5A"/>
    <w:rsid w:val="002E5BAB"/>
    <w:rsid w:val="0040522A"/>
    <w:rsid w:val="0048772D"/>
    <w:rsid w:val="00496FB6"/>
    <w:rsid w:val="004E64E3"/>
    <w:rsid w:val="00550D89"/>
    <w:rsid w:val="005C70DD"/>
    <w:rsid w:val="005F5A02"/>
    <w:rsid w:val="00611F05"/>
    <w:rsid w:val="006C3E87"/>
    <w:rsid w:val="007B67FC"/>
    <w:rsid w:val="007E1841"/>
    <w:rsid w:val="0082774A"/>
    <w:rsid w:val="00827C16"/>
    <w:rsid w:val="00841320"/>
    <w:rsid w:val="00871DF5"/>
    <w:rsid w:val="00882122"/>
    <w:rsid w:val="009E7A45"/>
    <w:rsid w:val="00A33B75"/>
    <w:rsid w:val="00AE79FF"/>
    <w:rsid w:val="00AF2E8D"/>
    <w:rsid w:val="00B5550A"/>
    <w:rsid w:val="00B62484"/>
    <w:rsid w:val="00BC0D62"/>
    <w:rsid w:val="00C26291"/>
    <w:rsid w:val="00C47792"/>
    <w:rsid w:val="00C50388"/>
    <w:rsid w:val="00D553F3"/>
    <w:rsid w:val="00D81695"/>
    <w:rsid w:val="00D81E9F"/>
    <w:rsid w:val="00E23B6E"/>
    <w:rsid w:val="00E66341"/>
    <w:rsid w:val="00F7607B"/>
    <w:rsid w:val="00FB098D"/>
    <w:rsid w:val="00FB2D7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imes New Roman"/>
        <w:kern w:val="2"/>
        <w:sz w:val="26"/>
        <w:szCs w:val="26"/>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187CD0"/>
    <w:pPr>
      <w:spacing w:after="160" w:line="259" w:lineRule="auto"/>
    </w:pPr>
    <w:rPr>
      <w:rFonts w:cstheme="minorBidi"/>
      <w:sz w:val="22"/>
      <w:szCs w:val="22"/>
    </w:rPr>
  </w:style>
  <w:style w:type="paragraph" w:styleId="Heading1">
    <w:name w:val="heading 1"/>
    <w:basedOn w:val="Normal"/>
    <w:next w:val="Normal"/>
    <w:link w:val="Heading1Char"/>
    <w:uiPriority w:val="9"/>
    <w:qFormat/>
    <w:rsid w:val="000B2A3A"/>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0B2A3A"/>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0B2A3A"/>
    <w:pPr>
      <w:keepNext/>
      <w:spacing w:before="240" w:after="60"/>
      <w:outlineLvl w:val="2"/>
    </w:pPr>
    <w:rPr>
      <w:rFonts w:asciiTheme="majorHAnsi" w:eastAsiaTheme="majorEastAsia" w:hAnsiTheme="majorHAnsi"/>
      <w:b/>
      <w:bCs/>
      <w:szCs w:val="26"/>
    </w:rPr>
  </w:style>
  <w:style w:type="paragraph" w:styleId="Heading4">
    <w:name w:val="heading 4"/>
    <w:basedOn w:val="Normal"/>
    <w:next w:val="Normal"/>
    <w:link w:val="Heading4Char"/>
    <w:uiPriority w:val="9"/>
    <w:semiHidden/>
    <w:unhideWhenUsed/>
    <w:rsid w:val="00C50388"/>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rsid w:val="00C50388"/>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0B2A3A"/>
    <w:pPr>
      <w:spacing w:before="240" w:after="60"/>
      <w:outlineLvl w:val="5"/>
    </w:pPr>
    <w:rPr>
      <w:b/>
      <w:bCs/>
      <w:szCs w:val="26"/>
    </w:rPr>
  </w:style>
  <w:style w:type="paragraph" w:styleId="Heading7">
    <w:name w:val="heading 7"/>
    <w:basedOn w:val="Normal"/>
    <w:next w:val="Normal"/>
    <w:link w:val="Heading7Char"/>
    <w:uiPriority w:val="9"/>
    <w:semiHidden/>
    <w:unhideWhenUsed/>
    <w:qFormat/>
    <w:rsid w:val="000B2A3A"/>
    <w:pPr>
      <w:spacing w:before="240" w:after="60"/>
      <w:outlineLvl w:val="6"/>
    </w:pPr>
    <w:rPr>
      <w:sz w:val="24"/>
    </w:rPr>
  </w:style>
  <w:style w:type="paragraph" w:styleId="Heading8">
    <w:name w:val="heading 8"/>
    <w:basedOn w:val="Normal"/>
    <w:next w:val="Normal"/>
    <w:link w:val="Heading8Char"/>
    <w:uiPriority w:val="9"/>
    <w:semiHidden/>
    <w:unhideWhenUsed/>
    <w:qFormat/>
    <w:rsid w:val="000B2A3A"/>
    <w:pPr>
      <w:spacing w:before="240" w:after="60"/>
      <w:outlineLvl w:val="7"/>
    </w:pPr>
    <w:rPr>
      <w:i/>
      <w:iCs/>
      <w:sz w:val="24"/>
    </w:rPr>
  </w:style>
  <w:style w:type="paragraph" w:styleId="Heading9">
    <w:name w:val="heading 9"/>
    <w:basedOn w:val="Normal"/>
    <w:next w:val="Normal"/>
    <w:link w:val="Heading9Char"/>
    <w:uiPriority w:val="9"/>
    <w:semiHidden/>
    <w:unhideWhenUsed/>
    <w:qFormat/>
    <w:rsid w:val="000B2A3A"/>
    <w:pPr>
      <w:spacing w:before="240" w:after="60"/>
      <w:outlineLvl w:val="8"/>
    </w:pPr>
    <w:rPr>
      <w:rFonts w:asciiTheme="majorHAnsi" w:eastAsiaTheme="majorEastAsia" w:hAnsiTheme="majorHAnsi"/>
      <w:szCs w:val="26"/>
    </w:rPr>
  </w:style>
  <w:style w:type="character" w:default="1" w:styleId="DefaultParagraphFont">
    <w:name w:val="Default Paragraph Font"/>
    <w:uiPriority w:val="1"/>
    <w:semiHidden/>
    <w:unhideWhenUsed/>
    <w:rsid w:val="00187CD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87CD0"/>
  </w:style>
  <w:style w:type="character" w:customStyle="1" w:styleId="Heading1Char">
    <w:name w:val="Heading 1 Char"/>
    <w:basedOn w:val="DefaultParagraphFont"/>
    <w:link w:val="Heading1"/>
    <w:uiPriority w:val="9"/>
    <w:rsid w:val="000B2A3A"/>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0B2A3A"/>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0B2A3A"/>
    <w:rPr>
      <w:rFonts w:asciiTheme="majorHAnsi" w:eastAsiaTheme="majorEastAsia" w:hAnsiTheme="majorHAnsi"/>
      <w:b/>
      <w:bCs/>
    </w:rPr>
  </w:style>
  <w:style w:type="character" w:customStyle="1" w:styleId="Heading6Char">
    <w:name w:val="Heading 6 Char"/>
    <w:basedOn w:val="DefaultParagraphFont"/>
    <w:link w:val="Heading6"/>
    <w:uiPriority w:val="9"/>
    <w:semiHidden/>
    <w:rsid w:val="000B2A3A"/>
    <w:rPr>
      <w:b/>
      <w:bCs/>
    </w:rPr>
  </w:style>
  <w:style w:type="character" w:customStyle="1" w:styleId="Heading7Char">
    <w:name w:val="Heading 7 Char"/>
    <w:basedOn w:val="DefaultParagraphFont"/>
    <w:link w:val="Heading7"/>
    <w:uiPriority w:val="9"/>
    <w:semiHidden/>
    <w:rsid w:val="000B2A3A"/>
    <w:rPr>
      <w:sz w:val="24"/>
      <w:szCs w:val="24"/>
    </w:rPr>
  </w:style>
  <w:style w:type="character" w:customStyle="1" w:styleId="Heading8Char">
    <w:name w:val="Heading 8 Char"/>
    <w:basedOn w:val="DefaultParagraphFont"/>
    <w:link w:val="Heading8"/>
    <w:uiPriority w:val="9"/>
    <w:semiHidden/>
    <w:rsid w:val="000B2A3A"/>
    <w:rPr>
      <w:i/>
      <w:iCs/>
      <w:sz w:val="24"/>
      <w:szCs w:val="24"/>
    </w:rPr>
  </w:style>
  <w:style w:type="character" w:customStyle="1" w:styleId="Heading9Char">
    <w:name w:val="Heading 9 Char"/>
    <w:basedOn w:val="DefaultParagraphFont"/>
    <w:link w:val="Heading9"/>
    <w:uiPriority w:val="9"/>
    <w:semiHidden/>
    <w:rsid w:val="000B2A3A"/>
    <w:rPr>
      <w:rFonts w:asciiTheme="majorHAnsi" w:eastAsiaTheme="majorEastAsia" w:hAnsiTheme="majorHAnsi"/>
    </w:rPr>
  </w:style>
  <w:style w:type="paragraph" w:styleId="Title">
    <w:name w:val="Title"/>
    <w:basedOn w:val="Normal"/>
    <w:next w:val="Normal"/>
    <w:link w:val="TitleChar"/>
    <w:uiPriority w:val="10"/>
    <w:qFormat/>
    <w:rsid w:val="000B2A3A"/>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0B2A3A"/>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0B2A3A"/>
    <w:pPr>
      <w:spacing w:after="60"/>
      <w:jc w:val="center"/>
      <w:outlineLvl w:val="1"/>
    </w:pPr>
    <w:rPr>
      <w:rFonts w:asciiTheme="majorHAnsi" w:eastAsiaTheme="majorEastAsia" w:hAnsiTheme="majorHAnsi"/>
      <w:sz w:val="24"/>
    </w:rPr>
  </w:style>
  <w:style w:type="character" w:customStyle="1" w:styleId="SubtitleChar">
    <w:name w:val="Subtitle Char"/>
    <w:basedOn w:val="DefaultParagraphFont"/>
    <w:link w:val="Subtitle"/>
    <w:uiPriority w:val="11"/>
    <w:rsid w:val="000B2A3A"/>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0B2A3A"/>
    <w:pPr>
      <w:outlineLvl w:val="9"/>
    </w:pPr>
  </w:style>
  <w:style w:type="character" w:styleId="FootnoteReference">
    <w:name w:val="footnote reference"/>
    <w:basedOn w:val="DefaultParagraphFont"/>
    <w:rsid w:val="00A3521D"/>
    <w:rPr>
      <w:rFonts w:ascii="Century Schoolbook" w:hAnsi="Century Schoolbook"/>
      <w:b/>
      <w:position w:val="6"/>
      <w:sz w:val="27"/>
    </w:rPr>
  </w:style>
  <w:style w:type="paragraph" w:styleId="FootnoteText">
    <w:name w:val="footnote text"/>
    <w:basedOn w:val="Normal"/>
    <w:link w:val="FootnoteTextChar"/>
    <w:unhideWhenUsed/>
    <w:rsid w:val="00AF2F86"/>
    <w:rPr>
      <w:sz w:val="20"/>
    </w:rPr>
  </w:style>
  <w:style w:type="character" w:customStyle="1" w:styleId="FootnoteTextChar">
    <w:name w:val="Footnote Text Char"/>
    <w:basedOn w:val="DefaultParagraphFont"/>
    <w:link w:val="FootnoteText"/>
    <w:uiPriority w:val="99"/>
    <w:rsid w:val="00AF2F86"/>
    <w:rPr>
      <w:kern w:val="0"/>
      <w:sz w:val="20"/>
      <w:szCs w:val="20"/>
      <w14:ligatures w14:val="none"/>
    </w:rPr>
  </w:style>
  <w:style w:type="paragraph" w:styleId="Header">
    <w:name w:val="header"/>
    <w:basedOn w:val="Normal"/>
    <w:link w:val="HeaderChar"/>
    <w:uiPriority w:val="99"/>
    <w:unhideWhenUsed/>
    <w:rsid w:val="00101A9A"/>
    <w:pPr>
      <w:tabs>
        <w:tab w:val="center" w:pos="4680"/>
        <w:tab w:val="right" w:pos="9360"/>
      </w:tabs>
    </w:pPr>
  </w:style>
  <w:style w:type="character" w:customStyle="1" w:styleId="HeaderChar">
    <w:name w:val="Header Char"/>
    <w:basedOn w:val="DefaultParagraphFont"/>
    <w:link w:val="Header"/>
    <w:uiPriority w:val="99"/>
    <w:rsid w:val="00101A9A"/>
    <w:rPr>
      <w:rFonts w:ascii="Times New Roman" w:hAnsi="Times New Roman" w:eastAsiaTheme="minorEastAsia"/>
      <w:kern w:val="0"/>
      <w:szCs w:val="20"/>
      <w14:ligatures w14:val="none"/>
    </w:rPr>
  </w:style>
  <w:style w:type="paragraph" w:styleId="Footer">
    <w:name w:val="footer"/>
    <w:basedOn w:val="Normal"/>
    <w:link w:val="FooterChar"/>
    <w:uiPriority w:val="99"/>
    <w:unhideWhenUsed/>
    <w:rsid w:val="00101A9A"/>
    <w:pPr>
      <w:tabs>
        <w:tab w:val="center" w:pos="4680"/>
        <w:tab w:val="right" w:pos="9360"/>
      </w:tabs>
    </w:pPr>
  </w:style>
  <w:style w:type="character" w:customStyle="1" w:styleId="FooterChar">
    <w:name w:val="Footer Char"/>
    <w:basedOn w:val="DefaultParagraphFont"/>
    <w:link w:val="Footer"/>
    <w:uiPriority w:val="99"/>
    <w:rsid w:val="00101A9A"/>
    <w:rPr>
      <w:rFonts w:ascii="Times New Roman" w:hAnsi="Times New Roman" w:eastAsiaTheme="minorEastAsia"/>
      <w:kern w:val="0"/>
      <w:szCs w:val="20"/>
      <w14:ligatures w14:val="none"/>
    </w:rPr>
  </w:style>
  <w:style w:type="character" w:styleId="CommentReference">
    <w:name w:val="annotation reference"/>
    <w:basedOn w:val="DefaultParagraphFont"/>
    <w:uiPriority w:val="99"/>
    <w:semiHidden/>
    <w:unhideWhenUsed/>
    <w:rsid w:val="00CF26E4"/>
    <w:rPr>
      <w:sz w:val="16"/>
      <w:szCs w:val="16"/>
    </w:rPr>
  </w:style>
  <w:style w:type="paragraph" w:styleId="CommentText">
    <w:name w:val="annotation text"/>
    <w:basedOn w:val="Normal"/>
    <w:link w:val="CommentTextChar"/>
    <w:uiPriority w:val="99"/>
    <w:unhideWhenUsed/>
    <w:rsid w:val="00CF26E4"/>
    <w:rPr>
      <w:sz w:val="20"/>
    </w:rPr>
  </w:style>
  <w:style w:type="character" w:customStyle="1" w:styleId="CommentTextChar">
    <w:name w:val="Comment Text Char"/>
    <w:basedOn w:val="DefaultParagraphFont"/>
    <w:link w:val="CommentText"/>
    <w:uiPriority w:val="99"/>
    <w:rsid w:val="00CF26E4"/>
    <w:rPr>
      <w:rFonts w:ascii="Times New Roman" w:hAnsi="Times New Roman" w:eastAsiaTheme="minorEastAsia"/>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CF26E4"/>
    <w:rPr>
      <w:b/>
      <w:bCs/>
    </w:rPr>
  </w:style>
  <w:style w:type="character" w:customStyle="1" w:styleId="CommentSubjectChar">
    <w:name w:val="Comment Subject Char"/>
    <w:basedOn w:val="CommentTextChar"/>
    <w:link w:val="CommentSubject"/>
    <w:uiPriority w:val="99"/>
    <w:semiHidden/>
    <w:rsid w:val="00CF26E4"/>
    <w:rPr>
      <w:rFonts w:ascii="Times New Roman" w:hAnsi="Times New Roman" w:eastAsiaTheme="minorEastAsia"/>
      <w:b/>
      <w:bCs/>
      <w:kern w:val="0"/>
      <w:sz w:val="20"/>
      <w:szCs w:val="20"/>
      <w14:ligatures w14:val="none"/>
    </w:rPr>
  </w:style>
  <w:style w:type="paragraph" w:styleId="Revision">
    <w:name w:val="Revision"/>
    <w:hidden/>
    <w:uiPriority w:val="99"/>
    <w:semiHidden/>
    <w:rsid w:val="00D31A14"/>
    <w:rPr>
      <w:rFonts w:ascii="Times New Roman" w:hAnsi="Times New Roman" w:eastAsiaTheme="minorEastAsia"/>
      <w:kern w:val="0"/>
      <w:szCs w:val="20"/>
      <w14:ligatures w14:val="none"/>
    </w:rPr>
  </w:style>
  <w:style w:type="paragraph" w:styleId="ListParagraph">
    <w:name w:val="List Paragraph"/>
    <w:basedOn w:val="Normal"/>
    <w:uiPriority w:val="34"/>
    <w:rsid w:val="008D73F4"/>
    <w:pPr>
      <w:ind w:left="720"/>
      <w:contextualSpacing/>
    </w:pPr>
  </w:style>
  <w:style w:type="character" w:customStyle="1" w:styleId="Heading4Char">
    <w:name w:val="Heading 4 Char"/>
    <w:basedOn w:val="DefaultParagraphFont"/>
    <w:link w:val="Heading4"/>
    <w:uiPriority w:val="9"/>
    <w:semiHidden/>
    <w:rsid w:val="00C50388"/>
    <w:rPr>
      <w:rFonts w:asciiTheme="majorHAnsi" w:eastAsiaTheme="majorEastAsia" w:hAnsiTheme="majorHAnsi" w:cstheme="majorBidi"/>
      <w:i/>
      <w:iCs/>
      <w:color w:val="365F91" w:themeColor="accent1" w:themeShade="BF"/>
      <w:kern w:val="0"/>
      <w:szCs w:val="20"/>
      <w14:ligatures w14:val="none"/>
    </w:rPr>
  </w:style>
  <w:style w:type="character" w:customStyle="1" w:styleId="Heading5Char">
    <w:name w:val="Heading 5 Char"/>
    <w:basedOn w:val="DefaultParagraphFont"/>
    <w:link w:val="Heading5"/>
    <w:uiPriority w:val="9"/>
    <w:semiHidden/>
    <w:rsid w:val="00C50388"/>
    <w:rPr>
      <w:rFonts w:asciiTheme="majorHAnsi" w:eastAsiaTheme="majorEastAsia" w:hAnsiTheme="majorHAnsi" w:cstheme="majorBidi"/>
      <w:color w:val="365F91" w:themeColor="accent1" w:themeShade="BF"/>
      <w:kern w:val="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3.xml" /><Relationship Id="rId11" Type="http://schemas.openxmlformats.org/officeDocument/2006/relationships/header" Target="header4.xml" /><Relationship Id="rId12" Type="http://schemas.openxmlformats.org/officeDocument/2006/relationships/footer" Target="footer4.xml" /><Relationship Id="rId13" Type="http://schemas.openxmlformats.org/officeDocument/2006/relationships/header" Target="header5.xml" /><Relationship Id="rId14" Type="http://schemas.openxmlformats.org/officeDocument/2006/relationships/footer" Target="footer5.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Court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OC Standard">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5505</Words>
  <Characters>31381</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2024-07-29T14:52:41Z</dcterms:created>
  <dcterms:modified xsi:type="dcterms:W3CDTF">2024-07-29T14:52:41Z</dcterms:modified>
</cp:coreProperties>
</file>