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0FE7" w14:textId="77777777" w:rsidR="00E65798" w:rsidRDefault="00AB1EE5" w:rsidP="008333D8">
      <w:pPr>
        <w:tabs>
          <w:tab w:val="left" w:pos="1440"/>
          <w:tab w:val="left" w:pos="4680"/>
          <w:tab w:val="center" w:pos="7200"/>
        </w:tabs>
        <w:spacing w:after="0"/>
        <w:jc w:val="center"/>
        <w:rPr>
          <w:sz w:val="36"/>
        </w:rPr>
      </w:pPr>
      <w:bookmarkStart w:id="0" w:name="MarkDocLoc"/>
      <w:bookmarkEnd w:id="0"/>
      <w:r>
        <w:rPr>
          <w:b/>
          <w:sz w:val="36"/>
        </w:rPr>
        <w:t>IN THE SUPREME COURT OF CALIFORNIA</w:t>
      </w:r>
    </w:p>
    <w:p w14:paraId="69AA0FE8" w14:textId="77777777" w:rsidR="008333D8" w:rsidRDefault="008333D8" w:rsidP="008333D8">
      <w:pPr>
        <w:tabs>
          <w:tab w:val="left" w:pos="1440"/>
          <w:tab w:val="left" w:pos="4680"/>
          <w:tab w:val="center" w:pos="7200"/>
        </w:tabs>
        <w:spacing w:after="0"/>
        <w:jc w:val="center"/>
      </w:pPr>
    </w:p>
    <w:p w14:paraId="69AA0FE9" w14:textId="77777777" w:rsidR="008333D8" w:rsidRDefault="00AB1EE5" w:rsidP="008333D8">
      <w:pPr>
        <w:tabs>
          <w:tab w:val="left" w:pos="1440"/>
          <w:tab w:val="left" w:pos="4680"/>
          <w:tab w:val="center" w:pos="7200"/>
        </w:tabs>
        <w:spacing w:after="0"/>
        <w:jc w:val="center"/>
      </w:pPr>
      <w:r>
        <w:t>MICHELLE HIMES</w:t>
      </w:r>
      <w:r w:rsidR="00E10AF7">
        <w:t>,</w:t>
      </w:r>
    </w:p>
    <w:p w14:paraId="69AA0FEA" w14:textId="77777777" w:rsidR="008333D8" w:rsidRDefault="00AB1EE5" w:rsidP="008333D8">
      <w:pPr>
        <w:tabs>
          <w:tab w:val="left" w:pos="1440"/>
          <w:tab w:val="left" w:pos="4680"/>
          <w:tab w:val="center" w:pos="7200"/>
        </w:tabs>
        <w:spacing w:after="0"/>
        <w:jc w:val="center"/>
      </w:pPr>
      <w:r>
        <w:t>Plaintiff and Appellant,</w:t>
      </w:r>
    </w:p>
    <w:p w14:paraId="69AA0FEB" w14:textId="77777777" w:rsidR="008333D8" w:rsidRDefault="00AB1EE5" w:rsidP="008333D8">
      <w:pPr>
        <w:tabs>
          <w:tab w:val="left" w:pos="1440"/>
          <w:tab w:val="left" w:pos="4680"/>
          <w:tab w:val="center" w:pos="7200"/>
        </w:tabs>
        <w:spacing w:after="0"/>
        <w:jc w:val="center"/>
      </w:pPr>
      <w:r>
        <w:t>v.</w:t>
      </w:r>
    </w:p>
    <w:p w14:paraId="69AA0FEC" w14:textId="77777777" w:rsidR="008333D8" w:rsidRDefault="00AB1EE5" w:rsidP="008333D8">
      <w:pPr>
        <w:tabs>
          <w:tab w:val="left" w:pos="1440"/>
          <w:tab w:val="left" w:pos="4680"/>
          <w:tab w:val="center" w:pos="7200"/>
        </w:tabs>
        <w:spacing w:after="0"/>
        <w:jc w:val="center"/>
      </w:pPr>
      <w:r>
        <w:t>SOMATICS, LLC,</w:t>
      </w:r>
    </w:p>
    <w:p w14:paraId="69AA0FED" w14:textId="77777777" w:rsidR="008333D8" w:rsidRDefault="00AB1EE5" w:rsidP="008333D8">
      <w:pPr>
        <w:tabs>
          <w:tab w:val="left" w:pos="1440"/>
          <w:tab w:val="left" w:pos="4680"/>
          <w:tab w:val="center" w:pos="7200"/>
        </w:tabs>
        <w:spacing w:after="0"/>
        <w:jc w:val="center"/>
      </w:pPr>
      <w:r>
        <w:t>Defendant and Respondent.</w:t>
      </w:r>
    </w:p>
    <w:p w14:paraId="69AA0FEE" w14:textId="77777777" w:rsidR="008333D8" w:rsidRDefault="008333D8" w:rsidP="008333D8">
      <w:pPr>
        <w:tabs>
          <w:tab w:val="left" w:pos="1440"/>
          <w:tab w:val="left" w:pos="4680"/>
          <w:tab w:val="center" w:pos="7200"/>
        </w:tabs>
        <w:spacing w:after="0"/>
        <w:jc w:val="center"/>
      </w:pPr>
    </w:p>
    <w:p w14:paraId="69AA0FEF" w14:textId="77777777" w:rsidR="008333D8" w:rsidRDefault="00AB1EE5" w:rsidP="008333D8">
      <w:pPr>
        <w:tabs>
          <w:tab w:val="left" w:pos="1440"/>
          <w:tab w:val="left" w:pos="4680"/>
          <w:tab w:val="center" w:pos="7200"/>
        </w:tabs>
        <w:spacing w:after="0"/>
        <w:jc w:val="center"/>
      </w:pPr>
      <w:r>
        <w:t>S273887</w:t>
      </w:r>
    </w:p>
    <w:p w14:paraId="69AA0FF0" w14:textId="77777777" w:rsidR="008333D8" w:rsidRDefault="008333D8" w:rsidP="008333D8">
      <w:pPr>
        <w:tabs>
          <w:tab w:val="left" w:pos="1440"/>
          <w:tab w:val="left" w:pos="4680"/>
          <w:tab w:val="center" w:pos="7200"/>
        </w:tabs>
        <w:spacing w:after="0"/>
        <w:jc w:val="center"/>
      </w:pPr>
    </w:p>
    <w:p w14:paraId="69AA0FF1" w14:textId="77777777" w:rsidR="008333D8" w:rsidRDefault="00AB1EE5" w:rsidP="008333D8">
      <w:pPr>
        <w:tabs>
          <w:tab w:val="left" w:pos="1440"/>
          <w:tab w:val="left" w:pos="4680"/>
          <w:tab w:val="center" w:pos="7200"/>
        </w:tabs>
        <w:spacing w:after="0"/>
        <w:jc w:val="center"/>
      </w:pPr>
      <w:r>
        <w:t>Ninth Circuit</w:t>
      </w:r>
    </w:p>
    <w:p w14:paraId="69AA0FF2" w14:textId="77777777" w:rsidR="008333D8" w:rsidRDefault="00AB1EE5" w:rsidP="008333D8">
      <w:pPr>
        <w:tabs>
          <w:tab w:val="left" w:pos="1440"/>
          <w:tab w:val="left" w:pos="4680"/>
          <w:tab w:val="center" w:pos="7200"/>
        </w:tabs>
        <w:spacing w:after="0"/>
        <w:jc w:val="center"/>
      </w:pPr>
      <w:r>
        <w:t>21-55517</w:t>
      </w:r>
    </w:p>
    <w:p w14:paraId="69AA0FF3" w14:textId="77777777" w:rsidR="008333D8" w:rsidRDefault="008333D8" w:rsidP="008333D8">
      <w:pPr>
        <w:tabs>
          <w:tab w:val="left" w:pos="1440"/>
          <w:tab w:val="left" w:pos="4680"/>
          <w:tab w:val="center" w:pos="7200"/>
        </w:tabs>
        <w:spacing w:after="0"/>
        <w:jc w:val="center"/>
      </w:pPr>
    </w:p>
    <w:p w14:paraId="69AA0FF4" w14:textId="77777777" w:rsidR="008333D8" w:rsidRDefault="00AB1EE5" w:rsidP="008333D8">
      <w:pPr>
        <w:tabs>
          <w:tab w:val="left" w:pos="1440"/>
          <w:tab w:val="left" w:pos="4680"/>
          <w:tab w:val="center" w:pos="7200"/>
        </w:tabs>
        <w:spacing w:after="0"/>
        <w:jc w:val="center"/>
      </w:pPr>
      <w:r>
        <w:t>Central District of California</w:t>
      </w:r>
    </w:p>
    <w:p w14:paraId="69AA0FF5" w14:textId="77777777" w:rsidR="008333D8" w:rsidRDefault="00AB1EE5" w:rsidP="008333D8">
      <w:pPr>
        <w:tabs>
          <w:tab w:val="left" w:pos="1440"/>
          <w:tab w:val="left" w:pos="4680"/>
          <w:tab w:val="center" w:pos="7200"/>
        </w:tabs>
        <w:spacing w:after="0"/>
        <w:jc w:val="center"/>
      </w:pPr>
      <w:r>
        <w:t xml:space="preserve">2:17-cv-06686-RGK-JC </w:t>
      </w:r>
    </w:p>
    <w:p w14:paraId="69AA0FF6" w14:textId="77777777" w:rsidR="008333D8" w:rsidRDefault="008333D8" w:rsidP="008333D8">
      <w:pPr>
        <w:pBdr>
          <w:bottom w:val="single" w:sz="4" w:space="1" w:color="auto"/>
        </w:pBdr>
        <w:tabs>
          <w:tab w:val="left" w:pos="1440"/>
          <w:tab w:val="left" w:pos="4680"/>
          <w:tab w:val="center" w:pos="7200"/>
        </w:tabs>
        <w:spacing w:after="0"/>
        <w:jc w:val="center"/>
      </w:pPr>
    </w:p>
    <w:p w14:paraId="69AA0FF7" w14:textId="77777777" w:rsidR="008333D8" w:rsidRDefault="008333D8" w:rsidP="00CC5E18">
      <w:pPr>
        <w:tabs>
          <w:tab w:val="left" w:pos="1440"/>
          <w:tab w:val="left" w:pos="4680"/>
          <w:tab w:val="center" w:pos="7200"/>
        </w:tabs>
        <w:spacing w:after="0"/>
        <w:jc w:val="center"/>
      </w:pPr>
    </w:p>
    <w:p w14:paraId="69AA0FF8" w14:textId="77777777" w:rsidR="008333D8" w:rsidRDefault="00AB1EE5" w:rsidP="008333D8">
      <w:pPr>
        <w:tabs>
          <w:tab w:val="left" w:pos="1440"/>
          <w:tab w:val="left" w:pos="4680"/>
          <w:tab w:val="center" w:pos="7200"/>
        </w:tabs>
        <w:spacing w:after="0"/>
        <w:jc w:val="center"/>
      </w:pPr>
      <w:r>
        <w:t>June 20, 2024</w:t>
      </w:r>
    </w:p>
    <w:p w14:paraId="69AA0FF9" w14:textId="77777777" w:rsidR="008333D8" w:rsidRDefault="008333D8" w:rsidP="008333D8">
      <w:pPr>
        <w:tabs>
          <w:tab w:val="left" w:pos="1440"/>
          <w:tab w:val="left" w:pos="4680"/>
          <w:tab w:val="center" w:pos="7200"/>
        </w:tabs>
        <w:spacing w:after="0"/>
        <w:jc w:val="center"/>
      </w:pPr>
    </w:p>
    <w:p w14:paraId="69AA0FFA" w14:textId="77777777" w:rsidR="008333D8" w:rsidRDefault="00AB1EE5" w:rsidP="008333D8">
      <w:pPr>
        <w:tabs>
          <w:tab w:val="left" w:pos="1440"/>
          <w:tab w:val="left" w:pos="4680"/>
          <w:tab w:val="center" w:pos="7200"/>
        </w:tabs>
        <w:spacing w:after="0"/>
        <w:jc w:val="left"/>
      </w:pPr>
      <w:r>
        <w:t xml:space="preserve">Justice Groban authored the opinion of the Court, in which </w:t>
      </w:r>
      <w:r w:rsidR="00DD4FCC">
        <w:rPr>
          <w:szCs w:val="27"/>
        </w:rPr>
        <w:t>Chief Justice Guerrero and Justices Corrigan, Liu, Kruger, Jenkins,</w:t>
      </w:r>
      <w:r w:rsidR="00DD4FCC">
        <w:t xml:space="preserve"> and </w:t>
      </w:r>
      <w:r w:rsidR="00DD4FCC">
        <w:rPr>
          <w:szCs w:val="27"/>
        </w:rPr>
        <w:t>Evans</w:t>
      </w:r>
      <w:r>
        <w:t xml:space="preserve"> concurred.</w:t>
      </w:r>
    </w:p>
    <w:p w14:paraId="69AA0FFB" w14:textId="77777777" w:rsidR="008333D8" w:rsidRPr="008333D8" w:rsidRDefault="008333D8" w:rsidP="00CC5E18">
      <w:pPr>
        <w:pBdr>
          <w:bottom w:val="single" w:sz="4" w:space="1" w:color="auto"/>
        </w:pBdr>
        <w:tabs>
          <w:tab w:val="left" w:pos="1440"/>
          <w:tab w:val="left" w:pos="4680"/>
          <w:tab w:val="center" w:pos="7200"/>
        </w:tabs>
        <w:spacing w:line="480" w:lineRule="atLeast"/>
        <w:jc w:val="left"/>
      </w:pPr>
      <w:bookmarkStart w:id="1" w:name="Return"/>
      <w:bookmarkEnd w:id="1"/>
    </w:p>
    <w:p w14:paraId="69AA0FFC" w14:textId="77777777" w:rsidR="008333D8" w:rsidRDefault="008333D8">
      <w:pPr>
        <w:tabs>
          <w:tab w:val="left" w:pos="1440"/>
          <w:tab w:val="left" w:pos="4680"/>
          <w:tab w:val="center" w:pos="7200"/>
        </w:tabs>
        <w:spacing w:line="480" w:lineRule="atLeast"/>
        <w:sectPr w:rsidR="008333D8" w:rsidSect="008333D8">
          <w:headerReference w:type="default" r:id="rId8"/>
          <w:footerReference w:type="default" r:id="rId9"/>
          <w:pgSz w:w="12240" w:h="15840"/>
          <w:pgMar w:top="1800" w:right="2160" w:bottom="1440" w:left="2160" w:header="720" w:footer="720" w:gutter="0"/>
          <w:cols w:space="720"/>
          <w:titlePg/>
          <w:docGrid w:linePitch="367"/>
        </w:sectPr>
      </w:pPr>
    </w:p>
    <w:p w14:paraId="69AA0FFD" w14:textId="77777777" w:rsidR="008333D8" w:rsidRDefault="00AB1EE5" w:rsidP="008333D8">
      <w:pPr>
        <w:tabs>
          <w:tab w:val="left" w:pos="1440"/>
          <w:tab w:val="left" w:pos="4680"/>
          <w:tab w:val="center" w:pos="7200"/>
        </w:tabs>
        <w:jc w:val="center"/>
      </w:pPr>
      <w:r>
        <w:lastRenderedPageBreak/>
        <w:t>HIMES v. SOMATICS, LLC</w:t>
      </w:r>
    </w:p>
    <w:p w14:paraId="69AA0FFE" w14:textId="77777777" w:rsidR="008333D8" w:rsidRDefault="00AB1EE5" w:rsidP="008333D8">
      <w:pPr>
        <w:tabs>
          <w:tab w:val="left" w:pos="1440"/>
          <w:tab w:val="left" w:pos="4680"/>
          <w:tab w:val="center" w:pos="7200"/>
        </w:tabs>
        <w:jc w:val="center"/>
      </w:pPr>
      <w:r>
        <w:t>S273887</w:t>
      </w:r>
    </w:p>
    <w:p w14:paraId="69AA0FFF" w14:textId="77777777" w:rsidR="008333D8" w:rsidRDefault="008333D8" w:rsidP="008333D8">
      <w:pPr>
        <w:tabs>
          <w:tab w:val="left" w:pos="1440"/>
          <w:tab w:val="left" w:pos="4680"/>
          <w:tab w:val="center" w:pos="7200"/>
        </w:tabs>
        <w:jc w:val="center"/>
      </w:pPr>
    </w:p>
    <w:p w14:paraId="69AA1000" w14:textId="77777777" w:rsidR="008333D8" w:rsidRDefault="00AB1EE5" w:rsidP="008333D8">
      <w:pPr>
        <w:tabs>
          <w:tab w:val="left" w:pos="1440"/>
          <w:tab w:val="left" w:pos="4680"/>
          <w:tab w:val="center" w:pos="7200"/>
        </w:tabs>
        <w:jc w:val="center"/>
      </w:pPr>
      <w:r>
        <w:t>Opinion of the Court by Groban, J.</w:t>
      </w:r>
    </w:p>
    <w:p w14:paraId="69AA1001" w14:textId="77777777" w:rsidR="008333D8" w:rsidRPr="008333D8" w:rsidRDefault="008333D8" w:rsidP="008333D8">
      <w:pPr>
        <w:tabs>
          <w:tab w:val="left" w:pos="1440"/>
          <w:tab w:val="left" w:pos="4680"/>
          <w:tab w:val="center" w:pos="7200"/>
        </w:tabs>
        <w:jc w:val="center"/>
      </w:pPr>
    </w:p>
    <w:p w14:paraId="69AA1002" w14:textId="77777777" w:rsidR="004610D6" w:rsidRPr="008333D8" w:rsidRDefault="00AB1EE5" w:rsidP="00087D20">
      <w:pPr>
        <w:tabs>
          <w:tab w:val="left" w:pos="1440"/>
        </w:tabs>
        <w:ind w:firstLine="720"/>
      </w:pPr>
      <w:bookmarkStart w:id="2" w:name="_Hlk148434138"/>
      <w:r w:rsidRPr="008333D8">
        <w:t>In a typical products liability case, a manufacturer owes a duty to warn the end</w:t>
      </w:r>
      <w:r w:rsidR="009C6F14" w:rsidRPr="008333D8">
        <w:t xml:space="preserve"> </w:t>
      </w:r>
      <w:r w:rsidRPr="008333D8">
        <w:t xml:space="preserve">user </w:t>
      </w:r>
      <w:r w:rsidR="00E04CC0">
        <w:t>“about the</w:t>
      </w:r>
      <w:r w:rsidR="008F7576" w:rsidRPr="008333D8">
        <w:t xml:space="preserve"> hazards </w:t>
      </w:r>
      <w:r w:rsidR="00E04CC0">
        <w:t>inherent in their</w:t>
      </w:r>
      <w:r w:rsidRPr="008333D8">
        <w:t xml:space="preserve"> products.</w:t>
      </w:r>
      <w:r w:rsidR="00E04CC0">
        <w:t>”</w:t>
      </w:r>
      <w:r w:rsidRPr="008333D8">
        <w:t xml:space="preserve">  </w:t>
      </w:r>
      <w:r w:rsidR="003B4480" w:rsidRPr="008333D8">
        <w:t>(</w:t>
      </w:r>
      <w:r w:rsidR="003B4480" w:rsidRPr="008333D8">
        <w:rPr>
          <w:i/>
          <w:iCs/>
        </w:rPr>
        <w:t>Johnson v. American Standard, Inc.</w:t>
      </w:r>
      <w:r w:rsidR="003B4480" w:rsidRPr="008333D8">
        <w:t xml:space="preserve"> (2008) 43</w:t>
      </w:r>
      <w:r w:rsidR="008F7576" w:rsidRPr="008333D8">
        <w:t> </w:t>
      </w:r>
      <w:r w:rsidR="003B4480" w:rsidRPr="008333D8">
        <w:t xml:space="preserve">Cal.4th 56, 64.)  </w:t>
      </w:r>
      <w:r w:rsidR="00CD7B8D">
        <w:t>For manufacturers of</w:t>
      </w:r>
      <w:r w:rsidRPr="008333D8">
        <w:t xml:space="preserve"> prescription drugs </w:t>
      </w:r>
      <w:r w:rsidR="0072311C">
        <w:t>and many</w:t>
      </w:r>
      <w:r w:rsidRPr="008333D8">
        <w:t xml:space="preserve"> medical devices, however, </w:t>
      </w:r>
      <w:r w:rsidR="00574C84" w:rsidRPr="008333D8">
        <w:t>the “duty to warn runs to the physician, not to the patient.</w:t>
      </w:r>
      <w:r w:rsidR="00871D50" w:rsidRPr="008333D8">
        <w:t>”</w:t>
      </w:r>
      <w:r w:rsidR="00574C84" w:rsidRPr="008333D8">
        <w:t xml:space="preserve">  (</w:t>
      </w:r>
      <w:r w:rsidR="00574C84" w:rsidRPr="008333D8">
        <w:rPr>
          <w:i/>
          <w:iCs/>
        </w:rPr>
        <w:t>Carlin v. Superior Court</w:t>
      </w:r>
      <w:r w:rsidR="00574C84" w:rsidRPr="008333D8">
        <w:t xml:space="preserve"> (1996) 13</w:t>
      </w:r>
      <w:r w:rsidR="008F7576" w:rsidRPr="008333D8">
        <w:t> </w:t>
      </w:r>
      <w:r w:rsidR="00574C84" w:rsidRPr="008333D8">
        <w:t>Cal.4th 1104, 1116</w:t>
      </w:r>
      <w:r w:rsidR="00D72196">
        <w:t>, italics omitted</w:t>
      </w:r>
      <w:r w:rsidR="00574C84" w:rsidRPr="008333D8">
        <w:t xml:space="preserve"> (</w:t>
      </w:r>
      <w:r w:rsidR="00574C84" w:rsidRPr="008333D8">
        <w:rPr>
          <w:i/>
          <w:iCs/>
        </w:rPr>
        <w:t>Carlin</w:t>
      </w:r>
      <w:r w:rsidR="00574C84" w:rsidRPr="008333D8">
        <w:t xml:space="preserve">); </w:t>
      </w:r>
      <w:r w:rsidR="00286A7E" w:rsidRPr="008333D8">
        <w:t xml:space="preserve">accord, </w:t>
      </w:r>
      <w:r w:rsidR="00574C84" w:rsidRPr="008333D8">
        <w:rPr>
          <w:i/>
          <w:iCs/>
        </w:rPr>
        <w:t>T.H. v. Novartis Pharmaceuticals Corp</w:t>
      </w:r>
      <w:r w:rsidR="00574C84" w:rsidRPr="008333D8">
        <w:t>. (2017) 4</w:t>
      </w:r>
      <w:r w:rsidR="008F7576" w:rsidRPr="008333D8">
        <w:t> </w:t>
      </w:r>
      <w:r w:rsidR="00574C84" w:rsidRPr="008333D8">
        <w:t>Cal.5th 145, 164</w:t>
      </w:r>
      <w:r w:rsidR="00580EC9" w:rsidRPr="008333D8">
        <w:t xml:space="preserve"> (</w:t>
      </w:r>
      <w:r w:rsidR="00580EC9" w:rsidRPr="008333D8">
        <w:rPr>
          <w:i/>
          <w:iCs/>
        </w:rPr>
        <w:t>T.H.</w:t>
      </w:r>
      <w:r w:rsidR="00580EC9" w:rsidRPr="008333D8">
        <w:t>)</w:t>
      </w:r>
      <w:r w:rsidR="00574C84" w:rsidRPr="008333D8">
        <w:t>.)</w:t>
      </w:r>
      <w:r w:rsidR="002766DB" w:rsidRPr="008333D8">
        <w:t xml:space="preserve">  Thus, </w:t>
      </w:r>
      <w:r w:rsidR="00CD7B8D">
        <w:t>these</w:t>
      </w:r>
      <w:r w:rsidR="002766DB" w:rsidRPr="008333D8">
        <w:t xml:space="preserve"> manufacturers have a duty to warn physicians of the risks associated with their products but need not warn the patient regarding those same risks.</w:t>
      </w:r>
      <w:r w:rsidR="00574C84" w:rsidRPr="008333D8">
        <w:t xml:space="preserve">  </w:t>
      </w:r>
      <w:r w:rsidR="00C5329E" w:rsidRPr="008333D8">
        <w:t>The primary rationale</w:t>
      </w:r>
      <w:r w:rsidR="00415D7F" w:rsidRPr="008333D8">
        <w:t xml:space="preserve"> for this </w:t>
      </w:r>
      <w:r w:rsidR="00F41CB8" w:rsidRPr="008333D8">
        <w:t>rule</w:t>
      </w:r>
      <w:r w:rsidR="00415D7F" w:rsidRPr="008333D8">
        <w:t xml:space="preserve">, </w:t>
      </w:r>
      <w:r w:rsidR="00574C84" w:rsidRPr="008333D8">
        <w:t xml:space="preserve">called the “learned intermediary doctrine,” </w:t>
      </w:r>
      <w:r w:rsidR="00415D7F" w:rsidRPr="008333D8">
        <w:t xml:space="preserve">is that </w:t>
      </w:r>
      <w:r w:rsidR="00C5329E" w:rsidRPr="008333D8">
        <w:t xml:space="preserve">physicians, not their patients, are best positioned to understand “the relevant benefits and risks associated with various prescription drugs and medical devices.” </w:t>
      </w:r>
      <w:bookmarkStart w:id="3" w:name="_Hlk149136827"/>
      <w:r w:rsidR="002766DB" w:rsidRPr="008333D8">
        <w:t xml:space="preserve"> </w:t>
      </w:r>
      <w:r w:rsidR="00415D7F" w:rsidRPr="008333D8">
        <w:t>(</w:t>
      </w:r>
      <w:bookmarkStart w:id="4" w:name="_Hlk148707430"/>
      <w:r w:rsidR="00415D7F" w:rsidRPr="008333D8">
        <w:t>Rest</w:t>
      </w:r>
      <w:r w:rsidR="00181A05" w:rsidRPr="008333D8">
        <w:t>.3d Torts,</w:t>
      </w:r>
      <w:r w:rsidR="00415D7F" w:rsidRPr="008333D8">
        <w:t xml:space="preserve"> </w:t>
      </w:r>
      <w:r w:rsidR="00181A05" w:rsidRPr="008333D8">
        <w:t xml:space="preserve">Products Liability, </w:t>
      </w:r>
      <w:r w:rsidR="00415D7F" w:rsidRPr="008333D8">
        <w:t>§</w:t>
      </w:r>
      <w:r w:rsidR="00181A05" w:rsidRPr="008333D8">
        <w:t> </w:t>
      </w:r>
      <w:r w:rsidR="00415D7F" w:rsidRPr="008333D8">
        <w:t>6</w:t>
      </w:r>
      <w:bookmarkEnd w:id="4"/>
      <w:r w:rsidR="00415D7F" w:rsidRPr="008333D8">
        <w:t>, c</w:t>
      </w:r>
      <w:r w:rsidR="00181A05" w:rsidRPr="008333D8">
        <w:t>om</w:t>
      </w:r>
      <w:r w:rsidR="00415D7F" w:rsidRPr="008333D8">
        <w:t>.</w:t>
      </w:r>
      <w:r w:rsidR="00181A05" w:rsidRPr="008333D8">
        <w:t> </w:t>
      </w:r>
      <w:bookmarkEnd w:id="3"/>
      <w:r w:rsidR="002766DB" w:rsidRPr="008333D8">
        <w:t>d</w:t>
      </w:r>
      <w:r w:rsidR="00181A05" w:rsidRPr="008333D8">
        <w:t>, p.</w:t>
      </w:r>
      <w:r w:rsidR="00165406" w:rsidRPr="008333D8">
        <w:t> </w:t>
      </w:r>
      <w:r w:rsidR="004C074F" w:rsidRPr="008333D8">
        <w:t>14</w:t>
      </w:r>
      <w:r w:rsidR="002766DB" w:rsidRPr="008333D8">
        <w:t>7</w:t>
      </w:r>
      <w:r w:rsidR="00415D7F" w:rsidRPr="008333D8">
        <w:t xml:space="preserve">.) </w:t>
      </w:r>
      <w:r w:rsidR="00C46BB9" w:rsidRPr="008333D8">
        <w:t xml:space="preserve"> </w:t>
      </w:r>
      <w:r w:rsidR="00415D7F" w:rsidRPr="008333D8">
        <w:t xml:space="preserve">Once </w:t>
      </w:r>
      <w:r w:rsidR="00CD7B8D">
        <w:t>a</w:t>
      </w:r>
      <w:r w:rsidR="00415D7F" w:rsidRPr="008333D8">
        <w:t xml:space="preserve"> manufacturer has fulfilled its duty to warn the physician, “[t]he duty then devolves on the health-care provider to supply to the patient such information as is deemed appropriate under the circumstances so that the patient can make an informed choice as to therapy.”  (</w:t>
      </w:r>
      <w:r w:rsidR="00415D7F" w:rsidRPr="008333D8">
        <w:rPr>
          <w:i/>
          <w:iCs/>
        </w:rPr>
        <w:t>Id.</w:t>
      </w:r>
      <w:r w:rsidR="00415D7F" w:rsidRPr="008333D8">
        <w:t>, c</w:t>
      </w:r>
      <w:r w:rsidR="00181A05" w:rsidRPr="008333D8">
        <w:t>om</w:t>
      </w:r>
      <w:r w:rsidR="00415D7F" w:rsidRPr="008333D8">
        <w:t>. b</w:t>
      </w:r>
      <w:r w:rsidR="00181A05" w:rsidRPr="008333D8">
        <w:t>, p.</w:t>
      </w:r>
      <w:r w:rsidR="00F331E5" w:rsidRPr="008333D8">
        <w:t> </w:t>
      </w:r>
      <w:r w:rsidRPr="008333D8">
        <w:t>146</w:t>
      </w:r>
      <w:r w:rsidR="00415D7F" w:rsidRPr="008333D8">
        <w:t xml:space="preserve">.)   </w:t>
      </w:r>
    </w:p>
    <w:p w14:paraId="69AA1003" w14:textId="77777777" w:rsidR="003B6FB5" w:rsidRPr="008333D8" w:rsidRDefault="00AB1EE5" w:rsidP="00087D20">
      <w:pPr>
        <w:tabs>
          <w:tab w:val="left" w:pos="1440"/>
        </w:tabs>
        <w:ind w:firstLine="720"/>
      </w:pPr>
      <w:r w:rsidRPr="008333D8">
        <w:t>This case involves a question not of duty, but of causation</w:t>
      </w:r>
      <w:r w:rsidR="00D479D6" w:rsidRPr="008333D8">
        <w:t>:</w:t>
      </w:r>
      <w:r w:rsidR="0033197A" w:rsidRPr="008333D8">
        <w:t xml:space="preserve">  </w:t>
      </w:r>
      <w:r w:rsidR="00D479D6" w:rsidRPr="008333D8">
        <w:t>If</w:t>
      </w:r>
      <w:r w:rsidRPr="008333D8">
        <w:t xml:space="preserve"> a</w:t>
      </w:r>
      <w:r w:rsidR="0033197A" w:rsidRPr="008333D8">
        <w:t xml:space="preserve"> </w:t>
      </w:r>
      <w:r w:rsidRPr="008333D8">
        <w:t>prescription drug or medical device</w:t>
      </w:r>
      <w:r w:rsidR="0033197A" w:rsidRPr="008333D8">
        <w:t xml:space="preserve"> manufacturer</w:t>
      </w:r>
      <w:r w:rsidRPr="008333D8">
        <w:t xml:space="preserve"> has breached its duty </w:t>
      </w:r>
      <w:r w:rsidR="00574C84" w:rsidRPr="008333D8">
        <w:t xml:space="preserve">under the learned intermediary doctrine </w:t>
      </w:r>
      <w:r w:rsidRPr="008333D8">
        <w:t>to provide an adequate warning (or any</w:t>
      </w:r>
      <w:r w:rsidRPr="008333D8">
        <w:t xml:space="preserve"> warning at all) to the </w:t>
      </w:r>
      <w:r w:rsidRPr="008333D8">
        <w:lastRenderedPageBreak/>
        <w:t xml:space="preserve">physician, how </w:t>
      </w:r>
      <w:r w:rsidR="000F41DC" w:rsidRPr="008333D8">
        <w:t>must</w:t>
      </w:r>
      <w:r w:rsidRPr="008333D8">
        <w:t xml:space="preserve"> the p</w:t>
      </w:r>
      <w:r w:rsidR="00A67261">
        <w:t>laintiff</w:t>
      </w:r>
      <w:r w:rsidRPr="008333D8">
        <w:t xml:space="preserve"> prove that the failure to warn caused his or her injury?  We granted a request from the United States Court of Appeals for the Ninth Circuit to determine whether the </w:t>
      </w:r>
      <w:r w:rsidR="00A67261">
        <w:t>plaintiff</w:t>
      </w:r>
      <w:r w:rsidRPr="008333D8">
        <w:t xml:space="preserve"> is “required to show t</w:t>
      </w:r>
      <w:r w:rsidRPr="008333D8">
        <w:t>hat a stronger risk warning would have altered the physician’s decision to prescribe the product,” or whether the p</w:t>
      </w:r>
      <w:r w:rsidR="00A67261">
        <w:t>laintiff</w:t>
      </w:r>
      <w:r w:rsidRPr="008333D8">
        <w:t xml:space="preserve"> may instead establish causation “by showing that the physician would have communicated the stronger risk warning</w:t>
      </w:r>
      <w:r w:rsidR="000F67B1">
        <w:t>[]</w:t>
      </w:r>
      <w:r w:rsidRPr="008333D8">
        <w:t xml:space="preserve"> to the plaintiff,</w:t>
      </w:r>
      <w:r w:rsidRPr="008333D8">
        <w:t xml:space="preserve"> either in their patient consent disclosures or otherwise, and a prudent person in the patient’s position would have declined the treatment after receiving the stronger risk warning.” </w:t>
      </w:r>
      <w:r w:rsidR="00EC1619" w:rsidRPr="008333D8">
        <w:t xml:space="preserve"> (</w:t>
      </w:r>
      <w:r w:rsidR="000A5D6F" w:rsidRPr="008333D8">
        <w:rPr>
          <w:i/>
          <w:iCs/>
        </w:rPr>
        <w:t>Himes v. Somatics, LLC</w:t>
      </w:r>
      <w:r w:rsidR="000A5D6F" w:rsidRPr="008333D8">
        <w:t xml:space="preserve"> (9th Cir. 2022) </w:t>
      </w:r>
      <w:bookmarkStart w:id="5" w:name="_Hlk155814685"/>
      <w:r w:rsidR="000A5D6F" w:rsidRPr="008333D8">
        <w:t>29 F.4th 1125</w:t>
      </w:r>
      <w:bookmarkEnd w:id="5"/>
      <w:r w:rsidR="000A5D6F" w:rsidRPr="008333D8">
        <w:t>, 1127</w:t>
      </w:r>
      <w:r w:rsidR="00E07265" w:rsidRPr="008333D8">
        <w:t xml:space="preserve"> (</w:t>
      </w:r>
      <w:r w:rsidR="00E07265" w:rsidRPr="008333D8">
        <w:rPr>
          <w:i/>
          <w:iCs/>
        </w:rPr>
        <w:t>Himes</w:t>
      </w:r>
      <w:r w:rsidR="000A5D6F" w:rsidRPr="008333D8">
        <w:t>)</w:t>
      </w:r>
      <w:r w:rsidR="00800CDB" w:rsidRPr="008333D8">
        <w:t>.)</w:t>
      </w:r>
      <w:r w:rsidR="000A5D6F" w:rsidRPr="008333D8">
        <w:rPr>
          <w:highlight w:val="yellow"/>
        </w:rPr>
        <w:t xml:space="preserve"> </w:t>
      </w:r>
    </w:p>
    <w:bookmarkEnd w:id="2"/>
    <w:p w14:paraId="69AA1004" w14:textId="77777777" w:rsidR="003B6FB5" w:rsidRPr="008333D8" w:rsidRDefault="00AB1EE5" w:rsidP="00087D20">
      <w:pPr>
        <w:tabs>
          <w:tab w:val="left" w:pos="1440"/>
        </w:tabs>
        <w:ind w:firstLine="720"/>
      </w:pPr>
      <w:r w:rsidRPr="008333D8">
        <w:t xml:space="preserve">We answer these questions as follows:  A plaintiff is not required to show that a stronger warning would have altered the physician’s decision to prescribe the product to establish causation.  </w:t>
      </w:r>
      <w:r w:rsidR="0081087E">
        <w:t xml:space="preserve">Instead, </w:t>
      </w:r>
      <w:bookmarkStart w:id="6" w:name="_Hlk168236165"/>
      <w:r w:rsidR="0081087E">
        <w:t>a</w:t>
      </w:r>
      <w:r w:rsidRPr="008333D8">
        <w:t xml:space="preserve"> plaintiff may</w:t>
      </w:r>
      <w:r w:rsidR="0090231D">
        <w:t xml:space="preserve"> </w:t>
      </w:r>
      <w:r w:rsidRPr="008333D8">
        <w:t xml:space="preserve">establish causation by showing that </w:t>
      </w:r>
      <w:r w:rsidR="00313861" w:rsidRPr="008333D8">
        <w:t xml:space="preserve">the physician </w:t>
      </w:r>
      <w:r w:rsidR="00FD4112" w:rsidRPr="008333D8">
        <w:t xml:space="preserve">would </w:t>
      </w:r>
      <w:r w:rsidRPr="008333D8">
        <w:t>have</w:t>
      </w:r>
      <w:r w:rsidR="00313861" w:rsidRPr="008333D8">
        <w:t xml:space="preserve"> </w:t>
      </w:r>
      <w:r w:rsidRPr="008333D8">
        <w:t>communicated the stronger warning to the p</w:t>
      </w:r>
      <w:r w:rsidR="0081087E">
        <w:t>atient</w:t>
      </w:r>
      <w:r w:rsidRPr="008333D8">
        <w:t xml:space="preserve"> and a</w:t>
      </w:r>
      <w:r w:rsidR="00350A0B">
        <w:t>n objectively</w:t>
      </w:r>
      <w:r w:rsidRPr="008333D8">
        <w:t xml:space="preserve"> prudent person in the patient’s position would have thereafter declined the treatment.  </w:t>
      </w:r>
      <w:bookmarkEnd w:id="6"/>
      <w:r w:rsidRPr="008333D8">
        <w:t xml:space="preserve">The causation analysis, however, must take into consideration </w:t>
      </w:r>
      <w:r w:rsidR="00C46BB9" w:rsidRPr="008333D8">
        <w:t>whether</w:t>
      </w:r>
      <w:r w:rsidR="00195A19" w:rsidRPr="008333D8">
        <w:t xml:space="preserve"> the physician would still recommend the prescription drug or medical device for the patient, even in the face of a more adequate warning.  In other words,</w:t>
      </w:r>
      <w:r w:rsidR="00C46BB9" w:rsidRPr="008333D8">
        <w:t xml:space="preserve"> where the evidence shows that the physician would have</w:t>
      </w:r>
      <w:r w:rsidR="00313861" w:rsidRPr="008333D8">
        <w:t xml:space="preserve"> continued to</w:t>
      </w:r>
      <w:r w:rsidR="00C46BB9" w:rsidRPr="008333D8">
        <w:t xml:space="preserve"> recommend the </w:t>
      </w:r>
      <w:r w:rsidR="00313861" w:rsidRPr="008333D8">
        <w:t>treatment notwithstanding the</w:t>
      </w:r>
      <w:r w:rsidR="00C46BB9" w:rsidRPr="008333D8">
        <w:t xml:space="preserve"> stronger warning,</w:t>
      </w:r>
      <w:r w:rsidR="00195A19" w:rsidRPr="008333D8">
        <w:t xml:space="preserve"> the plaintiff must prove that </w:t>
      </w:r>
      <w:r w:rsidRPr="008333D8">
        <w:t>a</w:t>
      </w:r>
      <w:r w:rsidR="008129DD">
        <w:t>n objectively</w:t>
      </w:r>
      <w:r w:rsidRPr="008333D8">
        <w:t xml:space="preserve"> prudent person in the patient’s position would have declined treatment </w:t>
      </w:r>
      <w:r w:rsidR="00313861" w:rsidRPr="008333D8">
        <w:t>despite</w:t>
      </w:r>
      <w:r w:rsidRPr="008333D8">
        <w:t xml:space="preserve"> the physician’s </w:t>
      </w:r>
      <w:r w:rsidR="00195A19" w:rsidRPr="008333D8">
        <w:t>assessment</w:t>
      </w:r>
      <w:r w:rsidRPr="008333D8">
        <w:t xml:space="preserve"> that </w:t>
      </w:r>
      <w:r w:rsidR="00195A19" w:rsidRPr="008333D8">
        <w:t>the benefits of the treatment</w:t>
      </w:r>
      <w:r w:rsidR="00313861" w:rsidRPr="008333D8">
        <w:t xml:space="preserve"> for the patient</w:t>
      </w:r>
      <w:r w:rsidR="00195A19" w:rsidRPr="008333D8">
        <w:t xml:space="preserve"> would still outweigh any risks disclosed by a stronger warning.</w:t>
      </w:r>
      <w:r w:rsidR="00B83236" w:rsidRPr="008333D8">
        <w:t xml:space="preserve">  As in the informed consent context, </w:t>
      </w:r>
      <w:r w:rsidR="004C1040" w:rsidRPr="008333D8">
        <w:t>the test is what an objectively prudent p</w:t>
      </w:r>
      <w:r w:rsidR="0084199D" w:rsidRPr="008333D8">
        <w:t>erson</w:t>
      </w:r>
      <w:r w:rsidR="004C1040" w:rsidRPr="008333D8">
        <w:t xml:space="preserve"> in the </w:t>
      </w:r>
      <w:r w:rsidR="004C1040" w:rsidRPr="000E58C3">
        <w:lastRenderedPageBreak/>
        <w:t>p</w:t>
      </w:r>
      <w:r w:rsidR="0084199D" w:rsidRPr="000E58C3">
        <w:t>atient</w:t>
      </w:r>
      <w:r w:rsidR="004C1040" w:rsidRPr="000E58C3">
        <w:t>’s</w:t>
      </w:r>
      <w:r w:rsidR="004C1040" w:rsidRPr="008333D8">
        <w:t xml:space="preserve"> position would have done in light of all the information presented and is not </w:t>
      </w:r>
      <w:r w:rsidR="0064608D">
        <w:t>determined by</w:t>
      </w:r>
      <w:r w:rsidR="004C1040" w:rsidRPr="008333D8">
        <w:t xml:space="preserve"> </w:t>
      </w:r>
      <w:r w:rsidR="00F22864" w:rsidRPr="008333D8">
        <w:t>the</w:t>
      </w:r>
      <w:r w:rsidR="004C1040" w:rsidRPr="008333D8">
        <w:t xml:space="preserve"> </w:t>
      </w:r>
      <w:r w:rsidR="004C1040" w:rsidRPr="000E58C3">
        <w:t>plaintiff’s</w:t>
      </w:r>
      <w:r w:rsidR="004C1040" w:rsidRPr="008333D8">
        <w:t xml:space="preserve"> subjective belief as to what </w:t>
      </w:r>
      <w:r w:rsidR="000A5040" w:rsidRPr="008333D8">
        <w:t>he or she</w:t>
      </w:r>
      <w:r w:rsidR="004C1040" w:rsidRPr="008333D8">
        <w:t xml:space="preserve"> m</w:t>
      </w:r>
      <w:r w:rsidR="000A5040" w:rsidRPr="008333D8">
        <w:t>ight</w:t>
      </w:r>
      <w:r w:rsidR="004C1040" w:rsidRPr="008333D8">
        <w:t xml:space="preserve"> </w:t>
      </w:r>
      <w:r w:rsidR="0033197A" w:rsidRPr="008333D8">
        <w:t>have</w:t>
      </w:r>
      <w:r w:rsidR="004C1040" w:rsidRPr="008333D8">
        <w:t xml:space="preserve"> done with the benefit of hindsight.</w:t>
      </w:r>
      <w:r w:rsidR="006A5005" w:rsidRPr="008333D8">
        <w:t xml:space="preserve">  </w:t>
      </w:r>
      <w:r w:rsidR="00B83236" w:rsidRPr="008333D8">
        <w:t>(</w:t>
      </w:r>
      <w:r w:rsidR="004C1040" w:rsidRPr="008333D8">
        <w:t xml:space="preserve">See </w:t>
      </w:r>
      <w:r w:rsidR="00B83236" w:rsidRPr="008333D8">
        <w:rPr>
          <w:i/>
          <w:iCs/>
        </w:rPr>
        <w:t>Cobbs v. Grant</w:t>
      </w:r>
      <w:r w:rsidR="00B83236" w:rsidRPr="008333D8">
        <w:t xml:space="preserve"> (1972) 8</w:t>
      </w:r>
      <w:r w:rsidR="002E584C" w:rsidRPr="008333D8">
        <w:t> </w:t>
      </w:r>
      <w:r w:rsidR="00B83236" w:rsidRPr="008333D8">
        <w:t>Cal.3d 229, 245 (</w:t>
      </w:r>
      <w:r w:rsidR="00B83236" w:rsidRPr="008333D8">
        <w:rPr>
          <w:i/>
          <w:iCs/>
        </w:rPr>
        <w:t>Cobbs</w:t>
      </w:r>
      <w:r w:rsidR="00B83236" w:rsidRPr="008333D8">
        <w:t>).)</w:t>
      </w:r>
      <w:r w:rsidR="0033197A" w:rsidRPr="008333D8">
        <w:t xml:space="preserve">  </w:t>
      </w:r>
    </w:p>
    <w:p w14:paraId="69AA1005" w14:textId="77777777" w:rsidR="004610D6" w:rsidRPr="008333D8" w:rsidRDefault="00AB1EE5" w:rsidP="00087D20">
      <w:pPr>
        <w:keepNext/>
        <w:tabs>
          <w:tab w:val="left" w:pos="1440"/>
        </w:tabs>
        <w:contextualSpacing/>
        <w:jc w:val="center"/>
        <w:outlineLvl w:val="0"/>
        <w:rPr>
          <w:b/>
          <w:caps/>
        </w:rPr>
      </w:pPr>
      <w:r w:rsidRPr="008333D8">
        <w:rPr>
          <w:b/>
          <w:caps/>
        </w:rPr>
        <w:t>I.  BACKGROUND</w:t>
      </w:r>
    </w:p>
    <w:p w14:paraId="69AA1006" w14:textId="77777777" w:rsidR="004639DE" w:rsidRPr="008333D8" w:rsidRDefault="00AB1EE5" w:rsidP="00087D20">
      <w:pPr>
        <w:tabs>
          <w:tab w:val="left" w:pos="1440"/>
        </w:tabs>
        <w:ind w:firstLine="720"/>
        <w:contextualSpacing/>
      </w:pPr>
      <w:r w:rsidRPr="008333D8">
        <w:t xml:space="preserve">Plaintiff Michelle Himes </w:t>
      </w:r>
      <w:r w:rsidR="002D4408" w:rsidRPr="008333D8">
        <w:t>sued</w:t>
      </w:r>
      <w:r w:rsidRPr="008333D8">
        <w:t xml:space="preserve"> </w:t>
      </w:r>
      <w:r w:rsidR="00A85778" w:rsidRPr="008333D8">
        <w:t>d</w:t>
      </w:r>
      <w:r w:rsidRPr="008333D8">
        <w:t>efendant Somatics, LLC</w:t>
      </w:r>
      <w:r w:rsidR="00DD6C36">
        <w:t>,</w:t>
      </w:r>
      <w:r w:rsidRPr="008333D8">
        <w:t xml:space="preserve"> for negligence, strict liability, and los</w:t>
      </w:r>
      <w:r w:rsidRPr="008333D8">
        <w:t>s of consortium</w:t>
      </w:r>
      <w:r w:rsidR="002D4408" w:rsidRPr="008333D8">
        <w:t>,</w:t>
      </w:r>
      <w:r w:rsidRPr="008333D8">
        <w:t xml:space="preserve"> </w:t>
      </w:r>
      <w:r w:rsidR="002D4408" w:rsidRPr="008333D8">
        <w:t>alleging that Somatics failed to</w:t>
      </w:r>
      <w:r w:rsidR="00545461" w:rsidRPr="008333D8">
        <w:t xml:space="preserve"> provide </w:t>
      </w:r>
      <w:r w:rsidR="00F31A18" w:rsidRPr="008333D8">
        <w:t xml:space="preserve">an adequate </w:t>
      </w:r>
      <w:r w:rsidR="00545461" w:rsidRPr="008333D8">
        <w:t>warning regarding</w:t>
      </w:r>
      <w:r w:rsidR="002D4408" w:rsidRPr="008333D8">
        <w:t xml:space="preserve"> certain risks associated with undergoing </w:t>
      </w:r>
      <w:r w:rsidR="002D76FC" w:rsidRPr="008333D8">
        <w:t xml:space="preserve">electroshock or </w:t>
      </w:r>
      <w:r w:rsidR="002D4408" w:rsidRPr="008333D8">
        <w:t>electroconvulsive therapy (ECT)</w:t>
      </w:r>
      <w:r w:rsidRPr="008333D8">
        <w:t>.</w:t>
      </w:r>
      <w:r w:rsidR="00884C06" w:rsidRPr="008333D8">
        <w:t xml:space="preserve">  </w:t>
      </w:r>
      <w:r w:rsidR="0050033C" w:rsidRPr="008333D8">
        <w:t xml:space="preserve">An </w:t>
      </w:r>
      <w:r w:rsidR="002D76FC" w:rsidRPr="008333D8">
        <w:t>ECT</w:t>
      </w:r>
      <w:r w:rsidR="0050033C" w:rsidRPr="008333D8">
        <w:t xml:space="preserve"> device “is a prescription device .</w:t>
      </w:r>
      <w:r w:rsidR="00087D20">
        <w:t> </w:t>
      </w:r>
      <w:r w:rsidR="0050033C" w:rsidRPr="008333D8">
        <w:t>.</w:t>
      </w:r>
      <w:r w:rsidR="00087D20">
        <w:t> </w:t>
      </w:r>
      <w:r w:rsidR="0050033C" w:rsidRPr="008333D8">
        <w:t>. used for treating severe psychiatric disturbances by inducing in the patient a major motor seizure by applying a brief intense electrical current to the patient’s head.”  (21 C.F.R. § 882.5940</w:t>
      </w:r>
      <w:r w:rsidR="00851658">
        <w:t>(a)</w:t>
      </w:r>
      <w:r w:rsidR="00353F0D">
        <w:t xml:space="preserve"> (</w:t>
      </w:r>
      <w:r w:rsidR="0080772C">
        <w:t>2018)</w:t>
      </w:r>
      <w:r w:rsidR="003E36FB">
        <w:t xml:space="preserve">.)  </w:t>
      </w:r>
      <w:r w:rsidR="001B3F1F" w:rsidRPr="008333D8">
        <w:t xml:space="preserve">ECT </w:t>
      </w:r>
      <w:r w:rsidR="0064608D">
        <w:t xml:space="preserve">has been used for decades in </w:t>
      </w:r>
      <w:r w:rsidR="001B3F1F" w:rsidRPr="008333D8">
        <w:t>severe cases of depression</w:t>
      </w:r>
      <w:r w:rsidR="0064608D">
        <w:t xml:space="preserve">. </w:t>
      </w:r>
      <w:r w:rsidR="001B3F1F" w:rsidRPr="008333D8">
        <w:t xml:space="preserve"> </w:t>
      </w:r>
      <w:r w:rsidR="00F31A18" w:rsidRPr="008333D8">
        <w:t>Prior to prescribing ECT, Himes’s physicians prescribed at least nine different antipsychotics and antidepressants to treat her depression, but her condition worsened.</w:t>
      </w:r>
      <w:r w:rsidR="003E36FB">
        <w:t xml:space="preserve">  </w:t>
      </w:r>
      <w:r w:rsidR="00F31A18" w:rsidRPr="008333D8">
        <w:t>She was hospitalized several times for severe depression o</w:t>
      </w:r>
      <w:r w:rsidR="00F63047" w:rsidRPr="008333D8">
        <w:t>r</w:t>
      </w:r>
      <w:r w:rsidR="00F31A18" w:rsidRPr="008333D8">
        <w:t xml:space="preserve"> suicidal ideation.</w:t>
      </w:r>
      <w:r w:rsidR="003E36FB">
        <w:t xml:space="preserve">  </w:t>
      </w:r>
      <w:r w:rsidR="0050033C" w:rsidRPr="008333D8">
        <w:t xml:space="preserve">Eventually, Himes </w:t>
      </w:r>
      <w:r w:rsidR="003B4480" w:rsidRPr="008333D8">
        <w:t>enrolled in an inpatient program</w:t>
      </w:r>
      <w:r w:rsidR="003C23AF" w:rsidRPr="008333D8">
        <w:t xml:space="preserve"> </w:t>
      </w:r>
      <w:r w:rsidR="0050033C" w:rsidRPr="008333D8">
        <w:t>where</w:t>
      </w:r>
      <w:r w:rsidR="003B4480" w:rsidRPr="008333D8">
        <w:t xml:space="preserve"> Dr. Raymond Fidaleo determined ECT was appropriate </w:t>
      </w:r>
      <w:r w:rsidR="001B3F1F" w:rsidRPr="008333D8">
        <w:t xml:space="preserve">for her </w:t>
      </w:r>
      <w:r w:rsidR="003B4480" w:rsidRPr="008333D8">
        <w:t>and administered it</w:t>
      </w:r>
      <w:r w:rsidR="001B3F1F" w:rsidRPr="008333D8">
        <w:t xml:space="preserve"> to her</w:t>
      </w:r>
      <w:r w:rsidR="003B4480" w:rsidRPr="008333D8">
        <w:t xml:space="preserve"> on 26 different occasions.</w:t>
      </w:r>
      <w:r w:rsidR="003E36FB">
        <w:t xml:space="preserve">  </w:t>
      </w:r>
      <w:r w:rsidR="003B4480" w:rsidRPr="008333D8">
        <w:t>Himes asserts th</w:t>
      </w:r>
      <w:r w:rsidR="009619F7" w:rsidRPr="008333D8">
        <w:t>at she was warned only that ECT could cause short-term memory loss, and that</w:t>
      </w:r>
      <w:r w:rsidRPr="008333D8">
        <w:t xml:space="preserve"> Somatics fai</w:t>
      </w:r>
      <w:r w:rsidRPr="008333D8">
        <w:t xml:space="preserve">led to </w:t>
      </w:r>
      <w:r w:rsidR="00545461" w:rsidRPr="008333D8">
        <w:t xml:space="preserve">disclose </w:t>
      </w:r>
      <w:r w:rsidR="009619F7" w:rsidRPr="008333D8">
        <w:t xml:space="preserve">to her </w:t>
      </w:r>
      <w:r w:rsidR="001B3F1F" w:rsidRPr="008333D8">
        <w:t>physician</w:t>
      </w:r>
      <w:r w:rsidR="009619F7" w:rsidRPr="008333D8">
        <w:t xml:space="preserve"> </w:t>
      </w:r>
      <w:r w:rsidRPr="008333D8">
        <w:t>that its ECT device could cause</w:t>
      </w:r>
      <w:r w:rsidR="002D4408" w:rsidRPr="008333D8">
        <w:t xml:space="preserve"> </w:t>
      </w:r>
      <w:r w:rsidR="00700751" w:rsidRPr="008333D8">
        <w:t>“</w:t>
      </w:r>
      <w:r w:rsidR="00AE128C" w:rsidRPr="008333D8">
        <w:t>permanent brain damage, severe permanent retrograde and anterograde amnesia, and acute and/or chronic organic brain syndrome</w:t>
      </w:r>
      <w:r w:rsidR="00E04717" w:rsidRPr="008333D8">
        <w:t>.</w:t>
      </w:r>
      <w:r w:rsidR="003E36FB">
        <w:t>”</w:t>
      </w:r>
      <w:r w:rsidR="00545461" w:rsidRPr="008333D8">
        <w:t xml:space="preserve">  She </w:t>
      </w:r>
      <w:r w:rsidR="00BB5584" w:rsidRPr="008333D8">
        <w:t>further</w:t>
      </w:r>
      <w:r w:rsidR="00A0242A" w:rsidRPr="008333D8">
        <w:t xml:space="preserve"> </w:t>
      </w:r>
      <w:r w:rsidR="00E3379C" w:rsidRPr="008333D8">
        <w:t>avers</w:t>
      </w:r>
      <w:r w:rsidR="00BB5584" w:rsidRPr="008333D8">
        <w:t xml:space="preserve"> </w:t>
      </w:r>
      <w:r w:rsidRPr="008333D8">
        <w:t xml:space="preserve">that Somatics’s failure to warn </w:t>
      </w:r>
      <w:r w:rsidR="002D4408" w:rsidRPr="008333D8">
        <w:t>caused her to suffer</w:t>
      </w:r>
      <w:r w:rsidR="00700751" w:rsidRPr="008333D8">
        <w:t xml:space="preserve"> these injuries.</w:t>
      </w:r>
      <w:r w:rsidR="003A681D" w:rsidRPr="008333D8">
        <w:t xml:space="preserve">  </w:t>
      </w:r>
    </w:p>
    <w:p w14:paraId="69AA1007" w14:textId="77777777" w:rsidR="009A44ED" w:rsidRPr="008333D8" w:rsidRDefault="00AB1EE5" w:rsidP="00087D20">
      <w:pPr>
        <w:tabs>
          <w:tab w:val="left" w:pos="1440"/>
        </w:tabs>
        <w:ind w:firstLine="720"/>
        <w:contextualSpacing/>
      </w:pPr>
      <w:r w:rsidRPr="008333D8">
        <w:t>Somatics moved for summary judgment</w:t>
      </w:r>
      <w:r w:rsidR="00545226" w:rsidRPr="008333D8">
        <w:t xml:space="preserve">, </w:t>
      </w:r>
      <w:r w:rsidR="00B368D6" w:rsidRPr="008333D8">
        <w:t>assuming for the purpose of its motion that</w:t>
      </w:r>
      <w:r w:rsidR="00545226" w:rsidRPr="008333D8">
        <w:t xml:space="preserve"> even if Himes could establish that (1) </w:t>
      </w:r>
      <w:r w:rsidR="00545226" w:rsidRPr="008333D8">
        <w:lastRenderedPageBreak/>
        <w:t xml:space="preserve">ECT </w:t>
      </w:r>
      <w:r w:rsidR="00F63047" w:rsidRPr="008333D8">
        <w:t>is capable of</w:t>
      </w:r>
      <w:r w:rsidR="000821BB" w:rsidRPr="008333D8">
        <w:t xml:space="preserve"> caus</w:t>
      </w:r>
      <w:r w:rsidR="00F63047" w:rsidRPr="008333D8">
        <w:t>ing</w:t>
      </w:r>
      <w:r w:rsidR="00545226" w:rsidRPr="008333D8">
        <w:t xml:space="preserve"> </w:t>
      </w:r>
      <w:r w:rsidR="00C922D7" w:rsidRPr="008333D8">
        <w:t xml:space="preserve">permanent </w:t>
      </w:r>
      <w:r w:rsidR="00545226" w:rsidRPr="008333D8">
        <w:t>brain damage and memory loss in patients; (2) Himes’s ECT treatments caused her</w:t>
      </w:r>
      <w:r w:rsidR="00545226" w:rsidRPr="008333D8">
        <w:rPr>
          <w:i/>
          <w:iCs/>
        </w:rPr>
        <w:t xml:space="preserve"> </w:t>
      </w:r>
      <w:r w:rsidR="000821BB" w:rsidRPr="008333D8">
        <w:t>to suffer</w:t>
      </w:r>
      <w:r w:rsidR="00545226" w:rsidRPr="008333D8">
        <w:t xml:space="preserve"> </w:t>
      </w:r>
      <w:r w:rsidR="00C922D7" w:rsidRPr="008333D8">
        <w:t xml:space="preserve">permanent </w:t>
      </w:r>
      <w:r w:rsidR="00545226" w:rsidRPr="008333D8">
        <w:t xml:space="preserve">brain damage and memory loss; and (3) Somatics failed to adequately warn Dr. Fidaleo of </w:t>
      </w:r>
      <w:r w:rsidR="00DC25A2">
        <w:t>the</w:t>
      </w:r>
      <w:r w:rsidR="00AE2E43">
        <w:t xml:space="preserve"> </w:t>
      </w:r>
      <w:r w:rsidR="00545226" w:rsidRPr="008333D8">
        <w:t xml:space="preserve">risk of </w:t>
      </w:r>
      <w:r w:rsidR="00C922D7" w:rsidRPr="008333D8">
        <w:t xml:space="preserve">permanent </w:t>
      </w:r>
      <w:r w:rsidR="00545226" w:rsidRPr="008333D8">
        <w:t>brain damage</w:t>
      </w:r>
      <w:r w:rsidR="00C922D7" w:rsidRPr="008333D8">
        <w:t xml:space="preserve"> and memory</w:t>
      </w:r>
      <w:r w:rsidR="000821BB" w:rsidRPr="008333D8">
        <w:t xml:space="preserve"> loss</w:t>
      </w:r>
      <w:r w:rsidR="00545226" w:rsidRPr="008333D8">
        <w:t xml:space="preserve">, </w:t>
      </w:r>
      <w:r w:rsidR="00FA08C3" w:rsidRPr="008333D8">
        <w:t xml:space="preserve">then </w:t>
      </w:r>
      <w:r w:rsidR="00545226" w:rsidRPr="008333D8">
        <w:t xml:space="preserve">Himes would still be unable </w:t>
      </w:r>
      <w:r w:rsidR="00B368D6" w:rsidRPr="008333D8">
        <w:t xml:space="preserve">to </w:t>
      </w:r>
      <w:r w:rsidR="004D045A" w:rsidRPr="008333D8">
        <w:t>“establish a causal link between [her] purported injuries</w:t>
      </w:r>
      <w:r w:rsidR="00C82D5F" w:rsidRPr="008333D8">
        <w:t>”</w:t>
      </w:r>
      <w:r w:rsidR="004D045A" w:rsidRPr="008333D8">
        <w:t xml:space="preserve"> and </w:t>
      </w:r>
      <w:r w:rsidR="00C82D5F" w:rsidRPr="008333D8">
        <w:t>Somatics</w:t>
      </w:r>
      <w:r w:rsidR="00C922D7" w:rsidRPr="008333D8">
        <w:t>’s</w:t>
      </w:r>
      <w:r w:rsidR="00C82D5F" w:rsidRPr="008333D8">
        <w:t xml:space="preserve"> alleged failure to warn.</w:t>
      </w:r>
      <w:r w:rsidR="003E36FB">
        <w:t xml:space="preserve">  </w:t>
      </w:r>
      <w:r w:rsidR="004D045A" w:rsidRPr="008333D8">
        <w:t>More specifically, Somatics argued that, under the learned intermediary doctrine, a plaintiff “cannot survive summary judgment if stronger warning</w:t>
      </w:r>
      <w:r w:rsidR="00E330EB" w:rsidRPr="008333D8">
        <w:t>s</w:t>
      </w:r>
      <w:r w:rsidR="004D045A" w:rsidRPr="008333D8">
        <w:t xml:space="preserve"> would not have altered the physician’s decision to prescribe the treatment at issue” and “Dr. Fidaleo’s deposition testimony makes it clear that he still would have recommended ECT even if he had been informed of</w:t>
      </w:r>
      <w:r w:rsidR="00C922D7" w:rsidRPr="008333D8">
        <w:t>” the risk of permanent brain damage and memory loss</w:t>
      </w:r>
      <w:r w:rsidR="004D045A" w:rsidRPr="008333D8">
        <w:t>.</w:t>
      </w:r>
      <w:r w:rsidR="004B1111" w:rsidRPr="008333D8">
        <w:t xml:space="preserve">  The d</w:t>
      </w:r>
      <w:r w:rsidR="004D045A" w:rsidRPr="008333D8">
        <w:t>istrict court agreed with Somatics</w:t>
      </w:r>
      <w:r w:rsidR="004B1111" w:rsidRPr="008333D8">
        <w:t>, finding that Himes must prove “that the non-disclosed risks” regarding Somatics’s ECT device must be “</w:t>
      </w:r>
      <w:r w:rsidR="00D15678">
        <w:t> ‘</w:t>
      </w:r>
      <w:r w:rsidR="004B1111" w:rsidRPr="008333D8">
        <w:t>sufficiently high that it would have changed the treating physician’s decision to prescribe the product.</w:t>
      </w:r>
      <w:r w:rsidR="00D15678">
        <w:t>’ </w:t>
      </w:r>
      <w:r w:rsidR="004B1111" w:rsidRPr="008333D8">
        <w:t>”  (</w:t>
      </w:r>
      <w:r w:rsidR="00A10F0F" w:rsidRPr="008333D8">
        <w:rPr>
          <w:i/>
          <w:iCs/>
        </w:rPr>
        <w:t>Riera v. Mecta Corporation</w:t>
      </w:r>
      <w:r w:rsidR="00A10F0F" w:rsidRPr="008333D8">
        <w:t xml:space="preserve"> (C.D.Cal., May 14, 2021, No. 2:17-CV-06686-RGK-JC) 2021</w:t>
      </w:r>
      <w:r w:rsidR="00E330EB" w:rsidRPr="008333D8">
        <w:t> </w:t>
      </w:r>
      <w:r w:rsidR="00A10F0F" w:rsidRPr="008333D8">
        <w:t xml:space="preserve">WL 2024688, </w:t>
      </w:r>
      <w:r w:rsidR="00353F0D">
        <w:t>p.</w:t>
      </w:r>
      <w:r w:rsidR="00CC5E18">
        <w:t> </w:t>
      </w:r>
      <w:r w:rsidR="00A10F0F" w:rsidRPr="008333D8">
        <w:t>*5</w:t>
      </w:r>
      <w:r w:rsidR="004B1111" w:rsidRPr="008333D8">
        <w:t xml:space="preserve">.)  Because Himes failed to present evidence </w:t>
      </w:r>
      <w:r w:rsidR="00A10F0F" w:rsidRPr="008333D8">
        <w:t xml:space="preserve">showing “that a more detailed warning as to the risks” would have changed </w:t>
      </w:r>
      <w:r w:rsidR="005970B8" w:rsidRPr="008333D8">
        <w:t>Dr. Fidaleo’s</w:t>
      </w:r>
      <w:r w:rsidR="00A10F0F" w:rsidRPr="008333D8">
        <w:t xml:space="preserve"> decision “to administer ECT” to her, </w:t>
      </w:r>
      <w:r w:rsidR="004B1111" w:rsidRPr="008333D8">
        <w:t xml:space="preserve">the </w:t>
      </w:r>
      <w:r w:rsidR="00AE2E43">
        <w:t xml:space="preserve">district </w:t>
      </w:r>
      <w:r w:rsidR="004B1111" w:rsidRPr="008333D8">
        <w:t>court granted summary judgment.</w:t>
      </w:r>
      <w:r w:rsidR="00B97032" w:rsidRPr="008333D8">
        <w:t xml:space="preserve">  </w:t>
      </w:r>
      <w:r w:rsidR="004B1111" w:rsidRPr="008333D8">
        <w:t>(</w:t>
      </w:r>
      <w:r w:rsidR="00A10F0F" w:rsidRPr="008333D8">
        <w:rPr>
          <w:i/>
          <w:iCs/>
        </w:rPr>
        <w:t>Ibid</w:t>
      </w:r>
      <w:r w:rsidR="004B1111" w:rsidRPr="008333D8">
        <w:t>.)</w:t>
      </w:r>
      <w:r w:rsidR="004D045A" w:rsidRPr="008333D8">
        <w:t xml:space="preserve"> </w:t>
      </w:r>
      <w:r w:rsidR="00EE2B3D" w:rsidRPr="008333D8">
        <w:t xml:space="preserve">  </w:t>
      </w:r>
    </w:p>
    <w:p w14:paraId="69AA1008" w14:textId="77777777" w:rsidR="00020EF1" w:rsidRPr="008333D8" w:rsidRDefault="00AB1EE5" w:rsidP="00087D20">
      <w:pPr>
        <w:tabs>
          <w:tab w:val="left" w:pos="1440"/>
        </w:tabs>
        <w:ind w:firstLine="720"/>
        <w:contextualSpacing/>
      </w:pPr>
      <w:r w:rsidRPr="008333D8">
        <w:t>On appeal,</w:t>
      </w:r>
      <w:r w:rsidR="00800CDB" w:rsidRPr="008333D8">
        <w:t xml:space="preserve"> </w:t>
      </w:r>
      <w:r w:rsidRPr="008333D8">
        <w:t>the Ninth Circuit</w:t>
      </w:r>
      <w:r w:rsidR="00CE4AC5" w:rsidRPr="008333D8">
        <w:t xml:space="preserve"> </w:t>
      </w:r>
      <w:r w:rsidR="00275FB7" w:rsidRPr="008333D8">
        <w:t>agreed with the district court that</w:t>
      </w:r>
      <w:r w:rsidR="00F31A18" w:rsidRPr="008333D8">
        <w:t xml:space="preserve"> Himes failed to present evidence tending to show Dr. Fidaleo would have </w:t>
      </w:r>
      <w:r w:rsidR="00275FB7" w:rsidRPr="008333D8">
        <w:t xml:space="preserve">altered </w:t>
      </w:r>
      <w:r w:rsidR="00F31A18" w:rsidRPr="008333D8">
        <w:t>his</w:t>
      </w:r>
      <w:r w:rsidR="00275FB7" w:rsidRPr="008333D8">
        <w:t xml:space="preserve"> decision to prescribe ECT</w:t>
      </w:r>
      <w:r w:rsidR="00F31A18" w:rsidRPr="008333D8">
        <w:t xml:space="preserve"> to Himes if </w:t>
      </w:r>
      <w:r w:rsidR="00BE5CF6" w:rsidRPr="008333D8">
        <w:t>Somatics had issued a stronger warning about its ECT device.</w:t>
      </w:r>
      <w:r w:rsidR="00275FB7" w:rsidRPr="008333D8">
        <w:t xml:space="preserve"> </w:t>
      </w:r>
      <w:r w:rsidR="00BE5CF6" w:rsidRPr="008333D8">
        <w:t xml:space="preserve"> </w:t>
      </w:r>
      <w:r w:rsidR="00275FB7" w:rsidRPr="008333D8">
        <w:t>(</w:t>
      </w:r>
      <w:r w:rsidR="00275FB7" w:rsidRPr="008333D8">
        <w:rPr>
          <w:i/>
          <w:iCs/>
        </w:rPr>
        <w:t>Hime</w:t>
      </w:r>
      <w:r w:rsidR="00BE5CF6" w:rsidRPr="008333D8">
        <w:rPr>
          <w:i/>
          <w:iCs/>
        </w:rPr>
        <w:t>s</w:t>
      </w:r>
      <w:r w:rsidR="00BE5CF6" w:rsidRPr="008333D8">
        <w:t xml:space="preserve">, </w:t>
      </w:r>
      <w:r w:rsidR="00BE5CF6" w:rsidRPr="008333D8">
        <w:rPr>
          <w:i/>
          <w:iCs/>
        </w:rPr>
        <w:t>supra</w:t>
      </w:r>
      <w:r w:rsidR="00BE5CF6" w:rsidRPr="008333D8">
        <w:t>, 29</w:t>
      </w:r>
      <w:r w:rsidR="001163AA">
        <w:t> </w:t>
      </w:r>
      <w:r w:rsidR="00BE5CF6" w:rsidRPr="008333D8">
        <w:t>F.4th at p. 1126.)</w:t>
      </w:r>
      <w:r w:rsidR="00275FB7" w:rsidRPr="008333D8">
        <w:t xml:space="preserve">  </w:t>
      </w:r>
      <w:r w:rsidR="009F328F" w:rsidRPr="008333D8">
        <w:t>There was</w:t>
      </w:r>
      <w:r w:rsidR="00BE5CF6" w:rsidRPr="008333D8">
        <w:t>, however,</w:t>
      </w:r>
      <w:r w:rsidR="009F328F" w:rsidRPr="008333D8">
        <w:t xml:space="preserve"> </w:t>
      </w:r>
      <w:r w:rsidR="00BE5CF6" w:rsidRPr="008333D8">
        <w:t>a genuine dispute of material fact as to whether</w:t>
      </w:r>
      <w:r w:rsidR="00275FB7" w:rsidRPr="008333D8">
        <w:t xml:space="preserve"> </w:t>
      </w:r>
      <w:r w:rsidR="000D4497" w:rsidRPr="008333D8">
        <w:t>Dr. Fidaleo</w:t>
      </w:r>
      <w:r w:rsidR="00275FB7" w:rsidRPr="008333D8">
        <w:t xml:space="preserve"> would have </w:t>
      </w:r>
      <w:r w:rsidR="00F31A18" w:rsidRPr="008333D8">
        <w:t xml:space="preserve">been alerted to </w:t>
      </w:r>
      <w:r w:rsidR="00BE5CF6" w:rsidRPr="008333D8">
        <w:t>a</w:t>
      </w:r>
      <w:r w:rsidR="00F31A18" w:rsidRPr="008333D8">
        <w:t xml:space="preserve"> stronger warning and </w:t>
      </w:r>
      <w:r w:rsidR="000D4497" w:rsidRPr="008333D8">
        <w:lastRenderedPageBreak/>
        <w:t xml:space="preserve">would have </w:t>
      </w:r>
      <w:r w:rsidR="00275FB7" w:rsidRPr="008333D8">
        <w:t>passed along the warning to Himes.  (</w:t>
      </w:r>
      <w:r w:rsidR="00275FB7" w:rsidRPr="008333D8">
        <w:rPr>
          <w:i/>
          <w:iCs/>
        </w:rPr>
        <w:t>Ibid</w:t>
      </w:r>
      <w:r w:rsidR="00275FB7" w:rsidRPr="008333D8">
        <w:t xml:space="preserve">.)  The Ninth Circuit accordingly concluded </w:t>
      </w:r>
      <w:r w:rsidRPr="008333D8">
        <w:t xml:space="preserve">that the </w:t>
      </w:r>
      <w:r w:rsidR="00BE5CF6" w:rsidRPr="008333D8">
        <w:t>disposition</w:t>
      </w:r>
      <w:r w:rsidRPr="008333D8">
        <w:t xml:space="preserve"> of th</w:t>
      </w:r>
      <w:r w:rsidR="000C5B18" w:rsidRPr="008333D8">
        <w:t>is</w:t>
      </w:r>
      <w:r w:rsidRPr="008333D8">
        <w:t xml:space="preserve"> appeal</w:t>
      </w:r>
      <w:r w:rsidR="00BE5CF6" w:rsidRPr="008333D8">
        <w:t xml:space="preserve"> “hinges on the resolution of the causation standard.”  </w:t>
      </w:r>
      <w:r w:rsidRPr="008333D8">
        <w:t>(</w:t>
      </w:r>
      <w:r w:rsidRPr="008333D8">
        <w:rPr>
          <w:i/>
          <w:iCs/>
        </w:rPr>
        <w:t>Ibid</w:t>
      </w:r>
      <w:r w:rsidRPr="008333D8">
        <w:t>.)  Specifically, if “a plaintiff must show that stronger manufacturer warnings would have altered the physician’s prescribing conduct, Himes’s claims fail.  If, on the other hand, a plaintiff can establish causation by</w:t>
      </w:r>
      <w:r w:rsidRPr="008333D8">
        <w:t xml:space="preserve"> showing that a physician would have communicated the stronger warning to the patient and that a prudent person in the patient</w:t>
      </w:r>
      <w:r w:rsidR="00CE4AC5" w:rsidRPr="008333D8">
        <w:t>’</w:t>
      </w:r>
      <w:r w:rsidRPr="008333D8">
        <w:t>s position would have declined the treatment after receiving the stronger warning, Himes’s claims survive summary judgment.”  (</w:t>
      </w:r>
      <w:r w:rsidRPr="008333D8">
        <w:rPr>
          <w:i/>
          <w:iCs/>
        </w:rPr>
        <w:t>Ib</w:t>
      </w:r>
      <w:r w:rsidRPr="008333D8">
        <w:rPr>
          <w:i/>
          <w:iCs/>
        </w:rPr>
        <w:t>id</w:t>
      </w:r>
      <w:r w:rsidRPr="008333D8">
        <w:t xml:space="preserve">.)  </w:t>
      </w:r>
      <w:r w:rsidR="00A06B5E" w:rsidRPr="008333D8">
        <w:t>W</w:t>
      </w:r>
      <w:r w:rsidRPr="008333D8">
        <w:t>e granted</w:t>
      </w:r>
      <w:r w:rsidR="004639DE" w:rsidRPr="008333D8">
        <w:t xml:space="preserve"> the Ninth Circuit’s request</w:t>
      </w:r>
      <w:r w:rsidR="00A06B5E" w:rsidRPr="008333D8">
        <w:t xml:space="preserve"> to answer state law questions regarding the proper causation standard.</w:t>
      </w:r>
      <w:r w:rsidR="00AE2E43">
        <w:t xml:space="preserve"> </w:t>
      </w:r>
      <w:r w:rsidR="00A06B5E" w:rsidRPr="008333D8">
        <w:t xml:space="preserve"> </w:t>
      </w:r>
      <w:r w:rsidR="004639DE" w:rsidRPr="008333D8">
        <w:t>(Cal. Rules of Court, rule 8.548(a).)</w:t>
      </w:r>
      <w:r w:rsidRPr="008333D8">
        <w:t xml:space="preserve">  </w:t>
      </w:r>
    </w:p>
    <w:p w14:paraId="69AA1009" w14:textId="77777777" w:rsidR="00EC7E39" w:rsidRPr="008333D8" w:rsidRDefault="00AB1EE5" w:rsidP="00087D20">
      <w:pPr>
        <w:keepNext/>
        <w:tabs>
          <w:tab w:val="left" w:pos="1440"/>
        </w:tabs>
        <w:jc w:val="center"/>
        <w:outlineLvl w:val="0"/>
        <w:rPr>
          <w:b/>
          <w:caps/>
        </w:rPr>
      </w:pPr>
      <w:r w:rsidRPr="008333D8">
        <w:rPr>
          <w:b/>
          <w:caps/>
        </w:rPr>
        <w:t>II.  DISCUSSION</w:t>
      </w:r>
    </w:p>
    <w:p w14:paraId="69AA100A" w14:textId="77777777" w:rsidR="00C7189F" w:rsidRPr="008333D8" w:rsidRDefault="00AB1EE5" w:rsidP="00087D20">
      <w:pPr>
        <w:keepNext/>
        <w:ind w:firstLine="720"/>
        <w:rPr>
          <w:b/>
          <w:bCs/>
        </w:rPr>
      </w:pPr>
      <w:r w:rsidRPr="008333D8">
        <w:rPr>
          <w:b/>
          <w:bCs/>
        </w:rPr>
        <w:t>A.</w:t>
      </w:r>
      <w:r w:rsidRPr="008333D8">
        <w:rPr>
          <w:b/>
          <w:bCs/>
        </w:rPr>
        <w:tab/>
        <w:t>The Learned Intermediary Doctrine</w:t>
      </w:r>
    </w:p>
    <w:p w14:paraId="69AA100B" w14:textId="77777777" w:rsidR="003B5789" w:rsidRPr="008333D8" w:rsidRDefault="00AB1EE5" w:rsidP="00087D20">
      <w:pPr>
        <w:keepNext/>
        <w:ind w:firstLine="720"/>
      </w:pPr>
      <w:r w:rsidRPr="005A34EB">
        <w:t>The learned</w:t>
      </w:r>
      <w:r w:rsidRPr="008333D8">
        <w:t xml:space="preserve"> intermediary doctrine</w:t>
      </w:r>
      <w:r w:rsidR="00C71320" w:rsidRPr="008333D8">
        <w:t xml:space="preserve"> </w:t>
      </w:r>
      <w:r w:rsidR="009F766A" w:rsidRPr="008333D8">
        <w:t>provide</w:t>
      </w:r>
      <w:r w:rsidRPr="008333D8">
        <w:t xml:space="preserve">s </w:t>
      </w:r>
      <w:r w:rsidRPr="008333D8">
        <w:t>that manufacturer</w:t>
      </w:r>
      <w:r w:rsidR="00E34A15" w:rsidRPr="008333D8">
        <w:t xml:space="preserve">s </w:t>
      </w:r>
      <w:r w:rsidRPr="008333D8">
        <w:t>ha</w:t>
      </w:r>
      <w:r w:rsidR="00E34A15" w:rsidRPr="008333D8">
        <w:t xml:space="preserve">ve </w:t>
      </w:r>
      <w:r w:rsidRPr="008333D8">
        <w:t xml:space="preserve">a duty to warn </w:t>
      </w:r>
      <w:r w:rsidR="00F64951" w:rsidRPr="008333D8">
        <w:t>physicians</w:t>
      </w:r>
      <w:r w:rsidRPr="008333D8">
        <w:t xml:space="preserve">, </w:t>
      </w:r>
      <w:r w:rsidR="00C7189F" w:rsidRPr="008333D8">
        <w:t>but</w:t>
      </w:r>
      <w:r w:rsidRPr="008333D8">
        <w:t xml:space="preserve"> not the</w:t>
      </w:r>
      <w:r w:rsidR="00E34A15" w:rsidRPr="008333D8">
        <w:t xml:space="preserve"> p</w:t>
      </w:r>
      <w:r w:rsidR="00F64951" w:rsidRPr="008333D8">
        <w:t>hysicians</w:t>
      </w:r>
      <w:r w:rsidR="00E34A15" w:rsidRPr="008333D8">
        <w:t>’</w:t>
      </w:r>
      <w:r w:rsidRPr="008333D8">
        <w:t xml:space="preserve"> patients, </w:t>
      </w:r>
      <w:r w:rsidR="00E34A15" w:rsidRPr="008333D8">
        <w:t xml:space="preserve">about </w:t>
      </w:r>
      <w:r w:rsidR="00E04CC0">
        <w:t>certain</w:t>
      </w:r>
      <w:r w:rsidR="00E34A15" w:rsidRPr="008333D8">
        <w:t xml:space="preserve"> risks </w:t>
      </w:r>
      <w:r w:rsidR="00D95C06" w:rsidRPr="008333D8">
        <w:t>accompanying</w:t>
      </w:r>
      <w:r w:rsidR="00E34A15" w:rsidRPr="008333D8">
        <w:t xml:space="preserve"> </w:t>
      </w:r>
      <w:r w:rsidR="00E04CC0">
        <w:t xml:space="preserve">use of </w:t>
      </w:r>
      <w:r w:rsidR="006834A1" w:rsidRPr="008333D8">
        <w:t>their</w:t>
      </w:r>
      <w:r w:rsidR="00E34A15" w:rsidRPr="008333D8">
        <w:t xml:space="preserve"> prescription</w:t>
      </w:r>
      <w:r w:rsidRPr="008333D8">
        <w:t xml:space="preserve"> drug</w:t>
      </w:r>
      <w:r w:rsidR="009F766A" w:rsidRPr="008333D8">
        <w:t>s</w:t>
      </w:r>
      <w:r w:rsidRPr="008333D8">
        <w:t xml:space="preserve"> </w:t>
      </w:r>
      <w:r w:rsidR="003D374C">
        <w:t>and many</w:t>
      </w:r>
      <w:r w:rsidRPr="008333D8">
        <w:t xml:space="preserve"> medical device</w:t>
      </w:r>
      <w:r w:rsidR="009F766A" w:rsidRPr="008333D8">
        <w:t>s</w:t>
      </w:r>
      <w:r w:rsidRPr="008333D8">
        <w:t>.  (</w:t>
      </w:r>
      <w:r w:rsidRPr="008333D8">
        <w:rPr>
          <w:i/>
          <w:iCs/>
        </w:rPr>
        <w:t>T.H.</w:t>
      </w:r>
      <w:r w:rsidRPr="008333D8">
        <w:t xml:space="preserve">, </w:t>
      </w:r>
      <w:r w:rsidRPr="008333D8">
        <w:rPr>
          <w:i/>
          <w:iCs/>
        </w:rPr>
        <w:t>supra</w:t>
      </w:r>
      <w:r w:rsidRPr="008333D8">
        <w:t>, 4</w:t>
      </w:r>
      <w:r w:rsidR="001601A4" w:rsidRPr="008333D8">
        <w:t> </w:t>
      </w:r>
      <w:r w:rsidRPr="008333D8">
        <w:t>Cal.5th at p.</w:t>
      </w:r>
      <w:r w:rsidR="001601A4" w:rsidRPr="008333D8">
        <w:t> </w:t>
      </w:r>
      <w:r w:rsidRPr="008333D8">
        <w:t>164</w:t>
      </w:r>
      <w:r w:rsidR="006834A1" w:rsidRPr="008333D8">
        <w:t>, accord</w:t>
      </w:r>
      <w:r w:rsidR="001601A4" w:rsidRPr="008333D8">
        <w:t>,</w:t>
      </w:r>
      <w:r w:rsidR="006834A1" w:rsidRPr="008333D8">
        <w:t xml:space="preserve"> Rest.3d Torts, Products Liability, §</w:t>
      </w:r>
      <w:r w:rsidR="00E4774F">
        <w:t> </w:t>
      </w:r>
      <w:r w:rsidR="006834A1" w:rsidRPr="008333D8">
        <w:t>6, subd. (d)</w:t>
      </w:r>
      <w:r w:rsidRPr="008333D8">
        <w:t xml:space="preserve">.)  </w:t>
      </w:r>
      <w:r w:rsidR="006A5F50" w:rsidRPr="008333D8">
        <w:t xml:space="preserve">The manufacturer </w:t>
      </w:r>
      <w:r w:rsidR="00C7189F" w:rsidRPr="008333D8">
        <w:t>need not “</w:t>
      </w:r>
      <w:r w:rsidR="006A5F50" w:rsidRPr="008333D8">
        <w:t>warn of risks that are ‘merely speculative or conjectural, or so remote and insignificant as to be negligible.’ ”  (</w:t>
      </w:r>
      <w:r w:rsidR="006834A1" w:rsidRPr="008333D8">
        <w:rPr>
          <w:i/>
          <w:iCs/>
        </w:rPr>
        <w:t>T.H.</w:t>
      </w:r>
      <w:r w:rsidR="006834A1" w:rsidRPr="008333D8">
        <w:t>, at p.</w:t>
      </w:r>
      <w:r w:rsidR="000D789C" w:rsidRPr="008333D8">
        <w:t> </w:t>
      </w:r>
      <w:r w:rsidR="006834A1" w:rsidRPr="008333D8">
        <w:t>164</w:t>
      </w:r>
      <w:r w:rsidR="006A5F50" w:rsidRPr="008333D8">
        <w:t xml:space="preserve">, quoting </w:t>
      </w:r>
      <w:r w:rsidR="006A5F50" w:rsidRPr="008333D8">
        <w:rPr>
          <w:i/>
          <w:iCs/>
        </w:rPr>
        <w:t>Carlin</w:t>
      </w:r>
      <w:r w:rsidR="006A5F50" w:rsidRPr="008333D8">
        <w:t xml:space="preserve">, </w:t>
      </w:r>
      <w:r w:rsidR="006A5F50" w:rsidRPr="008333D8">
        <w:rPr>
          <w:i/>
          <w:iCs/>
        </w:rPr>
        <w:t>supra</w:t>
      </w:r>
      <w:r w:rsidR="006A5F50" w:rsidRPr="008333D8">
        <w:t>, 13 Cal.4th at p.</w:t>
      </w:r>
      <w:r w:rsidR="000D789C" w:rsidRPr="008333D8">
        <w:t> </w:t>
      </w:r>
      <w:r w:rsidR="006A5F50" w:rsidRPr="008333D8">
        <w:t xml:space="preserve">1116.)  </w:t>
      </w:r>
      <w:r w:rsidR="00C7189F" w:rsidRPr="008333D8">
        <w:t>Nor must the manufacturer warn of risks that are already known to the medical community.  (</w:t>
      </w:r>
      <w:r w:rsidR="00C7189F" w:rsidRPr="008333D8">
        <w:rPr>
          <w:i/>
          <w:iCs/>
        </w:rPr>
        <w:t>Carlin</w:t>
      </w:r>
      <w:r w:rsidR="00C7189F" w:rsidRPr="008333D8">
        <w:t>, at p.</w:t>
      </w:r>
      <w:r w:rsidR="000D789C" w:rsidRPr="008333D8">
        <w:t> </w:t>
      </w:r>
      <w:r w:rsidR="00C7189F" w:rsidRPr="008333D8">
        <w:t>1116</w:t>
      </w:r>
      <w:r w:rsidR="00495620" w:rsidRPr="008333D8">
        <w:t xml:space="preserve">; </w:t>
      </w:r>
      <w:r w:rsidR="00495620" w:rsidRPr="008333D8">
        <w:rPr>
          <w:i/>
          <w:iCs/>
        </w:rPr>
        <w:t>Gall v. Smith &amp; Nephew, Inc</w:t>
      </w:r>
      <w:r w:rsidR="00495620" w:rsidRPr="008333D8">
        <w:t>. (2021) 71</w:t>
      </w:r>
      <w:r w:rsidR="000D789C" w:rsidRPr="008333D8">
        <w:t> </w:t>
      </w:r>
      <w:r w:rsidR="00495620" w:rsidRPr="008333D8">
        <w:t>Cal.App.5th 117, 122</w:t>
      </w:r>
      <w:r w:rsidR="00280E45" w:rsidRPr="008333D8">
        <w:t xml:space="preserve"> (</w:t>
      </w:r>
      <w:r w:rsidR="00280E45" w:rsidRPr="008333D8">
        <w:rPr>
          <w:i/>
          <w:iCs/>
        </w:rPr>
        <w:t>Gall</w:t>
      </w:r>
      <w:r w:rsidR="00280E45" w:rsidRPr="008333D8">
        <w:t>)</w:t>
      </w:r>
      <w:r w:rsidR="001258B5" w:rsidRPr="008333D8">
        <w:rPr>
          <w:i/>
          <w:iCs/>
        </w:rPr>
        <w:t>; Plenger v. Alza Corp.</w:t>
      </w:r>
      <w:r w:rsidR="001258B5" w:rsidRPr="008333D8">
        <w:t xml:space="preserve"> (1992) 11</w:t>
      </w:r>
      <w:r w:rsidR="004C147E" w:rsidRPr="008333D8">
        <w:t> </w:t>
      </w:r>
      <w:r w:rsidR="001258B5" w:rsidRPr="008333D8">
        <w:t>Cal.App.4th 349, 362</w:t>
      </w:r>
      <w:r w:rsidR="00A36D40" w:rsidRPr="008333D8">
        <w:t xml:space="preserve"> (</w:t>
      </w:r>
      <w:r w:rsidR="00A36D40" w:rsidRPr="008333D8">
        <w:rPr>
          <w:i/>
          <w:iCs/>
        </w:rPr>
        <w:t>Plenger</w:t>
      </w:r>
      <w:r w:rsidR="00A36D40" w:rsidRPr="008333D8">
        <w:t>)</w:t>
      </w:r>
      <w:r w:rsidR="00C7189F" w:rsidRPr="008333D8">
        <w:t xml:space="preserve">.)  </w:t>
      </w:r>
      <w:r w:rsidR="000D789C" w:rsidRPr="008333D8">
        <w:t xml:space="preserve">But the manufacturer is required to warn </w:t>
      </w:r>
      <w:r w:rsidR="009555BC" w:rsidRPr="008333D8">
        <w:t>physicians of any</w:t>
      </w:r>
      <w:r w:rsidR="0050209A" w:rsidRPr="008333D8">
        <w:t xml:space="preserve"> non-negligible risks </w:t>
      </w:r>
      <w:r w:rsidR="009F766A" w:rsidRPr="008333D8">
        <w:t xml:space="preserve">that are generally unknown to the medical </w:t>
      </w:r>
      <w:r w:rsidR="009F766A" w:rsidRPr="008333D8">
        <w:lastRenderedPageBreak/>
        <w:t>community</w:t>
      </w:r>
      <w:r w:rsidR="004C147E" w:rsidRPr="008333D8">
        <w:t xml:space="preserve">, as this will </w:t>
      </w:r>
      <w:r w:rsidR="009555BC" w:rsidRPr="008333D8">
        <w:t xml:space="preserve">“allow the health-care provider, and thereby the patient, to make an informed choice whether to utilize the drug or medical device.”  </w:t>
      </w:r>
      <w:bookmarkStart w:id="7" w:name="_Hlk150949979"/>
      <w:r w:rsidR="009555BC" w:rsidRPr="008333D8">
        <w:t>(Rest.3d Torts, Products Liability, § 6, com. d, p.</w:t>
      </w:r>
      <w:r w:rsidR="004C147E" w:rsidRPr="008333D8">
        <w:t> </w:t>
      </w:r>
      <w:r w:rsidR="009555BC" w:rsidRPr="008333D8">
        <w:t>148.)</w:t>
      </w:r>
      <w:r w:rsidR="009555BC" w:rsidRPr="008333D8">
        <w:rPr>
          <w:highlight w:val="yellow"/>
        </w:rPr>
        <w:t xml:space="preserve"> </w:t>
      </w:r>
      <w:r w:rsidR="004D56A7" w:rsidRPr="008333D8">
        <w:rPr>
          <w:highlight w:val="yellow"/>
        </w:rPr>
        <w:t xml:space="preserve"> </w:t>
      </w:r>
      <w:r w:rsidR="009555BC" w:rsidRPr="008333D8">
        <w:rPr>
          <w:highlight w:val="yellow"/>
        </w:rPr>
        <w:t xml:space="preserve"> </w:t>
      </w:r>
      <w:r w:rsidR="004D56A7" w:rsidRPr="008333D8">
        <w:rPr>
          <w:highlight w:val="yellow"/>
        </w:rPr>
        <w:t xml:space="preserve">  </w:t>
      </w:r>
      <w:r w:rsidR="00C7189F" w:rsidRPr="008333D8">
        <w:rPr>
          <w:highlight w:val="yellow"/>
        </w:rPr>
        <w:t xml:space="preserve"> </w:t>
      </w:r>
      <w:r w:rsidR="004D56A7" w:rsidRPr="008333D8">
        <w:t xml:space="preserve"> </w:t>
      </w:r>
      <w:r w:rsidR="00C7189F" w:rsidRPr="008333D8">
        <w:t xml:space="preserve">  </w:t>
      </w:r>
    </w:p>
    <w:bookmarkEnd w:id="7"/>
    <w:p w14:paraId="69AA100C" w14:textId="77777777" w:rsidR="009D24CC" w:rsidRPr="008333D8" w:rsidRDefault="00AB1EE5" w:rsidP="00087D20">
      <w:pPr>
        <w:keepNext/>
        <w:ind w:firstLine="720"/>
      </w:pPr>
      <w:r w:rsidRPr="008333D8">
        <w:t xml:space="preserve">Once the manufacturer has </w:t>
      </w:r>
      <w:r w:rsidR="00DD6E8D" w:rsidRPr="008333D8">
        <w:t xml:space="preserve">fulfilled its duty </w:t>
      </w:r>
      <w:r w:rsidR="005713F6" w:rsidRPr="008333D8">
        <w:t xml:space="preserve">to warn the physician of </w:t>
      </w:r>
      <w:r w:rsidR="004C147E" w:rsidRPr="008333D8">
        <w:t>non-negligible</w:t>
      </w:r>
      <w:r w:rsidR="005713F6" w:rsidRPr="008333D8">
        <w:t xml:space="preserve"> risks</w:t>
      </w:r>
      <w:r w:rsidR="006A5F50" w:rsidRPr="008333D8">
        <w:t>,</w:t>
      </w:r>
      <w:r w:rsidR="00DD6E8D" w:rsidRPr="008333D8">
        <w:t xml:space="preserve"> </w:t>
      </w:r>
      <w:r w:rsidR="00902842" w:rsidRPr="008333D8">
        <w:t xml:space="preserve">“[t]he duty then devolves on the health-care provider </w:t>
      </w:r>
      <w:r w:rsidR="00DD6E8D" w:rsidRPr="008333D8">
        <w:t xml:space="preserve">to </w:t>
      </w:r>
      <w:r w:rsidR="00591750" w:rsidRPr="008333D8">
        <w:t>supply to the patient such information as is deemed appropriate under the circumstances so that the patient can make an informed choice as to therapy.”  (</w:t>
      </w:r>
      <w:r w:rsidR="00EE0FF3" w:rsidRPr="008333D8">
        <w:t>Rest.3d Torts, Products Liability, § 6, com. b, p</w:t>
      </w:r>
      <w:r w:rsidR="001B3F1F" w:rsidRPr="008333D8">
        <w:t>.</w:t>
      </w:r>
      <w:r w:rsidR="004C147E" w:rsidRPr="008333D8">
        <w:t> </w:t>
      </w:r>
      <w:r w:rsidR="00EE0FF3" w:rsidRPr="008333D8">
        <w:t>146</w:t>
      </w:r>
      <w:r w:rsidR="00591750" w:rsidRPr="008333D8">
        <w:t>;</w:t>
      </w:r>
      <w:r w:rsidR="00F7219B" w:rsidRPr="008333D8">
        <w:t xml:space="preserve"> see also </w:t>
      </w:r>
      <w:r w:rsidR="00F7219B" w:rsidRPr="008333D8">
        <w:rPr>
          <w:i/>
          <w:iCs/>
        </w:rPr>
        <w:t>Cobbs</w:t>
      </w:r>
      <w:r w:rsidR="00B80AA1" w:rsidRPr="008333D8">
        <w:t xml:space="preserve">, </w:t>
      </w:r>
      <w:r w:rsidR="00B80AA1" w:rsidRPr="008333D8">
        <w:rPr>
          <w:i/>
          <w:iCs/>
        </w:rPr>
        <w:t>supra</w:t>
      </w:r>
      <w:r w:rsidR="00B80AA1" w:rsidRPr="008333D8">
        <w:t xml:space="preserve">, </w:t>
      </w:r>
      <w:r w:rsidR="00F7219B" w:rsidRPr="008333D8">
        <w:t>8</w:t>
      </w:r>
      <w:r w:rsidR="004C147E" w:rsidRPr="008333D8">
        <w:t> </w:t>
      </w:r>
      <w:r w:rsidR="00F7219B" w:rsidRPr="008333D8">
        <w:t xml:space="preserve">Cal.3d </w:t>
      </w:r>
      <w:r w:rsidR="00B80AA1" w:rsidRPr="008333D8">
        <w:t>at p. </w:t>
      </w:r>
      <w:r w:rsidR="00F7219B" w:rsidRPr="008333D8">
        <w:t>245 [physician</w:t>
      </w:r>
      <w:r w:rsidR="005713F6" w:rsidRPr="008333D8">
        <w:t>s</w:t>
      </w:r>
      <w:r w:rsidR="00F7219B" w:rsidRPr="008333D8">
        <w:t xml:space="preserve"> must divulge to patient</w:t>
      </w:r>
      <w:r w:rsidR="005713F6" w:rsidRPr="008333D8">
        <w:t>s</w:t>
      </w:r>
      <w:r w:rsidR="00F7219B" w:rsidRPr="008333D8">
        <w:t xml:space="preserve"> “whatever information is material” to the treatment decision].</w:t>
      </w:r>
      <w:r w:rsidR="00591750" w:rsidRPr="008333D8">
        <w:t>)</w:t>
      </w:r>
      <w:r w:rsidR="003B5789" w:rsidRPr="008333D8">
        <w:t xml:space="preserve">  The patient cannot sue the manufacturer for failing to warn him or her directly:  </w:t>
      </w:r>
      <w:r w:rsidR="000F400A" w:rsidRPr="008333D8">
        <w:t xml:space="preserve">As </w:t>
      </w:r>
      <w:r w:rsidR="003B5789" w:rsidRPr="008333D8">
        <w:t xml:space="preserve">long as the manufacturer has adequately warned the patient’s </w:t>
      </w:r>
      <w:r w:rsidR="00466D03" w:rsidRPr="008333D8">
        <w:t>physician</w:t>
      </w:r>
      <w:r w:rsidR="003B5789" w:rsidRPr="008333D8">
        <w:t xml:space="preserve"> of the </w:t>
      </w:r>
      <w:r w:rsidR="005713F6" w:rsidRPr="008333D8">
        <w:t>non-negligible</w:t>
      </w:r>
      <w:r w:rsidR="00DC25A2">
        <w:t xml:space="preserve"> </w:t>
      </w:r>
      <w:r w:rsidR="005713F6" w:rsidRPr="008333D8">
        <w:t xml:space="preserve">risks of </w:t>
      </w:r>
      <w:r w:rsidR="00466D03" w:rsidRPr="008333D8">
        <w:t>its</w:t>
      </w:r>
      <w:r w:rsidR="005713F6" w:rsidRPr="008333D8">
        <w:t xml:space="preserve"> </w:t>
      </w:r>
      <w:r w:rsidR="00D0310D" w:rsidRPr="008333D8">
        <w:t xml:space="preserve">prescription </w:t>
      </w:r>
      <w:r w:rsidR="003B5789" w:rsidRPr="008333D8">
        <w:t>drug or medical device, the manufacturer has fulfilled its duty to warn.  (</w:t>
      </w:r>
      <w:r w:rsidR="003B5789" w:rsidRPr="008333D8">
        <w:rPr>
          <w:i/>
          <w:iCs/>
        </w:rPr>
        <w:t>T.H</w:t>
      </w:r>
      <w:r w:rsidR="003B5789" w:rsidRPr="008333D8">
        <w:t xml:space="preserve">., </w:t>
      </w:r>
      <w:r w:rsidR="005713F6" w:rsidRPr="008333D8">
        <w:rPr>
          <w:i/>
          <w:iCs/>
        </w:rPr>
        <w:t>supra</w:t>
      </w:r>
      <w:r w:rsidR="005713F6" w:rsidRPr="008333D8">
        <w:t>, 4</w:t>
      </w:r>
      <w:r w:rsidR="004C147E" w:rsidRPr="008333D8">
        <w:t> </w:t>
      </w:r>
      <w:r w:rsidR="005713F6" w:rsidRPr="008333D8">
        <w:t xml:space="preserve">Cal.5th </w:t>
      </w:r>
      <w:r w:rsidR="003B5789" w:rsidRPr="008333D8">
        <w:t>at p.</w:t>
      </w:r>
      <w:r w:rsidR="004C147E" w:rsidRPr="008333D8">
        <w:t> </w:t>
      </w:r>
      <w:r w:rsidR="003B5789" w:rsidRPr="008333D8">
        <w:t>164;</w:t>
      </w:r>
      <w:r w:rsidR="009761E0" w:rsidRPr="008333D8">
        <w:t xml:space="preserve"> </w:t>
      </w:r>
      <w:r w:rsidR="008C18CF" w:rsidRPr="008333D8">
        <w:rPr>
          <w:i/>
          <w:iCs/>
        </w:rPr>
        <w:t xml:space="preserve">Brown v. Superior Court </w:t>
      </w:r>
      <w:r w:rsidR="008C18CF" w:rsidRPr="008333D8">
        <w:t>(1988) 44</w:t>
      </w:r>
      <w:r w:rsidR="004C147E" w:rsidRPr="008333D8">
        <w:t> </w:t>
      </w:r>
      <w:r w:rsidR="008C18CF" w:rsidRPr="008333D8">
        <w:t>Cal.3d 1049,</w:t>
      </w:r>
      <w:r w:rsidR="003B5789" w:rsidRPr="008333D8">
        <w:t xml:space="preserve"> 1062, fn. 9</w:t>
      </w:r>
      <w:r w:rsidR="008C18CF" w:rsidRPr="008333D8">
        <w:t xml:space="preserve"> (</w:t>
      </w:r>
      <w:r w:rsidR="008C18CF" w:rsidRPr="008333D8">
        <w:rPr>
          <w:i/>
          <w:iCs/>
        </w:rPr>
        <w:t>Brown</w:t>
      </w:r>
      <w:r w:rsidR="008C18CF" w:rsidRPr="008333D8">
        <w:t>)</w:t>
      </w:r>
      <w:r w:rsidR="003B5789" w:rsidRPr="008333D8">
        <w:t xml:space="preserve">.)  Moreover, </w:t>
      </w:r>
      <w:r w:rsidRPr="008333D8">
        <w:t>“</w:t>
      </w:r>
      <w:r w:rsidR="003B5789" w:rsidRPr="008333D8">
        <w:t>[t]</w:t>
      </w:r>
      <w:r w:rsidRPr="008333D8">
        <w:t xml:space="preserve">he manufacturer cannot be held liable if it has provided appropriate warnings and the doctor fails in his </w:t>
      </w:r>
      <w:r w:rsidR="00E4774F">
        <w:t xml:space="preserve">[or her] </w:t>
      </w:r>
      <w:r w:rsidRPr="008333D8">
        <w:t>duty to transmit these warnings to the patient</w:t>
      </w:r>
      <w:r w:rsidR="003B5789" w:rsidRPr="008333D8">
        <w:t>.”</w:t>
      </w:r>
      <w:r w:rsidRPr="008333D8">
        <w:t xml:space="preserve">  (</w:t>
      </w:r>
      <w:r w:rsidRPr="008333D8">
        <w:rPr>
          <w:i/>
          <w:iCs/>
        </w:rPr>
        <w:t>Brown</w:t>
      </w:r>
      <w:r w:rsidRPr="008333D8">
        <w:t>,</w:t>
      </w:r>
      <w:r w:rsidR="008C18CF" w:rsidRPr="008333D8">
        <w:t xml:space="preserve"> </w:t>
      </w:r>
      <w:r w:rsidR="005713F6" w:rsidRPr="008333D8">
        <w:t xml:space="preserve">at </w:t>
      </w:r>
      <w:r w:rsidR="008C18CF" w:rsidRPr="008333D8">
        <w:t>p.</w:t>
      </w:r>
      <w:r w:rsidR="004C147E" w:rsidRPr="008333D8">
        <w:t> </w:t>
      </w:r>
      <w:r w:rsidRPr="008333D8">
        <w:t>1062</w:t>
      </w:r>
      <w:r w:rsidR="003B5789" w:rsidRPr="008333D8">
        <w:t>.)  In such circumstances, “the patient</w:t>
      </w:r>
      <w:r w:rsidR="0046286A">
        <w:t xml:space="preserve"> has a claim against the doctor, but not against the manufacturer.”  </w:t>
      </w:r>
      <w:r w:rsidR="006C74DF">
        <w:t>(</w:t>
      </w:r>
      <w:r w:rsidR="001B4319" w:rsidRPr="004C56BF">
        <w:t xml:space="preserve">2 </w:t>
      </w:r>
      <w:r w:rsidR="00201FC9" w:rsidRPr="004C56BF">
        <w:t>Dobbs, The Law of Torts (</w:t>
      </w:r>
      <w:r w:rsidR="00F927AD" w:rsidRPr="004C56BF">
        <w:t xml:space="preserve">2d ed. </w:t>
      </w:r>
      <w:r w:rsidR="001B4319" w:rsidRPr="004C56BF">
        <w:t>2011</w:t>
      </w:r>
      <w:r w:rsidR="00201FC9" w:rsidRPr="004C56BF">
        <w:t>)</w:t>
      </w:r>
      <w:r w:rsidR="00007841" w:rsidRPr="004C56BF">
        <w:t xml:space="preserve"> §</w:t>
      </w:r>
      <w:r w:rsidR="001B4319" w:rsidRPr="004C56BF">
        <w:t> </w:t>
      </w:r>
      <w:r w:rsidR="00007841" w:rsidRPr="004C56BF">
        <w:t>466</w:t>
      </w:r>
      <w:r w:rsidR="00201FC9" w:rsidRPr="004C56BF">
        <w:t xml:space="preserve">, </w:t>
      </w:r>
      <w:r w:rsidR="00AC747F" w:rsidRPr="004C56BF">
        <w:t>p.</w:t>
      </w:r>
      <w:r w:rsidR="00CC5E18">
        <w:t> </w:t>
      </w:r>
      <w:r w:rsidR="001B4319" w:rsidRPr="004C56BF">
        <w:t>959</w:t>
      </w:r>
      <w:r w:rsidR="00201FC9" w:rsidRPr="004C56BF">
        <w:t xml:space="preserve"> (Dobbs on Torts</w:t>
      </w:r>
      <w:r w:rsidR="000F400A" w:rsidRPr="004C56BF">
        <w:t>)</w:t>
      </w:r>
      <w:r w:rsidR="00385D48" w:rsidRPr="004C56BF">
        <w:t>.)</w:t>
      </w:r>
      <w:r w:rsidR="00385D48" w:rsidRPr="008333D8">
        <w:t xml:space="preserve">  </w:t>
      </w:r>
      <w:r w:rsidR="00F0393B" w:rsidRPr="008333D8">
        <w:t xml:space="preserve"> </w:t>
      </w:r>
    </w:p>
    <w:p w14:paraId="69AA100D" w14:textId="77777777" w:rsidR="00DE33E5" w:rsidRPr="008333D8" w:rsidRDefault="00AB1EE5" w:rsidP="00087D20">
      <w:pPr>
        <w:keepNext/>
        <w:ind w:firstLine="720"/>
      </w:pPr>
      <w:r w:rsidRPr="008333D8">
        <w:t xml:space="preserve">The </w:t>
      </w:r>
      <w:r w:rsidR="007347E1" w:rsidRPr="008333D8">
        <w:t xml:space="preserve">learned intermediary </w:t>
      </w:r>
      <w:r w:rsidRPr="008333D8">
        <w:t>doctrine recognizes that</w:t>
      </w:r>
      <w:r w:rsidR="00F718AE" w:rsidRPr="008333D8">
        <w:t>,</w:t>
      </w:r>
      <w:r w:rsidR="003B5789" w:rsidRPr="008333D8">
        <w:t xml:space="preserve"> </w:t>
      </w:r>
      <w:r w:rsidR="00F718AE" w:rsidRPr="008333D8">
        <w:t xml:space="preserve">“[w]hile the ‘ordinary consumer’ may have a reasonable expectation that a product such as a machine he </w:t>
      </w:r>
      <w:r w:rsidR="00E4774F">
        <w:t xml:space="preserve">[or she] </w:t>
      </w:r>
      <w:r w:rsidR="00F718AE" w:rsidRPr="008333D8">
        <w:t xml:space="preserve">purchases will operate safely when used as intended, a patient’s expectations regarding the effects of [a prescription] drug [or medical device] are those related to him </w:t>
      </w:r>
      <w:r w:rsidR="001B3F1F" w:rsidRPr="008333D8">
        <w:t xml:space="preserve">[or her] </w:t>
      </w:r>
      <w:r w:rsidR="00F718AE" w:rsidRPr="008333D8">
        <w:t xml:space="preserve">by his </w:t>
      </w:r>
      <w:r w:rsidR="001B3F1F" w:rsidRPr="008333D8">
        <w:t xml:space="preserve">[or her] </w:t>
      </w:r>
      <w:r w:rsidR="00F718AE" w:rsidRPr="008333D8">
        <w:lastRenderedPageBreak/>
        <w:t xml:space="preserve">physician, to whom the manufacturer directs the warnings regarding the drug’s </w:t>
      </w:r>
      <w:r w:rsidR="005A34EB">
        <w:t xml:space="preserve">[or medical device’s] </w:t>
      </w:r>
      <w:r w:rsidR="00F718AE" w:rsidRPr="008333D8">
        <w:t>properties.”  (</w:t>
      </w:r>
      <w:bookmarkStart w:id="8" w:name="_Hlk150776775"/>
      <w:r w:rsidR="00F718AE" w:rsidRPr="008333D8">
        <w:rPr>
          <w:i/>
          <w:iCs/>
        </w:rPr>
        <w:t>Brown</w:t>
      </w:r>
      <w:r w:rsidR="00F718AE" w:rsidRPr="008333D8">
        <w:t xml:space="preserve">, </w:t>
      </w:r>
      <w:r w:rsidR="00F718AE" w:rsidRPr="008333D8">
        <w:rPr>
          <w:i/>
          <w:iCs/>
        </w:rPr>
        <w:t>supra</w:t>
      </w:r>
      <w:r w:rsidR="00F718AE" w:rsidRPr="008333D8">
        <w:t>, 44</w:t>
      </w:r>
      <w:r w:rsidR="007A6C0E" w:rsidRPr="008333D8">
        <w:t> </w:t>
      </w:r>
      <w:r w:rsidR="00F718AE" w:rsidRPr="008333D8">
        <w:t>Cal.3d at pp.</w:t>
      </w:r>
      <w:r w:rsidR="007A6C0E" w:rsidRPr="008333D8">
        <w:t> </w:t>
      </w:r>
      <w:r w:rsidR="00F718AE" w:rsidRPr="008333D8">
        <w:t>1061</w:t>
      </w:r>
      <w:r w:rsidR="001B783B" w:rsidRPr="008333D8">
        <w:t>–</w:t>
      </w:r>
      <w:r w:rsidR="00F718AE" w:rsidRPr="008333D8">
        <w:t>1062</w:t>
      </w:r>
      <w:bookmarkEnd w:id="8"/>
      <w:r w:rsidR="00F718AE" w:rsidRPr="008333D8">
        <w:t>.)  “[P]atients are generally persons unlearned in the medical sciences” and, therefore, have “an abject dependence upon and trust in [their] physician[s] for the information upon which [they] rel[y]” when deciding on a particular course of treatment.  (</w:t>
      </w:r>
      <w:r w:rsidR="00F718AE" w:rsidRPr="008333D8">
        <w:rPr>
          <w:i/>
          <w:iCs/>
        </w:rPr>
        <w:t>Cobbs</w:t>
      </w:r>
      <w:r w:rsidR="00F718AE" w:rsidRPr="008333D8">
        <w:t xml:space="preserve">, </w:t>
      </w:r>
      <w:r w:rsidR="00F718AE" w:rsidRPr="008333D8">
        <w:rPr>
          <w:i/>
          <w:iCs/>
        </w:rPr>
        <w:t>supra</w:t>
      </w:r>
      <w:r w:rsidR="00F718AE" w:rsidRPr="008333D8">
        <w:t>, 8</w:t>
      </w:r>
      <w:r w:rsidR="00D35FB7" w:rsidRPr="008333D8">
        <w:t> </w:t>
      </w:r>
      <w:r w:rsidR="00F718AE" w:rsidRPr="008333D8">
        <w:t>Cal.3d at p.</w:t>
      </w:r>
      <w:r w:rsidR="00D35FB7" w:rsidRPr="008333D8">
        <w:t> </w:t>
      </w:r>
      <w:r w:rsidR="00F718AE" w:rsidRPr="008333D8">
        <w:t xml:space="preserve">242.)  </w:t>
      </w:r>
      <w:r w:rsidR="007A6C0E" w:rsidRPr="008333D8">
        <w:t xml:space="preserve">Unlike the patient, </w:t>
      </w:r>
      <w:r w:rsidR="00F718AE" w:rsidRPr="008333D8">
        <w:t xml:space="preserve">the physician </w:t>
      </w:r>
      <w:r w:rsidR="007A6C0E" w:rsidRPr="008333D8">
        <w:t>has medical expertise which enables him or her to “</w:t>
      </w:r>
      <w:r w:rsidR="00241336">
        <w:t>understand the significance of the risks involved and to assess the relative advantages and disadvantages” o</w:t>
      </w:r>
      <w:r w:rsidR="004940A2">
        <w:t>f</w:t>
      </w:r>
      <w:r w:rsidR="00241336">
        <w:t xml:space="preserve"> a particular treatment.  </w:t>
      </w:r>
      <w:r w:rsidR="00F718AE" w:rsidRPr="008333D8">
        <w:t>(Rest.3d Torts, Products Liability, § 6, com. b, p.</w:t>
      </w:r>
      <w:r w:rsidR="00D35FB7" w:rsidRPr="008333D8">
        <w:t> </w:t>
      </w:r>
      <w:r w:rsidR="00F718AE" w:rsidRPr="008333D8">
        <w:t>146.)</w:t>
      </w:r>
      <w:r w:rsidR="003B5789" w:rsidRPr="008333D8">
        <w:t xml:space="preserve">  </w:t>
      </w:r>
      <w:r w:rsidRPr="00C652A1">
        <w:t>The physician</w:t>
      </w:r>
      <w:r w:rsidR="00B36C60" w:rsidRPr="008333D8">
        <w:t xml:space="preserve"> thus</w:t>
      </w:r>
      <w:r w:rsidRPr="008333D8">
        <w:t xml:space="preserve"> acts as a learned intermediary between </w:t>
      </w:r>
      <w:r w:rsidR="004940A2">
        <w:t xml:space="preserve">the </w:t>
      </w:r>
      <w:r w:rsidRPr="008333D8">
        <w:t xml:space="preserve">manufacturer and </w:t>
      </w:r>
      <w:r w:rsidR="004940A2">
        <w:t>the patient</w:t>
      </w:r>
      <w:r w:rsidRPr="008333D8">
        <w:t xml:space="preserve"> </w:t>
      </w:r>
      <w:r w:rsidR="004940A2">
        <w:t>by</w:t>
      </w:r>
      <w:r w:rsidRPr="008333D8">
        <w:t xml:space="preserve"> recommend</w:t>
      </w:r>
      <w:r w:rsidR="004940A2">
        <w:t>ing</w:t>
      </w:r>
      <w:r w:rsidRPr="008333D8">
        <w:t xml:space="preserve"> a course of treatment based </w:t>
      </w:r>
      <w:r w:rsidR="00053431" w:rsidRPr="008333D8">
        <w:t xml:space="preserve">not only </w:t>
      </w:r>
      <w:r w:rsidRPr="008333D8">
        <w:t>on the warnings relayed by the manufacturer</w:t>
      </w:r>
      <w:r w:rsidR="00053431" w:rsidRPr="008333D8">
        <w:t>, but also on the physician’s own medical training and exper</w:t>
      </w:r>
      <w:r w:rsidR="007A6C0E" w:rsidRPr="008333D8">
        <w:t>ience</w:t>
      </w:r>
      <w:r w:rsidR="00053431" w:rsidRPr="008333D8">
        <w:t xml:space="preserve"> as well as the patient’s </w:t>
      </w:r>
      <w:r w:rsidR="00AE5E45" w:rsidRPr="008333D8">
        <w:t>particular</w:t>
      </w:r>
      <w:r w:rsidR="00053431" w:rsidRPr="008333D8">
        <w:t xml:space="preserve"> needs and risk factors.</w:t>
      </w:r>
      <w:r w:rsidR="00B36C60" w:rsidRPr="008333D8">
        <w:t xml:space="preserve">  (</w:t>
      </w:r>
      <w:r w:rsidR="004940A2">
        <w:rPr>
          <w:i/>
          <w:iCs/>
        </w:rPr>
        <w:t>Ibid</w:t>
      </w:r>
      <w:r w:rsidR="00B36C60" w:rsidRPr="008333D8">
        <w:t>.)</w:t>
      </w:r>
      <w:r w:rsidRPr="008333D8">
        <w:t xml:space="preserve">  </w:t>
      </w:r>
    </w:p>
    <w:p w14:paraId="69AA100E" w14:textId="77777777" w:rsidR="009A5A95" w:rsidRPr="008333D8" w:rsidRDefault="00AB1EE5" w:rsidP="00087D20">
      <w:pPr>
        <w:keepNext/>
        <w:ind w:firstLine="720"/>
      </w:pPr>
      <w:r w:rsidRPr="00713086">
        <w:t>The doctrine</w:t>
      </w:r>
      <w:r w:rsidR="00D35FB7" w:rsidRPr="008333D8">
        <w:t xml:space="preserve"> </w:t>
      </w:r>
      <w:r w:rsidRPr="008333D8">
        <w:t xml:space="preserve">does not </w:t>
      </w:r>
      <w:r w:rsidR="004041BA" w:rsidRPr="008333D8">
        <w:t>create a</w:t>
      </w:r>
      <w:r w:rsidR="00C652A1">
        <w:t>n</w:t>
      </w:r>
      <w:r w:rsidR="004041BA" w:rsidRPr="008333D8">
        <w:t xml:space="preserve"> immunity f</w:t>
      </w:r>
      <w:r w:rsidR="00C652A1">
        <w:t>rom a</w:t>
      </w:r>
      <w:r w:rsidR="004041BA" w:rsidRPr="008333D8">
        <w:t xml:space="preserve"> </w:t>
      </w:r>
      <w:r w:rsidRPr="008333D8">
        <w:t xml:space="preserve">prescription drug </w:t>
      </w:r>
      <w:r w:rsidR="00971A04">
        <w:t>or</w:t>
      </w:r>
      <w:r w:rsidRPr="008333D8">
        <w:t xml:space="preserve"> medical device manufacturer</w:t>
      </w:r>
      <w:r w:rsidR="00C652A1">
        <w:t>’</w:t>
      </w:r>
      <w:r w:rsidRPr="008333D8">
        <w:t>s</w:t>
      </w:r>
      <w:r w:rsidR="00C652A1">
        <w:t xml:space="preserve"> general duty of care owed to patients</w:t>
      </w:r>
      <w:r w:rsidRPr="008333D8">
        <w:t>, how</w:t>
      </w:r>
      <w:r w:rsidR="00D35FB7" w:rsidRPr="008333D8">
        <w:t>ever</w:t>
      </w:r>
      <w:r w:rsidRPr="008333D8">
        <w:t>.</w:t>
      </w:r>
      <w:r w:rsidR="004041BA" w:rsidRPr="008333D8">
        <w:t xml:space="preserve">  </w:t>
      </w:r>
      <w:r w:rsidR="00BF32D0">
        <w:t>Pursuant to the doctrine, t</w:t>
      </w:r>
      <w:r w:rsidR="00C652A1">
        <w:t xml:space="preserve">he manufacturer fulfills its general duty of care owed to the patient by providing </w:t>
      </w:r>
      <w:r w:rsidR="00076AF8" w:rsidRPr="008333D8">
        <w:t xml:space="preserve">an adequate warning to the patient’s </w:t>
      </w:r>
      <w:r w:rsidR="001B3F1F" w:rsidRPr="008333D8">
        <w:t>physician</w:t>
      </w:r>
      <w:r w:rsidR="00C652A1">
        <w:t xml:space="preserve">.  </w:t>
      </w:r>
      <w:bookmarkStart w:id="9" w:name="_Hlk165489636"/>
      <w:r w:rsidR="00C652A1">
        <w:t xml:space="preserve">If </w:t>
      </w:r>
      <w:r w:rsidR="00E1391B">
        <w:t>the manufacturer</w:t>
      </w:r>
      <w:r w:rsidR="00C652A1">
        <w:t xml:space="preserve"> fails to provide an adequate warning to the patient’s physician,</w:t>
      </w:r>
      <w:r w:rsidR="00076AF8" w:rsidRPr="008333D8">
        <w:t xml:space="preserve"> </w:t>
      </w:r>
      <w:bookmarkEnd w:id="9"/>
      <w:r w:rsidR="006C3844">
        <w:t>t</w:t>
      </w:r>
      <w:r w:rsidR="006C3844" w:rsidRPr="006C3844">
        <w:t>he</w:t>
      </w:r>
      <w:r w:rsidR="006C3844">
        <w:t>n the</w:t>
      </w:r>
      <w:r w:rsidR="004E220F">
        <w:t xml:space="preserve"> </w:t>
      </w:r>
      <w:r w:rsidR="006C3844" w:rsidRPr="006C3844">
        <w:t>patient may sue asserting negligence for breach of its general duty of care or asserting strict liability for marketing a product that has been rendered defective due to the inadequate warning.</w:t>
      </w:r>
      <w:r w:rsidRPr="008333D8">
        <w:t xml:space="preserve">  (</w:t>
      </w:r>
      <w:r w:rsidR="00A10F43">
        <w:t xml:space="preserve">See </w:t>
      </w:r>
      <w:r w:rsidRPr="008333D8">
        <w:rPr>
          <w:i/>
          <w:iCs/>
        </w:rPr>
        <w:t>Brown</w:t>
      </w:r>
      <w:r w:rsidRPr="008333D8">
        <w:t xml:space="preserve">, </w:t>
      </w:r>
      <w:r w:rsidR="008B7103" w:rsidRPr="008333D8">
        <w:rPr>
          <w:i/>
          <w:iCs/>
        </w:rPr>
        <w:t>supra</w:t>
      </w:r>
      <w:r w:rsidR="008B7103" w:rsidRPr="008333D8">
        <w:t>, 44</w:t>
      </w:r>
      <w:r w:rsidR="00930371" w:rsidRPr="008333D8">
        <w:t> </w:t>
      </w:r>
      <w:r w:rsidR="008B7103" w:rsidRPr="008333D8">
        <w:t>Cal.3d</w:t>
      </w:r>
      <w:r w:rsidRPr="008333D8">
        <w:t xml:space="preserve"> at </w:t>
      </w:r>
      <w:r w:rsidR="008B7103" w:rsidRPr="008333D8">
        <w:t>p. 1069, fn.</w:t>
      </w:r>
      <w:r w:rsidR="00930371" w:rsidRPr="008333D8">
        <w:t> </w:t>
      </w:r>
      <w:r w:rsidRPr="008333D8">
        <w:t xml:space="preserve">12; </w:t>
      </w:r>
      <w:r w:rsidR="008B7103" w:rsidRPr="008333D8">
        <w:t>accord</w:t>
      </w:r>
      <w:r w:rsidR="00007841" w:rsidRPr="008333D8">
        <w:t>,</w:t>
      </w:r>
      <w:r w:rsidR="008B7103" w:rsidRPr="008333D8">
        <w:t xml:space="preserve"> </w:t>
      </w:r>
      <w:r w:rsidR="00201FC9" w:rsidRPr="008333D8">
        <w:t xml:space="preserve">Dobbs on Torts, </w:t>
      </w:r>
      <w:r w:rsidR="00007841" w:rsidRPr="008333D8">
        <w:t>§ 466</w:t>
      </w:r>
      <w:r w:rsidR="00201FC9" w:rsidRPr="008333D8">
        <w:t>,</w:t>
      </w:r>
      <w:r w:rsidR="00853539" w:rsidRPr="008333D8">
        <w:t xml:space="preserve"> </w:t>
      </w:r>
      <w:r w:rsidR="00AC747F">
        <w:t>p. </w:t>
      </w:r>
      <w:r w:rsidR="00853539" w:rsidRPr="008333D8">
        <w:t>959</w:t>
      </w:r>
      <w:r w:rsidR="00D907F4" w:rsidRPr="008333D8">
        <w:t>.</w:t>
      </w:r>
      <w:r w:rsidR="008B7103" w:rsidRPr="008333D8">
        <w:t>)</w:t>
      </w:r>
      <w:r w:rsidR="00D907F4" w:rsidRPr="008333D8">
        <w:t xml:space="preserve">  </w:t>
      </w:r>
      <w:r w:rsidR="00C63748" w:rsidRPr="008333D8">
        <w:t>To succeed</w:t>
      </w:r>
      <w:r w:rsidR="00076AF8" w:rsidRPr="008333D8">
        <w:t xml:space="preserve"> on a </w:t>
      </w:r>
      <w:r w:rsidR="00E1391B">
        <w:t xml:space="preserve">negligent failure-to-warn </w:t>
      </w:r>
      <w:r w:rsidR="00076AF8" w:rsidRPr="008333D8">
        <w:t>claim</w:t>
      </w:r>
      <w:r w:rsidR="00D907F4" w:rsidRPr="008333D8">
        <w:t xml:space="preserve">, the </w:t>
      </w:r>
      <w:r w:rsidR="00696FBB" w:rsidRPr="00A12617">
        <w:t xml:space="preserve">plaintiff </w:t>
      </w:r>
      <w:r w:rsidR="00D144FF" w:rsidRPr="00A12617">
        <w:t>has</w:t>
      </w:r>
      <w:r w:rsidR="00D144FF" w:rsidRPr="008333D8">
        <w:t xml:space="preserve"> the burden to</w:t>
      </w:r>
      <w:r w:rsidR="00C74E82" w:rsidRPr="008333D8">
        <w:t xml:space="preserve"> </w:t>
      </w:r>
      <w:r w:rsidR="00D907F4" w:rsidRPr="008333D8">
        <w:t>prove</w:t>
      </w:r>
      <w:r w:rsidR="00C63748" w:rsidRPr="008333D8">
        <w:t xml:space="preserve"> that </w:t>
      </w:r>
      <w:r w:rsidR="00350BF9">
        <w:t xml:space="preserve">“a reasonably prudent manufacturer would have known and warned about” the risk.  </w:t>
      </w:r>
      <w:r w:rsidR="00350BF9" w:rsidRPr="00350BF9">
        <w:lastRenderedPageBreak/>
        <w:t>(</w:t>
      </w:r>
      <w:r w:rsidR="00350BF9" w:rsidRPr="00713086">
        <w:rPr>
          <w:i/>
          <w:iCs/>
        </w:rPr>
        <w:t>Carlin</w:t>
      </w:r>
      <w:r w:rsidR="00350BF9" w:rsidRPr="00350BF9">
        <w:t xml:space="preserve">, </w:t>
      </w:r>
      <w:r w:rsidR="00350BF9" w:rsidRPr="00713086">
        <w:rPr>
          <w:i/>
          <w:iCs/>
        </w:rPr>
        <w:t>supra</w:t>
      </w:r>
      <w:r w:rsidR="00350BF9" w:rsidRPr="00350BF9">
        <w:t>, 13</w:t>
      </w:r>
      <w:r w:rsidR="002E7BDC">
        <w:t> </w:t>
      </w:r>
      <w:r w:rsidR="00350BF9" w:rsidRPr="00350BF9">
        <w:t>Cal.4th at p.</w:t>
      </w:r>
      <w:r w:rsidR="002E7BDC">
        <w:t> </w:t>
      </w:r>
      <w:r w:rsidR="00350BF9" w:rsidRPr="00350BF9">
        <w:t>111</w:t>
      </w:r>
      <w:r w:rsidR="00350BF9">
        <w:t xml:space="preserve">2.)  To succeed on a strict liability failure-to-warn claim, the plaintiff </w:t>
      </w:r>
      <w:r w:rsidR="0034525C">
        <w:t>need only</w:t>
      </w:r>
      <w:r w:rsidR="00350BF9">
        <w:t xml:space="preserve"> prove</w:t>
      </w:r>
      <w:r w:rsidR="00E1391B">
        <w:t xml:space="preserve"> that</w:t>
      </w:r>
      <w:r w:rsidR="00350BF9">
        <w:t xml:space="preserve"> </w:t>
      </w:r>
      <w:r w:rsidR="00C63748" w:rsidRPr="008333D8">
        <w:t xml:space="preserve">the manufacturer </w:t>
      </w:r>
      <w:r w:rsidR="00E1391B">
        <w:t>“did not adequately warn of a particular risk that was known or knowable in light of the generally recognized and prevailing best scientific and medical knowledge available at the time of manufacture and distribution.”  (</w:t>
      </w:r>
      <w:r w:rsidR="00E1391B" w:rsidRPr="00E1391B">
        <w:rPr>
          <w:i/>
          <w:iCs/>
        </w:rPr>
        <w:t>Ibid</w:t>
      </w:r>
      <w:r w:rsidR="00E1391B">
        <w:t>.)</w:t>
      </w:r>
      <w:r w:rsidR="00C74E82" w:rsidRPr="008333D8">
        <w:t xml:space="preserve"> </w:t>
      </w:r>
      <w:r w:rsidR="00930371" w:rsidRPr="008333D8">
        <w:t xml:space="preserve"> </w:t>
      </w:r>
      <w:r w:rsidR="00971A04">
        <w:t>W</w:t>
      </w:r>
      <w:r w:rsidR="00350BF9">
        <w:t xml:space="preserve">hether asserting a negligent or a strict liability failure-to-warn claim, </w:t>
      </w:r>
      <w:r w:rsidR="00930371" w:rsidRPr="008333D8">
        <w:t>t</w:t>
      </w:r>
      <w:r w:rsidR="00C74E82" w:rsidRPr="008333D8">
        <w:t xml:space="preserve">he </w:t>
      </w:r>
      <w:r w:rsidR="00696FBB" w:rsidRPr="008333D8">
        <w:t>p</w:t>
      </w:r>
      <w:r w:rsidR="00696FBB">
        <w:t>laintiff</w:t>
      </w:r>
      <w:r w:rsidR="00696FBB" w:rsidRPr="008333D8">
        <w:t xml:space="preserve"> </w:t>
      </w:r>
      <w:r w:rsidR="00C74E82" w:rsidRPr="008333D8">
        <w:t>must</w:t>
      </w:r>
      <w:r w:rsidR="0050209A" w:rsidRPr="008333D8">
        <w:t xml:space="preserve"> </w:t>
      </w:r>
      <w:r w:rsidR="0034525C">
        <w:t xml:space="preserve">also </w:t>
      </w:r>
      <w:r w:rsidR="00930371" w:rsidRPr="008333D8">
        <w:t>establish</w:t>
      </w:r>
      <w:r w:rsidR="009F703E">
        <w:t xml:space="preserve"> </w:t>
      </w:r>
      <w:r w:rsidR="009F703E" w:rsidRPr="008333D8">
        <w:t>that the manufacturer’s failure to warn “</w:t>
      </w:r>
      <w:r w:rsidR="00954D50">
        <w:t>[</w:t>
      </w:r>
      <w:r w:rsidR="009F703E" w:rsidRPr="008333D8">
        <w:t>was</w:t>
      </w:r>
      <w:r w:rsidR="00954D50">
        <w:t>]</w:t>
      </w:r>
      <w:r w:rsidR="009F703E" w:rsidRPr="008333D8">
        <w:t xml:space="preserve"> a substantial factor in </w:t>
      </w:r>
      <w:r w:rsidR="00ED73FE">
        <w:t>causing [</w:t>
      </w:r>
      <w:r w:rsidR="009F703E" w:rsidRPr="008333D8">
        <w:t>the p</w:t>
      </w:r>
      <w:r w:rsidR="00ED73FE">
        <w:t>laintiff’s</w:t>
      </w:r>
      <w:r w:rsidR="009F703E" w:rsidRPr="008333D8">
        <w:t>] injury.”</w:t>
      </w:r>
      <w:r w:rsidR="00ED73FE">
        <w:t xml:space="preserve">  (</w:t>
      </w:r>
      <w:r w:rsidR="00ED73FE" w:rsidRPr="008333D8">
        <w:rPr>
          <w:i/>
          <w:iCs/>
        </w:rPr>
        <w:t xml:space="preserve">Stevens v. Parke, Davis &amp; Co. </w:t>
      </w:r>
      <w:r w:rsidR="00ED73FE" w:rsidRPr="008333D8">
        <w:t>(1973) 9 Cal.3d 51, 6</w:t>
      </w:r>
      <w:r w:rsidR="00ED73FE">
        <w:t>9</w:t>
      </w:r>
      <w:r w:rsidR="00ED73FE" w:rsidRPr="008333D8">
        <w:t xml:space="preserve"> (</w:t>
      </w:r>
      <w:r w:rsidR="00ED73FE" w:rsidRPr="008333D8">
        <w:rPr>
          <w:i/>
          <w:iCs/>
        </w:rPr>
        <w:t>Stevens</w:t>
      </w:r>
      <w:r w:rsidR="00ED73FE" w:rsidRPr="008333D8">
        <w:t>)</w:t>
      </w:r>
      <w:r w:rsidR="001A4E05">
        <w:t xml:space="preserve">; accord, </w:t>
      </w:r>
      <w:r w:rsidR="001A4E05" w:rsidRPr="001A4E05">
        <w:rPr>
          <w:i/>
          <w:iCs/>
        </w:rPr>
        <w:t>Merrill v. Navegar, Inc</w:t>
      </w:r>
      <w:r w:rsidR="001A4E05" w:rsidRPr="001A4E05">
        <w:t>. (2001) 26</w:t>
      </w:r>
      <w:r w:rsidR="00CC5E18">
        <w:t> </w:t>
      </w:r>
      <w:r w:rsidR="001A4E05" w:rsidRPr="001A4E05">
        <w:t>Cal.4th 465, 479</w:t>
      </w:r>
      <w:r w:rsidR="00ED73FE" w:rsidRPr="008333D8">
        <w:t>.</w:t>
      </w:r>
      <w:r w:rsidR="00ED73FE">
        <w:t xml:space="preserve">)  </w:t>
      </w:r>
      <w:r w:rsidR="009F703E">
        <w:t>Subsumed within the</w:t>
      </w:r>
      <w:r w:rsidR="009F703E" w:rsidRPr="009F703E">
        <w:t xml:space="preserve"> </w:t>
      </w:r>
      <w:r w:rsidR="009D0C50">
        <w:t>causation</w:t>
      </w:r>
      <w:r w:rsidR="009F703E" w:rsidRPr="009F703E">
        <w:t xml:space="preserve"> analysis are a</w:t>
      </w:r>
      <w:r w:rsidR="009D0C50">
        <w:t xml:space="preserve"> </w:t>
      </w:r>
      <w:r w:rsidR="009F703E" w:rsidRPr="009F703E">
        <w:t xml:space="preserve">number of </w:t>
      </w:r>
      <w:r w:rsidR="009D0C50">
        <w:t>inquiries</w:t>
      </w:r>
      <w:r w:rsidR="009F703E" w:rsidRPr="009F703E">
        <w:t xml:space="preserve">, including whether the </w:t>
      </w:r>
      <w:r w:rsidR="009F703E">
        <w:t>prescription drug or medical device</w:t>
      </w:r>
      <w:r w:rsidR="009F703E" w:rsidRPr="009F703E">
        <w:t xml:space="preserve"> is capable of causing the injury in anyone</w:t>
      </w:r>
      <w:r w:rsidR="009F703E">
        <w:t>;</w:t>
      </w:r>
      <w:r w:rsidR="009F703E" w:rsidRPr="009F703E">
        <w:t xml:space="preserve"> whether the </w:t>
      </w:r>
      <w:r w:rsidR="009F703E">
        <w:t xml:space="preserve">prescription drug or medical device </w:t>
      </w:r>
      <w:r w:rsidR="009F703E" w:rsidRPr="009F703E">
        <w:t>caused the p</w:t>
      </w:r>
      <w:r w:rsidR="001D11C2">
        <w:t>atient</w:t>
      </w:r>
      <w:r w:rsidR="009F703E" w:rsidRPr="009F703E">
        <w:t>’s injury</w:t>
      </w:r>
      <w:r w:rsidR="009D0C50">
        <w:t xml:space="preserve"> in particular</w:t>
      </w:r>
      <w:r w:rsidR="009F703E">
        <w:t xml:space="preserve">; and whether </w:t>
      </w:r>
      <w:r w:rsidR="009F703E" w:rsidRPr="009F703E">
        <w:t xml:space="preserve">the manufacturer’s failure to warn </w:t>
      </w:r>
      <w:r w:rsidR="0034525C">
        <w:t xml:space="preserve">caused the patient </w:t>
      </w:r>
      <w:r w:rsidR="009F703E" w:rsidRPr="009F703E">
        <w:t>to use the product.</w:t>
      </w:r>
      <w:r w:rsidR="009F703E">
        <w:t xml:space="preserve">  </w:t>
      </w:r>
      <w:bookmarkStart w:id="10" w:name="_Hlk155909059"/>
      <w:r w:rsidR="00A10D25" w:rsidRPr="008333D8">
        <w:t>(</w:t>
      </w:r>
      <w:r w:rsidR="009F703E">
        <w:t xml:space="preserve">See </w:t>
      </w:r>
      <w:r w:rsidR="00D64773" w:rsidRPr="00ED73FE">
        <w:rPr>
          <w:i/>
          <w:iCs/>
        </w:rPr>
        <w:t>Onglyza</w:t>
      </w:r>
      <w:r w:rsidR="00D64773" w:rsidRPr="008333D8">
        <w:rPr>
          <w:i/>
          <w:iCs/>
        </w:rPr>
        <w:t xml:space="preserve"> Product Cases</w:t>
      </w:r>
      <w:r w:rsidR="00D64773" w:rsidRPr="008333D8">
        <w:t xml:space="preserve"> (2023) 90</w:t>
      </w:r>
      <w:r w:rsidR="00930371" w:rsidRPr="008333D8">
        <w:t> </w:t>
      </w:r>
      <w:r w:rsidR="00D64773" w:rsidRPr="008333D8">
        <w:t>Cal.App.5th 776, 781</w:t>
      </w:r>
      <w:r w:rsidR="00930371" w:rsidRPr="008333D8">
        <w:t>, fn.</w:t>
      </w:r>
      <w:r w:rsidR="004D0624" w:rsidRPr="008333D8">
        <w:t> </w:t>
      </w:r>
      <w:r w:rsidR="00930371" w:rsidRPr="008333D8">
        <w:t>3</w:t>
      </w:r>
      <w:r w:rsidR="00C256EA">
        <w:t>, 791</w:t>
      </w:r>
      <w:r w:rsidR="00D64773" w:rsidRPr="008333D8">
        <w:t xml:space="preserve">; see also </w:t>
      </w:r>
      <w:r w:rsidR="00A10D25" w:rsidRPr="008333D8">
        <w:rPr>
          <w:i/>
          <w:iCs/>
        </w:rPr>
        <w:t>Carlin</w:t>
      </w:r>
      <w:r w:rsidR="00A10D25" w:rsidRPr="008333D8">
        <w:t>, at p. 1116;</w:t>
      </w:r>
      <w:bookmarkEnd w:id="10"/>
      <w:r w:rsidR="00A10D25" w:rsidRPr="008333D8">
        <w:t xml:space="preserve"> </w:t>
      </w:r>
      <w:r w:rsidR="003C3301" w:rsidRPr="008333D8">
        <w:rPr>
          <w:i/>
          <w:iCs/>
        </w:rPr>
        <w:t>Gall</w:t>
      </w:r>
      <w:r w:rsidR="003C3301" w:rsidRPr="008333D8">
        <w:t xml:space="preserve">, </w:t>
      </w:r>
      <w:r w:rsidR="003C3301" w:rsidRPr="008333D8">
        <w:rPr>
          <w:i/>
          <w:iCs/>
        </w:rPr>
        <w:t>supra</w:t>
      </w:r>
      <w:r w:rsidR="003C3301" w:rsidRPr="008333D8">
        <w:t xml:space="preserve">, 71 Cal.App.5th at p. 122; </w:t>
      </w:r>
      <w:r w:rsidR="003C3301" w:rsidRPr="008333D8">
        <w:rPr>
          <w:i/>
          <w:iCs/>
        </w:rPr>
        <w:t>Plenger</w:t>
      </w:r>
      <w:r w:rsidR="003C3301" w:rsidRPr="008333D8">
        <w:t xml:space="preserve">, </w:t>
      </w:r>
      <w:r w:rsidR="003C3301" w:rsidRPr="008333D8">
        <w:rPr>
          <w:i/>
          <w:iCs/>
        </w:rPr>
        <w:t>supra</w:t>
      </w:r>
      <w:r w:rsidR="003C3301" w:rsidRPr="008333D8">
        <w:t>, 11 Cal.App.4th at p.</w:t>
      </w:r>
      <w:r w:rsidR="00137CF8" w:rsidRPr="008333D8">
        <w:t> </w:t>
      </w:r>
      <w:r w:rsidR="003C3301" w:rsidRPr="008333D8">
        <w:t>362.)</w:t>
      </w:r>
      <w:r w:rsidR="00075393" w:rsidRPr="008333D8">
        <w:t xml:space="preserve">  </w:t>
      </w:r>
    </w:p>
    <w:p w14:paraId="69AA100F" w14:textId="77777777" w:rsidR="00C63748" w:rsidRPr="008333D8" w:rsidRDefault="00AB1EE5" w:rsidP="00087D20">
      <w:pPr>
        <w:keepNext/>
        <w:ind w:firstLine="720"/>
      </w:pPr>
      <w:r w:rsidRPr="008333D8">
        <w:t xml:space="preserve">In this case, Somatics </w:t>
      </w:r>
      <w:r w:rsidR="001F4D63" w:rsidRPr="008333D8">
        <w:t>assumed</w:t>
      </w:r>
      <w:r w:rsidR="00FA0D44" w:rsidRPr="008333D8">
        <w:t>, solely</w:t>
      </w:r>
      <w:r w:rsidRPr="008333D8">
        <w:t xml:space="preserve"> for the purpose of its summary judgment motio</w:t>
      </w:r>
      <w:r w:rsidRPr="008333D8">
        <w:t>n</w:t>
      </w:r>
      <w:r w:rsidR="00FA0D44" w:rsidRPr="008333D8">
        <w:t>,</w:t>
      </w:r>
      <w:r w:rsidRPr="008333D8">
        <w:t xml:space="preserve"> that Himes will be able to </w:t>
      </w:r>
      <w:r w:rsidR="00C25B3B" w:rsidRPr="008333D8">
        <w:t xml:space="preserve">show that </w:t>
      </w:r>
      <w:r w:rsidR="00FA0D44" w:rsidRPr="008333D8">
        <w:t>its</w:t>
      </w:r>
      <w:r w:rsidR="00C25B3B" w:rsidRPr="008333D8">
        <w:t xml:space="preserve"> ECT device cause</w:t>
      </w:r>
      <w:r w:rsidR="001A4E05">
        <w:t>d</w:t>
      </w:r>
      <w:r w:rsidR="00C25B3B" w:rsidRPr="008333D8">
        <w:t xml:space="preserve"> the </w:t>
      </w:r>
      <w:r w:rsidR="00FA0D44" w:rsidRPr="008333D8">
        <w:t xml:space="preserve">complained-of </w:t>
      </w:r>
      <w:r w:rsidR="00C25B3B" w:rsidRPr="008333D8">
        <w:t xml:space="preserve">injury </w:t>
      </w:r>
      <w:r w:rsidR="00713086" w:rsidRPr="008333D8">
        <w:t>and</w:t>
      </w:r>
      <w:r w:rsidR="00713086">
        <w:t xml:space="preserve"> </w:t>
      </w:r>
      <w:r w:rsidR="00C25B3B" w:rsidRPr="008333D8">
        <w:t>that Somatics inadequately informed</w:t>
      </w:r>
      <w:r w:rsidR="00FA0D44" w:rsidRPr="008333D8">
        <w:t xml:space="preserve"> Himes’s</w:t>
      </w:r>
      <w:r w:rsidR="00C25B3B" w:rsidRPr="008333D8">
        <w:t xml:space="preserve"> physician of the risk of this injury.</w:t>
      </w:r>
      <w:r w:rsidR="003C3301" w:rsidRPr="008333D8">
        <w:t xml:space="preserve"> </w:t>
      </w:r>
      <w:r w:rsidR="00143D0B" w:rsidRPr="008333D8">
        <w:t xml:space="preserve"> </w:t>
      </w:r>
      <w:bookmarkStart w:id="11" w:name="_Hlk155617690"/>
      <w:r w:rsidR="00696FBB">
        <w:t>In addition, t</w:t>
      </w:r>
      <w:r w:rsidR="002B7EF6" w:rsidRPr="008333D8">
        <w:t xml:space="preserve">he Ninth Circuit already determined that </w:t>
      </w:r>
      <w:r w:rsidR="00942D8B" w:rsidRPr="008333D8">
        <w:t>“no reasonable juror could find that [Himes’s] physician would have altered his decision to prescribe the treatment.”</w:t>
      </w:r>
      <w:r w:rsidR="00942D8B">
        <w:t xml:space="preserve">  </w:t>
      </w:r>
      <w:r w:rsidR="00942D8B" w:rsidRPr="008333D8">
        <w:t>(</w:t>
      </w:r>
      <w:r w:rsidR="00942D8B" w:rsidRPr="008333D8">
        <w:rPr>
          <w:i/>
          <w:iCs/>
        </w:rPr>
        <w:t>Himes</w:t>
      </w:r>
      <w:r w:rsidR="00942D8B" w:rsidRPr="008333D8">
        <w:t xml:space="preserve">, </w:t>
      </w:r>
      <w:r w:rsidR="00942D8B" w:rsidRPr="008333D8">
        <w:rPr>
          <w:i/>
          <w:iCs/>
        </w:rPr>
        <w:t>supra</w:t>
      </w:r>
      <w:r w:rsidR="00942D8B" w:rsidRPr="008333D8">
        <w:t>,</w:t>
      </w:r>
      <w:r w:rsidR="00942D8B" w:rsidRPr="008333D8">
        <w:rPr>
          <w:i/>
          <w:iCs/>
        </w:rPr>
        <w:t xml:space="preserve"> </w:t>
      </w:r>
      <w:r w:rsidR="00942D8B" w:rsidRPr="008333D8">
        <w:t>29</w:t>
      </w:r>
      <w:r w:rsidR="002E7BDC">
        <w:t> </w:t>
      </w:r>
      <w:r w:rsidR="00942D8B" w:rsidRPr="008333D8">
        <w:t xml:space="preserve">F.4th at p. 1126.)  </w:t>
      </w:r>
      <w:r w:rsidR="00942D8B">
        <w:t xml:space="preserve">The Ninth Circuit, however, found that </w:t>
      </w:r>
      <w:r w:rsidR="00BE5CF6" w:rsidRPr="008333D8">
        <w:t xml:space="preserve">there is a genuine dispute of material fact as to whether </w:t>
      </w:r>
      <w:r w:rsidR="009A5A95" w:rsidRPr="008333D8">
        <w:t xml:space="preserve">Himes’s physician </w:t>
      </w:r>
      <w:r w:rsidR="0062648C" w:rsidRPr="008333D8">
        <w:t xml:space="preserve">“would have learned of stronger </w:t>
      </w:r>
      <w:r w:rsidR="0062648C" w:rsidRPr="008333D8">
        <w:lastRenderedPageBreak/>
        <w:t>warnings and communicated them to Himes</w:t>
      </w:r>
      <w:r w:rsidR="00942D8B">
        <w:t>.</w:t>
      </w:r>
      <w:r w:rsidR="002B7EF6" w:rsidRPr="008333D8">
        <w:t>”</w:t>
      </w:r>
      <w:r w:rsidR="00942D8B">
        <w:t xml:space="preserve">  (</w:t>
      </w:r>
      <w:r w:rsidR="00942D8B">
        <w:rPr>
          <w:i/>
          <w:iCs/>
        </w:rPr>
        <w:t>Ibid</w:t>
      </w:r>
      <w:r w:rsidR="00942D8B">
        <w:t>.)</w:t>
      </w:r>
      <w:r>
        <w:rPr>
          <w:rStyle w:val="FootnoteReference"/>
        </w:rPr>
        <w:footnoteReference w:id="2"/>
      </w:r>
      <w:bookmarkEnd w:id="11"/>
      <w:r w:rsidR="00942D8B">
        <w:t xml:space="preserve">  </w:t>
      </w:r>
      <w:r w:rsidR="00FA08C3" w:rsidRPr="008333D8">
        <w:t xml:space="preserve">We </w:t>
      </w:r>
      <w:r w:rsidR="00C25B3B" w:rsidRPr="008333D8">
        <w:t xml:space="preserve">therefore </w:t>
      </w:r>
      <w:r w:rsidR="00930371" w:rsidRPr="008333D8">
        <w:t xml:space="preserve">address here </w:t>
      </w:r>
      <w:r w:rsidR="00C25B3B" w:rsidRPr="008333D8">
        <w:t xml:space="preserve">only </w:t>
      </w:r>
      <w:r w:rsidR="00FC088C" w:rsidRPr="008333D8">
        <w:t>whether a p</w:t>
      </w:r>
      <w:r w:rsidR="00930371" w:rsidRPr="008333D8">
        <w:t>laintiff</w:t>
      </w:r>
      <w:r w:rsidR="00150991" w:rsidRPr="008333D8">
        <w:t xml:space="preserve"> </w:t>
      </w:r>
      <w:r w:rsidR="00FC088C" w:rsidRPr="008333D8">
        <w:t>may</w:t>
      </w:r>
      <w:r w:rsidR="00696FBB">
        <w:t xml:space="preserve"> </w:t>
      </w:r>
      <w:r w:rsidR="00FC088C" w:rsidRPr="008333D8">
        <w:t xml:space="preserve">establish </w:t>
      </w:r>
      <w:r w:rsidR="00696FBB">
        <w:t>causation</w:t>
      </w:r>
      <w:r w:rsidR="00FC088C" w:rsidRPr="008333D8">
        <w:t xml:space="preserve"> by</w:t>
      </w:r>
      <w:r w:rsidR="00143D0B" w:rsidRPr="008333D8">
        <w:t xml:space="preserve"> showing that, had the manufacturer provided an adequate warning to </w:t>
      </w:r>
      <w:r w:rsidR="00E07265" w:rsidRPr="008333D8">
        <w:t xml:space="preserve">the </w:t>
      </w:r>
      <w:r w:rsidR="008B1646" w:rsidRPr="008333D8">
        <w:t>p</w:t>
      </w:r>
      <w:r w:rsidR="008B1646">
        <w:t>atient’s</w:t>
      </w:r>
      <w:r w:rsidR="008B1646" w:rsidRPr="008333D8">
        <w:t xml:space="preserve"> </w:t>
      </w:r>
      <w:r w:rsidR="00143D0B" w:rsidRPr="008333D8">
        <w:t xml:space="preserve">physician, the physician would have relayed the warning to </w:t>
      </w:r>
      <w:r w:rsidR="00E07265" w:rsidRPr="008333D8">
        <w:t xml:space="preserve">the </w:t>
      </w:r>
      <w:r w:rsidR="008B1646" w:rsidRPr="008333D8">
        <w:t>p</w:t>
      </w:r>
      <w:r w:rsidR="008B1646">
        <w:t>atient</w:t>
      </w:r>
      <w:r w:rsidR="008B1646" w:rsidRPr="008333D8">
        <w:t xml:space="preserve"> </w:t>
      </w:r>
      <w:r w:rsidR="00143D0B" w:rsidRPr="008333D8">
        <w:t xml:space="preserve">and </w:t>
      </w:r>
      <w:r w:rsidR="00930371" w:rsidRPr="008333D8">
        <w:t>a</w:t>
      </w:r>
      <w:r w:rsidR="008129DD">
        <w:t>n objectively</w:t>
      </w:r>
      <w:r w:rsidR="00930371" w:rsidRPr="008333D8">
        <w:t xml:space="preserve"> prudent p</w:t>
      </w:r>
      <w:r w:rsidR="008D0061" w:rsidRPr="008333D8">
        <w:t>erson</w:t>
      </w:r>
      <w:r w:rsidR="00930371" w:rsidRPr="008333D8">
        <w:t xml:space="preserve"> in the p</w:t>
      </w:r>
      <w:r w:rsidR="008D0061" w:rsidRPr="008333D8">
        <w:t>atient</w:t>
      </w:r>
      <w:r w:rsidR="00930371" w:rsidRPr="008333D8">
        <w:t xml:space="preserve">’s position </w:t>
      </w:r>
      <w:r w:rsidR="00E07265" w:rsidRPr="008333D8">
        <w:t>would have</w:t>
      </w:r>
      <w:r w:rsidR="00143D0B" w:rsidRPr="008333D8">
        <w:t xml:space="preserve"> rejected the treatment, </w:t>
      </w:r>
      <w:r w:rsidR="00930371" w:rsidRPr="008333D8">
        <w:t xml:space="preserve">notwithstanding the fact that the </w:t>
      </w:r>
      <w:r w:rsidR="00FC088C" w:rsidRPr="008333D8">
        <w:t xml:space="preserve">patient’s </w:t>
      </w:r>
      <w:r w:rsidR="00143D0B" w:rsidRPr="008333D8">
        <w:t>physician still would have recommended the treatment.</w:t>
      </w:r>
      <w:r w:rsidR="00E07265" w:rsidRPr="008333D8">
        <w:t xml:space="preserve">  </w:t>
      </w:r>
      <w:r w:rsidR="00254C3B">
        <w:t xml:space="preserve">We do </w:t>
      </w:r>
      <w:bookmarkStart w:id="12" w:name="_Hlk165492202"/>
      <w:r w:rsidR="00254C3B">
        <w:t>not decide whether a plaintiff may establish causation through other means or based on circumstances not encompassed within the Ninth Circuit’s certified question</w:t>
      </w:r>
      <w:bookmarkEnd w:id="12"/>
      <w:r w:rsidR="00254C3B">
        <w:t xml:space="preserve">.  </w:t>
      </w:r>
      <w:r w:rsidR="001510EE" w:rsidRPr="008333D8">
        <w:t xml:space="preserve">We </w:t>
      </w:r>
      <w:r w:rsidR="00254C3B">
        <w:t xml:space="preserve">also </w:t>
      </w:r>
      <w:r w:rsidR="001510EE" w:rsidRPr="008333D8">
        <w:t>note that</w:t>
      </w:r>
      <w:r w:rsidR="008B1646">
        <w:t>,</w:t>
      </w:r>
      <w:r w:rsidR="008E4FAC" w:rsidRPr="008333D8">
        <w:t xml:space="preserve"> regardless of how</w:t>
      </w:r>
      <w:r w:rsidR="001510EE" w:rsidRPr="008333D8">
        <w:t xml:space="preserve"> </w:t>
      </w:r>
      <w:r w:rsidR="008E4FAC" w:rsidRPr="008333D8">
        <w:t>we resolve</w:t>
      </w:r>
      <w:r w:rsidR="001510EE" w:rsidRPr="008333D8">
        <w:t xml:space="preserve"> the causation question </w:t>
      </w:r>
      <w:r w:rsidR="008E4FAC" w:rsidRPr="008333D8">
        <w:t>at issue</w:t>
      </w:r>
      <w:r w:rsidR="001510EE" w:rsidRPr="008333D8">
        <w:t xml:space="preserve"> here, Himes will still need to prove that </w:t>
      </w:r>
      <w:r w:rsidR="008E4FAC" w:rsidRPr="008333D8">
        <w:t>Somatics’s</w:t>
      </w:r>
      <w:r w:rsidR="001510EE" w:rsidRPr="008333D8">
        <w:t xml:space="preserve"> ECT device cause</w:t>
      </w:r>
      <w:r w:rsidR="00696FBB">
        <w:t xml:space="preserve">d her injury </w:t>
      </w:r>
      <w:r w:rsidR="001510EE" w:rsidRPr="008333D8">
        <w:t xml:space="preserve">and that Somatics </w:t>
      </w:r>
      <w:r w:rsidR="00A12617">
        <w:t xml:space="preserve">was required to and failed to </w:t>
      </w:r>
      <w:r w:rsidR="001510EE" w:rsidRPr="008333D8">
        <w:t>adequately inform Himes’s physician of the risk of this injury to prevail on her failure-to-warn claim.</w:t>
      </w:r>
    </w:p>
    <w:p w14:paraId="69AA1010" w14:textId="77777777" w:rsidR="00DF5D94" w:rsidRPr="008333D8" w:rsidRDefault="00AB1EE5" w:rsidP="00087D20">
      <w:pPr>
        <w:keepNext/>
      </w:pPr>
      <w:r w:rsidRPr="008333D8">
        <w:tab/>
      </w:r>
      <w:r w:rsidRPr="00C45036">
        <w:t>Himes</w:t>
      </w:r>
      <w:r w:rsidR="00C97FEE" w:rsidRPr="00C45036">
        <w:t xml:space="preserve"> attempts</w:t>
      </w:r>
      <w:r w:rsidR="00C97FEE" w:rsidRPr="008333D8">
        <w:t xml:space="preserve"> to bypass th</w:t>
      </w:r>
      <w:r w:rsidR="000971D5" w:rsidRPr="008333D8">
        <w:t>e</w:t>
      </w:r>
      <w:r w:rsidR="00841858" w:rsidRPr="008333D8">
        <w:t xml:space="preserve"> causation</w:t>
      </w:r>
      <w:r w:rsidR="00C97FEE" w:rsidRPr="008333D8">
        <w:t xml:space="preserve"> </w:t>
      </w:r>
      <w:r w:rsidR="004C55A9" w:rsidRPr="008333D8">
        <w:t>question</w:t>
      </w:r>
      <w:r w:rsidR="000971D5" w:rsidRPr="008333D8">
        <w:t xml:space="preserve"> at issue</w:t>
      </w:r>
      <w:r w:rsidR="00C97FEE" w:rsidRPr="008333D8">
        <w:t xml:space="preserve"> by</w:t>
      </w:r>
      <w:r w:rsidRPr="008333D8">
        <w:t xml:space="preserve"> incorrectly</w:t>
      </w:r>
      <w:r w:rsidR="006222B7" w:rsidRPr="008333D8">
        <w:t xml:space="preserve"> framing the learn</w:t>
      </w:r>
      <w:r w:rsidR="002B7EF6" w:rsidRPr="008333D8">
        <w:t>ed</w:t>
      </w:r>
      <w:r w:rsidR="006222B7" w:rsidRPr="008333D8">
        <w:t xml:space="preserve"> intermediary doctrine</w:t>
      </w:r>
      <w:r w:rsidR="0065468A" w:rsidRPr="008333D8">
        <w:t xml:space="preserve"> </w:t>
      </w:r>
      <w:r w:rsidR="006222B7" w:rsidRPr="008333D8">
        <w:t>as</w:t>
      </w:r>
      <w:r w:rsidRPr="008333D8">
        <w:t xml:space="preserve"> either</w:t>
      </w:r>
      <w:r w:rsidR="006222B7" w:rsidRPr="008333D8">
        <w:t xml:space="preserve"> a defense</w:t>
      </w:r>
      <w:r w:rsidR="0065468A" w:rsidRPr="008333D8">
        <w:t xml:space="preserve"> or an exception to a manufacturer’s </w:t>
      </w:r>
      <w:r w:rsidR="00ED36F8" w:rsidRPr="008333D8">
        <w:t>usual</w:t>
      </w:r>
      <w:r w:rsidR="0065468A" w:rsidRPr="008333D8">
        <w:t xml:space="preserve"> duty to warn the end</w:t>
      </w:r>
      <w:r w:rsidR="00C85AC6" w:rsidRPr="008333D8">
        <w:t xml:space="preserve"> </w:t>
      </w:r>
      <w:r w:rsidR="0065468A" w:rsidRPr="008333D8">
        <w:t>user directly</w:t>
      </w:r>
      <w:r w:rsidR="002B7EF6" w:rsidRPr="008333D8">
        <w:t xml:space="preserve"> of the risks involved in using </w:t>
      </w:r>
      <w:r w:rsidR="002B7EF6" w:rsidRPr="008333D8">
        <w:lastRenderedPageBreak/>
        <w:t>consumer products</w:t>
      </w:r>
      <w:r w:rsidR="006222B7" w:rsidRPr="008333D8">
        <w:t xml:space="preserve">.  </w:t>
      </w:r>
      <w:r w:rsidR="00ED36F8" w:rsidRPr="008333D8">
        <w:t>In doing so</w:t>
      </w:r>
      <w:r w:rsidRPr="008333D8">
        <w:t xml:space="preserve">, Himes </w:t>
      </w:r>
      <w:r w:rsidR="00BA640E" w:rsidRPr="008333D8">
        <w:t>claims</w:t>
      </w:r>
      <w:r w:rsidRPr="008333D8">
        <w:t xml:space="preserve"> that if a manufacturer</w:t>
      </w:r>
      <w:r w:rsidR="006222B7" w:rsidRPr="008333D8">
        <w:t xml:space="preserve"> fails to provide an adequate warning to the physician, then the</w:t>
      </w:r>
      <w:r w:rsidR="0065468A" w:rsidRPr="008333D8">
        <w:t xml:space="preserve"> </w:t>
      </w:r>
      <w:r w:rsidR="00ED36F8" w:rsidRPr="008333D8">
        <w:t xml:space="preserve">doctrine is rendered </w:t>
      </w:r>
      <w:r w:rsidR="001A04E7" w:rsidRPr="008333D8">
        <w:t>inapplicable,</w:t>
      </w:r>
      <w:r w:rsidR="00ED36F8" w:rsidRPr="008333D8">
        <w:t xml:space="preserve"> and</w:t>
      </w:r>
      <w:r w:rsidR="00881D96" w:rsidRPr="008333D8">
        <w:t xml:space="preserve"> the</w:t>
      </w:r>
      <w:r w:rsidR="00ED36F8" w:rsidRPr="008333D8">
        <w:t xml:space="preserve"> </w:t>
      </w:r>
      <w:r w:rsidR="006222B7" w:rsidRPr="008333D8">
        <w:t xml:space="preserve">manufacturer must warn the patient directly.  </w:t>
      </w:r>
      <w:r w:rsidR="00ED36F8" w:rsidRPr="008333D8">
        <w:t>Himes further asserts that because</w:t>
      </w:r>
      <w:r w:rsidR="00C94F95" w:rsidRPr="008333D8">
        <w:t xml:space="preserve"> Somatics failed to warn </w:t>
      </w:r>
      <w:r w:rsidR="00ED36F8" w:rsidRPr="008333D8">
        <w:t xml:space="preserve">her </w:t>
      </w:r>
      <w:r w:rsidR="00C94F95" w:rsidRPr="008333D8">
        <w:t>physician,</w:t>
      </w:r>
      <w:r w:rsidR="00ED36F8" w:rsidRPr="008333D8">
        <w:t xml:space="preserve"> Somatics should have warned her directly of the risks of ECT and she need not prove that the failure to warn her physician caused her injury.</w:t>
      </w:r>
      <w:r w:rsidRPr="008333D8">
        <w:t xml:space="preserve">  </w:t>
      </w:r>
    </w:p>
    <w:p w14:paraId="69AA1011" w14:textId="77777777" w:rsidR="00F9014B" w:rsidRDefault="00AB1EE5" w:rsidP="00087D20">
      <w:pPr>
        <w:keepNext/>
        <w:ind w:firstLine="720"/>
      </w:pPr>
      <w:bookmarkStart w:id="13" w:name="_Hlk156223539"/>
      <w:r w:rsidRPr="008333D8">
        <w:t xml:space="preserve">The Ninth Circuit </w:t>
      </w:r>
      <w:r w:rsidR="0065468A" w:rsidRPr="008333D8">
        <w:t>rightly</w:t>
      </w:r>
      <w:r w:rsidRPr="008333D8">
        <w:t xml:space="preserve"> rejected this argument</w:t>
      </w:r>
      <w:r w:rsidR="00F938F3" w:rsidRPr="008333D8">
        <w:t xml:space="preserve"> in its unpublished memorandum accompanying its certification order</w:t>
      </w:r>
      <w:r w:rsidRPr="008333D8">
        <w:t>.</w:t>
      </w:r>
      <w:bookmarkEnd w:id="13"/>
      <w:r w:rsidR="005D00E4" w:rsidRPr="008333D8">
        <w:t xml:space="preserve">  (</w:t>
      </w:r>
      <w:r w:rsidR="005D00E4" w:rsidRPr="008333D8">
        <w:rPr>
          <w:i/>
          <w:iCs/>
        </w:rPr>
        <w:t>Himes v. Somatics, LLC</w:t>
      </w:r>
      <w:r w:rsidR="005D00E4" w:rsidRPr="008333D8">
        <w:t xml:space="preserve"> (9th Cir., Mar. 7, 2022, No. 21-55517)</w:t>
      </w:r>
      <w:r w:rsidR="005D00E4" w:rsidRPr="008333D8">
        <w:rPr>
          <w:i/>
          <w:iCs/>
        </w:rPr>
        <w:t xml:space="preserve"> </w:t>
      </w:r>
      <w:r w:rsidRPr="008333D8">
        <w:t>2022 WL 989469,</w:t>
      </w:r>
      <w:r w:rsidR="0080772C">
        <w:t xml:space="preserve"> </w:t>
      </w:r>
      <w:r w:rsidR="00353F0D">
        <w:t>p.</w:t>
      </w:r>
      <w:r w:rsidRPr="008333D8">
        <w:t xml:space="preserve"> *1.</w:t>
      </w:r>
      <w:r w:rsidR="005D00E4" w:rsidRPr="008333D8">
        <w:t>)</w:t>
      </w:r>
      <w:r w:rsidRPr="008333D8">
        <w:t xml:space="preserve">  </w:t>
      </w:r>
      <w:r w:rsidR="005F5A1E">
        <w:t>As the</w:t>
      </w:r>
      <w:r w:rsidR="008B1646">
        <w:t xml:space="preserve"> recent</w:t>
      </w:r>
      <w:r w:rsidR="005F5A1E">
        <w:t xml:space="preserve"> </w:t>
      </w:r>
      <w:r w:rsidR="008B1646">
        <w:t xml:space="preserve">appellate </w:t>
      </w:r>
      <w:r w:rsidR="005F5A1E">
        <w:t xml:space="preserve">court </w:t>
      </w:r>
      <w:r w:rsidR="008B1646">
        <w:t xml:space="preserve">decision </w:t>
      </w:r>
      <w:r w:rsidR="005F5A1E">
        <w:t xml:space="preserve">in </w:t>
      </w:r>
      <w:bookmarkStart w:id="14" w:name="_Hlk168581040"/>
      <w:r w:rsidR="005F5A1E" w:rsidRPr="008333D8">
        <w:rPr>
          <w:i/>
          <w:iCs/>
        </w:rPr>
        <w:t>Amiodarone Cases</w:t>
      </w:r>
      <w:r w:rsidR="005F5A1E" w:rsidRPr="008333D8">
        <w:t xml:space="preserve"> (2022) 84 Cal.App.5th 1091</w:t>
      </w:r>
      <w:r w:rsidR="005F5A1E">
        <w:t xml:space="preserve"> </w:t>
      </w:r>
      <w:bookmarkEnd w:id="14"/>
      <w:r w:rsidR="005F5A1E">
        <w:t xml:space="preserve">correctly </w:t>
      </w:r>
      <w:r w:rsidR="008B1646">
        <w:t>held,</w:t>
      </w:r>
      <w:r w:rsidR="001A04E7">
        <w:t xml:space="preserve"> </w:t>
      </w:r>
      <w:r w:rsidRPr="008333D8">
        <w:t>the learned intermediary doctrine is</w:t>
      </w:r>
      <w:r w:rsidR="007868C4" w:rsidRPr="008333D8">
        <w:t xml:space="preserve"> n</w:t>
      </w:r>
      <w:r w:rsidR="0065468A" w:rsidRPr="008333D8">
        <w:t xml:space="preserve">either a defense nor an exception to </w:t>
      </w:r>
      <w:r w:rsidR="00F927AD" w:rsidRPr="008333D8">
        <w:t xml:space="preserve">a </w:t>
      </w:r>
      <w:r w:rsidR="0065468A" w:rsidRPr="008333D8">
        <w:t>traditional duty rule</w:t>
      </w:r>
      <w:r w:rsidR="0084471E" w:rsidRPr="008333D8">
        <w:t xml:space="preserve">, </w:t>
      </w:r>
      <w:r w:rsidR="00ED36F8" w:rsidRPr="008333D8">
        <w:t>and it does</w:t>
      </w:r>
      <w:r w:rsidR="0084471E" w:rsidRPr="008333D8">
        <w:t xml:space="preserve"> </w:t>
      </w:r>
      <w:r w:rsidR="00ED36F8" w:rsidRPr="008333D8">
        <w:t>not</w:t>
      </w:r>
      <w:r w:rsidR="0084471E" w:rsidRPr="008333D8">
        <w:t xml:space="preserve"> </w:t>
      </w:r>
      <w:r w:rsidR="00ED36F8" w:rsidRPr="008333D8">
        <w:t>cease to apply</w:t>
      </w:r>
      <w:r w:rsidR="0084471E" w:rsidRPr="008333D8">
        <w:t xml:space="preserve"> where a </w:t>
      </w:r>
      <w:r w:rsidR="00C45036" w:rsidRPr="008333D8">
        <w:t>p</w:t>
      </w:r>
      <w:r w:rsidR="00C45036">
        <w:t>laintiff</w:t>
      </w:r>
      <w:r w:rsidR="00C45036" w:rsidRPr="008333D8">
        <w:t xml:space="preserve"> </w:t>
      </w:r>
      <w:r w:rsidR="0084471E" w:rsidRPr="008333D8">
        <w:t xml:space="preserve">alleges that a manufacturer failed to provide an adequate warning to </w:t>
      </w:r>
      <w:r w:rsidR="005C4862" w:rsidRPr="008333D8">
        <w:t>the patient’s</w:t>
      </w:r>
      <w:r w:rsidR="0084471E" w:rsidRPr="008333D8">
        <w:t xml:space="preserve"> </w:t>
      </w:r>
      <w:r w:rsidR="0006727C" w:rsidRPr="008333D8">
        <w:t>physician</w:t>
      </w:r>
      <w:r w:rsidR="007868C4" w:rsidRPr="008333D8">
        <w:t xml:space="preserve">.  </w:t>
      </w:r>
      <w:bookmarkStart w:id="15" w:name="_Hlk155909095"/>
      <w:r w:rsidR="007868C4" w:rsidRPr="008333D8">
        <w:t>(</w:t>
      </w:r>
      <w:r w:rsidR="005F5A1E">
        <w:rPr>
          <w:i/>
          <w:iCs/>
        </w:rPr>
        <w:t xml:space="preserve">Id. </w:t>
      </w:r>
      <w:r w:rsidR="005F5A1E">
        <w:t>at</w:t>
      </w:r>
      <w:r w:rsidR="00DD78DE" w:rsidRPr="008333D8">
        <w:t xml:space="preserve"> 1104</w:t>
      </w:r>
      <w:r w:rsidR="00EE5E4A" w:rsidRPr="008333D8">
        <w:t>–1106</w:t>
      </w:r>
      <w:r w:rsidR="00DD78DE" w:rsidRPr="008333D8">
        <w:t>.)</w:t>
      </w:r>
      <w:bookmarkEnd w:id="15"/>
      <w:r w:rsidR="005F5A1E">
        <w:t xml:space="preserve">  </w:t>
      </w:r>
      <w:r w:rsidR="00C0743C" w:rsidRPr="008333D8">
        <w:t>It</w:t>
      </w:r>
      <w:r w:rsidR="0084471E" w:rsidRPr="008333D8">
        <w:t xml:space="preserve"> instead </w:t>
      </w:r>
      <w:r w:rsidR="005F5A1E">
        <w:t>“</w:t>
      </w:r>
      <w:r w:rsidR="0084471E" w:rsidRPr="008333D8">
        <w:t>defines the scope</w:t>
      </w:r>
      <w:r w:rsidR="005F5A1E">
        <w:t xml:space="preserve"> of a manufacturer’s duty to warn in context of prescription drugs” or medical devices</w:t>
      </w:r>
      <w:r w:rsidR="0064206E">
        <w:t xml:space="preserve"> (</w:t>
      </w:r>
      <w:r w:rsidR="0064206E">
        <w:rPr>
          <w:i/>
          <w:iCs/>
        </w:rPr>
        <w:t>i</w:t>
      </w:r>
      <w:r w:rsidR="005F5A1E">
        <w:rPr>
          <w:i/>
          <w:iCs/>
        </w:rPr>
        <w:t xml:space="preserve">d. </w:t>
      </w:r>
      <w:r w:rsidR="005F5A1E">
        <w:t>at p. 1104)</w:t>
      </w:r>
      <w:r w:rsidR="0064206E">
        <w:t xml:space="preserve"> </w:t>
      </w:r>
      <w:r w:rsidR="00C0743C" w:rsidRPr="008333D8">
        <w:t>by</w:t>
      </w:r>
      <w:r w:rsidR="00F927AD" w:rsidRPr="008333D8">
        <w:t xml:space="preserve"> providing that the manufacturer’s “</w:t>
      </w:r>
      <w:r w:rsidRPr="0064206E">
        <w:t xml:space="preserve">duty to warn runs </w:t>
      </w:r>
      <w:r w:rsidRPr="0064206E">
        <w:rPr>
          <w:i/>
          <w:iCs/>
        </w:rPr>
        <w:t>to the physician</w:t>
      </w:r>
      <w:r w:rsidRPr="008333D8">
        <w:t>, not to the patient</w:t>
      </w:r>
      <w:r w:rsidR="0065468A" w:rsidRPr="008333D8">
        <w:t>”</w:t>
      </w:r>
      <w:r w:rsidR="0006727C" w:rsidRPr="008333D8">
        <w:t xml:space="preserve"> </w:t>
      </w:r>
      <w:r w:rsidRPr="008333D8">
        <w:t>(</w:t>
      </w:r>
      <w:r w:rsidRPr="008333D8">
        <w:rPr>
          <w:i/>
          <w:iCs/>
        </w:rPr>
        <w:t>Carlin</w:t>
      </w:r>
      <w:r w:rsidRPr="008333D8">
        <w:t xml:space="preserve">, </w:t>
      </w:r>
      <w:r w:rsidRPr="008333D8">
        <w:rPr>
          <w:i/>
          <w:iCs/>
        </w:rPr>
        <w:t>supra</w:t>
      </w:r>
      <w:r w:rsidRPr="008333D8">
        <w:t>, 13</w:t>
      </w:r>
      <w:r w:rsidR="00C0743C" w:rsidRPr="008333D8">
        <w:t> </w:t>
      </w:r>
      <w:r w:rsidRPr="008333D8">
        <w:t>Cal.4th at p.</w:t>
      </w:r>
      <w:r w:rsidR="00C0743C" w:rsidRPr="008333D8">
        <w:t> </w:t>
      </w:r>
      <w:r w:rsidRPr="008333D8">
        <w:t>1116</w:t>
      </w:r>
      <w:r w:rsidR="007868C4" w:rsidRPr="008333D8">
        <w:t>)</w:t>
      </w:r>
      <w:r w:rsidR="0064206E">
        <w:t>.</w:t>
      </w:r>
      <w:r w:rsidR="007868C4" w:rsidRPr="008333D8">
        <w:t xml:space="preserve"> </w:t>
      </w:r>
      <w:r w:rsidR="00DD78DE" w:rsidRPr="008333D8">
        <w:t xml:space="preserve"> </w:t>
      </w:r>
      <w:r w:rsidR="006222B7" w:rsidRPr="008333D8">
        <w:t xml:space="preserve">If the manufacturer fails in its duty to adequately warn </w:t>
      </w:r>
      <w:r w:rsidR="0084471E" w:rsidRPr="008333D8">
        <w:t>a</w:t>
      </w:r>
      <w:r w:rsidR="006222B7" w:rsidRPr="008333D8">
        <w:t xml:space="preserve"> physician of the non-negligible risks associated with its prescription drugs or medical devices, the </w:t>
      </w:r>
      <w:r w:rsidRPr="008333D8">
        <w:t xml:space="preserve">manufacturer’s duty to warn </w:t>
      </w:r>
      <w:r w:rsidR="0065468A" w:rsidRPr="008333D8">
        <w:t xml:space="preserve">the physician </w:t>
      </w:r>
      <w:r w:rsidRPr="008333D8">
        <w:t xml:space="preserve">does not </w:t>
      </w:r>
      <w:r w:rsidR="0065468A" w:rsidRPr="008333D8">
        <w:t>transform</w:t>
      </w:r>
      <w:r w:rsidR="00F927AD" w:rsidRPr="008333D8">
        <w:t>, retroactively,</w:t>
      </w:r>
      <w:r w:rsidR="0065468A" w:rsidRPr="008333D8">
        <w:t xml:space="preserve"> into a duty to warn</w:t>
      </w:r>
      <w:r w:rsidRPr="008333D8">
        <w:t xml:space="preserve"> the patient.</w:t>
      </w:r>
      <w:r w:rsidR="006222B7" w:rsidRPr="008333D8">
        <w:t xml:space="preserve">  </w:t>
      </w:r>
      <w:r w:rsidRPr="008333D8">
        <w:t>(</w:t>
      </w:r>
      <w:r w:rsidRPr="008333D8">
        <w:rPr>
          <w:i/>
          <w:iCs/>
        </w:rPr>
        <w:t>Amiodarone</w:t>
      </w:r>
      <w:r w:rsidR="00EE5E4A" w:rsidRPr="008333D8">
        <w:rPr>
          <w:i/>
          <w:iCs/>
        </w:rPr>
        <w:t xml:space="preserve"> Cases</w:t>
      </w:r>
      <w:r w:rsidR="00DD78DE" w:rsidRPr="008333D8">
        <w:t>,</w:t>
      </w:r>
      <w:r w:rsidRPr="008333D8">
        <w:t xml:space="preserve"> at p.</w:t>
      </w:r>
      <w:r w:rsidR="00C45F8A" w:rsidRPr="008333D8">
        <w:t> </w:t>
      </w:r>
      <w:r w:rsidRPr="008333D8">
        <w:t xml:space="preserve">1106.)  </w:t>
      </w:r>
      <w:r w:rsidR="00FC3368" w:rsidRPr="008333D8">
        <w:t>Instead, the</w:t>
      </w:r>
      <w:r w:rsidRPr="008333D8">
        <w:t xml:space="preserve"> </w:t>
      </w:r>
      <w:r w:rsidR="00DD78DE" w:rsidRPr="008333D8">
        <w:t xml:space="preserve">manufacturer’s </w:t>
      </w:r>
      <w:r w:rsidR="0084471E" w:rsidRPr="008333D8">
        <w:t xml:space="preserve">failure to warn the </w:t>
      </w:r>
      <w:r w:rsidR="0064206E">
        <w:t xml:space="preserve">patient’s </w:t>
      </w:r>
      <w:r w:rsidR="0084471E" w:rsidRPr="008333D8">
        <w:t xml:space="preserve">physician </w:t>
      </w:r>
      <w:r w:rsidR="00C45F8A" w:rsidRPr="008333D8">
        <w:t>results in a breach of its</w:t>
      </w:r>
      <w:r w:rsidR="005F5A1E">
        <w:t xml:space="preserve"> general</w:t>
      </w:r>
      <w:r w:rsidR="00C45F8A" w:rsidRPr="008333D8">
        <w:t xml:space="preserve"> duty</w:t>
      </w:r>
      <w:r w:rsidR="005F5A1E">
        <w:t xml:space="preserve"> of care to the patient</w:t>
      </w:r>
      <w:r w:rsidR="005F0071">
        <w:t xml:space="preserve"> </w:t>
      </w:r>
      <w:r w:rsidR="004C01CA">
        <w:t xml:space="preserve">under negligence principles </w:t>
      </w:r>
      <w:r w:rsidR="00353003">
        <w:t xml:space="preserve">or a breach of </w:t>
      </w:r>
      <w:r w:rsidR="005F0071">
        <w:t>its obligation to market a product free from defects under strict liability</w:t>
      </w:r>
      <w:r w:rsidR="00353003">
        <w:t xml:space="preserve"> principles</w:t>
      </w:r>
      <w:r w:rsidR="005F0071">
        <w:t>.  T</w:t>
      </w:r>
      <w:r w:rsidR="00C45F8A" w:rsidRPr="008333D8">
        <w:t>he patient may seek</w:t>
      </w:r>
      <w:r w:rsidR="006222B7" w:rsidRPr="008333D8">
        <w:t xml:space="preserve"> to hold the </w:t>
      </w:r>
      <w:r w:rsidR="006222B7" w:rsidRPr="008333D8">
        <w:lastRenderedPageBreak/>
        <w:t xml:space="preserve">manufacturer liable </w:t>
      </w:r>
      <w:r w:rsidR="00C45F8A" w:rsidRPr="008333D8">
        <w:t xml:space="preserve">by showing that the </w:t>
      </w:r>
      <w:r w:rsidR="00F36AE6">
        <w:t>breach</w:t>
      </w:r>
      <w:r w:rsidR="0064206E">
        <w:t xml:space="preserve"> </w:t>
      </w:r>
      <w:r w:rsidR="007607B6" w:rsidRPr="008333D8">
        <w:t>caused the patient’s injury</w:t>
      </w:r>
      <w:r w:rsidR="006222B7" w:rsidRPr="008333D8">
        <w:t>.</w:t>
      </w:r>
      <w:r w:rsidR="007607B6" w:rsidRPr="008333D8">
        <w:t xml:space="preserve">  </w:t>
      </w:r>
      <w:r w:rsidR="001B4319" w:rsidRPr="008333D8">
        <w:t>(</w:t>
      </w:r>
      <w:r w:rsidR="001B4319" w:rsidRPr="008333D8">
        <w:rPr>
          <w:i/>
          <w:iCs/>
        </w:rPr>
        <w:t>Brown</w:t>
      </w:r>
      <w:r w:rsidR="001B4319" w:rsidRPr="008333D8">
        <w:t xml:space="preserve">, </w:t>
      </w:r>
      <w:r w:rsidR="001B4319" w:rsidRPr="008333D8">
        <w:rPr>
          <w:i/>
          <w:iCs/>
        </w:rPr>
        <w:t>supra</w:t>
      </w:r>
      <w:r w:rsidR="001B4319" w:rsidRPr="008333D8">
        <w:t>, 44</w:t>
      </w:r>
      <w:r w:rsidR="00C45F8A" w:rsidRPr="008333D8">
        <w:t> </w:t>
      </w:r>
      <w:r w:rsidR="001B4319" w:rsidRPr="008333D8">
        <w:t>Cal.3d at p.</w:t>
      </w:r>
      <w:r w:rsidR="00C45F8A" w:rsidRPr="008333D8">
        <w:t> </w:t>
      </w:r>
      <w:r w:rsidR="001B4319" w:rsidRPr="008333D8">
        <w:t>1069, fn. 12; accord, Dobbs on Torts, §</w:t>
      </w:r>
      <w:r w:rsidR="00C45F8A" w:rsidRPr="008333D8">
        <w:t> </w:t>
      </w:r>
      <w:r w:rsidR="001B4319" w:rsidRPr="008333D8">
        <w:t xml:space="preserve">466, </w:t>
      </w:r>
      <w:r w:rsidR="00AC747F">
        <w:t>p. </w:t>
      </w:r>
      <w:r w:rsidR="00853539" w:rsidRPr="008333D8">
        <w:t>959</w:t>
      </w:r>
      <w:r w:rsidR="001B4319" w:rsidRPr="008333D8">
        <w:t>.)</w:t>
      </w:r>
      <w:r w:rsidR="00F75DE2">
        <w:t xml:space="preserve">  </w:t>
      </w:r>
    </w:p>
    <w:p w14:paraId="69AA1012" w14:textId="77777777" w:rsidR="007607B6" w:rsidRPr="00982FDB" w:rsidRDefault="00AB1EE5" w:rsidP="00087D20">
      <w:pPr>
        <w:keepNext/>
        <w:ind w:firstLine="720"/>
        <w:rPr>
          <w:sz w:val="26"/>
        </w:rPr>
      </w:pPr>
      <w:r w:rsidRPr="0054413C">
        <w:t>Himes’</w:t>
      </w:r>
      <w:r>
        <w:t xml:space="preserve">s assertion that, absent a warning to her physician, Somatics had a duty </w:t>
      </w:r>
      <w:r>
        <w:t xml:space="preserve">to warn her directly of the risks of ECT is inconsistent with a fundamental principle underlying the </w:t>
      </w:r>
      <w:r w:rsidR="00C45036">
        <w:t xml:space="preserve">learned intermediary </w:t>
      </w:r>
      <w:r>
        <w:t>doctrine.</w:t>
      </w:r>
      <w:r w:rsidR="00D8657B">
        <w:t xml:space="preserve">  </w:t>
      </w:r>
      <w:r w:rsidR="00D211F7" w:rsidRPr="00FF65D4">
        <w:rPr>
          <w:sz w:val="26"/>
        </w:rPr>
        <w:t>As the Courts of Appeal have repeatedly recognized</w:t>
      </w:r>
      <w:r w:rsidR="00D211F7">
        <w:rPr>
          <w:sz w:val="26"/>
        </w:rPr>
        <w:t xml:space="preserve">, an ordinary patient like Himes has </w:t>
      </w:r>
      <w:r w:rsidR="00D211F7" w:rsidRPr="00D211F7">
        <w:rPr>
          <w:sz w:val="26"/>
        </w:rPr>
        <w:t>“</w:t>
      </w:r>
      <w:r w:rsidR="006C70B7">
        <w:rPr>
          <w:sz w:val="26"/>
        </w:rPr>
        <w:t> </w:t>
      </w:r>
      <w:r w:rsidR="00D211F7" w:rsidRPr="00D211F7">
        <w:rPr>
          <w:sz w:val="26"/>
        </w:rPr>
        <w:t>‘no way to evaluate’</w:t>
      </w:r>
      <w:r w:rsidR="006C70B7">
        <w:rPr>
          <w:sz w:val="26"/>
        </w:rPr>
        <w:t> </w:t>
      </w:r>
      <w:r w:rsidR="00D211F7" w:rsidRPr="00D211F7">
        <w:rPr>
          <w:sz w:val="26"/>
        </w:rPr>
        <w:t>” the “</w:t>
      </w:r>
      <w:r w:rsidR="00D211F7">
        <w:rPr>
          <w:sz w:val="26"/>
        </w:rPr>
        <w:t> </w:t>
      </w:r>
      <w:r w:rsidR="00D211F7" w:rsidRPr="00D211F7">
        <w:rPr>
          <w:sz w:val="26"/>
        </w:rPr>
        <w:t>‘highly technical information’</w:t>
      </w:r>
      <w:r w:rsidR="006C70B7">
        <w:rPr>
          <w:sz w:val="26"/>
        </w:rPr>
        <w:t> </w:t>
      </w:r>
      <w:r w:rsidR="00D211F7" w:rsidRPr="00D211F7">
        <w:rPr>
          <w:sz w:val="26"/>
        </w:rPr>
        <w:t xml:space="preserve">” provided by the manufacturer, and </w:t>
      </w:r>
      <w:r w:rsidR="00D211F7">
        <w:rPr>
          <w:sz w:val="26"/>
        </w:rPr>
        <w:t>her</w:t>
      </w:r>
      <w:r w:rsidR="00D211F7" w:rsidRPr="00D211F7">
        <w:rPr>
          <w:sz w:val="26"/>
        </w:rPr>
        <w:t xml:space="preserve"> unmediated response to such information may “</w:t>
      </w:r>
      <w:r w:rsidR="00D211F7">
        <w:rPr>
          <w:sz w:val="26"/>
        </w:rPr>
        <w:t> </w:t>
      </w:r>
      <w:r w:rsidR="00D211F7" w:rsidRPr="00D211F7">
        <w:rPr>
          <w:sz w:val="26"/>
        </w:rPr>
        <w:t>‘jeopardiz[e] [her] life.’</w:t>
      </w:r>
      <w:r w:rsidR="00D211F7">
        <w:rPr>
          <w:sz w:val="26"/>
        </w:rPr>
        <w:t> </w:t>
      </w:r>
      <w:r w:rsidR="00D211F7" w:rsidRPr="00D211F7">
        <w:rPr>
          <w:sz w:val="26"/>
        </w:rPr>
        <w:t>”  (</w:t>
      </w:r>
      <w:r w:rsidR="00E1391B" w:rsidRPr="00982FDB">
        <w:rPr>
          <w:i/>
          <w:iCs/>
          <w:sz w:val="26"/>
        </w:rPr>
        <w:t>Carmichael v. Reitz</w:t>
      </w:r>
      <w:r w:rsidR="00E1391B" w:rsidRPr="00E1391B">
        <w:rPr>
          <w:sz w:val="26"/>
        </w:rPr>
        <w:t xml:space="preserve"> (1971) 17</w:t>
      </w:r>
      <w:r w:rsidR="00781B4F">
        <w:rPr>
          <w:sz w:val="26"/>
        </w:rPr>
        <w:t> </w:t>
      </w:r>
      <w:r w:rsidR="00E1391B" w:rsidRPr="00E1391B">
        <w:rPr>
          <w:sz w:val="26"/>
        </w:rPr>
        <w:t>Cal.App.3d 958, 98</w:t>
      </w:r>
      <w:r w:rsidR="00E1391B">
        <w:rPr>
          <w:sz w:val="26"/>
        </w:rPr>
        <w:t>9</w:t>
      </w:r>
      <w:r w:rsidR="00E1391B" w:rsidRPr="00E1391B">
        <w:rPr>
          <w:sz w:val="26"/>
        </w:rPr>
        <w:t xml:space="preserve"> </w:t>
      </w:r>
      <w:r w:rsidR="00E1391B">
        <w:rPr>
          <w:sz w:val="26"/>
        </w:rPr>
        <w:t>(</w:t>
      </w:r>
      <w:r w:rsidR="00E1391B">
        <w:rPr>
          <w:i/>
          <w:iCs/>
          <w:sz w:val="26"/>
        </w:rPr>
        <w:t>Carmichael</w:t>
      </w:r>
      <w:r w:rsidR="00E1391B">
        <w:rPr>
          <w:sz w:val="26"/>
        </w:rPr>
        <w:t>)</w:t>
      </w:r>
      <w:r w:rsidR="00D211F7">
        <w:rPr>
          <w:sz w:val="26"/>
        </w:rPr>
        <w:t>; accord</w:t>
      </w:r>
      <w:r w:rsidR="00D8657B">
        <w:rPr>
          <w:sz w:val="26"/>
        </w:rPr>
        <w:t xml:space="preserve">, </w:t>
      </w:r>
      <w:r w:rsidR="00D8657B" w:rsidRPr="00982FDB">
        <w:rPr>
          <w:i/>
          <w:iCs/>
          <w:sz w:val="26"/>
        </w:rPr>
        <w:t>Bigler-Engler v. Breg, Inc</w:t>
      </w:r>
      <w:r w:rsidR="00D8657B" w:rsidRPr="00D8657B">
        <w:rPr>
          <w:sz w:val="26"/>
        </w:rPr>
        <w:t>. (2017) 7</w:t>
      </w:r>
      <w:r w:rsidR="00D8657B">
        <w:rPr>
          <w:sz w:val="26"/>
        </w:rPr>
        <w:t> </w:t>
      </w:r>
      <w:r w:rsidR="00D8657B" w:rsidRPr="00D8657B">
        <w:rPr>
          <w:sz w:val="26"/>
        </w:rPr>
        <w:t>Cal.App.5th 276, 319</w:t>
      </w:r>
      <w:r w:rsidR="00D8657B">
        <w:rPr>
          <w:sz w:val="26"/>
        </w:rPr>
        <w:t xml:space="preserve">; </w:t>
      </w:r>
      <w:r w:rsidR="00D8657B" w:rsidRPr="00982FDB">
        <w:rPr>
          <w:i/>
          <w:iCs/>
          <w:sz w:val="26"/>
        </w:rPr>
        <w:t>Plenger</w:t>
      </w:r>
      <w:r w:rsidR="00D8657B">
        <w:rPr>
          <w:sz w:val="26"/>
        </w:rPr>
        <w:t xml:space="preserve">, </w:t>
      </w:r>
      <w:r w:rsidR="00D8657B" w:rsidRPr="00982FDB">
        <w:rPr>
          <w:i/>
          <w:iCs/>
          <w:sz w:val="26"/>
        </w:rPr>
        <w:t>supra</w:t>
      </w:r>
      <w:r w:rsidR="00D8657B">
        <w:rPr>
          <w:sz w:val="26"/>
        </w:rPr>
        <w:t>,</w:t>
      </w:r>
      <w:r w:rsidR="00D8657B" w:rsidRPr="00D8657B">
        <w:rPr>
          <w:sz w:val="26"/>
        </w:rPr>
        <w:t xml:space="preserve"> 11</w:t>
      </w:r>
      <w:r w:rsidR="00DB040B">
        <w:rPr>
          <w:sz w:val="26"/>
        </w:rPr>
        <w:t> </w:t>
      </w:r>
      <w:r w:rsidR="00D8657B" w:rsidRPr="00D8657B">
        <w:rPr>
          <w:sz w:val="26"/>
        </w:rPr>
        <w:t xml:space="preserve">Cal.App.4th </w:t>
      </w:r>
      <w:r w:rsidR="00D8657B">
        <w:rPr>
          <w:sz w:val="26"/>
        </w:rPr>
        <w:t>at p. </w:t>
      </w:r>
      <w:r w:rsidR="00D8657B" w:rsidRPr="00D8657B">
        <w:rPr>
          <w:sz w:val="26"/>
        </w:rPr>
        <w:t>362</w:t>
      </w:r>
      <w:r w:rsidR="00D8657B">
        <w:rPr>
          <w:sz w:val="26"/>
        </w:rPr>
        <w:t xml:space="preserve">, fn. 6; </w:t>
      </w:r>
      <w:r w:rsidR="00D8657B" w:rsidRPr="00982FDB">
        <w:rPr>
          <w:i/>
          <w:iCs/>
          <w:sz w:val="26"/>
        </w:rPr>
        <w:t>Fogo v. Cutter Laboratories, Inc.</w:t>
      </w:r>
      <w:r w:rsidR="00D8657B" w:rsidRPr="00D8657B">
        <w:rPr>
          <w:sz w:val="26"/>
        </w:rPr>
        <w:t xml:space="preserve"> (1977) 68</w:t>
      </w:r>
      <w:r w:rsidR="00D8657B">
        <w:rPr>
          <w:sz w:val="26"/>
        </w:rPr>
        <w:t> </w:t>
      </w:r>
      <w:r w:rsidR="00D8657B" w:rsidRPr="00D8657B">
        <w:rPr>
          <w:sz w:val="26"/>
        </w:rPr>
        <w:t>Cal.App.3d 744, 754</w:t>
      </w:r>
      <w:r w:rsidR="00D211F7" w:rsidRPr="00D211F7">
        <w:rPr>
          <w:sz w:val="26"/>
        </w:rPr>
        <w:t>.)</w:t>
      </w:r>
      <w:r w:rsidR="00D8657B">
        <w:rPr>
          <w:sz w:val="26"/>
        </w:rPr>
        <w:t xml:space="preserve">  </w:t>
      </w:r>
      <w:r w:rsidR="0054413C">
        <w:rPr>
          <w:sz w:val="26"/>
        </w:rPr>
        <w:t xml:space="preserve">For this reason, </w:t>
      </w:r>
      <w:r w:rsidR="00D211F7" w:rsidRPr="00D211F7">
        <w:rPr>
          <w:sz w:val="26"/>
        </w:rPr>
        <w:t>“</w:t>
      </w:r>
      <w:r w:rsidR="00D8657B">
        <w:rPr>
          <w:sz w:val="26"/>
        </w:rPr>
        <w:t>[t]</w:t>
      </w:r>
      <w:r w:rsidR="00D211F7" w:rsidRPr="00D211F7">
        <w:rPr>
          <w:sz w:val="26"/>
        </w:rPr>
        <w:t xml:space="preserve">he law and medical ethics both demand that doctors, for their patients’ benefit, evaluate scientific information about prescription drugs and </w:t>
      </w:r>
      <w:r w:rsidR="00B13779">
        <w:rPr>
          <w:sz w:val="26"/>
        </w:rPr>
        <w:t>[many medical devices]</w:t>
      </w:r>
      <w:r w:rsidR="00D8657B">
        <w:rPr>
          <w:sz w:val="26"/>
        </w:rPr>
        <w:t>”</w:t>
      </w:r>
      <w:r w:rsidR="00D211F7" w:rsidRPr="00D211F7">
        <w:rPr>
          <w:sz w:val="26"/>
        </w:rPr>
        <w:t xml:space="preserve"> (</w:t>
      </w:r>
      <w:r w:rsidR="00D211F7" w:rsidRPr="00982FDB">
        <w:rPr>
          <w:i/>
          <w:iCs/>
          <w:sz w:val="26"/>
        </w:rPr>
        <w:t>Gall</w:t>
      </w:r>
      <w:r w:rsidR="00D94BE4">
        <w:rPr>
          <w:sz w:val="26"/>
        </w:rPr>
        <w:t xml:space="preserve">, </w:t>
      </w:r>
      <w:r w:rsidR="00D94BE4" w:rsidRPr="00982FDB">
        <w:rPr>
          <w:i/>
          <w:iCs/>
          <w:sz w:val="26"/>
        </w:rPr>
        <w:t>supra</w:t>
      </w:r>
      <w:r w:rsidR="00D94BE4">
        <w:rPr>
          <w:sz w:val="26"/>
        </w:rPr>
        <w:t xml:space="preserve">, </w:t>
      </w:r>
      <w:r w:rsidR="00D211F7" w:rsidRPr="00D211F7">
        <w:rPr>
          <w:sz w:val="26"/>
        </w:rPr>
        <w:t>71</w:t>
      </w:r>
      <w:r w:rsidR="00D94BE4">
        <w:rPr>
          <w:sz w:val="26"/>
        </w:rPr>
        <w:t> </w:t>
      </w:r>
      <w:r w:rsidR="00D211F7" w:rsidRPr="00D211F7">
        <w:rPr>
          <w:sz w:val="26"/>
        </w:rPr>
        <w:t xml:space="preserve">Cal.App.5th </w:t>
      </w:r>
      <w:r w:rsidR="00D94BE4">
        <w:rPr>
          <w:sz w:val="26"/>
        </w:rPr>
        <w:t>at p. </w:t>
      </w:r>
      <w:r w:rsidR="00D211F7" w:rsidRPr="00D211F7">
        <w:rPr>
          <w:sz w:val="26"/>
        </w:rPr>
        <w:t>122)</w:t>
      </w:r>
      <w:r w:rsidR="00B22156">
        <w:rPr>
          <w:sz w:val="26"/>
        </w:rPr>
        <w:t xml:space="preserve"> and relay any material information to their patients </w:t>
      </w:r>
      <w:r w:rsidR="00D94BE4">
        <w:rPr>
          <w:sz w:val="26"/>
        </w:rPr>
        <w:t>(</w:t>
      </w:r>
      <w:r w:rsidR="00D94BE4" w:rsidRPr="00982FDB">
        <w:rPr>
          <w:i/>
          <w:iCs/>
          <w:sz w:val="26"/>
        </w:rPr>
        <w:t>Cobbs</w:t>
      </w:r>
      <w:r w:rsidR="00D94BE4" w:rsidRPr="00D94BE4">
        <w:rPr>
          <w:sz w:val="26"/>
        </w:rPr>
        <w:t xml:space="preserve">, </w:t>
      </w:r>
      <w:r w:rsidR="00D94BE4" w:rsidRPr="00982FDB">
        <w:rPr>
          <w:i/>
          <w:iCs/>
          <w:sz w:val="26"/>
        </w:rPr>
        <w:t>supra</w:t>
      </w:r>
      <w:r w:rsidR="00D94BE4" w:rsidRPr="00D94BE4">
        <w:rPr>
          <w:sz w:val="26"/>
        </w:rPr>
        <w:t>, 8</w:t>
      </w:r>
      <w:r w:rsidR="00781B4F">
        <w:rPr>
          <w:sz w:val="26"/>
        </w:rPr>
        <w:t> </w:t>
      </w:r>
      <w:r w:rsidR="00D94BE4" w:rsidRPr="00D94BE4">
        <w:rPr>
          <w:sz w:val="26"/>
        </w:rPr>
        <w:t>Cal.3d at p.</w:t>
      </w:r>
      <w:r w:rsidR="0054413C">
        <w:rPr>
          <w:sz w:val="26"/>
        </w:rPr>
        <w:t> </w:t>
      </w:r>
      <w:r w:rsidR="00D94BE4" w:rsidRPr="00D94BE4">
        <w:rPr>
          <w:sz w:val="26"/>
        </w:rPr>
        <w:t>245</w:t>
      </w:r>
      <w:r w:rsidR="00D94BE4">
        <w:rPr>
          <w:sz w:val="26"/>
        </w:rPr>
        <w:t>).</w:t>
      </w:r>
      <w:r w:rsidR="00D8657B">
        <w:rPr>
          <w:sz w:val="26"/>
        </w:rPr>
        <w:t xml:space="preserve">  </w:t>
      </w:r>
      <w:r w:rsidR="00BB747A">
        <w:rPr>
          <w:sz w:val="26"/>
        </w:rPr>
        <w:t>Thus, t</w:t>
      </w:r>
      <w:r w:rsidR="00B13779" w:rsidRPr="00B13779">
        <w:rPr>
          <w:sz w:val="26"/>
        </w:rPr>
        <w:t xml:space="preserve">he </w:t>
      </w:r>
      <w:r w:rsidR="00B13779">
        <w:rPr>
          <w:sz w:val="26"/>
        </w:rPr>
        <w:t>“</w:t>
      </w:r>
      <w:r w:rsidR="00B13779" w:rsidRPr="00B13779">
        <w:rPr>
          <w:sz w:val="26"/>
        </w:rPr>
        <w:t>absence of an adequate warning about a prescription drug</w:t>
      </w:r>
      <w:r w:rsidR="00022648">
        <w:rPr>
          <w:sz w:val="26"/>
        </w:rPr>
        <w:t xml:space="preserve"> [or medical device]</w:t>
      </w:r>
      <w:r w:rsidR="00B13779" w:rsidRPr="00B13779">
        <w:rPr>
          <w:sz w:val="26"/>
        </w:rPr>
        <w:t xml:space="preserve"> to a physician</w:t>
      </w:r>
      <w:r w:rsidR="00B13779">
        <w:rPr>
          <w:sz w:val="26"/>
        </w:rPr>
        <w:t>”</w:t>
      </w:r>
      <w:r w:rsidR="00B13779" w:rsidRPr="00B13779">
        <w:rPr>
          <w:sz w:val="26"/>
        </w:rPr>
        <w:t xml:space="preserve"> does not </w:t>
      </w:r>
      <w:r w:rsidR="00B13779">
        <w:rPr>
          <w:sz w:val="26"/>
        </w:rPr>
        <w:t>“</w:t>
      </w:r>
      <w:r w:rsidR="00B13779" w:rsidRPr="00B13779">
        <w:rPr>
          <w:sz w:val="26"/>
        </w:rPr>
        <w:t>result in a duty to provide a warning to the patient.</w:t>
      </w:r>
      <w:r w:rsidR="00B13779">
        <w:rPr>
          <w:sz w:val="26"/>
        </w:rPr>
        <w:t>”</w:t>
      </w:r>
      <w:r w:rsidR="00B13779" w:rsidRPr="00B13779">
        <w:rPr>
          <w:sz w:val="26"/>
        </w:rPr>
        <w:t xml:space="preserve">  </w:t>
      </w:r>
      <w:r w:rsidR="00D211F7" w:rsidRPr="00D211F7">
        <w:rPr>
          <w:sz w:val="26"/>
        </w:rPr>
        <w:t>(</w:t>
      </w:r>
      <w:r w:rsidR="00D211F7" w:rsidRPr="00982FDB">
        <w:rPr>
          <w:i/>
          <w:iCs/>
          <w:sz w:val="26"/>
        </w:rPr>
        <w:t>Amiodarone Cases</w:t>
      </w:r>
      <w:r w:rsidR="00D94BE4">
        <w:rPr>
          <w:sz w:val="26"/>
        </w:rPr>
        <w:t xml:space="preserve">, </w:t>
      </w:r>
      <w:r w:rsidR="00D94BE4" w:rsidRPr="00982FDB">
        <w:rPr>
          <w:i/>
          <w:iCs/>
          <w:sz w:val="26"/>
        </w:rPr>
        <w:t>supra</w:t>
      </w:r>
      <w:r w:rsidR="00D94BE4">
        <w:rPr>
          <w:sz w:val="26"/>
        </w:rPr>
        <w:t>,</w:t>
      </w:r>
      <w:r w:rsidR="00D211F7" w:rsidRPr="00D211F7">
        <w:rPr>
          <w:sz w:val="26"/>
        </w:rPr>
        <w:t xml:space="preserve"> 84</w:t>
      </w:r>
      <w:r w:rsidR="00D94BE4">
        <w:rPr>
          <w:sz w:val="26"/>
        </w:rPr>
        <w:t> </w:t>
      </w:r>
      <w:r w:rsidR="00D211F7" w:rsidRPr="00D211F7">
        <w:rPr>
          <w:sz w:val="26"/>
        </w:rPr>
        <w:t xml:space="preserve">Cal.App.5th </w:t>
      </w:r>
      <w:r w:rsidR="00D94BE4">
        <w:rPr>
          <w:sz w:val="26"/>
        </w:rPr>
        <w:t>at p. </w:t>
      </w:r>
      <w:r w:rsidR="00D211F7" w:rsidRPr="00D211F7">
        <w:rPr>
          <w:sz w:val="26"/>
        </w:rPr>
        <w:t>110</w:t>
      </w:r>
      <w:r w:rsidR="00B13779">
        <w:rPr>
          <w:sz w:val="26"/>
        </w:rPr>
        <w:t>6</w:t>
      </w:r>
      <w:r w:rsidR="00D211F7" w:rsidRPr="00D211F7">
        <w:rPr>
          <w:sz w:val="26"/>
        </w:rPr>
        <w:t>.)</w:t>
      </w:r>
      <w:r w:rsidR="00D211F7">
        <w:t xml:space="preserve"> </w:t>
      </w:r>
    </w:p>
    <w:p w14:paraId="69AA1013" w14:textId="77777777" w:rsidR="006244B6" w:rsidRPr="008333D8" w:rsidRDefault="00AB1EE5" w:rsidP="00087D20">
      <w:pPr>
        <w:keepNext/>
      </w:pPr>
      <w:r w:rsidRPr="008333D8">
        <w:tab/>
        <w:t>The cases on which Himes</w:t>
      </w:r>
      <w:r w:rsidRPr="008333D8">
        <w:rPr>
          <w:i/>
          <w:iCs/>
        </w:rPr>
        <w:t xml:space="preserve"> </w:t>
      </w:r>
      <w:r w:rsidRPr="008333D8">
        <w:t xml:space="preserve">relies do not </w:t>
      </w:r>
      <w:r w:rsidR="00AD651C" w:rsidRPr="008333D8">
        <w:t>hold</w:t>
      </w:r>
      <w:r w:rsidRPr="008333D8">
        <w:t xml:space="preserve"> otherwise.  </w:t>
      </w:r>
      <w:r w:rsidR="002F6F7A" w:rsidRPr="008333D8">
        <w:t xml:space="preserve">Most of the </w:t>
      </w:r>
      <w:r w:rsidR="00FB4B4D" w:rsidRPr="008333D8">
        <w:t>decisions</w:t>
      </w:r>
      <w:r w:rsidR="002F6F7A" w:rsidRPr="008333D8">
        <w:t xml:space="preserve"> Himes cites stand for the unremarkable principle that</w:t>
      </w:r>
      <w:r w:rsidR="000B16F1" w:rsidRPr="008333D8">
        <w:t>, where a manufacturer gives adequate warnings to a physician, it</w:t>
      </w:r>
      <w:r w:rsidR="00E82B7B" w:rsidRPr="008333D8">
        <w:t xml:space="preserve"> fulfill</w:t>
      </w:r>
      <w:r w:rsidR="00FD783D">
        <w:t>s</w:t>
      </w:r>
      <w:r w:rsidR="00E82B7B" w:rsidRPr="008333D8">
        <w:t xml:space="preserve"> its duty </w:t>
      </w:r>
      <w:r w:rsidR="00FB4B4D" w:rsidRPr="008333D8">
        <w:t xml:space="preserve">to warn </w:t>
      </w:r>
      <w:r w:rsidR="00E82B7B" w:rsidRPr="008333D8">
        <w:t>and</w:t>
      </w:r>
      <w:r w:rsidR="000B16F1" w:rsidRPr="008333D8">
        <w:t xml:space="preserve"> </w:t>
      </w:r>
      <w:r w:rsidR="008235C4" w:rsidRPr="008333D8">
        <w:t>does not need to ensure that the warning reaches the</w:t>
      </w:r>
      <w:r w:rsidR="000B16F1" w:rsidRPr="008333D8">
        <w:t xml:space="preserve"> patient.  (</w:t>
      </w:r>
      <w:r w:rsidR="00E82B7B" w:rsidRPr="008333D8">
        <w:rPr>
          <w:i/>
          <w:iCs/>
        </w:rPr>
        <w:t>Carlin</w:t>
      </w:r>
      <w:r w:rsidR="00E82B7B" w:rsidRPr="008333D8">
        <w:t xml:space="preserve">, </w:t>
      </w:r>
      <w:r w:rsidR="00E82B7B" w:rsidRPr="008333D8">
        <w:rPr>
          <w:i/>
          <w:iCs/>
        </w:rPr>
        <w:t>supra</w:t>
      </w:r>
      <w:r w:rsidR="00E82B7B" w:rsidRPr="008333D8">
        <w:t>, 13</w:t>
      </w:r>
      <w:r w:rsidR="001F097A" w:rsidRPr="008333D8">
        <w:t> </w:t>
      </w:r>
      <w:r w:rsidR="00E82B7B" w:rsidRPr="008333D8">
        <w:t>Cal.4th at p.</w:t>
      </w:r>
      <w:r w:rsidR="001F097A" w:rsidRPr="008333D8">
        <w:t> </w:t>
      </w:r>
      <w:r w:rsidR="00E82B7B" w:rsidRPr="008333D8">
        <w:t xml:space="preserve">1116; </w:t>
      </w:r>
      <w:bookmarkStart w:id="16" w:name="_Hlk155909114"/>
      <w:r w:rsidR="00C46C5E" w:rsidRPr="008333D8">
        <w:rPr>
          <w:i/>
          <w:iCs/>
        </w:rPr>
        <w:t>Stevens</w:t>
      </w:r>
      <w:r w:rsidR="00ED73FE">
        <w:t xml:space="preserve">, </w:t>
      </w:r>
      <w:r w:rsidR="00ED73FE">
        <w:rPr>
          <w:i/>
          <w:iCs/>
        </w:rPr>
        <w:t>supra</w:t>
      </w:r>
      <w:r w:rsidR="00ED73FE">
        <w:t>,</w:t>
      </w:r>
      <w:r w:rsidR="00C46C5E" w:rsidRPr="008333D8">
        <w:rPr>
          <w:i/>
          <w:iCs/>
        </w:rPr>
        <w:t xml:space="preserve"> </w:t>
      </w:r>
      <w:r w:rsidR="00C46C5E" w:rsidRPr="008333D8">
        <w:t>9</w:t>
      </w:r>
      <w:r w:rsidR="009D4F40" w:rsidRPr="008333D8">
        <w:t> </w:t>
      </w:r>
      <w:r w:rsidR="00C46C5E" w:rsidRPr="008333D8">
        <w:t xml:space="preserve">Cal.3d </w:t>
      </w:r>
      <w:r w:rsidR="00ED73FE">
        <w:t>at p. </w:t>
      </w:r>
      <w:r w:rsidR="00E82B7B" w:rsidRPr="008333D8">
        <w:t>65</w:t>
      </w:r>
      <w:bookmarkEnd w:id="16"/>
      <w:r w:rsidR="00E82B7B" w:rsidRPr="008333D8">
        <w:t>;</w:t>
      </w:r>
      <w:r w:rsidR="00A15AD9" w:rsidRPr="008333D8">
        <w:t xml:space="preserve"> </w:t>
      </w:r>
      <w:r w:rsidR="00A15AD9" w:rsidRPr="008333D8">
        <w:rPr>
          <w:i/>
          <w:iCs/>
        </w:rPr>
        <w:t>Brown</w:t>
      </w:r>
      <w:r w:rsidR="00A15AD9" w:rsidRPr="008333D8">
        <w:t xml:space="preserve">, </w:t>
      </w:r>
      <w:r w:rsidR="00A15AD9" w:rsidRPr="008333D8">
        <w:rPr>
          <w:i/>
          <w:iCs/>
        </w:rPr>
        <w:t>supra</w:t>
      </w:r>
      <w:r w:rsidR="00A15AD9" w:rsidRPr="008333D8">
        <w:t>, 44</w:t>
      </w:r>
      <w:r w:rsidR="001F097A" w:rsidRPr="008333D8">
        <w:t> </w:t>
      </w:r>
      <w:r w:rsidR="00A15AD9" w:rsidRPr="008333D8">
        <w:t>Cal.3d at p.</w:t>
      </w:r>
      <w:r w:rsidR="001F097A" w:rsidRPr="008333D8">
        <w:t> </w:t>
      </w:r>
      <w:r w:rsidR="00A15AD9" w:rsidRPr="008333D8">
        <w:t>1062;</w:t>
      </w:r>
      <w:r w:rsidR="00E82B7B" w:rsidRPr="008333D8">
        <w:t xml:space="preserve"> </w:t>
      </w:r>
      <w:r w:rsidR="00E82B7B" w:rsidRPr="008333D8">
        <w:rPr>
          <w:i/>
          <w:iCs/>
        </w:rPr>
        <w:t>Carmichael</w:t>
      </w:r>
      <w:r w:rsidR="00E82B7B" w:rsidRPr="008333D8">
        <w:t>,</w:t>
      </w:r>
      <w:r w:rsidR="002F6E17" w:rsidRPr="008333D8">
        <w:t xml:space="preserve"> </w:t>
      </w:r>
      <w:r w:rsidR="002F6E17" w:rsidRPr="008333D8">
        <w:rPr>
          <w:i/>
          <w:iCs/>
        </w:rPr>
        <w:t>supra</w:t>
      </w:r>
      <w:r w:rsidR="002F6E17" w:rsidRPr="008333D8">
        <w:t>,</w:t>
      </w:r>
      <w:r w:rsidR="00E82B7B" w:rsidRPr="008333D8">
        <w:t xml:space="preserve"> 17</w:t>
      </w:r>
      <w:r w:rsidR="001F097A" w:rsidRPr="008333D8">
        <w:t> </w:t>
      </w:r>
      <w:r w:rsidR="00E82B7B" w:rsidRPr="008333D8">
        <w:t>Cal.App.3d at p.</w:t>
      </w:r>
      <w:r w:rsidR="001F097A" w:rsidRPr="008333D8">
        <w:t> </w:t>
      </w:r>
      <w:r w:rsidR="00E82B7B" w:rsidRPr="008333D8">
        <w:t xml:space="preserve">994; </w:t>
      </w:r>
      <w:bookmarkStart w:id="17" w:name="_Hlk155909129"/>
      <w:r w:rsidR="002F6E17" w:rsidRPr="008333D8">
        <w:rPr>
          <w:i/>
          <w:iCs/>
        </w:rPr>
        <w:t>Love v. Wolf</w:t>
      </w:r>
      <w:r w:rsidR="002F6E17" w:rsidRPr="008333D8">
        <w:t xml:space="preserve"> (1964) 226 Cal.App.2d 378, 395</w:t>
      </w:r>
      <w:bookmarkEnd w:id="17"/>
      <w:r w:rsidR="000B16F1" w:rsidRPr="008333D8">
        <w:t>.)</w:t>
      </w:r>
      <w:r w:rsidR="00A15AD9" w:rsidRPr="008333D8">
        <w:t xml:space="preserve">  </w:t>
      </w:r>
      <w:r w:rsidR="00FB4B4D" w:rsidRPr="008333D8">
        <w:t xml:space="preserve">And </w:t>
      </w:r>
      <w:r w:rsidR="001F097A" w:rsidRPr="008333D8">
        <w:lastRenderedPageBreak/>
        <w:t>while</w:t>
      </w:r>
      <w:r w:rsidR="00FB4B4D" w:rsidRPr="008333D8">
        <w:t xml:space="preserve"> the court in </w:t>
      </w:r>
      <w:bookmarkStart w:id="18" w:name="_Hlk155909146"/>
      <w:r w:rsidR="00A15AD9" w:rsidRPr="008333D8">
        <w:rPr>
          <w:i/>
          <w:iCs/>
        </w:rPr>
        <w:t>Hill v. Novartis Pharmaceuticals Corp.</w:t>
      </w:r>
      <w:r w:rsidR="00A15AD9" w:rsidRPr="008333D8">
        <w:t xml:space="preserve"> (E.D.Cal. 2013) 944</w:t>
      </w:r>
      <w:r w:rsidR="001F097A" w:rsidRPr="008333D8">
        <w:t> </w:t>
      </w:r>
      <w:r w:rsidR="00A15AD9" w:rsidRPr="008333D8">
        <w:t>F.Supp.2d 943</w:t>
      </w:r>
      <w:r w:rsidR="00A15AD9" w:rsidRPr="008333D8">
        <w:rPr>
          <w:i/>
          <w:iCs/>
        </w:rPr>
        <w:t xml:space="preserve"> </w:t>
      </w:r>
      <w:bookmarkEnd w:id="18"/>
      <w:r w:rsidR="00A15AD9" w:rsidRPr="008333D8">
        <w:t>claimed that the learned intermediary doctrine “</w:t>
      </w:r>
      <w:r w:rsidR="000363AA" w:rsidRPr="008333D8">
        <w:t> </w:t>
      </w:r>
      <w:r w:rsidR="00A15AD9" w:rsidRPr="008333D8">
        <w:t>‘applies only if a manufacturer provided adequate warnings to the intermediary’ ”</w:t>
      </w:r>
      <w:r w:rsidR="00FB4B4D" w:rsidRPr="008333D8">
        <w:t xml:space="preserve"> (</w:t>
      </w:r>
      <w:r w:rsidR="00FB4B4D" w:rsidRPr="008333D8">
        <w:rPr>
          <w:i/>
          <w:iCs/>
        </w:rPr>
        <w:t xml:space="preserve">id. </w:t>
      </w:r>
      <w:r w:rsidR="00FB4B4D" w:rsidRPr="008333D8">
        <w:t>at p.</w:t>
      </w:r>
      <w:r w:rsidR="001F097A" w:rsidRPr="008333D8">
        <w:t> </w:t>
      </w:r>
      <w:r w:rsidR="00FB4B4D" w:rsidRPr="008333D8">
        <w:t>953),</w:t>
      </w:r>
      <w:r w:rsidR="00A15AD9" w:rsidRPr="008333D8">
        <w:t xml:space="preserve"> it quoted </w:t>
      </w:r>
      <w:bookmarkStart w:id="19" w:name="_Hlk156170681"/>
      <w:r w:rsidR="00A15AD9" w:rsidRPr="008333D8">
        <w:rPr>
          <w:i/>
          <w:iCs/>
        </w:rPr>
        <w:t>Stewart v. Union Carbide Corp.</w:t>
      </w:r>
      <w:r w:rsidR="00A15AD9" w:rsidRPr="008333D8">
        <w:t xml:space="preserve"> (2010) 190</w:t>
      </w:r>
      <w:r w:rsidR="001F097A" w:rsidRPr="008333D8">
        <w:t> </w:t>
      </w:r>
      <w:r w:rsidR="00A15AD9" w:rsidRPr="008333D8">
        <w:t>Cal.App.4th 23</w:t>
      </w:r>
      <w:bookmarkEnd w:id="19"/>
      <w:r w:rsidR="00A15AD9" w:rsidRPr="008333D8">
        <w:t xml:space="preserve"> for this principle — a decision </w:t>
      </w:r>
      <w:r w:rsidR="001F097A" w:rsidRPr="008333D8">
        <w:t>involving</w:t>
      </w:r>
      <w:r w:rsidR="00A15AD9" w:rsidRPr="008333D8">
        <w:t xml:space="preserve"> the </w:t>
      </w:r>
      <w:r w:rsidR="00FB4B4D" w:rsidRPr="008333D8">
        <w:t xml:space="preserve">distinct </w:t>
      </w:r>
      <w:r w:rsidR="00A15AD9" w:rsidRPr="008333D8">
        <w:t xml:space="preserve">sophisticated intermediary doctrine </w:t>
      </w:r>
      <w:r w:rsidR="00FB4B4D" w:rsidRPr="008333D8">
        <w:t>and which we disapproved of on this very point</w:t>
      </w:r>
      <w:r w:rsidRPr="008333D8">
        <w:t>.</w:t>
      </w:r>
      <w:r w:rsidR="00A15AD9" w:rsidRPr="008333D8">
        <w:t xml:space="preserve">  </w:t>
      </w:r>
      <w:bookmarkStart w:id="20" w:name="_Hlk155909155"/>
      <w:r w:rsidR="00D93A4D" w:rsidRPr="008333D8">
        <w:t>(</w:t>
      </w:r>
      <w:r w:rsidRPr="008333D8">
        <w:rPr>
          <w:i/>
          <w:iCs/>
        </w:rPr>
        <w:t>Webb v. Special Electric Co., Inc.</w:t>
      </w:r>
      <w:r w:rsidRPr="008333D8">
        <w:t xml:space="preserve"> (2016) 63</w:t>
      </w:r>
      <w:r w:rsidR="001F097A" w:rsidRPr="008333D8">
        <w:t> </w:t>
      </w:r>
      <w:r w:rsidRPr="008333D8">
        <w:t>Cal.4th 167, 188</w:t>
      </w:r>
      <w:r w:rsidR="00E34A15" w:rsidRPr="008333D8">
        <w:t>.)</w:t>
      </w:r>
      <w:r w:rsidRPr="008333D8">
        <w:t xml:space="preserve"> </w:t>
      </w:r>
    </w:p>
    <w:bookmarkEnd w:id="20"/>
    <w:p w14:paraId="69AA1014" w14:textId="77777777" w:rsidR="00426AFF" w:rsidRPr="008333D8" w:rsidRDefault="00AB1EE5" w:rsidP="00087D20">
      <w:pPr>
        <w:keepNext/>
        <w:ind w:firstLine="720"/>
      </w:pPr>
      <w:r w:rsidRPr="008333D8">
        <w:t xml:space="preserve">We </w:t>
      </w:r>
      <w:r w:rsidR="00953428" w:rsidRPr="008333D8">
        <w:t>accordingly</w:t>
      </w:r>
      <w:r w:rsidR="00FB4B4D" w:rsidRPr="008333D8">
        <w:t xml:space="preserve"> reject Himes’s</w:t>
      </w:r>
      <w:r w:rsidR="00BA640E" w:rsidRPr="008333D8">
        <w:t xml:space="preserve"> </w:t>
      </w:r>
      <w:r w:rsidR="001F097A" w:rsidRPr="008333D8">
        <w:t>a</w:t>
      </w:r>
      <w:r w:rsidR="001D5FB3" w:rsidRPr="008333D8">
        <w:t>ssertion</w:t>
      </w:r>
      <w:r w:rsidR="00BA640E" w:rsidRPr="008333D8">
        <w:t xml:space="preserve"> that Somatics had a duty to warn her directly of the risks of ECT</w:t>
      </w:r>
      <w:r w:rsidR="00FB4B4D" w:rsidRPr="008333D8">
        <w:t xml:space="preserve"> and</w:t>
      </w:r>
      <w:r w:rsidR="00953428" w:rsidRPr="008333D8">
        <w:t xml:space="preserve"> turn to the Ninth Circuit’s certified question regarding causation.  </w:t>
      </w:r>
    </w:p>
    <w:p w14:paraId="69AA1015" w14:textId="77777777" w:rsidR="00EC7E39" w:rsidRPr="008333D8" w:rsidRDefault="00AB1EE5" w:rsidP="00087D20">
      <w:pPr>
        <w:keepNext/>
        <w:ind w:firstLine="720"/>
        <w:rPr>
          <w:b/>
          <w:bCs/>
        </w:rPr>
      </w:pPr>
      <w:r w:rsidRPr="008333D8">
        <w:rPr>
          <w:b/>
          <w:bCs/>
        </w:rPr>
        <w:t>B.</w:t>
      </w:r>
      <w:r w:rsidRPr="008333D8">
        <w:rPr>
          <w:b/>
          <w:bCs/>
        </w:rPr>
        <w:tab/>
        <w:t xml:space="preserve">Causation </w:t>
      </w:r>
    </w:p>
    <w:p w14:paraId="69AA1016" w14:textId="77777777" w:rsidR="00323D55" w:rsidRPr="008333D8" w:rsidRDefault="00AB1EE5" w:rsidP="00087D20">
      <w:pPr>
        <w:tabs>
          <w:tab w:val="left" w:pos="1440"/>
        </w:tabs>
        <w:ind w:firstLine="720"/>
        <w:contextualSpacing/>
      </w:pPr>
      <w:r>
        <w:t>I</w:t>
      </w:r>
      <w:r w:rsidRPr="0075742B">
        <w:t xml:space="preserve">t is well settled that a plaintiff must prove the failure to warn was a substantial factor in causing the </w:t>
      </w:r>
      <w:r w:rsidRPr="0075742B">
        <w:t>injury</w:t>
      </w:r>
      <w:r>
        <w:t>.</w:t>
      </w:r>
      <w:r w:rsidRPr="0075742B">
        <w:t xml:space="preserve"> </w:t>
      </w:r>
      <w:r>
        <w:t xml:space="preserve"> </w:t>
      </w:r>
      <w:r w:rsidR="00BA640E" w:rsidRPr="008333D8">
        <w:t>(</w:t>
      </w:r>
      <w:r w:rsidR="00BA640E" w:rsidRPr="008333D8">
        <w:rPr>
          <w:i/>
          <w:iCs/>
        </w:rPr>
        <w:t>Stevens</w:t>
      </w:r>
      <w:r w:rsidR="00BA640E" w:rsidRPr="008333D8">
        <w:t xml:space="preserve">, </w:t>
      </w:r>
      <w:r w:rsidR="00BA640E" w:rsidRPr="008333D8">
        <w:rPr>
          <w:i/>
          <w:iCs/>
        </w:rPr>
        <w:t>supra</w:t>
      </w:r>
      <w:r w:rsidR="00BA640E" w:rsidRPr="008333D8">
        <w:t>, 9</w:t>
      </w:r>
      <w:r w:rsidR="003E0FF5" w:rsidRPr="008333D8">
        <w:t> </w:t>
      </w:r>
      <w:r w:rsidR="00BA640E" w:rsidRPr="008333D8">
        <w:t>Cal.3d at p.</w:t>
      </w:r>
      <w:r w:rsidR="003E0FF5" w:rsidRPr="008333D8">
        <w:t> </w:t>
      </w:r>
      <w:r w:rsidR="00BA640E" w:rsidRPr="008333D8">
        <w:t>69.)</w:t>
      </w:r>
      <w:r w:rsidR="009616CF" w:rsidRPr="008333D8">
        <w:t xml:space="preserve">  </w:t>
      </w:r>
      <w:r w:rsidR="005E0EB2" w:rsidRPr="008333D8">
        <w:t>The substantial factor causation standard “</w:t>
      </w:r>
      <w:r w:rsidR="008B4F74" w:rsidRPr="008333D8">
        <w:t> ‘</w:t>
      </w:r>
      <w:r w:rsidR="002C6554" w:rsidRPr="008333D8">
        <w:rPr>
          <w:i/>
          <w:iCs/>
        </w:rPr>
        <w:t xml:space="preserve">subsumes </w:t>
      </w:r>
      <w:r w:rsidR="002C6554" w:rsidRPr="008333D8">
        <w:t xml:space="preserve">the </w:t>
      </w:r>
      <w:r w:rsidR="008B4F74" w:rsidRPr="008333D8">
        <w:t>“</w:t>
      </w:r>
      <w:r w:rsidR="002C6554" w:rsidRPr="008333D8">
        <w:t>but for</w:t>
      </w:r>
      <w:r w:rsidR="008B4F74" w:rsidRPr="008333D8">
        <w:t>”</w:t>
      </w:r>
      <w:r w:rsidR="002C6554" w:rsidRPr="008333D8">
        <w:t xml:space="preserve"> test</w:t>
      </w:r>
      <w:r w:rsidR="003E0FF5" w:rsidRPr="008333D8">
        <w:t>,</w:t>
      </w:r>
      <w:r w:rsidR="008B4F74" w:rsidRPr="008333D8">
        <w:t>’ </w:t>
      </w:r>
      <w:r w:rsidR="002C6554" w:rsidRPr="008333D8">
        <w:t xml:space="preserve">” under which “the plaintiff must prove that, </w:t>
      </w:r>
      <w:r w:rsidR="002C6554" w:rsidRPr="008333D8">
        <w:rPr>
          <w:i/>
          <w:iCs/>
        </w:rPr>
        <w:t xml:space="preserve">but for </w:t>
      </w:r>
      <w:r w:rsidR="002C6554" w:rsidRPr="008333D8">
        <w:t xml:space="preserve">the alleged negligence, the harm would not have happened.”  </w:t>
      </w:r>
      <w:bookmarkStart w:id="21" w:name="_Hlk155909173"/>
      <w:r w:rsidR="002C6554" w:rsidRPr="008333D8">
        <w:t>(</w:t>
      </w:r>
      <w:r w:rsidR="002C6554" w:rsidRPr="008333D8">
        <w:rPr>
          <w:i/>
          <w:iCs/>
        </w:rPr>
        <w:t>Viner v. Sweet</w:t>
      </w:r>
      <w:r w:rsidR="002C6554" w:rsidRPr="008333D8">
        <w:t xml:space="preserve"> (2003) 30</w:t>
      </w:r>
      <w:r w:rsidR="003E0FF5" w:rsidRPr="008333D8">
        <w:t> </w:t>
      </w:r>
      <w:r w:rsidR="002C6554" w:rsidRPr="008333D8">
        <w:t xml:space="preserve">Cal.4th 1232, 1239.)  </w:t>
      </w:r>
      <w:bookmarkEnd w:id="21"/>
      <w:r w:rsidR="002C6554" w:rsidRPr="008333D8">
        <w:t xml:space="preserve">But it also </w:t>
      </w:r>
      <w:r w:rsidR="0053654A" w:rsidRPr="008333D8">
        <w:t>“</w:t>
      </w:r>
      <w:r w:rsidR="002C6554" w:rsidRPr="008333D8">
        <w:t>reach</w:t>
      </w:r>
      <w:r w:rsidR="008B4F74" w:rsidRPr="008333D8">
        <w:t>[</w:t>
      </w:r>
      <w:r w:rsidR="002C6554" w:rsidRPr="008333D8">
        <w:t>es</w:t>
      </w:r>
      <w:r w:rsidR="008B4F74" w:rsidRPr="008333D8">
        <w:t>]</w:t>
      </w:r>
      <w:r w:rsidR="002C6554" w:rsidRPr="008333D8">
        <w:t xml:space="preserve"> beyond</w:t>
      </w:r>
      <w:r w:rsidR="0053654A" w:rsidRPr="008333D8">
        <w:t xml:space="preserve">” the </w:t>
      </w:r>
      <w:r w:rsidR="002C6554" w:rsidRPr="008333D8">
        <w:t>“</w:t>
      </w:r>
      <w:r w:rsidR="008B4F74" w:rsidRPr="008333D8">
        <w:t> </w:t>
      </w:r>
      <w:r w:rsidR="002C6554" w:rsidRPr="008333D8">
        <w:t>‘but for’ test .</w:t>
      </w:r>
      <w:r w:rsidR="008B4F74" w:rsidRPr="008333D8">
        <w:t> </w:t>
      </w:r>
      <w:r w:rsidR="002C6554" w:rsidRPr="008333D8">
        <w:t>.</w:t>
      </w:r>
      <w:r w:rsidR="008B4F74" w:rsidRPr="008333D8">
        <w:t> </w:t>
      </w:r>
      <w:r w:rsidR="002C6554" w:rsidRPr="008333D8">
        <w:t xml:space="preserve">. to satisfactorily address other situations, such as those involving independent or concurrent causes in fact.”  </w:t>
      </w:r>
      <w:bookmarkStart w:id="22" w:name="_Hlk155909182"/>
      <w:r w:rsidR="002C6554" w:rsidRPr="008333D8">
        <w:t>(</w:t>
      </w:r>
      <w:r w:rsidR="002C6554" w:rsidRPr="008333D8">
        <w:rPr>
          <w:i/>
          <w:iCs/>
        </w:rPr>
        <w:t xml:space="preserve">Rutherford v. Owens-Illinois, Inc. </w:t>
      </w:r>
      <w:r w:rsidR="002C6554" w:rsidRPr="008333D8">
        <w:t>(1997) 16</w:t>
      </w:r>
      <w:r w:rsidR="0053654A" w:rsidRPr="008333D8">
        <w:t> </w:t>
      </w:r>
      <w:r w:rsidR="002C6554" w:rsidRPr="008333D8">
        <w:t>Cal.4th 953, 969.)</w:t>
      </w:r>
      <w:bookmarkEnd w:id="22"/>
      <w:r w:rsidR="002C6554" w:rsidRPr="008333D8">
        <w:t xml:space="preserve">  </w:t>
      </w:r>
      <w:r w:rsidR="005E0EB2" w:rsidRPr="008333D8">
        <w:t>It is a “relatively broad” standard, “</w:t>
      </w:r>
      <w:r w:rsidR="00BA640E" w:rsidRPr="008333D8">
        <w:t>requiring only that the contribution of the individual cause be more than negligible or theoretical.”</w:t>
      </w:r>
      <w:r w:rsidR="00A30EEC" w:rsidRPr="008333D8">
        <w:t xml:space="preserve">  </w:t>
      </w:r>
      <w:r w:rsidR="00BA640E" w:rsidRPr="008333D8">
        <w:t>(</w:t>
      </w:r>
      <w:r w:rsidR="002C6554" w:rsidRPr="008333D8">
        <w:rPr>
          <w:i/>
          <w:iCs/>
        </w:rPr>
        <w:t>Id</w:t>
      </w:r>
      <w:r w:rsidR="002C6554" w:rsidRPr="008333D8">
        <w:t>. at p.</w:t>
      </w:r>
      <w:r w:rsidR="0053654A" w:rsidRPr="008333D8">
        <w:t> </w:t>
      </w:r>
      <w:r w:rsidR="00A30EEC" w:rsidRPr="008333D8">
        <w:t>978</w:t>
      </w:r>
      <w:r w:rsidR="00BA640E" w:rsidRPr="008333D8">
        <w:t>.)</w:t>
      </w:r>
      <w:r w:rsidR="00EE0490" w:rsidRPr="008333D8">
        <w:t xml:space="preserve">  </w:t>
      </w:r>
      <w:r w:rsidR="00573C9A">
        <w:t>T</w:t>
      </w:r>
      <w:r w:rsidR="00EE0490" w:rsidRPr="008333D8">
        <w:t>h</w:t>
      </w:r>
      <w:r w:rsidR="00B87F16">
        <w:t>e question posed by the Ninth Circuit</w:t>
      </w:r>
      <w:r w:rsidR="00EE0490" w:rsidRPr="008333D8">
        <w:t xml:space="preserve"> does not involve any alleged independent or concurrent causes of Himes’s injury, </w:t>
      </w:r>
      <w:r w:rsidR="00573C9A">
        <w:t xml:space="preserve">and so </w:t>
      </w:r>
      <w:r w:rsidR="00EE0490" w:rsidRPr="008333D8">
        <w:t>we focus on how Himes may be able to prove that</w:t>
      </w:r>
      <w:r w:rsidR="001950B1" w:rsidRPr="008333D8">
        <w:t>, but for</w:t>
      </w:r>
      <w:r w:rsidR="00EE0490" w:rsidRPr="008333D8">
        <w:t xml:space="preserve"> Somatics’s failure to warn</w:t>
      </w:r>
      <w:r w:rsidR="00070714" w:rsidRPr="008333D8">
        <w:t xml:space="preserve"> her physician</w:t>
      </w:r>
      <w:r w:rsidR="001950B1" w:rsidRPr="008333D8">
        <w:t xml:space="preserve">, </w:t>
      </w:r>
      <w:r w:rsidR="00070714" w:rsidRPr="008333D8">
        <w:t>Himes</w:t>
      </w:r>
      <w:r w:rsidR="001950B1" w:rsidRPr="008333D8">
        <w:t xml:space="preserve"> would not have been injured.</w:t>
      </w:r>
    </w:p>
    <w:p w14:paraId="69AA1017" w14:textId="77777777" w:rsidR="00CC0D4F" w:rsidRPr="008333D8" w:rsidRDefault="00AB1EE5" w:rsidP="00087D20">
      <w:pPr>
        <w:tabs>
          <w:tab w:val="left" w:pos="1440"/>
        </w:tabs>
        <w:ind w:firstLine="720"/>
        <w:contextualSpacing/>
      </w:pPr>
      <w:r w:rsidRPr="008333D8">
        <w:lastRenderedPageBreak/>
        <w:t>The</w:t>
      </w:r>
      <w:r w:rsidR="003D0D59" w:rsidRPr="008333D8">
        <w:t xml:space="preserve"> Ninth Circuit asks whether</w:t>
      </w:r>
      <w:r w:rsidR="00C83CFB" w:rsidRPr="008333D8">
        <w:t xml:space="preserve"> </w:t>
      </w:r>
      <w:r w:rsidR="00BB747A">
        <w:t xml:space="preserve">Himes </w:t>
      </w:r>
      <w:r w:rsidR="00C83CFB" w:rsidRPr="008333D8">
        <w:t>is</w:t>
      </w:r>
      <w:r w:rsidR="00BE2E95" w:rsidRPr="008333D8">
        <w:t xml:space="preserve"> required</w:t>
      </w:r>
      <w:r w:rsidR="00C83CFB" w:rsidRPr="008333D8">
        <w:t xml:space="preserve"> “to show that a stronger risk warning would have altered the physician’s decision to prescribe the product,” or whether </w:t>
      </w:r>
      <w:r w:rsidR="00BB747A">
        <w:t>she</w:t>
      </w:r>
      <w:r w:rsidR="00C83CFB" w:rsidRPr="008333D8">
        <w:t xml:space="preserve"> may instead establish causation “by showing that the physician would have communicated the stronger risk warning</w:t>
      </w:r>
      <w:r w:rsidR="00022648">
        <w:t>[]</w:t>
      </w:r>
      <w:r w:rsidR="00C83CFB" w:rsidRPr="008333D8">
        <w:t xml:space="preserve"> to the plaintiff, either in their patient consent disclosures or otherwise, and a prudent person in the patient’s position would have declined the treatment after receiving the stronger risk warning.”  (</w:t>
      </w:r>
      <w:r w:rsidR="00C83CFB" w:rsidRPr="008333D8">
        <w:rPr>
          <w:i/>
          <w:iCs/>
        </w:rPr>
        <w:t>Himes</w:t>
      </w:r>
      <w:r w:rsidR="00C83CFB" w:rsidRPr="008333D8">
        <w:t xml:space="preserve">, </w:t>
      </w:r>
      <w:r w:rsidR="00C83CFB" w:rsidRPr="008333D8">
        <w:rPr>
          <w:i/>
          <w:iCs/>
        </w:rPr>
        <w:t>supra</w:t>
      </w:r>
      <w:r w:rsidR="00C83CFB" w:rsidRPr="008333D8">
        <w:t xml:space="preserve">, 29 F.4th </w:t>
      </w:r>
      <w:r w:rsidR="00BE2E95" w:rsidRPr="008333D8">
        <w:t>at p.</w:t>
      </w:r>
      <w:r w:rsidR="00D00339" w:rsidRPr="008333D8">
        <w:t> </w:t>
      </w:r>
      <w:r w:rsidR="00C83CFB" w:rsidRPr="008333D8">
        <w:t>1127.)</w:t>
      </w:r>
      <w:r w:rsidR="00BE2E95" w:rsidRPr="008333D8">
        <w:t xml:space="preserve">  </w:t>
      </w:r>
      <w:r w:rsidR="00D903E0">
        <w:t>W</w:t>
      </w:r>
      <w:r w:rsidR="00BE2E95" w:rsidRPr="008333D8">
        <w:t xml:space="preserve">e </w:t>
      </w:r>
      <w:r w:rsidR="00D00339" w:rsidRPr="008333D8">
        <w:t>hold</w:t>
      </w:r>
      <w:r w:rsidR="00BE2E95" w:rsidRPr="008333D8">
        <w:t xml:space="preserve"> that a</w:t>
      </w:r>
      <w:r w:rsidR="00C83CFB" w:rsidRPr="008333D8">
        <w:t xml:space="preserve"> plaintiff may establish causation by showing that the physician would have communicated the</w:t>
      </w:r>
      <w:r w:rsidR="001950B1" w:rsidRPr="008333D8">
        <w:t xml:space="preserve"> </w:t>
      </w:r>
      <w:r w:rsidR="006E38B9">
        <w:t xml:space="preserve">stronger </w:t>
      </w:r>
      <w:r w:rsidR="00C83CFB" w:rsidRPr="008333D8">
        <w:t>warning to the p</w:t>
      </w:r>
      <w:r w:rsidR="00487C4C">
        <w:t>atient</w:t>
      </w:r>
      <w:r w:rsidR="00C83CFB" w:rsidRPr="008333D8">
        <w:t xml:space="preserve"> and a</w:t>
      </w:r>
      <w:r w:rsidR="008129DD">
        <w:t>n objectively</w:t>
      </w:r>
      <w:r w:rsidR="00C83CFB" w:rsidRPr="008333D8">
        <w:t xml:space="preserve"> prudent person in the p</w:t>
      </w:r>
      <w:r w:rsidR="008D0061" w:rsidRPr="008333D8">
        <w:t>atient</w:t>
      </w:r>
      <w:r w:rsidR="00C83CFB" w:rsidRPr="008333D8">
        <w:t>’s position would have thereafter declined the treatment</w:t>
      </w:r>
      <w:r w:rsidR="00FB3D47" w:rsidRPr="008333D8">
        <w:t xml:space="preserve"> notwithstanding the physician’s continued recommendation of the treatment</w:t>
      </w:r>
      <w:r w:rsidR="00C83CFB" w:rsidRPr="008333D8">
        <w:t>.</w:t>
      </w:r>
      <w:r w:rsidR="00BE2E95" w:rsidRPr="008333D8">
        <w:t xml:space="preserve"> </w:t>
      </w:r>
    </w:p>
    <w:p w14:paraId="69AA1018" w14:textId="77777777" w:rsidR="00D82ADE" w:rsidRPr="008333D8" w:rsidRDefault="00AB1EE5" w:rsidP="00087D20">
      <w:pPr>
        <w:tabs>
          <w:tab w:val="left" w:pos="1440"/>
        </w:tabs>
        <w:ind w:firstLine="720"/>
        <w:contextualSpacing/>
      </w:pPr>
      <w:r w:rsidRPr="008333D8">
        <w:t>Somatics argues that a p</w:t>
      </w:r>
      <w:r w:rsidR="00D00339" w:rsidRPr="008333D8">
        <w:t>laintiff</w:t>
      </w:r>
      <w:r w:rsidR="004E6F8A" w:rsidRPr="008333D8">
        <w:t xml:space="preserve"> must show that the </w:t>
      </w:r>
      <w:r w:rsidR="00487C4C" w:rsidRPr="008333D8">
        <w:t>p</w:t>
      </w:r>
      <w:r w:rsidR="00487C4C">
        <w:t>atient</w:t>
      </w:r>
      <w:r w:rsidR="00487C4C" w:rsidRPr="008333D8">
        <w:t xml:space="preserve">’s </w:t>
      </w:r>
      <w:r w:rsidR="004E6F8A" w:rsidRPr="008333D8">
        <w:t>physician would</w:t>
      </w:r>
      <w:r w:rsidRPr="008333D8">
        <w:t xml:space="preserve"> have changed his or her </w:t>
      </w:r>
      <w:r w:rsidR="008273F8" w:rsidRPr="008333D8">
        <w:t>prescribing decision</w:t>
      </w:r>
      <w:r w:rsidR="00D00339" w:rsidRPr="008333D8">
        <w:t xml:space="preserve"> to</w:t>
      </w:r>
      <w:r w:rsidR="004E6F8A" w:rsidRPr="008333D8">
        <w:t xml:space="preserve"> establish causation</w:t>
      </w:r>
      <w:r w:rsidR="008273F8" w:rsidRPr="008333D8">
        <w:t>.</w:t>
      </w:r>
      <w:r w:rsidR="0033509A" w:rsidRPr="008333D8">
        <w:t xml:space="preserve">  </w:t>
      </w:r>
      <w:r w:rsidR="00BB1726" w:rsidRPr="008333D8">
        <w:t>In Somatics’s view, the patient’s own decision</w:t>
      </w:r>
      <w:r w:rsidR="00E02DFB" w:rsidRPr="008333D8">
        <w:t xml:space="preserve"> as to whether to accept the recommended treatment</w:t>
      </w:r>
      <w:r w:rsidR="00BB1726" w:rsidRPr="008333D8">
        <w:t xml:space="preserve"> is irrelevant, meaning that if the patient’s physician testifies that he or she would not have changed his or her prescribing decision, then there can be no liability.</w:t>
      </w:r>
      <w:r w:rsidR="003E36FB">
        <w:t xml:space="preserve">  </w:t>
      </w:r>
      <w:r w:rsidRPr="008333D8">
        <w:t xml:space="preserve">Somatics </w:t>
      </w:r>
      <w:r w:rsidR="00C42B9B" w:rsidRPr="008333D8">
        <w:t>believes</w:t>
      </w:r>
      <w:r w:rsidRPr="008333D8">
        <w:t xml:space="preserve"> </w:t>
      </w:r>
      <w:r w:rsidR="00FA39C2" w:rsidRPr="008333D8">
        <w:t>its view of causation</w:t>
      </w:r>
      <w:r w:rsidR="00D62FD5" w:rsidRPr="008333D8">
        <w:t xml:space="preserve"> best aligns with the </w:t>
      </w:r>
      <w:r w:rsidRPr="008333D8">
        <w:t>learned intermediary doctrine</w:t>
      </w:r>
      <w:r w:rsidR="00D62FD5" w:rsidRPr="008333D8">
        <w:t xml:space="preserve"> </w:t>
      </w:r>
      <w:r w:rsidR="00F9380F" w:rsidRPr="008333D8">
        <w:t xml:space="preserve">given </w:t>
      </w:r>
      <w:r w:rsidRPr="008333D8">
        <w:t>the doctrine</w:t>
      </w:r>
      <w:r w:rsidR="00F9380F" w:rsidRPr="008333D8">
        <w:t>’s</w:t>
      </w:r>
      <w:r w:rsidR="00CB0B5E" w:rsidRPr="008333D8">
        <w:t xml:space="preserve"> </w:t>
      </w:r>
      <w:r w:rsidRPr="008333D8">
        <w:t>recogni</w:t>
      </w:r>
      <w:r w:rsidR="00F9380F" w:rsidRPr="008333D8">
        <w:t>tion</w:t>
      </w:r>
      <w:r w:rsidRPr="008333D8">
        <w:t xml:space="preserve"> that patients generally rely on their physicians’ medical expertise when deciding on a particular course of treatment.  </w:t>
      </w:r>
      <w:r w:rsidR="00D62FD5" w:rsidRPr="008333D8">
        <w:t>(</w:t>
      </w:r>
      <w:r w:rsidR="00354561" w:rsidRPr="008333D8">
        <w:rPr>
          <w:i/>
          <w:iCs/>
        </w:rPr>
        <w:t>Gall</w:t>
      </w:r>
      <w:r w:rsidR="00354561" w:rsidRPr="008333D8">
        <w:t xml:space="preserve">, </w:t>
      </w:r>
      <w:r w:rsidR="00354561" w:rsidRPr="008333D8">
        <w:rPr>
          <w:i/>
          <w:iCs/>
        </w:rPr>
        <w:t>supra</w:t>
      </w:r>
      <w:r w:rsidR="00354561" w:rsidRPr="008333D8">
        <w:t>, 71</w:t>
      </w:r>
      <w:r w:rsidR="00BD070E" w:rsidRPr="008333D8">
        <w:t> </w:t>
      </w:r>
      <w:r w:rsidR="00354561" w:rsidRPr="008333D8">
        <w:t>Cal.App.5th at p.</w:t>
      </w:r>
      <w:r w:rsidR="00BD070E" w:rsidRPr="008333D8">
        <w:t> </w:t>
      </w:r>
      <w:r w:rsidR="00354561" w:rsidRPr="008333D8">
        <w:t xml:space="preserve">122; see also </w:t>
      </w:r>
      <w:r w:rsidR="00EA65D9" w:rsidRPr="008333D8">
        <w:rPr>
          <w:i/>
          <w:iCs/>
        </w:rPr>
        <w:t>Cobbs</w:t>
      </w:r>
      <w:r w:rsidR="00EA65D9" w:rsidRPr="008333D8">
        <w:t xml:space="preserve">, </w:t>
      </w:r>
      <w:r w:rsidR="00EA65D9" w:rsidRPr="008333D8">
        <w:rPr>
          <w:i/>
          <w:iCs/>
        </w:rPr>
        <w:t>supra</w:t>
      </w:r>
      <w:r w:rsidR="00EA65D9" w:rsidRPr="008333D8">
        <w:t>, 8</w:t>
      </w:r>
      <w:r w:rsidR="00CD12CD" w:rsidRPr="008333D8">
        <w:t> </w:t>
      </w:r>
      <w:r w:rsidR="00EA65D9" w:rsidRPr="008333D8">
        <w:t>Cal.3d at p.</w:t>
      </w:r>
      <w:r w:rsidR="00CD12CD" w:rsidRPr="008333D8">
        <w:t> </w:t>
      </w:r>
      <w:r w:rsidR="00EA65D9" w:rsidRPr="008333D8">
        <w:t>242.</w:t>
      </w:r>
      <w:r w:rsidR="006154B7" w:rsidRPr="008333D8">
        <w:t xml:space="preserve">)  </w:t>
      </w:r>
      <w:r w:rsidR="00CB0B5E" w:rsidRPr="008333D8">
        <w:t xml:space="preserve">According to Somatics, </w:t>
      </w:r>
      <w:r w:rsidR="003E36FB">
        <w:t>t</w:t>
      </w:r>
      <w:r w:rsidR="00CB0B5E" w:rsidRPr="008333D8">
        <w:t xml:space="preserve">he </w:t>
      </w:r>
      <w:r w:rsidR="00913DE3" w:rsidRPr="008333D8">
        <w:t>doctrine assumes patients’ reliance on physicians</w:t>
      </w:r>
      <w:r w:rsidR="003E36FB">
        <w:t xml:space="preserve"> </w:t>
      </w:r>
      <w:r w:rsidR="00913DE3" w:rsidRPr="008333D8">
        <w:t>because</w:t>
      </w:r>
      <w:r w:rsidR="00487C4C">
        <w:t xml:space="preserve"> a patient has no way to evaluate “</w:t>
      </w:r>
      <w:r w:rsidR="00FC16D6" w:rsidRPr="008333D8">
        <w:t>highly technical information</w:t>
      </w:r>
      <w:r w:rsidR="00487C4C">
        <w:t>” on the risks associated with drugs or medical devices</w:t>
      </w:r>
      <w:r w:rsidR="00FC16D6" w:rsidRPr="008333D8">
        <w:t xml:space="preserve"> </w:t>
      </w:r>
      <w:r w:rsidR="00487C4C">
        <w:t>and “</w:t>
      </w:r>
      <w:r w:rsidR="00FC16D6" w:rsidRPr="008333D8">
        <w:t>might actually object</w:t>
      </w:r>
      <w:r w:rsidR="00487C4C">
        <w:t xml:space="preserve">” to using a </w:t>
      </w:r>
      <w:r w:rsidR="00487C4C">
        <w:lastRenderedPageBreak/>
        <w:t xml:space="preserve">drug or medical device even where the patient’s life is in danger.  </w:t>
      </w:r>
      <w:r w:rsidR="00FC16D6" w:rsidRPr="008333D8">
        <w:t>(</w:t>
      </w:r>
      <w:r w:rsidR="00DE6EAE" w:rsidRPr="008333D8">
        <w:rPr>
          <w:i/>
          <w:iCs/>
        </w:rPr>
        <w:t>Carmichael</w:t>
      </w:r>
      <w:r w:rsidR="00DE6EAE" w:rsidRPr="008333D8">
        <w:t xml:space="preserve">, </w:t>
      </w:r>
      <w:r w:rsidR="00DE6EAE" w:rsidRPr="008333D8">
        <w:rPr>
          <w:i/>
          <w:iCs/>
        </w:rPr>
        <w:t>supra</w:t>
      </w:r>
      <w:r w:rsidR="00DE6EAE" w:rsidRPr="008333D8">
        <w:t>, 17</w:t>
      </w:r>
      <w:r w:rsidR="00BD070E" w:rsidRPr="008333D8">
        <w:t> </w:t>
      </w:r>
      <w:r w:rsidR="00DE6EAE" w:rsidRPr="008333D8">
        <w:t>Cal.App.3d at p.</w:t>
      </w:r>
      <w:r w:rsidR="00BD070E" w:rsidRPr="008333D8">
        <w:t> </w:t>
      </w:r>
      <w:r w:rsidR="00DE6EAE" w:rsidRPr="008333D8">
        <w:t>989.</w:t>
      </w:r>
      <w:r w:rsidR="00CB0B5E" w:rsidRPr="008333D8">
        <w:t>)</w:t>
      </w:r>
      <w:r w:rsidRPr="008333D8">
        <w:t xml:space="preserve">  </w:t>
      </w:r>
    </w:p>
    <w:p w14:paraId="69AA1019" w14:textId="77777777" w:rsidR="001D2750" w:rsidRPr="008333D8" w:rsidRDefault="00AB1EE5" w:rsidP="00087D20">
      <w:pPr>
        <w:tabs>
          <w:tab w:val="left" w:pos="1440"/>
        </w:tabs>
        <w:ind w:firstLine="720"/>
        <w:contextualSpacing/>
      </w:pPr>
      <w:r w:rsidRPr="008333D8">
        <w:t xml:space="preserve">We cannot wholly </w:t>
      </w:r>
      <w:r w:rsidR="00334C39" w:rsidRPr="008333D8">
        <w:t>discount</w:t>
      </w:r>
      <w:r w:rsidRPr="008333D8">
        <w:t xml:space="preserve"> the essential role of patient choice in medical treatment decisions, however.  Althoug</w:t>
      </w:r>
      <w:r w:rsidRPr="008333D8">
        <w:t>h</w:t>
      </w:r>
      <w:r w:rsidR="00DE1B1C" w:rsidRPr="008333D8">
        <w:t xml:space="preserve"> w</w:t>
      </w:r>
      <w:r w:rsidR="00102F2B" w:rsidRPr="008333D8">
        <w:t xml:space="preserve">e have long </w:t>
      </w:r>
      <w:r w:rsidR="007F3555" w:rsidRPr="008333D8">
        <w:t xml:space="preserve">acknowledged </w:t>
      </w:r>
      <w:r w:rsidR="004B02CC" w:rsidRPr="008333D8">
        <w:t>that patients</w:t>
      </w:r>
      <w:r w:rsidR="00986E62" w:rsidRPr="008333D8">
        <w:t xml:space="preserve"> have “an abject dependence upon and trust in [their] physician[s] for the information upon which [they] rel[y]</w:t>
      </w:r>
      <w:r w:rsidR="00233B98" w:rsidRPr="008333D8">
        <w:t>”</w:t>
      </w:r>
      <w:r w:rsidR="0081355B" w:rsidRPr="008333D8">
        <w:t xml:space="preserve"> (</w:t>
      </w:r>
      <w:r w:rsidR="0081355B" w:rsidRPr="008333D8">
        <w:rPr>
          <w:i/>
          <w:iCs/>
        </w:rPr>
        <w:t>Cobbs</w:t>
      </w:r>
      <w:r w:rsidR="0081355B" w:rsidRPr="008333D8">
        <w:t xml:space="preserve">, </w:t>
      </w:r>
      <w:r w:rsidR="0081355B" w:rsidRPr="008333D8">
        <w:rPr>
          <w:i/>
          <w:iCs/>
        </w:rPr>
        <w:t>supra</w:t>
      </w:r>
      <w:r w:rsidR="0081355B" w:rsidRPr="008333D8">
        <w:t xml:space="preserve">, 8 Cal.3d at p. 242), </w:t>
      </w:r>
      <w:r w:rsidR="00DE1B1C" w:rsidRPr="008333D8">
        <w:t xml:space="preserve">we have also </w:t>
      </w:r>
      <w:r w:rsidR="00102F2B" w:rsidRPr="008333D8">
        <w:t>emphasiz</w:t>
      </w:r>
      <w:r w:rsidR="00DE1B1C" w:rsidRPr="008333D8">
        <w:t>ed</w:t>
      </w:r>
      <w:r w:rsidR="00233B98" w:rsidRPr="008333D8">
        <w:t xml:space="preserve"> </w:t>
      </w:r>
      <w:r w:rsidR="004B02CC" w:rsidRPr="008333D8">
        <w:t>that</w:t>
      </w:r>
      <w:r w:rsidR="00453331" w:rsidRPr="008333D8">
        <w:t xml:space="preserve"> “the decision whether or not to undertake treatment is vested in the party most directly affected: the patient”</w:t>
      </w:r>
      <w:r w:rsidR="0081355B" w:rsidRPr="008333D8">
        <w:t xml:space="preserve"> (</w:t>
      </w:r>
      <w:r w:rsidR="0081355B" w:rsidRPr="008333D8">
        <w:rPr>
          <w:i/>
          <w:iCs/>
        </w:rPr>
        <w:t xml:space="preserve">id. </w:t>
      </w:r>
      <w:r w:rsidR="0081355B" w:rsidRPr="008333D8">
        <w:t>at p.</w:t>
      </w:r>
      <w:r w:rsidR="0085082A" w:rsidRPr="008333D8">
        <w:t> </w:t>
      </w:r>
      <w:r w:rsidR="0081355B" w:rsidRPr="008333D8">
        <w:t>244).</w:t>
      </w:r>
      <w:r w:rsidR="00453331" w:rsidRPr="008333D8">
        <w:t xml:space="preserve">  </w:t>
      </w:r>
      <w:r w:rsidR="005B4BD1" w:rsidRPr="008333D8">
        <w:t>O</w:t>
      </w:r>
      <w:r w:rsidR="006E4E9F" w:rsidRPr="008333D8">
        <w:t xml:space="preserve">ur informed consent </w:t>
      </w:r>
      <w:r w:rsidR="0047081C" w:rsidRPr="008333D8">
        <w:t>rule</w:t>
      </w:r>
      <w:r w:rsidR="006E4E9F" w:rsidRPr="008333D8">
        <w:t xml:space="preserve"> </w:t>
      </w:r>
      <w:r w:rsidR="005B4BD1" w:rsidRPr="008333D8">
        <w:t xml:space="preserve">thus </w:t>
      </w:r>
      <w:r w:rsidR="006E4E9F" w:rsidRPr="008333D8">
        <w:t xml:space="preserve">requires physicians to </w:t>
      </w:r>
      <w:r w:rsidR="00233B98" w:rsidRPr="008333D8">
        <w:t>disclose to</w:t>
      </w:r>
      <w:r w:rsidR="00DE2B54" w:rsidRPr="008333D8">
        <w:t xml:space="preserve"> the</w:t>
      </w:r>
      <w:r w:rsidR="006E4E9F" w:rsidRPr="008333D8">
        <w:t>ir</w:t>
      </w:r>
      <w:r w:rsidR="00DE2B54" w:rsidRPr="008333D8">
        <w:t xml:space="preserve"> patient</w:t>
      </w:r>
      <w:r w:rsidR="006E4E9F" w:rsidRPr="008333D8">
        <w:t>s</w:t>
      </w:r>
      <w:r w:rsidR="00DE2B54" w:rsidRPr="008333D8">
        <w:t xml:space="preserve"> </w:t>
      </w:r>
      <w:r w:rsidR="00453331" w:rsidRPr="008333D8">
        <w:t xml:space="preserve">“the risks inherent in the procedure </w:t>
      </w:r>
      <w:r w:rsidR="006E4E9F" w:rsidRPr="008333D8">
        <w:t>[they are]</w:t>
      </w:r>
      <w:r w:rsidR="00453331" w:rsidRPr="008333D8">
        <w:t xml:space="preserve"> prescribing, the risks of a decision not to undergo the treatment, and the probability of a successful outcome of the treatment</w:t>
      </w:r>
      <w:r w:rsidR="006E4E9F" w:rsidRPr="008333D8">
        <w:t>.</w:t>
      </w:r>
      <w:r w:rsidR="00DE2B54" w:rsidRPr="008333D8">
        <w:t xml:space="preserve">” </w:t>
      </w:r>
      <w:r w:rsidR="006E4E9F" w:rsidRPr="008333D8">
        <w:t xml:space="preserve"> (</w:t>
      </w:r>
      <w:r w:rsidR="006E4E9F" w:rsidRPr="008333D8">
        <w:rPr>
          <w:i/>
          <w:iCs/>
        </w:rPr>
        <w:t>Id.</w:t>
      </w:r>
      <w:r w:rsidR="006E4E9F" w:rsidRPr="008333D8">
        <w:t xml:space="preserve"> at p.</w:t>
      </w:r>
      <w:r w:rsidR="005B4BD1" w:rsidRPr="008333D8">
        <w:t> </w:t>
      </w:r>
      <w:r w:rsidR="006E4E9F" w:rsidRPr="008333D8">
        <w:t>243.)  But</w:t>
      </w:r>
      <w:r w:rsidR="00DE2B54" w:rsidRPr="008333D8">
        <w:t xml:space="preserve"> once the physician </w:t>
      </w:r>
      <w:r w:rsidR="006E4E9F" w:rsidRPr="008333D8">
        <w:t>discloses this information,</w:t>
      </w:r>
      <w:r w:rsidR="00DE2B54" w:rsidRPr="008333D8">
        <w:t xml:space="preserve"> it is “reserved to the patient alone” to weigh th</w:t>
      </w:r>
      <w:r w:rsidR="006E4E9F" w:rsidRPr="008333D8">
        <w:t>e disclosed</w:t>
      </w:r>
      <w:r w:rsidR="00233B98" w:rsidRPr="008333D8">
        <w:t xml:space="preserve"> risks</w:t>
      </w:r>
      <w:r w:rsidR="00DE2B54" w:rsidRPr="008333D8">
        <w:t xml:space="preserve"> against the patient’s own “fears and hopes” in deciding whether to undergo the recommended treatment.</w:t>
      </w:r>
      <w:r w:rsidR="00233B98" w:rsidRPr="008333D8">
        <w:t xml:space="preserve"> </w:t>
      </w:r>
      <w:r w:rsidR="00DE2B54" w:rsidRPr="008333D8">
        <w:t xml:space="preserve"> </w:t>
      </w:r>
      <w:bookmarkStart w:id="23" w:name="_Hlk151117741"/>
      <w:r w:rsidR="00453331" w:rsidRPr="008333D8">
        <w:t>(</w:t>
      </w:r>
      <w:r w:rsidR="00453331" w:rsidRPr="008333D8">
        <w:rPr>
          <w:i/>
          <w:iCs/>
        </w:rPr>
        <w:t>I</w:t>
      </w:r>
      <w:r w:rsidR="005B4BD1" w:rsidRPr="008333D8">
        <w:rPr>
          <w:i/>
          <w:iCs/>
        </w:rPr>
        <w:t>bid</w:t>
      </w:r>
      <w:r w:rsidR="00453331" w:rsidRPr="008333D8">
        <w:t>.)</w:t>
      </w:r>
      <w:r w:rsidR="00DE2B54" w:rsidRPr="008333D8">
        <w:t xml:space="preserve">  </w:t>
      </w:r>
      <w:bookmarkEnd w:id="23"/>
      <w:r w:rsidR="005B4BD1" w:rsidRPr="008333D8">
        <w:t>Implicit in our</w:t>
      </w:r>
      <w:r w:rsidR="00DE1B1C" w:rsidRPr="008333D8">
        <w:t xml:space="preserve"> informed consent rule is the recognition that </w:t>
      </w:r>
      <w:r w:rsidR="00D82ADE" w:rsidRPr="008333D8">
        <w:t>patient</w:t>
      </w:r>
      <w:r w:rsidR="00DE1B1C" w:rsidRPr="008333D8">
        <w:t>s</w:t>
      </w:r>
      <w:r w:rsidR="00D82ADE" w:rsidRPr="008333D8">
        <w:t xml:space="preserve"> will sometimes op</w:t>
      </w:r>
      <w:r w:rsidR="00C526C4">
        <w:t xml:space="preserve">t </w:t>
      </w:r>
      <w:r w:rsidR="00D82ADE" w:rsidRPr="008333D8">
        <w:t xml:space="preserve">out of </w:t>
      </w:r>
      <w:r w:rsidR="005B4BD1" w:rsidRPr="008333D8">
        <w:t xml:space="preserve">the </w:t>
      </w:r>
      <w:r w:rsidR="00DE1B1C" w:rsidRPr="008333D8">
        <w:t xml:space="preserve">medical treatments their physicians recommend, as is their right. </w:t>
      </w:r>
      <w:r w:rsidR="004D68A4" w:rsidRPr="008333D8">
        <w:t xml:space="preserve"> </w:t>
      </w:r>
      <w:r w:rsidR="008164D8" w:rsidRPr="008333D8">
        <w:t>(</w:t>
      </w:r>
      <w:r w:rsidR="004D68A4" w:rsidRPr="008333D8">
        <w:t xml:space="preserve">See </w:t>
      </w:r>
      <w:r w:rsidR="004D68A4" w:rsidRPr="008333D8">
        <w:rPr>
          <w:i/>
          <w:iCs/>
        </w:rPr>
        <w:t xml:space="preserve">id. </w:t>
      </w:r>
      <w:r w:rsidR="004D68A4" w:rsidRPr="008333D8">
        <w:t>at p.</w:t>
      </w:r>
      <w:r w:rsidR="005B4BD1" w:rsidRPr="008333D8">
        <w:t> </w:t>
      </w:r>
      <w:r w:rsidR="004D68A4" w:rsidRPr="008333D8">
        <w:t>245 [casual connection between physician’s failure to obtain informed consent and injury arises “if it is established that had revelation been made consent to treatment would not have been given”]</w:t>
      </w:r>
      <w:r w:rsidR="006864CA" w:rsidRPr="008333D8">
        <w:t>.)</w:t>
      </w:r>
      <w:r w:rsidR="00303B1E" w:rsidRPr="008333D8">
        <w:t xml:space="preserve">  If Somatics were correct that the physician’s prescribing decision is all that matters, and </w:t>
      </w:r>
      <w:r w:rsidR="001B3F1F" w:rsidRPr="008333D8">
        <w:t xml:space="preserve">the </w:t>
      </w:r>
      <w:r w:rsidR="00303B1E" w:rsidRPr="008333D8">
        <w:t>patient’s own decision as to whether to undergo the treatment after having learned of the risks is irrelevant, th</w:t>
      </w:r>
      <w:r w:rsidR="00C02598" w:rsidRPr="008333D8">
        <w:t>e</w:t>
      </w:r>
      <w:r w:rsidR="00303B1E" w:rsidRPr="008333D8">
        <w:t>n there would be no need for the informed consent</w:t>
      </w:r>
      <w:r w:rsidR="0047081C" w:rsidRPr="008333D8">
        <w:t xml:space="preserve"> rule</w:t>
      </w:r>
      <w:r w:rsidR="00303B1E" w:rsidRPr="008333D8">
        <w:t xml:space="preserve">.        </w:t>
      </w:r>
    </w:p>
    <w:p w14:paraId="69AA101A" w14:textId="77777777" w:rsidR="00865A1D" w:rsidRDefault="00AB1EE5" w:rsidP="00087D20">
      <w:pPr>
        <w:ind w:firstLine="720"/>
      </w:pPr>
      <w:r w:rsidRPr="008333D8">
        <w:t>Like our informed consent jurisprudence, t</w:t>
      </w:r>
      <w:r w:rsidR="00E67292" w:rsidRPr="008333D8">
        <w:t xml:space="preserve">he </w:t>
      </w:r>
      <w:r w:rsidR="007F3555" w:rsidRPr="008333D8">
        <w:t>learned intermediary doctrine</w:t>
      </w:r>
      <w:r w:rsidR="00102F2B" w:rsidRPr="008333D8">
        <w:t xml:space="preserve"> </w:t>
      </w:r>
      <w:r w:rsidR="00AD438D" w:rsidRPr="008333D8">
        <w:t>affirms patient autonomy</w:t>
      </w:r>
      <w:r w:rsidR="00881801" w:rsidRPr="008333D8">
        <w:t xml:space="preserve"> in medical treatment decisions</w:t>
      </w:r>
      <w:r w:rsidR="00AD438D" w:rsidRPr="008333D8">
        <w:t xml:space="preserve">.  </w:t>
      </w:r>
      <w:r w:rsidR="005B21EE" w:rsidRPr="008333D8">
        <w:t>T</w:t>
      </w:r>
      <w:r w:rsidR="00AD438D" w:rsidRPr="008333D8">
        <w:t>he doctrine</w:t>
      </w:r>
      <w:r w:rsidR="005B21EE" w:rsidRPr="008333D8">
        <w:t xml:space="preserve">’s </w:t>
      </w:r>
      <w:r w:rsidR="00D0625B" w:rsidRPr="008333D8">
        <w:t>rationale</w:t>
      </w:r>
      <w:r w:rsidR="005B21EE" w:rsidRPr="008333D8">
        <w:t xml:space="preserve"> is that warnings </w:t>
      </w:r>
      <w:r w:rsidR="00AD438D" w:rsidRPr="008333D8">
        <w:lastRenderedPageBreak/>
        <w:t xml:space="preserve">pertaining to prescription drugs and medical devices </w:t>
      </w:r>
      <w:r w:rsidR="00D0625B" w:rsidRPr="008333D8">
        <w:t xml:space="preserve">should </w:t>
      </w:r>
      <w:r w:rsidR="00AD438D" w:rsidRPr="008333D8">
        <w:t>be relayed to patients by their physicians</w:t>
      </w:r>
      <w:r w:rsidR="00F51842" w:rsidRPr="008333D8">
        <w:t> </w:t>
      </w:r>
      <w:r w:rsidR="00AD438D" w:rsidRPr="008333D8">
        <w:t>— rather than by the manufacturer</w:t>
      </w:r>
      <w:r w:rsidR="00F51842" w:rsidRPr="008333D8">
        <w:t> </w:t>
      </w:r>
      <w:r w:rsidR="00AD438D" w:rsidRPr="008333D8">
        <w:t xml:space="preserve">— </w:t>
      </w:r>
      <w:r w:rsidR="00D82ADE" w:rsidRPr="008333D8">
        <w:t>because physician</w:t>
      </w:r>
      <w:r w:rsidR="005B21EE" w:rsidRPr="008333D8">
        <w:t>s</w:t>
      </w:r>
      <w:r w:rsidR="00D82ADE" w:rsidRPr="008333D8">
        <w:t xml:space="preserve"> </w:t>
      </w:r>
      <w:r w:rsidR="005B21EE" w:rsidRPr="008333D8">
        <w:t>are</w:t>
      </w:r>
      <w:r w:rsidR="00D82ADE" w:rsidRPr="008333D8">
        <w:t xml:space="preserve"> in a better position to</w:t>
      </w:r>
      <w:r w:rsidR="00AD438D" w:rsidRPr="008333D8">
        <w:t xml:space="preserve"> assist patient</w:t>
      </w:r>
      <w:r w:rsidR="005B21EE" w:rsidRPr="008333D8">
        <w:t>s</w:t>
      </w:r>
      <w:r w:rsidR="00AD438D" w:rsidRPr="008333D8">
        <w:t xml:space="preserve"> in </w:t>
      </w:r>
      <w:r w:rsidR="00A47C28" w:rsidRPr="008333D8">
        <w:t xml:space="preserve">deciphering and </w:t>
      </w:r>
      <w:r w:rsidR="00AD438D" w:rsidRPr="008333D8">
        <w:t>evaluating the warning</w:t>
      </w:r>
      <w:r w:rsidR="00C526C4">
        <w:t>s</w:t>
      </w:r>
      <w:r w:rsidR="00D0625B" w:rsidRPr="008333D8">
        <w:t>.  (Rest.3d Torts, Products Liability, § 6, com. b, p.</w:t>
      </w:r>
      <w:r w:rsidR="00A47C28" w:rsidRPr="008333D8">
        <w:t> </w:t>
      </w:r>
      <w:r w:rsidR="00D0625B" w:rsidRPr="008333D8">
        <w:t>146.)  The underlying goal</w:t>
      </w:r>
      <w:r w:rsidR="008164D8" w:rsidRPr="008333D8">
        <w:t xml:space="preserve"> </w:t>
      </w:r>
      <w:r w:rsidR="00D0625B" w:rsidRPr="008333D8">
        <w:t>is to adequately inform patient</w:t>
      </w:r>
      <w:r w:rsidR="00A47C28" w:rsidRPr="008333D8">
        <w:t>s</w:t>
      </w:r>
      <w:r w:rsidR="008164D8" w:rsidRPr="008333D8">
        <w:t xml:space="preserve"> of material risks </w:t>
      </w:r>
      <w:r w:rsidR="00D0625B" w:rsidRPr="008333D8">
        <w:t>so that they</w:t>
      </w:r>
      <w:r w:rsidR="005B21EE" w:rsidRPr="008333D8">
        <w:t xml:space="preserve"> can make</w:t>
      </w:r>
      <w:r w:rsidR="00AD438D" w:rsidRPr="008333D8">
        <w:t xml:space="preserve"> “an informed choice as to therapy.”</w:t>
      </w:r>
      <w:r w:rsidR="00D0625B" w:rsidRPr="008333D8">
        <w:t xml:space="preserve">  (</w:t>
      </w:r>
      <w:r w:rsidR="00D0625B" w:rsidRPr="008333D8">
        <w:rPr>
          <w:i/>
          <w:iCs/>
        </w:rPr>
        <w:t>Ibid.</w:t>
      </w:r>
      <w:r w:rsidR="00D0625B" w:rsidRPr="008333D8">
        <w:t>)</w:t>
      </w:r>
      <w:r w:rsidR="00AD438D" w:rsidRPr="008333D8">
        <w:t xml:space="preserve">  </w:t>
      </w:r>
      <w:r w:rsidR="005B21EE" w:rsidRPr="00925211">
        <w:t>Stated differently</w:t>
      </w:r>
      <w:r w:rsidR="005B21EE" w:rsidRPr="008333D8">
        <w:t xml:space="preserve">, </w:t>
      </w:r>
      <w:r w:rsidR="00925211" w:rsidRPr="008333D8">
        <w:t xml:space="preserve">by ensuring that physicians </w:t>
      </w:r>
      <w:r w:rsidR="00925211">
        <w:t xml:space="preserve">will </w:t>
      </w:r>
      <w:r w:rsidR="00925211" w:rsidRPr="008333D8">
        <w:t xml:space="preserve">assist </w:t>
      </w:r>
      <w:r w:rsidR="00925211">
        <w:t>patients</w:t>
      </w:r>
      <w:r w:rsidR="00925211" w:rsidRPr="008333D8">
        <w:t xml:space="preserve"> in understanding manufacturer warnings relating to material risks and </w:t>
      </w:r>
      <w:r>
        <w:t>in</w:t>
      </w:r>
      <w:r w:rsidR="00925211" w:rsidRPr="008333D8">
        <w:t xml:space="preserve"> balanc</w:t>
      </w:r>
      <w:r>
        <w:t>ing</w:t>
      </w:r>
      <w:r w:rsidR="00925211" w:rsidRPr="008333D8">
        <w:t xml:space="preserve"> those risks against the benefits of treatment</w:t>
      </w:r>
      <w:bookmarkStart w:id="24" w:name="_Hlk155909232"/>
      <w:r w:rsidR="00925211">
        <w:t>,</w:t>
      </w:r>
      <w:r w:rsidR="00925211" w:rsidRPr="008333D8">
        <w:t xml:space="preserve"> </w:t>
      </w:r>
      <w:r w:rsidR="005B21EE" w:rsidRPr="008333D8">
        <w:t>the doctrine</w:t>
      </w:r>
      <w:r w:rsidR="00925211">
        <w:t xml:space="preserve"> enables patients to make intelligent treatment decisions.</w:t>
      </w:r>
      <w:r w:rsidR="00503B9E" w:rsidRPr="008333D8">
        <w:t xml:space="preserve"> </w:t>
      </w:r>
      <w:r w:rsidR="009542C8">
        <w:t xml:space="preserve"> </w:t>
      </w:r>
    </w:p>
    <w:p w14:paraId="69AA101B" w14:textId="77777777" w:rsidR="000971D5" w:rsidRPr="008333D8" w:rsidRDefault="00AB1EE5" w:rsidP="00087D20">
      <w:pPr>
        <w:ind w:firstLine="720"/>
      </w:pPr>
      <w:r>
        <w:t>W</w:t>
      </w:r>
      <w:r w:rsidR="00865A1D">
        <w:t xml:space="preserve">e have previously indicated </w:t>
      </w:r>
      <w:r w:rsidR="009A39B6">
        <w:t xml:space="preserve">that the patient’s role in </w:t>
      </w:r>
      <w:r w:rsidR="00062C89">
        <w:t xml:space="preserve">deciding </w:t>
      </w:r>
      <w:r w:rsidR="009A39B6">
        <w:t xml:space="preserve">his or her </w:t>
      </w:r>
      <w:r w:rsidR="00062C89">
        <w:t xml:space="preserve">own course of </w:t>
      </w:r>
      <w:r w:rsidR="009A39B6">
        <w:t xml:space="preserve">treatment does not disappear in the context of the learned intermediary doctrine.  </w:t>
      </w:r>
      <w:r w:rsidR="00865A1D">
        <w:t xml:space="preserve">Specifically, in </w:t>
      </w:r>
      <w:r w:rsidR="00865A1D" w:rsidRPr="00AC08EA">
        <w:rPr>
          <w:i/>
          <w:iCs/>
        </w:rPr>
        <w:t xml:space="preserve">Finn v. G. </w:t>
      </w:r>
      <w:r w:rsidR="00865A1D" w:rsidRPr="0053601A">
        <w:rPr>
          <w:i/>
        </w:rPr>
        <w:t xml:space="preserve">D. </w:t>
      </w:r>
      <w:r w:rsidR="00865A1D" w:rsidRPr="00AC08EA">
        <w:rPr>
          <w:i/>
          <w:iCs/>
        </w:rPr>
        <w:t>Searle &amp; Co</w:t>
      </w:r>
      <w:r w:rsidR="00865A1D">
        <w:t>. (1984) 35</w:t>
      </w:r>
      <w:r w:rsidR="00170C8B">
        <w:t> </w:t>
      </w:r>
      <w:r w:rsidR="00865A1D">
        <w:t>Cal.3d 691</w:t>
      </w:r>
      <w:r w:rsidR="00692933">
        <w:t>,</w:t>
      </w:r>
      <w:r w:rsidR="00CB4957">
        <w:t xml:space="preserve"> we suggested that a jury </w:t>
      </w:r>
      <w:r w:rsidR="009A39B6">
        <w:t>might be able to find causation in the context of a manufacturer’s failure to warn the p</w:t>
      </w:r>
      <w:r w:rsidR="00AB4A3D">
        <w:t>laintiff</w:t>
      </w:r>
      <w:r w:rsidR="009A39B6">
        <w:t>’s physician</w:t>
      </w:r>
      <w:r w:rsidR="00CB4957">
        <w:t xml:space="preserve"> of the dangers of a certain drug if </w:t>
      </w:r>
      <w:r w:rsidR="009A39B6">
        <w:t>the jury determined that</w:t>
      </w:r>
      <w:r w:rsidR="00CB4957">
        <w:t xml:space="preserve">, </w:t>
      </w:r>
      <w:r w:rsidR="009A39B6">
        <w:t>had the physician been warned</w:t>
      </w:r>
      <w:r w:rsidR="00CB4957">
        <w:t xml:space="preserve">, the </w:t>
      </w:r>
      <w:r w:rsidR="00CB4957" w:rsidRPr="00CB4957">
        <w:t xml:space="preserve">physician </w:t>
      </w:r>
      <w:r w:rsidR="00CB4957">
        <w:t>“</w:t>
      </w:r>
      <w:r w:rsidR="00CB4957" w:rsidRPr="00CB4957">
        <w:t xml:space="preserve">would have (or should have) refrained from prescribing the drug, </w:t>
      </w:r>
      <w:r w:rsidR="00CB4957" w:rsidRPr="00910C2A">
        <w:rPr>
          <w:i/>
          <w:iCs/>
        </w:rPr>
        <w:t>or th[e] plaintiff would have refrained from taking it</w:t>
      </w:r>
      <w:r w:rsidR="00CB4957">
        <w:t>.</w:t>
      </w:r>
      <w:r w:rsidR="00CB4957" w:rsidRPr="004F1E15">
        <w:t>”</w:t>
      </w:r>
      <w:r w:rsidR="00CB4957" w:rsidRPr="00910C2A">
        <w:rPr>
          <w:i/>
          <w:iCs/>
        </w:rPr>
        <w:t xml:space="preserve"> </w:t>
      </w:r>
      <w:r w:rsidR="00CB4957">
        <w:t xml:space="preserve"> (</w:t>
      </w:r>
      <w:r w:rsidR="00CB4957">
        <w:rPr>
          <w:i/>
          <w:iCs/>
        </w:rPr>
        <w:t xml:space="preserve">Id. </w:t>
      </w:r>
      <w:r w:rsidR="00CB4957">
        <w:t>at p. </w:t>
      </w:r>
      <w:bookmarkEnd w:id="24"/>
      <w:r w:rsidR="00CB4957">
        <w:t>702, italics added.)</w:t>
      </w:r>
      <w:r w:rsidR="009542C8">
        <w:t xml:space="preserve">  </w:t>
      </w:r>
      <w:r w:rsidR="004F1E15">
        <w:t>While not binding on us, w</w:t>
      </w:r>
      <w:r w:rsidR="00062C89">
        <w:t xml:space="preserve">e also find persuasive other courts’ observations that </w:t>
      </w:r>
      <w:r w:rsidR="00925211">
        <w:t>the</w:t>
      </w:r>
      <w:r w:rsidR="005B21EE" w:rsidRPr="008333D8">
        <w:t xml:space="preserve"> </w:t>
      </w:r>
      <w:r w:rsidR="00DC1D9B">
        <w:t xml:space="preserve">learned intermediary </w:t>
      </w:r>
      <w:r w:rsidR="005B21EE" w:rsidRPr="008333D8">
        <w:t xml:space="preserve">doctrine </w:t>
      </w:r>
      <w:r w:rsidR="00E67292" w:rsidRPr="008333D8">
        <w:t xml:space="preserve">does not </w:t>
      </w:r>
      <w:r w:rsidR="001E51D5" w:rsidRPr="008333D8">
        <w:t>“</w:t>
      </w:r>
      <w:r w:rsidR="00E67292" w:rsidRPr="008333D8">
        <w:t>allow health care professionals to substitute their judgment for that of their patients.</w:t>
      </w:r>
      <w:r w:rsidR="00000EA2" w:rsidRPr="008333D8">
        <w:t>”  (</w:t>
      </w:r>
      <w:r w:rsidR="00925211" w:rsidRPr="008333D8">
        <w:rPr>
          <w:i/>
          <w:iCs/>
        </w:rPr>
        <w:t>Gilliland v. Novartis Pharmaceuticals Corp</w:t>
      </w:r>
      <w:r w:rsidR="00925211" w:rsidRPr="008333D8">
        <w:t>. (S.D. Iowa 2014) 34 F.Supp.3d 960, 972 (</w:t>
      </w:r>
      <w:r w:rsidR="00925211" w:rsidRPr="008333D8">
        <w:rPr>
          <w:i/>
          <w:iCs/>
        </w:rPr>
        <w:t>Gilliland</w:t>
      </w:r>
      <w:r w:rsidR="00925211" w:rsidRPr="008333D8">
        <w:t>).)</w:t>
      </w:r>
      <w:r w:rsidR="00000EA2" w:rsidRPr="008333D8">
        <w:t xml:space="preserve">  Nor does </w:t>
      </w:r>
      <w:r w:rsidR="00925211">
        <w:t>it</w:t>
      </w:r>
      <w:r w:rsidR="00000EA2" w:rsidRPr="008333D8">
        <w:t xml:space="preserve"> “assume</w:t>
      </w:r>
      <w:r w:rsidR="008D475A" w:rsidRPr="008333D8">
        <w:t>[]</w:t>
      </w:r>
      <w:r w:rsidR="00000EA2" w:rsidRPr="008333D8">
        <w:t xml:space="preserve"> that a doctor will issue a prescription” to “an informed patient who is unwilling to risk a medical product’s side effects.”  </w:t>
      </w:r>
      <w:bookmarkStart w:id="25" w:name="_Hlk155909247"/>
      <w:r w:rsidR="00000EA2" w:rsidRPr="008333D8">
        <w:t>(</w:t>
      </w:r>
      <w:r w:rsidR="00000EA2" w:rsidRPr="008333D8">
        <w:rPr>
          <w:i/>
          <w:iCs/>
        </w:rPr>
        <w:t>Hrymoc v. Ethicon, Inc</w:t>
      </w:r>
      <w:r w:rsidR="00000EA2" w:rsidRPr="008333D8">
        <w:t>. (Super.Ct.App.Div. 2021) 467</w:t>
      </w:r>
      <w:r w:rsidR="008D475A" w:rsidRPr="008333D8">
        <w:t> </w:t>
      </w:r>
      <w:r w:rsidR="00000EA2" w:rsidRPr="008333D8">
        <w:t>N.J.Super. 42, 90</w:t>
      </w:r>
      <w:r w:rsidR="00D213A6" w:rsidRPr="008333D8">
        <w:t xml:space="preserve"> [249 A.3d 191, </w:t>
      </w:r>
      <w:r w:rsidR="00D213A6" w:rsidRPr="008333D8">
        <w:lastRenderedPageBreak/>
        <w:t>220]</w:t>
      </w:r>
      <w:r w:rsidR="00000EA2" w:rsidRPr="008333D8">
        <w:t>, affd</w:t>
      </w:r>
      <w:r w:rsidR="00077904" w:rsidRPr="008333D8">
        <w:t>.</w:t>
      </w:r>
      <w:r w:rsidR="00000EA2" w:rsidRPr="008333D8">
        <w:t xml:space="preserve"> as mod</w:t>
      </w:r>
      <w:r w:rsidR="00077904" w:rsidRPr="008333D8">
        <w:t>.</w:t>
      </w:r>
      <w:r w:rsidR="00000EA2" w:rsidRPr="008333D8">
        <w:t xml:space="preserve"> (2023) 254</w:t>
      </w:r>
      <w:r w:rsidR="008D475A" w:rsidRPr="008333D8">
        <w:t> </w:t>
      </w:r>
      <w:r w:rsidR="00000EA2" w:rsidRPr="008333D8">
        <w:t>N.J. 446</w:t>
      </w:r>
      <w:r w:rsidR="00BA0AC8" w:rsidRPr="008333D8">
        <w:t xml:space="preserve"> </w:t>
      </w:r>
      <w:r w:rsidR="00D213A6" w:rsidRPr="008333D8">
        <w:t xml:space="preserve">[297 A.3d 1245] </w:t>
      </w:r>
      <w:r w:rsidR="00BA0AC8" w:rsidRPr="008333D8">
        <w:t>(</w:t>
      </w:r>
      <w:r w:rsidR="00BA0AC8" w:rsidRPr="008333D8">
        <w:rPr>
          <w:i/>
          <w:iCs/>
        </w:rPr>
        <w:t>Hrymoc</w:t>
      </w:r>
      <w:r w:rsidR="00BA0AC8" w:rsidRPr="008333D8">
        <w:t>)</w:t>
      </w:r>
      <w:r w:rsidR="00000EA2" w:rsidRPr="008333D8">
        <w:t>.</w:t>
      </w:r>
      <w:bookmarkEnd w:id="25"/>
      <w:r w:rsidR="00000EA2" w:rsidRPr="008333D8">
        <w:t>)</w:t>
      </w:r>
      <w:r w:rsidR="00CB67C5" w:rsidRPr="008333D8">
        <w:t xml:space="preserve">  </w:t>
      </w:r>
      <w:r w:rsidR="00D0625B" w:rsidRPr="008333D8">
        <w:t>Thus</w:t>
      </w:r>
      <w:r w:rsidR="00CB67C5" w:rsidRPr="008333D8">
        <w:t>, the doctrine does not “</w:t>
      </w:r>
      <w:r w:rsidR="00E67292" w:rsidRPr="008333D8">
        <w:t>obviate the need to consider whether the plaintiff-patient’s decision concerning</w:t>
      </w:r>
      <w:r w:rsidR="008D475A" w:rsidRPr="008333D8">
        <w:t xml:space="preserve"> </w:t>
      </w:r>
      <w:r w:rsidR="00E67292" w:rsidRPr="008333D8">
        <w:t>her recommended course of treatment would have been different, assuming that the warning at issue had been more adequate</w:t>
      </w:r>
      <w:r w:rsidR="00AD438D" w:rsidRPr="008333D8">
        <w:t>”</w:t>
      </w:r>
      <w:r w:rsidR="00D62FD5" w:rsidRPr="008333D8">
        <w:t xml:space="preserve"> and </w:t>
      </w:r>
      <w:r w:rsidR="008D475A" w:rsidRPr="008333D8">
        <w:t>was</w:t>
      </w:r>
      <w:r w:rsidR="00E05ADA" w:rsidRPr="008333D8">
        <w:t xml:space="preserve"> deemed material enough to be</w:t>
      </w:r>
      <w:r w:rsidR="008D475A" w:rsidRPr="008333D8">
        <w:t xml:space="preserve"> </w:t>
      </w:r>
      <w:r w:rsidR="00D62FD5" w:rsidRPr="008333D8">
        <w:t>passed along</w:t>
      </w:r>
      <w:r w:rsidR="008D475A" w:rsidRPr="008333D8">
        <w:t xml:space="preserve"> to the patient by the </w:t>
      </w:r>
      <w:r w:rsidR="00D62FD5" w:rsidRPr="008333D8">
        <w:t>physician.</w:t>
      </w:r>
      <w:r w:rsidR="00E67292" w:rsidRPr="008333D8">
        <w:t xml:space="preserve">  </w:t>
      </w:r>
      <w:bookmarkStart w:id="26" w:name="_Hlk164626514"/>
      <w:r w:rsidR="00503B9E" w:rsidRPr="008333D8">
        <w:t>(</w:t>
      </w:r>
      <w:r w:rsidR="00000EA2" w:rsidRPr="008333D8">
        <w:rPr>
          <w:i/>
          <w:iCs/>
        </w:rPr>
        <w:t>Gilliland</w:t>
      </w:r>
      <w:r w:rsidR="00000EA2" w:rsidRPr="008333D8">
        <w:t>, at p.</w:t>
      </w:r>
      <w:r w:rsidR="00F51842" w:rsidRPr="008333D8">
        <w:t> </w:t>
      </w:r>
      <w:bookmarkStart w:id="27" w:name="_Hlk155909262"/>
      <w:r w:rsidR="00000EA2" w:rsidRPr="008333D8">
        <w:t>972</w:t>
      </w:r>
      <w:r w:rsidR="00940DE9">
        <w:t>.)</w:t>
      </w:r>
      <w:bookmarkStart w:id="28" w:name="_Hlk155909273"/>
      <w:bookmarkEnd w:id="26"/>
      <w:r>
        <w:rPr>
          <w:rStyle w:val="FootnoteReference"/>
        </w:rPr>
        <w:footnoteReference w:id="3"/>
      </w:r>
      <w:bookmarkEnd w:id="27"/>
      <w:r w:rsidR="00B15850" w:rsidRPr="008333D8">
        <w:t xml:space="preserve"> </w:t>
      </w:r>
    </w:p>
    <w:bookmarkEnd w:id="28"/>
    <w:p w14:paraId="69AA101C" w14:textId="77777777" w:rsidR="00950E6A" w:rsidRDefault="00AB1EE5" w:rsidP="00087D20">
      <w:pPr>
        <w:ind w:firstLine="720"/>
      </w:pPr>
      <w:r w:rsidRPr="008333D8">
        <w:t>That said</w:t>
      </w:r>
      <w:r w:rsidR="00B15850" w:rsidRPr="008333D8">
        <w:t xml:space="preserve">, our holding </w:t>
      </w:r>
      <w:r w:rsidR="005666F0" w:rsidRPr="008333D8">
        <w:rPr>
          <w:szCs w:val="26"/>
        </w:rPr>
        <w:t>does not</w:t>
      </w:r>
      <w:r w:rsidR="0057573D" w:rsidRPr="008333D8">
        <w:rPr>
          <w:szCs w:val="26"/>
        </w:rPr>
        <w:t xml:space="preserve"> remove the physician’s </w:t>
      </w:r>
      <w:r w:rsidR="00291B86" w:rsidRPr="008333D8">
        <w:rPr>
          <w:szCs w:val="26"/>
        </w:rPr>
        <w:t>expertise</w:t>
      </w:r>
      <w:r w:rsidR="004B78B4" w:rsidRPr="008333D8">
        <w:rPr>
          <w:szCs w:val="26"/>
        </w:rPr>
        <w:t xml:space="preserve"> from consideration</w:t>
      </w:r>
      <w:r w:rsidR="0057573D" w:rsidRPr="008333D8">
        <w:rPr>
          <w:szCs w:val="26"/>
        </w:rPr>
        <w:t xml:space="preserve"> in the causation analysis</w:t>
      </w:r>
      <w:r w:rsidR="005666F0" w:rsidRPr="008333D8">
        <w:rPr>
          <w:szCs w:val="26"/>
        </w:rPr>
        <w:t xml:space="preserve">.  </w:t>
      </w:r>
      <w:r w:rsidR="005666F0" w:rsidRPr="008333D8">
        <w:t xml:space="preserve">Instead, our holding </w:t>
      </w:r>
      <w:r w:rsidR="009542C8">
        <w:t>takes into account</w:t>
      </w:r>
      <w:r w:rsidR="005666F0" w:rsidRPr="008333D8">
        <w:t xml:space="preserve"> the</w:t>
      </w:r>
      <w:r w:rsidR="00B15850" w:rsidRPr="008333D8">
        <w:t xml:space="preserve"> essential role of the physician’s</w:t>
      </w:r>
      <w:r w:rsidR="0053433B" w:rsidRPr="008333D8">
        <w:t xml:space="preserve"> </w:t>
      </w:r>
      <w:r w:rsidR="00B15850" w:rsidRPr="008333D8">
        <w:t>recommendation in the p</w:t>
      </w:r>
      <w:r w:rsidR="00E522A2">
        <w:t>atient</w:t>
      </w:r>
      <w:r w:rsidR="00B15850" w:rsidRPr="008333D8">
        <w:t xml:space="preserve">’s treatment decision.  </w:t>
      </w:r>
      <w:r w:rsidR="00C536DD" w:rsidRPr="008333D8">
        <w:t xml:space="preserve">The </w:t>
      </w:r>
      <w:r w:rsidR="005666F0" w:rsidRPr="008333D8">
        <w:t xml:space="preserve">learned intermediary </w:t>
      </w:r>
      <w:r w:rsidR="00C536DD" w:rsidRPr="008333D8">
        <w:t>doctrine recognizes that patients are often influenced by their physician’s treatment recommendation</w:t>
      </w:r>
      <w:r w:rsidR="00A129AF" w:rsidRPr="008333D8">
        <w:t>s</w:t>
      </w:r>
      <w:r w:rsidR="00C536DD" w:rsidRPr="008333D8">
        <w:t xml:space="preserve"> and that a physician may be able to assuage a patient’s fears or persuade the patient that </w:t>
      </w:r>
      <w:r w:rsidR="00A129AF" w:rsidRPr="008333D8">
        <w:t xml:space="preserve">the </w:t>
      </w:r>
      <w:r w:rsidR="00C536DD" w:rsidRPr="008333D8">
        <w:t xml:space="preserve">benefits of treatment outweigh any risks.  (See </w:t>
      </w:r>
      <w:r w:rsidR="00C536DD" w:rsidRPr="008333D8">
        <w:rPr>
          <w:i/>
          <w:iCs/>
        </w:rPr>
        <w:t>Brown</w:t>
      </w:r>
      <w:r w:rsidR="00C536DD" w:rsidRPr="008333D8">
        <w:t xml:space="preserve">, </w:t>
      </w:r>
      <w:r w:rsidR="00C536DD" w:rsidRPr="008333D8">
        <w:rPr>
          <w:i/>
          <w:iCs/>
        </w:rPr>
        <w:t>supra</w:t>
      </w:r>
      <w:r w:rsidR="00C536DD" w:rsidRPr="008333D8">
        <w:t>, 44</w:t>
      </w:r>
      <w:r w:rsidR="004B6DDB" w:rsidRPr="008333D8">
        <w:t> </w:t>
      </w:r>
      <w:r w:rsidR="00C536DD" w:rsidRPr="008333D8">
        <w:t>Cal.3d at p. 1061.)</w:t>
      </w:r>
      <w:r w:rsidRPr="008333D8">
        <w:t xml:space="preserve">  </w:t>
      </w:r>
      <w:r w:rsidR="002E5142" w:rsidRPr="008333D8">
        <w:t>T</w:t>
      </w:r>
      <w:r w:rsidR="00B15850" w:rsidRPr="008333D8">
        <w:t xml:space="preserve">he causation analysis must </w:t>
      </w:r>
      <w:r w:rsidRPr="008333D8">
        <w:t xml:space="preserve">accordingly </w:t>
      </w:r>
      <w:r w:rsidR="00B15850" w:rsidRPr="008333D8">
        <w:t>consider whether a</w:t>
      </w:r>
      <w:r w:rsidR="008129DD">
        <w:t>n objectively</w:t>
      </w:r>
      <w:r w:rsidR="00B15850" w:rsidRPr="008333D8">
        <w:t xml:space="preserve"> prudent p</w:t>
      </w:r>
      <w:r w:rsidR="008D0061" w:rsidRPr="008333D8">
        <w:t>erson</w:t>
      </w:r>
      <w:r w:rsidR="00B15850" w:rsidRPr="008333D8">
        <w:t xml:space="preserve"> in the p</w:t>
      </w:r>
      <w:r w:rsidR="008D0061" w:rsidRPr="008333D8">
        <w:t>atient</w:t>
      </w:r>
      <w:r w:rsidR="00B15850" w:rsidRPr="008333D8">
        <w:t>’s position would have declined the treatment</w:t>
      </w:r>
      <w:r w:rsidR="00C536DD" w:rsidRPr="008333D8">
        <w:t xml:space="preserve"> </w:t>
      </w:r>
      <w:r w:rsidR="00A129AF" w:rsidRPr="008333D8">
        <w:t xml:space="preserve">even where his or her physician </w:t>
      </w:r>
      <w:r w:rsidR="0057573D" w:rsidRPr="008333D8">
        <w:t xml:space="preserve">would have </w:t>
      </w:r>
      <w:r w:rsidR="009B3CDA" w:rsidRPr="008333D8">
        <w:t xml:space="preserve">advised the </w:t>
      </w:r>
      <w:r w:rsidR="009B3CDA" w:rsidRPr="0080772C">
        <w:t>patient</w:t>
      </w:r>
      <w:r w:rsidR="009B3CDA" w:rsidRPr="008333D8">
        <w:t xml:space="preserve"> </w:t>
      </w:r>
      <w:r w:rsidR="00A129AF" w:rsidRPr="008333D8">
        <w:t xml:space="preserve">that the treatment would </w:t>
      </w:r>
      <w:r w:rsidR="001B3F1F" w:rsidRPr="008333D8">
        <w:t xml:space="preserve">still </w:t>
      </w:r>
      <w:r w:rsidR="00A129AF" w:rsidRPr="008333D8">
        <w:t xml:space="preserve">be in the </w:t>
      </w:r>
      <w:r w:rsidR="00A129AF" w:rsidRPr="0080772C">
        <w:t>p</w:t>
      </w:r>
      <w:r w:rsidR="0080772C">
        <w:t>atient</w:t>
      </w:r>
      <w:r w:rsidR="00A129AF" w:rsidRPr="0080772C">
        <w:t>’s</w:t>
      </w:r>
      <w:r w:rsidR="00A129AF" w:rsidRPr="008333D8">
        <w:t xml:space="preserve"> best interests, notwithstanding the risks conveyed by a</w:t>
      </w:r>
      <w:r w:rsidR="0057573D" w:rsidRPr="008333D8">
        <w:t xml:space="preserve"> </w:t>
      </w:r>
      <w:r w:rsidR="00A129AF" w:rsidRPr="008333D8">
        <w:t xml:space="preserve">stronger warning.  </w:t>
      </w:r>
      <w:r w:rsidR="003903B6" w:rsidRPr="008333D8">
        <w:t xml:space="preserve">Because our holding acknowledges the role of both the physician and the patient in </w:t>
      </w:r>
      <w:r w:rsidR="00903DB2" w:rsidRPr="008333D8">
        <w:t xml:space="preserve">medical </w:t>
      </w:r>
      <w:r w:rsidR="003903B6" w:rsidRPr="008333D8">
        <w:t>treatment decisions, it comports with the learned intermediary doctrine’s</w:t>
      </w:r>
      <w:r w:rsidR="00C536DD" w:rsidRPr="008333D8">
        <w:t xml:space="preserve"> recognition that treatment decisions are </w:t>
      </w:r>
      <w:r w:rsidR="00C536DD" w:rsidRPr="008333D8">
        <w:lastRenderedPageBreak/>
        <w:t xml:space="preserve">made collaboratively by patients and their physicians, and </w:t>
      </w:r>
      <w:r w:rsidR="00A129AF" w:rsidRPr="008333D8">
        <w:t xml:space="preserve">the physician acts as an “intermediary” who helps the patient in </w:t>
      </w:r>
      <w:r w:rsidR="009542C8">
        <w:t>appreciating</w:t>
      </w:r>
      <w:r w:rsidR="009542C8" w:rsidRPr="008333D8">
        <w:t xml:space="preserve"> </w:t>
      </w:r>
      <w:r w:rsidR="00A129AF" w:rsidRPr="008333D8">
        <w:t>and weighing the benefits and risks of treatment</w:t>
      </w:r>
      <w:r w:rsidR="009A22D5" w:rsidRPr="008333D8">
        <w:t>.</w:t>
      </w:r>
      <w:r w:rsidR="005602EC" w:rsidRPr="008333D8">
        <w:t xml:space="preserve">  </w:t>
      </w:r>
      <w:r w:rsidR="0037517B" w:rsidRPr="008333D8">
        <w:t xml:space="preserve"> </w:t>
      </w:r>
      <w:r>
        <w:t xml:space="preserve"> </w:t>
      </w:r>
      <w:r w:rsidR="002A62F6" w:rsidRPr="008333D8">
        <w:rPr>
          <w:szCs w:val="26"/>
        </w:rPr>
        <w:t>Indeed,</w:t>
      </w:r>
      <w:r w:rsidR="00E14116" w:rsidRPr="008333D8">
        <w:rPr>
          <w:szCs w:val="26"/>
        </w:rPr>
        <w:t xml:space="preserve"> the very premise of the doctrine is that the </w:t>
      </w:r>
      <w:r w:rsidR="009A22D5" w:rsidRPr="008333D8">
        <w:rPr>
          <w:szCs w:val="26"/>
        </w:rPr>
        <w:t>physician</w:t>
      </w:r>
      <w:r w:rsidR="00E14116" w:rsidRPr="008333D8">
        <w:rPr>
          <w:szCs w:val="26"/>
        </w:rPr>
        <w:t xml:space="preserve"> </w:t>
      </w:r>
      <w:r w:rsidR="009A22D5" w:rsidRPr="008333D8">
        <w:rPr>
          <w:szCs w:val="26"/>
        </w:rPr>
        <w:t xml:space="preserve">will assist the patient in understanding material information conveyed by the warning </w:t>
      </w:r>
      <w:r w:rsidR="009A22D5" w:rsidRPr="008333D8">
        <w:t xml:space="preserve">“so that the patient can make an informed choice as to therapy.”  </w:t>
      </w:r>
      <w:bookmarkStart w:id="29" w:name="_Hlk155909327"/>
      <w:r w:rsidR="009A22D5" w:rsidRPr="008333D8">
        <w:t xml:space="preserve">(Rest.3d Torts, Products Liability, § 6, com. </w:t>
      </w:r>
      <w:r w:rsidR="006720AA">
        <w:t>b</w:t>
      </w:r>
      <w:r w:rsidR="009A22D5" w:rsidRPr="008333D8">
        <w:t>, p. 14</w:t>
      </w:r>
      <w:r w:rsidR="006720AA">
        <w:t>6</w:t>
      </w:r>
      <w:r w:rsidR="009A22D5" w:rsidRPr="008333D8">
        <w:t xml:space="preserve">.)  </w:t>
      </w:r>
      <w:bookmarkEnd w:id="29"/>
    </w:p>
    <w:p w14:paraId="69AA101D" w14:textId="77777777" w:rsidR="00BE16F6" w:rsidRPr="008333D8" w:rsidRDefault="00AB1EE5" w:rsidP="00087D20">
      <w:pPr>
        <w:ind w:firstLine="720"/>
      </w:pPr>
      <w:r w:rsidRPr="00692933">
        <w:t>But</w:t>
      </w:r>
      <w:r w:rsidR="009542C8" w:rsidRPr="00692933">
        <w:t xml:space="preserve"> as </w:t>
      </w:r>
      <w:r w:rsidR="00692933">
        <w:t>an</w:t>
      </w:r>
      <w:r w:rsidR="009542C8" w:rsidRPr="00692933">
        <w:t>other</w:t>
      </w:r>
      <w:r w:rsidR="009542C8">
        <w:t xml:space="preserve"> court </w:t>
      </w:r>
      <w:r w:rsidR="00940DE9">
        <w:t>apt</w:t>
      </w:r>
      <w:r w:rsidR="009542C8">
        <w:t>ly observed,</w:t>
      </w:r>
      <w:r w:rsidR="0037517B" w:rsidRPr="008333D8">
        <w:t xml:space="preserve"> </w:t>
      </w:r>
      <w:r w:rsidR="00B20E46" w:rsidRPr="008333D8">
        <w:t>“no one disputes that it is up to the individual patient to decide whether to undergo a given treatment therapy”</w:t>
      </w:r>
      <w:r w:rsidR="009542C8">
        <w:t xml:space="preserve"> </w:t>
      </w:r>
      <w:r w:rsidR="00692933" w:rsidRPr="008333D8">
        <w:t>(</w:t>
      </w:r>
      <w:r w:rsidR="00692933" w:rsidRPr="008333D8">
        <w:rPr>
          <w:i/>
          <w:iCs/>
        </w:rPr>
        <w:t>Gilliland</w:t>
      </w:r>
      <w:r w:rsidR="00692933" w:rsidRPr="008333D8">
        <w:t xml:space="preserve">, </w:t>
      </w:r>
      <w:r w:rsidR="00692933" w:rsidRPr="008333D8">
        <w:rPr>
          <w:i/>
          <w:iCs/>
        </w:rPr>
        <w:t>supra</w:t>
      </w:r>
      <w:r w:rsidR="00692933" w:rsidRPr="008333D8">
        <w:t>, 34</w:t>
      </w:r>
      <w:r w:rsidR="001E429F">
        <w:t> </w:t>
      </w:r>
      <w:r w:rsidR="00692933" w:rsidRPr="008333D8">
        <w:t>F.Supp.3d at p. 972, fn. 21</w:t>
      </w:r>
      <w:r w:rsidR="00692933">
        <w:t xml:space="preserve">), </w:t>
      </w:r>
      <w:r w:rsidR="009542C8">
        <w:t>and</w:t>
      </w:r>
      <w:r w:rsidR="00B20E46" w:rsidRPr="008333D8">
        <w:t xml:space="preserve"> </w:t>
      </w:r>
      <w:r w:rsidR="008F64D8" w:rsidRPr="008333D8">
        <w:t xml:space="preserve">we </w:t>
      </w:r>
      <w:r w:rsidR="009542C8">
        <w:t xml:space="preserve">therefore </w:t>
      </w:r>
      <w:r w:rsidR="008F64D8" w:rsidRPr="008333D8">
        <w:t>cannot presume that a</w:t>
      </w:r>
      <w:r w:rsidR="008129DD">
        <w:t>n objectively</w:t>
      </w:r>
      <w:r w:rsidR="008F64D8" w:rsidRPr="008333D8">
        <w:t xml:space="preserve"> prudent p</w:t>
      </w:r>
      <w:r w:rsidR="008D0061" w:rsidRPr="008333D8">
        <w:t>erson</w:t>
      </w:r>
      <w:r w:rsidR="008F64D8" w:rsidRPr="008333D8">
        <w:t xml:space="preserve"> </w:t>
      </w:r>
      <w:r w:rsidR="00563A4E" w:rsidRPr="008333D8">
        <w:t xml:space="preserve">in the patient’s position </w:t>
      </w:r>
      <w:r w:rsidR="008F64D8" w:rsidRPr="008333D8">
        <w:t xml:space="preserve">will follow </w:t>
      </w:r>
      <w:r w:rsidR="00563A4E" w:rsidRPr="008333D8">
        <w:t>the</w:t>
      </w:r>
      <w:r w:rsidR="008F64D8" w:rsidRPr="008333D8">
        <w:t xml:space="preserve"> physician’s treatment recommendations in all circumstances. </w:t>
      </w:r>
      <w:r w:rsidR="0037517B" w:rsidRPr="008333D8">
        <w:t xml:space="preserve"> </w:t>
      </w:r>
      <w:r w:rsidR="00692933">
        <w:t>(S</w:t>
      </w:r>
      <w:r w:rsidR="00B20E46" w:rsidRPr="008333D8">
        <w:t xml:space="preserve">ee also </w:t>
      </w:r>
      <w:r w:rsidR="00B20E46" w:rsidRPr="008333D8">
        <w:rPr>
          <w:i/>
          <w:iCs/>
        </w:rPr>
        <w:t>Payne</w:t>
      </w:r>
      <w:r w:rsidR="00B20E46" w:rsidRPr="008333D8">
        <w:t xml:space="preserve">, </w:t>
      </w:r>
      <w:r w:rsidR="00B20E46" w:rsidRPr="008333D8">
        <w:rPr>
          <w:i/>
          <w:iCs/>
        </w:rPr>
        <w:t>supr</w:t>
      </w:r>
      <w:r w:rsidR="00B20E46" w:rsidRPr="008333D8">
        <w:t>a, 767</w:t>
      </w:r>
      <w:r w:rsidR="00932167" w:rsidRPr="008333D8">
        <w:t> </w:t>
      </w:r>
      <w:r w:rsidR="00B20E46" w:rsidRPr="008333D8">
        <w:t>F.3d at p.</w:t>
      </w:r>
      <w:r w:rsidR="001B783B" w:rsidRPr="008333D8">
        <w:t> </w:t>
      </w:r>
      <w:r w:rsidR="00B20E46" w:rsidRPr="008333D8">
        <w:t xml:space="preserve">532 [causation in both informed consent and failure-to-warn cases “ultimately rests with the patient’s decision to take or reject the medication”]; </w:t>
      </w:r>
      <w:r w:rsidR="00B20E46" w:rsidRPr="008333D8">
        <w:rPr>
          <w:i/>
          <w:iCs/>
        </w:rPr>
        <w:t>Hrymoc</w:t>
      </w:r>
      <w:r w:rsidR="00B20E46" w:rsidRPr="008333D8">
        <w:t xml:space="preserve">, </w:t>
      </w:r>
      <w:r w:rsidR="00B20E46" w:rsidRPr="008333D8">
        <w:rPr>
          <w:i/>
          <w:iCs/>
        </w:rPr>
        <w:t>supra</w:t>
      </w:r>
      <w:r w:rsidR="00B20E46" w:rsidRPr="008333D8">
        <w:t>, 249 A.3d at p.</w:t>
      </w:r>
      <w:r w:rsidR="006630F8" w:rsidRPr="008333D8">
        <w:t> </w:t>
      </w:r>
      <w:r w:rsidR="00B20E46" w:rsidRPr="008333D8">
        <w:t>220 [“[T]he ‘prescribing decision’ .</w:t>
      </w:r>
      <w:r w:rsidR="006630F8" w:rsidRPr="008333D8">
        <w:t> </w:t>
      </w:r>
      <w:r w:rsidR="00B20E46" w:rsidRPr="008333D8">
        <w:t>.</w:t>
      </w:r>
      <w:r w:rsidR="006630F8" w:rsidRPr="008333D8">
        <w:t> </w:t>
      </w:r>
      <w:r w:rsidR="00B20E46" w:rsidRPr="008333D8">
        <w:t>. logically entails .</w:t>
      </w:r>
      <w:r w:rsidR="006630F8" w:rsidRPr="008333D8">
        <w:t> </w:t>
      </w:r>
      <w:r w:rsidR="00B20E46" w:rsidRPr="008333D8">
        <w:t>.</w:t>
      </w:r>
      <w:r w:rsidR="006630F8" w:rsidRPr="008333D8">
        <w:t> </w:t>
      </w:r>
      <w:r w:rsidR="00B20E46" w:rsidRPr="008333D8">
        <w:t>. a patient’s assent to follow that recommendation” and “it should not be assumed that a doctor will issue a prescription [to] an informed patient who is unwilling to risk a medical product’s side effects”].</w:t>
      </w:r>
      <w:r w:rsidR="008F64D8" w:rsidRPr="008333D8">
        <w:t xml:space="preserve">)  </w:t>
      </w:r>
      <w:r w:rsidR="00950E6A" w:rsidRPr="008333D8">
        <w:t>Although the learned intermediary doctrine provides that a manufacturer has no duty to warn the patient directly of the risks inherent to its prescription drugs or medical devices, it does so with the understanding that the physician is best positioned to communicate any material risks conveyed by the warning to the patient.  The doctrine does not stand for the principle that, once the manufacturer breaches its duty to warn the physician, the patient’s medical treatment decisions become irrelevant to the causation analysis</w:t>
      </w:r>
      <w:r w:rsidR="00950E6A">
        <w:t xml:space="preserve">.  </w:t>
      </w:r>
      <w:r w:rsidR="00EF75F9" w:rsidRPr="008333D8">
        <w:t xml:space="preserve">To conclude </w:t>
      </w:r>
      <w:r w:rsidR="008F64D8" w:rsidRPr="008333D8">
        <w:t xml:space="preserve">otherwise </w:t>
      </w:r>
      <w:r w:rsidR="00EF75F9" w:rsidRPr="008333D8">
        <w:lastRenderedPageBreak/>
        <w:t>“would frustrate the purpose of the learned intermediary rule, which is to enable patients to make informed and intelligent decisions whether to undergo a recommended therapy by balancing the probable risks against the probable benefits of the course of treatment proposed by their physicians.”  (</w:t>
      </w:r>
      <w:r w:rsidR="00EF75F9" w:rsidRPr="008333D8">
        <w:rPr>
          <w:i/>
          <w:iCs/>
        </w:rPr>
        <w:t>Gilliland</w:t>
      </w:r>
      <w:r w:rsidR="008F64D8" w:rsidRPr="008333D8">
        <w:t>,</w:t>
      </w:r>
      <w:r w:rsidR="00EF75F9" w:rsidRPr="008333D8">
        <w:rPr>
          <w:i/>
          <w:iCs/>
        </w:rPr>
        <w:t xml:space="preserve"> </w:t>
      </w:r>
      <w:r w:rsidR="00EF75F9" w:rsidRPr="008333D8">
        <w:t>at p. 972.)</w:t>
      </w:r>
      <w:r w:rsidR="003C05E3" w:rsidRPr="008333D8">
        <w:rPr>
          <w:szCs w:val="26"/>
        </w:rPr>
        <w:t xml:space="preserve">  </w:t>
      </w:r>
      <w:r w:rsidR="00E14116" w:rsidRPr="008333D8">
        <w:rPr>
          <w:szCs w:val="26"/>
        </w:rPr>
        <w:t>In sum</w:t>
      </w:r>
      <w:r w:rsidRPr="008333D8">
        <w:rPr>
          <w:szCs w:val="26"/>
        </w:rPr>
        <w:t xml:space="preserve">, </w:t>
      </w:r>
      <w:r w:rsidR="00026D49" w:rsidRPr="008333D8">
        <w:rPr>
          <w:szCs w:val="26"/>
        </w:rPr>
        <w:t>under</w:t>
      </w:r>
      <w:r w:rsidR="002A62F6" w:rsidRPr="008333D8">
        <w:rPr>
          <w:szCs w:val="26"/>
        </w:rPr>
        <w:t xml:space="preserve"> the learned intermediary doctrine</w:t>
      </w:r>
      <w:r w:rsidRPr="008333D8">
        <w:rPr>
          <w:szCs w:val="26"/>
        </w:rPr>
        <w:t>, the physic</w:t>
      </w:r>
      <w:r w:rsidR="00224423" w:rsidRPr="008333D8">
        <w:rPr>
          <w:szCs w:val="26"/>
        </w:rPr>
        <w:t>i</w:t>
      </w:r>
      <w:r w:rsidRPr="008333D8">
        <w:rPr>
          <w:szCs w:val="26"/>
        </w:rPr>
        <w:t>an’s judgment and advice remains central</w:t>
      </w:r>
      <w:r w:rsidR="002A62F6" w:rsidRPr="008333D8">
        <w:rPr>
          <w:szCs w:val="26"/>
        </w:rPr>
        <w:t xml:space="preserve"> to the causation analysis</w:t>
      </w:r>
      <w:r w:rsidR="000971D5" w:rsidRPr="008333D8">
        <w:rPr>
          <w:szCs w:val="26"/>
        </w:rPr>
        <w:t>,</w:t>
      </w:r>
      <w:r w:rsidR="002A62F6" w:rsidRPr="008333D8">
        <w:rPr>
          <w:szCs w:val="26"/>
        </w:rPr>
        <w:t xml:space="preserve"> but t</w:t>
      </w:r>
      <w:r w:rsidRPr="008333D8">
        <w:rPr>
          <w:szCs w:val="26"/>
        </w:rPr>
        <w:t xml:space="preserve">he ultimate decision </w:t>
      </w:r>
      <w:r w:rsidR="003C05E3" w:rsidRPr="008333D8">
        <w:rPr>
          <w:szCs w:val="26"/>
        </w:rPr>
        <w:t xml:space="preserve">of </w:t>
      </w:r>
      <w:r w:rsidRPr="008333D8">
        <w:rPr>
          <w:szCs w:val="26"/>
        </w:rPr>
        <w:t xml:space="preserve">whether to go forward with the treatment </w:t>
      </w:r>
      <w:r w:rsidR="001510EE" w:rsidRPr="008333D8">
        <w:rPr>
          <w:szCs w:val="26"/>
        </w:rPr>
        <w:t xml:space="preserve">resides </w:t>
      </w:r>
      <w:r w:rsidRPr="008333D8">
        <w:rPr>
          <w:szCs w:val="26"/>
        </w:rPr>
        <w:t>with the patient</w:t>
      </w:r>
      <w:r w:rsidR="002A62F6" w:rsidRPr="008333D8">
        <w:rPr>
          <w:szCs w:val="26"/>
        </w:rPr>
        <w:t>.</w:t>
      </w:r>
    </w:p>
    <w:p w14:paraId="69AA101E" w14:textId="77777777" w:rsidR="001C0BBA" w:rsidRPr="008333D8" w:rsidRDefault="00AB1EE5" w:rsidP="00087D20">
      <w:pPr>
        <w:widowControl w:val="0"/>
        <w:tabs>
          <w:tab w:val="left" w:pos="1440"/>
        </w:tabs>
        <w:ind w:firstLine="720"/>
        <w:contextualSpacing/>
      </w:pPr>
      <w:r w:rsidRPr="00A10134">
        <w:t xml:space="preserve">Somatics </w:t>
      </w:r>
      <w:r w:rsidR="00E3379C" w:rsidRPr="00A10134">
        <w:t>contends</w:t>
      </w:r>
      <w:r w:rsidR="00D876E0" w:rsidRPr="008333D8">
        <w:t xml:space="preserve"> </w:t>
      </w:r>
      <w:r w:rsidRPr="008333D8">
        <w:t>that</w:t>
      </w:r>
      <w:r w:rsidR="00D876E0" w:rsidRPr="008333D8">
        <w:t xml:space="preserve"> “a vast body” of out-of-state decisions </w:t>
      </w:r>
      <w:r w:rsidR="00204053" w:rsidRPr="008333D8">
        <w:t>hold</w:t>
      </w:r>
      <w:r w:rsidR="00D876E0" w:rsidRPr="008333D8">
        <w:t xml:space="preserve"> that</w:t>
      </w:r>
      <w:r w:rsidRPr="008333D8">
        <w:t xml:space="preserve"> a plaintiff may prove causation only by showing that an ade</w:t>
      </w:r>
      <w:r w:rsidRPr="008333D8">
        <w:t xml:space="preserve">quate warning would have altered the physician’s </w:t>
      </w:r>
      <w:r w:rsidR="00E05ADA" w:rsidRPr="008333D8">
        <w:t xml:space="preserve">decision to </w:t>
      </w:r>
      <w:r w:rsidRPr="008333D8">
        <w:t>prescrib</w:t>
      </w:r>
      <w:r w:rsidR="00E05ADA" w:rsidRPr="008333D8">
        <w:t>e the prescription drug or medical device.</w:t>
      </w:r>
      <w:r w:rsidRPr="008333D8">
        <w:t xml:space="preserve">  </w:t>
      </w:r>
      <w:r w:rsidR="00A45739" w:rsidRPr="00E9680E">
        <w:t>While we rely</w:t>
      </w:r>
      <w:r w:rsidR="00A45739">
        <w:t xml:space="preserve"> in this opinion on several non-California decisions</w:t>
      </w:r>
      <w:r w:rsidR="00A10134">
        <w:t>, the</w:t>
      </w:r>
      <w:r w:rsidR="00A45739">
        <w:t xml:space="preserve"> analysis </w:t>
      </w:r>
      <w:r w:rsidR="00A10134">
        <w:t xml:space="preserve">of which </w:t>
      </w:r>
      <w:r w:rsidR="00A45739">
        <w:t xml:space="preserve">we find to be persuasive </w:t>
      </w:r>
      <w:r w:rsidR="00F44D6D" w:rsidRPr="008333D8">
        <w:t>(</w:t>
      </w:r>
      <w:r w:rsidR="00A45739">
        <w:t xml:space="preserve">see </w:t>
      </w:r>
      <w:r w:rsidR="00F44D6D" w:rsidRPr="008333D8">
        <w:rPr>
          <w:i/>
          <w:iCs/>
        </w:rPr>
        <w:t>T.H.</w:t>
      </w:r>
      <w:r w:rsidR="00F44D6D" w:rsidRPr="008333D8">
        <w:t xml:space="preserve">, </w:t>
      </w:r>
      <w:r w:rsidR="00F44D6D" w:rsidRPr="008333D8">
        <w:rPr>
          <w:i/>
          <w:iCs/>
        </w:rPr>
        <w:t>supra</w:t>
      </w:r>
      <w:r w:rsidR="00F44D6D" w:rsidRPr="008333D8">
        <w:t>, 4</w:t>
      </w:r>
      <w:r w:rsidR="00E05ADA" w:rsidRPr="008333D8">
        <w:t> </w:t>
      </w:r>
      <w:r w:rsidR="00F44D6D" w:rsidRPr="008333D8">
        <w:t>Cal.5th at p.</w:t>
      </w:r>
      <w:r w:rsidR="00E05ADA" w:rsidRPr="008333D8">
        <w:t> </w:t>
      </w:r>
      <w:r w:rsidR="00F44D6D" w:rsidRPr="008333D8">
        <w:t>175</w:t>
      </w:r>
      <w:r w:rsidR="00AB35EB" w:rsidRPr="008333D8">
        <w:t>)</w:t>
      </w:r>
      <w:r w:rsidR="00A45739">
        <w:t xml:space="preserve">, we disagree with Somatics that </w:t>
      </w:r>
      <w:r w:rsidR="00AB35EB" w:rsidRPr="008333D8">
        <w:t xml:space="preserve">there exists a “near unanimity of agreement” regarding </w:t>
      </w:r>
      <w:r w:rsidR="00BB3ABA">
        <w:t>the</w:t>
      </w:r>
      <w:r w:rsidR="00AB35EB" w:rsidRPr="008333D8">
        <w:t xml:space="preserve"> particular issue </w:t>
      </w:r>
      <w:bookmarkStart w:id="30" w:name="_Hlk155909352"/>
      <w:r w:rsidR="00BB3ABA">
        <w:t xml:space="preserve">before us </w:t>
      </w:r>
      <w:r w:rsidR="00AB35EB" w:rsidRPr="008333D8">
        <w:t>(</w:t>
      </w:r>
      <w:r w:rsidR="00AB35EB" w:rsidRPr="008333D8">
        <w:rPr>
          <w:i/>
          <w:iCs/>
        </w:rPr>
        <w:t>Moradi-Shalal v. Fireman’s Fund Ins. Companies</w:t>
      </w:r>
      <w:r w:rsidR="00AB35EB" w:rsidRPr="008333D8">
        <w:t xml:space="preserve"> (1988) 46</w:t>
      </w:r>
      <w:r w:rsidR="0066082C" w:rsidRPr="008333D8">
        <w:t> </w:t>
      </w:r>
      <w:r w:rsidR="00AB35EB" w:rsidRPr="008333D8">
        <w:t>Cal.3d 287, 298)</w:t>
      </w:r>
      <w:bookmarkEnd w:id="30"/>
      <w:r w:rsidR="00AB35EB" w:rsidRPr="008333D8">
        <w:t>.</w:t>
      </w:r>
      <w:r w:rsidR="00A45739">
        <w:t xml:space="preserve">  A</w:t>
      </w:r>
      <w:r w:rsidR="004C6A90" w:rsidRPr="008333D8">
        <w:t xml:space="preserve"> few </w:t>
      </w:r>
      <w:r w:rsidR="0082517A" w:rsidRPr="008333D8">
        <w:t xml:space="preserve">decisions from other </w:t>
      </w:r>
      <w:r w:rsidR="004C6A90" w:rsidRPr="008333D8">
        <w:t>state</w:t>
      </w:r>
      <w:r w:rsidR="0082517A" w:rsidRPr="008333D8">
        <w:t>s</w:t>
      </w:r>
      <w:r w:rsidR="0066082C" w:rsidRPr="008333D8">
        <w:t>’</w:t>
      </w:r>
      <w:r w:rsidR="004C6A90" w:rsidRPr="008333D8">
        <w:t xml:space="preserve"> supreme court</w:t>
      </w:r>
      <w:r w:rsidR="0082517A" w:rsidRPr="008333D8">
        <w:t>s</w:t>
      </w:r>
      <w:r w:rsidR="00505762" w:rsidRPr="008333D8">
        <w:t xml:space="preserve"> </w:t>
      </w:r>
      <w:r w:rsidR="004C6A90" w:rsidRPr="008333D8">
        <w:t xml:space="preserve">suggest that a plaintiff must prove that an adequate warning would have altered </w:t>
      </w:r>
      <w:r w:rsidR="00F025C5" w:rsidRPr="008333D8">
        <w:t>the</w:t>
      </w:r>
      <w:r w:rsidR="00505762" w:rsidRPr="008333D8">
        <w:t xml:space="preserve"> physician’s </w:t>
      </w:r>
      <w:r w:rsidR="00F025C5" w:rsidRPr="008333D8">
        <w:t xml:space="preserve">prescribing </w:t>
      </w:r>
      <w:r w:rsidR="00505762" w:rsidRPr="008333D8">
        <w:t xml:space="preserve">decision, </w:t>
      </w:r>
      <w:r w:rsidR="00A45739">
        <w:t xml:space="preserve">but </w:t>
      </w:r>
      <w:r w:rsidR="00505762" w:rsidRPr="008333D8">
        <w:t xml:space="preserve">none </w:t>
      </w:r>
      <w:r w:rsidR="004C6A90" w:rsidRPr="008333D8">
        <w:t xml:space="preserve">of these decisions </w:t>
      </w:r>
      <w:r w:rsidR="00505762" w:rsidRPr="008333D8">
        <w:t>expressly consider</w:t>
      </w:r>
      <w:r w:rsidR="00F025C5" w:rsidRPr="008333D8">
        <w:t xml:space="preserve">ed Himes’s theory of causation.  </w:t>
      </w:r>
      <w:bookmarkStart w:id="31" w:name="_Hlk155909368"/>
      <w:r w:rsidR="00505762" w:rsidRPr="008333D8">
        <w:t>(</w:t>
      </w:r>
      <w:r w:rsidR="00013B52" w:rsidRPr="008333D8">
        <w:rPr>
          <w:i/>
          <w:iCs/>
        </w:rPr>
        <w:t>Janssen Pharmaceutica, Inc. v. Bailey</w:t>
      </w:r>
      <w:r w:rsidR="00013B52" w:rsidRPr="008333D8">
        <w:t xml:space="preserve"> (Miss. 2004) 878</w:t>
      </w:r>
      <w:r w:rsidR="0066082C" w:rsidRPr="008333D8">
        <w:t> </w:t>
      </w:r>
      <w:r w:rsidR="00013B52" w:rsidRPr="008333D8">
        <w:t xml:space="preserve">So.2d 31, 58; </w:t>
      </w:r>
      <w:r w:rsidR="00505762" w:rsidRPr="008333D8">
        <w:rPr>
          <w:i/>
          <w:iCs/>
        </w:rPr>
        <w:t>Strumph v. Schering Corp</w:t>
      </w:r>
      <w:r w:rsidR="00505762" w:rsidRPr="008333D8">
        <w:t>.</w:t>
      </w:r>
      <w:r w:rsidR="00623DAD" w:rsidRPr="008333D8">
        <w:t xml:space="preserve"> (N.J. 1993) </w:t>
      </w:r>
      <w:r w:rsidR="00505762" w:rsidRPr="008333D8">
        <w:t>626</w:t>
      </w:r>
      <w:r w:rsidR="0066082C" w:rsidRPr="008333D8">
        <w:t> </w:t>
      </w:r>
      <w:r w:rsidR="00505762" w:rsidRPr="008333D8">
        <w:t xml:space="preserve">A.2d 1090, adopting dissent issued in </w:t>
      </w:r>
      <w:r w:rsidR="00505762" w:rsidRPr="008333D8">
        <w:rPr>
          <w:i/>
          <w:iCs/>
        </w:rPr>
        <w:t>Strumph v. Schering Corp</w:t>
      </w:r>
      <w:r w:rsidR="00505762" w:rsidRPr="008333D8">
        <w:t>.</w:t>
      </w:r>
      <w:r w:rsidR="00623DAD" w:rsidRPr="008333D8">
        <w:t xml:space="preserve"> (N.J.App.Div. 1992) </w:t>
      </w:r>
      <w:r w:rsidR="00505762" w:rsidRPr="008333D8">
        <w:t>606</w:t>
      </w:r>
      <w:r w:rsidR="0066082C" w:rsidRPr="008333D8">
        <w:t> </w:t>
      </w:r>
      <w:r w:rsidR="00505762" w:rsidRPr="008333D8">
        <w:t>A.2d 1140, 1148 (dis. opn. of Skillman, J.)</w:t>
      </w:r>
      <w:r w:rsidR="00B73EE6" w:rsidRPr="008333D8">
        <w:t xml:space="preserve">; </w:t>
      </w:r>
      <w:r w:rsidR="00505762" w:rsidRPr="008333D8">
        <w:rPr>
          <w:i/>
          <w:iCs/>
        </w:rPr>
        <w:t>Seley v. G. D. Searle &amp; Co.</w:t>
      </w:r>
      <w:r w:rsidR="00505762" w:rsidRPr="008333D8">
        <w:t xml:space="preserve"> (1981) 67</w:t>
      </w:r>
      <w:r w:rsidR="00C40C8C" w:rsidRPr="008333D8">
        <w:t> </w:t>
      </w:r>
      <w:r w:rsidR="00505762" w:rsidRPr="008333D8">
        <w:t>Ohio St.2d 192, 201</w:t>
      </w:r>
      <w:r w:rsidR="00E05ADA" w:rsidRPr="008333D8">
        <w:t xml:space="preserve"> [</w:t>
      </w:r>
      <w:r w:rsidR="00C40C8C" w:rsidRPr="008333D8">
        <w:t>423 N.E.2d 831, 838–839</w:t>
      </w:r>
      <w:r w:rsidR="00E05ADA" w:rsidRPr="008333D8">
        <w:t>]</w:t>
      </w:r>
      <w:r w:rsidR="00123877" w:rsidRPr="008333D8">
        <w:t>.)</w:t>
      </w:r>
      <w:r w:rsidR="00505762" w:rsidRPr="008333D8">
        <w:t xml:space="preserve"> </w:t>
      </w:r>
      <w:r w:rsidR="008D402D" w:rsidRPr="008333D8">
        <w:t xml:space="preserve"> </w:t>
      </w:r>
      <w:bookmarkEnd w:id="31"/>
      <w:r w:rsidR="00013B52" w:rsidRPr="008333D8">
        <w:t xml:space="preserve">Other state supreme court decisions </w:t>
      </w:r>
      <w:r w:rsidR="0066082C" w:rsidRPr="008333D8">
        <w:t xml:space="preserve">appear to </w:t>
      </w:r>
      <w:r w:rsidR="00013B52" w:rsidRPr="008333D8">
        <w:t xml:space="preserve">suggest that </w:t>
      </w:r>
      <w:r w:rsidR="0066082C" w:rsidRPr="008333D8">
        <w:t xml:space="preserve">the </w:t>
      </w:r>
      <w:r w:rsidR="00013B52" w:rsidRPr="008333D8">
        <w:t xml:space="preserve">causation </w:t>
      </w:r>
      <w:r w:rsidR="0066082C" w:rsidRPr="008333D8">
        <w:t>question is</w:t>
      </w:r>
      <w:r w:rsidR="00013B52" w:rsidRPr="008333D8">
        <w:t xml:space="preserve"> not limited to</w:t>
      </w:r>
      <w:r w:rsidR="0066082C" w:rsidRPr="008333D8">
        <w:t xml:space="preserve"> determining whether the warning would have altered</w:t>
      </w:r>
      <w:r w:rsidR="00013B52" w:rsidRPr="008333D8">
        <w:t xml:space="preserve"> </w:t>
      </w:r>
      <w:r w:rsidR="00013B52" w:rsidRPr="008333D8">
        <w:lastRenderedPageBreak/>
        <w:t>the</w:t>
      </w:r>
      <w:r w:rsidR="0066082C" w:rsidRPr="008333D8">
        <w:t xml:space="preserve"> physician’s</w:t>
      </w:r>
      <w:r w:rsidR="00013B52" w:rsidRPr="008333D8">
        <w:t xml:space="preserve"> prescribing decision.  For example, </w:t>
      </w:r>
      <w:r w:rsidR="00F025C5" w:rsidRPr="008333D8">
        <w:t xml:space="preserve">Somatics relies on </w:t>
      </w:r>
      <w:r w:rsidR="00A11421" w:rsidRPr="00AA1729">
        <w:rPr>
          <w:i/>
          <w:iCs/>
        </w:rPr>
        <w:t>Centocor, Inc. v. Hamilton</w:t>
      </w:r>
      <w:r w:rsidR="00A11421">
        <w:t xml:space="preserve"> (Tex. 2012) 372</w:t>
      </w:r>
      <w:r w:rsidR="001E429F">
        <w:t> </w:t>
      </w:r>
      <w:r w:rsidR="00A11421">
        <w:t>S.W.3d 140</w:t>
      </w:r>
      <w:r w:rsidR="00F025C5" w:rsidRPr="008333D8">
        <w:t xml:space="preserve">, </w:t>
      </w:r>
      <w:r w:rsidR="00023ED8" w:rsidRPr="008333D8">
        <w:t xml:space="preserve">but </w:t>
      </w:r>
      <w:r w:rsidR="00F025C5" w:rsidRPr="008333D8">
        <w:t>this decision</w:t>
      </w:r>
      <w:r w:rsidR="005E5D69" w:rsidRPr="008333D8">
        <w:t xml:space="preserve"> could be </w:t>
      </w:r>
      <w:r w:rsidR="00F025C5" w:rsidRPr="008333D8">
        <w:t>read as supporting</w:t>
      </w:r>
      <w:r w:rsidR="005E5D69" w:rsidRPr="008333D8">
        <w:t xml:space="preserve"> Himes’s </w:t>
      </w:r>
      <w:r w:rsidR="00F025C5" w:rsidRPr="008333D8">
        <w:t>view</w:t>
      </w:r>
      <w:r w:rsidR="008D1413" w:rsidRPr="008333D8">
        <w:t xml:space="preserve">.  In </w:t>
      </w:r>
      <w:r w:rsidR="008D1413" w:rsidRPr="008333D8">
        <w:rPr>
          <w:i/>
          <w:iCs/>
        </w:rPr>
        <w:t>Centocor</w:t>
      </w:r>
      <w:r w:rsidR="008D1413" w:rsidRPr="008333D8">
        <w:t xml:space="preserve">, the Texas Supreme Court </w:t>
      </w:r>
      <w:r w:rsidR="00F025C5" w:rsidRPr="008333D8">
        <w:t xml:space="preserve">found causation lacking both because </w:t>
      </w:r>
      <w:r w:rsidR="005E5D69" w:rsidRPr="008333D8">
        <w:t xml:space="preserve">there was “no evidence that [the patient’s] prescribing physicians </w:t>
      </w:r>
      <w:r w:rsidR="005E5D69" w:rsidRPr="008333D8">
        <w:rPr>
          <w:i/>
          <w:iCs/>
        </w:rPr>
        <w:t>or</w:t>
      </w:r>
      <w:r w:rsidR="005E5D69" w:rsidRPr="008333D8">
        <w:t xml:space="preserve"> [the patient] would have acted differently had [the manufacturer] provided a different warning.”  (</w:t>
      </w:r>
      <w:r w:rsidR="005E5D69" w:rsidRPr="008333D8">
        <w:rPr>
          <w:i/>
          <w:iCs/>
        </w:rPr>
        <w:t xml:space="preserve">Id. </w:t>
      </w:r>
      <w:r w:rsidR="005E5D69" w:rsidRPr="008333D8">
        <w:t>at p.</w:t>
      </w:r>
      <w:r w:rsidR="004D0624" w:rsidRPr="008333D8">
        <w:t> </w:t>
      </w:r>
      <w:r w:rsidR="005E5D69" w:rsidRPr="008333D8">
        <w:t xml:space="preserve">171, italics added.)  The court explained that the patient’s actions indicated </w:t>
      </w:r>
      <w:r w:rsidR="008D402D" w:rsidRPr="008333D8">
        <w:t>“</w:t>
      </w:r>
      <w:r w:rsidR="005E5D69" w:rsidRPr="008333D8">
        <w:t xml:space="preserve">she </w:t>
      </w:r>
      <w:r w:rsidR="00C40C8C" w:rsidRPr="008333D8">
        <w:t xml:space="preserve">would </w:t>
      </w:r>
      <w:r w:rsidR="008D402D" w:rsidRPr="008333D8">
        <w:t xml:space="preserve">likely have continued” treatments </w:t>
      </w:r>
      <w:r w:rsidR="005E5D69" w:rsidRPr="008333D8">
        <w:t xml:space="preserve">even if she had been warned of the risk.  </w:t>
      </w:r>
      <w:r w:rsidR="00505762" w:rsidRPr="008333D8">
        <w:t>(</w:t>
      </w:r>
      <w:r w:rsidR="00505762" w:rsidRPr="008333D8">
        <w:rPr>
          <w:i/>
          <w:iCs/>
        </w:rPr>
        <w:t xml:space="preserve">Id. </w:t>
      </w:r>
      <w:r w:rsidR="00505762" w:rsidRPr="008333D8">
        <w:t>at p.</w:t>
      </w:r>
      <w:r w:rsidR="00CF3E30" w:rsidRPr="008333D8">
        <w:t> </w:t>
      </w:r>
      <w:r w:rsidR="00505762" w:rsidRPr="008333D8">
        <w:t xml:space="preserve">173.)  The </w:t>
      </w:r>
      <w:r w:rsidR="00036672" w:rsidRPr="008333D8">
        <w:t>court</w:t>
      </w:r>
      <w:r w:rsidR="00BC0ECD" w:rsidRPr="008333D8">
        <w:t xml:space="preserve"> in </w:t>
      </w:r>
      <w:r w:rsidR="00BC0ECD" w:rsidRPr="008333D8">
        <w:rPr>
          <w:i/>
          <w:iCs/>
        </w:rPr>
        <w:t>Centocor</w:t>
      </w:r>
      <w:r w:rsidR="00505762" w:rsidRPr="008333D8">
        <w:t xml:space="preserve"> also cited approvingly to</w:t>
      </w:r>
      <w:r w:rsidR="00C14290" w:rsidRPr="008333D8">
        <w:t xml:space="preserve"> </w:t>
      </w:r>
      <w:r w:rsidR="00C14290" w:rsidRPr="008333D8">
        <w:rPr>
          <w:i/>
          <w:iCs/>
        </w:rPr>
        <w:t>McNeil</w:t>
      </w:r>
      <w:r w:rsidR="00940DE9">
        <w:rPr>
          <w:i/>
          <w:iCs/>
        </w:rPr>
        <w:t xml:space="preserve"> </w:t>
      </w:r>
      <w:r w:rsidR="00940DE9" w:rsidRPr="008333D8">
        <w:rPr>
          <w:i/>
          <w:iCs/>
        </w:rPr>
        <w:t xml:space="preserve">v. Wyeth </w:t>
      </w:r>
      <w:r w:rsidR="00940DE9" w:rsidRPr="008333D8">
        <w:t>(5th Cir. 2006) 462 F.3d 364</w:t>
      </w:r>
      <w:r w:rsidR="004054D0" w:rsidRPr="008333D8">
        <w:t>,</w:t>
      </w:r>
      <w:r w:rsidR="00C14290" w:rsidRPr="008333D8">
        <w:t xml:space="preserve"> wherein the Fifth Circuit </w:t>
      </w:r>
      <w:r w:rsidR="00CF3E30" w:rsidRPr="008333D8">
        <w:t xml:space="preserve">held that, “[w]here the physician would have adequately informed a plaintiff of the risks of a disease, had the label been sufficient, but fails to do so on that account, </w:t>
      </w:r>
      <w:r w:rsidR="00CF3E30" w:rsidRPr="008333D8">
        <w:rPr>
          <w:i/>
          <w:iCs/>
        </w:rPr>
        <w:t>and where the plaintiff would have rejected the drug if informed</w:t>
      </w:r>
      <w:r w:rsidR="00CF3E30" w:rsidRPr="008333D8">
        <w:t>, the inadequate labeling could be a ‘producing’ cause of the injury, because it effectively sabotages the function of the intermediary.”  (</w:t>
      </w:r>
      <w:r w:rsidR="00CF3E30" w:rsidRPr="008333D8">
        <w:rPr>
          <w:i/>
          <w:iCs/>
        </w:rPr>
        <w:t xml:space="preserve">Id. </w:t>
      </w:r>
      <w:r w:rsidR="00CF3E30" w:rsidRPr="008333D8">
        <w:t>at p. 373</w:t>
      </w:r>
      <w:r w:rsidR="008853A7" w:rsidRPr="008333D8">
        <w:t>, italics added</w:t>
      </w:r>
      <w:r w:rsidR="00CF3E30" w:rsidRPr="008333D8">
        <w:t xml:space="preserve">; see also </w:t>
      </w:r>
      <w:r w:rsidR="00CF3E30" w:rsidRPr="008333D8">
        <w:rPr>
          <w:i/>
          <w:iCs/>
        </w:rPr>
        <w:t>Centocor</w:t>
      </w:r>
      <w:r w:rsidR="00CF3E30" w:rsidRPr="008333D8">
        <w:t>, at p. 170.)</w:t>
      </w:r>
      <w:r w:rsidR="00013B52" w:rsidRPr="008333D8">
        <w:t xml:space="preserve">  </w:t>
      </w:r>
      <w:r w:rsidR="008853A7" w:rsidRPr="008333D8">
        <w:t xml:space="preserve">This suggests that the Texas Supreme Court considered the patient’s </w:t>
      </w:r>
      <w:r w:rsidR="00A129AF" w:rsidRPr="008333D8">
        <w:t>decision</w:t>
      </w:r>
      <w:r w:rsidR="008853A7" w:rsidRPr="008333D8">
        <w:t xml:space="preserve"> as to whether to undergo the recommended treatment to be relevant to the causation analysis.  </w:t>
      </w:r>
      <w:r w:rsidR="00013B52" w:rsidRPr="008333D8">
        <w:t xml:space="preserve">The Utah Supreme Court’s decision in </w:t>
      </w:r>
      <w:bookmarkStart w:id="32" w:name="_Hlk155909446"/>
      <w:r w:rsidR="00013B52" w:rsidRPr="008333D8">
        <w:rPr>
          <w:i/>
          <w:iCs/>
        </w:rPr>
        <w:t>Barson v. E.R. Squibb &amp; Sons, Inc.</w:t>
      </w:r>
      <w:r w:rsidR="00013B52" w:rsidRPr="008333D8">
        <w:t xml:space="preserve"> (Utah 1984) 682</w:t>
      </w:r>
      <w:r w:rsidR="00062841" w:rsidRPr="008333D8">
        <w:t> </w:t>
      </w:r>
      <w:r w:rsidR="00013B52" w:rsidRPr="008333D8">
        <w:t xml:space="preserve">P.2d 832 </w:t>
      </w:r>
      <w:bookmarkEnd w:id="32"/>
      <w:r w:rsidR="00013B52" w:rsidRPr="008333D8">
        <w:t xml:space="preserve">similarly suggests that causation </w:t>
      </w:r>
      <w:r w:rsidR="00C11493" w:rsidRPr="008333D8">
        <w:t>may</w:t>
      </w:r>
      <w:r w:rsidR="00013B52" w:rsidRPr="008333D8">
        <w:t xml:space="preserve"> not</w:t>
      </w:r>
      <w:r w:rsidR="00C11493" w:rsidRPr="008333D8">
        <w:t xml:space="preserve"> be</w:t>
      </w:r>
      <w:r w:rsidR="00013B52" w:rsidRPr="008333D8">
        <w:t xml:space="preserve"> limited to the prescribing doctor’s decision</w:t>
      </w:r>
      <w:r w:rsidR="00062841" w:rsidRPr="008333D8">
        <w:t>.  There,</w:t>
      </w:r>
      <w:r w:rsidR="00013B52" w:rsidRPr="008333D8">
        <w:t xml:space="preserve"> the court found sufficient evidence for a “jury to conclude that had [a] .</w:t>
      </w:r>
      <w:r w:rsidR="001735E1" w:rsidRPr="008333D8">
        <w:t> </w:t>
      </w:r>
      <w:r w:rsidR="00013B52" w:rsidRPr="008333D8">
        <w:t>.</w:t>
      </w:r>
      <w:r w:rsidR="001735E1" w:rsidRPr="008333D8">
        <w:t> </w:t>
      </w:r>
      <w:r w:rsidR="00013B52" w:rsidRPr="008333D8">
        <w:t xml:space="preserve">. proper warning been given” </w:t>
      </w:r>
      <w:r w:rsidR="00062841" w:rsidRPr="008333D8">
        <w:t xml:space="preserve">the </w:t>
      </w:r>
      <w:r w:rsidR="00013B52" w:rsidRPr="008333D8">
        <w:t xml:space="preserve">plaintiff would not have injected the drug, based in part on the plaintiff’s testimony that “she had expressed strong concern over taking any drugs during her pregnancy, but allowed the [drug] injections after being assured by [her doctor] that they </w:t>
      </w:r>
      <w:r w:rsidR="00013B52" w:rsidRPr="008333D8">
        <w:lastRenderedPageBreak/>
        <w:t>were safe.”  (</w:t>
      </w:r>
      <w:r w:rsidR="00013B52" w:rsidRPr="008333D8">
        <w:rPr>
          <w:i/>
          <w:iCs/>
        </w:rPr>
        <w:t>Id.</w:t>
      </w:r>
      <w:r w:rsidR="00013B52" w:rsidRPr="008333D8">
        <w:t xml:space="preserve"> at p.</w:t>
      </w:r>
      <w:r w:rsidR="00F65ECF" w:rsidRPr="008333D8">
        <w:t> </w:t>
      </w:r>
      <w:r w:rsidR="00013B52" w:rsidRPr="008333D8">
        <w:t>836.)</w:t>
      </w:r>
      <w:r w:rsidR="0066082C" w:rsidRPr="008333D8">
        <w:t xml:space="preserve">  </w:t>
      </w:r>
      <w:r w:rsidR="00563A4E" w:rsidRPr="008333D8">
        <w:t>T</w:t>
      </w:r>
      <w:r w:rsidR="00062841" w:rsidRPr="008333D8">
        <w:t>he remaining state</w:t>
      </w:r>
      <w:r w:rsidR="00F65ECF" w:rsidRPr="008333D8">
        <w:t>s’</w:t>
      </w:r>
      <w:r w:rsidR="00062841" w:rsidRPr="008333D8">
        <w:t xml:space="preserve"> supreme courts have simply not had occasion to consider</w:t>
      </w:r>
      <w:r w:rsidR="0066082C" w:rsidRPr="008333D8">
        <w:t xml:space="preserve"> the causation question before us.</w:t>
      </w:r>
      <w:r w:rsidR="00CF3E30" w:rsidRPr="008333D8">
        <w:t xml:space="preserve">  </w:t>
      </w:r>
      <w:r w:rsidR="00BA1E83" w:rsidRPr="008333D8">
        <w:t xml:space="preserve"> </w:t>
      </w:r>
    </w:p>
    <w:p w14:paraId="69AA101F" w14:textId="77777777" w:rsidR="009979CC" w:rsidRPr="008333D8" w:rsidRDefault="00AB1EE5" w:rsidP="00087D20">
      <w:pPr>
        <w:widowControl w:val="0"/>
        <w:tabs>
          <w:tab w:val="left" w:pos="1440"/>
        </w:tabs>
        <w:ind w:firstLine="720"/>
        <w:contextualSpacing/>
      </w:pPr>
      <w:r w:rsidRPr="008333D8">
        <w:t>Somatics</w:t>
      </w:r>
      <w:r w:rsidR="005E3A47" w:rsidRPr="008333D8">
        <w:t xml:space="preserve"> fares no better by pointing to federal decisions applying state law.  </w:t>
      </w:r>
      <w:r w:rsidR="004E61E3" w:rsidRPr="008333D8">
        <w:t xml:space="preserve">Somatics relies, for example, on </w:t>
      </w:r>
      <w:bookmarkStart w:id="33" w:name="_Hlk155909491"/>
      <w:r w:rsidR="004E61E3" w:rsidRPr="008333D8">
        <w:rPr>
          <w:i/>
          <w:iCs/>
        </w:rPr>
        <w:t>Odom v. G.D. Searle &amp; Co.</w:t>
      </w:r>
      <w:r w:rsidR="004E61E3" w:rsidRPr="008333D8">
        <w:t xml:space="preserve"> (4th Cir. 1992) 979</w:t>
      </w:r>
      <w:r w:rsidR="001E429F">
        <w:t> </w:t>
      </w:r>
      <w:r w:rsidR="004E61E3" w:rsidRPr="008333D8">
        <w:t>F.2d 1001</w:t>
      </w:r>
      <w:bookmarkEnd w:id="33"/>
      <w:r w:rsidR="004E61E3" w:rsidRPr="008333D8">
        <w:t xml:space="preserve">, but </w:t>
      </w:r>
      <w:r w:rsidR="007C4E31" w:rsidRPr="008333D8">
        <w:t xml:space="preserve">in </w:t>
      </w:r>
      <w:r w:rsidR="007C4E31" w:rsidRPr="008333D8">
        <w:rPr>
          <w:i/>
          <w:iCs/>
        </w:rPr>
        <w:t xml:space="preserve">Odom </w:t>
      </w:r>
      <w:r w:rsidR="004E61E3" w:rsidRPr="008333D8">
        <w:t>causation was lacking</w:t>
      </w:r>
      <w:r w:rsidR="007C4E31" w:rsidRPr="008333D8">
        <w:t xml:space="preserve"> </w:t>
      </w:r>
      <w:r w:rsidR="004E61E3" w:rsidRPr="008333D8">
        <w:t xml:space="preserve">because the physician had independent knowledge of the risk, such that a stronger </w:t>
      </w:r>
      <w:r w:rsidR="007C4E31" w:rsidRPr="008333D8">
        <w:t xml:space="preserve">manufacturer </w:t>
      </w:r>
      <w:r w:rsidR="004E61E3" w:rsidRPr="008333D8">
        <w:t>warning regarding the risk would not have changed the physician’s conduct in any manner</w:t>
      </w:r>
      <w:r w:rsidR="001735E1" w:rsidRPr="008333D8">
        <w:t> </w:t>
      </w:r>
      <w:r w:rsidR="004E61E3" w:rsidRPr="008333D8">
        <w:t>— not even by motivating the physician to pass along the warning to the patient.  (</w:t>
      </w:r>
      <w:r w:rsidR="004E61E3" w:rsidRPr="008333D8">
        <w:rPr>
          <w:i/>
          <w:iCs/>
        </w:rPr>
        <w:t xml:space="preserve">Id. </w:t>
      </w:r>
      <w:r w:rsidR="004E61E3" w:rsidRPr="008333D8">
        <w:t>at p.</w:t>
      </w:r>
      <w:r w:rsidR="007C4E31" w:rsidRPr="008333D8">
        <w:t> </w:t>
      </w:r>
      <w:r w:rsidR="004E61E3" w:rsidRPr="008333D8">
        <w:t xml:space="preserve">1003.)  Somatics additionally relies on </w:t>
      </w:r>
      <w:bookmarkStart w:id="34" w:name="_Hlk155909514"/>
      <w:r w:rsidR="004E61E3" w:rsidRPr="008333D8">
        <w:rPr>
          <w:i/>
          <w:iCs/>
        </w:rPr>
        <w:t>Sager v. Hoffman-La Roche, Inc</w:t>
      </w:r>
      <w:r w:rsidR="004E61E3" w:rsidRPr="008333D8">
        <w:t>. (N.J.Super.Ct.App.Div., Aug. 7, 2012, No. A-3427-09T4) 2012</w:t>
      </w:r>
      <w:r w:rsidR="007C4E31" w:rsidRPr="008333D8">
        <w:t> </w:t>
      </w:r>
      <w:r w:rsidR="004E61E3" w:rsidRPr="008333D8">
        <w:t>WL 3166630</w:t>
      </w:r>
      <w:bookmarkEnd w:id="34"/>
      <w:r w:rsidR="004E61E3" w:rsidRPr="008333D8">
        <w:t xml:space="preserve">, but the court in </w:t>
      </w:r>
      <w:r w:rsidR="004E61E3" w:rsidRPr="008333D8">
        <w:rPr>
          <w:i/>
          <w:iCs/>
        </w:rPr>
        <w:t xml:space="preserve">Sager </w:t>
      </w:r>
      <w:r w:rsidR="00900A29" w:rsidRPr="008333D8">
        <w:t>seems</w:t>
      </w:r>
      <w:r w:rsidR="004E61E3" w:rsidRPr="008333D8">
        <w:t xml:space="preserve"> to have misinterpreted a Florida appellate court decision in determining that causation </w:t>
      </w:r>
      <w:r w:rsidR="007C4E31" w:rsidRPr="008333D8">
        <w:t>is</w:t>
      </w:r>
      <w:r w:rsidR="004E61E3" w:rsidRPr="008333D8">
        <w:t xml:space="preserve"> established only by showing an adequate warning would have changed the physician’s prescribing decision.  </w:t>
      </w:r>
      <w:r w:rsidR="007C4E31" w:rsidRPr="008333D8">
        <w:t xml:space="preserve">(See </w:t>
      </w:r>
      <w:r w:rsidR="007C4E31" w:rsidRPr="008333D8">
        <w:rPr>
          <w:i/>
          <w:iCs/>
        </w:rPr>
        <w:t xml:space="preserve">id. </w:t>
      </w:r>
      <w:r w:rsidR="007C4E31" w:rsidRPr="008333D8">
        <w:t>at p</w:t>
      </w:r>
      <w:r w:rsidR="00900A29" w:rsidRPr="008333D8">
        <w:t>p</w:t>
      </w:r>
      <w:r w:rsidR="007C4E31" w:rsidRPr="008333D8">
        <w:t>.</w:t>
      </w:r>
      <w:r w:rsidR="00900A29" w:rsidRPr="008333D8">
        <w:t> *16–</w:t>
      </w:r>
      <w:r w:rsidR="00353F0D">
        <w:t>*</w:t>
      </w:r>
      <w:r w:rsidR="00900A29" w:rsidRPr="008333D8">
        <w:t>17</w:t>
      </w:r>
      <w:r w:rsidR="007C4E31" w:rsidRPr="008333D8">
        <w:t>.)</w:t>
      </w:r>
      <w:r w:rsidR="00900A29" w:rsidRPr="008333D8">
        <w:t xml:space="preserve">  </w:t>
      </w:r>
      <w:r w:rsidR="004E61E3" w:rsidRPr="008333D8">
        <w:t xml:space="preserve">The case on which </w:t>
      </w:r>
      <w:r w:rsidR="004E61E3" w:rsidRPr="008333D8">
        <w:rPr>
          <w:i/>
          <w:iCs/>
        </w:rPr>
        <w:t xml:space="preserve">Sager </w:t>
      </w:r>
      <w:r w:rsidR="004E61E3" w:rsidRPr="008333D8">
        <w:t xml:space="preserve">relied, </w:t>
      </w:r>
      <w:bookmarkStart w:id="35" w:name="_Hlk155909528"/>
      <w:r w:rsidR="004E61E3" w:rsidRPr="008333D8">
        <w:rPr>
          <w:i/>
          <w:iCs/>
        </w:rPr>
        <w:t>Hoffmann-La Roche Inc. v. Mason</w:t>
      </w:r>
      <w:r w:rsidR="004E61E3" w:rsidRPr="008333D8">
        <w:t xml:space="preserve"> (Fla.Dist.Ct.App. 2009) 27</w:t>
      </w:r>
      <w:r w:rsidR="00CA2B1A" w:rsidRPr="008333D8">
        <w:t> </w:t>
      </w:r>
      <w:r w:rsidR="004E61E3" w:rsidRPr="008333D8">
        <w:t>So.3d 75</w:t>
      </w:r>
      <w:bookmarkEnd w:id="35"/>
      <w:r w:rsidR="004E61E3" w:rsidRPr="008333D8">
        <w:t>, in fact found that the inadequate warning could not be a cause of the patient’s injuries because the physician was already aware of the risk.  (</w:t>
      </w:r>
      <w:r w:rsidR="004E61E3" w:rsidRPr="008333D8">
        <w:rPr>
          <w:i/>
          <w:iCs/>
        </w:rPr>
        <w:t xml:space="preserve">Id. </w:t>
      </w:r>
      <w:r w:rsidR="004E61E3" w:rsidRPr="008333D8">
        <w:t>at p.</w:t>
      </w:r>
      <w:r w:rsidR="00CA2B1A" w:rsidRPr="008333D8">
        <w:t> </w:t>
      </w:r>
      <w:r w:rsidR="004E61E3" w:rsidRPr="008333D8">
        <w:t>77</w:t>
      </w:r>
      <w:r w:rsidR="00012C2F" w:rsidRPr="008333D8">
        <w:t>.)  Thus, “the question of whether a different warning could have prevented the plaintiff’s injury in some manner other than by changing the physician’s decision to prescribe —</w:t>
      </w:r>
      <w:r w:rsidR="001735E1" w:rsidRPr="008333D8">
        <w:t xml:space="preserve"> </w:t>
      </w:r>
      <w:r w:rsidR="00012C2F" w:rsidRPr="008333D8">
        <w:t>e.g., by prompting the physician to pass along a more detailed warning, or to reduce the dosage —</w:t>
      </w:r>
      <w:r w:rsidR="00CA2B1A" w:rsidRPr="008333D8">
        <w:t xml:space="preserve"> </w:t>
      </w:r>
      <w:r w:rsidR="00012C2F" w:rsidRPr="008333D8">
        <w:t xml:space="preserve">was not before the </w:t>
      </w:r>
      <w:r w:rsidR="00012C2F" w:rsidRPr="008333D8">
        <w:rPr>
          <w:i/>
          <w:iCs/>
        </w:rPr>
        <w:t>Mason</w:t>
      </w:r>
      <w:r w:rsidR="00012C2F" w:rsidRPr="008333D8">
        <w:t xml:space="preserve"> court.”  </w:t>
      </w:r>
      <w:bookmarkStart w:id="36" w:name="_Hlk155909575"/>
      <w:r w:rsidR="00012C2F" w:rsidRPr="008333D8">
        <w:t>(</w:t>
      </w:r>
      <w:r w:rsidR="004E61E3" w:rsidRPr="008333D8">
        <w:rPr>
          <w:i/>
          <w:iCs/>
        </w:rPr>
        <w:t>Guenther v. Novartis Pharmaceutical Corp.</w:t>
      </w:r>
      <w:r w:rsidR="004E61E3" w:rsidRPr="008333D8">
        <w:t xml:space="preserve"> (M.D.Fla. 2014) 990</w:t>
      </w:r>
      <w:r w:rsidR="00900A29" w:rsidRPr="008333D8">
        <w:t> </w:t>
      </w:r>
      <w:r w:rsidR="004E61E3" w:rsidRPr="008333D8">
        <w:t>F.Supp.2d 1299, 1304.)</w:t>
      </w:r>
      <w:r w:rsidR="00284787" w:rsidRPr="008333D8">
        <w:t xml:space="preserve">  </w:t>
      </w:r>
      <w:bookmarkEnd w:id="36"/>
      <w:r w:rsidR="00900A29" w:rsidRPr="008333D8">
        <w:t>Finally,</w:t>
      </w:r>
      <w:r w:rsidR="00284787" w:rsidRPr="008333D8">
        <w:t xml:space="preserve"> </w:t>
      </w:r>
      <w:r w:rsidR="00272181" w:rsidRPr="008333D8">
        <w:t xml:space="preserve">while </w:t>
      </w:r>
      <w:r w:rsidR="00900A29" w:rsidRPr="008333D8">
        <w:t>several</w:t>
      </w:r>
      <w:r w:rsidR="00284787" w:rsidRPr="008333D8">
        <w:t xml:space="preserve"> federal court</w:t>
      </w:r>
      <w:r w:rsidR="005E3A47" w:rsidRPr="008333D8">
        <w:t xml:space="preserve"> decisions</w:t>
      </w:r>
      <w:r w:rsidR="00900A29" w:rsidRPr="008333D8">
        <w:t xml:space="preserve"> on which Somatics relies </w:t>
      </w:r>
      <w:r w:rsidR="007C4E31" w:rsidRPr="008333D8">
        <w:t xml:space="preserve">seem to </w:t>
      </w:r>
      <w:r w:rsidR="005E3A47" w:rsidRPr="008333D8">
        <w:t xml:space="preserve">focus on the physician’s </w:t>
      </w:r>
      <w:r w:rsidR="00902E3C" w:rsidRPr="008333D8">
        <w:t>prescribing</w:t>
      </w:r>
      <w:r w:rsidR="005E3A47" w:rsidRPr="008333D8">
        <w:t xml:space="preserve"> decision, most do not </w:t>
      </w:r>
      <w:r w:rsidR="00D30890" w:rsidRPr="008333D8">
        <w:t xml:space="preserve">consider whether </w:t>
      </w:r>
      <w:r w:rsidR="00D30890" w:rsidRPr="008333D8">
        <w:lastRenderedPageBreak/>
        <w:t xml:space="preserve">causation may </w:t>
      </w:r>
      <w:r w:rsidR="007C4E31" w:rsidRPr="008333D8">
        <w:t xml:space="preserve">also </w:t>
      </w:r>
      <w:r w:rsidR="00D30890" w:rsidRPr="008333D8">
        <w:t>be established by showing a physician would have passed along a manufacturer’s warning to the p</w:t>
      </w:r>
      <w:r w:rsidR="00691F86" w:rsidRPr="008333D8">
        <w:t>laintiff and that a</w:t>
      </w:r>
      <w:r w:rsidR="008129DD">
        <w:t>n objectively</w:t>
      </w:r>
      <w:r w:rsidR="00691F86" w:rsidRPr="008333D8">
        <w:t xml:space="preserve"> prudent p</w:t>
      </w:r>
      <w:r w:rsidR="008D0061" w:rsidRPr="008333D8">
        <w:t>erson</w:t>
      </w:r>
      <w:r w:rsidR="00691F86" w:rsidRPr="008333D8">
        <w:t xml:space="preserve"> in p</w:t>
      </w:r>
      <w:r w:rsidR="008D0061" w:rsidRPr="008333D8">
        <w:t>atient</w:t>
      </w:r>
      <w:r w:rsidR="00691F86" w:rsidRPr="008333D8">
        <w:t>’s position would have</w:t>
      </w:r>
      <w:r w:rsidR="00D30890" w:rsidRPr="008333D8">
        <w:t xml:space="preserve"> rejected the treatment</w:t>
      </w:r>
      <w:r w:rsidR="00691F86" w:rsidRPr="008333D8">
        <w:t xml:space="preserve"> based on the relayed warning</w:t>
      </w:r>
      <w:r w:rsidR="00D30890" w:rsidRPr="008333D8">
        <w:t>.</w:t>
      </w:r>
      <w:r w:rsidR="00577872" w:rsidRPr="008333D8">
        <w:t xml:space="preserve">  In </w:t>
      </w:r>
      <w:bookmarkStart w:id="37" w:name="_Hlk155909586"/>
      <w:r w:rsidR="00577872" w:rsidRPr="008333D8">
        <w:rPr>
          <w:i/>
          <w:iCs/>
        </w:rPr>
        <w:t>Wendell v. GlaxoSmithKline LLC</w:t>
      </w:r>
      <w:r w:rsidR="00577872" w:rsidRPr="008333D8">
        <w:t xml:space="preserve"> (9th Cir. 2017) 858</w:t>
      </w:r>
      <w:r w:rsidR="00691F86" w:rsidRPr="008333D8">
        <w:t> </w:t>
      </w:r>
      <w:r w:rsidR="00577872" w:rsidRPr="008333D8">
        <w:t>F.3d 1227</w:t>
      </w:r>
      <w:bookmarkEnd w:id="37"/>
      <w:r w:rsidR="00577872" w:rsidRPr="008333D8">
        <w:t xml:space="preserve">, for example, the Ninth Circuit found evidence that a stronger warning would have influenced the physician’s prescribing practices, and therefore had no need to consider </w:t>
      </w:r>
      <w:r w:rsidR="002B4982" w:rsidRPr="008333D8">
        <w:t xml:space="preserve">an </w:t>
      </w:r>
      <w:r w:rsidR="00577872" w:rsidRPr="008333D8">
        <w:t>alternative theor</w:t>
      </w:r>
      <w:r w:rsidR="002B4982" w:rsidRPr="008333D8">
        <w:t>y</w:t>
      </w:r>
      <w:r w:rsidR="00577872" w:rsidRPr="008333D8">
        <w:t xml:space="preserve"> of causation.  (</w:t>
      </w:r>
      <w:r w:rsidR="00577872" w:rsidRPr="008333D8">
        <w:rPr>
          <w:i/>
          <w:iCs/>
        </w:rPr>
        <w:t xml:space="preserve">Id. </w:t>
      </w:r>
      <w:r w:rsidR="00577872" w:rsidRPr="008333D8">
        <w:t xml:space="preserve">at pp. 1238–1239.)  </w:t>
      </w:r>
      <w:r w:rsidR="00BA3D75" w:rsidRPr="008333D8">
        <w:t xml:space="preserve">  </w:t>
      </w:r>
    </w:p>
    <w:p w14:paraId="69AA1020" w14:textId="77777777" w:rsidR="00221D8C" w:rsidRDefault="00AB1EE5" w:rsidP="00087D20">
      <w:pPr>
        <w:widowControl w:val="0"/>
        <w:tabs>
          <w:tab w:val="left" w:pos="1440"/>
        </w:tabs>
        <w:ind w:firstLine="720"/>
        <w:contextualSpacing/>
      </w:pPr>
      <w:r w:rsidRPr="008333D8">
        <w:t xml:space="preserve">Indeed, </w:t>
      </w:r>
      <w:r w:rsidR="00423107" w:rsidRPr="008333D8">
        <w:t xml:space="preserve">only </w:t>
      </w:r>
      <w:r w:rsidR="004550E2" w:rsidRPr="008333D8">
        <w:t xml:space="preserve">a </w:t>
      </w:r>
      <w:r w:rsidRPr="008333D8">
        <w:t>few cases</w:t>
      </w:r>
      <w:r w:rsidR="00D30890" w:rsidRPr="008333D8">
        <w:t xml:space="preserve"> expressly reject Himes’s theory of causation.</w:t>
      </w:r>
      <w:r w:rsidR="0052170E" w:rsidRPr="008333D8">
        <w:t xml:space="preserve">  Most of these decisions do not explain why </w:t>
      </w:r>
      <w:r w:rsidR="0033728F" w:rsidRPr="008333D8">
        <w:t xml:space="preserve">causation must be limited to proving that the physician would have changed his or her prescribing decision </w:t>
      </w:r>
      <w:r w:rsidR="001F3C3B" w:rsidRPr="008333D8">
        <w:t>in view of</w:t>
      </w:r>
      <w:r w:rsidR="00D37BCA" w:rsidRPr="008333D8">
        <w:t xml:space="preserve"> the</w:t>
      </w:r>
      <w:r w:rsidR="0033728F" w:rsidRPr="008333D8">
        <w:t xml:space="preserve"> stronger warning.</w:t>
      </w:r>
      <w:r w:rsidR="0052170E" w:rsidRPr="008333D8">
        <w:t xml:space="preserve">  (See, e.g., </w:t>
      </w:r>
      <w:bookmarkStart w:id="38" w:name="_Hlk155909649"/>
      <w:r w:rsidR="0052170E" w:rsidRPr="008333D8">
        <w:rPr>
          <w:i/>
          <w:iCs/>
        </w:rPr>
        <w:t>Munoz v. American Medical Systems, Inc</w:t>
      </w:r>
      <w:r w:rsidR="0052170E" w:rsidRPr="008333D8">
        <w:t>. (C.D.Cal., Mar. 30, 2021, No. 220CV01640ODWJPRX) 2021</w:t>
      </w:r>
      <w:r w:rsidR="00B6563E" w:rsidRPr="008333D8">
        <w:t> </w:t>
      </w:r>
      <w:r w:rsidR="0052170E" w:rsidRPr="008333D8">
        <w:t xml:space="preserve">WL 1200038, </w:t>
      </w:r>
      <w:r w:rsidR="00E53321">
        <w:t>p.</w:t>
      </w:r>
      <w:r w:rsidR="00CC5E18">
        <w:t> </w:t>
      </w:r>
      <w:r w:rsidR="0052170E" w:rsidRPr="008333D8">
        <w:t>*4;</w:t>
      </w:r>
      <w:r w:rsidR="00423107" w:rsidRPr="008333D8">
        <w:t xml:space="preserve"> </w:t>
      </w:r>
      <w:r w:rsidR="00423107" w:rsidRPr="008333D8">
        <w:rPr>
          <w:i/>
          <w:iCs/>
        </w:rPr>
        <w:t>Carnes v. Eli Lilly and Co.</w:t>
      </w:r>
      <w:r w:rsidR="00423107" w:rsidRPr="008333D8">
        <w:t xml:space="preserve"> (D.S.C., Dec. 16, 2013, No. CA 0:13-591-CMC) 2013</w:t>
      </w:r>
      <w:r w:rsidR="00B6563E" w:rsidRPr="008333D8">
        <w:t> </w:t>
      </w:r>
      <w:r w:rsidR="00423107" w:rsidRPr="008333D8">
        <w:t xml:space="preserve">WL 6622915, </w:t>
      </w:r>
      <w:r w:rsidR="00353F0D">
        <w:t>p.</w:t>
      </w:r>
      <w:r w:rsidR="00F73F9D" w:rsidRPr="008333D8">
        <w:t> </w:t>
      </w:r>
      <w:r w:rsidR="00423107" w:rsidRPr="008333D8">
        <w:t xml:space="preserve">*5; </w:t>
      </w:r>
      <w:r w:rsidR="00423107" w:rsidRPr="008333D8">
        <w:rPr>
          <w:i/>
          <w:iCs/>
        </w:rPr>
        <w:t>Allain v. Wyeth Pharmaceuticals, Inc</w:t>
      </w:r>
      <w:r w:rsidR="00423107" w:rsidRPr="008333D8">
        <w:t>. (N.D.Ala., Jan. 14, 2015, No. 2:14-CV-00280-KOB) 2015</w:t>
      </w:r>
      <w:r w:rsidR="00B6563E" w:rsidRPr="008333D8">
        <w:t> </w:t>
      </w:r>
      <w:r w:rsidR="00423107" w:rsidRPr="008333D8">
        <w:t xml:space="preserve">WL 178038, </w:t>
      </w:r>
      <w:r w:rsidR="00353F0D">
        <w:t>p.</w:t>
      </w:r>
      <w:r w:rsidR="00F73F9D" w:rsidRPr="008333D8">
        <w:t> </w:t>
      </w:r>
      <w:r w:rsidR="00423107" w:rsidRPr="008333D8">
        <w:t>*6</w:t>
      </w:r>
      <w:r w:rsidR="0052170E" w:rsidRPr="008333D8">
        <w:t>.)</w:t>
      </w:r>
      <w:r w:rsidR="00F73F9D" w:rsidRPr="008333D8">
        <w:t xml:space="preserve">  </w:t>
      </w:r>
      <w:r w:rsidR="00C654E3" w:rsidRPr="008333D8">
        <w:t>The court i</w:t>
      </w:r>
      <w:r w:rsidR="00B6563E" w:rsidRPr="008333D8">
        <w:t>n</w:t>
      </w:r>
      <w:r w:rsidR="00F73F9D" w:rsidRPr="008333D8">
        <w:t xml:space="preserve"> </w:t>
      </w:r>
      <w:r w:rsidR="001461D2" w:rsidRPr="008333D8">
        <w:rPr>
          <w:i/>
          <w:iCs/>
        </w:rPr>
        <w:t xml:space="preserve">Garrison v. Novartis Pharmaceuticals Corp. </w:t>
      </w:r>
      <w:r w:rsidR="001461D2" w:rsidRPr="008333D8">
        <w:t xml:space="preserve">(M.D.Ala. 2014) </w:t>
      </w:r>
      <w:bookmarkStart w:id="39" w:name="_Hlk151129077"/>
      <w:r w:rsidR="001461D2" w:rsidRPr="008333D8">
        <w:t>30</w:t>
      </w:r>
      <w:r w:rsidR="00B6563E" w:rsidRPr="008333D8">
        <w:t> </w:t>
      </w:r>
      <w:r w:rsidR="001461D2" w:rsidRPr="008333D8">
        <w:t>F.Supp.3d 1325</w:t>
      </w:r>
      <w:bookmarkEnd w:id="38"/>
      <w:bookmarkEnd w:id="39"/>
      <w:r w:rsidR="00B53507" w:rsidRPr="008333D8">
        <w:t xml:space="preserve">, </w:t>
      </w:r>
      <w:r w:rsidR="00C654E3" w:rsidRPr="008333D8">
        <w:t xml:space="preserve">for example, </w:t>
      </w:r>
      <w:r w:rsidR="00B53507" w:rsidRPr="008333D8">
        <w:t>concluded</w:t>
      </w:r>
      <w:r w:rsidR="00EC6E87" w:rsidRPr="008333D8">
        <w:t xml:space="preserve"> </w:t>
      </w:r>
      <w:r w:rsidR="00C654E3" w:rsidRPr="008333D8">
        <w:t xml:space="preserve">without further elaboration </w:t>
      </w:r>
      <w:r w:rsidR="001461D2" w:rsidRPr="008333D8">
        <w:t xml:space="preserve">that the </w:t>
      </w:r>
      <w:r w:rsidR="001B3F1F" w:rsidRPr="008333D8">
        <w:t xml:space="preserve">physician’s </w:t>
      </w:r>
      <w:r w:rsidR="001461D2" w:rsidRPr="008333D8">
        <w:t xml:space="preserve">testimony that he would have passed </w:t>
      </w:r>
      <w:r w:rsidR="001B3F1F" w:rsidRPr="008333D8">
        <w:t>a stronger</w:t>
      </w:r>
      <w:r w:rsidR="001461D2" w:rsidRPr="008333D8">
        <w:t xml:space="preserve"> warning along to the patient was </w:t>
      </w:r>
      <w:r w:rsidR="00B6563E" w:rsidRPr="008333D8">
        <w:t>irrelevant because</w:t>
      </w:r>
      <w:r w:rsidR="001461D2" w:rsidRPr="008333D8">
        <w:t xml:space="preserve"> the </w:t>
      </w:r>
      <w:r w:rsidR="005F5B84" w:rsidRPr="008333D8">
        <w:t xml:space="preserve">physician </w:t>
      </w:r>
      <w:r w:rsidR="00EC6E87" w:rsidRPr="008333D8">
        <w:t xml:space="preserve">testified that he still would have prescribed the treatment </w:t>
      </w:r>
      <w:r w:rsidR="001B3F1F" w:rsidRPr="008333D8">
        <w:t>notwithstanding the</w:t>
      </w:r>
      <w:r w:rsidR="00EC6E87" w:rsidRPr="008333D8">
        <w:t xml:space="preserve"> stronger warning.</w:t>
      </w:r>
      <w:r w:rsidR="001461D2" w:rsidRPr="008333D8">
        <w:t xml:space="preserve">  (</w:t>
      </w:r>
      <w:r w:rsidR="001461D2" w:rsidRPr="008333D8">
        <w:rPr>
          <w:i/>
          <w:iCs/>
        </w:rPr>
        <w:t xml:space="preserve">Id. </w:t>
      </w:r>
      <w:r w:rsidR="001461D2" w:rsidRPr="008333D8">
        <w:t>at p.</w:t>
      </w:r>
      <w:r w:rsidR="00393806" w:rsidRPr="008333D8">
        <w:t> </w:t>
      </w:r>
      <w:r w:rsidR="001461D2" w:rsidRPr="008333D8">
        <w:t xml:space="preserve">1336.)  </w:t>
      </w:r>
      <w:r w:rsidR="00C654E3" w:rsidRPr="008333D8">
        <w:t>As another example, t</w:t>
      </w:r>
      <w:r w:rsidR="001461D2" w:rsidRPr="008333D8">
        <w:t xml:space="preserve">he court in </w:t>
      </w:r>
      <w:bookmarkStart w:id="40" w:name="_Hlk155909663"/>
      <w:r w:rsidR="00F73F9D" w:rsidRPr="008333D8">
        <w:rPr>
          <w:i/>
          <w:iCs/>
        </w:rPr>
        <w:t>Stewart v. Boston Scientific Corp</w:t>
      </w:r>
      <w:r w:rsidR="00F73F9D" w:rsidRPr="008333D8">
        <w:t>. (S.D.W.Va., Oct. 6, 2015, No. 2:12-CV-03686) 2015</w:t>
      </w:r>
      <w:r w:rsidR="00393806" w:rsidRPr="008333D8">
        <w:t> </w:t>
      </w:r>
      <w:r w:rsidR="00F73F9D" w:rsidRPr="008333D8">
        <w:t>WL 5842762</w:t>
      </w:r>
      <w:bookmarkEnd w:id="40"/>
      <w:r w:rsidR="00F73F9D" w:rsidRPr="008333D8">
        <w:t xml:space="preserve"> </w:t>
      </w:r>
      <w:r w:rsidR="000971D5" w:rsidRPr="008333D8">
        <w:t>reasoned</w:t>
      </w:r>
      <w:r w:rsidR="001B3F1F" w:rsidRPr="008333D8">
        <w:t xml:space="preserve"> that a plaintiff must prove the physician would have changed his or her prescribing decision</w:t>
      </w:r>
      <w:r w:rsidR="001F3C3B" w:rsidRPr="008333D8">
        <w:t xml:space="preserve"> because</w:t>
      </w:r>
      <w:r w:rsidR="00F73F9D" w:rsidRPr="008333D8">
        <w:t xml:space="preserve"> “</w:t>
      </w:r>
      <w:r w:rsidR="001B3F1F" w:rsidRPr="008333D8">
        <w:t> </w:t>
      </w:r>
      <w:r w:rsidR="00F73F9D" w:rsidRPr="008333D8">
        <w:t xml:space="preserve">‘[i]t is </w:t>
      </w:r>
      <w:r w:rsidR="00F73F9D" w:rsidRPr="008333D8">
        <w:rPr>
          <w:i/>
          <w:iCs/>
        </w:rPr>
        <w:t>the physician</w:t>
      </w:r>
      <w:r w:rsidR="00F73F9D" w:rsidRPr="008333D8">
        <w:t xml:space="preserve"> who is best situated to weigh the potential risks associated with a [product] against the possible </w:t>
      </w:r>
      <w:r w:rsidR="00F73F9D" w:rsidRPr="008333D8">
        <w:lastRenderedPageBreak/>
        <w:t>benefits of the [product] and the unique needs and susceptibilities of each patient.’</w:t>
      </w:r>
      <w:r w:rsidR="00CA2B1A" w:rsidRPr="008333D8">
        <w:t> </w:t>
      </w:r>
      <w:r w:rsidR="00F73F9D" w:rsidRPr="008333D8">
        <w:t>”  (</w:t>
      </w:r>
      <w:r w:rsidR="00F73F9D" w:rsidRPr="008333D8">
        <w:rPr>
          <w:i/>
          <w:iCs/>
        </w:rPr>
        <w:t>Id.</w:t>
      </w:r>
      <w:r w:rsidR="00F73F9D" w:rsidRPr="008333D8">
        <w:t xml:space="preserve"> at p.</w:t>
      </w:r>
      <w:r w:rsidR="00393806" w:rsidRPr="008333D8">
        <w:t> *</w:t>
      </w:r>
      <w:r w:rsidR="00F73F9D" w:rsidRPr="008333D8">
        <w:t xml:space="preserve">6.)  </w:t>
      </w:r>
      <w:r w:rsidR="000971D5" w:rsidRPr="00950E6A">
        <w:t>T</w:t>
      </w:r>
      <w:r w:rsidR="00F73F9D" w:rsidRPr="00950E6A">
        <w:t xml:space="preserve">his </w:t>
      </w:r>
      <w:r w:rsidR="00393806" w:rsidRPr="00950E6A">
        <w:t>reasoning</w:t>
      </w:r>
      <w:r w:rsidR="000971D5" w:rsidRPr="008333D8">
        <w:t>, however,</w:t>
      </w:r>
      <w:r w:rsidR="00393806" w:rsidRPr="008333D8">
        <w:t xml:space="preserve"> merely </w:t>
      </w:r>
      <w:r w:rsidR="00F73F9D" w:rsidRPr="008333D8">
        <w:t>restates the r</w:t>
      </w:r>
      <w:r w:rsidR="00F71035" w:rsidRPr="008333D8">
        <w:t>ationale underpinning the learned intermediary doctrine’s rule that the manufacturer’s duty to warn runs only to the physician</w:t>
      </w:r>
      <w:bookmarkStart w:id="41" w:name="_Hlk168255674"/>
      <w:r w:rsidR="00F904D5" w:rsidRPr="008333D8">
        <w:t>.</w:t>
      </w:r>
      <w:r>
        <w:t xml:space="preserve">  </w:t>
      </w:r>
      <w:r w:rsidR="009979CC">
        <w:t>It does not explain why proof of causation must hinge on the physician’s prescribing decision</w:t>
      </w:r>
      <w:r w:rsidR="00E9680E">
        <w:t xml:space="preserve"> to the exclusion of the patient’s own independent decision regarding whether to consent to the recommended treatment</w:t>
      </w:r>
      <w:r w:rsidR="009979CC">
        <w:t xml:space="preserve">.  </w:t>
      </w:r>
      <w:bookmarkEnd w:id="41"/>
      <w:r>
        <w:t xml:space="preserve">We find more persuasive the out-of-state authority that takes into consideration, at least in some manner, the role of the patient in the medical treatment decision.  </w:t>
      </w:r>
      <w:r w:rsidRPr="008333D8">
        <w:t>(</w:t>
      </w:r>
      <w:r>
        <w:t>See, e</w:t>
      </w:r>
      <w:r>
        <w:t xml:space="preserve">.g., </w:t>
      </w:r>
      <w:r w:rsidRPr="008333D8">
        <w:rPr>
          <w:i/>
          <w:iCs/>
        </w:rPr>
        <w:t>Thacker v. Ethicon, Inc</w:t>
      </w:r>
      <w:r w:rsidRPr="008333D8">
        <w:t>. (6</w:t>
      </w:r>
      <w:r w:rsidR="00950E6A">
        <w:t>th</w:t>
      </w:r>
      <w:r w:rsidRPr="008333D8">
        <w:t xml:space="preserve"> Cir. 2022) 47 F.4th</w:t>
      </w:r>
      <w:r>
        <w:t xml:space="preserve"> </w:t>
      </w:r>
      <w:r w:rsidRPr="008333D8">
        <w:t xml:space="preserve">451, 461; </w:t>
      </w:r>
      <w:r w:rsidRPr="008333D8">
        <w:rPr>
          <w:i/>
          <w:iCs/>
        </w:rPr>
        <w:t>Payne</w:t>
      </w:r>
      <w:r w:rsidRPr="008333D8">
        <w:t xml:space="preserve">, </w:t>
      </w:r>
      <w:r w:rsidRPr="008333D8">
        <w:rPr>
          <w:i/>
          <w:iCs/>
        </w:rPr>
        <w:t>supra</w:t>
      </w:r>
      <w:r w:rsidRPr="008333D8">
        <w:t>, 767 F.3d at p</w:t>
      </w:r>
      <w:r w:rsidR="001F1E5C">
        <w:t>p</w:t>
      </w:r>
      <w:r w:rsidRPr="008333D8">
        <w:t>. </w:t>
      </w:r>
      <w:r w:rsidR="001F1E5C">
        <w:t>531–</w:t>
      </w:r>
      <w:r w:rsidRPr="008333D8">
        <w:t xml:space="preserve">532; </w:t>
      </w:r>
      <w:r w:rsidRPr="008333D8">
        <w:rPr>
          <w:i/>
          <w:iCs/>
        </w:rPr>
        <w:t>In re Prempro Products Liability Litigation</w:t>
      </w:r>
      <w:r w:rsidRPr="008333D8">
        <w:t xml:space="preserve"> (8</w:t>
      </w:r>
      <w:r w:rsidR="00950E6A">
        <w:t>th</w:t>
      </w:r>
      <w:r w:rsidRPr="008333D8">
        <w:t xml:space="preserve"> Cir. 2009) 586 F.3d 547, </w:t>
      </w:r>
      <w:r w:rsidR="001F1E5C">
        <w:t>569–</w:t>
      </w:r>
      <w:r w:rsidRPr="008333D8">
        <w:t xml:space="preserve">570; </w:t>
      </w:r>
      <w:r w:rsidRPr="008333D8">
        <w:rPr>
          <w:i/>
          <w:iCs/>
        </w:rPr>
        <w:t>Toole v. McClintock</w:t>
      </w:r>
      <w:r w:rsidRPr="008333D8">
        <w:t xml:space="preserve"> (11</w:t>
      </w:r>
      <w:r w:rsidR="00950E6A">
        <w:t>th</w:t>
      </w:r>
      <w:r w:rsidRPr="008333D8">
        <w:t xml:space="preserve"> Cir. 1993) 999 F.2d 1430, 1433; </w:t>
      </w:r>
      <w:r w:rsidR="00C251BA" w:rsidRPr="008333D8">
        <w:rPr>
          <w:i/>
          <w:iCs/>
        </w:rPr>
        <w:t>Gilliland</w:t>
      </w:r>
      <w:r w:rsidR="00C251BA" w:rsidRPr="008333D8">
        <w:t>,</w:t>
      </w:r>
      <w:r w:rsidR="00C251BA" w:rsidRPr="00221D8C">
        <w:rPr>
          <w:i/>
          <w:iCs/>
        </w:rPr>
        <w:t xml:space="preserve"> </w:t>
      </w:r>
      <w:r w:rsidR="00C251BA" w:rsidRPr="008333D8">
        <w:rPr>
          <w:i/>
          <w:iCs/>
        </w:rPr>
        <w:t>supra</w:t>
      </w:r>
      <w:r w:rsidR="00C251BA" w:rsidRPr="008333D8">
        <w:t xml:space="preserve">, </w:t>
      </w:r>
      <w:r w:rsidR="00C251BA" w:rsidRPr="00C251BA">
        <w:t>34 F.Supp.3d</w:t>
      </w:r>
      <w:r w:rsidR="00C251BA">
        <w:t xml:space="preserve"> </w:t>
      </w:r>
      <w:r w:rsidR="00C251BA" w:rsidRPr="008333D8">
        <w:t xml:space="preserve">at p. 972; </w:t>
      </w:r>
      <w:r w:rsidRPr="008333D8">
        <w:rPr>
          <w:i/>
          <w:iCs/>
        </w:rPr>
        <w:t>Mongeon v. Ethicon, Inc</w:t>
      </w:r>
      <w:r w:rsidRPr="008333D8">
        <w:t xml:space="preserve">. (D.Mass. 2020) 456 F.Supp.3d 298, 303; </w:t>
      </w:r>
      <w:r w:rsidRPr="008333D8">
        <w:rPr>
          <w:i/>
          <w:iCs/>
        </w:rPr>
        <w:t>Fields v. Eli Lilly</w:t>
      </w:r>
      <w:r w:rsidRPr="0053601A">
        <w:rPr>
          <w:i/>
        </w:rPr>
        <w:t xml:space="preserve"> and </w:t>
      </w:r>
      <w:r w:rsidRPr="008333D8">
        <w:rPr>
          <w:i/>
          <w:iCs/>
        </w:rPr>
        <w:t>Co</w:t>
      </w:r>
      <w:r w:rsidRPr="008333D8">
        <w:t>. (M.D.Ala. 2015) 116 F.Supp.3d 1295, 1308</w:t>
      </w:r>
      <w:r w:rsidR="001F1E5C">
        <w:t>–1309</w:t>
      </w:r>
      <w:r w:rsidRPr="008333D8">
        <w:t>.)</w:t>
      </w:r>
      <w:r w:rsidR="009979CC">
        <w:t xml:space="preserve">  </w:t>
      </w:r>
      <w:r w:rsidR="00C4263A">
        <w:t>W</w:t>
      </w:r>
      <w:r w:rsidR="000170B0" w:rsidRPr="008333D8">
        <w:t xml:space="preserve">e </w:t>
      </w:r>
      <w:r w:rsidR="00C4263A">
        <w:t xml:space="preserve">accordingly </w:t>
      </w:r>
      <w:r w:rsidR="000170B0" w:rsidRPr="008333D8">
        <w:t>reject</w:t>
      </w:r>
      <w:r w:rsidR="006864CA" w:rsidRPr="008333D8">
        <w:t xml:space="preserve"> Somatics</w:t>
      </w:r>
      <w:r w:rsidR="000170B0" w:rsidRPr="008333D8">
        <w:t>’s assertion</w:t>
      </w:r>
      <w:r w:rsidR="006864CA" w:rsidRPr="008333D8">
        <w:t xml:space="preserve"> that </w:t>
      </w:r>
      <w:r w:rsidR="00A911C9" w:rsidRPr="008333D8">
        <w:t>“causation turns only on the physician’s prescription decision.”</w:t>
      </w:r>
      <w:r w:rsidR="003E36FB">
        <w:t xml:space="preserve">  </w:t>
      </w:r>
      <w:r w:rsidR="00A911C9" w:rsidRPr="008333D8">
        <w:t xml:space="preserve">  </w:t>
      </w:r>
    </w:p>
    <w:p w14:paraId="69AA1021" w14:textId="77777777" w:rsidR="00996326" w:rsidRPr="008333D8" w:rsidRDefault="00AB1EE5" w:rsidP="00087D20">
      <w:pPr>
        <w:widowControl w:val="0"/>
        <w:tabs>
          <w:tab w:val="left" w:pos="1440"/>
        </w:tabs>
        <w:ind w:firstLine="720"/>
        <w:contextualSpacing/>
      </w:pPr>
      <w:r w:rsidRPr="008333D8">
        <w:t>At the same time,</w:t>
      </w:r>
      <w:r w:rsidR="00C10711" w:rsidRPr="008333D8">
        <w:t xml:space="preserve"> </w:t>
      </w:r>
      <w:r w:rsidR="000170B0" w:rsidRPr="008333D8">
        <w:t xml:space="preserve">we recognize that </w:t>
      </w:r>
      <w:r w:rsidR="00A911C9" w:rsidRPr="008333D8">
        <w:t xml:space="preserve">patients often rely on their physician’s expertise and judgment in making medical treatment decisions, and so </w:t>
      </w:r>
      <w:bookmarkStart w:id="42" w:name="_Hlk168256059"/>
      <w:r w:rsidR="00A911C9" w:rsidRPr="008333D8">
        <w:t xml:space="preserve">the causation analysis </w:t>
      </w:r>
      <w:r w:rsidR="00166E29">
        <w:t>should</w:t>
      </w:r>
      <w:r w:rsidR="00A911C9" w:rsidRPr="008333D8">
        <w:t xml:space="preserve"> take into </w:t>
      </w:r>
      <w:r w:rsidR="00A44CEE" w:rsidRPr="008333D8">
        <w:t>consideration</w:t>
      </w:r>
      <w:r w:rsidR="00A911C9" w:rsidRPr="008333D8">
        <w:t xml:space="preserve"> </w:t>
      </w:r>
      <w:r w:rsidR="00940DBA">
        <w:t xml:space="preserve">any </w:t>
      </w:r>
      <w:r w:rsidR="00E9680E" w:rsidRPr="00E9680E">
        <w:t xml:space="preserve">evidence about what the physician would have communicated to the patient </w:t>
      </w:r>
      <w:r w:rsidR="00E9680E">
        <w:t>regarding</w:t>
      </w:r>
      <w:r w:rsidR="00E9680E" w:rsidRPr="00E9680E">
        <w:t xml:space="preserve"> the treatment and the allegedly undisclosed risks, including </w:t>
      </w:r>
      <w:r w:rsidR="00A911C9" w:rsidRPr="008333D8">
        <w:t xml:space="preserve">any evidence that the patient’s physician would have still recommended the treatment even </w:t>
      </w:r>
      <w:r w:rsidR="00A44CEE" w:rsidRPr="008333D8">
        <w:t>if the manufacturer had provided an adequate warning of the alleged risks.</w:t>
      </w:r>
      <w:r w:rsidR="00D4462E" w:rsidRPr="008333D8">
        <w:t xml:space="preserve">  </w:t>
      </w:r>
      <w:bookmarkEnd w:id="42"/>
      <w:r w:rsidR="00037403" w:rsidRPr="008333D8">
        <w:t xml:space="preserve">As amici curiae California Medical Association, California Dental Association, and California Hospital Association </w:t>
      </w:r>
      <w:r w:rsidR="006504E7" w:rsidRPr="008333D8">
        <w:t>observe</w:t>
      </w:r>
      <w:r w:rsidR="00E55757" w:rsidRPr="008333D8">
        <w:t>,</w:t>
      </w:r>
      <w:r w:rsidR="006504E7" w:rsidRPr="008333D8">
        <w:t xml:space="preserve"> </w:t>
      </w:r>
      <w:r w:rsidR="00E55757" w:rsidRPr="008333D8">
        <w:t xml:space="preserve">medical </w:t>
      </w:r>
      <w:r w:rsidR="00037403" w:rsidRPr="008333D8">
        <w:t xml:space="preserve">treatment decisions are </w:t>
      </w:r>
      <w:r w:rsidR="00037403" w:rsidRPr="008333D8">
        <w:lastRenderedPageBreak/>
        <w:t>made jointly by the physician and the patient</w:t>
      </w:r>
      <w:r w:rsidR="000C7118" w:rsidRPr="008333D8">
        <w:t xml:space="preserve"> after</w:t>
      </w:r>
      <w:r w:rsidR="00D213A6" w:rsidRPr="008333D8">
        <w:t xml:space="preserve"> together</w:t>
      </w:r>
      <w:r w:rsidR="000C7118" w:rsidRPr="008333D8">
        <w:t xml:space="preserve"> discussing and weighing the relevant risks and benefits of treatment.</w:t>
      </w:r>
      <w:r w:rsidR="000F50F0" w:rsidRPr="008333D8">
        <w:t xml:space="preserve">  </w:t>
      </w:r>
      <w:r w:rsidR="000E79C3" w:rsidRPr="008333D8">
        <w:t xml:space="preserve">The learned intermediary doctrine itself recognizes that patients are often influenced by their physician’s treatment recommendations and that a physician may be able to assuage a patient’s fears or persuade the patient that the benefits of treatment outweigh any risks.  (See </w:t>
      </w:r>
      <w:r w:rsidR="000E79C3" w:rsidRPr="008333D8">
        <w:rPr>
          <w:i/>
          <w:iCs/>
        </w:rPr>
        <w:t>Brown</w:t>
      </w:r>
      <w:r w:rsidR="000E79C3" w:rsidRPr="008333D8">
        <w:t xml:space="preserve">, </w:t>
      </w:r>
      <w:r w:rsidR="000E79C3" w:rsidRPr="008333D8">
        <w:rPr>
          <w:i/>
          <w:iCs/>
        </w:rPr>
        <w:t>supra</w:t>
      </w:r>
      <w:r w:rsidR="000E79C3" w:rsidRPr="008333D8">
        <w:t>, 44</w:t>
      </w:r>
      <w:r w:rsidR="004B6DDB" w:rsidRPr="008333D8">
        <w:t> </w:t>
      </w:r>
      <w:r w:rsidR="000E79C3" w:rsidRPr="008333D8">
        <w:t xml:space="preserve">Cal.3d at p. 1061.)  </w:t>
      </w:r>
      <w:r w:rsidR="000C7118" w:rsidRPr="008333D8">
        <w:t>For this reason, the causation analysis cannot hinge solely on whether the</w:t>
      </w:r>
      <w:r w:rsidR="00B22D8E" w:rsidRPr="008333D8">
        <w:t xml:space="preserve"> risk conveyed in a hypothetical warning would have altered the physician’s assessment to such a degree that the physician would no longer recommend the treatment for the patient.  </w:t>
      </w:r>
      <w:r w:rsidR="00CF2ABE" w:rsidRPr="008333D8">
        <w:t>But</w:t>
      </w:r>
      <w:r w:rsidR="00B22D8E" w:rsidRPr="008333D8">
        <w:t xml:space="preserve"> it also cannot turn solely on how </w:t>
      </w:r>
      <w:r w:rsidR="001B3F1F" w:rsidRPr="008333D8">
        <w:t>the patient</w:t>
      </w:r>
      <w:r w:rsidR="00C654E3" w:rsidRPr="008333D8">
        <w:t xml:space="preserve"> alone</w:t>
      </w:r>
      <w:r w:rsidR="00AA6A74" w:rsidRPr="008333D8">
        <w:t xml:space="preserve"> </w:t>
      </w:r>
      <w:r w:rsidR="00B22D8E" w:rsidRPr="008333D8">
        <w:t>would have responded</w:t>
      </w:r>
      <w:r w:rsidR="00C654E3" w:rsidRPr="008333D8">
        <w:t xml:space="preserve"> </w:t>
      </w:r>
      <w:r w:rsidR="000C7118" w:rsidRPr="008333D8">
        <w:t>to the risk</w:t>
      </w:r>
      <w:r w:rsidR="00B22D8E" w:rsidRPr="008333D8">
        <w:t xml:space="preserve"> </w:t>
      </w:r>
      <w:r w:rsidR="004D5838" w:rsidRPr="008333D8">
        <w:t>disclosed</w:t>
      </w:r>
      <w:r w:rsidR="00B22D8E" w:rsidRPr="008333D8">
        <w:t xml:space="preserve"> in </w:t>
      </w:r>
      <w:r w:rsidR="00D213A6" w:rsidRPr="008333D8">
        <w:t>the</w:t>
      </w:r>
      <w:r w:rsidR="00B22D8E" w:rsidRPr="008333D8">
        <w:t xml:space="preserve"> hypothetical </w:t>
      </w:r>
      <w:r w:rsidR="00D213A6" w:rsidRPr="008333D8">
        <w:t xml:space="preserve">stronger </w:t>
      </w:r>
      <w:r w:rsidR="00B22D8E" w:rsidRPr="008333D8">
        <w:t>warning</w:t>
      </w:r>
      <w:r w:rsidR="007170F9" w:rsidRPr="008333D8">
        <w:t>.  This is because</w:t>
      </w:r>
      <w:r w:rsidR="00B22D8E" w:rsidRPr="008333D8">
        <w:t xml:space="preserve"> the risk </w:t>
      </w:r>
      <w:r w:rsidR="00D213A6" w:rsidRPr="008333D8">
        <w:t>of any hypothetical stronger warning would not have been conveyed directly to the patient</w:t>
      </w:r>
      <w:r w:rsidR="00D95E85" w:rsidRPr="008333D8">
        <w:t>.  Instead, it would</w:t>
      </w:r>
      <w:r w:rsidR="00D213A6" w:rsidRPr="008333D8">
        <w:t xml:space="preserve"> have been communicated to </w:t>
      </w:r>
      <w:r w:rsidR="00B22D8E" w:rsidRPr="008333D8">
        <w:t xml:space="preserve">the patient by </w:t>
      </w:r>
      <w:r w:rsidR="00D213A6" w:rsidRPr="008333D8">
        <w:t>his or her</w:t>
      </w:r>
      <w:r w:rsidR="00B22D8E" w:rsidRPr="008333D8">
        <w:t xml:space="preserve"> physician who </w:t>
      </w:r>
      <w:r w:rsidR="00D213A6" w:rsidRPr="008333D8">
        <w:t xml:space="preserve">would have </w:t>
      </w:r>
      <w:r w:rsidRPr="008333D8">
        <w:t>utilize</w:t>
      </w:r>
      <w:r w:rsidR="00D213A6" w:rsidRPr="008333D8">
        <w:t>d</w:t>
      </w:r>
      <w:r w:rsidRPr="008333D8">
        <w:t xml:space="preserve"> his or her med</w:t>
      </w:r>
      <w:r w:rsidRPr="008333D8">
        <w:t>ical expertise to assess the risk and t</w:t>
      </w:r>
      <w:r w:rsidR="00D213A6" w:rsidRPr="008333D8">
        <w:t>o</w:t>
      </w:r>
      <w:r w:rsidR="00B22D8E" w:rsidRPr="008333D8">
        <w:t xml:space="preserve"> recommend </w:t>
      </w:r>
      <w:r w:rsidRPr="008333D8">
        <w:t xml:space="preserve">a course of </w:t>
      </w:r>
      <w:r w:rsidR="00B22D8E" w:rsidRPr="008333D8">
        <w:t xml:space="preserve">treatment </w:t>
      </w:r>
      <w:r w:rsidRPr="008333D8">
        <w:t>for the patient based on th</w:t>
      </w:r>
      <w:r w:rsidR="00D213A6" w:rsidRPr="008333D8">
        <w:t>at</w:t>
      </w:r>
      <w:r w:rsidRPr="008333D8">
        <w:t xml:space="preserve"> assessed risk</w:t>
      </w:r>
      <w:r w:rsidR="00B22D8E" w:rsidRPr="008333D8">
        <w:t>.</w:t>
      </w:r>
      <w:r w:rsidR="007170F9" w:rsidRPr="008333D8">
        <w:t xml:space="preserve">  </w:t>
      </w:r>
      <w:r w:rsidR="00BE11BE" w:rsidRPr="008333D8">
        <w:t>When discussing the recommended treatment, physician</w:t>
      </w:r>
      <w:r w:rsidR="00272181" w:rsidRPr="008333D8">
        <w:t xml:space="preserve">s </w:t>
      </w:r>
      <w:r w:rsidR="00BE11BE" w:rsidRPr="008333D8">
        <w:t xml:space="preserve">assist the patient </w:t>
      </w:r>
      <w:r w:rsidR="00A74266" w:rsidRPr="008333D8">
        <w:t>by</w:t>
      </w:r>
      <w:r w:rsidR="00BE11BE" w:rsidRPr="008333D8">
        <w:t xml:space="preserve"> contextualizing any risks based on the patient’s medical circumstances and needs</w:t>
      </w:r>
      <w:r w:rsidR="00C654E3" w:rsidRPr="008333D8">
        <w:t>;</w:t>
      </w:r>
      <w:r w:rsidR="00BE11BE" w:rsidRPr="008333D8">
        <w:t xml:space="preserve"> </w:t>
      </w:r>
      <w:r w:rsidR="00A74266" w:rsidRPr="008333D8">
        <w:t xml:space="preserve">trying to </w:t>
      </w:r>
      <w:r w:rsidR="008D6261" w:rsidRPr="008333D8">
        <w:t>allevia</w:t>
      </w:r>
      <w:r w:rsidR="00A74266" w:rsidRPr="008333D8">
        <w:t>te</w:t>
      </w:r>
      <w:r w:rsidR="008D6261" w:rsidRPr="008333D8">
        <w:t xml:space="preserve"> </w:t>
      </w:r>
      <w:r w:rsidR="00BE11BE" w:rsidRPr="008333D8">
        <w:t>the patient’s fears</w:t>
      </w:r>
      <w:r w:rsidR="00EA3AA6" w:rsidRPr="008333D8">
        <w:t xml:space="preserve"> regarding the risks</w:t>
      </w:r>
      <w:r w:rsidR="00C654E3" w:rsidRPr="008333D8">
        <w:t>;</w:t>
      </w:r>
      <w:r w:rsidR="00BE11BE" w:rsidRPr="008333D8">
        <w:t xml:space="preserve"> </w:t>
      </w:r>
      <w:r w:rsidR="008D6261" w:rsidRPr="008333D8">
        <w:t>describ</w:t>
      </w:r>
      <w:r w:rsidR="00A74266" w:rsidRPr="008333D8">
        <w:t>ing</w:t>
      </w:r>
      <w:r w:rsidR="008D6261" w:rsidRPr="008333D8">
        <w:t xml:space="preserve"> </w:t>
      </w:r>
      <w:r w:rsidR="00BE11BE" w:rsidRPr="008333D8">
        <w:t>the risks and benefits of other possible treatments</w:t>
      </w:r>
      <w:r w:rsidR="00C654E3" w:rsidRPr="008333D8">
        <w:t>;</w:t>
      </w:r>
      <w:r w:rsidR="00BE11BE" w:rsidRPr="008333D8">
        <w:t xml:space="preserve"> </w:t>
      </w:r>
      <w:r w:rsidR="00930152" w:rsidRPr="008333D8">
        <w:t>distilling</w:t>
      </w:r>
      <w:r w:rsidR="00A716B8" w:rsidRPr="008333D8">
        <w:t xml:space="preserve"> </w:t>
      </w:r>
      <w:r w:rsidR="00930152" w:rsidRPr="008333D8">
        <w:t>any studies and medical literature related to the tr</w:t>
      </w:r>
      <w:r w:rsidR="00DC42B7" w:rsidRPr="008333D8">
        <w:t>eatment decision</w:t>
      </w:r>
      <w:r w:rsidR="00C654E3" w:rsidRPr="008333D8">
        <w:t>;</w:t>
      </w:r>
      <w:r w:rsidR="00930152" w:rsidRPr="008333D8">
        <w:t xml:space="preserve"> </w:t>
      </w:r>
      <w:r w:rsidR="00BE11BE" w:rsidRPr="008333D8">
        <w:t>and explain</w:t>
      </w:r>
      <w:r w:rsidR="00A74266" w:rsidRPr="008333D8">
        <w:t>ing</w:t>
      </w:r>
      <w:r w:rsidR="00BE11BE" w:rsidRPr="008333D8">
        <w:t xml:space="preserve"> the reasons why the physician </w:t>
      </w:r>
      <w:r w:rsidR="008D6261" w:rsidRPr="008333D8">
        <w:t>believes</w:t>
      </w:r>
      <w:r w:rsidR="00BE11BE" w:rsidRPr="008333D8">
        <w:t xml:space="preserve"> the recommended treatment is the best option for the patient </w:t>
      </w:r>
      <w:r w:rsidR="00272181" w:rsidRPr="008333D8">
        <w:t>despite</w:t>
      </w:r>
      <w:r w:rsidR="00BE11BE" w:rsidRPr="008333D8">
        <w:t xml:space="preserve"> </w:t>
      </w:r>
      <w:r w:rsidR="00EA3AA6" w:rsidRPr="008333D8">
        <w:t>the</w:t>
      </w:r>
      <w:r w:rsidR="00BE11BE" w:rsidRPr="008333D8">
        <w:t xml:space="preserve"> risks.</w:t>
      </w:r>
      <w:r w:rsidR="008D6261" w:rsidRPr="008333D8">
        <w:t xml:space="preserve">  </w:t>
      </w:r>
      <w:r w:rsidR="00A74266" w:rsidRPr="008333D8">
        <w:t xml:space="preserve">This is the physician’s function as an intermediary because, as the learned intermediary doctrine recognizes, </w:t>
      </w:r>
      <w:bookmarkStart w:id="43" w:name="_Hlk168478861"/>
      <w:r w:rsidR="00A74266" w:rsidRPr="008333D8">
        <w:t xml:space="preserve">if the warning were conveyed to the patient directly by the manufacturer, the patient </w:t>
      </w:r>
      <w:r w:rsidR="00EA3AA6" w:rsidRPr="008333D8">
        <w:t xml:space="preserve">might </w:t>
      </w:r>
      <w:r w:rsidR="008D6261" w:rsidRPr="008333D8">
        <w:lastRenderedPageBreak/>
        <w:t>be</w:t>
      </w:r>
      <w:r w:rsidR="00EA3AA6" w:rsidRPr="008333D8">
        <w:t xml:space="preserve"> </w:t>
      </w:r>
      <w:r w:rsidR="00637EC2" w:rsidRPr="008333D8">
        <w:t xml:space="preserve">inclined to reject </w:t>
      </w:r>
      <w:r w:rsidR="00AE7AEC">
        <w:t>even beneficial</w:t>
      </w:r>
      <w:r w:rsidR="00637EC2" w:rsidRPr="008333D8">
        <w:t xml:space="preserve"> treatment</w:t>
      </w:r>
      <w:r w:rsidR="00EA3AA6" w:rsidRPr="008333D8">
        <w:t>.</w:t>
      </w:r>
      <w:r w:rsidR="00637EC2" w:rsidRPr="008333D8">
        <w:t xml:space="preserve">  </w:t>
      </w:r>
      <w:bookmarkEnd w:id="43"/>
      <w:r w:rsidR="00637EC2" w:rsidRPr="008333D8">
        <w:t>(</w:t>
      </w:r>
      <w:r w:rsidR="00637EC2" w:rsidRPr="008333D8">
        <w:rPr>
          <w:i/>
          <w:iCs/>
        </w:rPr>
        <w:t>Carmichael</w:t>
      </w:r>
      <w:r w:rsidR="00637EC2" w:rsidRPr="008333D8">
        <w:t xml:space="preserve">, </w:t>
      </w:r>
      <w:r w:rsidR="00637EC2" w:rsidRPr="008333D8">
        <w:rPr>
          <w:i/>
          <w:iCs/>
        </w:rPr>
        <w:t>supra</w:t>
      </w:r>
      <w:r w:rsidR="00637EC2" w:rsidRPr="008333D8">
        <w:t xml:space="preserve">, 17 Cal.App.3d at p. 989.)  </w:t>
      </w:r>
      <w:r w:rsidR="00B22D8E" w:rsidRPr="008333D8">
        <w:t>T</w:t>
      </w:r>
      <w:r w:rsidR="006504E7" w:rsidRPr="008333D8">
        <w:t>he causation analysis should</w:t>
      </w:r>
      <w:r w:rsidR="00E55757" w:rsidRPr="008333D8">
        <w:t xml:space="preserve"> </w:t>
      </w:r>
      <w:r w:rsidR="00CF2ABE" w:rsidRPr="008333D8">
        <w:t xml:space="preserve">therefore </w:t>
      </w:r>
      <w:r w:rsidR="00E55757" w:rsidRPr="008333D8">
        <w:t>begin by determining what</w:t>
      </w:r>
      <w:r w:rsidR="00D61118" w:rsidRPr="008333D8">
        <w:t>, if anything,</w:t>
      </w:r>
      <w:r w:rsidR="00E55757" w:rsidRPr="008333D8">
        <w:t xml:space="preserve"> the patient’s physician would have </w:t>
      </w:r>
      <w:r w:rsidR="00D213A6" w:rsidRPr="008333D8">
        <w:t>communicated</w:t>
      </w:r>
      <w:r w:rsidR="00E55757" w:rsidRPr="008333D8">
        <w:t xml:space="preserve"> to the patient regarding the relative risks and benefits of the prescription drug or medical device in </w:t>
      </w:r>
      <w:r w:rsidR="00CF2ABE" w:rsidRPr="008333D8">
        <w:t>response to a stronger</w:t>
      </w:r>
      <w:r w:rsidR="00E55757" w:rsidRPr="008333D8">
        <w:t xml:space="preserve"> warning</w:t>
      </w:r>
      <w:r w:rsidR="00BC3FEC" w:rsidRPr="008333D8">
        <w:t>,</w:t>
      </w:r>
      <w:r w:rsidR="00E55757" w:rsidRPr="008333D8">
        <w:t xml:space="preserve"> and</w:t>
      </w:r>
      <w:r w:rsidR="00EA3AA6" w:rsidRPr="008333D8">
        <w:t xml:space="preserve"> </w:t>
      </w:r>
      <w:r w:rsidR="00D95E85" w:rsidRPr="008333D8">
        <w:t xml:space="preserve">should </w:t>
      </w:r>
      <w:r w:rsidR="00BC3FEC" w:rsidRPr="008333D8">
        <w:t>then</w:t>
      </w:r>
      <w:r w:rsidR="00E55757" w:rsidRPr="008333D8">
        <w:t xml:space="preserve"> turn to whether a</w:t>
      </w:r>
      <w:r w:rsidR="008129DD">
        <w:t>n objectively</w:t>
      </w:r>
      <w:r w:rsidR="00E55757" w:rsidRPr="008333D8">
        <w:t xml:space="preserve"> prudent person in the p</w:t>
      </w:r>
      <w:r w:rsidR="008D0061" w:rsidRPr="008333D8">
        <w:t>atient</w:t>
      </w:r>
      <w:r w:rsidR="00E55757" w:rsidRPr="008333D8">
        <w:t>’s position would have declined the treatment</w:t>
      </w:r>
      <w:r w:rsidR="00BC3FEC" w:rsidRPr="008333D8">
        <w:t xml:space="preserve"> </w:t>
      </w:r>
      <w:r w:rsidR="00D95E85" w:rsidRPr="008333D8">
        <w:t xml:space="preserve">even where the evidence shows that the physician’s treatment recommendation would have been unchanged by the stronger warning. </w:t>
      </w:r>
      <w:r w:rsidR="00674874" w:rsidRPr="008333D8">
        <w:t xml:space="preserve"> In other words, the plaintiff must prove that a</w:t>
      </w:r>
      <w:r w:rsidR="008129DD">
        <w:t>n objectively</w:t>
      </w:r>
      <w:r w:rsidR="00674874" w:rsidRPr="008333D8">
        <w:t xml:space="preserve"> prudent person in the patient’s position would have declined treatment </w:t>
      </w:r>
      <w:r w:rsidR="00674874" w:rsidRPr="008333D8">
        <w:rPr>
          <w:i/>
          <w:iCs/>
        </w:rPr>
        <w:t>despite</w:t>
      </w:r>
      <w:r w:rsidR="00674874" w:rsidRPr="008333D8">
        <w:t xml:space="preserve"> the physician’s assessment that the benefits of the treatment for the patient would still outweigh any risks disclosed by a stronger warning.</w:t>
      </w:r>
      <w:r>
        <w:rPr>
          <w:rStyle w:val="FootnoteReference"/>
        </w:rPr>
        <w:footnoteReference w:id="4"/>
      </w:r>
      <w:r w:rsidR="00674874" w:rsidRPr="008333D8">
        <w:t xml:space="preserve">  </w:t>
      </w:r>
      <w:r w:rsidR="00D95E85" w:rsidRPr="008333D8">
        <w:t xml:space="preserve">  </w:t>
      </w:r>
      <w:r w:rsidR="00D61118" w:rsidRPr="008333D8">
        <w:t xml:space="preserve">  </w:t>
      </w:r>
    </w:p>
    <w:p w14:paraId="69AA1022" w14:textId="77777777" w:rsidR="000E6982" w:rsidRDefault="00AB1EE5" w:rsidP="00087D20">
      <w:pPr>
        <w:widowControl w:val="0"/>
        <w:tabs>
          <w:tab w:val="left" w:pos="1440"/>
        </w:tabs>
        <w:ind w:firstLine="720"/>
        <w:contextualSpacing/>
      </w:pPr>
      <w:r w:rsidRPr="008333D8">
        <w:t>Somat</w:t>
      </w:r>
      <w:r w:rsidRPr="008333D8">
        <w:t>ics asks us to find “as a matter of law</w:t>
      </w:r>
      <w:r w:rsidR="00F929E0" w:rsidRPr="008333D8">
        <w:t>” that “</w:t>
      </w:r>
      <w:r w:rsidRPr="008333D8">
        <w:t>an objective</w:t>
      </w:r>
      <w:r w:rsidR="008129DD">
        <w:t>ly</w:t>
      </w:r>
      <w:r w:rsidRPr="008333D8">
        <w:t xml:space="preserve"> prudent person would not refuse last-resort, life-saving treatment because of a small risk of side effects</w:t>
      </w:r>
      <w:r w:rsidR="00447D18" w:rsidRPr="008333D8">
        <w:t>.</w:t>
      </w:r>
      <w:r w:rsidRPr="008333D8">
        <w:t>”</w:t>
      </w:r>
      <w:r w:rsidR="00447D18" w:rsidRPr="008333D8">
        <w:t xml:space="preserve">  Somatics </w:t>
      </w:r>
      <w:r w:rsidR="001C6447" w:rsidRPr="008333D8">
        <w:t xml:space="preserve">explains that Himes suffered from severe depression and suicidal ideation, </w:t>
      </w:r>
      <w:r w:rsidR="008160A4" w:rsidRPr="008333D8">
        <w:t xml:space="preserve">her physicians had previously prescribed </w:t>
      </w:r>
      <w:r w:rsidR="001C6447" w:rsidRPr="008333D8">
        <w:t xml:space="preserve">nine different antipsychotics and antidepressants </w:t>
      </w:r>
      <w:r w:rsidR="008160A4" w:rsidRPr="008333D8">
        <w:t xml:space="preserve">that </w:t>
      </w:r>
      <w:r w:rsidR="001C6447" w:rsidRPr="008333D8">
        <w:t>failed to alleviate her depression, and Dr. Fidaleo prescribed</w:t>
      </w:r>
      <w:r w:rsidR="003F712C" w:rsidRPr="008333D8">
        <w:t xml:space="preserve"> ECT</w:t>
      </w:r>
      <w:r w:rsidR="001F3C3B" w:rsidRPr="008333D8">
        <w:t> —</w:t>
      </w:r>
      <w:r w:rsidR="00932167" w:rsidRPr="008333D8">
        <w:t xml:space="preserve"> </w:t>
      </w:r>
      <w:r w:rsidR="003F712C" w:rsidRPr="008333D8">
        <w:t>a “long-established medical procedure used at the nation’s top hospitals to treat serious mental health issues”</w:t>
      </w:r>
      <w:r w:rsidR="001F3C3B" w:rsidRPr="008333D8">
        <w:t> —</w:t>
      </w:r>
      <w:r w:rsidR="00CA2B1A" w:rsidRPr="008333D8">
        <w:t xml:space="preserve"> </w:t>
      </w:r>
      <w:r w:rsidR="003F712C" w:rsidRPr="008333D8">
        <w:t>in</w:t>
      </w:r>
      <w:r w:rsidR="001C6447" w:rsidRPr="008333D8">
        <w:t xml:space="preserve"> a “last resort</w:t>
      </w:r>
      <w:r w:rsidR="003F712C" w:rsidRPr="008333D8">
        <w:t>” effort</w:t>
      </w:r>
      <w:r w:rsidR="001C6447" w:rsidRPr="008333D8">
        <w:t xml:space="preserve"> </w:t>
      </w:r>
      <w:r w:rsidR="003F712C" w:rsidRPr="008333D8">
        <w:t>“</w:t>
      </w:r>
      <w:r w:rsidR="001C6447" w:rsidRPr="008333D8">
        <w:t>to save [her] life</w:t>
      </w:r>
      <w:r w:rsidR="003F712C" w:rsidRPr="008333D8">
        <w:t>.</w:t>
      </w:r>
      <w:r w:rsidR="003E36FB">
        <w:t>”</w:t>
      </w:r>
      <w:r w:rsidR="001C6447" w:rsidRPr="008333D8">
        <w:t xml:space="preserve"> </w:t>
      </w:r>
      <w:r w:rsidR="003F712C" w:rsidRPr="008333D8">
        <w:t xml:space="preserve"> </w:t>
      </w:r>
      <w:r w:rsidR="001C6447" w:rsidRPr="008333D8">
        <w:t>Somatics further asserts</w:t>
      </w:r>
      <w:r w:rsidRPr="008333D8">
        <w:t xml:space="preserve"> that “[n]o objectively prudent person would refuse a prescribed treatment where (1) the patient is facing a serious risk of death, </w:t>
      </w:r>
      <w:r w:rsidRPr="008333D8">
        <w:lastRenderedPageBreak/>
        <w:t>(2) all other treat</w:t>
      </w:r>
      <w:r w:rsidRPr="008333D8">
        <w:t xml:space="preserve">ment options have failed, and (3) a physician prescribes and urges the use of a medical treatment to save the patient’s life.”  </w:t>
      </w:r>
      <w:r w:rsidR="00243B76">
        <w:t>I</w:t>
      </w:r>
      <w:r w:rsidR="00243B76" w:rsidRPr="008333D8">
        <w:t>t is not for us to decide</w:t>
      </w:r>
      <w:r w:rsidR="00243B76">
        <w:t>, however,</w:t>
      </w:r>
      <w:r w:rsidR="00243B76" w:rsidRPr="008333D8">
        <w:t xml:space="preserve"> whether</w:t>
      </w:r>
      <w:r w:rsidR="00243B76">
        <w:t xml:space="preserve"> Somatics’s view of the facts is correct or whether</w:t>
      </w:r>
      <w:r w:rsidR="00243B76" w:rsidRPr="008333D8">
        <w:t xml:space="preserve"> a</w:t>
      </w:r>
      <w:r w:rsidR="008129DD">
        <w:t>n objectively</w:t>
      </w:r>
      <w:r w:rsidR="00243B76">
        <w:t xml:space="preserve"> </w:t>
      </w:r>
      <w:r w:rsidR="00243B76" w:rsidRPr="008333D8">
        <w:t>prudent person in the patient’s position</w:t>
      </w:r>
      <w:r w:rsidR="00243B76">
        <w:t xml:space="preserve"> </w:t>
      </w:r>
      <w:r w:rsidR="00B558C9">
        <w:t xml:space="preserve">might reasonably </w:t>
      </w:r>
      <w:r w:rsidR="00243B76" w:rsidRPr="008333D8">
        <w:t>decline the recommended treatment</w:t>
      </w:r>
      <w:r w:rsidR="00243B76">
        <w:t xml:space="preserve"> under such circumstances</w:t>
      </w:r>
      <w:r w:rsidR="00243B76" w:rsidRPr="008333D8">
        <w:t xml:space="preserve">.  “Our role here is limited to setting out general principles of California law for the assistance of the Ninth Circuit.  The application of these principles of law to the specific facts of [the] case is a matter for the federal judiciary.”  </w:t>
      </w:r>
      <w:bookmarkStart w:id="45" w:name="_Hlk155909713"/>
      <w:r w:rsidR="00243B76" w:rsidRPr="008333D8">
        <w:t>(</w:t>
      </w:r>
      <w:r w:rsidR="00243B76" w:rsidRPr="008333D8">
        <w:rPr>
          <w:i/>
          <w:iCs/>
        </w:rPr>
        <w:t>Vu</w:t>
      </w:r>
      <w:r w:rsidR="005B4474">
        <w:t xml:space="preserve">, </w:t>
      </w:r>
      <w:r w:rsidR="005B4474">
        <w:rPr>
          <w:i/>
          <w:iCs/>
        </w:rPr>
        <w:t>supra</w:t>
      </w:r>
      <w:r w:rsidR="005B4474">
        <w:t>,</w:t>
      </w:r>
      <w:r w:rsidR="00243B76" w:rsidRPr="008333D8">
        <w:rPr>
          <w:i/>
          <w:iCs/>
        </w:rPr>
        <w:t xml:space="preserve"> </w:t>
      </w:r>
      <w:r w:rsidR="00243B76" w:rsidRPr="008333D8">
        <w:t xml:space="preserve">26 Cal.4th </w:t>
      </w:r>
      <w:r w:rsidR="005B4474">
        <w:t>at p. </w:t>
      </w:r>
      <w:r w:rsidR="00243B76" w:rsidRPr="008333D8">
        <w:t>1153.)</w:t>
      </w:r>
      <w:r>
        <w:t xml:space="preserve">  </w:t>
      </w:r>
      <w:r w:rsidR="002015F2">
        <w:t>Nevertheless, f</w:t>
      </w:r>
      <w:r w:rsidR="00243B76">
        <w:t xml:space="preserve">or </w:t>
      </w:r>
      <w:r w:rsidR="0082121E">
        <w:t xml:space="preserve">the purpose of providing </w:t>
      </w:r>
      <w:r w:rsidR="00243B76">
        <w:t>guidance</w:t>
      </w:r>
      <w:r w:rsidR="00FC3548">
        <w:t>,</w:t>
      </w:r>
      <w:r w:rsidR="002015F2">
        <w:t xml:space="preserve"> </w:t>
      </w:r>
      <w:r w:rsidR="00243B76">
        <w:t>we</w:t>
      </w:r>
      <w:r w:rsidR="00FC3548">
        <w:t xml:space="preserve"> observe that the facts </w:t>
      </w:r>
      <w:r w:rsidR="00FC3548" w:rsidRPr="008333D8">
        <w:t>Somatics raises, if true, will certainly be relevant to the causation analysis</w:t>
      </w:r>
      <w:r w:rsidR="00FC3548">
        <w:t>.</w:t>
      </w:r>
      <w:bookmarkEnd w:id="45"/>
      <w:r w:rsidR="00362E49">
        <w:t xml:space="preserve">  </w:t>
      </w:r>
      <w:r w:rsidR="00362E49" w:rsidRPr="00362E49">
        <w:t>That is, relevant factors that should be considered in determining whether an objectively prudent patient would have declined physician-recommended treatment include, but are not necessarily limited to, whether the physician weighed and assessed the risks and benefits of the treatment and, after discussing those risks and benefits with the patient, continued to recommend the treatment; whether the treatment was novel or was instead an established method for addressing the patient’s condition; the availability and utility of alternative treatments and the degree to which they have previously been tried in an effort to address the patient’s condition; the severity of the patient’s condition; and the likelihood that the treatment would have resulted in more than marginal benefits to the patient.</w:t>
      </w:r>
    </w:p>
    <w:p w14:paraId="69AA1023" w14:textId="77777777" w:rsidR="00BE33C9" w:rsidRPr="008333D8" w:rsidRDefault="00AB1EE5" w:rsidP="00087D20">
      <w:pPr>
        <w:widowControl w:val="0"/>
        <w:tabs>
          <w:tab w:val="left" w:pos="1440"/>
        </w:tabs>
        <w:ind w:firstLine="720"/>
        <w:contextualSpacing/>
      </w:pPr>
      <w:r>
        <w:t>In addition,</w:t>
      </w:r>
      <w:r w:rsidR="003E15C6">
        <w:t xml:space="preserve"> personal characteristics</w:t>
      </w:r>
      <w:r w:rsidR="00FD783D">
        <w:t xml:space="preserve"> of the patient</w:t>
      </w:r>
      <w:r w:rsidR="003E15C6">
        <w:t xml:space="preserve"> </w:t>
      </w:r>
      <w:r w:rsidR="0003554B">
        <w:t xml:space="preserve">or circumstances </w:t>
      </w:r>
      <w:r w:rsidR="00101DB4">
        <w:t>unique to</w:t>
      </w:r>
      <w:r w:rsidR="003E15C6" w:rsidRPr="003E15C6">
        <w:t xml:space="preserve"> the patient</w:t>
      </w:r>
      <w:r w:rsidR="00B558C9">
        <w:t> </w:t>
      </w:r>
      <w:r w:rsidR="003E15C6">
        <w:t xml:space="preserve">should </w:t>
      </w:r>
      <w:r>
        <w:t>be</w:t>
      </w:r>
      <w:r w:rsidR="003E15C6">
        <w:t xml:space="preserve"> taken into account when applying the</w:t>
      </w:r>
      <w:r w:rsidR="008129DD">
        <w:t xml:space="preserve"> objectively</w:t>
      </w:r>
      <w:r w:rsidR="003E15C6">
        <w:t xml:space="preserve"> prudent person in the patient’s position standard.  </w:t>
      </w:r>
      <w:r w:rsidR="00B558C9">
        <w:t xml:space="preserve">Informed consent cases illustrate how such characteristics </w:t>
      </w:r>
      <w:r w:rsidR="00FD783D">
        <w:t xml:space="preserve">or circumstances </w:t>
      </w:r>
      <w:r w:rsidR="00B558C9">
        <w:t xml:space="preserve">might be considered.  </w:t>
      </w:r>
      <w:r w:rsidR="00942E96">
        <w:lastRenderedPageBreak/>
        <w:t xml:space="preserve">In </w:t>
      </w:r>
      <w:r w:rsidR="003E15C6" w:rsidRPr="00EE16A6">
        <w:rPr>
          <w:i/>
          <w:iCs/>
        </w:rPr>
        <w:t>W</w:t>
      </w:r>
      <w:r w:rsidR="003E15C6" w:rsidRPr="00546EDE">
        <w:rPr>
          <w:i/>
          <w:iCs/>
        </w:rPr>
        <w:t>ilson v. Merritt</w:t>
      </w:r>
      <w:r w:rsidR="003E15C6" w:rsidRPr="003E15C6">
        <w:t xml:space="preserve"> (2006) 142</w:t>
      </w:r>
      <w:r w:rsidR="00781B4F">
        <w:t> </w:t>
      </w:r>
      <w:r w:rsidR="003E15C6" w:rsidRPr="003E15C6">
        <w:t>Cal.App.4th 1125</w:t>
      </w:r>
      <w:r w:rsidR="00942E96">
        <w:t xml:space="preserve">, </w:t>
      </w:r>
      <w:r w:rsidR="003E15C6" w:rsidRPr="003E15C6">
        <w:t>for example, the plaintiff was a paraplegic “who had been largely paralyzed by a prior surgery and was dependent upon the use of his arms and shoulders for any mobility at all, and who, at that point, had already achieved about a 20 percent improvement . . . based on physical therapy alone.”  (</w:t>
      </w:r>
      <w:r w:rsidR="003E15C6" w:rsidRPr="00EE16A6">
        <w:rPr>
          <w:i/>
          <w:iCs/>
        </w:rPr>
        <w:t>Id.</w:t>
      </w:r>
      <w:r w:rsidR="003E15C6" w:rsidRPr="003E15C6">
        <w:t xml:space="preserve"> at p.</w:t>
      </w:r>
      <w:r w:rsidR="00781B4F">
        <w:t> </w:t>
      </w:r>
      <w:r w:rsidR="003E15C6" w:rsidRPr="003E15C6">
        <w:t>1139.)  Given the plaintiff’s unique medical circumstances and prior treatment history, the court found that there was sufficient evidence for a jury to conclude that a</w:t>
      </w:r>
      <w:r w:rsidR="008129DD">
        <w:t>n objectively</w:t>
      </w:r>
      <w:r w:rsidR="003E15C6" w:rsidRPr="003E15C6">
        <w:t xml:space="preserve"> prudent </w:t>
      </w:r>
      <w:r w:rsidR="0076268D" w:rsidRPr="003E15C6">
        <w:t>p</w:t>
      </w:r>
      <w:r w:rsidR="0076268D">
        <w:t>erson</w:t>
      </w:r>
      <w:r w:rsidR="0076268D" w:rsidRPr="003E15C6">
        <w:t xml:space="preserve"> </w:t>
      </w:r>
      <w:r w:rsidR="003E15C6" w:rsidRPr="003E15C6">
        <w:t xml:space="preserve">in the </w:t>
      </w:r>
      <w:r w:rsidR="0076268D" w:rsidRPr="003E15C6">
        <w:t>p</w:t>
      </w:r>
      <w:r w:rsidR="0076268D">
        <w:t>atient’s</w:t>
      </w:r>
      <w:r w:rsidR="0076268D" w:rsidRPr="003E15C6">
        <w:t xml:space="preserve"> </w:t>
      </w:r>
      <w:r w:rsidR="003E15C6" w:rsidRPr="003E15C6">
        <w:t>position would have declined the recommended procedure</w:t>
      </w:r>
      <w:r w:rsidR="00B558C9">
        <w:t> </w:t>
      </w:r>
      <w:r w:rsidR="003E15C6" w:rsidRPr="003E15C6">
        <w:t>—</w:t>
      </w:r>
      <w:r w:rsidR="0030134D">
        <w:t xml:space="preserve"> </w:t>
      </w:r>
      <w:r w:rsidR="003E15C6" w:rsidRPr="003E15C6">
        <w:t>manipulation of his shoulder under anesthesia</w:t>
      </w:r>
      <w:r w:rsidR="00781B4F">
        <w:t> </w:t>
      </w:r>
      <w:r w:rsidR="003E15C6" w:rsidRPr="003E15C6">
        <w:t>— if the patient had known it could result in a torn rotator cuff and a fractured bone.  (</w:t>
      </w:r>
      <w:r w:rsidR="003E15C6" w:rsidRPr="00EE16A6">
        <w:rPr>
          <w:i/>
          <w:iCs/>
        </w:rPr>
        <w:t>Ibid</w:t>
      </w:r>
      <w:r w:rsidR="003E15C6" w:rsidRPr="003E15C6">
        <w:t>.</w:t>
      </w:r>
      <w:r w:rsidR="00B558C9">
        <w:t>)  As another example, in</w:t>
      </w:r>
      <w:r w:rsidR="00942E96">
        <w:t xml:space="preserve"> </w:t>
      </w:r>
      <w:r w:rsidR="00942E96" w:rsidRPr="00445B8C">
        <w:rPr>
          <w:i/>
          <w:iCs/>
        </w:rPr>
        <w:t>Daum v. SpineCare Medical Group, Inc.</w:t>
      </w:r>
      <w:r w:rsidR="00942E96" w:rsidRPr="00942E96">
        <w:t xml:space="preserve"> (1997) 52</w:t>
      </w:r>
      <w:r w:rsidR="00781B4F">
        <w:t> </w:t>
      </w:r>
      <w:r w:rsidR="00942E96" w:rsidRPr="00942E96">
        <w:t>Cal.App.4th 1285</w:t>
      </w:r>
      <w:r w:rsidR="00B558C9">
        <w:t xml:space="preserve"> there was </w:t>
      </w:r>
      <w:r w:rsidR="00942E96">
        <w:t xml:space="preserve">sufficient evidence </w:t>
      </w:r>
      <w:r w:rsidR="00942E96" w:rsidRPr="00942E96">
        <w:t>for a jury to find that a</w:t>
      </w:r>
      <w:r w:rsidR="008129DD">
        <w:t>n objectively</w:t>
      </w:r>
      <w:r w:rsidR="00942E96" w:rsidRPr="00942E96">
        <w:t xml:space="preserve"> prudent person in the p</w:t>
      </w:r>
      <w:r w:rsidR="00B558C9">
        <w:t>atient</w:t>
      </w:r>
      <w:r w:rsidR="00942E96" w:rsidRPr="00942E96">
        <w:t xml:space="preserve">’s position would have declined </w:t>
      </w:r>
      <w:r w:rsidR="00D272AC">
        <w:t>an experimental</w:t>
      </w:r>
      <w:r w:rsidR="00942E96" w:rsidRPr="00942E96">
        <w:t xml:space="preserve"> surgery had the</w:t>
      </w:r>
      <w:r w:rsidR="0076268D">
        <w:t xml:space="preserve"> patient </w:t>
      </w:r>
      <w:r w:rsidR="00942E96" w:rsidRPr="00942E96">
        <w:t>been warned</w:t>
      </w:r>
      <w:r w:rsidR="00B558C9">
        <w:t xml:space="preserve"> of the risks</w:t>
      </w:r>
      <w:r w:rsidR="00942E96" w:rsidRPr="00942E96">
        <w:t xml:space="preserve">, particularly given that the plaintiff had previously taken a conservative approach </w:t>
      </w:r>
      <w:r w:rsidR="00942E96">
        <w:t>to surgery and other treatment options were available</w:t>
      </w:r>
      <w:r w:rsidR="00B558C9">
        <w:t>.  (</w:t>
      </w:r>
      <w:r w:rsidR="00B558C9">
        <w:rPr>
          <w:i/>
          <w:iCs/>
        </w:rPr>
        <w:t>Id.</w:t>
      </w:r>
      <w:r w:rsidR="00B558C9" w:rsidRPr="0053601A">
        <w:rPr>
          <w:i/>
        </w:rPr>
        <w:t xml:space="preserve"> </w:t>
      </w:r>
      <w:r w:rsidR="00B558C9">
        <w:t>at p. 1312.</w:t>
      </w:r>
      <w:r w:rsidR="00D272AC">
        <w:t>)</w:t>
      </w:r>
      <w:r w:rsidR="0075742B">
        <w:t xml:space="preserve">  </w:t>
      </w:r>
      <w:r w:rsidR="003E15C6">
        <w:t>Ult</w:t>
      </w:r>
      <w:r w:rsidR="00942E96">
        <w:t>i</w:t>
      </w:r>
      <w:r w:rsidR="003E15C6">
        <w:t>mately, w</w:t>
      </w:r>
      <w:r w:rsidR="00F8121C" w:rsidRPr="003E15C6">
        <w:t>e recognize that</w:t>
      </w:r>
      <w:r w:rsidR="00F8121C" w:rsidRPr="008333D8">
        <w:t xml:space="preserve"> it</w:t>
      </w:r>
      <w:r w:rsidR="00084875" w:rsidRPr="008333D8">
        <w:t xml:space="preserve"> may well be a rare case in which a</w:t>
      </w:r>
      <w:r w:rsidR="00C60D8F">
        <w:t>n objectively</w:t>
      </w:r>
      <w:r w:rsidR="00084875" w:rsidRPr="008333D8">
        <w:t xml:space="preserve"> prudent p</w:t>
      </w:r>
      <w:r w:rsidR="008D0061" w:rsidRPr="008333D8">
        <w:t>erson</w:t>
      </w:r>
      <w:r w:rsidR="00084875" w:rsidRPr="008333D8">
        <w:t xml:space="preserve"> in the patient’s p</w:t>
      </w:r>
      <w:r w:rsidR="00B70609" w:rsidRPr="008333D8">
        <w:t xml:space="preserve">osition </w:t>
      </w:r>
      <w:r w:rsidR="00084875" w:rsidRPr="008333D8">
        <w:t xml:space="preserve">would decline </w:t>
      </w:r>
      <w:r w:rsidR="00C60D8F">
        <w:t>treatment even when the physician recommends it</w:t>
      </w:r>
      <w:r w:rsidR="00AD4510">
        <w:t xml:space="preserve"> and believes it to be </w:t>
      </w:r>
      <w:r w:rsidR="008160A4" w:rsidRPr="008333D8">
        <w:t>a last</w:t>
      </w:r>
      <w:r w:rsidR="00296B33" w:rsidRPr="008333D8">
        <w:t xml:space="preserve"> </w:t>
      </w:r>
      <w:r w:rsidR="008160A4" w:rsidRPr="008333D8">
        <w:t xml:space="preserve">resort treatment </w:t>
      </w:r>
      <w:r w:rsidR="00AD4510">
        <w:t xml:space="preserve">necessary </w:t>
      </w:r>
      <w:r w:rsidR="008160A4" w:rsidRPr="008333D8">
        <w:t xml:space="preserve">to </w:t>
      </w:r>
      <w:r w:rsidR="00F8121C" w:rsidRPr="008333D8">
        <w:t>save the patient’s life</w:t>
      </w:r>
      <w:r w:rsidR="00CE5890">
        <w:t xml:space="preserve">.  </w:t>
      </w:r>
      <w:r w:rsidR="00CF521C">
        <w:t>Nevertheless, we d</w:t>
      </w:r>
      <w:r w:rsidR="00301AB4">
        <w:t>o not</w:t>
      </w:r>
      <w:r w:rsidR="00CF521C">
        <w:t xml:space="preserve"> decide</w:t>
      </w:r>
      <w:r w:rsidR="00540089">
        <w:t xml:space="preserve"> </w:t>
      </w:r>
      <w:r w:rsidR="00CF521C">
        <w:t>whether this</w:t>
      </w:r>
      <w:r w:rsidR="00540089">
        <w:t xml:space="preserve"> </w:t>
      </w:r>
      <w:r w:rsidR="00CF521C">
        <w:t xml:space="preserve">matter </w:t>
      </w:r>
      <w:r w:rsidR="00540089">
        <w:t xml:space="preserve">presents such a rare case, as this is an issue for </w:t>
      </w:r>
      <w:r w:rsidR="00CF521C">
        <w:t xml:space="preserve">the federal </w:t>
      </w:r>
      <w:r w:rsidR="00350A0B">
        <w:t xml:space="preserve">courts </w:t>
      </w:r>
      <w:r w:rsidR="00CF521C">
        <w:t>to resolve.</w:t>
      </w:r>
      <w:r w:rsidR="003E15C6">
        <w:t xml:space="preserve"> </w:t>
      </w:r>
    </w:p>
    <w:p w14:paraId="69AA1024" w14:textId="77777777" w:rsidR="00CC1ECE" w:rsidRPr="008333D8" w:rsidRDefault="00AB1EE5" w:rsidP="00087D20">
      <w:pPr>
        <w:tabs>
          <w:tab w:val="left" w:pos="1440"/>
        </w:tabs>
        <w:ind w:firstLine="720"/>
        <w:contextualSpacing/>
      </w:pPr>
      <w:r w:rsidRPr="008333D8">
        <w:t>Himes</w:t>
      </w:r>
      <w:r w:rsidR="00F93E52">
        <w:t xml:space="preserve"> </w:t>
      </w:r>
      <w:r w:rsidR="00324A15" w:rsidRPr="008333D8">
        <w:t>asserts that causation in this context should not be determined by how a</w:t>
      </w:r>
      <w:r w:rsidR="008129DD">
        <w:t>n objectively</w:t>
      </w:r>
      <w:r w:rsidR="00324A15" w:rsidRPr="008333D8">
        <w:t xml:space="preserve"> prudent p</w:t>
      </w:r>
      <w:r w:rsidR="008D0061" w:rsidRPr="008333D8">
        <w:t xml:space="preserve">erson </w:t>
      </w:r>
      <w:r w:rsidR="00324A15" w:rsidRPr="008333D8">
        <w:t>in the p</w:t>
      </w:r>
      <w:r w:rsidR="008D0061" w:rsidRPr="008333D8">
        <w:t>atient</w:t>
      </w:r>
      <w:r w:rsidR="00324A15" w:rsidRPr="008333D8">
        <w:t xml:space="preserve">’s position would have reacted to a </w:t>
      </w:r>
      <w:r w:rsidR="00C95E9A" w:rsidRPr="008333D8">
        <w:t xml:space="preserve">stronger </w:t>
      </w:r>
      <w:r w:rsidR="00324A15" w:rsidRPr="008333D8">
        <w:t xml:space="preserve">warning </w:t>
      </w:r>
      <w:r w:rsidR="00074577" w:rsidRPr="008333D8">
        <w:t xml:space="preserve">communicated by </w:t>
      </w:r>
      <w:r w:rsidR="00C95E9A" w:rsidRPr="008333D8">
        <w:t>patient’s</w:t>
      </w:r>
      <w:r w:rsidR="00074577" w:rsidRPr="008333D8">
        <w:t xml:space="preserve"> physician,</w:t>
      </w:r>
      <w:r w:rsidR="000A5671" w:rsidRPr="008333D8">
        <w:t xml:space="preserve"> and that </w:t>
      </w:r>
      <w:r w:rsidR="00074577" w:rsidRPr="008333D8">
        <w:t xml:space="preserve">we should instead find that </w:t>
      </w:r>
      <w:r w:rsidR="000A5671" w:rsidRPr="008333D8">
        <w:t xml:space="preserve">causation </w:t>
      </w:r>
      <w:r w:rsidR="0088630F">
        <w:t>is</w:t>
      </w:r>
      <w:r w:rsidR="000A5671" w:rsidRPr="008333D8">
        <w:t xml:space="preserve"> established by the patient’s </w:t>
      </w:r>
      <w:r w:rsidR="000A5671" w:rsidRPr="008333D8">
        <w:lastRenderedPageBreak/>
        <w:t>subjective testimony that he or she would have declined the treatment in response to the warning</w:t>
      </w:r>
      <w:r w:rsidR="00324A15" w:rsidRPr="008333D8">
        <w:t>.</w:t>
      </w:r>
      <w:r w:rsidR="000A5671" w:rsidRPr="008333D8">
        <w:t xml:space="preserve"> </w:t>
      </w:r>
      <w:r w:rsidR="00324A15" w:rsidRPr="008333D8">
        <w:t xml:space="preserve"> </w:t>
      </w:r>
      <w:r w:rsidR="00833CD2" w:rsidRPr="008333D8">
        <w:t>T</w:t>
      </w:r>
      <w:r w:rsidR="00324A15" w:rsidRPr="008333D8">
        <w:t xml:space="preserve">he Ninth Circuit </w:t>
      </w:r>
      <w:r w:rsidR="00192B33" w:rsidRPr="008333D8">
        <w:t>correctly</w:t>
      </w:r>
      <w:r w:rsidR="00324A15" w:rsidRPr="008333D8">
        <w:t xml:space="preserve"> </w:t>
      </w:r>
      <w:r w:rsidR="00911265" w:rsidRPr="008333D8">
        <w:t>rejected this</w:t>
      </w:r>
      <w:r w:rsidR="005827BD" w:rsidRPr="008333D8">
        <w:t xml:space="preserve"> argument</w:t>
      </w:r>
      <w:r w:rsidR="00307A3C" w:rsidRPr="008333D8">
        <w:t xml:space="preserve">.  </w:t>
      </w:r>
      <w:r w:rsidR="00833CD2" w:rsidRPr="008333D8">
        <w:t>(</w:t>
      </w:r>
      <w:r w:rsidR="00833CD2" w:rsidRPr="008333D8">
        <w:rPr>
          <w:i/>
          <w:iCs/>
        </w:rPr>
        <w:t>Himes v. Somatics, LLC</w:t>
      </w:r>
      <w:r w:rsidR="00833CD2" w:rsidRPr="008333D8">
        <w:t>,</w:t>
      </w:r>
      <w:r w:rsidR="00833CD2" w:rsidRPr="008333D8">
        <w:rPr>
          <w:i/>
          <w:iCs/>
        </w:rPr>
        <w:t xml:space="preserve"> supra</w:t>
      </w:r>
      <w:r w:rsidR="00833CD2" w:rsidRPr="008333D8">
        <w:t xml:space="preserve">, </w:t>
      </w:r>
      <w:r w:rsidR="00307A3C" w:rsidRPr="008333D8">
        <w:t>2022</w:t>
      </w:r>
      <w:r w:rsidR="00074577" w:rsidRPr="008333D8">
        <w:t> </w:t>
      </w:r>
      <w:r w:rsidR="00307A3C" w:rsidRPr="008333D8">
        <w:t>WL 989469, at</w:t>
      </w:r>
      <w:r w:rsidR="00074577" w:rsidRPr="008333D8">
        <w:t> </w:t>
      </w:r>
      <w:r w:rsidR="00353F0D">
        <w:t xml:space="preserve">p. </w:t>
      </w:r>
      <w:r w:rsidR="00307A3C" w:rsidRPr="008333D8">
        <w:t>*3, fn.</w:t>
      </w:r>
      <w:r w:rsidR="00074577" w:rsidRPr="008333D8">
        <w:t> </w:t>
      </w:r>
      <w:r w:rsidR="00307A3C" w:rsidRPr="008333D8">
        <w:t>3.</w:t>
      </w:r>
      <w:r w:rsidR="00833CD2" w:rsidRPr="008333D8">
        <w:t>)</w:t>
      </w:r>
      <w:r w:rsidR="00307A3C" w:rsidRPr="008333D8">
        <w:t xml:space="preserve">  </w:t>
      </w:r>
      <w:r w:rsidR="00192B33" w:rsidRPr="008333D8">
        <w:t xml:space="preserve">As the Ninth Circuit observed, we held in </w:t>
      </w:r>
      <w:r w:rsidR="00192B33" w:rsidRPr="008333D8">
        <w:rPr>
          <w:i/>
          <w:iCs/>
        </w:rPr>
        <w:t>Co</w:t>
      </w:r>
      <w:bookmarkStart w:id="46" w:name="_Hlk163576834"/>
      <w:r w:rsidR="00192B33" w:rsidRPr="008333D8">
        <w:rPr>
          <w:i/>
          <w:iCs/>
        </w:rPr>
        <w:t>bbs</w:t>
      </w:r>
      <w:r w:rsidR="00192B33" w:rsidRPr="008333D8">
        <w:t xml:space="preserve"> </w:t>
      </w:r>
      <w:r w:rsidR="00307A3C" w:rsidRPr="008333D8">
        <w:t>that “an objec</w:t>
      </w:r>
      <w:bookmarkEnd w:id="46"/>
      <w:r w:rsidR="00307A3C" w:rsidRPr="008333D8">
        <w:t>tive test”</w:t>
      </w:r>
      <w:r w:rsidR="00074577" w:rsidRPr="008333D8">
        <w:t> </w:t>
      </w:r>
      <w:r w:rsidR="00307A3C" w:rsidRPr="008333D8">
        <w:t>—</w:t>
      </w:r>
      <w:r w:rsidR="0085082A" w:rsidRPr="008333D8">
        <w:t xml:space="preserve"> </w:t>
      </w:r>
      <w:r w:rsidR="00307A3C" w:rsidRPr="008333D8">
        <w:t xml:space="preserve">measured by </w:t>
      </w:r>
      <w:r w:rsidR="00074577" w:rsidRPr="008333D8">
        <w:t>“</w:t>
      </w:r>
      <w:r w:rsidR="00307A3C" w:rsidRPr="008333D8">
        <w:t xml:space="preserve">what </w:t>
      </w:r>
      <w:r w:rsidR="00074577" w:rsidRPr="008333D8">
        <w:t xml:space="preserve">would </w:t>
      </w:r>
      <w:r w:rsidR="00307A3C" w:rsidRPr="008333D8">
        <w:t>a prudent person in the patient’s position have decided if adequately informed of all significant perils” —</w:t>
      </w:r>
      <w:r w:rsidR="0085082A" w:rsidRPr="008333D8">
        <w:t xml:space="preserve"> </w:t>
      </w:r>
      <w:r w:rsidR="00307A3C" w:rsidRPr="008333D8">
        <w:t>“is preferable” in the context of medical treatment decisions because by “the time of trial the uncommunicated hazard has materialized</w:t>
      </w:r>
      <w:r w:rsidR="00CF069B" w:rsidRPr="008333D8">
        <w:t>.</w:t>
      </w:r>
      <w:r w:rsidR="00074577" w:rsidRPr="008333D8">
        <w:t>”</w:t>
      </w:r>
      <w:r w:rsidR="00CF069B" w:rsidRPr="008333D8">
        <w:t xml:space="preserve">  (</w:t>
      </w:r>
      <w:r w:rsidR="00CF069B" w:rsidRPr="008333D8">
        <w:rPr>
          <w:i/>
          <w:iCs/>
        </w:rPr>
        <w:t>Cobbs</w:t>
      </w:r>
      <w:r w:rsidR="00CF069B" w:rsidRPr="008333D8">
        <w:t xml:space="preserve">, </w:t>
      </w:r>
      <w:r w:rsidR="00CF069B" w:rsidRPr="008333D8">
        <w:rPr>
          <w:i/>
          <w:iCs/>
        </w:rPr>
        <w:t>supra</w:t>
      </w:r>
      <w:r w:rsidR="00CF069B" w:rsidRPr="008333D8">
        <w:t>, 8 Cal.3d at p. 245.)</w:t>
      </w:r>
      <w:r w:rsidR="001B3F1F" w:rsidRPr="008333D8">
        <w:t xml:space="preserve">  I</w:t>
      </w:r>
      <w:r w:rsidR="00CF069B" w:rsidRPr="008333D8">
        <w:t xml:space="preserve">f a subjective test were used, </w:t>
      </w:r>
      <w:r w:rsidR="00D42807">
        <w:t>a</w:t>
      </w:r>
      <w:r w:rsidRPr="008333D8">
        <w:t xml:space="preserve"> </w:t>
      </w:r>
      <w:r w:rsidR="00CF069B" w:rsidRPr="008333D8">
        <w:t xml:space="preserve">plaintiff </w:t>
      </w:r>
      <w:r w:rsidR="00D42807">
        <w:t>c</w:t>
      </w:r>
      <w:r w:rsidR="00CF069B" w:rsidRPr="008333D8">
        <w:t xml:space="preserve">ould </w:t>
      </w:r>
      <w:r w:rsidR="00D42807">
        <w:t>simply</w:t>
      </w:r>
      <w:r w:rsidR="00CF069B" w:rsidRPr="008333D8">
        <w:t xml:space="preserve"> offer self-serving testimony</w:t>
      </w:r>
      <w:r w:rsidRPr="008333D8">
        <w:t xml:space="preserve"> asserting that he or she </w:t>
      </w:r>
      <w:r w:rsidR="00CF069B" w:rsidRPr="008333D8">
        <w:t>would have declined the recommended treatment</w:t>
      </w:r>
      <w:r w:rsidRPr="008333D8">
        <w:t xml:space="preserve"> after being informed of the risks.</w:t>
      </w:r>
      <w:r w:rsidR="00CF069B" w:rsidRPr="008333D8">
        <w:t xml:space="preserve">  (</w:t>
      </w:r>
      <w:r w:rsidR="00CF069B" w:rsidRPr="008333D8">
        <w:rPr>
          <w:i/>
          <w:iCs/>
        </w:rPr>
        <w:t>Ibid.</w:t>
      </w:r>
      <w:r w:rsidR="00CF069B" w:rsidRPr="008333D8">
        <w:t>)</w:t>
      </w:r>
      <w:r w:rsidRPr="008333D8">
        <w:t xml:space="preserve">  Subjectively, the plaintiff may believe this to be true “with the 20/20 vision of hindsight, but we doubt that</w:t>
      </w:r>
      <w:r w:rsidRPr="008333D8">
        <w:t xml:space="preserve"> justice will be served by placing the [defendant] in jeopardy of the patient’s bitterness and disillusionment.”  (</w:t>
      </w:r>
      <w:r w:rsidRPr="008333D8">
        <w:rPr>
          <w:i/>
          <w:iCs/>
        </w:rPr>
        <w:t>Ibid.</w:t>
      </w:r>
      <w:r w:rsidRPr="008333D8">
        <w:t>)</w:t>
      </w:r>
    </w:p>
    <w:p w14:paraId="69AA1025" w14:textId="77777777" w:rsidR="002C2DAD" w:rsidRDefault="00AB1EE5" w:rsidP="00087D20">
      <w:pPr>
        <w:tabs>
          <w:tab w:val="left" w:pos="1440"/>
        </w:tabs>
        <w:ind w:firstLine="720"/>
        <w:contextualSpacing/>
      </w:pPr>
      <w:r w:rsidRPr="008333D8">
        <w:t>Himes urges us to limit th</w:t>
      </w:r>
      <w:r w:rsidR="00CC1ECE" w:rsidRPr="008333D8">
        <w:t>e objective</w:t>
      </w:r>
      <w:r w:rsidR="00074577" w:rsidRPr="008333D8">
        <w:rPr>
          <w:i/>
          <w:iCs/>
        </w:rPr>
        <w:t xml:space="preserve"> </w:t>
      </w:r>
      <w:r w:rsidRPr="008333D8">
        <w:t>standard to medical malpractice claims</w:t>
      </w:r>
      <w:r w:rsidR="00DA579D" w:rsidRPr="008333D8">
        <w:t xml:space="preserve"> against patients’ physicians, and to not extend it to failure-to-warn claims against prescription drug or medical device manufacturers</w:t>
      </w:r>
      <w:r w:rsidR="00531089" w:rsidRPr="008333D8">
        <w:t xml:space="preserve">. </w:t>
      </w:r>
      <w:r w:rsidR="003E36FB">
        <w:t xml:space="preserve"> </w:t>
      </w:r>
      <w:r w:rsidR="00AC3E54">
        <w:t xml:space="preserve">We decline to </w:t>
      </w:r>
      <w:r w:rsidR="000E2A1F">
        <w:t>limit the objective standard in the way Himes suggests</w:t>
      </w:r>
      <w:r w:rsidR="00AC3E54">
        <w:t xml:space="preserve">.  Our observation in </w:t>
      </w:r>
      <w:r w:rsidR="00AC3E54">
        <w:rPr>
          <w:i/>
          <w:iCs/>
        </w:rPr>
        <w:t xml:space="preserve">Cobbs </w:t>
      </w:r>
      <w:r w:rsidR="00AC3E54">
        <w:t>that a subjective standard is prone to hindsight bias applies</w:t>
      </w:r>
      <w:r w:rsidR="00FB352D">
        <w:t xml:space="preserve"> in failure-to-warn claims against manufacturers of prescription drugs or medical devices, </w:t>
      </w:r>
      <w:r w:rsidR="00AC3E54">
        <w:t>just as it does in informed consent c</w:t>
      </w:r>
      <w:r w:rsidR="00FB352D">
        <w:t>ases against physicians</w:t>
      </w:r>
      <w:r w:rsidR="00AC3E54">
        <w:t xml:space="preserve">. </w:t>
      </w:r>
      <w:r w:rsidR="00AC3E54">
        <w:rPr>
          <w:i/>
          <w:iCs/>
        </w:rPr>
        <w:t xml:space="preserve"> </w:t>
      </w:r>
      <w:r w:rsidR="00AC3E54">
        <w:t xml:space="preserve">(See </w:t>
      </w:r>
      <w:r w:rsidR="00AC3E54" w:rsidRPr="0035496B">
        <w:rPr>
          <w:i/>
          <w:iCs/>
        </w:rPr>
        <w:t>Cobbs</w:t>
      </w:r>
      <w:r w:rsidR="00AC3E54">
        <w:t xml:space="preserve">, </w:t>
      </w:r>
      <w:r w:rsidR="00AC3E54" w:rsidRPr="006D4FAE">
        <w:rPr>
          <w:i/>
          <w:iCs/>
        </w:rPr>
        <w:t>supra</w:t>
      </w:r>
      <w:r w:rsidR="00AC3E54">
        <w:t xml:space="preserve">, </w:t>
      </w:r>
      <w:r w:rsidR="00AC3E54" w:rsidRPr="006D4FAE">
        <w:t>8</w:t>
      </w:r>
      <w:r w:rsidR="00781B4F">
        <w:t> </w:t>
      </w:r>
      <w:r w:rsidR="00AC3E54">
        <w:t>Cal.3d at p. 245.)  T</w:t>
      </w:r>
      <w:r w:rsidR="005D5623">
        <w:t xml:space="preserve">he court in </w:t>
      </w:r>
      <w:r w:rsidR="006D4FAE" w:rsidRPr="00FB352D">
        <w:rPr>
          <w:i/>
          <w:iCs/>
        </w:rPr>
        <w:t>Canterbury v. Spence</w:t>
      </w:r>
      <w:r w:rsidR="006D4FAE">
        <w:t xml:space="preserve"> (D.C. Cir. 1972) 464</w:t>
      </w:r>
      <w:r w:rsidR="001163AA">
        <w:t> </w:t>
      </w:r>
      <w:r w:rsidR="006D4FAE">
        <w:t>F.2d 772</w:t>
      </w:r>
      <w:r w:rsidR="005D5623">
        <w:t xml:space="preserve">, which we relied on in </w:t>
      </w:r>
      <w:r w:rsidR="005D5623">
        <w:rPr>
          <w:i/>
          <w:iCs/>
        </w:rPr>
        <w:t xml:space="preserve">Cobbs </w:t>
      </w:r>
      <w:r w:rsidR="005D5623">
        <w:t xml:space="preserve">in adopting the objective standard, </w:t>
      </w:r>
      <w:r w:rsidR="00AC3E54">
        <w:t>explained</w:t>
      </w:r>
      <w:r w:rsidR="006D4FAE">
        <w:t xml:space="preserve"> that a subjective standard “</w:t>
      </w:r>
      <w:r w:rsidR="006D4FAE" w:rsidRPr="006D4FAE">
        <w:t>places the factfinder in the position of deciding whether a speculative answer to a hypothetical question is to be credited</w:t>
      </w:r>
      <w:r w:rsidR="00A928E7">
        <w:t>” and “</w:t>
      </w:r>
      <w:r w:rsidR="006D4FAE" w:rsidRPr="006D4FAE">
        <w:t xml:space="preserve">calls for a subjective </w:t>
      </w:r>
      <w:r w:rsidR="006D4FAE" w:rsidRPr="006D4FAE">
        <w:lastRenderedPageBreak/>
        <w:t>determination solely on testimony of a patient-witness shadowed by the occurrence of the undisclosed risk.”  (</w:t>
      </w:r>
      <w:r w:rsidR="006D4FAE" w:rsidRPr="00FB352D">
        <w:rPr>
          <w:i/>
          <w:iCs/>
        </w:rPr>
        <w:t>Id.</w:t>
      </w:r>
      <w:r w:rsidR="006D4FAE" w:rsidRPr="006D4FAE">
        <w:t xml:space="preserve"> at p.</w:t>
      </w:r>
      <w:r w:rsidR="0076268D">
        <w:t> </w:t>
      </w:r>
      <w:r w:rsidR="006D4FAE" w:rsidRPr="006D4FAE">
        <w:t>791.)  An objective standard</w:t>
      </w:r>
      <w:r w:rsidR="00CA21AF">
        <w:t xml:space="preserve"> is preferable because, though the plaintiff’s testimony </w:t>
      </w:r>
      <w:r w:rsidR="00AC3E54">
        <w:t xml:space="preserve">would </w:t>
      </w:r>
      <w:r w:rsidR="00CA21AF">
        <w:t>remain relevant</w:t>
      </w:r>
      <w:r w:rsidR="006D4FAE" w:rsidRPr="006D4FAE">
        <w:t xml:space="preserve">, </w:t>
      </w:r>
      <w:r>
        <w:t>“it would not threaten to d</w:t>
      </w:r>
      <w:r>
        <w:t>ominate the findings” and would “be appraised congruently with the factfinder’s belief in its reasonableness.”  (</w:t>
      </w:r>
      <w:r w:rsidRPr="002C2DAD">
        <w:rPr>
          <w:i/>
          <w:iCs/>
        </w:rPr>
        <w:t>I</w:t>
      </w:r>
      <w:r w:rsidR="00AB3BFA">
        <w:rPr>
          <w:i/>
          <w:iCs/>
        </w:rPr>
        <w:t>bi</w:t>
      </w:r>
      <w:r w:rsidRPr="002C2DAD">
        <w:rPr>
          <w:i/>
          <w:iCs/>
        </w:rPr>
        <w:t>d</w:t>
      </w:r>
      <w:r w:rsidRPr="00CC5E18">
        <w:rPr>
          <w:i/>
        </w:rPr>
        <w:t>.</w:t>
      </w:r>
      <w:r>
        <w:t xml:space="preserve">)  </w:t>
      </w:r>
      <w:r w:rsidRPr="002C2DAD">
        <w:t>The</w:t>
      </w:r>
      <w:r>
        <w:t xml:space="preserve"> objective standard thereby “ease[s] the fact-finding process and better assure[s] the truth as its product.”  (</w:t>
      </w:r>
      <w:r>
        <w:rPr>
          <w:i/>
          <w:iCs/>
        </w:rPr>
        <w:t>Ibid</w:t>
      </w:r>
      <w:r>
        <w:t>.)  An objective</w:t>
      </w:r>
      <w:r>
        <w:t xml:space="preserve"> standard is particularly useful in </w:t>
      </w:r>
      <w:r w:rsidR="00B1125F">
        <w:t>cases in which the plaintiff is unable to testify, perhaps because the patient has passed away or is incompetent.</w:t>
      </w:r>
    </w:p>
    <w:p w14:paraId="69AA1026" w14:textId="77777777" w:rsidR="00087D20" w:rsidRPr="008333D8" w:rsidRDefault="00AB1EE5" w:rsidP="00E10AF7">
      <w:pPr>
        <w:tabs>
          <w:tab w:val="left" w:pos="1440"/>
        </w:tabs>
        <w:ind w:firstLine="720"/>
        <w:contextualSpacing/>
      </w:pPr>
      <w:r>
        <w:t>Moreover, e</w:t>
      </w:r>
      <w:r w:rsidR="005737DF">
        <w:t>ven assuming</w:t>
      </w:r>
      <w:r w:rsidR="002C2DAD">
        <w:t xml:space="preserve">, as Himes asserts, that a </w:t>
      </w:r>
      <w:r w:rsidR="005737DF">
        <w:t>subject</w:t>
      </w:r>
      <w:r w:rsidR="002C2DAD">
        <w:t>ive</w:t>
      </w:r>
      <w:r w:rsidR="005737DF">
        <w:t xml:space="preserve"> standard of causation applies in </w:t>
      </w:r>
      <w:r w:rsidR="00540089">
        <w:t xml:space="preserve">other </w:t>
      </w:r>
      <w:r w:rsidR="005737DF">
        <w:t>failure-to-warn cases involving consumer products,</w:t>
      </w:r>
      <w:r>
        <w:rPr>
          <w:rStyle w:val="FootnoteReference"/>
        </w:rPr>
        <w:footnoteReference w:id="5"/>
      </w:r>
      <w:r w:rsidR="005737DF">
        <w:t xml:space="preserve"> the</w:t>
      </w:r>
      <w:r w:rsidR="00531089" w:rsidRPr="008333D8">
        <w:t xml:space="preserve"> learned intermediary doctrine recognizes that decisions regarding whether to take a prescription drug or medical device </w:t>
      </w:r>
      <w:r w:rsidR="00540089">
        <w:t xml:space="preserve">are different from </w:t>
      </w:r>
      <w:r w:rsidR="00174B34" w:rsidRPr="008333D8">
        <w:t>decisions regarding whether to buy or use a consumer product</w:t>
      </w:r>
      <w:r w:rsidR="00055917" w:rsidRPr="008333D8">
        <w:t xml:space="preserve">.  </w:t>
      </w:r>
      <w:r>
        <w:t>C</w:t>
      </w:r>
      <w:r w:rsidR="00D35FB7" w:rsidRPr="008333D8">
        <w:t xml:space="preserve">onsumers </w:t>
      </w:r>
      <w:r>
        <w:t xml:space="preserve">may </w:t>
      </w:r>
      <w:r w:rsidR="00D35FB7" w:rsidRPr="008333D8">
        <w:t xml:space="preserve">reasonably expect </w:t>
      </w:r>
      <w:r w:rsidR="00074577" w:rsidRPr="008333D8">
        <w:t xml:space="preserve">consumer </w:t>
      </w:r>
      <w:r w:rsidR="00D35FB7" w:rsidRPr="008333D8">
        <w:t>products to be safe when used as intended,</w:t>
      </w:r>
      <w:r>
        <w:t xml:space="preserve"> but</w:t>
      </w:r>
      <w:r w:rsidR="00D35FB7" w:rsidRPr="008333D8">
        <w:t xml:space="preserve"> “a patient’s expectations regarding the effects of [a prescription] drug [or medical device] are those related to him </w:t>
      </w:r>
      <w:r w:rsidR="001B3F1F" w:rsidRPr="008333D8">
        <w:t xml:space="preserve">[or her] </w:t>
      </w:r>
      <w:r w:rsidR="00D35FB7" w:rsidRPr="008333D8">
        <w:t xml:space="preserve">by his </w:t>
      </w:r>
      <w:r w:rsidR="001B3F1F" w:rsidRPr="008333D8">
        <w:t xml:space="preserve">[or her] </w:t>
      </w:r>
      <w:r w:rsidR="00D35FB7" w:rsidRPr="008333D8">
        <w:t>physician.”  (</w:t>
      </w:r>
      <w:r w:rsidR="00D35FB7" w:rsidRPr="008333D8">
        <w:rPr>
          <w:i/>
          <w:iCs/>
        </w:rPr>
        <w:t>Brown</w:t>
      </w:r>
      <w:r w:rsidR="00D35FB7" w:rsidRPr="008333D8">
        <w:t xml:space="preserve">, </w:t>
      </w:r>
      <w:r w:rsidR="00D35FB7" w:rsidRPr="008333D8">
        <w:rPr>
          <w:i/>
          <w:iCs/>
        </w:rPr>
        <w:t>supra</w:t>
      </w:r>
      <w:r w:rsidR="00D35FB7" w:rsidRPr="008333D8">
        <w:t xml:space="preserve">, 44 Cal.3d at p. 1061.)  </w:t>
      </w:r>
      <w:r>
        <w:t>In addition, w</w:t>
      </w:r>
      <w:r w:rsidR="006D4FAE">
        <w:t>hereas</w:t>
      </w:r>
      <w:r w:rsidR="004D6D12" w:rsidRPr="008333D8">
        <w:t xml:space="preserve"> consumer products are generally used for personal convenience or pleasure, prescription drugs and medical devices are often necessary to ensure the health of the patient.  Physicians accordingly do not discuss the risks of treatment in isolation, but rather discuss them alongside the</w:t>
      </w:r>
      <w:r w:rsidR="00D35FB7" w:rsidRPr="008333D8">
        <w:t xml:space="preserve"> benefits of treatment </w:t>
      </w:r>
      <w:r w:rsidR="004D6D12" w:rsidRPr="008333D8">
        <w:t xml:space="preserve">as well as the risks of </w:t>
      </w:r>
      <w:r w:rsidR="004D6D12" w:rsidRPr="008333D8">
        <w:lastRenderedPageBreak/>
        <w:t>foregoing treatment altogether.  A</w:t>
      </w:r>
      <w:r w:rsidR="00261BB5" w:rsidRPr="008333D8">
        <w:t> </w:t>
      </w:r>
      <w:r w:rsidR="00D64676" w:rsidRPr="008333D8">
        <w:t>subjective standard that relies on the plaintiff’s postinjury</w:t>
      </w:r>
      <w:r w:rsidR="00055917" w:rsidRPr="008333D8">
        <w:t xml:space="preserve"> </w:t>
      </w:r>
      <w:r w:rsidR="00D64676" w:rsidRPr="008333D8">
        <w:t>assessment</w:t>
      </w:r>
      <w:r w:rsidR="00055917" w:rsidRPr="008333D8">
        <w:t xml:space="preserve"> regarding how he or she would have reacted to the warning</w:t>
      </w:r>
      <w:r w:rsidR="004D6D12" w:rsidRPr="008333D8">
        <w:t xml:space="preserve"> in isolation</w:t>
      </w:r>
      <w:r w:rsidR="00D64676" w:rsidRPr="008333D8">
        <w:t xml:space="preserve"> would not only be prone</w:t>
      </w:r>
      <w:r w:rsidR="00055917" w:rsidRPr="008333D8">
        <w:t xml:space="preserve"> to hindsight bias</w:t>
      </w:r>
      <w:r w:rsidR="00D64676" w:rsidRPr="008333D8">
        <w:t>, it would also fail to take into account the context in which the risks of prescription drugs and medical devices are discussed with patient</w:t>
      </w:r>
      <w:r w:rsidR="001B3F1F" w:rsidRPr="008333D8">
        <w:t>s</w:t>
      </w:r>
      <w:r w:rsidR="00D64676" w:rsidRPr="008333D8">
        <w:t xml:space="preserve"> a</w:t>
      </w:r>
      <w:r w:rsidR="00E65798" w:rsidRPr="008333D8">
        <w:t>s</w:t>
      </w:r>
      <w:r w:rsidR="00D64676" w:rsidRPr="008333D8">
        <w:t xml:space="preserve"> well as patients</w:t>
      </w:r>
      <w:r w:rsidR="001B3F1F" w:rsidRPr="008333D8">
        <w:t>’</w:t>
      </w:r>
      <w:r w:rsidR="00D64676" w:rsidRPr="008333D8">
        <w:t xml:space="preserve"> general reliance on the </w:t>
      </w:r>
      <w:r w:rsidR="00E46DD4" w:rsidRPr="008333D8">
        <w:t xml:space="preserve">treatment </w:t>
      </w:r>
      <w:r w:rsidR="00D64676" w:rsidRPr="008333D8">
        <w:t xml:space="preserve">recommendations of </w:t>
      </w:r>
      <w:r w:rsidR="001B3F1F" w:rsidRPr="008333D8">
        <w:t>their</w:t>
      </w:r>
      <w:r w:rsidR="00D64676" w:rsidRPr="008333D8">
        <w:t xml:space="preserve"> physician</w:t>
      </w:r>
      <w:r w:rsidR="001B3F1F" w:rsidRPr="008333D8">
        <w:t>s</w:t>
      </w:r>
      <w:r w:rsidR="00D64676" w:rsidRPr="008333D8">
        <w:t xml:space="preserve">.  </w:t>
      </w:r>
      <w:r w:rsidR="001B3F1F" w:rsidRPr="008333D8">
        <w:t>The objective standard incorporates the physician’s role in the treatment decision by asking not</w:t>
      </w:r>
      <w:r w:rsidR="00E46DD4" w:rsidRPr="008333D8">
        <w:t xml:space="preserve"> whether the plaintiff </w:t>
      </w:r>
      <w:r w:rsidR="001B3F1F" w:rsidRPr="008333D8">
        <w:t xml:space="preserve">subjectively believes, in hindsight, that he or she </w:t>
      </w:r>
      <w:r w:rsidR="00E46DD4" w:rsidRPr="008333D8">
        <w:t>would have declined to use the drug or medical device in light of a stronger warning, but rather whether a</w:t>
      </w:r>
      <w:r w:rsidR="008129DD">
        <w:t>n objectively</w:t>
      </w:r>
      <w:r w:rsidR="00E46DD4" w:rsidRPr="008333D8">
        <w:t xml:space="preserve"> prudent p</w:t>
      </w:r>
      <w:r w:rsidR="008D0061" w:rsidRPr="008333D8">
        <w:t>erson</w:t>
      </w:r>
      <w:r w:rsidR="00E46DD4" w:rsidRPr="008333D8">
        <w:t xml:space="preserve"> in the p</w:t>
      </w:r>
      <w:r w:rsidR="008D0061" w:rsidRPr="008333D8">
        <w:t>atient’</w:t>
      </w:r>
      <w:r w:rsidR="00E46DD4" w:rsidRPr="008333D8">
        <w:t xml:space="preserve">s position would have refused the treatment </w:t>
      </w:r>
      <w:r w:rsidR="001B3F1F" w:rsidRPr="008333D8">
        <w:t xml:space="preserve">even though </w:t>
      </w:r>
      <w:r w:rsidR="00E46DD4" w:rsidRPr="008333D8">
        <w:t xml:space="preserve">his or her physician </w:t>
      </w:r>
      <w:r w:rsidR="001B3F1F" w:rsidRPr="008333D8">
        <w:t xml:space="preserve">would </w:t>
      </w:r>
      <w:r w:rsidR="00E65798" w:rsidRPr="008333D8">
        <w:t xml:space="preserve">have </w:t>
      </w:r>
      <w:r w:rsidR="001B3F1F" w:rsidRPr="008333D8">
        <w:t xml:space="preserve">still </w:t>
      </w:r>
      <w:r w:rsidR="00E46DD4" w:rsidRPr="008333D8">
        <w:t>recommend</w:t>
      </w:r>
      <w:r w:rsidR="00E65798" w:rsidRPr="008333D8">
        <w:t>ed</w:t>
      </w:r>
      <w:r w:rsidR="001B3F1F" w:rsidRPr="008333D8">
        <w:t xml:space="preserve"> the treatment</w:t>
      </w:r>
      <w:r w:rsidR="00E46DD4" w:rsidRPr="008333D8">
        <w:t xml:space="preserve">.  </w:t>
      </w:r>
      <w:r w:rsidR="00C86D64">
        <w:t>We</w:t>
      </w:r>
      <w:r w:rsidR="004D6D12" w:rsidRPr="008333D8">
        <w:t xml:space="preserve"> therefore</w:t>
      </w:r>
      <w:r w:rsidR="00A928E7">
        <w:t xml:space="preserve"> </w:t>
      </w:r>
      <w:r w:rsidR="00D64676" w:rsidRPr="008333D8">
        <w:t>conclude that the Ninth Circuit was right to adopt the objective</w:t>
      </w:r>
      <w:r w:rsidR="00FD783D">
        <w:t>ly</w:t>
      </w:r>
      <w:r w:rsidR="00D64676" w:rsidRPr="008333D8">
        <w:t xml:space="preserve"> p</w:t>
      </w:r>
      <w:r w:rsidR="002C2DAD">
        <w:t>rudent person</w:t>
      </w:r>
      <w:r w:rsidR="00FD783D">
        <w:t xml:space="preserve"> in the patient’s position</w:t>
      </w:r>
      <w:r w:rsidR="00D64676" w:rsidRPr="008333D8">
        <w:t xml:space="preserve"> test set forth in </w:t>
      </w:r>
      <w:r w:rsidR="00D64676" w:rsidRPr="008333D8">
        <w:rPr>
          <w:i/>
          <w:iCs/>
        </w:rPr>
        <w:t>Cobbs</w:t>
      </w:r>
      <w:r w:rsidR="00D64676" w:rsidRPr="008333D8">
        <w:t>.</w:t>
      </w:r>
      <w:r w:rsidR="002C2DAD">
        <w:t xml:space="preserve"> </w:t>
      </w:r>
    </w:p>
    <w:p w14:paraId="69AA1027" w14:textId="77777777" w:rsidR="00F82BCC" w:rsidRPr="008333D8" w:rsidRDefault="00AB1EE5" w:rsidP="00E10AF7">
      <w:pPr>
        <w:keepNext/>
        <w:tabs>
          <w:tab w:val="left" w:pos="1440"/>
        </w:tabs>
        <w:spacing w:before="100" w:beforeAutospacing="1"/>
        <w:jc w:val="center"/>
        <w:outlineLvl w:val="0"/>
        <w:rPr>
          <w:b/>
          <w:caps/>
        </w:rPr>
      </w:pPr>
      <w:r w:rsidRPr="008333D8">
        <w:rPr>
          <w:b/>
          <w:caps/>
        </w:rPr>
        <w:t xml:space="preserve">III.  </w:t>
      </w:r>
      <w:r w:rsidR="00324A15" w:rsidRPr="008333D8">
        <w:rPr>
          <w:b/>
          <w:caps/>
        </w:rPr>
        <w:t>Conclusion</w:t>
      </w:r>
    </w:p>
    <w:p w14:paraId="69AA1028" w14:textId="77777777" w:rsidR="00E65798" w:rsidRPr="008333D8" w:rsidRDefault="00AB1EE5" w:rsidP="00087D20">
      <w:pPr>
        <w:widowControl w:val="0"/>
        <w:tabs>
          <w:tab w:val="left" w:pos="1440"/>
        </w:tabs>
        <w:ind w:firstLine="720"/>
        <w:contextualSpacing/>
      </w:pPr>
      <w:r w:rsidRPr="008333D8">
        <w:t xml:space="preserve">In conclusion, we answer the Ninth Circuit’s certified question as follows: </w:t>
      </w:r>
      <w:r w:rsidR="006C7855" w:rsidRPr="008333D8">
        <w:t xml:space="preserve"> A plaintiff is not required to show that a stronger warning would have altered the physician’s decision to prescribe the product to establish causation.  A</w:t>
      </w:r>
      <w:r w:rsidR="00261BB5" w:rsidRPr="008333D8">
        <w:t> </w:t>
      </w:r>
      <w:r w:rsidR="006C7855" w:rsidRPr="008333D8">
        <w:t xml:space="preserve">plaintiff may instead establish causation by showing that the physician </w:t>
      </w:r>
      <w:r w:rsidR="00FB3D47" w:rsidRPr="008333D8">
        <w:t>would have</w:t>
      </w:r>
      <w:r w:rsidR="006C7855" w:rsidRPr="008333D8">
        <w:t xml:space="preserve"> communicated the stronger warning to the p</w:t>
      </w:r>
      <w:r w:rsidR="00487C4C">
        <w:t>atient</w:t>
      </w:r>
      <w:r w:rsidR="006C7855" w:rsidRPr="008333D8">
        <w:t xml:space="preserve"> and a</w:t>
      </w:r>
      <w:r w:rsidR="007F510F" w:rsidRPr="008333D8">
        <w:t>n objectively</w:t>
      </w:r>
      <w:r w:rsidR="006C7855" w:rsidRPr="008333D8">
        <w:t xml:space="preserve"> prudent person in the p</w:t>
      </w:r>
      <w:r w:rsidR="008D0061" w:rsidRPr="008333D8">
        <w:t>atient</w:t>
      </w:r>
      <w:r w:rsidR="006C7855" w:rsidRPr="008333D8">
        <w:t>’s position would have thereafter declined the treatment</w:t>
      </w:r>
      <w:r w:rsidR="00E46DD4" w:rsidRPr="008333D8">
        <w:t xml:space="preserve"> </w:t>
      </w:r>
      <w:r w:rsidR="00FB3D47" w:rsidRPr="008333D8">
        <w:t>notwithstanding the physician’s continued recommendation of the treatment</w:t>
      </w:r>
      <w:r w:rsidR="006C7855" w:rsidRPr="008333D8">
        <w:t>.</w:t>
      </w:r>
    </w:p>
    <w:p w14:paraId="69AA1029" w14:textId="77777777" w:rsidR="00904372" w:rsidRPr="008333D8" w:rsidRDefault="00904372" w:rsidP="008333D8">
      <w:pPr>
        <w:widowControl w:val="0"/>
        <w:tabs>
          <w:tab w:val="left" w:pos="1440"/>
        </w:tabs>
        <w:ind w:firstLine="720"/>
        <w:contextualSpacing/>
      </w:pPr>
    </w:p>
    <w:p w14:paraId="69AA102A" w14:textId="77777777" w:rsidR="007A600F" w:rsidRDefault="00AB1EE5" w:rsidP="008333D8">
      <w:pPr>
        <w:widowControl w:val="0"/>
        <w:tabs>
          <w:tab w:val="left" w:pos="1440"/>
        </w:tabs>
        <w:contextualSpacing/>
        <w:rPr>
          <w:b/>
          <w:szCs w:val="26"/>
        </w:rPr>
      </w:pPr>
      <w:r w:rsidRPr="008333D8">
        <w:rPr>
          <w:b/>
          <w:szCs w:val="26"/>
        </w:rPr>
        <w:tab/>
      </w:r>
      <w:r w:rsidRPr="008333D8">
        <w:rPr>
          <w:b/>
          <w:szCs w:val="26"/>
        </w:rPr>
        <w:tab/>
      </w:r>
      <w:r w:rsidRPr="008333D8">
        <w:rPr>
          <w:b/>
          <w:szCs w:val="26"/>
        </w:rPr>
        <w:tab/>
      </w:r>
      <w:r w:rsidRPr="008333D8">
        <w:rPr>
          <w:b/>
          <w:szCs w:val="26"/>
        </w:rPr>
        <w:tab/>
      </w:r>
      <w:r w:rsidRPr="008333D8">
        <w:rPr>
          <w:b/>
          <w:szCs w:val="26"/>
        </w:rPr>
        <w:tab/>
      </w:r>
      <w:r w:rsidRPr="008333D8">
        <w:rPr>
          <w:b/>
          <w:szCs w:val="26"/>
        </w:rPr>
        <w:tab/>
      </w:r>
      <w:r w:rsidRPr="008333D8">
        <w:rPr>
          <w:b/>
          <w:szCs w:val="26"/>
        </w:rPr>
        <w:tab/>
      </w:r>
    </w:p>
    <w:p w14:paraId="69AA102B" w14:textId="77777777" w:rsidR="007A600F" w:rsidRDefault="007A600F" w:rsidP="008333D8">
      <w:pPr>
        <w:widowControl w:val="0"/>
        <w:tabs>
          <w:tab w:val="left" w:pos="1440"/>
        </w:tabs>
        <w:contextualSpacing/>
        <w:rPr>
          <w:b/>
          <w:szCs w:val="26"/>
        </w:rPr>
      </w:pPr>
    </w:p>
    <w:p w14:paraId="69AA102C" w14:textId="77777777" w:rsidR="00F97839" w:rsidRPr="008333D8" w:rsidRDefault="00AB1EE5" w:rsidP="007A600F">
      <w:pPr>
        <w:widowControl w:val="0"/>
        <w:tabs>
          <w:tab w:val="left" w:pos="1440"/>
        </w:tabs>
        <w:contextualSpacing/>
        <w:jc w:val="right"/>
      </w:pPr>
      <w:r w:rsidRPr="008333D8">
        <w:rPr>
          <w:b/>
          <w:szCs w:val="26"/>
        </w:rPr>
        <w:lastRenderedPageBreak/>
        <w:t>GROBAN, J.</w:t>
      </w:r>
    </w:p>
    <w:p w14:paraId="69AA102F" w14:textId="77777777" w:rsidR="00DD4FCC" w:rsidRPr="00994D80" w:rsidRDefault="00AB1EE5" w:rsidP="00DD4FCC">
      <w:pPr>
        <w:rPr>
          <w:b/>
          <w:bCs/>
        </w:rPr>
      </w:pPr>
      <w:r w:rsidRPr="00994D80">
        <w:rPr>
          <w:b/>
          <w:bCs/>
        </w:rPr>
        <w:t>We Concur:</w:t>
      </w:r>
    </w:p>
    <w:p w14:paraId="69AA1030" w14:textId="77777777" w:rsidR="00DD4FCC" w:rsidRDefault="00AB1EE5" w:rsidP="00DD4FCC">
      <w:pPr>
        <w:spacing w:after="0" w:line="240" w:lineRule="auto"/>
        <w:jc w:val="left"/>
        <w:rPr>
          <w:b/>
        </w:rPr>
      </w:pPr>
      <w:r>
        <w:rPr>
          <w:b/>
        </w:rPr>
        <w:t>GUERRERO, C. J.</w:t>
      </w:r>
    </w:p>
    <w:p w14:paraId="69AA1031" w14:textId="77777777" w:rsidR="00DD4FCC" w:rsidRDefault="00AB1EE5" w:rsidP="00DD4FCC">
      <w:pPr>
        <w:spacing w:after="0" w:line="240" w:lineRule="auto"/>
        <w:rPr>
          <w:b/>
          <w:lang w:val="it-IT"/>
        </w:rPr>
      </w:pPr>
      <w:r>
        <w:rPr>
          <w:b/>
          <w:lang w:val="it-IT"/>
        </w:rPr>
        <w:t>CORRIGAN, J.</w:t>
      </w:r>
    </w:p>
    <w:p w14:paraId="69AA1032" w14:textId="77777777" w:rsidR="00DD4FCC" w:rsidRDefault="00AB1EE5" w:rsidP="00DD4FCC">
      <w:pPr>
        <w:spacing w:after="0" w:line="240" w:lineRule="auto"/>
        <w:jc w:val="left"/>
        <w:rPr>
          <w:b/>
        </w:rPr>
      </w:pPr>
      <w:r>
        <w:rPr>
          <w:b/>
        </w:rPr>
        <w:t>LIU, J.</w:t>
      </w:r>
    </w:p>
    <w:p w14:paraId="69AA1033" w14:textId="77777777" w:rsidR="00DD4FCC" w:rsidRDefault="00AB1EE5" w:rsidP="00DD4FCC">
      <w:pPr>
        <w:spacing w:after="0" w:line="240" w:lineRule="auto"/>
        <w:jc w:val="left"/>
        <w:rPr>
          <w:b/>
          <w:lang w:val="it-IT"/>
        </w:rPr>
      </w:pPr>
      <w:r>
        <w:rPr>
          <w:b/>
          <w:lang w:val="it-IT"/>
        </w:rPr>
        <w:t>KRUGER, J.</w:t>
      </w:r>
    </w:p>
    <w:p w14:paraId="69AA1034" w14:textId="77777777" w:rsidR="00DD4FCC" w:rsidRDefault="00AB1EE5" w:rsidP="00DD4FCC">
      <w:pPr>
        <w:spacing w:after="0" w:line="240" w:lineRule="auto"/>
        <w:jc w:val="left"/>
        <w:rPr>
          <w:b/>
        </w:rPr>
      </w:pPr>
      <w:r>
        <w:rPr>
          <w:b/>
        </w:rPr>
        <w:t>JENKINS, J.</w:t>
      </w:r>
    </w:p>
    <w:p w14:paraId="69AA1035" w14:textId="77777777" w:rsidR="00DD4FCC" w:rsidRDefault="00AB1EE5" w:rsidP="00DD4FCC">
      <w:pPr>
        <w:pStyle w:val="Text"/>
        <w:spacing w:line="400" w:lineRule="exact"/>
        <w:ind w:firstLine="0"/>
      </w:pPr>
      <w:r>
        <w:rPr>
          <w:b/>
          <w:lang w:val="it-IT"/>
        </w:rPr>
        <w:t>EVANS</w:t>
      </w:r>
      <w:r>
        <w:rPr>
          <w:b/>
        </w:rPr>
        <w:t>, J.</w:t>
      </w:r>
    </w:p>
    <w:p w14:paraId="12C2A786" w14:textId="77777777" w:rsidR="00C24615" w:rsidRDefault="00C24615" w:rsidP="00DD4FCC">
      <w:pPr>
        <w:tabs>
          <w:tab w:val="left" w:pos="1440"/>
        </w:tabs>
        <w:contextualSpacing/>
        <w:rPr>
          <w:bCs/>
          <w:caps/>
        </w:rPr>
        <w:sectPr w:rsidR="00C24615" w:rsidSect="00CC5E18">
          <w:footerReference w:type="first" r:id="rId10"/>
          <w:pgSz w:w="12240" w:h="15840"/>
          <w:pgMar w:top="1800" w:right="2160" w:bottom="1440" w:left="2160" w:header="720" w:footer="720" w:gutter="0"/>
          <w:pgNumType w:start="1"/>
          <w:cols w:space="720"/>
          <w:titlePg/>
          <w:docGrid w:linePitch="367"/>
        </w:sectPr>
      </w:pPr>
    </w:p>
    <w:p w14:paraId="7B1DF4C6" w14:textId="77777777" w:rsidR="009C1755" w:rsidRPr="009C1755" w:rsidRDefault="009C1755" w:rsidP="009C1755">
      <w:pPr>
        <w:spacing w:after="0" w:line="240" w:lineRule="auto"/>
        <w:jc w:val="left"/>
        <w:rPr>
          <w:i/>
          <w:sz w:val="24"/>
          <w:szCs w:val="24"/>
        </w:rPr>
      </w:pPr>
      <w:r w:rsidRPr="009C1755">
        <w:rPr>
          <w:i/>
          <w:sz w:val="24"/>
          <w:szCs w:val="24"/>
        </w:rPr>
        <w:lastRenderedPageBreak/>
        <w:t>See next page for addresses and telephone numbers for counsel who argued in Supreme Court.</w:t>
      </w:r>
    </w:p>
    <w:p w14:paraId="474459B9" w14:textId="77777777" w:rsidR="009C1755" w:rsidRPr="009C1755" w:rsidRDefault="009C1755" w:rsidP="009C1755">
      <w:pPr>
        <w:spacing w:after="0" w:line="240" w:lineRule="auto"/>
        <w:jc w:val="left"/>
        <w:rPr>
          <w:i/>
          <w:sz w:val="24"/>
          <w:szCs w:val="24"/>
        </w:rPr>
      </w:pPr>
    </w:p>
    <w:p w14:paraId="2432E98C" w14:textId="77777777" w:rsidR="009C1755" w:rsidRPr="009C1755" w:rsidRDefault="009C1755" w:rsidP="009C1755">
      <w:pPr>
        <w:spacing w:after="0" w:line="240" w:lineRule="auto"/>
        <w:jc w:val="left"/>
        <w:rPr>
          <w:bCs/>
          <w:sz w:val="24"/>
          <w:szCs w:val="24"/>
        </w:rPr>
      </w:pPr>
      <w:r w:rsidRPr="009C1755">
        <w:rPr>
          <w:b/>
          <w:sz w:val="24"/>
          <w:szCs w:val="24"/>
        </w:rPr>
        <w:t xml:space="preserve">Name of Opinion  </w:t>
      </w:r>
      <w:r w:rsidRPr="009C1755">
        <w:rPr>
          <w:bCs/>
          <w:sz w:val="24"/>
          <w:szCs w:val="24"/>
        </w:rPr>
        <w:t>Himes v. Somatics, LLC</w:t>
      </w:r>
    </w:p>
    <w:p w14:paraId="50366372" w14:textId="77777777" w:rsidR="009C1755" w:rsidRPr="009C1755" w:rsidRDefault="009C1755" w:rsidP="009C1755">
      <w:pPr>
        <w:spacing w:after="0" w:line="240" w:lineRule="auto"/>
        <w:jc w:val="left"/>
        <w:rPr>
          <w:b/>
          <w:sz w:val="24"/>
          <w:szCs w:val="24"/>
        </w:rPr>
      </w:pPr>
      <w:r w:rsidRPr="009C1755">
        <w:rPr>
          <w:b/>
          <w:sz w:val="24"/>
          <w:szCs w:val="24"/>
        </w:rPr>
        <w:t xml:space="preserve">__________________________________________________________ </w:t>
      </w:r>
    </w:p>
    <w:p w14:paraId="5191E01C" w14:textId="77777777" w:rsidR="009C1755" w:rsidRPr="009C1755" w:rsidRDefault="009C1755" w:rsidP="009C1755">
      <w:pPr>
        <w:spacing w:after="0" w:line="240" w:lineRule="auto"/>
        <w:jc w:val="left"/>
        <w:rPr>
          <w:b/>
          <w:sz w:val="24"/>
          <w:szCs w:val="24"/>
        </w:rPr>
      </w:pPr>
    </w:p>
    <w:p w14:paraId="644F67E3" w14:textId="77777777" w:rsidR="009C1755" w:rsidRPr="009C1755" w:rsidRDefault="009C1755" w:rsidP="009C1755">
      <w:pPr>
        <w:spacing w:after="0" w:line="240" w:lineRule="auto"/>
        <w:jc w:val="left"/>
        <w:rPr>
          <w:sz w:val="24"/>
          <w:szCs w:val="24"/>
        </w:rPr>
      </w:pPr>
      <w:r w:rsidRPr="009C1755">
        <w:rPr>
          <w:b/>
          <w:bCs/>
          <w:sz w:val="24"/>
          <w:szCs w:val="24"/>
          <w:u w:val="single"/>
        </w:rPr>
        <w:t>Procedural Posture</w:t>
      </w:r>
      <w:r w:rsidRPr="009C1755">
        <w:rPr>
          <w:b/>
          <w:bCs/>
          <w:sz w:val="24"/>
          <w:szCs w:val="24"/>
        </w:rPr>
        <w:t xml:space="preserve"> </w:t>
      </w:r>
      <w:r w:rsidRPr="009C1755">
        <w:rPr>
          <w:sz w:val="24"/>
          <w:szCs w:val="24"/>
        </w:rPr>
        <w:t>(see XX below)</w:t>
      </w:r>
    </w:p>
    <w:p w14:paraId="555167E0" w14:textId="77777777" w:rsidR="009C1755" w:rsidRPr="009C1755" w:rsidRDefault="009C1755" w:rsidP="009C1755">
      <w:pPr>
        <w:spacing w:after="0" w:line="240" w:lineRule="auto"/>
        <w:jc w:val="left"/>
        <w:rPr>
          <w:sz w:val="24"/>
          <w:szCs w:val="24"/>
        </w:rPr>
      </w:pPr>
      <w:r w:rsidRPr="009C1755">
        <w:rPr>
          <w:b/>
          <w:bCs/>
          <w:sz w:val="24"/>
          <w:szCs w:val="24"/>
        </w:rPr>
        <w:t>Original Appeal</w:t>
      </w:r>
      <w:r w:rsidRPr="009C1755">
        <w:rPr>
          <w:sz w:val="24"/>
          <w:szCs w:val="24"/>
        </w:rPr>
        <w:t xml:space="preserve"> </w:t>
      </w:r>
    </w:p>
    <w:p w14:paraId="2F0AD23F" w14:textId="77777777" w:rsidR="009C1755" w:rsidRPr="009C1755" w:rsidRDefault="009C1755" w:rsidP="009C1755">
      <w:pPr>
        <w:spacing w:after="0" w:line="240" w:lineRule="auto"/>
        <w:jc w:val="left"/>
        <w:rPr>
          <w:sz w:val="24"/>
          <w:szCs w:val="24"/>
        </w:rPr>
      </w:pPr>
      <w:r w:rsidRPr="009C1755">
        <w:rPr>
          <w:b/>
          <w:bCs/>
          <w:sz w:val="24"/>
          <w:szCs w:val="24"/>
        </w:rPr>
        <w:t>Original Proceeding</w:t>
      </w:r>
      <w:r w:rsidRPr="009C1755">
        <w:rPr>
          <w:sz w:val="24"/>
          <w:szCs w:val="24"/>
        </w:rPr>
        <w:t xml:space="preserve">  XX on request by 9th Circuit (Cal. Rules of Court, rule 8.548)</w:t>
      </w:r>
    </w:p>
    <w:p w14:paraId="4D307482" w14:textId="77777777" w:rsidR="009C1755" w:rsidRPr="009C1755" w:rsidRDefault="009C1755" w:rsidP="009C1755">
      <w:pPr>
        <w:spacing w:after="0" w:line="240" w:lineRule="auto"/>
        <w:jc w:val="left"/>
        <w:rPr>
          <w:sz w:val="24"/>
          <w:szCs w:val="24"/>
        </w:rPr>
      </w:pPr>
      <w:r w:rsidRPr="009C1755">
        <w:rPr>
          <w:b/>
          <w:bCs/>
          <w:sz w:val="24"/>
          <w:szCs w:val="24"/>
        </w:rPr>
        <w:t>Review Granted</w:t>
      </w:r>
      <w:r w:rsidRPr="009C1755">
        <w:rPr>
          <w:sz w:val="24"/>
          <w:szCs w:val="24"/>
        </w:rPr>
        <w:t xml:space="preserve"> </w:t>
      </w:r>
      <w:r w:rsidRPr="009C1755">
        <w:rPr>
          <w:b/>
          <w:bCs/>
          <w:sz w:val="24"/>
          <w:szCs w:val="24"/>
        </w:rPr>
        <w:t>(published)</w:t>
      </w:r>
    </w:p>
    <w:p w14:paraId="56F26CDA" w14:textId="77777777" w:rsidR="009C1755" w:rsidRPr="009C1755" w:rsidRDefault="009C1755" w:rsidP="009C1755">
      <w:pPr>
        <w:spacing w:after="0" w:line="240" w:lineRule="auto"/>
        <w:jc w:val="left"/>
        <w:rPr>
          <w:sz w:val="24"/>
          <w:szCs w:val="24"/>
        </w:rPr>
      </w:pPr>
      <w:r w:rsidRPr="009C1755">
        <w:rPr>
          <w:b/>
          <w:bCs/>
          <w:sz w:val="24"/>
          <w:szCs w:val="24"/>
        </w:rPr>
        <w:t xml:space="preserve">Review Granted (unpublished) </w:t>
      </w:r>
    </w:p>
    <w:p w14:paraId="2D46C7EE" w14:textId="77777777" w:rsidR="009C1755" w:rsidRPr="009C1755" w:rsidRDefault="009C1755" w:rsidP="009C1755">
      <w:pPr>
        <w:spacing w:after="0" w:line="240" w:lineRule="auto"/>
        <w:jc w:val="left"/>
        <w:rPr>
          <w:b/>
          <w:bCs/>
          <w:sz w:val="24"/>
          <w:szCs w:val="24"/>
        </w:rPr>
      </w:pPr>
      <w:r w:rsidRPr="009C1755">
        <w:rPr>
          <w:b/>
          <w:bCs/>
          <w:sz w:val="24"/>
          <w:szCs w:val="24"/>
        </w:rPr>
        <w:t>Rehearing Granted</w:t>
      </w:r>
    </w:p>
    <w:p w14:paraId="0F70BC0C" w14:textId="77777777" w:rsidR="009C1755" w:rsidRPr="009C1755" w:rsidRDefault="009C1755" w:rsidP="009C1755">
      <w:pPr>
        <w:spacing w:after="0" w:line="240" w:lineRule="auto"/>
        <w:jc w:val="left"/>
        <w:rPr>
          <w:b/>
          <w:sz w:val="24"/>
          <w:szCs w:val="24"/>
        </w:rPr>
      </w:pPr>
      <w:r w:rsidRPr="009C1755">
        <w:rPr>
          <w:b/>
          <w:sz w:val="24"/>
          <w:szCs w:val="24"/>
        </w:rPr>
        <w:t xml:space="preserve">__________________________________________________________ </w:t>
      </w:r>
    </w:p>
    <w:p w14:paraId="72EACFE1" w14:textId="77777777" w:rsidR="009C1755" w:rsidRPr="009C1755" w:rsidRDefault="009C1755" w:rsidP="009C1755">
      <w:pPr>
        <w:spacing w:after="0" w:line="240" w:lineRule="auto"/>
        <w:jc w:val="left"/>
        <w:rPr>
          <w:b/>
          <w:sz w:val="24"/>
          <w:szCs w:val="24"/>
        </w:rPr>
      </w:pPr>
    </w:p>
    <w:p w14:paraId="3535DB6E" w14:textId="77777777" w:rsidR="009C1755" w:rsidRPr="009C1755" w:rsidRDefault="009C1755" w:rsidP="009C1755">
      <w:pPr>
        <w:spacing w:after="0" w:line="240" w:lineRule="auto"/>
        <w:jc w:val="left"/>
        <w:rPr>
          <w:bCs/>
          <w:sz w:val="24"/>
          <w:szCs w:val="24"/>
        </w:rPr>
      </w:pPr>
      <w:r w:rsidRPr="009C1755">
        <w:rPr>
          <w:b/>
          <w:sz w:val="24"/>
          <w:szCs w:val="24"/>
        </w:rPr>
        <w:t>Opinion No.</w:t>
      </w:r>
      <w:r w:rsidRPr="009C1755">
        <w:rPr>
          <w:sz w:val="24"/>
          <w:szCs w:val="24"/>
        </w:rPr>
        <w:t xml:space="preserve"> S273887</w:t>
      </w:r>
    </w:p>
    <w:p w14:paraId="6E2FEBFE" w14:textId="77777777" w:rsidR="009C1755" w:rsidRPr="009C1755" w:rsidRDefault="009C1755" w:rsidP="009C1755">
      <w:pPr>
        <w:spacing w:after="0" w:line="240" w:lineRule="auto"/>
        <w:jc w:val="left"/>
        <w:rPr>
          <w:bCs/>
          <w:sz w:val="24"/>
          <w:szCs w:val="24"/>
        </w:rPr>
      </w:pPr>
      <w:r w:rsidRPr="009C1755">
        <w:rPr>
          <w:b/>
          <w:sz w:val="24"/>
          <w:szCs w:val="24"/>
        </w:rPr>
        <w:t>Date Filed:</w:t>
      </w:r>
      <w:r w:rsidRPr="009C1755">
        <w:rPr>
          <w:sz w:val="24"/>
          <w:szCs w:val="24"/>
        </w:rPr>
        <w:t xml:space="preserve">  June 20, 2024</w:t>
      </w:r>
    </w:p>
    <w:p w14:paraId="3F7D51BB" w14:textId="77777777" w:rsidR="009C1755" w:rsidRPr="009C1755" w:rsidRDefault="009C1755" w:rsidP="009C1755">
      <w:pPr>
        <w:spacing w:after="0" w:line="240" w:lineRule="auto"/>
        <w:jc w:val="left"/>
        <w:rPr>
          <w:b/>
          <w:sz w:val="24"/>
          <w:szCs w:val="24"/>
        </w:rPr>
      </w:pPr>
      <w:r w:rsidRPr="009C1755">
        <w:rPr>
          <w:b/>
          <w:sz w:val="24"/>
          <w:szCs w:val="24"/>
        </w:rPr>
        <w:t xml:space="preserve">__________________________________________________________ </w:t>
      </w:r>
    </w:p>
    <w:p w14:paraId="45B5407C" w14:textId="77777777" w:rsidR="009C1755" w:rsidRPr="009C1755" w:rsidRDefault="009C1755" w:rsidP="009C1755">
      <w:pPr>
        <w:spacing w:after="0" w:line="240" w:lineRule="auto"/>
        <w:jc w:val="left"/>
        <w:rPr>
          <w:b/>
          <w:sz w:val="24"/>
          <w:szCs w:val="24"/>
        </w:rPr>
      </w:pPr>
    </w:p>
    <w:p w14:paraId="5577AECF" w14:textId="77777777" w:rsidR="009C1755" w:rsidRPr="009C1755" w:rsidRDefault="009C1755" w:rsidP="009C1755">
      <w:pPr>
        <w:spacing w:after="0" w:line="240" w:lineRule="auto"/>
        <w:jc w:val="left"/>
        <w:rPr>
          <w:bCs/>
          <w:sz w:val="24"/>
          <w:szCs w:val="24"/>
        </w:rPr>
      </w:pPr>
      <w:r w:rsidRPr="009C1755">
        <w:rPr>
          <w:b/>
          <w:sz w:val="24"/>
          <w:szCs w:val="24"/>
        </w:rPr>
        <w:t xml:space="preserve">Court:  </w:t>
      </w:r>
    </w:p>
    <w:p w14:paraId="6B7A2C44" w14:textId="77777777" w:rsidR="009C1755" w:rsidRPr="009C1755" w:rsidRDefault="009C1755" w:rsidP="009C1755">
      <w:pPr>
        <w:spacing w:after="0" w:line="240" w:lineRule="auto"/>
        <w:jc w:val="left"/>
        <w:rPr>
          <w:bCs/>
          <w:sz w:val="24"/>
          <w:szCs w:val="24"/>
        </w:rPr>
      </w:pPr>
      <w:r w:rsidRPr="009C1755">
        <w:rPr>
          <w:b/>
          <w:sz w:val="24"/>
          <w:szCs w:val="24"/>
        </w:rPr>
        <w:t xml:space="preserve">County:  </w:t>
      </w:r>
    </w:p>
    <w:p w14:paraId="49010A37" w14:textId="77777777" w:rsidR="009C1755" w:rsidRPr="009C1755" w:rsidRDefault="009C1755" w:rsidP="009C1755">
      <w:pPr>
        <w:spacing w:after="0" w:line="240" w:lineRule="auto"/>
        <w:ind w:left="720" w:hanging="720"/>
        <w:jc w:val="left"/>
        <w:rPr>
          <w:bCs/>
          <w:sz w:val="24"/>
          <w:szCs w:val="24"/>
        </w:rPr>
      </w:pPr>
      <w:r w:rsidRPr="009C1755">
        <w:rPr>
          <w:b/>
          <w:sz w:val="24"/>
          <w:szCs w:val="24"/>
        </w:rPr>
        <w:t xml:space="preserve">Judge: </w:t>
      </w:r>
      <w:r w:rsidRPr="009C1755">
        <w:rPr>
          <w:bCs/>
          <w:sz w:val="24"/>
          <w:szCs w:val="24"/>
        </w:rPr>
        <w:t xml:space="preserve"> </w:t>
      </w:r>
    </w:p>
    <w:p w14:paraId="47F1ADD5" w14:textId="77777777" w:rsidR="009C1755" w:rsidRPr="009C1755" w:rsidRDefault="009C1755" w:rsidP="009C1755">
      <w:pPr>
        <w:spacing w:after="0" w:line="240" w:lineRule="auto"/>
        <w:jc w:val="left"/>
        <w:rPr>
          <w:b/>
          <w:sz w:val="24"/>
          <w:szCs w:val="24"/>
        </w:rPr>
      </w:pPr>
      <w:r w:rsidRPr="009C1755">
        <w:rPr>
          <w:b/>
          <w:sz w:val="24"/>
          <w:szCs w:val="24"/>
        </w:rPr>
        <w:t xml:space="preserve">__________________________________________________________  </w:t>
      </w:r>
    </w:p>
    <w:p w14:paraId="1DA693A8" w14:textId="77777777" w:rsidR="009C1755" w:rsidRPr="009C1755" w:rsidRDefault="009C1755" w:rsidP="009C1755">
      <w:pPr>
        <w:spacing w:after="0" w:line="240" w:lineRule="auto"/>
        <w:jc w:val="left"/>
        <w:rPr>
          <w:b/>
          <w:sz w:val="24"/>
          <w:szCs w:val="24"/>
        </w:rPr>
      </w:pPr>
    </w:p>
    <w:p w14:paraId="1A7B4E41" w14:textId="77777777" w:rsidR="009C1755" w:rsidRPr="009C1755" w:rsidRDefault="009C1755" w:rsidP="009C1755">
      <w:pPr>
        <w:spacing w:after="0" w:line="240" w:lineRule="auto"/>
        <w:jc w:val="left"/>
        <w:rPr>
          <w:b/>
          <w:sz w:val="24"/>
          <w:szCs w:val="24"/>
        </w:rPr>
      </w:pPr>
      <w:r w:rsidRPr="009C1755">
        <w:rPr>
          <w:b/>
          <w:sz w:val="24"/>
          <w:szCs w:val="24"/>
        </w:rPr>
        <w:t>Counsel:</w:t>
      </w:r>
    </w:p>
    <w:p w14:paraId="0775CC43" w14:textId="77777777" w:rsidR="009C1755" w:rsidRPr="009C1755" w:rsidRDefault="009C1755" w:rsidP="009C1755">
      <w:pPr>
        <w:spacing w:after="0" w:line="240" w:lineRule="auto"/>
        <w:jc w:val="left"/>
        <w:rPr>
          <w:b/>
          <w:sz w:val="24"/>
          <w:szCs w:val="24"/>
        </w:rPr>
      </w:pPr>
    </w:p>
    <w:p w14:paraId="4D29E61A" w14:textId="77777777" w:rsidR="009C1755" w:rsidRPr="009C1755" w:rsidRDefault="009C1755" w:rsidP="009C1755">
      <w:pPr>
        <w:spacing w:after="0" w:line="240" w:lineRule="auto"/>
        <w:jc w:val="left"/>
        <w:rPr>
          <w:color w:val="212121"/>
          <w:sz w:val="24"/>
          <w:szCs w:val="24"/>
          <w:shd w:val="clear" w:color="auto" w:fill="FFFFFF"/>
        </w:rPr>
      </w:pPr>
      <w:r w:rsidRPr="009C1755">
        <w:rPr>
          <w:color w:val="212121"/>
          <w:sz w:val="24"/>
          <w:szCs w:val="24"/>
          <w:shd w:val="clear" w:color="auto" w:fill="FFFFFF"/>
        </w:rPr>
        <w:t xml:space="preserve">Baum, Hedlund, </w:t>
      </w:r>
      <w:proofErr w:type="spellStart"/>
      <w:r w:rsidRPr="009C1755">
        <w:rPr>
          <w:color w:val="212121"/>
          <w:sz w:val="24"/>
          <w:szCs w:val="24"/>
          <w:shd w:val="clear" w:color="auto" w:fill="FFFFFF"/>
        </w:rPr>
        <w:t>Aristei</w:t>
      </w:r>
      <w:proofErr w:type="spellEnd"/>
      <w:r w:rsidRPr="009C1755">
        <w:rPr>
          <w:color w:val="212121"/>
          <w:sz w:val="24"/>
          <w:szCs w:val="24"/>
          <w:shd w:val="clear" w:color="auto" w:fill="FFFFFF"/>
        </w:rPr>
        <w:t xml:space="preserve"> &amp; Goldman, Wisner Baum, Bijan Esfandiari, Monique Alarcon and R. Brent Wisner for Plaintiffs and Appellants.</w:t>
      </w:r>
    </w:p>
    <w:p w14:paraId="5B6D6363" w14:textId="77777777" w:rsidR="009C1755" w:rsidRPr="009C1755" w:rsidRDefault="009C1755" w:rsidP="009C1755">
      <w:pPr>
        <w:spacing w:after="0" w:line="240" w:lineRule="auto"/>
        <w:jc w:val="left"/>
        <w:rPr>
          <w:color w:val="212121"/>
          <w:sz w:val="24"/>
          <w:szCs w:val="24"/>
          <w:shd w:val="clear" w:color="auto" w:fill="FFFFFF"/>
        </w:rPr>
      </w:pPr>
    </w:p>
    <w:p w14:paraId="0E8AB50B" w14:textId="77777777" w:rsidR="009C1755" w:rsidRPr="009C1755" w:rsidRDefault="009C1755" w:rsidP="009C1755">
      <w:pPr>
        <w:spacing w:after="0" w:line="240" w:lineRule="auto"/>
        <w:jc w:val="left"/>
        <w:rPr>
          <w:color w:val="212121"/>
          <w:sz w:val="24"/>
          <w:szCs w:val="24"/>
          <w:shd w:val="clear" w:color="auto" w:fill="FFFFFF"/>
        </w:rPr>
      </w:pPr>
      <w:r w:rsidRPr="009C1755">
        <w:rPr>
          <w:color w:val="212121"/>
          <w:sz w:val="24"/>
          <w:szCs w:val="24"/>
          <w:shd w:val="clear" w:color="auto" w:fill="FFFFFF"/>
        </w:rPr>
        <w:t xml:space="preserve">Poole </w:t>
      </w:r>
      <w:proofErr w:type="spellStart"/>
      <w:r w:rsidRPr="009C1755">
        <w:rPr>
          <w:color w:val="212121"/>
          <w:sz w:val="24"/>
          <w:szCs w:val="24"/>
          <w:shd w:val="clear" w:color="auto" w:fill="FFFFFF"/>
        </w:rPr>
        <w:t>Shaffery</w:t>
      </w:r>
      <w:proofErr w:type="spellEnd"/>
      <w:r w:rsidRPr="009C1755">
        <w:rPr>
          <w:color w:val="212121"/>
          <w:sz w:val="24"/>
          <w:szCs w:val="24"/>
          <w:shd w:val="clear" w:color="auto" w:fill="FFFFFF"/>
        </w:rPr>
        <w:t xml:space="preserve"> &amp; </w:t>
      </w:r>
      <w:proofErr w:type="spellStart"/>
      <w:r w:rsidRPr="009C1755">
        <w:rPr>
          <w:color w:val="212121"/>
          <w:sz w:val="24"/>
          <w:szCs w:val="24"/>
          <w:shd w:val="clear" w:color="auto" w:fill="FFFFFF"/>
        </w:rPr>
        <w:t>Koegle</w:t>
      </w:r>
      <w:proofErr w:type="spellEnd"/>
      <w:r w:rsidRPr="009C1755">
        <w:rPr>
          <w:color w:val="212121"/>
          <w:sz w:val="24"/>
          <w:szCs w:val="24"/>
          <w:shd w:val="clear" w:color="auto" w:fill="FFFFFF"/>
        </w:rPr>
        <w:t xml:space="preserve">, Jason A. </w:t>
      </w:r>
      <w:proofErr w:type="spellStart"/>
      <w:r w:rsidRPr="009C1755">
        <w:rPr>
          <w:color w:val="212121"/>
          <w:sz w:val="24"/>
          <w:szCs w:val="24"/>
          <w:shd w:val="clear" w:color="auto" w:fill="FFFFFF"/>
        </w:rPr>
        <w:t>Benkner</w:t>
      </w:r>
      <w:proofErr w:type="spellEnd"/>
      <w:r w:rsidRPr="009C1755">
        <w:rPr>
          <w:color w:val="212121"/>
          <w:sz w:val="24"/>
          <w:szCs w:val="24"/>
          <w:shd w:val="clear" w:color="auto" w:fill="FFFFFF"/>
        </w:rPr>
        <w:t xml:space="preserve">, David S. Poole, Samuel Roy Weldon Price; Wiggin and Dana, Jonathan M. </w:t>
      </w:r>
      <w:proofErr w:type="spellStart"/>
      <w:r w:rsidRPr="009C1755">
        <w:rPr>
          <w:color w:val="212121"/>
          <w:sz w:val="24"/>
          <w:szCs w:val="24"/>
          <w:shd w:val="clear" w:color="auto" w:fill="FFFFFF"/>
        </w:rPr>
        <w:t>Freiman</w:t>
      </w:r>
      <w:proofErr w:type="spellEnd"/>
      <w:r w:rsidRPr="009C1755">
        <w:rPr>
          <w:color w:val="212121"/>
          <w:sz w:val="24"/>
          <w:szCs w:val="24"/>
          <w:shd w:val="clear" w:color="auto" w:fill="FFFFFF"/>
        </w:rPr>
        <w:t xml:space="preserve"> and </w:t>
      </w:r>
      <w:proofErr w:type="spellStart"/>
      <w:r w:rsidRPr="009C1755">
        <w:rPr>
          <w:color w:val="212121"/>
          <w:sz w:val="24"/>
          <w:szCs w:val="24"/>
          <w:shd w:val="clear" w:color="auto" w:fill="FFFFFF"/>
        </w:rPr>
        <w:t>Ariela</w:t>
      </w:r>
      <w:proofErr w:type="spellEnd"/>
      <w:r w:rsidRPr="009C1755">
        <w:rPr>
          <w:color w:val="212121"/>
          <w:sz w:val="24"/>
          <w:szCs w:val="24"/>
          <w:shd w:val="clear" w:color="auto" w:fill="FFFFFF"/>
        </w:rPr>
        <w:t xml:space="preserve"> C. Anhalt for Defendant and Respondent.</w:t>
      </w:r>
    </w:p>
    <w:p w14:paraId="7A5025EF" w14:textId="77777777" w:rsidR="009C1755" w:rsidRPr="009C1755" w:rsidRDefault="009C1755" w:rsidP="009C1755">
      <w:pPr>
        <w:spacing w:after="0" w:line="240" w:lineRule="auto"/>
        <w:jc w:val="left"/>
        <w:rPr>
          <w:color w:val="212121"/>
          <w:sz w:val="24"/>
          <w:szCs w:val="24"/>
          <w:shd w:val="clear" w:color="auto" w:fill="FFFFFF"/>
        </w:rPr>
      </w:pPr>
    </w:p>
    <w:p w14:paraId="6FCC31D7" w14:textId="77777777" w:rsidR="009C1755" w:rsidRPr="009C1755" w:rsidRDefault="009C1755" w:rsidP="009C1755">
      <w:pPr>
        <w:spacing w:after="0" w:line="240" w:lineRule="auto"/>
        <w:jc w:val="left"/>
        <w:rPr>
          <w:color w:val="212121"/>
          <w:sz w:val="24"/>
          <w:szCs w:val="24"/>
          <w:shd w:val="clear" w:color="auto" w:fill="FFFFFF"/>
        </w:rPr>
      </w:pPr>
      <w:r w:rsidRPr="009C1755">
        <w:rPr>
          <w:color w:val="212121"/>
          <w:sz w:val="24"/>
          <w:szCs w:val="24"/>
          <w:shd w:val="clear" w:color="auto" w:fill="FFFFFF"/>
        </w:rPr>
        <w:t>Cole Pedroza, Curtis A. Cole and Cassidy C. Davenport for California Medical Association, California Dental Association and California Hospital Association as Amici Curiae on behalf of Defendant and Respondent.</w:t>
      </w:r>
    </w:p>
    <w:p w14:paraId="07A0F43A" w14:textId="77777777" w:rsidR="009C1755" w:rsidRPr="009C1755" w:rsidRDefault="009C1755" w:rsidP="009C1755">
      <w:pPr>
        <w:spacing w:after="0" w:line="240" w:lineRule="auto"/>
        <w:jc w:val="left"/>
        <w:rPr>
          <w:color w:val="212121"/>
          <w:sz w:val="24"/>
          <w:szCs w:val="24"/>
          <w:shd w:val="clear" w:color="auto" w:fill="FFFFFF"/>
        </w:rPr>
      </w:pPr>
    </w:p>
    <w:p w14:paraId="44C616EF" w14:textId="77777777" w:rsidR="009C1755" w:rsidRPr="009C1755" w:rsidRDefault="009C1755" w:rsidP="009C1755">
      <w:pPr>
        <w:spacing w:after="0" w:line="240" w:lineRule="auto"/>
        <w:jc w:val="left"/>
        <w:rPr>
          <w:color w:val="212121"/>
          <w:sz w:val="24"/>
          <w:szCs w:val="24"/>
          <w:shd w:val="clear" w:color="auto" w:fill="FFFFFF"/>
        </w:rPr>
      </w:pPr>
      <w:r w:rsidRPr="009C1755">
        <w:rPr>
          <w:color w:val="212121"/>
          <w:sz w:val="24"/>
          <w:szCs w:val="24"/>
          <w:shd w:val="clear" w:color="auto" w:fill="FFFFFF"/>
        </w:rPr>
        <w:t xml:space="preserve">Gonzalez Government Consulting, Cher </w:t>
      </w:r>
      <w:proofErr w:type="gramStart"/>
      <w:r w:rsidRPr="009C1755">
        <w:rPr>
          <w:color w:val="212121"/>
          <w:sz w:val="24"/>
          <w:szCs w:val="24"/>
          <w:shd w:val="clear" w:color="auto" w:fill="FFFFFF"/>
        </w:rPr>
        <w:t>Gonzalez</w:t>
      </w:r>
      <w:proofErr w:type="gramEnd"/>
      <w:r w:rsidRPr="009C1755">
        <w:rPr>
          <w:color w:val="212121"/>
          <w:sz w:val="24"/>
          <w:szCs w:val="24"/>
          <w:shd w:val="clear" w:color="auto" w:fill="FFFFFF"/>
        </w:rPr>
        <w:t xml:space="preserve"> and David Gonzalez for California Life Sciences as Amicus Curiae on behalf of Defendant and Respondent.</w:t>
      </w:r>
    </w:p>
    <w:p w14:paraId="7E6A9BB2" w14:textId="77777777" w:rsidR="009C1755" w:rsidRPr="009C1755" w:rsidRDefault="009C1755" w:rsidP="009C1755">
      <w:pPr>
        <w:spacing w:after="0" w:line="240" w:lineRule="auto"/>
        <w:jc w:val="left"/>
        <w:rPr>
          <w:color w:val="212121"/>
          <w:sz w:val="24"/>
          <w:szCs w:val="24"/>
          <w:shd w:val="clear" w:color="auto" w:fill="FFFFFF"/>
        </w:rPr>
      </w:pPr>
    </w:p>
    <w:p w14:paraId="5AE409CD" w14:textId="77777777" w:rsidR="009C1755" w:rsidRPr="009C1755" w:rsidRDefault="009C1755" w:rsidP="009C1755">
      <w:pPr>
        <w:spacing w:after="0" w:line="240" w:lineRule="auto"/>
        <w:jc w:val="left"/>
        <w:rPr>
          <w:color w:val="212121"/>
          <w:sz w:val="24"/>
          <w:szCs w:val="24"/>
          <w:shd w:val="clear" w:color="auto" w:fill="FFFFFF"/>
        </w:rPr>
      </w:pPr>
      <w:r w:rsidRPr="009C1755">
        <w:rPr>
          <w:color w:val="212121"/>
          <w:sz w:val="24"/>
          <w:szCs w:val="24"/>
          <w:shd w:val="clear" w:color="auto" w:fill="FFFFFF"/>
        </w:rPr>
        <w:lastRenderedPageBreak/>
        <w:t xml:space="preserve">Covington &amp; Burling, Ashley M. Simonsen, Michael X. </w:t>
      </w:r>
      <w:proofErr w:type="spellStart"/>
      <w:r w:rsidRPr="009C1755">
        <w:rPr>
          <w:color w:val="212121"/>
          <w:sz w:val="24"/>
          <w:szCs w:val="24"/>
          <w:shd w:val="clear" w:color="auto" w:fill="FFFFFF"/>
        </w:rPr>
        <w:t>Imbroscio</w:t>
      </w:r>
      <w:proofErr w:type="spellEnd"/>
      <w:r w:rsidRPr="009C1755">
        <w:rPr>
          <w:color w:val="212121"/>
          <w:sz w:val="24"/>
          <w:szCs w:val="24"/>
          <w:shd w:val="clear" w:color="auto" w:fill="FFFFFF"/>
        </w:rPr>
        <w:t>, Paul W. Schmidt and Gregory L. Halperin for Pharmaceutical Research and Manufacturers of America as Amicus Curiae on behalf of Defendant and Respondent.</w:t>
      </w:r>
    </w:p>
    <w:p w14:paraId="7958ED56" w14:textId="77777777" w:rsidR="009C1755" w:rsidRPr="009C1755" w:rsidRDefault="009C1755" w:rsidP="009C1755">
      <w:pPr>
        <w:spacing w:after="0" w:line="240" w:lineRule="auto"/>
        <w:jc w:val="left"/>
        <w:rPr>
          <w:color w:val="212121"/>
          <w:sz w:val="24"/>
          <w:szCs w:val="24"/>
          <w:shd w:val="clear" w:color="auto" w:fill="FFFFFF"/>
        </w:rPr>
      </w:pPr>
    </w:p>
    <w:p w14:paraId="639603B6" w14:textId="77777777" w:rsidR="009C1755" w:rsidRPr="009C1755" w:rsidRDefault="009C1755" w:rsidP="009C1755">
      <w:pPr>
        <w:spacing w:after="0" w:line="240" w:lineRule="auto"/>
        <w:jc w:val="left"/>
        <w:rPr>
          <w:color w:val="212121"/>
          <w:sz w:val="24"/>
          <w:szCs w:val="24"/>
          <w:shd w:val="clear" w:color="auto" w:fill="FFFFFF"/>
        </w:rPr>
      </w:pPr>
      <w:r w:rsidRPr="009C1755">
        <w:rPr>
          <w:color w:val="212121"/>
          <w:sz w:val="24"/>
          <w:szCs w:val="24"/>
          <w:shd w:val="clear" w:color="auto" w:fill="FFFFFF"/>
        </w:rPr>
        <w:t xml:space="preserve">Faegre Drinker Biddle &amp; </w:t>
      </w:r>
      <w:proofErr w:type="spellStart"/>
      <w:r w:rsidRPr="009C1755">
        <w:rPr>
          <w:color w:val="212121"/>
          <w:sz w:val="24"/>
          <w:szCs w:val="24"/>
          <w:shd w:val="clear" w:color="auto" w:fill="FFFFFF"/>
        </w:rPr>
        <w:t>Reath</w:t>
      </w:r>
      <w:proofErr w:type="spellEnd"/>
      <w:r w:rsidRPr="009C1755">
        <w:rPr>
          <w:color w:val="212121"/>
          <w:sz w:val="24"/>
          <w:szCs w:val="24"/>
          <w:shd w:val="clear" w:color="auto" w:fill="FFFFFF"/>
        </w:rPr>
        <w:t xml:space="preserve"> and Alan Lazarus for The Product Liability Advisory Council, Inc., as Amicus Curiae on behalf of Defendant and Respondent.</w:t>
      </w:r>
    </w:p>
    <w:p w14:paraId="0D19468B" w14:textId="77777777" w:rsidR="009C1755" w:rsidRPr="009C1755" w:rsidRDefault="009C1755" w:rsidP="009C1755">
      <w:pPr>
        <w:spacing w:after="0" w:line="240" w:lineRule="auto"/>
        <w:jc w:val="left"/>
        <w:rPr>
          <w:color w:val="212121"/>
          <w:sz w:val="24"/>
          <w:szCs w:val="24"/>
          <w:shd w:val="clear" w:color="auto" w:fill="FFFFFF"/>
        </w:rPr>
      </w:pPr>
    </w:p>
    <w:p w14:paraId="1DB40BC7" w14:textId="77777777" w:rsidR="009C1755" w:rsidRPr="009C1755" w:rsidRDefault="009C1755" w:rsidP="009C1755">
      <w:pPr>
        <w:spacing w:after="0" w:line="240" w:lineRule="auto"/>
        <w:jc w:val="left"/>
        <w:rPr>
          <w:color w:val="212121"/>
          <w:sz w:val="24"/>
          <w:szCs w:val="24"/>
          <w:shd w:val="clear" w:color="auto" w:fill="FFFFFF"/>
        </w:rPr>
      </w:pPr>
      <w:r w:rsidRPr="009C1755">
        <w:rPr>
          <w:color w:val="212121"/>
          <w:sz w:val="24"/>
          <w:szCs w:val="24"/>
          <w:shd w:val="clear" w:color="auto" w:fill="FFFFFF"/>
        </w:rPr>
        <w:t xml:space="preserve">Fred J. </w:t>
      </w:r>
      <w:proofErr w:type="spellStart"/>
      <w:r w:rsidRPr="009C1755">
        <w:rPr>
          <w:color w:val="212121"/>
          <w:sz w:val="24"/>
          <w:szCs w:val="24"/>
          <w:shd w:val="clear" w:color="auto" w:fill="FFFFFF"/>
        </w:rPr>
        <w:t>Hiestand</w:t>
      </w:r>
      <w:proofErr w:type="spellEnd"/>
      <w:r w:rsidRPr="009C1755">
        <w:rPr>
          <w:color w:val="212121"/>
          <w:sz w:val="24"/>
          <w:szCs w:val="24"/>
          <w:shd w:val="clear" w:color="auto" w:fill="FFFFFF"/>
        </w:rPr>
        <w:t xml:space="preserve"> for The Civil Justice Association of California as Amicus Curiae on behalf of Defendant and Respondent.</w:t>
      </w:r>
    </w:p>
    <w:p w14:paraId="1F349D7F" w14:textId="77777777" w:rsidR="009C1755" w:rsidRPr="009C1755" w:rsidRDefault="009C1755" w:rsidP="009C1755">
      <w:pPr>
        <w:spacing w:after="0" w:line="240" w:lineRule="auto"/>
        <w:jc w:val="left"/>
        <w:rPr>
          <w:color w:val="212121"/>
          <w:sz w:val="24"/>
          <w:szCs w:val="24"/>
          <w:shd w:val="clear" w:color="auto" w:fill="FFFFFF"/>
        </w:rPr>
      </w:pPr>
    </w:p>
    <w:p w14:paraId="408AE090" w14:textId="77777777" w:rsidR="009C1755" w:rsidRPr="009C1755" w:rsidRDefault="009C1755" w:rsidP="009C1755">
      <w:pPr>
        <w:spacing w:after="0" w:line="240" w:lineRule="auto"/>
        <w:jc w:val="left"/>
        <w:rPr>
          <w:color w:val="212121"/>
          <w:sz w:val="24"/>
          <w:szCs w:val="24"/>
          <w:shd w:val="clear" w:color="auto" w:fill="FFFFFF"/>
        </w:rPr>
      </w:pPr>
      <w:r w:rsidRPr="009C1755">
        <w:rPr>
          <w:color w:val="212121"/>
          <w:sz w:val="24"/>
          <w:szCs w:val="24"/>
          <w:shd w:val="clear" w:color="auto" w:fill="FFFFFF"/>
        </w:rPr>
        <w:t xml:space="preserve">Kellogg, Hansen, Todd, </w:t>
      </w:r>
      <w:proofErr w:type="spellStart"/>
      <w:r w:rsidRPr="009C1755">
        <w:rPr>
          <w:color w:val="212121"/>
          <w:sz w:val="24"/>
          <w:szCs w:val="24"/>
          <w:shd w:val="clear" w:color="auto" w:fill="FFFFFF"/>
        </w:rPr>
        <w:t>Figel</w:t>
      </w:r>
      <w:proofErr w:type="spellEnd"/>
      <w:r w:rsidRPr="009C1755">
        <w:rPr>
          <w:color w:val="212121"/>
          <w:sz w:val="24"/>
          <w:szCs w:val="24"/>
          <w:shd w:val="clear" w:color="auto" w:fill="FFFFFF"/>
        </w:rPr>
        <w:t xml:space="preserve"> &amp; Frederick, Reid M. </w:t>
      </w:r>
      <w:proofErr w:type="spellStart"/>
      <w:r w:rsidRPr="009C1755">
        <w:rPr>
          <w:color w:val="212121"/>
          <w:sz w:val="24"/>
          <w:szCs w:val="24"/>
          <w:shd w:val="clear" w:color="auto" w:fill="FFFFFF"/>
        </w:rPr>
        <w:t>Figel</w:t>
      </w:r>
      <w:proofErr w:type="spellEnd"/>
      <w:r w:rsidRPr="009C1755">
        <w:rPr>
          <w:color w:val="212121"/>
          <w:sz w:val="24"/>
          <w:szCs w:val="24"/>
          <w:shd w:val="clear" w:color="auto" w:fill="FFFFFF"/>
        </w:rPr>
        <w:t xml:space="preserve">, Aaron M. Panner, Mark. P. </w:t>
      </w:r>
      <w:proofErr w:type="spellStart"/>
      <w:r w:rsidRPr="009C1755">
        <w:rPr>
          <w:color w:val="212121"/>
          <w:sz w:val="24"/>
          <w:szCs w:val="24"/>
          <w:shd w:val="clear" w:color="auto" w:fill="FFFFFF"/>
        </w:rPr>
        <w:t>Hirschboeck</w:t>
      </w:r>
      <w:proofErr w:type="spellEnd"/>
      <w:r w:rsidRPr="009C1755">
        <w:rPr>
          <w:color w:val="212121"/>
          <w:sz w:val="24"/>
          <w:szCs w:val="24"/>
          <w:shd w:val="clear" w:color="auto" w:fill="FFFFFF"/>
        </w:rPr>
        <w:t xml:space="preserve"> and E. Perot Bissell for American Psychiatric Association as Amicus Curiae.</w:t>
      </w:r>
    </w:p>
    <w:p w14:paraId="2AD5BC78" w14:textId="77777777" w:rsidR="009C1755" w:rsidRPr="009C1755" w:rsidRDefault="009C1755" w:rsidP="009C1755">
      <w:pPr>
        <w:spacing w:after="0" w:line="240" w:lineRule="auto"/>
        <w:jc w:val="left"/>
        <w:rPr>
          <w:color w:val="212121"/>
          <w:sz w:val="24"/>
          <w:szCs w:val="24"/>
          <w:shd w:val="clear" w:color="auto" w:fill="FFFFFF"/>
        </w:rPr>
      </w:pPr>
      <w:r w:rsidRPr="009C1755">
        <w:rPr>
          <w:color w:val="212121"/>
          <w:sz w:val="24"/>
          <w:szCs w:val="24"/>
          <w:shd w:val="clear" w:color="auto" w:fill="FFFFFF"/>
        </w:rPr>
        <w:br w:type="page"/>
      </w:r>
      <w:r w:rsidRPr="009C1755">
        <w:rPr>
          <w:b/>
          <w:sz w:val="24"/>
          <w:szCs w:val="24"/>
        </w:rPr>
        <w:lastRenderedPageBreak/>
        <w:t>Counsel who argued in Supreme Court (not intended for publication with opinion):</w:t>
      </w:r>
    </w:p>
    <w:p w14:paraId="64AC1E5C" w14:textId="77777777" w:rsidR="009C1755" w:rsidRPr="009C1755" w:rsidRDefault="009C1755" w:rsidP="009C1755">
      <w:pPr>
        <w:spacing w:after="0" w:line="240" w:lineRule="auto"/>
        <w:jc w:val="left"/>
        <w:rPr>
          <w:sz w:val="24"/>
          <w:szCs w:val="24"/>
        </w:rPr>
      </w:pPr>
    </w:p>
    <w:p w14:paraId="3A15964D" w14:textId="77777777" w:rsidR="009C1755" w:rsidRPr="009C1755" w:rsidRDefault="009C1755" w:rsidP="009C1755">
      <w:pPr>
        <w:spacing w:after="0" w:line="240" w:lineRule="auto"/>
        <w:jc w:val="left"/>
        <w:rPr>
          <w:color w:val="212121"/>
          <w:sz w:val="24"/>
          <w:szCs w:val="24"/>
          <w:shd w:val="clear" w:color="auto" w:fill="FFFFFF"/>
        </w:rPr>
      </w:pPr>
      <w:r w:rsidRPr="009C1755">
        <w:rPr>
          <w:color w:val="212121"/>
          <w:sz w:val="24"/>
          <w:szCs w:val="24"/>
          <w:shd w:val="clear" w:color="auto" w:fill="FFFFFF"/>
        </w:rPr>
        <w:t>Bijan Esfandiari</w:t>
      </w:r>
    </w:p>
    <w:p w14:paraId="6933CA82" w14:textId="77777777" w:rsidR="009C1755" w:rsidRPr="009C1755" w:rsidRDefault="009C1755" w:rsidP="009C1755">
      <w:pPr>
        <w:spacing w:after="0" w:line="240" w:lineRule="auto"/>
        <w:jc w:val="left"/>
        <w:rPr>
          <w:sz w:val="24"/>
          <w:szCs w:val="24"/>
        </w:rPr>
      </w:pPr>
      <w:r w:rsidRPr="009C1755">
        <w:rPr>
          <w:sz w:val="24"/>
          <w:szCs w:val="24"/>
        </w:rPr>
        <w:t>Wisner Baum, LLP</w:t>
      </w:r>
    </w:p>
    <w:p w14:paraId="02ECC275" w14:textId="77777777" w:rsidR="009C1755" w:rsidRPr="009C1755" w:rsidRDefault="009C1755" w:rsidP="009C1755">
      <w:pPr>
        <w:spacing w:after="0" w:line="240" w:lineRule="auto"/>
        <w:jc w:val="left"/>
        <w:rPr>
          <w:sz w:val="24"/>
          <w:szCs w:val="24"/>
        </w:rPr>
      </w:pPr>
      <w:r w:rsidRPr="009C1755">
        <w:rPr>
          <w:sz w:val="24"/>
          <w:szCs w:val="24"/>
        </w:rPr>
        <w:t>11111 Santa Monica Boulevard, Suite 1750</w:t>
      </w:r>
    </w:p>
    <w:p w14:paraId="4FECC530" w14:textId="77777777" w:rsidR="009C1755" w:rsidRPr="009C1755" w:rsidRDefault="009C1755" w:rsidP="009C1755">
      <w:pPr>
        <w:spacing w:after="0" w:line="240" w:lineRule="auto"/>
        <w:jc w:val="left"/>
        <w:rPr>
          <w:sz w:val="24"/>
          <w:szCs w:val="24"/>
        </w:rPr>
      </w:pPr>
      <w:r w:rsidRPr="009C1755">
        <w:rPr>
          <w:sz w:val="24"/>
          <w:szCs w:val="24"/>
        </w:rPr>
        <w:t>Los Angeles, CA 90025</w:t>
      </w:r>
    </w:p>
    <w:p w14:paraId="4955B59B" w14:textId="77777777" w:rsidR="009C1755" w:rsidRPr="009C1755" w:rsidRDefault="009C1755" w:rsidP="009C1755">
      <w:pPr>
        <w:spacing w:after="0" w:line="240" w:lineRule="auto"/>
        <w:jc w:val="left"/>
        <w:rPr>
          <w:sz w:val="24"/>
          <w:szCs w:val="24"/>
        </w:rPr>
      </w:pPr>
      <w:r w:rsidRPr="009C1755">
        <w:rPr>
          <w:sz w:val="24"/>
          <w:szCs w:val="24"/>
        </w:rPr>
        <w:t>(310) 207-3233</w:t>
      </w:r>
    </w:p>
    <w:p w14:paraId="7824CCC1" w14:textId="77777777" w:rsidR="009C1755" w:rsidRPr="009C1755" w:rsidRDefault="009C1755" w:rsidP="009C1755">
      <w:pPr>
        <w:spacing w:after="0" w:line="240" w:lineRule="auto"/>
        <w:jc w:val="left"/>
        <w:rPr>
          <w:sz w:val="24"/>
          <w:szCs w:val="24"/>
        </w:rPr>
      </w:pPr>
    </w:p>
    <w:p w14:paraId="36CFF2F6" w14:textId="77777777" w:rsidR="009C1755" w:rsidRPr="009C1755" w:rsidRDefault="009C1755" w:rsidP="009C1755">
      <w:pPr>
        <w:spacing w:after="0" w:line="240" w:lineRule="auto"/>
        <w:jc w:val="left"/>
        <w:rPr>
          <w:color w:val="212121"/>
          <w:sz w:val="24"/>
          <w:szCs w:val="24"/>
          <w:shd w:val="clear" w:color="auto" w:fill="FFFFFF"/>
        </w:rPr>
      </w:pPr>
      <w:r w:rsidRPr="009C1755">
        <w:rPr>
          <w:color w:val="212121"/>
          <w:sz w:val="24"/>
          <w:szCs w:val="24"/>
          <w:shd w:val="clear" w:color="auto" w:fill="FFFFFF"/>
        </w:rPr>
        <w:t xml:space="preserve">Jonathan M. </w:t>
      </w:r>
      <w:proofErr w:type="spellStart"/>
      <w:r w:rsidRPr="009C1755">
        <w:rPr>
          <w:color w:val="212121"/>
          <w:sz w:val="24"/>
          <w:szCs w:val="24"/>
          <w:shd w:val="clear" w:color="auto" w:fill="FFFFFF"/>
        </w:rPr>
        <w:t>Freiman</w:t>
      </w:r>
      <w:proofErr w:type="spellEnd"/>
    </w:p>
    <w:p w14:paraId="62A8A21B" w14:textId="77777777" w:rsidR="009C1755" w:rsidRPr="009C1755" w:rsidRDefault="009C1755" w:rsidP="009C1755">
      <w:pPr>
        <w:spacing w:after="0" w:line="240" w:lineRule="auto"/>
        <w:jc w:val="left"/>
        <w:rPr>
          <w:color w:val="212121"/>
          <w:sz w:val="24"/>
          <w:szCs w:val="24"/>
          <w:shd w:val="clear" w:color="auto" w:fill="FFFFFF"/>
        </w:rPr>
      </w:pPr>
      <w:r w:rsidRPr="009C1755">
        <w:rPr>
          <w:color w:val="212121"/>
          <w:sz w:val="24"/>
          <w:szCs w:val="24"/>
          <w:shd w:val="clear" w:color="auto" w:fill="FFFFFF"/>
        </w:rPr>
        <w:t>Wiggin and Dana LLP</w:t>
      </w:r>
    </w:p>
    <w:p w14:paraId="7A5FBE5F" w14:textId="77777777" w:rsidR="009C1755" w:rsidRPr="009C1755" w:rsidRDefault="009C1755" w:rsidP="009C1755">
      <w:pPr>
        <w:spacing w:after="0" w:line="240" w:lineRule="auto"/>
        <w:jc w:val="left"/>
        <w:rPr>
          <w:color w:val="212121"/>
          <w:sz w:val="24"/>
          <w:szCs w:val="24"/>
          <w:shd w:val="clear" w:color="auto" w:fill="FFFFFF"/>
        </w:rPr>
      </w:pPr>
      <w:r w:rsidRPr="009C1755">
        <w:rPr>
          <w:color w:val="212121"/>
          <w:sz w:val="24"/>
          <w:szCs w:val="24"/>
          <w:shd w:val="clear" w:color="auto" w:fill="FFFFFF"/>
        </w:rPr>
        <w:t>One Century Tower</w:t>
      </w:r>
    </w:p>
    <w:p w14:paraId="4617372D" w14:textId="77777777" w:rsidR="009C1755" w:rsidRPr="009C1755" w:rsidRDefault="009C1755" w:rsidP="009C1755">
      <w:pPr>
        <w:spacing w:after="0" w:line="240" w:lineRule="auto"/>
        <w:jc w:val="left"/>
        <w:rPr>
          <w:color w:val="212121"/>
          <w:sz w:val="24"/>
          <w:szCs w:val="24"/>
          <w:shd w:val="clear" w:color="auto" w:fill="FFFFFF"/>
        </w:rPr>
      </w:pPr>
      <w:r w:rsidRPr="009C1755">
        <w:rPr>
          <w:color w:val="212121"/>
          <w:sz w:val="24"/>
          <w:szCs w:val="24"/>
          <w:shd w:val="clear" w:color="auto" w:fill="FFFFFF"/>
        </w:rPr>
        <w:t>265 Church Street</w:t>
      </w:r>
    </w:p>
    <w:p w14:paraId="03AC8C26" w14:textId="77777777" w:rsidR="009C1755" w:rsidRPr="009C1755" w:rsidRDefault="009C1755" w:rsidP="009C1755">
      <w:pPr>
        <w:spacing w:after="0" w:line="240" w:lineRule="auto"/>
        <w:jc w:val="left"/>
        <w:rPr>
          <w:color w:val="212121"/>
          <w:sz w:val="24"/>
          <w:szCs w:val="24"/>
          <w:shd w:val="clear" w:color="auto" w:fill="FFFFFF"/>
        </w:rPr>
      </w:pPr>
      <w:r w:rsidRPr="009C1755">
        <w:rPr>
          <w:color w:val="212121"/>
          <w:sz w:val="24"/>
          <w:szCs w:val="24"/>
          <w:shd w:val="clear" w:color="auto" w:fill="FFFFFF"/>
        </w:rPr>
        <w:t>New Haven, CT 06510</w:t>
      </w:r>
    </w:p>
    <w:p w14:paraId="0D893645" w14:textId="77777777" w:rsidR="009C1755" w:rsidRPr="009C1755" w:rsidRDefault="009C1755" w:rsidP="009C1755">
      <w:pPr>
        <w:spacing w:after="0" w:line="240" w:lineRule="auto"/>
        <w:jc w:val="left"/>
        <w:rPr>
          <w:sz w:val="24"/>
          <w:szCs w:val="24"/>
        </w:rPr>
      </w:pPr>
      <w:r w:rsidRPr="009C1755">
        <w:rPr>
          <w:color w:val="212121"/>
          <w:sz w:val="24"/>
          <w:szCs w:val="24"/>
          <w:shd w:val="clear" w:color="auto" w:fill="FFFFFF"/>
        </w:rPr>
        <w:t>(203) 498-4584</w:t>
      </w:r>
    </w:p>
    <w:p w14:paraId="69AA1036" w14:textId="77777777" w:rsidR="00A84DF9" w:rsidRPr="008333D8" w:rsidRDefault="00A84DF9" w:rsidP="00DD4FCC">
      <w:pPr>
        <w:tabs>
          <w:tab w:val="left" w:pos="1440"/>
        </w:tabs>
        <w:contextualSpacing/>
        <w:rPr>
          <w:bCs/>
          <w:caps/>
        </w:rPr>
      </w:pPr>
    </w:p>
    <w:sectPr w:rsidR="00A84DF9" w:rsidRPr="008333D8" w:rsidSect="00EC2BB8">
      <w:headerReference w:type="default" r:id="rId11"/>
      <w:footerReference w:type="default" r:id="rId12"/>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1042" w14:textId="77777777" w:rsidR="00AB1EE5" w:rsidRDefault="00AB1EE5">
      <w:pPr>
        <w:spacing w:after="0" w:line="240" w:lineRule="auto"/>
      </w:pPr>
      <w:r>
        <w:separator/>
      </w:r>
    </w:p>
  </w:endnote>
  <w:endnote w:type="continuationSeparator" w:id="0">
    <w:p w14:paraId="69AA1044" w14:textId="77777777" w:rsidR="00AB1EE5" w:rsidRDefault="00AB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103D" w14:textId="77777777" w:rsidR="00167EAC" w:rsidRDefault="00AB1EE5">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103E" w14:textId="77777777" w:rsidR="008333D8" w:rsidRDefault="00AB1EE5">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712D" w14:textId="7F6996CC" w:rsidR="009C1755" w:rsidRPr="009C1755" w:rsidRDefault="009C1755" w:rsidP="009C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A1037" w14:textId="77777777" w:rsidR="0085145C" w:rsidRDefault="00AB1EE5">
      <w:r>
        <w:separator/>
      </w:r>
    </w:p>
  </w:footnote>
  <w:footnote w:type="continuationSeparator" w:id="0">
    <w:p w14:paraId="69AA1038" w14:textId="77777777" w:rsidR="0085145C" w:rsidRDefault="00AB1EE5">
      <w:pPr>
        <w:rPr>
          <w:sz w:val="22"/>
        </w:rPr>
      </w:pPr>
      <w:r>
        <w:continuationSeparator/>
      </w:r>
    </w:p>
  </w:footnote>
  <w:footnote w:type="continuationNotice" w:id="1">
    <w:p w14:paraId="69AA1039" w14:textId="77777777" w:rsidR="0085145C" w:rsidRDefault="0085145C">
      <w:pPr>
        <w:jc w:val="right"/>
        <w:rPr>
          <w:i/>
          <w:sz w:val="20"/>
        </w:rPr>
      </w:pPr>
    </w:p>
  </w:footnote>
  <w:footnote w:id="2">
    <w:p w14:paraId="69AA103F" w14:textId="77777777" w:rsidR="00942D8B" w:rsidRDefault="00AB1EE5" w:rsidP="005B4474">
      <w:pPr>
        <w:pStyle w:val="FootnoteText"/>
      </w:pPr>
      <w:r>
        <w:rPr>
          <w:rStyle w:val="FootnoteReference"/>
        </w:rPr>
        <w:footnoteRef/>
      </w:r>
      <w:r>
        <w:t xml:space="preserve"> </w:t>
      </w:r>
      <w:r>
        <w:tab/>
        <w:t xml:space="preserve">At oral </w:t>
      </w:r>
      <w:r>
        <w:t>argument, Somatics’s counsel a</w:t>
      </w:r>
      <w:r w:rsidR="00971A04">
        <w:t>ssert</w:t>
      </w:r>
      <w:r w:rsidR="00FD783D">
        <w:t>ed</w:t>
      </w:r>
      <w:r>
        <w:t xml:space="preserve"> that the Ninth Circuit erred on this point, </w:t>
      </w:r>
      <w:r w:rsidR="00971A04">
        <w:t xml:space="preserve">claiming </w:t>
      </w:r>
      <w:r>
        <w:t>that the undisputed facts show that Himes’s physician never read any of the informational materials Somatics sent to him.  Counsel further argued that, where the evi</w:t>
      </w:r>
      <w:r>
        <w:t xml:space="preserve">dence shows that a physician would not have read a stronger manufacturer warning, this breaks the causal chain.  </w:t>
      </w:r>
      <w:r w:rsidR="005B4474">
        <w:t>It is not our role, however, to resolve issues of fact upon review of a certified question of law.  (</w:t>
      </w:r>
      <w:r w:rsidR="005B4474" w:rsidRPr="00350A0B">
        <w:rPr>
          <w:i/>
          <w:iCs/>
        </w:rPr>
        <w:t>Vu v. Prudential Property &amp; Casualty Ins. Co.</w:t>
      </w:r>
      <w:r w:rsidR="005B4474">
        <w:t xml:space="preserve"> (2001) 26</w:t>
      </w:r>
      <w:r w:rsidR="00DB040B">
        <w:t> </w:t>
      </w:r>
      <w:r w:rsidR="005B4474">
        <w:t>Cal.4th 1142, 1153 (</w:t>
      </w:r>
      <w:r w:rsidR="005B4474">
        <w:rPr>
          <w:i/>
          <w:iCs/>
        </w:rPr>
        <w:t>Vu</w:t>
      </w:r>
      <w:r w:rsidR="005B4474">
        <w:t>).)  Moreover,</w:t>
      </w:r>
      <w:r w:rsidR="0038356A">
        <w:t xml:space="preserve"> the legal question </w:t>
      </w:r>
      <w:r w:rsidR="005B4474">
        <w:t xml:space="preserve">of whether the causal chain is broken where a physician testifies that he </w:t>
      </w:r>
      <w:r w:rsidR="009E2F1C">
        <w:t xml:space="preserve">or she </w:t>
      </w:r>
      <w:r w:rsidR="005B4474">
        <w:t xml:space="preserve">would not have read or otherwise been alerted to a stronger warning is </w:t>
      </w:r>
      <w:r>
        <w:t>outside of the scope of the certif</w:t>
      </w:r>
      <w:r>
        <w:t>ied question before us.</w:t>
      </w:r>
    </w:p>
  </w:footnote>
  <w:footnote w:id="3">
    <w:p w14:paraId="69AA1040" w14:textId="77777777" w:rsidR="004F1E15" w:rsidRDefault="00AB1EE5">
      <w:pPr>
        <w:pStyle w:val="FootnoteText"/>
      </w:pPr>
      <w:r>
        <w:rPr>
          <w:rStyle w:val="FootnoteReference"/>
        </w:rPr>
        <w:footnoteRef/>
      </w:r>
      <w:r>
        <w:t xml:space="preserve"> </w:t>
      </w:r>
      <w:r>
        <w:tab/>
        <w:t xml:space="preserve">We </w:t>
      </w:r>
      <w:r w:rsidR="00692933">
        <w:t>caution</w:t>
      </w:r>
      <w:r>
        <w:t xml:space="preserve"> that other states’ requirements for proving a failure-to-warn claim in the context of the learned intermediary doctrine may differ from California law, and</w:t>
      </w:r>
      <w:r w:rsidR="00692933">
        <w:t xml:space="preserve"> </w:t>
      </w:r>
      <w:r>
        <w:t>our citation to extra jurisdictional cases</w:t>
      </w:r>
      <w:r w:rsidR="000576A3">
        <w:t xml:space="preserve"> or secondary sources</w:t>
      </w:r>
      <w:r>
        <w:t xml:space="preserve"> in this opinion does not constitute an endorsement of all statements of law set forth </w:t>
      </w:r>
      <w:r w:rsidR="00572BC5">
        <w:t xml:space="preserve">in </w:t>
      </w:r>
      <w:r>
        <w:t>th</w:t>
      </w:r>
      <w:r w:rsidR="00910C2A">
        <w:t>o</w:t>
      </w:r>
      <w:r>
        <w:t xml:space="preserve">se </w:t>
      </w:r>
      <w:r w:rsidR="000576A3">
        <w:t>authorities</w:t>
      </w:r>
      <w:r>
        <w:t xml:space="preserve">.    </w:t>
      </w:r>
    </w:p>
  </w:footnote>
  <w:footnote w:id="4">
    <w:p w14:paraId="69AA1041" w14:textId="77777777" w:rsidR="00276C7F" w:rsidRDefault="00AB1EE5">
      <w:pPr>
        <w:pStyle w:val="FootnoteText"/>
      </w:pPr>
      <w:r>
        <w:rPr>
          <w:rStyle w:val="FootnoteReference"/>
        </w:rPr>
        <w:footnoteRef/>
      </w:r>
      <w:r>
        <w:t xml:space="preserve"> </w:t>
      </w:r>
      <w:r>
        <w:tab/>
      </w:r>
      <w:bookmarkStart w:id="44" w:name="_Hlk168479481"/>
      <w:r w:rsidRPr="00276C7F">
        <w:t xml:space="preserve">We do not address how a physician’s negligence </w:t>
      </w:r>
      <w:r w:rsidR="004F06E6">
        <w:t xml:space="preserve">in reading </w:t>
      </w:r>
      <w:r w:rsidR="00A62353">
        <w:t xml:space="preserve">the manufacturer’s warnings, communicating the risks, or prescribing the treatment to </w:t>
      </w:r>
      <w:r w:rsidR="00420AB7">
        <w:t xml:space="preserve">a </w:t>
      </w:r>
      <w:r w:rsidR="00A62353">
        <w:t xml:space="preserve">patient </w:t>
      </w:r>
      <w:r w:rsidRPr="00276C7F">
        <w:t>might affect this analysis</w:t>
      </w:r>
      <w:r>
        <w:t>.</w:t>
      </w:r>
      <w:bookmarkEnd w:id="44"/>
    </w:p>
  </w:footnote>
  <w:footnote w:id="5">
    <w:p w14:paraId="69AA1042" w14:textId="77777777" w:rsidR="002C2DAD" w:rsidRDefault="00AB1EE5">
      <w:pPr>
        <w:pStyle w:val="FootnoteText"/>
      </w:pPr>
      <w:r>
        <w:rPr>
          <w:rStyle w:val="FootnoteReference"/>
        </w:rPr>
        <w:footnoteRef/>
      </w:r>
      <w:r>
        <w:t xml:space="preserve"> </w:t>
      </w:r>
      <w:r>
        <w:tab/>
        <w:t xml:space="preserve">We herein adopt an objective </w:t>
      </w:r>
      <w:r w:rsidR="001E6BDC">
        <w:t>causation standard</w:t>
      </w:r>
      <w:r>
        <w:t xml:space="preserve"> only in the context of failure-to-warn c</w:t>
      </w:r>
      <w:r w:rsidR="001E6BDC">
        <w:t>laims</w:t>
      </w:r>
      <w:r>
        <w:t xml:space="preserve"> involving prescription drugs or med</w:t>
      </w:r>
      <w:r>
        <w:t>ical devices</w:t>
      </w:r>
      <w:r w:rsidR="001E6BDC">
        <w:t>,</w:t>
      </w:r>
      <w:r>
        <w:t xml:space="preserve"> and</w:t>
      </w:r>
      <w:r w:rsidR="001E6BDC">
        <w:t xml:space="preserve"> we</w:t>
      </w:r>
      <w:r>
        <w:t xml:space="preserve"> express no view on whether it might apply </w:t>
      </w:r>
      <w:r w:rsidR="001E6BDC">
        <w:t xml:space="preserve">to other failure-to-warn claims.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103A" w14:textId="77777777" w:rsidR="008333D8" w:rsidRDefault="00AB1EE5">
    <w:pPr>
      <w:pStyle w:val="Header"/>
    </w:pPr>
    <w:r>
      <w:t>HIMES v. SOMATICS, LLC</w:t>
    </w:r>
  </w:p>
  <w:p w14:paraId="69AA103B" w14:textId="77777777" w:rsidR="008333D8" w:rsidRDefault="00AB1EE5">
    <w:pPr>
      <w:pStyle w:val="Header"/>
    </w:pPr>
    <w:r>
      <w:t>Opinion of the Court by Groban, J.</w:t>
    </w:r>
  </w:p>
  <w:p w14:paraId="69AA103C" w14:textId="77777777" w:rsidR="008333D8" w:rsidRDefault="00833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5EEB" w14:textId="77777777" w:rsidR="009C1755" w:rsidRPr="009C1755" w:rsidRDefault="009C1755" w:rsidP="009C1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BE9"/>
    <w:multiLevelType w:val="hybridMultilevel"/>
    <w:tmpl w:val="6D000100"/>
    <w:lvl w:ilvl="0" w:tplc="3BACA448">
      <w:start w:val="1"/>
      <w:numFmt w:val="decimal"/>
      <w:lvlText w:val="%1."/>
      <w:lvlJc w:val="left"/>
      <w:pPr>
        <w:ind w:left="720" w:hanging="360"/>
      </w:pPr>
      <w:rPr>
        <w:rFonts w:hint="default"/>
      </w:rPr>
    </w:lvl>
    <w:lvl w:ilvl="1" w:tplc="D2B89244" w:tentative="1">
      <w:start w:val="1"/>
      <w:numFmt w:val="lowerLetter"/>
      <w:lvlText w:val="%2."/>
      <w:lvlJc w:val="left"/>
      <w:pPr>
        <w:ind w:left="1440" w:hanging="360"/>
      </w:pPr>
    </w:lvl>
    <w:lvl w:ilvl="2" w:tplc="C0AC0AE0" w:tentative="1">
      <w:start w:val="1"/>
      <w:numFmt w:val="lowerRoman"/>
      <w:lvlText w:val="%3."/>
      <w:lvlJc w:val="right"/>
      <w:pPr>
        <w:ind w:left="2160" w:hanging="180"/>
      </w:pPr>
    </w:lvl>
    <w:lvl w:ilvl="3" w:tplc="865C0E7E" w:tentative="1">
      <w:start w:val="1"/>
      <w:numFmt w:val="decimal"/>
      <w:lvlText w:val="%4."/>
      <w:lvlJc w:val="left"/>
      <w:pPr>
        <w:ind w:left="2880" w:hanging="360"/>
      </w:pPr>
    </w:lvl>
    <w:lvl w:ilvl="4" w:tplc="58343AB8" w:tentative="1">
      <w:start w:val="1"/>
      <w:numFmt w:val="lowerLetter"/>
      <w:lvlText w:val="%5."/>
      <w:lvlJc w:val="left"/>
      <w:pPr>
        <w:ind w:left="3600" w:hanging="360"/>
      </w:pPr>
    </w:lvl>
    <w:lvl w:ilvl="5" w:tplc="066A86C4" w:tentative="1">
      <w:start w:val="1"/>
      <w:numFmt w:val="lowerRoman"/>
      <w:lvlText w:val="%6."/>
      <w:lvlJc w:val="right"/>
      <w:pPr>
        <w:ind w:left="4320" w:hanging="180"/>
      </w:pPr>
    </w:lvl>
    <w:lvl w:ilvl="6" w:tplc="AB601010" w:tentative="1">
      <w:start w:val="1"/>
      <w:numFmt w:val="decimal"/>
      <w:lvlText w:val="%7."/>
      <w:lvlJc w:val="left"/>
      <w:pPr>
        <w:ind w:left="5040" w:hanging="360"/>
      </w:pPr>
    </w:lvl>
    <w:lvl w:ilvl="7" w:tplc="748C9D90" w:tentative="1">
      <w:start w:val="1"/>
      <w:numFmt w:val="lowerLetter"/>
      <w:lvlText w:val="%8."/>
      <w:lvlJc w:val="left"/>
      <w:pPr>
        <w:ind w:left="5760" w:hanging="360"/>
      </w:pPr>
    </w:lvl>
    <w:lvl w:ilvl="8" w:tplc="207E0AB0" w:tentative="1">
      <w:start w:val="1"/>
      <w:numFmt w:val="lowerRoman"/>
      <w:lvlText w:val="%9."/>
      <w:lvlJc w:val="right"/>
      <w:pPr>
        <w:ind w:left="6480" w:hanging="180"/>
      </w:pPr>
    </w:lvl>
  </w:abstractNum>
  <w:num w:numId="1" w16cid:durableId="771241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removePersonalInformation/>
  <w:removeDateAndTime/>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7C"/>
    <w:rsid w:val="000007B5"/>
    <w:rsid w:val="00000EA2"/>
    <w:rsid w:val="0000368F"/>
    <w:rsid w:val="00007841"/>
    <w:rsid w:val="000079BE"/>
    <w:rsid w:val="00007FBE"/>
    <w:rsid w:val="00012C2F"/>
    <w:rsid w:val="00013B52"/>
    <w:rsid w:val="000170B0"/>
    <w:rsid w:val="0001738A"/>
    <w:rsid w:val="00020EF1"/>
    <w:rsid w:val="00022648"/>
    <w:rsid w:val="00023ED8"/>
    <w:rsid w:val="00026D49"/>
    <w:rsid w:val="00027D5E"/>
    <w:rsid w:val="000307C9"/>
    <w:rsid w:val="00031ADC"/>
    <w:rsid w:val="00032CCF"/>
    <w:rsid w:val="0003554B"/>
    <w:rsid w:val="000363AA"/>
    <w:rsid w:val="00036672"/>
    <w:rsid w:val="00037403"/>
    <w:rsid w:val="00053431"/>
    <w:rsid w:val="00055917"/>
    <w:rsid w:val="000576A3"/>
    <w:rsid w:val="00061C02"/>
    <w:rsid w:val="0006214B"/>
    <w:rsid w:val="00062841"/>
    <w:rsid w:val="00062C89"/>
    <w:rsid w:val="00063561"/>
    <w:rsid w:val="0006727C"/>
    <w:rsid w:val="00070714"/>
    <w:rsid w:val="00071E4B"/>
    <w:rsid w:val="00072604"/>
    <w:rsid w:val="000728CD"/>
    <w:rsid w:val="00073051"/>
    <w:rsid w:val="00073B1B"/>
    <w:rsid w:val="00074577"/>
    <w:rsid w:val="00075393"/>
    <w:rsid w:val="00076866"/>
    <w:rsid w:val="00076AF8"/>
    <w:rsid w:val="00077904"/>
    <w:rsid w:val="00080F98"/>
    <w:rsid w:val="000821BB"/>
    <w:rsid w:val="00082A5C"/>
    <w:rsid w:val="00084875"/>
    <w:rsid w:val="00087D20"/>
    <w:rsid w:val="00096392"/>
    <w:rsid w:val="000971D5"/>
    <w:rsid w:val="000A0053"/>
    <w:rsid w:val="000A0CD1"/>
    <w:rsid w:val="000A5040"/>
    <w:rsid w:val="000A5671"/>
    <w:rsid w:val="000A5D6F"/>
    <w:rsid w:val="000A634A"/>
    <w:rsid w:val="000A6FCF"/>
    <w:rsid w:val="000B0313"/>
    <w:rsid w:val="000B11B7"/>
    <w:rsid w:val="000B16F1"/>
    <w:rsid w:val="000B27C3"/>
    <w:rsid w:val="000B63BA"/>
    <w:rsid w:val="000C09E9"/>
    <w:rsid w:val="000C2FC9"/>
    <w:rsid w:val="000C369D"/>
    <w:rsid w:val="000C49C1"/>
    <w:rsid w:val="000C5459"/>
    <w:rsid w:val="000C5890"/>
    <w:rsid w:val="000C5B18"/>
    <w:rsid w:val="000C7118"/>
    <w:rsid w:val="000C7AAE"/>
    <w:rsid w:val="000C7D11"/>
    <w:rsid w:val="000D4497"/>
    <w:rsid w:val="000D5689"/>
    <w:rsid w:val="000D5894"/>
    <w:rsid w:val="000D6B17"/>
    <w:rsid w:val="000D789C"/>
    <w:rsid w:val="000E2A1F"/>
    <w:rsid w:val="000E58C3"/>
    <w:rsid w:val="000E6982"/>
    <w:rsid w:val="000E79C3"/>
    <w:rsid w:val="000F0F1E"/>
    <w:rsid w:val="000F14B1"/>
    <w:rsid w:val="000F400A"/>
    <w:rsid w:val="000F41DC"/>
    <w:rsid w:val="000F50F0"/>
    <w:rsid w:val="000F67B1"/>
    <w:rsid w:val="00100ED5"/>
    <w:rsid w:val="00101DB4"/>
    <w:rsid w:val="00102F2B"/>
    <w:rsid w:val="0010394A"/>
    <w:rsid w:val="00104CDD"/>
    <w:rsid w:val="00106C7B"/>
    <w:rsid w:val="0011511A"/>
    <w:rsid w:val="001163AA"/>
    <w:rsid w:val="001170E1"/>
    <w:rsid w:val="001220E5"/>
    <w:rsid w:val="001234F4"/>
    <w:rsid w:val="0012370D"/>
    <w:rsid w:val="00123877"/>
    <w:rsid w:val="001258B5"/>
    <w:rsid w:val="00125CE9"/>
    <w:rsid w:val="00126D6D"/>
    <w:rsid w:val="001323A4"/>
    <w:rsid w:val="001334E9"/>
    <w:rsid w:val="001336B5"/>
    <w:rsid w:val="00135E2A"/>
    <w:rsid w:val="00137CF8"/>
    <w:rsid w:val="00141BE0"/>
    <w:rsid w:val="00143D0B"/>
    <w:rsid w:val="001461D2"/>
    <w:rsid w:val="00147585"/>
    <w:rsid w:val="001506D8"/>
    <w:rsid w:val="00150991"/>
    <w:rsid w:val="001510EE"/>
    <w:rsid w:val="00152465"/>
    <w:rsid w:val="00157EB5"/>
    <w:rsid w:val="001601A4"/>
    <w:rsid w:val="0016177D"/>
    <w:rsid w:val="00165406"/>
    <w:rsid w:val="00166E29"/>
    <w:rsid w:val="001674D4"/>
    <w:rsid w:val="00167EAC"/>
    <w:rsid w:val="00170C8B"/>
    <w:rsid w:val="001735E1"/>
    <w:rsid w:val="00174B34"/>
    <w:rsid w:val="00174C35"/>
    <w:rsid w:val="00176BF7"/>
    <w:rsid w:val="001801CA"/>
    <w:rsid w:val="00180BA1"/>
    <w:rsid w:val="00181A05"/>
    <w:rsid w:val="00181E9E"/>
    <w:rsid w:val="00182B80"/>
    <w:rsid w:val="00185D70"/>
    <w:rsid w:val="00186A48"/>
    <w:rsid w:val="00187ADC"/>
    <w:rsid w:val="00192402"/>
    <w:rsid w:val="00192B33"/>
    <w:rsid w:val="001950B1"/>
    <w:rsid w:val="00195744"/>
    <w:rsid w:val="00195A19"/>
    <w:rsid w:val="00195C68"/>
    <w:rsid w:val="001979DB"/>
    <w:rsid w:val="001A04E7"/>
    <w:rsid w:val="001A0DBA"/>
    <w:rsid w:val="001A276C"/>
    <w:rsid w:val="001A417F"/>
    <w:rsid w:val="001A4E05"/>
    <w:rsid w:val="001B03C2"/>
    <w:rsid w:val="001B3F1F"/>
    <w:rsid w:val="001B4319"/>
    <w:rsid w:val="001B44B3"/>
    <w:rsid w:val="001B783B"/>
    <w:rsid w:val="001B7A56"/>
    <w:rsid w:val="001C0BBA"/>
    <w:rsid w:val="001C1E89"/>
    <w:rsid w:val="001C33FA"/>
    <w:rsid w:val="001C6447"/>
    <w:rsid w:val="001C6B86"/>
    <w:rsid w:val="001C7F09"/>
    <w:rsid w:val="001D11C2"/>
    <w:rsid w:val="001D2750"/>
    <w:rsid w:val="001D5FB3"/>
    <w:rsid w:val="001E429F"/>
    <w:rsid w:val="001E51D5"/>
    <w:rsid w:val="001E6BDC"/>
    <w:rsid w:val="001E7575"/>
    <w:rsid w:val="001F00B9"/>
    <w:rsid w:val="001F097A"/>
    <w:rsid w:val="001F1E5C"/>
    <w:rsid w:val="001F26C5"/>
    <w:rsid w:val="001F2A50"/>
    <w:rsid w:val="001F3C3B"/>
    <w:rsid w:val="001F4D63"/>
    <w:rsid w:val="001F5C4F"/>
    <w:rsid w:val="001F66E8"/>
    <w:rsid w:val="001F6C57"/>
    <w:rsid w:val="002015F2"/>
    <w:rsid w:val="00201FC9"/>
    <w:rsid w:val="00204053"/>
    <w:rsid w:val="00206F38"/>
    <w:rsid w:val="00211D3E"/>
    <w:rsid w:val="002129CD"/>
    <w:rsid w:val="00213FB6"/>
    <w:rsid w:val="00215CAD"/>
    <w:rsid w:val="00217C33"/>
    <w:rsid w:val="00221D8C"/>
    <w:rsid w:val="00222EF4"/>
    <w:rsid w:val="00224423"/>
    <w:rsid w:val="00233B98"/>
    <w:rsid w:val="00241336"/>
    <w:rsid w:val="002413E1"/>
    <w:rsid w:val="00241D77"/>
    <w:rsid w:val="00243B76"/>
    <w:rsid w:val="00251E96"/>
    <w:rsid w:val="00252E77"/>
    <w:rsid w:val="00254C3B"/>
    <w:rsid w:val="0025635A"/>
    <w:rsid w:val="00261BB5"/>
    <w:rsid w:val="00271622"/>
    <w:rsid w:val="00272181"/>
    <w:rsid w:val="00275FB7"/>
    <w:rsid w:val="00276354"/>
    <w:rsid w:val="002766DB"/>
    <w:rsid w:val="00276C7F"/>
    <w:rsid w:val="002776BC"/>
    <w:rsid w:val="00280E45"/>
    <w:rsid w:val="00284787"/>
    <w:rsid w:val="00285143"/>
    <w:rsid w:val="00286A7E"/>
    <w:rsid w:val="00291B86"/>
    <w:rsid w:val="00293C37"/>
    <w:rsid w:val="00294581"/>
    <w:rsid w:val="00294BD1"/>
    <w:rsid w:val="00296B33"/>
    <w:rsid w:val="002A1388"/>
    <w:rsid w:val="002A62F6"/>
    <w:rsid w:val="002B39F9"/>
    <w:rsid w:val="002B4982"/>
    <w:rsid w:val="002B515C"/>
    <w:rsid w:val="002B5712"/>
    <w:rsid w:val="002B7EF6"/>
    <w:rsid w:val="002C1FBE"/>
    <w:rsid w:val="002C20FB"/>
    <w:rsid w:val="002C2DAD"/>
    <w:rsid w:val="002C4E9E"/>
    <w:rsid w:val="002C6554"/>
    <w:rsid w:val="002C7D80"/>
    <w:rsid w:val="002D2D84"/>
    <w:rsid w:val="002D3A4E"/>
    <w:rsid w:val="002D4408"/>
    <w:rsid w:val="002D5018"/>
    <w:rsid w:val="002D76FC"/>
    <w:rsid w:val="002E021C"/>
    <w:rsid w:val="002E1752"/>
    <w:rsid w:val="002E4870"/>
    <w:rsid w:val="002E5142"/>
    <w:rsid w:val="002E584C"/>
    <w:rsid w:val="002E7BDC"/>
    <w:rsid w:val="002F0EA2"/>
    <w:rsid w:val="002F3296"/>
    <w:rsid w:val="002F6E17"/>
    <w:rsid w:val="002F6F7A"/>
    <w:rsid w:val="002F798F"/>
    <w:rsid w:val="00300AB3"/>
    <w:rsid w:val="0030134D"/>
    <w:rsid w:val="00301AB4"/>
    <w:rsid w:val="00301AD3"/>
    <w:rsid w:val="00301B09"/>
    <w:rsid w:val="00303B1E"/>
    <w:rsid w:val="0030417E"/>
    <w:rsid w:val="003048B3"/>
    <w:rsid w:val="00306341"/>
    <w:rsid w:val="00307247"/>
    <w:rsid w:val="00307A3C"/>
    <w:rsid w:val="00310AED"/>
    <w:rsid w:val="00313861"/>
    <w:rsid w:val="00315175"/>
    <w:rsid w:val="00323D55"/>
    <w:rsid w:val="00324A15"/>
    <w:rsid w:val="0033197A"/>
    <w:rsid w:val="00334C39"/>
    <w:rsid w:val="0033509A"/>
    <w:rsid w:val="0033728F"/>
    <w:rsid w:val="003379BC"/>
    <w:rsid w:val="00337DBD"/>
    <w:rsid w:val="0034021D"/>
    <w:rsid w:val="00344A58"/>
    <w:rsid w:val="0034525C"/>
    <w:rsid w:val="00350A0B"/>
    <w:rsid w:val="00350BF9"/>
    <w:rsid w:val="00353003"/>
    <w:rsid w:val="00353F0D"/>
    <w:rsid w:val="00354561"/>
    <w:rsid w:val="0035496B"/>
    <w:rsid w:val="003563A2"/>
    <w:rsid w:val="003567E5"/>
    <w:rsid w:val="00362E49"/>
    <w:rsid w:val="00366192"/>
    <w:rsid w:val="003678F7"/>
    <w:rsid w:val="00370F9E"/>
    <w:rsid w:val="00372EAE"/>
    <w:rsid w:val="0037517B"/>
    <w:rsid w:val="0038356A"/>
    <w:rsid w:val="00383F0B"/>
    <w:rsid w:val="00384239"/>
    <w:rsid w:val="00385D48"/>
    <w:rsid w:val="003860A0"/>
    <w:rsid w:val="00386C2E"/>
    <w:rsid w:val="003903B6"/>
    <w:rsid w:val="00393806"/>
    <w:rsid w:val="003958DE"/>
    <w:rsid w:val="003A0E4D"/>
    <w:rsid w:val="003A681D"/>
    <w:rsid w:val="003B123E"/>
    <w:rsid w:val="003B4480"/>
    <w:rsid w:val="003B5789"/>
    <w:rsid w:val="003B6FB5"/>
    <w:rsid w:val="003C05E3"/>
    <w:rsid w:val="003C0A0D"/>
    <w:rsid w:val="003C23AF"/>
    <w:rsid w:val="003C3301"/>
    <w:rsid w:val="003C3C24"/>
    <w:rsid w:val="003C5295"/>
    <w:rsid w:val="003C5525"/>
    <w:rsid w:val="003C5718"/>
    <w:rsid w:val="003D0D59"/>
    <w:rsid w:val="003D1F5F"/>
    <w:rsid w:val="003D210D"/>
    <w:rsid w:val="003D374C"/>
    <w:rsid w:val="003D76C2"/>
    <w:rsid w:val="003E0FF5"/>
    <w:rsid w:val="003E15C6"/>
    <w:rsid w:val="003E2B3F"/>
    <w:rsid w:val="003E36FB"/>
    <w:rsid w:val="003E437A"/>
    <w:rsid w:val="003F4298"/>
    <w:rsid w:val="003F712C"/>
    <w:rsid w:val="00400018"/>
    <w:rsid w:val="0040169C"/>
    <w:rsid w:val="004020DD"/>
    <w:rsid w:val="00404069"/>
    <w:rsid w:val="004041BA"/>
    <w:rsid w:val="00404A57"/>
    <w:rsid w:val="004054D0"/>
    <w:rsid w:val="00415D7F"/>
    <w:rsid w:val="00420AB7"/>
    <w:rsid w:val="00423107"/>
    <w:rsid w:val="00425F38"/>
    <w:rsid w:val="00426AFF"/>
    <w:rsid w:val="00431781"/>
    <w:rsid w:val="0043472D"/>
    <w:rsid w:val="00437209"/>
    <w:rsid w:val="004404C6"/>
    <w:rsid w:val="00445B8C"/>
    <w:rsid w:val="004478C3"/>
    <w:rsid w:val="00447D18"/>
    <w:rsid w:val="00453331"/>
    <w:rsid w:val="004550E2"/>
    <w:rsid w:val="00456B18"/>
    <w:rsid w:val="004610D6"/>
    <w:rsid w:val="0046286A"/>
    <w:rsid w:val="004639DE"/>
    <w:rsid w:val="004643DB"/>
    <w:rsid w:val="004645A2"/>
    <w:rsid w:val="00466D03"/>
    <w:rsid w:val="0047081C"/>
    <w:rsid w:val="0047623E"/>
    <w:rsid w:val="00484C18"/>
    <w:rsid w:val="00485044"/>
    <w:rsid w:val="00487C4C"/>
    <w:rsid w:val="004940A2"/>
    <w:rsid w:val="00495620"/>
    <w:rsid w:val="004A15F0"/>
    <w:rsid w:val="004A6229"/>
    <w:rsid w:val="004B02CC"/>
    <w:rsid w:val="004B1111"/>
    <w:rsid w:val="004B3980"/>
    <w:rsid w:val="004B4091"/>
    <w:rsid w:val="004B452E"/>
    <w:rsid w:val="004B6DDB"/>
    <w:rsid w:val="004B78B4"/>
    <w:rsid w:val="004C01CA"/>
    <w:rsid w:val="004C074F"/>
    <w:rsid w:val="004C0919"/>
    <w:rsid w:val="004C1040"/>
    <w:rsid w:val="004C147E"/>
    <w:rsid w:val="004C22BC"/>
    <w:rsid w:val="004C55A9"/>
    <w:rsid w:val="004C56BF"/>
    <w:rsid w:val="004C5E2D"/>
    <w:rsid w:val="004C6A90"/>
    <w:rsid w:val="004D045A"/>
    <w:rsid w:val="004D0624"/>
    <w:rsid w:val="004D2E9B"/>
    <w:rsid w:val="004D56A7"/>
    <w:rsid w:val="004D5838"/>
    <w:rsid w:val="004D68A4"/>
    <w:rsid w:val="004D6D12"/>
    <w:rsid w:val="004E220F"/>
    <w:rsid w:val="004E4B85"/>
    <w:rsid w:val="004E61E3"/>
    <w:rsid w:val="004E6F8A"/>
    <w:rsid w:val="004E77F7"/>
    <w:rsid w:val="004F06E6"/>
    <w:rsid w:val="004F0B77"/>
    <w:rsid w:val="004F1E15"/>
    <w:rsid w:val="004F5E41"/>
    <w:rsid w:val="004F6074"/>
    <w:rsid w:val="004F678B"/>
    <w:rsid w:val="0050033C"/>
    <w:rsid w:val="0050136B"/>
    <w:rsid w:val="00501787"/>
    <w:rsid w:val="0050209A"/>
    <w:rsid w:val="0050221E"/>
    <w:rsid w:val="0050247F"/>
    <w:rsid w:val="0050253E"/>
    <w:rsid w:val="00503B9E"/>
    <w:rsid w:val="00503FB2"/>
    <w:rsid w:val="00505762"/>
    <w:rsid w:val="00512003"/>
    <w:rsid w:val="00512A14"/>
    <w:rsid w:val="00516585"/>
    <w:rsid w:val="0052170E"/>
    <w:rsid w:val="00521D9D"/>
    <w:rsid w:val="005243AD"/>
    <w:rsid w:val="005253CA"/>
    <w:rsid w:val="00525BBF"/>
    <w:rsid w:val="00531089"/>
    <w:rsid w:val="0053392B"/>
    <w:rsid w:val="0053433B"/>
    <w:rsid w:val="00535054"/>
    <w:rsid w:val="005359A3"/>
    <w:rsid w:val="0053601A"/>
    <w:rsid w:val="0053654A"/>
    <w:rsid w:val="00537D72"/>
    <w:rsid w:val="00540089"/>
    <w:rsid w:val="0054241D"/>
    <w:rsid w:val="0054413C"/>
    <w:rsid w:val="0054442B"/>
    <w:rsid w:val="00545226"/>
    <w:rsid w:val="00545461"/>
    <w:rsid w:val="00546EDE"/>
    <w:rsid w:val="005475CA"/>
    <w:rsid w:val="005510D7"/>
    <w:rsid w:val="0055649A"/>
    <w:rsid w:val="005602EC"/>
    <w:rsid w:val="00562F1C"/>
    <w:rsid w:val="00563A4E"/>
    <w:rsid w:val="00564C79"/>
    <w:rsid w:val="005666F0"/>
    <w:rsid w:val="00567BAB"/>
    <w:rsid w:val="005702BC"/>
    <w:rsid w:val="005712D6"/>
    <w:rsid w:val="005713F6"/>
    <w:rsid w:val="0057175D"/>
    <w:rsid w:val="00572BC5"/>
    <w:rsid w:val="005737DF"/>
    <w:rsid w:val="00573C9A"/>
    <w:rsid w:val="00574C84"/>
    <w:rsid w:val="0057573D"/>
    <w:rsid w:val="00575D24"/>
    <w:rsid w:val="00577872"/>
    <w:rsid w:val="00580EC9"/>
    <w:rsid w:val="005827BD"/>
    <w:rsid w:val="005842CF"/>
    <w:rsid w:val="00586D14"/>
    <w:rsid w:val="00591750"/>
    <w:rsid w:val="005936BA"/>
    <w:rsid w:val="00594363"/>
    <w:rsid w:val="005970B8"/>
    <w:rsid w:val="0059738B"/>
    <w:rsid w:val="005A0186"/>
    <w:rsid w:val="005A34EB"/>
    <w:rsid w:val="005A4112"/>
    <w:rsid w:val="005B21EE"/>
    <w:rsid w:val="005B3258"/>
    <w:rsid w:val="005B4474"/>
    <w:rsid w:val="005B4BD1"/>
    <w:rsid w:val="005B6F7D"/>
    <w:rsid w:val="005C4862"/>
    <w:rsid w:val="005C4929"/>
    <w:rsid w:val="005D00E4"/>
    <w:rsid w:val="005D4742"/>
    <w:rsid w:val="005D5623"/>
    <w:rsid w:val="005D5B0A"/>
    <w:rsid w:val="005D6E4F"/>
    <w:rsid w:val="005D79DF"/>
    <w:rsid w:val="005D7B7A"/>
    <w:rsid w:val="005E0EB2"/>
    <w:rsid w:val="005E2F21"/>
    <w:rsid w:val="005E3A47"/>
    <w:rsid w:val="005E5D69"/>
    <w:rsid w:val="005F0071"/>
    <w:rsid w:val="005F0BDF"/>
    <w:rsid w:val="005F31F4"/>
    <w:rsid w:val="005F4BD8"/>
    <w:rsid w:val="005F5A1E"/>
    <w:rsid w:val="005F5A2C"/>
    <w:rsid w:val="005F5B84"/>
    <w:rsid w:val="00602302"/>
    <w:rsid w:val="00607E64"/>
    <w:rsid w:val="00611D75"/>
    <w:rsid w:val="00612CC7"/>
    <w:rsid w:val="00612DA5"/>
    <w:rsid w:val="006154B7"/>
    <w:rsid w:val="00616200"/>
    <w:rsid w:val="006212C1"/>
    <w:rsid w:val="006222B7"/>
    <w:rsid w:val="00623871"/>
    <w:rsid w:val="00623DAD"/>
    <w:rsid w:val="006243DB"/>
    <w:rsid w:val="006244B6"/>
    <w:rsid w:val="0062648C"/>
    <w:rsid w:val="006305D5"/>
    <w:rsid w:val="00632274"/>
    <w:rsid w:val="00636C07"/>
    <w:rsid w:val="00637EC2"/>
    <w:rsid w:val="0064206E"/>
    <w:rsid w:val="0064608D"/>
    <w:rsid w:val="006504E7"/>
    <w:rsid w:val="00651E63"/>
    <w:rsid w:val="0065468A"/>
    <w:rsid w:val="0066082C"/>
    <w:rsid w:val="006630F8"/>
    <w:rsid w:val="00670872"/>
    <w:rsid w:val="006717A5"/>
    <w:rsid w:val="006720AA"/>
    <w:rsid w:val="00674874"/>
    <w:rsid w:val="00674CD9"/>
    <w:rsid w:val="00675E1F"/>
    <w:rsid w:val="00680334"/>
    <w:rsid w:val="006834A1"/>
    <w:rsid w:val="006864CA"/>
    <w:rsid w:val="00687AFB"/>
    <w:rsid w:val="00691F86"/>
    <w:rsid w:val="00692933"/>
    <w:rsid w:val="006935ED"/>
    <w:rsid w:val="00694DF9"/>
    <w:rsid w:val="00696FBB"/>
    <w:rsid w:val="006A2794"/>
    <w:rsid w:val="006A4B8A"/>
    <w:rsid w:val="006A5005"/>
    <w:rsid w:val="006A5F50"/>
    <w:rsid w:val="006B1744"/>
    <w:rsid w:val="006B3A71"/>
    <w:rsid w:val="006B6487"/>
    <w:rsid w:val="006B7EB5"/>
    <w:rsid w:val="006C1AC9"/>
    <w:rsid w:val="006C3844"/>
    <w:rsid w:val="006C3E84"/>
    <w:rsid w:val="006C6BBC"/>
    <w:rsid w:val="006C70B7"/>
    <w:rsid w:val="006C74DF"/>
    <w:rsid w:val="006C7855"/>
    <w:rsid w:val="006C79BA"/>
    <w:rsid w:val="006D3A63"/>
    <w:rsid w:val="006D3FE0"/>
    <w:rsid w:val="006D4FAE"/>
    <w:rsid w:val="006D6A45"/>
    <w:rsid w:val="006D6D1F"/>
    <w:rsid w:val="006D6DF6"/>
    <w:rsid w:val="006E38B9"/>
    <w:rsid w:val="006E3FFF"/>
    <w:rsid w:val="006E4E9F"/>
    <w:rsid w:val="006E71E3"/>
    <w:rsid w:val="006F2421"/>
    <w:rsid w:val="006F6C67"/>
    <w:rsid w:val="00700751"/>
    <w:rsid w:val="0070765D"/>
    <w:rsid w:val="00711A93"/>
    <w:rsid w:val="00712F02"/>
    <w:rsid w:val="00713086"/>
    <w:rsid w:val="007170F9"/>
    <w:rsid w:val="0072311C"/>
    <w:rsid w:val="00723B8D"/>
    <w:rsid w:val="007242FD"/>
    <w:rsid w:val="007244C4"/>
    <w:rsid w:val="00725132"/>
    <w:rsid w:val="00727843"/>
    <w:rsid w:val="00727EAC"/>
    <w:rsid w:val="007302E4"/>
    <w:rsid w:val="007304E7"/>
    <w:rsid w:val="00730B61"/>
    <w:rsid w:val="00730CDA"/>
    <w:rsid w:val="007311C2"/>
    <w:rsid w:val="007347E1"/>
    <w:rsid w:val="007368E5"/>
    <w:rsid w:val="0074358A"/>
    <w:rsid w:val="00743A70"/>
    <w:rsid w:val="00753E22"/>
    <w:rsid w:val="00754C9A"/>
    <w:rsid w:val="00755C8A"/>
    <w:rsid w:val="0075742B"/>
    <w:rsid w:val="007607B6"/>
    <w:rsid w:val="007613E3"/>
    <w:rsid w:val="00761A69"/>
    <w:rsid w:val="0076241B"/>
    <w:rsid w:val="0076268D"/>
    <w:rsid w:val="00766345"/>
    <w:rsid w:val="00767CAD"/>
    <w:rsid w:val="00767FB0"/>
    <w:rsid w:val="00775493"/>
    <w:rsid w:val="007755F9"/>
    <w:rsid w:val="007803E2"/>
    <w:rsid w:val="00781B4F"/>
    <w:rsid w:val="007832F0"/>
    <w:rsid w:val="007868C4"/>
    <w:rsid w:val="007A404C"/>
    <w:rsid w:val="007A43CD"/>
    <w:rsid w:val="007A51B0"/>
    <w:rsid w:val="007A600F"/>
    <w:rsid w:val="007A6C0E"/>
    <w:rsid w:val="007A7D1B"/>
    <w:rsid w:val="007B1168"/>
    <w:rsid w:val="007B1B33"/>
    <w:rsid w:val="007B1EE5"/>
    <w:rsid w:val="007C2726"/>
    <w:rsid w:val="007C49B6"/>
    <w:rsid w:val="007C4E31"/>
    <w:rsid w:val="007C6A94"/>
    <w:rsid w:val="007C7D18"/>
    <w:rsid w:val="007D3C8A"/>
    <w:rsid w:val="007E123A"/>
    <w:rsid w:val="007E13DE"/>
    <w:rsid w:val="007E43C2"/>
    <w:rsid w:val="007E5755"/>
    <w:rsid w:val="007F082F"/>
    <w:rsid w:val="007F0E7D"/>
    <w:rsid w:val="007F1C55"/>
    <w:rsid w:val="007F3555"/>
    <w:rsid w:val="007F510F"/>
    <w:rsid w:val="00800CDB"/>
    <w:rsid w:val="0080131E"/>
    <w:rsid w:val="00801787"/>
    <w:rsid w:val="008021D1"/>
    <w:rsid w:val="00803132"/>
    <w:rsid w:val="00805FFA"/>
    <w:rsid w:val="0080772C"/>
    <w:rsid w:val="0081087E"/>
    <w:rsid w:val="008129DD"/>
    <w:rsid w:val="0081355B"/>
    <w:rsid w:val="00813CEF"/>
    <w:rsid w:val="008160A4"/>
    <w:rsid w:val="008164D8"/>
    <w:rsid w:val="0082121E"/>
    <w:rsid w:val="00823081"/>
    <w:rsid w:val="008235C4"/>
    <w:rsid w:val="00823B9D"/>
    <w:rsid w:val="0082517A"/>
    <w:rsid w:val="00825C31"/>
    <w:rsid w:val="008273F8"/>
    <w:rsid w:val="008309E4"/>
    <w:rsid w:val="008310EE"/>
    <w:rsid w:val="008333D8"/>
    <w:rsid w:val="00833CD2"/>
    <w:rsid w:val="00834821"/>
    <w:rsid w:val="00841858"/>
    <w:rsid w:val="0084199D"/>
    <w:rsid w:val="00843036"/>
    <w:rsid w:val="008443DF"/>
    <w:rsid w:val="0084471E"/>
    <w:rsid w:val="0084599A"/>
    <w:rsid w:val="00847DF0"/>
    <w:rsid w:val="0085082A"/>
    <w:rsid w:val="00850F81"/>
    <w:rsid w:val="0085145C"/>
    <w:rsid w:val="00851658"/>
    <w:rsid w:val="00853539"/>
    <w:rsid w:val="00853D6F"/>
    <w:rsid w:val="00854E75"/>
    <w:rsid w:val="0086016B"/>
    <w:rsid w:val="008629CE"/>
    <w:rsid w:val="00864E0B"/>
    <w:rsid w:val="00865A1D"/>
    <w:rsid w:val="0087108E"/>
    <w:rsid w:val="0087197B"/>
    <w:rsid w:val="00871A6C"/>
    <w:rsid w:val="00871D50"/>
    <w:rsid w:val="0087356B"/>
    <w:rsid w:val="00873CA8"/>
    <w:rsid w:val="00875F82"/>
    <w:rsid w:val="00881801"/>
    <w:rsid w:val="00881D96"/>
    <w:rsid w:val="00884C06"/>
    <w:rsid w:val="008853A7"/>
    <w:rsid w:val="0088630F"/>
    <w:rsid w:val="008874E5"/>
    <w:rsid w:val="00894EDD"/>
    <w:rsid w:val="008A0B82"/>
    <w:rsid w:val="008A3E37"/>
    <w:rsid w:val="008B1646"/>
    <w:rsid w:val="008B3C21"/>
    <w:rsid w:val="008B4F74"/>
    <w:rsid w:val="008B7103"/>
    <w:rsid w:val="008B7BEE"/>
    <w:rsid w:val="008C18CF"/>
    <w:rsid w:val="008C5273"/>
    <w:rsid w:val="008C57E6"/>
    <w:rsid w:val="008D0061"/>
    <w:rsid w:val="008D1413"/>
    <w:rsid w:val="008D1A24"/>
    <w:rsid w:val="008D402D"/>
    <w:rsid w:val="008D475A"/>
    <w:rsid w:val="008D573B"/>
    <w:rsid w:val="008D6261"/>
    <w:rsid w:val="008D6AAC"/>
    <w:rsid w:val="008D7BEE"/>
    <w:rsid w:val="008E049D"/>
    <w:rsid w:val="008E22AB"/>
    <w:rsid w:val="008E2A02"/>
    <w:rsid w:val="008E4FAC"/>
    <w:rsid w:val="008E50D8"/>
    <w:rsid w:val="008E6B0F"/>
    <w:rsid w:val="008F4CFB"/>
    <w:rsid w:val="008F64D8"/>
    <w:rsid w:val="008F7576"/>
    <w:rsid w:val="00900A29"/>
    <w:rsid w:val="00900DF9"/>
    <w:rsid w:val="0090231D"/>
    <w:rsid w:val="00902842"/>
    <w:rsid w:val="00902E3C"/>
    <w:rsid w:val="00903BFB"/>
    <w:rsid w:val="00903DB2"/>
    <w:rsid w:val="00904372"/>
    <w:rsid w:val="0090664E"/>
    <w:rsid w:val="00907F6D"/>
    <w:rsid w:val="00910C2A"/>
    <w:rsid w:val="00911265"/>
    <w:rsid w:val="00913DE3"/>
    <w:rsid w:val="00920188"/>
    <w:rsid w:val="00922137"/>
    <w:rsid w:val="00925211"/>
    <w:rsid w:val="00926027"/>
    <w:rsid w:val="00930152"/>
    <w:rsid w:val="00930371"/>
    <w:rsid w:val="00930582"/>
    <w:rsid w:val="00932167"/>
    <w:rsid w:val="00940DBA"/>
    <w:rsid w:val="00940DE9"/>
    <w:rsid w:val="00942D8B"/>
    <w:rsid w:val="00942E96"/>
    <w:rsid w:val="00944E19"/>
    <w:rsid w:val="00945889"/>
    <w:rsid w:val="00950E6A"/>
    <w:rsid w:val="00950EE2"/>
    <w:rsid w:val="00951EFE"/>
    <w:rsid w:val="00952D6A"/>
    <w:rsid w:val="00953428"/>
    <w:rsid w:val="00953D47"/>
    <w:rsid w:val="009542C8"/>
    <w:rsid w:val="00954D50"/>
    <w:rsid w:val="009555BC"/>
    <w:rsid w:val="009569F7"/>
    <w:rsid w:val="00957491"/>
    <w:rsid w:val="009616CF"/>
    <w:rsid w:val="009619F7"/>
    <w:rsid w:val="009654C4"/>
    <w:rsid w:val="00965EF9"/>
    <w:rsid w:val="00967969"/>
    <w:rsid w:val="00971A04"/>
    <w:rsid w:val="009745B2"/>
    <w:rsid w:val="00975B92"/>
    <w:rsid w:val="00975EF2"/>
    <w:rsid w:val="009761E0"/>
    <w:rsid w:val="009765EA"/>
    <w:rsid w:val="009801EC"/>
    <w:rsid w:val="00982FDB"/>
    <w:rsid w:val="00983865"/>
    <w:rsid w:val="00986E62"/>
    <w:rsid w:val="0098794D"/>
    <w:rsid w:val="009902EB"/>
    <w:rsid w:val="00993FBB"/>
    <w:rsid w:val="00994D4C"/>
    <w:rsid w:val="00994D80"/>
    <w:rsid w:val="00996326"/>
    <w:rsid w:val="009979CC"/>
    <w:rsid w:val="009A04E4"/>
    <w:rsid w:val="009A22D5"/>
    <w:rsid w:val="009A39B6"/>
    <w:rsid w:val="009A44ED"/>
    <w:rsid w:val="009A5309"/>
    <w:rsid w:val="009A58CF"/>
    <w:rsid w:val="009A5A95"/>
    <w:rsid w:val="009A6056"/>
    <w:rsid w:val="009B0562"/>
    <w:rsid w:val="009B3CDA"/>
    <w:rsid w:val="009C1755"/>
    <w:rsid w:val="009C400B"/>
    <w:rsid w:val="009C5619"/>
    <w:rsid w:val="009C667B"/>
    <w:rsid w:val="009C6F14"/>
    <w:rsid w:val="009D0C50"/>
    <w:rsid w:val="009D24CC"/>
    <w:rsid w:val="009D360C"/>
    <w:rsid w:val="009D4F40"/>
    <w:rsid w:val="009D6142"/>
    <w:rsid w:val="009E1C73"/>
    <w:rsid w:val="009E2F1C"/>
    <w:rsid w:val="009E3BBD"/>
    <w:rsid w:val="009E4281"/>
    <w:rsid w:val="009E7C41"/>
    <w:rsid w:val="009F0D62"/>
    <w:rsid w:val="009F328F"/>
    <w:rsid w:val="009F424A"/>
    <w:rsid w:val="009F5033"/>
    <w:rsid w:val="009F5B5B"/>
    <w:rsid w:val="009F703E"/>
    <w:rsid w:val="009F766A"/>
    <w:rsid w:val="009F7AAB"/>
    <w:rsid w:val="00A0242A"/>
    <w:rsid w:val="00A04F07"/>
    <w:rsid w:val="00A0598C"/>
    <w:rsid w:val="00A06703"/>
    <w:rsid w:val="00A06B5E"/>
    <w:rsid w:val="00A10134"/>
    <w:rsid w:val="00A10D25"/>
    <w:rsid w:val="00A10F0F"/>
    <w:rsid w:val="00A10F43"/>
    <w:rsid w:val="00A11421"/>
    <w:rsid w:val="00A12617"/>
    <w:rsid w:val="00A129AF"/>
    <w:rsid w:val="00A157FE"/>
    <w:rsid w:val="00A15AD9"/>
    <w:rsid w:val="00A305D9"/>
    <w:rsid w:val="00A30EEC"/>
    <w:rsid w:val="00A3501B"/>
    <w:rsid w:val="00A36440"/>
    <w:rsid w:val="00A36D40"/>
    <w:rsid w:val="00A40086"/>
    <w:rsid w:val="00A4061B"/>
    <w:rsid w:val="00A44CEE"/>
    <w:rsid w:val="00A45739"/>
    <w:rsid w:val="00A47C28"/>
    <w:rsid w:val="00A47E1E"/>
    <w:rsid w:val="00A5091B"/>
    <w:rsid w:val="00A54AEF"/>
    <w:rsid w:val="00A57201"/>
    <w:rsid w:val="00A578D5"/>
    <w:rsid w:val="00A61898"/>
    <w:rsid w:val="00A62081"/>
    <w:rsid w:val="00A62353"/>
    <w:rsid w:val="00A62CFD"/>
    <w:rsid w:val="00A67261"/>
    <w:rsid w:val="00A71118"/>
    <w:rsid w:val="00A716B8"/>
    <w:rsid w:val="00A71744"/>
    <w:rsid w:val="00A74049"/>
    <w:rsid w:val="00A74266"/>
    <w:rsid w:val="00A7497D"/>
    <w:rsid w:val="00A81718"/>
    <w:rsid w:val="00A83315"/>
    <w:rsid w:val="00A84DF9"/>
    <w:rsid w:val="00A85778"/>
    <w:rsid w:val="00A863FD"/>
    <w:rsid w:val="00A9111B"/>
    <w:rsid w:val="00A911C9"/>
    <w:rsid w:val="00A928E7"/>
    <w:rsid w:val="00A94E63"/>
    <w:rsid w:val="00AA1729"/>
    <w:rsid w:val="00AA1954"/>
    <w:rsid w:val="00AA2485"/>
    <w:rsid w:val="00AA2A8A"/>
    <w:rsid w:val="00AA467E"/>
    <w:rsid w:val="00AA6A74"/>
    <w:rsid w:val="00AB1EE5"/>
    <w:rsid w:val="00AB26CB"/>
    <w:rsid w:val="00AB35EB"/>
    <w:rsid w:val="00AB3BFA"/>
    <w:rsid w:val="00AB4A3D"/>
    <w:rsid w:val="00AC08EA"/>
    <w:rsid w:val="00AC1794"/>
    <w:rsid w:val="00AC3E54"/>
    <w:rsid w:val="00AC59FF"/>
    <w:rsid w:val="00AC71AC"/>
    <w:rsid w:val="00AC747F"/>
    <w:rsid w:val="00AD438D"/>
    <w:rsid w:val="00AD4510"/>
    <w:rsid w:val="00AD651C"/>
    <w:rsid w:val="00AE128C"/>
    <w:rsid w:val="00AE2E43"/>
    <w:rsid w:val="00AE5E45"/>
    <w:rsid w:val="00AE7AEC"/>
    <w:rsid w:val="00AE7C97"/>
    <w:rsid w:val="00AF0679"/>
    <w:rsid w:val="00AF345A"/>
    <w:rsid w:val="00AF4139"/>
    <w:rsid w:val="00AF65D2"/>
    <w:rsid w:val="00AF6F95"/>
    <w:rsid w:val="00AF74D3"/>
    <w:rsid w:val="00B05BE5"/>
    <w:rsid w:val="00B10EBF"/>
    <w:rsid w:val="00B1125F"/>
    <w:rsid w:val="00B13687"/>
    <w:rsid w:val="00B13779"/>
    <w:rsid w:val="00B156CC"/>
    <w:rsid w:val="00B15850"/>
    <w:rsid w:val="00B176AA"/>
    <w:rsid w:val="00B17FB5"/>
    <w:rsid w:val="00B20E46"/>
    <w:rsid w:val="00B22156"/>
    <w:rsid w:val="00B22D8E"/>
    <w:rsid w:val="00B31CFC"/>
    <w:rsid w:val="00B34D18"/>
    <w:rsid w:val="00B368D6"/>
    <w:rsid w:val="00B36C60"/>
    <w:rsid w:val="00B42072"/>
    <w:rsid w:val="00B45AD7"/>
    <w:rsid w:val="00B463C0"/>
    <w:rsid w:val="00B465F0"/>
    <w:rsid w:val="00B51FAD"/>
    <w:rsid w:val="00B53507"/>
    <w:rsid w:val="00B537F6"/>
    <w:rsid w:val="00B558C9"/>
    <w:rsid w:val="00B6563E"/>
    <w:rsid w:val="00B70609"/>
    <w:rsid w:val="00B70B7C"/>
    <w:rsid w:val="00B727EB"/>
    <w:rsid w:val="00B73EE6"/>
    <w:rsid w:val="00B7588C"/>
    <w:rsid w:val="00B766E2"/>
    <w:rsid w:val="00B80AA1"/>
    <w:rsid w:val="00B80D68"/>
    <w:rsid w:val="00B80EB2"/>
    <w:rsid w:val="00B80F7D"/>
    <w:rsid w:val="00B81623"/>
    <w:rsid w:val="00B83130"/>
    <w:rsid w:val="00B83236"/>
    <w:rsid w:val="00B87F16"/>
    <w:rsid w:val="00B93D0B"/>
    <w:rsid w:val="00B941BB"/>
    <w:rsid w:val="00B97032"/>
    <w:rsid w:val="00BA0AC8"/>
    <w:rsid w:val="00BA1E83"/>
    <w:rsid w:val="00BA3D75"/>
    <w:rsid w:val="00BA40F1"/>
    <w:rsid w:val="00BA640E"/>
    <w:rsid w:val="00BA6854"/>
    <w:rsid w:val="00BB0669"/>
    <w:rsid w:val="00BB1726"/>
    <w:rsid w:val="00BB336B"/>
    <w:rsid w:val="00BB3ABA"/>
    <w:rsid w:val="00BB5584"/>
    <w:rsid w:val="00BB6569"/>
    <w:rsid w:val="00BB747A"/>
    <w:rsid w:val="00BB77EA"/>
    <w:rsid w:val="00BC0ECD"/>
    <w:rsid w:val="00BC2C9D"/>
    <w:rsid w:val="00BC2E00"/>
    <w:rsid w:val="00BC3FEC"/>
    <w:rsid w:val="00BC49BF"/>
    <w:rsid w:val="00BC4E6A"/>
    <w:rsid w:val="00BC5364"/>
    <w:rsid w:val="00BC6066"/>
    <w:rsid w:val="00BC648C"/>
    <w:rsid w:val="00BD070E"/>
    <w:rsid w:val="00BD3880"/>
    <w:rsid w:val="00BE0C86"/>
    <w:rsid w:val="00BE0E57"/>
    <w:rsid w:val="00BE11BE"/>
    <w:rsid w:val="00BE16F6"/>
    <w:rsid w:val="00BE1857"/>
    <w:rsid w:val="00BE2E95"/>
    <w:rsid w:val="00BE33C9"/>
    <w:rsid w:val="00BE5CF6"/>
    <w:rsid w:val="00BE7908"/>
    <w:rsid w:val="00BF1B6F"/>
    <w:rsid w:val="00BF32D0"/>
    <w:rsid w:val="00C01F06"/>
    <w:rsid w:val="00C02598"/>
    <w:rsid w:val="00C0743C"/>
    <w:rsid w:val="00C10711"/>
    <w:rsid w:val="00C11493"/>
    <w:rsid w:val="00C12B7F"/>
    <w:rsid w:val="00C12DF0"/>
    <w:rsid w:val="00C14290"/>
    <w:rsid w:val="00C2204B"/>
    <w:rsid w:val="00C229A8"/>
    <w:rsid w:val="00C23E65"/>
    <w:rsid w:val="00C24615"/>
    <w:rsid w:val="00C251BA"/>
    <w:rsid w:val="00C256EA"/>
    <w:rsid w:val="00C25B3B"/>
    <w:rsid w:val="00C352F9"/>
    <w:rsid w:val="00C40C8C"/>
    <w:rsid w:val="00C4263A"/>
    <w:rsid w:val="00C42B9B"/>
    <w:rsid w:val="00C45036"/>
    <w:rsid w:val="00C45F8A"/>
    <w:rsid w:val="00C46BB9"/>
    <w:rsid w:val="00C46C5E"/>
    <w:rsid w:val="00C47374"/>
    <w:rsid w:val="00C526C4"/>
    <w:rsid w:val="00C5329E"/>
    <w:rsid w:val="00C536DD"/>
    <w:rsid w:val="00C53778"/>
    <w:rsid w:val="00C53FFA"/>
    <w:rsid w:val="00C60D8F"/>
    <w:rsid w:val="00C62998"/>
    <w:rsid w:val="00C63748"/>
    <w:rsid w:val="00C63945"/>
    <w:rsid w:val="00C652A1"/>
    <w:rsid w:val="00C654E3"/>
    <w:rsid w:val="00C659E1"/>
    <w:rsid w:val="00C71320"/>
    <w:rsid w:val="00C7189F"/>
    <w:rsid w:val="00C7195D"/>
    <w:rsid w:val="00C72E8B"/>
    <w:rsid w:val="00C732CE"/>
    <w:rsid w:val="00C74E82"/>
    <w:rsid w:val="00C76994"/>
    <w:rsid w:val="00C77B88"/>
    <w:rsid w:val="00C809BE"/>
    <w:rsid w:val="00C82AD2"/>
    <w:rsid w:val="00C82D5F"/>
    <w:rsid w:val="00C83CFB"/>
    <w:rsid w:val="00C85AC6"/>
    <w:rsid w:val="00C86D64"/>
    <w:rsid w:val="00C87AF1"/>
    <w:rsid w:val="00C922D7"/>
    <w:rsid w:val="00C92C46"/>
    <w:rsid w:val="00C94F95"/>
    <w:rsid w:val="00C95E9A"/>
    <w:rsid w:val="00C95FD9"/>
    <w:rsid w:val="00C97FEE"/>
    <w:rsid w:val="00CA21AF"/>
    <w:rsid w:val="00CA2B1A"/>
    <w:rsid w:val="00CA5B6C"/>
    <w:rsid w:val="00CA7E76"/>
    <w:rsid w:val="00CB0B5E"/>
    <w:rsid w:val="00CB3AA5"/>
    <w:rsid w:val="00CB4957"/>
    <w:rsid w:val="00CB4C2B"/>
    <w:rsid w:val="00CB567F"/>
    <w:rsid w:val="00CB67C5"/>
    <w:rsid w:val="00CC0D4F"/>
    <w:rsid w:val="00CC1ECE"/>
    <w:rsid w:val="00CC340C"/>
    <w:rsid w:val="00CC5E18"/>
    <w:rsid w:val="00CD12CD"/>
    <w:rsid w:val="00CD2AF4"/>
    <w:rsid w:val="00CD3A0B"/>
    <w:rsid w:val="00CD4BCB"/>
    <w:rsid w:val="00CD7B8D"/>
    <w:rsid w:val="00CE4AC5"/>
    <w:rsid w:val="00CE5890"/>
    <w:rsid w:val="00CF069B"/>
    <w:rsid w:val="00CF1AAE"/>
    <w:rsid w:val="00CF1E71"/>
    <w:rsid w:val="00CF240C"/>
    <w:rsid w:val="00CF2ABE"/>
    <w:rsid w:val="00CF2ADD"/>
    <w:rsid w:val="00CF3E30"/>
    <w:rsid w:val="00CF521C"/>
    <w:rsid w:val="00D00339"/>
    <w:rsid w:val="00D0310D"/>
    <w:rsid w:val="00D0625B"/>
    <w:rsid w:val="00D100FF"/>
    <w:rsid w:val="00D118C0"/>
    <w:rsid w:val="00D144FF"/>
    <w:rsid w:val="00D15678"/>
    <w:rsid w:val="00D169A1"/>
    <w:rsid w:val="00D211F7"/>
    <w:rsid w:val="00D213A6"/>
    <w:rsid w:val="00D2439D"/>
    <w:rsid w:val="00D24957"/>
    <w:rsid w:val="00D272AC"/>
    <w:rsid w:val="00D30890"/>
    <w:rsid w:val="00D3236F"/>
    <w:rsid w:val="00D32EA3"/>
    <w:rsid w:val="00D34402"/>
    <w:rsid w:val="00D34690"/>
    <w:rsid w:val="00D35FB7"/>
    <w:rsid w:val="00D3751D"/>
    <w:rsid w:val="00D37BCA"/>
    <w:rsid w:val="00D42807"/>
    <w:rsid w:val="00D437C5"/>
    <w:rsid w:val="00D4462E"/>
    <w:rsid w:val="00D479D6"/>
    <w:rsid w:val="00D50F03"/>
    <w:rsid w:val="00D51151"/>
    <w:rsid w:val="00D51359"/>
    <w:rsid w:val="00D544C1"/>
    <w:rsid w:val="00D55EE5"/>
    <w:rsid w:val="00D600DC"/>
    <w:rsid w:val="00D61118"/>
    <w:rsid w:val="00D62FD5"/>
    <w:rsid w:val="00D64676"/>
    <w:rsid w:val="00D64773"/>
    <w:rsid w:val="00D65ABF"/>
    <w:rsid w:val="00D7031F"/>
    <w:rsid w:val="00D72196"/>
    <w:rsid w:val="00D82ADE"/>
    <w:rsid w:val="00D839D1"/>
    <w:rsid w:val="00D83EDE"/>
    <w:rsid w:val="00D8657B"/>
    <w:rsid w:val="00D86EA1"/>
    <w:rsid w:val="00D876E0"/>
    <w:rsid w:val="00D903E0"/>
    <w:rsid w:val="00D907F4"/>
    <w:rsid w:val="00D93A4D"/>
    <w:rsid w:val="00D94BE4"/>
    <w:rsid w:val="00D95C06"/>
    <w:rsid w:val="00D95E85"/>
    <w:rsid w:val="00DA27AC"/>
    <w:rsid w:val="00DA352F"/>
    <w:rsid w:val="00DA579D"/>
    <w:rsid w:val="00DB040B"/>
    <w:rsid w:val="00DB1C17"/>
    <w:rsid w:val="00DC1D9B"/>
    <w:rsid w:val="00DC25A2"/>
    <w:rsid w:val="00DC42B7"/>
    <w:rsid w:val="00DC5B8B"/>
    <w:rsid w:val="00DC61E8"/>
    <w:rsid w:val="00DD126D"/>
    <w:rsid w:val="00DD463A"/>
    <w:rsid w:val="00DD4FCC"/>
    <w:rsid w:val="00DD5AC4"/>
    <w:rsid w:val="00DD6C36"/>
    <w:rsid w:val="00DD6E8D"/>
    <w:rsid w:val="00DD78DE"/>
    <w:rsid w:val="00DE1B1C"/>
    <w:rsid w:val="00DE2B54"/>
    <w:rsid w:val="00DE33E5"/>
    <w:rsid w:val="00DE372B"/>
    <w:rsid w:val="00DE4FB3"/>
    <w:rsid w:val="00DE6A3F"/>
    <w:rsid w:val="00DE6EAE"/>
    <w:rsid w:val="00DF3EB1"/>
    <w:rsid w:val="00DF5D94"/>
    <w:rsid w:val="00DF5E14"/>
    <w:rsid w:val="00E02DFB"/>
    <w:rsid w:val="00E04717"/>
    <w:rsid w:val="00E04CC0"/>
    <w:rsid w:val="00E05ADA"/>
    <w:rsid w:val="00E07265"/>
    <w:rsid w:val="00E07CAF"/>
    <w:rsid w:val="00E10AF7"/>
    <w:rsid w:val="00E1391B"/>
    <w:rsid w:val="00E14116"/>
    <w:rsid w:val="00E16305"/>
    <w:rsid w:val="00E168C4"/>
    <w:rsid w:val="00E21546"/>
    <w:rsid w:val="00E2507C"/>
    <w:rsid w:val="00E330EB"/>
    <w:rsid w:val="00E334A5"/>
    <w:rsid w:val="00E3371C"/>
    <w:rsid w:val="00E3379C"/>
    <w:rsid w:val="00E34A15"/>
    <w:rsid w:val="00E35FC0"/>
    <w:rsid w:val="00E425A2"/>
    <w:rsid w:val="00E4429D"/>
    <w:rsid w:val="00E46DD4"/>
    <w:rsid w:val="00E46F20"/>
    <w:rsid w:val="00E4774F"/>
    <w:rsid w:val="00E522A2"/>
    <w:rsid w:val="00E52CDA"/>
    <w:rsid w:val="00E53321"/>
    <w:rsid w:val="00E55757"/>
    <w:rsid w:val="00E572D3"/>
    <w:rsid w:val="00E61445"/>
    <w:rsid w:val="00E618DE"/>
    <w:rsid w:val="00E62A91"/>
    <w:rsid w:val="00E62C3B"/>
    <w:rsid w:val="00E63328"/>
    <w:rsid w:val="00E63C04"/>
    <w:rsid w:val="00E65798"/>
    <w:rsid w:val="00E67292"/>
    <w:rsid w:val="00E716B7"/>
    <w:rsid w:val="00E71826"/>
    <w:rsid w:val="00E72EE4"/>
    <w:rsid w:val="00E72FBF"/>
    <w:rsid w:val="00E73981"/>
    <w:rsid w:val="00E76B70"/>
    <w:rsid w:val="00E82B7B"/>
    <w:rsid w:val="00E84FD2"/>
    <w:rsid w:val="00E85408"/>
    <w:rsid w:val="00E94E94"/>
    <w:rsid w:val="00E9670C"/>
    <w:rsid w:val="00E9680E"/>
    <w:rsid w:val="00E97506"/>
    <w:rsid w:val="00E97742"/>
    <w:rsid w:val="00EA372D"/>
    <w:rsid w:val="00EA3AA6"/>
    <w:rsid w:val="00EA65D9"/>
    <w:rsid w:val="00EB09AE"/>
    <w:rsid w:val="00EC1619"/>
    <w:rsid w:val="00EC3A9F"/>
    <w:rsid w:val="00EC46F6"/>
    <w:rsid w:val="00EC5289"/>
    <w:rsid w:val="00EC6E87"/>
    <w:rsid w:val="00EC7E39"/>
    <w:rsid w:val="00ED0775"/>
    <w:rsid w:val="00ED36F8"/>
    <w:rsid w:val="00ED56DA"/>
    <w:rsid w:val="00ED73FE"/>
    <w:rsid w:val="00ED7EE3"/>
    <w:rsid w:val="00EE03F0"/>
    <w:rsid w:val="00EE0490"/>
    <w:rsid w:val="00EE0FF3"/>
    <w:rsid w:val="00EE16A6"/>
    <w:rsid w:val="00EE2B3D"/>
    <w:rsid w:val="00EE5E4A"/>
    <w:rsid w:val="00EE6885"/>
    <w:rsid w:val="00EE6A48"/>
    <w:rsid w:val="00EF17E5"/>
    <w:rsid w:val="00EF292B"/>
    <w:rsid w:val="00EF2A07"/>
    <w:rsid w:val="00EF43FC"/>
    <w:rsid w:val="00EF75F9"/>
    <w:rsid w:val="00F025C5"/>
    <w:rsid w:val="00F0393B"/>
    <w:rsid w:val="00F07A50"/>
    <w:rsid w:val="00F136E0"/>
    <w:rsid w:val="00F207C1"/>
    <w:rsid w:val="00F21D24"/>
    <w:rsid w:val="00F22864"/>
    <w:rsid w:val="00F3076A"/>
    <w:rsid w:val="00F31A18"/>
    <w:rsid w:val="00F331E5"/>
    <w:rsid w:val="00F368FA"/>
    <w:rsid w:val="00F36AE6"/>
    <w:rsid w:val="00F41CB8"/>
    <w:rsid w:val="00F43AC4"/>
    <w:rsid w:val="00F4479F"/>
    <w:rsid w:val="00F44D6D"/>
    <w:rsid w:val="00F451E0"/>
    <w:rsid w:val="00F47436"/>
    <w:rsid w:val="00F51842"/>
    <w:rsid w:val="00F51A98"/>
    <w:rsid w:val="00F56F45"/>
    <w:rsid w:val="00F57F36"/>
    <w:rsid w:val="00F60FF2"/>
    <w:rsid w:val="00F63047"/>
    <w:rsid w:val="00F64951"/>
    <w:rsid w:val="00F65ECF"/>
    <w:rsid w:val="00F6769F"/>
    <w:rsid w:val="00F70181"/>
    <w:rsid w:val="00F71035"/>
    <w:rsid w:val="00F718AE"/>
    <w:rsid w:val="00F7219B"/>
    <w:rsid w:val="00F73F9D"/>
    <w:rsid w:val="00F74656"/>
    <w:rsid w:val="00F75DE2"/>
    <w:rsid w:val="00F801B2"/>
    <w:rsid w:val="00F8121C"/>
    <w:rsid w:val="00F82BCC"/>
    <w:rsid w:val="00F9014B"/>
    <w:rsid w:val="00F904D5"/>
    <w:rsid w:val="00F927AD"/>
    <w:rsid w:val="00F929E0"/>
    <w:rsid w:val="00F9380F"/>
    <w:rsid w:val="00F938F3"/>
    <w:rsid w:val="00F93E52"/>
    <w:rsid w:val="00F95705"/>
    <w:rsid w:val="00F96363"/>
    <w:rsid w:val="00F96F53"/>
    <w:rsid w:val="00F97839"/>
    <w:rsid w:val="00F97C7F"/>
    <w:rsid w:val="00FA0168"/>
    <w:rsid w:val="00FA08C3"/>
    <w:rsid w:val="00FA0D44"/>
    <w:rsid w:val="00FA39C2"/>
    <w:rsid w:val="00FB12BD"/>
    <w:rsid w:val="00FB352D"/>
    <w:rsid w:val="00FB3D47"/>
    <w:rsid w:val="00FB4B4D"/>
    <w:rsid w:val="00FB5242"/>
    <w:rsid w:val="00FC088C"/>
    <w:rsid w:val="00FC16D6"/>
    <w:rsid w:val="00FC1755"/>
    <w:rsid w:val="00FC265B"/>
    <w:rsid w:val="00FC3368"/>
    <w:rsid w:val="00FC3548"/>
    <w:rsid w:val="00FD10F4"/>
    <w:rsid w:val="00FD346E"/>
    <w:rsid w:val="00FD36C7"/>
    <w:rsid w:val="00FD3AFD"/>
    <w:rsid w:val="00FD4112"/>
    <w:rsid w:val="00FD4B18"/>
    <w:rsid w:val="00FD5030"/>
    <w:rsid w:val="00FD783D"/>
    <w:rsid w:val="00FD7949"/>
    <w:rsid w:val="00FE0DD9"/>
    <w:rsid w:val="00FE5E5C"/>
    <w:rsid w:val="00FF5F48"/>
    <w:rsid w:val="00FF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A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3D8"/>
    <w:pPr>
      <w:spacing w:after="100" w:line="400" w:lineRule="exact"/>
      <w:jc w:val="both"/>
    </w:pPr>
    <w:rPr>
      <w:rFonts w:ascii="Century Schoolbook" w:hAnsi="Century Schoolbook"/>
      <w:sz w:val="27"/>
    </w:rPr>
  </w:style>
  <w:style w:type="paragraph" w:styleId="Heading1">
    <w:name w:val="heading 1"/>
    <w:basedOn w:val="Normal"/>
    <w:next w:val="Normal"/>
    <w:qFormat/>
    <w:rsid w:val="008333D8"/>
    <w:pPr>
      <w:keepNext/>
      <w:spacing w:before="140" w:line="240" w:lineRule="atLeast"/>
      <w:jc w:val="center"/>
      <w:outlineLvl w:val="0"/>
    </w:pPr>
    <w:rPr>
      <w:b/>
      <w:smallCaps/>
    </w:rPr>
  </w:style>
  <w:style w:type="paragraph" w:styleId="Heading2">
    <w:name w:val="heading 2"/>
    <w:basedOn w:val="Normal"/>
    <w:next w:val="Normal"/>
    <w:qFormat/>
    <w:rsid w:val="008333D8"/>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8333D8"/>
    <w:pPr>
      <w:keepNext/>
      <w:tabs>
        <w:tab w:val="left" w:pos="1584"/>
      </w:tabs>
      <w:spacing w:before="140" w:line="240" w:lineRule="atLeast"/>
      <w:ind w:left="1584" w:hanging="432"/>
      <w:jc w:val="left"/>
      <w:outlineLvl w:val="2"/>
    </w:pPr>
    <w:rPr>
      <w:i/>
    </w:rPr>
  </w:style>
  <w:style w:type="paragraph" w:styleId="Heading4">
    <w:name w:val="heading 4"/>
    <w:basedOn w:val="Normal"/>
    <w:rsid w:val="008333D8"/>
    <w:pPr>
      <w:keepNext/>
      <w:tabs>
        <w:tab w:val="left" w:pos="2016"/>
      </w:tabs>
      <w:spacing w:before="140" w:line="240" w:lineRule="atLeast"/>
      <w:ind w:left="2016" w:hanging="432"/>
      <w:jc w:val="left"/>
      <w:outlineLvl w:val="3"/>
    </w:pPr>
    <w:rPr>
      <w:i/>
    </w:rPr>
  </w:style>
  <w:style w:type="paragraph" w:styleId="Heading5">
    <w:name w:val="heading 5"/>
    <w:basedOn w:val="Normal"/>
    <w:rsid w:val="008333D8"/>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8333D8"/>
    <w:pPr>
      <w:ind w:left="720"/>
    </w:pPr>
  </w:style>
  <w:style w:type="paragraph" w:styleId="Footer">
    <w:name w:val="footer"/>
    <w:basedOn w:val="Normal"/>
    <w:qFormat/>
    <w:rsid w:val="008333D8"/>
    <w:pPr>
      <w:tabs>
        <w:tab w:val="center" w:pos="3960"/>
        <w:tab w:val="right" w:pos="10080"/>
      </w:tabs>
      <w:spacing w:after="0" w:line="240" w:lineRule="auto"/>
      <w:jc w:val="center"/>
    </w:pPr>
    <w:rPr>
      <w:sz w:val="22"/>
    </w:rPr>
  </w:style>
  <w:style w:type="paragraph" w:styleId="Header">
    <w:name w:val="header"/>
    <w:basedOn w:val="Normal"/>
    <w:qFormat/>
    <w:rsid w:val="008333D8"/>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8333D8"/>
    <w:rPr>
      <w:rFonts w:ascii="Century Schoolbook" w:hAnsi="Century Schoolbook"/>
      <w:b/>
      <w:i w:val="0"/>
      <w:position w:val="4"/>
      <w:sz w:val="27"/>
      <w:vertAlign w:val="superscript"/>
    </w:rPr>
  </w:style>
  <w:style w:type="paragraph" w:styleId="FootnoteText">
    <w:name w:val="footnote text"/>
    <w:basedOn w:val="Normal"/>
    <w:rsid w:val="008333D8"/>
    <w:pPr>
      <w:spacing w:line="300" w:lineRule="exact"/>
    </w:pPr>
  </w:style>
  <w:style w:type="paragraph" w:customStyle="1" w:styleId="Title1">
    <w:name w:val="Title1"/>
    <w:basedOn w:val="Normal"/>
    <w:rsid w:val="008333D8"/>
    <w:pPr>
      <w:tabs>
        <w:tab w:val="left" w:pos="5760"/>
        <w:tab w:val="left" w:pos="6480"/>
      </w:tabs>
      <w:spacing w:line="240" w:lineRule="atLeast"/>
    </w:pPr>
  </w:style>
  <w:style w:type="paragraph" w:customStyle="1" w:styleId="Recommend">
    <w:name w:val="Recommend"/>
    <w:basedOn w:val="Normal"/>
    <w:rsid w:val="008333D8"/>
  </w:style>
  <w:style w:type="paragraph" w:customStyle="1" w:styleId="Summary">
    <w:name w:val="Summary"/>
    <w:basedOn w:val="Normal"/>
    <w:rsid w:val="008333D8"/>
    <w:pPr>
      <w:ind w:left="2160" w:hanging="2160"/>
    </w:pPr>
  </w:style>
  <w:style w:type="paragraph" w:customStyle="1" w:styleId="Text">
    <w:name w:val="Text"/>
    <w:basedOn w:val="Normal"/>
    <w:link w:val="TextChar"/>
    <w:rsid w:val="008333D8"/>
    <w:pPr>
      <w:tabs>
        <w:tab w:val="left" w:pos="720"/>
        <w:tab w:val="left" w:pos="1440"/>
        <w:tab w:val="left" w:pos="2160"/>
        <w:tab w:val="center" w:pos="4320"/>
      </w:tabs>
      <w:spacing w:line="480" w:lineRule="atLeast"/>
      <w:ind w:firstLine="540"/>
    </w:pPr>
  </w:style>
  <w:style w:type="paragraph" w:styleId="Date">
    <w:name w:val="Date"/>
    <w:basedOn w:val="Normal"/>
    <w:semiHidden/>
    <w:rsid w:val="008333D8"/>
    <w:pPr>
      <w:jc w:val="right"/>
    </w:pPr>
  </w:style>
  <w:style w:type="character" w:styleId="PageNumber">
    <w:name w:val="page number"/>
    <w:basedOn w:val="DefaultParagraphFont"/>
    <w:semiHidden/>
    <w:rsid w:val="008333D8"/>
  </w:style>
  <w:style w:type="paragraph" w:customStyle="1" w:styleId="subject">
    <w:name w:val="subject"/>
    <w:basedOn w:val="Normal"/>
    <w:rsid w:val="008333D8"/>
    <w:pPr>
      <w:tabs>
        <w:tab w:val="left" w:pos="1008"/>
      </w:tabs>
      <w:ind w:left="990" w:hanging="990"/>
    </w:pPr>
    <w:rPr>
      <w:b/>
    </w:rPr>
  </w:style>
  <w:style w:type="paragraph" w:customStyle="1" w:styleId="Titles">
    <w:name w:val="Titles"/>
    <w:basedOn w:val="Normal"/>
    <w:rsid w:val="008333D8"/>
    <w:pPr>
      <w:tabs>
        <w:tab w:val="left" w:pos="2160"/>
      </w:tabs>
      <w:ind w:left="2160" w:hanging="2160"/>
    </w:pPr>
    <w:rPr>
      <w:b/>
    </w:rPr>
  </w:style>
  <w:style w:type="paragraph" w:styleId="TOAHeading">
    <w:name w:val="toa heading"/>
    <w:basedOn w:val="Normal"/>
    <w:next w:val="Normal"/>
    <w:semiHidden/>
    <w:rsid w:val="008333D8"/>
    <w:pPr>
      <w:spacing w:before="120"/>
    </w:pPr>
    <w:rPr>
      <w:b/>
    </w:rPr>
  </w:style>
  <w:style w:type="paragraph" w:styleId="TOC1">
    <w:name w:val="toc 1"/>
    <w:basedOn w:val="Normal"/>
    <w:next w:val="Normal"/>
    <w:autoRedefine/>
    <w:semiHidden/>
    <w:rsid w:val="008333D8"/>
  </w:style>
  <w:style w:type="paragraph" w:styleId="TOC2">
    <w:name w:val="toc 2"/>
    <w:basedOn w:val="Normal"/>
    <w:next w:val="Normal"/>
    <w:autoRedefine/>
    <w:semiHidden/>
    <w:rsid w:val="008333D8"/>
    <w:pPr>
      <w:ind w:left="259"/>
    </w:pPr>
  </w:style>
  <w:style w:type="paragraph" w:styleId="TOC3">
    <w:name w:val="toc 3"/>
    <w:basedOn w:val="Normal"/>
    <w:next w:val="Normal"/>
    <w:autoRedefine/>
    <w:semiHidden/>
    <w:rsid w:val="008333D8"/>
    <w:pPr>
      <w:ind w:left="520"/>
    </w:pPr>
  </w:style>
  <w:style w:type="paragraph" w:styleId="TOC4">
    <w:name w:val="toc 4"/>
    <w:basedOn w:val="Normal"/>
    <w:next w:val="Normal"/>
    <w:autoRedefine/>
    <w:semiHidden/>
    <w:rsid w:val="008333D8"/>
    <w:pPr>
      <w:ind w:left="780"/>
    </w:pPr>
  </w:style>
  <w:style w:type="paragraph" w:styleId="TOC5">
    <w:name w:val="toc 5"/>
    <w:basedOn w:val="Normal"/>
    <w:next w:val="Normal"/>
    <w:autoRedefine/>
    <w:semiHidden/>
    <w:rsid w:val="008333D8"/>
    <w:pPr>
      <w:ind w:left="1040"/>
    </w:pPr>
  </w:style>
  <w:style w:type="paragraph" w:styleId="TOC6">
    <w:name w:val="toc 6"/>
    <w:basedOn w:val="Normal"/>
    <w:next w:val="Normal"/>
    <w:autoRedefine/>
    <w:semiHidden/>
    <w:rsid w:val="008333D8"/>
    <w:pPr>
      <w:ind w:left="1300"/>
    </w:pPr>
  </w:style>
  <w:style w:type="paragraph" w:styleId="TOC7">
    <w:name w:val="toc 7"/>
    <w:basedOn w:val="Normal"/>
    <w:next w:val="Normal"/>
    <w:autoRedefine/>
    <w:semiHidden/>
    <w:rsid w:val="008333D8"/>
    <w:pPr>
      <w:ind w:left="1560"/>
    </w:pPr>
  </w:style>
  <w:style w:type="paragraph" w:styleId="TOC8">
    <w:name w:val="toc 8"/>
    <w:basedOn w:val="Normal"/>
    <w:next w:val="Normal"/>
    <w:autoRedefine/>
    <w:semiHidden/>
    <w:rsid w:val="008333D8"/>
    <w:pPr>
      <w:ind w:left="1820"/>
    </w:pPr>
  </w:style>
  <w:style w:type="paragraph" w:styleId="TOC9">
    <w:name w:val="toc 9"/>
    <w:basedOn w:val="Normal"/>
    <w:next w:val="Normal"/>
    <w:autoRedefine/>
    <w:semiHidden/>
    <w:rsid w:val="008333D8"/>
    <w:pPr>
      <w:ind w:left="2080"/>
    </w:pPr>
  </w:style>
  <w:style w:type="paragraph" w:customStyle="1" w:styleId="Contents">
    <w:name w:val="Contents"/>
    <w:basedOn w:val="Normal"/>
    <w:rsid w:val="008333D8"/>
    <w:pPr>
      <w:jc w:val="center"/>
    </w:pPr>
    <w:rPr>
      <w:b/>
      <w:spacing w:val="100"/>
    </w:rPr>
  </w:style>
  <w:style w:type="paragraph" w:styleId="ListParagraph">
    <w:name w:val="List Paragraph"/>
    <w:basedOn w:val="Normal"/>
    <w:uiPriority w:val="34"/>
    <w:qFormat/>
    <w:rsid w:val="00E2507C"/>
    <w:pPr>
      <w:ind w:left="720"/>
      <w:contextualSpacing/>
    </w:pPr>
  </w:style>
  <w:style w:type="character" w:styleId="CommentReference">
    <w:name w:val="annotation reference"/>
    <w:basedOn w:val="DefaultParagraphFont"/>
    <w:uiPriority w:val="99"/>
    <w:semiHidden/>
    <w:unhideWhenUsed/>
    <w:rsid w:val="0055649A"/>
    <w:rPr>
      <w:sz w:val="16"/>
      <w:szCs w:val="16"/>
    </w:rPr>
  </w:style>
  <w:style w:type="paragraph" w:styleId="CommentText">
    <w:name w:val="annotation text"/>
    <w:basedOn w:val="Normal"/>
    <w:link w:val="CommentTextChar"/>
    <w:uiPriority w:val="99"/>
    <w:unhideWhenUsed/>
    <w:rsid w:val="0055649A"/>
    <w:rPr>
      <w:sz w:val="20"/>
    </w:rPr>
  </w:style>
  <w:style w:type="character" w:customStyle="1" w:styleId="CommentTextChar">
    <w:name w:val="Comment Text Char"/>
    <w:basedOn w:val="DefaultParagraphFont"/>
    <w:link w:val="CommentText"/>
    <w:uiPriority w:val="99"/>
    <w:rsid w:val="0055649A"/>
  </w:style>
  <w:style w:type="paragraph" w:styleId="CommentSubject">
    <w:name w:val="annotation subject"/>
    <w:basedOn w:val="CommentText"/>
    <w:next w:val="CommentText"/>
    <w:link w:val="CommentSubjectChar"/>
    <w:uiPriority w:val="99"/>
    <w:semiHidden/>
    <w:unhideWhenUsed/>
    <w:rsid w:val="0055649A"/>
    <w:rPr>
      <w:b/>
      <w:bCs/>
    </w:rPr>
  </w:style>
  <w:style w:type="character" w:customStyle="1" w:styleId="CommentSubjectChar">
    <w:name w:val="Comment Subject Char"/>
    <w:basedOn w:val="CommentTextChar"/>
    <w:link w:val="CommentSubject"/>
    <w:uiPriority w:val="99"/>
    <w:semiHidden/>
    <w:rsid w:val="0055649A"/>
    <w:rPr>
      <w:b/>
      <w:bCs/>
    </w:rPr>
  </w:style>
  <w:style w:type="character" w:styleId="LineNumber">
    <w:name w:val="line number"/>
    <w:basedOn w:val="DefaultParagraphFont"/>
    <w:uiPriority w:val="99"/>
    <w:semiHidden/>
    <w:unhideWhenUsed/>
    <w:rsid w:val="00EE6A48"/>
  </w:style>
  <w:style w:type="paragraph" w:styleId="Revision">
    <w:name w:val="Revision"/>
    <w:hidden/>
    <w:uiPriority w:val="99"/>
    <w:semiHidden/>
    <w:rsid w:val="002C4E9E"/>
    <w:rPr>
      <w:sz w:val="26"/>
    </w:rPr>
  </w:style>
  <w:style w:type="character" w:styleId="Hyperlink">
    <w:name w:val="Hyperlink"/>
    <w:basedOn w:val="DefaultParagraphFont"/>
    <w:uiPriority w:val="99"/>
    <w:unhideWhenUsed/>
    <w:rsid w:val="001B3F1F"/>
    <w:rPr>
      <w:color w:val="0000FF" w:themeColor="hyperlink"/>
      <w:u w:val="single"/>
    </w:rPr>
  </w:style>
  <w:style w:type="character" w:customStyle="1" w:styleId="UnresolvedMention1">
    <w:name w:val="Unresolved Mention1"/>
    <w:basedOn w:val="DefaultParagraphFont"/>
    <w:uiPriority w:val="99"/>
    <w:semiHidden/>
    <w:unhideWhenUsed/>
    <w:rsid w:val="001B3F1F"/>
    <w:rPr>
      <w:color w:val="605E5C"/>
      <w:shd w:val="clear" w:color="auto" w:fill="E1DFDD"/>
    </w:rPr>
  </w:style>
  <w:style w:type="paragraph" w:styleId="BodyText">
    <w:name w:val="Body Text"/>
    <w:basedOn w:val="Normal"/>
    <w:link w:val="BodyTextChar"/>
    <w:qFormat/>
    <w:rsid w:val="008333D8"/>
  </w:style>
  <w:style w:type="character" w:customStyle="1" w:styleId="BodyTextChar">
    <w:name w:val="Body Text Char"/>
    <w:basedOn w:val="DefaultParagraphFont"/>
    <w:link w:val="BodyText"/>
    <w:rsid w:val="008333D8"/>
    <w:rPr>
      <w:rFonts w:ascii="Century Schoolbook" w:hAnsi="Century Schoolbook"/>
      <w:sz w:val="27"/>
    </w:rPr>
  </w:style>
  <w:style w:type="character" w:styleId="FollowedHyperlink">
    <w:name w:val="FollowedHyperlink"/>
    <w:basedOn w:val="DefaultParagraphFont"/>
    <w:uiPriority w:val="99"/>
    <w:semiHidden/>
    <w:unhideWhenUsed/>
    <w:rsid w:val="00AC747F"/>
    <w:rPr>
      <w:color w:val="800080" w:themeColor="followedHyperlink"/>
      <w:u w:val="single"/>
    </w:rPr>
  </w:style>
  <w:style w:type="character" w:customStyle="1" w:styleId="TextChar">
    <w:name w:val="Text Char"/>
    <w:link w:val="Text"/>
    <w:rsid w:val="00DD4FCC"/>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44C0C-BCB6-4FEE-9485-3373E9DE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8522</Words>
  <Characters>46497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2024-06-18T16:33:00Z</dcterms:created>
  <dcterms:modified xsi:type="dcterms:W3CDTF">2024-06-18T16:44:00Z</dcterms:modified>
</cp:coreProperties>
</file>