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426D3" w:rsidP="00705F37" w14:paraId="6C44BD3D" w14:textId="77777777">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705F37" w:rsidP="00705F37" w14:paraId="6C44BD3E" w14:textId="77777777">
      <w:pPr>
        <w:tabs>
          <w:tab w:val="left" w:pos="1440"/>
          <w:tab w:val="left" w:pos="4680"/>
          <w:tab w:val="center" w:pos="7200"/>
        </w:tabs>
        <w:spacing w:after="0"/>
        <w:jc w:val="center"/>
      </w:pPr>
    </w:p>
    <w:p w:rsidR="00705F37" w:rsidP="00705F37" w14:paraId="6C44BD3F" w14:textId="77777777">
      <w:pPr>
        <w:tabs>
          <w:tab w:val="left" w:pos="1440"/>
          <w:tab w:val="left" w:pos="4680"/>
          <w:tab w:val="center" w:pos="7200"/>
        </w:tabs>
        <w:spacing w:after="0"/>
        <w:jc w:val="center"/>
      </w:pPr>
      <w:r>
        <w:t>THE PEOPLE</w:t>
      </w:r>
      <w:r w:rsidR="00D6140D">
        <w:t>,</w:t>
      </w:r>
    </w:p>
    <w:p w:rsidR="00705F37" w:rsidP="00705F37" w14:paraId="6C44BD40" w14:textId="77777777">
      <w:pPr>
        <w:tabs>
          <w:tab w:val="left" w:pos="1440"/>
          <w:tab w:val="left" w:pos="4680"/>
          <w:tab w:val="center" w:pos="7200"/>
        </w:tabs>
        <w:spacing w:after="0"/>
        <w:jc w:val="center"/>
      </w:pPr>
      <w:r>
        <w:t>Plaintiff and Respondent,</w:t>
      </w:r>
    </w:p>
    <w:p w:rsidR="00705F37" w:rsidP="00705F37" w14:paraId="6C44BD41" w14:textId="77777777">
      <w:pPr>
        <w:tabs>
          <w:tab w:val="left" w:pos="1440"/>
          <w:tab w:val="left" w:pos="4680"/>
          <w:tab w:val="center" w:pos="7200"/>
        </w:tabs>
        <w:spacing w:after="0"/>
        <w:jc w:val="center"/>
      </w:pPr>
      <w:r>
        <w:t>v.</w:t>
      </w:r>
    </w:p>
    <w:p w:rsidR="00705F37" w:rsidP="00705F37" w14:paraId="6C44BD42" w14:textId="77777777">
      <w:pPr>
        <w:tabs>
          <w:tab w:val="left" w:pos="1440"/>
          <w:tab w:val="left" w:pos="4680"/>
          <w:tab w:val="center" w:pos="7200"/>
        </w:tabs>
        <w:spacing w:after="0"/>
        <w:jc w:val="center"/>
      </w:pPr>
      <w:r>
        <w:t>RAYMOND GREGORY REYNOZA</w:t>
      </w:r>
      <w:r w:rsidR="00D6140D">
        <w:t>,</w:t>
      </w:r>
    </w:p>
    <w:p w:rsidR="00705F37" w:rsidP="00705F37" w14:paraId="6C44BD43" w14:textId="77777777">
      <w:pPr>
        <w:tabs>
          <w:tab w:val="left" w:pos="1440"/>
          <w:tab w:val="left" w:pos="4680"/>
          <w:tab w:val="center" w:pos="7200"/>
        </w:tabs>
        <w:spacing w:after="0"/>
        <w:jc w:val="center"/>
      </w:pPr>
      <w:r>
        <w:t>Defendant and Appellant.</w:t>
      </w:r>
    </w:p>
    <w:p w:rsidR="00705F37" w:rsidP="00705F37" w14:paraId="6C44BD44" w14:textId="77777777">
      <w:pPr>
        <w:tabs>
          <w:tab w:val="left" w:pos="1440"/>
          <w:tab w:val="left" w:pos="4680"/>
          <w:tab w:val="center" w:pos="7200"/>
        </w:tabs>
        <w:spacing w:after="0"/>
        <w:jc w:val="center"/>
      </w:pPr>
    </w:p>
    <w:p w:rsidR="00705F37" w:rsidP="00705F37" w14:paraId="6C44BD45" w14:textId="77777777">
      <w:pPr>
        <w:tabs>
          <w:tab w:val="left" w:pos="1440"/>
          <w:tab w:val="left" w:pos="4680"/>
          <w:tab w:val="center" w:pos="7200"/>
        </w:tabs>
        <w:spacing w:after="0"/>
        <w:jc w:val="center"/>
      </w:pPr>
      <w:r>
        <w:t>S273797</w:t>
      </w:r>
    </w:p>
    <w:p w:rsidR="00705F37" w:rsidP="00705F37" w14:paraId="6C44BD46" w14:textId="77777777">
      <w:pPr>
        <w:tabs>
          <w:tab w:val="left" w:pos="1440"/>
          <w:tab w:val="left" w:pos="4680"/>
          <w:tab w:val="center" w:pos="7200"/>
        </w:tabs>
        <w:spacing w:after="0"/>
        <w:jc w:val="center"/>
      </w:pPr>
    </w:p>
    <w:p w:rsidR="00705F37" w:rsidP="00705F37" w14:paraId="6C44BD47" w14:textId="77777777">
      <w:pPr>
        <w:tabs>
          <w:tab w:val="left" w:pos="1440"/>
          <w:tab w:val="left" w:pos="4680"/>
          <w:tab w:val="center" w:pos="7200"/>
        </w:tabs>
        <w:spacing w:after="0"/>
        <w:jc w:val="center"/>
      </w:pPr>
      <w:r>
        <w:t>Sixth Appellate District</w:t>
      </w:r>
    </w:p>
    <w:p w:rsidR="00705F37" w:rsidP="00705F37" w14:paraId="6C44BD48" w14:textId="77777777">
      <w:pPr>
        <w:tabs>
          <w:tab w:val="left" w:pos="1440"/>
          <w:tab w:val="left" w:pos="4680"/>
          <w:tab w:val="center" w:pos="7200"/>
        </w:tabs>
        <w:spacing w:after="0"/>
        <w:jc w:val="center"/>
      </w:pPr>
      <w:r>
        <w:t>H047594</w:t>
      </w:r>
    </w:p>
    <w:p w:rsidR="00705F37" w:rsidP="00705F37" w14:paraId="6C44BD49" w14:textId="77777777">
      <w:pPr>
        <w:tabs>
          <w:tab w:val="left" w:pos="1440"/>
          <w:tab w:val="left" w:pos="4680"/>
          <w:tab w:val="center" w:pos="7200"/>
        </w:tabs>
        <w:spacing w:after="0"/>
        <w:jc w:val="center"/>
      </w:pPr>
    </w:p>
    <w:p w:rsidR="00705F37" w:rsidP="00705F37" w14:paraId="6C44BD4A" w14:textId="77777777">
      <w:pPr>
        <w:tabs>
          <w:tab w:val="left" w:pos="1440"/>
          <w:tab w:val="left" w:pos="4680"/>
          <w:tab w:val="center" w:pos="7200"/>
        </w:tabs>
        <w:spacing w:after="0"/>
        <w:jc w:val="center"/>
      </w:pPr>
      <w:r>
        <w:t>Santa Clara County</w:t>
      </w:r>
      <w:r w:rsidR="00D6140D">
        <w:t xml:space="preserve"> Superior Court</w:t>
      </w:r>
    </w:p>
    <w:p w:rsidR="00705F37" w:rsidP="00705F37" w14:paraId="6C44BD4B" w14:textId="77777777">
      <w:pPr>
        <w:tabs>
          <w:tab w:val="left" w:pos="1440"/>
          <w:tab w:val="left" w:pos="4680"/>
          <w:tab w:val="center" w:pos="7200"/>
        </w:tabs>
        <w:spacing w:after="0"/>
        <w:jc w:val="center"/>
      </w:pPr>
      <w:r>
        <w:t>C1775222</w:t>
      </w:r>
    </w:p>
    <w:p w:rsidR="00705F37" w:rsidP="00705F37" w14:paraId="6C44BD4C" w14:textId="77777777">
      <w:pPr>
        <w:pBdr>
          <w:bottom w:val="single" w:sz="4" w:space="1" w:color="auto"/>
        </w:pBdr>
        <w:tabs>
          <w:tab w:val="left" w:pos="1440"/>
          <w:tab w:val="left" w:pos="4680"/>
          <w:tab w:val="center" w:pos="7200"/>
        </w:tabs>
        <w:spacing w:after="0"/>
        <w:jc w:val="center"/>
      </w:pPr>
    </w:p>
    <w:p w:rsidR="00705F37" w:rsidP="00705F37" w14:paraId="6C44BD4D" w14:textId="77777777">
      <w:pPr>
        <w:tabs>
          <w:tab w:val="left" w:pos="1440"/>
          <w:tab w:val="left" w:pos="4680"/>
          <w:tab w:val="center" w:pos="7200"/>
        </w:tabs>
        <w:spacing w:after="0"/>
        <w:jc w:val="center"/>
      </w:pPr>
    </w:p>
    <w:p w:rsidR="00705F37" w:rsidP="00705F37" w14:paraId="6C44BD4E" w14:textId="77777777">
      <w:pPr>
        <w:tabs>
          <w:tab w:val="left" w:pos="1440"/>
          <w:tab w:val="left" w:pos="4680"/>
          <w:tab w:val="center" w:pos="7200"/>
        </w:tabs>
        <w:spacing w:after="0"/>
        <w:jc w:val="center"/>
      </w:pPr>
      <w:r>
        <w:t>April 22, 2024</w:t>
      </w:r>
    </w:p>
    <w:p w:rsidR="00705F37" w:rsidP="00705F37" w14:paraId="6C44BD4F" w14:textId="77777777">
      <w:pPr>
        <w:tabs>
          <w:tab w:val="left" w:pos="1440"/>
          <w:tab w:val="left" w:pos="4680"/>
          <w:tab w:val="center" w:pos="7200"/>
        </w:tabs>
        <w:spacing w:after="0"/>
        <w:jc w:val="center"/>
      </w:pPr>
    </w:p>
    <w:p w:rsidR="00705F37" w:rsidP="00705F37" w14:paraId="6C44BD50" w14:textId="77777777">
      <w:pPr>
        <w:tabs>
          <w:tab w:val="left" w:pos="1440"/>
          <w:tab w:val="left" w:pos="4680"/>
          <w:tab w:val="center" w:pos="7200"/>
        </w:tabs>
        <w:spacing w:after="0"/>
        <w:jc w:val="left"/>
      </w:pPr>
      <w:r>
        <w:t xml:space="preserve">Chief Justice Guerrero authored the opinion of the Court, in which </w:t>
      </w:r>
      <w:r w:rsidR="00A61BEA">
        <w:t>Justices Corrigan, Liu, Kruger, Groban, Jenkins, and Evans</w:t>
      </w:r>
      <w:r>
        <w:t xml:space="preserve"> concurred.</w:t>
      </w:r>
    </w:p>
    <w:p w:rsidR="00705F37" w:rsidRPr="00705F37" w:rsidP="00705F37" w14:paraId="6C44BD51" w14:textId="77777777">
      <w:pPr>
        <w:pBdr>
          <w:bottom w:val="single" w:sz="4" w:space="1" w:color="auto"/>
        </w:pBdr>
        <w:tabs>
          <w:tab w:val="left" w:pos="1440"/>
          <w:tab w:val="left" w:pos="4680"/>
          <w:tab w:val="center" w:pos="7200"/>
        </w:tabs>
        <w:spacing w:line="480" w:lineRule="atLeast"/>
        <w:jc w:val="left"/>
      </w:pPr>
      <w:bookmarkStart w:id="1" w:name="Return"/>
      <w:bookmarkEnd w:id="1"/>
    </w:p>
    <w:p w:rsidR="00705F37" w14:paraId="6C44BD52" w14:textId="77777777">
      <w:pPr>
        <w:tabs>
          <w:tab w:val="left" w:pos="1440"/>
          <w:tab w:val="left" w:pos="4680"/>
          <w:tab w:val="center" w:pos="7200"/>
        </w:tabs>
        <w:spacing w:line="480" w:lineRule="atLeast"/>
        <w:sectPr w:rsidSect="00705F37">
          <w:headerReference w:type="default" r:id="rId6"/>
          <w:footerReference w:type="default" r:id="rId7"/>
          <w:pgSz w:w="12240" w:h="15840"/>
          <w:pgMar w:top="1800" w:right="2160" w:bottom="1440" w:left="2160" w:header="720" w:footer="720" w:gutter="0"/>
          <w:cols w:space="720"/>
          <w:titlePg/>
          <w:docGrid w:linePitch="367"/>
        </w:sectPr>
      </w:pPr>
    </w:p>
    <w:p w:rsidR="00705F37" w:rsidP="00705F37" w14:paraId="6C44BD53" w14:textId="77777777">
      <w:pPr>
        <w:tabs>
          <w:tab w:val="left" w:pos="1440"/>
          <w:tab w:val="left" w:pos="4680"/>
          <w:tab w:val="center" w:pos="7200"/>
        </w:tabs>
        <w:jc w:val="center"/>
      </w:pPr>
      <w:r>
        <w:t>PEOPLE v. REYNOZA</w:t>
      </w:r>
    </w:p>
    <w:p w:rsidR="00705F37" w:rsidP="00705F37" w14:paraId="6C44BD54" w14:textId="77777777">
      <w:pPr>
        <w:tabs>
          <w:tab w:val="left" w:pos="1440"/>
          <w:tab w:val="left" w:pos="4680"/>
          <w:tab w:val="center" w:pos="7200"/>
        </w:tabs>
        <w:jc w:val="center"/>
      </w:pPr>
      <w:r>
        <w:t>S273797</w:t>
      </w:r>
    </w:p>
    <w:p w:rsidR="00705F37" w:rsidP="00705F37" w14:paraId="6C44BD55" w14:textId="77777777">
      <w:pPr>
        <w:tabs>
          <w:tab w:val="left" w:pos="1440"/>
          <w:tab w:val="left" w:pos="4680"/>
          <w:tab w:val="center" w:pos="7200"/>
        </w:tabs>
        <w:jc w:val="center"/>
      </w:pPr>
    </w:p>
    <w:p w:rsidR="00705F37" w:rsidP="00705F37" w14:paraId="6C44BD56" w14:textId="77777777">
      <w:pPr>
        <w:tabs>
          <w:tab w:val="left" w:pos="1440"/>
          <w:tab w:val="left" w:pos="4680"/>
          <w:tab w:val="center" w:pos="7200"/>
        </w:tabs>
        <w:jc w:val="center"/>
      </w:pPr>
      <w:r>
        <w:t>Opinion of the Court by Guerrero, C.</w:t>
      </w:r>
      <w:r w:rsidR="00546FE6">
        <w:t> </w:t>
      </w:r>
      <w:r>
        <w:t>J.</w:t>
      </w:r>
    </w:p>
    <w:p w:rsidR="00705F37" w:rsidRPr="00705F37" w:rsidP="00705F37" w14:paraId="6C44BD57" w14:textId="77777777">
      <w:pPr>
        <w:tabs>
          <w:tab w:val="left" w:pos="1440"/>
          <w:tab w:val="left" w:pos="4680"/>
          <w:tab w:val="center" w:pos="7200"/>
        </w:tabs>
        <w:jc w:val="center"/>
      </w:pPr>
    </w:p>
    <w:p w:rsidR="00087426" w:rsidP="00705F37" w14:paraId="6C44BD58" w14:textId="77777777">
      <w:pPr>
        <w:tabs>
          <w:tab w:val="left" w:pos="1440"/>
        </w:tabs>
        <w:ind w:firstLine="720"/>
        <w:rPr>
          <w:szCs w:val="26"/>
        </w:rPr>
      </w:pPr>
      <w:bookmarkStart w:id="2" w:name="mainstory"/>
      <w:bookmarkEnd w:id="2"/>
      <w:r w:rsidRPr="00705F37">
        <w:rPr>
          <w:szCs w:val="26"/>
        </w:rPr>
        <w:t>We granted review in this case to interpret a witness dissuasion statute.  Penal Code section 136.1, subdivision (b)(2) makes it a crime to attempt to dissuade a victim or witness from “[c]</w:t>
      </w:r>
      <w:r w:rsidRPr="00705F37">
        <w:t xml:space="preserve">ausing a complaint . . . to be sought and prosecuted, </w:t>
      </w:r>
      <w:r w:rsidRPr="00705F37">
        <w:rPr>
          <w:i/>
          <w:iCs/>
        </w:rPr>
        <w:t>and</w:t>
      </w:r>
      <w:r w:rsidRPr="00705F37">
        <w:t xml:space="preserve"> assisting in the prosecution thereof.”</w:t>
      </w:r>
      <w:r>
        <w:rPr>
          <w:rStyle w:val="FootnoteReference"/>
          <w:szCs w:val="26"/>
        </w:rPr>
        <w:footnoteReference w:id="3"/>
      </w:r>
      <w:r w:rsidRPr="00705F37">
        <w:rPr>
          <w:szCs w:val="26"/>
        </w:rPr>
        <w:t xml:space="preserve">  </w:t>
      </w:r>
      <w:r w:rsidRPr="00705F37" w:rsidR="00480D49">
        <w:rPr>
          <w:szCs w:val="26"/>
        </w:rPr>
        <w:t xml:space="preserve">(Italics added.)  </w:t>
      </w:r>
      <w:r w:rsidRPr="00705F37">
        <w:rPr>
          <w:szCs w:val="26"/>
        </w:rPr>
        <w:t xml:space="preserve">A jury found defendant Raymond Gregory Reynoza guilty of violating this statute based on actions that occurred entirely </w:t>
      </w:r>
      <w:r w:rsidRPr="00705F37">
        <w:rPr>
          <w:i/>
          <w:iCs/>
          <w:szCs w:val="26"/>
        </w:rPr>
        <w:t>after</w:t>
      </w:r>
      <w:r w:rsidRPr="00705F37">
        <w:rPr>
          <w:szCs w:val="26"/>
        </w:rPr>
        <w:t xml:space="preserve"> the complaint in the underlying criminal case had been filed.  </w:t>
      </w:r>
    </w:p>
    <w:p w:rsidR="0049490B" w:rsidRPr="004D27CB" w:rsidP="00705F37" w14:paraId="6C44BD59" w14:textId="77777777">
      <w:pPr>
        <w:tabs>
          <w:tab w:val="left" w:pos="1440"/>
        </w:tabs>
        <w:ind w:firstLine="720"/>
      </w:pPr>
      <w:r w:rsidRPr="004D27CB">
        <w:rPr>
          <w:szCs w:val="26"/>
        </w:rPr>
        <w:t xml:space="preserve">The question before us is whether </w:t>
      </w:r>
      <w:r w:rsidRPr="004D27CB">
        <w:t xml:space="preserve">section 136.1(b)(2) supports this </w:t>
      </w:r>
      <w:r w:rsidRPr="004D27CB">
        <w:rPr>
          <w:i/>
          <w:iCs/>
        </w:rPr>
        <w:t>disjunctive</w:t>
      </w:r>
      <w:r w:rsidRPr="004D27CB">
        <w:t xml:space="preserve"> interpretation — </w:t>
      </w:r>
      <w:r w:rsidR="0019451D">
        <w:t xml:space="preserve">in </w:t>
      </w:r>
      <w:r w:rsidRPr="004D27CB">
        <w:t xml:space="preserve">which </w:t>
      </w:r>
      <w:r w:rsidR="0019451D">
        <w:t xml:space="preserve">the statute </w:t>
      </w:r>
      <w:r w:rsidRPr="004D27CB">
        <w:t xml:space="preserve">independently applies </w:t>
      </w:r>
      <w:r w:rsidRPr="008A23FA">
        <w:rPr>
          <w:szCs w:val="27"/>
        </w:rPr>
        <w:t xml:space="preserve">where a defendant dissuades a witness from “assisting in the prosecution” of a case after the charging document has already been filed — or whether a </w:t>
      </w:r>
      <w:r w:rsidRPr="008A23FA">
        <w:rPr>
          <w:i/>
          <w:iCs/>
          <w:szCs w:val="27"/>
        </w:rPr>
        <w:t>conjunctive</w:t>
      </w:r>
      <w:r w:rsidRPr="008A23FA">
        <w:rPr>
          <w:szCs w:val="27"/>
        </w:rPr>
        <w:t xml:space="preserve"> interpretation precludes a conviction under such circumstances.</w:t>
      </w:r>
      <w:r w:rsidRPr="004D27CB" w:rsidR="00BB3850">
        <w:rPr>
          <w:sz w:val="26"/>
          <w:szCs w:val="26"/>
        </w:rPr>
        <w:t xml:space="preserve">  </w:t>
      </w:r>
      <w:r w:rsidRPr="004D27CB" w:rsidR="00E9377D">
        <w:t>On the one hand, t</w:t>
      </w:r>
      <w:r w:rsidRPr="004D27CB" w:rsidR="003946CA">
        <w:t>he word “and</w:t>
      </w:r>
      <w:r w:rsidRPr="004D27CB" w:rsidR="005E491D">
        <w:t>,” which joins the subject clauses</w:t>
      </w:r>
      <w:r w:rsidRPr="004D27CB" w:rsidR="00AA47A6">
        <w:t xml:space="preserve"> of section 136.1(b)(2)</w:t>
      </w:r>
      <w:r w:rsidRPr="004D27CB" w:rsidR="005E491D">
        <w:t xml:space="preserve">, </w:t>
      </w:r>
      <w:r w:rsidRPr="004D27CB" w:rsidR="00657DA5">
        <w:t>is ordinarily used as a conjunction</w:t>
      </w:r>
      <w:r w:rsidRPr="004D27CB" w:rsidR="001A3A90">
        <w:t xml:space="preserve"> (</w:t>
      </w:r>
      <w:r w:rsidRPr="004D27CB" w:rsidR="00DB4075">
        <w:rPr>
          <w:i/>
          <w:iCs/>
        </w:rPr>
        <w:t>In re C.H.</w:t>
      </w:r>
      <w:r w:rsidRPr="004D27CB" w:rsidR="00DB4075">
        <w:t xml:space="preserve"> (2011) 53 Cal.4th 94, 101</w:t>
      </w:r>
      <w:r w:rsidRPr="004D27CB" w:rsidR="001A3A90">
        <w:t>)</w:t>
      </w:r>
      <w:r w:rsidRPr="004D27CB" w:rsidR="00FC25E8">
        <w:t xml:space="preserve">.  </w:t>
      </w:r>
      <w:r w:rsidRPr="004D27CB" w:rsidR="003F01C8">
        <w:t>O</w:t>
      </w:r>
      <w:r w:rsidRPr="004D27CB" w:rsidR="00F11E7B">
        <w:t>n the other hand,</w:t>
      </w:r>
      <w:r w:rsidRPr="004D27CB" w:rsidR="00F0464F">
        <w:t xml:space="preserve"> the word “and”</w:t>
      </w:r>
      <w:r w:rsidRPr="004D27CB" w:rsidR="00E941B4">
        <w:t xml:space="preserve"> </w:t>
      </w:r>
      <w:r w:rsidRPr="004D27CB" w:rsidR="002F4FEC">
        <w:t xml:space="preserve">also </w:t>
      </w:r>
      <w:r w:rsidRPr="004D27CB" w:rsidR="00D71D40">
        <w:t xml:space="preserve">“is sometimes, in a fair and rational construction of a statute, </w:t>
      </w:r>
      <w:r w:rsidR="00BC5818">
        <w:t xml:space="preserve">to be </w:t>
      </w:r>
      <w:r w:rsidRPr="004D27CB" w:rsidR="00D71D40">
        <w:t xml:space="preserve">read as if it were </w:t>
      </w:r>
      <w:r w:rsidRPr="004D27CB" w:rsidR="00D71D40">
        <w:rPr>
          <w:i/>
          <w:iCs/>
        </w:rPr>
        <w:t>or</w:t>
      </w:r>
      <w:r w:rsidRPr="004D27CB" w:rsidR="00D71D40">
        <w:t>, and taken disjunctively” (</w:t>
      </w:r>
      <w:r w:rsidRPr="004D27CB" w:rsidR="00D71D40">
        <w:rPr>
          <w:i/>
          <w:iCs/>
        </w:rPr>
        <w:t>People v. Pool</w:t>
      </w:r>
      <w:r w:rsidRPr="004D27CB" w:rsidR="00D71D40">
        <w:t xml:space="preserve"> (1865) 27 Cal. 572, 581 (</w:t>
      </w:r>
      <w:r w:rsidRPr="004D27CB" w:rsidR="00D71D40">
        <w:rPr>
          <w:i/>
          <w:iCs/>
        </w:rPr>
        <w:t>Pool</w:t>
      </w:r>
      <w:r w:rsidRPr="004D27CB" w:rsidR="00D71D40">
        <w:t>)</w:t>
      </w:r>
      <w:r w:rsidRPr="004D27CB" w:rsidR="00DA646B">
        <w:t>)</w:t>
      </w:r>
      <w:r w:rsidRPr="004D27CB" w:rsidR="001A3A90">
        <w:t xml:space="preserve">, </w:t>
      </w:r>
      <w:r w:rsidRPr="004D27CB" w:rsidR="00253B78">
        <w:t>which</w:t>
      </w:r>
      <w:r w:rsidRPr="004D27CB" w:rsidR="00AA47A6">
        <w:t xml:space="preserve"> </w:t>
      </w:r>
      <w:r w:rsidRPr="004D27CB" w:rsidR="00253B78">
        <w:t xml:space="preserve">would lead </w:t>
      </w:r>
      <w:r w:rsidRPr="004D27CB" w:rsidR="003F01C8">
        <w:t xml:space="preserve">us </w:t>
      </w:r>
      <w:r w:rsidR="00EB7A75">
        <w:t xml:space="preserve">to </w:t>
      </w:r>
      <w:r w:rsidRPr="004D27CB" w:rsidR="00BB3850">
        <w:t xml:space="preserve">apply </w:t>
      </w:r>
      <w:r w:rsidRPr="004D27CB" w:rsidR="00253B78">
        <w:t xml:space="preserve">section 136.1(b)(2) </w:t>
      </w:r>
      <w:r w:rsidRPr="004D27CB" w:rsidR="00BB3850">
        <w:t xml:space="preserve">to situations where a defendant dissuades a witness from “assisting in the prosecution” of a case only </w:t>
      </w:r>
      <w:r w:rsidRPr="004D27CB" w:rsidR="00BF0751">
        <w:t xml:space="preserve">after a charging document has </w:t>
      </w:r>
      <w:r w:rsidRPr="004D27CB" w:rsidR="00BB3850">
        <w:t xml:space="preserve">already </w:t>
      </w:r>
      <w:r w:rsidRPr="004D27CB" w:rsidR="00BF0751">
        <w:t xml:space="preserve">been filed.  </w:t>
      </w:r>
    </w:p>
    <w:p w:rsidR="00BB3850" w:rsidP="00705F37" w14:paraId="6C44BD5A" w14:textId="77777777">
      <w:pPr>
        <w:tabs>
          <w:tab w:val="left" w:pos="1440"/>
        </w:tabs>
        <w:ind w:firstLine="720"/>
        <w:rPr>
          <w:highlight w:val="cyan"/>
        </w:rPr>
      </w:pPr>
      <w:r w:rsidRPr="00705F37">
        <w:t xml:space="preserve">After considering </w:t>
      </w:r>
      <w:r w:rsidRPr="00705F37" w:rsidR="00657DA5">
        <w:t>the text, statutory context, legislative history, and the experiences of other jurisdictions when faced with similar statutory language</w:t>
      </w:r>
      <w:r w:rsidRPr="00705F37">
        <w:t>,</w:t>
      </w:r>
      <w:r w:rsidRPr="00705F37" w:rsidR="00657DA5">
        <w:t xml:space="preserve"> </w:t>
      </w:r>
      <w:r w:rsidRPr="00705F37" w:rsidR="00143C81">
        <w:t xml:space="preserve">we conclude </w:t>
      </w:r>
      <w:r w:rsidRPr="00705F37" w:rsidR="005D03C9">
        <w:t xml:space="preserve">that </w:t>
      </w:r>
      <w:r w:rsidRPr="00705F37" w:rsidR="001E1157">
        <w:t xml:space="preserve">section 136.1(b)(2) </w:t>
      </w:r>
      <w:r w:rsidRPr="00705F37" w:rsidR="00673FC4">
        <w:t xml:space="preserve">is </w:t>
      </w:r>
      <w:r w:rsidRPr="00705F37" w:rsidR="00EB3783">
        <w:t xml:space="preserve">equally </w:t>
      </w:r>
      <w:r w:rsidRPr="00705F37" w:rsidR="00673FC4">
        <w:t>susceptible to both the conjunctive and disjunctive constructions</w:t>
      </w:r>
      <w:r w:rsidRPr="00705F37" w:rsidR="00B858E3">
        <w:t xml:space="preserve">.  Accordingly, </w:t>
      </w:r>
      <w:r w:rsidRPr="00705F37" w:rsidR="00C92984">
        <w:t xml:space="preserve">the rule of lenity counsels in favor of adopting the </w:t>
      </w:r>
      <w:r w:rsidRPr="00705F37" w:rsidR="00500BC9">
        <w:t xml:space="preserve">“interpretation more favorable to the defendant.”  </w:t>
      </w:r>
      <w:r w:rsidRPr="00705F37" w:rsidR="0049490B">
        <w:t>(</w:t>
      </w:r>
      <w:r w:rsidRPr="00705F37" w:rsidR="0049490B">
        <w:rPr>
          <w:i/>
          <w:iCs/>
        </w:rPr>
        <w:t>People v. Avery</w:t>
      </w:r>
      <w:r w:rsidRPr="00705F37" w:rsidR="0049490B">
        <w:t xml:space="preserve"> (2002) 27 Cal.4th 49, 57</w:t>
      </w:r>
      <w:r w:rsidR="004652C5">
        <w:t xml:space="preserve"> (</w:t>
      </w:r>
      <w:r w:rsidRPr="004652C5" w:rsidR="004652C5">
        <w:rPr>
          <w:i/>
          <w:iCs/>
        </w:rPr>
        <w:t>Avery</w:t>
      </w:r>
      <w:r w:rsidR="004652C5">
        <w:t>)</w:t>
      </w:r>
      <w:r w:rsidRPr="00705F37" w:rsidR="0049490B">
        <w:t xml:space="preserve">.)  </w:t>
      </w:r>
      <w:r w:rsidRPr="00705F37" w:rsidR="00A07DF7">
        <w:t xml:space="preserve">Here, </w:t>
      </w:r>
      <w:r w:rsidRPr="00BB3850" w:rsidR="00A07DF7">
        <w:t>that is the conjunctive construction</w:t>
      </w:r>
      <w:r w:rsidR="00287047">
        <w:t>,</w:t>
      </w:r>
      <w:r w:rsidRPr="00BB3850" w:rsidR="00A07DF7">
        <w:t xml:space="preserve"> </w:t>
      </w:r>
      <w:r w:rsidR="00A07DF7">
        <w:t>which does not permit a conviction to be based solely on proof of</w:t>
      </w:r>
      <w:r w:rsidR="00287047">
        <w:t xml:space="preserve"> dissuasion from</w:t>
      </w:r>
      <w:r w:rsidR="00A07DF7">
        <w:t xml:space="preserve"> “assisting in the prosecution” of an </w:t>
      </w:r>
      <w:r w:rsidRPr="00E939A0" w:rsidR="00A07DF7">
        <w:t xml:space="preserve">already-filed </w:t>
      </w:r>
      <w:r w:rsidR="00A07DF7">
        <w:t>charging document</w:t>
      </w:r>
      <w:r>
        <w:t xml:space="preserve">.  </w:t>
      </w:r>
    </w:p>
    <w:p w:rsidR="00A57455" w:rsidRPr="00705F37" w:rsidP="00705F37" w14:paraId="6C44BD5B" w14:textId="77777777">
      <w:pPr>
        <w:tabs>
          <w:tab w:val="left" w:pos="1440"/>
        </w:tabs>
        <w:ind w:firstLine="720"/>
        <w:rPr>
          <w:szCs w:val="26"/>
        </w:rPr>
      </w:pPr>
      <w:r w:rsidRPr="00E939A0">
        <w:t xml:space="preserve">Because there is no dispute that defendant’s conduct amounted to, at most, dissuasion </w:t>
      </w:r>
      <w:r w:rsidR="00C965DB">
        <w:t>after a complaint was filed</w:t>
      </w:r>
      <w:r w:rsidRPr="00705F37">
        <w:t xml:space="preserve">, </w:t>
      </w:r>
      <w:r w:rsidRPr="00705F37">
        <w:rPr>
          <w:szCs w:val="26"/>
        </w:rPr>
        <w:t>we affirm the judgment of the Court of Appeal reversing his conviction</w:t>
      </w:r>
      <w:r w:rsidRPr="00705F37" w:rsidR="005F36D0">
        <w:rPr>
          <w:szCs w:val="26"/>
        </w:rPr>
        <w:t>.</w:t>
      </w:r>
    </w:p>
    <w:p w:rsidR="00293CF0" w:rsidRPr="00705F37" w:rsidP="00DB0AE4" w14:paraId="6C44BD5C" w14:textId="77777777">
      <w:pPr>
        <w:pStyle w:val="Heading1"/>
      </w:pPr>
      <w:r w:rsidRPr="00705F37">
        <w:t xml:space="preserve">FACTUAL AND </w:t>
      </w:r>
      <w:r w:rsidRPr="00DB0AE4">
        <w:t>PROCEDURAL</w:t>
      </w:r>
      <w:r w:rsidRPr="00705F37">
        <w:t xml:space="preserve"> BACKGROUND</w:t>
      </w:r>
    </w:p>
    <w:p w:rsidR="00941854" w:rsidRPr="00705F37" w:rsidP="00705F37" w14:paraId="6C44BD5D" w14:textId="77777777">
      <w:pPr>
        <w:tabs>
          <w:tab w:val="left" w:pos="1440"/>
        </w:tabs>
        <w:ind w:firstLine="720"/>
      </w:pPr>
      <w:r w:rsidRPr="00705F37">
        <w:t>Defendant and two others (Guillermo Cervantes and Cesar Chavez) were charged with murder (§ 187) and dissuading a witness (§ 136.1(b)(2))</w:t>
      </w:r>
      <w:r>
        <w:rPr>
          <w:rStyle w:val="FootnoteReference"/>
        </w:rPr>
        <w:footnoteReference w:id="4"/>
      </w:r>
      <w:r w:rsidRPr="00705F37">
        <w:t xml:space="preserve"> with allegations that the dissuasion was “accompanied by force” (§ 136.1, subd. (c)(1)) and done “in furtherance of a conspiracy” (</w:t>
      </w:r>
      <w:r w:rsidRPr="00705F37">
        <w:rPr>
          <w:i/>
          <w:iCs/>
          <w:szCs w:val="26"/>
        </w:rPr>
        <w:t>id</w:t>
      </w:r>
      <w:r w:rsidRPr="00705F37">
        <w:rPr>
          <w:szCs w:val="26"/>
        </w:rPr>
        <w:t xml:space="preserve">., subd. </w:t>
      </w:r>
      <w:r w:rsidRPr="00705F37">
        <w:t>(c)(2)).  The prosecution’s theory was that defendant was trying to dissuade a witness</w:t>
      </w:r>
      <w:r w:rsidRPr="00705F37" w:rsidR="00627054">
        <w:t>,</w:t>
      </w:r>
      <w:r w:rsidRPr="00705F37">
        <w:t xml:space="preserve"> Rafael Cornejo</w:t>
      </w:r>
      <w:r w:rsidRPr="00705F37" w:rsidR="00627054">
        <w:t>,</w:t>
      </w:r>
      <w:r w:rsidRPr="00705F37">
        <w:t xml:space="preserve"> in a criminal case against defendant’s brother</w:t>
      </w:r>
      <w:r w:rsidRPr="00705F37" w:rsidR="00627054">
        <w:t>,</w:t>
      </w:r>
      <w:r w:rsidRPr="00705F37">
        <w:t xml:space="preserve"> Francisco Rosales.  We briefly summarize the underlying criminal case </w:t>
      </w:r>
      <w:r w:rsidRPr="00705F37" w:rsidR="00180C4E">
        <w:t xml:space="preserve">involving defendant’s brother, </w:t>
      </w:r>
      <w:r w:rsidRPr="00705F37">
        <w:t xml:space="preserve">and the instant case of witness dissuasion.  </w:t>
      </w:r>
    </w:p>
    <w:p w:rsidR="003B19F7" w:rsidRPr="00705F37" w:rsidP="00705F37" w14:paraId="6C44BD5E" w14:textId="77777777">
      <w:pPr>
        <w:tabs>
          <w:tab w:val="left" w:pos="1440"/>
        </w:tabs>
        <w:ind w:firstLine="720"/>
      </w:pPr>
      <w:r w:rsidRPr="00705F37">
        <w:t xml:space="preserve">In February 2017, Gilroy police arrested Rosales, Cornejo, and </w:t>
      </w:r>
      <w:r w:rsidRPr="00705F37" w:rsidR="003A3D4C">
        <w:t xml:space="preserve">Benjamin </w:t>
      </w:r>
      <w:r w:rsidRPr="00705F37">
        <w:t xml:space="preserve">Valladares after finding an unregistered firearm in their vehicle.  In April, Rosales, Cornejo, and Valladares were charged with misdemeanor possession of a firearm.  Valladares was also charged with one felony count of assault with a firearm and one misdemeanor count of causing a firearm to be carried in a vehicle.  Between April and June, these three defendants made several appearances at the Morgan Hill courthouse — including on June 15, when one of the defendants in this </w:t>
      </w:r>
      <w:r w:rsidRPr="00705F37" w:rsidR="00941854">
        <w:t xml:space="preserve">witness dissuasion </w:t>
      </w:r>
      <w:r w:rsidRPr="00705F37">
        <w:t xml:space="preserve">case (Cesar Chavez) and his brother (Gilbert Chavez) attended despite not having any business before the court. </w:t>
      </w:r>
      <w:r w:rsidRPr="00705F37" w:rsidR="00A07329">
        <w:t xml:space="preserve"> </w:t>
      </w:r>
    </w:p>
    <w:p w:rsidR="00A27816" w:rsidRPr="00705F37" w:rsidP="00705F37" w14:paraId="6C44BD5F" w14:textId="77777777">
      <w:pPr>
        <w:tabs>
          <w:tab w:val="left" w:pos="1440"/>
        </w:tabs>
        <w:ind w:firstLine="720"/>
      </w:pPr>
      <w:r w:rsidRPr="00705F37">
        <w:t xml:space="preserve">The charged </w:t>
      </w:r>
      <w:r w:rsidRPr="00705F37" w:rsidR="00941854">
        <w:t xml:space="preserve">witness </w:t>
      </w:r>
      <w:r w:rsidRPr="00705F37" w:rsidR="00C12FCD">
        <w:t xml:space="preserve">dissuasion </w:t>
      </w:r>
      <w:r w:rsidRPr="00705F37" w:rsidR="00815F5B">
        <w:t xml:space="preserve">in this case occurred </w:t>
      </w:r>
      <w:r w:rsidRPr="00705F37" w:rsidR="00587C38">
        <w:t xml:space="preserve">one week later </w:t>
      </w:r>
      <w:r w:rsidRPr="00705F37" w:rsidR="00815F5B">
        <w:t xml:space="preserve">outside a bar in San Jose. </w:t>
      </w:r>
      <w:r w:rsidRPr="00705F37" w:rsidR="005B132D">
        <w:t xml:space="preserve"> </w:t>
      </w:r>
      <w:r w:rsidRPr="00705F37" w:rsidR="00065928">
        <w:t>Cornejo and Valladares were drinking in the bar</w:t>
      </w:r>
      <w:r w:rsidRPr="00705F37" w:rsidR="00567BBF">
        <w:t xml:space="preserve"> when </w:t>
      </w:r>
      <w:r w:rsidRPr="00705F37" w:rsidR="00686FA5">
        <w:t>t</w:t>
      </w:r>
      <w:r w:rsidRPr="00705F37" w:rsidR="00CB0DD8">
        <w:t xml:space="preserve">he manager warned Valladares </w:t>
      </w:r>
      <w:r w:rsidRPr="00705F37" w:rsidR="00613E04">
        <w:t xml:space="preserve">that </w:t>
      </w:r>
      <w:r w:rsidRPr="00705F37" w:rsidR="00CB0DD8">
        <w:t xml:space="preserve">a group of men </w:t>
      </w:r>
      <w:r w:rsidRPr="00705F37" w:rsidR="003B19F7">
        <w:t xml:space="preserve">were </w:t>
      </w:r>
      <w:r w:rsidRPr="00705F37" w:rsidR="00686FA5">
        <w:t xml:space="preserve">outside.  The manager </w:t>
      </w:r>
      <w:r w:rsidRPr="00705F37" w:rsidR="00613E04">
        <w:t xml:space="preserve">gave this warning </w:t>
      </w:r>
      <w:r w:rsidRPr="00705F37" w:rsidR="00382A1A">
        <w:t xml:space="preserve">because there had been an incident at the bar a few weeks earlier involving Valladares and </w:t>
      </w:r>
      <w:r w:rsidRPr="00705F37" w:rsidR="00503083">
        <w:t xml:space="preserve">one of the men outside.  </w:t>
      </w:r>
      <w:r w:rsidRPr="00705F37" w:rsidR="00233BDB">
        <w:t xml:space="preserve">When </w:t>
      </w:r>
      <w:r w:rsidRPr="00705F37" w:rsidR="002511BB">
        <w:t xml:space="preserve">Valladares went outside to see if everything was </w:t>
      </w:r>
      <w:r w:rsidRPr="00705F37" w:rsidR="00233BDB">
        <w:t xml:space="preserve">all right, someone asked him, “Where’s your bitch-ass uncle at?”  </w:t>
      </w:r>
      <w:r w:rsidRPr="00705F37" w:rsidR="00403838">
        <w:t>(Valladares considered Cornejo to be his uncle</w:t>
      </w:r>
      <w:r w:rsidRPr="00705F37" w:rsidR="00811E55">
        <w:t>.)</w:t>
      </w:r>
      <w:r w:rsidRPr="00705F37" w:rsidR="00403838">
        <w:t xml:space="preserve">  </w:t>
      </w:r>
      <w:r w:rsidRPr="00705F37" w:rsidR="00D55718">
        <w:t xml:space="preserve">Valladares went back inside and </w:t>
      </w:r>
      <w:r w:rsidRPr="00705F37" w:rsidR="00645C2E">
        <w:t>told Cornejo not to go outside</w:t>
      </w:r>
      <w:r w:rsidRPr="00705F37" w:rsidR="00B87C6F">
        <w:t xml:space="preserve"> but</w:t>
      </w:r>
      <w:r w:rsidRPr="00705F37" w:rsidR="00645C2E">
        <w:t xml:space="preserve"> Cornejo disregarded the warning.</w:t>
      </w:r>
    </w:p>
    <w:p w:rsidR="00403838" w:rsidRPr="00705F37" w:rsidP="00705F37" w14:paraId="6C44BD60" w14:textId="77777777">
      <w:pPr>
        <w:tabs>
          <w:tab w:val="left" w:pos="1440"/>
        </w:tabs>
        <w:ind w:firstLine="720"/>
      </w:pPr>
      <w:r w:rsidRPr="00705F37">
        <w:t>T</w:t>
      </w:r>
      <w:r w:rsidRPr="00705F37" w:rsidR="004F4794">
        <w:t>he group outside</w:t>
      </w:r>
      <w:r w:rsidRPr="00705F37">
        <w:t xml:space="preserve"> — </w:t>
      </w:r>
      <w:r w:rsidRPr="00705F37" w:rsidR="004F4794">
        <w:t xml:space="preserve">which included </w:t>
      </w:r>
      <w:r w:rsidRPr="00705F37" w:rsidR="009E26EE">
        <w:t>defendant</w:t>
      </w:r>
      <w:r w:rsidRPr="00705F37" w:rsidR="004F4794">
        <w:t xml:space="preserve">, Chavez (who had gone to the Morgan Hill courthouse the week before), </w:t>
      </w:r>
      <w:r w:rsidRPr="00705F37" w:rsidR="009F1EE3">
        <w:t>and Cervantes</w:t>
      </w:r>
      <w:r w:rsidRPr="00705F37">
        <w:t> — approached Cornejo in the parking lot</w:t>
      </w:r>
      <w:r w:rsidRPr="00705F37" w:rsidR="009F1EE3">
        <w:t xml:space="preserve">. </w:t>
      </w:r>
      <w:r w:rsidR="00804D1B">
        <w:t xml:space="preserve"> </w:t>
      </w:r>
      <w:r w:rsidRPr="00705F37" w:rsidR="00D91789">
        <w:t xml:space="preserve">A bouncer at the bar </w:t>
      </w:r>
      <w:r w:rsidRPr="00705F37" w:rsidR="00B87C6F">
        <w:t xml:space="preserve">who had </w:t>
      </w:r>
      <w:r w:rsidRPr="00705F37" w:rsidR="001E3BA4">
        <w:t xml:space="preserve">approached </w:t>
      </w:r>
      <w:r w:rsidRPr="00705F37" w:rsidR="00FE6D5C">
        <w:t xml:space="preserve">the men </w:t>
      </w:r>
      <w:r w:rsidRPr="00705F37" w:rsidR="00EC316D">
        <w:t xml:space="preserve">heard </w:t>
      </w:r>
      <w:r w:rsidRPr="00705F37" w:rsidR="000208D1">
        <w:t>someone say</w:t>
      </w:r>
      <w:r w:rsidRPr="00705F37" w:rsidR="00D459AE">
        <w:t xml:space="preserve"> “</w:t>
      </w:r>
      <w:r w:rsidRPr="00705F37" w:rsidR="00811E55">
        <w:t>[</w:t>
      </w:r>
      <w:r w:rsidRPr="00705F37" w:rsidR="00D459AE">
        <w:t>d</w:t>
      </w:r>
      <w:r w:rsidRPr="00705F37" w:rsidR="00811E55">
        <w:t>]</w:t>
      </w:r>
      <w:r w:rsidRPr="00705F37" w:rsidR="00D459AE">
        <w:t>rop the charges</w:t>
      </w:r>
      <w:r w:rsidRPr="00705F37" w:rsidR="00D34033">
        <w:t>” and “</w:t>
      </w:r>
      <w:r w:rsidRPr="00705F37" w:rsidR="004D3213">
        <w:t>it will be all good”</w:t>
      </w:r>
      <w:r w:rsidRPr="00705F37" w:rsidR="00D34033">
        <w:t xml:space="preserve"> or “</w:t>
      </w:r>
      <w:r w:rsidRPr="00705F37" w:rsidR="00811E55">
        <w:t>[</w:t>
      </w:r>
      <w:r w:rsidRPr="00705F37" w:rsidR="00D34033">
        <w:t>y</w:t>
      </w:r>
      <w:r w:rsidRPr="00705F37" w:rsidR="00811E55">
        <w:t>]</w:t>
      </w:r>
      <w:r w:rsidRPr="00705F37" w:rsidR="00D34033">
        <w:t>ou have nothing to worry about.”</w:t>
      </w:r>
      <w:r w:rsidRPr="00705F37" w:rsidR="004D3213">
        <w:t xml:space="preserve"> </w:t>
      </w:r>
      <w:r w:rsidRPr="00705F37" w:rsidR="00901804">
        <w:t xml:space="preserve"> </w:t>
      </w:r>
      <w:r w:rsidRPr="00705F37" w:rsidR="00D70228">
        <w:t>Valladares then heard a</w:t>
      </w:r>
      <w:r w:rsidRPr="00705F37" w:rsidR="004D5BC3">
        <w:t xml:space="preserve"> member of </w:t>
      </w:r>
      <w:r w:rsidRPr="00705F37" w:rsidR="009E26EE">
        <w:t xml:space="preserve">defendant’s </w:t>
      </w:r>
      <w:r w:rsidRPr="00705F37" w:rsidR="004D5BC3">
        <w:t xml:space="preserve">group </w:t>
      </w:r>
      <w:r w:rsidRPr="00705F37" w:rsidR="00D70228">
        <w:t>say</w:t>
      </w:r>
      <w:r w:rsidRPr="00705F37" w:rsidR="004D5BC3">
        <w:t>, “</w:t>
      </w:r>
      <w:r w:rsidRPr="00705F37" w:rsidR="00811E55">
        <w:t>[</w:t>
      </w:r>
      <w:r w:rsidRPr="00705F37" w:rsidR="004D5BC3">
        <w:t>W</w:t>
      </w:r>
      <w:r w:rsidRPr="00705F37" w:rsidR="00811E55">
        <w:t>]</w:t>
      </w:r>
      <w:r w:rsidRPr="00705F37" w:rsidR="004D5BC3">
        <w:t xml:space="preserve">e don’t fuck with snitches.” </w:t>
      </w:r>
      <w:r w:rsidRPr="00705F37" w:rsidR="006D15B5">
        <w:t xml:space="preserve"> </w:t>
      </w:r>
      <w:r w:rsidRPr="00705F37" w:rsidR="007A2671">
        <w:t xml:space="preserve">Cervantes then punched </w:t>
      </w:r>
      <w:r w:rsidRPr="00705F37" w:rsidR="00241D85">
        <w:t xml:space="preserve">Cornejo once in the head.  Cornejo fell </w:t>
      </w:r>
      <w:r w:rsidRPr="00705F37" w:rsidR="00407729">
        <w:t>to the ground</w:t>
      </w:r>
      <w:r w:rsidRPr="00705F37">
        <w:t>,</w:t>
      </w:r>
      <w:r w:rsidRPr="00705F37" w:rsidR="00407729">
        <w:t xml:space="preserve"> struck his head on the pavement</w:t>
      </w:r>
      <w:r w:rsidRPr="00705F37">
        <w:t xml:space="preserve">, and died hours later from </w:t>
      </w:r>
      <w:r w:rsidRPr="00705F37" w:rsidR="007F58AA">
        <w:t>blunt force trauma to the head and acute alcohol intoxication</w:t>
      </w:r>
      <w:r w:rsidRPr="00705F37" w:rsidR="00407729">
        <w:t xml:space="preserve">.  </w:t>
      </w:r>
    </w:p>
    <w:p w:rsidR="000C0690" w:rsidRPr="00705F37" w:rsidP="00705F37" w14:paraId="6C44BD61" w14:textId="77777777">
      <w:pPr>
        <w:tabs>
          <w:tab w:val="left" w:pos="1440"/>
        </w:tabs>
        <w:ind w:firstLine="720"/>
      </w:pPr>
      <w:r w:rsidRPr="00705F37">
        <w:t>T</w:t>
      </w:r>
      <w:r w:rsidRPr="00705F37" w:rsidR="00B45E09">
        <w:t xml:space="preserve">he jury found </w:t>
      </w:r>
      <w:r w:rsidRPr="00705F37" w:rsidR="009E26EE">
        <w:t xml:space="preserve">defendant </w:t>
      </w:r>
      <w:r w:rsidRPr="00705F37">
        <w:t>not guilty of murder</w:t>
      </w:r>
      <w:r w:rsidRPr="00705F37" w:rsidR="00D23CD4">
        <w:t xml:space="preserve"> and </w:t>
      </w:r>
      <w:r w:rsidRPr="00705F37" w:rsidR="00B45E09">
        <w:t>guilty of witness dissuasion</w:t>
      </w:r>
      <w:r w:rsidRPr="00705F37" w:rsidR="001571C1">
        <w:t>,</w:t>
      </w:r>
      <w:r w:rsidRPr="00705F37" w:rsidR="00AD739D">
        <w:t xml:space="preserve"> found the dissuasion in furtherance of a conspiracy allegation true</w:t>
      </w:r>
      <w:r w:rsidRPr="00705F37" w:rsidR="001571C1">
        <w:t xml:space="preserve">, </w:t>
      </w:r>
      <w:r w:rsidRPr="00705F37" w:rsidR="00AD739D">
        <w:t>and found the dissuasion accompanied by force allegation not true</w:t>
      </w:r>
      <w:r w:rsidRPr="00705F37" w:rsidR="00BE00B0">
        <w:t xml:space="preserve">.  </w:t>
      </w:r>
      <w:r w:rsidRPr="00705F37">
        <w:t xml:space="preserve">The trial court sentenced </w:t>
      </w:r>
      <w:r w:rsidRPr="00705F37" w:rsidR="009E26EE">
        <w:t xml:space="preserve">defendant </w:t>
      </w:r>
      <w:r w:rsidRPr="00705F37">
        <w:t xml:space="preserve">to two years in prison, which the court deemed satisfied </w:t>
      </w:r>
      <w:r w:rsidRPr="00705F37" w:rsidR="007D3D5E">
        <w:t xml:space="preserve">by </w:t>
      </w:r>
      <w:r w:rsidRPr="00705F37" w:rsidR="009E26EE">
        <w:t xml:space="preserve">defendant’s </w:t>
      </w:r>
      <w:r w:rsidRPr="00705F37" w:rsidR="007D3D5E">
        <w:t xml:space="preserve">presentence </w:t>
      </w:r>
      <w:r w:rsidRPr="00705F37">
        <w:t>custody credits</w:t>
      </w:r>
      <w:r w:rsidRPr="00705F37" w:rsidR="007D3D5E">
        <w:t>, and placed him on parole for three years</w:t>
      </w:r>
      <w:r w:rsidRPr="00705F37">
        <w:t xml:space="preserve">. </w:t>
      </w:r>
      <w:r w:rsidRPr="00705F37" w:rsidR="007D3D5E">
        <w:t xml:space="preserve"> </w:t>
      </w:r>
    </w:p>
    <w:p w:rsidR="00002606" w:rsidRPr="00705F37" w:rsidP="00705F37" w14:paraId="6C44BD62" w14:textId="77777777">
      <w:pPr>
        <w:tabs>
          <w:tab w:val="left" w:pos="1440"/>
        </w:tabs>
        <w:ind w:firstLine="720"/>
        <w:rPr>
          <w:szCs w:val="26"/>
        </w:rPr>
      </w:pPr>
      <w:r w:rsidRPr="00705F37">
        <w:t xml:space="preserve">Defendant </w:t>
      </w:r>
      <w:r w:rsidRPr="00705F37" w:rsidR="0013017F">
        <w:t>appealed</w:t>
      </w:r>
      <w:r w:rsidRPr="00705F37" w:rsidR="000A7F88">
        <w:t>, challenging the sufficiency of the evidence supporting his conviction</w:t>
      </w:r>
      <w:r w:rsidRPr="00705F37" w:rsidR="001946A8">
        <w:t xml:space="preserve"> and the jury’s true finding on the conspiracy allegation</w:t>
      </w:r>
      <w:r w:rsidRPr="00705F37" w:rsidR="000A7F88">
        <w:t xml:space="preserve">.  </w:t>
      </w:r>
      <w:r w:rsidRPr="00705F37" w:rsidR="006305CA">
        <w:t>He</w:t>
      </w:r>
      <w:r w:rsidRPr="00705F37" w:rsidR="0082359A">
        <w:t xml:space="preserve"> argued </w:t>
      </w:r>
      <w:r w:rsidRPr="00705F37" w:rsidR="008351FE">
        <w:t xml:space="preserve">that </w:t>
      </w:r>
      <w:r w:rsidRPr="00705F37" w:rsidR="0082359A">
        <w:t>section</w:t>
      </w:r>
      <w:r w:rsidRPr="00705F37" w:rsidR="005C2B5D">
        <w:t> </w:t>
      </w:r>
      <w:r w:rsidRPr="00705F37" w:rsidR="0082359A">
        <w:t>136.1(b)(2) “includes two elements, first, that the witness is being dissuaded from ‘</w:t>
      </w:r>
      <w:r w:rsidR="00CF5CA9">
        <w:t>[</w:t>
      </w:r>
      <w:r w:rsidRPr="00705F37" w:rsidR="0082359A">
        <w:t>c</w:t>
      </w:r>
      <w:r w:rsidR="00CF5CA9">
        <w:t>]</w:t>
      </w:r>
      <w:r w:rsidRPr="00705F37" w:rsidR="0082359A">
        <w:t xml:space="preserve">ausing a complaint . . . to be sought and prosecuted’ </w:t>
      </w:r>
      <w:r w:rsidRPr="00C965DB" w:rsidR="0082359A">
        <w:rPr>
          <w:i/>
        </w:rPr>
        <w:t>and</w:t>
      </w:r>
      <w:r w:rsidRPr="00156999" w:rsidR="0082359A">
        <w:t xml:space="preserve"> </w:t>
      </w:r>
      <w:r w:rsidRPr="00705F37" w:rsidR="0082359A">
        <w:t xml:space="preserve">second, ‘assisting in the prosecution thereof.’ ”  </w:t>
      </w:r>
      <w:r w:rsidR="00156999">
        <w:t xml:space="preserve">(Boldface omitted.)  </w:t>
      </w:r>
      <w:r w:rsidRPr="00705F37" w:rsidR="0082359A">
        <w:t xml:space="preserve">He maintained </w:t>
      </w:r>
      <w:r w:rsidRPr="00705F37" w:rsidR="00257567">
        <w:t xml:space="preserve">the evidence was insufficient to support either </w:t>
      </w:r>
      <w:r w:rsidRPr="00705F37" w:rsidR="00AB297C">
        <w:t xml:space="preserve">ostensible </w:t>
      </w:r>
      <w:r w:rsidRPr="00705F37" w:rsidR="00257567">
        <w:t xml:space="preserve">element.  </w:t>
      </w:r>
      <w:r w:rsidRPr="00705F37" w:rsidR="00DC3C9E">
        <w:t>As to the first</w:t>
      </w:r>
      <w:r w:rsidRPr="00705F37" w:rsidR="00D53856">
        <w:t xml:space="preserve"> ostensible element</w:t>
      </w:r>
      <w:r w:rsidRPr="00705F37" w:rsidR="00DC3C9E">
        <w:t xml:space="preserve">, </w:t>
      </w:r>
      <w:r w:rsidRPr="00705F37">
        <w:t xml:space="preserve">defendant </w:t>
      </w:r>
      <w:r w:rsidRPr="00705F37" w:rsidR="00257567">
        <w:t xml:space="preserve">argued </w:t>
      </w:r>
      <w:r w:rsidRPr="00705F37" w:rsidR="0082359A">
        <w:t>“[t]here was no substantial evidence supporting the theory that Cornejo was going to ‘cause’ any criminal actions to be sought in [the Morgan Hill] case” because “charges were already brought in that case, and several court appearances had already taken place”</w:t>
      </w:r>
      <w:r w:rsidRPr="00705F37" w:rsidR="00D2605F">
        <w:t xml:space="preserve"> </w:t>
      </w:r>
      <w:r w:rsidRPr="00705F37" w:rsidR="004D0AB8">
        <w:t>by the time of the incident leading to Cornejo’s death.</w:t>
      </w:r>
      <w:r w:rsidRPr="00705F37" w:rsidR="0082359A">
        <w:t xml:space="preserve"> </w:t>
      </w:r>
      <w:r w:rsidRPr="00705F37" w:rsidR="00257567">
        <w:rPr>
          <w:szCs w:val="26"/>
        </w:rPr>
        <w:t xml:space="preserve"> Thus, </w:t>
      </w:r>
      <w:r w:rsidRPr="00705F37" w:rsidR="005F79C7">
        <w:rPr>
          <w:szCs w:val="26"/>
        </w:rPr>
        <w:t xml:space="preserve">according to defendant, </w:t>
      </w:r>
      <w:r w:rsidRPr="00705F37" w:rsidR="00257567">
        <w:rPr>
          <w:szCs w:val="26"/>
        </w:rPr>
        <w:t>there was an “impossibility of meeting the first element.”  (</w:t>
      </w:r>
      <w:r w:rsidR="00781FA1">
        <w:rPr>
          <w:szCs w:val="26"/>
        </w:rPr>
        <w:t>Boldface</w:t>
      </w:r>
      <w:r w:rsidR="00CD7D62">
        <w:rPr>
          <w:szCs w:val="26"/>
        </w:rPr>
        <w:t xml:space="preserve"> </w:t>
      </w:r>
      <w:r w:rsidRPr="00705F37" w:rsidR="00257567">
        <w:rPr>
          <w:szCs w:val="26"/>
        </w:rPr>
        <w:t>omitted.)</w:t>
      </w:r>
    </w:p>
    <w:p w:rsidR="00180C4E" w:rsidRPr="00705F37" w:rsidP="00705F37" w14:paraId="6C44BD63" w14:textId="77777777">
      <w:pPr>
        <w:tabs>
          <w:tab w:val="left" w:pos="1440"/>
        </w:tabs>
        <w:ind w:firstLine="720"/>
      </w:pPr>
      <w:r w:rsidRPr="00705F37">
        <w:t xml:space="preserve">The Court of Appeal </w:t>
      </w:r>
      <w:r w:rsidRPr="00705F37" w:rsidR="001627DF">
        <w:t>agreed that section 136.1(b)(2) requires proof that the defendant attempted to prevent or dissuade another person from causing an accusatory pleading to be filed</w:t>
      </w:r>
      <w:r w:rsidRPr="00705F37" w:rsidR="003D6BB0">
        <w:t>.</w:t>
      </w:r>
      <w:r w:rsidRPr="00705F37" w:rsidR="001D5929">
        <w:t xml:space="preserve">  (</w:t>
      </w:r>
      <w:r w:rsidRPr="00705F37" w:rsidR="0010285A">
        <w:rPr>
          <w:i/>
          <w:iCs/>
        </w:rPr>
        <w:t xml:space="preserve">People v. </w:t>
      </w:r>
      <w:r w:rsidRPr="00705F37" w:rsidR="001D5929">
        <w:rPr>
          <w:i/>
          <w:iCs/>
        </w:rPr>
        <w:t>Reynoza</w:t>
      </w:r>
      <w:r w:rsidRPr="00705F37" w:rsidR="0010285A">
        <w:rPr>
          <w:i/>
          <w:iCs/>
        </w:rPr>
        <w:t xml:space="preserve"> </w:t>
      </w:r>
      <w:r w:rsidRPr="00705F37" w:rsidR="0010285A">
        <w:t>(2022)</w:t>
      </w:r>
      <w:r w:rsidRPr="00705F37" w:rsidR="001D5929">
        <w:t xml:space="preserve"> 75</w:t>
      </w:r>
      <w:r w:rsidRPr="00705F37" w:rsidR="005C2B5D">
        <w:t> </w:t>
      </w:r>
      <w:r w:rsidRPr="00705F37" w:rsidR="001D5929">
        <w:t>Cal.App.5th</w:t>
      </w:r>
      <w:r w:rsidRPr="00705F37" w:rsidR="00D12862">
        <w:t xml:space="preserve"> </w:t>
      </w:r>
      <w:r w:rsidRPr="00705F37" w:rsidR="0010285A">
        <w:t>181,</w:t>
      </w:r>
      <w:r w:rsidRPr="00705F37" w:rsidR="00D12862">
        <w:t xml:space="preserve"> </w:t>
      </w:r>
      <w:r w:rsidRPr="00705F37" w:rsidR="001D5929">
        <w:t>189</w:t>
      </w:r>
      <w:r w:rsidRPr="00705F37" w:rsidR="0010285A">
        <w:t xml:space="preserve"> (</w:t>
      </w:r>
      <w:r w:rsidRPr="00705F37" w:rsidR="0010285A">
        <w:rPr>
          <w:i/>
          <w:iCs/>
        </w:rPr>
        <w:t>Reynoza</w:t>
      </w:r>
      <w:r w:rsidRPr="00705F37" w:rsidR="0010285A">
        <w:t>)</w:t>
      </w:r>
      <w:r w:rsidRPr="00705F37" w:rsidR="001D5929">
        <w:t>.)</w:t>
      </w:r>
      <w:r>
        <w:rPr>
          <w:rStyle w:val="FootnoteReference"/>
        </w:rPr>
        <w:footnoteReference w:id="5"/>
      </w:r>
      <w:r w:rsidRPr="00705F37" w:rsidR="003D6BB0">
        <w:t xml:space="preserve">  </w:t>
      </w:r>
      <w:r w:rsidRPr="00705F37" w:rsidR="00F63897">
        <w:t>The court explained that “section 136.1(b)(2) requires proof that, among other things, the defendant attempted to prevent or dissuade another person from causing a complaint, indictment, information, probation or parole violation to be filed.  If the defendant was aware the relevant charging document had already been filed, and the defendant did not attempt to prevent or dissuade the filing of any amended or subsequent charging document, the defendant has not violated section</w:t>
      </w:r>
      <w:r w:rsidRPr="00705F37" w:rsidR="00467605">
        <w:t> </w:t>
      </w:r>
      <w:r w:rsidRPr="00705F37" w:rsidR="00F63897">
        <w:t>136.1(b)(2).”  (</w:t>
      </w:r>
      <w:r w:rsidRPr="00705F37" w:rsidR="00F63897">
        <w:rPr>
          <w:i/>
          <w:iCs/>
        </w:rPr>
        <w:t>Reynoza</w:t>
      </w:r>
      <w:r w:rsidRPr="00705F37" w:rsidR="00F63897">
        <w:t>, at p. 18</w:t>
      </w:r>
      <w:r w:rsidRPr="00705F37">
        <w:t>9</w:t>
      </w:r>
      <w:r w:rsidRPr="00705F37" w:rsidR="00F63897">
        <w:t xml:space="preserve">.)  </w:t>
      </w:r>
      <w:r w:rsidRPr="00705F37">
        <w:t>The court further explained that “[o]ther statutory provisions prohibit attempts to dissuade victims or witnesses where charges have already been filed.”  (</w:t>
      </w:r>
      <w:r w:rsidRPr="00705F37">
        <w:rPr>
          <w:i/>
          <w:iCs/>
        </w:rPr>
        <w:t>I</w:t>
      </w:r>
      <w:r w:rsidR="00753F5A">
        <w:rPr>
          <w:i/>
          <w:iCs/>
        </w:rPr>
        <w:t>bi</w:t>
      </w:r>
      <w:r w:rsidRPr="00705F37">
        <w:rPr>
          <w:i/>
          <w:iCs/>
        </w:rPr>
        <w:t>d</w:t>
      </w:r>
      <w:r w:rsidRPr="00705F37">
        <w:t>., citing §</w:t>
      </w:r>
      <w:r w:rsidRPr="00705F37" w:rsidR="00CF5CA9">
        <w:t>§</w:t>
      </w:r>
      <w:r w:rsidRPr="00705F37">
        <w:t> 136.1, subd. (a)(1) &amp; (2) [dissuasion of a witness from testifying or attending trial]</w:t>
      </w:r>
      <w:r w:rsidR="00CF5CA9">
        <w:t>,</w:t>
      </w:r>
      <w:r w:rsidRPr="00705F37">
        <w:t xml:space="preserve"> 137, subd. (c) [attempting to influence testimony or information given to law enforcement].)</w:t>
      </w:r>
    </w:p>
    <w:p w:rsidR="00180C4E" w:rsidRPr="00705F37" w:rsidP="00705F37" w14:paraId="6C44BD64" w14:textId="77777777">
      <w:pPr>
        <w:tabs>
          <w:tab w:val="left" w:pos="1440"/>
        </w:tabs>
        <w:ind w:firstLine="720"/>
      </w:pPr>
      <w:r w:rsidRPr="00705F37">
        <w:rPr>
          <w:szCs w:val="26"/>
        </w:rPr>
        <w:t xml:space="preserve">In so holding, the </w:t>
      </w:r>
      <w:r w:rsidRPr="00705F37">
        <w:rPr>
          <w:i/>
          <w:iCs/>
          <w:szCs w:val="26"/>
        </w:rPr>
        <w:t>Reynoza</w:t>
      </w:r>
      <w:r w:rsidRPr="00705F37">
        <w:rPr>
          <w:szCs w:val="26"/>
        </w:rPr>
        <w:t xml:space="preserve"> court expressly disagreed with </w:t>
      </w:r>
      <w:r w:rsidRPr="00705F37">
        <w:rPr>
          <w:i/>
          <w:iCs/>
          <w:szCs w:val="26"/>
        </w:rPr>
        <w:t>People v. Velazquez</w:t>
      </w:r>
      <w:r w:rsidRPr="00705F37">
        <w:rPr>
          <w:szCs w:val="26"/>
        </w:rPr>
        <w:t xml:space="preserve"> (2011) 201 Cal.App.4th 219</w:t>
      </w:r>
      <w:r w:rsidRPr="00705F37" w:rsidR="003B629B">
        <w:rPr>
          <w:szCs w:val="26"/>
        </w:rPr>
        <w:t xml:space="preserve"> (</w:t>
      </w:r>
      <w:r w:rsidRPr="00705F37" w:rsidR="003B629B">
        <w:rPr>
          <w:i/>
          <w:iCs/>
          <w:szCs w:val="26"/>
        </w:rPr>
        <w:t>Velazquez</w:t>
      </w:r>
      <w:r w:rsidRPr="00705F37" w:rsidR="003B629B">
        <w:rPr>
          <w:szCs w:val="26"/>
        </w:rPr>
        <w:t>)</w:t>
      </w:r>
      <w:r w:rsidRPr="00705F37">
        <w:rPr>
          <w:szCs w:val="26"/>
        </w:rPr>
        <w:t xml:space="preserve">, which </w:t>
      </w:r>
      <w:r w:rsidRPr="00705F37" w:rsidR="00E81E1A">
        <w:rPr>
          <w:szCs w:val="26"/>
        </w:rPr>
        <w:t xml:space="preserve">stated </w:t>
      </w:r>
      <w:r w:rsidRPr="00705F37">
        <w:rPr>
          <w:szCs w:val="26"/>
        </w:rPr>
        <w:t>that</w:t>
      </w:r>
      <w:r w:rsidRPr="00705F37">
        <w:t xml:space="preserve"> </w:t>
      </w:r>
      <w:r w:rsidRPr="00705F37">
        <w:rPr>
          <w:szCs w:val="26"/>
        </w:rPr>
        <w:t xml:space="preserve">section 136.1(b)(2) “clearly encompasses more than </w:t>
      </w:r>
      <w:r w:rsidRPr="004C7F78">
        <w:rPr>
          <w:szCs w:val="26"/>
        </w:rPr>
        <w:t>prearrest</w:t>
      </w:r>
      <w:r w:rsidRPr="00705F37">
        <w:rPr>
          <w:szCs w:val="26"/>
        </w:rPr>
        <w:t xml:space="preserve"> efforts to dissuade, inasmuch as it includes attempts to dissuade a victim from causing a complaint . . . to be prosecuted </w:t>
      </w:r>
      <w:r w:rsidRPr="00705F37">
        <w:rPr>
          <w:i/>
          <w:iCs/>
          <w:szCs w:val="26"/>
        </w:rPr>
        <w:t>or assisting in that prosecution</w:t>
      </w:r>
      <w:r w:rsidRPr="00705F37">
        <w:rPr>
          <w:szCs w:val="26"/>
        </w:rPr>
        <w:t>.”  (</w:t>
      </w:r>
      <w:r w:rsidRPr="00705F37">
        <w:rPr>
          <w:i/>
          <w:iCs/>
          <w:szCs w:val="26"/>
        </w:rPr>
        <w:t>Velazquez</w:t>
      </w:r>
      <w:r w:rsidRPr="00705F37">
        <w:rPr>
          <w:szCs w:val="26"/>
        </w:rPr>
        <w:t>, at p. 233</w:t>
      </w:r>
      <w:r w:rsidRPr="00705F37" w:rsidR="00B029D2">
        <w:rPr>
          <w:szCs w:val="26"/>
        </w:rPr>
        <w:t>, italics added</w:t>
      </w:r>
      <w:r w:rsidRPr="00705F37">
        <w:rPr>
          <w:szCs w:val="26"/>
        </w:rPr>
        <w:t>.)</w:t>
      </w:r>
    </w:p>
    <w:p w:rsidR="003147B1" w:rsidRPr="00705F37" w:rsidP="00705F37" w14:paraId="6C44BD65" w14:textId="77777777">
      <w:pPr>
        <w:tabs>
          <w:tab w:val="left" w:pos="1440"/>
        </w:tabs>
        <w:ind w:firstLine="720"/>
        <w:rPr>
          <w:szCs w:val="26"/>
        </w:rPr>
      </w:pPr>
      <w:r w:rsidRPr="00705F37">
        <w:rPr>
          <w:szCs w:val="26"/>
        </w:rPr>
        <w:t xml:space="preserve">We granted review to determine whether section 136.1(b)(2) </w:t>
      </w:r>
      <w:r w:rsidRPr="00705F37" w:rsidR="008B6770">
        <w:rPr>
          <w:szCs w:val="26"/>
        </w:rPr>
        <w:t xml:space="preserve">requires proof of an </w:t>
      </w:r>
      <w:r w:rsidRPr="00705F37">
        <w:rPr>
          <w:szCs w:val="26"/>
        </w:rPr>
        <w:t>attempt to dissuade a witness from causing a charging document to be sought and prosecuted</w:t>
      </w:r>
      <w:r w:rsidRPr="00705F37" w:rsidR="00B029D2">
        <w:rPr>
          <w:szCs w:val="26"/>
        </w:rPr>
        <w:t xml:space="preserve"> — as the court below held — or whether </w:t>
      </w:r>
      <w:r w:rsidRPr="00705F37" w:rsidR="008B6770">
        <w:rPr>
          <w:szCs w:val="26"/>
        </w:rPr>
        <w:t xml:space="preserve">the statute </w:t>
      </w:r>
      <w:r w:rsidRPr="00705F37" w:rsidR="00B029D2">
        <w:rPr>
          <w:szCs w:val="26"/>
        </w:rPr>
        <w:t>also</w:t>
      </w:r>
      <w:r w:rsidRPr="00705F37" w:rsidR="0014537E">
        <w:rPr>
          <w:szCs w:val="26"/>
        </w:rPr>
        <w:t xml:space="preserve"> independently</w:t>
      </w:r>
      <w:r w:rsidRPr="00705F37" w:rsidR="00B029D2">
        <w:rPr>
          <w:szCs w:val="26"/>
        </w:rPr>
        <w:t xml:space="preserve"> </w:t>
      </w:r>
      <w:r w:rsidRPr="00705F37" w:rsidR="008B6770">
        <w:rPr>
          <w:szCs w:val="26"/>
        </w:rPr>
        <w:t xml:space="preserve">applies where a defendant </w:t>
      </w:r>
      <w:r w:rsidRPr="00705F37">
        <w:rPr>
          <w:szCs w:val="26"/>
        </w:rPr>
        <w:t>dissuade</w:t>
      </w:r>
      <w:r w:rsidRPr="00705F37" w:rsidR="008B6770">
        <w:rPr>
          <w:szCs w:val="26"/>
        </w:rPr>
        <w:t>s</w:t>
      </w:r>
      <w:r w:rsidRPr="00705F37">
        <w:rPr>
          <w:szCs w:val="26"/>
        </w:rPr>
        <w:t xml:space="preserve"> a witness </w:t>
      </w:r>
      <w:r w:rsidRPr="00705F37" w:rsidR="00634E32">
        <w:rPr>
          <w:szCs w:val="26"/>
        </w:rPr>
        <w:t xml:space="preserve">only </w:t>
      </w:r>
      <w:r w:rsidRPr="00705F37">
        <w:rPr>
          <w:szCs w:val="26"/>
        </w:rPr>
        <w:t xml:space="preserve">from “assisting in the prosecution” of a case </w:t>
      </w:r>
      <w:r w:rsidRPr="00705F37">
        <w:rPr>
          <w:i/>
          <w:iCs/>
          <w:szCs w:val="26"/>
        </w:rPr>
        <w:t>after</w:t>
      </w:r>
      <w:r w:rsidRPr="00705F37">
        <w:rPr>
          <w:szCs w:val="26"/>
        </w:rPr>
        <w:t xml:space="preserve"> the charging document has already been filed.  </w:t>
      </w:r>
    </w:p>
    <w:p w:rsidR="00734E79" w:rsidRPr="00705F37" w:rsidP="00DB0AE4" w14:paraId="6C44BD66" w14:textId="77777777">
      <w:pPr>
        <w:pStyle w:val="Heading1"/>
      </w:pPr>
      <w:r w:rsidRPr="00705F37">
        <w:t>DISCUSSION</w:t>
      </w:r>
    </w:p>
    <w:p w:rsidR="001E3C16" w:rsidRPr="00705F37" w:rsidP="00705F37" w14:paraId="6C44BD67" w14:textId="77777777">
      <w:pPr>
        <w:tabs>
          <w:tab w:val="left" w:pos="1440"/>
        </w:tabs>
        <w:ind w:firstLine="720"/>
      </w:pPr>
      <w:r w:rsidRPr="00705F37">
        <w:t xml:space="preserve">The Attorney General contends the Court of Appeal erred </w:t>
      </w:r>
      <w:r w:rsidRPr="00705F37" w:rsidR="00D3016E">
        <w:t>in</w:t>
      </w:r>
      <w:r w:rsidRPr="00705F37">
        <w:t xml:space="preserve"> reversing </w:t>
      </w:r>
      <w:r w:rsidRPr="00705F37" w:rsidR="009E26EE">
        <w:t>defendant’s</w:t>
      </w:r>
      <w:r w:rsidRPr="00705F37">
        <w:t xml:space="preserve"> conviction on the basis of insufficient evidence.  </w:t>
      </w:r>
      <w:r w:rsidRPr="00705F37" w:rsidR="00054167">
        <w:t xml:space="preserve">Although </w:t>
      </w:r>
      <w:r w:rsidRPr="00705F37" w:rsidR="000A6696">
        <w:t xml:space="preserve">we ordinarily review such challenges </w:t>
      </w:r>
      <w:r w:rsidRPr="00705F37" w:rsidR="00F800F4">
        <w:t xml:space="preserve">under the deferential </w:t>
      </w:r>
      <w:r w:rsidRPr="00705F37" w:rsidR="00604B3A">
        <w:t xml:space="preserve">substantial evidence </w:t>
      </w:r>
      <w:r w:rsidRPr="00705F37" w:rsidR="00F800F4">
        <w:t>standard (</w:t>
      </w:r>
      <w:r w:rsidRPr="00705F37" w:rsidR="00F800F4">
        <w:rPr>
          <w:i/>
          <w:iCs/>
        </w:rPr>
        <w:t>People v. Zamudio</w:t>
      </w:r>
      <w:r w:rsidRPr="00705F37" w:rsidR="00F800F4">
        <w:t xml:space="preserve"> (2008) 43 Cal.4th 327, 357), </w:t>
      </w:r>
      <w:r w:rsidRPr="00705F37" w:rsidR="008E01AA">
        <w:t xml:space="preserve">because the Court of Appeal’s </w:t>
      </w:r>
      <w:r w:rsidRPr="00705F37" w:rsidR="00F800F4">
        <w:t xml:space="preserve">ruling </w:t>
      </w:r>
      <w:r w:rsidRPr="00705F37" w:rsidR="0014537E">
        <w:t xml:space="preserve">is based </w:t>
      </w:r>
      <w:r w:rsidRPr="00705F37" w:rsidR="00F800F4">
        <w:t xml:space="preserve">on </w:t>
      </w:r>
      <w:r w:rsidRPr="00705F37" w:rsidR="00604B3A">
        <w:t xml:space="preserve">the </w:t>
      </w:r>
      <w:r w:rsidRPr="00705F37" w:rsidR="00F800F4">
        <w:t xml:space="preserve">interpretation of </w:t>
      </w:r>
      <w:r w:rsidRPr="00705F37" w:rsidR="00604B3A">
        <w:t>section</w:t>
      </w:r>
      <w:r w:rsidRPr="00705F37" w:rsidR="0014537E">
        <w:t> </w:t>
      </w:r>
      <w:r w:rsidRPr="00705F37" w:rsidR="00604B3A">
        <w:t>136.1(b)(2)</w:t>
      </w:r>
      <w:r w:rsidRPr="00705F37" w:rsidR="00F800F4">
        <w:t xml:space="preserve">, </w:t>
      </w:r>
      <w:r w:rsidRPr="00705F37" w:rsidR="00262F0F">
        <w:t xml:space="preserve">we review that legal determination de novo </w:t>
      </w:r>
      <w:r w:rsidRPr="00705F37" w:rsidR="00F800F4">
        <w:t>(</w:t>
      </w:r>
      <w:r w:rsidRPr="00705F37" w:rsidR="00F800F4">
        <w:rPr>
          <w:i/>
          <w:iCs/>
        </w:rPr>
        <w:t>People v. Lewis</w:t>
      </w:r>
      <w:r w:rsidRPr="00705F37" w:rsidR="00F800F4">
        <w:t xml:space="preserve"> (2021) 11</w:t>
      </w:r>
      <w:r w:rsidRPr="00705F37" w:rsidR="00FB5ACC">
        <w:t> </w:t>
      </w:r>
      <w:r w:rsidRPr="00705F37" w:rsidR="00F800F4">
        <w:t>Cal.5th 952, 961).  “ ‘When we interpret a statute, “[o]ur fundamental task . . . is to determine the Legislature’s intent so as to effectuate the law’s purpose.  We first examine the statutory language, giving it a plain and commonsense meaning. . . .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“Furthermore, we consider portions of a statute in the context of the entire statute and the statutory scheme of which it is a part, giving significance to every word, phrase, sentence, and part of an act in pursuance of the legislative purpose.” ’ ”  (</w:t>
      </w:r>
      <w:r w:rsidRPr="00705F37" w:rsidR="00F800F4">
        <w:rPr>
          <w:i/>
          <w:iCs/>
        </w:rPr>
        <w:t xml:space="preserve">City of San Jose v. Superior Court </w:t>
      </w:r>
      <w:r w:rsidRPr="00705F37" w:rsidR="00F800F4">
        <w:t>(2017) 2 Cal.5th 608, 616–617 (</w:t>
      </w:r>
      <w:r w:rsidRPr="00705F37" w:rsidR="00F800F4">
        <w:rPr>
          <w:i/>
          <w:iCs/>
        </w:rPr>
        <w:t>City of San Jose</w:t>
      </w:r>
      <w:r w:rsidRPr="00705F37" w:rsidR="00F800F4">
        <w:t>)</w:t>
      </w:r>
      <w:r w:rsidRPr="00705F37" w:rsidR="003F370A">
        <w:t>.)</w:t>
      </w:r>
    </w:p>
    <w:p w:rsidR="00211297" w:rsidRPr="00705F37" w:rsidP="00705F37" w14:paraId="6C44BD68" w14:textId="77777777">
      <w:pPr>
        <w:pStyle w:val="Heading2"/>
        <w:ind w:left="1170" w:hanging="450"/>
      </w:pPr>
      <w:r>
        <w:tab/>
      </w:r>
      <w:r w:rsidRPr="00705F37" w:rsidR="001419F2">
        <w:t xml:space="preserve">The </w:t>
      </w:r>
      <w:r w:rsidRPr="00705F37" w:rsidR="006E5467">
        <w:t>Text</w:t>
      </w:r>
      <w:r w:rsidRPr="00705F37" w:rsidR="007D470F">
        <w:t xml:space="preserve"> and Statutory Context </w:t>
      </w:r>
      <w:r w:rsidRPr="00705F37" w:rsidR="001419F2">
        <w:t xml:space="preserve">of Section 136.1(b)(2) </w:t>
      </w:r>
      <w:r w:rsidRPr="00705F37" w:rsidR="00E02BC4">
        <w:t xml:space="preserve">Support </w:t>
      </w:r>
      <w:r w:rsidRPr="00705F37" w:rsidR="00A90EC8">
        <w:t xml:space="preserve">Both </w:t>
      </w:r>
      <w:r w:rsidRPr="00705F37" w:rsidR="00E02BC4">
        <w:t xml:space="preserve">a Conjunctive and </w:t>
      </w:r>
      <w:r w:rsidR="00221739">
        <w:t xml:space="preserve">a </w:t>
      </w:r>
      <w:r w:rsidRPr="00705F37" w:rsidR="00E02BC4">
        <w:t>Disjunctive Construction</w:t>
      </w:r>
    </w:p>
    <w:p w:rsidR="00BE165B" w:rsidRPr="00705F37" w:rsidP="00705F37" w14:paraId="6C44BD69" w14:textId="77777777">
      <w:pPr>
        <w:tabs>
          <w:tab w:val="left" w:pos="1440"/>
        </w:tabs>
        <w:ind w:firstLine="720"/>
      </w:pPr>
      <w:r w:rsidRPr="00705F37">
        <w:t>Section 136.1</w:t>
      </w:r>
      <w:r w:rsidRPr="00705F37" w:rsidR="004B72AA">
        <w:t xml:space="preserve">, subdivision </w:t>
      </w:r>
      <w:r w:rsidRPr="00705F37">
        <w:t>(b) states in relevant part:  “[E]very person who attempts to prevent or dissuade another person who has been the victim of a crime or who is witness to a crime from doing any of the following is guilty of a public offense and shall be punished by imprisonment in a county jail for not more than one year or in the state prison:  [¶] . . . [¶]  (2)  Causing a complaint, indictment, information, probation or parole violation to be sought and prosecuted, and assisting in the prosecution thereof.”</w:t>
      </w:r>
      <w:r>
        <w:rPr>
          <w:rStyle w:val="FootnoteReference"/>
        </w:rPr>
        <w:footnoteReference w:id="6"/>
      </w:r>
      <w:r w:rsidRPr="00705F37">
        <w:t xml:space="preserve">  </w:t>
      </w:r>
      <w:r w:rsidRPr="00705F37" w:rsidR="00EB13F7">
        <w:t>T</w:t>
      </w:r>
      <w:r w:rsidRPr="00705F37">
        <w:t>he crux of the issue before us is whether the connecting “and” should be read conjunctively</w:t>
      </w:r>
      <w:r w:rsidRPr="00705F37" w:rsidR="00CA6019">
        <w:t xml:space="preserve">, as </w:t>
      </w:r>
      <w:r w:rsidRPr="00705F37" w:rsidR="00121C9E">
        <w:t xml:space="preserve">defendant </w:t>
      </w:r>
      <w:r w:rsidRPr="00705F37" w:rsidR="00CA6019">
        <w:t>contends,</w:t>
      </w:r>
      <w:r w:rsidRPr="00705F37">
        <w:t xml:space="preserve"> or </w:t>
      </w:r>
      <w:r w:rsidRPr="00705F37" w:rsidR="003E7460">
        <w:t xml:space="preserve">whether it should be read </w:t>
      </w:r>
      <w:r w:rsidRPr="00705F37">
        <w:t xml:space="preserve">disjunctively, </w:t>
      </w:r>
      <w:r w:rsidRPr="00705F37" w:rsidR="00CA6019">
        <w:t>as the Attorney General contends</w:t>
      </w:r>
      <w:r w:rsidR="006A7D72">
        <w:t>.</w:t>
      </w:r>
      <w:r w:rsidRPr="00705F37" w:rsidR="00121C9E">
        <w:t xml:space="preserve">  Under </w:t>
      </w:r>
      <w:r w:rsidRPr="00705F37" w:rsidR="005F33B0">
        <w:t>the latter</w:t>
      </w:r>
      <w:r w:rsidRPr="00705F37" w:rsidR="00AB3E30">
        <w:t xml:space="preserve"> disjunctive </w:t>
      </w:r>
      <w:r w:rsidRPr="00705F37" w:rsidR="005F33B0">
        <w:t xml:space="preserve">interpretation, it is not necessary to establish </w:t>
      </w:r>
      <w:r w:rsidRPr="00705F37" w:rsidR="00930802">
        <w:t xml:space="preserve">that </w:t>
      </w:r>
      <w:r w:rsidRPr="00705F37" w:rsidR="003237F7">
        <w:t>any</w:t>
      </w:r>
      <w:r w:rsidRPr="00705F37" w:rsidR="00930802">
        <w:t xml:space="preserve"> dissuasion occurred before the filing of a charging document</w:t>
      </w:r>
      <w:r w:rsidRPr="00705F37">
        <w:t xml:space="preserve">.  </w:t>
      </w:r>
      <w:r w:rsidRPr="00705F37">
        <w:rPr>
          <w:szCs w:val="26"/>
        </w:rPr>
        <w:t xml:space="preserve">Dissuasion could be shown through evidence that the defendant attempted to dissuade a victim or witness from </w:t>
      </w:r>
      <w:r w:rsidRPr="00705F37">
        <w:rPr>
          <w:i/>
          <w:iCs/>
          <w:szCs w:val="26"/>
        </w:rPr>
        <w:t>either</w:t>
      </w:r>
      <w:r w:rsidRPr="00705F37">
        <w:rPr>
          <w:szCs w:val="26"/>
        </w:rPr>
        <w:t xml:space="preserve"> causing a charging document to be sought and prosecuted, </w:t>
      </w:r>
      <w:r w:rsidRPr="00705F37">
        <w:rPr>
          <w:i/>
          <w:iCs/>
          <w:szCs w:val="26"/>
        </w:rPr>
        <w:t xml:space="preserve">or </w:t>
      </w:r>
      <w:r w:rsidR="006A7D72">
        <w:rPr>
          <w:szCs w:val="26"/>
        </w:rPr>
        <w:t xml:space="preserve">solely based on </w:t>
      </w:r>
      <w:r w:rsidRPr="00705F37">
        <w:rPr>
          <w:szCs w:val="26"/>
        </w:rPr>
        <w:t xml:space="preserve">assisting in the prosecution of </w:t>
      </w:r>
      <w:r w:rsidR="00B453BD">
        <w:rPr>
          <w:szCs w:val="26"/>
        </w:rPr>
        <w:t xml:space="preserve">an already-filed </w:t>
      </w:r>
      <w:r w:rsidRPr="00705F37">
        <w:rPr>
          <w:szCs w:val="26"/>
        </w:rPr>
        <w:t xml:space="preserve">charging document.  </w:t>
      </w:r>
    </w:p>
    <w:p w:rsidR="00EB7400" w:rsidRPr="00705F37" w:rsidP="00705F37" w14:paraId="6C44BD6A" w14:textId="77777777">
      <w:pPr>
        <w:tabs>
          <w:tab w:val="left" w:pos="1440"/>
        </w:tabs>
        <w:ind w:firstLine="720"/>
      </w:pPr>
      <w:r w:rsidRPr="00705F37">
        <w:t>For reasons discussed below</w:t>
      </w:r>
      <w:r w:rsidRPr="00705F37" w:rsidR="004A1E36">
        <w:t xml:space="preserve">, </w:t>
      </w:r>
      <w:r w:rsidRPr="00705F37" w:rsidR="00505940">
        <w:t>section 136.1(b)(</w:t>
      </w:r>
      <w:r w:rsidRPr="00705F37" w:rsidR="00683BBA">
        <w:t>2</w:t>
      </w:r>
      <w:r w:rsidRPr="00705F37" w:rsidR="00505940">
        <w:t xml:space="preserve">) </w:t>
      </w:r>
      <w:r w:rsidRPr="00705F37" w:rsidR="00752A70">
        <w:t xml:space="preserve">is </w:t>
      </w:r>
      <w:r w:rsidRPr="00705F37" w:rsidR="00D024F4">
        <w:t xml:space="preserve">reasonably susceptible to </w:t>
      </w:r>
      <w:r w:rsidRPr="006A7D72" w:rsidR="00D024F4">
        <w:t xml:space="preserve">both </w:t>
      </w:r>
      <w:r w:rsidRPr="006A7D72" w:rsidR="00A626CF">
        <w:t>proffered</w:t>
      </w:r>
      <w:r w:rsidRPr="00705F37" w:rsidR="00A626CF">
        <w:t xml:space="preserve"> </w:t>
      </w:r>
      <w:r w:rsidRPr="00705F37" w:rsidR="00D024F4">
        <w:t>interpretations</w:t>
      </w:r>
      <w:r w:rsidRPr="00705F37" w:rsidR="00752A70">
        <w:t xml:space="preserve"> and, thus,</w:t>
      </w:r>
      <w:r w:rsidRPr="00705F37" w:rsidR="0044069A">
        <w:t xml:space="preserve"> is </w:t>
      </w:r>
      <w:r w:rsidRPr="00705F37" w:rsidR="00D024F4">
        <w:t>ambiguous.  (</w:t>
      </w:r>
      <w:r w:rsidRPr="00705F37" w:rsidR="00683BBA">
        <w:t xml:space="preserve">See </w:t>
      </w:r>
      <w:r w:rsidRPr="00705F37" w:rsidR="00683BBA">
        <w:rPr>
          <w:i/>
          <w:iCs/>
        </w:rPr>
        <w:t>People v. Ruiz</w:t>
      </w:r>
      <w:r w:rsidRPr="00705F37" w:rsidR="00683BBA">
        <w:t xml:space="preserve"> (2018) 4</w:t>
      </w:r>
      <w:r w:rsidRPr="00705F37" w:rsidR="00E1490B">
        <w:t> </w:t>
      </w:r>
      <w:r w:rsidRPr="00705F37" w:rsidR="00683BBA">
        <w:t>Cal.5th 1100, 1106 [</w:t>
      </w:r>
      <w:r w:rsidRPr="00705F37" w:rsidR="003B629B">
        <w:t>a</w:t>
      </w:r>
      <w:r w:rsidRPr="00705F37" w:rsidR="00683BBA">
        <w:t xml:space="preserve"> statute is ambiguous if its “</w:t>
      </w:r>
      <w:r w:rsidRPr="00705F37" w:rsidR="003B629B">
        <w:t> ‘</w:t>
      </w:r>
      <w:r w:rsidRPr="00705F37" w:rsidR="00683BBA">
        <w:t>language supports more than one reasonable construction’ ”]</w:t>
      </w:r>
      <w:r w:rsidRPr="00705F37" w:rsidR="00F144C7">
        <w:t>.</w:t>
      </w:r>
      <w:r w:rsidRPr="00705F37" w:rsidR="008A47AF">
        <w:t xml:space="preserve">)  </w:t>
      </w:r>
    </w:p>
    <w:p w:rsidR="001A7BEB" w:rsidRPr="00705F37" w:rsidP="00705F37" w14:paraId="6C44BD6B" w14:textId="77777777">
      <w:pPr>
        <w:tabs>
          <w:tab w:val="left" w:pos="1440"/>
        </w:tabs>
        <w:ind w:firstLine="720"/>
      </w:pPr>
      <w:r w:rsidRPr="00705F37">
        <w:t>On its face, section 136.1(b)(2) is reasonably susceptible to the conjunctive reading</w:t>
      </w:r>
      <w:r w:rsidRPr="00705F37" w:rsidR="002669E5">
        <w:t xml:space="preserve">, which </w:t>
      </w:r>
      <w:r w:rsidRPr="00705F37" w:rsidR="000A2368">
        <w:t xml:space="preserve">rests largely on </w:t>
      </w:r>
      <w:r w:rsidRPr="00705F37" w:rsidR="007A12F8">
        <w:t xml:space="preserve">the presence of the </w:t>
      </w:r>
      <w:r w:rsidRPr="00705F37" w:rsidR="00560338">
        <w:t>connectin</w:t>
      </w:r>
      <w:r w:rsidRPr="00705F37" w:rsidR="000A2368">
        <w:t>g</w:t>
      </w:r>
      <w:r w:rsidRPr="00705F37" w:rsidR="00560338">
        <w:t xml:space="preserve"> “and</w:t>
      </w:r>
      <w:r w:rsidRPr="00705F37" w:rsidR="007A12F8">
        <w:t>.</w:t>
      </w:r>
      <w:r w:rsidRPr="00705F37" w:rsidR="00560338">
        <w:t>”</w:t>
      </w:r>
      <w:r w:rsidRPr="00705F37" w:rsidR="007A12F8">
        <w:t xml:space="preserve">  </w:t>
      </w:r>
      <w:r w:rsidRPr="00705F37" w:rsidR="001E38C3">
        <w:t>“The ordinary and usual usage of ‘and’ is as a conjunctive, meaning ‘ “an additional thing,” ’ ‘also’ or ‘plus.’ ”  (</w:t>
      </w:r>
      <w:r w:rsidRPr="00705F37" w:rsidR="001E38C3">
        <w:rPr>
          <w:i/>
          <w:iCs/>
        </w:rPr>
        <w:t>In re C.H.</w:t>
      </w:r>
      <w:r w:rsidRPr="00705F37" w:rsidR="00003B8B">
        <w:t xml:space="preserve">, </w:t>
      </w:r>
      <w:r w:rsidRPr="00705F37" w:rsidR="00003B8B">
        <w:rPr>
          <w:i/>
          <w:iCs/>
          <w:szCs w:val="26"/>
        </w:rPr>
        <w:t>supra</w:t>
      </w:r>
      <w:r w:rsidRPr="00705F37" w:rsidR="00003B8B">
        <w:t xml:space="preserve">, </w:t>
      </w:r>
      <w:r w:rsidRPr="00705F37" w:rsidR="001E38C3">
        <w:t>53</w:t>
      </w:r>
      <w:r w:rsidRPr="00705F37" w:rsidR="00E1490B">
        <w:t> </w:t>
      </w:r>
      <w:r w:rsidRPr="00705F37" w:rsidR="001E38C3">
        <w:t xml:space="preserve">Cal.4th </w:t>
      </w:r>
      <w:r w:rsidRPr="00705F37" w:rsidR="00003B8B">
        <w:t xml:space="preserve">at p. </w:t>
      </w:r>
      <w:r w:rsidRPr="00705F37" w:rsidR="001E38C3">
        <w:t>101</w:t>
      </w:r>
      <w:r w:rsidRPr="00705F37" w:rsidR="00667BBF">
        <w:t xml:space="preserve">; </w:t>
      </w:r>
      <w:r w:rsidRPr="00705F37" w:rsidR="00664EBB">
        <w:t xml:space="preserve">see </w:t>
      </w:r>
      <w:r w:rsidRPr="00705F37" w:rsidR="00745608">
        <w:rPr>
          <w:i/>
          <w:iCs/>
        </w:rPr>
        <w:t>Dr. Leevil, LLC v. Westlake Health Care Center</w:t>
      </w:r>
      <w:r w:rsidRPr="00705F37" w:rsidR="00745608">
        <w:t xml:space="preserve"> (2018) 6</w:t>
      </w:r>
      <w:r w:rsidRPr="00705F37" w:rsidR="00E1490B">
        <w:t> </w:t>
      </w:r>
      <w:r w:rsidRPr="00705F37" w:rsidR="00745608">
        <w:t>Cal.5th 474, 479 [“the use of the conjunctive word ‘and’ to connect the three conditions can only mean that all three conditions must be satisfied”].)</w:t>
      </w:r>
      <w:r w:rsidRPr="00705F37" w:rsidR="00A20900">
        <w:t xml:space="preserve">  By contrast,</w:t>
      </w:r>
      <w:r w:rsidRPr="00705F37" w:rsidR="00600534">
        <w:t xml:space="preserve"> “ ‘[</w:t>
      </w:r>
      <w:r w:rsidRPr="00705F37" w:rsidR="001B050F">
        <w:t>U</w:t>
      </w:r>
      <w:r w:rsidRPr="00705F37" w:rsidR="00600534">
        <w:t>]se of the word “or” in a statute indicates an intention to use it disjunctively so as to designate alternative or separate categories.’ ”  (</w:t>
      </w:r>
      <w:r w:rsidRPr="00705F37" w:rsidR="001E38C3">
        <w:rPr>
          <w:i/>
          <w:iCs/>
        </w:rPr>
        <w:t>People ex rel. Green v. Grewal</w:t>
      </w:r>
      <w:r w:rsidRPr="00705F37" w:rsidR="001E38C3">
        <w:t xml:space="preserve"> (2015) 61</w:t>
      </w:r>
      <w:r w:rsidRPr="00705F37" w:rsidR="00E1490B">
        <w:t> </w:t>
      </w:r>
      <w:r w:rsidRPr="00705F37" w:rsidR="001E38C3">
        <w:t>Cal.4th 544, 561</w:t>
      </w:r>
      <w:r w:rsidRPr="00705F37" w:rsidR="00600534">
        <w:t xml:space="preserve">.)  </w:t>
      </w:r>
      <w:r w:rsidRPr="00705F37" w:rsidR="0013049C">
        <w:t xml:space="preserve">Thus, according to the Court of Appeal and </w:t>
      </w:r>
      <w:r w:rsidRPr="00705F37" w:rsidR="00FC1ECD">
        <w:t>defendant</w:t>
      </w:r>
      <w:r w:rsidRPr="00705F37" w:rsidR="0013049C">
        <w:t xml:space="preserve">, had the Legislature intended </w:t>
      </w:r>
      <w:r w:rsidRPr="00705F37" w:rsidR="0051542C">
        <w:t xml:space="preserve">for </w:t>
      </w:r>
      <w:r w:rsidRPr="00705F37" w:rsidR="0013049C">
        <w:t xml:space="preserve">the connecting “and” to be read disjunctively, </w:t>
      </w:r>
      <w:r w:rsidRPr="00705F37" w:rsidR="0051542C">
        <w:t xml:space="preserve">the Legislature would </w:t>
      </w:r>
      <w:r w:rsidRPr="00705F37" w:rsidR="00083993">
        <w:t xml:space="preserve">instead </w:t>
      </w:r>
      <w:r w:rsidRPr="00705F37" w:rsidR="0051542C">
        <w:t xml:space="preserve">have used </w:t>
      </w:r>
      <w:r w:rsidRPr="00705F37" w:rsidR="00667177">
        <w:t>the word</w:t>
      </w:r>
      <w:r w:rsidRPr="00705F37" w:rsidR="00083993">
        <w:t xml:space="preserve"> </w:t>
      </w:r>
      <w:r w:rsidRPr="00705F37" w:rsidR="001437B7">
        <w:t>“or.”  (</w:t>
      </w:r>
      <w:r w:rsidRPr="00705F37" w:rsidR="00083993">
        <w:t xml:space="preserve">See </w:t>
      </w:r>
      <w:r w:rsidRPr="00705F37" w:rsidR="001437B7">
        <w:rPr>
          <w:i/>
          <w:iCs/>
        </w:rPr>
        <w:t>Reynoza</w:t>
      </w:r>
      <w:r w:rsidRPr="00705F37" w:rsidR="001437B7">
        <w:t xml:space="preserve">, </w:t>
      </w:r>
      <w:r w:rsidRPr="00705F37" w:rsidR="00032B6A">
        <w:rPr>
          <w:i/>
          <w:iCs/>
          <w:szCs w:val="26"/>
        </w:rPr>
        <w:t>supra</w:t>
      </w:r>
      <w:r w:rsidRPr="00705F37" w:rsidR="004D70E2">
        <w:t>, 75</w:t>
      </w:r>
      <w:r w:rsidRPr="00705F37" w:rsidR="00667177">
        <w:t> </w:t>
      </w:r>
      <w:r w:rsidRPr="00705F37" w:rsidR="004D70E2">
        <w:t xml:space="preserve">Cal.App.5th </w:t>
      </w:r>
      <w:r w:rsidRPr="00705F37" w:rsidR="001437B7">
        <w:t>at p.</w:t>
      </w:r>
      <w:r w:rsidRPr="00705F37" w:rsidR="004D70E2">
        <w:t> </w:t>
      </w:r>
      <w:r w:rsidRPr="00705F37" w:rsidR="001437B7">
        <w:t xml:space="preserve">188 </w:t>
      </w:r>
      <w:r w:rsidRPr="00705F37" w:rsidR="0087328E">
        <w:t xml:space="preserve">[stating that </w:t>
      </w:r>
      <w:r w:rsidRPr="00705F37" w:rsidR="00C96133">
        <w:t xml:space="preserve">a </w:t>
      </w:r>
      <w:r w:rsidRPr="00705F37" w:rsidR="0087328E">
        <w:t>disjunctive reading “pass[es] over the drafters’ use of the conjunctive [‘and’] rather than the disjunctive [‘or’]”].)</w:t>
      </w:r>
      <w:r w:rsidRPr="00705F37" w:rsidR="006D2D48">
        <w:t xml:space="preserve">  </w:t>
      </w:r>
      <w:r w:rsidRPr="00705F37">
        <w:t>As defendant observes, this argument is bolstered by the Legislature’s use of the word “or” in other parts of section 136.1 that were clearly intended to be read disjunctively</w:t>
      </w:r>
      <w:r w:rsidR="008B402A">
        <w:t xml:space="preserve">.  </w:t>
      </w:r>
      <w:r w:rsidRPr="008B402A" w:rsidR="008B402A">
        <w:t xml:space="preserve">Specifically, </w:t>
      </w:r>
      <w:r w:rsidR="00632F3D">
        <w:t>section</w:t>
      </w:r>
      <w:r w:rsidR="003A06B3">
        <w:t xml:space="preserve"> </w:t>
      </w:r>
      <w:r w:rsidRPr="008B402A" w:rsidR="00632F3D">
        <w:t>136.1</w:t>
      </w:r>
      <w:r w:rsidR="00A61BEA">
        <w:t xml:space="preserve">, subdivision </w:t>
      </w:r>
      <w:r w:rsidRPr="008B402A" w:rsidR="00632F3D">
        <w:t>(b)</w:t>
      </w:r>
      <w:r w:rsidRPr="008B402A" w:rsidR="008B402A">
        <w:t xml:space="preserve">(1) and (3) exclusively use “or” to convey a disjunctive meaning and </w:t>
      </w:r>
      <w:r w:rsidR="00632F3D">
        <w:t>section</w:t>
      </w:r>
      <w:r w:rsidR="00CD2FBD">
        <w:t xml:space="preserve"> </w:t>
      </w:r>
      <w:r w:rsidRPr="008B402A" w:rsidR="00632F3D">
        <w:t>136.1(b)</w:t>
      </w:r>
      <w:r w:rsidRPr="008B402A" w:rsidR="008B402A">
        <w:t xml:space="preserve">(2) uses “or” earlier in its first clause to convey a disjunctive meaning when listing the different charging documents.  With this context, the Legislature’s use of “and” twice in </w:t>
      </w:r>
      <w:r w:rsidR="00632F3D">
        <w:t>section</w:t>
      </w:r>
      <w:r w:rsidR="00BB24B7">
        <w:t xml:space="preserve"> </w:t>
      </w:r>
      <w:r w:rsidRPr="008B402A" w:rsidR="00632F3D">
        <w:t>136.1(b)</w:t>
      </w:r>
      <w:r w:rsidRPr="008B402A" w:rsidR="008B402A">
        <w:t>(2) stands out</w:t>
      </w:r>
      <w:r w:rsidRPr="00705F37">
        <w:t xml:space="preserve">, thus suggesting the Legislature understood the difference between the typically conjunctive “and” and the typically disjunctive “or.” </w:t>
      </w:r>
      <w:r w:rsidRPr="00705F37" w:rsidR="00534A82">
        <w:t xml:space="preserve"> Overall, the Legislature’s use of the connecting “and” </w:t>
      </w:r>
      <w:r w:rsidRPr="00705F37" w:rsidR="002E08F9">
        <w:t xml:space="preserve">more firmly </w:t>
      </w:r>
      <w:r w:rsidRPr="00705F37" w:rsidR="00534A82">
        <w:t>support</w:t>
      </w:r>
      <w:r w:rsidRPr="00705F37" w:rsidR="002E08F9">
        <w:t>s</w:t>
      </w:r>
      <w:r w:rsidRPr="00705F37" w:rsidR="00534A82">
        <w:t xml:space="preserve"> the conjunctive construction of section 136.1(b)(2).</w:t>
      </w:r>
    </w:p>
    <w:p w:rsidR="000616CF" w:rsidRPr="00705F37" w:rsidP="00705F37" w14:paraId="6C44BD6C" w14:textId="77777777">
      <w:pPr>
        <w:tabs>
          <w:tab w:val="left" w:pos="1440"/>
          <w:tab w:val="left" w:pos="5490"/>
        </w:tabs>
        <w:ind w:firstLine="720"/>
      </w:pPr>
      <w:r w:rsidRPr="00705F37">
        <w:t xml:space="preserve">“But the word </w:t>
      </w:r>
      <w:r w:rsidRPr="00705F37">
        <w:rPr>
          <w:i/>
          <w:iCs/>
        </w:rPr>
        <w:t>and</w:t>
      </w:r>
      <w:r w:rsidRPr="00705F37">
        <w:t xml:space="preserve"> is not always to be taken conjunctively.  It is sometimes, in a fair and rational construction of a statute, to be read as if it were </w:t>
      </w:r>
      <w:r w:rsidRPr="00705F37">
        <w:rPr>
          <w:i/>
          <w:iCs/>
        </w:rPr>
        <w:t>or</w:t>
      </w:r>
      <w:r w:rsidRPr="00705F37">
        <w:t>, and taken disjunctively</w:t>
      </w:r>
      <w:r w:rsidRPr="00705F37" w:rsidR="000F160F">
        <w:t> . . . </w:t>
      </w:r>
      <w:r w:rsidRPr="00705F37">
        <w:t>.”  (</w:t>
      </w:r>
      <w:r w:rsidRPr="00705F37">
        <w:rPr>
          <w:i/>
          <w:iCs/>
        </w:rPr>
        <w:t>Pool</w:t>
      </w:r>
      <w:r w:rsidRPr="00705F37">
        <w:t xml:space="preserve">, </w:t>
      </w:r>
      <w:r w:rsidRPr="00705F37">
        <w:rPr>
          <w:i/>
          <w:iCs/>
          <w:szCs w:val="26"/>
        </w:rPr>
        <w:t>supra</w:t>
      </w:r>
      <w:r w:rsidRPr="00705F37">
        <w:t xml:space="preserve">, 27 Cal. at p. 581; </w:t>
      </w:r>
      <w:r w:rsidR="007C2F34">
        <w:t xml:space="preserve">see </w:t>
      </w:r>
      <w:r w:rsidRPr="00705F37">
        <w:rPr>
          <w:i/>
          <w:iCs/>
        </w:rPr>
        <w:t>People v. Bigelow</w:t>
      </w:r>
      <w:r w:rsidRPr="00705F37">
        <w:t xml:space="preserve"> (1984) 37 Cal.3d 731, 755 [“the word ‘and’ is often carelessly used when ‘or’ is intended”]; </w:t>
      </w:r>
      <w:r w:rsidRPr="00862907">
        <w:t xml:space="preserve">1A </w:t>
      </w:r>
      <w:r w:rsidRPr="00D264CA" w:rsidR="00A15BB5">
        <w:t xml:space="preserve">Singer &amp; Singer, </w:t>
      </w:r>
      <w:r w:rsidR="007C2F34">
        <w:t xml:space="preserve">Statutes and </w:t>
      </w:r>
      <w:r w:rsidRPr="00705F37">
        <w:t xml:space="preserve">Statutory Construction </w:t>
      </w:r>
      <w:r w:rsidRPr="00705F37" w:rsidR="000F160F">
        <w:t xml:space="preserve">(7th ed. 2022) </w:t>
      </w:r>
      <w:r w:rsidRPr="00705F37">
        <w:t>§ 21:14 [“</w:t>
      </w:r>
      <w:r w:rsidRPr="007C2F34">
        <w:t>There has been . . . such laxity in the use of these terms [‘and’ and ‘or’] that courts have generally said the words are interchangeable and that one may be substituted for the other, if consistent with legislative intent”].)</w:t>
      </w:r>
      <w:r w:rsidRPr="00705F37" w:rsidR="00347C6B">
        <w:t xml:space="preserve">  </w:t>
      </w:r>
      <w:r w:rsidRPr="00F315C4" w:rsidR="00F315C4">
        <w:t xml:space="preserve">Nevertheless, while “[i]t is true that courts will sometimes substitute ‘or’ for ‘and,’ and vice versa, when necessary to accomplish the evident intent of the statute, . . . doing so is an exceptional rule of construction.” </w:t>
      </w:r>
      <w:r w:rsidR="00A07DF7">
        <w:t xml:space="preserve"> </w:t>
      </w:r>
      <w:r w:rsidRPr="00F315C4" w:rsidR="00F315C4">
        <w:t>(</w:t>
      </w:r>
      <w:r w:rsidRPr="00C26BE9" w:rsidR="00203BD9">
        <w:rPr>
          <w:i/>
          <w:iCs/>
        </w:rPr>
        <w:t>In re</w:t>
      </w:r>
      <w:r w:rsidR="00203BD9">
        <w:t xml:space="preserve"> </w:t>
      </w:r>
      <w:r w:rsidRPr="00F315C4" w:rsidR="00F315C4">
        <w:rPr>
          <w:i/>
          <w:iCs/>
        </w:rPr>
        <w:t>C.H., supra</w:t>
      </w:r>
      <w:r w:rsidRPr="00F315C4" w:rsidR="00F315C4">
        <w:t>, 53</w:t>
      </w:r>
      <w:r w:rsidR="00A07DF7">
        <w:t> </w:t>
      </w:r>
      <w:r w:rsidRPr="00F315C4" w:rsidR="00F315C4">
        <w:t>Cal.4th at pp.</w:t>
      </w:r>
      <w:r w:rsidR="00A07DF7">
        <w:t> </w:t>
      </w:r>
      <w:r w:rsidRPr="00F315C4" w:rsidR="00F315C4">
        <w:t>102–103.)  For example, we might do so to correct a “drafting error” where “it appears clear that a word has been erroneously used, and a judicial correction will best carry out the intent of the adopting body.”  (</w:t>
      </w:r>
      <w:r w:rsidRPr="00F315C4" w:rsidR="00F315C4">
        <w:rPr>
          <w:i/>
          <w:iCs/>
        </w:rPr>
        <w:t>People v. Skinner</w:t>
      </w:r>
      <w:r w:rsidRPr="00F315C4" w:rsidR="00F315C4">
        <w:t xml:space="preserve"> (1985) 39 Cal.3d 765, </w:t>
      </w:r>
      <w:r w:rsidRPr="00F315C4" w:rsidR="0041790C">
        <w:t>77</w:t>
      </w:r>
      <w:r w:rsidR="0041790C">
        <w:t>5</w:t>
      </w:r>
      <w:r w:rsidRPr="00F315C4" w:rsidR="00F315C4">
        <w:t>.)</w:t>
      </w:r>
      <w:r w:rsidR="00F315C4">
        <w:t xml:space="preserve">  </w:t>
      </w:r>
      <w:r w:rsidRPr="00705F37" w:rsidR="00347C6B">
        <w:t xml:space="preserve">The Attorney General </w:t>
      </w:r>
      <w:r w:rsidRPr="00705F37" w:rsidR="008B5732">
        <w:t>argues that another consideration</w:t>
      </w:r>
      <w:r w:rsidRPr="00705F37" w:rsidR="00D35752">
        <w:t> </w:t>
      </w:r>
      <w:r w:rsidRPr="00705F37" w:rsidR="008037E2">
        <w:t>— the canon against surplusage</w:t>
      </w:r>
      <w:r w:rsidRPr="00705F37" w:rsidR="00BE0221">
        <w:t> </w:t>
      </w:r>
      <w:r w:rsidRPr="00705F37" w:rsidR="008037E2">
        <w:t>—</w:t>
      </w:r>
      <w:r w:rsidRPr="00705F37" w:rsidR="008B5732">
        <w:t xml:space="preserve"> </w:t>
      </w:r>
      <w:r w:rsidRPr="00705F37" w:rsidR="00ED2B58">
        <w:t xml:space="preserve">suggests </w:t>
      </w:r>
      <w:r w:rsidRPr="00705F37" w:rsidR="00324B81">
        <w:t xml:space="preserve">that </w:t>
      </w:r>
      <w:r w:rsidRPr="00705F37" w:rsidR="006050E8">
        <w:t>this is a circumstance when the word “and” should be given a disjunctive meaning</w:t>
      </w:r>
      <w:r w:rsidRPr="00705F37">
        <w:t>.  Under this canon of construction, “we generally must ‘accord[] significance, if possible, to every word, phrase and sentence in pursuance of the legislative purpose,’ and have warned that ‘[a] construction making some words surplusage is to be avoided.’ ”  (</w:t>
      </w:r>
      <w:r w:rsidRPr="00705F37">
        <w:rPr>
          <w:i/>
          <w:iCs/>
        </w:rPr>
        <w:t>People v. Valencia</w:t>
      </w:r>
      <w:r w:rsidRPr="00705F37">
        <w:t xml:space="preserve"> (2017) 3 Cal.5th 347, 357.)</w:t>
      </w:r>
    </w:p>
    <w:p w:rsidR="000616CF" w:rsidRPr="00705F37" w:rsidP="00705F37" w14:paraId="6C44BD6D" w14:textId="77777777">
      <w:pPr>
        <w:tabs>
          <w:tab w:val="left" w:pos="1440"/>
        </w:tabs>
        <w:ind w:firstLine="720"/>
      </w:pPr>
      <w:r w:rsidRPr="00705F37">
        <w:t>W</w:t>
      </w:r>
      <w:r w:rsidRPr="00705F37" w:rsidR="00ED2B58">
        <w:t xml:space="preserve">e agree with the Attorney General that </w:t>
      </w:r>
      <w:r w:rsidR="00B9160A">
        <w:t xml:space="preserve">certain aspects of </w:t>
      </w:r>
      <w:r w:rsidRPr="00705F37">
        <w:t xml:space="preserve">the canon against surplusage </w:t>
      </w:r>
      <w:r w:rsidRPr="00705F37" w:rsidR="00DB0BEC">
        <w:t>support the disjunctive construction of section 136.1(b)(2).</w:t>
      </w:r>
      <w:r w:rsidR="00DB0BEC">
        <w:t xml:space="preserve">  </w:t>
      </w:r>
      <w:r w:rsidRPr="00705F37" w:rsidR="00D66754">
        <w:t>T</w:t>
      </w:r>
      <w:r w:rsidRPr="00705F37">
        <w:t xml:space="preserve">he Attorney General </w:t>
      </w:r>
      <w:r w:rsidRPr="00705F37" w:rsidR="00D66754">
        <w:t xml:space="preserve">reasons that </w:t>
      </w:r>
      <w:r w:rsidRPr="00705F37">
        <w:t xml:space="preserve">dissuasion done to prevent a witness from causing a </w:t>
      </w:r>
      <w:r w:rsidRPr="00705F37" w:rsidR="0072287B">
        <w:t>charging document</w:t>
      </w:r>
      <w:r w:rsidRPr="00705F37">
        <w:t xml:space="preserve"> “to be sought” also is an attempt to prevent the witness from “assisting in the prosecution thereof.”  (§ 136.1(b)(2).)  In other words, causing a complaint to be sought is one form of assisting in the prosecution of a complaint — such that dissuasion from doing the former will also always constitute dissuasion from doing the latter — and thus will constitute a violation of section 136.1(b)(2).  In this context, </w:t>
      </w:r>
      <w:r w:rsidRPr="00705F37" w:rsidR="00A80E9F">
        <w:t xml:space="preserve">the Attorney General posits that </w:t>
      </w:r>
      <w:r w:rsidRPr="00705F37">
        <w:t xml:space="preserve">the conjunctive reading overlooks the other ways in which a victim or witness can assist in the prosecution of a case after it has been filed, and would potentially immunize attempts to dissuade such conduct if the defendant had not also attempted to dissuade the victim or witness from causing the case to be sought and prosecuted in the first place.  This approach would effectively render </w:t>
      </w:r>
      <w:r w:rsidR="006561F7">
        <w:t>the assisting clause</w:t>
      </w:r>
      <w:r w:rsidRPr="00705F37">
        <w:t xml:space="preserve"> surplusage.</w:t>
      </w:r>
      <w:r>
        <w:rPr>
          <w:rStyle w:val="FootnoteReference"/>
        </w:rPr>
        <w:footnoteReference w:id="7"/>
      </w:r>
    </w:p>
    <w:p w:rsidR="000616CF" w:rsidRPr="00705F37" w:rsidP="00705F37" w14:paraId="6C44BD6E" w14:textId="77777777">
      <w:pPr>
        <w:tabs>
          <w:tab w:val="left" w:pos="1440"/>
        </w:tabs>
        <w:ind w:firstLine="720"/>
      </w:pPr>
      <w:r>
        <w:t>T</w:t>
      </w:r>
      <w:r w:rsidRPr="00705F37">
        <w:t xml:space="preserve">he Attorney General </w:t>
      </w:r>
      <w:r>
        <w:t xml:space="preserve">also </w:t>
      </w:r>
      <w:r w:rsidRPr="00705F37">
        <w:t xml:space="preserve">reasons that if we were to accept defendant’s characterization of the causing and assisting clauses as stating separate elements of a unified offense, we could “avoid superfluity” under a conjunctive reading only by “requir[ing] two acts of dissuasion at different times:  the defendant would first have to unsuccessfully attempt to dissuade the witness from causing a complaint to be sought and prosecuted, and then would have to attempt to dissuade that witness from assisting in the prosecution of the filed complaint.  That is, section 136.1(b)(2) could be violated only when the first dissuasion attempt was unsuccessful.”  </w:t>
      </w:r>
    </w:p>
    <w:p w:rsidR="000616CF" w:rsidRPr="00705F37" w:rsidP="00705F37" w14:paraId="6C44BD6F" w14:textId="77777777">
      <w:pPr>
        <w:tabs>
          <w:tab w:val="left" w:pos="1440"/>
        </w:tabs>
        <w:ind w:firstLine="720"/>
      </w:pPr>
      <w:r>
        <w:t xml:space="preserve">The Attorney General argues that </w:t>
      </w:r>
      <w:r w:rsidRPr="00705F37">
        <w:t xml:space="preserve">the Legislature </w:t>
      </w:r>
      <w:r>
        <w:t xml:space="preserve">did not </w:t>
      </w:r>
      <w:r w:rsidRPr="00705F37">
        <w:t xml:space="preserve">intend to establish an offense that effectively requires separate acts at separate times — the first of which must have been unsuccessful — to constitute a violation.  First, as the Attorney General </w:t>
      </w:r>
      <w:r w:rsidRPr="00705F37" w:rsidR="00BD4D15">
        <w:t>observes</w:t>
      </w:r>
      <w:r w:rsidRPr="00705F37">
        <w:t>, construing section 136.1(b)(2) this way would ignore the Legislature’s clarification that attempts at dissuasion are prohibited just the same as accomplished dissuasion.  (See § 136.1, subd. (d).)</w:t>
      </w:r>
      <w:r>
        <w:rPr>
          <w:rStyle w:val="FootnoteReference"/>
        </w:rPr>
        <w:footnoteReference w:id="8"/>
      </w:r>
      <w:r w:rsidRPr="00705F37">
        <w:t xml:space="preserve">  </w:t>
      </w:r>
    </w:p>
    <w:p w:rsidR="000616CF" w:rsidRPr="00705F37" w:rsidP="00705F37" w14:paraId="6C44BD70" w14:textId="77777777">
      <w:pPr>
        <w:tabs>
          <w:tab w:val="left" w:pos="1440"/>
        </w:tabs>
        <w:ind w:firstLine="720"/>
      </w:pPr>
      <w:r w:rsidRPr="00705F37">
        <w:t xml:space="preserve">Second, </w:t>
      </w:r>
      <w:r w:rsidR="006B0EF6">
        <w:t xml:space="preserve">the Attorney General contends that </w:t>
      </w:r>
      <w:r w:rsidRPr="00705F37">
        <w:t xml:space="preserve">this construction ignores the context of the statutory scheme of which section 136.1(b)(2) is a part by adopting a construction that would require us to conclude that the Legislature intended for section 136.1(b)(2) to operate in a significantly different manner than analogous subdivisions and statutes.  </w:t>
      </w:r>
      <w:r w:rsidR="00AE7950">
        <w:t>The Attorney General argues that it would be anomalous for us to conclude</w:t>
      </w:r>
      <w:r w:rsidRPr="00705F37">
        <w:t xml:space="preserve"> that the Legislature intended for section 136.1(b)(2) to require the commission of separate acts at separate stages of a potential criminal prosecution — before and during a prosecution — while enacting at the same time analogous subdivisions that require the commission of only a single act at a single stage of a potential criminal prosecution.  For example, similar to the pre</w:t>
      </w:r>
      <w:r w:rsidRPr="00705F37" w:rsidR="008B3B62">
        <w:t>charging</w:t>
      </w:r>
      <w:r w:rsidRPr="00705F37">
        <w:t xml:space="preserve"> stage of a case addressed by the causing clause, subdivision (b)(1) of section 136.1 prohibits attempting to dissuade a person from “[m]aking any report of . . . victimization to a[] . . . prosecuting agency.”</w:t>
      </w:r>
      <w:r>
        <w:rPr>
          <w:rStyle w:val="FootnoteReference"/>
        </w:rPr>
        <w:footnoteReference w:id="9"/>
      </w:r>
      <w:r w:rsidRPr="00705F37">
        <w:t xml:space="preserve">  No additional conduct is required at another time.  Similarly, somewhat analogously to the ongoing stages of a prosecution </w:t>
      </w:r>
      <w:r w:rsidRPr="00705F37" w:rsidR="00BD4D15">
        <w:t xml:space="preserve">that appear to be </w:t>
      </w:r>
      <w:r w:rsidRPr="00705F37">
        <w:t>addressed by the assisting clause, section 136.1, subdivision (a)(1) prohibits dissuading a person from “attending or giving testimony at any trial,”</w:t>
      </w:r>
      <w:r>
        <w:rPr>
          <w:rStyle w:val="FootnoteReference"/>
        </w:rPr>
        <w:footnoteReference w:id="10"/>
      </w:r>
      <w:r w:rsidRPr="00705F37">
        <w:t xml:space="preserve"> and section 137, subdivision (c) prohibits “induc[ing] . . . false testimony.”</w:t>
      </w:r>
      <w:r>
        <w:rPr>
          <w:rStyle w:val="FootnoteReference"/>
        </w:rPr>
        <w:footnoteReference w:id="11"/>
      </w:r>
      <w:r w:rsidRPr="00705F37">
        <w:t xml:space="preserve">  Neither provision requires further conduct at another stage of the criminal proceeding.  </w:t>
      </w:r>
      <w:r w:rsidR="00F1037B">
        <w:t>I</w:t>
      </w:r>
      <w:r w:rsidRPr="00705F37">
        <w:t xml:space="preserve">t seems </w:t>
      </w:r>
      <w:r w:rsidR="00B94149">
        <w:t>questionable</w:t>
      </w:r>
      <w:r w:rsidRPr="00705F37">
        <w:t xml:space="preserve"> that the Legislature intended for </w:t>
      </w:r>
      <w:r w:rsidR="00F1037B">
        <w:t xml:space="preserve">only </w:t>
      </w:r>
      <w:r w:rsidRPr="00705F37">
        <w:t>section 136.1(b)(2) to require two different acts of misconduct at different stages of a criminal proceeding.</w:t>
      </w:r>
      <w:r w:rsidRPr="00705F37" w:rsidR="00774B49">
        <w:t xml:space="preserve"> </w:t>
      </w:r>
      <w:r w:rsidR="00774B49">
        <w:t xml:space="preserve"> </w:t>
      </w:r>
    </w:p>
    <w:p w:rsidR="001B0B7B" w:rsidP="00705F37" w14:paraId="6C44BD71" w14:textId="77777777">
      <w:pPr>
        <w:tabs>
          <w:tab w:val="left" w:pos="1440"/>
        </w:tabs>
        <w:ind w:firstLine="720"/>
      </w:pPr>
      <w:r w:rsidRPr="00705F37">
        <w:t>The two exceptions to the conjunctive reading of section 136.1(b)(2) articulated by the Court of Appeal — that the defendant was unaware that a charging document had been filed, or attempted to dissuade the filing of an amended charging document (</w:t>
      </w:r>
      <w:r w:rsidRPr="00705F37">
        <w:rPr>
          <w:i/>
          <w:iCs/>
        </w:rPr>
        <w:t>Reynoza</w:t>
      </w:r>
      <w:r w:rsidRPr="00705F37">
        <w:t xml:space="preserve">, </w:t>
      </w:r>
      <w:r w:rsidRPr="00705F37">
        <w:rPr>
          <w:i/>
          <w:iCs/>
          <w:szCs w:val="26"/>
        </w:rPr>
        <w:t>supra</w:t>
      </w:r>
      <w:r w:rsidRPr="00705F37">
        <w:t xml:space="preserve">, 75 Cal.App.5th at p. 189) — do not </w:t>
      </w:r>
      <w:r w:rsidR="00DB0BEC">
        <w:t xml:space="preserve">fully </w:t>
      </w:r>
      <w:r w:rsidRPr="00705F37">
        <w:t>solve the conjunctive construction’s surplusage problem.  This is because both exceptions pertain to the causing clause — they have little bearing on the assisting clause, which remains effectively read out of the statute under the conjunctive reading.</w:t>
      </w:r>
      <w:r w:rsidRPr="00705F37" w:rsidR="006F2860">
        <w:t xml:space="preserve">  </w:t>
      </w:r>
    </w:p>
    <w:p w:rsidR="00BA30D8" w:rsidRPr="00705F37" w:rsidP="00705F37" w14:paraId="6C44BD72" w14:textId="77777777">
      <w:pPr>
        <w:tabs>
          <w:tab w:val="left" w:pos="1440"/>
        </w:tabs>
        <w:ind w:firstLine="720"/>
      </w:pPr>
      <w:r w:rsidRPr="006F0FEE">
        <w:t>However, “ ‘the canon against surplusage is [merely] a guide to statutory interpretation and is not invariably controlling.’ ”  (</w:t>
      </w:r>
      <w:r w:rsidRPr="006F0FEE">
        <w:rPr>
          <w:i/>
          <w:iCs/>
        </w:rPr>
        <w:t>Skidgel v. California Unemployment Ins. Appeals Bd.</w:t>
      </w:r>
      <w:r w:rsidRPr="006F0FEE">
        <w:t xml:space="preserve"> (2021) 12 Cal.5th 1, 21.)  Indeed, the Attorney General’s proposed interpretation also raises serious questions.  The word “prosecute” appears in close proximity in both the causing clause and the assisting clause — “[c]ausing a complaint . . . to be sought and </w:t>
      </w:r>
      <w:r w:rsidRPr="006F0FEE">
        <w:rPr>
          <w:i/>
          <w:iCs/>
        </w:rPr>
        <w:t>prosecuted</w:t>
      </w:r>
      <w:r w:rsidRPr="006F0FEE">
        <w:t xml:space="preserve">, and assisting in the </w:t>
      </w:r>
      <w:r w:rsidRPr="006F0FEE">
        <w:rPr>
          <w:i/>
          <w:iCs/>
        </w:rPr>
        <w:t>prosecution</w:t>
      </w:r>
      <w:r w:rsidRPr="006F0FEE">
        <w:t xml:space="preserve"> thereof</w:t>
      </w:r>
      <w:r w:rsidR="00D670A7">
        <w:t>.</w:t>
      </w:r>
      <w:r w:rsidRPr="006F0FEE">
        <w:t xml:space="preserve">” </w:t>
      </w:r>
      <w:r w:rsidR="00D670A7">
        <w:t xml:space="preserve"> </w:t>
      </w:r>
      <w:r w:rsidRPr="006F0FEE">
        <w:t>(§ 136.1(b)(2), italics added</w:t>
      </w:r>
      <w:r w:rsidR="00D670A7">
        <w:t>.</w:t>
      </w:r>
      <w:r w:rsidRPr="006F0FEE">
        <w:t>)</w:t>
      </w:r>
      <w:r w:rsidR="00774B49">
        <w:t xml:space="preserve"> </w:t>
      </w:r>
      <w:r w:rsidRPr="006F0FEE">
        <w:t xml:space="preserve"> We understand the term “</w:t>
      </w:r>
      <w:r w:rsidR="00284B83">
        <w:t>[</w:t>
      </w:r>
      <w:r w:rsidRPr="006F0FEE">
        <w:t>c</w:t>
      </w:r>
      <w:r w:rsidR="00284B83">
        <w:t>]</w:t>
      </w:r>
      <w:r w:rsidRPr="006F0FEE">
        <w:t xml:space="preserve">ausing a complaint . . . to be sought and prosecuted” </w:t>
      </w:r>
      <w:r w:rsidR="00C34CA9">
        <w:t>(</w:t>
      </w:r>
      <w:r w:rsidR="00753F5A">
        <w:t>§ 136.1(b)(2)</w:t>
      </w:r>
      <w:r w:rsidR="00C34CA9">
        <w:t xml:space="preserve">) </w:t>
      </w:r>
      <w:r w:rsidRPr="006F0FEE">
        <w:t>in the causing clause to refer to the filing of initial charging documents or the initial pursuit of an action.  But under the Attorney General’s view, the term “assisting in the prosecution thereof” in the assisting clause would refer to postcharging conduct that includes the continuation of legal action on charges that have already been filed.  Under this view, the word “prosecute” would curiously have different meanings, even though the terms are used just a few words apart.</w:t>
      </w:r>
      <w:r>
        <w:rPr>
          <w:rStyle w:val="FootnoteReference"/>
        </w:rPr>
        <w:footnoteReference w:id="12"/>
      </w:r>
    </w:p>
    <w:p w:rsidR="00422EA0" w:rsidRPr="00705F37" w:rsidP="00705F37" w14:paraId="6C44BD73" w14:textId="77777777">
      <w:pPr>
        <w:tabs>
          <w:tab w:val="left" w:pos="1440"/>
        </w:tabs>
        <w:ind w:firstLine="720"/>
      </w:pPr>
      <w:r w:rsidRPr="00705F37">
        <w:t xml:space="preserve">On balance, </w:t>
      </w:r>
      <w:r w:rsidR="00F1037B">
        <w:t xml:space="preserve">we conclude </w:t>
      </w:r>
      <w:r w:rsidRPr="00705F37" w:rsidR="00CF1D72">
        <w:t xml:space="preserve">the parties each offer equally plausible interpretations of the statute — defendant </w:t>
      </w:r>
      <w:r w:rsidRPr="00705F37">
        <w:t>relying on the</w:t>
      </w:r>
      <w:r w:rsidRPr="00705F37" w:rsidR="00DC1CB8">
        <w:t xml:space="preserve"> ordinar</w:t>
      </w:r>
      <w:r w:rsidRPr="00705F37" w:rsidR="008B3B62">
        <w:t>il</w:t>
      </w:r>
      <w:r w:rsidRPr="00705F37" w:rsidR="00DC1CB8">
        <w:t>y conjunctive meaning of “and,” and the Attorney General relying on the canon against surplusage.</w:t>
      </w:r>
      <w:r w:rsidRPr="00705F37">
        <w:t xml:space="preserve"> </w:t>
      </w:r>
      <w:r w:rsidRPr="00705F37" w:rsidR="00DC1CB8">
        <w:t xml:space="preserve"> </w:t>
      </w:r>
      <w:r w:rsidRPr="00705F37" w:rsidR="008578F1">
        <w:t>While t</w:t>
      </w:r>
      <w:r w:rsidRPr="00705F37" w:rsidR="00E87989">
        <w:t>he parties offer additional textual argum</w:t>
      </w:r>
      <w:r w:rsidRPr="00705F37" w:rsidR="00B909E3">
        <w:t xml:space="preserve">ents in support of their respective proffered interpretations, none of them disturbs the relative equipoise </w:t>
      </w:r>
      <w:r w:rsidRPr="00705F37" w:rsidR="00D9623F">
        <w:t xml:space="preserve">in which </w:t>
      </w:r>
      <w:r w:rsidRPr="00705F37" w:rsidR="00547DFD">
        <w:t>the parties’ primary arguments</w:t>
      </w:r>
      <w:r w:rsidRPr="00705F37" w:rsidR="00D9623F">
        <w:t xml:space="preserve"> stand</w:t>
      </w:r>
      <w:r w:rsidRPr="00705F37" w:rsidR="00547DFD">
        <w:t>.</w:t>
      </w:r>
    </w:p>
    <w:p w:rsidR="00965440" w:rsidRPr="00705F37" w:rsidP="00705F37" w14:paraId="6C44BD74" w14:textId="77777777">
      <w:pPr>
        <w:tabs>
          <w:tab w:val="left" w:pos="1440"/>
        </w:tabs>
        <w:ind w:firstLine="720"/>
      </w:pPr>
      <w:r w:rsidRPr="00705F37">
        <w:t>For his part, d</w:t>
      </w:r>
      <w:r w:rsidRPr="00705F37" w:rsidR="000D79CA">
        <w:t xml:space="preserve">efendant argues his proposed conjunctive reading is </w:t>
      </w:r>
      <w:r w:rsidRPr="00705F37" w:rsidR="00D35AA6">
        <w:t xml:space="preserve">further supported </w:t>
      </w:r>
      <w:r w:rsidRPr="00705F37" w:rsidR="000D79CA">
        <w:t xml:space="preserve">by the presence of the word “thereof” at the end of the assisting clause — “assisting in the prosecution </w:t>
      </w:r>
      <w:r w:rsidRPr="00705F37" w:rsidR="000D79CA">
        <w:rPr>
          <w:i/>
          <w:iCs/>
        </w:rPr>
        <w:t>thereof</w:t>
      </w:r>
      <w:r w:rsidRPr="00705F37" w:rsidR="000D79CA">
        <w:t xml:space="preserve">” (§ 136.1(b)(2), italics added) — which he posits “refers back to the complaint . . . which is to be sought” under the causing clause.  Even assuming that is the case, however, the reference does no more than indicate that the assisting clause relates to the prosecution of the same list of charging documents and violations identified in the causing clause — namely, “a complaint, indictment, information, probation or parole violation.”  (§ 136.1(b)(2).)  Using the word “thereof” as shorthand simply spared the Legislature from repeating the same list at the end of the assisting clause.  </w:t>
      </w:r>
      <w:r w:rsidRPr="00705F37" w:rsidR="00D35AA6">
        <w:t>Moreover</w:t>
      </w:r>
      <w:r w:rsidRPr="00705F37" w:rsidR="000D79CA">
        <w:t>, even if the Legislature intended the word “thereof” to be a term of specific reference that suggests that the assisting clause refer</w:t>
      </w:r>
      <w:r w:rsidRPr="00705F37" w:rsidR="00D35AA6">
        <w:t xml:space="preserve">s not </w:t>
      </w:r>
      <w:r w:rsidRPr="00705F37" w:rsidR="000D79CA">
        <w:t xml:space="preserve">just </w:t>
      </w:r>
      <w:r w:rsidRPr="00705F37" w:rsidR="00235AE6">
        <w:t xml:space="preserve">to </w:t>
      </w:r>
      <w:r w:rsidRPr="00705F37" w:rsidR="000D79CA">
        <w:rPr>
          <w:i/>
          <w:iCs/>
        </w:rPr>
        <w:t>any</w:t>
      </w:r>
      <w:r w:rsidRPr="00705F37" w:rsidR="000D79CA">
        <w:t xml:space="preserve"> complaint, but specifically </w:t>
      </w:r>
      <w:r w:rsidRPr="00705F37" w:rsidR="004756AC">
        <w:t xml:space="preserve">to </w:t>
      </w:r>
      <w:r w:rsidRPr="00705F37" w:rsidR="000D79CA">
        <w:t>the complaint referred to in the first clause — that is, the one sought by the victim or witness</w:t>
      </w:r>
      <w:r w:rsidR="00B453BD">
        <w:t> </w:t>
      </w:r>
      <w:r w:rsidRPr="00705F37" w:rsidR="000D79CA">
        <w:t xml:space="preserve">— this would still suggest only that the causing and assisting </w:t>
      </w:r>
      <w:r w:rsidRPr="00705F37" w:rsidR="00235AE6">
        <w:t xml:space="preserve">clauses </w:t>
      </w:r>
      <w:r w:rsidRPr="00705F37" w:rsidR="000D79CA">
        <w:t xml:space="preserve">are tied together </w:t>
      </w:r>
      <w:r w:rsidRPr="00705F37" w:rsidR="000D79CA">
        <w:rPr>
          <w:i/>
          <w:iCs/>
        </w:rPr>
        <w:t>in some way</w:t>
      </w:r>
      <w:r w:rsidRPr="00705F37" w:rsidR="000D79CA">
        <w:t>; the relationship does not necessarily compel a conjunctive reading.</w:t>
      </w:r>
    </w:p>
    <w:p w:rsidR="00F92FF4" w:rsidRPr="00705F37" w:rsidP="00705F37" w14:paraId="6C44BD75" w14:textId="77777777">
      <w:pPr>
        <w:tabs>
          <w:tab w:val="left" w:pos="1440"/>
        </w:tabs>
        <w:ind w:firstLine="720"/>
      </w:pPr>
      <w:r w:rsidRPr="00705F37">
        <w:t xml:space="preserve">Meanwhile, the Attorney General relies on the interpretive principle that “[t]he wording of the lead-in” to a statute “may be crucial to the meaning” of the word “and.”  (Scalia &amp; Garner, Reading Law:  The Interpretation of Legal Texts (2012) p. 122 (hereinafter Scalia &amp; Garner).)  For example, “If the introductory phrase is </w:t>
      </w:r>
      <w:r w:rsidRPr="00705F37">
        <w:rPr>
          <w:i/>
          <w:iCs/>
        </w:rPr>
        <w:t>any one or more of the following</w:t>
      </w:r>
      <w:r w:rsidRPr="00705F37">
        <w:t>, then the satisfaction of any one element . . . will suffice.”  (</w:t>
      </w:r>
      <w:r w:rsidRPr="00705F37">
        <w:rPr>
          <w:i/>
          <w:iCs/>
        </w:rPr>
        <w:t>Ibid</w:t>
      </w:r>
      <w:r w:rsidRPr="00705F37">
        <w:t>.)  That is, the word “and” may be read disjunctively as the word “or” where, as the Attorney General emphasizes here, the relevant introductory language of the dissuasion statute prohibits a defendant from engaging in “</w:t>
      </w:r>
      <w:r w:rsidRPr="00705F37">
        <w:rPr>
          <w:i/>
          <w:iCs/>
        </w:rPr>
        <w:t>any of the following</w:t>
      </w:r>
      <w:r w:rsidRPr="00705F37">
        <w:t>” acts, including those specified in the causing clause and the assisting clause.  (§ 136.1</w:t>
      </w:r>
      <w:r w:rsidRPr="00705F37" w:rsidR="001F1BC3">
        <w:t xml:space="preserve">, subd. </w:t>
      </w:r>
      <w:r w:rsidRPr="00705F37">
        <w:t>(b), italics added.)</w:t>
      </w:r>
    </w:p>
    <w:p w:rsidR="00F92FF4" w:rsidRPr="00705F37" w:rsidP="00705F37" w14:paraId="6C44BD76" w14:textId="77777777">
      <w:pPr>
        <w:tabs>
          <w:tab w:val="left" w:pos="1440"/>
        </w:tabs>
        <w:ind w:firstLine="720"/>
      </w:pPr>
      <w:r w:rsidRPr="00705F37">
        <w:t xml:space="preserve">Focusing on this aspect of section 136.1(b)(2)’s text and statutory context, the Attorney General observes that subdivision (b)(2) is bookended by the word “any,” which he maintains supports a disjunctive reading of the connecting “and.”  The first significant “any” appears in the introductory paragraph of subdivision (b), which makes it a crime to “do[] </w:t>
      </w:r>
      <w:r w:rsidRPr="00705F37">
        <w:rPr>
          <w:i/>
          <w:iCs/>
        </w:rPr>
        <w:t>any</w:t>
      </w:r>
      <w:r w:rsidRPr="00705F37">
        <w:t xml:space="preserve"> of the following.”  (§ 136.1, subd. (b), italics added; see Scalia &amp; Garner, </w:t>
      </w:r>
      <w:r w:rsidRPr="00705F37">
        <w:rPr>
          <w:i/>
          <w:iCs/>
          <w:szCs w:val="26"/>
        </w:rPr>
        <w:t>supra</w:t>
      </w:r>
      <w:r w:rsidRPr="00705F37">
        <w:t xml:space="preserve">, at p. 122 [“If the introductory phrase is </w:t>
      </w:r>
      <w:r w:rsidRPr="00705F37">
        <w:rPr>
          <w:i/>
          <w:iCs/>
        </w:rPr>
        <w:t>any one or more of the following</w:t>
      </w:r>
      <w:r w:rsidRPr="00705F37">
        <w:t xml:space="preserve">, then the satisfaction of any one element . . . will suffice”].)  The Attorney General notes this introductory phrase is then followed by “a variety of present participles that introduce a gerund phrase:  ‘(1)  </w:t>
      </w:r>
      <w:r w:rsidRPr="00705F37">
        <w:rPr>
          <w:i/>
          <w:iCs/>
        </w:rPr>
        <w:t xml:space="preserve">Making </w:t>
      </w:r>
      <w:r w:rsidRPr="00705F37">
        <w:t>any report of that victimization</w:t>
      </w:r>
      <w:r w:rsidR="00093916">
        <w:t> </w:t>
      </w:r>
      <w:r w:rsidRPr="00705F37">
        <w:t>.</w:t>
      </w:r>
      <w:r w:rsidR="00093916">
        <w:t> </w:t>
      </w:r>
      <w:r w:rsidRPr="00705F37">
        <w:t>.</w:t>
      </w:r>
      <w:r w:rsidR="00093916">
        <w:t> </w:t>
      </w:r>
      <w:r w:rsidRPr="00705F37">
        <w:t>.</w:t>
      </w:r>
      <w:r w:rsidR="00093916">
        <w:t> </w:t>
      </w:r>
      <w:r w:rsidRPr="00705F37">
        <w:t>.  [¶]  (2)  </w:t>
      </w:r>
      <w:r w:rsidRPr="00705F37">
        <w:rPr>
          <w:i/>
          <w:iCs/>
        </w:rPr>
        <w:t xml:space="preserve">Causing </w:t>
      </w:r>
      <w:r w:rsidRPr="00705F37">
        <w:t xml:space="preserve">a complaint, indictment, information, probation or parole violation to be sought and prosecuted, and </w:t>
      </w:r>
      <w:r w:rsidRPr="00705F37">
        <w:rPr>
          <w:i/>
          <w:iCs/>
        </w:rPr>
        <w:t xml:space="preserve">assisting </w:t>
      </w:r>
      <w:r w:rsidRPr="00705F37">
        <w:t>in the prosecution thereof.  [¶]  (3)  </w:t>
      </w:r>
      <w:r w:rsidRPr="00705F37">
        <w:rPr>
          <w:i/>
          <w:iCs/>
        </w:rPr>
        <w:t xml:space="preserve">Arresting </w:t>
      </w:r>
      <w:r w:rsidRPr="00705F37">
        <w:t xml:space="preserve">or </w:t>
      </w:r>
      <w:r w:rsidRPr="00705F37">
        <w:rPr>
          <w:i/>
          <w:iCs/>
        </w:rPr>
        <w:t xml:space="preserve">causing </w:t>
      </w:r>
      <w:r w:rsidRPr="00705F37">
        <w:t xml:space="preserve">or </w:t>
      </w:r>
      <w:r w:rsidRPr="00705F37">
        <w:rPr>
          <w:i/>
          <w:iCs/>
        </w:rPr>
        <w:t xml:space="preserve">seeking </w:t>
      </w:r>
      <w:r w:rsidRPr="00705F37">
        <w:t>the arrest of any person in connection with that victimization.’ ”  Thus, the Attorney General reasons, the phrase “any of the following” in the introductory paragraph of subdivision (b) criminalizes any type of conduct described in each of the gerund phrases found in subdivision (b)’s subparts — “[m]aking any report” (§ 136.1, subd. (b)(1)), “[c]ausing a complaint . . . to be sought and prosecuted” (</w:t>
      </w:r>
      <w:r w:rsidRPr="00705F37" w:rsidR="003C4F6C">
        <w:t>§ 136.1</w:t>
      </w:r>
      <w:r w:rsidRPr="00705F37">
        <w:rPr>
          <w:szCs w:val="26"/>
        </w:rPr>
        <w:t xml:space="preserve">(b)(2)), </w:t>
      </w:r>
      <w:r w:rsidRPr="00705F37">
        <w:t>“assisting in the prosecution thereof” (</w:t>
      </w:r>
      <w:r w:rsidRPr="00705F37">
        <w:rPr>
          <w:i/>
          <w:iCs/>
        </w:rPr>
        <w:t>ibid</w:t>
      </w:r>
      <w:r w:rsidRPr="00705F37">
        <w:t>.), and “arresting . . . any person” (</w:t>
      </w:r>
      <w:r w:rsidRPr="00705F37">
        <w:rPr>
          <w:i/>
          <w:iCs/>
          <w:szCs w:val="26"/>
        </w:rPr>
        <w:t>id</w:t>
      </w:r>
      <w:r w:rsidRPr="00705F37">
        <w:rPr>
          <w:szCs w:val="26"/>
        </w:rPr>
        <w:t>., subd. (b)(3)).</w:t>
      </w:r>
    </w:p>
    <w:p w:rsidR="00F92FF4" w:rsidRPr="00705F37" w:rsidP="00705F37" w14:paraId="6C44BD77" w14:textId="77777777">
      <w:pPr>
        <w:tabs>
          <w:tab w:val="left" w:pos="1440"/>
        </w:tabs>
        <w:ind w:firstLine="720"/>
      </w:pPr>
      <w:r w:rsidRPr="00705F37">
        <w:t xml:space="preserve">The second “any” cited by the Attorney General appears in subdivision (d) of section 136.1, which provides that “[e]very person attempting the commission of </w:t>
      </w:r>
      <w:r w:rsidRPr="00705F37">
        <w:rPr>
          <w:i/>
          <w:iCs/>
        </w:rPr>
        <w:t xml:space="preserve">any </w:t>
      </w:r>
      <w:r w:rsidRPr="00705F37">
        <w:t>act described in subdivisions (a), (b), and (c) is guilty of the offense attempted without regard to success or failure of the attempt.”  (Italics added.)</w:t>
      </w:r>
      <w:r>
        <w:rPr>
          <w:rStyle w:val="FootnoteReference"/>
        </w:rPr>
        <w:footnoteReference w:id="13"/>
      </w:r>
      <w:r w:rsidRPr="00705F37">
        <w:t xml:space="preserve">  The acts described in subdivision (b) include each of the gerund phrases found in that subdivision.  Thus, for s</w:t>
      </w:r>
      <w:r w:rsidR="003C4F6C">
        <w:t>ection</w:t>
      </w:r>
      <w:r w:rsidRPr="00705F37">
        <w:t xml:space="preserve"> </w:t>
      </w:r>
      <w:r w:rsidRPr="00705F37" w:rsidR="003C4F6C">
        <w:t>136.1</w:t>
      </w:r>
      <w:r w:rsidRPr="00705F37">
        <w:t xml:space="preserve">(b)(2), it includes “[c]ausing a complaint . . . to be sought and prosecuted” as well as “assisting in the prosecution thereof.”  The Attorney General maintains that the combination of the Legislature’s use of the word “any” together with the gerund phrases in subdivision (b) of section 136.1 suggests that the Legislature may have intended the connecting “and” to be read disjunctively when viewed in connection with the gerund assisting clause.  (See Scalia &amp; Garner, </w:t>
      </w:r>
      <w:r w:rsidRPr="00705F37">
        <w:rPr>
          <w:i/>
          <w:iCs/>
          <w:szCs w:val="26"/>
        </w:rPr>
        <w:t>supra</w:t>
      </w:r>
      <w:r w:rsidRPr="00705F37">
        <w:t>, at p. 122.)</w:t>
      </w:r>
    </w:p>
    <w:p w:rsidR="00F92FF4" w:rsidRPr="00705F37" w:rsidP="00705F37" w14:paraId="6C44BD78" w14:textId="77777777">
      <w:pPr>
        <w:tabs>
          <w:tab w:val="left" w:pos="1440"/>
        </w:tabs>
        <w:ind w:firstLine="720"/>
      </w:pPr>
      <w:r w:rsidRPr="00705F37">
        <w:t xml:space="preserve">The Attorney General’s reading is plausible.  But </w:t>
      </w:r>
      <w:r w:rsidRPr="00705F37" w:rsidR="000402E2">
        <w:t xml:space="preserve">an </w:t>
      </w:r>
      <w:r w:rsidRPr="00705F37">
        <w:t>equally — if not more</w:t>
      </w:r>
      <w:r w:rsidRPr="00705F37" w:rsidR="00C70D0B">
        <w:t> </w:t>
      </w:r>
      <w:r w:rsidRPr="00705F37">
        <w:t xml:space="preserve">— plausible alternative reading </w:t>
      </w:r>
      <w:r w:rsidRPr="00705F37" w:rsidR="000402E2">
        <w:t xml:space="preserve">is </w:t>
      </w:r>
      <w:r w:rsidRPr="00705F37">
        <w:t>that the word “any</w:t>
      </w:r>
      <w:r w:rsidRPr="00705F37" w:rsidR="001F3227">
        <w:t>,</w:t>
      </w:r>
      <w:r w:rsidRPr="00705F37">
        <w:t>”</w:t>
      </w:r>
      <w:r w:rsidRPr="00705F37" w:rsidR="001F3227">
        <w:t xml:space="preserve"> as it appears in subdivision (b)</w:t>
      </w:r>
      <w:r w:rsidRPr="00705F37" w:rsidR="009D4F64">
        <w:t xml:space="preserve"> </w:t>
      </w:r>
      <w:r w:rsidRPr="00705F37">
        <w:t xml:space="preserve">of section 136.1, refers to each enumerated part of subdivision (b) </w:t>
      </w:r>
      <w:r w:rsidRPr="00705F37">
        <w:rPr>
          <w:i/>
          <w:iCs/>
        </w:rPr>
        <w:t>as a whole</w:t>
      </w:r>
      <w:r w:rsidRPr="00705F37">
        <w:t xml:space="preserve"> and not to each part’s constituent elements.  </w:t>
      </w:r>
      <w:r w:rsidRPr="004D72F4" w:rsidR="004D72F4">
        <w:t>Specifically, subdivision (b) prohibits a person from doing “any of the following” and then lists three enumerated subparts.  “[A]ny of the following” can simply be in reference to each of the three subparts that follow, as opposed to a suggestion that the three subparts should be broken down further into their constituent elements.</w:t>
      </w:r>
    </w:p>
    <w:p w:rsidR="004F57DA" w:rsidRPr="00705F37" w:rsidP="00705F37" w14:paraId="6C44BD79" w14:textId="77777777">
      <w:pPr>
        <w:tabs>
          <w:tab w:val="left" w:pos="1440"/>
        </w:tabs>
        <w:ind w:firstLine="720"/>
      </w:pPr>
      <w:r>
        <w:t xml:space="preserve">Because </w:t>
      </w:r>
      <w:r w:rsidRPr="00705F37" w:rsidR="00873C08">
        <w:t xml:space="preserve">we conclude </w:t>
      </w:r>
      <w:r w:rsidRPr="00705F37" w:rsidR="002411D4">
        <w:t xml:space="preserve">from the text and statutory context of </w:t>
      </w:r>
      <w:r w:rsidRPr="00705F37" w:rsidR="002E3CCE">
        <w:t>section 136.1(b)(2)</w:t>
      </w:r>
      <w:r w:rsidRPr="00705F37" w:rsidR="002411D4">
        <w:t xml:space="preserve"> that the statute</w:t>
      </w:r>
      <w:r w:rsidRPr="00705F37" w:rsidR="002E3CCE">
        <w:t xml:space="preserve"> is equally susceptible to the parties’ </w:t>
      </w:r>
      <w:r w:rsidRPr="00705F37" w:rsidR="004D7AE2">
        <w:t xml:space="preserve">competing </w:t>
      </w:r>
      <w:r w:rsidRPr="00705F37" w:rsidR="002E3CCE">
        <w:t>constructions</w:t>
      </w:r>
      <w:r>
        <w:t>,</w:t>
      </w:r>
      <w:r w:rsidRPr="00705F37" w:rsidR="002E3CCE">
        <w:t xml:space="preserve"> </w:t>
      </w:r>
      <w:r>
        <w:t>w</w:t>
      </w:r>
      <w:r w:rsidRPr="00705F37" w:rsidR="008161BD">
        <w:t>e turn to other interpretive aids.</w:t>
      </w:r>
    </w:p>
    <w:p w:rsidR="00E1490B" w:rsidRPr="00705F37" w:rsidP="007E4E32" w14:paraId="6C44BD7A" w14:textId="77777777">
      <w:pPr>
        <w:pStyle w:val="Heading2"/>
        <w:keepLines/>
        <w:ind w:left="1166" w:hanging="446"/>
      </w:pPr>
      <w:r>
        <w:tab/>
      </w:r>
      <w:r w:rsidRPr="00705F37" w:rsidR="00056C00">
        <w:t xml:space="preserve">The Legislative History </w:t>
      </w:r>
      <w:r w:rsidRPr="00705F37" w:rsidR="00F73F09">
        <w:t xml:space="preserve">of Section 136.1(b)(2) </w:t>
      </w:r>
      <w:r w:rsidRPr="00705F37" w:rsidR="00056C00">
        <w:t>and Other Jurisdictions’ Experience</w:t>
      </w:r>
      <w:r w:rsidRPr="00705F37" w:rsidR="00F73F09">
        <w:t>s</w:t>
      </w:r>
      <w:r>
        <w:t xml:space="preserve"> </w:t>
      </w:r>
      <w:r w:rsidRPr="00705F37" w:rsidR="00056C00">
        <w:t>Implementing Similar Sta</w:t>
      </w:r>
      <w:r w:rsidRPr="00705F37" w:rsidR="00F73F09">
        <w:t>t</w:t>
      </w:r>
      <w:r w:rsidRPr="00705F37" w:rsidR="00056C00">
        <w:t xml:space="preserve">utory Language </w:t>
      </w:r>
      <w:r w:rsidRPr="00705F37" w:rsidR="0025516E">
        <w:t>Do Not Resolve the Statute’s Ambiguity</w:t>
      </w:r>
    </w:p>
    <w:p w:rsidR="00211297" w:rsidRPr="00705F37" w:rsidP="00705F37" w14:paraId="6C44BD7B" w14:textId="77777777">
      <w:pPr>
        <w:tabs>
          <w:tab w:val="left" w:pos="1440"/>
        </w:tabs>
        <w:ind w:firstLine="720"/>
      </w:pPr>
      <w:r w:rsidRPr="00705F37">
        <w:t xml:space="preserve">The legislative history of section 136.1(b)(2) </w:t>
      </w:r>
      <w:r w:rsidRPr="00705F37" w:rsidR="009B3554">
        <w:t xml:space="preserve">and other jurisdictions’ experiences implementing similar statutory language </w:t>
      </w:r>
      <w:r w:rsidRPr="00705F37" w:rsidR="00F12975">
        <w:t xml:space="preserve">are likewise inconclusive on the question of whether to read the statute conjunctively or </w:t>
      </w:r>
      <w:r w:rsidRPr="00705F37">
        <w:t xml:space="preserve">disjunctively.  </w:t>
      </w:r>
      <w:r w:rsidRPr="00705F37" w:rsidR="00F86D21">
        <w:t>(</w:t>
      </w:r>
      <w:r w:rsidRPr="00705F37" w:rsidR="005C3986">
        <w:t>S</w:t>
      </w:r>
      <w:r w:rsidRPr="00705F37" w:rsidR="00C00BE5">
        <w:t xml:space="preserve">ee </w:t>
      </w:r>
      <w:r w:rsidRPr="00705F37" w:rsidR="00C00BE5">
        <w:rPr>
          <w:i/>
          <w:iCs/>
        </w:rPr>
        <w:t>City of San Jose</w:t>
      </w:r>
      <w:r w:rsidRPr="00705F37" w:rsidR="00C00BE5">
        <w:t xml:space="preserve">, </w:t>
      </w:r>
      <w:r w:rsidRPr="00705F37" w:rsidR="00C00BE5">
        <w:rPr>
          <w:i/>
          <w:iCs/>
          <w:szCs w:val="26"/>
        </w:rPr>
        <w:t>supra</w:t>
      </w:r>
      <w:r w:rsidRPr="00705F37" w:rsidR="00C00BE5">
        <w:t>, 2 Cal.5th at pp.</w:t>
      </w:r>
      <w:r w:rsidRPr="00705F37" w:rsidR="007233AD">
        <w:t> </w:t>
      </w:r>
      <w:r w:rsidRPr="00705F37" w:rsidR="00C00BE5">
        <w:t>616</w:t>
      </w:r>
      <w:r w:rsidRPr="00705F37" w:rsidR="00970BF0">
        <w:t>–</w:t>
      </w:r>
      <w:r w:rsidRPr="00705F37" w:rsidR="00C00BE5">
        <w:t>617</w:t>
      </w:r>
      <w:r w:rsidRPr="00705F37" w:rsidR="005C3986">
        <w:t xml:space="preserve"> [“</w:t>
      </w:r>
      <w:r w:rsidRPr="00705F37" w:rsidR="00551AC6">
        <w:t> ‘ “</w:t>
      </w:r>
      <w:r w:rsidRPr="00705F37" w:rsidR="005C3986">
        <w:t>If the statutory language permits more than one reasonable interpretation, courts may consider other aids, such as the statute’s purpose, legislative history, and public policy” ’ ”</w:t>
      </w:r>
      <w:r w:rsidRPr="00705F37" w:rsidR="00551AC6">
        <w:t>].)</w:t>
      </w:r>
      <w:r w:rsidRPr="00705F37" w:rsidR="003F7307">
        <w:t xml:space="preserve"> </w:t>
      </w:r>
    </w:p>
    <w:p w:rsidR="006F3240" w:rsidRPr="00705F37" w:rsidP="00502FE9" w14:paraId="6C44BD7C" w14:textId="77777777">
      <w:pPr>
        <w:pStyle w:val="Heading3"/>
        <w:rPr>
          <w:b/>
          <w:bCs/>
          <w:iCs/>
        </w:rPr>
      </w:pPr>
      <w:r w:rsidRPr="00705F37">
        <w:t xml:space="preserve">Legislative </w:t>
      </w:r>
      <w:r w:rsidRPr="00705F37" w:rsidR="00D60237">
        <w:t>History of Section 136.1</w:t>
      </w:r>
      <w:r w:rsidRPr="00705F37">
        <w:t>(b)(2)</w:t>
      </w:r>
    </w:p>
    <w:p w:rsidR="006F3240" w:rsidRPr="00705F37" w:rsidP="006C506B" w14:paraId="6C44BD7D" w14:textId="77777777">
      <w:pPr>
        <w:pStyle w:val="Heading4"/>
        <w:rPr>
          <w:b/>
          <w:bCs/>
          <w:iCs/>
        </w:rPr>
      </w:pPr>
      <w:r w:rsidRPr="00705F37">
        <w:t xml:space="preserve">Prior </w:t>
      </w:r>
      <w:r w:rsidRPr="00705F37" w:rsidR="003445C6">
        <w:t>l</w:t>
      </w:r>
      <w:r w:rsidRPr="00705F37">
        <w:t>aw</w:t>
      </w:r>
    </w:p>
    <w:p w:rsidR="00933870" w:rsidRPr="00705F37" w:rsidP="00705F37" w14:paraId="6C44BD7E" w14:textId="77777777">
      <w:pPr>
        <w:tabs>
          <w:tab w:val="left" w:pos="1440"/>
        </w:tabs>
        <w:ind w:firstLine="720"/>
      </w:pPr>
      <w:r w:rsidRPr="00705F37">
        <w:t xml:space="preserve">Before the Legislature enacted section 136.1, witness dissuasion was </w:t>
      </w:r>
      <w:r w:rsidRPr="00705F37" w:rsidR="0042746C">
        <w:t xml:space="preserve">prohibited by </w:t>
      </w:r>
      <w:r w:rsidRPr="00705F37" w:rsidR="004C13BD">
        <w:t xml:space="preserve">former </w:t>
      </w:r>
      <w:r w:rsidRPr="00705F37" w:rsidR="0042746C">
        <w:t xml:space="preserve">section 136.  (See </w:t>
      </w:r>
      <w:r w:rsidRPr="00705F37" w:rsidR="0042746C">
        <w:rPr>
          <w:i/>
          <w:iCs/>
        </w:rPr>
        <w:t>People v. Newton</w:t>
      </w:r>
      <w:r w:rsidRPr="00705F37" w:rsidR="0042746C">
        <w:t xml:space="preserve"> (1963) 222 Cal.App.2d 187, 189</w:t>
      </w:r>
      <w:r w:rsidRPr="00432D17" w:rsidR="004C13BD">
        <w:t>; former § 136</w:t>
      </w:r>
      <w:r w:rsidRPr="00432D17" w:rsidR="006E3E85">
        <w:t>.)  As originally enacted</w:t>
      </w:r>
      <w:r w:rsidRPr="00432D17" w:rsidR="00255109">
        <w:t xml:space="preserve"> in 1872, </w:t>
      </w:r>
      <w:r w:rsidRPr="00432D17" w:rsidR="004C13BD">
        <w:t>former section</w:t>
      </w:r>
      <w:r w:rsidRPr="00432D17" w:rsidR="001244B8">
        <w:t> </w:t>
      </w:r>
      <w:r w:rsidRPr="00432D17" w:rsidR="00E878D9">
        <w:t xml:space="preserve">136 </w:t>
      </w:r>
      <w:r w:rsidRPr="00432D17" w:rsidR="00255109">
        <w:t>prohibited “willfully prevent[ing] or dissuad[ing] . . . a witness . . . from attending upon any trial.”  (Former § 136;</w:t>
      </w:r>
      <w:r w:rsidRPr="00705F37" w:rsidR="00255109">
        <w:t xml:space="preserve"> see </w:t>
      </w:r>
      <w:r w:rsidRPr="00705F37" w:rsidR="00255109">
        <w:rPr>
          <w:i/>
          <w:iCs/>
        </w:rPr>
        <w:t>Newton</w:t>
      </w:r>
      <w:r w:rsidRPr="00705F37" w:rsidR="00255109">
        <w:t xml:space="preserve">, </w:t>
      </w:r>
      <w:r w:rsidRPr="00705F37" w:rsidR="0011334F">
        <w:t xml:space="preserve">at </w:t>
      </w:r>
      <w:r w:rsidRPr="00705F37" w:rsidR="00255109">
        <w:t>p.</w:t>
      </w:r>
      <w:r w:rsidRPr="00705F37" w:rsidR="001244B8">
        <w:t> </w:t>
      </w:r>
      <w:r w:rsidRPr="00705F37" w:rsidR="00255109">
        <w:t>190.)</w:t>
      </w:r>
      <w:r w:rsidRPr="00705F37" w:rsidR="00E8374C">
        <w:t xml:space="preserve">  </w:t>
      </w:r>
    </w:p>
    <w:p w:rsidR="00933870" w:rsidRPr="00705F37" w:rsidP="00705F37" w14:paraId="6C44BD7F" w14:textId="77777777">
      <w:pPr>
        <w:tabs>
          <w:tab w:val="left" w:pos="1440"/>
        </w:tabs>
        <w:ind w:firstLine="720"/>
      </w:pPr>
      <w:r w:rsidRPr="00705F37">
        <w:t>B</w:t>
      </w:r>
      <w:r w:rsidRPr="00705F37" w:rsidR="006F3240">
        <w:t>y 1979, the Legislature had amended former section 136 by subdividing it into misdemeanor and felony offenses for nonforcible and forcible witness dissuasion, respectively.  (Stats</w:t>
      </w:r>
      <w:r w:rsidRPr="00705F37" w:rsidR="00062E03">
        <w:t>.</w:t>
      </w:r>
      <w:r w:rsidRPr="00705F37" w:rsidR="006F3240">
        <w:t xml:space="preserve"> 1979, ch. 944, § 1, p. 3252; see </w:t>
      </w:r>
      <w:r w:rsidRPr="00705F37" w:rsidR="006F3240">
        <w:rPr>
          <w:i/>
          <w:iCs/>
        </w:rPr>
        <w:t>Babalola v. Superior Court</w:t>
      </w:r>
      <w:r w:rsidRPr="00705F37" w:rsidR="006F3240">
        <w:t xml:space="preserve"> (2011) 192 Cal.App.4th 948, 956, fn. 6 (</w:t>
      </w:r>
      <w:r w:rsidRPr="00705F37" w:rsidR="006F3240">
        <w:rPr>
          <w:i/>
          <w:iCs/>
        </w:rPr>
        <w:t>Babalola</w:t>
      </w:r>
      <w:r w:rsidRPr="00705F37" w:rsidR="006F3240">
        <w:t xml:space="preserve">).)  </w:t>
      </w:r>
      <w:r w:rsidRPr="00705F37">
        <w:t>Thus, former section</w:t>
      </w:r>
      <w:r w:rsidRPr="00705F37" w:rsidR="001244B8">
        <w:t> </w:t>
      </w:r>
      <w:r w:rsidRPr="00705F37">
        <w:t>136, subdivision</w:t>
      </w:r>
      <w:r w:rsidRPr="00705F37" w:rsidR="001244B8">
        <w:t> </w:t>
      </w:r>
      <w:r w:rsidRPr="00705F37">
        <w:t>(a) made it a misdemeanor to “willfully and unlawfully prevent[] or dissuade[] . . . a witness . . . from attending upon any trial.”  (Stats</w:t>
      </w:r>
      <w:r w:rsidRPr="00705F37" w:rsidR="00062E03">
        <w:t>.</w:t>
      </w:r>
      <w:r w:rsidRPr="00705F37">
        <w:t xml:space="preserve"> 1979, ch. 944, § 1, p.</w:t>
      </w:r>
      <w:r w:rsidRPr="00705F37" w:rsidR="001244B8">
        <w:t> </w:t>
      </w:r>
      <w:r w:rsidRPr="00705F37">
        <w:t>3252.)  And former section</w:t>
      </w:r>
      <w:r w:rsidRPr="00705F37" w:rsidR="001244B8">
        <w:t> </w:t>
      </w:r>
      <w:r w:rsidRPr="00705F37">
        <w:t>136, subdivision</w:t>
      </w:r>
      <w:r w:rsidRPr="00705F37" w:rsidR="001244B8">
        <w:t> </w:t>
      </w:r>
      <w:r w:rsidRPr="00705F37">
        <w:t xml:space="preserve">(b) made it a felony to do so “by means of force or threats of unlawful injury to person or damage to </w:t>
      </w:r>
      <w:r w:rsidR="00C64107">
        <w:t xml:space="preserve">the </w:t>
      </w:r>
      <w:r w:rsidRPr="00705F37">
        <w:t>property of another.”  (Stats</w:t>
      </w:r>
      <w:r w:rsidRPr="00705F37" w:rsidR="00062E03">
        <w:t>.</w:t>
      </w:r>
      <w:r w:rsidRPr="00705F37">
        <w:t xml:space="preserve"> 1979, ch. 944, § 1, p.</w:t>
      </w:r>
      <w:r w:rsidRPr="00705F37" w:rsidR="001244B8">
        <w:t> </w:t>
      </w:r>
      <w:r w:rsidRPr="00705F37">
        <w:t>3252.)</w:t>
      </w:r>
    </w:p>
    <w:p w:rsidR="006F3240" w:rsidRPr="00705F37" w:rsidP="006C506B" w14:paraId="6C44BD80" w14:textId="77777777">
      <w:pPr>
        <w:pStyle w:val="Heading4"/>
        <w:rPr>
          <w:b/>
          <w:bCs/>
          <w:iCs/>
        </w:rPr>
      </w:pPr>
      <w:r w:rsidRPr="00705F37">
        <w:t xml:space="preserve">The ABA </w:t>
      </w:r>
      <w:r w:rsidRPr="00705F37" w:rsidR="003445C6">
        <w:t>m</w:t>
      </w:r>
      <w:r w:rsidRPr="00705F37">
        <w:t xml:space="preserve">odel </w:t>
      </w:r>
      <w:r w:rsidRPr="00705F37" w:rsidR="003445C6">
        <w:t>s</w:t>
      </w:r>
      <w:r w:rsidRPr="00705F37">
        <w:t>tatute</w:t>
      </w:r>
    </w:p>
    <w:p w:rsidR="006F3240" w:rsidRPr="00705F37" w:rsidP="00705F37" w14:paraId="6C44BD81" w14:textId="77777777">
      <w:pPr>
        <w:tabs>
          <w:tab w:val="left" w:pos="1440"/>
        </w:tabs>
        <w:ind w:firstLine="720"/>
      </w:pPr>
      <w:r w:rsidRPr="00705F37">
        <w:t>In 1979, an American Bar Association (ABA) committee issued a report that found “[e]xisting state statutes . . . largely inadequate to deal with intimidation.”  (</w:t>
      </w:r>
      <w:bookmarkStart w:id="3" w:name="_Hlk160197118"/>
      <w:r w:rsidRPr="00705F37" w:rsidR="00835E97">
        <w:t>ABA Section of Criminal Justice, Committee on Victims</w:t>
      </w:r>
      <w:r w:rsidRPr="00705F37" w:rsidR="00295782">
        <w:t>,</w:t>
      </w:r>
      <w:r w:rsidRPr="00705F37" w:rsidR="00835E97">
        <w:t xml:space="preserve"> </w:t>
      </w:r>
      <w:r w:rsidRPr="00705F37">
        <w:t xml:space="preserve">Reducing Victim/Witness Intimidation:  A Package </w:t>
      </w:r>
      <w:r w:rsidRPr="00705F37" w:rsidR="00920072">
        <w:t xml:space="preserve">(1979) </w:t>
      </w:r>
      <w:r w:rsidRPr="00705F37" w:rsidR="00295782">
        <w:t xml:space="preserve">p. 1 </w:t>
      </w:r>
      <w:bookmarkEnd w:id="3"/>
      <w:r w:rsidRPr="00705F37">
        <w:t>(</w:t>
      </w:r>
      <w:r w:rsidR="00024A38">
        <w:t xml:space="preserve">hereinafter </w:t>
      </w:r>
      <w:r w:rsidRPr="00705F37">
        <w:t xml:space="preserve">ABA Report); see </w:t>
      </w:r>
      <w:r w:rsidRPr="00705F37">
        <w:rPr>
          <w:i/>
          <w:iCs/>
        </w:rPr>
        <w:t>Babalola</w:t>
      </w:r>
      <w:r w:rsidRPr="00705F37">
        <w:t xml:space="preserve">, </w:t>
      </w:r>
      <w:r w:rsidRPr="00705F37">
        <w:rPr>
          <w:i/>
          <w:iCs/>
        </w:rPr>
        <w:t>supra</w:t>
      </w:r>
      <w:r w:rsidRPr="00705F37">
        <w:t>, 192</w:t>
      </w:r>
      <w:r w:rsidRPr="00705F37" w:rsidR="001244B8">
        <w:t> </w:t>
      </w:r>
      <w:r w:rsidRPr="00705F37">
        <w:t>Cal.App.4th at p.</w:t>
      </w:r>
      <w:r w:rsidRPr="00705F37" w:rsidR="001244B8">
        <w:t> </w:t>
      </w:r>
      <w:r w:rsidRPr="00705F37">
        <w:t>956.)</w:t>
      </w:r>
      <w:r w:rsidRPr="00705F37" w:rsidR="002B4B0F">
        <w:t xml:space="preserve">  </w:t>
      </w:r>
      <w:r w:rsidRPr="009474B0">
        <w:t>The ABA Report contained a model statute intended “to broaden substantially the coverage of many state laws.”  (</w:t>
      </w:r>
      <w:r w:rsidRPr="009474B0" w:rsidR="00EC3BCB">
        <w:t>ABA Rep</w:t>
      </w:r>
      <w:r w:rsidRPr="008118B3" w:rsidR="009A59EA">
        <w:t>.</w:t>
      </w:r>
      <w:r w:rsidRPr="009474B0" w:rsidR="003A7F57">
        <w:t xml:space="preserve"> at</w:t>
      </w:r>
      <w:r w:rsidRPr="00705F37" w:rsidR="003A7F57">
        <w:t xml:space="preserve"> p.</w:t>
      </w:r>
      <w:r w:rsidR="0004532B">
        <w:t> </w:t>
      </w:r>
      <w:r w:rsidRPr="00705F37" w:rsidR="003A7F57">
        <w:t>8</w:t>
      </w:r>
      <w:r w:rsidRPr="00705F37">
        <w:t xml:space="preserve">; </w:t>
      </w:r>
      <w:r w:rsidRPr="00705F37" w:rsidR="002A025E">
        <w:t xml:space="preserve">see </w:t>
      </w:r>
      <w:r w:rsidRPr="00705F37">
        <w:rPr>
          <w:i/>
          <w:iCs/>
        </w:rPr>
        <w:t>Babalola</w:t>
      </w:r>
      <w:r w:rsidRPr="00705F37">
        <w:t>, at p.</w:t>
      </w:r>
      <w:r w:rsidRPr="00705F37" w:rsidR="00BB3308">
        <w:t> </w:t>
      </w:r>
      <w:r w:rsidRPr="00705F37">
        <w:t xml:space="preserve">956.)  </w:t>
      </w:r>
      <w:r w:rsidRPr="00705F37" w:rsidR="003A7F57">
        <w:t>One area identified for potential broadening was protection against dissuasion for victims who were not also witnesses.  (ABA Rep</w:t>
      </w:r>
      <w:r w:rsidR="009A59EA">
        <w:t>.</w:t>
      </w:r>
      <w:r w:rsidRPr="00705F37" w:rsidR="003A7F57">
        <w:t xml:space="preserve"> at p. 8 [“</w:t>
      </w:r>
      <w:r w:rsidRPr="005124D3" w:rsidR="003A7F57">
        <w:t>The addition of language proscribing the act of threatening someone not to report their victimization is an important advance, and is not clearly covered by existing statutes</w:t>
      </w:r>
      <w:r w:rsidRPr="00705F37" w:rsidR="003A7F57">
        <w:t xml:space="preserve">”].)  </w:t>
      </w:r>
      <w:r w:rsidRPr="00705F37">
        <w:t>The ABA’s “House of Delegates approved the recommendations in the report in August 1980.”  (</w:t>
      </w:r>
      <w:r w:rsidRPr="00705F37">
        <w:rPr>
          <w:i/>
          <w:iCs/>
        </w:rPr>
        <w:t>Babalola</w:t>
      </w:r>
      <w:r w:rsidRPr="00705F37">
        <w:t>, at p.</w:t>
      </w:r>
      <w:r w:rsidRPr="00705F37" w:rsidR="00EC6247">
        <w:t> </w:t>
      </w:r>
      <w:r w:rsidRPr="00705F37" w:rsidR="00CC098A">
        <w:t>956</w:t>
      </w:r>
      <w:r w:rsidRPr="00705F37">
        <w:t>, fn.</w:t>
      </w:r>
      <w:r w:rsidRPr="00705F37" w:rsidR="00BB3308">
        <w:t> </w:t>
      </w:r>
      <w:r w:rsidRPr="00705F37">
        <w:t>5.)</w:t>
      </w:r>
    </w:p>
    <w:p w:rsidR="008C6A52" w:rsidRPr="0085153E" w:rsidP="00705F37" w14:paraId="6C44BD82" w14:textId="77777777">
      <w:pPr>
        <w:tabs>
          <w:tab w:val="left" w:pos="1440"/>
        </w:tabs>
        <w:ind w:firstLine="720"/>
      </w:pPr>
      <w:r w:rsidRPr="0085153E">
        <w:t xml:space="preserve">Section 1 of the ABA model statute provided definitions for </w:t>
      </w:r>
      <w:r w:rsidRPr="0085153E" w:rsidR="00765A91">
        <w:t xml:space="preserve">various </w:t>
      </w:r>
      <w:r w:rsidRPr="0085153E" w:rsidR="00EC2912">
        <w:t xml:space="preserve">statutory </w:t>
      </w:r>
      <w:r w:rsidRPr="0085153E">
        <w:t>terms</w:t>
      </w:r>
      <w:r w:rsidRPr="0085153E" w:rsidR="00EC2912">
        <w:t xml:space="preserve">.  </w:t>
      </w:r>
      <w:r w:rsidRPr="0085153E">
        <w:t>(ABA Rep</w:t>
      </w:r>
      <w:r w:rsidRPr="0085153E" w:rsidR="009A59EA">
        <w:t>.</w:t>
      </w:r>
      <w:r w:rsidRPr="0085153E">
        <w:t xml:space="preserve">, </w:t>
      </w:r>
      <w:r w:rsidRPr="0085153E" w:rsidR="00204630">
        <w:rPr>
          <w:i/>
          <w:iCs/>
        </w:rPr>
        <w:t>supra</w:t>
      </w:r>
      <w:r w:rsidRPr="0085153E" w:rsidR="00204630">
        <w:t xml:space="preserve">, </w:t>
      </w:r>
      <w:r w:rsidRPr="0085153E">
        <w:t>at pp.</w:t>
      </w:r>
      <w:r w:rsidRPr="0085153E" w:rsidR="00BB3308">
        <w:t> </w:t>
      </w:r>
      <w:r w:rsidRPr="0085153E">
        <w:t>6</w:t>
      </w:r>
      <w:r w:rsidRPr="0085153E" w:rsidR="004E21BB">
        <w:t>–</w:t>
      </w:r>
      <w:r w:rsidRPr="0085153E">
        <w:t>7.)</w:t>
      </w:r>
    </w:p>
    <w:p w:rsidR="008C6A52" w:rsidRPr="008118B3" w:rsidP="00705F37" w14:paraId="6C44BD83" w14:textId="77777777">
      <w:pPr>
        <w:tabs>
          <w:tab w:val="left" w:pos="1440"/>
        </w:tabs>
        <w:ind w:firstLine="720"/>
        <w:rPr>
          <w:highlight w:val="yellow"/>
        </w:rPr>
      </w:pPr>
      <w:r w:rsidRPr="00B67524">
        <w:t>Section 2 of the model statute</w:t>
      </w:r>
      <w:r w:rsidRPr="00B67524" w:rsidR="00BB3308">
        <w:t> </w:t>
      </w:r>
      <w:r w:rsidRPr="00B67524">
        <w:t xml:space="preserve">— which would </w:t>
      </w:r>
      <w:r w:rsidRPr="00B67524" w:rsidR="00670917">
        <w:t xml:space="preserve">serve as the basis for </w:t>
      </w:r>
      <w:r w:rsidRPr="00B67524">
        <w:t>Penal Code section</w:t>
      </w:r>
      <w:r w:rsidRPr="00B67524" w:rsidR="00BB3308">
        <w:t> </w:t>
      </w:r>
      <w:r w:rsidRPr="00B67524">
        <w:t>136.1, subdivisions (a) and (b)</w:t>
      </w:r>
      <w:r w:rsidRPr="00B67524" w:rsidR="00BB3308">
        <w:t> </w:t>
      </w:r>
      <w:r w:rsidRPr="00B67524">
        <w:t>— established a misdemeanor offense for “knowingly and maliciously prevent[ing] or dissuad[ing] or attempt[ing] to so prevent or dissuade any witness or victim from attending or giving testimony at any trial . . . or</w:t>
      </w:r>
      <w:r w:rsidRPr="00B67524" w:rsidR="00C64107">
        <w:t> . . .</w:t>
      </w:r>
      <w:r w:rsidRPr="00B67524">
        <w:t xml:space="preserve"> attempt[ing] to prevent or dissuade another person who has been the victim of a crime or who is a witness to a crime or a person acting on behalf of the victim of a crime from </w:t>
      </w:r>
      <w:r w:rsidRPr="00B67524" w:rsidR="005A1A3D">
        <w:t>(a)</w:t>
      </w:r>
      <w:r w:rsidRPr="00B67524" w:rsidR="00BB3308">
        <w:t> </w:t>
      </w:r>
      <w:r w:rsidRPr="00B67524">
        <w:t xml:space="preserve">making any report of such victimization to any peace officer or state or local or federal law enforcement officer or probation or parole or correctional officer or prosecuting agency or to any judge; </w:t>
      </w:r>
      <w:r w:rsidRPr="00B67524" w:rsidR="002705C6">
        <w:t>(</w:t>
      </w:r>
      <w:r w:rsidRPr="00B67524" w:rsidR="00C70FF1">
        <w:t>b</w:t>
      </w:r>
      <w:r w:rsidRPr="00B67524" w:rsidR="002705C6">
        <w:t>)</w:t>
      </w:r>
      <w:r w:rsidRPr="00B67524" w:rsidR="00BB3308">
        <w:t> </w:t>
      </w:r>
      <w:r w:rsidRPr="00B67524">
        <w:rPr>
          <w:i/>
          <w:iCs/>
        </w:rPr>
        <w:t>causing a complaint, indictment, information, probation or parole violation to be sought and prosecuted and assisting in the prosecution thereof</w:t>
      </w:r>
      <w:r w:rsidRPr="00B67524">
        <w:t xml:space="preserve">; </w:t>
      </w:r>
      <w:r w:rsidRPr="00005662" w:rsidR="002705C6">
        <w:t>(c)</w:t>
      </w:r>
      <w:r w:rsidRPr="00005662" w:rsidR="00BB3308">
        <w:t> </w:t>
      </w:r>
      <w:r w:rsidRPr="00005662">
        <w:t>arresting or causing or seeking the arrest of any person in connection with such victimization</w:t>
      </w:r>
      <w:r w:rsidRPr="00005662" w:rsidR="00CE252A">
        <w:t> . . . </w:t>
      </w:r>
      <w:r w:rsidRPr="00005662">
        <w:t>.”  (ABA Rep</w:t>
      </w:r>
      <w:r w:rsidRPr="008118B3" w:rsidR="00005662">
        <w:t>.</w:t>
      </w:r>
      <w:r w:rsidRPr="00005662">
        <w:t xml:space="preserve">, </w:t>
      </w:r>
      <w:r w:rsidRPr="00005662" w:rsidR="00204630">
        <w:rPr>
          <w:i/>
          <w:iCs/>
        </w:rPr>
        <w:t>supra</w:t>
      </w:r>
      <w:r w:rsidRPr="00005662" w:rsidR="00204630">
        <w:t xml:space="preserve">, </w:t>
      </w:r>
      <w:r w:rsidRPr="00005662">
        <w:t>at pp.</w:t>
      </w:r>
      <w:r w:rsidRPr="00005662" w:rsidR="00BB3308">
        <w:t> </w:t>
      </w:r>
      <w:r w:rsidRPr="00005662">
        <w:t>7</w:t>
      </w:r>
      <w:r w:rsidRPr="00005662" w:rsidR="00970BF0">
        <w:t>–</w:t>
      </w:r>
      <w:r w:rsidRPr="00005662">
        <w:t xml:space="preserve">8, italics </w:t>
      </w:r>
      <w:r w:rsidRPr="00005662" w:rsidR="00906A82">
        <w:t>added</w:t>
      </w:r>
      <w:r w:rsidRPr="00005662">
        <w:t>.)</w:t>
      </w:r>
    </w:p>
    <w:p w:rsidR="006F3240" w:rsidRPr="00705F37" w:rsidP="00705F37" w14:paraId="6C44BD84" w14:textId="77777777">
      <w:pPr>
        <w:tabs>
          <w:tab w:val="left" w:pos="1440"/>
        </w:tabs>
        <w:ind w:firstLine="720"/>
      </w:pPr>
      <w:r w:rsidRPr="006561DE">
        <w:t>Section 3 of the model statute made the conduct described in section</w:t>
      </w:r>
      <w:r w:rsidRPr="006561DE" w:rsidR="00BB3308">
        <w:t> </w:t>
      </w:r>
      <w:r w:rsidRPr="006561DE">
        <w:t xml:space="preserve">2 a felony if the conduct was </w:t>
      </w:r>
      <w:r w:rsidRPr="006561DE" w:rsidR="006944E0">
        <w:t xml:space="preserve">accompanied by certain aggravating factors.  </w:t>
      </w:r>
      <w:r w:rsidRPr="006561DE">
        <w:t>(ABA Rep</w:t>
      </w:r>
      <w:r w:rsidRPr="006413CA" w:rsidR="009A59EA">
        <w:t>.</w:t>
      </w:r>
      <w:r w:rsidRPr="006561DE">
        <w:t>,</w:t>
      </w:r>
      <w:r w:rsidRPr="006561DE" w:rsidR="00204630">
        <w:t xml:space="preserve"> </w:t>
      </w:r>
      <w:r w:rsidRPr="006561DE" w:rsidR="00204630">
        <w:rPr>
          <w:i/>
          <w:iCs/>
        </w:rPr>
        <w:t>supra</w:t>
      </w:r>
      <w:r w:rsidRPr="006561DE" w:rsidR="00204630">
        <w:t>,</w:t>
      </w:r>
      <w:r w:rsidRPr="006561DE">
        <w:t xml:space="preserve"> at pp.</w:t>
      </w:r>
      <w:r w:rsidRPr="006561DE" w:rsidR="00BB3308">
        <w:t> </w:t>
      </w:r>
      <w:r w:rsidRPr="006561DE">
        <w:t>8</w:t>
      </w:r>
      <w:r w:rsidRPr="006561DE" w:rsidR="00970BF0">
        <w:t>–</w:t>
      </w:r>
      <w:r w:rsidRPr="006561DE">
        <w:t>9.)</w:t>
      </w:r>
      <w:r w:rsidRPr="006561DE" w:rsidR="003B2A52">
        <w:t xml:space="preserve"> </w:t>
      </w:r>
      <w:r w:rsidRPr="00EB37EA" w:rsidR="003B2A52">
        <w:t xml:space="preserve"> </w:t>
      </w:r>
      <w:r w:rsidRPr="006561DE">
        <w:t xml:space="preserve">Section 4 </w:t>
      </w:r>
      <w:r w:rsidRPr="006561DE" w:rsidR="009E1245">
        <w:t xml:space="preserve">addressed attempted dissuasion.  </w:t>
      </w:r>
      <w:r w:rsidRPr="006561DE" w:rsidR="002705C6">
        <w:t>(</w:t>
      </w:r>
      <w:r w:rsidRPr="006561DE" w:rsidR="002705C6">
        <w:rPr>
          <w:i/>
          <w:iCs/>
          <w:szCs w:val="26"/>
        </w:rPr>
        <w:t>Id</w:t>
      </w:r>
      <w:r w:rsidRPr="006561DE" w:rsidR="002705C6">
        <w:rPr>
          <w:szCs w:val="26"/>
        </w:rPr>
        <w:t>. at p.</w:t>
      </w:r>
      <w:r w:rsidRPr="006561DE" w:rsidR="00BB3308">
        <w:rPr>
          <w:szCs w:val="26"/>
        </w:rPr>
        <w:t> </w:t>
      </w:r>
      <w:r w:rsidRPr="006561DE" w:rsidR="002705C6">
        <w:rPr>
          <w:szCs w:val="26"/>
        </w:rPr>
        <w:t xml:space="preserve">9.)  </w:t>
      </w:r>
      <w:r w:rsidRPr="006561DE" w:rsidR="00A722DF">
        <w:rPr>
          <w:szCs w:val="26"/>
        </w:rPr>
        <w:t>Sections</w:t>
      </w:r>
      <w:r w:rsidRPr="006561DE" w:rsidR="00BB3308">
        <w:rPr>
          <w:szCs w:val="26"/>
        </w:rPr>
        <w:t> </w:t>
      </w:r>
      <w:r w:rsidRPr="006561DE">
        <w:t>5</w:t>
      </w:r>
      <w:r w:rsidRPr="006561DE" w:rsidR="00A722DF">
        <w:t xml:space="preserve"> and </w:t>
      </w:r>
      <w:r w:rsidRPr="006561DE">
        <w:t>6 addressed protective orders</w:t>
      </w:r>
      <w:r w:rsidRPr="006561DE" w:rsidR="001F4E43">
        <w:t>.  (</w:t>
      </w:r>
      <w:r w:rsidRPr="006561DE" w:rsidR="001F4E43">
        <w:rPr>
          <w:i/>
          <w:iCs/>
          <w:szCs w:val="26"/>
        </w:rPr>
        <w:t>Id</w:t>
      </w:r>
      <w:r w:rsidRPr="006561DE" w:rsidR="001F4E43">
        <w:rPr>
          <w:szCs w:val="26"/>
        </w:rPr>
        <w:t>. at pp.</w:t>
      </w:r>
      <w:r w:rsidRPr="006561DE" w:rsidR="00BB3308">
        <w:rPr>
          <w:szCs w:val="26"/>
        </w:rPr>
        <w:t> </w:t>
      </w:r>
      <w:r w:rsidRPr="006561DE" w:rsidR="001F4E43">
        <w:rPr>
          <w:szCs w:val="26"/>
        </w:rPr>
        <w:t>9</w:t>
      </w:r>
      <w:r w:rsidRPr="006561DE" w:rsidR="00970BF0">
        <w:rPr>
          <w:szCs w:val="26"/>
        </w:rPr>
        <w:t>–</w:t>
      </w:r>
      <w:r w:rsidRPr="006561DE" w:rsidR="001F4E43">
        <w:rPr>
          <w:szCs w:val="26"/>
        </w:rPr>
        <w:t>11.)  And Section</w:t>
      </w:r>
      <w:r w:rsidRPr="006561DE" w:rsidR="00BB3308">
        <w:rPr>
          <w:szCs w:val="26"/>
        </w:rPr>
        <w:t> </w:t>
      </w:r>
      <w:r w:rsidRPr="006561DE" w:rsidR="001F4E43">
        <w:rPr>
          <w:szCs w:val="26"/>
        </w:rPr>
        <w:t>7</w:t>
      </w:r>
      <w:r w:rsidRPr="00705F37" w:rsidR="001F4E43">
        <w:rPr>
          <w:szCs w:val="26"/>
        </w:rPr>
        <w:t xml:space="preserve"> addressed pretrial release.  (</w:t>
      </w:r>
      <w:r w:rsidRPr="00705F37" w:rsidR="001F4E43">
        <w:rPr>
          <w:i/>
          <w:iCs/>
          <w:szCs w:val="26"/>
        </w:rPr>
        <w:t>Id</w:t>
      </w:r>
      <w:r w:rsidRPr="00705F37" w:rsidR="001F4E43">
        <w:rPr>
          <w:szCs w:val="26"/>
        </w:rPr>
        <w:t>. at p.</w:t>
      </w:r>
      <w:r w:rsidRPr="00705F37" w:rsidR="00CC551B">
        <w:rPr>
          <w:szCs w:val="26"/>
        </w:rPr>
        <w:t> </w:t>
      </w:r>
      <w:r w:rsidRPr="00705F37" w:rsidR="00906A82">
        <w:rPr>
          <w:szCs w:val="26"/>
        </w:rPr>
        <w:t>12</w:t>
      </w:r>
      <w:r w:rsidRPr="00705F37" w:rsidR="001F4E43">
        <w:rPr>
          <w:szCs w:val="26"/>
        </w:rPr>
        <w:t>.)</w:t>
      </w:r>
    </w:p>
    <w:p w:rsidR="006F3240" w:rsidRPr="00705F37" w:rsidP="006C506B" w14:paraId="6C44BD85" w14:textId="77777777">
      <w:pPr>
        <w:pStyle w:val="Heading4"/>
        <w:rPr>
          <w:b/>
          <w:bCs/>
          <w:iCs/>
        </w:rPr>
      </w:pPr>
      <w:r w:rsidRPr="00705F37">
        <w:t xml:space="preserve">The Legislature </w:t>
      </w:r>
      <w:r w:rsidRPr="00705F37" w:rsidR="003445C6">
        <w:t>a</w:t>
      </w:r>
      <w:r w:rsidRPr="00705F37">
        <w:t xml:space="preserve">dopts the ABA </w:t>
      </w:r>
      <w:r w:rsidRPr="00705F37" w:rsidR="003445C6">
        <w:t>m</w:t>
      </w:r>
      <w:r w:rsidRPr="00705F37">
        <w:t xml:space="preserve">odel </w:t>
      </w:r>
      <w:r w:rsidRPr="00705F37" w:rsidR="003445C6">
        <w:t>s</w:t>
      </w:r>
      <w:r w:rsidRPr="00705F37">
        <w:t>tatute</w:t>
      </w:r>
    </w:p>
    <w:p w:rsidR="00B2024E" w:rsidRPr="00705F37" w:rsidP="00705F37" w14:paraId="6C44BD86" w14:textId="77777777">
      <w:pPr>
        <w:tabs>
          <w:tab w:val="left" w:pos="1440"/>
        </w:tabs>
        <w:ind w:firstLine="720"/>
      </w:pPr>
      <w:r w:rsidRPr="006F4096">
        <w:t xml:space="preserve">In 1980, </w:t>
      </w:r>
      <w:bookmarkStart w:id="4" w:name="_Hlk160197394"/>
      <w:bookmarkStart w:id="5" w:name="_Hlk159910604"/>
      <w:r w:rsidRPr="006F4096">
        <w:t xml:space="preserve">Assembly Bill No. 2909 </w:t>
      </w:r>
      <w:r w:rsidRPr="006F4096" w:rsidR="00163517">
        <w:t xml:space="preserve">(1979–1980 Reg. Sess.) </w:t>
      </w:r>
      <w:bookmarkEnd w:id="4"/>
      <w:r w:rsidRPr="006F4096" w:rsidR="00163517">
        <w:t xml:space="preserve">(Assembly Bill No. 2909) </w:t>
      </w:r>
      <w:bookmarkEnd w:id="5"/>
      <w:r w:rsidRPr="006F4096" w:rsidR="00FC3FCE">
        <w:t>was introduced in the Legislature</w:t>
      </w:r>
      <w:r w:rsidRPr="006F4096">
        <w:t xml:space="preserve"> “to pattern the California witness intimidation statute” after the ABA model statute.  (Assem. Com. on Crim</w:t>
      </w:r>
      <w:r w:rsidRPr="006F4096" w:rsidR="00CF36CC">
        <w:t>.</w:t>
      </w:r>
      <w:r w:rsidRPr="006F4096">
        <w:t xml:space="preserve"> Justice, Analysis of Assem. Bill No. 2909 (1979–1980 Reg. Sess.) </w:t>
      </w:r>
      <w:r w:rsidRPr="006F4096" w:rsidR="00556D47">
        <w:t>as introduced Mar.</w:t>
      </w:r>
      <w:r w:rsidRPr="006F4096" w:rsidR="00BB3308">
        <w:t> </w:t>
      </w:r>
      <w:r w:rsidRPr="006F4096" w:rsidR="00556D47">
        <w:t>6</w:t>
      </w:r>
      <w:r w:rsidRPr="006F4096">
        <w:t>, 1980, p.</w:t>
      </w:r>
      <w:r w:rsidRPr="006F4096" w:rsidR="00BB3308">
        <w:t> </w:t>
      </w:r>
      <w:r w:rsidRPr="006F4096">
        <w:t xml:space="preserve">2; see Sen. Com. on Judiciary, </w:t>
      </w:r>
      <w:r w:rsidRPr="006F4096" w:rsidR="00556D47">
        <w:t>Analysis of Assem.</w:t>
      </w:r>
      <w:r w:rsidRPr="006F4096">
        <w:t xml:space="preserve"> Bill No. 2909 (1979–1980 Reg. Sess.) as amended Apr.</w:t>
      </w:r>
      <w:r w:rsidRPr="006F4096" w:rsidR="00BB3308">
        <w:t> </w:t>
      </w:r>
      <w:r w:rsidRPr="006F4096">
        <w:t>9, 1980, pp.</w:t>
      </w:r>
      <w:r w:rsidRPr="006F4096" w:rsidR="00BB3308">
        <w:t> </w:t>
      </w:r>
      <w:r w:rsidRPr="006F4096">
        <w:t>1–2 [</w:t>
      </w:r>
      <w:r w:rsidRPr="006F4096" w:rsidR="004C33C2">
        <w:t>Assem</w:t>
      </w:r>
      <w:r w:rsidRPr="006F4096" w:rsidR="005D4FD1">
        <w:t>.</w:t>
      </w:r>
      <w:r w:rsidRPr="006F4096" w:rsidR="004C33C2">
        <w:t xml:space="preserve"> Bill No. 2909</w:t>
      </w:r>
      <w:r w:rsidRPr="006F4096">
        <w:t xml:space="preserve"> “would enact a new intimidation of witnesses and victims law patterned after the Model Statute drafted by the ABA Section on Criminal Justice”]; </w:t>
      </w:r>
      <w:bookmarkStart w:id="6" w:name="_Hlk159910686"/>
      <w:r w:rsidRPr="006F4096">
        <w:rPr>
          <w:i/>
          <w:iCs/>
        </w:rPr>
        <w:t>People v. Wahidi</w:t>
      </w:r>
      <w:r w:rsidRPr="006F4096">
        <w:t xml:space="preserve"> (2013) 222</w:t>
      </w:r>
      <w:r w:rsidRPr="006F4096" w:rsidR="00BB3308">
        <w:t> </w:t>
      </w:r>
      <w:r w:rsidRPr="006F4096">
        <w:t>Cal.App.4th 802, 807</w:t>
      </w:r>
      <w:r w:rsidRPr="006F4096" w:rsidR="009F118F">
        <w:t>–</w:t>
      </w:r>
      <w:r w:rsidRPr="006F4096">
        <w:t>808 (</w:t>
      </w:r>
      <w:r w:rsidRPr="006F4096">
        <w:rPr>
          <w:i/>
          <w:iCs/>
        </w:rPr>
        <w:t>Wahidi</w:t>
      </w:r>
      <w:r w:rsidRPr="006F4096">
        <w:t>)</w:t>
      </w:r>
      <w:bookmarkEnd w:id="6"/>
      <w:r w:rsidRPr="006F4096">
        <w:t xml:space="preserve">; </w:t>
      </w:r>
      <w:r w:rsidRPr="006F4096">
        <w:rPr>
          <w:i/>
          <w:iCs/>
        </w:rPr>
        <w:t>Babalola</w:t>
      </w:r>
      <w:r w:rsidRPr="006F4096">
        <w:t xml:space="preserve">, </w:t>
      </w:r>
      <w:r w:rsidRPr="006F4096">
        <w:rPr>
          <w:i/>
          <w:iCs/>
        </w:rPr>
        <w:t>supra</w:t>
      </w:r>
      <w:r w:rsidRPr="006F4096">
        <w:t>, 192</w:t>
      </w:r>
      <w:r w:rsidRPr="006F4096" w:rsidR="00BB3308">
        <w:t> </w:t>
      </w:r>
      <w:r w:rsidRPr="006F4096">
        <w:t>Cal.App.4th at p.</w:t>
      </w:r>
      <w:r w:rsidRPr="006F4096" w:rsidR="00BB3308">
        <w:t> </w:t>
      </w:r>
      <w:r w:rsidRPr="006F4096">
        <w:t>956.)</w:t>
      </w:r>
      <w:r w:rsidRPr="006F4096" w:rsidR="008208D2">
        <w:t xml:space="preserve">  </w:t>
      </w:r>
      <w:r w:rsidRPr="006F4096">
        <w:t xml:space="preserve">The ABA Report </w:t>
      </w:r>
      <w:r w:rsidRPr="006F4096" w:rsidR="00751305">
        <w:t xml:space="preserve">was </w:t>
      </w:r>
      <w:r w:rsidRPr="006F4096" w:rsidR="004C33C2">
        <w:t xml:space="preserve">referenced </w:t>
      </w:r>
      <w:r w:rsidRPr="006F4096" w:rsidR="00751305">
        <w:t>in</w:t>
      </w:r>
      <w:r w:rsidRPr="006F4096" w:rsidR="00033115">
        <w:t xml:space="preserve"> </w:t>
      </w:r>
      <w:r w:rsidRPr="006F4096" w:rsidR="005E14D2">
        <w:t xml:space="preserve">Assembly and Senate </w:t>
      </w:r>
      <w:r w:rsidRPr="006F4096" w:rsidR="0087180D">
        <w:t xml:space="preserve">committee </w:t>
      </w:r>
      <w:r w:rsidRPr="006F4096" w:rsidR="00033115">
        <w:t>analyses, and relevant portions were attached to an Assembly analysis</w:t>
      </w:r>
      <w:r w:rsidRPr="006F4096" w:rsidR="0087180D">
        <w:t>.  (</w:t>
      </w:r>
      <w:r w:rsidRPr="006F4096" w:rsidR="00CF36CC">
        <w:t xml:space="preserve">Sen. Com. on Judiciary, </w:t>
      </w:r>
      <w:r w:rsidRPr="006F4096" w:rsidR="00556D47">
        <w:t>Analysis of Assem.</w:t>
      </w:r>
      <w:r w:rsidRPr="006F4096" w:rsidR="00CF36CC">
        <w:t xml:space="preserve"> Bill No. 2909, </w:t>
      </w:r>
      <w:r w:rsidRPr="006F4096" w:rsidR="00CF36CC">
        <w:rPr>
          <w:i/>
          <w:iCs/>
          <w:szCs w:val="26"/>
        </w:rPr>
        <w:t>supra</w:t>
      </w:r>
      <w:r w:rsidRPr="006F4096" w:rsidR="00CF36CC">
        <w:t>,</w:t>
      </w:r>
      <w:r w:rsidRPr="006F4096" w:rsidR="002D543E">
        <w:t xml:space="preserve"> </w:t>
      </w:r>
      <w:r w:rsidRPr="006F4096" w:rsidR="005D179A">
        <w:t>at</w:t>
      </w:r>
      <w:r w:rsidRPr="006F4096" w:rsidR="00556D47">
        <w:t xml:space="preserve"> </w:t>
      </w:r>
      <w:r w:rsidRPr="006F4096" w:rsidR="00CF36CC">
        <w:t>pp.</w:t>
      </w:r>
      <w:r w:rsidRPr="006F4096" w:rsidR="00BB3308">
        <w:t> </w:t>
      </w:r>
      <w:r w:rsidRPr="006F4096" w:rsidR="00CF36CC">
        <w:t xml:space="preserve">1–2; Assem. Com. on Crim. Justice, Analysis of Assem. Bill No. 2909, </w:t>
      </w:r>
      <w:r w:rsidRPr="006F4096" w:rsidR="00CF36CC">
        <w:rPr>
          <w:i/>
          <w:iCs/>
          <w:szCs w:val="26"/>
        </w:rPr>
        <w:t>supra</w:t>
      </w:r>
      <w:r w:rsidRPr="006F4096" w:rsidR="00CF36CC">
        <w:t>,</w:t>
      </w:r>
      <w:r w:rsidRPr="006F4096" w:rsidR="00556D47">
        <w:t xml:space="preserve"> </w:t>
      </w:r>
      <w:r w:rsidRPr="006F4096" w:rsidR="00334236">
        <w:t>at</w:t>
      </w:r>
      <w:r w:rsidRPr="006F4096" w:rsidR="00CF36CC">
        <w:t xml:space="preserve"> pp.</w:t>
      </w:r>
      <w:r w:rsidRPr="006F4096" w:rsidR="00BB3308">
        <w:t> </w:t>
      </w:r>
      <w:r w:rsidRPr="006F4096" w:rsidR="00CF36CC">
        <w:t>2, 5–10.</w:t>
      </w:r>
      <w:r w:rsidRPr="006F4096" w:rsidR="00FD3EE3">
        <w:t>)</w:t>
      </w:r>
      <w:r w:rsidRPr="006F4096" w:rsidR="00580361">
        <w:t xml:space="preserve">  As </w:t>
      </w:r>
      <w:r w:rsidRPr="006F4096" w:rsidR="00331722">
        <w:t>with</w:t>
      </w:r>
      <w:r w:rsidRPr="006F4096" w:rsidR="00580361">
        <w:t xml:space="preserve"> the ABA</w:t>
      </w:r>
      <w:r w:rsidRPr="006F4096" w:rsidR="005A52E7">
        <w:t xml:space="preserve"> Report, the Legislature observed that existing </w:t>
      </w:r>
      <w:r w:rsidRPr="006F4096" w:rsidR="001320B8">
        <w:t xml:space="preserve">California </w:t>
      </w:r>
      <w:r w:rsidRPr="006F4096" w:rsidR="005A52E7">
        <w:t>law made no provision “</w:t>
      </w:r>
      <w:r w:rsidRPr="006F4096" w:rsidR="003C295E">
        <w:t xml:space="preserve">for the intimidation of victims unless they are also witnesses or potential witnesses.”  </w:t>
      </w:r>
      <w:bookmarkStart w:id="7" w:name="_Hlk160224046"/>
      <w:r w:rsidRPr="006F4096" w:rsidR="00B34A7A">
        <w:t xml:space="preserve">(Assem. Off. of Research, 3d reading analysis of </w:t>
      </w:r>
      <w:bookmarkStart w:id="8" w:name="_Hlk160196676"/>
      <w:r w:rsidRPr="006F4096" w:rsidR="00B34A7A">
        <w:t xml:space="preserve">Assem. Bill No. 2909 (1979–1980 Reg. Sess.) </w:t>
      </w:r>
      <w:bookmarkEnd w:id="8"/>
      <w:r w:rsidRPr="006F4096" w:rsidR="00B34A7A">
        <w:t>as amended Apr. 16, 1980, p. 1.)</w:t>
      </w:r>
    </w:p>
    <w:bookmarkEnd w:id="7"/>
    <w:p w:rsidR="00BF68C2" w:rsidRPr="00705F37" w:rsidP="00705F37" w14:paraId="6C44BD87" w14:textId="77777777">
      <w:pPr>
        <w:tabs>
          <w:tab w:val="left" w:pos="1440"/>
        </w:tabs>
        <w:ind w:firstLine="720"/>
      </w:pPr>
      <w:r w:rsidRPr="00705F37">
        <w:t xml:space="preserve">As initially introduced, </w:t>
      </w:r>
      <w:r w:rsidRPr="00705F37" w:rsidR="004C33C2">
        <w:t>Assembly Bill No. 2909</w:t>
      </w:r>
      <w:r w:rsidRPr="00705F37">
        <w:t xml:space="preserve"> proposed to repeal </w:t>
      </w:r>
      <w:r w:rsidRPr="00705F37" w:rsidR="005E14D2">
        <w:t xml:space="preserve">former </w:t>
      </w:r>
      <w:r w:rsidRPr="00705F37">
        <w:t>section</w:t>
      </w:r>
      <w:r w:rsidRPr="00705F37" w:rsidR="00CC551B">
        <w:t> </w:t>
      </w:r>
      <w:r w:rsidRPr="00705F37">
        <w:t xml:space="preserve">136 and replace it with a new section 136 implementing sections 1 through 4 of the ABA model statute nearly verbatim.  (Compare </w:t>
      </w:r>
      <w:r w:rsidRPr="00705F37" w:rsidR="00CF36CC">
        <w:t>Assem. Bill No. 2909</w:t>
      </w:r>
      <w:r w:rsidRPr="00705F37" w:rsidR="00AF0F22">
        <w:t xml:space="preserve">, </w:t>
      </w:r>
      <w:r w:rsidRPr="00705F37" w:rsidR="00AF0F22">
        <w:rPr>
          <w:i/>
          <w:iCs/>
        </w:rPr>
        <w:t>supra</w:t>
      </w:r>
      <w:r w:rsidRPr="00705F37" w:rsidR="00AF0F22">
        <w:t>,</w:t>
      </w:r>
      <w:r w:rsidRPr="00705F37" w:rsidR="00CF36CC">
        <w:t xml:space="preserve"> as introduced Mar.</w:t>
      </w:r>
      <w:r w:rsidRPr="00705F37" w:rsidR="006A754D">
        <w:t> </w:t>
      </w:r>
      <w:r w:rsidRPr="00705F37" w:rsidR="00CF36CC">
        <w:t>6, 1980,</w:t>
      </w:r>
      <w:r w:rsidRPr="00705F37">
        <w:t xml:space="preserve"> with ABA Rep</w:t>
      </w:r>
      <w:r w:rsidR="00AE3695">
        <w:t>.</w:t>
      </w:r>
      <w:r w:rsidRPr="00705F37">
        <w:t>,</w:t>
      </w:r>
      <w:r w:rsidRPr="00705F37" w:rsidR="00204630">
        <w:t xml:space="preserve"> </w:t>
      </w:r>
      <w:r w:rsidRPr="00705F37" w:rsidR="00204630">
        <w:rPr>
          <w:i/>
          <w:iCs/>
        </w:rPr>
        <w:t>supra</w:t>
      </w:r>
      <w:r w:rsidRPr="00705F37" w:rsidR="00204630">
        <w:t>,</w:t>
      </w:r>
      <w:r w:rsidRPr="00705F37">
        <w:t xml:space="preserve"> at pp.</w:t>
      </w:r>
      <w:r w:rsidRPr="00705F37" w:rsidR="006A754D">
        <w:t> </w:t>
      </w:r>
      <w:r w:rsidRPr="00705F37">
        <w:t>6</w:t>
      </w:r>
      <w:r w:rsidRPr="00705F37" w:rsidR="009F118F">
        <w:t>–</w:t>
      </w:r>
      <w:r w:rsidRPr="00705F37">
        <w:t>9.)</w:t>
      </w:r>
      <w:r w:rsidRPr="00705F37" w:rsidR="00D34568">
        <w:t xml:space="preserve">  </w:t>
      </w:r>
      <w:r w:rsidRPr="00705F37" w:rsidR="009023B9">
        <w:t xml:space="preserve">The Legislative </w:t>
      </w:r>
      <w:r w:rsidRPr="00705F37" w:rsidR="00640AEB">
        <w:t xml:space="preserve">Counsel’s Digest </w:t>
      </w:r>
      <w:r w:rsidRPr="00705F37" w:rsidR="002F27ED">
        <w:t xml:space="preserve">that prefaced </w:t>
      </w:r>
      <w:r w:rsidRPr="00705F37" w:rsidR="004C33C2">
        <w:t>Assembly Bill No.</w:t>
      </w:r>
      <w:r w:rsidRPr="00705F37" w:rsidR="006A754D">
        <w:t> </w:t>
      </w:r>
      <w:r w:rsidRPr="00705F37" w:rsidR="004C33C2">
        <w:t>2909</w:t>
      </w:r>
      <w:r w:rsidRPr="00705F37" w:rsidR="002F27ED">
        <w:t xml:space="preserve"> when introduced </w:t>
      </w:r>
      <w:r w:rsidRPr="00705F37" w:rsidR="000564DF">
        <w:t xml:space="preserve">characterized the portion of the bill that would </w:t>
      </w:r>
      <w:r w:rsidRPr="00705F37" w:rsidR="005C7ADE">
        <w:t xml:space="preserve">eventually </w:t>
      </w:r>
      <w:r w:rsidRPr="00705F37" w:rsidR="000564DF">
        <w:t>become section</w:t>
      </w:r>
      <w:r w:rsidRPr="00705F37" w:rsidR="006A754D">
        <w:t> </w:t>
      </w:r>
      <w:r w:rsidRPr="00705F37" w:rsidR="000564DF">
        <w:t>136.1, subdivision</w:t>
      </w:r>
      <w:r w:rsidRPr="00705F37" w:rsidR="006A754D">
        <w:t> </w:t>
      </w:r>
      <w:r w:rsidRPr="00705F37" w:rsidR="000564DF">
        <w:t xml:space="preserve">(b) as </w:t>
      </w:r>
      <w:r w:rsidRPr="00705F37">
        <w:t>prohibiting the dissua</w:t>
      </w:r>
      <w:r w:rsidRPr="00705F37" w:rsidR="00AF0F22">
        <w:t>sion</w:t>
      </w:r>
      <w:r w:rsidRPr="00705F37">
        <w:t xml:space="preserve"> of a victim or witness “from performing specified acts relating to assisting law enforcement or prosecution activities.”</w:t>
      </w:r>
      <w:r>
        <w:rPr>
          <w:rStyle w:val="FootnoteReference"/>
        </w:rPr>
        <w:footnoteReference w:id="14"/>
      </w:r>
      <w:r w:rsidRPr="00705F37">
        <w:t xml:space="preserve">  </w:t>
      </w:r>
      <w:bookmarkStart w:id="10" w:name="_Hlk139290870"/>
      <w:r w:rsidRPr="00705F37">
        <w:t>(Legis. Counsel’s Dig., Assem. Bill No. 2909 (1979</w:t>
      </w:r>
      <w:r w:rsidRPr="00705F37" w:rsidR="009F118F">
        <w:t>–</w:t>
      </w:r>
      <w:r w:rsidRPr="00705F37">
        <w:t>1980 Reg. Sess.) as introduced Mar.</w:t>
      </w:r>
      <w:r w:rsidRPr="00705F37" w:rsidR="006A754D">
        <w:t> </w:t>
      </w:r>
      <w:r w:rsidRPr="00705F37">
        <w:t>6, 1980, p. 1</w:t>
      </w:r>
      <w:r w:rsidRPr="00705F37" w:rsidR="00F251C8">
        <w:t>.</w:t>
      </w:r>
      <w:r w:rsidRPr="00705F37" w:rsidR="005C7ADE">
        <w:t>)</w:t>
      </w:r>
      <w:bookmarkEnd w:id="10"/>
      <w:r w:rsidRPr="00705F37" w:rsidR="002A268E">
        <w:t xml:space="preserve">  </w:t>
      </w:r>
    </w:p>
    <w:p w:rsidR="006F3240" w:rsidRPr="00705F37" w:rsidP="00705F37" w14:paraId="6C44BD88" w14:textId="77777777">
      <w:pPr>
        <w:tabs>
          <w:tab w:val="left" w:pos="1440"/>
        </w:tabs>
        <w:ind w:firstLine="720"/>
      </w:pPr>
      <w:r w:rsidRPr="00705F37">
        <w:t xml:space="preserve">After the Assembly passed </w:t>
      </w:r>
      <w:r w:rsidRPr="00705F37" w:rsidR="004C33C2">
        <w:t>Assembly Bill No. 2909</w:t>
      </w:r>
      <w:r w:rsidRPr="00705F37">
        <w:t>, the Senate Committee on</w:t>
      </w:r>
      <w:r w:rsidR="00AA1A23">
        <w:t xml:space="preserve"> the</w:t>
      </w:r>
      <w:r w:rsidRPr="00705F37">
        <w:t xml:space="preserve"> Judiciary observed in its </w:t>
      </w:r>
      <w:r w:rsidRPr="00705F37" w:rsidR="003658EA">
        <w:t xml:space="preserve">analysis of </w:t>
      </w:r>
      <w:r w:rsidRPr="00705F37">
        <w:t>the bill</w:t>
      </w:r>
      <w:r w:rsidRPr="00705F37" w:rsidR="006A754D">
        <w:t> </w:t>
      </w:r>
      <w:r w:rsidRPr="00705F37">
        <w:t>— under the heading “</w:t>
      </w:r>
      <w:r w:rsidRPr="00705F37">
        <w:rPr>
          <w:u w:val="single"/>
        </w:rPr>
        <w:t>Redrafting</w:t>
      </w:r>
      <w:r w:rsidRPr="00705F37">
        <w:t xml:space="preserve"> </w:t>
      </w:r>
      <w:r w:rsidRPr="00705F37">
        <w:rPr>
          <w:u w:val="single"/>
        </w:rPr>
        <w:t>necessary</w:t>
      </w:r>
      <w:r w:rsidRPr="00705F37">
        <w:t>”</w:t>
      </w:r>
      <w:r w:rsidRPr="00705F37" w:rsidR="006A754D">
        <w:t> </w:t>
      </w:r>
      <w:r w:rsidRPr="00705F37">
        <w:t xml:space="preserve">— that because </w:t>
      </w:r>
      <w:r w:rsidRPr="00705F37" w:rsidR="00EC2912">
        <w:t>the bill</w:t>
      </w:r>
      <w:r w:rsidRPr="00705F37">
        <w:t xml:space="preserve"> was based on the ABA’s “</w:t>
      </w:r>
      <w:r w:rsidRPr="00705F37">
        <w:rPr>
          <w:u w:val="single"/>
        </w:rPr>
        <w:t>draft</w:t>
      </w:r>
      <w:r w:rsidRPr="00705F37">
        <w:t xml:space="preserve"> model intimidation statute</w:t>
      </w:r>
      <w:r w:rsidR="005D4FD1">
        <w:t>[,]</w:t>
      </w:r>
      <w:r w:rsidRPr="00705F37">
        <w:t> . . . it has numerous rough edges and the quality of language is far worse than that produced by our Legislative Counsel.  [¶</w:t>
      </w:r>
      <w:r w:rsidRPr="00705F37" w:rsidR="005E14D2">
        <w:t>]</w:t>
      </w:r>
      <w:r w:rsidRPr="00705F37">
        <w:t xml:space="preserve">  The syntax is cumbersome and the sentences extremely lengthy</w:t>
      </w:r>
      <w:bookmarkStart w:id="11" w:name="_Hlk139290884"/>
      <w:r w:rsidRPr="00705F37">
        <w:t xml:space="preserve">.”  (Sen. Com. on Judiciary, </w:t>
      </w:r>
      <w:r w:rsidRPr="00705F37" w:rsidR="00556D47">
        <w:t>Analysis of Assem.</w:t>
      </w:r>
      <w:r w:rsidRPr="00705F37">
        <w:t xml:space="preserve"> Bill No. 2909</w:t>
      </w:r>
      <w:r w:rsidRPr="00705F37" w:rsidR="004C33C2">
        <w:t xml:space="preserve">, </w:t>
      </w:r>
      <w:r w:rsidRPr="00705F37" w:rsidR="004C33C2">
        <w:rPr>
          <w:i/>
          <w:iCs/>
          <w:szCs w:val="26"/>
        </w:rPr>
        <w:t>supra</w:t>
      </w:r>
      <w:r w:rsidRPr="00705F37">
        <w:t xml:space="preserve">, </w:t>
      </w:r>
      <w:r w:rsidRPr="00705F37" w:rsidR="00556D47">
        <w:t>as amended Apr.</w:t>
      </w:r>
      <w:r w:rsidRPr="00705F37" w:rsidR="006A754D">
        <w:t> </w:t>
      </w:r>
      <w:r w:rsidRPr="00705F37" w:rsidR="00556D47">
        <w:t xml:space="preserve">9, 1980, </w:t>
      </w:r>
      <w:r w:rsidRPr="00705F37">
        <w:t>p.</w:t>
      </w:r>
      <w:r w:rsidRPr="00705F37" w:rsidR="006A754D">
        <w:t> </w:t>
      </w:r>
      <w:r w:rsidRPr="00705F37">
        <w:t>5</w:t>
      </w:r>
      <w:bookmarkEnd w:id="11"/>
      <w:r w:rsidRPr="00705F37" w:rsidR="003658EA">
        <w:t>.</w:t>
      </w:r>
      <w:r w:rsidRPr="00705F37">
        <w:t xml:space="preserve">)  As an example, the </w:t>
      </w:r>
      <w:r w:rsidRPr="00705F37" w:rsidR="008A01CA">
        <w:t xml:space="preserve">committee </w:t>
      </w:r>
      <w:r w:rsidRPr="00705F37" w:rsidR="00A54EAF">
        <w:t>analysis</w:t>
      </w:r>
      <w:r w:rsidRPr="00705F37">
        <w:t xml:space="preserve"> cited the fact that </w:t>
      </w:r>
      <w:r w:rsidRPr="00705F37" w:rsidR="004C33C2">
        <w:t>Assembly Bill No. 2909</w:t>
      </w:r>
      <w:r w:rsidRPr="00705F37">
        <w:t>’s implementation of section</w:t>
      </w:r>
      <w:r w:rsidRPr="00705F37" w:rsidR="006A754D">
        <w:t> </w:t>
      </w:r>
      <w:r w:rsidRPr="00705F37">
        <w:t>2 of the model statute “contains a single sentence of 17 lines and 150 words.”  (</w:t>
      </w:r>
      <w:r w:rsidRPr="00705F37" w:rsidR="00655DC0">
        <w:t xml:space="preserve">Sen. Com. on Judiciary, </w:t>
      </w:r>
      <w:r w:rsidR="00655DC0">
        <w:t>at p. 5.</w:t>
      </w:r>
      <w:r w:rsidRPr="00705F37">
        <w:t xml:space="preserve">)  The </w:t>
      </w:r>
      <w:r w:rsidRPr="00705F37" w:rsidR="00A54EAF">
        <w:t xml:space="preserve">analysis </w:t>
      </w:r>
      <w:r w:rsidRPr="00705F37" w:rsidR="00797784">
        <w:t>suggested</w:t>
      </w:r>
      <w:r w:rsidRPr="00705F37">
        <w:t>, “At some point the bill should be cleaned-up and rewritten in order to smooth out such rough spots.”  (</w:t>
      </w:r>
      <w:r w:rsidRPr="00705F37">
        <w:rPr>
          <w:i/>
          <w:iCs/>
        </w:rPr>
        <w:t>Id</w:t>
      </w:r>
      <w:r w:rsidRPr="00705F37">
        <w:t>.</w:t>
      </w:r>
      <w:r w:rsidRPr="00705F37" w:rsidR="006A754D">
        <w:t xml:space="preserve"> </w:t>
      </w:r>
      <w:r w:rsidRPr="00705F37">
        <w:t>at p.</w:t>
      </w:r>
      <w:r w:rsidRPr="00705F37" w:rsidR="006A754D">
        <w:t> </w:t>
      </w:r>
      <w:r w:rsidRPr="00705F37" w:rsidR="00CF36CC">
        <w:t>6</w:t>
      </w:r>
      <w:r w:rsidRPr="00705F37" w:rsidR="00F251C8">
        <w:t>.</w:t>
      </w:r>
      <w:r w:rsidRPr="00705F37">
        <w:t>)</w:t>
      </w:r>
    </w:p>
    <w:p w:rsidR="00AD3C8C" w:rsidRPr="00705F37" w:rsidP="00705F37" w14:paraId="6C44BD89" w14:textId="77777777">
      <w:pPr>
        <w:tabs>
          <w:tab w:val="left" w:pos="1440"/>
        </w:tabs>
        <w:ind w:firstLine="720"/>
      </w:pPr>
      <w:r w:rsidRPr="00705F37">
        <w:t xml:space="preserve">The Senate amended </w:t>
      </w:r>
      <w:r w:rsidRPr="00705F37" w:rsidR="004C33C2">
        <w:t>Assembly Bill No. 2909</w:t>
      </w:r>
      <w:r w:rsidRPr="00705F37">
        <w:t xml:space="preserve"> by</w:t>
      </w:r>
      <w:r w:rsidRPr="00705F37" w:rsidR="006976AD">
        <w:t>, among other things,</w:t>
      </w:r>
      <w:r w:rsidRPr="00705F37">
        <w:t xml:space="preserve"> keeping the definitions (section 1 of the model statute) in section 136</w:t>
      </w:r>
      <w:r w:rsidRPr="00705F37" w:rsidR="00121FF0">
        <w:t xml:space="preserve">, and </w:t>
      </w:r>
      <w:r w:rsidRPr="00705F37">
        <w:t>moving the misdemeanor, felony, and attempt provisions (sections 2, 3, and 4 of the model statute</w:t>
      </w:r>
      <w:r w:rsidRPr="00705F37" w:rsidR="000B668D">
        <w:t>, respectively</w:t>
      </w:r>
      <w:r w:rsidRPr="00705F37">
        <w:t>) to a new section</w:t>
      </w:r>
      <w:r w:rsidRPr="00705F37" w:rsidR="00C533BE">
        <w:t> </w:t>
      </w:r>
      <w:r w:rsidRPr="00705F37">
        <w:t>136.1.  (</w:t>
      </w:r>
      <w:r w:rsidRPr="00705F37" w:rsidR="006B27AB">
        <w:t>Sen. Amend. to Assem. Bill No. 2909 (1979–1980 Reg. Sess.) June</w:t>
      </w:r>
      <w:r w:rsidRPr="00705F37" w:rsidR="006A754D">
        <w:t> </w:t>
      </w:r>
      <w:r w:rsidRPr="00705F37" w:rsidR="006B27AB">
        <w:t>18, 1980; Sen. Amend. to Assem. Bill No.</w:t>
      </w:r>
      <w:r w:rsidRPr="00705F37" w:rsidR="006A754D">
        <w:t> </w:t>
      </w:r>
      <w:r w:rsidRPr="00705F37" w:rsidR="006B27AB">
        <w:t>2909 (1979–1980 Reg. Sess.) July</w:t>
      </w:r>
      <w:r w:rsidRPr="00705F37" w:rsidR="00C533BE">
        <w:t> </w:t>
      </w:r>
      <w:r w:rsidRPr="00705F37" w:rsidR="006B27AB">
        <w:t>1, 1980</w:t>
      </w:r>
      <w:r w:rsidRPr="00705F37" w:rsidR="00E603B7">
        <w:t>.</w:t>
      </w:r>
      <w:r w:rsidRPr="00705F37">
        <w:t xml:space="preserve">)  </w:t>
      </w:r>
      <w:r w:rsidRPr="00705F37" w:rsidR="00EA4E14">
        <w:t xml:space="preserve">During this process, and without explanation, the </w:t>
      </w:r>
      <w:r w:rsidRPr="00705F37">
        <w:t xml:space="preserve">Senate </w:t>
      </w:r>
      <w:r w:rsidRPr="00705F37" w:rsidR="00EA4E14">
        <w:t>also inserted a comma immediately before the connecting “and.”</w:t>
      </w:r>
      <w:r w:rsidRPr="00705F37" w:rsidR="006850CF">
        <w:t xml:space="preserve">  (Sen. Amend. to Assem. Bill No. 2909, </w:t>
      </w:r>
      <w:r w:rsidRPr="00705F37" w:rsidR="006850CF">
        <w:rPr>
          <w:i/>
          <w:iCs/>
          <w:szCs w:val="26"/>
        </w:rPr>
        <w:t>supra</w:t>
      </w:r>
      <w:r w:rsidRPr="00705F37" w:rsidR="006850CF">
        <w:t>, June</w:t>
      </w:r>
      <w:r w:rsidRPr="00705F37" w:rsidR="00C533BE">
        <w:t> </w:t>
      </w:r>
      <w:r w:rsidRPr="00705F37" w:rsidR="006850CF">
        <w:t>18, 1980.)</w:t>
      </w:r>
    </w:p>
    <w:p w:rsidR="006F3240" w:rsidRPr="00705F37" w:rsidP="00705F37" w14:paraId="6C44BD8A" w14:textId="77777777">
      <w:pPr>
        <w:tabs>
          <w:tab w:val="left" w:pos="1440"/>
        </w:tabs>
        <w:ind w:firstLine="720"/>
      </w:pPr>
      <w:r w:rsidRPr="00705F37">
        <w:t>Assembly Bill No. 2909 was enacted as so amended.  (</w:t>
      </w:r>
      <w:r w:rsidRPr="00705F37" w:rsidR="00CF36CC">
        <w:t>Stats. 1980, ch. 686, § 2.1, p. </w:t>
      </w:r>
      <w:r w:rsidRPr="00705F37" w:rsidR="000801A1">
        <w:t>2076</w:t>
      </w:r>
      <w:r w:rsidRPr="00705F37" w:rsidR="006850CF">
        <w:t>.</w:t>
      </w:r>
      <w:r w:rsidRPr="00705F37">
        <w:t>)</w:t>
      </w:r>
      <w:r w:rsidRPr="00705F37" w:rsidR="00262D4D">
        <w:t xml:space="preserve"> </w:t>
      </w:r>
      <w:r w:rsidRPr="00705F37" w:rsidR="007F1950">
        <w:t xml:space="preserve"> The Legislative Counsel’s Digest</w:t>
      </w:r>
      <w:r w:rsidRPr="00705F37" w:rsidR="005601EF">
        <w:t>s</w:t>
      </w:r>
      <w:r w:rsidRPr="00705F37" w:rsidR="007F1950">
        <w:t xml:space="preserve"> that prefaced each iteration </w:t>
      </w:r>
      <w:r w:rsidRPr="00705F37" w:rsidR="00622A6C">
        <w:t xml:space="preserve">of the bill </w:t>
      </w:r>
      <w:r w:rsidRPr="00705F37" w:rsidR="007F1950">
        <w:t xml:space="preserve">as it progressed through the Legislature </w:t>
      </w:r>
      <w:r w:rsidRPr="00705F37" w:rsidR="00622A6C">
        <w:t xml:space="preserve">consistently </w:t>
      </w:r>
      <w:r w:rsidRPr="00705F37" w:rsidR="007F1950">
        <w:t>characterized section</w:t>
      </w:r>
      <w:r w:rsidRPr="00705F37" w:rsidR="00C533BE">
        <w:t> </w:t>
      </w:r>
      <w:r w:rsidRPr="00705F37" w:rsidR="007F1950">
        <w:t>136.1</w:t>
      </w:r>
      <w:r w:rsidRPr="00705F37" w:rsidR="009C3FCA">
        <w:t>, subdivision</w:t>
      </w:r>
      <w:r w:rsidRPr="00705F37" w:rsidR="00C533BE">
        <w:t> </w:t>
      </w:r>
      <w:r w:rsidRPr="00705F37" w:rsidR="009C3FCA">
        <w:t>(b)</w:t>
      </w:r>
      <w:r w:rsidRPr="00705F37" w:rsidR="007F1950">
        <w:t xml:space="preserve"> as prohibiting the dissua</w:t>
      </w:r>
      <w:r w:rsidRPr="00705F37" w:rsidR="009C3FCA">
        <w:t xml:space="preserve">sion </w:t>
      </w:r>
      <w:r w:rsidRPr="00705F37" w:rsidR="007F1950">
        <w:t>of a victim or witness “from performing specified acts relating to assisting law enforcement or prosecution activities.”  (Legis. Counsel’s Dig., Assem. Bill No. 2909</w:t>
      </w:r>
      <w:r w:rsidRPr="00705F37" w:rsidR="00E603B7">
        <w:t xml:space="preserve">, </w:t>
      </w:r>
      <w:r w:rsidRPr="00705F37" w:rsidR="00E603B7">
        <w:rPr>
          <w:i/>
          <w:iCs/>
          <w:szCs w:val="26"/>
        </w:rPr>
        <w:t>supra</w:t>
      </w:r>
      <w:r w:rsidRPr="00705F37" w:rsidR="00E603B7">
        <w:t xml:space="preserve">, </w:t>
      </w:r>
      <w:r w:rsidRPr="00705F37" w:rsidR="007F1950">
        <w:t>as introduced Mar.</w:t>
      </w:r>
      <w:r w:rsidRPr="00705F37" w:rsidR="00C533BE">
        <w:t> </w:t>
      </w:r>
      <w:r w:rsidRPr="00705F37" w:rsidR="007F1950">
        <w:t>6, 1980, p. 1; Legis. Counsel’s Dig., Assem. Bill No. 2909 (1979</w:t>
      </w:r>
      <w:r w:rsidRPr="00705F37" w:rsidR="00E36C25">
        <w:t>–</w:t>
      </w:r>
      <w:r w:rsidRPr="00705F37" w:rsidR="007F1950">
        <w:t>1980 Reg. Sess.), as amended Apr.</w:t>
      </w:r>
      <w:r w:rsidRPr="00705F37" w:rsidR="00C533BE">
        <w:t> </w:t>
      </w:r>
      <w:r w:rsidRPr="00705F37" w:rsidR="007F1950">
        <w:t>16, 1980, pp.</w:t>
      </w:r>
      <w:r w:rsidRPr="00705F37" w:rsidR="00C533BE">
        <w:t> </w:t>
      </w:r>
      <w:r w:rsidRPr="00705F37" w:rsidR="007F1950">
        <w:t>1</w:t>
      </w:r>
      <w:r w:rsidRPr="00705F37" w:rsidR="00E36C25">
        <w:t>–</w:t>
      </w:r>
      <w:r w:rsidRPr="00705F37" w:rsidR="007F1950">
        <w:t>2 [same]; Legis. Counsel’s Dig., Assem. Bill No. 2909 (1979</w:t>
      </w:r>
      <w:r w:rsidRPr="00705F37" w:rsidR="00E36C25">
        <w:t>–</w:t>
      </w:r>
      <w:r w:rsidRPr="00705F37" w:rsidR="007F1950">
        <w:t>1980 Reg. Sess.), as amended June</w:t>
      </w:r>
      <w:r w:rsidRPr="00705F37" w:rsidR="00C533BE">
        <w:t> </w:t>
      </w:r>
      <w:r w:rsidRPr="00705F37" w:rsidR="007F1950">
        <w:t>18, 1980, pp.</w:t>
      </w:r>
      <w:r w:rsidRPr="00705F37" w:rsidR="00C533BE">
        <w:t> </w:t>
      </w:r>
      <w:r w:rsidRPr="00705F37" w:rsidR="007F1950">
        <w:t>1</w:t>
      </w:r>
      <w:r w:rsidRPr="00705F37" w:rsidR="00E36C25">
        <w:t>–</w:t>
      </w:r>
      <w:r w:rsidRPr="00705F37" w:rsidR="007F1950">
        <w:t>2</w:t>
      </w:r>
      <w:r w:rsidRPr="00705F37" w:rsidR="00344328">
        <w:t xml:space="preserve"> [same]</w:t>
      </w:r>
      <w:r w:rsidRPr="00705F37" w:rsidR="007F1950">
        <w:t>; Legis. Counsel’s Dig., Assem. Bill No. 2909 (1979</w:t>
      </w:r>
      <w:r w:rsidRPr="00705F37" w:rsidR="00E36C25">
        <w:t>–</w:t>
      </w:r>
      <w:r w:rsidRPr="00705F37" w:rsidR="007F1950">
        <w:t>1980 Reg. Sess.), as amended July</w:t>
      </w:r>
      <w:r w:rsidRPr="00705F37" w:rsidR="00C533BE">
        <w:t> </w:t>
      </w:r>
      <w:r w:rsidRPr="00705F37" w:rsidR="007F1950">
        <w:t>1, 1980, pp.</w:t>
      </w:r>
      <w:r w:rsidRPr="00705F37" w:rsidR="00C533BE">
        <w:t> </w:t>
      </w:r>
      <w:r w:rsidRPr="00705F37" w:rsidR="007F1950">
        <w:t>1</w:t>
      </w:r>
      <w:r w:rsidRPr="00705F37" w:rsidR="00E36C25">
        <w:t>–</w:t>
      </w:r>
      <w:r w:rsidRPr="00705F37" w:rsidR="007F1950">
        <w:t>2</w:t>
      </w:r>
      <w:r w:rsidRPr="00705F37" w:rsidR="00344328">
        <w:t xml:space="preserve"> [same]</w:t>
      </w:r>
      <w:r w:rsidRPr="00705F37" w:rsidR="007F1950">
        <w:t>; Legis. Counsel’s Dig., Assem. Bill No. 2909</w:t>
      </w:r>
      <w:r w:rsidRPr="00705F37">
        <w:t xml:space="preserve"> (1979–1980 Reg. Sess.)</w:t>
      </w:r>
      <w:r w:rsidRPr="00705F37" w:rsidR="007F1950">
        <w:t xml:space="preserve">, </w:t>
      </w:r>
      <w:r w:rsidRPr="00705F37" w:rsidR="000A2A88">
        <w:t>2</w:t>
      </w:r>
      <w:r w:rsidRPr="00705F37" w:rsidR="007F1950">
        <w:t xml:space="preserve"> Stats</w:t>
      </w:r>
      <w:r w:rsidRPr="00705F37" w:rsidR="00E36C25">
        <w:t>.</w:t>
      </w:r>
      <w:r w:rsidRPr="00705F37" w:rsidR="000A2A88">
        <w:t xml:space="preserve"> 1980</w:t>
      </w:r>
      <w:r w:rsidRPr="00705F37" w:rsidR="007F1950">
        <w:t>, Summ</w:t>
      </w:r>
      <w:r w:rsidRPr="00705F37">
        <w:t>ary</w:t>
      </w:r>
      <w:r w:rsidRPr="00705F37" w:rsidR="007F1950">
        <w:t xml:space="preserve"> Dig., p.</w:t>
      </w:r>
      <w:r w:rsidRPr="00705F37" w:rsidR="00C533BE">
        <w:t> </w:t>
      </w:r>
      <w:r w:rsidRPr="00705F37" w:rsidR="007F1950">
        <w:t>188 [same].)</w:t>
      </w:r>
      <w:r>
        <w:rPr>
          <w:rStyle w:val="FootnoteReference"/>
        </w:rPr>
        <w:footnoteReference w:id="15"/>
      </w:r>
    </w:p>
    <w:p w:rsidR="00E9379C" w:rsidRPr="00705F37" w:rsidP="00705F37" w14:paraId="6C44BD8B" w14:textId="77777777">
      <w:pPr>
        <w:tabs>
          <w:tab w:val="left" w:pos="1440"/>
        </w:tabs>
        <w:ind w:firstLine="720"/>
      </w:pPr>
      <w:r w:rsidRPr="00705F37">
        <w:t xml:space="preserve">As enacted, </w:t>
      </w:r>
      <w:r w:rsidRPr="00705F37" w:rsidR="006F3240">
        <w:t>section 136.1</w:t>
      </w:r>
      <w:r w:rsidRPr="00705F37" w:rsidR="00AF1457">
        <w:t>(b)(2) read:  “</w:t>
      </w:r>
      <w:r w:rsidRPr="00705F37" w:rsidR="008A7DCE">
        <w:t>Except as provided in subdivision</w:t>
      </w:r>
      <w:r w:rsidRPr="00705F37" w:rsidR="00CC551B">
        <w:t> </w:t>
      </w:r>
      <w:r w:rsidRPr="00705F37" w:rsidR="008A7DCE">
        <w:t>(c), e</w:t>
      </w:r>
      <w:r w:rsidRPr="00705F37" w:rsidR="006F3240">
        <w:t>very person who attempts to prevent or dissuade another person who has been the victim of a crime or who is witness to a crime from doing any of the following is guilty of a misdemeanor:  [¶]</w:t>
      </w:r>
      <w:r w:rsidRPr="00705F37" w:rsidR="00A54E32">
        <w:t> . . . [¶]</w:t>
      </w:r>
      <w:r w:rsidRPr="00705F37" w:rsidR="006F3240">
        <w:t xml:space="preserve">  (2)</w:t>
      </w:r>
      <w:r w:rsidRPr="00705F37" w:rsidR="00C533BE">
        <w:t> </w:t>
      </w:r>
      <w:r w:rsidRPr="00705F37" w:rsidR="006F3240">
        <w:t>Causing a complaint, indictment, information, probation or parole violation to be sought and prosecuted, and assisting in the prosecution thereof.</w:t>
      </w:r>
      <w:r w:rsidRPr="00705F37" w:rsidR="00AF1457">
        <w:t xml:space="preserve">”  </w:t>
      </w:r>
      <w:r w:rsidRPr="00705F37" w:rsidR="006F3240">
        <w:t>(</w:t>
      </w:r>
      <w:r w:rsidRPr="00705F37" w:rsidR="00CF36CC">
        <w:t>Stats. 1980, ch. 686, § 2.1, p. </w:t>
      </w:r>
      <w:r w:rsidRPr="00705F37" w:rsidR="005E534A">
        <w:t>207</w:t>
      </w:r>
      <w:r w:rsidR="006665C0">
        <w:t>6</w:t>
      </w:r>
      <w:r w:rsidRPr="00705F37" w:rsidR="00CF36CC">
        <w:t>.</w:t>
      </w:r>
      <w:r w:rsidRPr="00705F37" w:rsidR="006F3240">
        <w:t>)</w:t>
      </w:r>
      <w:r>
        <w:rPr>
          <w:rStyle w:val="FootnoteReference"/>
        </w:rPr>
        <w:footnoteReference w:id="16"/>
      </w:r>
    </w:p>
    <w:p w:rsidR="00661C28" w:rsidRPr="00705F37" w:rsidP="00502FE9" w14:paraId="6C44BD8C" w14:textId="77777777">
      <w:pPr>
        <w:pStyle w:val="Heading3"/>
        <w:rPr>
          <w:b/>
          <w:bCs/>
          <w:iCs/>
        </w:rPr>
      </w:pPr>
      <w:r w:rsidRPr="00705F37">
        <w:t xml:space="preserve">Other </w:t>
      </w:r>
      <w:r w:rsidRPr="00705F37" w:rsidR="0046218D">
        <w:t>Jurisdictions’</w:t>
      </w:r>
      <w:r w:rsidRPr="00705F37">
        <w:t xml:space="preserve"> Implementation</w:t>
      </w:r>
      <w:r w:rsidRPr="00705F37" w:rsidR="00654330">
        <w:t>s</w:t>
      </w:r>
      <w:r w:rsidRPr="00705F37">
        <w:t xml:space="preserve"> of</w:t>
      </w:r>
      <w:r w:rsidR="005D4FD1">
        <w:t xml:space="preserve"> the</w:t>
      </w:r>
      <w:r w:rsidRPr="00705F37">
        <w:t xml:space="preserve"> </w:t>
      </w:r>
      <w:r w:rsidRPr="00705F37" w:rsidR="003E3111">
        <w:t xml:space="preserve">ABA Model </w:t>
      </w:r>
      <w:r w:rsidRPr="00705F37" w:rsidR="0099286E">
        <w:t>Statut</w:t>
      </w:r>
      <w:r w:rsidRPr="00705F37" w:rsidR="003E3111">
        <w:t xml:space="preserve">e </w:t>
      </w:r>
    </w:p>
    <w:p w:rsidR="002F0D80" w:rsidRPr="00705F37" w:rsidP="00705F37" w14:paraId="6C44BD8D" w14:textId="77777777">
      <w:pPr>
        <w:tabs>
          <w:tab w:val="left" w:pos="1440"/>
        </w:tabs>
        <w:ind w:firstLine="720"/>
      </w:pPr>
      <w:r w:rsidRPr="00705F37">
        <w:t>At least e</w:t>
      </w:r>
      <w:r w:rsidRPr="00705F37" w:rsidR="00FA596C">
        <w:t xml:space="preserve">ight other jurisdictions have </w:t>
      </w:r>
      <w:r w:rsidRPr="00705F37" w:rsidR="009B194B">
        <w:t xml:space="preserve">enacted witness dissuasion statutes premised on </w:t>
      </w:r>
      <w:r w:rsidRPr="00705F37" w:rsidR="00FA596C">
        <w:t>the ABA model statute</w:t>
      </w:r>
      <w:r w:rsidRPr="00705F37" w:rsidR="005A2132">
        <w:t>.</w:t>
      </w:r>
    </w:p>
    <w:p w:rsidR="002F0D80" w:rsidRPr="00705F37" w:rsidP="00705F37" w14:paraId="6C44BD8E" w14:textId="77777777">
      <w:pPr>
        <w:tabs>
          <w:tab w:val="left" w:pos="1440"/>
        </w:tabs>
        <w:ind w:firstLine="720"/>
      </w:pPr>
      <w:r w:rsidRPr="00705F37">
        <w:t xml:space="preserve">Delaware’s version makes it a felony to dissuade a victim or witness from “[c]ausing a complaint, indictment, information, probation or parole violation to be sought or prosecuted, </w:t>
      </w:r>
      <w:r w:rsidRPr="00705F37">
        <w:rPr>
          <w:i/>
          <w:iCs/>
        </w:rPr>
        <w:t>or from</w:t>
      </w:r>
      <w:r w:rsidRPr="00705F37">
        <w:t xml:space="preserve"> assisting in the prosecution thereof.”  (Del. Code Ann. tit. 11, § 3532(2), italics added; see </w:t>
      </w:r>
      <w:r w:rsidRPr="00705F37">
        <w:rPr>
          <w:i/>
          <w:iCs/>
        </w:rPr>
        <w:t>State v. Stovall</w:t>
      </w:r>
      <w:r w:rsidRPr="00705F37">
        <w:t xml:space="preserve"> (Del.Super.Ct., Sept. 30, 1996</w:t>
      </w:r>
      <w:r w:rsidR="009D5F53">
        <w:t xml:space="preserve">, </w:t>
      </w:r>
      <w:r w:rsidRPr="00EB40DC" w:rsidR="00EB40DC">
        <w:t>No. IN94-06-1461</w:t>
      </w:r>
      <w:r w:rsidRPr="00705F37">
        <w:t xml:space="preserve">) 1996 </w:t>
      </w:r>
      <w:r w:rsidR="00985530">
        <w:t xml:space="preserve">Del. Super. Lexis 438, </w:t>
      </w:r>
      <w:r w:rsidR="00301F4E">
        <w:t>p.</w:t>
      </w:r>
      <w:r w:rsidR="00C26BE9">
        <w:t> </w:t>
      </w:r>
      <w:r w:rsidR="00985530">
        <w:t>*8</w:t>
      </w:r>
      <w:r w:rsidRPr="00705F37">
        <w:t>, fn. 8 [stating the law “is modeled after” the ABA model statute, with differences that are</w:t>
      </w:r>
      <w:r w:rsidRPr="00705F37" w:rsidR="000C7807">
        <w:t>,</w:t>
      </w:r>
      <w:r w:rsidRPr="00705F37">
        <w:t xml:space="preserve"> “for the most part, . . . inconsequential”].)  </w:t>
      </w:r>
    </w:p>
    <w:p w:rsidR="00043DD3" w:rsidRPr="00705F37" w:rsidP="00705F37" w14:paraId="6C44BD8F" w14:textId="77777777">
      <w:pPr>
        <w:tabs>
          <w:tab w:val="left" w:pos="1440"/>
        </w:tabs>
        <w:ind w:firstLine="720"/>
      </w:pPr>
      <w:r w:rsidRPr="00705F37">
        <w:t xml:space="preserve">Florida’s statute makes it a crime to dissuade a person from “[c]ausing a criminal prosecution, or a parole or probation revocation proceeding, to be sought or instituted, </w:t>
      </w:r>
      <w:r w:rsidRPr="00705F37">
        <w:rPr>
          <w:i/>
          <w:iCs/>
        </w:rPr>
        <w:t>or from</w:t>
      </w:r>
      <w:r w:rsidRPr="00705F37">
        <w:t xml:space="preserve"> assisting in such prosecution or proceeding.”  (Fla. Stat. Ann. § 914.22(3)(d), italics added.)</w:t>
      </w:r>
    </w:p>
    <w:p w:rsidR="00043DD3" w:rsidRPr="00705F37" w:rsidP="00705F37" w14:paraId="6C44BD90" w14:textId="77777777">
      <w:pPr>
        <w:tabs>
          <w:tab w:val="left" w:pos="1440"/>
        </w:tabs>
        <w:ind w:firstLine="720"/>
      </w:pPr>
      <w:r w:rsidRPr="00705F37">
        <w:t xml:space="preserve">Georgia’s statute makes it a crime to dissuade a person from “[c]ausing a criminal prosecution, or a parole or probation revocation proceeding, to be sought or instituted, </w:t>
      </w:r>
      <w:r w:rsidRPr="00705F37">
        <w:rPr>
          <w:i/>
          <w:iCs/>
        </w:rPr>
        <w:t>or</w:t>
      </w:r>
      <w:r w:rsidRPr="00705F37">
        <w:t xml:space="preserve"> assisting in such prosecution or proceeding.”  (Ga. Code Ann. § 16-10-32(b)(4), italics added.)</w:t>
      </w:r>
    </w:p>
    <w:p w:rsidR="00043DD3" w:rsidRPr="00705F37" w:rsidP="00705F37" w14:paraId="6C44BD91" w14:textId="77777777">
      <w:pPr>
        <w:tabs>
          <w:tab w:val="left" w:pos="1440"/>
        </w:tabs>
        <w:ind w:firstLine="720"/>
      </w:pPr>
      <w:r w:rsidRPr="00705F37">
        <w:t xml:space="preserve">Kansas’s statute makes it a crime to dissuade a victim, witness, or person acting on a witness’s behalf from “causing a complaint, indictment or information to be sought and prosecuted or causing a violation of probation, parole or assignment to a community correctional services program to be reported and prosecuted, and assisting in its prosecution.”  (Kan. Stat. Ann. § 21-5909(a)(2)(B); </w:t>
      </w:r>
      <w:r w:rsidRPr="00705F37">
        <w:rPr>
          <w:i/>
          <w:iCs/>
        </w:rPr>
        <w:t>State v. Doyle</w:t>
      </w:r>
      <w:r w:rsidRPr="00705F37">
        <w:t xml:space="preserve"> (Kan.Ct.App. </w:t>
      </w:r>
      <w:r w:rsidR="00252B0B">
        <w:t xml:space="preserve">July 12, </w:t>
      </w:r>
      <w:r w:rsidRPr="00705F37">
        <w:t>2019</w:t>
      </w:r>
      <w:r w:rsidR="00252B0B">
        <w:t>, No. 119,174</w:t>
      </w:r>
      <w:r w:rsidRPr="00705F37">
        <w:t xml:space="preserve">) </w:t>
      </w:r>
      <w:r w:rsidR="00252B0B">
        <w:t>2019 WL 3047432, p. *6</w:t>
      </w:r>
      <w:r w:rsidRPr="00705F37">
        <w:t xml:space="preserve"> [noting Kansas’s statute “stems from” the ABA model statute].)  </w:t>
      </w:r>
    </w:p>
    <w:p w:rsidR="00043DD3" w:rsidRPr="00705F37" w:rsidP="00705F37" w14:paraId="6C44BD92" w14:textId="77777777">
      <w:pPr>
        <w:tabs>
          <w:tab w:val="left" w:pos="1440"/>
        </w:tabs>
        <w:ind w:firstLine="720"/>
      </w:pPr>
      <w:r w:rsidRPr="00705F37">
        <w:t xml:space="preserve">Missouri’s statute makes it a crime to dissuade a victim or a person acting on the victim’s behalf from “[c]ausing a complaint, indictment or information to be sought and prosecuted </w:t>
      </w:r>
      <w:r w:rsidRPr="00705F37">
        <w:rPr>
          <w:i/>
          <w:iCs/>
        </w:rPr>
        <w:t>or</w:t>
      </w:r>
      <w:r w:rsidRPr="00705F37">
        <w:t xml:space="preserve"> assisting in the prosecution thereof.”  (Mo. Ann. Stat. § 575.270(1)(2)(b), italics added.)  </w:t>
      </w:r>
    </w:p>
    <w:p w:rsidR="00043DD3" w:rsidRPr="00705F37" w:rsidP="00705F37" w14:paraId="6C44BD93" w14:textId="77777777">
      <w:pPr>
        <w:tabs>
          <w:tab w:val="left" w:pos="1440"/>
        </w:tabs>
        <w:ind w:firstLine="720"/>
      </w:pPr>
      <w:r w:rsidRPr="00705F37">
        <w:t xml:space="preserve">As originally enacted in 1981, Wisconsin’s statute made it a misdemeanor to dissuade a victim from “[c]ausing a complaint, indictment or information to be sought and prosecuted and assisting in the prosecution thereof.”  (Wis. Stat. Ann. former § 940.44(2); see </w:t>
      </w:r>
      <w:bookmarkStart w:id="13" w:name="_Hlk159911266"/>
      <w:r w:rsidRPr="00705F37">
        <w:rPr>
          <w:i/>
          <w:iCs/>
        </w:rPr>
        <w:t>State v. Freer</w:t>
      </w:r>
      <w:r w:rsidRPr="00705F37">
        <w:t xml:space="preserve"> (Wis.Ct.App. 2009) 779 N.W.2d 12, 1</w:t>
      </w:r>
      <w:r w:rsidR="001A2034">
        <w:t>4</w:t>
      </w:r>
      <w:r w:rsidRPr="00705F37">
        <w:t xml:space="preserve"> (</w:t>
      </w:r>
      <w:r w:rsidRPr="00705F37">
        <w:rPr>
          <w:i/>
          <w:iCs/>
        </w:rPr>
        <w:t>Freer</w:t>
      </w:r>
      <w:r w:rsidRPr="00705F37">
        <w:t>)</w:t>
      </w:r>
      <w:bookmarkEnd w:id="13"/>
      <w:r w:rsidRPr="00705F37">
        <w:t xml:space="preserve">.)  As </w:t>
      </w:r>
      <w:r w:rsidRPr="00705F37" w:rsidR="00744649">
        <w:t>we</w:t>
      </w:r>
      <w:r w:rsidRPr="00705F37">
        <w:t xml:space="preserve"> explain further below, after a Wisconsin appellate court found this provision ambiguous and construed the connecting “and” disjunctively (</w:t>
      </w:r>
      <w:r w:rsidRPr="00705F37">
        <w:rPr>
          <w:i/>
          <w:iCs/>
        </w:rPr>
        <w:t>Freer</w:t>
      </w:r>
      <w:r w:rsidRPr="00705F37">
        <w:t xml:space="preserve">, at pp. 17, 18), Wisconsin’s </w:t>
      </w:r>
      <w:r w:rsidRPr="00705F37" w:rsidR="005E534A">
        <w:t xml:space="preserve">Legislature </w:t>
      </w:r>
      <w:r w:rsidRPr="00705F37">
        <w:t>amended the statute to conform to the court’s interpretation</w:t>
      </w:r>
      <w:r w:rsidRPr="00705F37" w:rsidR="00AA2629">
        <w:t xml:space="preserve">. </w:t>
      </w:r>
      <w:r w:rsidRPr="00705F37">
        <w:t xml:space="preserve"> (Wis. Stat. Ann. § 940.44(2)</w:t>
      </w:r>
      <w:r w:rsidRPr="00705F37" w:rsidR="00AA2629">
        <w:t>.</w:t>
      </w:r>
      <w:r w:rsidRPr="00705F37">
        <w:t xml:space="preserve">)  It now prohibits dissuading a victim from “[c]ausing a complaint, indictment, or information to be sought or prosecuted, </w:t>
      </w:r>
      <w:r w:rsidRPr="00705F37">
        <w:rPr>
          <w:i/>
          <w:iCs/>
        </w:rPr>
        <w:t>or</w:t>
      </w:r>
      <w:r w:rsidRPr="00705F37">
        <w:t xml:space="preserve"> assisting in the prosecution thereof.”  (</w:t>
      </w:r>
      <w:r w:rsidRPr="00705F37">
        <w:rPr>
          <w:i/>
          <w:iCs/>
        </w:rPr>
        <w:t>Ibid</w:t>
      </w:r>
      <w:r w:rsidRPr="00705F37">
        <w:t>., italics added.)</w:t>
      </w:r>
    </w:p>
    <w:p w:rsidR="00043DD3" w:rsidRPr="00705F37" w:rsidP="00705F37" w14:paraId="6C44BD94" w14:textId="77777777">
      <w:pPr>
        <w:tabs>
          <w:tab w:val="left" w:pos="1440"/>
        </w:tabs>
        <w:ind w:firstLine="720"/>
      </w:pPr>
      <w:r w:rsidRPr="00705F37">
        <w:t xml:space="preserve">The District of Columbia’s statute makes it a crime to dissuade a person from “[c]ausing a criminal prosecution or a parole or probation revocation proceeding to be sought or instituted, </w:t>
      </w:r>
      <w:r w:rsidRPr="00705F37">
        <w:rPr>
          <w:i/>
          <w:iCs/>
        </w:rPr>
        <w:t>or</w:t>
      </w:r>
      <w:r w:rsidRPr="00705F37">
        <w:t xml:space="preserve"> assisting in a prosecution or other official proceeding.”  (D.C. Code Ann. § 22-722(a)(3)(D)</w:t>
      </w:r>
      <w:r w:rsidRPr="00705F37" w:rsidR="00AA2629">
        <w:t>, italics added</w:t>
      </w:r>
      <w:r w:rsidRPr="00705F37">
        <w:t xml:space="preserve">.)  </w:t>
      </w:r>
    </w:p>
    <w:p w:rsidR="00043DD3" w:rsidRPr="00705F37" w:rsidP="00705F37" w14:paraId="6C44BD95" w14:textId="77777777">
      <w:pPr>
        <w:tabs>
          <w:tab w:val="left" w:pos="1440"/>
        </w:tabs>
        <w:ind w:firstLine="720"/>
      </w:pPr>
      <w:r w:rsidRPr="00705F37">
        <w:t xml:space="preserve">And federal law makes it a crime to dissuade a person from “causing a criminal prosecution, or a parole or probation revocation proceeding, to be sought or instituted, </w:t>
      </w:r>
      <w:r w:rsidRPr="00705F37">
        <w:rPr>
          <w:i/>
          <w:iCs/>
        </w:rPr>
        <w:t>or</w:t>
      </w:r>
      <w:r w:rsidRPr="00705F37">
        <w:t xml:space="preserve"> assisting in such prosecution or proceeding.”  (</w:t>
      </w:r>
      <w:r w:rsidRPr="00705F37" w:rsidR="00AA2629">
        <w:t xml:space="preserve">18 </w:t>
      </w:r>
      <w:r w:rsidRPr="00705F37">
        <w:t>U.S.C. § 1512(d)(4)</w:t>
      </w:r>
      <w:r w:rsidRPr="00705F37" w:rsidR="00AA2629">
        <w:t>, italics added</w:t>
      </w:r>
      <w:r w:rsidRPr="00705F37">
        <w:t xml:space="preserve">; see Sen.Rep. No. 97-532, 2d sess. (1982), reprinted in </w:t>
      </w:r>
      <w:r w:rsidR="00D4192B">
        <w:t xml:space="preserve">1982 </w:t>
      </w:r>
      <w:r w:rsidRPr="00705F37">
        <w:t xml:space="preserve">U.S. Code Cong. &amp; Admin. News, p. 2521 [“Section 1512 . . . draws heavily upon a model statute developed by the ABA Victims Committee”].)  </w:t>
      </w:r>
    </w:p>
    <w:p w:rsidR="00F95296" w:rsidRPr="00705F37" w:rsidP="00705F37" w14:paraId="6C44BD96" w14:textId="77777777">
      <w:pPr>
        <w:tabs>
          <w:tab w:val="left" w:pos="1440"/>
        </w:tabs>
        <w:ind w:firstLine="720"/>
      </w:pPr>
      <w:r w:rsidRPr="00705F37">
        <w:t>E</w:t>
      </w:r>
      <w:r w:rsidRPr="00705F37" w:rsidR="00DD5E37">
        <w:t>ach jurisdiction</w:t>
      </w:r>
      <w:r w:rsidRPr="00705F37" w:rsidR="00043DD3">
        <w:t>’</w:t>
      </w:r>
      <w:r w:rsidRPr="00705F37" w:rsidR="00DD5E37">
        <w:t>s</w:t>
      </w:r>
      <w:r w:rsidRPr="00705F37" w:rsidR="00536D8B">
        <w:t xml:space="preserve"> statute </w:t>
      </w:r>
      <w:r w:rsidRPr="00705F37" w:rsidR="007F68ED">
        <w:t xml:space="preserve">contains </w:t>
      </w:r>
      <w:r w:rsidRPr="00705F37" w:rsidR="005C200D">
        <w:t xml:space="preserve">clauses </w:t>
      </w:r>
      <w:r w:rsidRPr="00705F37" w:rsidR="001422F2">
        <w:t xml:space="preserve">that are substantially similar </w:t>
      </w:r>
      <w:r w:rsidRPr="00705F37" w:rsidR="005C200D">
        <w:t>to section</w:t>
      </w:r>
      <w:r w:rsidRPr="00705F37" w:rsidR="00043DD3">
        <w:t> </w:t>
      </w:r>
      <w:r w:rsidRPr="00705F37" w:rsidR="005C200D">
        <w:t xml:space="preserve">136.1(b)(2)’s causing and assisting clauses.  </w:t>
      </w:r>
      <w:r w:rsidRPr="00705F37" w:rsidR="0060050F">
        <w:t xml:space="preserve">And </w:t>
      </w:r>
      <w:r w:rsidRPr="00705F37" w:rsidR="000F612E">
        <w:t>e</w:t>
      </w:r>
      <w:r w:rsidRPr="00705F37" w:rsidR="00486C74">
        <w:t xml:space="preserve">ach jurisdiction has treated the clauses </w:t>
      </w:r>
      <w:r w:rsidRPr="00705F37" w:rsidR="00AE3C8E">
        <w:t xml:space="preserve">disjunctively.  </w:t>
      </w:r>
      <w:r w:rsidRPr="00705F37" w:rsidR="00BC0410">
        <w:t xml:space="preserve">Six </w:t>
      </w:r>
      <w:r w:rsidRPr="00705F37" w:rsidR="00AE3C8E">
        <w:t xml:space="preserve">did so </w:t>
      </w:r>
      <w:r w:rsidRPr="00705F37" w:rsidR="00BC0410">
        <w:t>legislatively by replacing the ABA model statute’s connecti</w:t>
      </w:r>
      <w:r w:rsidRPr="00705F37" w:rsidR="00264C0C">
        <w:t xml:space="preserve">ng </w:t>
      </w:r>
      <w:r w:rsidRPr="00705F37" w:rsidR="00BC0410">
        <w:t xml:space="preserve">“and” with </w:t>
      </w:r>
      <w:r w:rsidRPr="00705F37" w:rsidR="00F056C3">
        <w:t xml:space="preserve">some formulation including the word </w:t>
      </w:r>
      <w:r w:rsidRPr="00705F37" w:rsidR="00842697">
        <w:t>“or.”</w:t>
      </w:r>
      <w:r>
        <w:rPr>
          <w:rStyle w:val="FootnoteReference"/>
        </w:rPr>
        <w:footnoteReference w:id="17"/>
      </w:r>
      <w:r w:rsidRPr="00705F37" w:rsidR="00F369E9">
        <w:t xml:space="preserve">  </w:t>
      </w:r>
      <w:r w:rsidRPr="00705F37" w:rsidR="00CA0CEA">
        <w:t xml:space="preserve">The other two </w:t>
      </w:r>
      <w:r w:rsidRPr="00705F37" w:rsidR="00E052CA">
        <w:t xml:space="preserve">states’ </w:t>
      </w:r>
      <w:r w:rsidRPr="00705F37" w:rsidR="00D54229">
        <w:t xml:space="preserve">legislatures retained the connecting “and,” </w:t>
      </w:r>
      <w:r w:rsidRPr="00705F37" w:rsidR="00E052CA">
        <w:t>which their courts have construed disjunctively.</w:t>
      </w:r>
      <w:r w:rsidRPr="00705F37" w:rsidR="00E519CC">
        <w:t xml:space="preserve">  (See </w:t>
      </w:r>
      <w:r w:rsidRPr="00705F37" w:rsidR="00E519CC">
        <w:rPr>
          <w:i/>
          <w:iCs/>
        </w:rPr>
        <w:t>Freer</w:t>
      </w:r>
      <w:r w:rsidRPr="00705F37" w:rsidR="00E519CC">
        <w:t xml:space="preserve">, </w:t>
      </w:r>
      <w:r w:rsidRPr="00705F37" w:rsidR="00E519CC">
        <w:rPr>
          <w:i/>
          <w:iCs/>
          <w:szCs w:val="26"/>
        </w:rPr>
        <w:t>supra</w:t>
      </w:r>
      <w:r w:rsidRPr="00705F37" w:rsidR="00E519CC">
        <w:t>, 779 N.W.2d at p.</w:t>
      </w:r>
      <w:r w:rsidRPr="00705F37" w:rsidR="00F91495">
        <w:t> </w:t>
      </w:r>
      <w:r w:rsidRPr="00705F37" w:rsidR="00E519CC">
        <w:t xml:space="preserve">18; </w:t>
      </w:r>
      <w:r w:rsidRPr="00705F37" w:rsidR="00376BA7">
        <w:rPr>
          <w:i/>
          <w:iCs/>
        </w:rPr>
        <w:t xml:space="preserve">State v. Shields </w:t>
      </w:r>
      <w:r w:rsidRPr="00705F37" w:rsidR="00376BA7">
        <w:t>(Kan.Ct.App.</w:t>
      </w:r>
      <w:r w:rsidR="006D74C5">
        <w:t>,</w:t>
      </w:r>
      <w:r w:rsidRPr="00705F37" w:rsidR="00376BA7">
        <w:t xml:space="preserve"> Feb. 7, 2020, No. 119,844) 2020 Kan.App. Unpub. Lexis 60,  </w:t>
      </w:r>
      <w:r w:rsidR="00E62602">
        <w:t xml:space="preserve">pp. </w:t>
      </w:r>
      <w:r w:rsidR="00985530">
        <w:t>*</w:t>
      </w:r>
      <w:r w:rsidRPr="00705F37" w:rsidR="00376BA7">
        <w:t xml:space="preserve">1, </w:t>
      </w:r>
      <w:r w:rsidR="00E62602">
        <w:t>*</w:t>
      </w:r>
      <w:r w:rsidRPr="00705F37" w:rsidR="00376BA7">
        <w:t>3</w:t>
      </w:r>
      <w:r w:rsidRPr="00705F37" w:rsidR="00632C44">
        <w:t xml:space="preserve">, </w:t>
      </w:r>
      <w:r w:rsidR="00E62602">
        <w:t>*</w:t>
      </w:r>
      <w:r w:rsidRPr="00705F37" w:rsidR="00632C44">
        <w:t>8 [</w:t>
      </w:r>
      <w:r w:rsidRPr="00705F37" w:rsidR="009A2DB9">
        <w:t xml:space="preserve">rejecting, without analysis, a sufficiency of the evidence challenge premised on dissuasive conduct that occurred after </w:t>
      </w:r>
      <w:r w:rsidRPr="00705F37" w:rsidR="007A3C61">
        <w:t>charges had been filed]</w:t>
      </w:r>
      <w:r w:rsidRPr="00705F37" w:rsidR="00376BA7">
        <w:t>.)</w:t>
      </w:r>
    </w:p>
    <w:p w:rsidR="005A6808" w:rsidRPr="00705F37" w:rsidP="00705F37" w14:paraId="6C44BD97" w14:textId="77777777">
      <w:pPr>
        <w:tabs>
          <w:tab w:val="left" w:pos="1440"/>
        </w:tabs>
        <w:ind w:firstLine="720"/>
      </w:pPr>
      <w:r w:rsidRPr="00705F37">
        <w:t xml:space="preserve">In </w:t>
      </w:r>
      <w:r w:rsidRPr="00705F37">
        <w:rPr>
          <w:i/>
          <w:iCs/>
        </w:rPr>
        <w:t>Freer</w:t>
      </w:r>
      <w:r w:rsidRPr="00705F37" w:rsidR="000A2A88">
        <w:t xml:space="preserve">, </w:t>
      </w:r>
      <w:r w:rsidRPr="00705F37" w:rsidR="000A2A88">
        <w:rPr>
          <w:i/>
          <w:iCs/>
          <w:szCs w:val="26"/>
        </w:rPr>
        <w:t>supra</w:t>
      </w:r>
      <w:r w:rsidRPr="00705F37" w:rsidR="000A2A88">
        <w:t xml:space="preserve">, </w:t>
      </w:r>
      <w:r w:rsidRPr="00705F37">
        <w:t xml:space="preserve">779 N.W.2d 12, the </w:t>
      </w:r>
      <w:r w:rsidRPr="00705F37" w:rsidR="00196A19">
        <w:t xml:space="preserve">Wisconsin </w:t>
      </w:r>
      <w:r w:rsidRPr="00705F37">
        <w:t xml:space="preserve">Court of Appeals </w:t>
      </w:r>
      <w:r w:rsidRPr="00705F37" w:rsidR="00A97FF0">
        <w:t xml:space="preserve">thoroughly examined </w:t>
      </w:r>
      <w:r w:rsidRPr="00705F37">
        <w:t xml:space="preserve">the causing and assisting clauses in the relevant portion of a statute premised </w:t>
      </w:r>
      <w:r w:rsidRPr="00705F37" w:rsidR="00614AD7">
        <w:t xml:space="preserve">on </w:t>
      </w:r>
      <w:r w:rsidRPr="00705F37">
        <w:t xml:space="preserve">the model ABA statute </w:t>
      </w:r>
      <w:r w:rsidRPr="00705F37" w:rsidR="009A5D83">
        <w:t xml:space="preserve">and determined it </w:t>
      </w:r>
      <w:r w:rsidRPr="00705F37">
        <w:t>operat</w:t>
      </w:r>
      <w:r w:rsidRPr="00705F37" w:rsidR="009A5D83">
        <w:t>ed</w:t>
      </w:r>
      <w:r w:rsidRPr="00705F37">
        <w:t xml:space="preserve"> disjunctively, notwithstanding that the statute</w:t>
      </w:r>
      <w:r w:rsidRPr="00705F37" w:rsidR="009B3DC0">
        <w:t> </w:t>
      </w:r>
      <w:r w:rsidRPr="00705F37" w:rsidR="00614AD7">
        <w:t>— l</w:t>
      </w:r>
      <w:r w:rsidRPr="00705F37">
        <w:t>ike California’s</w:t>
      </w:r>
      <w:r w:rsidRPr="00705F37" w:rsidR="00035AC8">
        <w:t> </w:t>
      </w:r>
      <w:r w:rsidRPr="00705F37" w:rsidR="00614AD7">
        <w:t xml:space="preserve">— </w:t>
      </w:r>
      <w:r w:rsidRPr="00705F37">
        <w:t>connected the two clauses with the word “</w:t>
      </w:r>
      <w:r w:rsidRPr="00705F37" w:rsidR="00614AD7">
        <w:t> ‘</w:t>
      </w:r>
      <w:r w:rsidRPr="00705F37">
        <w:t>and</w:t>
      </w:r>
      <w:r w:rsidRPr="00705F37" w:rsidR="00614AD7">
        <w:t>.’ </w:t>
      </w:r>
      <w:r w:rsidRPr="00705F37">
        <w:t>”</w:t>
      </w:r>
      <w:r w:rsidRPr="00705F37" w:rsidR="00614AD7">
        <w:t xml:space="preserve">  </w:t>
      </w:r>
      <w:r w:rsidRPr="00705F37" w:rsidR="008D049E">
        <w:t>As noted, Wisconsin</w:t>
      </w:r>
      <w:r w:rsidRPr="00705F37" w:rsidR="00F201B1">
        <w:t xml:space="preserve">’s </w:t>
      </w:r>
      <w:r w:rsidRPr="00705F37" w:rsidR="0002160E">
        <w:t>L</w:t>
      </w:r>
      <w:r w:rsidRPr="00705F37" w:rsidR="00F201B1">
        <w:t xml:space="preserve">egislature </w:t>
      </w:r>
      <w:r w:rsidRPr="00705F37" w:rsidR="0062744D">
        <w:t>originally</w:t>
      </w:r>
      <w:r w:rsidRPr="00705F37" w:rsidR="00F201B1">
        <w:t xml:space="preserve"> </w:t>
      </w:r>
      <w:r w:rsidRPr="00705F37" w:rsidR="008D049E">
        <w:t xml:space="preserve">adopted the relevant portion of the ABA model statute as-is, </w:t>
      </w:r>
      <w:r w:rsidRPr="00705F37" w:rsidR="001B7255">
        <w:t xml:space="preserve">retaining the connecting “and” without modification.  </w:t>
      </w:r>
      <w:r w:rsidRPr="00705F37" w:rsidR="00F201B1">
        <w:t xml:space="preserve">(Wis. Stat. Ann. former § 940.44(2); see </w:t>
      </w:r>
      <w:r w:rsidRPr="00705F37" w:rsidR="00F201B1">
        <w:rPr>
          <w:i/>
          <w:iCs/>
        </w:rPr>
        <w:t>Freer</w:t>
      </w:r>
      <w:r w:rsidRPr="00705F37" w:rsidR="00F201B1">
        <w:t>, at p.</w:t>
      </w:r>
      <w:r w:rsidRPr="00705F37" w:rsidR="00035AC8">
        <w:t> </w:t>
      </w:r>
      <w:r w:rsidRPr="00705F37" w:rsidR="00F201B1">
        <w:t xml:space="preserve">17.)  </w:t>
      </w:r>
      <w:r w:rsidRPr="00705F37" w:rsidR="00F00B30">
        <w:t xml:space="preserve">After the defendant in </w:t>
      </w:r>
      <w:r w:rsidRPr="00705F37" w:rsidR="00F00B30">
        <w:rPr>
          <w:i/>
          <w:iCs/>
        </w:rPr>
        <w:t>Freer</w:t>
      </w:r>
      <w:r w:rsidRPr="00705F37" w:rsidR="00F00B30">
        <w:t xml:space="preserve"> was charged with disturbing the peace </w:t>
      </w:r>
      <w:r w:rsidRPr="00705F37" w:rsidR="00A74BC7">
        <w:t xml:space="preserve">stemming from </w:t>
      </w:r>
      <w:r w:rsidRPr="00705F37" w:rsidR="00F00B30">
        <w:t>an altercation with a local</w:t>
      </w:r>
      <w:r w:rsidRPr="00705F37" w:rsidR="000F5325">
        <w:t xml:space="preserve"> performer, the defendant left a voicemail </w:t>
      </w:r>
      <w:r w:rsidRPr="00705F37" w:rsidR="00B564FE">
        <w:t>threat</w:t>
      </w:r>
      <w:r w:rsidRPr="00705F37" w:rsidR="00035AC8">
        <w:t>en</w:t>
      </w:r>
      <w:r w:rsidRPr="00705F37" w:rsidR="00B564FE">
        <w:t xml:space="preserve">ing to harm the </w:t>
      </w:r>
      <w:r w:rsidRPr="00705F37" w:rsidR="00293A95">
        <w:t>performer’s</w:t>
      </w:r>
      <w:r w:rsidRPr="00705F37" w:rsidR="00B564FE">
        <w:t xml:space="preserve"> reputation if the performer insisted on </w:t>
      </w:r>
      <w:r w:rsidRPr="00705F37" w:rsidR="00906F9D">
        <w:t>“</w:t>
      </w:r>
      <w:r w:rsidR="007A20F5">
        <w:t> ‘</w:t>
      </w:r>
      <w:r w:rsidRPr="00705F37" w:rsidR="00906F9D">
        <w:t>get[ting] into a spitting contest</w:t>
      </w:r>
      <w:r w:rsidR="007A20F5">
        <w:t>’ </w:t>
      </w:r>
      <w:r w:rsidRPr="00705F37" w:rsidR="00906F9D">
        <w:t>” and “</w:t>
      </w:r>
      <w:r w:rsidR="007A20F5">
        <w:t> ‘</w:t>
      </w:r>
      <w:r w:rsidRPr="00705F37" w:rsidR="00906F9D">
        <w:t>denounc[ing] people in an unjustified way.</w:t>
      </w:r>
      <w:r w:rsidR="007A20F5">
        <w:t>’ </w:t>
      </w:r>
      <w:r w:rsidRPr="00705F37" w:rsidR="00906F9D">
        <w:t>”  (</w:t>
      </w:r>
      <w:r w:rsidRPr="00705F37" w:rsidR="00906F9D">
        <w:rPr>
          <w:i/>
          <w:iCs/>
        </w:rPr>
        <w:t>Freer</w:t>
      </w:r>
      <w:r w:rsidRPr="00705F37" w:rsidR="00906F9D">
        <w:t>, at p.</w:t>
      </w:r>
      <w:r w:rsidRPr="00705F37" w:rsidR="00035AC8">
        <w:t> </w:t>
      </w:r>
      <w:r w:rsidRPr="00705F37" w:rsidR="006E7F5D">
        <w:t>13</w:t>
      </w:r>
      <w:r w:rsidRPr="00705F37" w:rsidR="00005EED">
        <w:t xml:space="preserve">.)  It was “undisputed that this alleged act of </w:t>
      </w:r>
      <w:r w:rsidRPr="00705F37" w:rsidR="00293A95">
        <w:t>intimidation</w:t>
      </w:r>
      <w:r w:rsidRPr="00705F37" w:rsidR="00005EED">
        <w:t xml:space="preserve"> did not occur in time to prevent or dissuade [the </w:t>
      </w:r>
      <w:r w:rsidR="007A20F5">
        <w:t>victim</w:t>
      </w:r>
      <w:r w:rsidRPr="00705F37" w:rsidR="00005EED">
        <w:t xml:space="preserve">] from ‘causing a complaint </w:t>
      </w:r>
      <w:r w:rsidRPr="00705F37" w:rsidR="003B5E71">
        <w:t>t</w:t>
      </w:r>
      <w:r w:rsidRPr="00705F37" w:rsidR="00005EED">
        <w:t>o be sought.</w:t>
      </w:r>
      <w:r w:rsidRPr="00705F37" w:rsidR="003B5E71">
        <w:t>’ </w:t>
      </w:r>
      <w:r w:rsidRPr="00705F37" w:rsidR="00005EED">
        <w:t xml:space="preserve">”  </w:t>
      </w:r>
      <w:r w:rsidRPr="00705F37" w:rsidR="003B5E71">
        <w:t>(</w:t>
      </w:r>
      <w:r w:rsidRPr="00705F37" w:rsidR="003B5E71">
        <w:rPr>
          <w:i/>
          <w:iCs/>
        </w:rPr>
        <w:t>Ibid</w:t>
      </w:r>
      <w:r w:rsidRPr="00705F37" w:rsidR="003B5E71">
        <w:t xml:space="preserve">., quoting </w:t>
      </w:r>
      <w:r w:rsidRPr="00705F37" w:rsidR="00DF0DA2">
        <w:t>Wis. Stat. Ann.</w:t>
      </w:r>
      <w:r w:rsidRPr="00705F37" w:rsidR="00293A95">
        <w:t xml:space="preserve"> </w:t>
      </w:r>
      <w:r w:rsidRPr="00705F37" w:rsidR="002F77BC">
        <w:t>f</w:t>
      </w:r>
      <w:r w:rsidRPr="00705F37" w:rsidR="00293A95">
        <w:t>ormer § 940.449(2).)</w:t>
      </w:r>
      <w:r>
        <w:rPr>
          <w:rStyle w:val="FootnoteReference"/>
        </w:rPr>
        <w:footnoteReference w:id="18"/>
      </w:r>
      <w:r w:rsidRPr="00705F37" w:rsidR="00293A95">
        <w:t xml:space="preserve">  After a jury found the defendant guilty, he </w:t>
      </w:r>
      <w:r w:rsidRPr="00705F37" w:rsidR="00570816">
        <w:t xml:space="preserve">argued on appeal that insufficient </w:t>
      </w:r>
      <w:r w:rsidRPr="00705F37" w:rsidR="001C0C88">
        <w:t xml:space="preserve">evidence supported his conviction </w:t>
      </w:r>
      <w:r w:rsidRPr="00705F37" w:rsidR="003A6075">
        <w:t xml:space="preserve">because </w:t>
      </w:r>
      <w:r w:rsidRPr="00705F37">
        <w:t xml:space="preserve">there was no </w:t>
      </w:r>
      <w:r w:rsidRPr="00705F37" w:rsidR="00756361">
        <w:t xml:space="preserve">evidence </w:t>
      </w:r>
      <w:r w:rsidRPr="00705F37" w:rsidR="002A17DF">
        <w:t>showing that he violated the Wisconsin statu</w:t>
      </w:r>
      <w:r w:rsidRPr="00705F37" w:rsidR="00756361">
        <w:t>t</w:t>
      </w:r>
      <w:r w:rsidRPr="00705F37" w:rsidR="002A17DF">
        <w:t>e’s equivalent of section</w:t>
      </w:r>
      <w:r w:rsidRPr="00705F37" w:rsidR="00035AC8">
        <w:t> </w:t>
      </w:r>
      <w:r w:rsidRPr="00705F37" w:rsidR="002A17DF">
        <w:t xml:space="preserve">136.1(b)(2)’s causing clause.  </w:t>
      </w:r>
      <w:r w:rsidRPr="00705F37" w:rsidR="0060395D">
        <w:t>The “heart of [the defendant]’s argument” was th</w:t>
      </w:r>
      <w:r w:rsidRPr="00705F37" w:rsidR="00951AD2">
        <w:t>at the legislature “connected” the statute’s clauses “with the conjunctive ‘and,’ not the disjunctive ‘or.’</w:t>
      </w:r>
      <w:r w:rsidRPr="00705F37" w:rsidR="00A07F7E">
        <w:t> </w:t>
      </w:r>
      <w:r w:rsidRPr="00705F37" w:rsidR="00951AD2">
        <w:t>”  (</w:t>
      </w:r>
      <w:r w:rsidRPr="00705F37" w:rsidR="00951AD2">
        <w:rPr>
          <w:i/>
          <w:iCs/>
        </w:rPr>
        <w:t>F</w:t>
      </w:r>
      <w:r w:rsidRPr="00705F37" w:rsidR="00A07F7E">
        <w:rPr>
          <w:i/>
          <w:iCs/>
        </w:rPr>
        <w:t>reer</w:t>
      </w:r>
      <w:r w:rsidRPr="00705F37" w:rsidR="00A07F7E">
        <w:t>, at p.</w:t>
      </w:r>
      <w:r w:rsidRPr="00705F37" w:rsidR="00035AC8">
        <w:t> </w:t>
      </w:r>
      <w:r w:rsidRPr="00705F37" w:rsidR="00785C73">
        <w:t>14</w:t>
      </w:r>
      <w:r w:rsidRPr="00705F37" w:rsidR="00A07F7E">
        <w:t xml:space="preserve">.)  </w:t>
      </w:r>
      <w:r w:rsidRPr="00705F37" w:rsidR="00035AC8">
        <w:t>T</w:t>
      </w:r>
      <w:r w:rsidRPr="00705F37" w:rsidR="00C34A5A">
        <w:t xml:space="preserve">he </w:t>
      </w:r>
      <w:r w:rsidRPr="00705F37" w:rsidR="00920611">
        <w:t xml:space="preserve">Wisconsin </w:t>
      </w:r>
      <w:r w:rsidRPr="00705F37" w:rsidR="00C34A5A">
        <w:t>Court of Appeals rejected this claim.  (</w:t>
      </w:r>
      <w:r w:rsidRPr="00705F37" w:rsidR="00C34A5A">
        <w:rPr>
          <w:i/>
          <w:iCs/>
          <w:szCs w:val="26"/>
        </w:rPr>
        <w:t>Id</w:t>
      </w:r>
      <w:r w:rsidRPr="00705F37" w:rsidR="00C34A5A">
        <w:rPr>
          <w:szCs w:val="26"/>
        </w:rPr>
        <w:t>. at pp.</w:t>
      </w:r>
      <w:r w:rsidRPr="00705F37" w:rsidR="00035AC8">
        <w:rPr>
          <w:szCs w:val="26"/>
        </w:rPr>
        <w:t> </w:t>
      </w:r>
      <w:r w:rsidR="00F3754C">
        <w:rPr>
          <w:szCs w:val="26"/>
        </w:rPr>
        <w:t>14–19</w:t>
      </w:r>
      <w:r w:rsidRPr="00705F37" w:rsidR="00A85227">
        <w:rPr>
          <w:szCs w:val="26"/>
        </w:rPr>
        <w:t>.)</w:t>
      </w:r>
    </w:p>
    <w:p w:rsidR="00E6386F" w:rsidRPr="00705F37" w:rsidP="00705F37" w14:paraId="6C44BD98" w14:textId="77777777">
      <w:pPr>
        <w:tabs>
          <w:tab w:val="left" w:pos="1440"/>
        </w:tabs>
        <w:ind w:firstLine="720"/>
        <w:rPr>
          <w:szCs w:val="26"/>
        </w:rPr>
      </w:pPr>
      <w:r w:rsidRPr="00705F37">
        <w:t xml:space="preserve">The </w:t>
      </w:r>
      <w:r w:rsidRPr="00705F37">
        <w:rPr>
          <w:i/>
          <w:iCs/>
        </w:rPr>
        <w:t>Freer</w:t>
      </w:r>
      <w:r w:rsidRPr="00705F37">
        <w:t xml:space="preserve"> court </w:t>
      </w:r>
      <w:r w:rsidRPr="00705F37" w:rsidR="003F73AD">
        <w:t xml:space="preserve">found the statute ambiguous, reasoning that </w:t>
      </w:r>
      <w:r w:rsidRPr="00705F37" w:rsidR="00432CAA">
        <w:t>“ ‘and’ in statutes is not always interpreted as a conjunctive term”</w:t>
      </w:r>
      <w:r w:rsidRPr="00705F37" w:rsidR="00223E2E">
        <w:t xml:space="preserve"> (</w:t>
      </w:r>
      <w:r w:rsidRPr="00705F37" w:rsidR="00223E2E">
        <w:rPr>
          <w:i/>
          <w:iCs/>
        </w:rPr>
        <w:t>Freer</w:t>
      </w:r>
      <w:r w:rsidRPr="00705F37" w:rsidR="00223E2E">
        <w:t xml:space="preserve">, </w:t>
      </w:r>
      <w:r w:rsidRPr="00705F37" w:rsidR="00223E2E">
        <w:rPr>
          <w:i/>
          <w:iCs/>
          <w:szCs w:val="26"/>
        </w:rPr>
        <w:t>supra</w:t>
      </w:r>
      <w:r w:rsidRPr="00705F37" w:rsidR="00223E2E">
        <w:t>, 779</w:t>
      </w:r>
      <w:r w:rsidRPr="00705F37" w:rsidR="00035AC8">
        <w:t> </w:t>
      </w:r>
      <w:r w:rsidRPr="00705F37" w:rsidR="00223E2E">
        <w:t>N.W.2d at p.</w:t>
      </w:r>
      <w:r w:rsidRPr="00705F37" w:rsidR="00035AC8">
        <w:t> </w:t>
      </w:r>
      <w:r w:rsidRPr="00705F37" w:rsidR="00F720ED">
        <w:t>15</w:t>
      </w:r>
      <w:r w:rsidRPr="00705F37" w:rsidR="00223E2E">
        <w:t>),</w:t>
      </w:r>
      <w:r w:rsidRPr="00705F37" w:rsidR="00432CAA">
        <w:t xml:space="preserve"> </w:t>
      </w:r>
      <w:r w:rsidRPr="00705F37" w:rsidR="00912882">
        <w:t xml:space="preserve">and that treating it as </w:t>
      </w:r>
      <w:r w:rsidRPr="00705F37" w:rsidR="00223E2E">
        <w:t xml:space="preserve">such </w:t>
      </w:r>
      <w:r w:rsidRPr="00705F37" w:rsidR="00912882">
        <w:t xml:space="preserve">would render the assisting clause surplusage and </w:t>
      </w:r>
      <w:r w:rsidRPr="00705F37" w:rsidR="00457AE8">
        <w:t xml:space="preserve">create </w:t>
      </w:r>
      <w:r w:rsidRPr="00705F37" w:rsidR="00632B55">
        <w:t xml:space="preserve">gaps in coverage </w:t>
      </w:r>
      <w:r w:rsidRPr="00705F37" w:rsidR="00457AE8">
        <w:t xml:space="preserve">with Wisconsin’s other dissuasion laws </w:t>
      </w:r>
      <w:r w:rsidRPr="00705F37" w:rsidR="00632B55">
        <w:t>depending on when in the legal process a person committed an act of dissuasion</w:t>
      </w:r>
      <w:r w:rsidRPr="00705F37" w:rsidR="002F77BC">
        <w:t xml:space="preserve"> (</w:t>
      </w:r>
      <w:r w:rsidRPr="007B4A82" w:rsidR="00FA6444">
        <w:rPr>
          <w:i/>
          <w:iCs/>
          <w:szCs w:val="26"/>
        </w:rPr>
        <w:t>id</w:t>
      </w:r>
      <w:r w:rsidRPr="007B4A82" w:rsidR="00FA6444">
        <w:rPr>
          <w:szCs w:val="26"/>
        </w:rPr>
        <w:t>.</w:t>
      </w:r>
      <w:r w:rsidRPr="00705F37" w:rsidR="002F77BC">
        <w:rPr>
          <w:szCs w:val="26"/>
        </w:rPr>
        <w:t xml:space="preserve"> </w:t>
      </w:r>
      <w:r w:rsidRPr="00705F37" w:rsidR="00E30C29">
        <w:rPr>
          <w:szCs w:val="26"/>
        </w:rPr>
        <w:t>at pp.</w:t>
      </w:r>
      <w:r w:rsidRPr="00705F37" w:rsidR="00035AC8">
        <w:rPr>
          <w:szCs w:val="26"/>
        </w:rPr>
        <w:t> </w:t>
      </w:r>
      <w:r w:rsidRPr="00705F37" w:rsidR="00E30C29">
        <w:rPr>
          <w:szCs w:val="26"/>
        </w:rPr>
        <w:t>16</w:t>
      </w:r>
      <w:r w:rsidRPr="00705F37" w:rsidR="00FD387F">
        <w:rPr>
          <w:szCs w:val="26"/>
        </w:rPr>
        <w:t>–</w:t>
      </w:r>
      <w:r w:rsidRPr="00705F37" w:rsidR="00E30C29">
        <w:rPr>
          <w:szCs w:val="26"/>
        </w:rPr>
        <w:t>17)</w:t>
      </w:r>
      <w:r w:rsidRPr="00705F37" w:rsidR="002F77BC">
        <w:rPr>
          <w:szCs w:val="26"/>
        </w:rPr>
        <w:t>.</w:t>
      </w:r>
      <w:r w:rsidRPr="00705F37" w:rsidR="00457AE8">
        <w:rPr>
          <w:szCs w:val="26"/>
        </w:rPr>
        <w:t xml:space="preserve">  </w:t>
      </w:r>
      <w:r w:rsidRPr="00705F37" w:rsidR="00430CE9">
        <w:rPr>
          <w:szCs w:val="26"/>
        </w:rPr>
        <w:t>In consulting the statute’s legislative history, the court observed that Wisconsin’s legislative analyst consistently summarized th</w:t>
      </w:r>
      <w:r w:rsidRPr="00705F37" w:rsidR="00035787">
        <w:rPr>
          <w:szCs w:val="26"/>
        </w:rPr>
        <w:t>e relevant portion of the statute as relating to dissuasion from “assisting the prosecution</w:t>
      </w:r>
      <w:r w:rsidRPr="00705F37" w:rsidR="00176BCA">
        <w:rPr>
          <w:szCs w:val="26"/>
        </w:rPr>
        <w:t>.</w:t>
      </w:r>
      <w:r w:rsidRPr="00705F37" w:rsidR="00035787">
        <w:rPr>
          <w:szCs w:val="26"/>
        </w:rPr>
        <w:t>”</w:t>
      </w:r>
      <w:r w:rsidRPr="00705F37" w:rsidR="00963BFC">
        <w:rPr>
          <w:szCs w:val="26"/>
        </w:rPr>
        <w:t xml:space="preserve">  (</w:t>
      </w:r>
      <w:r w:rsidRPr="00705F37" w:rsidR="0010712B">
        <w:rPr>
          <w:i/>
          <w:iCs/>
          <w:szCs w:val="26"/>
        </w:rPr>
        <w:t>Id</w:t>
      </w:r>
      <w:r w:rsidRPr="00705F37" w:rsidR="0010712B">
        <w:rPr>
          <w:szCs w:val="26"/>
        </w:rPr>
        <w:t xml:space="preserve">. </w:t>
      </w:r>
      <w:r w:rsidRPr="00705F37" w:rsidR="00963BFC">
        <w:rPr>
          <w:szCs w:val="26"/>
        </w:rPr>
        <w:t>at p.</w:t>
      </w:r>
      <w:r w:rsidRPr="00705F37" w:rsidR="00E30C29">
        <w:rPr>
          <w:szCs w:val="26"/>
        </w:rPr>
        <w:t> 17</w:t>
      </w:r>
      <w:r w:rsidRPr="00705F37" w:rsidR="00680C2A">
        <w:rPr>
          <w:szCs w:val="26"/>
        </w:rPr>
        <w:t xml:space="preserve">.)  </w:t>
      </w:r>
      <w:r w:rsidRPr="00705F37" w:rsidR="00C86EA1">
        <w:rPr>
          <w:szCs w:val="26"/>
        </w:rPr>
        <w:t xml:space="preserve">The court reasoned from this that “the legislature intended ‘causing a complaint . . . to be sought and prosecuted’ to be an example of the broader </w:t>
      </w:r>
      <w:r w:rsidRPr="00705F37" w:rsidR="003E1466">
        <w:rPr>
          <w:szCs w:val="26"/>
        </w:rPr>
        <w:t>category of . . . ‘assisting in the prosecution.’</w:t>
      </w:r>
      <w:r w:rsidRPr="00705F37" w:rsidR="0052295F">
        <w:rPr>
          <w:szCs w:val="26"/>
        </w:rPr>
        <w:t> </w:t>
      </w:r>
      <w:r w:rsidRPr="00705F37" w:rsidR="003E1466">
        <w:rPr>
          <w:szCs w:val="26"/>
        </w:rPr>
        <w:t>”  (</w:t>
      </w:r>
      <w:r w:rsidRPr="00705F37" w:rsidR="003E1466">
        <w:rPr>
          <w:i/>
          <w:iCs/>
          <w:szCs w:val="26"/>
        </w:rPr>
        <w:t>Id</w:t>
      </w:r>
      <w:r w:rsidRPr="00705F37" w:rsidR="003E1466">
        <w:rPr>
          <w:szCs w:val="26"/>
        </w:rPr>
        <w:t>.</w:t>
      </w:r>
      <w:r w:rsidR="00464746">
        <w:rPr>
          <w:szCs w:val="26"/>
        </w:rPr>
        <w:t xml:space="preserve"> at p. 18</w:t>
      </w:r>
      <w:r w:rsidRPr="00705F37" w:rsidR="003E1466">
        <w:rPr>
          <w:szCs w:val="26"/>
        </w:rPr>
        <w:t xml:space="preserve">, quoting </w:t>
      </w:r>
      <w:r w:rsidRPr="00705F37" w:rsidR="005772F3">
        <w:t xml:space="preserve">Wis. Stat. Ann. </w:t>
      </w:r>
      <w:r w:rsidRPr="00705F37" w:rsidR="0010712B">
        <w:t>f</w:t>
      </w:r>
      <w:r w:rsidRPr="00705F37" w:rsidR="005772F3">
        <w:t xml:space="preserve">ormer § 940.449(2).)  </w:t>
      </w:r>
      <w:r w:rsidRPr="00705F37" w:rsidR="00120C61">
        <w:rPr>
          <w:szCs w:val="26"/>
        </w:rPr>
        <w:t xml:space="preserve">By contrast, the court </w:t>
      </w:r>
      <w:r w:rsidRPr="00705F37" w:rsidR="00D729B9">
        <w:rPr>
          <w:szCs w:val="26"/>
        </w:rPr>
        <w:t xml:space="preserve">observed that the legislative analyst did </w:t>
      </w:r>
      <w:r w:rsidRPr="00705F37" w:rsidR="005966A7">
        <w:rPr>
          <w:szCs w:val="26"/>
        </w:rPr>
        <w:t>“not even mention language . . . about ‘[c</w:t>
      </w:r>
      <w:r w:rsidRPr="00705F37" w:rsidR="00C86EA1">
        <w:rPr>
          <w:szCs w:val="26"/>
        </w:rPr>
        <w:t>]</w:t>
      </w:r>
      <w:r w:rsidRPr="00705F37" w:rsidR="005966A7">
        <w:rPr>
          <w:szCs w:val="26"/>
        </w:rPr>
        <w:t xml:space="preserve">ausing a complaint . . . to be sought and prosecuted,’ much less state that the purpose </w:t>
      </w:r>
      <w:r w:rsidRPr="00705F37" w:rsidR="00536C46">
        <w:rPr>
          <w:szCs w:val="26"/>
        </w:rPr>
        <w:t>o</w:t>
      </w:r>
      <w:r w:rsidRPr="00705F37" w:rsidR="005966A7">
        <w:rPr>
          <w:szCs w:val="26"/>
        </w:rPr>
        <w:t xml:space="preserve">f this language is to </w:t>
      </w:r>
      <w:r w:rsidRPr="00705F37" w:rsidR="000D0ADB">
        <w:rPr>
          <w:szCs w:val="26"/>
        </w:rPr>
        <w:t xml:space="preserve">limit </w:t>
      </w:r>
      <w:r w:rsidRPr="00705F37" w:rsidR="005966A7">
        <w:rPr>
          <w:szCs w:val="26"/>
        </w:rPr>
        <w:t xml:space="preserve">the reach of the </w:t>
      </w:r>
      <w:r w:rsidRPr="00705F37" w:rsidR="0003665F">
        <w:rPr>
          <w:szCs w:val="26"/>
        </w:rPr>
        <w:t>statute</w:t>
      </w:r>
      <w:r w:rsidRPr="00705F37" w:rsidR="005966A7">
        <w:rPr>
          <w:szCs w:val="26"/>
        </w:rPr>
        <w:t xml:space="preserve"> to acts of intimidation occurring before a complaint is sought.”  </w:t>
      </w:r>
      <w:r w:rsidRPr="00705F37" w:rsidR="00FD67DE">
        <w:rPr>
          <w:szCs w:val="26"/>
        </w:rPr>
        <w:t>(</w:t>
      </w:r>
      <w:r w:rsidRPr="00705F37" w:rsidR="0088233A">
        <w:rPr>
          <w:i/>
          <w:iCs/>
          <w:szCs w:val="26"/>
        </w:rPr>
        <w:t>Freer</w:t>
      </w:r>
      <w:r w:rsidRPr="00705F37" w:rsidR="0088233A">
        <w:rPr>
          <w:szCs w:val="26"/>
        </w:rPr>
        <w:t>,</w:t>
      </w:r>
      <w:r w:rsidRPr="00705F37" w:rsidR="00FD67DE">
        <w:rPr>
          <w:szCs w:val="26"/>
        </w:rPr>
        <w:t xml:space="preserve"> at p.</w:t>
      </w:r>
      <w:r w:rsidRPr="00705F37" w:rsidR="00035AC8">
        <w:rPr>
          <w:szCs w:val="26"/>
        </w:rPr>
        <w:t> </w:t>
      </w:r>
      <w:r w:rsidRPr="00705F37" w:rsidR="001444F7">
        <w:rPr>
          <w:szCs w:val="26"/>
        </w:rPr>
        <w:t>18</w:t>
      </w:r>
      <w:r w:rsidRPr="00705F37" w:rsidR="00FD67DE">
        <w:rPr>
          <w:szCs w:val="26"/>
        </w:rPr>
        <w:t xml:space="preserve">.)  </w:t>
      </w:r>
      <w:r w:rsidRPr="00705F37" w:rsidR="00D47E5F">
        <w:rPr>
          <w:szCs w:val="26"/>
        </w:rPr>
        <w:t xml:space="preserve">Accordingly, the </w:t>
      </w:r>
      <w:r w:rsidRPr="00705F37" w:rsidR="00E444A1">
        <w:rPr>
          <w:i/>
          <w:iCs/>
          <w:szCs w:val="26"/>
        </w:rPr>
        <w:t>Freer</w:t>
      </w:r>
      <w:r w:rsidRPr="00705F37" w:rsidR="00E444A1">
        <w:rPr>
          <w:szCs w:val="26"/>
        </w:rPr>
        <w:t xml:space="preserve"> court </w:t>
      </w:r>
      <w:r w:rsidRPr="00705F37" w:rsidR="00D47E5F">
        <w:rPr>
          <w:szCs w:val="26"/>
        </w:rPr>
        <w:t>read the connecting “</w:t>
      </w:r>
      <w:r w:rsidR="007A20F5">
        <w:rPr>
          <w:szCs w:val="26"/>
        </w:rPr>
        <w:t> ‘</w:t>
      </w:r>
      <w:r w:rsidRPr="00705F37" w:rsidR="00D47E5F">
        <w:rPr>
          <w:szCs w:val="26"/>
        </w:rPr>
        <w:t>and</w:t>
      </w:r>
      <w:r w:rsidR="007A20F5">
        <w:rPr>
          <w:szCs w:val="26"/>
        </w:rPr>
        <w:t>’ </w:t>
      </w:r>
      <w:r w:rsidRPr="00705F37" w:rsidR="00D47E5F">
        <w:rPr>
          <w:szCs w:val="26"/>
        </w:rPr>
        <w:t>”</w:t>
      </w:r>
      <w:r w:rsidRPr="00705F37" w:rsidR="005C0654">
        <w:rPr>
          <w:szCs w:val="26"/>
        </w:rPr>
        <w:t xml:space="preserve"> in </w:t>
      </w:r>
      <w:r w:rsidRPr="00705F37" w:rsidR="00782799">
        <w:rPr>
          <w:szCs w:val="26"/>
        </w:rPr>
        <w:t xml:space="preserve">the Wisconsin statute </w:t>
      </w:r>
      <w:r w:rsidRPr="00705F37" w:rsidR="00D47E5F">
        <w:rPr>
          <w:szCs w:val="26"/>
        </w:rPr>
        <w:t>“in the disjunctive,</w:t>
      </w:r>
      <w:r w:rsidRPr="00705F37" w:rsidR="00782799">
        <w:rPr>
          <w:szCs w:val="26"/>
        </w:rPr>
        <w:t xml:space="preserve">” thus concluding the statute </w:t>
      </w:r>
      <w:r w:rsidRPr="00705F37">
        <w:rPr>
          <w:szCs w:val="26"/>
        </w:rPr>
        <w:t>did not require that a defendant dissuade a person from both causing a complaint to be sought and prosecuted and assisting in that prosecution.  (</w:t>
      </w:r>
      <w:r w:rsidRPr="00705F37">
        <w:rPr>
          <w:i/>
          <w:iCs/>
          <w:szCs w:val="26"/>
        </w:rPr>
        <w:t>Ibid</w:t>
      </w:r>
      <w:r w:rsidRPr="00705F37">
        <w:rPr>
          <w:szCs w:val="26"/>
        </w:rPr>
        <w:t>.)</w:t>
      </w:r>
    </w:p>
    <w:p w:rsidR="00267F95" w:rsidRPr="00705F37" w:rsidP="00705F37" w14:paraId="6C44BD99" w14:textId="77777777">
      <w:pPr>
        <w:tabs>
          <w:tab w:val="left" w:pos="1440"/>
        </w:tabs>
        <w:ind w:firstLine="720"/>
        <w:rPr>
          <w:szCs w:val="26"/>
        </w:rPr>
      </w:pPr>
      <w:r w:rsidRPr="00705F37">
        <w:rPr>
          <w:szCs w:val="26"/>
        </w:rPr>
        <w:t xml:space="preserve">The Wisconsin </w:t>
      </w:r>
      <w:r w:rsidRPr="00705F37" w:rsidR="0088233A">
        <w:rPr>
          <w:szCs w:val="26"/>
        </w:rPr>
        <w:t>L</w:t>
      </w:r>
      <w:r w:rsidRPr="00705F37">
        <w:rPr>
          <w:szCs w:val="26"/>
        </w:rPr>
        <w:t xml:space="preserve">egislature later amended </w:t>
      </w:r>
      <w:r w:rsidRPr="00705F37" w:rsidR="00473C8D">
        <w:rPr>
          <w:szCs w:val="26"/>
        </w:rPr>
        <w:t xml:space="preserve">Wisconsin’s </w:t>
      </w:r>
      <w:r w:rsidRPr="00705F37" w:rsidR="001444F7">
        <w:rPr>
          <w:szCs w:val="26"/>
        </w:rPr>
        <w:t xml:space="preserve">counterpart </w:t>
      </w:r>
      <w:r w:rsidRPr="00705F37" w:rsidR="00037DBD">
        <w:rPr>
          <w:szCs w:val="26"/>
        </w:rPr>
        <w:t xml:space="preserve">to </w:t>
      </w:r>
      <w:r w:rsidRPr="00705F37" w:rsidR="00170B16">
        <w:rPr>
          <w:szCs w:val="26"/>
        </w:rPr>
        <w:t>section</w:t>
      </w:r>
      <w:r w:rsidRPr="00705F37" w:rsidR="00EC5F8F">
        <w:rPr>
          <w:szCs w:val="26"/>
        </w:rPr>
        <w:t> </w:t>
      </w:r>
      <w:r w:rsidRPr="00705F37" w:rsidR="00170B16">
        <w:rPr>
          <w:szCs w:val="26"/>
        </w:rPr>
        <w:t xml:space="preserve">136.1(b)(2) to replace the connecting “and” with “or” </w:t>
      </w:r>
      <w:r w:rsidRPr="00705F37" w:rsidR="00AA70C2">
        <w:rPr>
          <w:szCs w:val="26"/>
        </w:rPr>
        <w:t xml:space="preserve">so it would </w:t>
      </w:r>
      <w:r w:rsidRPr="00705F37" w:rsidR="00283590">
        <w:rPr>
          <w:szCs w:val="26"/>
        </w:rPr>
        <w:t xml:space="preserve">“comply with the interpretation set forth in the </w:t>
      </w:r>
      <w:r w:rsidRPr="00705F37" w:rsidR="00283590">
        <w:rPr>
          <w:i/>
          <w:iCs/>
          <w:szCs w:val="26"/>
        </w:rPr>
        <w:t>Freer</w:t>
      </w:r>
      <w:r w:rsidRPr="00705F37" w:rsidR="00283590">
        <w:rPr>
          <w:szCs w:val="26"/>
        </w:rPr>
        <w:t xml:space="preserve"> case.”  (</w:t>
      </w:r>
      <w:r w:rsidRPr="008C0E0C" w:rsidR="00283590">
        <w:rPr>
          <w:szCs w:val="26"/>
        </w:rPr>
        <w:t>2015 Wis</w:t>
      </w:r>
      <w:r w:rsidRPr="008C0E0C" w:rsidR="00727757">
        <w:rPr>
          <w:szCs w:val="26"/>
        </w:rPr>
        <w:t>.</w:t>
      </w:r>
      <w:r w:rsidRPr="008C0E0C" w:rsidR="00283590">
        <w:rPr>
          <w:szCs w:val="26"/>
        </w:rPr>
        <w:t xml:space="preserve"> Assem</w:t>
      </w:r>
      <w:r w:rsidRPr="008C0E0C" w:rsidR="00727757">
        <w:rPr>
          <w:szCs w:val="26"/>
        </w:rPr>
        <w:t>.</w:t>
      </w:r>
      <w:r w:rsidRPr="008C0E0C" w:rsidR="00283590">
        <w:rPr>
          <w:szCs w:val="26"/>
        </w:rPr>
        <w:t xml:space="preserve"> Bill No. 5, </w:t>
      </w:r>
      <w:r w:rsidR="00AE5B1C">
        <w:rPr>
          <w:szCs w:val="26"/>
        </w:rPr>
        <w:t xml:space="preserve">2015 </w:t>
      </w:r>
      <w:r w:rsidRPr="008C0E0C" w:rsidR="00283590">
        <w:rPr>
          <w:szCs w:val="26"/>
        </w:rPr>
        <w:t>Wis</w:t>
      </w:r>
      <w:r w:rsidRPr="008C0E0C" w:rsidR="00760736">
        <w:rPr>
          <w:szCs w:val="26"/>
        </w:rPr>
        <w:t xml:space="preserve">. </w:t>
      </w:r>
      <w:r w:rsidR="00AE5B1C">
        <w:rPr>
          <w:szCs w:val="26"/>
        </w:rPr>
        <w:t>Sess. Laws 14</w:t>
      </w:r>
      <w:r w:rsidRPr="008C0E0C" w:rsidR="00900AE2">
        <w:rPr>
          <w:szCs w:val="26"/>
        </w:rPr>
        <w:t>;</w:t>
      </w:r>
      <w:r w:rsidRPr="00705F37" w:rsidR="00900AE2">
        <w:rPr>
          <w:szCs w:val="26"/>
        </w:rPr>
        <w:t xml:space="preserve"> </w:t>
      </w:r>
      <w:r w:rsidRPr="00705F37" w:rsidR="002A3354">
        <w:rPr>
          <w:szCs w:val="26"/>
        </w:rPr>
        <w:t xml:space="preserve">see </w:t>
      </w:r>
      <w:r w:rsidRPr="00705F37" w:rsidR="00900AE2">
        <w:rPr>
          <w:szCs w:val="26"/>
        </w:rPr>
        <w:t>Wis. Stat. Ann.</w:t>
      </w:r>
      <w:r w:rsidRPr="00705F37" w:rsidR="00013A7E">
        <w:rPr>
          <w:szCs w:val="26"/>
        </w:rPr>
        <w:t xml:space="preserve"> § 940.44(2)</w:t>
      </w:r>
      <w:r w:rsidRPr="00705F37" w:rsidR="00900AE2">
        <w:rPr>
          <w:szCs w:val="26"/>
        </w:rPr>
        <w:t>.)</w:t>
      </w:r>
    </w:p>
    <w:p w:rsidR="000C64F7" w:rsidRPr="00705F37" w:rsidP="00502FE9" w14:paraId="6C44BD9A" w14:textId="77777777">
      <w:pPr>
        <w:pStyle w:val="Heading3"/>
        <w:rPr>
          <w:b/>
          <w:bCs/>
          <w:iCs/>
        </w:rPr>
      </w:pPr>
      <w:r w:rsidRPr="00705F37">
        <w:t>Analysis</w:t>
      </w:r>
    </w:p>
    <w:p w:rsidR="009665C2" w:rsidRPr="00705F37" w:rsidP="00705F37" w14:paraId="6C44BD9B" w14:textId="77777777">
      <w:pPr>
        <w:tabs>
          <w:tab w:val="left" w:pos="1440"/>
        </w:tabs>
        <w:ind w:firstLine="720"/>
        <w:rPr>
          <w:szCs w:val="26"/>
        </w:rPr>
      </w:pPr>
      <w:r w:rsidRPr="00705F37">
        <w:rPr>
          <w:szCs w:val="26"/>
        </w:rPr>
        <w:t xml:space="preserve">As with the </w:t>
      </w:r>
      <w:r w:rsidRPr="00705F37" w:rsidR="00F35F02">
        <w:rPr>
          <w:szCs w:val="26"/>
        </w:rPr>
        <w:t>statutory text and context</w:t>
      </w:r>
      <w:r w:rsidRPr="00705F37">
        <w:rPr>
          <w:szCs w:val="26"/>
        </w:rPr>
        <w:t xml:space="preserve"> of section 136.1(b)(2), </w:t>
      </w:r>
      <w:r w:rsidRPr="00705F37" w:rsidR="00AB2F25">
        <w:rPr>
          <w:szCs w:val="26"/>
        </w:rPr>
        <w:t xml:space="preserve">we conclude that the </w:t>
      </w:r>
      <w:r w:rsidRPr="00705F37" w:rsidR="00F35F02">
        <w:rPr>
          <w:szCs w:val="26"/>
        </w:rPr>
        <w:t>legislative history and other jurisdictions’ experience</w:t>
      </w:r>
      <w:r w:rsidRPr="00705F37" w:rsidR="00CF7D67">
        <w:rPr>
          <w:szCs w:val="26"/>
        </w:rPr>
        <w:t>s</w:t>
      </w:r>
      <w:r w:rsidRPr="00705F37" w:rsidR="00F35F02">
        <w:rPr>
          <w:szCs w:val="26"/>
        </w:rPr>
        <w:t xml:space="preserve"> implementing the same or substantially similar provisions </w:t>
      </w:r>
      <w:r w:rsidRPr="00705F37" w:rsidR="00191971">
        <w:rPr>
          <w:szCs w:val="26"/>
        </w:rPr>
        <w:t>are</w:t>
      </w:r>
      <w:r w:rsidRPr="00705F37">
        <w:rPr>
          <w:szCs w:val="26"/>
        </w:rPr>
        <w:t xml:space="preserve"> likewise inconclusive as to </w:t>
      </w:r>
      <w:r w:rsidRPr="00705F37" w:rsidR="00A87B82">
        <w:t xml:space="preserve">whether to read </w:t>
      </w:r>
      <w:r w:rsidRPr="00705F37" w:rsidR="00114839">
        <w:t xml:space="preserve">section 136.1(b)(2) </w:t>
      </w:r>
      <w:r w:rsidRPr="00705F37" w:rsidR="00A87B82">
        <w:t>conjunctively or disjunctively.</w:t>
      </w:r>
    </w:p>
    <w:p w:rsidR="00B0626B" w:rsidRPr="00705F37" w:rsidP="00705F37" w14:paraId="6C44BD9C" w14:textId="77777777">
      <w:pPr>
        <w:tabs>
          <w:tab w:val="left" w:pos="1440"/>
        </w:tabs>
        <w:ind w:firstLine="720"/>
      </w:pPr>
      <w:r w:rsidRPr="00705F37">
        <w:rPr>
          <w:szCs w:val="26"/>
        </w:rPr>
        <w:t xml:space="preserve">The Legislature expressly modeled </w:t>
      </w:r>
      <w:r w:rsidRPr="00705F37" w:rsidR="003176A8">
        <w:rPr>
          <w:szCs w:val="26"/>
        </w:rPr>
        <w:t>section 136.1(b)(2) after the ABA model statute</w:t>
      </w:r>
      <w:r w:rsidR="001E4FFA">
        <w:rPr>
          <w:szCs w:val="26"/>
        </w:rPr>
        <w:t xml:space="preserve">.  It </w:t>
      </w:r>
      <w:r w:rsidRPr="00705F37" w:rsidR="00542A4D">
        <w:rPr>
          <w:szCs w:val="26"/>
        </w:rPr>
        <w:t>referenced the ABA Report in</w:t>
      </w:r>
      <w:r w:rsidRPr="001E4FFA" w:rsidR="001E4FFA">
        <w:rPr>
          <w:szCs w:val="26"/>
        </w:rPr>
        <w:t xml:space="preserve"> </w:t>
      </w:r>
      <w:r w:rsidRPr="00705F37" w:rsidR="001E4FFA">
        <w:rPr>
          <w:szCs w:val="26"/>
        </w:rPr>
        <w:t>legislative committee analyses</w:t>
      </w:r>
      <w:r w:rsidRPr="00705F37" w:rsidR="00542A4D">
        <w:rPr>
          <w:szCs w:val="26"/>
        </w:rPr>
        <w:t xml:space="preserve">, and attached pages from </w:t>
      </w:r>
      <w:r w:rsidR="001E4FFA">
        <w:rPr>
          <w:szCs w:val="26"/>
        </w:rPr>
        <w:t>the report to the analyses</w:t>
      </w:r>
      <w:r w:rsidRPr="00705F37" w:rsidR="007D3E11">
        <w:rPr>
          <w:szCs w:val="26"/>
        </w:rPr>
        <w:t xml:space="preserve">.  </w:t>
      </w:r>
      <w:r w:rsidRPr="00705F37" w:rsidR="002A5F4F">
        <w:rPr>
          <w:szCs w:val="26"/>
        </w:rPr>
        <w:t>The ABA Report</w:t>
      </w:r>
      <w:r w:rsidRPr="00705F37" w:rsidR="001B3507">
        <w:rPr>
          <w:szCs w:val="26"/>
        </w:rPr>
        <w:t xml:space="preserve"> stated </w:t>
      </w:r>
      <w:r w:rsidRPr="00705F37" w:rsidR="00C14C2F">
        <w:rPr>
          <w:szCs w:val="26"/>
        </w:rPr>
        <w:t xml:space="preserve">that the model statute was intended </w:t>
      </w:r>
      <w:r w:rsidRPr="00705F37" w:rsidR="002113AE">
        <w:t>“to broaden substantially the coverage of many state laws”</w:t>
      </w:r>
      <w:r w:rsidRPr="00705F37" w:rsidR="00C14C2F">
        <w:t xml:space="preserve"> regarding witness dissuasion.</w:t>
      </w:r>
      <w:r w:rsidRPr="00705F37" w:rsidR="002113AE">
        <w:t xml:space="preserve">  (ABA Rep</w:t>
      </w:r>
      <w:r w:rsidR="009474B0">
        <w:t>.</w:t>
      </w:r>
      <w:r w:rsidRPr="00705F37" w:rsidR="002113AE">
        <w:t xml:space="preserve"> at p.</w:t>
      </w:r>
      <w:r w:rsidRPr="00705F37" w:rsidR="00EC5F8F">
        <w:t> </w:t>
      </w:r>
      <w:r w:rsidRPr="00705F37" w:rsidR="002113AE">
        <w:t xml:space="preserve">8; </w:t>
      </w:r>
      <w:r w:rsidRPr="00705F37" w:rsidR="0040245D">
        <w:t xml:space="preserve">see </w:t>
      </w:r>
      <w:r w:rsidRPr="00705F37" w:rsidR="002113AE">
        <w:rPr>
          <w:i/>
          <w:iCs/>
        </w:rPr>
        <w:t>Babalola</w:t>
      </w:r>
      <w:r w:rsidRPr="00705F37" w:rsidR="002113AE">
        <w:t xml:space="preserve">, </w:t>
      </w:r>
      <w:r w:rsidRPr="00705F37" w:rsidR="00C14C2F">
        <w:rPr>
          <w:i/>
          <w:iCs/>
          <w:szCs w:val="26"/>
        </w:rPr>
        <w:t>supra</w:t>
      </w:r>
      <w:r w:rsidRPr="00705F37" w:rsidR="00C14C2F">
        <w:t xml:space="preserve">, </w:t>
      </w:r>
      <w:r w:rsidRPr="00705F37" w:rsidR="00C86820">
        <w:t xml:space="preserve">192 Cal.App.4th </w:t>
      </w:r>
      <w:r w:rsidRPr="00705F37" w:rsidR="002113AE">
        <w:t>at p.</w:t>
      </w:r>
      <w:r w:rsidRPr="00705F37" w:rsidR="00EC5F8F">
        <w:t> </w:t>
      </w:r>
      <w:r w:rsidRPr="00705F37" w:rsidR="002113AE">
        <w:t>956.)</w:t>
      </w:r>
      <w:r w:rsidRPr="00705F37" w:rsidR="00545FD1">
        <w:t xml:space="preserve">  </w:t>
      </w:r>
      <w:r w:rsidRPr="00705F37" w:rsidR="00AE6261">
        <w:t>We</w:t>
      </w:r>
      <w:r w:rsidRPr="00705F37" w:rsidR="002E7827">
        <w:t xml:space="preserve"> find it reasonable to infer from the </w:t>
      </w:r>
      <w:r w:rsidRPr="00705F37" w:rsidR="00CF7D67">
        <w:t xml:space="preserve">references to, and </w:t>
      </w:r>
      <w:r w:rsidRPr="00705F37" w:rsidR="00542A4D">
        <w:t xml:space="preserve">presence </w:t>
      </w:r>
      <w:r w:rsidRPr="00705F37" w:rsidR="005C6D22">
        <w:t>of</w:t>
      </w:r>
      <w:r w:rsidRPr="00705F37" w:rsidR="00CF7D67">
        <w:t xml:space="preserve">, </w:t>
      </w:r>
      <w:r w:rsidRPr="00705F37" w:rsidR="005C6D22">
        <w:t xml:space="preserve">the ABA Report </w:t>
      </w:r>
      <w:r w:rsidRPr="00705F37" w:rsidR="00542A4D">
        <w:t>with</w:t>
      </w:r>
      <w:r w:rsidRPr="00705F37" w:rsidR="005C6D22">
        <w:t xml:space="preserve">in </w:t>
      </w:r>
      <w:r w:rsidRPr="00705F37" w:rsidR="00542A4D">
        <w:t xml:space="preserve">the </w:t>
      </w:r>
      <w:r w:rsidRPr="00705F37" w:rsidR="005C6D22">
        <w:t xml:space="preserve">committee materials </w:t>
      </w:r>
      <w:r w:rsidRPr="00705F37" w:rsidR="009E7790">
        <w:t>that the Legislature was aware of</w:t>
      </w:r>
      <w:r w:rsidRPr="00705F37" w:rsidR="00EC5F8F">
        <w:t> </w:t>
      </w:r>
      <w:r w:rsidRPr="00705F37" w:rsidR="00186B0A">
        <w:t>—</w:t>
      </w:r>
      <w:r w:rsidRPr="00705F37" w:rsidR="009E7790">
        <w:t xml:space="preserve"> and</w:t>
      </w:r>
      <w:r w:rsidRPr="00705F37" w:rsidR="00E13FC3">
        <w:t xml:space="preserve"> joined</w:t>
      </w:r>
      <w:r w:rsidRPr="00705F37" w:rsidR="009E7790">
        <w:t xml:space="preserve"> in</w:t>
      </w:r>
      <w:r w:rsidRPr="00705F37" w:rsidR="00EC5F8F">
        <w:t> </w:t>
      </w:r>
      <w:r w:rsidRPr="00705F37" w:rsidR="00186B0A">
        <w:t>—</w:t>
      </w:r>
      <w:r w:rsidRPr="00705F37" w:rsidR="009E7790">
        <w:t xml:space="preserve"> the stated intent to substantially</w:t>
      </w:r>
      <w:r w:rsidRPr="00705F37" w:rsidR="003A2428">
        <w:t xml:space="preserve"> </w:t>
      </w:r>
      <w:r w:rsidRPr="00705F37" w:rsidR="000C2C8A">
        <w:t xml:space="preserve">broaden </w:t>
      </w:r>
      <w:r w:rsidRPr="00705F37" w:rsidR="003A2428">
        <w:t xml:space="preserve">the coverage of California’s </w:t>
      </w:r>
      <w:r w:rsidRPr="00705F37" w:rsidR="009F3400">
        <w:t>witness dissuasion law</w:t>
      </w:r>
      <w:r w:rsidRPr="00705F37" w:rsidR="00CA250E">
        <w:t>s</w:t>
      </w:r>
      <w:r w:rsidRPr="00D07EE1" w:rsidR="009F3400">
        <w:t>.</w:t>
      </w:r>
      <w:r w:rsidRPr="00D07EE1" w:rsidR="009E534A">
        <w:t xml:space="preserve">  </w:t>
      </w:r>
      <w:r w:rsidRPr="00D07EE1" w:rsidR="006A1A69">
        <w:t>Indeed, t</w:t>
      </w:r>
      <w:r w:rsidRPr="00D07EE1" w:rsidR="00C259CD">
        <w:t xml:space="preserve">he Senate Committee on the Judiciary </w:t>
      </w:r>
      <w:r w:rsidRPr="00D07EE1" w:rsidR="00253B54">
        <w:t>analysis</w:t>
      </w:r>
      <w:r w:rsidRPr="00D07EE1" w:rsidR="00C259CD">
        <w:t xml:space="preserve"> explained that the bill “adapts in large part the provisions of the draft proposal [i.e.</w:t>
      </w:r>
      <w:r w:rsidRPr="00D07EE1" w:rsidR="008315D5">
        <w:t>,</w:t>
      </w:r>
      <w:r w:rsidRPr="00D07EE1" w:rsidR="00C259CD">
        <w:t xml:space="preserve"> the ABA model statute]” </w:t>
      </w:r>
      <w:r w:rsidRPr="00D07EE1" w:rsidR="006A1A69">
        <w:t xml:space="preserve">(Sen. Com. on Judiciary, Analysis of Assem. Bill No. 2909, </w:t>
      </w:r>
      <w:r w:rsidRPr="00D07EE1" w:rsidR="006A1A69">
        <w:rPr>
          <w:i/>
          <w:iCs/>
          <w:szCs w:val="26"/>
        </w:rPr>
        <w:t>supra</w:t>
      </w:r>
      <w:r w:rsidRPr="00D07EE1" w:rsidR="006A1A69">
        <w:t>, as amended Apr. 9, 1980, p. </w:t>
      </w:r>
      <w:r w:rsidRPr="00D07EE1" w:rsidR="007A20F5">
        <w:t>2</w:t>
      </w:r>
      <w:r w:rsidRPr="00D07EE1" w:rsidR="006A1A69">
        <w:t xml:space="preserve">) </w:t>
      </w:r>
      <w:r w:rsidRPr="00D07EE1" w:rsidR="00C259CD">
        <w:t xml:space="preserve">and that </w:t>
      </w:r>
      <w:r w:rsidRPr="00D07EE1" w:rsidR="004E46DE">
        <w:rPr>
          <w:szCs w:val="26"/>
        </w:rPr>
        <w:t>“[t]he purpose of the bill is to expand the coverage of the law prohibiting the intimidation of witnesses” (</w:t>
      </w:r>
      <w:r w:rsidRPr="00D07EE1" w:rsidR="004E46DE">
        <w:rPr>
          <w:i/>
          <w:iCs/>
          <w:szCs w:val="26"/>
        </w:rPr>
        <w:t>i</w:t>
      </w:r>
      <w:r w:rsidRPr="00D07EE1" w:rsidR="007A20F5">
        <w:rPr>
          <w:i/>
          <w:iCs/>
          <w:szCs w:val="26"/>
        </w:rPr>
        <w:t>bi</w:t>
      </w:r>
      <w:r w:rsidRPr="00D07EE1" w:rsidR="004E46DE">
        <w:rPr>
          <w:i/>
          <w:iCs/>
          <w:szCs w:val="26"/>
        </w:rPr>
        <w:t>d</w:t>
      </w:r>
      <w:r w:rsidRPr="00705F37" w:rsidR="004E46DE">
        <w:rPr>
          <w:szCs w:val="26"/>
        </w:rPr>
        <w:t xml:space="preserve">.; </w:t>
      </w:r>
      <w:r w:rsidRPr="00705F37" w:rsidR="006F2D87">
        <w:t xml:space="preserve">see </w:t>
      </w:r>
      <w:r w:rsidRPr="00705F37" w:rsidR="00956E25">
        <w:rPr>
          <w:i/>
          <w:iCs/>
        </w:rPr>
        <w:t>Wahidi</w:t>
      </w:r>
      <w:r w:rsidRPr="00705F37" w:rsidR="00956E25">
        <w:t xml:space="preserve">, </w:t>
      </w:r>
      <w:r w:rsidRPr="00705F37" w:rsidR="00956E25">
        <w:rPr>
          <w:i/>
          <w:iCs/>
          <w:szCs w:val="26"/>
        </w:rPr>
        <w:t>supra</w:t>
      </w:r>
      <w:r w:rsidRPr="00705F37" w:rsidR="00956E25">
        <w:t>, 222</w:t>
      </w:r>
      <w:r w:rsidRPr="00705F37" w:rsidR="00EC5F8F">
        <w:t> </w:t>
      </w:r>
      <w:r w:rsidRPr="00705F37" w:rsidR="00956E25">
        <w:t>Cal.App.4th at p.</w:t>
      </w:r>
      <w:r w:rsidRPr="00705F37" w:rsidR="00EC5F8F">
        <w:t> </w:t>
      </w:r>
      <w:r w:rsidRPr="00705F37" w:rsidR="00956E25">
        <w:t>808 [courts may consider committee materials when determining legislative intent]</w:t>
      </w:r>
      <w:r w:rsidRPr="00705F37" w:rsidR="001A271B">
        <w:t>)</w:t>
      </w:r>
      <w:r w:rsidRPr="00705F37" w:rsidR="00422F74">
        <w:t>.</w:t>
      </w:r>
      <w:r w:rsidRPr="00705F37" w:rsidR="00474A08">
        <w:t xml:space="preserve">  </w:t>
      </w:r>
    </w:p>
    <w:p w:rsidR="00832C5D" w:rsidRPr="00705F37" w:rsidP="00705F37" w14:paraId="6C44BD9D" w14:textId="77777777">
      <w:pPr>
        <w:tabs>
          <w:tab w:val="left" w:pos="1440"/>
        </w:tabs>
        <w:ind w:firstLine="720"/>
      </w:pPr>
      <w:r w:rsidRPr="00705F37">
        <w:t xml:space="preserve">However, </w:t>
      </w:r>
      <w:r w:rsidRPr="00705F37" w:rsidR="009E534A">
        <w:t>even a conjunctive</w:t>
      </w:r>
      <w:r w:rsidRPr="00705F37" w:rsidR="00F76A16">
        <w:t xml:space="preserve"> (and thus, narrower)</w:t>
      </w:r>
      <w:r w:rsidRPr="00705F37" w:rsidR="009E534A">
        <w:t xml:space="preserve"> reading of section</w:t>
      </w:r>
      <w:r w:rsidRPr="00705F37" w:rsidR="00EC5F8F">
        <w:t> </w:t>
      </w:r>
      <w:r w:rsidRPr="00705F37" w:rsidR="009E534A">
        <w:t xml:space="preserve">136.1(b)(2) would </w:t>
      </w:r>
      <w:r w:rsidRPr="00705F37" w:rsidR="00E13F69">
        <w:t xml:space="preserve">still </w:t>
      </w:r>
      <w:r w:rsidRPr="00705F37" w:rsidR="009E534A">
        <w:t xml:space="preserve">provide broader coverage </w:t>
      </w:r>
      <w:r w:rsidRPr="00705F37" w:rsidR="00A13563">
        <w:t xml:space="preserve">than that </w:t>
      </w:r>
      <w:r w:rsidRPr="00705F37" w:rsidR="009D14C2">
        <w:t>afforded</w:t>
      </w:r>
      <w:r w:rsidRPr="00705F37" w:rsidR="00A13563">
        <w:t xml:space="preserve"> by former section</w:t>
      </w:r>
      <w:r w:rsidRPr="00705F37" w:rsidR="00EC5F8F">
        <w:t> </w:t>
      </w:r>
      <w:r w:rsidRPr="00705F37" w:rsidR="00A13563">
        <w:t xml:space="preserve">136 as it existed when the Legislature </w:t>
      </w:r>
      <w:r w:rsidRPr="00705F37" w:rsidR="00075F25">
        <w:t>replaced it with section</w:t>
      </w:r>
      <w:r w:rsidRPr="00705F37" w:rsidR="00EC5F8F">
        <w:t> </w:t>
      </w:r>
      <w:r w:rsidRPr="00705F37" w:rsidR="00075F25">
        <w:t>136.1</w:t>
      </w:r>
      <w:r w:rsidRPr="00705F37" w:rsidR="004952D4">
        <w:t>.</w:t>
      </w:r>
      <w:r>
        <w:rPr>
          <w:rStyle w:val="FootnoteReference"/>
        </w:rPr>
        <w:footnoteReference w:id="19"/>
      </w:r>
      <w:r w:rsidRPr="00705F37" w:rsidR="00075F25">
        <w:t xml:space="preserve">  </w:t>
      </w:r>
      <w:r w:rsidRPr="00705F37" w:rsidR="00D10236">
        <w:t xml:space="preserve">And both the ABA Report and Assembly committee materials </w:t>
      </w:r>
      <w:r w:rsidRPr="00705F37" w:rsidR="00B92C1A">
        <w:t xml:space="preserve">specifically </w:t>
      </w:r>
      <w:r w:rsidRPr="00705F37" w:rsidR="00D10236">
        <w:t xml:space="preserve">identify the need to </w:t>
      </w:r>
      <w:r w:rsidRPr="00705F37" w:rsidR="00217AA3">
        <w:t xml:space="preserve">broaden </w:t>
      </w:r>
      <w:r w:rsidRPr="00705F37" w:rsidR="008E54FF">
        <w:t xml:space="preserve">the coverage of existing laws to </w:t>
      </w:r>
      <w:r w:rsidRPr="00705F37" w:rsidR="00217AA3">
        <w:t xml:space="preserve">protect </w:t>
      </w:r>
      <w:r w:rsidRPr="00705F37" w:rsidR="008E54FF">
        <w:t>against dissuasion of victims who are not also witnesses.  (ABA Rep</w:t>
      </w:r>
      <w:r w:rsidR="009474B0">
        <w:t>.</w:t>
      </w:r>
      <w:r w:rsidRPr="00705F37" w:rsidR="008E54FF">
        <w:t xml:space="preserve"> at p.</w:t>
      </w:r>
      <w:r w:rsidRPr="00705F37" w:rsidR="00CC434F">
        <w:t> </w:t>
      </w:r>
      <w:r w:rsidRPr="00705F37" w:rsidR="008E54FF">
        <w:t xml:space="preserve">8; </w:t>
      </w:r>
      <w:r w:rsidRPr="00705F37" w:rsidR="00B358CC">
        <w:t xml:space="preserve">Assem. Off. of Research, 3d reading analysis of Assem. Bill No. 2909, </w:t>
      </w:r>
      <w:r w:rsidRPr="00705F37" w:rsidR="00B358CC">
        <w:rPr>
          <w:i/>
          <w:iCs/>
          <w:szCs w:val="26"/>
        </w:rPr>
        <w:t>supra</w:t>
      </w:r>
      <w:r w:rsidRPr="00705F37" w:rsidR="00B358CC">
        <w:t>, as amended Apr.</w:t>
      </w:r>
      <w:r w:rsidRPr="00705F37" w:rsidR="00C24134">
        <w:t> </w:t>
      </w:r>
      <w:r w:rsidRPr="00705F37" w:rsidR="00B358CC">
        <w:t>16, 1980, p.</w:t>
      </w:r>
      <w:r w:rsidRPr="00705F37" w:rsidR="00CC434F">
        <w:t> </w:t>
      </w:r>
      <w:r w:rsidRPr="00705F37" w:rsidR="00B358CC">
        <w:t xml:space="preserve">1.)  Thus, </w:t>
      </w:r>
      <w:r w:rsidRPr="00705F37" w:rsidR="00B52B6E">
        <w:t xml:space="preserve">the </w:t>
      </w:r>
      <w:r w:rsidRPr="00705F37" w:rsidR="001A3F23">
        <w:t xml:space="preserve">stated </w:t>
      </w:r>
      <w:r w:rsidRPr="00705F37" w:rsidR="00B2270B">
        <w:t xml:space="preserve">legislative </w:t>
      </w:r>
      <w:r w:rsidRPr="00705F37" w:rsidR="001A3F23">
        <w:t xml:space="preserve">intent </w:t>
      </w:r>
      <w:r w:rsidRPr="00705F37" w:rsidR="009E0840">
        <w:t xml:space="preserve">to substantially </w:t>
      </w:r>
      <w:r w:rsidRPr="00705F37" w:rsidR="00787D42">
        <w:t xml:space="preserve">broaden </w:t>
      </w:r>
      <w:r w:rsidRPr="00705F37" w:rsidR="009E0840">
        <w:t xml:space="preserve">the prohibition on dissuasion </w:t>
      </w:r>
      <w:r w:rsidRPr="00705F37" w:rsidR="001A3F23">
        <w:t xml:space="preserve">supports </w:t>
      </w:r>
      <w:r w:rsidRPr="00705F37" w:rsidR="005D01AC">
        <w:t xml:space="preserve">resolving </w:t>
      </w:r>
      <w:r w:rsidRPr="00705F37" w:rsidR="00B52B6E">
        <w:t>statutory ambiguit</w:t>
      </w:r>
      <w:r w:rsidRPr="00705F37" w:rsidR="001B66BA">
        <w:t>ies</w:t>
      </w:r>
      <w:r w:rsidRPr="00705F37" w:rsidR="00B52B6E">
        <w:t xml:space="preserve"> </w:t>
      </w:r>
      <w:r w:rsidRPr="00705F37" w:rsidR="005D01AC">
        <w:t xml:space="preserve">in favor of </w:t>
      </w:r>
      <w:r w:rsidRPr="00705F37" w:rsidR="001A3F23">
        <w:t>a broader reading</w:t>
      </w:r>
      <w:r w:rsidRPr="00705F37" w:rsidR="00EC5F8F">
        <w:t> </w:t>
      </w:r>
      <w:r w:rsidRPr="00705F37" w:rsidR="00B2270B">
        <w:t xml:space="preserve">— </w:t>
      </w:r>
      <w:r w:rsidRPr="00705F37" w:rsidR="001A3F23">
        <w:t xml:space="preserve">the disjunctive </w:t>
      </w:r>
      <w:r w:rsidRPr="00705F37" w:rsidR="00FB6E29">
        <w:t>one that prohibits more, rather than less, dissuasive conduct</w:t>
      </w:r>
      <w:r w:rsidRPr="00705F37" w:rsidR="004949F7">
        <w:t xml:space="preserve">.  </w:t>
      </w:r>
      <w:r w:rsidRPr="00705F37" w:rsidR="00B74F99">
        <w:t xml:space="preserve">Yet, </w:t>
      </w:r>
      <w:r w:rsidRPr="00705F37" w:rsidR="00FF5D84">
        <w:t xml:space="preserve">this intent is also consistent </w:t>
      </w:r>
      <w:r w:rsidRPr="00705F37">
        <w:t>with a narrower, conjunctive construction</w:t>
      </w:r>
      <w:r w:rsidRPr="00705F37" w:rsidR="00762C74">
        <w:t xml:space="preserve"> </w:t>
      </w:r>
      <w:r w:rsidRPr="00705F37" w:rsidR="006E2EBC">
        <w:t>because</w:t>
      </w:r>
      <w:r w:rsidRPr="00705F37" w:rsidR="00762C74">
        <w:t xml:space="preserve"> such a construction would also substantially broaden protections against dissuasion</w:t>
      </w:r>
      <w:r w:rsidRPr="00705F37" w:rsidR="007B37E1">
        <w:t xml:space="preserve"> as compared to prior law</w:t>
      </w:r>
      <w:r w:rsidRPr="00705F37" w:rsidR="00762C74">
        <w:t>.</w:t>
      </w:r>
    </w:p>
    <w:p w:rsidR="001C21C1" w:rsidRPr="00705F37" w:rsidP="00705F37" w14:paraId="6C44BD9E" w14:textId="77777777">
      <w:pPr>
        <w:tabs>
          <w:tab w:val="left" w:pos="1440"/>
        </w:tabs>
        <w:ind w:firstLine="720"/>
      </w:pPr>
      <w:r w:rsidRPr="00705F37">
        <w:t>The Legislative Counsel’s Digest</w:t>
      </w:r>
      <w:r w:rsidRPr="00705F37" w:rsidR="0014273C">
        <w:t>s</w:t>
      </w:r>
      <w:r w:rsidRPr="00705F37" w:rsidR="00AF7771">
        <w:t xml:space="preserve"> </w:t>
      </w:r>
      <w:r w:rsidRPr="00705F37" w:rsidR="00B000FF">
        <w:t>to Assembly Bill No.</w:t>
      </w:r>
      <w:r w:rsidR="00161D26">
        <w:t> </w:t>
      </w:r>
      <w:r w:rsidRPr="00705F37" w:rsidR="00B000FF">
        <w:t xml:space="preserve">2909 </w:t>
      </w:r>
      <w:r w:rsidRPr="00705F37" w:rsidR="00D07BA2">
        <w:t xml:space="preserve">are similarly unenlightening.  </w:t>
      </w:r>
      <w:r w:rsidRPr="00705F37" w:rsidR="003F05EE">
        <w:t xml:space="preserve">As noted, </w:t>
      </w:r>
      <w:r w:rsidRPr="00705F37" w:rsidR="00507227">
        <w:t>t</w:t>
      </w:r>
      <w:r w:rsidRPr="00705F37" w:rsidR="00F3292C">
        <w:t xml:space="preserve">hey </w:t>
      </w:r>
      <w:r w:rsidRPr="00705F37" w:rsidR="00783410">
        <w:t xml:space="preserve">consistently </w:t>
      </w:r>
      <w:r w:rsidRPr="00705F37">
        <w:t xml:space="preserve">characterized </w:t>
      </w:r>
      <w:r w:rsidRPr="00705F37" w:rsidR="003C6106">
        <w:t xml:space="preserve">the </w:t>
      </w:r>
      <w:r w:rsidRPr="00705F37" w:rsidR="00392D19">
        <w:t xml:space="preserve">relevant </w:t>
      </w:r>
      <w:r w:rsidRPr="00705F37" w:rsidR="003C6106">
        <w:t>portion</w:t>
      </w:r>
      <w:r w:rsidRPr="00705F37" w:rsidR="00392D19">
        <w:t>s</w:t>
      </w:r>
      <w:r w:rsidRPr="00705F37" w:rsidR="003C6106">
        <w:t xml:space="preserve"> of the bill broadly </w:t>
      </w:r>
      <w:r w:rsidRPr="00705F37" w:rsidR="00E54EFC">
        <w:t>as prohibiting dissuading a victim or witness “from performing specified acts relating to assisting law enforcement or prosecution activities</w:t>
      </w:r>
      <w:r w:rsidRPr="00705F37" w:rsidR="003F05EE">
        <w:t>.</w:t>
      </w:r>
      <w:r w:rsidRPr="00705F37" w:rsidR="00E54EFC">
        <w:t xml:space="preserve">” </w:t>
      </w:r>
      <w:r w:rsidRPr="00705F37" w:rsidR="003F05EE">
        <w:t xml:space="preserve"> </w:t>
      </w:r>
      <w:r w:rsidRPr="00705F37" w:rsidR="00E54EFC">
        <w:t>(</w:t>
      </w:r>
      <w:r w:rsidR="00B5367D">
        <w:rPr>
          <w:i/>
          <w:iCs/>
        </w:rPr>
        <w:t>A</w:t>
      </w:r>
      <w:r w:rsidRPr="00705F37" w:rsidR="00186397">
        <w:rPr>
          <w:i/>
          <w:iCs/>
        </w:rPr>
        <w:t>nte</w:t>
      </w:r>
      <w:r w:rsidRPr="00705F37" w:rsidR="00186397">
        <w:t xml:space="preserve">, </w:t>
      </w:r>
      <w:r w:rsidRPr="00705F37" w:rsidR="009A69EA">
        <w:t>p</w:t>
      </w:r>
      <w:r w:rsidRPr="00705F37" w:rsidR="00792FBC">
        <w:t>p</w:t>
      </w:r>
      <w:r w:rsidRPr="00705F37" w:rsidR="009A69EA">
        <w:t>.</w:t>
      </w:r>
      <w:r w:rsidRPr="00705F37" w:rsidR="00E856CF">
        <w:t> </w:t>
      </w:r>
      <w:r w:rsidR="00FC5F25">
        <w:t>21</w:t>
      </w:r>
      <w:r w:rsidRPr="00705F37" w:rsidR="007D408F">
        <w:t>–</w:t>
      </w:r>
      <w:r w:rsidRPr="00705F37" w:rsidR="00792FBC">
        <w:t>2</w:t>
      </w:r>
      <w:r w:rsidR="00FC5F25">
        <w:t>2</w:t>
      </w:r>
      <w:r w:rsidRPr="00705F37" w:rsidR="003F05EE">
        <w:t>.</w:t>
      </w:r>
      <w:r w:rsidRPr="00705F37" w:rsidR="00E54EFC">
        <w:t>)</w:t>
      </w:r>
      <w:r w:rsidRPr="00705F37" w:rsidR="00487CE6">
        <w:t xml:space="preserve"> </w:t>
      </w:r>
      <w:r w:rsidRPr="00705F37" w:rsidR="003F05EE">
        <w:t xml:space="preserve"> </w:t>
      </w:r>
      <w:r w:rsidRPr="00705F37" w:rsidR="00E260C0">
        <w:t xml:space="preserve">While the </w:t>
      </w:r>
      <w:r w:rsidRPr="00705F37" w:rsidR="00A60C98">
        <w:t xml:space="preserve">reference to </w:t>
      </w:r>
      <w:r w:rsidRPr="00705F37" w:rsidR="00E260C0">
        <w:t>“</w:t>
      </w:r>
      <w:r w:rsidRPr="00705F37" w:rsidR="001E6923">
        <w:t xml:space="preserve">assisting . . . </w:t>
      </w:r>
      <w:r w:rsidRPr="00705F37" w:rsidR="00E260C0">
        <w:t xml:space="preserve">prosecution activities” </w:t>
      </w:r>
      <w:r w:rsidRPr="00705F37" w:rsidR="00E73EC0">
        <w:t xml:space="preserve">is broad enough to encompass “assisting </w:t>
      </w:r>
      <w:r w:rsidRPr="00705F37" w:rsidR="00E108A9">
        <w:t xml:space="preserve">in </w:t>
      </w:r>
      <w:r w:rsidRPr="00705F37" w:rsidR="00E73EC0">
        <w:t xml:space="preserve">the prosecution” of a charging document (§ 136.1(b)(2)), </w:t>
      </w:r>
      <w:r w:rsidRPr="00705F37" w:rsidR="00672180">
        <w:t>we</w:t>
      </w:r>
      <w:r w:rsidRPr="00705F37" w:rsidR="00967D01">
        <w:t xml:space="preserve"> interpret </w:t>
      </w:r>
      <w:r w:rsidRPr="00705F37" w:rsidR="00747D5E">
        <w:t xml:space="preserve">the </w:t>
      </w:r>
      <w:r w:rsidRPr="00705F37" w:rsidR="003F37D5">
        <w:t>preceding</w:t>
      </w:r>
      <w:r w:rsidRPr="00705F37" w:rsidR="00747D5E">
        <w:t xml:space="preserve"> phrase “performing specified acts” as a reference to the acts specified in section 136.1(b)(2)</w:t>
      </w:r>
      <w:r w:rsidRPr="00705F37" w:rsidR="009633EE">
        <w:t>.  I</w:t>
      </w:r>
      <w:r w:rsidRPr="00705F37" w:rsidR="00747D5E">
        <w:t xml:space="preserve">n other words, the digests simply refer to the </w:t>
      </w:r>
      <w:r w:rsidRPr="00705F37" w:rsidR="00663E2C">
        <w:t xml:space="preserve">ambiguous </w:t>
      </w:r>
      <w:r w:rsidRPr="00705F37" w:rsidR="00747D5E">
        <w:t>statutory language we are construing here.</w:t>
      </w:r>
      <w:r w:rsidRPr="00705F37" w:rsidR="009633EE">
        <w:t xml:space="preserve">  </w:t>
      </w:r>
      <w:r w:rsidRPr="00705F37" w:rsidR="00230956">
        <w:t xml:space="preserve">Moreover, </w:t>
      </w:r>
      <w:r w:rsidRPr="00705F37" w:rsidR="007D5042">
        <w:t xml:space="preserve">two </w:t>
      </w:r>
      <w:r w:rsidRPr="00705F37" w:rsidR="00C25D8C">
        <w:t xml:space="preserve">early legislative committee analyses </w:t>
      </w:r>
      <w:r w:rsidRPr="00705F37" w:rsidR="009821A6">
        <w:t>characteriz</w:t>
      </w:r>
      <w:r w:rsidRPr="00705F37" w:rsidR="00024277">
        <w:t xml:space="preserve">ed </w:t>
      </w:r>
      <w:r w:rsidRPr="00705F37" w:rsidR="00AE7FF2">
        <w:t xml:space="preserve">an earlier version of </w:t>
      </w:r>
      <w:r w:rsidRPr="00705F37" w:rsidR="00024277">
        <w:t xml:space="preserve">the bill as </w:t>
      </w:r>
      <w:r w:rsidRPr="00705F37" w:rsidR="002541D5">
        <w:t>prohibit</w:t>
      </w:r>
      <w:r w:rsidRPr="00705F37" w:rsidR="00024277">
        <w:t>ing</w:t>
      </w:r>
      <w:r w:rsidRPr="00705F37" w:rsidR="002541D5">
        <w:t xml:space="preserve"> dissuasion </w:t>
      </w:r>
      <w:r w:rsidRPr="00705F37" w:rsidR="00DD0302">
        <w:t xml:space="preserve">from </w:t>
      </w:r>
      <w:r w:rsidRPr="00E5581E" w:rsidR="00DD0302">
        <w:t>“[c]ausing an accusatory pleading to be filed, or parole or probation violation sought”</w:t>
      </w:r>
      <w:r w:rsidRPr="00E5581E" w:rsidR="0028022B">
        <w:t xml:space="preserve"> </w:t>
      </w:r>
      <w:r w:rsidRPr="00E5581E" w:rsidR="00646D24">
        <w:t xml:space="preserve">(Assem. Com. on Crim. Justice, Analysis of Assem. Bill No. 2909, </w:t>
      </w:r>
      <w:r w:rsidRPr="00E5581E" w:rsidR="00646D24">
        <w:rPr>
          <w:i/>
          <w:iCs/>
          <w:szCs w:val="26"/>
        </w:rPr>
        <w:t>supra</w:t>
      </w:r>
      <w:r w:rsidRPr="00E5581E" w:rsidR="00646D24">
        <w:t xml:space="preserve">, as introduced Mar. 6, 1980, p. 1; Sen. Com. on Judiciary, Analysis of Assem. Bill No. 2909, </w:t>
      </w:r>
      <w:r w:rsidRPr="00E5581E" w:rsidR="00646D24">
        <w:rPr>
          <w:i/>
          <w:iCs/>
          <w:szCs w:val="26"/>
        </w:rPr>
        <w:t>supra</w:t>
      </w:r>
      <w:r w:rsidRPr="00E5581E" w:rsidR="00646D24">
        <w:t>, as amended Apr. 9, 1980, p. 3),</w:t>
      </w:r>
      <w:r w:rsidR="00646D24">
        <w:t xml:space="preserve"> </w:t>
      </w:r>
      <w:r w:rsidRPr="00705F37" w:rsidR="0028022B">
        <w:t xml:space="preserve">which </w:t>
      </w:r>
      <w:r w:rsidRPr="00705F37" w:rsidR="00953363">
        <w:t xml:space="preserve">tends to </w:t>
      </w:r>
      <w:r w:rsidRPr="00705F37" w:rsidR="0028022B">
        <w:t xml:space="preserve">suggest </w:t>
      </w:r>
      <w:r w:rsidRPr="00705F37" w:rsidR="00953363">
        <w:t xml:space="preserve">that </w:t>
      </w:r>
      <w:r w:rsidRPr="00705F37" w:rsidR="0028022B">
        <w:t>the Legislature</w:t>
      </w:r>
      <w:r w:rsidRPr="00705F37" w:rsidR="00953363">
        <w:t xml:space="preserve"> was </w:t>
      </w:r>
      <w:r w:rsidRPr="00705F37" w:rsidR="0028022B">
        <w:t>focus</w:t>
      </w:r>
      <w:r w:rsidRPr="00705F37" w:rsidR="00953363">
        <w:t>ing</w:t>
      </w:r>
      <w:r w:rsidRPr="00705F37" w:rsidR="0028022B">
        <w:t xml:space="preserve"> on the causing clause</w:t>
      </w:r>
      <w:r w:rsidRPr="00705F37" w:rsidR="00070882">
        <w:t xml:space="preserve">, </w:t>
      </w:r>
      <w:r w:rsidR="009B5B11">
        <w:t>which could be seen as consistent with</w:t>
      </w:r>
      <w:r w:rsidRPr="00705F37" w:rsidR="00070882">
        <w:t xml:space="preserve"> a conjunctive reading that gives effect to both clauses</w:t>
      </w:r>
      <w:r w:rsidRPr="00705F37" w:rsidR="00F44859">
        <w:t xml:space="preserve">.  (See </w:t>
      </w:r>
      <w:r w:rsidRPr="00705F37" w:rsidR="00F44859">
        <w:rPr>
          <w:i/>
          <w:iCs/>
        </w:rPr>
        <w:t>ante</w:t>
      </w:r>
      <w:r w:rsidRPr="00705F37" w:rsidR="00F44859">
        <w:t>, fn. 1</w:t>
      </w:r>
      <w:r w:rsidR="00774B49">
        <w:t>3</w:t>
      </w:r>
      <w:r w:rsidRPr="00705F37" w:rsidR="00F44859">
        <w:t xml:space="preserve">.)  </w:t>
      </w:r>
      <w:r w:rsidRPr="00705F37" w:rsidR="00070882">
        <w:t>Yet</w:t>
      </w:r>
      <w:r w:rsidRPr="00705F37" w:rsidR="0028022B">
        <w:t xml:space="preserve">, </w:t>
      </w:r>
      <w:r w:rsidRPr="00705F37" w:rsidR="0023571A">
        <w:t xml:space="preserve">a </w:t>
      </w:r>
      <w:r w:rsidRPr="00705F37" w:rsidR="00E01841">
        <w:t xml:space="preserve">subsequent </w:t>
      </w:r>
      <w:r w:rsidRPr="00705F37" w:rsidR="00456256">
        <w:t xml:space="preserve">Assembly </w:t>
      </w:r>
      <w:r w:rsidRPr="00705F37" w:rsidR="00E01841">
        <w:t xml:space="preserve">committee </w:t>
      </w:r>
      <w:r w:rsidRPr="00705F37" w:rsidR="0023571A">
        <w:t xml:space="preserve">analysis </w:t>
      </w:r>
      <w:r w:rsidRPr="00705F37" w:rsidR="00E01841">
        <w:t>adopted the broader reading</w:t>
      </w:r>
      <w:r w:rsidRPr="00705F37" w:rsidR="00216755">
        <w:t xml:space="preserve"> reflected in the Legislative Counsel’s Digests</w:t>
      </w:r>
      <w:r w:rsidRPr="00705F37" w:rsidR="00E01841">
        <w:t>, and nothing in the earlier materials</w:t>
      </w:r>
      <w:r w:rsidRPr="00705F37" w:rsidR="00EC417A">
        <w:t xml:space="preserve"> suggests </w:t>
      </w:r>
      <w:r w:rsidRPr="00705F37" w:rsidR="00A24D11">
        <w:t xml:space="preserve">their characterizations </w:t>
      </w:r>
      <w:r w:rsidRPr="00705F37" w:rsidR="00DF2DFA">
        <w:t xml:space="preserve">of the statutory language </w:t>
      </w:r>
      <w:r w:rsidRPr="00705F37" w:rsidR="00A24D11">
        <w:t xml:space="preserve">were intended </w:t>
      </w:r>
      <w:r w:rsidRPr="00705F37" w:rsidR="00A77926">
        <w:t>“to limit the reach of the statute to acts of intimidation occurring before a complaint is sought.”</w:t>
      </w:r>
      <w:r w:rsidRPr="00705F37" w:rsidR="003C39EB">
        <w:t xml:space="preserve"> </w:t>
      </w:r>
      <w:r w:rsidRPr="00705F37" w:rsidR="00F63571">
        <w:t xml:space="preserve"> </w:t>
      </w:r>
      <w:r w:rsidRPr="00705F37" w:rsidR="003C39EB">
        <w:t>(</w:t>
      </w:r>
      <w:r w:rsidRPr="00705F37" w:rsidR="003C39EB">
        <w:rPr>
          <w:i/>
          <w:iCs/>
        </w:rPr>
        <w:t>Freer</w:t>
      </w:r>
      <w:r w:rsidRPr="00705F37" w:rsidR="003C39EB">
        <w:t xml:space="preserve">, </w:t>
      </w:r>
      <w:r w:rsidRPr="00705F37" w:rsidR="003C39EB">
        <w:rPr>
          <w:i/>
          <w:iCs/>
          <w:szCs w:val="26"/>
        </w:rPr>
        <w:t>supra</w:t>
      </w:r>
      <w:r w:rsidRPr="00705F37" w:rsidR="003C39EB">
        <w:t>, 779</w:t>
      </w:r>
      <w:r w:rsidRPr="00705F37" w:rsidR="00E856CF">
        <w:t> </w:t>
      </w:r>
      <w:r w:rsidRPr="00705F37" w:rsidR="003C39EB">
        <w:t>N.W.2d at p.</w:t>
      </w:r>
      <w:r w:rsidRPr="00705F37" w:rsidR="00E856CF">
        <w:t> </w:t>
      </w:r>
      <w:r w:rsidRPr="00705F37" w:rsidR="00646D24">
        <w:t>1</w:t>
      </w:r>
      <w:r w:rsidR="00646D24">
        <w:t>8</w:t>
      </w:r>
      <w:r w:rsidRPr="00705F37" w:rsidR="003C39EB">
        <w:t>.)</w:t>
      </w:r>
    </w:p>
    <w:p w:rsidR="00220F9D" w:rsidRPr="00705F37" w:rsidP="00705F37" w14:paraId="6C44BD9F" w14:textId="77777777">
      <w:pPr>
        <w:tabs>
          <w:tab w:val="left" w:pos="1440"/>
        </w:tabs>
        <w:ind w:firstLine="720"/>
      </w:pPr>
      <w:r w:rsidRPr="00705F37">
        <w:t>Nor can t</w:t>
      </w:r>
      <w:r w:rsidRPr="00705F37" w:rsidR="00FB6E29">
        <w:t xml:space="preserve">he Legislature’s </w:t>
      </w:r>
      <w:r w:rsidRPr="00705F37" w:rsidR="00C326B1">
        <w:t xml:space="preserve">silent insertion of the comma immediately before the connecting “and” </w:t>
      </w:r>
      <w:r w:rsidRPr="00705F37" w:rsidR="00247078">
        <w:t>reasonably be deemed dispositive</w:t>
      </w:r>
      <w:r w:rsidRPr="00705F37" w:rsidR="004356A1">
        <w:t>.</w:t>
      </w:r>
      <w:r w:rsidRPr="00705F37" w:rsidR="00301C2A">
        <w:t xml:space="preserve">  (</w:t>
      </w:r>
      <w:r w:rsidRPr="00705F37" w:rsidR="00D36B92">
        <w:t xml:space="preserve">See </w:t>
      </w:r>
      <w:r w:rsidRPr="00705F37" w:rsidR="00301C2A">
        <w:rPr>
          <w:i/>
          <w:iCs/>
        </w:rPr>
        <w:t>Roland v. Superior Court</w:t>
      </w:r>
      <w:r w:rsidRPr="00705F37" w:rsidR="00301C2A">
        <w:t xml:space="preserve"> (2004) 124 Cal.App.4th 154, 163 [“While not of controlling importance, punctuation is part of a statute and should be considered in its interpretation in attempting to give the statute the construction intended by the drafter”]</w:t>
      </w:r>
      <w:r w:rsidRPr="00705F37" w:rsidR="0070165A">
        <w:t xml:space="preserve">; </w:t>
      </w:r>
      <w:bookmarkStart w:id="14" w:name="_Hlk159911445"/>
      <w:r w:rsidRPr="00705F37" w:rsidR="0070165A">
        <w:rPr>
          <w:i/>
          <w:iCs/>
        </w:rPr>
        <w:t>Renee J. v. Superior Court</w:t>
      </w:r>
      <w:r w:rsidRPr="00705F37" w:rsidR="0070165A">
        <w:t xml:space="preserve"> (2001) 26</w:t>
      </w:r>
      <w:r w:rsidRPr="00705F37" w:rsidR="00D24D26">
        <w:t> </w:t>
      </w:r>
      <w:r w:rsidRPr="00705F37" w:rsidR="0070165A">
        <w:t xml:space="preserve">Cal.4th 735, 747 </w:t>
      </w:r>
      <w:r w:rsidRPr="00705F37" w:rsidR="00562FE3">
        <w:t>(</w:t>
      </w:r>
      <w:r w:rsidRPr="00705F37" w:rsidR="00562FE3">
        <w:rPr>
          <w:i/>
          <w:iCs/>
        </w:rPr>
        <w:t>Renee J.</w:t>
      </w:r>
      <w:r w:rsidRPr="00705F37" w:rsidR="00562FE3">
        <w:t>)</w:t>
      </w:r>
      <w:bookmarkEnd w:id="14"/>
      <w:r w:rsidRPr="00705F37" w:rsidR="00562FE3">
        <w:t xml:space="preserve"> </w:t>
      </w:r>
      <w:r w:rsidRPr="00705F37" w:rsidR="0070165A">
        <w:t xml:space="preserve">[“We agree generally that the presence or absence of commas is a factor to be considered in interpreting a statute”].)  </w:t>
      </w:r>
      <w:r w:rsidRPr="00705F37" w:rsidR="00A46278">
        <w:t xml:space="preserve">As noted, this was the only change the Legislature made </w:t>
      </w:r>
      <w:r w:rsidRPr="00705F37" w:rsidR="00FA3897">
        <w:t xml:space="preserve">to the text of </w:t>
      </w:r>
      <w:r w:rsidRPr="00705F37" w:rsidR="00EE1861">
        <w:t xml:space="preserve">the </w:t>
      </w:r>
      <w:r w:rsidRPr="00705F37" w:rsidR="007C2A97">
        <w:t xml:space="preserve">causing or assisting clauses </w:t>
      </w:r>
      <w:r w:rsidRPr="00705F37" w:rsidR="006231A3">
        <w:t>when implementing</w:t>
      </w:r>
      <w:r w:rsidRPr="00705F37" w:rsidR="00EE1861">
        <w:t xml:space="preserve"> the ABA model statute.</w:t>
      </w:r>
      <w:r w:rsidRPr="00705F37" w:rsidR="007325CE">
        <w:t xml:space="preserve">  </w:t>
      </w:r>
      <w:r w:rsidRPr="00705F37" w:rsidR="00967410">
        <w:t xml:space="preserve">A </w:t>
      </w:r>
      <w:r w:rsidRPr="00705F37" w:rsidR="00DF4CCD">
        <w:rPr>
          <w:szCs w:val="26"/>
        </w:rPr>
        <w:t xml:space="preserve">comma </w:t>
      </w:r>
      <w:r w:rsidRPr="00705F37" w:rsidR="00DF4CCD">
        <w:t>is “normally used to divide and isolate ideas” (</w:t>
      </w:r>
      <w:r w:rsidRPr="00705F37" w:rsidR="00BE15D8">
        <w:rPr>
          <w:i/>
          <w:iCs/>
        </w:rPr>
        <w:t>In re S.C</w:t>
      </w:r>
      <w:r w:rsidRPr="00705F37" w:rsidR="00BE15D8">
        <w:t xml:space="preserve">. (2009) 179 Cal.App.4th 1436, </w:t>
      </w:r>
      <w:r w:rsidRPr="00705F37" w:rsidR="0019088E">
        <w:t>1441</w:t>
      </w:r>
      <w:r w:rsidRPr="00705F37" w:rsidR="00DF4CCD">
        <w:t>)</w:t>
      </w:r>
      <w:r w:rsidRPr="00705F37" w:rsidR="00967410">
        <w:t xml:space="preserve">, </w:t>
      </w:r>
      <w:r w:rsidRPr="00705F37" w:rsidR="00263CD8">
        <w:t>thereby supporting a disjunctive reading</w:t>
      </w:r>
      <w:r w:rsidRPr="00705F37" w:rsidR="00967410">
        <w:t>.</w:t>
      </w:r>
      <w:r w:rsidRPr="00705F37" w:rsidR="00CC25D5">
        <w:t xml:space="preserve">  </w:t>
      </w:r>
      <w:r w:rsidRPr="00705F37" w:rsidR="00F27149">
        <w:t>Indeed, w</w:t>
      </w:r>
      <w:r w:rsidRPr="00705F37" w:rsidR="00CC25D5">
        <w:t>hile</w:t>
      </w:r>
      <w:r w:rsidRPr="00705F37" w:rsidR="00263CD8">
        <w:t xml:space="preserve"> </w:t>
      </w:r>
      <w:r w:rsidRPr="00705F37" w:rsidR="00DF4CCD">
        <w:t xml:space="preserve">it </w:t>
      </w:r>
      <w:r w:rsidRPr="00705F37" w:rsidR="0019088E">
        <w:t>i</w:t>
      </w:r>
      <w:r w:rsidRPr="00705F37" w:rsidR="00DF4CCD">
        <w:t xml:space="preserve">s unclear from the statutory text in isolation what the Legislature </w:t>
      </w:r>
      <w:r w:rsidRPr="00705F37" w:rsidR="00DE152F">
        <w:t>was intending to divide and isolate</w:t>
      </w:r>
      <w:r w:rsidRPr="00705F37" w:rsidR="00F27149">
        <w:t>, w</w:t>
      </w:r>
      <w:r w:rsidRPr="00705F37" w:rsidR="0024272F">
        <w:t xml:space="preserve">hen viewed </w:t>
      </w:r>
      <w:r w:rsidRPr="00705F37">
        <w:t xml:space="preserve">against the backdrop </w:t>
      </w:r>
      <w:r w:rsidRPr="00705F37" w:rsidR="0024272F">
        <w:t xml:space="preserve">of the stated </w:t>
      </w:r>
      <w:r w:rsidRPr="00705F37" w:rsidR="00816F84">
        <w:t xml:space="preserve">legislative </w:t>
      </w:r>
      <w:r w:rsidRPr="00705F37" w:rsidR="0024272F">
        <w:t xml:space="preserve">intent to substantially </w:t>
      </w:r>
      <w:r w:rsidRPr="00705F37" w:rsidR="00787D42">
        <w:t xml:space="preserve">broaden </w:t>
      </w:r>
      <w:r w:rsidRPr="00705F37" w:rsidR="0024272F">
        <w:t>the coverage of witness dissuasion laws</w:t>
      </w:r>
      <w:r w:rsidRPr="00705F37" w:rsidR="001E7C49">
        <w:t xml:space="preserve">, and in light of the Legislative Counsel’s broad characterization of the provision as prohibiting dissuasion from assisting in </w:t>
      </w:r>
      <w:r w:rsidRPr="00705F37" w:rsidR="00A25419">
        <w:t xml:space="preserve">prosecution activities, </w:t>
      </w:r>
      <w:r w:rsidRPr="00705F37" w:rsidR="00672180">
        <w:t>we</w:t>
      </w:r>
      <w:r w:rsidRPr="00705F37" w:rsidR="002B6BB9">
        <w:t xml:space="preserve"> find it </w:t>
      </w:r>
      <w:r w:rsidRPr="00705F37" w:rsidR="00BB2296">
        <w:t xml:space="preserve">at least </w:t>
      </w:r>
      <w:r w:rsidRPr="00705F37" w:rsidR="002B6BB9">
        <w:t xml:space="preserve">plausible that the Legislature intended for the comma to signify that the </w:t>
      </w:r>
      <w:r w:rsidRPr="00705F37" w:rsidR="00D233F0">
        <w:t>two</w:t>
      </w:r>
      <w:r w:rsidRPr="00705F37" w:rsidR="002B6BB9">
        <w:t xml:space="preserve"> clauses </w:t>
      </w:r>
      <w:r w:rsidRPr="00705F37" w:rsidR="00AA028F">
        <w:t>independently prohibit separate conduct.</w:t>
      </w:r>
    </w:p>
    <w:p w:rsidR="00FF4FAB" w:rsidRPr="00705F37" w:rsidP="00705F37" w14:paraId="6C44BDA0" w14:textId="77777777">
      <w:pPr>
        <w:tabs>
          <w:tab w:val="left" w:pos="1440"/>
        </w:tabs>
        <w:ind w:firstLine="720"/>
      </w:pPr>
      <w:r w:rsidRPr="00705F37">
        <w:t xml:space="preserve">This interpretation </w:t>
      </w:r>
      <w:r w:rsidRPr="00705F37" w:rsidR="003A5F64">
        <w:t xml:space="preserve">is </w:t>
      </w:r>
      <w:r w:rsidRPr="00705F37" w:rsidR="006231A3">
        <w:t xml:space="preserve">both </w:t>
      </w:r>
      <w:r w:rsidRPr="00705F37" w:rsidR="003A5F64">
        <w:t xml:space="preserve">supported </w:t>
      </w:r>
      <w:r w:rsidRPr="00705F37" w:rsidR="006231A3">
        <w:t xml:space="preserve">and undermined </w:t>
      </w:r>
      <w:r w:rsidRPr="00705F37" w:rsidR="003A5F64">
        <w:t xml:space="preserve">by </w:t>
      </w:r>
      <w:r w:rsidRPr="00705F37" w:rsidR="000F7BC8">
        <w:t xml:space="preserve">the </w:t>
      </w:r>
      <w:r w:rsidRPr="00705F37" w:rsidR="00D233F0">
        <w:t xml:space="preserve">experiences, discussed above, of </w:t>
      </w:r>
      <w:r w:rsidRPr="00705F37" w:rsidR="003A5F64">
        <w:t xml:space="preserve">other jurisdictions implementing the ABA model statute.  </w:t>
      </w:r>
      <w:r w:rsidRPr="00705F37" w:rsidR="00740BF8">
        <w:t>On the one hand, s</w:t>
      </w:r>
      <w:r w:rsidRPr="00705F37" w:rsidR="0032472D">
        <w:t xml:space="preserve">ix of the eight jurisdictions </w:t>
      </w:r>
      <w:r w:rsidRPr="00705F37" w:rsidR="00774BA5">
        <w:t xml:space="preserve">implemented the model statute by replacing </w:t>
      </w:r>
      <w:r w:rsidRPr="00705F37" w:rsidR="00EF3DD7">
        <w:t xml:space="preserve">the connecting “and” with some formulation involving the word “or,” thereby expressly </w:t>
      </w:r>
      <w:r w:rsidRPr="00705F37" w:rsidR="005B5571">
        <w:t xml:space="preserve">indicating </w:t>
      </w:r>
      <w:r w:rsidRPr="00705F37" w:rsidR="00132643">
        <w:t xml:space="preserve">that </w:t>
      </w:r>
      <w:r w:rsidRPr="00705F37" w:rsidR="005B5571">
        <w:t>the causing and assisting clauses are to be viewed disjunctively</w:t>
      </w:r>
      <w:r w:rsidRPr="00705F37" w:rsidR="00615284">
        <w:t xml:space="preserve"> in those jurisdictions</w:t>
      </w:r>
      <w:r w:rsidRPr="00705F37" w:rsidR="005B5571">
        <w:t xml:space="preserve">.  </w:t>
      </w:r>
      <w:r w:rsidRPr="00705F37" w:rsidR="008C0C93">
        <w:t>T</w:t>
      </w:r>
      <w:r w:rsidRPr="00705F37" w:rsidR="00347744">
        <w:t xml:space="preserve">his </w:t>
      </w:r>
      <w:r w:rsidRPr="00705F37" w:rsidR="00AC38A5">
        <w:t xml:space="preserve">near-universal disjunctive treatment of the clauses </w:t>
      </w:r>
      <w:r w:rsidRPr="00705F37" w:rsidR="00517131">
        <w:t xml:space="preserve">by other states’ legislatures </w:t>
      </w:r>
      <w:r w:rsidRPr="00705F37" w:rsidR="00652B39">
        <w:t xml:space="preserve">suggests </w:t>
      </w:r>
      <w:r w:rsidRPr="00705F37" w:rsidR="00AC38A5">
        <w:t xml:space="preserve">that our Legislature </w:t>
      </w:r>
      <w:r w:rsidRPr="00705F37" w:rsidR="00211521">
        <w:t xml:space="preserve">might </w:t>
      </w:r>
      <w:r w:rsidRPr="00705F37" w:rsidR="003B628A">
        <w:t xml:space="preserve">also </w:t>
      </w:r>
      <w:r w:rsidRPr="00705F37" w:rsidR="00211521">
        <w:t xml:space="preserve">have </w:t>
      </w:r>
      <w:r w:rsidRPr="00705F37" w:rsidR="00AC38A5">
        <w:t xml:space="preserve">intended </w:t>
      </w:r>
      <w:r w:rsidRPr="00705F37" w:rsidR="00211521">
        <w:t xml:space="preserve">for </w:t>
      </w:r>
      <w:r w:rsidRPr="00705F37" w:rsidR="0022750C">
        <w:t xml:space="preserve">its insertion of a comma immediately before the connecting “and” </w:t>
      </w:r>
      <w:r w:rsidRPr="00705F37" w:rsidR="004308B5">
        <w:t>to likewise convey that the clauses are to be viewed disjunctively.</w:t>
      </w:r>
      <w:r w:rsidRPr="00705F37" w:rsidR="00517131">
        <w:t xml:space="preserve">  </w:t>
      </w:r>
      <w:r w:rsidRPr="00705F37" w:rsidR="009576A0">
        <w:t xml:space="preserve">That is, the fact that our Legislature inserted a </w:t>
      </w:r>
      <w:r w:rsidRPr="00705F37" w:rsidR="009576A0">
        <w:rPr>
          <w:i/>
          <w:iCs/>
        </w:rPr>
        <w:t>punctuation mark</w:t>
      </w:r>
      <w:r w:rsidRPr="00705F37" w:rsidR="009576A0">
        <w:t xml:space="preserve"> that sign</w:t>
      </w:r>
      <w:r w:rsidRPr="00705F37" w:rsidR="00CC76EC">
        <w:t>i</w:t>
      </w:r>
      <w:r w:rsidRPr="00705F37" w:rsidR="009576A0">
        <w:t xml:space="preserve">fies </w:t>
      </w:r>
      <w:r w:rsidRPr="00705F37" w:rsidR="00CC76EC">
        <w:t xml:space="preserve">divided or isolated ideas </w:t>
      </w:r>
      <w:r w:rsidRPr="00705F37" w:rsidR="00045A73">
        <w:t xml:space="preserve">(see </w:t>
      </w:r>
      <w:r w:rsidRPr="00705F37" w:rsidR="00045A73">
        <w:rPr>
          <w:i/>
          <w:iCs/>
        </w:rPr>
        <w:t>In re S.C</w:t>
      </w:r>
      <w:r w:rsidRPr="00705F37" w:rsidR="00045A73">
        <w:t>.</w:t>
      </w:r>
      <w:r w:rsidRPr="00705F37" w:rsidR="007D408F">
        <w:t>,</w:t>
      </w:r>
      <w:r w:rsidRPr="00705F37" w:rsidR="00542A4D">
        <w:t xml:space="preserve"> </w:t>
      </w:r>
      <w:r w:rsidRPr="00705F37" w:rsidR="00542A4D">
        <w:rPr>
          <w:i/>
          <w:iCs/>
          <w:szCs w:val="26"/>
        </w:rPr>
        <w:t>supra</w:t>
      </w:r>
      <w:r w:rsidRPr="00705F37" w:rsidR="00542A4D">
        <w:t>,</w:t>
      </w:r>
      <w:r w:rsidRPr="00705F37" w:rsidR="00045A73">
        <w:t xml:space="preserve"> 179</w:t>
      </w:r>
      <w:r w:rsidRPr="00705F37" w:rsidR="00111F39">
        <w:t> </w:t>
      </w:r>
      <w:r w:rsidRPr="00705F37" w:rsidR="00045A73">
        <w:t>Cal.App.4th at p.</w:t>
      </w:r>
      <w:r w:rsidRPr="00705F37" w:rsidR="00111F39">
        <w:t> </w:t>
      </w:r>
      <w:r w:rsidRPr="00705F37" w:rsidR="00045A73">
        <w:t xml:space="preserve">1441) </w:t>
      </w:r>
      <w:r w:rsidRPr="00705F37" w:rsidR="00CC76EC">
        <w:t xml:space="preserve">precisely where other legislatures </w:t>
      </w:r>
      <w:r w:rsidRPr="00705F37" w:rsidR="00CA7F3E">
        <w:t xml:space="preserve">inserted </w:t>
      </w:r>
      <w:r w:rsidRPr="00705F37" w:rsidR="00207625">
        <w:t xml:space="preserve">a </w:t>
      </w:r>
      <w:r w:rsidRPr="00705F37" w:rsidR="00207625">
        <w:rPr>
          <w:i/>
          <w:iCs/>
        </w:rPr>
        <w:t>word</w:t>
      </w:r>
      <w:r w:rsidRPr="00705F37" w:rsidR="00207625">
        <w:t xml:space="preserve"> that signifies independent operation</w:t>
      </w:r>
      <w:r w:rsidR="004B4BEC">
        <w:t>,</w:t>
      </w:r>
      <w:r w:rsidRPr="00705F37" w:rsidR="00207625">
        <w:t xml:space="preserve"> </w:t>
      </w:r>
      <w:r w:rsidR="00AA1A23">
        <w:t xml:space="preserve">could </w:t>
      </w:r>
      <w:r w:rsidRPr="00705F37" w:rsidR="00207625">
        <w:t xml:space="preserve">suggest that our Legislature intended the comma to </w:t>
      </w:r>
      <w:r w:rsidRPr="00705F37" w:rsidR="005753D6">
        <w:t xml:space="preserve">communicate the same disjunctive meaning communicated by the </w:t>
      </w:r>
      <w:r w:rsidRPr="00705F37" w:rsidR="00303795">
        <w:t>word “or</w:t>
      </w:r>
      <w:r w:rsidRPr="00705F37" w:rsidR="004A6818">
        <w:t>.</w:t>
      </w:r>
      <w:r w:rsidRPr="00705F37" w:rsidR="00303795">
        <w:t>”</w:t>
      </w:r>
      <w:r w:rsidRPr="00705F37" w:rsidR="002B37DE">
        <w:t xml:space="preserve">  </w:t>
      </w:r>
    </w:p>
    <w:p w:rsidR="00543EA0" w:rsidRPr="00705F37" w:rsidP="00705F37" w14:paraId="6C44BDA1" w14:textId="77777777">
      <w:pPr>
        <w:tabs>
          <w:tab w:val="left" w:pos="1440"/>
        </w:tabs>
        <w:ind w:firstLine="720"/>
      </w:pPr>
      <w:r w:rsidRPr="00705F37">
        <w:t>But o</w:t>
      </w:r>
      <w:r w:rsidRPr="00705F37" w:rsidR="000E369F">
        <w:t>n the other hand</w:t>
      </w:r>
      <w:r w:rsidRPr="00705F37" w:rsidR="002A55E6">
        <w:t xml:space="preserve">, </w:t>
      </w:r>
      <w:r w:rsidRPr="00705F37" w:rsidR="00B76BA4">
        <w:t>our Legislature</w:t>
      </w:r>
      <w:r w:rsidR="00267970">
        <w:t xml:space="preserve">’s decision to not do </w:t>
      </w:r>
      <w:r w:rsidR="00377473">
        <w:t>just as other jurisdictions have done, and simply replace</w:t>
      </w:r>
      <w:r w:rsidRPr="00705F37" w:rsidR="00FA1508">
        <w:t xml:space="preserve"> </w:t>
      </w:r>
      <w:r w:rsidRPr="00705F37" w:rsidR="00E505E7">
        <w:t xml:space="preserve">“and” </w:t>
      </w:r>
      <w:r w:rsidRPr="00705F37" w:rsidR="00B76BA4">
        <w:t xml:space="preserve">with </w:t>
      </w:r>
      <w:r w:rsidRPr="00705F37" w:rsidR="00E505E7">
        <w:t>“or”</w:t>
      </w:r>
      <w:r w:rsidRPr="00705F37" w:rsidR="00B76BA4">
        <w:t xml:space="preserve"> instead of </w:t>
      </w:r>
      <w:r w:rsidRPr="00705F37" w:rsidR="0081309A">
        <w:t xml:space="preserve">silently </w:t>
      </w:r>
      <w:r w:rsidRPr="00705F37">
        <w:t>inserting a comma</w:t>
      </w:r>
      <w:r w:rsidRPr="00705F37" w:rsidR="004D7C27">
        <w:t xml:space="preserve">, </w:t>
      </w:r>
      <w:r w:rsidR="00377473">
        <w:t xml:space="preserve">may well suggest that the Legislature had chosen to </w:t>
      </w:r>
      <w:r w:rsidR="00377473">
        <w:rPr>
          <w:i/>
          <w:iCs/>
        </w:rPr>
        <w:t xml:space="preserve">not </w:t>
      </w:r>
      <w:r w:rsidR="00377473">
        <w:t xml:space="preserve">give the clause a disjunctive </w:t>
      </w:r>
      <w:r w:rsidR="003F7ABD">
        <w:t>meaning</w:t>
      </w:r>
      <w:r w:rsidRPr="00705F37">
        <w:t xml:space="preserve">.  </w:t>
      </w:r>
      <w:r w:rsidRPr="00705F37" w:rsidR="00A2625B">
        <w:t xml:space="preserve">And </w:t>
      </w:r>
      <w:r w:rsidRPr="00705F37" w:rsidR="003356F6">
        <w:t xml:space="preserve">it is possible that </w:t>
      </w:r>
      <w:r w:rsidRPr="00705F37" w:rsidR="00A2625B">
        <w:t>the Legislature intended the comma to s</w:t>
      </w:r>
      <w:r w:rsidRPr="00705F37" w:rsidR="009C1D05">
        <w:t xml:space="preserve">erve </w:t>
      </w:r>
      <w:r w:rsidRPr="00705F37" w:rsidR="003356F6">
        <w:t xml:space="preserve">some other </w:t>
      </w:r>
      <w:r w:rsidR="005B37B4">
        <w:t xml:space="preserve">unspecified </w:t>
      </w:r>
      <w:r w:rsidRPr="00705F37" w:rsidR="003356F6">
        <w:t>purpose</w:t>
      </w:r>
      <w:r w:rsidRPr="00705F37" w:rsidR="001C4800">
        <w:t xml:space="preserve">.  </w:t>
      </w:r>
    </w:p>
    <w:p w:rsidR="002B1C9A" w:rsidRPr="00705F37" w:rsidP="00705F37" w14:paraId="6C44BDA2" w14:textId="77777777">
      <w:pPr>
        <w:tabs>
          <w:tab w:val="left" w:pos="1440"/>
        </w:tabs>
        <w:ind w:firstLine="720"/>
      </w:pPr>
      <w:r w:rsidRPr="00705F37">
        <w:t>In the end</w:t>
      </w:r>
      <w:r w:rsidRPr="00705F37" w:rsidR="00B259E1">
        <w:t>, while the Legislature’s insertion of the comma</w:t>
      </w:r>
      <w:r w:rsidRPr="00705F37" w:rsidR="00404F9F">
        <w:t xml:space="preserve"> </w:t>
      </w:r>
      <w:r w:rsidRPr="00705F37">
        <w:t>“is a factor to be considered in interpreting”</w:t>
      </w:r>
      <w:r w:rsidRPr="00705F37" w:rsidR="00CC1089">
        <w:t xml:space="preserve"> </w:t>
      </w:r>
      <w:r w:rsidRPr="00705F37" w:rsidR="00EF7BA8">
        <w:t xml:space="preserve">section 136.1(b)(2) </w:t>
      </w:r>
      <w:r w:rsidRPr="00705F37" w:rsidR="00CC1089">
        <w:t>(</w:t>
      </w:r>
      <w:r w:rsidRPr="00705F37" w:rsidR="00CC1089">
        <w:rPr>
          <w:i/>
          <w:iCs/>
        </w:rPr>
        <w:t>Renee J</w:t>
      </w:r>
      <w:r w:rsidRPr="00705F37" w:rsidR="00CC1089">
        <w:t xml:space="preserve">., </w:t>
      </w:r>
      <w:r w:rsidRPr="00705F37" w:rsidR="00CC1089">
        <w:rPr>
          <w:i/>
          <w:iCs/>
          <w:szCs w:val="26"/>
        </w:rPr>
        <w:t>supra</w:t>
      </w:r>
      <w:r w:rsidRPr="00705F37" w:rsidR="00CC1089">
        <w:t>, 26 Cal.4th at p.</w:t>
      </w:r>
      <w:r w:rsidRPr="00705F37" w:rsidR="00EF7BA8">
        <w:t> </w:t>
      </w:r>
      <w:r w:rsidRPr="00705F37" w:rsidR="00CC1089">
        <w:t>747)</w:t>
      </w:r>
      <w:r w:rsidRPr="00705F37">
        <w:t xml:space="preserve">, we decline to </w:t>
      </w:r>
      <w:r w:rsidRPr="00705F37" w:rsidR="002A0FE6">
        <w:t>accord</w:t>
      </w:r>
      <w:r w:rsidRPr="00705F37">
        <w:t xml:space="preserve"> it dispositive weight</w:t>
      </w:r>
      <w:r w:rsidRPr="00705F37" w:rsidR="00D21882">
        <w:t>,</w:t>
      </w:r>
      <w:r w:rsidRPr="00705F37">
        <w:t xml:space="preserve"> </w:t>
      </w:r>
      <w:r w:rsidRPr="00705F37" w:rsidR="00B208F1">
        <w:t xml:space="preserve">particularly </w:t>
      </w:r>
      <w:r w:rsidRPr="00705F37" w:rsidR="00D21882">
        <w:t xml:space="preserve">given the opposing and conflicting meanings the Legislature could have ascribed to its unexplained insertion of a comma </w:t>
      </w:r>
      <w:r w:rsidRPr="00705F37" w:rsidR="008A735C">
        <w:t>during</w:t>
      </w:r>
      <w:r w:rsidRPr="00705F37" w:rsidR="00D21882">
        <w:t xml:space="preserve"> the drafting process</w:t>
      </w:r>
      <w:r w:rsidRPr="00705F37" w:rsidR="008A735C">
        <w:t>.</w:t>
      </w:r>
    </w:p>
    <w:p w:rsidR="006F0BD7" w:rsidRPr="00705F37" w:rsidP="00705F37" w14:paraId="6C44BDA3" w14:textId="77777777">
      <w:pPr>
        <w:tabs>
          <w:tab w:val="left" w:pos="1440"/>
        </w:tabs>
        <w:ind w:firstLine="720"/>
        <w:rPr>
          <w:szCs w:val="26"/>
        </w:rPr>
      </w:pPr>
      <w:r w:rsidRPr="00705F37">
        <w:rPr>
          <w:szCs w:val="26"/>
        </w:rPr>
        <w:t>Turning to t</w:t>
      </w:r>
      <w:r w:rsidRPr="00705F37" w:rsidR="002D6F67">
        <w:rPr>
          <w:szCs w:val="26"/>
        </w:rPr>
        <w:t xml:space="preserve">he </w:t>
      </w:r>
      <w:r w:rsidRPr="00705F37" w:rsidR="00F159E4">
        <w:rPr>
          <w:i/>
          <w:iCs/>
        </w:rPr>
        <w:t>Freer</w:t>
      </w:r>
      <w:r w:rsidRPr="00705F37" w:rsidR="007A2598">
        <w:rPr>
          <w:i/>
          <w:iCs/>
        </w:rPr>
        <w:t xml:space="preserve"> </w:t>
      </w:r>
      <w:r w:rsidRPr="00705F37" w:rsidR="005E2CCD">
        <w:t xml:space="preserve">court’s </w:t>
      </w:r>
      <w:r w:rsidRPr="00705F37" w:rsidR="00D51F91">
        <w:rPr>
          <w:szCs w:val="26"/>
        </w:rPr>
        <w:t>adopt</w:t>
      </w:r>
      <w:r w:rsidRPr="00705F37" w:rsidR="00664460">
        <w:rPr>
          <w:szCs w:val="26"/>
        </w:rPr>
        <w:t>i</w:t>
      </w:r>
      <w:r w:rsidRPr="00705F37" w:rsidR="005E2CCD">
        <w:rPr>
          <w:szCs w:val="26"/>
        </w:rPr>
        <w:t>on of</w:t>
      </w:r>
      <w:r w:rsidRPr="00705F37" w:rsidR="00D51F91">
        <w:rPr>
          <w:szCs w:val="26"/>
        </w:rPr>
        <w:t xml:space="preserve"> the disjunctive </w:t>
      </w:r>
      <w:r w:rsidRPr="00705F37" w:rsidR="002E58F0">
        <w:rPr>
          <w:szCs w:val="26"/>
        </w:rPr>
        <w:t xml:space="preserve">interpretation of </w:t>
      </w:r>
      <w:r w:rsidRPr="00705F37" w:rsidR="00913754">
        <w:rPr>
          <w:szCs w:val="26"/>
        </w:rPr>
        <w:t>Wisconsin</w:t>
      </w:r>
      <w:r w:rsidRPr="00705F37" w:rsidR="002E58F0">
        <w:rPr>
          <w:szCs w:val="26"/>
        </w:rPr>
        <w:t xml:space="preserve">’s implementation </w:t>
      </w:r>
      <w:r w:rsidRPr="00705F37" w:rsidR="00A10B76">
        <w:rPr>
          <w:szCs w:val="26"/>
        </w:rPr>
        <w:t xml:space="preserve">of the </w:t>
      </w:r>
      <w:r w:rsidRPr="00705F37" w:rsidR="002B7988">
        <w:rPr>
          <w:szCs w:val="26"/>
        </w:rPr>
        <w:t>ABA model statute</w:t>
      </w:r>
      <w:r w:rsidRPr="00705F37" w:rsidR="00525D91">
        <w:rPr>
          <w:szCs w:val="26"/>
        </w:rPr>
        <w:t> —</w:t>
      </w:r>
      <w:r w:rsidRPr="00705F37" w:rsidR="00A10B76">
        <w:rPr>
          <w:szCs w:val="26"/>
        </w:rPr>
        <w:t xml:space="preserve"> which, like </w:t>
      </w:r>
      <w:r w:rsidRPr="00705F37" w:rsidR="00561725">
        <w:rPr>
          <w:szCs w:val="26"/>
        </w:rPr>
        <w:t>section 136.1(b)(2)</w:t>
      </w:r>
      <w:r w:rsidRPr="00705F37" w:rsidR="00A10B76">
        <w:rPr>
          <w:szCs w:val="26"/>
        </w:rPr>
        <w:t xml:space="preserve">, retained the model statute’s </w:t>
      </w:r>
      <w:r w:rsidRPr="00705F37" w:rsidR="005D0141">
        <w:rPr>
          <w:szCs w:val="26"/>
        </w:rPr>
        <w:t>connectin</w:t>
      </w:r>
      <w:r w:rsidRPr="00705F37" w:rsidR="00A320B8">
        <w:rPr>
          <w:szCs w:val="26"/>
        </w:rPr>
        <w:t>g</w:t>
      </w:r>
      <w:r w:rsidRPr="00705F37" w:rsidR="005D0141">
        <w:rPr>
          <w:szCs w:val="26"/>
        </w:rPr>
        <w:t xml:space="preserve"> “and”</w:t>
      </w:r>
      <w:r w:rsidRPr="00705F37" w:rsidR="00E627B2">
        <w:rPr>
          <w:szCs w:val="26"/>
        </w:rPr>
        <w:t> </w:t>
      </w:r>
      <w:r w:rsidRPr="00705F37" w:rsidR="00BB2B7E">
        <w:rPr>
          <w:szCs w:val="26"/>
        </w:rPr>
        <w:t xml:space="preserve">— </w:t>
      </w:r>
      <w:r w:rsidRPr="00705F37" w:rsidR="00DC5785">
        <w:rPr>
          <w:szCs w:val="26"/>
        </w:rPr>
        <w:t>we</w:t>
      </w:r>
      <w:r w:rsidRPr="00705F37">
        <w:rPr>
          <w:szCs w:val="26"/>
        </w:rPr>
        <w:t xml:space="preserve"> find that </w:t>
      </w:r>
      <w:r w:rsidRPr="00705F37" w:rsidR="00CB05AF">
        <w:rPr>
          <w:szCs w:val="26"/>
        </w:rPr>
        <w:t xml:space="preserve">the decision </w:t>
      </w:r>
      <w:r w:rsidRPr="00705F37" w:rsidR="00BB2B7E">
        <w:rPr>
          <w:szCs w:val="26"/>
        </w:rPr>
        <w:t xml:space="preserve">cuts both ways on the question of whether to read section 136.1(b)(2) conjunctively or disjunctively.  </w:t>
      </w:r>
      <w:r w:rsidRPr="00705F37" w:rsidR="00561725">
        <w:rPr>
          <w:szCs w:val="26"/>
        </w:rPr>
        <w:t>(</w:t>
      </w:r>
      <w:r w:rsidRPr="00705F37" w:rsidR="004F568C">
        <w:rPr>
          <w:szCs w:val="26"/>
        </w:rPr>
        <w:t xml:space="preserve">See </w:t>
      </w:r>
      <w:r w:rsidRPr="00705F37" w:rsidR="00561725">
        <w:rPr>
          <w:i/>
          <w:iCs/>
          <w:szCs w:val="26"/>
        </w:rPr>
        <w:t>San Jose Crane &amp; Rigging, Inc. v. Lexington Ins. Co.</w:t>
      </w:r>
      <w:r w:rsidRPr="00705F37" w:rsidR="00561725">
        <w:rPr>
          <w:szCs w:val="26"/>
        </w:rPr>
        <w:t xml:space="preserve"> (1991) 227 Cal.App.3d 1314, 1321</w:t>
      </w:r>
      <w:r w:rsidRPr="00705F37" w:rsidR="004F568C">
        <w:rPr>
          <w:szCs w:val="26"/>
        </w:rPr>
        <w:t xml:space="preserve"> [“It is well settled that decisions of sister state courts are particularly persuasive when those decisions construe similar statutes or a uniform act”]</w:t>
      </w:r>
      <w:r w:rsidRPr="00705F37" w:rsidR="00053127">
        <w:rPr>
          <w:szCs w:val="26"/>
        </w:rPr>
        <w:t xml:space="preserve">; </w:t>
      </w:r>
      <w:r w:rsidRPr="00705F37" w:rsidR="007D1BA8">
        <w:rPr>
          <w:szCs w:val="26"/>
        </w:rPr>
        <w:t xml:space="preserve">see </w:t>
      </w:r>
      <w:r w:rsidRPr="00705F37" w:rsidR="00900DDA">
        <w:rPr>
          <w:i/>
          <w:iCs/>
          <w:szCs w:val="26"/>
        </w:rPr>
        <w:t>Peralta Community College Dist. v. Fair Employment &amp; Housing Com.</w:t>
      </w:r>
      <w:r w:rsidRPr="00705F37" w:rsidR="00900DDA">
        <w:rPr>
          <w:szCs w:val="26"/>
        </w:rPr>
        <w:t xml:space="preserve"> (1990) 52</w:t>
      </w:r>
      <w:r w:rsidRPr="00705F37" w:rsidR="00111F39">
        <w:rPr>
          <w:szCs w:val="26"/>
        </w:rPr>
        <w:t> </w:t>
      </w:r>
      <w:r w:rsidRPr="00705F37" w:rsidR="00900DDA">
        <w:rPr>
          <w:szCs w:val="26"/>
        </w:rPr>
        <w:t xml:space="preserve">Cal.3d 40, 59 [“we find persuasive the reasoning of the numerous courts in our sister states with statutes similar to ours”].)  </w:t>
      </w:r>
    </w:p>
    <w:p w:rsidR="0097663B" w:rsidRPr="00705F37" w:rsidP="00705F37" w14:paraId="6C44BDA4" w14:textId="77777777">
      <w:pPr>
        <w:tabs>
          <w:tab w:val="left" w:pos="1440"/>
        </w:tabs>
        <w:ind w:firstLine="720"/>
      </w:pPr>
      <w:r w:rsidRPr="00705F37">
        <w:rPr>
          <w:szCs w:val="26"/>
        </w:rPr>
        <w:t>In support of the disjunctive construction</w:t>
      </w:r>
      <w:r w:rsidRPr="00705F37" w:rsidR="00070B42">
        <w:t xml:space="preserve">, the </w:t>
      </w:r>
      <w:r w:rsidRPr="00705F37" w:rsidR="00894B7A">
        <w:rPr>
          <w:i/>
          <w:iCs/>
        </w:rPr>
        <w:t>Freer</w:t>
      </w:r>
      <w:r w:rsidRPr="00705F37" w:rsidR="00894B7A">
        <w:t xml:space="preserve"> court noted that under Wisconsin law</w:t>
      </w:r>
      <w:r w:rsidRPr="00705F37" w:rsidR="00A77959">
        <w:t xml:space="preserve">, </w:t>
      </w:r>
      <w:r w:rsidRPr="00705F37" w:rsidR="00FD4BC6">
        <w:t>“ ‘and’ in statutes is not always interpreted as a conjunctive term</w:t>
      </w:r>
      <w:r w:rsidRPr="00705F37" w:rsidR="000A0D6F">
        <w:t>.</w:t>
      </w:r>
      <w:r w:rsidRPr="00705F37" w:rsidR="00FD4BC6">
        <w:t>”</w:t>
      </w:r>
      <w:r w:rsidRPr="00705F37" w:rsidR="000A0D6F">
        <w:t xml:space="preserve"> </w:t>
      </w:r>
      <w:r w:rsidRPr="00705F37" w:rsidR="00FD4BC6">
        <w:t xml:space="preserve"> (</w:t>
      </w:r>
      <w:r w:rsidRPr="00705F37" w:rsidR="004B1C00">
        <w:rPr>
          <w:i/>
          <w:iCs/>
          <w:szCs w:val="26"/>
        </w:rPr>
        <w:t>Freer</w:t>
      </w:r>
      <w:r w:rsidRPr="00705F37" w:rsidR="004B1C00">
        <w:rPr>
          <w:szCs w:val="26"/>
        </w:rPr>
        <w:t>,</w:t>
      </w:r>
      <w:r w:rsidRPr="00705F37" w:rsidR="002D543E">
        <w:rPr>
          <w:szCs w:val="26"/>
        </w:rPr>
        <w:t xml:space="preserve"> </w:t>
      </w:r>
      <w:r w:rsidRPr="00705F37" w:rsidR="004B1C00">
        <w:rPr>
          <w:i/>
          <w:iCs/>
          <w:szCs w:val="26"/>
        </w:rPr>
        <w:t>supra</w:t>
      </w:r>
      <w:r w:rsidRPr="00705F37" w:rsidR="004B1C00">
        <w:rPr>
          <w:szCs w:val="26"/>
        </w:rPr>
        <w:t>, 779 N.W.2d</w:t>
      </w:r>
      <w:r w:rsidRPr="00705F37" w:rsidR="002E1BF1">
        <w:rPr>
          <w:szCs w:val="26"/>
        </w:rPr>
        <w:t xml:space="preserve"> </w:t>
      </w:r>
      <w:r w:rsidRPr="00705F37" w:rsidR="00FD4BC6">
        <w:t>at p.</w:t>
      </w:r>
      <w:r w:rsidRPr="00705F37" w:rsidR="00111F39">
        <w:t> </w:t>
      </w:r>
      <w:r w:rsidRPr="00705F37" w:rsidR="00FD4BC6">
        <w:t>15</w:t>
      </w:r>
      <w:r w:rsidRPr="00705F37" w:rsidR="00667349">
        <w:t xml:space="preserve">.)  The same is true in California.  (See </w:t>
      </w:r>
      <w:r w:rsidRPr="00705F37" w:rsidR="00B34F21">
        <w:rPr>
          <w:i/>
          <w:iCs/>
        </w:rPr>
        <w:t>Pool</w:t>
      </w:r>
      <w:r w:rsidRPr="00705F37" w:rsidR="00B34F21">
        <w:t xml:space="preserve">, </w:t>
      </w:r>
      <w:r w:rsidRPr="00705F37" w:rsidR="00B34F21">
        <w:rPr>
          <w:i/>
          <w:iCs/>
          <w:szCs w:val="26"/>
        </w:rPr>
        <w:t>supra</w:t>
      </w:r>
      <w:r w:rsidRPr="00705F37" w:rsidR="00B34F21">
        <w:t>, 27</w:t>
      </w:r>
      <w:r w:rsidRPr="00705F37" w:rsidR="00111F39">
        <w:t> </w:t>
      </w:r>
      <w:r w:rsidRPr="00705F37" w:rsidR="00B34F21">
        <w:t>Cal. at p.</w:t>
      </w:r>
      <w:r w:rsidRPr="00705F37" w:rsidR="00111F39">
        <w:t> </w:t>
      </w:r>
      <w:r w:rsidRPr="00705F37" w:rsidR="00B34F21">
        <w:t>581.)</w:t>
      </w:r>
      <w:r w:rsidRPr="00705F37" w:rsidR="00A14022">
        <w:t xml:space="preserve">  </w:t>
      </w:r>
      <w:r w:rsidRPr="00705F37" w:rsidR="00CD1B7D">
        <w:t>T</w:t>
      </w:r>
      <w:r w:rsidRPr="00705F37" w:rsidR="00537960">
        <w:t xml:space="preserve">he </w:t>
      </w:r>
      <w:r w:rsidRPr="00705F37" w:rsidR="00537960">
        <w:rPr>
          <w:i/>
          <w:iCs/>
        </w:rPr>
        <w:t>Freer</w:t>
      </w:r>
      <w:r w:rsidRPr="00705F37" w:rsidR="00537960">
        <w:t xml:space="preserve"> court </w:t>
      </w:r>
      <w:r w:rsidRPr="00705F37" w:rsidR="00CD1B7D">
        <w:t xml:space="preserve">also </w:t>
      </w:r>
      <w:r w:rsidRPr="00705F37" w:rsidR="006123A3">
        <w:t xml:space="preserve">found that, as the Attorney General argues here, the </w:t>
      </w:r>
      <w:r w:rsidRPr="00705F37" w:rsidR="00537960">
        <w:t xml:space="preserve">doctrine against surplusage </w:t>
      </w:r>
      <w:r w:rsidRPr="00705F37" w:rsidR="002C1E9A">
        <w:t>supports reading the connecting “and” disjunctively so as not to read the assisting clause out of the statute.  (</w:t>
      </w:r>
      <w:r w:rsidRPr="00705F37" w:rsidR="002C1E9A">
        <w:rPr>
          <w:i/>
          <w:iCs/>
        </w:rPr>
        <w:t>Freer</w:t>
      </w:r>
      <w:r w:rsidRPr="00705F37" w:rsidR="002C1E9A">
        <w:t>, at pp.</w:t>
      </w:r>
      <w:r w:rsidRPr="00705F37" w:rsidR="00D735C8">
        <w:t> </w:t>
      </w:r>
      <w:r w:rsidRPr="00705F37" w:rsidR="002C1E9A">
        <w:t>16</w:t>
      </w:r>
      <w:r w:rsidRPr="00705F37" w:rsidR="007D408F">
        <w:t>–</w:t>
      </w:r>
      <w:r w:rsidRPr="00705F37" w:rsidR="002C1E9A">
        <w:t xml:space="preserve">17.)  </w:t>
      </w:r>
    </w:p>
    <w:p w:rsidR="00AC2A8A" w:rsidP="00705F37" w14:paraId="6C44BDA5" w14:textId="77777777">
      <w:pPr>
        <w:tabs>
          <w:tab w:val="left" w:pos="1440"/>
        </w:tabs>
        <w:ind w:firstLine="720"/>
        <w:rPr>
          <w:szCs w:val="26"/>
        </w:rPr>
      </w:pPr>
      <w:r w:rsidRPr="00705F37">
        <w:t xml:space="preserve">But </w:t>
      </w:r>
      <w:r w:rsidRPr="00705F37">
        <w:rPr>
          <w:i/>
          <w:iCs/>
        </w:rPr>
        <w:t>Freer</w:t>
      </w:r>
      <w:r w:rsidRPr="00705F37">
        <w:t xml:space="preserve"> is distinguishable in at least one </w:t>
      </w:r>
      <w:r w:rsidRPr="00705F37" w:rsidR="00AE7FF2">
        <w:t>material</w:t>
      </w:r>
      <w:r w:rsidRPr="00705F37">
        <w:t xml:space="preserve"> respect</w:t>
      </w:r>
      <w:r w:rsidRPr="00705F37" w:rsidR="0064500B">
        <w:t xml:space="preserve"> that supports the conjunctive construction</w:t>
      </w:r>
      <w:r w:rsidRPr="00705F37">
        <w:t xml:space="preserve">.  </w:t>
      </w:r>
      <w:r w:rsidRPr="00705F37" w:rsidR="0097663B">
        <w:t>Th</w:t>
      </w:r>
      <w:r w:rsidRPr="00705F37" w:rsidR="009A586D">
        <w:t>e</w:t>
      </w:r>
      <w:r w:rsidRPr="00705F37" w:rsidR="0097663B">
        <w:t xml:space="preserve"> </w:t>
      </w:r>
      <w:r w:rsidRPr="00705F37" w:rsidR="008D22BC">
        <w:rPr>
          <w:i/>
          <w:iCs/>
        </w:rPr>
        <w:t>Freer</w:t>
      </w:r>
      <w:r w:rsidRPr="00705F37" w:rsidR="008D22BC">
        <w:t xml:space="preserve"> </w:t>
      </w:r>
      <w:r w:rsidRPr="00705F37" w:rsidR="00F80C1F">
        <w:t xml:space="preserve">court </w:t>
      </w:r>
      <w:r w:rsidRPr="00705F37" w:rsidR="00C86AE5">
        <w:t xml:space="preserve">observed that </w:t>
      </w:r>
      <w:r w:rsidRPr="00705F37" w:rsidR="00F80C1F">
        <w:t>the Wisconsin legislative analyst</w:t>
      </w:r>
      <w:r w:rsidRPr="00705F37" w:rsidR="00C86AE5">
        <w:t xml:space="preserve"> </w:t>
      </w:r>
      <w:r w:rsidRPr="00705F37" w:rsidR="00637F01">
        <w:t xml:space="preserve">generally </w:t>
      </w:r>
      <w:r w:rsidRPr="00705F37" w:rsidR="00F80C1F">
        <w:t>refer</w:t>
      </w:r>
      <w:r w:rsidRPr="00705F37" w:rsidR="00C86AE5">
        <w:t xml:space="preserve">red </w:t>
      </w:r>
      <w:r w:rsidRPr="00705F37" w:rsidR="00F80C1F">
        <w:t xml:space="preserve">to the statute as addressing </w:t>
      </w:r>
      <w:r w:rsidRPr="00705F37" w:rsidR="000407FC">
        <w:t>dissuading a victim from “</w:t>
      </w:r>
      <w:r w:rsidR="004C71E5">
        <w:t> ‘</w:t>
      </w:r>
      <w:r w:rsidRPr="00705F37" w:rsidR="000407FC">
        <w:t>assisting in the prosecution</w:t>
      </w:r>
      <w:r w:rsidRPr="00705F37" w:rsidR="00BB7C1F">
        <w:t>,</w:t>
      </w:r>
      <w:r w:rsidR="004C71E5">
        <w:t>’ </w:t>
      </w:r>
      <w:r w:rsidRPr="00705F37" w:rsidR="00BB7C1F">
        <w:t>” without “even mention[ing] language in [the statute] about ‘[c]ausing a complaint . . . to be sought and prosecuted.”  (</w:t>
      </w:r>
      <w:r w:rsidRPr="00705F37" w:rsidR="00BB7C1F">
        <w:rPr>
          <w:i/>
          <w:iCs/>
        </w:rPr>
        <w:t>Freer</w:t>
      </w:r>
      <w:r w:rsidRPr="00705F37" w:rsidR="00BB7C1F">
        <w:t xml:space="preserve">, </w:t>
      </w:r>
      <w:r w:rsidRPr="00705F37" w:rsidR="00BB7C1F">
        <w:rPr>
          <w:i/>
          <w:iCs/>
          <w:szCs w:val="26"/>
        </w:rPr>
        <w:t>supra</w:t>
      </w:r>
      <w:r w:rsidRPr="00705F37" w:rsidR="00BB7C1F">
        <w:t xml:space="preserve">, 779 N.W.2d </w:t>
      </w:r>
      <w:r w:rsidRPr="00705F37" w:rsidR="00FF6510">
        <w:t xml:space="preserve">at p. 18; see </w:t>
      </w:r>
      <w:r w:rsidRPr="00705F37" w:rsidR="00FF6510">
        <w:rPr>
          <w:i/>
          <w:iCs/>
          <w:szCs w:val="26"/>
        </w:rPr>
        <w:t>id</w:t>
      </w:r>
      <w:r w:rsidRPr="00705F37" w:rsidR="00FF6510">
        <w:rPr>
          <w:szCs w:val="26"/>
        </w:rPr>
        <w:t xml:space="preserve">. </w:t>
      </w:r>
      <w:r w:rsidRPr="00705F37" w:rsidR="00D71EB5">
        <w:rPr>
          <w:szCs w:val="26"/>
        </w:rPr>
        <w:t>at p.</w:t>
      </w:r>
      <w:r w:rsidRPr="00705F37" w:rsidR="00111F39">
        <w:rPr>
          <w:szCs w:val="26"/>
        </w:rPr>
        <w:t> </w:t>
      </w:r>
      <w:r w:rsidRPr="00705F37" w:rsidR="00D71EB5">
        <w:rPr>
          <w:szCs w:val="26"/>
        </w:rPr>
        <w:t>17</w:t>
      </w:r>
      <w:r w:rsidRPr="00705F37" w:rsidR="00BD34F7">
        <w:rPr>
          <w:szCs w:val="26"/>
        </w:rPr>
        <w:t xml:space="preserve"> </w:t>
      </w:r>
      <w:r w:rsidRPr="00705F37" w:rsidR="00BD34F7">
        <w:t>[Wisconsin legislative analyst’s “analysis of a bill is printed with and displayed on the bill when it is introduced in the legislature; as such, it is indicative of legislative intent”]</w:t>
      </w:r>
      <w:r w:rsidRPr="00705F37" w:rsidR="00D71EB5">
        <w:rPr>
          <w:szCs w:val="26"/>
        </w:rPr>
        <w:t xml:space="preserve">.)  </w:t>
      </w:r>
      <w:r w:rsidRPr="00B22BCD" w:rsidR="00B22BCD">
        <w:rPr>
          <w:szCs w:val="26"/>
        </w:rPr>
        <w:t>Furthermore, the Wisconsin legislative analyst specifically used an “ ‘or’ ” and thereby expressed a disjunctive meaning when referring to “ ‘assisting in the prosecution’ ” in a list of witness dissuasion misdemeanors that the bill would create.   (</w:t>
      </w:r>
      <w:r w:rsidRPr="00B22BCD" w:rsidR="00B22BCD">
        <w:rPr>
          <w:i/>
          <w:iCs/>
          <w:szCs w:val="26"/>
        </w:rPr>
        <w:t>Id</w:t>
      </w:r>
      <w:r w:rsidRPr="00B22BCD" w:rsidR="00B22BCD">
        <w:rPr>
          <w:szCs w:val="26"/>
        </w:rPr>
        <w:t>. at p.</w:t>
      </w:r>
      <w:r>
        <w:rPr>
          <w:szCs w:val="26"/>
        </w:rPr>
        <w:t> </w:t>
      </w:r>
      <w:r w:rsidR="005B37B4">
        <w:rPr>
          <w:szCs w:val="26"/>
        </w:rPr>
        <w:t>17</w:t>
      </w:r>
      <w:r w:rsidRPr="00B22BCD" w:rsidR="00B22BCD">
        <w:rPr>
          <w:szCs w:val="26"/>
        </w:rPr>
        <w:t xml:space="preserve"> [“</w:t>
      </w:r>
      <w:r w:rsidR="00C96C92">
        <w:rPr>
          <w:szCs w:val="26"/>
        </w:rPr>
        <w:t> ‘</w:t>
      </w:r>
      <w:r w:rsidRPr="00B22BCD" w:rsidR="00B22BCD">
        <w:rPr>
          <w:szCs w:val="26"/>
        </w:rPr>
        <w:t>A person who maliciously prevents or dissuades . . . a crime victim from making a report, assisting the prosecution</w:t>
      </w:r>
      <w:r w:rsidR="001F5784">
        <w:rPr>
          <w:szCs w:val="26"/>
        </w:rPr>
        <w:t xml:space="preserve"> </w:t>
      </w:r>
      <w:r w:rsidRPr="00B22BCD" w:rsidR="00B22BCD">
        <w:rPr>
          <w:i/>
          <w:iCs/>
          <w:szCs w:val="26"/>
        </w:rPr>
        <w:t>o</w:t>
      </w:r>
      <w:r w:rsidR="001F5784">
        <w:rPr>
          <w:i/>
          <w:iCs/>
          <w:szCs w:val="26"/>
        </w:rPr>
        <w:t xml:space="preserve">r </w:t>
      </w:r>
      <w:r w:rsidRPr="00B22BCD" w:rsidR="00B22BCD">
        <w:rPr>
          <w:szCs w:val="26"/>
        </w:rPr>
        <w:t>seeking an arrest will be guilty of a Class A misdemeanor</w:t>
      </w:r>
      <w:r w:rsidR="00C96C92">
        <w:rPr>
          <w:szCs w:val="26"/>
        </w:rPr>
        <w:t>’ </w:t>
      </w:r>
      <w:r w:rsidRPr="00B22BCD" w:rsidR="00B22BCD">
        <w:rPr>
          <w:szCs w:val="26"/>
        </w:rPr>
        <w:t xml:space="preserve">” </w:t>
      </w:r>
      <w:r w:rsidR="00066B2F">
        <w:rPr>
          <w:szCs w:val="26"/>
        </w:rPr>
        <w:t>(</w:t>
      </w:r>
      <w:r w:rsidR="005B37B4">
        <w:rPr>
          <w:szCs w:val="26"/>
        </w:rPr>
        <w:t>italics</w:t>
      </w:r>
      <w:r w:rsidRPr="00B22BCD" w:rsidR="00B22BCD">
        <w:rPr>
          <w:szCs w:val="26"/>
        </w:rPr>
        <w:t xml:space="preserve"> added</w:t>
      </w:r>
      <w:r w:rsidR="00066B2F">
        <w:rPr>
          <w:szCs w:val="26"/>
        </w:rPr>
        <w:t>)</w:t>
      </w:r>
      <w:r w:rsidR="00C96C92">
        <w:rPr>
          <w:szCs w:val="26"/>
        </w:rPr>
        <w:t>]</w:t>
      </w:r>
      <w:r w:rsidRPr="00B22BCD" w:rsidR="00B22BCD">
        <w:rPr>
          <w:szCs w:val="26"/>
        </w:rPr>
        <w:t xml:space="preserve">.)  The </w:t>
      </w:r>
      <w:r w:rsidRPr="00B22BCD" w:rsidR="00B22BCD">
        <w:rPr>
          <w:i/>
          <w:iCs/>
          <w:szCs w:val="26"/>
        </w:rPr>
        <w:t>Freer</w:t>
      </w:r>
      <w:r w:rsidRPr="00B22BCD" w:rsidR="00B22BCD">
        <w:rPr>
          <w:szCs w:val="26"/>
        </w:rPr>
        <w:t xml:space="preserve"> court was also clear that this legislative history was key to its decision.  (See </w:t>
      </w:r>
      <w:r w:rsidRPr="00B22BCD" w:rsidR="00B22BCD">
        <w:rPr>
          <w:i/>
          <w:iCs/>
          <w:szCs w:val="26"/>
        </w:rPr>
        <w:t>id</w:t>
      </w:r>
      <w:r w:rsidRPr="00B22BCD" w:rsidR="00B22BCD">
        <w:rPr>
          <w:szCs w:val="26"/>
        </w:rPr>
        <w:t>. at p.</w:t>
      </w:r>
      <w:r w:rsidR="005B37B4">
        <w:rPr>
          <w:szCs w:val="26"/>
        </w:rPr>
        <w:t> 18</w:t>
      </w:r>
      <w:r w:rsidRPr="00B22BCD" w:rsidR="00B22BCD">
        <w:rPr>
          <w:szCs w:val="26"/>
        </w:rPr>
        <w:t xml:space="preserve"> [“</w:t>
      </w:r>
      <w:r w:rsidRPr="00B22BCD" w:rsidR="00B22BCD">
        <w:rPr>
          <w:i/>
          <w:iCs/>
          <w:szCs w:val="26"/>
        </w:rPr>
        <w:t>In light of the LRB analysis</w:t>
      </w:r>
      <w:r w:rsidRPr="00B22BCD" w:rsidR="00B22BCD">
        <w:rPr>
          <w:szCs w:val="26"/>
        </w:rPr>
        <w:t xml:space="preserve">, we conclude that the legislature intended the victim intimidation statute to prohibit any act of intimidation that seeks to prevent or dissuade a crime victim from assisting in the prosecution” </w:t>
      </w:r>
      <w:r w:rsidR="004E2270">
        <w:rPr>
          <w:szCs w:val="26"/>
        </w:rPr>
        <w:t>(</w:t>
      </w:r>
      <w:r w:rsidRPr="00B22BCD" w:rsidR="00B22BCD">
        <w:rPr>
          <w:szCs w:val="26"/>
        </w:rPr>
        <w:t>italics added</w:t>
      </w:r>
      <w:r w:rsidR="004E2270">
        <w:rPr>
          <w:szCs w:val="26"/>
        </w:rPr>
        <w:t>)</w:t>
      </w:r>
      <w:r w:rsidR="00D7106C">
        <w:rPr>
          <w:szCs w:val="26"/>
        </w:rPr>
        <w:t>]</w:t>
      </w:r>
      <w:r w:rsidRPr="00B22BCD" w:rsidR="00B22BCD">
        <w:rPr>
          <w:szCs w:val="26"/>
        </w:rPr>
        <w:t>.)</w:t>
      </w:r>
    </w:p>
    <w:p w:rsidR="00FF5B8E" w:rsidRPr="00705F37" w:rsidP="00705F37" w14:paraId="6C44BDA6" w14:textId="77777777">
      <w:pPr>
        <w:tabs>
          <w:tab w:val="left" w:pos="1440"/>
        </w:tabs>
        <w:ind w:firstLine="720"/>
        <w:rPr>
          <w:szCs w:val="26"/>
        </w:rPr>
      </w:pPr>
      <w:r w:rsidRPr="00705F37">
        <w:rPr>
          <w:szCs w:val="26"/>
        </w:rPr>
        <w:t xml:space="preserve">In </w:t>
      </w:r>
      <w:r w:rsidR="00AC2A8A">
        <w:rPr>
          <w:szCs w:val="26"/>
        </w:rPr>
        <w:t>this way</w:t>
      </w:r>
      <w:r w:rsidRPr="00705F37">
        <w:rPr>
          <w:szCs w:val="26"/>
        </w:rPr>
        <w:t xml:space="preserve">, the </w:t>
      </w:r>
      <w:r w:rsidRPr="00705F37" w:rsidR="008D0D80">
        <w:rPr>
          <w:szCs w:val="26"/>
        </w:rPr>
        <w:t xml:space="preserve">Wisconsin </w:t>
      </w:r>
      <w:r w:rsidRPr="00705F37">
        <w:rPr>
          <w:szCs w:val="26"/>
        </w:rPr>
        <w:t xml:space="preserve">legislative analyst was singularly focused on the assisting clause, which supports the disjunctive </w:t>
      </w:r>
      <w:r w:rsidRPr="00705F37" w:rsidR="00D21C71">
        <w:rPr>
          <w:szCs w:val="26"/>
        </w:rPr>
        <w:t xml:space="preserve">construction, whereas the Legislative Counsel’s Digests pertaining to Assembly Bill </w:t>
      </w:r>
      <w:r w:rsidRPr="00705F37" w:rsidR="0010116C">
        <w:rPr>
          <w:szCs w:val="26"/>
        </w:rPr>
        <w:t xml:space="preserve">No. </w:t>
      </w:r>
      <w:r w:rsidRPr="00705F37" w:rsidR="00D21C71">
        <w:rPr>
          <w:szCs w:val="26"/>
        </w:rPr>
        <w:t xml:space="preserve">2909 </w:t>
      </w:r>
      <w:r w:rsidRPr="00705F37" w:rsidR="007D1C45">
        <w:rPr>
          <w:szCs w:val="26"/>
        </w:rPr>
        <w:t xml:space="preserve">broadly encompassed </w:t>
      </w:r>
      <w:r w:rsidRPr="00705F37" w:rsidR="00D21C71">
        <w:rPr>
          <w:szCs w:val="26"/>
        </w:rPr>
        <w:t xml:space="preserve">both </w:t>
      </w:r>
      <w:r w:rsidRPr="00705F37" w:rsidR="00865A96">
        <w:rPr>
          <w:szCs w:val="26"/>
        </w:rPr>
        <w:t xml:space="preserve">the causing and assisting clauses, which </w:t>
      </w:r>
      <w:r w:rsidRPr="00705F37" w:rsidR="00C344E9">
        <w:rPr>
          <w:szCs w:val="26"/>
        </w:rPr>
        <w:t xml:space="preserve">lends </w:t>
      </w:r>
      <w:r w:rsidRPr="00705F37" w:rsidR="00641BD2">
        <w:rPr>
          <w:szCs w:val="26"/>
        </w:rPr>
        <w:t xml:space="preserve">at least </w:t>
      </w:r>
      <w:r w:rsidRPr="00705F37" w:rsidR="00C344E9">
        <w:rPr>
          <w:szCs w:val="26"/>
        </w:rPr>
        <w:t xml:space="preserve">some </w:t>
      </w:r>
      <w:r w:rsidRPr="00705F37" w:rsidR="00865A96">
        <w:rPr>
          <w:szCs w:val="26"/>
        </w:rPr>
        <w:t xml:space="preserve">support </w:t>
      </w:r>
      <w:r w:rsidRPr="00705F37" w:rsidR="00C344E9">
        <w:rPr>
          <w:szCs w:val="26"/>
        </w:rPr>
        <w:t xml:space="preserve">to </w:t>
      </w:r>
      <w:r w:rsidRPr="00705F37" w:rsidR="00865A96">
        <w:rPr>
          <w:szCs w:val="26"/>
        </w:rPr>
        <w:t>the conjunctive construction</w:t>
      </w:r>
      <w:r w:rsidRPr="00705F37" w:rsidR="00BF3A64">
        <w:rPr>
          <w:szCs w:val="26"/>
        </w:rPr>
        <w:t>.</w:t>
      </w:r>
      <w:r w:rsidRPr="00705F37" w:rsidR="0080395F">
        <w:rPr>
          <w:szCs w:val="26"/>
        </w:rPr>
        <w:t xml:space="preserve">  </w:t>
      </w:r>
      <w:r w:rsidRPr="00705F37" w:rsidR="000B19AB">
        <w:rPr>
          <w:szCs w:val="26"/>
        </w:rPr>
        <w:t xml:space="preserve">Arguably, </w:t>
      </w:r>
      <w:r w:rsidRPr="00705F37" w:rsidR="00281534">
        <w:rPr>
          <w:szCs w:val="26"/>
        </w:rPr>
        <w:t>these differing legislative histories in Wisconsin and California</w:t>
      </w:r>
      <w:r w:rsidRPr="00705F37" w:rsidR="00FF299D">
        <w:rPr>
          <w:szCs w:val="26"/>
        </w:rPr>
        <w:t> </w:t>
      </w:r>
      <w:r w:rsidRPr="00705F37" w:rsidR="00782CB2">
        <w:rPr>
          <w:szCs w:val="26"/>
        </w:rPr>
        <w:t>— both of which pertain to implementation of the same model statut</w:t>
      </w:r>
      <w:r w:rsidRPr="00705F37" w:rsidR="00FF299D">
        <w:rPr>
          <w:szCs w:val="26"/>
        </w:rPr>
        <w:t>ory language</w:t>
      </w:r>
      <w:r w:rsidRPr="00705F37" w:rsidR="00960FF4">
        <w:rPr>
          <w:szCs w:val="26"/>
        </w:rPr>
        <w:t> </w:t>
      </w:r>
      <w:r w:rsidRPr="00705F37" w:rsidR="00FF299D">
        <w:rPr>
          <w:szCs w:val="26"/>
        </w:rPr>
        <w:t>—</w:t>
      </w:r>
      <w:r w:rsidRPr="00705F37" w:rsidR="005C1BF9">
        <w:rPr>
          <w:szCs w:val="26"/>
        </w:rPr>
        <w:t xml:space="preserve"> </w:t>
      </w:r>
      <w:r w:rsidRPr="00705F37" w:rsidR="0080395F">
        <w:rPr>
          <w:szCs w:val="26"/>
        </w:rPr>
        <w:t xml:space="preserve">may reflect </w:t>
      </w:r>
      <w:r w:rsidRPr="00705F37" w:rsidR="005E588E">
        <w:rPr>
          <w:szCs w:val="26"/>
        </w:rPr>
        <w:t xml:space="preserve">the fact that the two states’ legislatures were seeking to fill different gaps in their </w:t>
      </w:r>
      <w:r w:rsidRPr="00705F37" w:rsidR="00442490">
        <w:rPr>
          <w:szCs w:val="26"/>
        </w:rPr>
        <w:t xml:space="preserve">dissuasion </w:t>
      </w:r>
      <w:r w:rsidRPr="00705F37" w:rsidR="00FC795A">
        <w:rPr>
          <w:szCs w:val="26"/>
        </w:rPr>
        <w:t>statutes.</w:t>
      </w:r>
    </w:p>
    <w:p w:rsidR="00DF5F65" w:rsidRPr="00705F37" w:rsidP="00705F37" w14:paraId="6C44BDA7" w14:textId="77777777">
      <w:pPr>
        <w:tabs>
          <w:tab w:val="left" w:pos="1440"/>
        </w:tabs>
        <w:ind w:firstLine="720"/>
      </w:pPr>
      <w:r w:rsidRPr="00705F37">
        <w:rPr>
          <w:szCs w:val="26"/>
        </w:rPr>
        <w:t xml:space="preserve">At bottom, </w:t>
      </w:r>
      <w:r w:rsidRPr="00705F37" w:rsidR="00A60531">
        <w:rPr>
          <w:szCs w:val="26"/>
        </w:rPr>
        <w:t>we</w:t>
      </w:r>
      <w:r w:rsidRPr="00705F37">
        <w:rPr>
          <w:szCs w:val="26"/>
        </w:rPr>
        <w:t xml:space="preserve"> see nothing </w:t>
      </w:r>
      <w:r w:rsidRPr="00705F37" w:rsidR="009C155C">
        <w:rPr>
          <w:szCs w:val="26"/>
        </w:rPr>
        <w:t xml:space="preserve">in the legislative history </w:t>
      </w:r>
      <w:r w:rsidRPr="00705F37" w:rsidR="002053AB">
        <w:rPr>
          <w:szCs w:val="26"/>
        </w:rPr>
        <w:t xml:space="preserve">of section 136.1(b)(2) or in </w:t>
      </w:r>
      <w:r w:rsidRPr="00705F37" w:rsidR="009C155C">
        <w:rPr>
          <w:szCs w:val="26"/>
        </w:rPr>
        <w:t xml:space="preserve">other </w:t>
      </w:r>
      <w:r w:rsidRPr="00705F37" w:rsidR="00EF29C5">
        <w:rPr>
          <w:szCs w:val="26"/>
        </w:rPr>
        <w:t>jurisdictions</w:t>
      </w:r>
      <w:r w:rsidRPr="00705F37" w:rsidR="009C155C">
        <w:rPr>
          <w:szCs w:val="26"/>
        </w:rPr>
        <w:t xml:space="preserve">’ experiences </w:t>
      </w:r>
      <w:r w:rsidRPr="00705F37" w:rsidR="002053AB">
        <w:rPr>
          <w:szCs w:val="26"/>
        </w:rPr>
        <w:t xml:space="preserve">implementing similar statutory language that </w:t>
      </w:r>
      <w:r w:rsidRPr="00705F37" w:rsidR="009A586D">
        <w:rPr>
          <w:szCs w:val="26"/>
        </w:rPr>
        <w:t xml:space="preserve">suggests </w:t>
      </w:r>
      <w:r w:rsidRPr="00705F37" w:rsidR="00AA69F1">
        <w:rPr>
          <w:szCs w:val="26"/>
        </w:rPr>
        <w:t xml:space="preserve">section 136.1(b)(2) </w:t>
      </w:r>
      <w:r w:rsidRPr="00705F37" w:rsidR="009A586D">
        <w:rPr>
          <w:szCs w:val="26"/>
        </w:rPr>
        <w:t xml:space="preserve">is </w:t>
      </w:r>
      <w:r w:rsidRPr="00705F37" w:rsidR="00AA69F1">
        <w:rPr>
          <w:szCs w:val="26"/>
        </w:rPr>
        <w:t xml:space="preserve">more susceptible to either </w:t>
      </w:r>
      <w:r w:rsidRPr="00705F37" w:rsidR="002053AB">
        <w:rPr>
          <w:szCs w:val="26"/>
        </w:rPr>
        <w:t xml:space="preserve">the conjunctive </w:t>
      </w:r>
      <w:r w:rsidRPr="00705F37" w:rsidR="00EF29C5">
        <w:rPr>
          <w:szCs w:val="26"/>
        </w:rPr>
        <w:t xml:space="preserve">construction or the </w:t>
      </w:r>
      <w:r w:rsidRPr="00705F37" w:rsidR="002053AB">
        <w:rPr>
          <w:szCs w:val="26"/>
        </w:rPr>
        <w:t>disjunctive construction.</w:t>
      </w:r>
    </w:p>
    <w:p w:rsidR="001B6F4C" w:rsidRPr="00705F37" w:rsidP="00551C9D" w14:paraId="6C44BDA8" w14:textId="77777777">
      <w:pPr>
        <w:pStyle w:val="Heading2"/>
        <w:ind w:left="1166" w:hanging="446"/>
      </w:pPr>
      <w:r w:rsidRPr="00705F37">
        <w:t xml:space="preserve">Overlap </w:t>
      </w:r>
      <w:r w:rsidR="00614B92">
        <w:t>w</w:t>
      </w:r>
      <w:r w:rsidRPr="00705F37">
        <w:t xml:space="preserve">ith Other </w:t>
      </w:r>
      <w:r w:rsidRPr="00705F37" w:rsidR="00D464B8">
        <w:t xml:space="preserve">Dissuasion </w:t>
      </w:r>
      <w:r w:rsidRPr="00705F37">
        <w:t xml:space="preserve">Statutes Counsels in Favor of a Narrow Construction of the Assisting Clause, </w:t>
      </w:r>
      <w:r w:rsidR="00614B92">
        <w:t>b</w:t>
      </w:r>
      <w:r w:rsidRPr="00705F37">
        <w:t xml:space="preserve">ut </w:t>
      </w:r>
      <w:r w:rsidR="00F036E2">
        <w:t>I</w:t>
      </w:r>
      <w:r w:rsidRPr="00705F37">
        <w:t>s Otherwise Inconclusive</w:t>
      </w:r>
    </w:p>
    <w:p w:rsidR="009757F1" w:rsidRPr="00705F37" w:rsidP="00705F37" w14:paraId="6C44BDA9" w14:textId="77777777">
      <w:pPr>
        <w:tabs>
          <w:tab w:val="left" w:pos="1440"/>
        </w:tabs>
        <w:ind w:firstLine="720"/>
      </w:pPr>
      <w:r w:rsidRPr="00705F37">
        <w:t>As previously observed, the Court of Appeal below also justified its narrow</w:t>
      </w:r>
      <w:r w:rsidRPr="00705F37" w:rsidR="00553C47">
        <w:t>, conjunctive</w:t>
      </w:r>
      <w:r w:rsidRPr="00705F37">
        <w:t xml:space="preserve"> interpretation of section</w:t>
      </w:r>
      <w:r w:rsidRPr="00705F37" w:rsidR="00457F8E">
        <w:t> </w:t>
      </w:r>
      <w:r w:rsidRPr="00705F37">
        <w:t xml:space="preserve">136.1(b)(2) on the ground that other statutes </w:t>
      </w:r>
      <w:r w:rsidRPr="00705F37" w:rsidR="00A3377E">
        <w:t>“</w:t>
      </w:r>
      <w:r w:rsidRPr="00705F37" w:rsidR="000F6534">
        <w:t>prohibit attempts to dissuade victims or witnesses where charges have already been filed.”  (</w:t>
      </w:r>
      <w:r w:rsidRPr="00705F37" w:rsidR="000F6534">
        <w:rPr>
          <w:i/>
          <w:iCs/>
        </w:rPr>
        <w:t>Reynoza</w:t>
      </w:r>
      <w:r w:rsidRPr="00705F37" w:rsidR="000F6534">
        <w:t xml:space="preserve">, </w:t>
      </w:r>
      <w:r w:rsidRPr="00705F37" w:rsidR="000F6534">
        <w:rPr>
          <w:i/>
          <w:iCs/>
          <w:szCs w:val="26"/>
        </w:rPr>
        <w:t>supra</w:t>
      </w:r>
      <w:r w:rsidRPr="00705F37" w:rsidR="000F6534">
        <w:t>, 75</w:t>
      </w:r>
      <w:r w:rsidRPr="00705F37" w:rsidR="00457F8E">
        <w:t> </w:t>
      </w:r>
      <w:r w:rsidRPr="00705F37" w:rsidR="000F6534">
        <w:t>Cal.App.5th at p.</w:t>
      </w:r>
      <w:r w:rsidRPr="00705F37" w:rsidR="00457F8E">
        <w:t> </w:t>
      </w:r>
      <w:r w:rsidRPr="00705F37" w:rsidR="000F6534">
        <w:t>189</w:t>
      </w:r>
      <w:r w:rsidRPr="00705F37">
        <w:t>, citing §</w:t>
      </w:r>
      <w:r w:rsidRPr="00705F37" w:rsidR="00AC65FA">
        <w:t>§</w:t>
      </w:r>
      <w:r w:rsidRPr="00705F37">
        <w:t> 136.1, subd.</w:t>
      </w:r>
      <w:r w:rsidRPr="00705F37" w:rsidR="00457F8E">
        <w:t> </w:t>
      </w:r>
      <w:r w:rsidRPr="00705F37">
        <w:t>(a)(1), (2) [prohibiting dissuasion or attempted dissuasion of a victim or witness from giving testimony or attending trial] and 137 [prohibiting attempts to influence testimony or information given to law enforcement]</w:t>
      </w:r>
      <w:r w:rsidRPr="00705F37" w:rsidR="00084782">
        <w:t>.)</w:t>
      </w:r>
      <w:r>
        <w:rPr>
          <w:rStyle w:val="FootnoteReference"/>
        </w:rPr>
        <w:footnoteReference w:id="20"/>
      </w:r>
      <w:r w:rsidRPr="00705F37" w:rsidR="00084782">
        <w:t xml:space="preserve"> </w:t>
      </w:r>
      <w:r w:rsidRPr="00705F37">
        <w:t xml:space="preserve"> The Attorney General disagrees.</w:t>
      </w:r>
      <w:r w:rsidRPr="00705F37" w:rsidR="00D337A5">
        <w:t xml:space="preserve">  While </w:t>
      </w:r>
      <w:r w:rsidRPr="00705F37" w:rsidR="003D1D26">
        <w:t>we</w:t>
      </w:r>
      <w:r w:rsidRPr="00705F37" w:rsidR="00D337A5">
        <w:t xml:space="preserve"> agree that </w:t>
      </w:r>
      <w:r w:rsidRPr="00705F37" w:rsidR="00AC674B">
        <w:t>a broad</w:t>
      </w:r>
      <w:r w:rsidRPr="00705F37" w:rsidR="00737993">
        <w:t>, disjunctive</w:t>
      </w:r>
      <w:r w:rsidRPr="00705F37" w:rsidR="00AC674B">
        <w:t xml:space="preserve"> interpretation of the assisting clause as a “catch-all” for postcharging dissuasion </w:t>
      </w:r>
      <w:r w:rsidRPr="00705F37" w:rsidR="0032674C">
        <w:t xml:space="preserve">creates </w:t>
      </w:r>
      <w:r w:rsidR="00707FB0">
        <w:t>overlap with other</w:t>
      </w:r>
      <w:r w:rsidR="000D393A">
        <w:t xml:space="preserve"> statutes</w:t>
      </w:r>
      <w:r w:rsidRPr="00705F37" w:rsidR="00AC674B">
        <w:t xml:space="preserve">, </w:t>
      </w:r>
      <w:r w:rsidRPr="00705F37" w:rsidR="00985EE1">
        <w:t xml:space="preserve">it does not necessarily follow that </w:t>
      </w:r>
      <w:r w:rsidRPr="00705F37" w:rsidR="008306D4">
        <w:t xml:space="preserve">those </w:t>
      </w:r>
      <w:r w:rsidRPr="00705F37" w:rsidR="00985EE1">
        <w:t xml:space="preserve">concerns </w:t>
      </w:r>
      <w:r w:rsidRPr="00705F37" w:rsidR="00D36B92">
        <w:t>warrant</w:t>
      </w:r>
      <w:r w:rsidRPr="00705F37" w:rsidR="00985EE1">
        <w:t xml:space="preserve"> a conjunctive construction of section 136.1(b)(2)</w:t>
      </w:r>
      <w:r w:rsidRPr="00705F37" w:rsidR="008306D4">
        <w:t xml:space="preserve"> as a whole</w:t>
      </w:r>
      <w:r w:rsidRPr="00705F37" w:rsidR="00985EE1">
        <w:t>.</w:t>
      </w:r>
    </w:p>
    <w:p w:rsidR="00AF411E" w:rsidRPr="00705F37" w:rsidP="00705F37" w14:paraId="6C44BDAA" w14:textId="77777777">
      <w:pPr>
        <w:tabs>
          <w:tab w:val="left" w:pos="1440"/>
        </w:tabs>
        <w:ind w:firstLine="720"/>
      </w:pPr>
      <w:r w:rsidRPr="00705F37">
        <w:t>To begin with</w:t>
      </w:r>
      <w:r w:rsidRPr="00705F37" w:rsidR="008306D4">
        <w:t xml:space="preserve">, </w:t>
      </w:r>
      <w:r w:rsidRPr="00705F37" w:rsidR="00526906">
        <w:t xml:space="preserve">even if a disjunctive </w:t>
      </w:r>
      <w:r w:rsidRPr="00705F37" w:rsidR="00C8069B">
        <w:t xml:space="preserve">reading </w:t>
      </w:r>
      <w:r w:rsidRPr="00705F37" w:rsidR="004D34CF">
        <w:t xml:space="preserve">of </w:t>
      </w:r>
      <w:r w:rsidRPr="00705F37" w:rsidR="00C8069B">
        <w:t xml:space="preserve">section 136.1(b)(2) </w:t>
      </w:r>
      <w:r w:rsidRPr="00705F37" w:rsidR="00691D81">
        <w:t xml:space="preserve">would </w:t>
      </w:r>
      <w:r w:rsidRPr="00705F37" w:rsidR="00C8069B">
        <w:t xml:space="preserve">result </w:t>
      </w:r>
      <w:r w:rsidRPr="00705F37" w:rsidR="00177EEC">
        <w:t xml:space="preserve">in some </w:t>
      </w:r>
      <w:r w:rsidRPr="00705F37" w:rsidR="002262E9">
        <w:t xml:space="preserve">slight </w:t>
      </w:r>
      <w:r w:rsidRPr="00705F37" w:rsidR="00177EEC">
        <w:t xml:space="preserve">overlap with other </w:t>
      </w:r>
      <w:r w:rsidRPr="00705F37" w:rsidR="00526906">
        <w:t>dissuasion statutes</w:t>
      </w:r>
      <w:r w:rsidRPr="00705F37" w:rsidR="00691D81">
        <w:t xml:space="preserve">, that </w:t>
      </w:r>
      <w:r w:rsidRPr="00705F37" w:rsidR="002C4591">
        <w:t xml:space="preserve">fact would not </w:t>
      </w:r>
      <w:r w:rsidRPr="00705F37">
        <w:t>be dispositive</w:t>
      </w:r>
      <w:r w:rsidRPr="00705F37" w:rsidR="00177EEC">
        <w:t xml:space="preserve">.  </w:t>
      </w:r>
      <w:r w:rsidRPr="00705F37" w:rsidR="006B374F">
        <w:t>Although “[t]he Legislature has taken pains to distinguish the various methods of</w:t>
      </w:r>
      <w:r w:rsidRPr="00705F37" w:rsidR="00F70F37">
        <w:t>”</w:t>
      </w:r>
      <w:r w:rsidRPr="00705F37" w:rsidR="006B374F">
        <w:t xml:space="preserve"> </w:t>
      </w:r>
      <w:r w:rsidRPr="00705F37" w:rsidR="00653233">
        <w:t>dissuasion</w:t>
      </w:r>
      <w:r w:rsidRPr="00705F37" w:rsidR="00F70F37">
        <w:t xml:space="preserve"> (</w:t>
      </w:r>
      <w:r w:rsidRPr="00705F37" w:rsidR="00722C2F">
        <w:rPr>
          <w:i/>
          <w:iCs/>
        </w:rPr>
        <w:t>People v. Fernandez</w:t>
      </w:r>
      <w:r w:rsidRPr="00705F37" w:rsidR="00722C2F">
        <w:t xml:space="preserve"> (2003) 106 Cal.App.4th 943</w:t>
      </w:r>
      <w:r w:rsidR="00722C2F">
        <w:t>, 950</w:t>
      </w:r>
      <w:r w:rsidRPr="00705F37" w:rsidR="00722C2F">
        <w:t xml:space="preserve"> (</w:t>
      </w:r>
      <w:r w:rsidRPr="00705F37" w:rsidR="00722C2F">
        <w:rPr>
          <w:i/>
          <w:iCs/>
        </w:rPr>
        <w:t>Fernandez</w:t>
      </w:r>
      <w:r w:rsidRPr="00705F37" w:rsidR="00722C2F">
        <w:t>)</w:t>
      </w:r>
      <w:r w:rsidRPr="00705F37" w:rsidR="008042DA">
        <w:t>)</w:t>
      </w:r>
      <w:r w:rsidRPr="00705F37" w:rsidR="00BA36A2">
        <w:t>,</w:t>
      </w:r>
      <w:r w:rsidRPr="00705F37" w:rsidR="008042DA">
        <w:t xml:space="preserve"> </w:t>
      </w:r>
      <w:r w:rsidRPr="00705F37" w:rsidR="00B17124">
        <w:t>“[i]t is axiomatic the Legislature may criminalize the same conduct in different ways</w:t>
      </w:r>
      <w:r w:rsidRPr="00705F37" w:rsidR="00505748">
        <w:t>”</w:t>
      </w:r>
      <w:r w:rsidRPr="00705F37" w:rsidR="00B17124">
        <w:t xml:space="preserve"> (</w:t>
      </w:r>
      <w:r w:rsidRPr="00705F37" w:rsidR="00B17124">
        <w:rPr>
          <w:i/>
          <w:iCs/>
        </w:rPr>
        <w:t xml:space="preserve">People v. Superior Court </w:t>
      </w:r>
      <w:r w:rsidR="003C1561">
        <w:t>(</w:t>
      </w:r>
      <w:r w:rsidRPr="005A6ED7" w:rsidR="003C1561">
        <w:rPr>
          <w:i/>
          <w:iCs/>
        </w:rPr>
        <w:t>Caswell</w:t>
      </w:r>
      <w:r w:rsidR="003C1561">
        <w:t xml:space="preserve">) </w:t>
      </w:r>
      <w:r w:rsidRPr="00705F37" w:rsidR="00B17124">
        <w:t>(1988) 46</w:t>
      </w:r>
      <w:r w:rsidRPr="00705F37" w:rsidR="00F117DD">
        <w:t> </w:t>
      </w:r>
      <w:r w:rsidRPr="00705F37" w:rsidR="00B17124">
        <w:t xml:space="preserve">Cal.3d 381, 395; </w:t>
      </w:r>
      <w:r w:rsidRPr="00705F37" w:rsidR="00266BD1">
        <w:t xml:space="preserve">see </w:t>
      </w:r>
      <w:r w:rsidRPr="00705F37" w:rsidR="004F4E9A">
        <w:t>§ 654 [“An act . . . that is punishable in different ways by different provisions of law may be punished under either of such provisions, but in no case shall the act or omission be punished under more than one provision”]</w:t>
      </w:r>
      <w:r w:rsidRPr="00705F37" w:rsidR="00EB6DF5">
        <w:t xml:space="preserve">).  Indeed, the Legislature contemplated </w:t>
      </w:r>
      <w:r w:rsidRPr="00705F37" w:rsidR="00505748">
        <w:t xml:space="preserve">that </w:t>
      </w:r>
      <w:r w:rsidRPr="00705F37" w:rsidR="00EB6DF5">
        <w:t>there may be overlap under certain circumstances</w:t>
      </w:r>
      <w:r w:rsidRPr="00705F37" w:rsidR="006672F2">
        <w:t xml:space="preserve"> of witness dissuasion</w:t>
      </w:r>
      <w:r w:rsidRPr="00705F37" w:rsidR="00EB6DF5">
        <w:t>.  (See, e.g., § 140, subd. (b) [“A person who is punished under another provision of law for an act described in subdivision (a) [</w:t>
      </w:r>
      <w:r w:rsidRPr="00705F37" w:rsidR="006E405D">
        <w:t xml:space="preserve">prohibiting </w:t>
      </w:r>
      <w:r w:rsidRPr="00705F37" w:rsidR="00EB6DF5">
        <w:t>the use of force or threats because the witness, victim, or other person has provided any assistance or information to a law enforcement officer</w:t>
      </w:r>
      <w:r w:rsidRPr="00705F37" w:rsidR="00C84C30">
        <w:t xml:space="preserve"> or prosecutor] </w:t>
      </w:r>
      <w:r w:rsidRPr="00705F37" w:rsidR="00EB6DF5">
        <w:t>shall not receive an additional term of imprisonment under this section”]</w:t>
      </w:r>
      <w:r w:rsidRPr="00705F37" w:rsidR="00293064">
        <w:t>.)</w:t>
      </w:r>
    </w:p>
    <w:p w:rsidR="00742E17" w:rsidRPr="00705F37" w:rsidP="00705F37" w14:paraId="6C44BDAB" w14:textId="77777777">
      <w:pPr>
        <w:tabs>
          <w:tab w:val="left" w:pos="1440"/>
        </w:tabs>
        <w:ind w:firstLine="720"/>
      </w:pPr>
      <w:r w:rsidRPr="00705F37">
        <w:t>We acknowledge t</w:t>
      </w:r>
      <w:r w:rsidRPr="00705F37" w:rsidR="007930B9">
        <w:t xml:space="preserve">here are differences between section 136.1(b)(2) and other dissuasion provisions that suggest the Legislature intended to </w:t>
      </w:r>
      <w:r w:rsidR="00B82C37">
        <w:t xml:space="preserve">address a wide spectrum of </w:t>
      </w:r>
      <w:r w:rsidR="004A12A2">
        <w:t>dissuasive conduct</w:t>
      </w:r>
      <w:r w:rsidRPr="00705F37" w:rsidR="007930B9">
        <w:t xml:space="preserve">.  For example, section 136.1(b)(2) does not contain a malice requirement like section 136.1, subdivision (a)(1) or (2).  </w:t>
      </w:r>
      <w:r w:rsidRPr="00705F37" w:rsidR="00F12244">
        <w:t xml:space="preserve">Nor does </w:t>
      </w:r>
      <w:r w:rsidRPr="00705F37" w:rsidR="00D529DB">
        <w:t>section 136.1(b)(2) establish a family</w:t>
      </w:r>
      <w:r w:rsidRPr="00705F37" w:rsidR="00F81D28">
        <w:t xml:space="preserve"> </w:t>
      </w:r>
      <w:r w:rsidRPr="00705F37" w:rsidR="00D529DB">
        <w:t>member ex</w:t>
      </w:r>
      <w:r w:rsidRPr="00705F37" w:rsidR="00184152">
        <w:t>emption like section 136.1, subdivision (a)(3)</w:t>
      </w:r>
      <w:r>
        <w:rPr>
          <w:rStyle w:val="FootnoteReference"/>
        </w:rPr>
        <w:footnoteReference w:id="21"/>
      </w:r>
      <w:r w:rsidRPr="00705F37" w:rsidR="00184152">
        <w:t xml:space="preserve"> or section 137, subdivision (f).</w:t>
      </w:r>
      <w:r>
        <w:rPr>
          <w:rStyle w:val="FootnoteReference"/>
        </w:rPr>
        <w:footnoteReference w:id="22"/>
      </w:r>
      <w:r w:rsidRPr="00705F37" w:rsidR="00184152">
        <w:t xml:space="preserve">  </w:t>
      </w:r>
      <w:r w:rsidRPr="00705F37" w:rsidR="00B92A20">
        <w:t xml:space="preserve">And section 136.1(b)(2) is a wobbler, whereas section 137, subdivision (c) is a straight misdemeanor.  </w:t>
      </w:r>
      <w:r w:rsidRPr="00705F37" w:rsidR="005D18D6">
        <w:t xml:space="preserve">But section 136.1(b)(2) is not </w:t>
      </w:r>
      <w:r w:rsidRPr="00705F37" w:rsidR="00C859DD">
        <w:t>the outlier in these respects</w:t>
      </w:r>
      <w:r w:rsidRPr="00705F37" w:rsidR="008778E2">
        <w:t> </w:t>
      </w:r>
      <w:r w:rsidRPr="00705F37" w:rsidR="00C859DD">
        <w:t>— the cited provisions are</w:t>
      </w:r>
      <w:r w:rsidRPr="00705F37" w:rsidR="001A6425">
        <w:t xml:space="preserve">.  </w:t>
      </w:r>
      <w:r w:rsidRPr="00705F37" w:rsidR="008C2D74">
        <w:t>No</w:t>
      </w:r>
      <w:r w:rsidRPr="00705F37" w:rsidR="00F33D74">
        <w:t xml:space="preserve">ne of the </w:t>
      </w:r>
      <w:r w:rsidRPr="00705F37" w:rsidR="008C2D74">
        <w:t xml:space="preserve">other </w:t>
      </w:r>
      <w:r w:rsidRPr="00705F37" w:rsidR="00F33D74">
        <w:t xml:space="preserve">general </w:t>
      </w:r>
      <w:r w:rsidRPr="00705F37" w:rsidR="008C2D74">
        <w:t>dissuasion provisions contain</w:t>
      </w:r>
      <w:r w:rsidRPr="00705F37" w:rsidR="00F33D74">
        <w:t>s</w:t>
      </w:r>
      <w:r w:rsidRPr="00705F37" w:rsidR="008C2D74">
        <w:t xml:space="preserve"> </w:t>
      </w:r>
      <w:r w:rsidRPr="00705F37" w:rsidR="00476AD3">
        <w:t>a malice requirement, family</w:t>
      </w:r>
      <w:r w:rsidRPr="00705F37" w:rsidR="00F81D28">
        <w:t xml:space="preserve"> </w:t>
      </w:r>
      <w:r w:rsidRPr="00705F37" w:rsidR="00476AD3">
        <w:t>member exemption, or provide</w:t>
      </w:r>
      <w:r w:rsidRPr="00705F37" w:rsidR="00F33D74">
        <w:t>s</w:t>
      </w:r>
      <w:r w:rsidRPr="00705F37" w:rsidR="00476AD3">
        <w:t xml:space="preserve"> for straight misdemeanor </w:t>
      </w:r>
      <w:r w:rsidRPr="00705F37" w:rsidR="00F33D74">
        <w:t>treatment</w:t>
      </w:r>
      <w:r w:rsidRPr="00705F37" w:rsidR="00476AD3">
        <w:t>.</w:t>
      </w:r>
      <w:r w:rsidRPr="00705F37" w:rsidR="001D2310">
        <w:t xml:space="preserve">  </w:t>
      </w:r>
      <w:r w:rsidRPr="00705F37" w:rsidR="000B55B3">
        <w:t>(See §§ </w:t>
      </w:r>
      <w:r w:rsidRPr="00705F37" w:rsidR="000B55B3">
        <w:rPr>
          <w:bCs/>
        </w:rPr>
        <w:t>136.1, subds. (a), (b)</w:t>
      </w:r>
      <w:r w:rsidRPr="00705F37" w:rsidR="00A9261F">
        <w:rPr>
          <w:bCs/>
        </w:rPr>
        <w:t xml:space="preserve"> [wobblers], </w:t>
      </w:r>
      <w:r w:rsidRPr="00705F37" w:rsidR="000B55B3">
        <w:rPr>
          <w:bCs/>
        </w:rPr>
        <w:t>136.1, subd. (c)</w:t>
      </w:r>
      <w:r w:rsidRPr="00705F37" w:rsidR="00A9261F">
        <w:rPr>
          <w:bCs/>
        </w:rPr>
        <w:t xml:space="preserve"> [felony]</w:t>
      </w:r>
      <w:r w:rsidRPr="00705F37" w:rsidR="000B55B3">
        <w:rPr>
          <w:bCs/>
        </w:rPr>
        <w:t>, 137, subds. (a), (b)</w:t>
      </w:r>
      <w:r w:rsidRPr="00705F37" w:rsidR="00665EF4">
        <w:rPr>
          <w:bCs/>
        </w:rPr>
        <w:t xml:space="preserve"> [felonies].</w:t>
      </w:r>
      <w:r w:rsidRPr="00705F37" w:rsidR="000B55B3">
        <w:rPr>
          <w:bCs/>
        </w:rPr>
        <w:t>)</w:t>
      </w:r>
      <w:r w:rsidRPr="00705F37" w:rsidR="00476AD3">
        <w:t xml:space="preserve">  </w:t>
      </w:r>
      <w:r w:rsidR="00D05DCB">
        <w:t>T</w:t>
      </w:r>
      <w:r w:rsidRPr="00705F37" w:rsidR="00665EF4">
        <w:t xml:space="preserve">he concerns </w:t>
      </w:r>
      <w:r w:rsidRPr="00705F37" w:rsidR="00D36B92">
        <w:t>implicated</w:t>
      </w:r>
      <w:r w:rsidRPr="00705F37" w:rsidR="00665EF4">
        <w:t xml:space="preserve"> by these differences </w:t>
      </w:r>
      <w:r w:rsidRPr="00705F37" w:rsidR="00621503">
        <w:t xml:space="preserve">speak </w:t>
      </w:r>
      <w:r w:rsidR="00D05DCB">
        <w:t xml:space="preserve">little to </w:t>
      </w:r>
      <w:r w:rsidRPr="00705F37" w:rsidR="00A80134">
        <w:t xml:space="preserve">whether </w:t>
      </w:r>
      <w:r w:rsidRPr="00705F37" w:rsidR="0004088B">
        <w:t xml:space="preserve">section 136.1(b)(2) </w:t>
      </w:r>
      <w:r w:rsidRPr="00705F37" w:rsidR="00A80134">
        <w:t xml:space="preserve">should be read </w:t>
      </w:r>
      <w:r w:rsidRPr="00705F37" w:rsidR="00621503">
        <w:t>conjunctively or disjunctively</w:t>
      </w:r>
      <w:r w:rsidR="009A007A">
        <w:t>,</w:t>
      </w:r>
      <w:r w:rsidRPr="00705F37" w:rsidR="00621503">
        <w:t xml:space="preserve"> because the </w:t>
      </w:r>
      <w:r w:rsidRPr="00705F37" w:rsidR="003B10E5">
        <w:t xml:space="preserve">potential for </w:t>
      </w:r>
      <w:r w:rsidRPr="00705F37" w:rsidR="00621503">
        <w:t xml:space="preserve">overlap </w:t>
      </w:r>
      <w:r w:rsidRPr="00705F37" w:rsidR="003B10E5">
        <w:t>still exists under either construction.</w:t>
      </w:r>
    </w:p>
    <w:p w:rsidR="00E901A3" w:rsidRPr="00705F37" w:rsidP="00705F37" w14:paraId="6C44BDAC" w14:textId="77777777">
      <w:pPr>
        <w:tabs>
          <w:tab w:val="left" w:pos="1440"/>
        </w:tabs>
        <w:ind w:firstLine="720"/>
      </w:pPr>
      <w:r w:rsidRPr="00705F37">
        <w:t>In addition</w:t>
      </w:r>
      <w:r w:rsidRPr="00705F37" w:rsidR="007F3886">
        <w:t xml:space="preserve">, </w:t>
      </w:r>
      <w:r w:rsidRPr="00705F37" w:rsidR="00AF0AA0">
        <w:t>although it is unnecessary for us to decide the issue, there is some question as to whether defendant’s conduct here falls within the ambit of the statutes cited by the Court of Appeal.  The cited statutes relate to attending or testifying at trial (§ 136.1, subd. (a)) and influencing testimony or information provided to law enforcement (§ 137, subds. (b), (c)).  But as the Attorney General observes, courts have reached different conclusions about the extent to which a request to “drop the charges” necessarily relates to attendance at a trial or testimony.</w:t>
      </w:r>
      <w:r>
        <w:rPr>
          <w:rStyle w:val="FootnoteReference"/>
        </w:rPr>
        <w:footnoteReference w:id="23"/>
      </w:r>
      <w:r w:rsidRPr="00705F37" w:rsidR="00AF0AA0">
        <w:t xml:space="preserve">  </w:t>
      </w:r>
      <w:r w:rsidR="009A007A">
        <w:t>D</w:t>
      </w:r>
      <w:r w:rsidRPr="00705F37" w:rsidR="00AF0AA0">
        <w:t xml:space="preserve">efendant maintains that the significance of the phrase “must be examined on a case-by-case basis.”  On the facts of </w:t>
      </w:r>
      <w:r w:rsidRPr="00705F37" w:rsidR="00AF0AA0">
        <w:rPr>
          <w:i/>
          <w:iCs/>
        </w:rPr>
        <w:t>this</w:t>
      </w:r>
      <w:r w:rsidRPr="00705F37" w:rsidR="00AF0AA0">
        <w:t xml:space="preserve"> case, he maintains “ ‘drop the charges’ does not make sense” because “there is no evidence that [Cornejo] planned to separately ‘assist in the prosecution.’ ”  We decline to wade into this issue in the first instance because it relates to defendant’s challenge to the sufficiency of the evidence supporting the assisting clause, which the Court of Appeal found unnecessary to reach in light of its ruling as to the causing clause.</w:t>
      </w:r>
      <w:r w:rsidRPr="00705F37" w:rsidR="00D41CB9">
        <w:t xml:space="preserve">  Because we ultimately conclude the Court of Appeal correctly resolved the case on this basis, </w:t>
      </w:r>
      <w:r w:rsidRPr="00705F37" w:rsidR="00465728">
        <w:t xml:space="preserve">we need not </w:t>
      </w:r>
      <w:r w:rsidRPr="00705F37" w:rsidR="00386998">
        <w:t>reach the issue either.</w:t>
      </w:r>
    </w:p>
    <w:p w:rsidR="00631C2F" w:rsidRPr="00705F37" w:rsidP="00705F37" w14:paraId="6C44BDAD" w14:textId="77777777">
      <w:pPr>
        <w:tabs>
          <w:tab w:val="left" w:pos="1440"/>
        </w:tabs>
        <w:ind w:firstLine="720"/>
      </w:pPr>
      <w:r w:rsidRPr="005B37B4">
        <w:t>To summarize, although the assisting clause may overlap with other dissuasion provisions, that circumstance does not provide direct instruction on whether we should read section 136.1(b)(2) conjunctively or disjunctively</w:t>
      </w:r>
      <w:r w:rsidRPr="00705F37" w:rsidR="003936BF">
        <w:t>.</w:t>
      </w:r>
    </w:p>
    <w:p w:rsidR="00756DEE" w:rsidRPr="00705F37" w:rsidP="00132534" w14:paraId="6C44BDAE" w14:textId="77777777">
      <w:pPr>
        <w:pStyle w:val="Heading2"/>
        <w:ind w:left="1166" w:hanging="446"/>
      </w:pPr>
      <w:r w:rsidRPr="00705F37">
        <w:t>Case Law Discussing Section 136.1 Is Not Particularly Instructive</w:t>
      </w:r>
    </w:p>
    <w:p w:rsidR="00756DEE" w:rsidRPr="00705F37" w:rsidP="00705F37" w14:paraId="6C44BDAF" w14:textId="77777777">
      <w:pPr>
        <w:tabs>
          <w:tab w:val="left" w:pos="1440"/>
        </w:tabs>
        <w:ind w:firstLine="720"/>
      </w:pPr>
      <w:r w:rsidRPr="00705F37">
        <w:t xml:space="preserve">The Attorney General argues that cases cited by the Court of Appeal and defendant in support of a conjunctive construction of section 136.1(b)(2) are not persuasive “because none addressed the ambiguity in section 136.1(b)(2) or applied the canons of statutory construction to resolve the ambiguity.”  (See </w:t>
      </w:r>
      <w:r w:rsidRPr="00705F37">
        <w:rPr>
          <w:i/>
          <w:iCs/>
        </w:rPr>
        <w:t>Reynoza</w:t>
      </w:r>
      <w:r w:rsidRPr="00705F37">
        <w:t xml:space="preserve">, </w:t>
      </w:r>
      <w:r w:rsidRPr="00705F37">
        <w:rPr>
          <w:i/>
          <w:iCs/>
          <w:szCs w:val="26"/>
        </w:rPr>
        <w:t>supra</w:t>
      </w:r>
      <w:r w:rsidRPr="00705F37">
        <w:t xml:space="preserve">, 75 Cal.App.5th at pp. 187–188, citing </w:t>
      </w:r>
      <w:r w:rsidRPr="00705F37">
        <w:rPr>
          <w:i/>
          <w:iCs/>
        </w:rPr>
        <w:t xml:space="preserve">People v. Hallock </w:t>
      </w:r>
      <w:r w:rsidRPr="00705F37">
        <w:t>(1989) 208 Cal.App.3d 595 (</w:t>
      </w:r>
      <w:r w:rsidRPr="00705F37">
        <w:rPr>
          <w:i/>
          <w:iCs/>
        </w:rPr>
        <w:t>Hallock</w:t>
      </w:r>
      <w:r w:rsidRPr="00705F37">
        <w:t xml:space="preserve">), </w:t>
      </w:r>
      <w:r w:rsidRPr="00705F37">
        <w:rPr>
          <w:i/>
          <w:iCs/>
        </w:rPr>
        <w:t>Fernandez</w:t>
      </w:r>
      <w:r w:rsidR="001F7733">
        <w:t xml:space="preserve">, </w:t>
      </w:r>
      <w:r w:rsidRPr="009609FB" w:rsidR="001F7733">
        <w:rPr>
          <w:i/>
          <w:iCs/>
          <w:szCs w:val="26"/>
        </w:rPr>
        <w:t>supra</w:t>
      </w:r>
      <w:r w:rsidR="001F7733">
        <w:t xml:space="preserve">, </w:t>
      </w:r>
      <w:r w:rsidRPr="00705F37">
        <w:t xml:space="preserve">106 Cal.App.4th 943, and </w:t>
      </w:r>
      <w:r w:rsidRPr="00705F37">
        <w:rPr>
          <w:i/>
          <w:iCs/>
        </w:rPr>
        <w:t xml:space="preserve">People v. Brown </w:t>
      </w:r>
      <w:r w:rsidRPr="00705F37">
        <w:t>(2016) 6 Cal.App.5th 1074</w:t>
      </w:r>
      <w:r w:rsidRPr="00705F37">
        <w:rPr>
          <w:i/>
          <w:iCs/>
        </w:rPr>
        <w:t xml:space="preserve"> </w:t>
      </w:r>
      <w:r w:rsidRPr="00705F37">
        <w:t>(</w:t>
      </w:r>
      <w:r w:rsidRPr="00705F37">
        <w:rPr>
          <w:i/>
          <w:iCs/>
        </w:rPr>
        <w:t>Brown</w:t>
      </w:r>
      <w:r w:rsidRPr="00705F37">
        <w:t>).)  We agree.</w:t>
      </w:r>
    </w:p>
    <w:p w:rsidR="00756DEE" w:rsidRPr="00705F37" w:rsidP="00705F37" w14:paraId="6C44BDB0" w14:textId="77777777">
      <w:pPr>
        <w:tabs>
          <w:tab w:val="left" w:pos="1440"/>
        </w:tabs>
        <w:ind w:firstLine="720"/>
      </w:pPr>
      <w:r w:rsidRPr="00705F37">
        <w:t xml:space="preserve">The Court of Appeal in </w:t>
      </w:r>
      <w:r w:rsidRPr="00705F37">
        <w:rPr>
          <w:i/>
          <w:iCs/>
        </w:rPr>
        <w:t>Fernandez</w:t>
      </w:r>
      <w:r w:rsidRPr="00705F37">
        <w:t xml:space="preserve"> relied on an earlier court’s characterization of section 136.1, subdivision (b) as “punish[ing] a defendant’s pre-arrest efforts to prevent a crime from being reported to the authorities.”  (</w:t>
      </w:r>
      <w:r w:rsidRPr="00705F37">
        <w:rPr>
          <w:i/>
          <w:iCs/>
        </w:rPr>
        <w:t>Fernandez</w:t>
      </w:r>
      <w:r w:rsidRPr="00705F37">
        <w:t xml:space="preserve">, </w:t>
      </w:r>
      <w:r w:rsidRPr="00705F37">
        <w:rPr>
          <w:i/>
          <w:iCs/>
          <w:szCs w:val="26"/>
        </w:rPr>
        <w:t>supra</w:t>
      </w:r>
      <w:r w:rsidRPr="00705F37">
        <w:t xml:space="preserve">, 106 Cal.App.4th at p. 950, citing </w:t>
      </w:r>
      <w:r w:rsidRPr="00705F37">
        <w:rPr>
          <w:i/>
          <w:iCs/>
        </w:rPr>
        <w:t>Hallock</w:t>
      </w:r>
      <w:r w:rsidRPr="00705F37">
        <w:t xml:space="preserve">, </w:t>
      </w:r>
      <w:r w:rsidRPr="00705F37">
        <w:rPr>
          <w:i/>
          <w:iCs/>
          <w:szCs w:val="26"/>
        </w:rPr>
        <w:t>supra</w:t>
      </w:r>
      <w:r w:rsidRPr="00705F37">
        <w:t xml:space="preserve">, 208 Cal.App.3d at pp. 605–607.)  Neither </w:t>
      </w:r>
      <w:r w:rsidRPr="00705F37">
        <w:rPr>
          <w:i/>
          <w:iCs/>
        </w:rPr>
        <w:t>Fernandez</w:t>
      </w:r>
      <w:r w:rsidRPr="00705F37">
        <w:t xml:space="preserve"> nor </w:t>
      </w:r>
      <w:r w:rsidRPr="00705F37">
        <w:rPr>
          <w:i/>
          <w:iCs/>
        </w:rPr>
        <w:t>Hallock</w:t>
      </w:r>
      <w:r w:rsidRPr="00705F37">
        <w:t xml:space="preserve"> involved section 136.1(b)(2).  </w:t>
      </w:r>
    </w:p>
    <w:p w:rsidR="00756DEE" w:rsidRPr="00705F37" w:rsidP="00705F37" w14:paraId="6C44BDB1" w14:textId="77777777">
      <w:pPr>
        <w:tabs>
          <w:tab w:val="left" w:pos="1440"/>
        </w:tabs>
        <w:ind w:firstLine="720"/>
      </w:pPr>
      <w:r w:rsidRPr="00705F37">
        <w:t xml:space="preserve">The defendant in </w:t>
      </w:r>
      <w:r w:rsidRPr="00705F37">
        <w:rPr>
          <w:i/>
          <w:iCs/>
        </w:rPr>
        <w:t>Fernandez</w:t>
      </w:r>
      <w:r w:rsidRPr="00705F37">
        <w:t xml:space="preserve"> attempted to induce his victim to testify falsely at a preliminary hearing — conduct covered by section 137, subdivision (c).  (</w:t>
      </w:r>
      <w:r w:rsidRPr="00705F37">
        <w:rPr>
          <w:i/>
          <w:iCs/>
        </w:rPr>
        <w:t>Fernandez</w:t>
      </w:r>
      <w:r w:rsidRPr="00705F37">
        <w:t xml:space="preserve">, </w:t>
      </w:r>
      <w:r w:rsidRPr="00705F37">
        <w:rPr>
          <w:i/>
          <w:iCs/>
          <w:szCs w:val="26"/>
        </w:rPr>
        <w:t>supra</w:t>
      </w:r>
      <w:r w:rsidRPr="00705F37">
        <w:t>, 106 Cal.App.4th at pp. 945–946.)  But he was charged and convicted under section 136.1, subdivision (b)(1), which pertains to dissuading the reporting of a crime.  (</w:t>
      </w:r>
      <w:r w:rsidRPr="00705F37">
        <w:rPr>
          <w:i/>
          <w:iCs/>
        </w:rPr>
        <w:t>Fernandez</w:t>
      </w:r>
      <w:r w:rsidRPr="00705F37">
        <w:t xml:space="preserve">, at p. 946.)  Thus, although the </w:t>
      </w:r>
      <w:r w:rsidRPr="00705F37">
        <w:rPr>
          <w:i/>
          <w:iCs/>
        </w:rPr>
        <w:t>Fernandez</w:t>
      </w:r>
      <w:r w:rsidRPr="00705F37">
        <w:t xml:space="preserve"> court broadly characterized section 136.1, subdivision (b) as addressing pre-arrest conduct, it did so in the context of contrasting “pre-arrest efforts to prevent a crime from being reported to the authorities” under section 136.1, subdivision (b), with “effort[s] to prevent a witness from giving testimony after a criminal proceeding has been commenced” under section 137, subdivision (c).  (</w:t>
      </w:r>
      <w:r w:rsidRPr="00705F37">
        <w:rPr>
          <w:i/>
          <w:iCs/>
        </w:rPr>
        <w:t>Fernandez</w:t>
      </w:r>
      <w:r w:rsidRPr="00705F37">
        <w:t xml:space="preserve">, at p. 950, citing </w:t>
      </w:r>
      <w:r w:rsidRPr="00705F37">
        <w:rPr>
          <w:i/>
          <w:iCs/>
        </w:rPr>
        <w:t>Hallock</w:t>
      </w:r>
      <w:r w:rsidRPr="00705F37">
        <w:t xml:space="preserve">, </w:t>
      </w:r>
      <w:r w:rsidRPr="00705F37">
        <w:rPr>
          <w:i/>
          <w:iCs/>
          <w:szCs w:val="26"/>
        </w:rPr>
        <w:t>supra</w:t>
      </w:r>
      <w:r w:rsidRPr="00705F37">
        <w:t>, 208 Cal.App.3d at pp. 605–607.)  “There was simply no issue before the court concerning section 136.1, subdivision (b)(2).”  (</w:t>
      </w:r>
      <w:r w:rsidRPr="00705F37">
        <w:rPr>
          <w:i/>
          <w:iCs/>
        </w:rPr>
        <w:t>Brown</w:t>
      </w:r>
      <w:r w:rsidRPr="00705F37">
        <w:t xml:space="preserve">, </w:t>
      </w:r>
      <w:r w:rsidRPr="00705F37">
        <w:rPr>
          <w:i/>
          <w:iCs/>
          <w:szCs w:val="26"/>
        </w:rPr>
        <w:t>supra</w:t>
      </w:r>
      <w:r w:rsidRPr="00705F37">
        <w:t xml:space="preserve">, 6 Cal.App.5th at p. 1083; see </w:t>
      </w:r>
      <w:r w:rsidRPr="00705F37">
        <w:rPr>
          <w:i/>
          <w:iCs/>
        </w:rPr>
        <w:t>People v. Brooks</w:t>
      </w:r>
      <w:r w:rsidRPr="00705F37">
        <w:t xml:space="preserve"> (2017) 3 Cal.5th 1, 110 [“It is axiomatic that a case is not authority for an issue that was not considered”].)</w:t>
      </w:r>
    </w:p>
    <w:p w:rsidR="00756DEE" w:rsidRPr="00705F37" w:rsidP="00705F37" w14:paraId="6C44BDB2" w14:textId="77777777">
      <w:pPr>
        <w:tabs>
          <w:tab w:val="left" w:pos="1440"/>
        </w:tabs>
        <w:ind w:firstLine="720"/>
      </w:pPr>
      <w:r w:rsidRPr="00705F37">
        <w:t xml:space="preserve">In </w:t>
      </w:r>
      <w:r w:rsidRPr="00705F37">
        <w:rPr>
          <w:i/>
          <w:iCs/>
        </w:rPr>
        <w:t>Hallock</w:t>
      </w:r>
      <w:r w:rsidRPr="00705F37">
        <w:t>, the defendant threatened his victim, “</w:t>
      </w:r>
      <w:r w:rsidR="005279CF">
        <w:t> ‘</w:t>
      </w:r>
      <w:r w:rsidRPr="00705F37">
        <w:t>[I]f you tell anybody anything that happened . . . I’ll blow your house up.</w:t>
      </w:r>
      <w:r w:rsidR="005279CF">
        <w:t>’ </w:t>
      </w:r>
      <w:r w:rsidRPr="00705F37">
        <w:t>”  (</w:t>
      </w:r>
      <w:r w:rsidRPr="00705F37">
        <w:rPr>
          <w:i/>
          <w:iCs/>
        </w:rPr>
        <w:t>Hallock</w:t>
      </w:r>
      <w:r w:rsidRPr="00705F37">
        <w:t xml:space="preserve">, </w:t>
      </w:r>
      <w:r w:rsidRPr="00705F37">
        <w:rPr>
          <w:i/>
          <w:iCs/>
          <w:szCs w:val="26"/>
        </w:rPr>
        <w:t>supra</w:t>
      </w:r>
      <w:r w:rsidRPr="00705F37">
        <w:t>, 208 Cal.App.3d at p. 598.)  The defendant was charged with violating section 136.1, subdivision (c) by means of violating subdivision (b)(1) and (b)(3) — dissuading a victim from reporting a crime or seeking an arrest, respectively.  (</w:t>
      </w:r>
      <w:r w:rsidRPr="00705F37">
        <w:rPr>
          <w:i/>
          <w:iCs/>
        </w:rPr>
        <w:t>Hallock</w:t>
      </w:r>
      <w:r w:rsidRPr="00705F37">
        <w:t>, at p. 605.)  However, the trial court instructed the jury regarding section 136.1, subdivision (a), which prohibits dissuasion from attending or testifying at trial.  (</w:t>
      </w:r>
      <w:r w:rsidRPr="00705F37">
        <w:rPr>
          <w:i/>
          <w:iCs/>
        </w:rPr>
        <w:t>Hallock</w:t>
      </w:r>
      <w:r w:rsidRPr="00705F37">
        <w:t xml:space="preserve">, at p. 606.)  In comparing subdivisions (a) and (b) of section 136.1, the </w:t>
      </w:r>
      <w:r w:rsidRPr="00705F37">
        <w:rPr>
          <w:i/>
          <w:iCs/>
        </w:rPr>
        <w:t>Hallock</w:t>
      </w:r>
      <w:r w:rsidRPr="00705F37">
        <w:t xml:space="preserve"> court described subdivision (b)(2) as prohibiting dissuasion of a victim or witness from “causing a complaint or similar charge to be sought.”  (</w:t>
      </w:r>
      <w:r w:rsidRPr="00705F37">
        <w:rPr>
          <w:i/>
          <w:iCs/>
        </w:rPr>
        <w:t>Hallock</w:t>
      </w:r>
      <w:r w:rsidRPr="00705F37">
        <w:t>, at p. </w:t>
      </w:r>
      <w:r w:rsidRPr="00705F37" w:rsidR="005279CF">
        <w:t>60</w:t>
      </w:r>
      <w:r w:rsidR="005279CF">
        <w:t>6</w:t>
      </w:r>
      <w:r w:rsidRPr="00705F37">
        <w:t xml:space="preserve">.)  But the defendant was not charged under section 136.1(b)(2), nor was the jury instructed regarding it.  Thus, the </w:t>
      </w:r>
      <w:r w:rsidRPr="00705F37">
        <w:rPr>
          <w:i/>
          <w:iCs/>
        </w:rPr>
        <w:t>Hallock</w:t>
      </w:r>
      <w:r w:rsidRPr="00705F37">
        <w:t xml:space="preserve"> court had no occasion to consider the nuances of section 136.1(b)(2); its characterization is therefore dicta.</w:t>
      </w:r>
    </w:p>
    <w:p w:rsidR="00756DEE" w:rsidRPr="00705F37" w:rsidP="00705F37" w14:paraId="6C44BDB3" w14:textId="77777777">
      <w:pPr>
        <w:tabs>
          <w:tab w:val="left" w:pos="1440"/>
        </w:tabs>
        <w:ind w:firstLine="720"/>
      </w:pPr>
      <w:r w:rsidRPr="00705F37">
        <w:t xml:space="preserve">The Court of Appeal also cited </w:t>
      </w:r>
      <w:r w:rsidRPr="00705F37">
        <w:rPr>
          <w:i/>
          <w:iCs/>
        </w:rPr>
        <w:t>Brown</w:t>
      </w:r>
      <w:r w:rsidRPr="00705F37">
        <w:t xml:space="preserve">, in which the appellate court compared section 136.1(b)(2) to section 137, subdivision (b), but did not examine the ambiguity </w:t>
      </w:r>
      <w:r w:rsidRPr="00705F37">
        <w:rPr>
          <w:i/>
          <w:iCs/>
        </w:rPr>
        <w:t>within</w:t>
      </w:r>
      <w:r w:rsidRPr="00705F37">
        <w:t xml:space="preserve"> section 136.1(b)(2).  (</w:t>
      </w:r>
      <w:r w:rsidRPr="00705F37">
        <w:rPr>
          <w:i/>
          <w:iCs/>
        </w:rPr>
        <w:t>Brown</w:t>
      </w:r>
      <w:r w:rsidRPr="00705F37">
        <w:t xml:space="preserve">, </w:t>
      </w:r>
      <w:r w:rsidRPr="00705F37">
        <w:rPr>
          <w:i/>
          <w:iCs/>
          <w:szCs w:val="26"/>
        </w:rPr>
        <w:t>supra</w:t>
      </w:r>
      <w:r w:rsidRPr="00705F37">
        <w:t xml:space="preserve">, 6 Cal.App.5th at pp. 1080–1082.)  The defendant in </w:t>
      </w:r>
      <w:r w:rsidRPr="00705F37">
        <w:rPr>
          <w:i/>
          <w:iCs/>
        </w:rPr>
        <w:t>Brown</w:t>
      </w:r>
      <w:r w:rsidRPr="00705F37">
        <w:t xml:space="preserve"> was convicted of violating section 136.1, subdivision (c) by means of violating section 136.1(b)(2) after he threatened his victim’s life unless she agreed to “take back her report to the police.”  (</w:t>
      </w:r>
      <w:r w:rsidRPr="00705F37">
        <w:rPr>
          <w:i/>
          <w:iCs/>
        </w:rPr>
        <w:t>Brown</w:t>
      </w:r>
      <w:r w:rsidRPr="00705F37">
        <w:t>, at pp. 107</w:t>
      </w:r>
      <w:r w:rsidR="007A30C2">
        <w:t>8</w:t>
      </w:r>
      <w:r w:rsidRPr="00705F37">
        <w:t>, 1079.)  No charging document had yet been filed.  (</w:t>
      </w:r>
      <w:r w:rsidRPr="00705F37">
        <w:rPr>
          <w:i/>
          <w:iCs/>
          <w:szCs w:val="26"/>
        </w:rPr>
        <w:t>Id</w:t>
      </w:r>
      <w:r w:rsidRPr="00705F37">
        <w:rPr>
          <w:szCs w:val="26"/>
        </w:rPr>
        <w:t xml:space="preserve">. at p. 1084.)  </w:t>
      </w:r>
      <w:r w:rsidRPr="00705F37">
        <w:t>On appeal, the defendant argued he should have been charged, if at all, with violating section 137, subdivision (b), which makes it a felony — but not a serious felony, like section 136.1, subdivision (c) — to induce false testimony by force or threat.  (</w:t>
      </w:r>
      <w:r w:rsidRPr="00705F37">
        <w:rPr>
          <w:i/>
          <w:iCs/>
        </w:rPr>
        <w:t>Brown</w:t>
      </w:r>
      <w:r w:rsidRPr="00705F37">
        <w:t>, at p. 1080.)  The defendant reasoned his conduct was covered by both statutes, which required that he be charged with the more specific of the applicable statutes, which he maintained was section 137.  (</w:t>
      </w:r>
      <w:r w:rsidRPr="00705F37">
        <w:rPr>
          <w:i/>
          <w:iCs/>
        </w:rPr>
        <w:t>Brown</w:t>
      </w:r>
      <w:r w:rsidRPr="00705F37">
        <w:t xml:space="preserve">, at pp. 1080–1081.)  In assessing this claim, the </w:t>
      </w:r>
      <w:r w:rsidRPr="00705F37">
        <w:rPr>
          <w:i/>
          <w:iCs/>
        </w:rPr>
        <w:t>Brown</w:t>
      </w:r>
      <w:r w:rsidRPr="00705F37">
        <w:t xml:space="preserve"> court examined the elements of a section 136.1(b)(2) violation and concluded that, “under section 136.1, subdivision (b)(2), the perpetrator must attempt to prevent a person from causing a charging document to be sought and prosecuted </w:t>
      </w:r>
      <w:r w:rsidRPr="00705F37">
        <w:rPr>
          <w:i/>
          <w:iCs/>
        </w:rPr>
        <w:t>and</w:t>
      </w:r>
      <w:r w:rsidRPr="00705F37">
        <w:t xml:space="preserve"> from assisting in the prosecution.  Thus, the prevention must occur before the relevant charging document has been filed.”  (</w:t>
      </w:r>
      <w:r w:rsidRPr="00705F37">
        <w:rPr>
          <w:i/>
          <w:iCs/>
        </w:rPr>
        <w:t>Brown</w:t>
      </w:r>
      <w:r w:rsidRPr="00705F37">
        <w:t xml:space="preserve">, at p. 1082.)  In other words, the </w:t>
      </w:r>
      <w:r w:rsidRPr="00705F37">
        <w:rPr>
          <w:i/>
          <w:iCs/>
        </w:rPr>
        <w:t>Brown</w:t>
      </w:r>
      <w:r w:rsidRPr="00705F37">
        <w:t xml:space="preserve"> court read section 136.1(b)(2)’s connecting “and” conjunctively.  In doing so, however, the </w:t>
      </w:r>
      <w:r w:rsidRPr="00705F37">
        <w:rPr>
          <w:i/>
          <w:iCs/>
        </w:rPr>
        <w:t>Brown</w:t>
      </w:r>
      <w:r w:rsidRPr="00705F37">
        <w:t xml:space="preserve"> court</w:t>
      </w:r>
      <w:r w:rsidR="00DC5D36">
        <w:t xml:space="preserve"> </w:t>
      </w:r>
      <w:r w:rsidRPr="00705F37">
        <w:t xml:space="preserve">simply applied the ordinarily conjunctive meaning of “and” without considering the interpretive aids we have considered here.  Nor did the </w:t>
      </w:r>
      <w:r w:rsidRPr="00705F37">
        <w:rPr>
          <w:i/>
          <w:iCs/>
        </w:rPr>
        <w:t>Brown</w:t>
      </w:r>
      <w:r w:rsidRPr="00705F37">
        <w:t xml:space="preserve"> court cite or discuss</w:t>
      </w:r>
      <w:r w:rsidRPr="00705F37">
        <w:rPr>
          <w:i/>
          <w:iCs/>
          <w:szCs w:val="26"/>
        </w:rPr>
        <w:t xml:space="preserve"> </w:t>
      </w:r>
      <w:r w:rsidRPr="00705F37">
        <w:rPr>
          <w:i/>
          <w:iCs/>
        </w:rPr>
        <w:t>Velazquez</w:t>
      </w:r>
      <w:r w:rsidRPr="00705F37">
        <w:t xml:space="preserve">, </w:t>
      </w:r>
      <w:r w:rsidRPr="00705F37">
        <w:rPr>
          <w:i/>
          <w:iCs/>
          <w:szCs w:val="26"/>
        </w:rPr>
        <w:t>supra</w:t>
      </w:r>
      <w:r w:rsidRPr="00705F37">
        <w:t xml:space="preserve">, 201 Cal.App.4th 219, which stated that a violation of section 136.1(b)(2) may be premised on conduct that occurs </w:t>
      </w:r>
      <w:r w:rsidRPr="00705F37">
        <w:rPr>
          <w:i/>
          <w:iCs/>
        </w:rPr>
        <w:t>after</w:t>
      </w:r>
      <w:r w:rsidRPr="00705F37">
        <w:t xml:space="preserve"> the relevant charging document has been filed.  (</w:t>
      </w:r>
      <w:r w:rsidRPr="00705F37">
        <w:rPr>
          <w:i/>
          <w:iCs/>
        </w:rPr>
        <w:t>Velazquez</w:t>
      </w:r>
      <w:r w:rsidRPr="00705F37">
        <w:t xml:space="preserve">, at pp. 232–233.)  Finally, </w:t>
      </w:r>
      <w:r w:rsidRPr="00705F37">
        <w:rPr>
          <w:i/>
          <w:iCs/>
        </w:rPr>
        <w:t xml:space="preserve">Brown </w:t>
      </w:r>
      <w:r w:rsidRPr="00705F37">
        <w:t>is factually distinguishable in that all the dissuasive conduct there occurred before any charging document had been filed (</w:t>
      </w:r>
      <w:r w:rsidRPr="00705F37">
        <w:rPr>
          <w:i/>
          <w:iCs/>
        </w:rPr>
        <w:t>Brown</w:t>
      </w:r>
      <w:r w:rsidRPr="00705F37">
        <w:t>, at p. 1084), thus rendering the court’s analysis of section 136.1(b)(2)’s assisting clause dicta.</w:t>
      </w:r>
    </w:p>
    <w:p w:rsidR="00756DEE" w:rsidRPr="00705F37" w:rsidP="00705F37" w14:paraId="6C44BDB4" w14:textId="77777777">
      <w:pPr>
        <w:tabs>
          <w:tab w:val="left" w:pos="1440"/>
        </w:tabs>
        <w:ind w:firstLine="720"/>
      </w:pPr>
      <w:r w:rsidRPr="00705F37">
        <w:t xml:space="preserve">By the same token, we acknowledge that </w:t>
      </w:r>
      <w:r w:rsidRPr="00705F37">
        <w:rPr>
          <w:i/>
          <w:iCs/>
        </w:rPr>
        <w:t>Velazquez</w:t>
      </w:r>
      <w:r w:rsidRPr="00705F37">
        <w:t xml:space="preserve">, </w:t>
      </w:r>
      <w:r w:rsidRPr="00705F37">
        <w:rPr>
          <w:i/>
          <w:iCs/>
        </w:rPr>
        <w:t>supra</w:t>
      </w:r>
      <w:r w:rsidRPr="00705F37">
        <w:t xml:space="preserve">, 201 Cal.App.4th 219, on which the Attorney General heavily relies, has limited persuasive value.  The defendant in </w:t>
      </w:r>
      <w:r w:rsidRPr="00705F37">
        <w:rPr>
          <w:i/>
          <w:iCs/>
        </w:rPr>
        <w:t>Velazquez</w:t>
      </w:r>
      <w:r w:rsidRPr="00705F37">
        <w:t xml:space="preserve"> was convicted of violating section 136.1(b)(2) after he told a victim that if she “drop</w:t>
      </w:r>
      <w:r w:rsidR="005279CF">
        <w:t>[</w:t>
      </w:r>
      <w:r w:rsidRPr="00705F37">
        <w:t>ped</w:t>
      </w:r>
      <w:r w:rsidR="005279CF">
        <w:t>]</w:t>
      </w:r>
      <w:r w:rsidRPr="00705F37">
        <w:t xml:space="preserve"> all the charges” against the defendant’s fellow gang members “nothing would happen to her.”  (</w:t>
      </w:r>
      <w:r w:rsidRPr="00705F37">
        <w:rPr>
          <w:i/>
          <w:iCs/>
        </w:rPr>
        <w:t>Velazquez</w:t>
      </w:r>
      <w:r w:rsidRPr="00705F37">
        <w:t xml:space="preserve">, at p. 224.)  In distinguishing the basis on which the </w:t>
      </w:r>
      <w:r w:rsidRPr="00705F37">
        <w:rPr>
          <w:i/>
          <w:iCs/>
        </w:rPr>
        <w:t>Fernandez</w:t>
      </w:r>
      <w:r w:rsidRPr="00705F37">
        <w:t xml:space="preserve"> court concluded that “section 136.1, subdivision (b) punishes a defendant’s </w:t>
      </w:r>
      <w:r w:rsidRPr="00705F37">
        <w:rPr>
          <w:i/>
          <w:iCs/>
        </w:rPr>
        <w:t>pre-arrest</w:t>
      </w:r>
      <w:r w:rsidRPr="00705F37">
        <w:t xml:space="preserve"> efforts to prevent a crime from being reported to the authorities” (</w:t>
      </w:r>
      <w:r w:rsidRPr="00705F37">
        <w:rPr>
          <w:i/>
          <w:iCs/>
        </w:rPr>
        <w:t>Fernandez</w:t>
      </w:r>
      <w:r w:rsidRPr="00705F37">
        <w:t xml:space="preserve">, </w:t>
      </w:r>
      <w:r w:rsidRPr="00705F37">
        <w:rPr>
          <w:i/>
          <w:iCs/>
          <w:szCs w:val="26"/>
        </w:rPr>
        <w:t>supra</w:t>
      </w:r>
      <w:r w:rsidRPr="00705F37">
        <w:t xml:space="preserve">, 106 Cal.App.4th at p. 950, italics added), the </w:t>
      </w:r>
      <w:r w:rsidRPr="00705F37">
        <w:rPr>
          <w:i/>
          <w:iCs/>
        </w:rPr>
        <w:t>Velazquez</w:t>
      </w:r>
      <w:r w:rsidRPr="00705F37">
        <w:t xml:space="preserve"> court held that “[s]ubdivision (b)(2) clearly encompasses more than prearrest efforts to dissuade, inasmuch as it includes attempts to dissuade a victim from causing a complaint or information to be prosecuted </w:t>
      </w:r>
      <w:r w:rsidRPr="00705F37">
        <w:rPr>
          <w:i/>
          <w:iCs/>
        </w:rPr>
        <w:t>or assisting in that prosecution</w:t>
      </w:r>
      <w:r w:rsidRPr="00705F37">
        <w:t>.”  (</w:t>
      </w:r>
      <w:r w:rsidRPr="00705F37">
        <w:rPr>
          <w:i/>
          <w:iCs/>
        </w:rPr>
        <w:t>Velazquez</w:t>
      </w:r>
      <w:r w:rsidRPr="00705F37">
        <w:t xml:space="preserve">, at p. 233, italics added.)  In reaching this conclusion, however, the </w:t>
      </w:r>
      <w:r w:rsidRPr="00705F37">
        <w:rPr>
          <w:i/>
          <w:iCs/>
        </w:rPr>
        <w:t>Velazquez</w:t>
      </w:r>
      <w:r w:rsidRPr="00705F37">
        <w:t xml:space="preserve"> court uncritically read section 136.1(b)(2)’s connecting “and” disjunctively, without considering any interpretative aids.  Moreover, because the </w:t>
      </w:r>
      <w:r w:rsidRPr="00705F37">
        <w:rPr>
          <w:i/>
          <w:iCs/>
        </w:rPr>
        <w:t>Velazquez</w:t>
      </w:r>
      <w:r w:rsidRPr="00705F37">
        <w:t xml:space="preserve"> court concluded the defendant’s conviction was supported under the causing clause alone (</w:t>
      </w:r>
      <w:r w:rsidRPr="00705F37">
        <w:rPr>
          <w:i/>
          <w:iCs/>
        </w:rPr>
        <w:t>Velazquez</w:t>
      </w:r>
      <w:r w:rsidRPr="00705F37">
        <w:t xml:space="preserve">, at p. 233), the court had no occasion to consider the interplay between the causing and assisting clauses, thus rendering its observations regarding the same dicta.  </w:t>
      </w:r>
    </w:p>
    <w:p w:rsidR="00756DEE" w:rsidRPr="00705F37" w:rsidP="00705F37" w14:paraId="6C44BDB5" w14:textId="77777777">
      <w:pPr>
        <w:tabs>
          <w:tab w:val="left" w:pos="1440"/>
        </w:tabs>
        <w:ind w:firstLine="720"/>
      </w:pPr>
      <w:r w:rsidRPr="00705F37">
        <w:t>Because none of the cases that the Court of Appeal cited actually addresses the ambiguity at issue here, we find they offer little insight to the proper interpretation of section 136.1(b)(2).</w:t>
      </w:r>
    </w:p>
    <w:p w:rsidR="00E235DB" w:rsidRPr="00705F37" w:rsidP="00807782" w14:paraId="6C44BDB6" w14:textId="77777777">
      <w:pPr>
        <w:pStyle w:val="Heading2"/>
        <w:ind w:left="1166" w:hanging="446"/>
      </w:pPr>
      <w:r w:rsidRPr="00705F37">
        <w:t xml:space="preserve">Defendant’s </w:t>
      </w:r>
      <w:r w:rsidRPr="00705F37" w:rsidR="00CC6177">
        <w:t xml:space="preserve">Remaining </w:t>
      </w:r>
      <w:r w:rsidRPr="00705F37" w:rsidR="004E72FA">
        <w:t>A</w:t>
      </w:r>
      <w:r w:rsidRPr="00705F37" w:rsidR="001E5107">
        <w:t xml:space="preserve">rguments </w:t>
      </w:r>
      <w:r w:rsidRPr="00705F37" w:rsidR="00A27C38">
        <w:t>Are Un</w:t>
      </w:r>
      <w:r w:rsidRPr="00705F37" w:rsidR="003936BF">
        <w:t>helpful</w:t>
      </w:r>
    </w:p>
    <w:p w:rsidR="00D7292B" w:rsidRPr="00705F37" w:rsidP="00705F37" w14:paraId="6C44BDB7" w14:textId="77777777">
      <w:pPr>
        <w:tabs>
          <w:tab w:val="left" w:pos="1440"/>
        </w:tabs>
        <w:ind w:firstLine="720"/>
      </w:pPr>
      <w:r w:rsidRPr="00705F37">
        <w:t xml:space="preserve">Defendant </w:t>
      </w:r>
      <w:r w:rsidRPr="00705F37" w:rsidR="0000113E">
        <w:t xml:space="preserve">contends several additional considerations support his </w:t>
      </w:r>
      <w:r w:rsidRPr="00705F37" w:rsidR="00BD1A07">
        <w:t>conju</w:t>
      </w:r>
      <w:r w:rsidRPr="00705F37" w:rsidR="007B778E">
        <w:t>n</w:t>
      </w:r>
      <w:r w:rsidRPr="00705F37" w:rsidR="00BD1A07">
        <w:t xml:space="preserve">ctive reading </w:t>
      </w:r>
      <w:r w:rsidRPr="00705F37" w:rsidR="0000113E">
        <w:t>of section 136.1(b)(2).</w:t>
      </w:r>
      <w:r w:rsidRPr="00705F37" w:rsidR="00EA38C2">
        <w:t xml:space="preserve">  </w:t>
      </w:r>
      <w:r w:rsidRPr="00705F37" w:rsidR="003D1D26">
        <w:t>We</w:t>
      </w:r>
      <w:r w:rsidRPr="00705F37" w:rsidR="00EA38C2">
        <w:t xml:space="preserve"> disagree.</w:t>
      </w:r>
    </w:p>
    <w:p w:rsidR="007B7983" w:rsidRPr="00705F37" w:rsidP="00705F37" w14:paraId="6C44BDB8" w14:textId="77777777">
      <w:pPr>
        <w:tabs>
          <w:tab w:val="left" w:pos="1440"/>
        </w:tabs>
        <w:ind w:firstLine="720"/>
      </w:pPr>
      <w:r w:rsidRPr="00705F37">
        <w:t xml:space="preserve">First, </w:t>
      </w:r>
      <w:r w:rsidRPr="00705F37" w:rsidR="008C6B7F">
        <w:t xml:space="preserve">defendant </w:t>
      </w:r>
      <w:r w:rsidRPr="00705F37" w:rsidR="00B854C7">
        <w:t xml:space="preserve">asserts </w:t>
      </w:r>
      <w:r w:rsidRPr="00705F37">
        <w:t xml:space="preserve">that </w:t>
      </w:r>
      <w:r w:rsidRPr="00705F37" w:rsidR="00B854C7">
        <w:t xml:space="preserve">the pattern jury instruction </w:t>
      </w:r>
      <w:r w:rsidRPr="00705F37">
        <w:t xml:space="preserve">corresponding to </w:t>
      </w:r>
      <w:r w:rsidRPr="00705F37" w:rsidR="007B778E">
        <w:t>section</w:t>
      </w:r>
      <w:r w:rsidRPr="00705F37" w:rsidR="00F374AF">
        <w:t> </w:t>
      </w:r>
      <w:r w:rsidRPr="00705F37" w:rsidR="007B778E">
        <w:t>136.1(b)(2)</w:t>
      </w:r>
      <w:r w:rsidRPr="00705F37" w:rsidR="00F374AF">
        <w:t> </w:t>
      </w:r>
      <w:r w:rsidRPr="00705F37" w:rsidR="009B2C76">
        <w:t>— CALCRIM No. 2622</w:t>
      </w:r>
      <w:r w:rsidRPr="00705F37" w:rsidR="00F374AF">
        <w:t> </w:t>
      </w:r>
      <w:r w:rsidRPr="00705F37" w:rsidR="009B2C76">
        <w:t xml:space="preserve">— </w:t>
      </w:r>
      <w:r w:rsidRPr="00705F37" w:rsidR="009858DC">
        <w:t xml:space="preserve">supports his reading because it </w:t>
      </w:r>
      <w:r w:rsidRPr="00705F37" w:rsidR="000E238C">
        <w:t>“</w:t>
      </w:r>
      <w:r w:rsidRPr="00705F37" w:rsidR="008828A7">
        <w:t xml:space="preserve">clearly </w:t>
      </w:r>
      <w:r w:rsidRPr="00705F37" w:rsidR="000E238C">
        <w:t>present</w:t>
      </w:r>
      <w:r w:rsidRPr="00705F37" w:rsidR="009858DC">
        <w:t>s</w:t>
      </w:r>
      <w:r w:rsidRPr="00705F37" w:rsidR="000E238C">
        <w:t xml:space="preserve"> the offense as unified conduct.” </w:t>
      </w:r>
      <w:r w:rsidRPr="00705F37" w:rsidR="007E6041">
        <w:t xml:space="preserve"> </w:t>
      </w:r>
      <w:r w:rsidRPr="00705F37" w:rsidR="00AC1FEA">
        <w:t>Specifically, t</w:t>
      </w:r>
      <w:r w:rsidRPr="00705F37" w:rsidR="007E6041">
        <w:t xml:space="preserve">he </w:t>
      </w:r>
      <w:r w:rsidRPr="00705F37" w:rsidR="003A433A">
        <w:t xml:space="preserve">pattern </w:t>
      </w:r>
      <w:r w:rsidRPr="00705F37" w:rsidR="008828A7">
        <w:t xml:space="preserve">instruction </w:t>
      </w:r>
      <w:r w:rsidRPr="00705F37" w:rsidR="002A4E53">
        <w:t xml:space="preserve">states that the prosecution must prove that </w:t>
      </w:r>
      <w:r w:rsidRPr="00705F37" w:rsidR="001824FE">
        <w:t>the defendant dissuaded a victim or witness “</w:t>
      </w:r>
      <w:r w:rsidRPr="00705F37" w:rsidR="00E4313B">
        <w:t>from cooperating or providing information so that a</w:t>
      </w:r>
      <w:r w:rsidRPr="00705F37" w:rsidR="001824FE">
        <w:t> . . . </w:t>
      </w:r>
      <w:r w:rsidRPr="00705F37" w:rsidR="00E4313B">
        <w:t>complaint</w:t>
      </w:r>
      <w:r w:rsidRPr="00705F37" w:rsidR="001824FE">
        <w:t xml:space="preserve"> . . . </w:t>
      </w:r>
      <w:r w:rsidRPr="00705F37" w:rsidR="00E4313B">
        <w:t xml:space="preserve">could be sought and prosecuted, </w:t>
      </w:r>
      <w:r w:rsidRPr="00705F37" w:rsidR="00E4313B">
        <w:rPr>
          <w:i/>
          <w:iCs/>
        </w:rPr>
        <w:t>and from helping to</w:t>
      </w:r>
      <w:r w:rsidRPr="00705F37" w:rsidR="006C07D7">
        <w:rPr>
          <w:i/>
          <w:iCs/>
        </w:rPr>
        <w:t xml:space="preserve"> </w:t>
      </w:r>
      <w:r w:rsidRPr="00705F37" w:rsidR="00E4313B">
        <w:rPr>
          <w:i/>
          <w:iCs/>
        </w:rPr>
        <w:t>prosecute that action</w:t>
      </w:r>
      <w:r w:rsidRPr="00705F37" w:rsidR="006C07D7">
        <w:t>.”</w:t>
      </w:r>
      <w:r w:rsidRPr="00705F37" w:rsidR="00C409E4">
        <w:t xml:space="preserve">  (CALCRIM No. 2622, italics added.)  </w:t>
      </w:r>
      <w:r w:rsidRPr="00705F37" w:rsidR="00E616C1">
        <w:t>“We have cautioned</w:t>
      </w:r>
      <w:r w:rsidRPr="00705F37" w:rsidR="00ED319F">
        <w:t>,” however, “</w:t>
      </w:r>
      <w:r w:rsidRPr="00705F37" w:rsidR="00E616C1">
        <w:t xml:space="preserve">that </w:t>
      </w:r>
      <w:r w:rsidRPr="00705F37" w:rsidR="00ED319F">
        <w:t>‘</w:t>
      </w:r>
      <w:r w:rsidRPr="00705F37" w:rsidR="00E616C1">
        <w:t>jury instructions</w:t>
      </w:r>
      <w:r w:rsidRPr="00705F37" w:rsidR="00ED319F">
        <w:t xml:space="preserve"> . . . </w:t>
      </w:r>
      <w:r w:rsidRPr="00705F37" w:rsidR="00E616C1">
        <w:t>are not themselves the law, and are not authority to establish legal propositions or precedent.</w:t>
      </w:r>
      <w:r w:rsidRPr="00705F37" w:rsidR="0067614E">
        <w:t>’ </w:t>
      </w:r>
      <w:r w:rsidRPr="00705F37" w:rsidR="00ED319F">
        <w:t>”  (</w:t>
      </w:r>
      <w:r w:rsidRPr="00705F37" w:rsidR="00E616C1">
        <w:rPr>
          <w:i/>
          <w:iCs/>
        </w:rPr>
        <w:t>People v. Covarrubias</w:t>
      </w:r>
      <w:r w:rsidRPr="00705F37" w:rsidR="00E616C1">
        <w:t xml:space="preserve"> (2016) 1</w:t>
      </w:r>
      <w:r w:rsidRPr="00705F37" w:rsidR="00F374AF">
        <w:t> </w:t>
      </w:r>
      <w:r w:rsidRPr="00705F37" w:rsidR="00E616C1">
        <w:t xml:space="preserve">Cal.5th 838, </w:t>
      </w:r>
      <w:r w:rsidRPr="00705F37" w:rsidR="0067614E">
        <w:t>876</w:t>
      </w:r>
      <w:r w:rsidRPr="00705F37" w:rsidR="00A747C3">
        <w:t>,</w:t>
      </w:r>
      <w:r w:rsidRPr="00705F37" w:rsidR="00ED319F">
        <w:t xml:space="preserve"> fn.</w:t>
      </w:r>
      <w:r w:rsidRPr="00705F37" w:rsidR="00F374AF">
        <w:t> </w:t>
      </w:r>
      <w:r w:rsidRPr="00705F37" w:rsidR="00ED319F">
        <w:t xml:space="preserve">16, quoting </w:t>
      </w:r>
      <w:r w:rsidRPr="00705F37" w:rsidR="00ED319F">
        <w:rPr>
          <w:i/>
          <w:iCs/>
        </w:rPr>
        <w:t>People v. Morales</w:t>
      </w:r>
      <w:r w:rsidRPr="00705F37" w:rsidR="00ED319F">
        <w:t xml:space="preserve"> (2001) 25</w:t>
      </w:r>
      <w:r w:rsidRPr="00705F37" w:rsidR="00F374AF">
        <w:t> </w:t>
      </w:r>
      <w:r w:rsidRPr="00705F37" w:rsidR="00ED319F">
        <w:t>Cal.4th 34, 48, fn.</w:t>
      </w:r>
      <w:r w:rsidRPr="00705F37" w:rsidR="00F374AF">
        <w:t> </w:t>
      </w:r>
      <w:r w:rsidRPr="00705F37" w:rsidR="00ED319F">
        <w:t xml:space="preserve">7.)  </w:t>
      </w:r>
      <w:r w:rsidRPr="00705F37" w:rsidR="00BD0119">
        <w:t>“</w:t>
      </w:r>
      <w:r w:rsidRPr="00705F37">
        <w:t>At most, when they are accurate,</w:t>
      </w:r>
      <w:r w:rsidRPr="00705F37" w:rsidR="00FA67DD">
        <w:t xml:space="preserve"> . . . </w:t>
      </w:r>
      <w:r w:rsidRPr="00705F37">
        <w:t>they restate the law.</w:t>
      </w:r>
      <w:r w:rsidRPr="00705F37" w:rsidR="00FA67DD">
        <w:t>”  (</w:t>
      </w:r>
      <w:r w:rsidRPr="00705F37">
        <w:rPr>
          <w:i/>
          <w:iCs/>
        </w:rPr>
        <w:t>Morales</w:t>
      </w:r>
      <w:r w:rsidRPr="00705F37" w:rsidR="00BD0119">
        <w:t>, at p.</w:t>
      </w:r>
      <w:r w:rsidRPr="00705F37" w:rsidR="00F374AF">
        <w:t> </w:t>
      </w:r>
      <w:r w:rsidRPr="00705F37">
        <w:t>48</w:t>
      </w:r>
      <w:r w:rsidRPr="00705F37" w:rsidR="00FA67DD">
        <w:t>, f</w:t>
      </w:r>
      <w:r w:rsidRPr="00705F37" w:rsidR="00292345">
        <w:t>n.</w:t>
      </w:r>
      <w:r w:rsidRPr="00705F37" w:rsidR="00F374AF">
        <w:t> </w:t>
      </w:r>
      <w:r w:rsidRPr="00705F37" w:rsidR="00292345">
        <w:t>7</w:t>
      </w:r>
      <w:r w:rsidRPr="00705F37" w:rsidR="00BD0119">
        <w:t xml:space="preserve">.)  </w:t>
      </w:r>
      <w:r w:rsidRPr="00705F37" w:rsidR="005C1E93">
        <w:t>A</w:t>
      </w:r>
      <w:r w:rsidRPr="00705F37" w:rsidR="00BD0119">
        <w:t xml:space="preserve">ll that CALCRIM No. 2622 </w:t>
      </w:r>
      <w:r w:rsidRPr="00705F37" w:rsidR="009B0C7E">
        <w:t xml:space="preserve">does is restate </w:t>
      </w:r>
      <w:r w:rsidRPr="00705F37" w:rsidR="000B330F">
        <w:t>section</w:t>
      </w:r>
      <w:r w:rsidR="00E10191">
        <w:t xml:space="preserve"> </w:t>
      </w:r>
      <w:r w:rsidRPr="00705F37" w:rsidR="000B330F">
        <w:t>136.1(b)(2)</w:t>
      </w:r>
      <w:r w:rsidRPr="00705F37" w:rsidR="00F374AF">
        <w:t> </w:t>
      </w:r>
      <w:r w:rsidRPr="00705F37" w:rsidR="00400600">
        <w:t>—</w:t>
      </w:r>
      <w:r w:rsidRPr="00705F37" w:rsidR="00F374AF">
        <w:t xml:space="preserve"> including the </w:t>
      </w:r>
      <w:r w:rsidRPr="00705F37" w:rsidR="00EE7F96">
        <w:t>ambiguous connecting “and”</w:t>
      </w:r>
      <w:r w:rsidRPr="00705F37" w:rsidR="00F374AF">
        <w:t xml:space="preserve"> at issue here.</w:t>
      </w:r>
    </w:p>
    <w:p w:rsidR="00CA33D7" w:rsidRPr="00705F37" w:rsidP="00705F37" w14:paraId="6C44BDB9" w14:textId="77777777">
      <w:pPr>
        <w:tabs>
          <w:tab w:val="left" w:pos="1440"/>
        </w:tabs>
        <w:ind w:firstLine="720"/>
      </w:pPr>
      <w:r w:rsidRPr="00705F37">
        <w:t>Second</w:t>
      </w:r>
      <w:r w:rsidRPr="00705F37" w:rsidR="00BD28D0">
        <w:t xml:space="preserve">, </w:t>
      </w:r>
      <w:r w:rsidRPr="00705F37" w:rsidR="001F5E59">
        <w:t xml:space="preserve">defendant </w:t>
      </w:r>
      <w:r w:rsidRPr="00705F37" w:rsidR="004012A7">
        <w:t xml:space="preserve">asserts that </w:t>
      </w:r>
      <w:r w:rsidRPr="00705F37" w:rsidR="00BB65AD">
        <w:t>if the Legislature intended the assisting clause “to exist as a separate prohibited act, the drafters would have structured that phrase differently and added it as a stand-alone</w:t>
      </w:r>
      <w:r w:rsidRPr="00705F37" w:rsidR="002156D2">
        <w:t xml:space="preserve"> </w:t>
      </w:r>
      <w:r w:rsidRPr="00705F37" w:rsidR="00BB65AD">
        <w:t>subsection.</w:t>
      </w:r>
      <w:r w:rsidRPr="00705F37" w:rsidR="002156D2">
        <w:t xml:space="preserve">”  </w:t>
      </w:r>
      <w:r w:rsidRPr="00705F37" w:rsidR="00627BF4">
        <w:t xml:space="preserve">Had </w:t>
      </w:r>
      <w:r w:rsidRPr="00705F37" w:rsidR="00725E20">
        <w:t xml:space="preserve">the Legislature been drafting on a blank slate, </w:t>
      </w:r>
      <w:r w:rsidRPr="00705F37" w:rsidR="007D34B1">
        <w:t>we</w:t>
      </w:r>
      <w:r w:rsidRPr="00705F37" w:rsidR="008F74C2">
        <w:t xml:space="preserve"> would agree that </w:t>
      </w:r>
      <w:r w:rsidRPr="00705F37" w:rsidR="00725E20">
        <w:t xml:space="preserve">this would have been a logical way to </w:t>
      </w:r>
      <w:r w:rsidRPr="00705F37" w:rsidR="00281F12">
        <w:t xml:space="preserve">structure the statute.  But that </w:t>
      </w:r>
      <w:r w:rsidRPr="00705F37" w:rsidR="008F74C2">
        <w:t xml:space="preserve">is not what happened </w:t>
      </w:r>
      <w:r w:rsidRPr="00705F37" w:rsidR="00ED3B67">
        <w:t>here</w:t>
      </w:r>
      <w:r w:rsidRPr="00705F37" w:rsidR="00281F12">
        <w:t xml:space="preserve">.  </w:t>
      </w:r>
      <w:r w:rsidRPr="00705F37" w:rsidR="008F74C2">
        <w:t xml:space="preserve">Instead, </w:t>
      </w:r>
      <w:r w:rsidRPr="00705F37" w:rsidR="00281F12">
        <w:t xml:space="preserve">the Legislature </w:t>
      </w:r>
      <w:r w:rsidRPr="00705F37" w:rsidR="00F1058B">
        <w:t xml:space="preserve">imported </w:t>
      </w:r>
      <w:r w:rsidRPr="00705F37" w:rsidR="00281F12">
        <w:t xml:space="preserve">nearly </w:t>
      </w:r>
      <w:r w:rsidRPr="00705F37" w:rsidR="00ED3B67">
        <w:t xml:space="preserve">verbatim </w:t>
      </w:r>
      <w:r w:rsidRPr="00705F37" w:rsidR="00F1058B">
        <w:t xml:space="preserve">the ABA model statute.  </w:t>
      </w:r>
      <w:r w:rsidRPr="00705F37" w:rsidR="00354D88">
        <w:t xml:space="preserve">Notably, </w:t>
      </w:r>
      <w:r w:rsidRPr="00705F37" w:rsidR="002156D2">
        <w:t xml:space="preserve">none of the </w:t>
      </w:r>
      <w:r w:rsidRPr="00705F37" w:rsidR="00354D88">
        <w:t xml:space="preserve">other </w:t>
      </w:r>
      <w:r w:rsidRPr="00705F37" w:rsidR="0022501B">
        <w:t xml:space="preserve">jurisdictions that </w:t>
      </w:r>
      <w:r w:rsidRPr="00705F37" w:rsidR="004F3F60">
        <w:t xml:space="preserve">have </w:t>
      </w:r>
      <w:r w:rsidRPr="00705F37" w:rsidR="0022501B">
        <w:t>implemented the ABA model</w:t>
      </w:r>
      <w:r w:rsidRPr="00705F37" w:rsidR="00F93DAC">
        <w:t xml:space="preserve"> </w:t>
      </w:r>
      <w:r w:rsidRPr="00705F37" w:rsidR="0022501B">
        <w:t>statute (or substantially similar language)</w:t>
      </w:r>
      <w:r w:rsidRPr="00705F37" w:rsidR="00F93DAC">
        <w:t> — including those that expressly created separate prohibited acts by replacing the model statute’s ambiguous connecting “and” with a clearly disjunctive “or”</w:t>
      </w:r>
      <w:r w:rsidRPr="00705F37" w:rsidR="00AE48A5">
        <w:t> </w:t>
      </w:r>
      <w:r w:rsidRPr="00705F37" w:rsidR="00D720F5">
        <w:t>—</w:t>
      </w:r>
      <w:r w:rsidRPr="00705F37" w:rsidR="0022501B">
        <w:t xml:space="preserve"> set out the causing and assisting clauses </w:t>
      </w:r>
      <w:r w:rsidRPr="00705F37" w:rsidR="00F632C0">
        <w:t xml:space="preserve">in separate </w:t>
      </w:r>
      <w:r w:rsidRPr="00705F37" w:rsidR="00093916">
        <w:t>sub</w:t>
      </w:r>
      <w:r w:rsidR="00093916">
        <w:t>divis</w:t>
      </w:r>
      <w:r w:rsidRPr="00705F37" w:rsidR="00093916">
        <w:t>ions</w:t>
      </w:r>
      <w:r w:rsidRPr="00705F37" w:rsidR="004F3F60">
        <w:t xml:space="preserve">, as </w:t>
      </w:r>
      <w:r w:rsidRPr="00705F37" w:rsidR="001F5E59">
        <w:t xml:space="preserve">defendant </w:t>
      </w:r>
      <w:r w:rsidRPr="00705F37" w:rsidR="004F3F60">
        <w:t>suggests</w:t>
      </w:r>
      <w:r w:rsidRPr="00705F37" w:rsidR="007D264E">
        <w:t xml:space="preserve">.  </w:t>
      </w:r>
      <w:r w:rsidRPr="00705F37" w:rsidR="00C10336">
        <w:t>(</w:t>
      </w:r>
      <w:r w:rsidRPr="00705F37" w:rsidR="00F00074">
        <w:t>See</w:t>
      </w:r>
      <w:r w:rsidRPr="00705F37" w:rsidR="003138D3">
        <w:t xml:space="preserve">, </w:t>
      </w:r>
      <w:r w:rsidRPr="00705F37" w:rsidR="003138D3">
        <w:rPr>
          <w:i/>
          <w:iCs/>
        </w:rPr>
        <w:t>ante</w:t>
      </w:r>
      <w:r w:rsidRPr="00705F37" w:rsidR="003138D3">
        <w:t xml:space="preserve">, </w:t>
      </w:r>
      <w:r w:rsidRPr="00705F37" w:rsidR="001865E8">
        <w:t>pp</w:t>
      </w:r>
      <w:r w:rsidRPr="00705F37" w:rsidR="00F00074">
        <w:t>.</w:t>
      </w:r>
      <w:r w:rsidRPr="00705F37" w:rsidR="00F374AF">
        <w:t> </w:t>
      </w:r>
      <w:r w:rsidRPr="00705F37" w:rsidR="001865E8">
        <w:t>2</w:t>
      </w:r>
      <w:r w:rsidR="001E5A3A">
        <w:t>3</w:t>
      </w:r>
      <w:r w:rsidRPr="00705F37" w:rsidR="004E21BB">
        <w:t>–</w:t>
      </w:r>
      <w:r w:rsidRPr="00705F37" w:rsidR="001865E8">
        <w:t>2</w:t>
      </w:r>
      <w:r w:rsidR="001E5A3A">
        <w:t>5</w:t>
      </w:r>
      <w:r w:rsidRPr="00705F37" w:rsidR="00286E55">
        <w:t>.</w:t>
      </w:r>
      <w:r w:rsidRPr="00705F37" w:rsidR="00C10336">
        <w:t>)</w:t>
      </w:r>
      <w:r w:rsidRPr="00705F37" w:rsidR="00177A0B">
        <w:t xml:space="preserve">  </w:t>
      </w:r>
    </w:p>
    <w:p w:rsidR="0022501B" w:rsidRPr="00705F37" w:rsidP="00705F37" w14:paraId="6C44BDBA" w14:textId="77777777">
      <w:pPr>
        <w:tabs>
          <w:tab w:val="left" w:pos="1440"/>
        </w:tabs>
        <w:ind w:firstLine="720"/>
      </w:pPr>
      <w:r w:rsidRPr="00705F37">
        <w:t>Additionally, a</w:t>
      </w:r>
      <w:r w:rsidRPr="00705F37" w:rsidR="001F5E59">
        <w:t>lthough the Legislature could have structured the statute differently, the format it chose is not illogical</w:t>
      </w:r>
      <w:r w:rsidRPr="00705F37" w:rsidR="002C5D2B">
        <w:t>.</w:t>
      </w:r>
      <w:r w:rsidRPr="00705F37" w:rsidR="00177A0B">
        <w:t xml:space="preserve"> </w:t>
      </w:r>
      <w:r w:rsidRPr="00705F37" w:rsidR="002C5D2B">
        <w:t xml:space="preserve"> T</w:t>
      </w:r>
      <w:r w:rsidRPr="00705F37" w:rsidR="00177A0B">
        <w:t xml:space="preserve">he different </w:t>
      </w:r>
      <w:r w:rsidRPr="00705F37" w:rsidR="009549DC">
        <w:t>parts</w:t>
      </w:r>
      <w:r w:rsidRPr="00705F37" w:rsidR="00177A0B">
        <w:t xml:space="preserve"> of section</w:t>
      </w:r>
      <w:r w:rsidRPr="00705F37" w:rsidR="00F374AF">
        <w:t> </w:t>
      </w:r>
      <w:r w:rsidRPr="00705F37" w:rsidR="00177A0B">
        <w:t>136.1</w:t>
      </w:r>
      <w:r w:rsidRPr="00705F37" w:rsidR="002C5D2B">
        <w:t>, subdivision</w:t>
      </w:r>
      <w:r w:rsidRPr="00705F37" w:rsidR="00F374AF">
        <w:t> </w:t>
      </w:r>
      <w:r w:rsidRPr="00705F37" w:rsidR="002C5D2B">
        <w:t xml:space="preserve">(b) </w:t>
      </w:r>
      <w:r w:rsidRPr="00705F37" w:rsidR="001A1A72">
        <w:t xml:space="preserve">refer </w:t>
      </w:r>
      <w:r w:rsidRPr="00705F37" w:rsidR="00CD0B96">
        <w:t xml:space="preserve">generally </w:t>
      </w:r>
      <w:r w:rsidRPr="00705F37" w:rsidR="00F00074">
        <w:t xml:space="preserve">to </w:t>
      </w:r>
      <w:r w:rsidRPr="00705F37" w:rsidR="002C5D2B">
        <w:t xml:space="preserve">different </w:t>
      </w:r>
      <w:r w:rsidRPr="00705F37" w:rsidR="00804312">
        <w:t xml:space="preserve">stages of </w:t>
      </w:r>
      <w:r w:rsidRPr="00705F37" w:rsidR="00A94A92">
        <w:t xml:space="preserve">a </w:t>
      </w:r>
      <w:r w:rsidRPr="00705F37" w:rsidR="00804312">
        <w:t>criminal proceeding:  subdivision (</w:t>
      </w:r>
      <w:r w:rsidRPr="00705F37" w:rsidR="0083231F">
        <w:t>b</w:t>
      </w:r>
      <w:r w:rsidRPr="00705F37" w:rsidR="00804312">
        <w:t>)</w:t>
      </w:r>
      <w:r w:rsidRPr="00705F37" w:rsidR="0083231F">
        <w:t xml:space="preserve">(1) </w:t>
      </w:r>
      <w:r w:rsidRPr="00705F37" w:rsidR="001A1A72">
        <w:t xml:space="preserve">refers </w:t>
      </w:r>
      <w:r w:rsidRPr="00705F37" w:rsidR="00A94A92">
        <w:t xml:space="preserve">to </w:t>
      </w:r>
      <w:r w:rsidRPr="00705F37" w:rsidR="0083231F">
        <w:t>reporting crimes, subdivision</w:t>
      </w:r>
      <w:r w:rsidRPr="00705F37" w:rsidR="00F374AF">
        <w:t> </w:t>
      </w:r>
      <w:r w:rsidRPr="00705F37" w:rsidR="0083231F">
        <w:t xml:space="preserve">(b)(2) </w:t>
      </w:r>
      <w:r w:rsidRPr="00705F37" w:rsidR="001A1A72">
        <w:t xml:space="preserve">refers </w:t>
      </w:r>
      <w:r w:rsidRPr="00705F37" w:rsidR="00A94A92">
        <w:t xml:space="preserve">to </w:t>
      </w:r>
      <w:r w:rsidRPr="00705F37" w:rsidR="0083231F">
        <w:t>prosecutions, and subdivision (b)(3)</w:t>
      </w:r>
      <w:r w:rsidRPr="00705F37" w:rsidR="00F374AF">
        <w:t> </w:t>
      </w:r>
      <w:r w:rsidRPr="00705F37" w:rsidR="001A1A72">
        <w:t xml:space="preserve">refers </w:t>
      </w:r>
      <w:r w:rsidRPr="00705F37" w:rsidR="00A94A92">
        <w:t xml:space="preserve">to </w:t>
      </w:r>
      <w:r w:rsidRPr="00705F37" w:rsidR="0083231F">
        <w:t xml:space="preserve">arrests.  </w:t>
      </w:r>
      <w:r w:rsidRPr="00705F37" w:rsidR="00014B6D">
        <w:t>Because the causing and assisting clauses both relate to prosecutions, the</w:t>
      </w:r>
      <w:r w:rsidRPr="00705F37" w:rsidR="001F5E59">
        <w:t xml:space="preserve"> Legislature could conclude they logically </w:t>
      </w:r>
      <w:r w:rsidRPr="00705F37" w:rsidR="00014B6D">
        <w:t xml:space="preserve">belong </w:t>
      </w:r>
      <w:r w:rsidRPr="00705F37" w:rsidR="00E36D55">
        <w:t xml:space="preserve">together </w:t>
      </w:r>
      <w:r w:rsidRPr="00705F37" w:rsidR="00014B6D">
        <w:t>in the same subpart.</w:t>
      </w:r>
    </w:p>
    <w:p w:rsidR="00C74683" w:rsidRPr="00705F37" w:rsidP="00D9083A" w14:paraId="6C44BDBB" w14:textId="77777777">
      <w:pPr>
        <w:pStyle w:val="Heading2"/>
        <w:ind w:left="1166" w:hanging="446"/>
      </w:pPr>
      <w:r w:rsidRPr="00705F37">
        <w:t>The Rule of Lenity</w:t>
      </w:r>
      <w:r w:rsidRPr="00705F37" w:rsidR="00CA33D7">
        <w:t xml:space="preserve"> </w:t>
      </w:r>
      <w:r w:rsidR="00D216CC">
        <w:t xml:space="preserve">Counsels in Favor of Adopting </w:t>
      </w:r>
      <w:r w:rsidRPr="00705F37" w:rsidR="00CA33D7">
        <w:t>the Conjunctive Construction</w:t>
      </w:r>
    </w:p>
    <w:p w:rsidR="00A23083" w:rsidRPr="00705F37" w:rsidP="00705F37" w14:paraId="6C44BDBC" w14:textId="77777777">
      <w:pPr>
        <w:tabs>
          <w:tab w:val="left" w:pos="1440"/>
        </w:tabs>
        <w:ind w:firstLine="720"/>
      </w:pPr>
      <w:r w:rsidRPr="00705F37">
        <w:t>As a final argument, d</w:t>
      </w:r>
      <w:r w:rsidRPr="00705F37" w:rsidR="001F5E59">
        <w:t xml:space="preserve">efendant </w:t>
      </w:r>
      <w:r w:rsidRPr="00705F37" w:rsidR="001A27FA">
        <w:t xml:space="preserve">asserts </w:t>
      </w:r>
      <w:r w:rsidRPr="00705F37" w:rsidR="00612900">
        <w:t>that the ambiguity in section 136.1(b)(2) “triggers the rule of lenity</w:t>
      </w:r>
      <w:r w:rsidRPr="00705F37" w:rsidR="00426D40">
        <w:t xml:space="preserve">.”  </w:t>
      </w:r>
      <w:r w:rsidRPr="00705F37" w:rsidR="00C938F3">
        <w:t xml:space="preserve">“ ‘That rule generally requires that “ambiguity in a criminal statute should be resolved in favor of lenity, giving the defendant the benefit of every reasonable doubt on questions of interpretation. </w:t>
      </w:r>
      <w:r w:rsidRPr="00705F37" w:rsidR="00243DEF">
        <w:t xml:space="preserve"> </w:t>
      </w:r>
      <w:r w:rsidRPr="00705F37" w:rsidR="00C938F3">
        <w:t>But</w:t>
      </w:r>
      <w:r w:rsidRPr="00705F37" w:rsidR="00243DEF">
        <w:t> . . . ‘</w:t>
      </w:r>
      <w:r w:rsidRPr="00705F37" w:rsidR="00C938F3">
        <w:t xml:space="preserve">that rule applies </w:t>
      </w:r>
      <w:r w:rsidRPr="00705F37" w:rsidR="00243DEF">
        <w:t>“</w:t>
      </w:r>
      <w:r w:rsidRPr="00705F37" w:rsidR="00C938F3">
        <w:t>only if two reasonable interpretations of the statute stand in relative equipoise.</w:t>
      </w:r>
      <w:r w:rsidRPr="00705F37" w:rsidR="00243DEF">
        <w:t>”</w:t>
      </w:r>
      <w:r w:rsidRPr="00705F37" w:rsidR="00C938F3">
        <w:t xml:space="preserve"> </w:t>
      </w:r>
      <w:r w:rsidRPr="00705F37" w:rsidR="00243DEF">
        <w:t xml:space="preserve"> </w:t>
      </w:r>
      <w:r w:rsidRPr="00705F37" w:rsidR="00C938F3">
        <w:t>[Citation.]</w:t>
      </w:r>
      <w:r w:rsidRPr="00705F37" w:rsidR="00243DEF">
        <w:t>’</w:t>
      </w:r>
      <w:r w:rsidRPr="00705F37" w:rsidR="00C938F3">
        <w:t xml:space="preserve"> [Citations.]</w:t>
      </w:r>
      <w:r w:rsidRPr="00705F37" w:rsidR="00243DEF">
        <w:t>”</w:t>
      </w:r>
      <w:r w:rsidRPr="00705F37" w:rsidR="00C938F3">
        <w:t xml:space="preserve"> [Citations.]</w:t>
      </w:r>
      <w:r w:rsidRPr="00705F37" w:rsidR="00243DEF">
        <w:t>’</w:t>
      </w:r>
      <w:r w:rsidRPr="00705F37" w:rsidR="00C938F3">
        <w:t xml:space="preserve"> </w:t>
      </w:r>
      <w:r w:rsidRPr="00705F37" w:rsidR="00935F7A">
        <w:t xml:space="preserve"> [Citation.]  ‘</w:t>
      </w:r>
      <w:r w:rsidRPr="00705F37" w:rsidR="00C938F3">
        <w:t xml:space="preserve">The rule of lenity does not apply every time there are two or more reasonable interpretations of a penal statute. </w:t>
      </w:r>
      <w:r w:rsidRPr="00705F37" w:rsidR="00935F7A">
        <w:t xml:space="preserve"> </w:t>
      </w:r>
      <w:r w:rsidRPr="00705F37" w:rsidR="00C938F3">
        <w:t xml:space="preserve">[Citation.] </w:t>
      </w:r>
      <w:r w:rsidRPr="00705F37" w:rsidR="00935F7A">
        <w:t xml:space="preserve"> </w:t>
      </w:r>
      <w:r w:rsidRPr="00705F37" w:rsidR="00C938F3">
        <w:t>Rather, the rule applies “</w:t>
      </w:r>
      <w:r w:rsidRPr="00705F37" w:rsidR="00935F7A">
        <w:t> ‘</w:t>
      </w:r>
      <w:r w:rsidRPr="00705F37" w:rsidR="00C938F3">
        <w:t xml:space="preserve">only if the court can do no more than guess what the legislative body intended; there must be an </w:t>
      </w:r>
      <w:r w:rsidRPr="00705F37" w:rsidR="00C938F3">
        <w:rPr>
          <w:i/>
          <w:iCs/>
        </w:rPr>
        <w:t>egregious</w:t>
      </w:r>
      <w:r w:rsidRPr="00705F37" w:rsidR="00C938F3">
        <w:t xml:space="preserve"> ambiguity and uncertainty to justify invoking the rule.</w:t>
      </w:r>
      <w:r w:rsidRPr="00705F37" w:rsidR="00D768CF">
        <w:t>’ </w:t>
      </w:r>
      <w:r w:rsidRPr="00705F37" w:rsidR="00C938F3">
        <w:t>”</w:t>
      </w:r>
      <w:r w:rsidRPr="00705F37" w:rsidR="00D768CF">
        <w:t> </w:t>
      </w:r>
      <w:r w:rsidR="00E84E49">
        <w:t>[Citation.]</w:t>
      </w:r>
      <w:r w:rsidRPr="00705F37" w:rsidR="00C938F3">
        <w:t>’</w:t>
      </w:r>
      <w:r w:rsidRPr="00705F37" w:rsidR="00D768CF">
        <w:t> ”  (</w:t>
      </w:r>
      <w:r w:rsidRPr="00705F37" w:rsidR="00C938F3">
        <w:rPr>
          <w:i/>
          <w:iCs/>
        </w:rPr>
        <w:t>People v. Nuckles</w:t>
      </w:r>
      <w:r w:rsidRPr="00705F37" w:rsidR="00C938F3">
        <w:t xml:space="preserve"> (2013) 56</w:t>
      </w:r>
      <w:r w:rsidRPr="00705F37" w:rsidR="00F374AF">
        <w:t> </w:t>
      </w:r>
      <w:r w:rsidRPr="00705F37" w:rsidR="00C938F3">
        <w:t>Cal.4th 601, 611</w:t>
      </w:r>
      <w:r w:rsidRPr="00705F37" w:rsidR="00D768CF">
        <w:t>; accord</w:t>
      </w:r>
      <w:r w:rsidRPr="00705F37" w:rsidR="0067614E">
        <w:t>,</w:t>
      </w:r>
      <w:r w:rsidRPr="00705F37" w:rsidR="00D768CF">
        <w:t xml:space="preserve"> </w:t>
      </w:r>
      <w:r w:rsidRPr="00705F37" w:rsidR="00E15CCF">
        <w:rPr>
          <w:i/>
          <w:iCs/>
        </w:rPr>
        <w:t>Smith v. LoanMe, Inc.</w:t>
      </w:r>
      <w:r w:rsidRPr="00705F37" w:rsidR="00E15CCF">
        <w:t xml:space="preserve"> (2021) 11</w:t>
      </w:r>
      <w:r w:rsidRPr="00705F37" w:rsidR="00F374AF">
        <w:t> </w:t>
      </w:r>
      <w:r w:rsidRPr="00705F37" w:rsidR="00E15CCF">
        <w:t>Cal.5th 183, 202</w:t>
      </w:r>
      <w:r w:rsidRPr="00705F37" w:rsidR="00381ED9">
        <w:t xml:space="preserve">; see </w:t>
      </w:r>
      <w:r w:rsidRPr="00705F37" w:rsidR="008770FF">
        <w:t xml:space="preserve">Scalia &amp; Garner, </w:t>
      </w:r>
      <w:r w:rsidRPr="00705F37" w:rsidR="008770FF">
        <w:rPr>
          <w:i/>
          <w:iCs/>
          <w:szCs w:val="26"/>
        </w:rPr>
        <w:t>supra</w:t>
      </w:r>
      <w:r w:rsidRPr="00705F37" w:rsidR="008770FF">
        <w:t>, at p.</w:t>
      </w:r>
      <w:r w:rsidRPr="00705F37" w:rsidR="00E6185B">
        <w:t> </w:t>
      </w:r>
      <w:r w:rsidRPr="00705F37" w:rsidR="008770FF">
        <w:t>299 [“The criterion we favor is this:  whether, after all the legitimate tools of interpretation have been applied</w:t>
      </w:r>
      <w:r w:rsidRPr="00705F37" w:rsidR="00A04447">
        <w:t>, ‘a reasonable doubt persists’ ”]</w:t>
      </w:r>
      <w:r w:rsidRPr="00705F37" w:rsidR="00E15CCF">
        <w:t>.)</w:t>
      </w:r>
      <w:r w:rsidR="005361C0">
        <w:t xml:space="preserve">  </w:t>
      </w:r>
      <w:r w:rsidRPr="005361C0" w:rsidR="005361C0">
        <w:t>“ ‘ “Application of the rule of lenity ensures that criminal statutes will provide fair warning concerning conduct rendered illegal and strikes the appropriate balance between the legislature, the prosecutor, and the court in defining criminal liability.</w:t>
      </w:r>
      <w:r w:rsidR="00E84E49">
        <w:t xml:space="preserve">  [Citation.]</w:t>
      </w:r>
      <w:r w:rsidRPr="005361C0" w:rsidR="005361C0">
        <w:t>” ’ ”  (</w:t>
      </w:r>
      <w:r w:rsidRPr="005361C0" w:rsidR="005361C0">
        <w:rPr>
          <w:i/>
          <w:iCs/>
        </w:rPr>
        <w:t>Avery</w:t>
      </w:r>
      <w:r w:rsidR="004652C5">
        <w:t xml:space="preserve">, </w:t>
      </w:r>
      <w:r w:rsidRPr="009609FB" w:rsidR="004652C5">
        <w:rPr>
          <w:i/>
          <w:iCs/>
          <w:szCs w:val="26"/>
        </w:rPr>
        <w:t>supra</w:t>
      </w:r>
      <w:r w:rsidR="004652C5">
        <w:t xml:space="preserve">, </w:t>
      </w:r>
      <w:r w:rsidRPr="005361C0" w:rsidR="005361C0">
        <w:t xml:space="preserve">27 Cal.4th </w:t>
      </w:r>
      <w:r w:rsidR="004652C5">
        <w:t>at p.</w:t>
      </w:r>
      <w:r w:rsidR="00E84E49">
        <w:t> </w:t>
      </w:r>
      <w:r w:rsidRPr="005361C0" w:rsidR="005361C0">
        <w:t>57.)</w:t>
      </w:r>
    </w:p>
    <w:p w:rsidR="00F9257D" w:rsidP="00705F37" w14:paraId="6C44BDBD" w14:textId="77777777">
      <w:pPr>
        <w:tabs>
          <w:tab w:val="left" w:pos="1440"/>
        </w:tabs>
        <w:ind w:firstLine="720"/>
      </w:pPr>
      <w:r w:rsidRPr="00705F37">
        <w:t>“Having consulted the usual aids to eliminating ambiguity in statutory construction</w:t>
      </w:r>
      <w:r w:rsidRPr="00705F37" w:rsidR="00AB055A">
        <w:t> </w:t>
      </w:r>
      <w:r w:rsidRPr="00705F37">
        <w:t>—</w:t>
      </w:r>
      <w:r w:rsidRPr="00705F37" w:rsidR="00AB055A">
        <w:t xml:space="preserve"> </w:t>
      </w:r>
      <w:r w:rsidRPr="00705F37">
        <w:t>text, context and structure, overall purpose, relevant case law, legislative history</w:t>
      </w:r>
      <w:r w:rsidRPr="00705F37" w:rsidR="00AB055A">
        <w:t> </w:t>
      </w:r>
      <w:r w:rsidRPr="00705F37">
        <w:t>—</w:t>
      </w:r>
      <w:r w:rsidRPr="00705F37" w:rsidR="00AB055A">
        <w:t xml:space="preserve"> </w:t>
      </w:r>
      <w:r w:rsidRPr="00705F37">
        <w:t>and having found a satisfactory answer in none of them, we conclude that this is one of those rare cases where the rule of lenity applies.”  (</w:t>
      </w:r>
      <w:r w:rsidRPr="00705F37">
        <w:rPr>
          <w:i/>
          <w:iCs/>
        </w:rPr>
        <w:t>People v. Reyes</w:t>
      </w:r>
      <w:r w:rsidRPr="00705F37">
        <w:t xml:space="preserve"> (2020) 56 Cal.App.5th 972, 989 [applying the rule of lenity to </w:t>
      </w:r>
      <w:r w:rsidRPr="00705F37" w:rsidR="009C7789">
        <w:t>§ </w:t>
      </w:r>
      <w:r w:rsidRPr="00705F37">
        <w:t>136.1, subd</w:t>
      </w:r>
      <w:r w:rsidRPr="00705F37" w:rsidR="009C7789">
        <w:t>.</w:t>
      </w:r>
      <w:r w:rsidRPr="00705F37">
        <w:t xml:space="preserve"> (b)(1)].)  </w:t>
      </w:r>
      <w:r w:rsidRPr="00705F37" w:rsidR="00204A74">
        <w:t>That is, w</w:t>
      </w:r>
      <w:r w:rsidRPr="00705F37" w:rsidR="00FF667E">
        <w:t xml:space="preserve">e can do no more than simply </w:t>
      </w:r>
      <w:r w:rsidRPr="00705F37" w:rsidR="00204A74">
        <w:t xml:space="preserve">venture </w:t>
      </w:r>
      <w:r w:rsidRPr="00705F37" w:rsidR="00FF667E">
        <w:t xml:space="preserve">a guess as to whether the Legislature intended </w:t>
      </w:r>
      <w:r w:rsidRPr="00705F37" w:rsidR="00D36B92">
        <w:t xml:space="preserve">for </w:t>
      </w:r>
      <w:r w:rsidRPr="00705F37" w:rsidR="00FF667E">
        <w:t xml:space="preserve">section 136.1(b)(2) </w:t>
      </w:r>
      <w:r w:rsidRPr="00705F37" w:rsidR="00D36B92">
        <w:t xml:space="preserve">to operate </w:t>
      </w:r>
      <w:r w:rsidRPr="00705F37" w:rsidR="00FF667E">
        <w:t>conjunctively or disjunctively.</w:t>
      </w:r>
      <w:r w:rsidRPr="00705F37" w:rsidR="00785344">
        <w:t xml:space="preserve">  </w:t>
      </w:r>
      <w:r w:rsidR="00764119">
        <w:t xml:space="preserve">In this </w:t>
      </w:r>
      <w:r w:rsidR="00DA5747">
        <w:t>rare</w:t>
      </w:r>
      <w:r w:rsidR="00764119">
        <w:t xml:space="preserve"> circumstance </w:t>
      </w:r>
      <w:r w:rsidR="00396558">
        <w:t xml:space="preserve">in which </w:t>
      </w:r>
      <w:r w:rsidR="00057ABB">
        <w:t xml:space="preserve">it is unclear whether the Legislature intended </w:t>
      </w:r>
      <w:r w:rsidR="00396558">
        <w:t xml:space="preserve">to accord </w:t>
      </w:r>
      <w:r w:rsidR="00057ABB">
        <w:t xml:space="preserve">the </w:t>
      </w:r>
      <w:r w:rsidR="00396558">
        <w:t xml:space="preserve">word “and” its traditionally </w:t>
      </w:r>
      <w:r w:rsidR="00057ABB">
        <w:t xml:space="preserve">conjunctive </w:t>
      </w:r>
      <w:r w:rsidR="00396558">
        <w:t xml:space="preserve">meaning, </w:t>
      </w:r>
      <w:r w:rsidR="00E95998">
        <w:t xml:space="preserve">a disjunctive reading of </w:t>
      </w:r>
      <w:r w:rsidR="00DA5747">
        <w:t>the statute</w:t>
      </w:r>
      <w:r w:rsidR="00393E0E">
        <w:t xml:space="preserve"> </w:t>
      </w:r>
      <w:r w:rsidR="00E95998">
        <w:t xml:space="preserve">would </w:t>
      </w:r>
      <w:r w:rsidR="00E950B5">
        <w:t xml:space="preserve">fail to </w:t>
      </w:r>
      <w:r w:rsidR="00B10086">
        <w:t xml:space="preserve">“provide </w:t>
      </w:r>
      <w:r w:rsidRPr="005361C0" w:rsidR="00B10086">
        <w:t>fair warning concerning conduct rendered illegal</w:t>
      </w:r>
      <w:r w:rsidR="00B10086">
        <w:t xml:space="preserve">.”  </w:t>
      </w:r>
      <w:r w:rsidRPr="005361C0" w:rsidR="00B10086">
        <w:t>(</w:t>
      </w:r>
      <w:r w:rsidRPr="005361C0" w:rsidR="00B10086">
        <w:rPr>
          <w:i/>
          <w:iCs/>
        </w:rPr>
        <w:t>Avery</w:t>
      </w:r>
      <w:r w:rsidR="00B10086">
        <w:t xml:space="preserve">, </w:t>
      </w:r>
      <w:r w:rsidRPr="009609FB" w:rsidR="00B10086">
        <w:rPr>
          <w:i/>
          <w:iCs/>
          <w:szCs w:val="26"/>
        </w:rPr>
        <w:t>supra</w:t>
      </w:r>
      <w:r w:rsidR="00B10086">
        <w:t xml:space="preserve">, </w:t>
      </w:r>
      <w:r w:rsidRPr="005361C0" w:rsidR="00B10086">
        <w:t xml:space="preserve">27 Cal.4th </w:t>
      </w:r>
      <w:r w:rsidR="00B10086">
        <w:t xml:space="preserve">at p. </w:t>
      </w:r>
      <w:r w:rsidRPr="005361C0" w:rsidR="00B10086">
        <w:t>57.)</w:t>
      </w:r>
      <w:r w:rsidR="0046155A">
        <w:t xml:space="preserve">  </w:t>
      </w:r>
      <w:r w:rsidRPr="001D5162" w:rsidR="001D5162">
        <w:t>The rarity, and egregiousness, of the ambiguity here is underscored by the Legislature’s unusual words in adopting the statute.  It recognized it was passing a criminal law despite believing from the very outset that “redrafting” was “necessary,” as it had too closely hewn to a</w:t>
      </w:r>
      <w:r w:rsidR="00E10191">
        <w:t>n</w:t>
      </w:r>
      <w:r w:rsidRPr="001D5162" w:rsidR="001D5162">
        <w:t xml:space="preserve"> ABA </w:t>
      </w:r>
      <w:r w:rsidR="00E10191">
        <w:t xml:space="preserve">model </w:t>
      </w:r>
      <w:r w:rsidR="005B37B4">
        <w:t xml:space="preserve">statute </w:t>
      </w:r>
      <w:r w:rsidRPr="001D5162" w:rsidR="001D5162">
        <w:t xml:space="preserve">with “numerous rough edges” and language quality “far worse” than typical.  (Sen. Com. on Judiciary, Analysis of Assem. Bill No. 2909, </w:t>
      </w:r>
      <w:r w:rsidRPr="001D5162" w:rsidR="001D5162">
        <w:rPr>
          <w:i/>
          <w:iCs/>
        </w:rPr>
        <w:t>supra</w:t>
      </w:r>
      <w:r w:rsidRPr="001D5162" w:rsidR="001D5162">
        <w:t>, as amended Apr. 9, 1980, p. 5.)</w:t>
      </w:r>
    </w:p>
    <w:p w:rsidR="0041280C" w:rsidRPr="00705F37" w:rsidP="00705F37" w14:paraId="6C44BDBE" w14:textId="77777777">
      <w:pPr>
        <w:tabs>
          <w:tab w:val="left" w:pos="1440"/>
        </w:tabs>
        <w:ind w:firstLine="720"/>
      </w:pPr>
      <w:r w:rsidRPr="00705F37">
        <w:t xml:space="preserve">Accordingly, we </w:t>
      </w:r>
      <w:r w:rsidRPr="00705F37" w:rsidR="00785344">
        <w:t>adopt the construction more favorable to defendants</w:t>
      </w:r>
      <w:r w:rsidRPr="00705F37" w:rsidR="00D227C1">
        <w:t xml:space="preserve">:  </w:t>
      </w:r>
      <w:r w:rsidR="00216227">
        <w:t>s</w:t>
      </w:r>
      <w:r w:rsidRPr="00705F37" w:rsidR="00705404">
        <w:t>ection</w:t>
      </w:r>
      <w:r w:rsidR="00F01B39">
        <w:t> </w:t>
      </w:r>
      <w:r w:rsidRPr="00705F37" w:rsidR="00705404">
        <w:t>136.1(b)(2) is to be read conjunctively</w:t>
      </w:r>
      <w:r w:rsidR="00F01B39">
        <w:t xml:space="preserve"> such that</w:t>
      </w:r>
      <w:r w:rsidR="005C172A">
        <w:t xml:space="preserve"> the language “assisting in the prosecution thereof” provid</w:t>
      </w:r>
      <w:r w:rsidR="00D5603D">
        <w:t>e</w:t>
      </w:r>
      <w:r w:rsidR="00EA135B">
        <w:t>s no</w:t>
      </w:r>
      <w:r w:rsidR="005C172A">
        <w:t xml:space="preserve"> independent basis for a conviction under the statute.</w:t>
      </w:r>
      <w:r>
        <w:rPr>
          <w:rStyle w:val="FootnoteReference"/>
        </w:rPr>
        <w:footnoteReference w:id="24"/>
      </w:r>
      <w:r w:rsidR="005C172A">
        <w:t xml:space="preserve">  </w:t>
      </w:r>
      <w:r w:rsidR="00F0610C">
        <w:t>W</w:t>
      </w:r>
      <w:r w:rsidRPr="00AE4128" w:rsidR="00F0610C">
        <w:rPr>
          <w:szCs w:val="26"/>
        </w:rPr>
        <w:t>here criminal charges have already been filed</w:t>
      </w:r>
      <w:r w:rsidR="00F0610C">
        <w:rPr>
          <w:szCs w:val="26"/>
        </w:rPr>
        <w:t>, p</w:t>
      </w:r>
      <w:r w:rsidRPr="00705F37" w:rsidR="00D772CC">
        <w:t xml:space="preserve">ostcharging dissuasion alone does not constitute </w:t>
      </w:r>
      <w:r w:rsidRPr="00705F37" w:rsidR="009971F2">
        <w:t xml:space="preserve">an offense under </w:t>
      </w:r>
      <w:r w:rsidR="005C172A">
        <w:t>section 136.1(b)(2).</w:t>
      </w:r>
    </w:p>
    <w:p w:rsidR="00A95389" w:rsidRPr="00705F37" w:rsidP="00705F37" w14:paraId="6C44BDBF" w14:textId="77777777">
      <w:pPr>
        <w:tabs>
          <w:tab w:val="left" w:pos="1440"/>
        </w:tabs>
        <w:ind w:firstLine="720"/>
      </w:pPr>
      <w:r w:rsidRPr="00705F37">
        <w:t xml:space="preserve">Because it is undisputed that </w:t>
      </w:r>
      <w:r w:rsidRPr="00705F37" w:rsidR="006D0E1F">
        <w:t xml:space="preserve">all </w:t>
      </w:r>
      <w:r w:rsidRPr="00705F37">
        <w:t>of defendant’s dissuasi</w:t>
      </w:r>
      <w:r w:rsidRPr="00705F37" w:rsidR="00162C99">
        <w:t>ve conduct</w:t>
      </w:r>
      <w:r w:rsidRPr="00705F37">
        <w:t xml:space="preserve"> </w:t>
      </w:r>
      <w:r w:rsidRPr="00705F37" w:rsidR="00210B1A">
        <w:t xml:space="preserve">here </w:t>
      </w:r>
      <w:r w:rsidRPr="00705F37">
        <w:t xml:space="preserve">occurred </w:t>
      </w:r>
      <w:r w:rsidRPr="00705F37" w:rsidR="0013429F">
        <w:t xml:space="preserve">after </w:t>
      </w:r>
      <w:r w:rsidRPr="00705F37">
        <w:t xml:space="preserve">the </w:t>
      </w:r>
      <w:r w:rsidRPr="00705F37" w:rsidR="001800D5">
        <w:t xml:space="preserve">underlying </w:t>
      </w:r>
      <w:r w:rsidRPr="00705F37">
        <w:t xml:space="preserve">charging document </w:t>
      </w:r>
      <w:r w:rsidRPr="00705F37" w:rsidR="001800D5">
        <w:t xml:space="preserve">had been </w:t>
      </w:r>
      <w:r w:rsidRPr="00705F37" w:rsidR="0013429F">
        <w:t xml:space="preserve">filed, the Court of Appeal correctly </w:t>
      </w:r>
      <w:r w:rsidRPr="00705F37" w:rsidR="0048381E">
        <w:t xml:space="preserve">concluded that substantial evidence does not support </w:t>
      </w:r>
      <w:r w:rsidRPr="00705F37" w:rsidR="00926D22">
        <w:t xml:space="preserve">the causing-clause element </w:t>
      </w:r>
      <w:r w:rsidRPr="00705F37" w:rsidR="0048381E">
        <w:t xml:space="preserve">of the charged offense.  </w:t>
      </w:r>
      <w:r w:rsidRPr="00705F37" w:rsidR="003F5AB5">
        <w:t>Like the Court of Appeal, w</w:t>
      </w:r>
      <w:r w:rsidRPr="00705F37" w:rsidR="000D182A">
        <w:t xml:space="preserve">e therefore have no occasion to </w:t>
      </w:r>
      <w:r w:rsidRPr="00705F37" w:rsidR="00162C99">
        <w:t xml:space="preserve">explore </w:t>
      </w:r>
      <w:r w:rsidRPr="00705F37" w:rsidR="000D182A">
        <w:t>the assisting clause</w:t>
      </w:r>
      <w:r w:rsidRPr="00705F37" w:rsidR="00856472">
        <w:t xml:space="preserve">’s </w:t>
      </w:r>
      <w:r w:rsidRPr="00705F37" w:rsidR="000D182A">
        <w:t>contours.</w:t>
      </w:r>
    </w:p>
    <w:p w:rsidR="007A7E53" w:rsidRPr="00705F37" w:rsidP="00705F37" w14:paraId="6C44BDC0" w14:textId="77777777">
      <w:pPr>
        <w:tabs>
          <w:tab w:val="left" w:pos="1440"/>
        </w:tabs>
        <w:ind w:firstLine="720"/>
      </w:pPr>
      <w:r w:rsidRPr="00705F37">
        <w:t xml:space="preserve">As noted, in response to </w:t>
      </w:r>
      <w:r w:rsidRPr="00705F37">
        <w:rPr>
          <w:i/>
          <w:iCs/>
        </w:rPr>
        <w:t>Freer</w:t>
      </w:r>
      <w:r w:rsidRPr="00705F37">
        <w:t xml:space="preserve">, the Wisconsin </w:t>
      </w:r>
      <w:r w:rsidRPr="00705F37" w:rsidR="009C7789">
        <w:t>L</w:t>
      </w:r>
      <w:r w:rsidRPr="00705F37">
        <w:t xml:space="preserve">egislature codified the court’s clarification that the statute’s causing and assisting clauses are to be read disjunctively.  Likewise, our Legislature remains free to clarify section 136.1(b)(2), as the Senate Committee on the Judiciary suggested it do “[a]t some point” to smooth out the statute’s “numerous rough </w:t>
      </w:r>
      <w:r w:rsidRPr="00705F37" w:rsidR="00722FBA">
        <w:t>edges</w:t>
      </w:r>
      <w:r w:rsidRPr="00705F37">
        <w:t xml:space="preserve">.”  (Sen. Com. on Judiciary, Analysis of Assem. Bill No. 2909, </w:t>
      </w:r>
      <w:r w:rsidRPr="00705F37">
        <w:rPr>
          <w:i/>
          <w:iCs/>
          <w:szCs w:val="26"/>
        </w:rPr>
        <w:t>supra</w:t>
      </w:r>
      <w:r w:rsidRPr="00705F37">
        <w:t xml:space="preserve">, as amended Apr. 9, 1980, </w:t>
      </w:r>
      <w:r w:rsidR="002B382E">
        <w:t>p</w:t>
      </w:r>
      <w:r w:rsidRPr="00705F37">
        <w:t>p. </w:t>
      </w:r>
      <w:r w:rsidR="00F236B2">
        <w:t xml:space="preserve">6, </w:t>
      </w:r>
      <w:r w:rsidRPr="00705F37">
        <w:t>5.)</w:t>
      </w:r>
    </w:p>
    <w:p w:rsidR="0075127D" w:rsidRPr="00705F37" w:rsidP="00216227" w14:paraId="6C44BDC1" w14:textId="77777777">
      <w:pPr>
        <w:pStyle w:val="Heading1"/>
        <w:keepLines/>
      </w:pPr>
      <w:r w:rsidRPr="00705F37">
        <w:t>DISPOSITION</w:t>
      </w:r>
    </w:p>
    <w:p w:rsidR="006F05BD" w:rsidRPr="00705F37" w:rsidP="00216227" w14:paraId="6C44BDC2" w14:textId="77777777">
      <w:pPr>
        <w:keepNext/>
        <w:keepLines/>
        <w:tabs>
          <w:tab w:val="left" w:pos="1440"/>
        </w:tabs>
        <w:ind w:firstLine="720"/>
      </w:pPr>
      <w:r w:rsidRPr="00705F37">
        <w:t>T</w:t>
      </w:r>
      <w:r w:rsidRPr="00705F37" w:rsidR="00A35705">
        <w:t xml:space="preserve">he </w:t>
      </w:r>
      <w:r w:rsidRPr="00705F37" w:rsidR="00704B02">
        <w:t xml:space="preserve">judgment of the Court of Appeal </w:t>
      </w:r>
      <w:r w:rsidRPr="00705F37">
        <w:t>is</w:t>
      </w:r>
      <w:r w:rsidRPr="00705F37" w:rsidR="00D9355B">
        <w:t xml:space="preserve"> </w:t>
      </w:r>
      <w:r w:rsidRPr="00705F37" w:rsidR="00594FCC">
        <w:t>affirmed</w:t>
      </w:r>
      <w:r w:rsidRPr="00705F37" w:rsidR="00A35705">
        <w:t>.</w:t>
      </w:r>
      <w:bookmarkStart w:id="15" w:name="_Hlk136850709"/>
      <w:bookmarkEnd w:id="15"/>
    </w:p>
    <w:p w:rsidR="00D36B92" w:rsidRPr="00705F37" w:rsidP="00216227" w14:paraId="6C44BDC3" w14:textId="77777777">
      <w:pPr>
        <w:keepNext/>
        <w:keepLines/>
        <w:tabs>
          <w:tab w:val="left" w:pos="1440"/>
        </w:tabs>
        <w:ind w:firstLine="720"/>
      </w:pPr>
    </w:p>
    <w:p w:rsidR="006F05BD" w:rsidP="00216227" w14:paraId="6C44BDC4" w14:textId="77777777">
      <w:pPr>
        <w:keepNext/>
        <w:keepLines/>
        <w:tabs>
          <w:tab w:val="left" w:pos="1440"/>
        </w:tabs>
        <w:rPr>
          <w:b/>
          <w:bCs/>
        </w:rPr>
      </w:pPr>
      <w:r w:rsidRPr="00705F37">
        <w:tab/>
      </w:r>
      <w:r w:rsidRPr="00705F37">
        <w:tab/>
      </w:r>
      <w:r w:rsidRPr="00705F37">
        <w:tab/>
      </w:r>
      <w:r w:rsidRPr="00705F37">
        <w:tab/>
      </w:r>
      <w:r w:rsidRPr="00705F37">
        <w:tab/>
      </w:r>
      <w:r w:rsidRPr="00705F37">
        <w:tab/>
      </w:r>
      <w:r w:rsidRPr="00705F37">
        <w:rPr>
          <w:b/>
          <w:bCs/>
        </w:rPr>
        <w:t>GUERRERO, C. J.</w:t>
      </w:r>
    </w:p>
    <w:p w:rsidR="00BC4982" w:rsidP="00705F37" w14:paraId="6C44BDC5" w14:textId="77777777">
      <w:pPr>
        <w:tabs>
          <w:tab w:val="left" w:pos="1440"/>
        </w:tabs>
        <w:rPr>
          <w:b/>
          <w:bCs/>
        </w:rPr>
      </w:pPr>
    </w:p>
    <w:p w:rsidR="00BC4982" w:rsidP="00705F37" w14:paraId="6C44BDC6" w14:textId="77777777">
      <w:pPr>
        <w:tabs>
          <w:tab w:val="left" w:pos="1440"/>
        </w:tabs>
        <w:rPr>
          <w:b/>
          <w:bCs/>
        </w:rPr>
      </w:pPr>
      <w:r>
        <w:rPr>
          <w:b/>
          <w:bCs/>
        </w:rPr>
        <w:t>We Concur:</w:t>
      </w:r>
    </w:p>
    <w:p w:rsidR="00DD3EA6" w:rsidRPr="00077BAA" w:rsidP="00DD3EA6" w14:paraId="6C44BDC7" w14:textId="77777777">
      <w:pPr>
        <w:spacing w:after="0" w:line="240" w:lineRule="auto"/>
        <w:rPr>
          <w:b/>
          <w:lang w:val="it-IT"/>
        </w:rPr>
      </w:pPr>
      <w:r w:rsidRPr="00077BAA">
        <w:rPr>
          <w:b/>
          <w:lang w:val="it-IT"/>
        </w:rPr>
        <w:t>CORRIGAN, J.</w:t>
      </w:r>
    </w:p>
    <w:p w:rsidR="00DD3EA6" w:rsidP="00DD3EA6" w14:paraId="6C44BDC8" w14:textId="77777777">
      <w:pPr>
        <w:spacing w:after="0" w:line="240" w:lineRule="auto"/>
        <w:jc w:val="left"/>
        <w:rPr>
          <w:b/>
        </w:rPr>
      </w:pPr>
      <w:r>
        <w:rPr>
          <w:b/>
        </w:rPr>
        <w:t>LIU</w:t>
      </w:r>
      <w:r w:rsidRPr="00077BAA">
        <w:rPr>
          <w:b/>
        </w:rPr>
        <w:t>, J.</w:t>
      </w:r>
    </w:p>
    <w:p w:rsidR="00DD3EA6" w:rsidRPr="00077BAA" w:rsidP="00DD3EA6" w14:paraId="6C44BDC9" w14:textId="77777777">
      <w:pPr>
        <w:spacing w:after="0" w:line="240" w:lineRule="auto"/>
        <w:jc w:val="left"/>
        <w:rPr>
          <w:b/>
        </w:rPr>
      </w:pPr>
      <w:r>
        <w:rPr>
          <w:b/>
        </w:rPr>
        <w:t>KRUGER, J.</w:t>
      </w:r>
    </w:p>
    <w:p w:rsidR="00DD3EA6" w:rsidRPr="00077BAA" w:rsidP="00DD3EA6" w14:paraId="6C44BDCA" w14:textId="77777777">
      <w:pPr>
        <w:spacing w:after="0" w:line="240" w:lineRule="auto"/>
        <w:jc w:val="left"/>
        <w:rPr>
          <w:b/>
          <w:lang w:val="it-IT"/>
        </w:rPr>
      </w:pPr>
      <w:r>
        <w:rPr>
          <w:b/>
          <w:lang w:val="it-IT"/>
        </w:rPr>
        <w:t>GROBAN, J.</w:t>
      </w:r>
    </w:p>
    <w:p w:rsidR="00DD3EA6" w:rsidP="00DD3EA6" w14:paraId="6C44BDCB" w14:textId="77777777">
      <w:pPr>
        <w:spacing w:after="0" w:line="240" w:lineRule="auto"/>
        <w:jc w:val="left"/>
        <w:rPr>
          <w:b/>
        </w:rPr>
      </w:pPr>
      <w:r w:rsidRPr="00077BAA">
        <w:rPr>
          <w:b/>
        </w:rPr>
        <w:t>JENKINS, J.</w:t>
      </w:r>
    </w:p>
    <w:p w:rsidR="00DD3EA6" w:rsidP="00DD3EA6" w14:paraId="6C44BDCC" w14:textId="77777777">
      <w:pPr>
        <w:spacing w:after="0" w:line="240" w:lineRule="auto"/>
        <w:jc w:val="left"/>
        <w:rPr>
          <w:b/>
        </w:rPr>
      </w:pPr>
      <w:r>
        <w:rPr>
          <w:b/>
        </w:rPr>
        <w:t>EVANS, J.</w:t>
      </w:r>
    </w:p>
    <w:p w:rsidR="007B03C3" w:rsidP="00705F37" w14:paraId="06829532" w14:textId="77777777">
      <w:pPr>
        <w:tabs>
          <w:tab w:val="left" w:pos="1440"/>
        </w:tabs>
        <w:sectPr w:rsidSect="00705F37">
          <w:footerReference w:type="first" r:id="rId8"/>
          <w:pgSz w:w="12240" w:h="15840"/>
          <w:pgMar w:top="1800" w:right="2160" w:bottom="1440" w:left="2160" w:header="720" w:footer="720" w:gutter="0"/>
          <w:pgNumType w:start="1"/>
          <w:cols w:space="720"/>
          <w:titlePg/>
          <w:docGrid w:linePitch="367"/>
        </w:sectPr>
      </w:pPr>
    </w:p>
    <w:p w:rsidR="00134ED5" w:rsidRPr="00134ED5" w:rsidP="00134ED5" w14:paraId="7565404A" w14:textId="77777777">
      <w:pPr>
        <w:spacing w:after="0" w:line="240" w:lineRule="auto"/>
        <w:jc w:val="left"/>
        <w:rPr>
          <w:i/>
          <w:sz w:val="24"/>
          <w:szCs w:val="24"/>
        </w:rPr>
      </w:pPr>
      <w:r w:rsidRPr="00134ED5">
        <w:rPr>
          <w:i/>
          <w:sz w:val="24"/>
          <w:szCs w:val="24"/>
        </w:rPr>
        <w:t>See next page for addresses and telephone numbers for counsel who argued in Supreme Court.</w:t>
      </w:r>
    </w:p>
    <w:p w:rsidR="00134ED5" w:rsidRPr="00134ED5" w:rsidP="00134ED5" w14:paraId="48605FA0" w14:textId="77777777">
      <w:pPr>
        <w:spacing w:after="0" w:line="240" w:lineRule="auto"/>
        <w:jc w:val="left"/>
        <w:rPr>
          <w:i/>
          <w:sz w:val="24"/>
          <w:szCs w:val="24"/>
        </w:rPr>
      </w:pPr>
    </w:p>
    <w:p w:rsidR="00134ED5" w:rsidRPr="00134ED5" w:rsidP="00134ED5" w14:paraId="344169FF" w14:textId="77777777">
      <w:pPr>
        <w:spacing w:after="0" w:line="240" w:lineRule="auto"/>
        <w:jc w:val="left"/>
        <w:rPr>
          <w:bCs/>
          <w:sz w:val="24"/>
          <w:szCs w:val="24"/>
        </w:rPr>
      </w:pPr>
      <w:r w:rsidRPr="00134ED5">
        <w:rPr>
          <w:b/>
          <w:sz w:val="24"/>
          <w:szCs w:val="24"/>
        </w:rPr>
        <w:t xml:space="preserve">Name of Opinion  </w:t>
      </w:r>
      <w:r w:rsidRPr="00134ED5">
        <w:rPr>
          <w:bCs/>
          <w:sz w:val="24"/>
          <w:szCs w:val="24"/>
        </w:rPr>
        <w:t>People v. Reynoza</w:t>
      </w:r>
    </w:p>
    <w:p w:rsidR="00134ED5" w:rsidRPr="00134ED5" w:rsidP="00134ED5" w14:paraId="4C8C328E" w14:textId="77777777">
      <w:pPr>
        <w:spacing w:after="0" w:line="240" w:lineRule="auto"/>
        <w:jc w:val="left"/>
        <w:rPr>
          <w:b/>
          <w:sz w:val="24"/>
          <w:szCs w:val="24"/>
        </w:rPr>
      </w:pPr>
      <w:r w:rsidRPr="00134ED5">
        <w:rPr>
          <w:b/>
          <w:sz w:val="24"/>
          <w:szCs w:val="24"/>
        </w:rPr>
        <w:t xml:space="preserve">__________________________________________________________ </w:t>
      </w:r>
    </w:p>
    <w:p w:rsidR="00134ED5" w:rsidRPr="00134ED5" w:rsidP="00134ED5" w14:paraId="397C4009" w14:textId="77777777">
      <w:pPr>
        <w:spacing w:after="0" w:line="240" w:lineRule="auto"/>
        <w:jc w:val="left"/>
        <w:rPr>
          <w:b/>
          <w:sz w:val="24"/>
          <w:szCs w:val="24"/>
        </w:rPr>
      </w:pPr>
    </w:p>
    <w:p w:rsidR="00134ED5" w:rsidRPr="00134ED5" w:rsidP="00134ED5" w14:paraId="6EB179ED" w14:textId="77777777">
      <w:pPr>
        <w:spacing w:after="0" w:line="240" w:lineRule="auto"/>
        <w:jc w:val="left"/>
        <w:rPr>
          <w:sz w:val="24"/>
          <w:szCs w:val="24"/>
        </w:rPr>
      </w:pPr>
      <w:r w:rsidRPr="00134ED5">
        <w:rPr>
          <w:b/>
          <w:bCs/>
          <w:sz w:val="24"/>
          <w:szCs w:val="24"/>
          <w:u w:val="single"/>
        </w:rPr>
        <w:t>Procedural Posture</w:t>
      </w:r>
      <w:r w:rsidRPr="00134ED5">
        <w:rPr>
          <w:b/>
          <w:bCs/>
          <w:sz w:val="24"/>
          <w:szCs w:val="24"/>
        </w:rPr>
        <w:t xml:space="preserve"> </w:t>
      </w:r>
      <w:r w:rsidRPr="00134ED5">
        <w:rPr>
          <w:sz w:val="24"/>
          <w:szCs w:val="24"/>
        </w:rPr>
        <w:t>(see XX below)</w:t>
      </w:r>
    </w:p>
    <w:p w:rsidR="00134ED5" w:rsidRPr="00134ED5" w:rsidP="00134ED5" w14:paraId="299F5F14" w14:textId="77777777">
      <w:pPr>
        <w:spacing w:after="0" w:line="240" w:lineRule="auto"/>
        <w:jc w:val="left"/>
        <w:rPr>
          <w:sz w:val="24"/>
          <w:szCs w:val="24"/>
        </w:rPr>
      </w:pPr>
      <w:r w:rsidRPr="00134ED5">
        <w:rPr>
          <w:b/>
          <w:bCs/>
          <w:sz w:val="24"/>
          <w:szCs w:val="24"/>
        </w:rPr>
        <w:t>Original Appeal</w:t>
      </w:r>
      <w:r w:rsidRPr="00134ED5">
        <w:rPr>
          <w:sz w:val="24"/>
          <w:szCs w:val="24"/>
        </w:rPr>
        <w:t xml:space="preserve"> </w:t>
      </w:r>
    </w:p>
    <w:p w:rsidR="00134ED5" w:rsidRPr="00134ED5" w:rsidP="00134ED5" w14:paraId="620F3DFB" w14:textId="77777777">
      <w:pPr>
        <w:spacing w:after="0" w:line="240" w:lineRule="auto"/>
        <w:jc w:val="left"/>
        <w:rPr>
          <w:b/>
          <w:bCs/>
          <w:sz w:val="24"/>
          <w:szCs w:val="24"/>
        </w:rPr>
      </w:pPr>
      <w:r w:rsidRPr="00134ED5">
        <w:rPr>
          <w:b/>
          <w:bCs/>
          <w:sz w:val="24"/>
          <w:szCs w:val="24"/>
        </w:rPr>
        <w:t>Original Proceeding</w:t>
      </w:r>
    </w:p>
    <w:p w:rsidR="00134ED5" w:rsidRPr="00134ED5" w:rsidP="00134ED5" w14:paraId="7DC9BD77" w14:textId="77777777">
      <w:pPr>
        <w:spacing w:after="0" w:line="240" w:lineRule="auto"/>
        <w:jc w:val="left"/>
        <w:rPr>
          <w:sz w:val="24"/>
          <w:szCs w:val="24"/>
        </w:rPr>
      </w:pPr>
      <w:r w:rsidRPr="00134ED5">
        <w:rPr>
          <w:b/>
          <w:bCs/>
          <w:sz w:val="24"/>
          <w:szCs w:val="24"/>
        </w:rPr>
        <w:t>Review Granted</w:t>
      </w:r>
      <w:r w:rsidRPr="00134ED5">
        <w:rPr>
          <w:sz w:val="24"/>
          <w:szCs w:val="24"/>
        </w:rPr>
        <w:t xml:space="preserve"> </w:t>
      </w:r>
      <w:r w:rsidRPr="00134ED5">
        <w:rPr>
          <w:b/>
          <w:bCs/>
          <w:sz w:val="24"/>
          <w:szCs w:val="24"/>
        </w:rPr>
        <w:t xml:space="preserve">(published) </w:t>
      </w:r>
      <w:r w:rsidRPr="00134ED5">
        <w:rPr>
          <w:sz w:val="24"/>
          <w:szCs w:val="24"/>
        </w:rPr>
        <w:t>XX 75 Cal.App.5th 181</w:t>
      </w:r>
    </w:p>
    <w:p w:rsidR="00134ED5" w:rsidRPr="00134ED5" w:rsidP="00134ED5" w14:paraId="3F768507" w14:textId="77777777">
      <w:pPr>
        <w:spacing w:after="0" w:line="240" w:lineRule="auto"/>
        <w:jc w:val="left"/>
        <w:rPr>
          <w:sz w:val="24"/>
          <w:szCs w:val="24"/>
        </w:rPr>
      </w:pPr>
      <w:r w:rsidRPr="00134ED5">
        <w:rPr>
          <w:b/>
          <w:bCs/>
          <w:sz w:val="24"/>
          <w:szCs w:val="24"/>
        </w:rPr>
        <w:t xml:space="preserve">Review Granted (unpublished) </w:t>
      </w:r>
    </w:p>
    <w:p w:rsidR="00134ED5" w:rsidRPr="00134ED5" w:rsidP="00134ED5" w14:paraId="40DA2EB1" w14:textId="77777777">
      <w:pPr>
        <w:spacing w:after="0" w:line="240" w:lineRule="auto"/>
        <w:jc w:val="left"/>
        <w:rPr>
          <w:b/>
          <w:bCs/>
          <w:sz w:val="24"/>
          <w:szCs w:val="24"/>
        </w:rPr>
      </w:pPr>
      <w:r w:rsidRPr="00134ED5">
        <w:rPr>
          <w:b/>
          <w:bCs/>
          <w:sz w:val="24"/>
          <w:szCs w:val="24"/>
        </w:rPr>
        <w:t>Rehearing Granted</w:t>
      </w:r>
    </w:p>
    <w:p w:rsidR="00134ED5" w:rsidRPr="00134ED5" w:rsidP="00134ED5" w14:paraId="0D3E0B47" w14:textId="77777777">
      <w:pPr>
        <w:spacing w:after="0" w:line="240" w:lineRule="auto"/>
        <w:jc w:val="left"/>
        <w:rPr>
          <w:b/>
          <w:sz w:val="24"/>
          <w:szCs w:val="24"/>
        </w:rPr>
      </w:pPr>
      <w:r w:rsidRPr="00134ED5">
        <w:rPr>
          <w:b/>
          <w:sz w:val="24"/>
          <w:szCs w:val="24"/>
        </w:rPr>
        <w:t xml:space="preserve">__________________________________________________________ </w:t>
      </w:r>
    </w:p>
    <w:p w:rsidR="00134ED5" w:rsidRPr="00134ED5" w:rsidP="00134ED5" w14:paraId="20436781" w14:textId="77777777">
      <w:pPr>
        <w:spacing w:after="0" w:line="240" w:lineRule="auto"/>
        <w:jc w:val="left"/>
        <w:rPr>
          <w:b/>
          <w:sz w:val="24"/>
          <w:szCs w:val="24"/>
        </w:rPr>
      </w:pPr>
    </w:p>
    <w:p w:rsidR="00134ED5" w:rsidRPr="00134ED5" w:rsidP="00134ED5" w14:paraId="54E688FE" w14:textId="77777777">
      <w:pPr>
        <w:spacing w:after="0" w:line="240" w:lineRule="auto"/>
        <w:jc w:val="left"/>
        <w:rPr>
          <w:bCs/>
          <w:sz w:val="24"/>
          <w:szCs w:val="24"/>
        </w:rPr>
      </w:pPr>
      <w:r w:rsidRPr="00134ED5">
        <w:rPr>
          <w:b/>
          <w:sz w:val="24"/>
          <w:szCs w:val="24"/>
        </w:rPr>
        <w:t>Opinion No.</w:t>
      </w:r>
      <w:r w:rsidRPr="00134ED5">
        <w:rPr>
          <w:sz w:val="24"/>
          <w:szCs w:val="24"/>
        </w:rPr>
        <w:t xml:space="preserve"> S273797</w:t>
      </w:r>
    </w:p>
    <w:p w:rsidR="00134ED5" w:rsidRPr="00134ED5" w:rsidP="00134ED5" w14:paraId="2B225CE7" w14:textId="77777777">
      <w:pPr>
        <w:spacing w:after="0" w:line="240" w:lineRule="auto"/>
        <w:jc w:val="left"/>
        <w:rPr>
          <w:bCs/>
          <w:sz w:val="24"/>
          <w:szCs w:val="24"/>
        </w:rPr>
      </w:pPr>
      <w:r w:rsidRPr="00134ED5">
        <w:rPr>
          <w:b/>
          <w:sz w:val="24"/>
          <w:szCs w:val="24"/>
        </w:rPr>
        <w:t>Date Filed:</w:t>
      </w:r>
      <w:r w:rsidRPr="00134ED5">
        <w:rPr>
          <w:sz w:val="24"/>
          <w:szCs w:val="24"/>
        </w:rPr>
        <w:t xml:space="preserve">  April 22, 2024</w:t>
      </w:r>
    </w:p>
    <w:p w:rsidR="00134ED5" w:rsidRPr="00134ED5" w:rsidP="00134ED5" w14:paraId="6052E195" w14:textId="77777777">
      <w:pPr>
        <w:spacing w:after="0" w:line="240" w:lineRule="auto"/>
        <w:jc w:val="left"/>
        <w:rPr>
          <w:b/>
          <w:sz w:val="24"/>
          <w:szCs w:val="24"/>
        </w:rPr>
      </w:pPr>
      <w:r w:rsidRPr="00134ED5">
        <w:rPr>
          <w:b/>
          <w:sz w:val="24"/>
          <w:szCs w:val="24"/>
        </w:rPr>
        <w:t xml:space="preserve">__________________________________________________________ </w:t>
      </w:r>
    </w:p>
    <w:p w:rsidR="00134ED5" w:rsidRPr="00134ED5" w:rsidP="00134ED5" w14:paraId="66A4FEE6" w14:textId="77777777">
      <w:pPr>
        <w:spacing w:after="0" w:line="240" w:lineRule="auto"/>
        <w:jc w:val="left"/>
        <w:rPr>
          <w:b/>
          <w:sz w:val="24"/>
          <w:szCs w:val="24"/>
        </w:rPr>
      </w:pPr>
    </w:p>
    <w:p w:rsidR="00134ED5" w:rsidRPr="00134ED5" w:rsidP="00134ED5" w14:paraId="62D39B5D" w14:textId="77777777">
      <w:pPr>
        <w:spacing w:after="0" w:line="240" w:lineRule="auto"/>
        <w:jc w:val="left"/>
        <w:rPr>
          <w:bCs/>
          <w:sz w:val="24"/>
          <w:szCs w:val="24"/>
        </w:rPr>
      </w:pPr>
      <w:r w:rsidRPr="00134ED5">
        <w:rPr>
          <w:b/>
          <w:sz w:val="24"/>
          <w:szCs w:val="24"/>
        </w:rPr>
        <w:t xml:space="preserve">Court:  </w:t>
      </w:r>
      <w:r w:rsidRPr="00134ED5">
        <w:rPr>
          <w:bCs/>
          <w:sz w:val="24"/>
          <w:szCs w:val="24"/>
        </w:rPr>
        <w:t>Superior</w:t>
      </w:r>
      <w:r w:rsidRPr="00134ED5">
        <w:rPr>
          <w:b/>
          <w:sz w:val="24"/>
          <w:szCs w:val="24"/>
        </w:rPr>
        <w:t xml:space="preserve"> </w:t>
      </w:r>
    </w:p>
    <w:p w:rsidR="00134ED5" w:rsidRPr="00134ED5" w:rsidP="00134ED5" w14:paraId="6AFC2882" w14:textId="77777777">
      <w:pPr>
        <w:spacing w:after="0" w:line="240" w:lineRule="auto"/>
        <w:jc w:val="left"/>
        <w:rPr>
          <w:bCs/>
          <w:sz w:val="24"/>
          <w:szCs w:val="24"/>
        </w:rPr>
      </w:pPr>
      <w:r w:rsidRPr="00134ED5">
        <w:rPr>
          <w:b/>
          <w:sz w:val="24"/>
          <w:szCs w:val="24"/>
        </w:rPr>
        <w:t xml:space="preserve">County:  </w:t>
      </w:r>
      <w:r w:rsidRPr="00134ED5">
        <w:rPr>
          <w:bCs/>
          <w:sz w:val="24"/>
          <w:szCs w:val="24"/>
        </w:rPr>
        <w:t>Santa Clara</w:t>
      </w:r>
    </w:p>
    <w:p w:rsidR="00134ED5" w:rsidRPr="00134ED5" w:rsidP="00134ED5" w14:paraId="66AAE861" w14:textId="77777777">
      <w:pPr>
        <w:spacing w:after="0" w:line="240" w:lineRule="auto"/>
        <w:ind w:left="720" w:hanging="720"/>
        <w:jc w:val="left"/>
        <w:rPr>
          <w:bCs/>
          <w:sz w:val="24"/>
          <w:szCs w:val="24"/>
        </w:rPr>
      </w:pPr>
      <w:r w:rsidRPr="00134ED5">
        <w:rPr>
          <w:b/>
          <w:sz w:val="24"/>
          <w:szCs w:val="24"/>
        </w:rPr>
        <w:t xml:space="preserve">Judge: </w:t>
      </w:r>
      <w:r w:rsidRPr="00134ED5">
        <w:rPr>
          <w:bCs/>
          <w:sz w:val="24"/>
          <w:szCs w:val="24"/>
        </w:rPr>
        <w:t xml:space="preserve"> Charles E. Wilson II</w:t>
      </w:r>
    </w:p>
    <w:p w:rsidR="00134ED5" w:rsidRPr="00134ED5" w:rsidP="00134ED5" w14:paraId="45A1B378" w14:textId="77777777">
      <w:pPr>
        <w:spacing w:after="0" w:line="240" w:lineRule="auto"/>
        <w:jc w:val="left"/>
        <w:rPr>
          <w:b/>
          <w:sz w:val="24"/>
          <w:szCs w:val="24"/>
        </w:rPr>
      </w:pPr>
      <w:r w:rsidRPr="00134ED5">
        <w:rPr>
          <w:b/>
          <w:sz w:val="24"/>
          <w:szCs w:val="24"/>
        </w:rPr>
        <w:t xml:space="preserve">__________________________________________________________  </w:t>
      </w:r>
    </w:p>
    <w:p w:rsidR="00134ED5" w:rsidRPr="00134ED5" w:rsidP="00134ED5" w14:paraId="676EE173" w14:textId="77777777">
      <w:pPr>
        <w:spacing w:after="0" w:line="240" w:lineRule="auto"/>
        <w:jc w:val="left"/>
        <w:rPr>
          <w:b/>
          <w:sz w:val="24"/>
          <w:szCs w:val="24"/>
        </w:rPr>
      </w:pPr>
    </w:p>
    <w:p w:rsidR="00134ED5" w:rsidRPr="00134ED5" w:rsidP="00134ED5" w14:paraId="23CBF755" w14:textId="77777777">
      <w:pPr>
        <w:spacing w:after="0" w:line="240" w:lineRule="auto"/>
        <w:jc w:val="left"/>
        <w:rPr>
          <w:b/>
          <w:sz w:val="24"/>
          <w:szCs w:val="24"/>
        </w:rPr>
      </w:pPr>
      <w:r w:rsidRPr="00134ED5">
        <w:rPr>
          <w:b/>
          <w:sz w:val="24"/>
          <w:szCs w:val="24"/>
        </w:rPr>
        <w:t>Counsel:</w:t>
      </w:r>
    </w:p>
    <w:p w:rsidR="00134ED5" w:rsidRPr="00134ED5" w:rsidP="00134ED5" w14:paraId="62DC49B3" w14:textId="77777777">
      <w:pPr>
        <w:spacing w:after="0" w:line="240" w:lineRule="auto"/>
        <w:jc w:val="left"/>
        <w:rPr>
          <w:b/>
          <w:sz w:val="24"/>
          <w:szCs w:val="24"/>
        </w:rPr>
      </w:pPr>
    </w:p>
    <w:p w:rsidR="00134ED5" w:rsidRPr="00134ED5" w:rsidP="00134ED5" w14:paraId="38043F5B"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 xml:space="preserve">Nancy Susan Brandt, under appointment by the Supreme Court, for Defendant and Appellant. </w:t>
      </w:r>
    </w:p>
    <w:p w:rsidR="00134ED5" w:rsidRPr="00134ED5" w:rsidP="00134ED5" w14:paraId="15FF4C0B" w14:textId="77777777">
      <w:pPr>
        <w:spacing w:after="0" w:line="240" w:lineRule="auto"/>
        <w:jc w:val="left"/>
        <w:rPr>
          <w:color w:val="212121"/>
          <w:sz w:val="24"/>
          <w:szCs w:val="24"/>
          <w:shd w:val="clear" w:color="auto" w:fill="FFFFFF"/>
        </w:rPr>
      </w:pPr>
    </w:p>
    <w:p w:rsidR="00134ED5" w:rsidRPr="00134ED5" w:rsidP="00134ED5" w14:paraId="7E150E7F"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 xml:space="preserve">Rob Bonta, Attorney General, Lance E. Winters, Chief Assistant Attorney General, Jeffrey M. Laurence, Assistant Attorney General, Catherine A. Rivlin, Seth K. Schalit, Bruce M. Slavin and Katie L. Stowe, Deputy Attorneys General, for Plaintiff and Respondent. </w:t>
      </w:r>
      <w:r w:rsidRPr="00134ED5">
        <w:rPr>
          <w:color w:val="212121"/>
          <w:sz w:val="24"/>
          <w:szCs w:val="24"/>
          <w:shd w:val="clear" w:color="auto" w:fill="FFFFFF"/>
        </w:rPr>
        <w:br w:type="page"/>
      </w:r>
      <w:r w:rsidRPr="00134ED5">
        <w:rPr>
          <w:b/>
          <w:sz w:val="24"/>
          <w:szCs w:val="24"/>
        </w:rPr>
        <w:t xml:space="preserve">Counsel who argued in Supreme Court (not intended for publication with opinion): </w:t>
      </w:r>
    </w:p>
    <w:p w:rsidR="00134ED5" w:rsidRPr="00134ED5" w:rsidP="00134ED5" w14:paraId="08DA0970" w14:textId="77777777">
      <w:pPr>
        <w:spacing w:after="0" w:line="240" w:lineRule="auto"/>
        <w:jc w:val="left"/>
        <w:rPr>
          <w:sz w:val="24"/>
          <w:szCs w:val="24"/>
        </w:rPr>
      </w:pPr>
    </w:p>
    <w:p w:rsidR="00134ED5" w:rsidRPr="00134ED5" w:rsidP="00134ED5" w14:paraId="2FA8C55C"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Nancy Susan Brandt</w:t>
      </w:r>
    </w:p>
    <w:p w:rsidR="00134ED5" w:rsidRPr="00134ED5" w:rsidP="00134ED5" w14:paraId="78A832AF"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Attorney at Law</w:t>
      </w:r>
    </w:p>
    <w:p w:rsidR="00134ED5" w:rsidRPr="00134ED5" w:rsidP="00134ED5" w14:paraId="67AD62BA"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P.O. Box 6680</w:t>
      </w:r>
    </w:p>
    <w:p w:rsidR="00134ED5" w:rsidRPr="00134ED5" w:rsidP="00134ED5" w14:paraId="01B15CDB"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Albany, CA 94706</w:t>
      </w:r>
    </w:p>
    <w:p w:rsidR="00134ED5" w:rsidRPr="00134ED5" w:rsidP="00134ED5" w14:paraId="0C43E486"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(510) 545-4920</w:t>
      </w:r>
    </w:p>
    <w:p w:rsidR="00134ED5" w:rsidRPr="00134ED5" w:rsidP="00134ED5" w14:paraId="23A2AD8B" w14:textId="77777777">
      <w:pPr>
        <w:spacing w:after="0" w:line="240" w:lineRule="auto"/>
        <w:jc w:val="left"/>
        <w:rPr>
          <w:color w:val="212121"/>
          <w:sz w:val="24"/>
          <w:szCs w:val="24"/>
          <w:shd w:val="clear" w:color="auto" w:fill="FFFFFF"/>
        </w:rPr>
      </w:pPr>
    </w:p>
    <w:p w:rsidR="00134ED5" w:rsidRPr="00134ED5" w:rsidP="00134ED5" w14:paraId="32E87532"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Katie L. Stowe</w:t>
      </w:r>
    </w:p>
    <w:p w:rsidR="00134ED5" w:rsidRPr="00134ED5" w:rsidP="00134ED5" w14:paraId="1AE4C33D"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Deputy Attorney General</w:t>
      </w:r>
    </w:p>
    <w:p w:rsidR="00134ED5" w:rsidRPr="00134ED5" w:rsidP="00134ED5" w14:paraId="5522C29A"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455 Golden Gate Avenue, Suite 11000</w:t>
      </w:r>
    </w:p>
    <w:p w:rsidR="00134ED5" w:rsidRPr="00134ED5" w:rsidP="00134ED5" w14:paraId="3190826C" w14:textId="77777777">
      <w:pPr>
        <w:spacing w:after="0" w:line="240" w:lineRule="auto"/>
        <w:jc w:val="left"/>
        <w:rPr>
          <w:color w:val="212121"/>
          <w:sz w:val="24"/>
          <w:szCs w:val="24"/>
          <w:shd w:val="clear" w:color="auto" w:fill="FFFFFF"/>
        </w:rPr>
      </w:pPr>
      <w:r w:rsidRPr="00134ED5">
        <w:rPr>
          <w:color w:val="212121"/>
          <w:sz w:val="24"/>
          <w:szCs w:val="24"/>
          <w:shd w:val="clear" w:color="auto" w:fill="FFFFFF"/>
        </w:rPr>
        <w:t>San Francisco, CA 94102</w:t>
      </w:r>
    </w:p>
    <w:p w:rsidR="00134ED5" w:rsidRPr="00134ED5" w:rsidP="00134ED5" w14:paraId="0FE83DC2" w14:textId="77777777">
      <w:pPr>
        <w:spacing w:after="0" w:line="240" w:lineRule="auto"/>
        <w:jc w:val="left"/>
        <w:rPr>
          <w:sz w:val="24"/>
          <w:szCs w:val="24"/>
        </w:rPr>
      </w:pPr>
      <w:r w:rsidRPr="00134ED5">
        <w:rPr>
          <w:color w:val="212121"/>
          <w:sz w:val="24"/>
          <w:szCs w:val="24"/>
          <w:shd w:val="clear" w:color="auto" w:fill="FFFFFF"/>
        </w:rPr>
        <w:t>(415) 510-3863</w:t>
      </w:r>
    </w:p>
    <w:p w:rsidR="00DD3EA6" w:rsidRPr="00705F37" w:rsidP="00705F37" w14:paraId="6C44BDCD" w14:textId="77777777">
      <w:pPr>
        <w:tabs>
          <w:tab w:val="left" w:pos="1440"/>
        </w:tabs>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6D3" w14:paraId="6C44BDD4"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F37" w14:paraId="6C44BDD5"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B01" w:rsidRPr="00451B01" w:rsidP="00451B01" w14:paraId="082FA999" w14:textId="278A1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5F71" w14:paraId="6C44BDCE" w14:textId="77777777">
      <w:r>
        <w:separator/>
      </w:r>
    </w:p>
  </w:footnote>
  <w:footnote w:type="continuationSeparator" w:id="1">
    <w:p w:rsidR="005B5F71" w14:paraId="6C44BDCF" w14:textId="77777777">
      <w:pPr>
        <w:rPr>
          <w:sz w:val="22"/>
        </w:rPr>
      </w:pPr>
      <w:r>
        <w:continuationSeparator/>
      </w:r>
    </w:p>
  </w:footnote>
  <w:footnote w:type="continuationNotice" w:id="2">
    <w:p w:rsidR="005B5F71" w14:paraId="6C44BDD0" w14:textId="77777777">
      <w:pPr>
        <w:jc w:val="right"/>
        <w:rPr>
          <w:i/>
          <w:sz w:val="20"/>
        </w:rPr>
      </w:pPr>
    </w:p>
  </w:footnote>
  <w:footnote w:id="3">
    <w:p w:rsidR="00A57455" w:rsidP="00705F37" w14:paraId="6C44BDD6" w14:textId="77777777">
      <w:pPr>
        <w:pStyle w:val="FootnoteText"/>
      </w:pPr>
      <w:r>
        <w:rPr>
          <w:rStyle w:val="FootnoteReference"/>
        </w:rPr>
        <w:footnoteRef/>
      </w:r>
      <w:r>
        <w:t xml:space="preserve"> </w:t>
      </w:r>
      <w:r>
        <w:tab/>
        <w:t>Subsequent undesignated statutory references are to the Penal Code.  We refer to section 136.1, subdivision (b)(2) as section 136.1(b)(2).</w:t>
      </w:r>
    </w:p>
  </w:footnote>
  <w:footnote w:id="4">
    <w:p w:rsidR="00941854" w:rsidP="00705F37" w14:paraId="6C44BDD7" w14:textId="77777777">
      <w:pPr>
        <w:pStyle w:val="FootnoteText"/>
      </w:pPr>
      <w:r>
        <w:rPr>
          <w:rStyle w:val="FootnoteReference"/>
        </w:rPr>
        <w:footnoteRef/>
      </w:r>
      <w:r>
        <w:t xml:space="preserve"> </w:t>
      </w:r>
      <w:r>
        <w:tab/>
        <w:t xml:space="preserve">The parties stipulated, and the jury was instructed that “[t]he phrases ‘Witness Intimidation,’ ‘Intimidating a Witness,’ and ‘Witness Dissuasion’ have the same meaning.” </w:t>
      </w:r>
      <w:r w:rsidR="00F34380">
        <w:t xml:space="preserve"> </w:t>
      </w:r>
      <w:r>
        <w:t>We use variations of these terms interchangeably</w:t>
      </w:r>
      <w:r w:rsidR="005F79C7">
        <w:t>.  And for convenience we occasionally use the term “witness” rather than “witness or victim,”</w:t>
      </w:r>
      <w:r>
        <w:t xml:space="preserve"> </w:t>
      </w:r>
      <w:r w:rsidR="005F79C7">
        <w:t>although the statute includes both</w:t>
      </w:r>
      <w:r w:rsidR="004D41CD">
        <w:t xml:space="preserve"> terms</w:t>
      </w:r>
      <w:r w:rsidR="005F79C7">
        <w:t xml:space="preserve">.  </w:t>
      </w:r>
    </w:p>
  </w:footnote>
  <w:footnote w:id="5">
    <w:p w:rsidR="004E0101" w:rsidP="00705F37" w14:paraId="6C44BDD8" w14:textId="77777777">
      <w:pPr>
        <w:pStyle w:val="FootnoteText"/>
      </w:pPr>
      <w:r>
        <w:rPr>
          <w:rStyle w:val="FootnoteReference"/>
        </w:rPr>
        <w:footnoteRef/>
      </w:r>
      <w:r>
        <w:t xml:space="preserve"> </w:t>
      </w:r>
      <w:r>
        <w:tab/>
      </w:r>
      <w:r>
        <w:rPr>
          <w:szCs w:val="26"/>
        </w:rPr>
        <w:t>Because the Court of Appeal found insufficient evidence on the first ostensible element of section 136.1(b)(2), the court did not reach defendant’s argument that the evidence was also insufficient to establish the second ostensible element or the conspiracy finding.  (</w:t>
      </w:r>
      <w:r w:rsidRPr="00561427">
        <w:rPr>
          <w:i/>
          <w:iCs/>
          <w:szCs w:val="26"/>
        </w:rPr>
        <w:t>Reynoza</w:t>
      </w:r>
      <w:r>
        <w:rPr>
          <w:szCs w:val="26"/>
        </w:rPr>
        <w:t xml:space="preserve">, </w:t>
      </w:r>
      <w:r w:rsidRPr="00C57FEF">
        <w:rPr>
          <w:i/>
          <w:iCs/>
          <w:szCs w:val="26"/>
        </w:rPr>
        <w:t>supra</w:t>
      </w:r>
      <w:r>
        <w:rPr>
          <w:szCs w:val="26"/>
        </w:rPr>
        <w:t>, 75 Cal.App.5th at p. 185, fn. 2.)</w:t>
      </w:r>
    </w:p>
  </w:footnote>
  <w:footnote w:id="6">
    <w:p w:rsidR="00496673" w:rsidP="00705F37" w14:paraId="6C44BDD9" w14:textId="77777777">
      <w:pPr>
        <w:pStyle w:val="FootnoteText"/>
      </w:pPr>
      <w:r>
        <w:rPr>
          <w:rStyle w:val="FootnoteReference"/>
        </w:rPr>
        <w:footnoteRef/>
      </w:r>
      <w:r>
        <w:t xml:space="preserve"> </w:t>
      </w:r>
      <w:r>
        <w:tab/>
      </w:r>
      <w:r w:rsidRPr="00496673">
        <w:t xml:space="preserve">For </w:t>
      </w:r>
      <w:r w:rsidR="009A67B9">
        <w:t xml:space="preserve">brevity and </w:t>
      </w:r>
      <w:r w:rsidRPr="00496673">
        <w:t xml:space="preserve">convenience, </w:t>
      </w:r>
      <w:r w:rsidR="00DC12DA">
        <w:t>we</w:t>
      </w:r>
      <w:r w:rsidRPr="00496673">
        <w:t xml:space="preserve"> refer to (1) the clause that begins with “[c]ausing a complaint” as the “causing clause,” (2)</w:t>
      </w:r>
      <w:r w:rsidR="006A7D72">
        <w:t> </w:t>
      </w:r>
      <w:r w:rsidRPr="00496673">
        <w:t>the clause that begins with “assisting in the prosecution” as the “assisting clause,” and (3)</w:t>
      </w:r>
      <w:r w:rsidR="006A7D72">
        <w:t> </w:t>
      </w:r>
      <w:r w:rsidRPr="00496673">
        <w:t>the word “and” that appears between the causing and assisting clauses as “the connecting ‘and.’ ”</w:t>
      </w:r>
    </w:p>
  </w:footnote>
  <w:footnote w:id="7">
    <w:p w:rsidR="000616CF" w:rsidP="00705F37" w14:paraId="6C44BDDA" w14:textId="77777777">
      <w:pPr>
        <w:pStyle w:val="FootnoteText"/>
      </w:pPr>
      <w:r w:rsidRPr="00976F2E">
        <w:rPr>
          <w:rStyle w:val="FootnoteReference"/>
        </w:rPr>
        <w:footnoteRef/>
      </w:r>
      <w:r w:rsidRPr="00976F2E">
        <w:t xml:space="preserve"> </w:t>
      </w:r>
      <w:r w:rsidRPr="00976F2E">
        <w:tab/>
        <w:t xml:space="preserve">This </w:t>
      </w:r>
      <w:r w:rsidR="005514C0">
        <w:t xml:space="preserve">approach does not require us to </w:t>
      </w:r>
      <w:r w:rsidRPr="00976F2E">
        <w:t>view the assisting clause as some broad “catch-all” that covers all postcharging dissuasion.  Indeed, doing so would create surplusage problems of its own.  As we explain further below (see pt</w:t>
      </w:r>
      <w:r w:rsidR="00B1356B">
        <w:t>.</w:t>
      </w:r>
      <w:r w:rsidRPr="00976F2E">
        <w:t xml:space="preserve"> II.</w:t>
      </w:r>
      <w:r w:rsidR="00A54DDC">
        <w:t>C</w:t>
      </w:r>
      <w:r w:rsidRPr="00976F2E">
        <w:t xml:space="preserve">., </w:t>
      </w:r>
      <w:r w:rsidRPr="00976F2E">
        <w:rPr>
          <w:i/>
          <w:iCs/>
        </w:rPr>
        <w:t>post</w:t>
      </w:r>
      <w:r w:rsidRPr="00976F2E">
        <w:t>), while we conclude the assisting clause must be narrowly construed, we have no occasion here to define its particular contours.</w:t>
      </w:r>
    </w:p>
  </w:footnote>
  <w:footnote w:id="8">
    <w:p w:rsidR="000616CF" w:rsidP="00705F37" w14:paraId="6C44BDDB" w14:textId="77777777">
      <w:pPr>
        <w:pStyle w:val="FootnoteText"/>
      </w:pPr>
      <w:r>
        <w:rPr>
          <w:rStyle w:val="FootnoteReference"/>
        </w:rPr>
        <w:footnoteRef/>
      </w:r>
      <w:r>
        <w:t xml:space="preserve"> </w:t>
      </w:r>
      <w:r>
        <w:tab/>
        <w:t>Section 136.1, subdivision (d) provides:  “</w:t>
      </w:r>
      <w:r w:rsidRPr="00BD1193">
        <w:t xml:space="preserve">Every person attempting the commission of any act described in subdivisions (a), (b), and (c) is guilty of the offense attempted without regard to success or failure of the attempt. </w:t>
      </w:r>
      <w:r>
        <w:t xml:space="preserve"> </w:t>
      </w:r>
      <w:r w:rsidRPr="00BD1193">
        <w:t>The fact that no person was injured physically, or in fact intimidated, shall be no defense against any prosecution under this section.</w:t>
      </w:r>
      <w:r>
        <w:t>”</w:t>
      </w:r>
    </w:p>
  </w:footnote>
  <w:footnote w:id="9">
    <w:p w:rsidR="000616CF" w:rsidP="00705F37" w14:paraId="6C44BDDC" w14:textId="77777777">
      <w:pPr>
        <w:pStyle w:val="FootnoteText"/>
      </w:pPr>
      <w:r>
        <w:rPr>
          <w:rStyle w:val="FootnoteReference"/>
        </w:rPr>
        <w:footnoteRef/>
      </w:r>
      <w:r>
        <w:t xml:space="preserve"> </w:t>
      </w:r>
      <w:r>
        <w:tab/>
        <w:t>More fully, s</w:t>
      </w:r>
      <w:r w:rsidRPr="00102AF3">
        <w:t xml:space="preserve">ection 136.1, subdivision (b)(1) prohibits </w:t>
      </w:r>
      <w:r>
        <w:t xml:space="preserve">attempting to </w:t>
      </w:r>
      <w:r w:rsidRPr="00102AF3">
        <w:t>dissuad</w:t>
      </w:r>
      <w:r>
        <w:t>e</w:t>
      </w:r>
      <w:r w:rsidRPr="00102AF3">
        <w:t xml:space="preserve"> a victim or witness from “[m]aking any report of that victimization to any peace officer or state or local law enforcement officer or probation or parole or correctional officer or prosecuting agency or to any judge.”</w:t>
      </w:r>
    </w:p>
  </w:footnote>
  <w:footnote w:id="10">
    <w:p w:rsidR="000616CF" w:rsidP="00705F37" w14:paraId="6C44BDDD" w14:textId="77777777">
      <w:pPr>
        <w:pStyle w:val="FootnoteText"/>
      </w:pPr>
      <w:r>
        <w:rPr>
          <w:rStyle w:val="FootnoteReference"/>
        </w:rPr>
        <w:footnoteRef/>
      </w:r>
      <w:r>
        <w:t xml:space="preserve"> </w:t>
      </w:r>
      <w:r>
        <w:tab/>
        <w:t>Section 136.1, subdivision (a)(1) provides in full:  “</w:t>
      </w:r>
      <w:r w:rsidRPr="007B0129">
        <w:t>Except as provided in subdivision (c), any person who does any of the following is guilty of a public offense and shall be punished by imprisonment in a county jail for not more than one year or in the state prison:</w:t>
      </w:r>
      <w:r>
        <w:t xml:space="preserve">  </w:t>
      </w:r>
      <w:r w:rsidR="00B1356B">
        <w:t xml:space="preserve">[¶]  </w:t>
      </w:r>
      <w:r>
        <w:t xml:space="preserve">(1)  </w:t>
      </w:r>
      <w:r w:rsidRPr="007B0129">
        <w:t>Knowingly and maliciously prevents or dissuades any witness or victim from attending or giving testimony at any trial, proceeding, or inquiry authorized by law.</w:t>
      </w:r>
      <w:r>
        <w:t xml:space="preserve">”  </w:t>
      </w:r>
    </w:p>
  </w:footnote>
  <w:footnote w:id="11">
    <w:p w:rsidR="000616CF" w:rsidP="00705F37" w14:paraId="6C44BDDE" w14:textId="77777777">
      <w:pPr>
        <w:pStyle w:val="FootnoteText"/>
      </w:pPr>
      <w:r>
        <w:rPr>
          <w:rStyle w:val="FootnoteReference"/>
        </w:rPr>
        <w:footnoteRef/>
      </w:r>
      <w:r>
        <w:t xml:space="preserve"> </w:t>
      </w:r>
      <w:r>
        <w:tab/>
        <w:t>Section 137, subdivision (c) provides in full:  “</w:t>
      </w:r>
      <w:r w:rsidRPr="00CF2DC1">
        <w:t>Every person who knowingly induces another person to give false testimony or withhold true testimony not privileged by law or to give false material information pertaining to a crime to, or to withhold true material information pertaining to a crime from, a law enforcement official is guilty of a misdemeanor.</w:t>
      </w:r>
      <w:r>
        <w:t>”</w:t>
      </w:r>
    </w:p>
  </w:footnote>
  <w:footnote w:id="12">
    <w:p w:rsidR="00774B49" w14:paraId="6C44BDDF" w14:textId="77777777">
      <w:pPr>
        <w:pStyle w:val="FootnoteText"/>
      </w:pPr>
      <w:r>
        <w:rPr>
          <w:rStyle w:val="FootnoteReference"/>
        </w:rPr>
        <w:footnoteRef/>
      </w:r>
      <w:r>
        <w:t xml:space="preserve"> </w:t>
      </w:r>
      <w:r>
        <w:tab/>
      </w:r>
      <w:r w:rsidRPr="00204FCB">
        <w:t>Yet we also note the causing clause itself plainly lists two acts</w:t>
      </w:r>
      <w:r w:rsidR="00DF0002">
        <w:t> —</w:t>
      </w:r>
      <w:r w:rsidRPr="00204FCB">
        <w:t xml:space="preserve"> “sought and prosecuted”</w:t>
      </w:r>
      <w:r w:rsidR="00DF0002">
        <w:t> —</w:t>
      </w:r>
      <w:r w:rsidRPr="00204FCB">
        <w:t xml:space="preserve"> </w:t>
      </w:r>
      <w:r w:rsidR="00DF0002">
        <w:t xml:space="preserve">thus </w:t>
      </w:r>
      <w:r w:rsidRPr="00204FCB">
        <w:t xml:space="preserve">adding to any uncertainty about whether the Legislature meant dissuasion under </w:t>
      </w:r>
      <w:r w:rsidR="004A1963">
        <w:t>section 136.1</w:t>
      </w:r>
      <w:r w:rsidRPr="00204FCB">
        <w:t>(b)(2) to require multiple acts</w:t>
      </w:r>
      <w:r>
        <w:t>.</w:t>
      </w:r>
    </w:p>
  </w:footnote>
  <w:footnote w:id="13">
    <w:p w:rsidR="00F92FF4" w:rsidP="00705F37" w14:paraId="6C44BDE0" w14:textId="77777777">
      <w:pPr>
        <w:pStyle w:val="FootnoteText"/>
      </w:pPr>
      <w:r>
        <w:rPr>
          <w:rStyle w:val="FootnoteReference"/>
        </w:rPr>
        <w:footnoteRef/>
      </w:r>
      <w:r>
        <w:t xml:space="preserve"> </w:t>
      </w:r>
      <w:r>
        <w:tab/>
        <w:t>The word “any” also appears in section 136.1, subdivision (c), which increases the penalty when the commission of “any of the acts described in subdivision (a) or (b)” is accompanied by certain aggravating factors.</w:t>
      </w:r>
    </w:p>
  </w:footnote>
  <w:footnote w:id="14">
    <w:p w:rsidR="00430FAB" w:rsidP="00705F37" w14:paraId="6C44BDE1" w14:textId="77777777">
      <w:pPr>
        <w:pStyle w:val="FootnoteText"/>
      </w:pPr>
      <w:r w:rsidRPr="009F6F79">
        <w:rPr>
          <w:rStyle w:val="FootnoteReference"/>
        </w:rPr>
        <w:footnoteRef/>
      </w:r>
      <w:r w:rsidRPr="009F6F79">
        <w:t xml:space="preserve"> </w:t>
      </w:r>
      <w:r w:rsidRPr="009F6F79">
        <w:tab/>
      </w:r>
      <w:r w:rsidRPr="009F6F79" w:rsidR="00D20D60">
        <w:t xml:space="preserve">“ ‘The Legislative Counsel’s Digest is printed as a preface to every bill considered by the Legislature.’  [Citation.]  The Legislative Counsel’s summaries </w:t>
      </w:r>
      <w:r w:rsidR="00EC0F76">
        <w:t>‘</w:t>
      </w:r>
      <w:r w:rsidRPr="009F6F79" w:rsidR="00D20D60">
        <w:t>are prepared to assist the Legislature in its consideration of pending legislation.</w:t>
      </w:r>
      <w:r w:rsidR="00EC0F76">
        <w:t>’</w:t>
      </w:r>
      <w:r w:rsidRPr="009F6F79" w:rsidR="00D20D60">
        <w:t xml:space="preserve">  [Citation.]  Although the Legislative Counsel’s summaries are not binding [citation], they are entitled to great weight.  [Citation.]  ‘It is reasonable to presume that the Legislature [acted] with the intent and meaning expressed in the Legislative Counsel’s digest.’ </w:t>
      </w:r>
      <w:bookmarkStart w:id="9" w:name="_Hlk159911073"/>
      <w:r w:rsidRPr="009F6F79" w:rsidR="00D20D60">
        <w:t>”</w:t>
      </w:r>
      <w:r w:rsidRPr="009F6F79" w:rsidR="00A54E0A">
        <w:t xml:space="preserve"> </w:t>
      </w:r>
      <w:r w:rsidRPr="009F6F79" w:rsidR="00D20D60">
        <w:t xml:space="preserve"> (</w:t>
      </w:r>
      <w:r w:rsidRPr="009F6F79" w:rsidR="00D20D60">
        <w:rPr>
          <w:i/>
          <w:iCs/>
        </w:rPr>
        <w:t>Jones v. Lodge at Torrey Pines Partnership</w:t>
      </w:r>
      <w:r w:rsidRPr="009F6F79" w:rsidR="00D20D60">
        <w:t xml:space="preserve"> (2008) 42</w:t>
      </w:r>
      <w:r w:rsidRPr="009F6F79" w:rsidR="006A754D">
        <w:t> </w:t>
      </w:r>
      <w:r w:rsidRPr="009F6F79" w:rsidR="00D20D60">
        <w:t>Cal.4th 1158, 1169–1170</w:t>
      </w:r>
      <w:bookmarkEnd w:id="9"/>
      <w:r w:rsidRPr="009F6F79" w:rsidR="00D20D60">
        <w:t>.)</w:t>
      </w:r>
    </w:p>
  </w:footnote>
  <w:footnote w:id="15">
    <w:p w:rsidR="00D91782" w:rsidP="00705F37" w14:paraId="6C44BDE2" w14:textId="77777777">
      <w:pPr>
        <w:pStyle w:val="FootnoteText"/>
      </w:pPr>
      <w:r w:rsidRPr="00976F2E">
        <w:rPr>
          <w:rStyle w:val="FootnoteReference"/>
        </w:rPr>
        <w:footnoteRef/>
      </w:r>
      <w:r w:rsidRPr="00976F2E">
        <w:t xml:space="preserve"> </w:t>
      </w:r>
      <w:r w:rsidRPr="00976F2E">
        <w:tab/>
        <w:t>An early analysis in each house of the Legislature initially characterized A</w:t>
      </w:r>
      <w:r w:rsidRPr="00976F2E" w:rsidR="007E5FDB">
        <w:t>ssembly Bill</w:t>
      </w:r>
      <w:r w:rsidRPr="00976F2E">
        <w:t xml:space="preserve"> No. 2909 as prohibiting dissuasion from “[c]ausing an accusatory pleading to be filed.”  (Assem. Com. </w:t>
      </w:r>
      <w:r w:rsidRPr="00976F2E" w:rsidR="00E36C25">
        <w:t>o</w:t>
      </w:r>
      <w:r w:rsidRPr="00976F2E">
        <w:t>n Crim</w:t>
      </w:r>
      <w:r w:rsidRPr="00976F2E" w:rsidR="00E36C25">
        <w:t>.</w:t>
      </w:r>
      <w:r w:rsidRPr="00976F2E">
        <w:t xml:space="preserve"> Justice, Analysis of Assem. Bill No. 2909</w:t>
      </w:r>
      <w:r w:rsidRPr="00976F2E" w:rsidR="00D25D2C">
        <w:t xml:space="preserve">, </w:t>
      </w:r>
      <w:r w:rsidRPr="00976F2E" w:rsidR="00D25D2C">
        <w:rPr>
          <w:i/>
          <w:iCs/>
          <w:szCs w:val="26"/>
        </w:rPr>
        <w:t>supra</w:t>
      </w:r>
      <w:r w:rsidRPr="00976F2E" w:rsidR="00D25D2C">
        <w:t xml:space="preserve">, </w:t>
      </w:r>
      <w:r w:rsidRPr="00976F2E" w:rsidR="00556D47">
        <w:t>as introduced Mar.</w:t>
      </w:r>
      <w:r w:rsidRPr="00976F2E" w:rsidR="00C533BE">
        <w:t> </w:t>
      </w:r>
      <w:r w:rsidRPr="00976F2E" w:rsidR="00556D47">
        <w:t xml:space="preserve">6, 1980, </w:t>
      </w:r>
      <w:r w:rsidRPr="00976F2E">
        <w:t>p.</w:t>
      </w:r>
      <w:r w:rsidRPr="00976F2E" w:rsidR="00C533BE">
        <w:t> </w:t>
      </w:r>
      <w:r w:rsidRPr="00976F2E">
        <w:t xml:space="preserve">1; </w:t>
      </w:r>
      <w:r w:rsidR="001F2FFA">
        <w:t xml:space="preserve">see </w:t>
      </w:r>
      <w:r w:rsidRPr="00976F2E">
        <w:t xml:space="preserve">Sen. Com. </w:t>
      </w:r>
      <w:r w:rsidRPr="00976F2E" w:rsidR="00FD387F">
        <w:t>o</w:t>
      </w:r>
      <w:r w:rsidRPr="00976F2E">
        <w:t xml:space="preserve">n Judiciary, </w:t>
      </w:r>
      <w:r w:rsidRPr="00976F2E" w:rsidR="00556D47">
        <w:t xml:space="preserve">Analysis of </w:t>
      </w:r>
      <w:r w:rsidRPr="00976F2E">
        <w:t>Assem. Bill No. 2909</w:t>
      </w:r>
      <w:r w:rsidRPr="00976F2E" w:rsidR="00556D47">
        <w:t xml:space="preserve">, </w:t>
      </w:r>
      <w:r w:rsidRPr="00976F2E" w:rsidR="00556D47">
        <w:rPr>
          <w:i/>
          <w:iCs/>
          <w:szCs w:val="26"/>
        </w:rPr>
        <w:t>supra</w:t>
      </w:r>
      <w:r w:rsidRPr="00976F2E" w:rsidR="00556D47">
        <w:t>, as amended Apr.</w:t>
      </w:r>
      <w:r w:rsidRPr="00976F2E" w:rsidR="00C533BE">
        <w:t> </w:t>
      </w:r>
      <w:r w:rsidRPr="00976F2E" w:rsidR="00556D47">
        <w:t xml:space="preserve">9, 1980, </w:t>
      </w:r>
      <w:r w:rsidRPr="00976F2E">
        <w:t>p.</w:t>
      </w:r>
      <w:r w:rsidRPr="00976F2E" w:rsidR="00556D47">
        <w:t> </w:t>
      </w:r>
      <w:r w:rsidRPr="00976F2E">
        <w:t>3.)  However, a subsequent analysis by the Assembly Office of Research performed in connection with the third reading of the bill in the Assembly characterized it broadly</w:t>
      </w:r>
      <w:r w:rsidRPr="00976F2E" w:rsidR="00C533BE">
        <w:t> </w:t>
      </w:r>
      <w:r w:rsidRPr="00976F2E">
        <w:t>— consistent with the Legislative Counsel’s Digests</w:t>
      </w:r>
      <w:r w:rsidRPr="00976F2E" w:rsidR="00C533BE">
        <w:t> </w:t>
      </w:r>
      <w:r w:rsidRPr="00976F2E">
        <w:t>— as prohibiting dissuasion from “[a]ssisting law enforcement or prosecution activities.”  (</w:t>
      </w:r>
      <w:bookmarkStart w:id="12" w:name="_Hlk139290970"/>
      <w:r w:rsidRPr="00976F2E">
        <w:t>Assem. Off. of Research, 3d reading analysis of Assem. Bill No. 2909</w:t>
      </w:r>
      <w:r w:rsidRPr="00976F2E" w:rsidR="0026168E">
        <w:t xml:space="preserve">, </w:t>
      </w:r>
      <w:r w:rsidRPr="00976F2E" w:rsidR="0026168E">
        <w:rPr>
          <w:i/>
          <w:iCs/>
          <w:szCs w:val="26"/>
        </w:rPr>
        <w:t>supra</w:t>
      </w:r>
      <w:r w:rsidRPr="00976F2E" w:rsidR="0026168E">
        <w:t xml:space="preserve">, </w:t>
      </w:r>
      <w:r w:rsidRPr="00976F2E" w:rsidR="00774B3E">
        <w:t>as amended Apr.</w:t>
      </w:r>
      <w:r w:rsidRPr="00976F2E" w:rsidR="00C533BE">
        <w:t> </w:t>
      </w:r>
      <w:r w:rsidRPr="00976F2E" w:rsidR="00774B3E">
        <w:t>16</w:t>
      </w:r>
      <w:r w:rsidRPr="00976F2E">
        <w:t>, 1980, p.</w:t>
      </w:r>
      <w:r w:rsidRPr="00976F2E" w:rsidR="00C533BE">
        <w:t> </w:t>
      </w:r>
      <w:r w:rsidRPr="00976F2E">
        <w:t>1</w:t>
      </w:r>
      <w:r w:rsidRPr="00976F2E" w:rsidR="007E5FDB">
        <w:t>.</w:t>
      </w:r>
      <w:r w:rsidRPr="00976F2E">
        <w:t>)</w:t>
      </w:r>
      <w:bookmarkEnd w:id="12"/>
      <w:r w:rsidRPr="00976F2E" w:rsidR="007A6480">
        <w:t xml:space="preserve">  </w:t>
      </w:r>
      <w:r w:rsidRPr="00976F2E" w:rsidR="00C61A0A">
        <w:t xml:space="preserve">Notably, these analyses were performed before Assembly Bill </w:t>
      </w:r>
      <w:r w:rsidRPr="00976F2E" w:rsidR="00A05FAA">
        <w:t xml:space="preserve">No. </w:t>
      </w:r>
      <w:r w:rsidRPr="00976F2E" w:rsidR="00C61A0A">
        <w:t xml:space="preserve">2909 reached its final </w:t>
      </w:r>
      <w:r w:rsidRPr="00976F2E" w:rsidR="006C12D4">
        <w:t>form, as amended by the Senate.</w:t>
      </w:r>
      <w:r w:rsidR="0079554B">
        <w:t xml:space="preserve"> </w:t>
      </w:r>
      <w:r w:rsidR="00CC551B">
        <w:t xml:space="preserve"> </w:t>
      </w:r>
    </w:p>
  </w:footnote>
  <w:footnote w:id="16">
    <w:p w:rsidR="000A2A88" w:rsidP="00705F37" w14:paraId="6C44BDE3" w14:textId="77777777">
      <w:pPr>
        <w:pStyle w:val="FootnoteText"/>
      </w:pPr>
      <w:r>
        <w:rPr>
          <w:rStyle w:val="FootnoteReference"/>
        </w:rPr>
        <w:footnoteRef/>
      </w:r>
      <w:r>
        <w:t xml:space="preserve"> </w:t>
      </w:r>
      <w:r>
        <w:tab/>
      </w:r>
      <w:r w:rsidRPr="000A2A88">
        <w:t xml:space="preserve">“Effective 1998, subdivisions (a) and (b) </w:t>
      </w:r>
      <w:r>
        <w:t xml:space="preserve">[of section 136.1] </w:t>
      </w:r>
      <w:r w:rsidRPr="000A2A88">
        <w:t>were revised</w:t>
      </w:r>
      <w:r w:rsidR="00C04CAD">
        <w:t xml:space="preserve"> </w:t>
      </w:r>
      <w:r w:rsidRPr="000A2A88">
        <w:t>from straight misdemeanor status to provide for alternative felony-misdemeanor punishment,” referred to as a “ ‘wobbler.’ ”  (</w:t>
      </w:r>
      <w:r w:rsidRPr="000A2A88">
        <w:rPr>
          <w:i/>
          <w:iCs/>
        </w:rPr>
        <w:t>People v. McElroy</w:t>
      </w:r>
      <w:r w:rsidRPr="000A2A88">
        <w:t xml:space="preserve"> (2005) 126</w:t>
      </w:r>
      <w:r w:rsidR="00C533BE">
        <w:t> </w:t>
      </w:r>
      <w:r w:rsidRPr="000A2A88">
        <w:t>Cal.App.4th 874, 880; Stats. 1997, ch. 500, § 1</w:t>
      </w:r>
      <w:r w:rsidR="00985530">
        <w:t>, pp. 3123–3124</w:t>
      </w:r>
      <w:r w:rsidRPr="000A2A88">
        <w:t>.)</w:t>
      </w:r>
    </w:p>
  </w:footnote>
  <w:footnote w:id="17">
    <w:p w:rsidR="00F95296" w:rsidP="00705F37" w14:paraId="6C44BDE4" w14:textId="77777777">
      <w:pPr>
        <w:pStyle w:val="FootnoteText"/>
      </w:pPr>
      <w:r>
        <w:rPr>
          <w:rStyle w:val="FootnoteReference"/>
        </w:rPr>
        <w:footnoteRef/>
      </w:r>
      <w:r>
        <w:t xml:space="preserve"> </w:t>
      </w:r>
      <w:r>
        <w:tab/>
      </w:r>
      <w:r w:rsidRPr="00F95296">
        <w:t>Delaware and Florida replaced the connecting “and” with “, or from.”  (</w:t>
      </w:r>
      <w:r w:rsidRPr="00685829">
        <w:t>Del. Code Ann. tit. 11, §</w:t>
      </w:r>
      <w:r w:rsidR="003E2B9A">
        <w:t> </w:t>
      </w:r>
      <w:r w:rsidRPr="00685829">
        <w:t>3532</w:t>
      </w:r>
      <w:r w:rsidRPr="00F95296">
        <w:t xml:space="preserve">(2); </w:t>
      </w:r>
      <w:r w:rsidRPr="000C56F4">
        <w:t>Fla. Stat. Ann. §</w:t>
      </w:r>
      <w:r w:rsidR="00A929F0">
        <w:t> </w:t>
      </w:r>
      <w:r w:rsidRPr="000C56F4">
        <w:t>914.22</w:t>
      </w:r>
      <w:r w:rsidRPr="00F95296">
        <w:t>(3)(d).)  Georgia, the United States, and the District of Columbia replaced the connecting “and” with “, or.”  (</w:t>
      </w:r>
      <w:r w:rsidRPr="00F17B79">
        <w:t>Ga. Code Ann. §</w:t>
      </w:r>
      <w:r w:rsidRPr="00F95296">
        <w:t> </w:t>
      </w:r>
      <w:r w:rsidRPr="00F17B79">
        <w:t>16-10-32</w:t>
      </w:r>
      <w:r w:rsidRPr="00F95296">
        <w:t xml:space="preserve">(b)(4); </w:t>
      </w:r>
      <w:r w:rsidRPr="00F95296" w:rsidR="00985530">
        <w:t>1</w:t>
      </w:r>
      <w:r w:rsidR="00985530">
        <w:t>8</w:t>
      </w:r>
      <w:r w:rsidRPr="00F95296" w:rsidR="00985530">
        <w:t xml:space="preserve"> </w:t>
      </w:r>
      <w:r w:rsidRPr="00F95296">
        <w:t>U.S.C. § 1512(d)(4); D.C. Code Ann. § 22-722(a)(3)(D).)  And Missouri replaced the connecting “and” with “or.”  (</w:t>
      </w:r>
      <w:r w:rsidRPr="001571DA">
        <w:t>Mo. Ann. Stat. §</w:t>
      </w:r>
      <w:r w:rsidR="00043DD3">
        <w:t> </w:t>
      </w:r>
      <w:r w:rsidRPr="001571DA">
        <w:t>575.270</w:t>
      </w:r>
      <w:r w:rsidRPr="00F95296">
        <w:t>(1)(2)(b).)</w:t>
      </w:r>
      <w:r>
        <w:t xml:space="preserve">  </w:t>
      </w:r>
    </w:p>
  </w:footnote>
  <w:footnote w:id="18">
    <w:p w:rsidR="00BE16B0" w:rsidP="00705F37" w14:paraId="6C44BDE5" w14:textId="77777777">
      <w:pPr>
        <w:pStyle w:val="FootnoteText"/>
      </w:pPr>
      <w:r>
        <w:rPr>
          <w:rStyle w:val="FootnoteReference"/>
        </w:rPr>
        <w:footnoteRef/>
      </w:r>
      <w:r>
        <w:t xml:space="preserve"> </w:t>
      </w:r>
      <w:r>
        <w:tab/>
        <w:t xml:space="preserve">The state did not dispute </w:t>
      </w:r>
      <w:r w:rsidR="00AE0C8A">
        <w:t xml:space="preserve">the </w:t>
      </w:r>
      <w:r>
        <w:t xml:space="preserve">defendant’s contention that </w:t>
      </w:r>
      <w:r w:rsidR="00A242CA">
        <w:t xml:space="preserve">the victim </w:t>
      </w:r>
      <w:r w:rsidR="00035AC8">
        <w:t xml:space="preserve">had </w:t>
      </w:r>
      <w:r w:rsidR="00A242CA">
        <w:t>“caused a complaint to be sought against him when [the victim] reported the incident to the police</w:t>
      </w:r>
      <w:r w:rsidRPr="00FA75CE" w:rsidR="00A242CA">
        <w:t> . . .</w:t>
      </w:r>
      <w:r w:rsidR="00A242CA">
        <w:t xml:space="preserve"> and the police issued a misdemeanor citation for disorderly conduct.”  (</w:t>
      </w:r>
      <w:r w:rsidRPr="00DA4881" w:rsidR="00A242CA">
        <w:rPr>
          <w:i/>
          <w:iCs/>
        </w:rPr>
        <w:t>Freer</w:t>
      </w:r>
      <w:r w:rsidR="00A242CA">
        <w:t xml:space="preserve">, </w:t>
      </w:r>
      <w:r w:rsidRPr="009609FB" w:rsidR="00A242CA">
        <w:rPr>
          <w:i/>
          <w:iCs/>
          <w:szCs w:val="26"/>
        </w:rPr>
        <w:t>supra</w:t>
      </w:r>
      <w:r w:rsidR="00A242CA">
        <w:t xml:space="preserve">, </w:t>
      </w:r>
      <w:r w:rsidR="00DA4881">
        <w:t xml:space="preserve">779 N.W.2d at p. </w:t>
      </w:r>
      <w:r w:rsidR="001A135F">
        <w:t>14</w:t>
      </w:r>
      <w:r w:rsidR="00DA4881">
        <w:t xml:space="preserve">, fn. 2.)  </w:t>
      </w:r>
    </w:p>
  </w:footnote>
  <w:footnote w:id="19">
    <w:p w:rsidR="004952D4" w:rsidP="00705F37" w14:paraId="6C44BDE6" w14:textId="77777777">
      <w:pPr>
        <w:pStyle w:val="FootnoteText"/>
      </w:pPr>
      <w:r w:rsidRPr="009F6F79">
        <w:rPr>
          <w:rStyle w:val="FootnoteReference"/>
        </w:rPr>
        <w:footnoteRef/>
      </w:r>
      <w:r w:rsidRPr="009F6F79">
        <w:t xml:space="preserve"> </w:t>
      </w:r>
      <w:r w:rsidRPr="009F6F79">
        <w:tab/>
      </w:r>
      <w:r w:rsidRPr="009F6F79" w:rsidR="00E112E6">
        <w:t xml:space="preserve">When the Legislature replaced </w:t>
      </w:r>
      <w:r w:rsidRPr="009F6F79" w:rsidR="006506B7">
        <w:t xml:space="preserve">former </w:t>
      </w:r>
      <w:r w:rsidRPr="009F6F79" w:rsidR="00E112E6">
        <w:t xml:space="preserve">section 136 with section 136.1, </w:t>
      </w:r>
      <w:r w:rsidRPr="009F6F79" w:rsidR="006506B7">
        <w:t xml:space="preserve">former section 136 then </w:t>
      </w:r>
      <w:r w:rsidRPr="009F6F79" w:rsidR="00FC45FF">
        <w:t xml:space="preserve">addressed only dissuasion from attending trial </w:t>
      </w:r>
      <w:r w:rsidRPr="009F6F79" w:rsidR="003A44B4">
        <w:t>(</w:t>
      </w:r>
      <w:r w:rsidRPr="009F6F79" w:rsidR="00F63471">
        <w:t>Stats</w:t>
      </w:r>
      <w:r w:rsidRPr="009F6F79" w:rsidR="00062E03">
        <w:t>.</w:t>
      </w:r>
      <w:r w:rsidRPr="009F6F79" w:rsidR="00F63471">
        <w:t xml:space="preserve"> 1979, ch. 944, § 1</w:t>
      </w:r>
      <w:r w:rsidR="007A20F5">
        <w:t>, p. 3252</w:t>
      </w:r>
      <w:r w:rsidRPr="009F6F79" w:rsidR="00F63471">
        <w:t xml:space="preserve">; </w:t>
      </w:r>
      <w:r w:rsidRPr="009F6F79" w:rsidR="003A44B4">
        <w:rPr>
          <w:i/>
          <w:iCs/>
        </w:rPr>
        <w:t>Babalola</w:t>
      </w:r>
      <w:r w:rsidRPr="009F6F79" w:rsidR="003A44B4">
        <w:t xml:space="preserve">, </w:t>
      </w:r>
      <w:r w:rsidRPr="009F6F79" w:rsidR="003A44B4">
        <w:rPr>
          <w:i/>
          <w:iCs/>
          <w:szCs w:val="26"/>
        </w:rPr>
        <w:t>supra</w:t>
      </w:r>
      <w:r w:rsidRPr="009F6F79" w:rsidR="003A44B4">
        <w:t>, 192</w:t>
      </w:r>
      <w:r w:rsidRPr="009F6F79" w:rsidR="00E856CF">
        <w:t> </w:t>
      </w:r>
      <w:r w:rsidRPr="009F6F79" w:rsidR="003A44B4">
        <w:t>Cal.App.4th at p.</w:t>
      </w:r>
      <w:r w:rsidRPr="009F6F79" w:rsidR="00E856CF">
        <w:t> </w:t>
      </w:r>
      <w:r w:rsidRPr="009F6F79" w:rsidR="003A44B4">
        <w:t>956, fn.</w:t>
      </w:r>
      <w:r w:rsidRPr="009F6F79" w:rsidR="00E856CF">
        <w:t> </w:t>
      </w:r>
      <w:r w:rsidRPr="009F6F79" w:rsidR="003A44B4">
        <w:t>6)</w:t>
      </w:r>
      <w:r w:rsidRPr="009F6F79" w:rsidR="00E54A8B">
        <w:t xml:space="preserve">, which is </w:t>
      </w:r>
      <w:r w:rsidRPr="009F6F79" w:rsidR="007F207C">
        <w:t xml:space="preserve">now </w:t>
      </w:r>
      <w:r w:rsidRPr="009F6F79" w:rsidR="00E54A8B">
        <w:t>addressed by section</w:t>
      </w:r>
      <w:r w:rsidRPr="009F6F79" w:rsidR="00E856CF">
        <w:t> </w:t>
      </w:r>
      <w:r w:rsidRPr="009F6F79" w:rsidR="00E54A8B">
        <w:t>136.1, subdivision (a).</w:t>
      </w:r>
      <w:r w:rsidR="00E54A8B">
        <w:t xml:space="preserve">  </w:t>
      </w:r>
    </w:p>
  </w:footnote>
  <w:footnote w:id="20">
    <w:p w:rsidR="00CC6177" w:rsidP="00705F37" w14:paraId="6C44BDE7" w14:textId="77777777">
      <w:pPr>
        <w:pStyle w:val="FootnoteText"/>
      </w:pPr>
      <w:r>
        <w:rPr>
          <w:rStyle w:val="FootnoteReference"/>
        </w:rPr>
        <w:footnoteRef/>
      </w:r>
      <w:r>
        <w:t xml:space="preserve"> </w:t>
      </w:r>
      <w:r>
        <w:tab/>
      </w:r>
      <w:r w:rsidR="00C2067A">
        <w:t xml:space="preserve">Defendant </w:t>
      </w:r>
      <w:r>
        <w:t xml:space="preserve">also asserts section 137, subdivision (b), may be “an alternate charging option in this case.” </w:t>
      </w:r>
      <w:r w:rsidR="002705C2">
        <w:t xml:space="preserve"> </w:t>
      </w:r>
      <w:r>
        <w:t>(</w:t>
      </w:r>
      <w:r w:rsidR="00A7669B">
        <w:t>Boldface</w:t>
      </w:r>
      <w:r w:rsidR="00F81D28">
        <w:t xml:space="preserve"> </w:t>
      </w:r>
      <w:r>
        <w:t>omitted.)</w:t>
      </w:r>
      <w:r w:rsidR="00B3091F">
        <w:t xml:space="preserve">  We express no opinion on this question.</w:t>
      </w:r>
    </w:p>
  </w:footnote>
  <w:footnote w:id="21">
    <w:p w:rsidR="00184152" w:rsidP="00705F37" w14:paraId="6C44BDE8" w14:textId="77777777">
      <w:pPr>
        <w:pStyle w:val="FootnoteText"/>
      </w:pPr>
      <w:r>
        <w:rPr>
          <w:rStyle w:val="FootnoteReference"/>
        </w:rPr>
        <w:footnoteRef/>
      </w:r>
      <w:r>
        <w:t xml:space="preserve"> </w:t>
      </w:r>
      <w:r>
        <w:tab/>
      </w:r>
      <w:r w:rsidR="003E4D8A">
        <w:t>Section 136.1, subdivision (a)(3) provides:  “</w:t>
      </w:r>
      <w:r w:rsidRPr="003E4D8A" w:rsidR="003E4D8A">
        <w:t>For purposes of this section, evidence that the defendant was a family member who interceded in an effort to protect the witness or victim shall create a presumption that the act was without malice.</w:t>
      </w:r>
      <w:r w:rsidR="001F15C6">
        <w:t>”</w:t>
      </w:r>
    </w:p>
  </w:footnote>
  <w:footnote w:id="22">
    <w:p w:rsidR="00AF4D6B" w:rsidP="00705F37" w14:paraId="6C44BDE9" w14:textId="77777777">
      <w:pPr>
        <w:pStyle w:val="FootnoteText"/>
      </w:pPr>
      <w:r>
        <w:rPr>
          <w:rStyle w:val="FootnoteReference"/>
        </w:rPr>
        <w:footnoteRef/>
      </w:r>
      <w:r>
        <w:t xml:space="preserve"> </w:t>
      </w:r>
      <w:r>
        <w:tab/>
      </w:r>
      <w:r w:rsidR="00410031">
        <w:t>Section 137, subdivision (f) provides:  “</w:t>
      </w:r>
      <w:r w:rsidRPr="00410031" w:rsidR="00410031">
        <w:t>The provisions of subdivision (c) shall not apply to an attorney advising a client or to a person advising a member of his or her family.</w:t>
      </w:r>
      <w:r w:rsidR="00410031">
        <w:t>”</w:t>
      </w:r>
    </w:p>
  </w:footnote>
  <w:footnote w:id="23">
    <w:p w:rsidR="00AF0AA0" w:rsidP="00705F37" w14:paraId="6C44BDEA" w14:textId="77777777">
      <w:pPr>
        <w:pStyle w:val="FootnoteText"/>
      </w:pPr>
      <w:r>
        <w:rPr>
          <w:rStyle w:val="FootnoteReference"/>
        </w:rPr>
        <w:footnoteRef/>
      </w:r>
      <w:r>
        <w:t xml:space="preserve"> </w:t>
      </w:r>
      <w:r>
        <w:tab/>
        <w:t xml:space="preserve">Among other cases, the Attorney General </w:t>
      </w:r>
      <w:r w:rsidR="001E269A">
        <w:t>compares</w:t>
      </w:r>
      <w:r>
        <w:t xml:space="preserve"> </w:t>
      </w:r>
      <w:r w:rsidRPr="000E2756">
        <w:rPr>
          <w:i/>
          <w:iCs/>
        </w:rPr>
        <w:t>People v. Cribas</w:t>
      </w:r>
      <w:r w:rsidRPr="000E2756">
        <w:t xml:space="preserve"> (1991) 231</w:t>
      </w:r>
      <w:r>
        <w:t> </w:t>
      </w:r>
      <w:r w:rsidRPr="000E2756">
        <w:t>Cal.App.3d 596</w:t>
      </w:r>
      <w:r>
        <w:t xml:space="preserve">, which held </w:t>
      </w:r>
      <w:r w:rsidRPr="000E2756">
        <w:t>that a request that the victim “drop the charges” implies a request not to testify at trial only if the defendant knows “the only way she could d</w:t>
      </w:r>
      <w:r>
        <w:t>r</w:t>
      </w:r>
      <w:r w:rsidRPr="000E2756">
        <w:t>op the charges was by refusing to testify”</w:t>
      </w:r>
      <w:r>
        <w:t xml:space="preserve"> (</w:t>
      </w:r>
      <w:r w:rsidRPr="007B4A82">
        <w:rPr>
          <w:i/>
          <w:iCs/>
          <w:szCs w:val="26"/>
        </w:rPr>
        <w:t>id</w:t>
      </w:r>
      <w:r w:rsidRPr="007B4A82">
        <w:rPr>
          <w:szCs w:val="26"/>
        </w:rPr>
        <w:t>.</w:t>
      </w:r>
      <w:r>
        <w:rPr>
          <w:szCs w:val="26"/>
        </w:rPr>
        <w:t xml:space="preserve"> at p. </w:t>
      </w:r>
      <w:r w:rsidRPr="000E2756">
        <w:t>608</w:t>
      </w:r>
      <w:r>
        <w:t>)</w:t>
      </w:r>
      <w:r w:rsidR="000021D1">
        <w:t xml:space="preserve"> with </w:t>
      </w:r>
      <w:r w:rsidRPr="003E0266">
        <w:rPr>
          <w:i/>
          <w:iCs/>
        </w:rPr>
        <w:t>Sullivan v. State</w:t>
      </w:r>
      <w:r w:rsidRPr="003E0266">
        <w:t xml:space="preserve"> (Ga.Ct.App. 2014) 761 S.E.2d 377</w:t>
      </w:r>
      <w:r>
        <w:t xml:space="preserve">, which held that </w:t>
      </w:r>
      <w:r w:rsidRPr="000E2756">
        <w:t>the evidence was sufficient to support a conviction for offering a benefit “ ‘with the intent to deter [the victim] . . . from testifying freely, fully, and truthfully</w:t>
      </w:r>
      <w:r>
        <w:t>’ </w:t>
      </w:r>
      <w:r w:rsidRPr="000E2756">
        <w:t>” where the evidence showed that the defendant encouraged an intermediary “to contact the victim about dropping the charges”</w:t>
      </w:r>
      <w:r>
        <w:t xml:space="preserve"> (</w:t>
      </w:r>
      <w:r w:rsidRPr="007B4A82">
        <w:rPr>
          <w:i/>
          <w:iCs/>
          <w:szCs w:val="26"/>
        </w:rPr>
        <w:t>id</w:t>
      </w:r>
      <w:r w:rsidRPr="007B4A82">
        <w:rPr>
          <w:szCs w:val="26"/>
        </w:rPr>
        <w:t>.</w:t>
      </w:r>
      <w:r>
        <w:rPr>
          <w:szCs w:val="26"/>
        </w:rPr>
        <w:t xml:space="preserve"> at p. </w:t>
      </w:r>
      <w:r w:rsidRPr="003E0266">
        <w:t>383</w:t>
      </w:r>
      <w:r>
        <w:t>).</w:t>
      </w:r>
    </w:p>
  </w:footnote>
  <w:footnote w:id="24">
    <w:p w:rsidR="00F01B39" w:rsidP="00F01B39" w14:paraId="6C44BDEB" w14:textId="77777777">
      <w:pPr>
        <w:pStyle w:val="FootnoteText"/>
      </w:pPr>
      <w:r w:rsidRPr="00976F2E">
        <w:rPr>
          <w:rStyle w:val="FootnoteReference"/>
        </w:rPr>
        <w:footnoteRef/>
      </w:r>
      <w:r w:rsidRPr="00976F2E">
        <w:t xml:space="preserve"> </w:t>
      </w:r>
      <w:r w:rsidRPr="00976F2E">
        <w:tab/>
      </w:r>
      <w:r>
        <w:t>W</w:t>
      </w:r>
      <w:r w:rsidRPr="00976F2E">
        <w:t xml:space="preserve">e disapprove of </w:t>
      </w:r>
      <w:r w:rsidRPr="00976F2E">
        <w:rPr>
          <w:i/>
          <w:iCs/>
        </w:rPr>
        <w:t>People v.</w:t>
      </w:r>
      <w:r w:rsidRPr="00976F2E">
        <w:t xml:space="preserve"> </w:t>
      </w:r>
      <w:r w:rsidRPr="00976F2E">
        <w:rPr>
          <w:i/>
          <w:iCs/>
        </w:rPr>
        <w:t>Velazquez</w:t>
      </w:r>
      <w:r w:rsidRPr="00976F2E">
        <w:t xml:space="preserve">, </w:t>
      </w:r>
      <w:r w:rsidRPr="00976F2E">
        <w:rPr>
          <w:i/>
          <w:iCs/>
        </w:rPr>
        <w:t>supra</w:t>
      </w:r>
      <w:r w:rsidRPr="00976F2E">
        <w:t>, 201 Cal.App.4th 219 to the extent it is inconsistent with this holding.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F37" w14:paraId="6C44BDD1" w14:textId="77777777">
    <w:pPr>
      <w:pStyle w:val="Header"/>
    </w:pPr>
    <w:r>
      <w:t>PEOPLE v. REYNOZA</w:t>
    </w:r>
  </w:p>
  <w:p w:rsidR="00705F37" w14:paraId="6C44BDD2" w14:textId="77777777">
    <w:pPr>
      <w:pStyle w:val="Header"/>
    </w:pPr>
    <w:r>
      <w:t>Opinion of the Court by Guerrero, C.</w:t>
    </w:r>
    <w:r w:rsidR="006A017B">
      <w:t> </w:t>
    </w:r>
    <w:r>
      <w:t>J.</w:t>
    </w:r>
  </w:p>
  <w:p w:rsidR="00705F37" w14:paraId="6C44BD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B01" w:rsidRPr="00451B01" w:rsidP="00451B01" w14:paraId="379A64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865C1B"/>
    <w:multiLevelType w:val="hybridMultilevel"/>
    <w:tmpl w:val="E780E0A4"/>
    <w:lvl w:ilvl="0">
      <w:start w:val="1"/>
      <w:numFmt w:val="decimal"/>
      <w:pStyle w:val="Heading3"/>
      <w:lvlText w:val="%1."/>
      <w:lvlJc w:val="left"/>
      <w:pPr>
        <w:ind w:left="1872" w:hanging="360"/>
      </w:pPr>
      <w:rPr>
        <w:b w:val="0"/>
        <w:bCs w:val="0"/>
        <w:i w:val="0"/>
        <w:iCs/>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1">
    <w:nsid w:val="44506713"/>
    <w:multiLevelType w:val="multilevel"/>
    <w:tmpl w:val="A052D11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bCs w:val="0"/>
        <w:i w:val="0"/>
        <w:iCs/>
      </w:rPr>
    </w:lvl>
    <w:lvl w:ilvl="3">
      <w:start w:val="1"/>
      <w:numFmt w:val="lowerLetter"/>
      <w:lvlText w:val="%4)"/>
      <w:lvlJc w:val="left"/>
      <w:pPr>
        <w:ind w:left="2160" w:firstLine="0"/>
      </w:pPr>
      <w:rPr>
        <w:i w:val="0"/>
        <w:iCs/>
      </w:r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51B84184"/>
    <w:multiLevelType w:val="hybridMultilevel"/>
    <w:tmpl w:val="1DE2C742"/>
    <w:lvl w:ilvl="0">
      <w:start w:val="1"/>
      <w:numFmt w:val="lowerLetter"/>
      <w:pStyle w:val="Heading4"/>
      <w:lvlText w:val="%1."/>
      <w:lvlJc w:val="left"/>
      <w:pPr>
        <w:ind w:left="2304" w:hanging="360"/>
      </w:pPr>
      <w:rPr>
        <w:b w:val="0"/>
        <w:bCs w:val="0"/>
        <w:i w:val="0"/>
        <w:iCs/>
      </w:rPr>
    </w:lvl>
    <w:lvl w:ilvl="1" w:tentative="1">
      <w:start w:val="1"/>
      <w:numFmt w:val="lowerLetter"/>
      <w:lvlText w:val="%2."/>
      <w:lvlJc w:val="left"/>
      <w:pPr>
        <w:ind w:left="3024" w:hanging="360"/>
      </w:pPr>
    </w:lvl>
    <w:lvl w:ilvl="2" w:tentative="1">
      <w:start w:val="1"/>
      <w:numFmt w:val="lowerRoman"/>
      <w:lvlText w:val="%3."/>
      <w:lvlJc w:val="right"/>
      <w:pPr>
        <w:ind w:left="3744" w:hanging="180"/>
      </w:pPr>
    </w:lvl>
    <w:lvl w:ilvl="3" w:tentative="1">
      <w:start w:val="1"/>
      <w:numFmt w:val="decimal"/>
      <w:lvlText w:val="%4."/>
      <w:lvlJc w:val="left"/>
      <w:pPr>
        <w:ind w:left="4464" w:hanging="360"/>
      </w:pPr>
    </w:lvl>
    <w:lvl w:ilvl="4" w:tentative="1">
      <w:start w:val="1"/>
      <w:numFmt w:val="lowerLetter"/>
      <w:lvlText w:val="%5."/>
      <w:lvlJc w:val="left"/>
      <w:pPr>
        <w:ind w:left="5184" w:hanging="360"/>
      </w:pPr>
    </w:lvl>
    <w:lvl w:ilvl="5" w:tentative="1">
      <w:start w:val="1"/>
      <w:numFmt w:val="lowerRoman"/>
      <w:lvlText w:val="%6."/>
      <w:lvlJc w:val="right"/>
      <w:pPr>
        <w:ind w:left="5904" w:hanging="180"/>
      </w:pPr>
    </w:lvl>
    <w:lvl w:ilvl="6" w:tentative="1">
      <w:start w:val="1"/>
      <w:numFmt w:val="decimal"/>
      <w:lvlText w:val="%7."/>
      <w:lvlJc w:val="left"/>
      <w:pPr>
        <w:ind w:left="6624" w:hanging="360"/>
      </w:pPr>
    </w:lvl>
    <w:lvl w:ilvl="7" w:tentative="1">
      <w:start w:val="1"/>
      <w:numFmt w:val="lowerLetter"/>
      <w:lvlText w:val="%8."/>
      <w:lvlJc w:val="left"/>
      <w:pPr>
        <w:ind w:left="7344" w:hanging="360"/>
      </w:pPr>
    </w:lvl>
    <w:lvl w:ilvl="8" w:tentative="1">
      <w:start w:val="1"/>
      <w:numFmt w:val="lowerRoman"/>
      <w:lvlText w:val="%9."/>
      <w:lvlJc w:val="right"/>
      <w:pPr>
        <w:ind w:left="8064" w:hanging="180"/>
      </w:pPr>
    </w:lvl>
  </w:abstractNum>
  <w:abstractNum w:abstractNumId="3">
    <w:nsid w:val="5C5F68D7"/>
    <w:multiLevelType w:val="hybridMultilevel"/>
    <w:tmpl w:val="1498800E"/>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E382808"/>
    <w:multiLevelType w:val="hybridMultilevel"/>
    <w:tmpl w:val="D0503D46"/>
    <w:lvl w:ilvl="0">
      <w:start w:val="1"/>
      <w:numFmt w:val="upperLetter"/>
      <w:pStyle w:val="Heading2"/>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714B22D2"/>
    <w:multiLevelType w:val="hybridMultilevel"/>
    <w:tmpl w:val="40CADCF6"/>
    <w:lvl w:ilvl="0">
      <w:start w:val="1"/>
      <w:numFmt w:val="lowerLetter"/>
      <w:lvlText w:val="%1."/>
      <w:lvlJc w:val="left"/>
      <w:pPr>
        <w:ind w:left="2340" w:hanging="360"/>
      </w:pPr>
      <w:rPr>
        <w:i w:val="0"/>
        <w:iCs/>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9E"/>
    <w:rsid w:val="00000291"/>
    <w:rsid w:val="00000683"/>
    <w:rsid w:val="0000113E"/>
    <w:rsid w:val="000012D6"/>
    <w:rsid w:val="000017E4"/>
    <w:rsid w:val="00001D95"/>
    <w:rsid w:val="000021D1"/>
    <w:rsid w:val="000024F9"/>
    <w:rsid w:val="00002606"/>
    <w:rsid w:val="00002770"/>
    <w:rsid w:val="00002F03"/>
    <w:rsid w:val="00003A37"/>
    <w:rsid w:val="00003B8B"/>
    <w:rsid w:val="00003DEB"/>
    <w:rsid w:val="00004C25"/>
    <w:rsid w:val="000053F9"/>
    <w:rsid w:val="00005662"/>
    <w:rsid w:val="00005C65"/>
    <w:rsid w:val="00005EED"/>
    <w:rsid w:val="0000639F"/>
    <w:rsid w:val="00006956"/>
    <w:rsid w:val="00006C8C"/>
    <w:rsid w:val="0000760C"/>
    <w:rsid w:val="00007EBE"/>
    <w:rsid w:val="000106B1"/>
    <w:rsid w:val="00010769"/>
    <w:rsid w:val="00010AA3"/>
    <w:rsid w:val="000112CA"/>
    <w:rsid w:val="00011588"/>
    <w:rsid w:val="00011656"/>
    <w:rsid w:val="000118F2"/>
    <w:rsid w:val="0001271A"/>
    <w:rsid w:val="00013020"/>
    <w:rsid w:val="000131D1"/>
    <w:rsid w:val="0001366B"/>
    <w:rsid w:val="00013A7E"/>
    <w:rsid w:val="00013DF9"/>
    <w:rsid w:val="00014244"/>
    <w:rsid w:val="0001429D"/>
    <w:rsid w:val="000145A5"/>
    <w:rsid w:val="00014B6D"/>
    <w:rsid w:val="0001533D"/>
    <w:rsid w:val="00015F58"/>
    <w:rsid w:val="0001684D"/>
    <w:rsid w:val="00016908"/>
    <w:rsid w:val="00017FE5"/>
    <w:rsid w:val="00020847"/>
    <w:rsid w:val="000208D1"/>
    <w:rsid w:val="00021511"/>
    <w:rsid w:val="0002160E"/>
    <w:rsid w:val="00021745"/>
    <w:rsid w:val="00021B8D"/>
    <w:rsid w:val="0002243C"/>
    <w:rsid w:val="00022717"/>
    <w:rsid w:val="00023561"/>
    <w:rsid w:val="00023771"/>
    <w:rsid w:val="00023FEB"/>
    <w:rsid w:val="00024277"/>
    <w:rsid w:val="00024A38"/>
    <w:rsid w:val="00024A8C"/>
    <w:rsid w:val="00024D55"/>
    <w:rsid w:val="00026111"/>
    <w:rsid w:val="00026542"/>
    <w:rsid w:val="00026DB9"/>
    <w:rsid w:val="0003132B"/>
    <w:rsid w:val="00031388"/>
    <w:rsid w:val="000320F2"/>
    <w:rsid w:val="000323E9"/>
    <w:rsid w:val="00032B6A"/>
    <w:rsid w:val="00033115"/>
    <w:rsid w:val="000338FD"/>
    <w:rsid w:val="000351FE"/>
    <w:rsid w:val="00035787"/>
    <w:rsid w:val="0003581F"/>
    <w:rsid w:val="00035AC8"/>
    <w:rsid w:val="0003630D"/>
    <w:rsid w:val="0003665F"/>
    <w:rsid w:val="0003674C"/>
    <w:rsid w:val="00037A2E"/>
    <w:rsid w:val="00037AE0"/>
    <w:rsid w:val="00037DBD"/>
    <w:rsid w:val="000402E2"/>
    <w:rsid w:val="00040421"/>
    <w:rsid w:val="000407FC"/>
    <w:rsid w:val="0004088B"/>
    <w:rsid w:val="00040D99"/>
    <w:rsid w:val="000413A6"/>
    <w:rsid w:val="00041500"/>
    <w:rsid w:val="00042250"/>
    <w:rsid w:val="00042336"/>
    <w:rsid w:val="000425E0"/>
    <w:rsid w:val="00042AC0"/>
    <w:rsid w:val="00043087"/>
    <w:rsid w:val="000433D7"/>
    <w:rsid w:val="0004371F"/>
    <w:rsid w:val="00043DD3"/>
    <w:rsid w:val="0004449E"/>
    <w:rsid w:val="00044AC2"/>
    <w:rsid w:val="0004532B"/>
    <w:rsid w:val="0004568F"/>
    <w:rsid w:val="0004580F"/>
    <w:rsid w:val="00045A73"/>
    <w:rsid w:val="00047098"/>
    <w:rsid w:val="00047659"/>
    <w:rsid w:val="00047C7A"/>
    <w:rsid w:val="0005015C"/>
    <w:rsid w:val="000515BC"/>
    <w:rsid w:val="00053127"/>
    <w:rsid w:val="000531B9"/>
    <w:rsid w:val="0005333D"/>
    <w:rsid w:val="0005382D"/>
    <w:rsid w:val="0005410C"/>
    <w:rsid w:val="00054167"/>
    <w:rsid w:val="0005486B"/>
    <w:rsid w:val="00054C05"/>
    <w:rsid w:val="00055592"/>
    <w:rsid w:val="00056149"/>
    <w:rsid w:val="000564DF"/>
    <w:rsid w:val="00056ACD"/>
    <w:rsid w:val="00056C00"/>
    <w:rsid w:val="00056DB4"/>
    <w:rsid w:val="00056FC4"/>
    <w:rsid w:val="00057017"/>
    <w:rsid w:val="00057ABB"/>
    <w:rsid w:val="00057C02"/>
    <w:rsid w:val="00060111"/>
    <w:rsid w:val="0006056F"/>
    <w:rsid w:val="00061322"/>
    <w:rsid w:val="000616B0"/>
    <w:rsid w:val="000616CF"/>
    <w:rsid w:val="00061D79"/>
    <w:rsid w:val="00062E03"/>
    <w:rsid w:val="00062F22"/>
    <w:rsid w:val="00063243"/>
    <w:rsid w:val="00063485"/>
    <w:rsid w:val="00063496"/>
    <w:rsid w:val="00063DD9"/>
    <w:rsid w:val="00064662"/>
    <w:rsid w:val="00065928"/>
    <w:rsid w:val="0006683B"/>
    <w:rsid w:val="00066B2F"/>
    <w:rsid w:val="000703F1"/>
    <w:rsid w:val="000705F5"/>
    <w:rsid w:val="00070882"/>
    <w:rsid w:val="00070B42"/>
    <w:rsid w:val="00070D4F"/>
    <w:rsid w:val="000711AD"/>
    <w:rsid w:val="00072879"/>
    <w:rsid w:val="00072B4F"/>
    <w:rsid w:val="00072E19"/>
    <w:rsid w:val="00072E3A"/>
    <w:rsid w:val="000734FB"/>
    <w:rsid w:val="00073B27"/>
    <w:rsid w:val="00074210"/>
    <w:rsid w:val="00075226"/>
    <w:rsid w:val="00075A42"/>
    <w:rsid w:val="00075EE8"/>
    <w:rsid w:val="00075F25"/>
    <w:rsid w:val="00076829"/>
    <w:rsid w:val="00076DE6"/>
    <w:rsid w:val="00077731"/>
    <w:rsid w:val="00077BAA"/>
    <w:rsid w:val="000801A1"/>
    <w:rsid w:val="000803E6"/>
    <w:rsid w:val="00080BF9"/>
    <w:rsid w:val="000820B0"/>
    <w:rsid w:val="0008283D"/>
    <w:rsid w:val="00082880"/>
    <w:rsid w:val="0008397A"/>
    <w:rsid w:val="00083993"/>
    <w:rsid w:val="000840D3"/>
    <w:rsid w:val="00084782"/>
    <w:rsid w:val="000848D6"/>
    <w:rsid w:val="0008589B"/>
    <w:rsid w:val="00085EF6"/>
    <w:rsid w:val="0008612A"/>
    <w:rsid w:val="00086AFA"/>
    <w:rsid w:val="00086EB0"/>
    <w:rsid w:val="00087426"/>
    <w:rsid w:val="0008746D"/>
    <w:rsid w:val="00087519"/>
    <w:rsid w:val="000904B2"/>
    <w:rsid w:val="00091A19"/>
    <w:rsid w:val="00091B1D"/>
    <w:rsid w:val="000925BC"/>
    <w:rsid w:val="00092C44"/>
    <w:rsid w:val="00092D64"/>
    <w:rsid w:val="00092E6A"/>
    <w:rsid w:val="00093859"/>
    <w:rsid w:val="00093916"/>
    <w:rsid w:val="00094305"/>
    <w:rsid w:val="00094FBE"/>
    <w:rsid w:val="000952A8"/>
    <w:rsid w:val="00095C96"/>
    <w:rsid w:val="00096992"/>
    <w:rsid w:val="000A02BD"/>
    <w:rsid w:val="000A0D6F"/>
    <w:rsid w:val="000A0FF7"/>
    <w:rsid w:val="000A10A2"/>
    <w:rsid w:val="000A1C0E"/>
    <w:rsid w:val="000A1C88"/>
    <w:rsid w:val="000A2368"/>
    <w:rsid w:val="000A2687"/>
    <w:rsid w:val="000A27D5"/>
    <w:rsid w:val="000A2A88"/>
    <w:rsid w:val="000A2DC7"/>
    <w:rsid w:val="000A2F58"/>
    <w:rsid w:val="000A32C4"/>
    <w:rsid w:val="000A38B5"/>
    <w:rsid w:val="000A3A08"/>
    <w:rsid w:val="000A500C"/>
    <w:rsid w:val="000A55A2"/>
    <w:rsid w:val="000A63B0"/>
    <w:rsid w:val="000A6696"/>
    <w:rsid w:val="000A6E2E"/>
    <w:rsid w:val="000A7564"/>
    <w:rsid w:val="000A7F88"/>
    <w:rsid w:val="000B03CA"/>
    <w:rsid w:val="000B0853"/>
    <w:rsid w:val="000B0F1A"/>
    <w:rsid w:val="000B100B"/>
    <w:rsid w:val="000B1595"/>
    <w:rsid w:val="000B19AB"/>
    <w:rsid w:val="000B1CBD"/>
    <w:rsid w:val="000B22C3"/>
    <w:rsid w:val="000B23F4"/>
    <w:rsid w:val="000B3030"/>
    <w:rsid w:val="000B31D2"/>
    <w:rsid w:val="000B330F"/>
    <w:rsid w:val="000B34A1"/>
    <w:rsid w:val="000B34B1"/>
    <w:rsid w:val="000B3893"/>
    <w:rsid w:val="000B3D3D"/>
    <w:rsid w:val="000B4958"/>
    <w:rsid w:val="000B55B3"/>
    <w:rsid w:val="000B5745"/>
    <w:rsid w:val="000B61B3"/>
    <w:rsid w:val="000B668D"/>
    <w:rsid w:val="000B773B"/>
    <w:rsid w:val="000B7D8C"/>
    <w:rsid w:val="000C0690"/>
    <w:rsid w:val="000C140A"/>
    <w:rsid w:val="000C1535"/>
    <w:rsid w:val="000C2A1D"/>
    <w:rsid w:val="000C2C8A"/>
    <w:rsid w:val="000C3A89"/>
    <w:rsid w:val="000C3B5C"/>
    <w:rsid w:val="000C4C7B"/>
    <w:rsid w:val="000C4E6B"/>
    <w:rsid w:val="000C56F4"/>
    <w:rsid w:val="000C5ABD"/>
    <w:rsid w:val="000C64F7"/>
    <w:rsid w:val="000C6AAA"/>
    <w:rsid w:val="000C6B42"/>
    <w:rsid w:val="000C6CCB"/>
    <w:rsid w:val="000C7304"/>
    <w:rsid w:val="000C7640"/>
    <w:rsid w:val="000C7807"/>
    <w:rsid w:val="000C782E"/>
    <w:rsid w:val="000C7A9A"/>
    <w:rsid w:val="000C7D45"/>
    <w:rsid w:val="000C7E82"/>
    <w:rsid w:val="000D0ADB"/>
    <w:rsid w:val="000D158F"/>
    <w:rsid w:val="000D1769"/>
    <w:rsid w:val="000D182A"/>
    <w:rsid w:val="000D1EAD"/>
    <w:rsid w:val="000D2658"/>
    <w:rsid w:val="000D2A1B"/>
    <w:rsid w:val="000D2BC1"/>
    <w:rsid w:val="000D2BED"/>
    <w:rsid w:val="000D2D25"/>
    <w:rsid w:val="000D3878"/>
    <w:rsid w:val="000D393A"/>
    <w:rsid w:val="000D3C85"/>
    <w:rsid w:val="000D4366"/>
    <w:rsid w:val="000D5018"/>
    <w:rsid w:val="000D519D"/>
    <w:rsid w:val="000D5A71"/>
    <w:rsid w:val="000D62D9"/>
    <w:rsid w:val="000D65D0"/>
    <w:rsid w:val="000D696E"/>
    <w:rsid w:val="000D6B65"/>
    <w:rsid w:val="000D6D70"/>
    <w:rsid w:val="000D6E48"/>
    <w:rsid w:val="000D79CA"/>
    <w:rsid w:val="000D7E29"/>
    <w:rsid w:val="000D7F1D"/>
    <w:rsid w:val="000E0502"/>
    <w:rsid w:val="000E05A4"/>
    <w:rsid w:val="000E08C8"/>
    <w:rsid w:val="000E14B0"/>
    <w:rsid w:val="000E238C"/>
    <w:rsid w:val="000E2756"/>
    <w:rsid w:val="000E3051"/>
    <w:rsid w:val="000E31FE"/>
    <w:rsid w:val="000E369F"/>
    <w:rsid w:val="000E3E45"/>
    <w:rsid w:val="000E45FA"/>
    <w:rsid w:val="000E4F59"/>
    <w:rsid w:val="000E5116"/>
    <w:rsid w:val="000E53C9"/>
    <w:rsid w:val="000E5FF1"/>
    <w:rsid w:val="000E73CD"/>
    <w:rsid w:val="000E75F2"/>
    <w:rsid w:val="000F1500"/>
    <w:rsid w:val="000F160F"/>
    <w:rsid w:val="000F1935"/>
    <w:rsid w:val="000F19D6"/>
    <w:rsid w:val="000F2A56"/>
    <w:rsid w:val="000F2F7F"/>
    <w:rsid w:val="000F3539"/>
    <w:rsid w:val="000F3734"/>
    <w:rsid w:val="000F3C7B"/>
    <w:rsid w:val="000F4781"/>
    <w:rsid w:val="000F5325"/>
    <w:rsid w:val="000F5FF0"/>
    <w:rsid w:val="000F612E"/>
    <w:rsid w:val="000F6534"/>
    <w:rsid w:val="000F69AE"/>
    <w:rsid w:val="000F6BF1"/>
    <w:rsid w:val="000F7052"/>
    <w:rsid w:val="000F70B5"/>
    <w:rsid w:val="000F73FD"/>
    <w:rsid w:val="000F7BC8"/>
    <w:rsid w:val="00100E7C"/>
    <w:rsid w:val="0010116C"/>
    <w:rsid w:val="00101B98"/>
    <w:rsid w:val="00101C8A"/>
    <w:rsid w:val="001024BA"/>
    <w:rsid w:val="0010285A"/>
    <w:rsid w:val="00102AF3"/>
    <w:rsid w:val="00104066"/>
    <w:rsid w:val="001047B0"/>
    <w:rsid w:val="0010534D"/>
    <w:rsid w:val="00105CE7"/>
    <w:rsid w:val="00106389"/>
    <w:rsid w:val="001069B7"/>
    <w:rsid w:val="00106CDD"/>
    <w:rsid w:val="0010712B"/>
    <w:rsid w:val="0010797F"/>
    <w:rsid w:val="00107B1B"/>
    <w:rsid w:val="00110C74"/>
    <w:rsid w:val="00111E6B"/>
    <w:rsid w:val="00111F39"/>
    <w:rsid w:val="001122A6"/>
    <w:rsid w:val="001130BF"/>
    <w:rsid w:val="0011334F"/>
    <w:rsid w:val="00113610"/>
    <w:rsid w:val="00113A35"/>
    <w:rsid w:val="00114506"/>
    <w:rsid w:val="00114839"/>
    <w:rsid w:val="0011582E"/>
    <w:rsid w:val="00115A6F"/>
    <w:rsid w:val="00116D62"/>
    <w:rsid w:val="0011744C"/>
    <w:rsid w:val="0012087A"/>
    <w:rsid w:val="0012088F"/>
    <w:rsid w:val="00120C61"/>
    <w:rsid w:val="00120FC1"/>
    <w:rsid w:val="00121218"/>
    <w:rsid w:val="001214D9"/>
    <w:rsid w:val="001216C1"/>
    <w:rsid w:val="00121966"/>
    <w:rsid w:val="00121C9E"/>
    <w:rsid w:val="00121FF0"/>
    <w:rsid w:val="0012233A"/>
    <w:rsid w:val="00123C64"/>
    <w:rsid w:val="001243E1"/>
    <w:rsid w:val="001244B8"/>
    <w:rsid w:val="0012495D"/>
    <w:rsid w:val="00124B3A"/>
    <w:rsid w:val="00125C97"/>
    <w:rsid w:val="001261EC"/>
    <w:rsid w:val="00126BBB"/>
    <w:rsid w:val="00126ECF"/>
    <w:rsid w:val="001271CA"/>
    <w:rsid w:val="001272B0"/>
    <w:rsid w:val="00127FF4"/>
    <w:rsid w:val="0013017F"/>
    <w:rsid w:val="0013049C"/>
    <w:rsid w:val="00130A7C"/>
    <w:rsid w:val="00131462"/>
    <w:rsid w:val="00131C93"/>
    <w:rsid w:val="001320B8"/>
    <w:rsid w:val="001323B6"/>
    <w:rsid w:val="00132517"/>
    <w:rsid w:val="00132534"/>
    <w:rsid w:val="00132643"/>
    <w:rsid w:val="00132972"/>
    <w:rsid w:val="001340BA"/>
    <w:rsid w:val="0013429F"/>
    <w:rsid w:val="00134896"/>
    <w:rsid w:val="00134ED5"/>
    <w:rsid w:val="00134EFE"/>
    <w:rsid w:val="0013539B"/>
    <w:rsid w:val="001353F5"/>
    <w:rsid w:val="0013579F"/>
    <w:rsid w:val="00135CC3"/>
    <w:rsid w:val="00137303"/>
    <w:rsid w:val="00137B59"/>
    <w:rsid w:val="00137C1E"/>
    <w:rsid w:val="00137D91"/>
    <w:rsid w:val="0014142B"/>
    <w:rsid w:val="001419F2"/>
    <w:rsid w:val="00141E1E"/>
    <w:rsid w:val="001422F2"/>
    <w:rsid w:val="0014273C"/>
    <w:rsid w:val="001429E9"/>
    <w:rsid w:val="00142B5B"/>
    <w:rsid w:val="001432AC"/>
    <w:rsid w:val="001437B7"/>
    <w:rsid w:val="00143A73"/>
    <w:rsid w:val="00143C81"/>
    <w:rsid w:val="001444F7"/>
    <w:rsid w:val="0014537E"/>
    <w:rsid w:val="0014555F"/>
    <w:rsid w:val="0014583F"/>
    <w:rsid w:val="0014609E"/>
    <w:rsid w:val="0014618C"/>
    <w:rsid w:val="001462C4"/>
    <w:rsid w:val="00146E43"/>
    <w:rsid w:val="00147208"/>
    <w:rsid w:val="001474FC"/>
    <w:rsid w:val="00150093"/>
    <w:rsid w:val="0015046F"/>
    <w:rsid w:val="00150C0D"/>
    <w:rsid w:val="0015117B"/>
    <w:rsid w:val="001528A5"/>
    <w:rsid w:val="001528D1"/>
    <w:rsid w:val="00152B13"/>
    <w:rsid w:val="00152EF7"/>
    <w:rsid w:val="00153260"/>
    <w:rsid w:val="00154046"/>
    <w:rsid w:val="001541C4"/>
    <w:rsid w:val="00154981"/>
    <w:rsid w:val="001550FC"/>
    <w:rsid w:val="001559AB"/>
    <w:rsid w:val="00156003"/>
    <w:rsid w:val="00156338"/>
    <w:rsid w:val="001564CF"/>
    <w:rsid w:val="001565AB"/>
    <w:rsid w:val="00156600"/>
    <w:rsid w:val="00156999"/>
    <w:rsid w:val="001571C1"/>
    <w:rsid w:val="001571DA"/>
    <w:rsid w:val="001572BC"/>
    <w:rsid w:val="00157421"/>
    <w:rsid w:val="00157AF3"/>
    <w:rsid w:val="00160AD5"/>
    <w:rsid w:val="00160B69"/>
    <w:rsid w:val="00161D26"/>
    <w:rsid w:val="00161E3D"/>
    <w:rsid w:val="0016277A"/>
    <w:rsid w:val="001627DF"/>
    <w:rsid w:val="00162C99"/>
    <w:rsid w:val="00163517"/>
    <w:rsid w:val="00163B2E"/>
    <w:rsid w:val="00163D46"/>
    <w:rsid w:val="0016452C"/>
    <w:rsid w:val="00164850"/>
    <w:rsid w:val="0016495A"/>
    <w:rsid w:val="001655C7"/>
    <w:rsid w:val="00166119"/>
    <w:rsid w:val="00166511"/>
    <w:rsid w:val="0016694C"/>
    <w:rsid w:val="00166D9A"/>
    <w:rsid w:val="001670A2"/>
    <w:rsid w:val="0016788B"/>
    <w:rsid w:val="00167980"/>
    <w:rsid w:val="00167DEA"/>
    <w:rsid w:val="00170B16"/>
    <w:rsid w:val="00170BE8"/>
    <w:rsid w:val="00171B05"/>
    <w:rsid w:val="0017311C"/>
    <w:rsid w:val="00173E90"/>
    <w:rsid w:val="00174B24"/>
    <w:rsid w:val="00174F0D"/>
    <w:rsid w:val="001754CE"/>
    <w:rsid w:val="001756F1"/>
    <w:rsid w:val="00175E76"/>
    <w:rsid w:val="00176256"/>
    <w:rsid w:val="0017625D"/>
    <w:rsid w:val="00176AB7"/>
    <w:rsid w:val="00176BCA"/>
    <w:rsid w:val="001773A3"/>
    <w:rsid w:val="00177A0B"/>
    <w:rsid w:val="00177C93"/>
    <w:rsid w:val="00177EEC"/>
    <w:rsid w:val="001800D5"/>
    <w:rsid w:val="0018015F"/>
    <w:rsid w:val="00180C4E"/>
    <w:rsid w:val="00181275"/>
    <w:rsid w:val="00181645"/>
    <w:rsid w:val="00181FF6"/>
    <w:rsid w:val="001824FE"/>
    <w:rsid w:val="00183531"/>
    <w:rsid w:val="00184152"/>
    <w:rsid w:val="001842E4"/>
    <w:rsid w:val="001853BC"/>
    <w:rsid w:val="00185D64"/>
    <w:rsid w:val="00185EAD"/>
    <w:rsid w:val="00186397"/>
    <w:rsid w:val="001865E8"/>
    <w:rsid w:val="00186B0A"/>
    <w:rsid w:val="00186DBF"/>
    <w:rsid w:val="00186FAD"/>
    <w:rsid w:val="0018715C"/>
    <w:rsid w:val="00187626"/>
    <w:rsid w:val="00187853"/>
    <w:rsid w:val="0019025A"/>
    <w:rsid w:val="001902D0"/>
    <w:rsid w:val="00190320"/>
    <w:rsid w:val="00190466"/>
    <w:rsid w:val="00190736"/>
    <w:rsid w:val="0019088E"/>
    <w:rsid w:val="0019096D"/>
    <w:rsid w:val="00190E3B"/>
    <w:rsid w:val="0019135B"/>
    <w:rsid w:val="00191971"/>
    <w:rsid w:val="0019215B"/>
    <w:rsid w:val="0019306F"/>
    <w:rsid w:val="001942B7"/>
    <w:rsid w:val="0019451D"/>
    <w:rsid w:val="001946A8"/>
    <w:rsid w:val="0019488E"/>
    <w:rsid w:val="00194E78"/>
    <w:rsid w:val="00195C06"/>
    <w:rsid w:val="00196A19"/>
    <w:rsid w:val="00197516"/>
    <w:rsid w:val="001A0A55"/>
    <w:rsid w:val="001A0AFE"/>
    <w:rsid w:val="001A0B36"/>
    <w:rsid w:val="001A0FA1"/>
    <w:rsid w:val="001A135F"/>
    <w:rsid w:val="001A139D"/>
    <w:rsid w:val="001A1466"/>
    <w:rsid w:val="001A19BC"/>
    <w:rsid w:val="001A1A72"/>
    <w:rsid w:val="001A1B68"/>
    <w:rsid w:val="001A2034"/>
    <w:rsid w:val="001A205B"/>
    <w:rsid w:val="001A271B"/>
    <w:rsid w:val="001A27FA"/>
    <w:rsid w:val="001A3A90"/>
    <w:rsid w:val="001A3F23"/>
    <w:rsid w:val="001A40DF"/>
    <w:rsid w:val="001A4BB3"/>
    <w:rsid w:val="001A6425"/>
    <w:rsid w:val="001A642E"/>
    <w:rsid w:val="001A79C7"/>
    <w:rsid w:val="001A7BEB"/>
    <w:rsid w:val="001B050F"/>
    <w:rsid w:val="001B0A66"/>
    <w:rsid w:val="001B0B7B"/>
    <w:rsid w:val="001B26B7"/>
    <w:rsid w:val="001B3507"/>
    <w:rsid w:val="001B38AB"/>
    <w:rsid w:val="001B40FA"/>
    <w:rsid w:val="001B4601"/>
    <w:rsid w:val="001B480E"/>
    <w:rsid w:val="001B496D"/>
    <w:rsid w:val="001B4A1D"/>
    <w:rsid w:val="001B4D36"/>
    <w:rsid w:val="001B4FD4"/>
    <w:rsid w:val="001B5C48"/>
    <w:rsid w:val="001B5D4A"/>
    <w:rsid w:val="001B5E24"/>
    <w:rsid w:val="001B66BA"/>
    <w:rsid w:val="001B68FB"/>
    <w:rsid w:val="001B6C51"/>
    <w:rsid w:val="001B6F4C"/>
    <w:rsid w:val="001B7255"/>
    <w:rsid w:val="001B76E5"/>
    <w:rsid w:val="001B7BF1"/>
    <w:rsid w:val="001B7CE5"/>
    <w:rsid w:val="001C00FA"/>
    <w:rsid w:val="001C0A9F"/>
    <w:rsid w:val="001C0C88"/>
    <w:rsid w:val="001C177E"/>
    <w:rsid w:val="001C1816"/>
    <w:rsid w:val="001C1AF3"/>
    <w:rsid w:val="001C1CCF"/>
    <w:rsid w:val="001C21C1"/>
    <w:rsid w:val="001C2285"/>
    <w:rsid w:val="001C3181"/>
    <w:rsid w:val="001C395F"/>
    <w:rsid w:val="001C40AD"/>
    <w:rsid w:val="001C4800"/>
    <w:rsid w:val="001C5567"/>
    <w:rsid w:val="001C5712"/>
    <w:rsid w:val="001C589F"/>
    <w:rsid w:val="001C58B0"/>
    <w:rsid w:val="001C6267"/>
    <w:rsid w:val="001C6832"/>
    <w:rsid w:val="001C6921"/>
    <w:rsid w:val="001C73B5"/>
    <w:rsid w:val="001C75EF"/>
    <w:rsid w:val="001C77D0"/>
    <w:rsid w:val="001D03D5"/>
    <w:rsid w:val="001D0417"/>
    <w:rsid w:val="001D074A"/>
    <w:rsid w:val="001D07A2"/>
    <w:rsid w:val="001D0A34"/>
    <w:rsid w:val="001D139B"/>
    <w:rsid w:val="001D16CD"/>
    <w:rsid w:val="001D1DCC"/>
    <w:rsid w:val="001D2310"/>
    <w:rsid w:val="001D2E00"/>
    <w:rsid w:val="001D3237"/>
    <w:rsid w:val="001D3520"/>
    <w:rsid w:val="001D3BBC"/>
    <w:rsid w:val="001D3C60"/>
    <w:rsid w:val="001D3D70"/>
    <w:rsid w:val="001D3F9C"/>
    <w:rsid w:val="001D5162"/>
    <w:rsid w:val="001D58D3"/>
    <w:rsid w:val="001D5929"/>
    <w:rsid w:val="001D7098"/>
    <w:rsid w:val="001E0A1D"/>
    <w:rsid w:val="001E0F82"/>
    <w:rsid w:val="001E1157"/>
    <w:rsid w:val="001E13D7"/>
    <w:rsid w:val="001E1A70"/>
    <w:rsid w:val="001E1BDA"/>
    <w:rsid w:val="001E269A"/>
    <w:rsid w:val="001E2A76"/>
    <w:rsid w:val="001E2AFD"/>
    <w:rsid w:val="001E2B60"/>
    <w:rsid w:val="001E353A"/>
    <w:rsid w:val="001E38C3"/>
    <w:rsid w:val="001E3AB0"/>
    <w:rsid w:val="001E3BA4"/>
    <w:rsid w:val="001E3C16"/>
    <w:rsid w:val="001E441E"/>
    <w:rsid w:val="001E45A0"/>
    <w:rsid w:val="001E478C"/>
    <w:rsid w:val="001E4AE8"/>
    <w:rsid w:val="001E4CFB"/>
    <w:rsid w:val="001E4FFA"/>
    <w:rsid w:val="001E5107"/>
    <w:rsid w:val="001E57A4"/>
    <w:rsid w:val="001E5A3A"/>
    <w:rsid w:val="001E5E89"/>
    <w:rsid w:val="001E6923"/>
    <w:rsid w:val="001E6B51"/>
    <w:rsid w:val="001E6E5B"/>
    <w:rsid w:val="001E6EFD"/>
    <w:rsid w:val="001E7C49"/>
    <w:rsid w:val="001E7E39"/>
    <w:rsid w:val="001E7EF7"/>
    <w:rsid w:val="001F0C67"/>
    <w:rsid w:val="001F15A2"/>
    <w:rsid w:val="001F15C6"/>
    <w:rsid w:val="001F18DB"/>
    <w:rsid w:val="001F1BC3"/>
    <w:rsid w:val="001F212B"/>
    <w:rsid w:val="001F2658"/>
    <w:rsid w:val="001F2FFA"/>
    <w:rsid w:val="001F30B7"/>
    <w:rsid w:val="001F3227"/>
    <w:rsid w:val="001F3724"/>
    <w:rsid w:val="001F38C8"/>
    <w:rsid w:val="001F434F"/>
    <w:rsid w:val="001F46BF"/>
    <w:rsid w:val="001F4BF2"/>
    <w:rsid w:val="001F4E43"/>
    <w:rsid w:val="001F5784"/>
    <w:rsid w:val="001F59F9"/>
    <w:rsid w:val="001F5AB7"/>
    <w:rsid w:val="001F5ACA"/>
    <w:rsid w:val="001F5B15"/>
    <w:rsid w:val="001F5B99"/>
    <w:rsid w:val="001F5E59"/>
    <w:rsid w:val="001F617C"/>
    <w:rsid w:val="001F6A65"/>
    <w:rsid w:val="001F6F0D"/>
    <w:rsid w:val="001F7018"/>
    <w:rsid w:val="001F737A"/>
    <w:rsid w:val="001F737D"/>
    <w:rsid w:val="001F7733"/>
    <w:rsid w:val="001F78AC"/>
    <w:rsid w:val="001F7929"/>
    <w:rsid w:val="002001E1"/>
    <w:rsid w:val="0020028B"/>
    <w:rsid w:val="0020035C"/>
    <w:rsid w:val="00200642"/>
    <w:rsid w:val="002010DD"/>
    <w:rsid w:val="0020119B"/>
    <w:rsid w:val="002017D9"/>
    <w:rsid w:val="0020253F"/>
    <w:rsid w:val="00202646"/>
    <w:rsid w:val="002027D7"/>
    <w:rsid w:val="00202A4E"/>
    <w:rsid w:val="00203025"/>
    <w:rsid w:val="002033C1"/>
    <w:rsid w:val="00203729"/>
    <w:rsid w:val="0020390D"/>
    <w:rsid w:val="00203BD9"/>
    <w:rsid w:val="00203D09"/>
    <w:rsid w:val="00203D4E"/>
    <w:rsid w:val="00204059"/>
    <w:rsid w:val="00204630"/>
    <w:rsid w:val="00204A74"/>
    <w:rsid w:val="00204FCB"/>
    <w:rsid w:val="002053AB"/>
    <w:rsid w:val="00205ACE"/>
    <w:rsid w:val="00205BB5"/>
    <w:rsid w:val="00206C65"/>
    <w:rsid w:val="00206D67"/>
    <w:rsid w:val="00207625"/>
    <w:rsid w:val="002078F5"/>
    <w:rsid w:val="00207B78"/>
    <w:rsid w:val="00210ABA"/>
    <w:rsid w:val="00210B1A"/>
    <w:rsid w:val="00210BB6"/>
    <w:rsid w:val="00211297"/>
    <w:rsid w:val="00211323"/>
    <w:rsid w:val="002113AE"/>
    <w:rsid w:val="00211521"/>
    <w:rsid w:val="0021156A"/>
    <w:rsid w:val="00211605"/>
    <w:rsid w:val="00211828"/>
    <w:rsid w:val="00211962"/>
    <w:rsid w:val="00211C08"/>
    <w:rsid w:val="0021345F"/>
    <w:rsid w:val="002138FE"/>
    <w:rsid w:val="00213EFC"/>
    <w:rsid w:val="00214CBE"/>
    <w:rsid w:val="002156D2"/>
    <w:rsid w:val="002161D9"/>
    <w:rsid w:val="00216227"/>
    <w:rsid w:val="002164EB"/>
    <w:rsid w:val="00216755"/>
    <w:rsid w:val="00217AA3"/>
    <w:rsid w:val="00217DF4"/>
    <w:rsid w:val="00220645"/>
    <w:rsid w:val="00220F9D"/>
    <w:rsid w:val="00221528"/>
    <w:rsid w:val="00221739"/>
    <w:rsid w:val="00221F6D"/>
    <w:rsid w:val="0022297F"/>
    <w:rsid w:val="00223194"/>
    <w:rsid w:val="00223E2E"/>
    <w:rsid w:val="00224543"/>
    <w:rsid w:val="00224556"/>
    <w:rsid w:val="0022501B"/>
    <w:rsid w:val="00225503"/>
    <w:rsid w:val="00225977"/>
    <w:rsid w:val="002259C8"/>
    <w:rsid w:val="00225ABF"/>
    <w:rsid w:val="00225C43"/>
    <w:rsid w:val="00225DED"/>
    <w:rsid w:val="002262E9"/>
    <w:rsid w:val="00226B60"/>
    <w:rsid w:val="00226D24"/>
    <w:rsid w:val="002274FF"/>
    <w:rsid w:val="0022750C"/>
    <w:rsid w:val="00230956"/>
    <w:rsid w:val="00230CC8"/>
    <w:rsid w:val="0023158A"/>
    <w:rsid w:val="00232A4C"/>
    <w:rsid w:val="00232C14"/>
    <w:rsid w:val="00233BDB"/>
    <w:rsid w:val="00233F52"/>
    <w:rsid w:val="0023544A"/>
    <w:rsid w:val="00235699"/>
    <w:rsid w:val="0023571A"/>
    <w:rsid w:val="00235AE6"/>
    <w:rsid w:val="0023729F"/>
    <w:rsid w:val="00237465"/>
    <w:rsid w:val="00237CEA"/>
    <w:rsid w:val="00237EAB"/>
    <w:rsid w:val="00240660"/>
    <w:rsid w:val="002409E2"/>
    <w:rsid w:val="002411D4"/>
    <w:rsid w:val="00241C79"/>
    <w:rsid w:val="00241D85"/>
    <w:rsid w:val="0024272F"/>
    <w:rsid w:val="002430C7"/>
    <w:rsid w:val="0024341B"/>
    <w:rsid w:val="00243509"/>
    <w:rsid w:val="00243DEF"/>
    <w:rsid w:val="00243E0C"/>
    <w:rsid w:val="00244DFB"/>
    <w:rsid w:val="0024582B"/>
    <w:rsid w:val="00245B9B"/>
    <w:rsid w:val="002460C2"/>
    <w:rsid w:val="00246C37"/>
    <w:rsid w:val="00246F90"/>
    <w:rsid w:val="00247078"/>
    <w:rsid w:val="00247D9F"/>
    <w:rsid w:val="002511BB"/>
    <w:rsid w:val="00252312"/>
    <w:rsid w:val="00252B0B"/>
    <w:rsid w:val="00252B2C"/>
    <w:rsid w:val="002533FF"/>
    <w:rsid w:val="0025355F"/>
    <w:rsid w:val="00253B54"/>
    <w:rsid w:val="00253B78"/>
    <w:rsid w:val="002541D5"/>
    <w:rsid w:val="00254534"/>
    <w:rsid w:val="002547C0"/>
    <w:rsid w:val="002549E5"/>
    <w:rsid w:val="00255109"/>
    <w:rsid w:val="0025516E"/>
    <w:rsid w:val="002555B3"/>
    <w:rsid w:val="00255A15"/>
    <w:rsid w:val="002565FA"/>
    <w:rsid w:val="00256FA9"/>
    <w:rsid w:val="00257567"/>
    <w:rsid w:val="002575EA"/>
    <w:rsid w:val="0025781C"/>
    <w:rsid w:val="00257850"/>
    <w:rsid w:val="0026049D"/>
    <w:rsid w:val="002607B0"/>
    <w:rsid w:val="002607CB"/>
    <w:rsid w:val="00260908"/>
    <w:rsid w:val="002609D6"/>
    <w:rsid w:val="00260F99"/>
    <w:rsid w:val="0026168E"/>
    <w:rsid w:val="00262AE7"/>
    <w:rsid w:val="00262D4D"/>
    <w:rsid w:val="00262F0F"/>
    <w:rsid w:val="00263428"/>
    <w:rsid w:val="00263B0C"/>
    <w:rsid w:val="00263CD8"/>
    <w:rsid w:val="002644B3"/>
    <w:rsid w:val="00264C0C"/>
    <w:rsid w:val="00265624"/>
    <w:rsid w:val="0026599D"/>
    <w:rsid w:val="00265F88"/>
    <w:rsid w:val="00266024"/>
    <w:rsid w:val="00266164"/>
    <w:rsid w:val="002666BC"/>
    <w:rsid w:val="002669E5"/>
    <w:rsid w:val="00266A5E"/>
    <w:rsid w:val="00266BD1"/>
    <w:rsid w:val="00267970"/>
    <w:rsid w:val="00267B60"/>
    <w:rsid w:val="00267F95"/>
    <w:rsid w:val="002700E0"/>
    <w:rsid w:val="002705C2"/>
    <w:rsid w:val="002705C6"/>
    <w:rsid w:val="00270CBE"/>
    <w:rsid w:val="00270F1F"/>
    <w:rsid w:val="0027105D"/>
    <w:rsid w:val="002716D1"/>
    <w:rsid w:val="00272114"/>
    <w:rsid w:val="0027279B"/>
    <w:rsid w:val="00272F4C"/>
    <w:rsid w:val="00274140"/>
    <w:rsid w:val="0027448F"/>
    <w:rsid w:val="002747AB"/>
    <w:rsid w:val="00275087"/>
    <w:rsid w:val="002757B9"/>
    <w:rsid w:val="002759ED"/>
    <w:rsid w:val="002769F1"/>
    <w:rsid w:val="00276D93"/>
    <w:rsid w:val="00277055"/>
    <w:rsid w:val="00277229"/>
    <w:rsid w:val="00277736"/>
    <w:rsid w:val="00277C32"/>
    <w:rsid w:val="002801C0"/>
    <w:rsid w:val="0028022B"/>
    <w:rsid w:val="0028124D"/>
    <w:rsid w:val="00281534"/>
    <w:rsid w:val="00281B4C"/>
    <w:rsid w:val="00281DF2"/>
    <w:rsid w:val="00281F12"/>
    <w:rsid w:val="00282411"/>
    <w:rsid w:val="00283590"/>
    <w:rsid w:val="0028408E"/>
    <w:rsid w:val="0028424A"/>
    <w:rsid w:val="002845AA"/>
    <w:rsid w:val="00284B83"/>
    <w:rsid w:val="00284FF9"/>
    <w:rsid w:val="002852E3"/>
    <w:rsid w:val="00285472"/>
    <w:rsid w:val="00286775"/>
    <w:rsid w:val="00286B8C"/>
    <w:rsid w:val="00286E55"/>
    <w:rsid w:val="00287047"/>
    <w:rsid w:val="0028751D"/>
    <w:rsid w:val="00290415"/>
    <w:rsid w:val="002906F2"/>
    <w:rsid w:val="00290ED5"/>
    <w:rsid w:val="00291772"/>
    <w:rsid w:val="00292345"/>
    <w:rsid w:val="00293064"/>
    <w:rsid w:val="00293115"/>
    <w:rsid w:val="00293362"/>
    <w:rsid w:val="00293A95"/>
    <w:rsid w:val="00293CF0"/>
    <w:rsid w:val="002955A1"/>
    <w:rsid w:val="00295782"/>
    <w:rsid w:val="00295974"/>
    <w:rsid w:val="00295D06"/>
    <w:rsid w:val="0029697E"/>
    <w:rsid w:val="00296C07"/>
    <w:rsid w:val="0029759A"/>
    <w:rsid w:val="002979C4"/>
    <w:rsid w:val="002A010C"/>
    <w:rsid w:val="002A025E"/>
    <w:rsid w:val="002A02FD"/>
    <w:rsid w:val="002A06C1"/>
    <w:rsid w:val="002A0FE6"/>
    <w:rsid w:val="002A1278"/>
    <w:rsid w:val="002A142C"/>
    <w:rsid w:val="002A17DF"/>
    <w:rsid w:val="002A2085"/>
    <w:rsid w:val="002A268E"/>
    <w:rsid w:val="002A292F"/>
    <w:rsid w:val="002A3354"/>
    <w:rsid w:val="002A4A1F"/>
    <w:rsid w:val="002A4E53"/>
    <w:rsid w:val="002A55E6"/>
    <w:rsid w:val="002A5F4F"/>
    <w:rsid w:val="002A723B"/>
    <w:rsid w:val="002A7EDB"/>
    <w:rsid w:val="002B02F0"/>
    <w:rsid w:val="002B0924"/>
    <w:rsid w:val="002B0C41"/>
    <w:rsid w:val="002B0FD4"/>
    <w:rsid w:val="002B1147"/>
    <w:rsid w:val="002B14BF"/>
    <w:rsid w:val="002B14ED"/>
    <w:rsid w:val="002B1A92"/>
    <w:rsid w:val="002B1C9A"/>
    <w:rsid w:val="002B2099"/>
    <w:rsid w:val="002B3162"/>
    <w:rsid w:val="002B3218"/>
    <w:rsid w:val="002B36D8"/>
    <w:rsid w:val="002B37DE"/>
    <w:rsid w:val="002B382E"/>
    <w:rsid w:val="002B4221"/>
    <w:rsid w:val="002B4B0F"/>
    <w:rsid w:val="002B50BC"/>
    <w:rsid w:val="002B56DD"/>
    <w:rsid w:val="002B5974"/>
    <w:rsid w:val="002B60F9"/>
    <w:rsid w:val="002B6442"/>
    <w:rsid w:val="002B6BB9"/>
    <w:rsid w:val="002B717E"/>
    <w:rsid w:val="002B7200"/>
    <w:rsid w:val="002B769B"/>
    <w:rsid w:val="002B78FE"/>
    <w:rsid w:val="002B7988"/>
    <w:rsid w:val="002B7FD0"/>
    <w:rsid w:val="002C06A4"/>
    <w:rsid w:val="002C0ACF"/>
    <w:rsid w:val="002C13E1"/>
    <w:rsid w:val="002C195C"/>
    <w:rsid w:val="002C1E9A"/>
    <w:rsid w:val="002C2B36"/>
    <w:rsid w:val="002C2FB8"/>
    <w:rsid w:val="002C34A8"/>
    <w:rsid w:val="002C4390"/>
    <w:rsid w:val="002C4591"/>
    <w:rsid w:val="002C482D"/>
    <w:rsid w:val="002C510B"/>
    <w:rsid w:val="002C5D2B"/>
    <w:rsid w:val="002C5F62"/>
    <w:rsid w:val="002C61B4"/>
    <w:rsid w:val="002C6DCE"/>
    <w:rsid w:val="002D010F"/>
    <w:rsid w:val="002D398E"/>
    <w:rsid w:val="002D3FE6"/>
    <w:rsid w:val="002D4460"/>
    <w:rsid w:val="002D4624"/>
    <w:rsid w:val="002D4847"/>
    <w:rsid w:val="002D4E4A"/>
    <w:rsid w:val="002D502E"/>
    <w:rsid w:val="002D5137"/>
    <w:rsid w:val="002D543E"/>
    <w:rsid w:val="002D5632"/>
    <w:rsid w:val="002D5637"/>
    <w:rsid w:val="002D6F67"/>
    <w:rsid w:val="002D77F0"/>
    <w:rsid w:val="002D7DA3"/>
    <w:rsid w:val="002D7EA9"/>
    <w:rsid w:val="002E059A"/>
    <w:rsid w:val="002E06DB"/>
    <w:rsid w:val="002E08F9"/>
    <w:rsid w:val="002E0E78"/>
    <w:rsid w:val="002E101C"/>
    <w:rsid w:val="002E11C3"/>
    <w:rsid w:val="002E1687"/>
    <w:rsid w:val="002E1A38"/>
    <w:rsid w:val="002E1BF1"/>
    <w:rsid w:val="002E1E9B"/>
    <w:rsid w:val="002E2314"/>
    <w:rsid w:val="002E2B0B"/>
    <w:rsid w:val="002E2B4A"/>
    <w:rsid w:val="002E2FA8"/>
    <w:rsid w:val="002E34EF"/>
    <w:rsid w:val="002E3CCE"/>
    <w:rsid w:val="002E3E1B"/>
    <w:rsid w:val="002E4E4B"/>
    <w:rsid w:val="002E58F0"/>
    <w:rsid w:val="002E622D"/>
    <w:rsid w:val="002E64B2"/>
    <w:rsid w:val="002E650B"/>
    <w:rsid w:val="002E65F0"/>
    <w:rsid w:val="002E65F8"/>
    <w:rsid w:val="002E75A5"/>
    <w:rsid w:val="002E766C"/>
    <w:rsid w:val="002E7811"/>
    <w:rsid w:val="002E7827"/>
    <w:rsid w:val="002E7D0F"/>
    <w:rsid w:val="002E7E65"/>
    <w:rsid w:val="002F083D"/>
    <w:rsid w:val="002F0B1E"/>
    <w:rsid w:val="002F0D80"/>
    <w:rsid w:val="002F11B8"/>
    <w:rsid w:val="002F27ED"/>
    <w:rsid w:val="002F2AE7"/>
    <w:rsid w:val="002F31C3"/>
    <w:rsid w:val="002F3EF1"/>
    <w:rsid w:val="002F42BD"/>
    <w:rsid w:val="002F4FEC"/>
    <w:rsid w:val="002F55E0"/>
    <w:rsid w:val="002F5FB9"/>
    <w:rsid w:val="002F666E"/>
    <w:rsid w:val="002F6E1D"/>
    <w:rsid w:val="002F7012"/>
    <w:rsid w:val="002F7512"/>
    <w:rsid w:val="002F77BC"/>
    <w:rsid w:val="002F78C7"/>
    <w:rsid w:val="002F79ED"/>
    <w:rsid w:val="002F7DEA"/>
    <w:rsid w:val="002F7E8B"/>
    <w:rsid w:val="003001E1"/>
    <w:rsid w:val="00300623"/>
    <w:rsid w:val="00300D16"/>
    <w:rsid w:val="0030154C"/>
    <w:rsid w:val="00301A54"/>
    <w:rsid w:val="00301AC6"/>
    <w:rsid w:val="00301C2A"/>
    <w:rsid w:val="00301F4E"/>
    <w:rsid w:val="003023C8"/>
    <w:rsid w:val="00302543"/>
    <w:rsid w:val="003027C2"/>
    <w:rsid w:val="00302E84"/>
    <w:rsid w:val="0030360E"/>
    <w:rsid w:val="00303637"/>
    <w:rsid w:val="00303795"/>
    <w:rsid w:val="0030554F"/>
    <w:rsid w:val="0030563B"/>
    <w:rsid w:val="0030574D"/>
    <w:rsid w:val="00305832"/>
    <w:rsid w:val="00306498"/>
    <w:rsid w:val="00306F29"/>
    <w:rsid w:val="00307A0E"/>
    <w:rsid w:val="00307D4D"/>
    <w:rsid w:val="003101F9"/>
    <w:rsid w:val="00310346"/>
    <w:rsid w:val="003103D6"/>
    <w:rsid w:val="00310BC2"/>
    <w:rsid w:val="003110F4"/>
    <w:rsid w:val="00311E96"/>
    <w:rsid w:val="00311EE6"/>
    <w:rsid w:val="0031251F"/>
    <w:rsid w:val="00312DEB"/>
    <w:rsid w:val="00312F85"/>
    <w:rsid w:val="003138D3"/>
    <w:rsid w:val="00313E1E"/>
    <w:rsid w:val="00314402"/>
    <w:rsid w:val="003147B1"/>
    <w:rsid w:val="00315917"/>
    <w:rsid w:val="00315975"/>
    <w:rsid w:val="0031669D"/>
    <w:rsid w:val="00316793"/>
    <w:rsid w:val="00316952"/>
    <w:rsid w:val="00316B17"/>
    <w:rsid w:val="0031736F"/>
    <w:rsid w:val="003176A8"/>
    <w:rsid w:val="00317B14"/>
    <w:rsid w:val="00320A46"/>
    <w:rsid w:val="00320EF3"/>
    <w:rsid w:val="003214A0"/>
    <w:rsid w:val="003222E1"/>
    <w:rsid w:val="00322D69"/>
    <w:rsid w:val="003233EC"/>
    <w:rsid w:val="003237F7"/>
    <w:rsid w:val="0032387F"/>
    <w:rsid w:val="00323B52"/>
    <w:rsid w:val="00323C5D"/>
    <w:rsid w:val="0032472D"/>
    <w:rsid w:val="00324B81"/>
    <w:rsid w:val="00324C29"/>
    <w:rsid w:val="00324C93"/>
    <w:rsid w:val="00324D8B"/>
    <w:rsid w:val="0032567F"/>
    <w:rsid w:val="00325B73"/>
    <w:rsid w:val="00326742"/>
    <w:rsid w:val="0032674C"/>
    <w:rsid w:val="00327305"/>
    <w:rsid w:val="003279AD"/>
    <w:rsid w:val="00327BB2"/>
    <w:rsid w:val="0033032F"/>
    <w:rsid w:val="003305C1"/>
    <w:rsid w:val="00331722"/>
    <w:rsid w:val="003317AF"/>
    <w:rsid w:val="00332140"/>
    <w:rsid w:val="00332399"/>
    <w:rsid w:val="00334236"/>
    <w:rsid w:val="00334700"/>
    <w:rsid w:val="003348A6"/>
    <w:rsid w:val="00334B4E"/>
    <w:rsid w:val="003356F6"/>
    <w:rsid w:val="00335800"/>
    <w:rsid w:val="00335E62"/>
    <w:rsid w:val="00335F06"/>
    <w:rsid w:val="003365E2"/>
    <w:rsid w:val="00336F50"/>
    <w:rsid w:val="00337402"/>
    <w:rsid w:val="00337BD2"/>
    <w:rsid w:val="00337F98"/>
    <w:rsid w:val="00337FB7"/>
    <w:rsid w:val="00340487"/>
    <w:rsid w:val="003405BF"/>
    <w:rsid w:val="003412B3"/>
    <w:rsid w:val="0034217C"/>
    <w:rsid w:val="0034239B"/>
    <w:rsid w:val="0034296A"/>
    <w:rsid w:val="00342EEC"/>
    <w:rsid w:val="003440D4"/>
    <w:rsid w:val="00344328"/>
    <w:rsid w:val="003445C6"/>
    <w:rsid w:val="00344DD7"/>
    <w:rsid w:val="0034616E"/>
    <w:rsid w:val="00346598"/>
    <w:rsid w:val="003467B5"/>
    <w:rsid w:val="00346F1C"/>
    <w:rsid w:val="0034750B"/>
    <w:rsid w:val="00347744"/>
    <w:rsid w:val="00347C6B"/>
    <w:rsid w:val="00350D0A"/>
    <w:rsid w:val="00353E5F"/>
    <w:rsid w:val="00354D88"/>
    <w:rsid w:val="00355027"/>
    <w:rsid w:val="00355B02"/>
    <w:rsid w:val="00356F19"/>
    <w:rsid w:val="003570BF"/>
    <w:rsid w:val="0035710A"/>
    <w:rsid w:val="003572CE"/>
    <w:rsid w:val="00357506"/>
    <w:rsid w:val="00357FD9"/>
    <w:rsid w:val="00360837"/>
    <w:rsid w:val="00360C00"/>
    <w:rsid w:val="00361257"/>
    <w:rsid w:val="003614B7"/>
    <w:rsid w:val="00361CE6"/>
    <w:rsid w:val="00361DF6"/>
    <w:rsid w:val="0036234F"/>
    <w:rsid w:val="003626AE"/>
    <w:rsid w:val="00362C0A"/>
    <w:rsid w:val="00362FA7"/>
    <w:rsid w:val="0036341A"/>
    <w:rsid w:val="00364566"/>
    <w:rsid w:val="0036460C"/>
    <w:rsid w:val="00364ACD"/>
    <w:rsid w:val="00365501"/>
    <w:rsid w:val="003658EA"/>
    <w:rsid w:val="00365C52"/>
    <w:rsid w:val="00366528"/>
    <w:rsid w:val="003665BF"/>
    <w:rsid w:val="00366F7D"/>
    <w:rsid w:val="00366F9E"/>
    <w:rsid w:val="003675B1"/>
    <w:rsid w:val="0036769B"/>
    <w:rsid w:val="00367B09"/>
    <w:rsid w:val="00367C6C"/>
    <w:rsid w:val="00367D81"/>
    <w:rsid w:val="003706E9"/>
    <w:rsid w:val="003719CA"/>
    <w:rsid w:val="00371D6C"/>
    <w:rsid w:val="0037225E"/>
    <w:rsid w:val="003734E3"/>
    <w:rsid w:val="003737BB"/>
    <w:rsid w:val="00373845"/>
    <w:rsid w:val="003739DC"/>
    <w:rsid w:val="00374517"/>
    <w:rsid w:val="00374B2F"/>
    <w:rsid w:val="00376113"/>
    <w:rsid w:val="00376AAD"/>
    <w:rsid w:val="00376BA7"/>
    <w:rsid w:val="00376D6D"/>
    <w:rsid w:val="00376D8C"/>
    <w:rsid w:val="00377473"/>
    <w:rsid w:val="00377632"/>
    <w:rsid w:val="00381766"/>
    <w:rsid w:val="00381ED9"/>
    <w:rsid w:val="0038209E"/>
    <w:rsid w:val="0038269F"/>
    <w:rsid w:val="00382A1A"/>
    <w:rsid w:val="003830DF"/>
    <w:rsid w:val="00383548"/>
    <w:rsid w:val="00383B2C"/>
    <w:rsid w:val="00383C8E"/>
    <w:rsid w:val="0038442F"/>
    <w:rsid w:val="00384B2E"/>
    <w:rsid w:val="00384FC5"/>
    <w:rsid w:val="003852F8"/>
    <w:rsid w:val="00385345"/>
    <w:rsid w:val="00385491"/>
    <w:rsid w:val="003865CE"/>
    <w:rsid w:val="00386998"/>
    <w:rsid w:val="00386F5A"/>
    <w:rsid w:val="0038727C"/>
    <w:rsid w:val="0038783C"/>
    <w:rsid w:val="00390006"/>
    <w:rsid w:val="0039059B"/>
    <w:rsid w:val="0039083A"/>
    <w:rsid w:val="0039101B"/>
    <w:rsid w:val="00391BD6"/>
    <w:rsid w:val="003929F3"/>
    <w:rsid w:val="00392C36"/>
    <w:rsid w:val="00392D19"/>
    <w:rsid w:val="00393022"/>
    <w:rsid w:val="003933F9"/>
    <w:rsid w:val="003936BF"/>
    <w:rsid w:val="00393B57"/>
    <w:rsid w:val="00393C04"/>
    <w:rsid w:val="00393CB1"/>
    <w:rsid w:val="00393E0E"/>
    <w:rsid w:val="00393E72"/>
    <w:rsid w:val="003946CA"/>
    <w:rsid w:val="0039511F"/>
    <w:rsid w:val="00395588"/>
    <w:rsid w:val="003955F2"/>
    <w:rsid w:val="00396265"/>
    <w:rsid w:val="003963BE"/>
    <w:rsid w:val="00396558"/>
    <w:rsid w:val="00397261"/>
    <w:rsid w:val="00397424"/>
    <w:rsid w:val="003975E6"/>
    <w:rsid w:val="003A06B3"/>
    <w:rsid w:val="003A0AF9"/>
    <w:rsid w:val="003A0BAA"/>
    <w:rsid w:val="003A1435"/>
    <w:rsid w:val="003A15DB"/>
    <w:rsid w:val="003A1946"/>
    <w:rsid w:val="003A19DD"/>
    <w:rsid w:val="003A1DE2"/>
    <w:rsid w:val="003A2428"/>
    <w:rsid w:val="003A3AD3"/>
    <w:rsid w:val="003A3C34"/>
    <w:rsid w:val="003A3D4C"/>
    <w:rsid w:val="003A433A"/>
    <w:rsid w:val="003A44B4"/>
    <w:rsid w:val="003A4E5C"/>
    <w:rsid w:val="003A5F64"/>
    <w:rsid w:val="003A6075"/>
    <w:rsid w:val="003A731A"/>
    <w:rsid w:val="003A74D7"/>
    <w:rsid w:val="003A7600"/>
    <w:rsid w:val="003A7D8B"/>
    <w:rsid w:val="003A7F57"/>
    <w:rsid w:val="003B0D9B"/>
    <w:rsid w:val="003B0E55"/>
    <w:rsid w:val="003B10E5"/>
    <w:rsid w:val="003B127C"/>
    <w:rsid w:val="003B19F7"/>
    <w:rsid w:val="003B1F39"/>
    <w:rsid w:val="003B241F"/>
    <w:rsid w:val="003B24C8"/>
    <w:rsid w:val="003B2933"/>
    <w:rsid w:val="003B2A52"/>
    <w:rsid w:val="003B2BB5"/>
    <w:rsid w:val="003B3032"/>
    <w:rsid w:val="003B3528"/>
    <w:rsid w:val="003B3953"/>
    <w:rsid w:val="003B3D08"/>
    <w:rsid w:val="003B3E20"/>
    <w:rsid w:val="003B3E4B"/>
    <w:rsid w:val="003B4CDD"/>
    <w:rsid w:val="003B4D4E"/>
    <w:rsid w:val="003B4E6E"/>
    <w:rsid w:val="003B5E71"/>
    <w:rsid w:val="003B628A"/>
    <w:rsid w:val="003B629B"/>
    <w:rsid w:val="003B62A2"/>
    <w:rsid w:val="003B6974"/>
    <w:rsid w:val="003B74F8"/>
    <w:rsid w:val="003C095B"/>
    <w:rsid w:val="003C0CC7"/>
    <w:rsid w:val="003C0D0A"/>
    <w:rsid w:val="003C0DED"/>
    <w:rsid w:val="003C1561"/>
    <w:rsid w:val="003C295E"/>
    <w:rsid w:val="003C2F97"/>
    <w:rsid w:val="003C3978"/>
    <w:rsid w:val="003C39EB"/>
    <w:rsid w:val="003C3B80"/>
    <w:rsid w:val="003C4534"/>
    <w:rsid w:val="003C4F6C"/>
    <w:rsid w:val="003C571D"/>
    <w:rsid w:val="003C5855"/>
    <w:rsid w:val="003C6106"/>
    <w:rsid w:val="003C6BBC"/>
    <w:rsid w:val="003C6FCB"/>
    <w:rsid w:val="003C7C5D"/>
    <w:rsid w:val="003D015C"/>
    <w:rsid w:val="003D0CBC"/>
    <w:rsid w:val="003D17F2"/>
    <w:rsid w:val="003D1A27"/>
    <w:rsid w:val="003D1D26"/>
    <w:rsid w:val="003D1D6E"/>
    <w:rsid w:val="003D2146"/>
    <w:rsid w:val="003D27D5"/>
    <w:rsid w:val="003D2CE6"/>
    <w:rsid w:val="003D2DCE"/>
    <w:rsid w:val="003D3274"/>
    <w:rsid w:val="003D380D"/>
    <w:rsid w:val="003D3848"/>
    <w:rsid w:val="003D40FF"/>
    <w:rsid w:val="003D4FB2"/>
    <w:rsid w:val="003D545D"/>
    <w:rsid w:val="003D5671"/>
    <w:rsid w:val="003D649C"/>
    <w:rsid w:val="003D6BB0"/>
    <w:rsid w:val="003D70DE"/>
    <w:rsid w:val="003D74C0"/>
    <w:rsid w:val="003D79D3"/>
    <w:rsid w:val="003E0266"/>
    <w:rsid w:val="003E0869"/>
    <w:rsid w:val="003E0CCF"/>
    <w:rsid w:val="003E1466"/>
    <w:rsid w:val="003E2120"/>
    <w:rsid w:val="003E2B9A"/>
    <w:rsid w:val="003E3071"/>
    <w:rsid w:val="003E3111"/>
    <w:rsid w:val="003E4269"/>
    <w:rsid w:val="003E453D"/>
    <w:rsid w:val="003E4D8A"/>
    <w:rsid w:val="003E5CB1"/>
    <w:rsid w:val="003E657C"/>
    <w:rsid w:val="003E7327"/>
    <w:rsid w:val="003E7460"/>
    <w:rsid w:val="003E7C80"/>
    <w:rsid w:val="003F00FA"/>
    <w:rsid w:val="003F01C8"/>
    <w:rsid w:val="003F020E"/>
    <w:rsid w:val="003F05EE"/>
    <w:rsid w:val="003F0CD4"/>
    <w:rsid w:val="003F0F9E"/>
    <w:rsid w:val="003F1C0C"/>
    <w:rsid w:val="003F1ED3"/>
    <w:rsid w:val="003F30BB"/>
    <w:rsid w:val="003F370A"/>
    <w:rsid w:val="003F37D5"/>
    <w:rsid w:val="003F3F0D"/>
    <w:rsid w:val="003F43DC"/>
    <w:rsid w:val="003F5418"/>
    <w:rsid w:val="003F54ED"/>
    <w:rsid w:val="003F5AB5"/>
    <w:rsid w:val="003F5BC1"/>
    <w:rsid w:val="003F6190"/>
    <w:rsid w:val="003F644A"/>
    <w:rsid w:val="003F7307"/>
    <w:rsid w:val="003F73AD"/>
    <w:rsid w:val="003F767E"/>
    <w:rsid w:val="003F79D9"/>
    <w:rsid w:val="003F7ABD"/>
    <w:rsid w:val="003F7BD3"/>
    <w:rsid w:val="003F7F41"/>
    <w:rsid w:val="00400600"/>
    <w:rsid w:val="00400903"/>
    <w:rsid w:val="004012A7"/>
    <w:rsid w:val="00401629"/>
    <w:rsid w:val="00401DAB"/>
    <w:rsid w:val="0040209B"/>
    <w:rsid w:val="004020C3"/>
    <w:rsid w:val="0040245D"/>
    <w:rsid w:val="004030DE"/>
    <w:rsid w:val="004037D4"/>
    <w:rsid w:val="00403838"/>
    <w:rsid w:val="00404585"/>
    <w:rsid w:val="00404769"/>
    <w:rsid w:val="004049F0"/>
    <w:rsid w:val="00404F9F"/>
    <w:rsid w:val="00405502"/>
    <w:rsid w:val="00406107"/>
    <w:rsid w:val="00406819"/>
    <w:rsid w:val="00407724"/>
    <w:rsid w:val="00407729"/>
    <w:rsid w:val="00410031"/>
    <w:rsid w:val="004101D0"/>
    <w:rsid w:val="00410916"/>
    <w:rsid w:val="0041115F"/>
    <w:rsid w:val="004119A5"/>
    <w:rsid w:val="0041235C"/>
    <w:rsid w:val="004125E0"/>
    <w:rsid w:val="00412601"/>
    <w:rsid w:val="0041275B"/>
    <w:rsid w:val="0041280C"/>
    <w:rsid w:val="00413526"/>
    <w:rsid w:val="00413DD4"/>
    <w:rsid w:val="004141E3"/>
    <w:rsid w:val="0041498E"/>
    <w:rsid w:val="00414A0F"/>
    <w:rsid w:val="00414A16"/>
    <w:rsid w:val="00414D74"/>
    <w:rsid w:val="00415350"/>
    <w:rsid w:val="00415FDF"/>
    <w:rsid w:val="004168F5"/>
    <w:rsid w:val="0041790C"/>
    <w:rsid w:val="00417A44"/>
    <w:rsid w:val="00420183"/>
    <w:rsid w:val="00420413"/>
    <w:rsid w:val="00421B6A"/>
    <w:rsid w:val="00422020"/>
    <w:rsid w:val="00422609"/>
    <w:rsid w:val="00422A4C"/>
    <w:rsid w:val="00422EA0"/>
    <w:rsid w:val="00422F74"/>
    <w:rsid w:val="00423059"/>
    <w:rsid w:val="0042313E"/>
    <w:rsid w:val="00423530"/>
    <w:rsid w:val="00423E98"/>
    <w:rsid w:val="00424068"/>
    <w:rsid w:val="004248A1"/>
    <w:rsid w:val="00424F4E"/>
    <w:rsid w:val="00425A1F"/>
    <w:rsid w:val="00426D40"/>
    <w:rsid w:val="004270F1"/>
    <w:rsid w:val="00427187"/>
    <w:rsid w:val="0042745C"/>
    <w:rsid w:val="0042746C"/>
    <w:rsid w:val="004278FF"/>
    <w:rsid w:val="00427BCC"/>
    <w:rsid w:val="004308B5"/>
    <w:rsid w:val="00430CE9"/>
    <w:rsid w:val="00430F21"/>
    <w:rsid w:val="00430FAB"/>
    <w:rsid w:val="004310B2"/>
    <w:rsid w:val="004312DE"/>
    <w:rsid w:val="004315C9"/>
    <w:rsid w:val="00431AF3"/>
    <w:rsid w:val="004321DE"/>
    <w:rsid w:val="004322B1"/>
    <w:rsid w:val="0043267C"/>
    <w:rsid w:val="00432CAA"/>
    <w:rsid w:val="00432D17"/>
    <w:rsid w:val="004337B1"/>
    <w:rsid w:val="00433FE3"/>
    <w:rsid w:val="00434041"/>
    <w:rsid w:val="004340A0"/>
    <w:rsid w:val="00434833"/>
    <w:rsid w:val="004350E9"/>
    <w:rsid w:val="004350F5"/>
    <w:rsid w:val="004356A1"/>
    <w:rsid w:val="00435810"/>
    <w:rsid w:val="00435C8D"/>
    <w:rsid w:val="0043613D"/>
    <w:rsid w:val="004364FD"/>
    <w:rsid w:val="00436865"/>
    <w:rsid w:val="00436C7D"/>
    <w:rsid w:val="00437740"/>
    <w:rsid w:val="00437C0E"/>
    <w:rsid w:val="0044069A"/>
    <w:rsid w:val="004408F0"/>
    <w:rsid w:val="00441297"/>
    <w:rsid w:val="00441D45"/>
    <w:rsid w:val="00442169"/>
    <w:rsid w:val="00442490"/>
    <w:rsid w:val="004431C0"/>
    <w:rsid w:val="004432F0"/>
    <w:rsid w:val="004433D2"/>
    <w:rsid w:val="00443644"/>
    <w:rsid w:val="004440BC"/>
    <w:rsid w:val="0044454E"/>
    <w:rsid w:val="00444564"/>
    <w:rsid w:val="00444A62"/>
    <w:rsid w:val="004455EF"/>
    <w:rsid w:val="0044622D"/>
    <w:rsid w:val="00446241"/>
    <w:rsid w:val="00446681"/>
    <w:rsid w:val="0044681C"/>
    <w:rsid w:val="004503D1"/>
    <w:rsid w:val="0045171A"/>
    <w:rsid w:val="00451B01"/>
    <w:rsid w:val="00451B66"/>
    <w:rsid w:val="004526A5"/>
    <w:rsid w:val="00453C4A"/>
    <w:rsid w:val="00453EDA"/>
    <w:rsid w:val="00455576"/>
    <w:rsid w:val="00456256"/>
    <w:rsid w:val="004565C9"/>
    <w:rsid w:val="00456C91"/>
    <w:rsid w:val="0045702B"/>
    <w:rsid w:val="00457870"/>
    <w:rsid w:val="00457A49"/>
    <w:rsid w:val="00457AE8"/>
    <w:rsid w:val="00457F8E"/>
    <w:rsid w:val="00457F9B"/>
    <w:rsid w:val="00460128"/>
    <w:rsid w:val="004605EE"/>
    <w:rsid w:val="00460F74"/>
    <w:rsid w:val="00460FE0"/>
    <w:rsid w:val="0046155A"/>
    <w:rsid w:val="00461C0D"/>
    <w:rsid w:val="00461D85"/>
    <w:rsid w:val="00462110"/>
    <w:rsid w:val="0046218D"/>
    <w:rsid w:val="00463154"/>
    <w:rsid w:val="00463620"/>
    <w:rsid w:val="0046401F"/>
    <w:rsid w:val="00464746"/>
    <w:rsid w:val="00464B98"/>
    <w:rsid w:val="004652C5"/>
    <w:rsid w:val="00465728"/>
    <w:rsid w:val="00465918"/>
    <w:rsid w:val="00465F2A"/>
    <w:rsid w:val="00466DA9"/>
    <w:rsid w:val="00467066"/>
    <w:rsid w:val="00467100"/>
    <w:rsid w:val="00467208"/>
    <w:rsid w:val="00467605"/>
    <w:rsid w:val="00467CBF"/>
    <w:rsid w:val="00467DFD"/>
    <w:rsid w:val="00467F3D"/>
    <w:rsid w:val="004702D5"/>
    <w:rsid w:val="00470E5C"/>
    <w:rsid w:val="00470F32"/>
    <w:rsid w:val="00471F45"/>
    <w:rsid w:val="00472A09"/>
    <w:rsid w:val="00473C8D"/>
    <w:rsid w:val="00474104"/>
    <w:rsid w:val="0047482C"/>
    <w:rsid w:val="00474A08"/>
    <w:rsid w:val="004750F5"/>
    <w:rsid w:val="004756AC"/>
    <w:rsid w:val="0047606E"/>
    <w:rsid w:val="00476844"/>
    <w:rsid w:val="00476AD3"/>
    <w:rsid w:val="00477B7A"/>
    <w:rsid w:val="00480D49"/>
    <w:rsid w:val="00480F6D"/>
    <w:rsid w:val="0048144D"/>
    <w:rsid w:val="004815E5"/>
    <w:rsid w:val="00481ECA"/>
    <w:rsid w:val="0048215E"/>
    <w:rsid w:val="00482979"/>
    <w:rsid w:val="00482A2E"/>
    <w:rsid w:val="0048381E"/>
    <w:rsid w:val="00483937"/>
    <w:rsid w:val="00484728"/>
    <w:rsid w:val="00484EB4"/>
    <w:rsid w:val="00485B9A"/>
    <w:rsid w:val="00486C74"/>
    <w:rsid w:val="00487CE6"/>
    <w:rsid w:val="004907EC"/>
    <w:rsid w:val="004909F8"/>
    <w:rsid w:val="00490AFC"/>
    <w:rsid w:val="00491256"/>
    <w:rsid w:val="0049183A"/>
    <w:rsid w:val="00491934"/>
    <w:rsid w:val="0049197E"/>
    <w:rsid w:val="00491B90"/>
    <w:rsid w:val="00491E70"/>
    <w:rsid w:val="00492039"/>
    <w:rsid w:val="004936AD"/>
    <w:rsid w:val="0049490B"/>
    <w:rsid w:val="004949F7"/>
    <w:rsid w:val="004952D4"/>
    <w:rsid w:val="00495537"/>
    <w:rsid w:val="004956C3"/>
    <w:rsid w:val="00495E65"/>
    <w:rsid w:val="00496673"/>
    <w:rsid w:val="00496DFF"/>
    <w:rsid w:val="00497CB2"/>
    <w:rsid w:val="00497F12"/>
    <w:rsid w:val="004A085F"/>
    <w:rsid w:val="004A0901"/>
    <w:rsid w:val="004A0A0A"/>
    <w:rsid w:val="004A0BF0"/>
    <w:rsid w:val="004A0D38"/>
    <w:rsid w:val="004A0E38"/>
    <w:rsid w:val="004A12A2"/>
    <w:rsid w:val="004A1963"/>
    <w:rsid w:val="004A1CD8"/>
    <w:rsid w:val="004A1E36"/>
    <w:rsid w:val="004A2685"/>
    <w:rsid w:val="004A2770"/>
    <w:rsid w:val="004A27D1"/>
    <w:rsid w:val="004A2B66"/>
    <w:rsid w:val="004A307B"/>
    <w:rsid w:val="004A4202"/>
    <w:rsid w:val="004A5E1C"/>
    <w:rsid w:val="004A6818"/>
    <w:rsid w:val="004A7095"/>
    <w:rsid w:val="004A746F"/>
    <w:rsid w:val="004B0530"/>
    <w:rsid w:val="004B0B25"/>
    <w:rsid w:val="004B108A"/>
    <w:rsid w:val="004B1C00"/>
    <w:rsid w:val="004B1CD2"/>
    <w:rsid w:val="004B284D"/>
    <w:rsid w:val="004B2C17"/>
    <w:rsid w:val="004B3A35"/>
    <w:rsid w:val="004B3CFD"/>
    <w:rsid w:val="004B3EC1"/>
    <w:rsid w:val="004B4A56"/>
    <w:rsid w:val="004B4BEC"/>
    <w:rsid w:val="004B5721"/>
    <w:rsid w:val="004B5AD9"/>
    <w:rsid w:val="004B664A"/>
    <w:rsid w:val="004B6B30"/>
    <w:rsid w:val="004B7075"/>
    <w:rsid w:val="004B72AA"/>
    <w:rsid w:val="004C098F"/>
    <w:rsid w:val="004C09C5"/>
    <w:rsid w:val="004C0F0E"/>
    <w:rsid w:val="004C13BD"/>
    <w:rsid w:val="004C1437"/>
    <w:rsid w:val="004C153B"/>
    <w:rsid w:val="004C2657"/>
    <w:rsid w:val="004C273E"/>
    <w:rsid w:val="004C2857"/>
    <w:rsid w:val="004C2F14"/>
    <w:rsid w:val="004C3013"/>
    <w:rsid w:val="004C31FB"/>
    <w:rsid w:val="004C33C2"/>
    <w:rsid w:val="004C3A64"/>
    <w:rsid w:val="004C427B"/>
    <w:rsid w:val="004C4ADB"/>
    <w:rsid w:val="004C4BEF"/>
    <w:rsid w:val="004C4E06"/>
    <w:rsid w:val="004C51FD"/>
    <w:rsid w:val="004C5712"/>
    <w:rsid w:val="004C5B6E"/>
    <w:rsid w:val="004C608E"/>
    <w:rsid w:val="004C6204"/>
    <w:rsid w:val="004C6681"/>
    <w:rsid w:val="004C67A5"/>
    <w:rsid w:val="004C71E5"/>
    <w:rsid w:val="004C7F78"/>
    <w:rsid w:val="004D00A0"/>
    <w:rsid w:val="004D0AB8"/>
    <w:rsid w:val="004D14FF"/>
    <w:rsid w:val="004D1989"/>
    <w:rsid w:val="004D27CB"/>
    <w:rsid w:val="004D2935"/>
    <w:rsid w:val="004D2F0C"/>
    <w:rsid w:val="004D3213"/>
    <w:rsid w:val="004D34CF"/>
    <w:rsid w:val="004D35E7"/>
    <w:rsid w:val="004D3CDF"/>
    <w:rsid w:val="004D3FE8"/>
    <w:rsid w:val="004D41CD"/>
    <w:rsid w:val="004D422D"/>
    <w:rsid w:val="004D4D0C"/>
    <w:rsid w:val="004D4DC1"/>
    <w:rsid w:val="004D5426"/>
    <w:rsid w:val="004D5BC3"/>
    <w:rsid w:val="004D5FF0"/>
    <w:rsid w:val="004D69B6"/>
    <w:rsid w:val="004D6FFA"/>
    <w:rsid w:val="004D70E2"/>
    <w:rsid w:val="004D72F4"/>
    <w:rsid w:val="004D7AE2"/>
    <w:rsid w:val="004D7C27"/>
    <w:rsid w:val="004E00A6"/>
    <w:rsid w:val="004E0101"/>
    <w:rsid w:val="004E0950"/>
    <w:rsid w:val="004E21BB"/>
    <w:rsid w:val="004E2270"/>
    <w:rsid w:val="004E235B"/>
    <w:rsid w:val="004E2579"/>
    <w:rsid w:val="004E2B2F"/>
    <w:rsid w:val="004E2FD7"/>
    <w:rsid w:val="004E46DE"/>
    <w:rsid w:val="004E49C8"/>
    <w:rsid w:val="004E4B84"/>
    <w:rsid w:val="004E4BF7"/>
    <w:rsid w:val="004E4E8A"/>
    <w:rsid w:val="004E4FA2"/>
    <w:rsid w:val="004E504F"/>
    <w:rsid w:val="004E50F2"/>
    <w:rsid w:val="004E6660"/>
    <w:rsid w:val="004E72FA"/>
    <w:rsid w:val="004E74EA"/>
    <w:rsid w:val="004E7A0E"/>
    <w:rsid w:val="004F0E5F"/>
    <w:rsid w:val="004F1634"/>
    <w:rsid w:val="004F1E5F"/>
    <w:rsid w:val="004F2E25"/>
    <w:rsid w:val="004F302D"/>
    <w:rsid w:val="004F3764"/>
    <w:rsid w:val="004F3F60"/>
    <w:rsid w:val="004F449D"/>
    <w:rsid w:val="004F4729"/>
    <w:rsid w:val="004F477A"/>
    <w:rsid w:val="004F4794"/>
    <w:rsid w:val="004F4B1C"/>
    <w:rsid w:val="004F4D8A"/>
    <w:rsid w:val="004F4E9A"/>
    <w:rsid w:val="004F507C"/>
    <w:rsid w:val="004F5304"/>
    <w:rsid w:val="004F5417"/>
    <w:rsid w:val="004F55E0"/>
    <w:rsid w:val="004F568C"/>
    <w:rsid w:val="004F57DA"/>
    <w:rsid w:val="004F589A"/>
    <w:rsid w:val="004F6D75"/>
    <w:rsid w:val="004F703A"/>
    <w:rsid w:val="004F706C"/>
    <w:rsid w:val="004F7E79"/>
    <w:rsid w:val="00500048"/>
    <w:rsid w:val="00500228"/>
    <w:rsid w:val="00500BC9"/>
    <w:rsid w:val="00500C0E"/>
    <w:rsid w:val="00501965"/>
    <w:rsid w:val="00502FE9"/>
    <w:rsid w:val="00503083"/>
    <w:rsid w:val="005032EC"/>
    <w:rsid w:val="0050352B"/>
    <w:rsid w:val="005039F6"/>
    <w:rsid w:val="00503A48"/>
    <w:rsid w:val="00504A45"/>
    <w:rsid w:val="00505096"/>
    <w:rsid w:val="00505494"/>
    <w:rsid w:val="00505748"/>
    <w:rsid w:val="00505940"/>
    <w:rsid w:val="00506136"/>
    <w:rsid w:val="00506379"/>
    <w:rsid w:val="00506E42"/>
    <w:rsid w:val="00507227"/>
    <w:rsid w:val="00507368"/>
    <w:rsid w:val="00507709"/>
    <w:rsid w:val="005079B8"/>
    <w:rsid w:val="0051046F"/>
    <w:rsid w:val="00510DCA"/>
    <w:rsid w:val="00511377"/>
    <w:rsid w:val="005117AF"/>
    <w:rsid w:val="00511F0F"/>
    <w:rsid w:val="005120DF"/>
    <w:rsid w:val="005124D3"/>
    <w:rsid w:val="00513783"/>
    <w:rsid w:val="00514B96"/>
    <w:rsid w:val="00514F3E"/>
    <w:rsid w:val="0051542C"/>
    <w:rsid w:val="00515BCB"/>
    <w:rsid w:val="00515E4D"/>
    <w:rsid w:val="00515E7D"/>
    <w:rsid w:val="00516CBE"/>
    <w:rsid w:val="00517131"/>
    <w:rsid w:val="005171D9"/>
    <w:rsid w:val="00517692"/>
    <w:rsid w:val="005210EA"/>
    <w:rsid w:val="0052110B"/>
    <w:rsid w:val="005211CC"/>
    <w:rsid w:val="00521B35"/>
    <w:rsid w:val="0052295F"/>
    <w:rsid w:val="0052299C"/>
    <w:rsid w:val="00522FD8"/>
    <w:rsid w:val="005232AC"/>
    <w:rsid w:val="00523401"/>
    <w:rsid w:val="005235A8"/>
    <w:rsid w:val="00523C99"/>
    <w:rsid w:val="00524524"/>
    <w:rsid w:val="00524550"/>
    <w:rsid w:val="0052457F"/>
    <w:rsid w:val="00524BFD"/>
    <w:rsid w:val="005250BF"/>
    <w:rsid w:val="0052579C"/>
    <w:rsid w:val="00525840"/>
    <w:rsid w:val="00525D91"/>
    <w:rsid w:val="00526906"/>
    <w:rsid w:val="00527413"/>
    <w:rsid w:val="005279CF"/>
    <w:rsid w:val="00527A69"/>
    <w:rsid w:val="00527C2E"/>
    <w:rsid w:val="00530B04"/>
    <w:rsid w:val="005310BC"/>
    <w:rsid w:val="0053197D"/>
    <w:rsid w:val="00531FF4"/>
    <w:rsid w:val="00532707"/>
    <w:rsid w:val="0053275B"/>
    <w:rsid w:val="00532C6D"/>
    <w:rsid w:val="005334AD"/>
    <w:rsid w:val="005338A0"/>
    <w:rsid w:val="005349D2"/>
    <w:rsid w:val="00534A82"/>
    <w:rsid w:val="00534D00"/>
    <w:rsid w:val="005351DB"/>
    <w:rsid w:val="0053523C"/>
    <w:rsid w:val="005354A3"/>
    <w:rsid w:val="005354A4"/>
    <w:rsid w:val="005359D1"/>
    <w:rsid w:val="005361C0"/>
    <w:rsid w:val="00536A77"/>
    <w:rsid w:val="00536AAB"/>
    <w:rsid w:val="00536C46"/>
    <w:rsid w:val="00536C55"/>
    <w:rsid w:val="00536D8B"/>
    <w:rsid w:val="005378D3"/>
    <w:rsid w:val="00537960"/>
    <w:rsid w:val="00537C90"/>
    <w:rsid w:val="00540C4E"/>
    <w:rsid w:val="00541094"/>
    <w:rsid w:val="00541306"/>
    <w:rsid w:val="00541368"/>
    <w:rsid w:val="00542513"/>
    <w:rsid w:val="00542A4D"/>
    <w:rsid w:val="00542DF8"/>
    <w:rsid w:val="005432F8"/>
    <w:rsid w:val="00543EA0"/>
    <w:rsid w:val="00544160"/>
    <w:rsid w:val="00544693"/>
    <w:rsid w:val="00545461"/>
    <w:rsid w:val="00545519"/>
    <w:rsid w:val="00545FD1"/>
    <w:rsid w:val="005468CC"/>
    <w:rsid w:val="00546BB5"/>
    <w:rsid w:val="00546FE6"/>
    <w:rsid w:val="0054737C"/>
    <w:rsid w:val="00547B63"/>
    <w:rsid w:val="00547DFD"/>
    <w:rsid w:val="00551124"/>
    <w:rsid w:val="005514C0"/>
    <w:rsid w:val="00551AC6"/>
    <w:rsid w:val="00551C9D"/>
    <w:rsid w:val="00552381"/>
    <w:rsid w:val="00552630"/>
    <w:rsid w:val="00552775"/>
    <w:rsid w:val="00552E98"/>
    <w:rsid w:val="0055364B"/>
    <w:rsid w:val="00553C47"/>
    <w:rsid w:val="00553FC6"/>
    <w:rsid w:val="00554331"/>
    <w:rsid w:val="005549F5"/>
    <w:rsid w:val="00554E32"/>
    <w:rsid w:val="00555740"/>
    <w:rsid w:val="00555CAF"/>
    <w:rsid w:val="00555F41"/>
    <w:rsid w:val="00556355"/>
    <w:rsid w:val="005568C8"/>
    <w:rsid w:val="00556A85"/>
    <w:rsid w:val="00556D47"/>
    <w:rsid w:val="005601EF"/>
    <w:rsid w:val="00560338"/>
    <w:rsid w:val="005603EB"/>
    <w:rsid w:val="00561427"/>
    <w:rsid w:val="00561725"/>
    <w:rsid w:val="0056245C"/>
    <w:rsid w:val="0056250B"/>
    <w:rsid w:val="00562DD9"/>
    <w:rsid w:val="00562FE3"/>
    <w:rsid w:val="0056331B"/>
    <w:rsid w:val="0056365C"/>
    <w:rsid w:val="005636C9"/>
    <w:rsid w:val="00563B10"/>
    <w:rsid w:val="00565D28"/>
    <w:rsid w:val="00566AB1"/>
    <w:rsid w:val="00566D9D"/>
    <w:rsid w:val="005676CE"/>
    <w:rsid w:val="00567BBF"/>
    <w:rsid w:val="00567BC6"/>
    <w:rsid w:val="00567F41"/>
    <w:rsid w:val="00570268"/>
    <w:rsid w:val="0057037A"/>
    <w:rsid w:val="00570779"/>
    <w:rsid w:val="00570816"/>
    <w:rsid w:val="005708DE"/>
    <w:rsid w:val="00571423"/>
    <w:rsid w:val="00571588"/>
    <w:rsid w:val="0057262F"/>
    <w:rsid w:val="0057283C"/>
    <w:rsid w:val="00572FC9"/>
    <w:rsid w:val="00573AA5"/>
    <w:rsid w:val="00573AFD"/>
    <w:rsid w:val="005743A9"/>
    <w:rsid w:val="0057472F"/>
    <w:rsid w:val="0057491E"/>
    <w:rsid w:val="005753D6"/>
    <w:rsid w:val="00575703"/>
    <w:rsid w:val="005771B9"/>
    <w:rsid w:val="005772F3"/>
    <w:rsid w:val="00577658"/>
    <w:rsid w:val="005778D6"/>
    <w:rsid w:val="00577E6E"/>
    <w:rsid w:val="00580047"/>
    <w:rsid w:val="0058024A"/>
    <w:rsid w:val="00580361"/>
    <w:rsid w:val="005811E5"/>
    <w:rsid w:val="00581329"/>
    <w:rsid w:val="005817F2"/>
    <w:rsid w:val="00582117"/>
    <w:rsid w:val="0058248B"/>
    <w:rsid w:val="005825D8"/>
    <w:rsid w:val="00582B44"/>
    <w:rsid w:val="005832A8"/>
    <w:rsid w:val="0058330B"/>
    <w:rsid w:val="00583B1D"/>
    <w:rsid w:val="00584696"/>
    <w:rsid w:val="00585572"/>
    <w:rsid w:val="00585BA9"/>
    <w:rsid w:val="00585D72"/>
    <w:rsid w:val="005866A1"/>
    <w:rsid w:val="005869EA"/>
    <w:rsid w:val="00586B12"/>
    <w:rsid w:val="00587045"/>
    <w:rsid w:val="00587305"/>
    <w:rsid w:val="00587C38"/>
    <w:rsid w:val="00590465"/>
    <w:rsid w:val="00590536"/>
    <w:rsid w:val="005906E6"/>
    <w:rsid w:val="00590748"/>
    <w:rsid w:val="005908F4"/>
    <w:rsid w:val="00590AE2"/>
    <w:rsid w:val="00590F85"/>
    <w:rsid w:val="0059147B"/>
    <w:rsid w:val="00591EED"/>
    <w:rsid w:val="0059222C"/>
    <w:rsid w:val="0059235E"/>
    <w:rsid w:val="0059310B"/>
    <w:rsid w:val="00593E09"/>
    <w:rsid w:val="00594FCC"/>
    <w:rsid w:val="00595603"/>
    <w:rsid w:val="005958CA"/>
    <w:rsid w:val="00596212"/>
    <w:rsid w:val="00596314"/>
    <w:rsid w:val="00596605"/>
    <w:rsid w:val="005966A7"/>
    <w:rsid w:val="0059680E"/>
    <w:rsid w:val="00596F61"/>
    <w:rsid w:val="00596F91"/>
    <w:rsid w:val="0059700B"/>
    <w:rsid w:val="00597832"/>
    <w:rsid w:val="005978FB"/>
    <w:rsid w:val="00597ACE"/>
    <w:rsid w:val="00597D04"/>
    <w:rsid w:val="005A012A"/>
    <w:rsid w:val="005A1083"/>
    <w:rsid w:val="005A1120"/>
    <w:rsid w:val="005A1509"/>
    <w:rsid w:val="005A16FC"/>
    <w:rsid w:val="005A1A3D"/>
    <w:rsid w:val="005A1D61"/>
    <w:rsid w:val="005A2132"/>
    <w:rsid w:val="005A21E0"/>
    <w:rsid w:val="005A2B5A"/>
    <w:rsid w:val="005A3394"/>
    <w:rsid w:val="005A3F43"/>
    <w:rsid w:val="005A40D7"/>
    <w:rsid w:val="005A416A"/>
    <w:rsid w:val="005A4426"/>
    <w:rsid w:val="005A45B9"/>
    <w:rsid w:val="005A4805"/>
    <w:rsid w:val="005A52E7"/>
    <w:rsid w:val="005A5526"/>
    <w:rsid w:val="005A5C41"/>
    <w:rsid w:val="005A5D04"/>
    <w:rsid w:val="005A6354"/>
    <w:rsid w:val="005A6808"/>
    <w:rsid w:val="005A696B"/>
    <w:rsid w:val="005A6ED7"/>
    <w:rsid w:val="005A78E9"/>
    <w:rsid w:val="005A7AA0"/>
    <w:rsid w:val="005B05DA"/>
    <w:rsid w:val="005B0934"/>
    <w:rsid w:val="005B0C83"/>
    <w:rsid w:val="005B105D"/>
    <w:rsid w:val="005B119C"/>
    <w:rsid w:val="005B132D"/>
    <w:rsid w:val="005B190C"/>
    <w:rsid w:val="005B2E7E"/>
    <w:rsid w:val="005B33DA"/>
    <w:rsid w:val="005B35A9"/>
    <w:rsid w:val="005B37B4"/>
    <w:rsid w:val="005B5437"/>
    <w:rsid w:val="005B5571"/>
    <w:rsid w:val="005B5B4C"/>
    <w:rsid w:val="005B5F71"/>
    <w:rsid w:val="005B64D6"/>
    <w:rsid w:val="005B7868"/>
    <w:rsid w:val="005B7F19"/>
    <w:rsid w:val="005C00EF"/>
    <w:rsid w:val="005C0654"/>
    <w:rsid w:val="005C071F"/>
    <w:rsid w:val="005C134F"/>
    <w:rsid w:val="005C16EB"/>
    <w:rsid w:val="005C172A"/>
    <w:rsid w:val="005C1BF9"/>
    <w:rsid w:val="005C1E93"/>
    <w:rsid w:val="005C200D"/>
    <w:rsid w:val="005C2649"/>
    <w:rsid w:val="005C2B5D"/>
    <w:rsid w:val="005C2BDB"/>
    <w:rsid w:val="005C3883"/>
    <w:rsid w:val="005C38A8"/>
    <w:rsid w:val="005C38E5"/>
    <w:rsid w:val="005C3986"/>
    <w:rsid w:val="005C4EC6"/>
    <w:rsid w:val="005C5256"/>
    <w:rsid w:val="005C550C"/>
    <w:rsid w:val="005C625C"/>
    <w:rsid w:val="005C6D22"/>
    <w:rsid w:val="005C7098"/>
    <w:rsid w:val="005C771F"/>
    <w:rsid w:val="005C7964"/>
    <w:rsid w:val="005C7ADE"/>
    <w:rsid w:val="005D0141"/>
    <w:rsid w:val="005D01AC"/>
    <w:rsid w:val="005D03C9"/>
    <w:rsid w:val="005D0C22"/>
    <w:rsid w:val="005D179A"/>
    <w:rsid w:val="005D18D6"/>
    <w:rsid w:val="005D22C5"/>
    <w:rsid w:val="005D2523"/>
    <w:rsid w:val="005D27D2"/>
    <w:rsid w:val="005D2B37"/>
    <w:rsid w:val="005D3D33"/>
    <w:rsid w:val="005D4FD1"/>
    <w:rsid w:val="005D53AF"/>
    <w:rsid w:val="005D6356"/>
    <w:rsid w:val="005D6F52"/>
    <w:rsid w:val="005D703C"/>
    <w:rsid w:val="005D7210"/>
    <w:rsid w:val="005D736B"/>
    <w:rsid w:val="005D7847"/>
    <w:rsid w:val="005E039F"/>
    <w:rsid w:val="005E1067"/>
    <w:rsid w:val="005E14D2"/>
    <w:rsid w:val="005E178A"/>
    <w:rsid w:val="005E1D93"/>
    <w:rsid w:val="005E2135"/>
    <w:rsid w:val="005E2592"/>
    <w:rsid w:val="005E2B10"/>
    <w:rsid w:val="005E2CCD"/>
    <w:rsid w:val="005E32F2"/>
    <w:rsid w:val="005E484A"/>
    <w:rsid w:val="005E491D"/>
    <w:rsid w:val="005E4DDA"/>
    <w:rsid w:val="005E51BB"/>
    <w:rsid w:val="005E534A"/>
    <w:rsid w:val="005E541D"/>
    <w:rsid w:val="005E54B6"/>
    <w:rsid w:val="005E563C"/>
    <w:rsid w:val="005E566D"/>
    <w:rsid w:val="005E588E"/>
    <w:rsid w:val="005E6ACE"/>
    <w:rsid w:val="005E706B"/>
    <w:rsid w:val="005E76B2"/>
    <w:rsid w:val="005E7DC4"/>
    <w:rsid w:val="005F2584"/>
    <w:rsid w:val="005F2752"/>
    <w:rsid w:val="005F2B99"/>
    <w:rsid w:val="005F2C72"/>
    <w:rsid w:val="005F33B0"/>
    <w:rsid w:val="005F36D0"/>
    <w:rsid w:val="005F378A"/>
    <w:rsid w:val="005F3D2D"/>
    <w:rsid w:val="005F46A4"/>
    <w:rsid w:val="005F475F"/>
    <w:rsid w:val="005F496B"/>
    <w:rsid w:val="005F4A08"/>
    <w:rsid w:val="005F589F"/>
    <w:rsid w:val="005F59FF"/>
    <w:rsid w:val="005F647B"/>
    <w:rsid w:val="005F69E4"/>
    <w:rsid w:val="005F6A8C"/>
    <w:rsid w:val="005F6C6D"/>
    <w:rsid w:val="005F7159"/>
    <w:rsid w:val="005F7208"/>
    <w:rsid w:val="005F79C7"/>
    <w:rsid w:val="005F7EA4"/>
    <w:rsid w:val="0060050F"/>
    <w:rsid w:val="00600534"/>
    <w:rsid w:val="00601026"/>
    <w:rsid w:val="00601233"/>
    <w:rsid w:val="0060189B"/>
    <w:rsid w:val="006027B9"/>
    <w:rsid w:val="00603201"/>
    <w:rsid w:val="006032DC"/>
    <w:rsid w:val="00603555"/>
    <w:rsid w:val="00603754"/>
    <w:rsid w:val="0060395D"/>
    <w:rsid w:val="00604759"/>
    <w:rsid w:val="00604B3A"/>
    <w:rsid w:val="006050E8"/>
    <w:rsid w:val="006052F4"/>
    <w:rsid w:val="00605B7D"/>
    <w:rsid w:val="00606107"/>
    <w:rsid w:val="00606C38"/>
    <w:rsid w:val="00607167"/>
    <w:rsid w:val="006072D1"/>
    <w:rsid w:val="006075DA"/>
    <w:rsid w:val="00607F8B"/>
    <w:rsid w:val="006123A3"/>
    <w:rsid w:val="00612900"/>
    <w:rsid w:val="00612B05"/>
    <w:rsid w:val="00613E04"/>
    <w:rsid w:val="006147F8"/>
    <w:rsid w:val="00614AD7"/>
    <w:rsid w:val="00614B92"/>
    <w:rsid w:val="0061509B"/>
    <w:rsid w:val="00615249"/>
    <w:rsid w:val="00615284"/>
    <w:rsid w:val="00615C4A"/>
    <w:rsid w:val="0061673B"/>
    <w:rsid w:val="00617259"/>
    <w:rsid w:val="00617427"/>
    <w:rsid w:val="006177EF"/>
    <w:rsid w:val="00617CD8"/>
    <w:rsid w:val="00620930"/>
    <w:rsid w:val="00621503"/>
    <w:rsid w:val="0062181A"/>
    <w:rsid w:val="00621ACC"/>
    <w:rsid w:val="00622335"/>
    <w:rsid w:val="0062281C"/>
    <w:rsid w:val="00622A6C"/>
    <w:rsid w:val="00622FF9"/>
    <w:rsid w:val="00623078"/>
    <w:rsid w:val="0062307F"/>
    <w:rsid w:val="006231A3"/>
    <w:rsid w:val="0062355C"/>
    <w:rsid w:val="006237DB"/>
    <w:rsid w:val="006237E8"/>
    <w:rsid w:val="00623D92"/>
    <w:rsid w:val="00624075"/>
    <w:rsid w:val="006241A8"/>
    <w:rsid w:val="00624BFC"/>
    <w:rsid w:val="006252F5"/>
    <w:rsid w:val="0062607B"/>
    <w:rsid w:val="00627054"/>
    <w:rsid w:val="0062744D"/>
    <w:rsid w:val="00627516"/>
    <w:rsid w:val="00627BF4"/>
    <w:rsid w:val="006305CA"/>
    <w:rsid w:val="006308E6"/>
    <w:rsid w:val="00631B87"/>
    <w:rsid w:val="00631C2F"/>
    <w:rsid w:val="00632B55"/>
    <w:rsid w:val="00632C44"/>
    <w:rsid w:val="00632F3D"/>
    <w:rsid w:val="00632F7A"/>
    <w:rsid w:val="00633D2B"/>
    <w:rsid w:val="00634E32"/>
    <w:rsid w:val="00636634"/>
    <w:rsid w:val="00637F01"/>
    <w:rsid w:val="00640065"/>
    <w:rsid w:val="00640A6F"/>
    <w:rsid w:val="00640AEB"/>
    <w:rsid w:val="00640BAE"/>
    <w:rsid w:val="006413CA"/>
    <w:rsid w:val="00641BD2"/>
    <w:rsid w:val="00641F44"/>
    <w:rsid w:val="00641F4B"/>
    <w:rsid w:val="006423BA"/>
    <w:rsid w:val="00642B6A"/>
    <w:rsid w:val="00642C28"/>
    <w:rsid w:val="00643588"/>
    <w:rsid w:val="00643911"/>
    <w:rsid w:val="0064468F"/>
    <w:rsid w:val="006447B2"/>
    <w:rsid w:val="0064500B"/>
    <w:rsid w:val="00645532"/>
    <w:rsid w:val="00645877"/>
    <w:rsid w:val="00645C2E"/>
    <w:rsid w:val="00645D08"/>
    <w:rsid w:val="00645D1B"/>
    <w:rsid w:val="00646A0E"/>
    <w:rsid w:val="00646CA5"/>
    <w:rsid w:val="00646D24"/>
    <w:rsid w:val="00647CA1"/>
    <w:rsid w:val="00650632"/>
    <w:rsid w:val="006506B7"/>
    <w:rsid w:val="00650BC3"/>
    <w:rsid w:val="006516FD"/>
    <w:rsid w:val="006518C8"/>
    <w:rsid w:val="00651FF3"/>
    <w:rsid w:val="006524E7"/>
    <w:rsid w:val="00652B39"/>
    <w:rsid w:val="00653233"/>
    <w:rsid w:val="0065349A"/>
    <w:rsid w:val="00653BDF"/>
    <w:rsid w:val="0065417E"/>
    <w:rsid w:val="00654330"/>
    <w:rsid w:val="00655DC0"/>
    <w:rsid w:val="006561DE"/>
    <w:rsid w:val="006561F7"/>
    <w:rsid w:val="0065634A"/>
    <w:rsid w:val="00657DA5"/>
    <w:rsid w:val="00660383"/>
    <w:rsid w:val="00660AF2"/>
    <w:rsid w:val="00660B79"/>
    <w:rsid w:val="00660DC9"/>
    <w:rsid w:val="00661B97"/>
    <w:rsid w:val="00661C28"/>
    <w:rsid w:val="0066287F"/>
    <w:rsid w:val="00662EA6"/>
    <w:rsid w:val="006630BB"/>
    <w:rsid w:val="006633A0"/>
    <w:rsid w:val="00663E2C"/>
    <w:rsid w:val="00664460"/>
    <w:rsid w:val="0066493B"/>
    <w:rsid w:val="00664B52"/>
    <w:rsid w:val="00664C1D"/>
    <w:rsid w:val="00664E6D"/>
    <w:rsid w:val="00664EBB"/>
    <w:rsid w:val="006656A2"/>
    <w:rsid w:val="00665CE8"/>
    <w:rsid w:val="00665EE6"/>
    <w:rsid w:val="00665EF4"/>
    <w:rsid w:val="006665C0"/>
    <w:rsid w:val="006667BA"/>
    <w:rsid w:val="00666AD0"/>
    <w:rsid w:val="00666E93"/>
    <w:rsid w:val="00666FBD"/>
    <w:rsid w:val="00667177"/>
    <w:rsid w:val="006672F2"/>
    <w:rsid w:val="00667349"/>
    <w:rsid w:val="006675E7"/>
    <w:rsid w:val="00667BBF"/>
    <w:rsid w:val="00667D9F"/>
    <w:rsid w:val="00670917"/>
    <w:rsid w:val="00670B21"/>
    <w:rsid w:val="00672180"/>
    <w:rsid w:val="00672A15"/>
    <w:rsid w:val="00673B8F"/>
    <w:rsid w:val="00673D22"/>
    <w:rsid w:val="00673FC4"/>
    <w:rsid w:val="006741F4"/>
    <w:rsid w:val="0067550C"/>
    <w:rsid w:val="00675F5F"/>
    <w:rsid w:val="0067614E"/>
    <w:rsid w:val="00676476"/>
    <w:rsid w:val="00677848"/>
    <w:rsid w:val="00677EF9"/>
    <w:rsid w:val="00680256"/>
    <w:rsid w:val="00680C2A"/>
    <w:rsid w:val="006819C8"/>
    <w:rsid w:val="00681D24"/>
    <w:rsid w:val="00682B72"/>
    <w:rsid w:val="00682BCD"/>
    <w:rsid w:val="00682DF0"/>
    <w:rsid w:val="006830B9"/>
    <w:rsid w:val="00683254"/>
    <w:rsid w:val="0068378D"/>
    <w:rsid w:val="00683BBA"/>
    <w:rsid w:val="00683F4F"/>
    <w:rsid w:val="00684463"/>
    <w:rsid w:val="006844E2"/>
    <w:rsid w:val="006850CF"/>
    <w:rsid w:val="00685829"/>
    <w:rsid w:val="00685D13"/>
    <w:rsid w:val="0068643C"/>
    <w:rsid w:val="00686FA5"/>
    <w:rsid w:val="006873B6"/>
    <w:rsid w:val="006873EB"/>
    <w:rsid w:val="00687F19"/>
    <w:rsid w:val="00687FB4"/>
    <w:rsid w:val="006901E8"/>
    <w:rsid w:val="00690244"/>
    <w:rsid w:val="00691D81"/>
    <w:rsid w:val="00692AC1"/>
    <w:rsid w:val="0069368C"/>
    <w:rsid w:val="00693900"/>
    <w:rsid w:val="00693930"/>
    <w:rsid w:val="00693932"/>
    <w:rsid w:val="006940A2"/>
    <w:rsid w:val="006944E0"/>
    <w:rsid w:val="006946BF"/>
    <w:rsid w:val="00694900"/>
    <w:rsid w:val="006949D7"/>
    <w:rsid w:val="00695187"/>
    <w:rsid w:val="00696299"/>
    <w:rsid w:val="00696B95"/>
    <w:rsid w:val="00697574"/>
    <w:rsid w:val="006976AD"/>
    <w:rsid w:val="00697A7A"/>
    <w:rsid w:val="00697FCD"/>
    <w:rsid w:val="006A017B"/>
    <w:rsid w:val="006A07ED"/>
    <w:rsid w:val="006A0913"/>
    <w:rsid w:val="006A0D79"/>
    <w:rsid w:val="006A0F2E"/>
    <w:rsid w:val="006A0FC9"/>
    <w:rsid w:val="006A1A69"/>
    <w:rsid w:val="006A22E9"/>
    <w:rsid w:val="006A2D15"/>
    <w:rsid w:val="006A30B4"/>
    <w:rsid w:val="006A3A70"/>
    <w:rsid w:val="006A48D3"/>
    <w:rsid w:val="006A4EBD"/>
    <w:rsid w:val="006A5248"/>
    <w:rsid w:val="006A589C"/>
    <w:rsid w:val="006A6156"/>
    <w:rsid w:val="006A6261"/>
    <w:rsid w:val="006A639A"/>
    <w:rsid w:val="006A68C8"/>
    <w:rsid w:val="006A6AF4"/>
    <w:rsid w:val="006A74E9"/>
    <w:rsid w:val="006A754D"/>
    <w:rsid w:val="006A766D"/>
    <w:rsid w:val="006A7D72"/>
    <w:rsid w:val="006B013C"/>
    <w:rsid w:val="006B05B1"/>
    <w:rsid w:val="006B0B43"/>
    <w:rsid w:val="006B0EF6"/>
    <w:rsid w:val="006B177E"/>
    <w:rsid w:val="006B27AB"/>
    <w:rsid w:val="006B3033"/>
    <w:rsid w:val="006B374F"/>
    <w:rsid w:val="006B4C1B"/>
    <w:rsid w:val="006B56BB"/>
    <w:rsid w:val="006B58EC"/>
    <w:rsid w:val="006B6C05"/>
    <w:rsid w:val="006C07D7"/>
    <w:rsid w:val="006C12D4"/>
    <w:rsid w:val="006C15A1"/>
    <w:rsid w:val="006C1F22"/>
    <w:rsid w:val="006C2203"/>
    <w:rsid w:val="006C2687"/>
    <w:rsid w:val="006C28E5"/>
    <w:rsid w:val="006C2DE6"/>
    <w:rsid w:val="006C34C3"/>
    <w:rsid w:val="006C4022"/>
    <w:rsid w:val="006C4207"/>
    <w:rsid w:val="006C506B"/>
    <w:rsid w:val="006C50B4"/>
    <w:rsid w:val="006C625F"/>
    <w:rsid w:val="006C66B0"/>
    <w:rsid w:val="006C676B"/>
    <w:rsid w:val="006C77CD"/>
    <w:rsid w:val="006D0E1F"/>
    <w:rsid w:val="006D15B5"/>
    <w:rsid w:val="006D19D5"/>
    <w:rsid w:val="006D2D48"/>
    <w:rsid w:val="006D47C5"/>
    <w:rsid w:val="006D48F8"/>
    <w:rsid w:val="006D50A1"/>
    <w:rsid w:val="006D59DD"/>
    <w:rsid w:val="006D6C77"/>
    <w:rsid w:val="006D7068"/>
    <w:rsid w:val="006D74C5"/>
    <w:rsid w:val="006D7631"/>
    <w:rsid w:val="006E0810"/>
    <w:rsid w:val="006E0B44"/>
    <w:rsid w:val="006E0E3D"/>
    <w:rsid w:val="006E1727"/>
    <w:rsid w:val="006E1BC3"/>
    <w:rsid w:val="006E1D93"/>
    <w:rsid w:val="006E2BEA"/>
    <w:rsid w:val="006E2EBC"/>
    <w:rsid w:val="006E31DB"/>
    <w:rsid w:val="006E34CE"/>
    <w:rsid w:val="006E3E74"/>
    <w:rsid w:val="006E3E85"/>
    <w:rsid w:val="006E405D"/>
    <w:rsid w:val="006E424D"/>
    <w:rsid w:val="006E4617"/>
    <w:rsid w:val="006E5389"/>
    <w:rsid w:val="006E5467"/>
    <w:rsid w:val="006E59D7"/>
    <w:rsid w:val="006E5A4A"/>
    <w:rsid w:val="006E5E1E"/>
    <w:rsid w:val="006E7986"/>
    <w:rsid w:val="006E7BD8"/>
    <w:rsid w:val="006E7F5D"/>
    <w:rsid w:val="006F0479"/>
    <w:rsid w:val="006F05BD"/>
    <w:rsid w:val="006F0BD7"/>
    <w:rsid w:val="006F0FEE"/>
    <w:rsid w:val="006F15EB"/>
    <w:rsid w:val="006F1D5F"/>
    <w:rsid w:val="006F1E19"/>
    <w:rsid w:val="006F1F29"/>
    <w:rsid w:val="006F2655"/>
    <w:rsid w:val="006F26AF"/>
    <w:rsid w:val="006F2860"/>
    <w:rsid w:val="006F2D87"/>
    <w:rsid w:val="006F2D8B"/>
    <w:rsid w:val="006F3114"/>
    <w:rsid w:val="006F3240"/>
    <w:rsid w:val="006F3457"/>
    <w:rsid w:val="006F3768"/>
    <w:rsid w:val="006F4096"/>
    <w:rsid w:val="006F46D0"/>
    <w:rsid w:val="006F4A6B"/>
    <w:rsid w:val="006F4A78"/>
    <w:rsid w:val="006F5144"/>
    <w:rsid w:val="006F5167"/>
    <w:rsid w:val="006F6473"/>
    <w:rsid w:val="006F681E"/>
    <w:rsid w:val="006F68CD"/>
    <w:rsid w:val="006F6A4A"/>
    <w:rsid w:val="006F6C50"/>
    <w:rsid w:val="006F6F37"/>
    <w:rsid w:val="006F6F40"/>
    <w:rsid w:val="006F77C9"/>
    <w:rsid w:val="007003C9"/>
    <w:rsid w:val="00700F01"/>
    <w:rsid w:val="0070165A"/>
    <w:rsid w:val="00701820"/>
    <w:rsid w:val="00701951"/>
    <w:rsid w:val="007019F6"/>
    <w:rsid w:val="007022EA"/>
    <w:rsid w:val="00702C21"/>
    <w:rsid w:val="00703496"/>
    <w:rsid w:val="007037E8"/>
    <w:rsid w:val="00704A63"/>
    <w:rsid w:val="00704B02"/>
    <w:rsid w:val="00704ED2"/>
    <w:rsid w:val="00704FD0"/>
    <w:rsid w:val="007053FE"/>
    <w:rsid w:val="00705404"/>
    <w:rsid w:val="00705DD8"/>
    <w:rsid w:val="00705F37"/>
    <w:rsid w:val="00706430"/>
    <w:rsid w:val="007066C0"/>
    <w:rsid w:val="0070677E"/>
    <w:rsid w:val="0070757A"/>
    <w:rsid w:val="00707A17"/>
    <w:rsid w:val="00707EE1"/>
    <w:rsid w:val="00707FB0"/>
    <w:rsid w:val="00710888"/>
    <w:rsid w:val="007108DC"/>
    <w:rsid w:val="0071103E"/>
    <w:rsid w:val="00711AD1"/>
    <w:rsid w:val="00711CED"/>
    <w:rsid w:val="00711EDB"/>
    <w:rsid w:val="00712081"/>
    <w:rsid w:val="00712430"/>
    <w:rsid w:val="00712822"/>
    <w:rsid w:val="00715161"/>
    <w:rsid w:val="0071540D"/>
    <w:rsid w:val="007156FC"/>
    <w:rsid w:val="00715EA9"/>
    <w:rsid w:val="007163BA"/>
    <w:rsid w:val="00716BD9"/>
    <w:rsid w:val="00717468"/>
    <w:rsid w:val="007200B1"/>
    <w:rsid w:val="00720266"/>
    <w:rsid w:val="007206E7"/>
    <w:rsid w:val="0072090B"/>
    <w:rsid w:val="007210C8"/>
    <w:rsid w:val="007213B7"/>
    <w:rsid w:val="00721FD4"/>
    <w:rsid w:val="0072213F"/>
    <w:rsid w:val="00722184"/>
    <w:rsid w:val="0072246B"/>
    <w:rsid w:val="0072287B"/>
    <w:rsid w:val="0072289F"/>
    <w:rsid w:val="00722C2F"/>
    <w:rsid w:val="00722FBA"/>
    <w:rsid w:val="007233AD"/>
    <w:rsid w:val="007235AB"/>
    <w:rsid w:val="00723DD7"/>
    <w:rsid w:val="00723F01"/>
    <w:rsid w:val="00724149"/>
    <w:rsid w:val="0072572D"/>
    <w:rsid w:val="007257D6"/>
    <w:rsid w:val="00725E20"/>
    <w:rsid w:val="00726220"/>
    <w:rsid w:val="00726286"/>
    <w:rsid w:val="0072637B"/>
    <w:rsid w:val="00726391"/>
    <w:rsid w:val="007265AD"/>
    <w:rsid w:val="00726655"/>
    <w:rsid w:val="0072682D"/>
    <w:rsid w:val="00726DE3"/>
    <w:rsid w:val="00727757"/>
    <w:rsid w:val="007277F9"/>
    <w:rsid w:val="00727850"/>
    <w:rsid w:val="00727B0E"/>
    <w:rsid w:val="0073064F"/>
    <w:rsid w:val="007306ED"/>
    <w:rsid w:val="00730A28"/>
    <w:rsid w:val="00730B5F"/>
    <w:rsid w:val="007319F0"/>
    <w:rsid w:val="00731D0F"/>
    <w:rsid w:val="00731EF2"/>
    <w:rsid w:val="00732093"/>
    <w:rsid w:val="0073219C"/>
    <w:rsid w:val="00732302"/>
    <w:rsid w:val="007325CE"/>
    <w:rsid w:val="00732831"/>
    <w:rsid w:val="00732D17"/>
    <w:rsid w:val="00732F1A"/>
    <w:rsid w:val="00732F7F"/>
    <w:rsid w:val="00733688"/>
    <w:rsid w:val="007336BE"/>
    <w:rsid w:val="0073382F"/>
    <w:rsid w:val="00733C74"/>
    <w:rsid w:val="00734E79"/>
    <w:rsid w:val="00736A45"/>
    <w:rsid w:val="007373CB"/>
    <w:rsid w:val="00737802"/>
    <w:rsid w:val="00737993"/>
    <w:rsid w:val="007403A4"/>
    <w:rsid w:val="00740A98"/>
    <w:rsid w:val="00740BF8"/>
    <w:rsid w:val="0074108F"/>
    <w:rsid w:val="007410EA"/>
    <w:rsid w:val="00741490"/>
    <w:rsid w:val="00741C92"/>
    <w:rsid w:val="00742267"/>
    <w:rsid w:val="00742A59"/>
    <w:rsid w:val="00742E17"/>
    <w:rsid w:val="00742F3E"/>
    <w:rsid w:val="007431C2"/>
    <w:rsid w:val="00744345"/>
    <w:rsid w:val="00744649"/>
    <w:rsid w:val="00745025"/>
    <w:rsid w:val="00745608"/>
    <w:rsid w:val="00745E8B"/>
    <w:rsid w:val="00746385"/>
    <w:rsid w:val="00746657"/>
    <w:rsid w:val="007477A4"/>
    <w:rsid w:val="007478AB"/>
    <w:rsid w:val="00747D5E"/>
    <w:rsid w:val="00747E9F"/>
    <w:rsid w:val="007500FD"/>
    <w:rsid w:val="00750A94"/>
    <w:rsid w:val="00751114"/>
    <w:rsid w:val="00751188"/>
    <w:rsid w:val="0075127D"/>
    <w:rsid w:val="00751305"/>
    <w:rsid w:val="0075147D"/>
    <w:rsid w:val="00751C06"/>
    <w:rsid w:val="00751D1D"/>
    <w:rsid w:val="0075235F"/>
    <w:rsid w:val="00752A70"/>
    <w:rsid w:val="00752F1A"/>
    <w:rsid w:val="00753773"/>
    <w:rsid w:val="00753F5A"/>
    <w:rsid w:val="007543FF"/>
    <w:rsid w:val="0075454F"/>
    <w:rsid w:val="007556E9"/>
    <w:rsid w:val="00755994"/>
    <w:rsid w:val="00755A13"/>
    <w:rsid w:val="00755A9E"/>
    <w:rsid w:val="00755B0B"/>
    <w:rsid w:val="00755E2E"/>
    <w:rsid w:val="00756160"/>
    <w:rsid w:val="00756361"/>
    <w:rsid w:val="0075645E"/>
    <w:rsid w:val="00756DEE"/>
    <w:rsid w:val="00756E2F"/>
    <w:rsid w:val="00756F3F"/>
    <w:rsid w:val="007576FD"/>
    <w:rsid w:val="00757C06"/>
    <w:rsid w:val="00760736"/>
    <w:rsid w:val="00761994"/>
    <w:rsid w:val="00761D0F"/>
    <w:rsid w:val="007626FF"/>
    <w:rsid w:val="00762986"/>
    <w:rsid w:val="00762C74"/>
    <w:rsid w:val="00763A1C"/>
    <w:rsid w:val="00763BA4"/>
    <w:rsid w:val="00764119"/>
    <w:rsid w:val="00764954"/>
    <w:rsid w:val="00764A11"/>
    <w:rsid w:val="00765A91"/>
    <w:rsid w:val="00765C6B"/>
    <w:rsid w:val="007665BB"/>
    <w:rsid w:val="00766F7C"/>
    <w:rsid w:val="007670DE"/>
    <w:rsid w:val="00767A09"/>
    <w:rsid w:val="0077032C"/>
    <w:rsid w:val="0077042F"/>
    <w:rsid w:val="0077055B"/>
    <w:rsid w:val="007709C3"/>
    <w:rsid w:val="007709DE"/>
    <w:rsid w:val="00770C0C"/>
    <w:rsid w:val="00772408"/>
    <w:rsid w:val="0077267A"/>
    <w:rsid w:val="007729DB"/>
    <w:rsid w:val="00772A5F"/>
    <w:rsid w:val="0077353E"/>
    <w:rsid w:val="0077380C"/>
    <w:rsid w:val="00774582"/>
    <w:rsid w:val="0077484C"/>
    <w:rsid w:val="0077485D"/>
    <w:rsid w:val="00774A1C"/>
    <w:rsid w:val="00774B3E"/>
    <w:rsid w:val="00774B49"/>
    <w:rsid w:val="00774BA5"/>
    <w:rsid w:val="007752A4"/>
    <w:rsid w:val="00775CB2"/>
    <w:rsid w:val="00775E7E"/>
    <w:rsid w:val="00776587"/>
    <w:rsid w:val="00777186"/>
    <w:rsid w:val="007776E0"/>
    <w:rsid w:val="00777F44"/>
    <w:rsid w:val="007803D6"/>
    <w:rsid w:val="00780DDB"/>
    <w:rsid w:val="0078102F"/>
    <w:rsid w:val="007810A0"/>
    <w:rsid w:val="00781EF7"/>
    <w:rsid w:val="00781FA1"/>
    <w:rsid w:val="00782799"/>
    <w:rsid w:val="00782CB2"/>
    <w:rsid w:val="007831AB"/>
    <w:rsid w:val="007832B4"/>
    <w:rsid w:val="00783410"/>
    <w:rsid w:val="0078381C"/>
    <w:rsid w:val="007839CD"/>
    <w:rsid w:val="00784C54"/>
    <w:rsid w:val="00784F4E"/>
    <w:rsid w:val="00785344"/>
    <w:rsid w:val="00785441"/>
    <w:rsid w:val="00785C73"/>
    <w:rsid w:val="00785F78"/>
    <w:rsid w:val="00785FCA"/>
    <w:rsid w:val="00786B7A"/>
    <w:rsid w:val="007875EC"/>
    <w:rsid w:val="00787D42"/>
    <w:rsid w:val="007909D4"/>
    <w:rsid w:val="00790D70"/>
    <w:rsid w:val="0079179E"/>
    <w:rsid w:val="00791D34"/>
    <w:rsid w:val="00792682"/>
    <w:rsid w:val="00792FBC"/>
    <w:rsid w:val="007930B9"/>
    <w:rsid w:val="00793B7E"/>
    <w:rsid w:val="00793BD2"/>
    <w:rsid w:val="00794003"/>
    <w:rsid w:val="00794485"/>
    <w:rsid w:val="007947BF"/>
    <w:rsid w:val="00795524"/>
    <w:rsid w:val="0079554B"/>
    <w:rsid w:val="00796AF2"/>
    <w:rsid w:val="00796C05"/>
    <w:rsid w:val="0079740A"/>
    <w:rsid w:val="00797607"/>
    <w:rsid w:val="00797784"/>
    <w:rsid w:val="00797AE4"/>
    <w:rsid w:val="007A0AED"/>
    <w:rsid w:val="007A1182"/>
    <w:rsid w:val="007A12F8"/>
    <w:rsid w:val="007A20F5"/>
    <w:rsid w:val="007A20FA"/>
    <w:rsid w:val="007A2598"/>
    <w:rsid w:val="007A2671"/>
    <w:rsid w:val="007A2E59"/>
    <w:rsid w:val="007A2FFD"/>
    <w:rsid w:val="007A30C2"/>
    <w:rsid w:val="007A336B"/>
    <w:rsid w:val="007A3C61"/>
    <w:rsid w:val="007A400E"/>
    <w:rsid w:val="007A42EB"/>
    <w:rsid w:val="007A4BC9"/>
    <w:rsid w:val="007A5712"/>
    <w:rsid w:val="007A573A"/>
    <w:rsid w:val="007A585C"/>
    <w:rsid w:val="007A597D"/>
    <w:rsid w:val="007A5A39"/>
    <w:rsid w:val="007A5D2A"/>
    <w:rsid w:val="007A605F"/>
    <w:rsid w:val="007A6480"/>
    <w:rsid w:val="007A6A7E"/>
    <w:rsid w:val="007A6F77"/>
    <w:rsid w:val="007A7548"/>
    <w:rsid w:val="007A7997"/>
    <w:rsid w:val="007A7B6B"/>
    <w:rsid w:val="007A7E53"/>
    <w:rsid w:val="007B0129"/>
    <w:rsid w:val="007B03C3"/>
    <w:rsid w:val="007B278F"/>
    <w:rsid w:val="007B37E1"/>
    <w:rsid w:val="007B3820"/>
    <w:rsid w:val="007B3964"/>
    <w:rsid w:val="007B45EB"/>
    <w:rsid w:val="007B4A82"/>
    <w:rsid w:val="007B778E"/>
    <w:rsid w:val="007B7867"/>
    <w:rsid w:val="007B7983"/>
    <w:rsid w:val="007B7F56"/>
    <w:rsid w:val="007C0534"/>
    <w:rsid w:val="007C1A3D"/>
    <w:rsid w:val="007C2A97"/>
    <w:rsid w:val="007C2F34"/>
    <w:rsid w:val="007C3B97"/>
    <w:rsid w:val="007C3E09"/>
    <w:rsid w:val="007C485D"/>
    <w:rsid w:val="007C5C29"/>
    <w:rsid w:val="007C5DAF"/>
    <w:rsid w:val="007C61B7"/>
    <w:rsid w:val="007C691B"/>
    <w:rsid w:val="007C6EDE"/>
    <w:rsid w:val="007C7123"/>
    <w:rsid w:val="007C755E"/>
    <w:rsid w:val="007C77F2"/>
    <w:rsid w:val="007C7DA6"/>
    <w:rsid w:val="007D054D"/>
    <w:rsid w:val="007D0FC0"/>
    <w:rsid w:val="007D1BA8"/>
    <w:rsid w:val="007D1C45"/>
    <w:rsid w:val="007D264E"/>
    <w:rsid w:val="007D2815"/>
    <w:rsid w:val="007D282B"/>
    <w:rsid w:val="007D34B1"/>
    <w:rsid w:val="007D3910"/>
    <w:rsid w:val="007D3D5E"/>
    <w:rsid w:val="007D3E11"/>
    <w:rsid w:val="007D408F"/>
    <w:rsid w:val="007D423E"/>
    <w:rsid w:val="007D4334"/>
    <w:rsid w:val="007D4526"/>
    <w:rsid w:val="007D470F"/>
    <w:rsid w:val="007D5042"/>
    <w:rsid w:val="007D558C"/>
    <w:rsid w:val="007D57E7"/>
    <w:rsid w:val="007D5BB6"/>
    <w:rsid w:val="007D7052"/>
    <w:rsid w:val="007D78B1"/>
    <w:rsid w:val="007E0005"/>
    <w:rsid w:val="007E0066"/>
    <w:rsid w:val="007E105C"/>
    <w:rsid w:val="007E10DD"/>
    <w:rsid w:val="007E19BB"/>
    <w:rsid w:val="007E274D"/>
    <w:rsid w:val="007E29FB"/>
    <w:rsid w:val="007E395B"/>
    <w:rsid w:val="007E408B"/>
    <w:rsid w:val="007E484B"/>
    <w:rsid w:val="007E4AE3"/>
    <w:rsid w:val="007E4E32"/>
    <w:rsid w:val="007E5FDB"/>
    <w:rsid w:val="007E6041"/>
    <w:rsid w:val="007E6128"/>
    <w:rsid w:val="007E676F"/>
    <w:rsid w:val="007E69BB"/>
    <w:rsid w:val="007E7440"/>
    <w:rsid w:val="007E7D68"/>
    <w:rsid w:val="007F0A1F"/>
    <w:rsid w:val="007F0C24"/>
    <w:rsid w:val="007F0DC8"/>
    <w:rsid w:val="007F1911"/>
    <w:rsid w:val="007F1950"/>
    <w:rsid w:val="007F207C"/>
    <w:rsid w:val="007F2E4E"/>
    <w:rsid w:val="007F33E2"/>
    <w:rsid w:val="007F37D5"/>
    <w:rsid w:val="007F3835"/>
    <w:rsid w:val="007F3886"/>
    <w:rsid w:val="007F39A5"/>
    <w:rsid w:val="007F3AB4"/>
    <w:rsid w:val="007F4362"/>
    <w:rsid w:val="007F4A42"/>
    <w:rsid w:val="007F4A46"/>
    <w:rsid w:val="007F58AA"/>
    <w:rsid w:val="007F5C2A"/>
    <w:rsid w:val="007F68ED"/>
    <w:rsid w:val="007F7791"/>
    <w:rsid w:val="007F7904"/>
    <w:rsid w:val="007F7B06"/>
    <w:rsid w:val="007F7D1A"/>
    <w:rsid w:val="007F7EFE"/>
    <w:rsid w:val="008004F3"/>
    <w:rsid w:val="0080180C"/>
    <w:rsid w:val="008023B3"/>
    <w:rsid w:val="00802525"/>
    <w:rsid w:val="0080253C"/>
    <w:rsid w:val="008028BD"/>
    <w:rsid w:val="00802F85"/>
    <w:rsid w:val="008037E2"/>
    <w:rsid w:val="0080395F"/>
    <w:rsid w:val="00803E68"/>
    <w:rsid w:val="00804040"/>
    <w:rsid w:val="008042DA"/>
    <w:rsid w:val="008042F9"/>
    <w:rsid w:val="00804312"/>
    <w:rsid w:val="0080456C"/>
    <w:rsid w:val="008045F8"/>
    <w:rsid w:val="00804639"/>
    <w:rsid w:val="00804D1B"/>
    <w:rsid w:val="00805AB8"/>
    <w:rsid w:val="008065E1"/>
    <w:rsid w:val="008069D9"/>
    <w:rsid w:val="00806C1E"/>
    <w:rsid w:val="0080759C"/>
    <w:rsid w:val="00807782"/>
    <w:rsid w:val="00807B5D"/>
    <w:rsid w:val="008101B8"/>
    <w:rsid w:val="0081069B"/>
    <w:rsid w:val="00810CFC"/>
    <w:rsid w:val="00810D74"/>
    <w:rsid w:val="00810E4E"/>
    <w:rsid w:val="00810E6E"/>
    <w:rsid w:val="008111A9"/>
    <w:rsid w:val="008118B3"/>
    <w:rsid w:val="00811B81"/>
    <w:rsid w:val="00811D19"/>
    <w:rsid w:val="00811E55"/>
    <w:rsid w:val="008120D3"/>
    <w:rsid w:val="00812A78"/>
    <w:rsid w:val="0081309A"/>
    <w:rsid w:val="00813662"/>
    <w:rsid w:val="0081413C"/>
    <w:rsid w:val="00814284"/>
    <w:rsid w:val="00814AA1"/>
    <w:rsid w:val="0081599B"/>
    <w:rsid w:val="00815AD4"/>
    <w:rsid w:val="00815DB9"/>
    <w:rsid w:val="00815F5B"/>
    <w:rsid w:val="00816004"/>
    <w:rsid w:val="008161BD"/>
    <w:rsid w:val="008162AF"/>
    <w:rsid w:val="00816726"/>
    <w:rsid w:val="00816AEC"/>
    <w:rsid w:val="00816F84"/>
    <w:rsid w:val="008173BC"/>
    <w:rsid w:val="008174D6"/>
    <w:rsid w:val="00817F66"/>
    <w:rsid w:val="008208D2"/>
    <w:rsid w:val="00820DC2"/>
    <w:rsid w:val="00821410"/>
    <w:rsid w:val="00821B45"/>
    <w:rsid w:val="00821EF7"/>
    <w:rsid w:val="008223B3"/>
    <w:rsid w:val="00822AA2"/>
    <w:rsid w:val="00823048"/>
    <w:rsid w:val="0082359A"/>
    <w:rsid w:val="008239AB"/>
    <w:rsid w:val="00823B0F"/>
    <w:rsid w:val="00823D3D"/>
    <w:rsid w:val="0082423F"/>
    <w:rsid w:val="00824771"/>
    <w:rsid w:val="00824B08"/>
    <w:rsid w:val="0082522C"/>
    <w:rsid w:val="008253A9"/>
    <w:rsid w:val="008254D4"/>
    <w:rsid w:val="0082755C"/>
    <w:rsid w:val="008306D4"/>
    <w:rsid w:val="008311A2"/>
    <w:rsid w:val="008315D5"/>
    <w:rsid w:val="00831B0D"/>
    <w:rsid w:val="00831D7F"/>
    <w:rsid w:val="00831EAA"/>
    <w:rsid w:val="00831FD3"/>
    <w:rsid w:val="0083231F"/>
    <w:rsid w:val="008326B2"/>
    <w:rsid w:val="00832C5D"/>
    <w:rsid w:val="00832D1E"/>
    <w:rsid w:val="00833622"/>
    <w:rsid w:val="00833903"/>
    <w:rsid w:val="008342A3"/>
    <w:rsid w:val="00834382"/>
    <w:rsid w:val="008349B7"/>
    <w:rsid w:val="008351FE"/>
    <w:rsid w:val="00835C20"/>
    <w:rsid w:val="00835E97"/>
    <w:rsid w:val="008360CC"/>
    <w:rsid w:val="00836122"/>
    <w:rsid w:val="00836588"/>
    <w:rsid w:val="0083669C"/>
    <w:rsid w:val="00836DC3"/>
    <w:rsid w:val="00840501"/>
    <w:rsid w:val="00840C85"/>
    <w:rsid w:val="00840DAF"/>
    <w:rsid w:val="00840F48"/>
    <w:rsid w:val="00841AA0"/>
    <w:rsid w:val="00841B18"/>
    <w:rsid w:val="00841C4A"/>
    <w:rsid w:val="00841D10"/>
    <w:rsid w:val="00841DDE"/>
    <w:rsid w:val="00842697"/>
    <w:rsid w:val="00842B6D"/>
    <w:rsid w:val="0084366D"/>
    <w:rsid w:val="00843818"/>
    <w:rsid w:val="00843BE1"/>
    <w:rsid w:val="0084437B"/>
    <w:rsid w:val="008446A5"/>
    <w:rsid w:val="008451D9"/>
    <w:rsid w:val="00845B68"/>
    <w:rsid w:val="00845CB2"/>
    <w:rsid w:val="00845FD8"/>
    <w:rsid w:val="008477E3"/>
    <w:rsid w:val="00847822"/>
    <w:rsid w:val="00847EF8"/>
    <w:rsid w:val="00850966"/>
    <w:rsid w:val="00850D9C"/>
    <w:rsid w:val="0085153E"/>
    <w:rsid w:val="0085191E"/>
    <w:rsid w:val="00852211"/>
    <w:rsid w:val="00853468"/>
    <w:rsid w:val="00853BF0"/>
    <w:rsid w:val="0085422A"/>
    <w:rsid w:val="0085443C"/>
    <w:rsid w:val="00854852"/>
    <w:rsid w:val="00854DE6"/>
    <w:rsid w:val="008557B9"/>
    <w:rsid w:val="0085585D"/>
    <w:rsid w:val="00855B76"/>
    <w:rsid w:val="00856472"/>
    <w:rsid w:val="00856F5B"/>
    <w:rsid w:val="008578F1"/>
    <w:rsid w:val="00860A51"/>
    <w:rsid w:val="00861077"/>
    <w:rsid w:val="00862907"/>
    <w:rsid w:val="00862ACC"/>
    <w:rsid w:val="008630D0"/>
    <w:rsid w:val="0086371E"/>
    <w:rsid w:val="008639F0"/>
    <w:rsid w:val="00863A6E"/>
    <w:rsid w:val="00864BC4"/>
    <w:rsid w:val="00864FAF"/>
    <w:rsid w:val="00865A96"/>
    <w:rsid w:val="008661B9"/>
    <w:rsid w:val="008661D1"/>
    <w:rsid w:val="0086650E"/>
    <w:rsid w:val="00867D2B"/>
    <w:rsid w:val="00867DAF"/>
    <w:rsid w:val="00870703"/>
    <w:rsid w:val="0087180D"/>
    <w:rsid w:val="0087328E"/>
    <w:rsid w:val="00873365"/>
    <w:rsid w:val="00873716"/>
    <w:rsid w:val="00873ACD"/>
    <w:rsid w:val="00873C08"/>
    <w:rsid w:val="008741AD"/>
    <w:rsid w:val="00874258"/>
    <w:rsid w:val="008748F3"/>
    <w:rsid w:val="00874A25"/>
    <w:rsid w:val="00874F27"/>
    <w:rsid w:val="00874F34"/>
    <w:rsid w:val="00874F51"/>
    <w:rsid w:val="00875658"/>
    <w:rsid w:val="008765CC"/>
    <w:rsid w:val="008767F4"/>
    <w:rsid w:val="008770FF"/>
    <w:rsid w:val="008778E2"/>
    <w:rsid w:val="00877DFD"/>
    <w:rsid w:val="00877E4F"/>
    <w:rsid w:val="00880088"/>
    <w:rsid w:val="008806A6"/>
    <w:rsid w:val="008809E1"/>
    <w:rsid w:val="00880D5D"/>
    <w:rsid w:val="00880F7E"/>
    <w:rsid w:val="0088100D"/>
    <w:rsid w:val="00881405"/>
    <w:rsid w:val="00881AD9"/>
    <w:rsid w:val="00882010"/>
    <w:rsid w:val="0088233A"/>
    <w:rsid w:val="008828A7"/>
    <w:rsid w:val="00882D87"/>
    <w:rsid w:val="00882D8C"/>
    <w:rsid w:val="008835F3"/>
    <w:rsid w:val="0088383B"/>
    <w:rsid w:val="00883B5E"/>
    <w:rsid w:val="00884131"/>
    <w:rsid w:val="00884B3B"/>
    <w:rsid w:val="0088556E"/>
    <w:rsid w:val="00885A02"/>
    <w:rsid w:val="00886421"/>
    <w:rsid w:val="00886FF7"/>
    <w:rsid w:val="00887F2C"/>
    <w:rsid w:val="00890A47"/>
    <w:rsid w:val="00890DD0"/>
    <w:rsid w:val="00891155"/>
    <w:rsid w:val="0089139C"/>
    <w:rsid w:val="0089157B"/>
    <w:rsid w:val="00891C72"/>
    <w:rsid w:val="008920A2"/>
    <w:rsid w:val="0089211E"/>
    <w:rsid w:val="008923C4"/>
    <w:rsid w:val="008928E9"/>
    <w:rsid w:val="008934F0"/>
    <w:rsid w:val="0089384F"/>
    <w:rsid w:val="008944E8"/>
    <w:rsid w:val="00894B7A"/>
    <w:rsid w:val="00895DC8"/>
    <w:rsid w:val="00897814"/>
    <w:rsid w:val="00897D2A"/>
    <w:rsid w:val="008A01CA"/>
    <w:rsid w:val="008A0269"/>
    <w:rsid w:val="008A06E3"/>
    <w:rsid w:val="008A1290"/>
    <w:rsid w:val="008A1324"/>
    <w:rsid w:val="008A171D"/>
    <w:rsid w:val="008A23FA"/>
    <w:rsid w:val="008A3CB5"/>
    <w:rsid w:val="008A3D84"/>
    <w:rsid w:val="008A47AF"/>
    <w:rsid w:val="008A48CE"/>
    <w:rsid w:val="008A4DEA"/>
    <w:rsid w:val="008A4F9D"/>
    <w:rsid w:val="008A559C"/>
    <w:rsid w:val="008A57FE"/>
    <w:rsid w:val="008A735C"/>
    <w:rsid w:val="008A74F6"/>
    <w:rsid w:val="008A76A0"/>
    <w:rsid w:val="008A7D1A"/>
    <w:rsid w:val="008A7DCE"/>
    <w:rsid w:val="008B004A"/>
    <w:rsid w:val="008B0B5A"/>
    <w:rsid w:val="008B0EEB"/>
    <w:rsid w:val="008B1B14"/>
    <w:rsid w:val="008B1FFC"/>
    <w:rsid w:val="008B2B31"/>
    <w:rsid w:val="008B3B62"/>
    <w:rsid w:val="008B3CFF"/>
    <w:rsid w:val="008B402A"/>
    <w:rsid w:val="008B4592"/>
    <w:rsid w:val="008B49B9"/>
    <w:rsid w:val="008B4A09"/>
    <w:rsid w:val="008B4D12"/>
    <w:rsid w:val="008B5448"/>
    <w:rsid w:val="008B5732"/>
    <w:rsid w:val="008B62CB"/>
    <w:rsid w:val="008B6448"/>
    <w:rsid w:val="008B668E"/>
    <w:rsid w:val="008B6770"/>
    <w:rsid w:val="008B67E4"/>
    <w:rsid w:val="008B6D6D"/>
    <w:rsid w:val="008B799F"/>
    <w:rsid w:val="008B7F8E"/>
    <w:rsid w:val="008C0227"/>
    <w:rsid w:val="008C0C93"/>
    <w:rsid w:val="008C0E0C"/>
    <w:rsid w:val="008C138F"/>
    <w:rsid w:val="008C278F"/>
    <w:rsid w:val="008C2D74"/>
    <w:rsid w:val="008C30CC"/>
    <w:rsid w:val="008C3132"/>
    <w:rsid w:val="008C3A7E"/>
    <w:rsid w:val="008C3C62"/>
    <w:rsid w:val="008C437B"/>
    <w:rsid w:val="008C4E70"/>
    <w:rsid w:val="008C4F42"/>
    <w:rsid w:val="008C4FB5"/>
    <w:rsid w:val="008C577D"/>
    <w:rsid w:val="008C5C8E"/>
    <w:rsid w:val="008C5D4E"/>
    <w:rsid w:val="008C63D8"/>
    <w:rsid w:val="008C6631"/>
    <w:rsid w:val="008C6A52"/>
    <w:rsid w:val="008C6B7F"/>
    <w:rsid w:val="008C6D91"/>
    <w:rsid w:val="008C6E6B"/>
    <w:rsid w:val="008C710F"/>
    <w:rsid w:val="008C7369"/>
    <w:rsid w:val="008C74B2"/>
    <w:rsid w:val="008C7644"/>
    <w:rsid w:val="008C78B8"/>
    <w:rsid w:val="008C79C2"/>
    <w:rsid w:val="008D049E"/>
    <w:rsid w:val="008D0906"/>
    <w:rsid w:val="008D0C26"/>
    <w:rsid w:val="008D0D80"/>
    <w:rsid w:val="008D0E22"/>
    <w:rsid w:val="008D13D2"/>
    <w:rsid w:val="008D18A8"/>
    <w:rsid w:val="008D19E2"/>
    <w:rsid w:val="008D1AF6"/>
    <w:rsid w:val="008D1BF3"/>
    <w:rsid w:val="008D22BC"/>
    <w:rsid w:val="008D273E"/>
    <w:rsid w:val="008D32EB"/>
    <w:rsid w:val="008D4341"/>
    <w:rsid w:val="008D4DBD"/>
    <w:rsid w:val="008D54E4"/>
    <w:rsid w:val="008D6110"/>
    <w:rsid w:val="008D623E"/>
    <w:rsid w:val="008D694C"/>
    <w:rsid w:val="008D6CA7"/>
    <w:rsid w:val="008D79AB"/>
    <w:rsid w:val="008D7E03"/>
    <w:rsid w:val="008E0020"/>
    <w:rsid w:val="008E01AA"/>
    <w:rsid w:val="008E0FCF"/>
    <w:rsid w:val="008E201C"/>
    <w:rsid w:val="008E2490"/>
    <w:rsid w:val="008E2A7E"/>
    <w:rsid w:val="008E2B01"/>
    <w:rsid w:val="008E4173"/>
    <w:rsid w:val="008E43DD"/>
    <w:rsid w:val="008E54FF"/>
    <w:rsid w:val="008E56F7"/>
    <w:rsid w:val="008E5A67"/>
    <w:rsid w:val="008E5F47"/>
    <w:rsid w:val="008E600C"/>
    <w:rsid w:val="008E604F"/>
    <w:rsid w:val="008E64D2"/>
    <w:rsid w:val="008E6AAE"/>
    <w:rsid w:val="008E6E70"/>
    <w:rsid w:val="008E72C4"/>
    <w:rsid w:val="008E78F5"/>
    <w:rsid w:val="008F00C9"/>
    <w:rsid w:val="008F0DA6"/>
    <w:rsid w:val="008F192A"/>
    <w:rsid w:val="008F21E8"/>
    <w:rsid w:val="008F2574"/>
    <w:rsid w:val="008F33B7"/>
    <w:rsid w:val="008F34EF"/>
    <w:rsid w:val="008F4035"/>
    <w:rsid w:val="008F4E0E"/>
    <w:rsid w:val="008F5485"/>
    <w:rsid w:val="008F57A2"/>
    <w:rsid w:val="008F638D"/>
    <w:rsid w:val="008F6E3E"/>
    <w:rsid w:val="008F74C2"/>
    <w:rsid w:val="008F7604"/>
    <w:rsid w:val="00900277"/>
    <w:rsid w:val="0090045C"/>
    <w:rsid w:val="0090081B"/>
    <w:rsid w:val="00900AE2"/>
    <w:rsid w:val="00900DDA"/>
    <w:rsid w:val="009016B3"/>
    <w:rsid w:val="0090172D"/>
    <w:rsid w:val="00901804"/>
    <w:rsid w:val="00901E35"/>
    <w:rsid w:val="009023B9"/>
    <w:rsid w:val="00903378"/>
    <w:rsid w:val="009039AD"/>
    <w:rsid w:val="00903B1B"/>
    <w:rsid w:val="00904276"/>
    <w:rsid w:val="00904726"/>
    <w:rsid w:val="00904D27"/>
    <w:rsid w:val="009052B3"/>
    <w:rsid w:val="00905FA1"/>
    <w:rsid w:val="0090619D"/>
    <w:rsid w:val="00906464"/>
    <w:rsid w:val="00906A82"/>
    <w:rsid w:val="00906D4C"/>
    <w:rsid w:val="00906F9D"/>
    <w:rsid w:val="0090703A"/>
    <w:rsid w:val="009101CF"/>
    <w:rsid w:val="009101F4"/>
    <w:rsid w:val="0091044B"/>
    <w:rsid w:val="0091058F"/>
    <w:rsid w:val="00910CB6"/>
    <w:rsid w:val="00910D47"/>
    <w:rsid w:val="00911219"/>
    <w:rsid w:val="009116A6"/>
    <w:rsid w:val="00911798"/>
    <w:rsid w:val="00911D59"/>
    <w:rsid w:val="00912220"/>
    <w:rsid w:val="00912594"/>
    <w:rsid w:val="00912882"/>
    <w:rsid w:val="00912D94"/>
    <w:rsid w:val="00913167"/>
    <w:rsid w:val="009131DE"/>
    <w:rsid w:val="00913754"/>
    <w:rsid w:val="0091470C"/>
    <w:rsid w:val="00914ADB"/>
    <w:rsid w:val="00915070"/>
    <w:rsid w:val="00915FC5"/>
    <w:rsid w:val="009162FB"/>
    <w:rsid w:val="00916630"/>
    <w:rsid w:val="00916AC4"/>
    <w:rsid w:val="00916B52"/>
    <w:rsid w:val="00917F89"/>
    <w:rsid w:val="00920072"/>
    <w:rsid w:val="00920106"/>
    <w:rsid w:val="00920611"/>
    <w:rsid w:val="00920D4E"/>
    <w:rsid w:val="009217C1"/>
    <w:rsid w:val="009226C8"/>
    <w:rsid w:val="00922C89"/>
    <w:rsid w:val="00923191"/>
    <w:rsid w:val="009232EA"/>
    <w:rsid w:val="0092400C"/>
    <w:rsid w:val="009243C0"/>
    <w:rsid w:val="00924822"/>
    <w:rsid w:val="00924A36"/>
    <w:rsid w:val="00926229"/>
    <w:rsid w:val="009266D2"/>
    <w:rsid w:val="00926D22"/>
    <w:rsid w:val="00926DCE"/>
    <w:rsid w:val="009271A5"/>
    <w:rsid w:val="00927A12"/>
    <w:rsid w:val="00930630"/>
    <w:rsid w:val="00930802"/>
    <w:rsid w:val="0093081C"/>
    <w:rsid w:val="00930966"/>
    <w:rsid w:val="00930C08"/>
    <w:rsid w:val="00930D1A"/>
    <w:rsid w:val="00930D64"/>
    <w:rsid w:val="00931019"/>
    <w:rsid w:val="00931657"/>
    <w:rsid w:val="00932D34"/>
    <w:rsid w:val="00933870"/>
    <w:rsid w:val="00934301"/>
    <w:rsid w:val="009348CE"/>
    <w:rsid w:val="00934EBE"/>
    <w:rsid w:val="009359D2"/>
    <w:rsid w:val="00935F7A"/>
    <w:rsid w:val="009400DC"/>
    <w:rsid w:val="00940448"/>
    <w:rsid w:val="00940577"/>
    <w:rsid w:val="00940E0A"/>
    <w:rsid w:val="009411AE"/>
    <w:rsid w:val="00941854"/>
    <w:rsid w:val="0094192F"/>
    <w:rsid w:val="00941BF7"/>
    <w:rsid w:val="009424BC"/>
    <w:rsid w:val="00942CC6"/>
    <w:rsid w:val="00942FFF"/>
    <w:rsid w:val="00943057"/>
    <w:rsid w:val="00945E90"/>
    <w:rsid w:val="00946184"/>
    <w:rsid w:val="009471A2"/>
    <w:rsid w:val="009474B0"/>
    <w:rsid w:val="00947B04"/>
    <w:rsid w:val="009510CE"/>
    <w:rsid w:val="00951210"/>
    <w:rsid w:val="00951843"/>
    <w:rsid w:val="00951AD2"/>
    <w:rsid w:val="0095292D"/>
    <w:rsid w:val="00952D3A"/>
    <w:rsid w:val="00953363"/>
    <w:rsid w:val="009533BE"/>
    <w:rsid w:val="009546FF"/>
    <w:rsid w:val="009549DC"/>
    <w:rsid w:val="00954E08"/>
    <w:rsid w:val="0095592F"/>
    <w:rsid w:val="00955B87"/>
    <w:rsid w:val="0095601C"/>
    <w:rsid w:val="00956941"/>
    <w:rsid w:val="00956D89"/>
    <w:rsid w:val="00956E25"/>
    <w:rsid w:val="009573E1"/>
    <w:rsid w:val="00957431"/>
    <w:rsid w:val="009576A0"/>
    <w:rsid w:val="0095771A"/>
    <w:rsid w:val="00957CAF"/>
    <w:rsid w:val="00957DE2"/>
    <w:rsid w:val="009602F0"/>
    <w:rsid w:val="009609FB"/>
    <w:rsid w:val="00960FF4"/>
    <w:rsid w:val="00961321"/>
    <w:rsid w:val="009625DB"/>
    <w:rsid w:val="00962A83"/>
    <w:rsid w:val="00962B40"/>
    <w:rsid w:val="00963145"/>
    <w:rsid w:val="009632A3"/>
    <w:rsid w:val="009633EE"/>
    <w:rsid w:val="009634E4"/>
    <w:rsid w:val="009639D4"/>
    <w:rsid w:val="00963BFC"/>
    <w:rsid w:val="00964937"/>
    <w:rsid w:val="0096535E"/>
    <w:rsid w:val="00965440"/>
    <w:rsid w:val="009665C2"/>
    <w:rsid w:val="00966951"/>
    <w:rsid w:val="00966B99"/>
    <w:rsid w:val="00966BEF"/>
    <w:rsid w:val="00967410"/>
    <w:rsid w:val="00967451"/>
    <w:rsid w:val="00967971"/>
    <w:rsid w:val="00967D01"/>
    <w:rsid w:val="00967D54"/>
    <w:rsid w:val="0097012E"/>
    <w:rsid w:val="00970989"/>
    <w:rsid w:val="00970BF0"/>
    <w:rsid w:val="00970E26"/>
    <w:rsid w:val="00971A32"/>
    <w:rsid w:val="00972185"/>
    <w:rsid w:val="009722EE"/>
    <w:rsid w:val="009726DC"/>
    <w:rsid w:val="009737D1"/>
    <w:rsid w:val="00973C00"/>
    <w:rsid w:val="00973E80"/>
    <w:rsid w:val="00973FB5"/>
    <w:rsid w:val="00974241"/>
    <w:rsid w:val="00974DEB"/>
    <w:rsid w:val="0097503B"/>
    <w:rsid w:val="00975687"/>
    <w:rsid w:val="009757F1"/>
    <w:rsid w:val="00975950"/>
    <w:rsid w:val="00975AB0"/>
    <w:rsid w:val="0097606E"/>
    <w:rsid w:val="00976142"/>
    <w:rsid w:val="0097663B"/>
    <w:rsid w:val="00976F2E"/>
    <w:rsid w:val="009770FB"/>
    <w:rsid w:val="00977257"/>
    <w:rsid w:val="0098049E"/>
    <w:rsid w:val="009805A4"/>
    <w:rsid w:val="00980B91"/>
    <w:rsid w:val="00980D99"/>
    <w:rsid w:val="00980F4E"/>
    <w:rsid w:val="009811BA"/>
    <w:rsid w:val="0098162D"/>
    <w:rsid w:val="009821A6"/>
    <w:rsid w:val="0098257B"/>
    <w:rsid w:val="00982D2C"/>
    <w:rsid w:val="00982EEA"/>
    <w:rsid w:val="00984B91"/>
    <w:rsid w:val="00985530"/>
    <w:rsid w:val="009858DC"/>
    <w:rsid w:val="00985AB1"/>
    <w:rsid w:val="00985EA9"/>
    <w:rsid w:val="00985EE1"/>
    <w:rsid w:val="0098679F"/>
    <w:rsid w:val="00986A09"/>
    <w:rsid w:val="00986B2F"/>
    <w:rsid w:val="00986C58"/>
    <w:rsid w:val="00986DDE"/>
    <w:rsid w:val="0098761A"/>
    <w:rsid w:val="00991A18"/>
    <w:rsid w:val="0099286E"/>
    <w:rsid w:val="0099371B"/>
    <w:rsid w:val="009937E4"/>
    <w:rsid w:val="009946F0"/>
    <w:rsid w:val="009948FD"/>
    <w:rsid w:val="00994B47"/>
    <w:rsid w:val="00994B9C"/>
    <w:rsid w:val="009951EB"/>
    <w:rsid w:val="0099559C"/>
    <w:rsid w:val="009962D1"/>
    <w:rsid w:val="0099637E"/>
    <w:rsid w:val="00996B64"/>
    <w:rsid w:val="009971F2"/>
    <w:rsid w:val="009A007A"/>
    <w:rsid w:val="009A0D8B"/>
    <w:rsid w:val="009A1342"/>
    <w:rsid w:val="009A14A4"/>
    <w:rsid w:val="009A2494"/>
    <w:rsid w:val="009A254D"/>
    <w:rsid w:val="009A2DB9"/>
    <w:rsid w:val="009A3975"/>
    <w:rsid w:val="009A42AA"/>
    <w:rsid w:val="009A4751"/>
    <w:rsid w:val="009A522B"/>
    <w:rsid w:val="009A53AE"/>
    <w:rsid w:val="009A5422"/>
    <w:rsid w:val="009A55B0"/>
    <w:rsid w:val="009A5641"/>
    <w:rsid w:val="009A586D"/>
    <w:rsid w:val="009A59EA"/>
    <w:rsid w:val="009A5D83"/>
    <w:rsid w:val="009A67B9"/>
    <w:rsid w:val="009A69EA"/>
    <w:rsid w:val="009A7029"/>
    <w:rsid w:val="009A70CB"/>
    <w:rsid w:val="009A7576"/>
    <w:rsid w:val="009A7866"/>
    <w:rsid w:val="009B0C7E"/>
    <w:rsid w:val="009B0FAB"/>
    <w:rsid w:val="009B1120"/>
    <w:rsid w:val="009B11B0"/>
    <w:rsid w:val="009B1350"/>
    <w:rsid w:val="009B194B"/>
    <w:rsid w:val="009B1B09"/>
    <w:rsid w:val="009B1F53"/>
    <w:rsid w:val="009B2BB6"/>
    <w:rsid w:val="009B2C76"/>
    <w:rsid w:val="009B2CD9"/>
    <w:rsid w:val="009B2E07"/>
    <w:rsid w:val="009B3554"/>
    <w:rsid w:val="009B3DC0"/>
    <w:rsid w:val="009B3E72"/>
    <w:rsid w:val="009B403C"/>
    <w:rsid w:val="009B41C3"/>
    <w:rsid w:val="009B4A55"/>
    <w:rsid w:val="009B5B11"/>
    <w:rsid w:val="009B605C"/>
    <w:rsid w:val="009B763D"/>
    <w:rsid w:val="009B776E"/>
    <w:rsid w:val="009B78F0"/>
    <w:rsid w:val="009B7D4A"/>
    <w:rsid w:val="009C0321"/>
    <w:rsid w:val="009C07C0"/>
    <w:rsid w:val="009C0AD3"/>
    <w:rsid w:val="009C0AEB"/>
    <w:rsid w:val="009C0D8D"/>
    <w:rsid w:val="009C12EA"/>
    <w:rsid w:val="009C155C"/>
    <w:rsid w:val="009C16E2"/>
    <w:rsid w:val="009C1D05"/>
    <w:rsid w:val="009C1F7F"/>
    <w:rsid w:val="009C2509"/>
    <w:rsid w:val="009C25B4"/>
    <w:rsid w:val="009C2917"/>
    <w:rsid w:val="009C2F41"/>
    <w:rsid w:val="009C33C4"/>
    <w:rsid w:val="009C3FCA"/>
    <w:rsid w:val="009C3FCF"/>
    <w:rsid w:val="009C420F"/>
    <w:rsid w:val="009C433E"/>
    <w:rsid w:val="009C44D0"/>
    <w:rsid w:val="009C465B"/>
    <w:rsid w:val="009C51D8"/>
    <w:rsid w:val="009C536C"/>
    <w:rsid w:val="009C5BA9"/>
    <w:rsid w:val="009C5C2E"/>
    <w:rsid w:val="009C6FE4"/>
    <w:rsid w:val="009C74D0"/>
    <w:rsid w:val="009C7789"/>
    <w:rsid w:val="009C79AF"/>
    <w:rsid w:val="009C7A86"/>
    <w:rsid w:val="009C7FD8"/>
    <w:rsid w:val="009D01A3"/>
    <w:rsid w:val="009D02D3"/>
    <w:rsid w:val="009D10FD"/>
    <w:rsid w:val="009D11ED"/>
    <w:rsid w:val="009D11FB"/>
    <w:rsid w:val="009D12E6"/>
    <w:rsid w:val="009D14C2"/>
    <w:rsid w:val="009D1520"/>
    <w:rsid w:val="009D1A74"/>
    <w:rsid w:val="009D1F15"/>
    <w:rsid w:val="009D2711"/>
    <w:rsid w:val="009D3AD4"/>
    <w:rsid w:val="009D3FCD"/>
    <w:rsid w:val="009D404A"/>
    <w:rsid w:val="009D4AD7"/>
    <w:rsid w:val="009D4F64"/>
    <w:rsid w:val="009D5D14"/>
    <w:rsid w:val="009D5D3E"/>
    <w:rsid w:val="009D5E43"/>
    <w:rsid w:val="009D5F53"/>
    <w:rsid w:val="009D6460"/>
    <w:rsid w:val="009E0197"/>
    <w:rsid w:val="009E049E"/>
    <w:rsid w:val="009E06A0"/>
    <w:rsid w:val="009E0840"/>
    <w:rsid w:val="009E0B6B"/>
    <w:rsid w:val="009E0D87"/>
    <w:rsid w:val="009E0E71"/>
    <w:rsid w:val="009E1245"/>
    <w:rsid w:val="009E178C"/>
    <w:rsid w:val="009E1EAB"/>
    <w:rsid w:val="009E2674"/>
    <w:rsid w:val="009E26EE"/>
    <w:rsid w:val="009E27BF"/>
    <w:rsid w:val="009E3A85"/>
    <w:rsid w:val="009E3BB5"/>
    <w:rsid w:val="009E4101"/>
    <w:rsid w:val="009E41D5"/>
    <w:rsid w:val="009E44C1"/>
    <w:rsid w:val="009E4CFF"/>
    <w:rsid w:val="009E534A"/>
    <w:rsid w:val="009E553C"/>
    <w:rsid w:val="009E5683"/>
    <w:rsid w:val="009E5EC9"/>
    <w:rsid w:val="009E651A"/>
    <w:rsid w:val="009E743A"/>
    <w:rsid w:val="009E7601"/>
    <w:rsid w:val="009E7790"/>
    <w:rsid w:val="009E7B74"/>
    <w:rsid w:val="009F0B8C"/>
    <w:rsid w:val="009F103E"/>
    <w:rsid w:val="009F118F"/>
    <w:rsid w:val="009F124C"/>
    <w:rsid w:val="009F12FA"/>
    <w:rsid w:val="009F15C1"/>
    <w:rsid w:val="009F1EE3"/>
    <w:rsid w:val="009F244F"/>
    <w:rsid w:val="009F3400"/>
    <w:rsid w:val="009F3765"/>
    <w:rsid w:val="009F3BDE"/>
    <w:rsid w:val="009F43AC"/>
    <w:rsid w:val="009F49AE"/>
    <w:rsid w:val="009F4AF0"/>
    <w:rsid w:val="009F4B45"/>
    <w:rsid w:val="009F53ED"/>
    <w:rsid w:val="009F56B7"/>
    <w:rsid w:val="009F5A03"/>
    <w:rsid w:val="009F5A92"/>
    <w:rsid w:val="009F5C48"/>
    <w:rsid w:val="009F608B"/>
    <w:rsid w:val="009F6A46"/>
    <w:rsid w:val="009F6F79"/>
    <w:rsid w:val="009F70C3"/>
    <w:rsid w:val="009F743C"/>
    <w:rsid w:val="009F75E3"/>
    <w:rsid w:val="009F7833"/>
    <w:rsid w:val="00A001F2"/>
    <w:rsid w:val="00A01057"/>
    <w:rsid w:val="00A01968"/>
    <w:rsid w:val="00A020E9"/>
    <w:rsid w:val="00A02C10"/>
    <w:rsid w:val="00A03316"/>
    <w:rsid w:val="00A03340"/>
    <w:rsid w:val="00A03776"/>
    <w:rsid w:val="00A04447"/>
    <w:rsid w:val="00A057C5"/>
    <w:rsid w:val="00A0597B"/>
    <w:rsid w:val="00A05D40"/>
    <w:rsid w:val="00A05DEE"/>
    <w:rsid w:val="00A05FAA"/>
    <w:rsid w:val="00A06259"/>
    <w:rsid w:val="00A072D5"/>
    <w:rsid w:val="00A07329"/>
    <w:rsid w:val="00A07DF7"/>
    <w:rsid w:val="00A07F7E"/>
    <w:rsid w:val="00A1042E"/>
    <w:rsid w:val="00A1053B"/>
    <w:rsid w:val="00A106BC"/>
    <w:rsid w:val="00A10931"/>
    <w:rsid w:val="00A10B76"/>
    <w:rsid w:val="00A115E0"/>
    <w:rsid w:val="00A11630"/>
    <w:rsid w:val="00A11FDF"/>
    <w:rsid w:val="00A125C6"/>
    <w:rsid w:val="00A12A2C"/>
    <w:rsid w:val="00A13563"/>
    <w:rsid w:val="00A13A12"/>
    <w:rsid w:val="00A14022"/>
    <w:rsid w:val="00A1493F"/>
    <w:rsid w:val="00A153D4"/>
    <w:rsid w:val="00A15BB5"/>
    <w:rsid w:val="00A15DEF"/>
    <w:rsid w:val="00A15DFC"/>
    <w:rsid w:val="00A1625B"/>
    <w:rsid w:val="00A162C8"/>
    <w:rsid w:val="00A171E1"/>
    <w:rsid w:val="00A17CAC"/>
    <w:rsid w:val="00A2021B"/>
    <w:rsid w:val="00A20900"/>
    <w:rsid w:val="00A20CBC"/>
    <w:rsid w:val="00A20F06"/>
    <w:rsid w:val="00A211B7"/>
    <w:rsid w:val="00A22147"/>
    <w:rsid w:val="00A224C0"/>
    <w:rsid w:val="00A22C06"/>
    <w:rsid w:val="00A23083"/>
    <w:rsid w:val="00A23117"/>
    <w:rsid w:val="00A235B4"/>
    <w:rsid w:val="00A237AB"/>
    <w:rsid w:val="00A242CA"/>
    <w:rsid w:val="00A24B95"/>
    <w:rsid w:val="00A24D11"/>
    <w:rsid w:val="00A25419"/>
    <w:rsid w:val="00A25BC2"/>
    <w:rsid w:val="00A26216"/>
    <w:rsid w:val="00A2625B"/>
    <w:rsid w:val="00A264F5"/>
    <w:rsid w:val="00A26E0B"/>
    <w:rsid w:val="00A27015"/>
    <w:rsid w:val="00A2775E"/>
    <w:rsid w:val="00A27816"/>
    <w:rsid w:val="00A27990"/>
    <w:rsid w:val="00A27C38"/>
    <w:rsid w:val="00A3092D"/>
    <w:rsid w:val="00A31AAD"/>
    <w:rsid w:val="00A320B8"/>
    <w:rsid w:val="00A3295E"/>
    <w:rsid w:val="00A33560"/>
    <w:rsid w:val="00A3377E"/>
    <w:rsid w:val="00A33937"/>
    <w:rsid w:val="00A33F73"/>
    <w:rsid w:val="00A34088"/>
    <w:rsid w:val="00A3440A"/>
    <w:rsid w:val="00A35705"/>
    <w:rsid w:val="00A35E9B"/>
    <w:rsid w:val="00A3663E"/>
    <w:rsid w:val="00A36F7E"/>
    <w:rsid w:val="00A37928"/>
    <w:rsid w:val="00A405A2"/>
    <w:rsid w:val="00A41A39"/>
    <w:rsid w:val="00A42FED"/>
    <w:rsid w:val="00A43AFD"/>
    <w:rsid w:val="00A43D5E"/>
    <w:rsid w:val="00A4460D"/>
    <w:rsid w:val="00A44A84"/>
    <w:rsid w:val="00A45279"/>
    <w:rsid w:val="00A45B6A"/>
    <w:rsid w:val="00A45B7D"/>
    <w:rsid w:val="00A46278"/>
    <w:rsid w:val="00A462FE"/>
    <w:rsid w:val="00A46859"/>
    <w:rsid w:val="00A46A18"/>
    <w:rsid w:val="00A46B7E"/>
    <w:rsid w:val="00A47F36"/>
    <w:rsid w:val="00A47F65"/>
    <w:rsid w:val="00A504FC"/>
    <w:rsid w:val="00A505F1"/>
    <w:rsid w:val="00A51F50"/>
    <w:rsid w:val="00A51F7B"/>
    <w:rsid w:val="00A5341E"/>
    <w:rsid w:val="00A54412"/>
    <w:rsid w:val="00A54CC7"/>
    <w:rsid w:val="00A54DDC"/>
    <w:rsid w:val="00A54E09"/>
    <w:rsid w:val="00A54E0A"/>
    <w:rsid w:val="00A54E32"/>
    <w:rsid w:val="00A54EAF"/>
    <w:rsid w:val="00A558F5"/>
    <w:rsid w:val="00A55C95"/>
    <w:rsid w:val="00A56646"/>
    <w:rsid w:val="00A57455"/>
    <w:rsid w:val="00A60531"/>
    <w:rsid w:val="00A60C98"/>
    <w:rsid w:val="00A6121E"/>
    <w:rsid w:val="00A61BEA"/>
    <w:rsid w:val="00A61E69"/>
    <w:rsid w:val="00A626CF"/>
    <w:rsid w:val="00A62863"/>
    <w:rsid w:val="00A62E1E"/>
    <w:rsid w:val="00A638FB"/>
    <w:rsid w:val="00A63EDA"/>
    <w:rsid w:val="00A64696"/>
    <w:rsid w:val="00A648C3"/>
    <w:rsid w:val="00A64A78"/>
    <w:rsid w:val="00A64F8E"/>
    <w:rsid w:val="00A652C8"/>
    <w:rsid w:val="00A65573"/>
    <w:rsid w:val="00A656F2"/>
    <w:rsid w:val="00A67A4D"/>
    <w:rsid w:val="00A703C8"/>
    <w:rsid w:val="00A7081F"/>
    <w:rsid w:val="00A709C3"/>
    <w:rsid w:val="00A70D9A"/>
    <w:rsid w:val="00A71235"/>
    <w:rsid w:val="00A713A0"/>
    <w:rsid w:val="00A7156E"/>
    <w:rsid w:val="00A717CD"/>
    <w:rsid w:val="00A71F74"/>
    <w:rsid w:val="00A722DF"/>
    <w:rsid w:val="00A726E1"/>
    <w:rsid w:val="00A72B64"/>
    <w:rsid w:val="00A72FCA"/>
    <w:rsid w:val="00A73178"/>
    <w:rsid w:val="00A732A0"/>
    <w:rsid w:val="00A74672"/>
    <w:rsid w:val="00A747C3"/>
    <w:rsid w:val="00A74BC7"/>
    <w:rsid w:val="00A74E44"/>
    <w:rsid w:val="00A750F3"/>
    <w:rsid w:val="00A75C08"/>
    <w:rsid w:val="00A76615"/>
    <w:rsid w:val="00A7669B"/>
    <w:rsid w:val="00A76859"/>
    <w:rsid w:val="00A76E1F"/>
    <w:rsid w:val="00A771A1"/>
    <w:rsid w:val="00A7732F"/>
    <w:rsid w:val="00A77926"/>
    <w:rsid w:val="00A77959"/>
    <w:rsid w:val="00A77FD7"/>
    <w:rsid w:val="00A80134"/>
    <w:rsid w:val="00A80452"/>
    <w:rsid w:val="00A8097F"/>
    <w:rsid w:val="00A80C40"/>
    <w:rsid w:val="00A80E9F"/>
    <w:rsid w:val="00A8128B"/>
    <w:rsid w:val="00A8134A"/>
    <w:rsid w:val="00A82433"/>
    <w:rsid w:val="00A8259F"/>
    <w:rsid w:val="00A82884"/>
    <w:rsid w:val="00A82FA6"/>
    <w:rsid w:val="00A851E8"/>
    <w:rsid w:val="00A85227"/>
    <w:rsid w:val="00A85584"/>
    <w:rsid w:val="00A864EC"/>
    <w:rsid w:val="00A8659A"/>
    <w:rsid w:val="00A86A91"/>
    <w:rsid w:val="00A87022"/>
    <w:rsid w:val="00A8707E"/>
    <w:rsid w:val="00A872BC"/>
    <w:rsid w:val="00A87B82"/>
    <w:rsid w:val="00A90EC8"/>
    <w:rsid w:val="00A91AEA"/>
    <w:rsid w:val="00A91DDD"/>
    <w:rsid w:val="00A9261F"/>
    <w:rsid w:val="00A9262F"/>
    <w:rsid w:val="00A929F0"/>
    <w:rsid w:val="00A92C79"/>
    <w:rsid w:val="00A93131"/>
    <w:rsid w:val="00A93246"/>
    <w:rsid w:val="00A93B09"/>
    <w:rsid w:val="00A93BBB"/>
    <w:rsid w:val="00A9425C"/>
    <w:rsid w:val="00A942E0"/>
    <w:rsid w:val="00A94625"/>
    <w:rsid w:val="00A94703"/>
    <w:rsid w:val="00A94A92"/>
    <w:rsid w:val="00A94C19"/>
    <w:rsid w:val="00A95389"/>
    <w:rsid w:val="00A95406"/>
    <w:rsid w:val="00A959C7"/>
    <w:rsid w:val="00A96260"/>
    <w:rsid w:val="00A9626B"/>
    <w:rsid w:val="00A967D0"/>
    <w:rsid w:val="00A9777A"/>
    <w:rsid w:val="00A97FF0"/>
    <w:rsid w:val="00AA028F"/>
    <w:rsid w:val="00AA0B9A"/>
    <w:rsid w:val="00AA0EE4"/>
    <w:rsid w:val="00AA0FEC"/>
    <w:rsid w:val="00AA16B3"/>
    <w:rsid w:val="00AA1A23"/>
    <w:rsid w:val="00AA1AB7"/>
    <w:rsid w:val="00AA1BC1"/>
    <w:rsid w:val="00AA2629"/>
    <w:rsid w:val="00AA26EC"/>
    <w:rsid w:val="00AA3084"/>
    <w:rsid w:val="00AA323F"/>
    <w:rsid w:val="00AA36FC"/>
    <w:rsid w:val="00AA3847"/>
    <w:rsid w:val="00AA39E5"/>
    <w:rsid w:val="00AA3F27"/>
    <w:rsid w:val="00AA47A6"/>
    <w:rsid w:val="00AA48F9"/>
    <w:rsid w:val="00AA4DA3"/>
    <w:rsid w:val="00AA4F42"/>
    <w:rsid w:val="00AA517F"/>
    <w:rsid w:val="00AA5891"/>
    <w:rsid w:val="00AA5BE7"/>
    <w:rsid w:val="00AA6951"/>
    <w:rsid w:val="00AA69F1"/>
    <w:rsid w:val="00AA70C2"/>
    <w:rsid w:val="00AA7325"/>
    <w:rsid w:val="00AA78E5"/>
    <w:rsid w:val="00AA7A0F"/>
    <w:rsid w:val="00AB00CD"/>
    <w:rsid w:val="00AB055A"/>
    <w:rsid w:val="00AB1154"/>
    <w:rsid w:val="00AB1376"/>
    <w:rsid w:val="00AB17D8"/>
    <w:rsid w:val="00AB1D58"/>
    <w:rsid w:val="00AB1E0E"/>
    <w:rsid w:val="00AB2330"/>
    <w:rsid w:val="00AB2374"/>
    <w:rsid w:val="00AB243E"/>
    <w:rsid w:val="00AB24E5"/>
    <w:rsid w:val="00AB297C"/>
    <w:rsid w:val="00AB2F25"/>
    <w:rsid w:val="00AB3659"/>
    <w:rsid w:val="00AB3869"/>
    <w:rsid w:val="00AB3E30"/>
    <w:rsid w:val="00AB407E"/>
    <w:rsid w:val="00AB40AA"/>
    <w:rsid w:val="00AB491A"/>
    <w:rsid w:val="00AB5B22"/>
    <w:rsid w:val="00AB6B32"/>
    <w:rsid w:val="00AB72A2"/>
    <w:rsid w:val="00AB75FC"/>
    <w:rsid w:val="00AB7B1C"/>
    <w:rsid w:val="00AC0525"/>
    <w:rsid w:val="00AC0B70"/>
    <w:rsid w:val="00AC0D97"/>
    <w:rsid w:val="00AC0E70"/>
    <w:rsid w:val="00AC1780"/>
    <w:rsid w:val="00AC1785"/>
    <w:rsid w:val="00AC1EAD"/>
    <w:rsid w:val="00AC1FEA"/>
    <w:rsid w:val="00AC2132"/>
    <w:rsid w:val="00AC2538"/>
    <w:rsid w:val="00AC25BE"/>
    <w:rsid w:val="00AC2677"/>
    <w:rsid w:val="00AC2A8A"/>
    <w:rsid w:val="00AC3189"/>
    <w:rsid w:val="00AC36A2"/>
    <w:rsid w:val="00AC38A5"/>
    <w:rsid w:val="00AC4ADE"/>
    <w:rsid w:val="00AC51F6"/>
    <w:rsid w:val="00AC5A3B"/>
    <w:rsid w:val="00AC5B35"/>
    <w:rsid w:val="00AC65FA"/>
    <w:rsid w:val="00AC66CE"/>
    <w:rsid w:val="00AC6745"/>
    <w:rsid w:val="00AC674B"/>
    <w:rsid w:val="00AC6B59"/>
    <w:rsid w:val="00AC6B9A"/>
    <w:rsid w:val="00AC7CC6"/>
    <w:rsid w:val="00AD00C1"/>
    <w:rsid w:val="00AD06FC"/>
    <w:rsid w:val="00AD0EA5"/>
    <w:rsid w:val="00AD1222"/>
    <w:rsid w:val="00AD1451"/>
    <w:rsid w:val="00AD1935"/>
    <w:rsid w:val="00AD224D"/>
    <w:rsid w:val="00AD2EB2"/>
    <w:rsid w:val="00AD3736"/>
    <w:rsid w:val="00AD3C8C"/>
    <w:rsid w:val="00AD3F21"/>
    <w:rsid w:val="00AD45D2"/>
    <w:rsid w:val="00AD4788"/>
    <w:rsid w:val="00AD506E"/>
    <w:rsid w:val="00AD5728"/>
    <w:rsid w:val="00AD6803"/>
    <w:rsid w:val="00AD6881"/>
    <w:rsid w:val="00AD6F9A"/>
    <w:rsid w:val="00AD71BE"/>
    <w:rsid w:val="00AD739D"/>
    <w:rsid w:val="00AD7BA9"/>
    <w:rsid w:val="00AD7DD6"/>
    <w:rsid w:val="00AE040C"/>
    <w:rsid w:val="00AE082A"/>
    <w:rsid w:val="00AE0C8A"/>
    <w:rsid w:val="00AE10BB"/>
    <w:rsid w:val="00AE13A1"/>
    <w:rsid w:val="00AE1585"/>
    <w:rsid w:val="00AE2DB0"/>
    <w:rsid w:val="00AE34F9"/>
    <w:rsid w:val="00AE3695"/>
    <w:rsid w:val="00AE3A9D"/>
    <w:rsid w:val="00AE3C8E"/>
    <w:rsid w:val="00AE3D59"/>
    <w:rsid w:val="00AE3EE4"/>
    <w:rsid w:val="00AE4128"/>
    <w:rsid w:val="00AE48A5"/>
    <w:rsid w:val="00AE4923"/>
    <w:rsid w:val="00AE50BA"/>
    <w:rsid w:val="00AE58F7"/>
    <w:rsid w:val="00AE5B1C"/>
    <w:rsid w:val="00AE5C31"/>
    <w:rsid w:val="00AE5DDD"/>
    <w:rsid w:val="00AE6261"/>
    <w:rsid w:val="00AE66F1"/>
    <w:rsid w:val="00AE6AA6"/>
    <w:rsid w:val="00AE7034"/>
    <w:rsid w:val="00AE7857"/>
    <w:rsid w:val="00AE7950"/>
    <w:rsid w:val="00AE7FBD"/>
    <w:rsid w:val="00AE7FF2"/>
    <w:rsid w:val="00AF036B"/>
    <w:rsid w:val="00AF0632"/>
    <w:rsid w:val="00AF0AA0"/>
    <w:rsid w:val="00AF0F22"/>
    <w:rsid w:val="00AF118E"/>
    <w:rsid w:val="00AF1457"/>
    <w:rsid w:val="00AF1831"/>
    <w:rsid w:val="00AF21E5"/>
    <w:rsid w:val="00AF23E7"/>
    <w:rsid w:val="00AF2565"/>
    <w:rsid w:val="00AF2900"/>
    <w:rsid w:val="00AF3195"/>
    <w:rsid w:val="00AF36DC"/>
    <w:rsid w:val="00AF37A3"/>
    <w:rsid w:val="00AF38CC"/>
    <w:rsid w:val="00AF39DA"/>
    <w:rsid w:val="00AF3C38"/>
    <w:rsid w:val="00AF3ED8"/>
    <w:rsid w:val="00AF411E"/>
    <w:rsid w:val="00AF4573"/>
    <w:rsid w:val="00AF46F3"/>
    <w:rsid w:val="00AF4A33"/>
    <w:rsid w:val="00AF4D6B"/>
    <w:rsid w:val="00AF51A2"/>
    <w:rsid w:val="00AF53BB"/>
    <w:rsid w:val="00AF5740"/>
    <w:rsid w:val="00AF5AED"/>
    <w:rsid w:val="00AF5C66"/>
    <w:rsid w:val="00AF7151"/>
    <w:rsid w:val="00AF7469"/>
    <w:rsid w:val="00AF7771"/>
    <w:rsid w:val="00B000FF"/>
    <w:rsid w:val="00B01D03"/>
    <w:rsid w:val="00B01F88"/>
    <w:rsid w:val="00B027F8"/>
    <w:rsid w:val="00B029D2"/>
    <w:rsid w:val="00B03657"/>
    <w:rsid w:val="00B04072"/>
    <w:rsid w:val="00B04CE5"/>
    <w:rsid w:val="00B05172"/>
    <w:rsid w:val="00B0523C"/>
    <w:rsid w:val="00B0593E"/>
    <w:rsid w:val="00B0626B"/>
    <w:rsid w:val="00B064C1"/>
    <w:rsid w:val="00B06538"/>
    <w:rsid w:val="00B0672A"/>
    <w:rsid w:val="00B06783"/>
    <w:rsid w:val="00B10027"/>
    <w:rsid w:val="00B10086"/>
    <w:rsid w:val="00B10465"/>
    <w:rsid w:val="00B1048E"/>
    <w:rsid w:val="00B10A65"/>
    <w:rsid w:val="00B1101E"/>
    <w:rsid w:val="00B118CC"/>
    <w:rsid w:val="00B1356B"/>
    <w:rsid w:val="00B13682"/>
    <w:rsid w:val="00B14991"/>
    <w:rsid w:val="00B14E4B"/>
    <w:rsid w:val="00B16066"/>
    <w:rsid w:val="00B162CB"/>
    <w:rsid w:val="00B16A89"/>
    <w:rsid w:val="00B16DE4"/>
    <w:rsid w:val="00B17124"/>
    <w:rsid w:val="00B17AFE"/>
    <w:rsid w:val="00B2024E"/>
    <w:rsid w:val="00B20410"/>
    <w:rsid w:val="00B208F1"/>
    <w:rsid w:val="00B2130B"/>
    <w:rsid w:val="00B2270B"/>
    <w:rsid w:val="00B22869"/>
    <w:rsid w:val="00B229BB"/>
    <w:rsid w:val="00B22A4C"/>
    <w:rsid w:val="00B22BCD"/>
    <w:rsid w:val="00B23D9F"/>
    <w:rsid w:val="00B23F14"/>
    <w:rsid w:val="00B24BB7"/>
    <w:rsid w:val="00B259E1"/>
    <w:rsid w:val="00B25C9F"/>
    <w:rsid w:val="00B26027"/>
    <w:rsid w:val="00B2612C"/>
    <w:rsid w:val="00B27264"/>
    <w:rsid w:val="00B27A4F"/>
    <w:rsid w:val="00B3091F"/>
    <w:rsid w:val="00B30D1A"/>
    <w:rsid w:val="00B3184D"/>
    <w:rsid w:val="00B32A4A"/>
    <w:rsid w:val="00B32A52"/>
    <w:rsid w:val="00B33F75"/>
    <w:rsid w:val="00B34756"/>
    <w:rsid w:val="00B347F6"/>
    <w:rsid w:val="00B34A7A"/>
    <w:rsid w:val="00B34F21"/>
    <w:rsid w:val="00B350AC"/>
    <w:rsid w:val="00B355BD"/>
    <w:rsid w:val="00B358CC"/>
    <w:rsid w:val="00B35E88"/>
    <w:rsid w:val="00B35FF9"/>
    <w:rsid w:val="00B36B03"/>
    <w:rsid w:val="00B36CF0"/>
    <w:rsid w:val="00B36F1C"/>
    <w:rsid w:val="00B37566"/>
    <w:rsid w:val="00B37943"/>
    <w:rsid w:val="00B37B17"/>
    <w:rsid w:val="00B37BE1"/>
    <w:rsid w:val="00B40410"/>
    <w:rsid w:val="00B40588"/>
    <w:rsid w:val="00B4131D"/>
    <w:rsid w:val="00B41446"/>
    <w:rsid w:val="00B41579"/>
    <w:rsid w:val="00B41A00"/>
    <w:rsid w:val="00B41FC6"/>
    <w:rsid w:val="00B42267"/>
    <w:rsid w:val="00B425C6"/>
    <w:rsid w:val="00B42F22"/>
    <w:rsid w:val="00B42F6E"/>
    <w:rsid w:val="00B43279"/>
    <w:rsid w:val="00B4413E"/>
    <w:rsid w:val="00B441BB"/>
    <w:rsid w:val="00B4432C"/>
    <w:rsid w:val="00B4485E"/>
    <w:rsid w:val="00B44891"/>
    <w:rsid w:val="00B45158"/>
    <w:rsid w:val="00B453BD"/>
    <w:rsid w:val="00B45E09"/>
    <w:rsid w:val="00B464A1"/>
    <w:rsid w:val="00B465CE"/>
    <w:rsid w:val="00B46984"/>
    <w:rsid w:val="00B46AA1"/>
    <w:rsid w:val="00B471BB"/>
    <w:rsid w:val="00B52832"/>
    <w:rsid w:val="00B52B6E"/>
    <w:rsid w:val="00B52E68"/>
    <w:rsid w:val="00B5339E"/>
    <w:rsid w:val="00B5367D"/>
    <w:rsid w:val="00B53BBC"/>
    <w:rsid w:val="00B53E04"/>
    <w:rsid w:val="00B54600"/>
    <w:rsid w:val="00B54746"/>
    <w:rsid w:val="00B555C6"/>
    <w:rsid w:val="00B563DE"/>
    <w:rsid w:val="00B564FE"/>
    <w:rsid w:val="00B565DF"/>
    <w:rsid w:val="00B56849"/>
    <w:rsid w:val="00B60AD6"/>
    <w:rsid w:val="00B61D6D"/>
    <w:rsid w:val="00B62040"/>
    <w:rsid w:val="00B62138"/>
    <w:rsid w:val="00B62C1F"/>
    <w:rsid w:val="00B62EBE"/>
    <w:rsid w:val="00B63588"/>
    <w:rsid w:val="00B63B66"/>
    <w:rsid w:val="00B640B1"/>
    <w:rsid w:val="00B64294"/>
    <w:rsid w:val="00B646C0"/>
    <w:rsid w:val="00B64B37"/>
    <w:rsid w:val="00B64D02"/>
    <w:rsid w:val="00B6546C"/>
    <w:rsid w:val="00B65BB5"/>
    <w:rsid w:val="00B65FD6"/>
    <w:rsid w:val="00B664B9"/>
    <w:rsid w:val="00B667E7"/>
    <w:rsid w:val="00B67524"/>
    <w:rsid w:val="00B676C7"/>
    <w:rsid w:val="00B67A15"/>
    <w:rsid w:val="00B67FF4"/>
    <w:rsid w:val="00B70D15"/>
    <w:rsid w:val="00B70F7B"/>
    <w:rsid w:val="00B71773"/>
    <w:rsid w:val="00B71850"/>
    <w:rsid w:val="00B71BE8"/>
    <w:rsid w:val="00B71E9E"/>
    <w:rsid w:val="00B720DB"/>
    <w:rsid w:val="00B722D1"/>
    <w:rsid w:val="00B72E01"/>
    <w:rsid w:val="00B72E59"/>
    <w:rsid w:val="00B7301B"/>
    <w:rsid w:val="00B74047"/>
    <w:rsid w:val="00B74F99"/>
    <w:rsid w:val="00B7512C"/>
    <w:rsid w:val="00B7523C"/>
    <w:rsid w:val="00B752F0"/>
    <w:rsid w:val="00B75912"/>
    <w:rsid w:val="00B75F73"/>
    <w:rsid w:val="00B766DE"/>
    <w:rsid w:val="00B76BA4"/>
    <w:rsid w:val="00B7713F"/>
    <w:rsid w:val="00B77609"/>
    <w:rsid w:val="00B77B97"/>
    <w:rsid w:val="00B80109"/>
    <w:rsid w:val="00B8084C"/>
    <w:rsid w:val="00B80E02"/>
    <w:rsid w:val="00B81528"/>
    <w:rsid w:val="00B821E7"/>
    <w:rsid w:val="00B82C37"/>
    <w:rsid w:val="00B8365C"/>
    <w:rsid w:val="00B838A5"/>
    <w:rsid w:val="00B84B89"/>
    <w:rsid w:val="00B854C7"/>
    <w:rsid w:val="00B858E3"/>
    <w:rsid w:val="00B85CA8"/>
    <w:rsid w:val="00B86160"/>
    <w:rsid w:val="00B869BF"/>
    <w:rsid w:val="00B87764"/>
    <w:rsid w:val="00B87C6F"/>
    <w:rsid w:val="00B87F7D"/>
    <w:rsid w:val="00B87FB6"/>
    <w:rsid w:val="00B9007B"/>
    <w:rsid w:val="00B90589"/>
    <w:rsid w:val="00B909E3"/>
    <w:rsid w:val="00B9149D"/>
    <w:rsid w:val="00B9160A"/>
    <w:rsid w:val="00B91AE2"/>
    <w:rsid w:val="00B91B10"/>
    <w:rsid w:val="00B91C56"/>
    <w:rsid w:val="00B92020"/>
    <w:rsid w:val="00B92517"/>
    <w:rsid w:val="00B92604"/>
    <w:rsid w:val="00B9278B"/>
    <w:rsid w:val="00B92A20"/>
    <w:rsid w:val="00B92C1A"/>
    <w:rsid w:val="00B92CCE"/>
    <w:rsid w:val="00B93310"/>
    <w:rsid w:val="00B93433"/>
    <w:rsid w:val="00B94149"/>
    <w:rsid w:val="00B94386"/>
    <w:rsid w:val="00B954A8"/>
    <w:rsid w:val="00B97DD5"/>
    <w:rsid w:val="00BA0923"/>
    <w:rsid w:val="00BA0F00"/>
    <w:rsid w:val="00BA23A7"/>
    <w:rsid w:val="00BA23FF"/>
    <w:rsid w:val="00BA25D0"/>
    <w:rsid w:val="00BA2A3A"/>
    <w:rsid w:val="00BA2B9B"/>
    <w:rsid w:val="00BA2CED"/>
    <w:rsid w:val="00BA30D8"/>
    <w:rsid w:val="00BA31B1"/>
    <w:rsid w:val="00BA36A2"/>
    <w:rsid w:val="00BA43DE"/>
    <w:rsid w:val="00BA4979"/>
    <w:rsid w:val="00BA4AF4"/>
    <w:rsid w:val="00BA5A5E"/>
    <w:rsid w:val="00BA75A8"/>
    <w:rsid w:val="00BA783A"/>
    <w:rsid w:val="00BA794C"/>
    <w:rsid w:val="00BB0209"/>
    <w:rsid w:val="00BB0233"/>
    <w:rsid w:val="00BB0F3F"/>
    <w:rsid w:val="00BB1162"/>
    <w:rsid w:val="00BB1B66"/>
    <w:rsid w:val="00BB2281"/>
    <w:rsid w:val="00BB2296"/>
    <w:rsid w:val="00BB24B7"/>
    <w:rsid w:val="00BB2A11"/>
    <w:rsid w:val="00BB2B7E"/>
    <w:rsid w:val="00BB2CED"/>
    <w:rsid w:val="00BB3308"/>
    <w:rsid w:val="00BB3850"/>
    <w:rsid w:val="00BB3F2B"/>
    <w:rsid w:val="00BB40D6"/>
    <w:rsid w:val="00BB441B"/>
    <w:rsid w:val="00BB50B5"/>
    <w:rsid w:val="00BB60A0"/>
    <w:rsid w:val="00BB616A"/>
    <w:rsid w:val="00BB65AD"/>
    <w:rsid w:val="00BB7086"/>
    <w:rsid w:val="00BB72CD"/>
    <w:rsid w:val="00BB76EA"/>
    <w:rsid w:val="00BB7C1F"/>
    <w:rsid w:val="00BC0147"/>
    <w:rsid w:val="00BC01D5"/>
    <w:rsid w:val="00BC02F2"/>
    <w:rsid w:val="00BC0410"/>
    <w:rsid w:val="00BC07F2"/>
    <w:rsid w:val="00BC1272"/>
    <w:rsid w:val="00BC186C"/>
    <w:rsid w:val="00BC2284"/>
    <w:rsid w:val="00BC268D"/>
    <w:rsid w:val="00BC293A"/>
    <w:rsid w:val="00BC2F1A"/>
    <w:rsid w:val="00BC3023"/>
    <w:rsid w:val="00BC3789"/>
    <w:rsid w:val="00BC3A22"/>
    <w:rsid w:val="00BC3C47"/>
    <w:rsid w:val="00BC405E"/>
    <w:rsid w:val="00BC40B0"/>
    <w:rsid w:val="00BC41BF"/>
    <w:rsid w:val="00BC4982"/>
    <w:rsid w:val="00BC4F2D"/>
    <w:rsid w:val="00BC5704"/>
    <w:rsid w:val="00BC5818"/>
    <w:rsid w:val="00BC5A5C"/>
    <w:rsid w:val="00BC6157"/>
    <w:rsid w:val="00BC6ED3"/>
    <w:rsid w:val="00BC6EF4"/>
    <w:rsid w:val="00BC6FB6"/>
    <w:rsid w:val="00BD0119"/>
    <w:rsid w:val="00BD0F12"/>
    <w:rsid w:val="00BD0F13"/>
    <w:rsid w:val="00BD1193"/>
    <w:rsid w:val="00BD11A3"/>
    <w:rsid w:val="00BD1A07"/>
    <w:rsid w:val="00BD28D0"/>
    <w:rsid w:val="00BD3062"/>
    <w:rsid w:val="00BD34F7"/>
    <w:rsid w:val="00BD3799"/>
    <w:rsid w:val="00BD3B74"/>
    <w:rsid w:val="00BD3BB2"/>
    <w:rsid w:val="00BD3D55"/>
    <w:rsid w:val="00BD47C7"/>
    <w:rsid w:val="00BD4A61"/>
    <w:rsid w:val="00BD4B8A"/>
    <w:rsid w:val="00BD4D15"/>
    <w:rsid w:val="00BD4D97"/>
    <w:rsid w:val="00BD6304"/>
    <w:rsid w:val="00BD6DEC"/>
    <w:rsid w:val="00BD75E7"/>
    <w:rsid w:val="00BD78E6"/>
    <w:rsid w:val="00BD7F66"/>
    <w:rsid w:val="00BE00B0"/>
    <w:rsid w:val="00BE0221"/>
    <w:rsid w:val="00BE111F"/>
    <w:rsid w:val="00BE15D8"/>
    <w:rsid w:val="00BE165B"/>
    <w:rsid w:val="00BE16B0"/>
    <w:rsid w:val="00BE171A"/>
    <w:rsid w:val="00BE1A49"/>
    <w:rsid w:val="00BE346D"/>
    <w:rsid w:val="00BE3802"/>
    <w:rsid w:val="00BE3C6A"/>
    <w:rsid w:val="00BE3DCA"/>
    <w:rsid w:val="00BE460E"/>
    <w:rsid w:val="00BE47FB"/>
    <w:rsid w:val="00BE4850"/>
    <w:rsid w:val="00BE4931"/>
    <w:rsid w:val="00BE51E2"/>
    <w:rsid w:val="00BE52A8"/>
    <w:rsid w:val="00BE559C"/>
    <w:rsid w:val="00BE5E4E"/>
    <w:rsid w:val="00BE611E"/>
    <w:rsid w:val="00BE616E"/>
    <w:rsid w:val="00BE70CF"/>
    <w:rsid w:val="00BE70D1"/>
    <w:rsid w:val="00BE788A"/>
    <w:rsid w:val="00BE7D7F"/>
    <w:rsid w:val="00BF0751"/>
    <w:rsid w:val="00BF09B2"/>
    <w:rsid w:val="00BF11D1"/>
    <w:rsid w:val="00BF1FD7"/>
    <w:rsid w:val="00BF3A64"/>
    <w:rsid w:val="00BF3B06"/>
    <w:rsid w:val="00BF4CF1"/>
    <w:rsid w:val="00BF5CDB"/>
    <w:rsid w:val="00BF5EE2"/>
    <w:rsid w:val="00BF68C2"/>
    <w:rsid w:val="00BF6B19"/>
    <w:rsid w:val="00BF6DAC"/>
    <w:rsid w:val="00BF794D"/>
    <w:rsid w:val="00C007D0"/>
    <w:rsid w:val="00C00A54"/>
    <w:rsid w:val="00C00B52"/>
    <w:rsid w:val="00C00BE5"/>
    <w:rsid w:val="00C02D5B"/>
    <w:rsid w:val="00C03548"/>
    <w:rsid w:val="00C04CAD"/>
    <w:rsid w:val="00C10336"/>
    <w:rsid w:val="00C10EF6"/>
    <w:rsid w:val="00C1170C"/>
    <w:rsid w:val="00C127E1"/>
    <w:rsid w:val="00C12FA7"/>
    <w:rsid w:val="00C12FCD"/>
    <w:rsid w:val="00C1338D"/>
    <w:rsid w:val="00C134EF"/>
    <w:rsid w:val="00C13624"/>
    <w:rsid w:val="00C136A4"/>
    <w:rsid w:val="00C13F24"/>
    <w:rsid w:val="00C143B2"/>
    <w:rsid w:val="00C1485B"/>
    <w:rsid w:val="00C14C2F"/>
    <w:rsid w:val="00C14C5B"/>
    <w:rsid w:val="00C15511"/>
    <w:rsid w:val="00C15A10"/>
    <w:rsid w:val="00C162F7"/>
    <w:rsid w:val="00C178DB"/>
    <w:rsid w:val="00C17CCC"/>
    <w:rsid w:val="00C2067A"/>
    <w:rsid w:val="00C2126A"/>
    <w:rsid w:val="00C21298"/>
    <w:rsid w:val="00C21F6A"/>
    <w:rsid w:val="00C2209D"/>
    <w:rsid w:val="00C2216A"/>
    <w:rsid w:val="00C234CF"/>
    <w:rsid w:val="00C238B8"/>
    <w:rsid w:val="00C23C5D"/>
    <w:rsid w:val="00C24134"/>
    <w:rsid w:val="00C248E1"/>
    <w:rsid w:val="00C24C3E"/>
    <w:rsid w:val="00C24C6C"/>
    <w:rsid w:val="00C24DCB"/>
    <w:rsid w:val="00C259CD"/>
    <w:rsid w:val="00C25BD7"/>
    <w:rsid w:val="00C25D8C"/>
    <w:rsid w:val="00C2625A"/>
    <w:rsid w:val="00C26784"/>
    <w:rsid w:val="00C26BE9"/>
    <w:rsid w:val="00C27E9B"/>
    <w:rsid w:val="00C30145"/>
    <w:rsid w:val="00C30B94"/>
    <w:rsid w:val="00C31256"/>
    <w:rsid w:val="00C313E6"/>
    <w:rsid w:val="00C319A5"/>
    <w:rsid w:val="00C3211F"/>
    <w:rsid w:val="00C326B1"/>
    <w:rsid w:val="00C331A8"/>
    <w:rsid w:val="00C336DD"/>
    <w:rsid w:val="00C33D46"/>
    <w:rsid w:val="00C33EE4"/>
    <w:rsid w:val="00C344E9"/>
    <w:rsid w:val="00C345F4"/>
    <w:rsid w:val="00C34923"/>
    <w:rsid w:val="00C349C9"/>
    <w:rsid w:val="00C34A5A"/>
    <w:rsid w:val="00C34CA9"/>
    <w:rsid w:val="00C35977"/>
    <w:rsid w:val="00C35BDB"/>
    <w:rsid w:val="00C35D43"/>
    <w:rsid w:val="00C35DEB"/>
    <w:rsid w:val="00C364B3"/>
    <w:rsid w:val="00C3689C"/>
    <w:rsid w:val="00C36E5D"/>
    <w:rsid w:val="00C36ED0"/>
    <w:rsid w:val="00C37CFD"/>
    <w:rsid w:val="00C37D4E"/>
    <w:rsid w:val="00C37DED"/>
    <w:rsid w:val="00C4040C"/>
    <w:rsid w:val="00C407D2"/>
    <w:rsid w:val="00C40941"/>
    <w:rsid w:val="00C409E4"/>
    <w:rsid w:val="00C41DF7"/>
    <w:rsid w:val="00C422C6"/>
    <w:rsid w:val="00C42723"/>
    <w:rsid w:val="00C42F23"/>
    <w:rsid w:val="00C43387"/>
    <w:rsid w:val="00C43647"/>
    <w:rsid w:val="00C4385F"/>
    <w:rsid w:val="00C4391E"/>
    <w:rsid w:val="00C44535"/>
    <w:rsid w:val="00C44A67"/>
    <w:rsid w:val="00C4600E"/>
    <w:rsid w:val="00C4661F"/>
    <w:rsid w:val="00C472CD"/>
    <w:rsid w:val="00C47379"/>
    <w:rsid w:val="00C4758F"/>
    <w:rsid w:val="00C4759F"/>
    <w:rsid w:val="00C47CBA"/>
    <w:rsid w:val="00C502B4"/>
    <w:rsid w:val="00C50D03"/>
    <w:rsid w:val="00C51044"/>
    <w:rsid w:val="00C51234"/>
    <w:rsid w:val="00C51264"/>
    <w:rsid w:val="00C518B8"/>
    <w:rsid w:val="00C5232F"/>
    <w:rsid w:val="00C5241F"/>
    <w:rsid w:val="00C52DAD"/>
    <w:rsid w:val="00C5308D"/>
    <w:rsid w:val="00C533BE"/>
    <w:rsid w:val="00C53AFB"/>
    <w:rsid w:val="00C55ADB"/>
    <w:rsid w:val="00C569C5"/>
    <w:rsid w:val="00C56E29"/>
    <w:rsid w:val="00C57397"/>
    <w:rsid w:val="00C5752F"/>
    <w:rsid w:val="00C57792"/>
    <w:rsid w:val="00C57FEF"/>
    <w:rsid w:val="00C60215"/>
    <w:rsid w:val="00C606CE"/>
    <w:rsid w:val="00C606F7"/>
    <w:rsid w:val="00C60731"/>
    <w:rsid w:val="00C60D78"/>
    <w:rsid w:val="00C60DC8"/>
    <w:rsid w:val="00C613F4"/>
    <w:rsid w:val="00C6196A"/>
    <w:rsid w:val="00C61A0A"/>
    <w:rsid w:val="00C624FD"/>
    <w:rsid w:val="00C62F67"/>
    <w:rsid w:val="00C6304E"/>
    <w:rsid w:val="00C633F1"/>
    <w:rsid w:val="00C64107"/>
    <w:rsid w:val="00C64CDD"/>
    <w:rsid w:val="00C65DE0"/>
    <w:rsid w:val="00C665C5"/>
    <w:rsid w:val="00C6716B"/>
    <w:rsid w:val="00C6734F"/>
    <w:rsid w:val="00C673FB"/>
    <w:rsid w:val="00C674AE"/>
    <w:rsid w:val="00C6778B"/>
    <w:rsid w:val="00C67FEB"/>
    <w:rsid w:val="00C70270"/>
    <w:rsid w:val="00C708D3"/>
    <w:rsid w:val="00C70AE8"/>
    <w:rsid w:val="00C70D0B"/>
    <w:rsid w:val="00C70FF1"/>
    <w:rsid w:val="00C71343"/>
    <w:rsid w:val="00C71367"/>
    <w:rsid w:val="00C71B84"/>
    <w:rsid w:val="00C71D33"/>
    <w:rsid w:val="00C72059"/>
    <w:rsid w:val="00C722E5"/>
    <w:rsid w:val="00C72335"/>
    <w:rsid w:val="00C72344"/>
    <w:rsid w:val="00C72C8F"/>
    <w:rsid w:val="00C73266"/>
    <w:rsid w:val="00C73A6D"/>
    <w:rsid w:val="00C74431"/>
    <w:rsid w:val="00C74683"/>
    <w:rsid w:val="00C74726"/>
    <w:rsid w:val="00C75187"/>
    <w:rsid w:val="00C76448"/>
    <w:rsid w:val="00C76A70"/>
    <w:rsid w:val="00C76F0C"/>
    <w:rsid w:val="00C80475"/>
    <w:rsid w:val="00C8069B"/>
    <w:rsid w:val="00C80AE6"/>
    <w:rsid w:val="00C8234E"/>
    <w:rsid w:val="00C82709"/>
    <w:rsid w:val="00C827B5"/>
    <w:rsid w:val="00C8296B"/>
    <w:rsid w:val="00C82AF1"/>
    <w:rsid w:val="00C8364F"/>
    <w:rsid w:val="00C8422B"/>
    <w:rsid w:val="00C84536"/>
    <w:rsid w:val="00C84C30"/>
    <w:rsid w:val="00C85178"/>
    <w:rsid w:val="00C859DD"/>
    <w:rsid w:val="00C8641B"/>
    <w:rsid w:val="00C86745"/>
    <w:rsid w:val="00C86820"/>
    <w:rsid w:val="00C86AE5"/>
    <w:rsid w:val="00C86CB2"/>
    <w:rsid w:val="00C86EA1"/>
    <w:rsid w:val="00C87917"/>
    <w:rsid w:val="00C9111E"/>
    <w:rsid w:val="00C92984"/>
    <w:rsid w:val="00C92CDF"/>
    <w:rsid w:val="00C930B4"/>
    <w:rsid w:val="00C932C1"/>
    <w:rsid w:val="00C938F3"/>
    <w:rsid w:val="00C94552"/>
    <w:rsid w:val="00C9473D"/>
    <w:rsid w:val="00C948F6"/>
    <w:rsid w:val="00C9511B"/>
    <w:rsid w:val="00C95ABC"/>
    <w:rsid w:val="00C96133"/>
    <w:rsid w:val="00C96276"/>
    <w:rsid w:val="00C96331"/>
    <w:rsid w:val="00C965DB"/>
    <w:rsid w:val="00C96C92"/>
    <w:rsid w:val="00C973A4"/>
    <w:rsid w:val="00CA0CEA"/>
    <w:rsid w:val="00CA250E"/>
    <w:rsid w:val="00CA2BE6"/>
    <w:rsid w:val="00CA2D4A"/>
    <w:rsid w:val="00CA3139"/>
    <w:rsid w:val="00CA33D7"/>
    <w:rsid w:val="00CA36EC"/>
    <w:rsid w:val="00CA4B52"/>
    <w:rsid w:val="00CA5FDF"/>
    <w:rsid w:val="00CA6019"/>
    <w:rsid w:val="00CA62BD"/>
    <w:rsid w:val="00CA7F3E"/>
    <w:rsid w:val="00CB05AF"/>
    <w:rsid w:val="00CB0AF5"/>
    <w:rsid w:val="00CB0DD8"/>
    <w:rsid w:val="00CB10A8"/>
    <w:rsid w:val="00CB17F7"/>
    <w:rsid w:val="00CB1D63"/>
    <w:rsid w:val="00CB1EE6"/>
    <w:rsid w:val="00CB1F07"/>
    <w:rsid w:val="00CB1F56"/>
    <w:rsid w:val="00CB2B5A"/>
    <w:rsid w:val="00CB4494"/>
    <w:rsid w:val="00CB4C34"/>
    <w:rsid w:val="00CB57A5"/>
    <w:rsid w:val="00CB7661"/>
    <w:rsid w:val="00CB77D6"/>
    <w:rsid w:val="00CB7E0F"/>
    <w:rsid w:val="00CC098A"/>
    <w:rsid w:val="00CC0CAC"/>
    <w:rsid w:val="00CC1089"/>
    <w:rsid w:val="00CC1B14"/>
    <w:rsid w:val="00CC2350"/>
    <w:rsid w:val="00CC25D5"/>
    <w:rsid w:val="00CC2D08"/>
    <w:rsid w:val="00CC316F"/>
    <w:rsid w:val="00CC3706"/>
    <w:rsid w:val="00CC434F"/>
    <w:rsid w:val="00CC5283"/>
    <w:rsid w:val="00CC551B"/>
    <w:rsid w:val="00CC58E8"/>
    <w:rsid w:val="00CC6177"/>
    <w:rsid w:val="00CC6410"/>
    <w:rsid w:val="00CC68B8"/>
    <w:rsid w:val="00CC6939"/>
    <w:rsid w:val="00CC6E10"/>
    <w:rsid w:val="00CC76EC"/>
    <w:rsid w:val="00CD0313"/>
    <w:rsid w:val="00CD0B96"/>
    <w:rsid w:val="00CD1B7D"/>
    <w:rsid w:val="00CD1C2D"/>
    <w:rsid w:val="00CD2D75"/>
    <w:rsid w:val="00CD2FBD"/>
    <w:rsid w:val="00CD4530"/>
    <w:rsid w:val="00CD4FE2"/>
    <w:rsid w:val="00CD641C"/>
    <w:rsid w:val="00CD6DB3"/>
    <w:rsid w:val="00CD6F2C"/>
    <w:rsid w:val="00CD7D62"/>
    <w:rsid w:val="00CE0D94"/>
    <w:rsid w:val="00CE1168"/>
    <w:rsid w:val="00CE11BD"/>
    <w:rsid w:val="00CE16D5"/>
    <w:rsid w:val="00CE1E43"/>
    <w:rsid w:val="00CE252A"/>
    <w:rsid w:val="00CE2AF3"/>
    <w:rsid w:val="00CE31A8"/>
    <w:rsid w:val="00CE4341"/>
    <w:rsid w:val="00CE44EE"/>
    <w:rsid w:val="00CE48CD"/>
    <w:rsid w:val="00CE534E"/>
    <w:rsid w:val="00CE6408"/>
    <w:rsid w:val="00CE6C67"/>
    <w:rsid w:val="00CE6F6C"/>
    <w:rsid w:val="00CE7575"/>
    <w:rsid w:val="00CF0076"/>
    <w:rsid w:val="00CF00B9"/>
    <w:rsid w:val="00CF0D54"/>
    <w:rsid w:val="00CF13F2"/>
    <w:rsid w:val="00CF1D72"/>
    <w:rsid w:val="00CF235C"/>
    <w:rsid w:val="00CF2DC1"/>
    <w:rsid w:val="00CF3226"/>
    <w:rsid w:val="00CF36CC"/>
    <w:rsid w:val="00CF3EC4"/>
    <w:rsid w:val="00CF3FFC"/>
    <w:rsid w:val="00CF5933"/>
    <w:rsid w:val="00CF5CA9"/>
    <w:rsid w:val="00CF5F1F"/>
    <w:rsid w:val="00CF69D5"/>
    <w:rsid w:val="00CF7564"/>
    <w:rsid w:val="00CF7C64"/>
    <w:rsid w:val="00CF7D67"/>
    <w:rsid w:val="00D006E5"/>
    <w:rsid w:val="00D00888"/>
    <w:rsid w:val="00D0220B"/>
    <w:rsid w:val="00D022F3"/>
    <w:rsid w:val="00D024F4"/>
    <w:rsid w:val="00D02BD6"/>
    <w:rsid w:val="00D03732"/>
    <w:rsid w:val="00D0459D"/>
    <w:rsid w:val="00D056D5"/>
    <w:rsid w:val="00D05DCB"/>
    <w:rsid w:val="00D0729A"/>
    <w:rsid w:val="00D072F2"/>
    <w:rsid w:val="00D07905"/>
    <w:rsid w:val="00D07BA2"/>
    <w:rsid w:val="00D07EE1"/>
    <w:rsid w:val="00D10236"/>
    <w:rsid w:val="00D1035C"/>
    <w:rsid w:val="00D1148A"/>
    <w:rsid w:val="00D11738"/>
    <w:rsid w:val="00D12862"/>
    <w:rsid w:val="00D129E6"/>
    <w:rsid w:val="00D130E2"/>
    <w:rsid w:val="00D133DF"/>
    <w:rsid w:val="00D14496"/>
    <w:rsid w:val="00D1493F"/>
    <w:rsid w:val="00D15FAF"/>
    <w:rsid w:val="00D16FE2"/>
    <w:rsid w:val="00D1767D"/>
    <w:rsid w:val="00D176AE"/>
    <w:rsid w:val="00D1792C"/>
    <w:rsid w:val="00D17A59"/>
    <w:rsid w:val="00D17E55"/>
    <w:rsid w:val="00D2036E"/>
    <w:rsid w:val="00D20717"/>
    <w:rsid w:val="00D20834"/>
    <w:rsid w:val="00D20BBD"/>
    <w:rsid w:val="00D20D60"/>
    <w:rsid w:val="00D21200"/>
    <w:rsid w:val="00D213DC"/>
    <w:rsid w:val="00D216CC"/>
    <w:rsid w:val="00D21882"/>
    <w:rsid w:val="00D21C51"/>
    <w:rsid w:val="00D21C71"/>
    <w:rsid w:val="00D21D14"/>
    <w:rsid w:val="00D21D49"/>
    <w:rsid w:val="00D22214"/>
    <w:rsid w:val="00D227C1"/>
    <w:rsid w:val="00D233F0"/>
    <w:rsid w:val="00D23687"/>
    <w:rsid w:val="00D23C31"/>
    <w:rsid w:val="00D23CD4"/>
    <w:rsid w:val="00D248C7"/>
    <w:rsid w:val="00D248E9"/>
    <w:rsid w:val="00D24D26"/>
    <w:rsid w:val="00D24D98"/>
    <w:rsid w:val="00D24EF3"/>
    <w:rsid w:val="00D25C1B"/>
    <w:rsid w:val="00D25C34"/>
    <w:rsid w:val="00D25D2C"/>
    <w:rsid w:val="00D25FCD"/>
    <w:rsid w:val="00D2605F"/>
    <w:rsid w:val="00D260A1"/>
    <w:rsid w:val="00D264CA"/>
    <w:rsid w:val="00D26FFC"/>
    <w:rsid w:val="00D30057"/>
    <w:rsid w:val="00D3016E"/>
    <w:rsid w:val="00D30200"/>
    <w:rsid w:val="00D30F98"/>
    <w:rsid w:val="00D31122"/>
    <w:rsid w:val="00D315E7"/>
    <w:rsid w:val="00D31753"/>
    <w:rsid w:val="00D32479"/>
    <w:rsid w:val="00D337A5"/>
    <w:rsid w:val="00D33D87"/>
    <w:rsid w:val="00D33E88"/>
    <w:rsid w:val="00D34033"/>
    <w:rsid w:val="00D3427F"/>
    <w:rsid w:val="00D34568"/>
    <w:rsid w:val="00D34752"/>
    <w:rsid w:val="00D34D42"/>
    <w:rsid w:val="00D3569F"/>
    <w:rsid w:val="00D35752"/>
    <w:rsid w:val="00D35826"/>
    <w:rsid w:val="00D35AA6"/>
    <w:rsid w:val="00D35FE7"/>
    <w:rsid w:val="00D3656B"/>
    <w:rsid w:val="00D36B3B"/>
    <w:rsid w:val="00D36B92"/>
    <w:rsid w:val="00D37DDA"/>
    <w:rsid w:val="00D40464"/>
    <w:rsid w:val="00D407D9"/>
    <w:rsid w:val="00D40E87"/>
    <w:rsid w:val="00D40ED7"/>
    <w:rsid w:val="00D41383"/>
    <w:rsid w:val="00D418D8"/>
    <w:rsid w:val="00D4192B"/>
    <w:rsid w:val="00D41CB9"/>
    <w:rsid w:val="00D42329"/>
    <w:rsid w:val="00D42B0C"/>
    <w:rsid w:val="00D42F08"/>
    <w:rsid w:val="00D430DE"/>
    <w:rsid w:val="00D43DD2"/>
    <w:rsid w:val="00D440AD"/>
    <w:rsid w:val="00D44552"/>
    <w:rsid w:val="00D44F53"/>
    <w:rsid w:val="00D45799"/>
    <w:rsid w:val="00D459AE"/>
    <w:rsid w:val="00D45E6B"/>
    <w:rsid w:val="00D46231"/>
    <w:rsid w:val="00D4639F"/>
    <w:rsid w:val="00D464B8"/>
    <w:rsid w:val="00D4789F"/>
    <w:rsid w:val="00D47E5F"/>
    <w:rsid w:val="00D51F91"/>
    <w:rsid w:val="00D529DB"/>
    <w:rsid w:val="00D52A40"/>
    <w:rsid w:val="00D52C65"/>
    <w:rsid w:val="00D53207"/>
    <w:rsid w:val="00D53397"/>
    <w:rsid w:val="00D53856"/>
    <w:rsid w:val="00D5399A"/>
    <w:rsid w:val="00D53FB6"/>
    <w:rsid w:val="00D54229"/>
    <w:rsid w:val="00D5473C"/>
    <w:rsid w:val="00D5540E"/>
    <w:rsid w:val="00D55718"/>
    <w:rsid w:val="00D5603D"/>
    <w:rsid w:val="00D56250"/>
    <w:rsid w:val="00D56716"/>
    <w:rsid w:val="00D56F96"/>
    <w:rsid w:val="00D574D2"/>
    <w:rsid w:val="00D576A6"/>
    <w:rsid w:val="00D57F9E"/>
    <w:rsid w:val="00D600C6"/>
    <w:rsid w:val="00D60237"/>
    <w:rsid w:val="00D611F1"/>
    <w:rsid w:val="00D6140D"/>
    <w:rsid w:val="00D61642"/>
    <w:rsid w:val="00D62157"/>
    <w:rsid w:val="00D62A02"/>
    <w:rsid w:val="00D62D40"/>
    <w:rsid w:val="00D642E7"/>
    <w:rsid w:val="00D64924"/>
    <w:rsid w:val="00D65E21"/>
    <w:rsid w:val="00D663D4"/>
    <w:rsid w:val="00D66754"/>
    <w:rsid w:val="00D66AC0"/>
    <w:rsid w:val="00D670A7"/>
    <w:rsid w:val="00D67402"/>
    <w:rsid w:val="00D67853"/>
    <w:rsid w:val="00D70228"/>
    <w:rsid w:val="00D70966"/>
    <w:rsid w:val="00D70A82"/>
    <w:rsid w:val="00D7106C"/>
    <w:rsid w:val="00D71D40"/>
    <w:rsid w:val="00D71EB5"/>
    <w:rsid w:val="00D720F5"/>
    <w:rsid w:val="00D72314"/>
    <w:rsid w:val="00D72382"/>
    <w:rsid w:val="00D7292B"/>
    <w:rsid w:val="00D729B9"/>
    <w:rsid w:val="00D72ACB"/>
    <w:rsid w:val="00D735C8"/>
    <w:rsid w:val="00D7363E"/>
    <w:rsid w:val="00D74010"/>
    <w:rsid w:val="00D74801"/>
    <w:rsid w:val="00D75048"/>
    <w:rsid w:val="00D753BE"/>
    <w:rsid w:val="00D75A93"/>
    <w:rsid w:val="00D75C4A"/>
    <w:rsid w:val="00D765CC"/>
    <w:rsid w:val="00D766D8"/>
    <w:rsid w:val="00D768CF"/>
    <w:rsid w:val="00D772CC"/>
    <w:rsid w:val="00D7773A"/>
    <w:rsid w:val="00D7786D"/>
    <w:rsid w:val="00D77877"/>
    <w:rsid w:val="00D77B99"/>
    <w:rsid w:val="00D77D87"/>
    <w:rsid w:val="00D8017C"/>
    <w:rsid w:val="00D8063A"/>
    <w:rsid w:val="00D8090B"/>
    <w:rsid w:val="00D809A5"/>
    <w:rsid w:val="00D81477"/>
    <w:rsid w:val="00D81D9F"/>
    <w:rsid w:val="00D824F6"/>
    <w:rsid w:val="00D8257A"/>
    <w:rsid w:val="00D82759"/>
    <w:rsid w:val="00D828B6"/>
    <w:rsid w:val="00D82ABB"/>
    <w:rsid w:val="00D82FEC"/>
    <w:rsid w:val="00D8307F"/>
    <w:rsid w:val="00D83BE3"/>
    <w:rsid w:val="00D83EC6"/>
    <w:rsid w:val="00D8424B"/>
    <w:rsid w:val="00D851FC"/>
    <w:rsid w:val="00D859BF"/>
    <w:rsid w:val="00D8777A"/>
    <w:rsid w:val="00D8785E"/>
    <w:rsid w:val="00D90191"/>
    <w:rsid w:val="00D9083A"/>
    <w:rsid w:val="00D91032"/>
    <w:rsid w:val="00D91782"/>
    <w:rsid w:val="00D91789"/>
    <w:rsid w:val="00D917C1"/>
    <w:rsid w:val="00D92309"/>
    <w:rsid w:val="00D928BC"/>
    <w:rsid w:val="00D931EB"/>
    <w:rsid w:val="00D9355B"/>
    <w:rsid w:val="00D946BD"/>
    <w:rsid w:val="00D94E3B"/>
    <w:rsid w:val="00D95872"/>
    <w:rsid w:val="00D958D7"/>
    <w:rsid w:val="00D95FAE"/>
    <w:rsid w:val="00D9623F"/>
    <w:rsid w:val="00D96810"/>
    <w:rsid w:val="00D96D9B"/>
    <w:rsid w:val="00D97A6F"/>
    <w:rsid w:val="00D97D7A"/>
    <w:rsid w:val="00DA014C"/>
    <w:rsid w:val="00DA0E91"/>
    <w:rsid w:val="00DA0ED1"/>
    <w:rsid w:val="00DA0F8F"/>
    <w:rsid w:val="00DA219D"/>
    <w:rsid w:val="00DA2D3F"/>
    <w:rsid w:val="00DA3FA4"/>
    <w:rsid w:val="00DA3FD4"/>
    <w:rsid w:val="00DA4196"/>
    <w:rsid w:val="00DA42A9"/>
    <w:rsid w:val="00DA430E"/>
    <w:rsid w:val="00DA4881"/>
    <w:rsid w:val="00DA4F17"/>
    <w:rsid w:val="00DA50CA"/>
    <w:rsid w:val="00DA5747"/>
    <w:rsid w:val="00DA646B"/>
    <w:rsid w:val="00DA696F"/>
    <w:rsid w:val="00DA772F"/>
    <w:rsid w:val="00DB09DB"/>
    <w:rsid w:val="00DB0AE4"/>
    <w:rsid w:val="00DB0BEC"/>
    <w:rsid w:val="00DB0C4D"/>
    <w:rsid w:val="00DB1315"/>
    <w:rsid w:val="00DB16B5"/>
    <w:rsid w:val="00DB2460"/>
    <w:rsid w:val="00DB2754"/>
    <w:rsid w:val="00DB2FEB"/>
    <w:rsid w:val="00DB32CC"/>
    <w:rsid w:val="00DB33B7"/>
    <w:rsid w:val="00DB393F"/>
    <w:rsid w:val="00DB3BA3"/>
    <w:rsid w:val="00DB3E85"/>
    <w:rsid w:val="00DB4075"/>
    <w:rsid w:val="00DB40BB"/>
    <w:rsid w:val="00DB4343"/>
    <w:rsid w:val="00DB4A2F"/>
    <w:rsid w:val="00DB4D05"/>
    <w:rsid w:val="00DB5208"/>
    <w:rsid w:val="00DB5656"/>
    <w:rsid w:val="00DB5E00"/>
    <w:rsid w:val="00DB6B0A"/>
    <w:rsid w:val="00DB6DFC"/>
    <w:rsid w:val="00DB7309"/>
    <w:rsid w:val="00DB76D3"/>
    <w:rsid w:val="00DC0E5A"/>
    <w:rsid w:val="00DC0EDA"/>
    <w:rsid w:val="00DC10A8"/>
    <w:rsid w:val="00DC12DA"/>
    <w:rsid w:val="00DC19CA"/>
    <w:rsid w:val="00DC1CB8"/>
    <w:rsid w:val="00DC214F"/>
    <w:rsid w:val="00DC3140"/>
    <w:rsid w:val="00DC33FD"/>
    <w:rsid w:val="00DC352A"/>
    <w:rsid w:val="00DC3C9E"/>
    <w:rsid w:val="00DC423A"/>
    <w:rsid w:val="00DC4542"/>
    <w:rsid w:val="00DC4D8D"/>
    <w:rsid w:val="00DC5257"/>
    <w:rsid w:val="00DC53D8"/>
    <w:rsid w:val="00DC5785"/>
    <w:rsid w:val="00DC5A78"/>
    <w:rsid w:val="00DC5D36"/>
    <w:rsid w:val="00DC6645"/>
    <w:rsid w:val="00DC67AE"/>
    <w:rsid w:val="00DC6AA8"/>
    <w:rsid w:val="00DD0302"/>
    <w:rsid w:val="00DD1588"/>
    <w:rsid w:val="00DD27CA"/>
    <w:rsid w:val="00DD2CEC"/>
    <w:rsid w:val="00DD36C5"/>
    <w:rsid w:val="00DD3873"/>
    <w:rsid w:val="00DD3DCC"/>
    <w:rsid w:val="00DD3EA6"/>
    <w:rsid w:val="00DD3F5A"/>
    <w:rsid w:val="00DD5061"/>
    <w:rsid w:val="00DD5E37"/>
    <w:rsid w:val="00DD6B63"/>
    <w:rsid w:val="00DD6CF3"/>
    <w:rsid w:val="00DD754D"/>
    <w:rsid w:val="00DE0257"/>
    <w:rsid w:val="00DE0289"/>
    <w:rsid w:val="00DE02E7"/>
    <w:rsid w:val="00DE11AC"/>
    <w:rsid w:val="00DE152F"/>
    <w:rsid w:val="00DE162D"/>
    <w:rsid w:val="00DE2B4D"/>
    <w:rsid w:val="00DE2F2B"/>
    <w:rsid w:val="00DE3698"/>
    <w:rsid w:val="00DE3885"/>
    <w:rsid w:val="00DE393F"/>
    <w:rsid w:val="00DE3A81"/>
    <w:rsid w:val="00DE3DAF"/>
    <w:rsid w:val="00DE3FF1"/>
    <w:rsid w:val="00DE4133"/>
    <w:rsid w:val="00DE4307"/>
    <w:rsid w:val="00DE4E58"/>
    <w:rsid w:val="00DE50CD"/>
    <w:rsid w:val="00DE5458"/>
    <w:rsid w:val="00DE5DCD"/>
    <w:rsid w:val="00DE6414"/>
    <w:rsid w:val="00DE6611"/>
    <w:rsid w:val="00DE6AE4"/>
    <w:rsid w:val="00DE7052"/>
    <w:rsid w:val="00DE705E"/>
    <w:rsid w:val="00DE76B1"/>
    <w:rsid w:val="00DF0002"/>
    <w:rsid w:val="00DF04C9"/>
    <w:rsid w:val="00DF0DA2"/>
    <w:rsid w:val="00DF2782"/>
    <w:rsid w:val="00DF2B6B"/>
    <w:rsid w:val="00DF2DFA"/>
    <w:rsid w:val="00DF309A"/>
    <w:rsid w:val="00DF3304"/>
    <w:rsid w:val="00DF3462"/>
    <w:rsid w:val="00DF3700"/>
    <w:rsid w:val="00DF3FCF"/>
    <w:rsid w:val="00DF41C0"/>
    <w:rsid w:val="00DF466B"/>
    <w:rsid w:val="00DF48AB"/>
    <w:rsid w:val="00DF4CCD"/>
    <w:rsid w:val="00DF59D1"/>
    <w:rsid w:val="00DF5F65"/>
    <w:rsid w:val="00DF64FE"/>
    <w:rsid w:val="00DF653E"/>
    <w:rsid w:val="00DF68D8"/>
    <w:rsid w:val="00DF74C5"/>
    <w:rsid w:val="00DF766F"/>
    <w:rsid w:val="00E005E9"/>
    <w:rsid w:val="00E00994"/>
    <w:rsid w:val="00E00B7B"/>
    <w:rsid w:val="00E01841"/>
    <w:rsid w:val="00E02A89"/>
    <w:rsid w:val="00E02BC4"/>
    <w:rsid w:val="00E02E82"/>
    <w:rsid w:val="00E03F85"/>
    <w:rsid w:val="00E052CA"/>
    <w:rsid w:val="00E05972"/>
    <w:rsid w:val="00E059A8"/>
    <w:rsid w:val="00E0606E"/>
    <w:rsid w:val="00E07102"/>
    <w:rsid w:val="00E0749B"/>
    <w:rsid w:val="00E07800"/>
    <w:rsid w:val="00E07C72"/>
    <w:rsid w:val="00E10027"/>
    <w:rsid w:val="00E10029"/>
    <w:rsid w:val="00E10191"/>
    <w:rsid w:val="00E10493"/>
    <w:rsid w:val="00E1082C"/>
    <w:rsid w:val="00E108A9"/>
    <w:rsid w:val="00E112E6"/>
    <w:rsid w:val="00E117FF"/>
    <w:rsid w:val="00E11D70"/>
    <w:rsid w:val="00E11EE4"/>
    <w:rsid w:val="00E11FF5"/>
    <w:rsid w:val="00E1262E"/>
    <w:rsid w:val="00E12A5D"/>
    <w:rsid w:val="00E12DE9"/>
    <w:rsid w:val="00E1371D"/>
    <w:rsid w:val="00E13EF2"/>
    <w:rsid w:val="00E13F69"/>
    <w:rsid w:val="00E13FC3"/>
    <w:rsid w:val="00E146DB"/>
    <w:rsid w:val="00E1490B"/>
    <w:rsid w:val="00E14BF7"/>
    <w:rsid w:val="00E14CF3"/>
    <w:rsid w:val="00E15620"/>
    <w:rsid w:val="00E15C1C"/>
    <w:rsid w:val="00E15CCF"/>
    <w:rsid w:val="00E17364"/>
    <w:rsid w:val="00E174B2"/>
    <w:rsid w:val="00E17834"/>
    <w:rsid w:val="00E17B9B"/>
    <w:rsid w:val="00E205F3"/>
    <w:rsid w:val="00E209C2"/>
    <w:rsid w:val="00E20E84"/>
    <w:rsid w:val="00E21038"/>
    <w:rsid w:val="00E2255F"/>
    <w:rsid w:val="00E22844"/>
    <w:rsid w:val="00E2315C"/>
    <w:rsid w:val="00E235DB"/>
    <w:rsid w:val="00E23D42"/>
    <w:rsid w:val="00E243EE"/>
    <w:rsid w:val="00E244AD"/>
    <w:rsid w:val="00E247A4"/>
    <w:rsid w:val="00E24C27"/>
    <w:rsid w:val="00E250AA"/>
    <w:rsid w:val="00E252C7"/>
    <w:rsid w:val="00E259D8"/>
    <w:rsid w:val="00E25FBE"/>
    <w:rsid w:val="00E260C0"/>
    <w:rsid w:val="00E26342"/>
    <w:rsid w:val="00E26BFB"/>
    <w:rsid w:val="00E270AD"/>
    <w:rsid w:val="00E270EE"/>
    <w:rsid w:val="00E27C66"/>
    <w:rsid w:val="00E3020A"/>
    <w:rsid w:val="00E30C29"/>
    <w:rsid w:val="00E312A5"/>
    <w:rsid w:val="00E31349"/>
    <w:rsid w:val="00E315DF"/>
    <w:rsid w:val="00E32ACA"/>
    <w:rsid w:val="00E32B71"/>
    <w:rsid w:val="00E32E3A"/>
    <w:rsid w:val="00E32F50"/>
    <w:rsid w:val="00E3386D"/>
    <w:rsid w:val="00E33B5C"/>
    <w:rsid w:val="00E34192"/>
    <w:rsid w:val="00E34692"/>
    <w:rsid w:val="00E35039"/>
    <w:rsid w:val="00E3519A"/>
    <w:rsid w:val="00E353AA"/>
    <w:rsid w:val="00E36C25"/>
    <w:rsid w:val="00E36D55"/>
    <w:rsid w:val="00E36E22"/>
    <w:rsid w:val="00E37AEC"/>
    <w:rsid w:val="00E41554"/>
    <w:rsid w:val="00E416AF"/>
    <w:rsid w:val="00E416C4"/>
    <w:rsid w:val="00E420AA"/>
    <w:rsid w:val="00E429FC"/>
    <w:rsid w:val="00E42FF3"/>
    <w:rsid w:val="00E4313B"/>
    <w:rsid w:val="00E435C8"/>
    <w:rsid w:val="00E43CF2"/>
    <w:rsid w:val="00E43E35"/>
    <w:rsid w:val="00E444A1"/>
    <w:rsid w:val="00E44C54"/>
    <w:rsid w:val="00E44DCD"/>
    <w:rsid w:val="00E45F32"/>
    <w:rsid w:val="00E46059"/>
    <w:rsid w:val="00E460D1"/>
    <w:rsid w:val="00E4648F"/>
    <w:rsid w:val="00E465F7"/>
    <w:rsid w:val="00E46871"/>
    <w:rsid w:val="00E46CBE"/>
    <w:rsid w:val="00E500FF"/>
    <w:rsid w:val="00E5015E"/>
    <w:rsid w:val="00E501A2"/>
    <w:rsid w:val="00E505E7"/>
    <w:rsid w:val="00E5067F"/>
    <w:rsid w:val="00E5191D"/>
    <w:rsid w:val="00E519CC"/>
    <w:rsid w:val="00E51A7F"/>
    <w:rsid w:val="00E51BC3"/>
    <w:rsid w:val="00E52398"/>
    <w:rsid w:val="00E5244B"/>
    <w:rsid w:val="00E52B7F"/>
    <w:rsid w:val="00E5321E"/>
    <w:rsid w:val="00E541C4"/>
    <w:rsid w:val="00E542DE"/>
    <w:rsid w:val="00E5481F"/>
    <w:rsid w:val="00E54A8B"/>
    <w:rsid w:val="00E54EFC"/>
    <w:rsid w:val="00E5581E"/>
    <w:rsid w:val="00E56891"/>
    <w:rsid w:val="00E56AEF"/>
    <w:rsid w:val="00E56B45"/>
    <w:rsid w:val="00E57588"/>
    <w:rsid w:val="00E57AE0"/>
    <w:rsid w:val="00E603B7"/>
    <w:rsid w:val="00E60DB0"/>
    <w:rsid w:val="00E60F18"/>
    <w:rsid w:val="00E616C1"/>
    <w:rsid w:val="00E616FA"/>
    <w:rsid w:val="00E6185B"/>
    <w:rsid w:val="00E6213A"/>
    <w:rsid w:val="00E62602"/>
    <w:rsid w:val="00E627B2"/>
    <w:rsid w:val="00E6386F"/>
    <w:rsid w:val="00E63F3C"/>
    <w:rsid w:val="00E64BED"/>
    <w:rsid w:val="00E64C47"/>
    <w:rsid w:val="00E65D5D"/>
    <w:rsid w:val="00E66487"/>
    <w:rsid w:val="00E665C0"/>
    <w:rsid w:val="00E668DC"/>
    <w:rsid w:val="00E67E25"/>
    <w:rsid w:val="00E701FB"/>
    <w:rsid w:val="00E70DBD"/>
    <w:rsid w:val="00E715AE"/>
    <w:rsid w:val="00E715F6"/>
    <w:rsid w:val="00E7185E"/>
    <w:rsid w:val="00E71BBF"/>
    <w:rsid w:val="00E7262E"/>
    <w:rsid w:val="00E726D8"/>
    <w:rsid w:val="00E73067"/>
    <w:rsid w:val="00E73099"/>
    <w:rsid w:val="00E73129"/>
    <w:rsid w:val="00E734BF"/>
    <w:rsid w:val="00E73E8B"/>
    <w:rsid w:val="00E73EC0"/>
    <w:rsid w:val="00E74077"/>
    <w:rsid w:val="00E744B1"/>
    <w:rsid w:val="00E74A9D"/>
    <w:rsid w:val="00E74DEC"/>
    <w:rsid w:val="00E74F0F"/>
    <w:rsid w:val="00E755E8"/>
    <w:rsid w:val="00E75A22"/>
    <w:rsid w:val="00E764FE"/>
    <w:rsid w:val="00E769CC"/>
    <w:rsid w:val="00E77D03"/>
    <w:rsid w:val="00E77ECB"/>
    <w:rsid w:val="00E804AE"/>
    <w:rsid w:val="00E80614"/>
    <w:rsid w:val="00E806E8"/>
    <w:rsid w:val="00E812EA"/>
    <w:rsid w:val="00E81C8F"/>
    <w:rsid w:val="00E81E1A"/>
    <w:rsid w:val="00E82751"/>
    <w:rsid w:val="00E83159"/>
    <w:rsid w:val="00E83442"/>
    <w:rsid w:val="00E834E7"/>
    <w:rsid w:val="00E8374C"/>
    <w:rsid w:val="00E83A1F"/>
    <w:rsid w:val="00E8450F"/>
    <w:rsid w:val="00E84704"/>
    <w:rsid w:val="00E848E6"/>
    <w:rsid w:val="00E84A3E"/>
    <w:rsid w:val="00E84E49"/>
    <w:rsid w:val="00E84E82"/>
    <w:rsid w:val="00E853F2"/>
    <w:rsid w:val="00E856CF"/>
    <w:rsid w:val="00E85BA1"/>
    <w:rsid w:val="00E85C7E"/>
    <w:rsid w:val="00E86E7E"/>
    <w:rsid w:val="00E875DA"/>
    <w:rsid w:val="00E878D9"/>
    <w:rsid w:val="00E87989"/>
    <w:rsid w:val="00E8798B"/>
    <w:rsid w:val="00E901A3"/>
    <w:rsid w:val="00E916DE"/>
    <w:rsid w:val="00E91C31"/>
    <w:rsid w:val="00E92AE6"/>
    <w:rsid w:val="00E930C0"/>
    <w:rsid w:val="00E9377D"/>
    <w:rsid w:val="00E9379C"/>
    <w:rsid w:val="00E939A0"/>
    <w:rsid w:val="00E93F19"/>
    <w:rsid w:val="00E941B4"/>
    <w:rsid w:val="00E94B63"/>
    <w:rsid w:val="00E94E50"/>
    <w:rsid w:val="00E950B5"/>
    <w:rsid w:val="00E950D0"/>
    <w:rsid w:val="00E95673"/>
    <w:rsid w:val="00E95945"/>
    <w:rsid w:val="00E95998"/>
    <w:rsid w:val="00E95CEC"/>
    <w:rsid w:val="00E9625D"/>
    <w:rsid w:val="00E96301"/>
    <w:rsid w:val="00E96412"/>
    <w:rsid w:val="00E9677A"/>
    <w:rsid w:val="00E975E4"/>
    <w:rsid w:val="00EA0654"/>
    <w:rsid w:val="00EA135B"/>
    <w:rsid w:val="00EA158A"/>
    <w:rsid w:val="00EA1BBD"/>
    <w:rsid w:val="00EA1C37"/>
    <w:rsid w:val="00EA1EC9"/>
    <w:rsid w:val="00EA2C5A"/>
    <w:rsid w:val="00EA3699"/>
    <w:rsid w:val="00EA3741"/>
    <w:rsid w:val="00EA38C2"/>
    <w:rsid w:val="00EA46AF"/>
    <w:rsid w:val="00EA4999"/>
    <w:rsid w:val="00EA4B05"/>
    <w:rsid w:val="00EA4E14"/>
    <w:rsid w:val="00EA6AE9"/>
    <w:rsid w:val="00EA7027"/>
    <w:rsid w:val="00EA72F9"/>
    <w:rsid w:val="00EA7508"/>
    <w:rsid w:val="00EA7A9F"/>
    <w:rsid w:val="00EA7B90"/>
    <w:rsid w:val="00EA7E72"/>
    <w:rsid w:val="00EA7F11"/>
    <w:rsid w:val="00EB0023"/>
    <w:rsid w:val="00EB0099"/>
    <w:rsid w:val="00EB0CB6"/>
    <w:rsid w:val="00EB13F7"/>
    <w:rsid w:val="00EB17E2"/>
    <w:rsid w:val="00EB1C0A"/>
    <w:rsid w:val="00EB1C14"/>
    <w:rsid w:val="00EB1EC4"/>
    <w:rsid w:val="00EB1F07"/>
    <w:rsid w:val="00EB1F8C"/>
    <w:rsid w:val="00EB22BB"/>
    <w:rsid w:val="00EB2E4F"/>
    <w:rsid w:val="00EB3171"/>
    <w:rsid w:val="00EB33AA"/>
    <w:rsid w:val="00EB3783"/>
    <w:rsid w:val="00EB37EA"/>
    <w:rsid w:val="00EB3A63"/>
    <w:rsid w:val="00EB3C39"/>
    <w:rsid w:val="00EB40DC"/>
    <w:rsid w:val="00EB4120"/>
    <w:rsid w:val="00EB4B68"/>
    <w:rsid w:val="00EB5064"/>
    <w:rsid w:val="00EB55E0"/>
    <w:rsid w:val="00EB6416"/>
    <w:rsid w:val="00EB64CC"/>
    <w:rsid w:val="00EB6DD9"/>
    <w:rsid w:val="00EB6DF5"/>
    <w:rsid w:val="00EB7400"/>
    <w:rsid w:val="00EB7A75"/>
    <w:rsid w:val="00EC00F5"/>
    <w:rsid w:val="00EC0CED"/>
    <w:rsid w:val="00EC0F76"/>
    <w:rsid w:val="00EC12D0"/>
    <w:rsid w:val="00EC16B1"/>
    <w:rsid w:val="00EC1B16"/>
    <w:rsid w:val="00EC215D"/>
    <w:rsid w:val="00EC2912"/>
    <w:rsid w:val="00EC297C"/>
    <w:rsid w:val="00EC316D"/>
    <w:rsid w:val="00EC34C0"/>
    <w:rsid w:val="00EC3B1E"/>
    <w:rsid w:val="00EC3B8A"/>
    <w:rsid w:val="00EC3BCB"/>
    <w:rsid w:val="00EC3F28"/>
    <w:rsid w:val="00EC417A"/>
    <w:rsid w:val="00EC470E"/>
    <w:rsid w:val="00EC5492"/>
    <w:rsid w:val="00EC575A"/>
    <w:rsid w:val="00EC5F8F"/>
    <w:rsid w:val="00EC61C9"/>
    <w:rsid w:val="00EC61F3"/>
    <w:rsid w:val="00EC6247"/>
    <w:rsid w:val="00EC744F"/>
    <w:rsid w:val="00EC7827"/>
    <w:rsid w:val="00EC7976"/>
    <w:rsid w:val="00ED00B7"/>
    <w:rsid w:val="00ED1A4E"/>
    <w:rsid w:val="00ED215A"/>
    <w:rsid w:val="00ED2B58"/>
    <w:rsid w:val="00ED2DC0"/>
    <w:rsid w:val="00ED305E"/>
    <w:rsid w:val="00ED319F"/>
    <w:rsid w:val="00ED3864"/>
    <w:rsid w:val="00ED3B67"/>
    <w:rsid w:val="00ED3F14"/>
    <w:rsid w:val="00ED4984"/>
    <w:rsid w:val="00ED50BF"/>
    <w:rsid w:val="00ED520D"/>
    <w:rsid w:val="00ED5FA1"/>
    <w:rsid w:val="00ED623D"/>
    <w:rsid w:val="00ED6420"/>
    <w:rsid w:val="00ED649B"/>
    <w:rsid w:val="00ED685E"/>
    <w:rsid w:val="00ED6F64"/>
    <w:rsid w:val="00ED7BEE"/>
    <w:rsid w:val="00ED7D8F"/>
    <w:rsid w:val="00EE0FBC"/>
    <w:rsid w:val="00EE1402"/>
    <w:rsid w:val="00EE1861"/>
    <w:rsid w:val="00EE2BA1"/>
    <w:rsid w:val="00EE2E2C"/>
    <w:rsid w:val="00EE3017"/>
    <w:rsid w:val="00EE5ECA"/>
    <w:rsid w:val="00EE6387"/>
    <w:rsid w:val="00EE650D"/>
    <w:rsid w:val="00EE735B"/>
    <w:rsid w:val="00EE784E"/>
    <w:rsid w:val="00EE7F86"/>
    <w:rsid w:val="00EE7F96"/>
    <w:rsid w:val="00EF03C6"/>
    <w:rsid w:val="00EF0507"/>
    <w:rsid w:val="00EF083E"/>
    <w:rsid w:val="00EF104F"/>
    <w:rsid w:val="00EF1FB1"/>
    <w:rsid w:val="00EF29C5"/>
    <w:rsid w:val="00EF2F7A"/>
    <w:rsid w:val="00EF2FF0"/>
    <w:rsid w:val="00EF3DD7"/>
    <w:rsid w:val="00EF4121"/>
    <w:rsid w:val="00EF4E61"/>
    <w:rsid w:val="00EF5258"/>
    <w:rsid w:val="00EF5BFE"/>
    <w:rsid w:val="00EF6816"/>
    <w:rsid w:val="00EF6F6C"/>
    <w:rsid w:val="00EF6FB8"/>
    <w:rsid w:val="00EF7322"/>
    <w:rsid w:val="00EF750E"/>
    <w:rsid w:val="00EF7984"/>
    <w:rsid w:val="00EF7BA8"/>
    <w:rsid w:val="00F00074"/>
    <w:rsid w:val="00F00B30"/>
    <w:rsid w:val="00F013D9"/>
    <w:rsid w:val="00F01421"/>
    <w:rsid w:val="00F015E1"/>
    <w:rsid w:val="00F01744"/>
    <w:rsid w:val="00F01A10"/>
    <w:rsid w:val="00F01B39"/>
    <w:rsid w:val="00F01BCF"/>
    <w:rsid w:val="00F01D44"/>
    <w:rsid w:val="00F02516"/>
    <w:rsid w:val="00F02BEE"/>
    <w:rsid w:val="00F036E2"/>
    <w:rsid w:val="00F03B04"/>
    <w:rsid w:val="00F03B4E"/>
    <w:rsid w:val="00F0464F"/>
    <w:rsid w:val="00F056C3"/>
    <w:rsid w:val="00F05E9F"/>
    <w:rsid w:val="00F0610C"/>
    <w:rsid w:val="00F06565"/>
    <w:rsid w:val="00F06A09"/>
    <w:rsid w:val="00F06BB3"/>
    <w:rsid w:val="00F06CEA"/>
    <w:rsid w:val="00F07520"/>
    <w:rsid w:val="00F1037B"/>
    <w:rsid w:val="00F1058B"/>
    <w:rsid w:val="00F1104B"/>
    <w:rsid w:val="00F117DD"/>
    <w:rsid w:val="00F11E7B"/>
    <w:rsid w:val="00F12244"/>
    <w:rsid w:val="00F123C0"/>
    <w:rsid w:val="00F12975"/>
    <w:rsid w:val="00F13CE0"/>
    <w:rsid w:val="00F14314"/>
    <w:rsid w:val="00F144C7"/>
    <w:rsid w:val="00F147AA"/>
    <w:rsid w:val="00F14827"/>
    <w:rsid w:val="00F14B09"/>
    <w:rsid w:val="00F1560C"/>
    <w:rsid w:val="00F159E4"/>
    <w:rsid w:val="00F15B2D"/>
    <w:rsid w:val="00F15D5D"/>
    <w:rsid w:val="00F15F95"/>
    <w:rsid w:val="00F1625C"/>
    <w:rsid w:val="00F16409"/>
    <w:rsid w:val="00F16892"/>
    <w:rsid w:val="00F175BA"/>
    <w:rsid w:val="00F1771F"/>
    <w:rsid w:val="00F17B79"/>
    <w:rsid w:val="00F201B1"/>
    <w:rsid w:val="00F21267"/>
    <w:rsid w:val="00F21900"/>
    <w:rsid w:val="00F21C2E"/>
    <w:rsid w:val="00F22A8F"/>
    <w:rsid w:val="00F23223"/>
    <w:rsid w:val="00F236B2"/>
    <w:rsid w:val="00F23EF3"/>
    <w:rsid w:val="00F2438D"/>
    <w:rsid w:val="00F24652"/>
    <w:rsid w:val="00F24799"/>
    <w:rsid w:val="00F249F6"/>
    <w:rsid w:val="00F24F58"/>
    <w:rsid w:val="00F25124"/>
    <w:rsid w:val="00F251C8"/>
    <w:rsid w:val="00F257E6"/>
    <w:rsid w:val="00F25A2A"/>
    <w:rsid w:val="00F25EB8"/>
    <w:rsid w:val="00F26123"/>
    <w:rsid w:val="00F2626E"/>
    <w:rsid w:val="00F26315"/>
    <w:rsid w:val="00F267D4"/>
    <w:rsid w:val="00F26A28"/>
    <w:rsid w:val="00F26BE6"/>
    <w:rsid w:val="00F26CCE"/>
    <w:rsid w:val="00F26FCF"/>
    <w:rsid w:val="00F27039"/>
    <w:rsid w:val="00F2709B"/>
    <w:rsid w:val="00F27149"/>
    <w:rsid w:val="00F311DC"/>
    <w:rsid w:val="00F315C4"/>
    <w:rsid w:val="00F31690"/>
    <w:rsid w:val="00F325C6"/>
    <w:rsid w:val="00F32857"/>
    <w:rsid w:val="00F3292C"/>
    <w:rsid w:val="00F337B4"/>
    <w:rsid w:val="00F33D74"/>
    <w:rsid w:val="00F34116"/>
    <w:rsid w:val="00F34380"/>
    <w:rsid w:val="00F344D5"/>
    <w:rsid w:val="00F34A1D"/>
    <w:rsid w:val="00F359DC"/>
    <w:rsid w:val="00F35E08"/>
    <w:rsid w:val="00F35F02"/>
    <w:rsid w:val="00F363ED"/>
    <w:rsid w:val="00F369E9"/>
    <w:rsid w:val="00F36ABE"/>
    <w:rsid w:val="00F36D14"/>
    <w:rsid w:val="00F3711E"/>
    <w:rsid w:val="00F3725F"/>
    <w:rsid w:val="00F374AF"/>
    <w:rsid w:val="00F3754C"/>
    <w:rsid w:val="00F37689"/>
    <w:rsid w:val="00F37992"/>
    <w:rsid w:val="00F40214"/>
    <w:rsid w:val="00F4043D"/>
    <w:rsid w:val="00F40927"/>
    <w:rsid w:val="00F412F4"/>
    <w:rsid w:val="00F41477"/>
    <w:rsid w:val="00F41D6D"/>
    <w:rsid w:val="00F423D6"/>
    <w:rsid w:val="00F4257A"/>
    <w:rsid w:val="00F426D3"/>
    <w:rsid w:val="00F428A2"/>
    <w:rsid w:val="00F43207"/>
    <w:rsid w:val="00F435DA"/>
    <w:rsid w:val="00F43AD0"/>
    <w:rsid w:val="00F43D22"/>
    <w:rsid w:val="00F44859"/>
    <w:rsid w:val="00F44D1A"/>
    <w:rsid w:val="00F4533E"/>
    <w:rsid w:val="00F45A71"/>
    <w:rsid w:val="00F46374"/>
    <w:rsid w:val="00F473AE"/>
    <w:rsid w:val="00F478E4"/>
    <w:rsid w:val="00F5073C"/>
    <w:rsid w:val="00F51AAF"/>
    <w:rsid w:val="00F51BB3"/>
    <w:rsid w:val="00F5354C"/>
    <w:rsid w:val="00F5444C"/>
    <w:rsid w:val="00F559AB"/>
    <w:rsid w:val="00F56197"/>
    <w:rsid w:val="00F5655F"/>
    <w:rsid w:val="00F573A3"/>
    <w:rsid w:val="00F57B10"/>
    <w:rsid w:val="00F60487"/>
    <w:rsid w:val="00F6102F"/>
    <w:rsid w:val="00F614DB"/>
    <w:rsid w:val="00F616D4"/>
    <w:rsid w:val="00F61B05"/>
    <w:rsid w:val="00F61E6A"/>
    <w:rsid w:val="00F62097"/>
    <w:rsid w:val="00F632C0"/>
    <w:rsid w:val="00F63471"/>
    <w:rsid w:val="00F63571"/>
    <w:rsid w:val="00F6368A"/>
    <w:rsid w:val="00F63897"/>
    <w:rsid w:val="00F63D73"/>
    <w:rsid w:val="00F65DCA"/>
    <w:rsid w:val="00F65E6E"/>
    <w:rsid w:val="00F663BD"/>
    <w:rsid w:val="00F6671C"/>
    <w:rsid w:val="00F66AD5"/>
    <w:rsid w:val="00F66CDD"/>
    <w:rsid w:val="00F673A8"/>
    <w:rsid w:val="00F67516"/>
    <w:rsid w:val="00F70F37"/>
    <w:rsid w:val="00F720ED"/>
    <w:rsid w:val="00F732B1"/>
    <w:rsid w:val="00F73F09"/>
    <w:rsid w:val="00F74EBA"/>
    <w:rsid w:val="00F76A16"/>
    <w:rsid w:val="00F76F3C"/>
    <w:rsid w:val="00F77339"/>
    <w:rsid w:val="00F77572"/>
    <w:rsid w:val="00F778D3"/>
    <w:rsid w:val="00F800F4"/>
    <w:rsid w:val="00F801DF"/>
    <w:rsid w:val="00F80252"/>
    <w:rsid w:val="00F805E3"/>
    <w:rsid w:val="00F80C16"/>
    <w:rsid w:val="00F80C1F"/>
    <w:rsid w:val="00F81BAB"/>
    <w:rsid w:val="00F81D28"/>
    <w:rsid w:val="00F823DD"/>
    <w:rsid w:val="00F8333E"/>
    <w:rsid w:val="00F83473"/>
    <w:rsid w:val="00F84139"/>
    <w:rsid w:val="00F84B0D"/>
    <w:rsid w:val="00F8546A"/>
    <w:rsid w:val="00F85529"/>
    <w:rsid w:val="00F86D21"/>
    <w:rsid w:val="00F906C3"/>
    <w:rsid w:val="00F91495"/>
    <w:rsid w:val="00F91850"/>
    <w:rsid w:val="00F9187F"/>
    <w:rsid w:val="00F91CB5"/>
    <w:rsid w:val="00F91D2B"/>
    <w:rsid w:val="00F9234C"/>
    <w:rsid w:val="00F9257D"/>
    <w:rsid w:val="00F927FD"/>
    <w:rsid w:val="00F92A4E"/>
    <w:rsid w:val="00F92FF4"/>
    <w:rsid w:val="00F9318D"/>
    <w:rsid w:val="00F9390A"/>
    <w:rsid w:val="00F93DAC"/>
    <w:rsid w:val="00F93E4D"/>
    <w:rsid w:val="00F9471F"/>
    <w:rsid w:val="00F94DFE"/>
    <w:rsid w:val="00F95296"/>
    <w:rsid w:val="00F9574E"/>
    <w:rsid w:val="00F959D9"/>
    <w:rsid w:val="00F95F06"/>
    <w:rsid w:val="00F96102"/>
    <w:rsid w:val="00F96835"/>
    <w:rsid w:val="00F96AA9"/>
    <w:rsid w:val="00F96AF5"/>
    <w:rsid w:val="00F96CFE"/>
    <w:rsid w:val="00FA0B24"/>
    <w:rsid w:val="00FA118F"/>
    <w:rsid w:val="00FA1508"/>
    <w:rsid w:val="00FA16CD"/>
    <w:rsid w:val="00FA21A6"/>
    <w:rsid w:val="00FA21DC"/>
    <w:rsid w:val="00FA266B"/>
    <w:rsid w:val="00FA2F7F"/>
    <w:rsid w:val="00FA3056"/>
    <w:rsid w:val="00FA3550"/>
    <w:rsid w:val="00FA3897"/>
    <w:rsid w:val="00FA3D37"/>
    <w:rsid w:val="00FA41B2"/>
    <w:rsid w:val="00FA43EF"/>
    <w:rsid w:val="00FA50FE"/>
    <w:rsid w:val="00FA5584"/>
    <w:rsid w:val="00FA596C"/>
    <w:rsid w:val="00FA5D47"/>
    <w:rsid w:val="00FA6405"/>
    <w:rsid w:val="00FA6444"/>
    <w:rsid w:val="00FA67DD"/>
    <w:rsid w:val="00FA68F1"/>
    <w:rsid w:val="00FA75CE"/>
    <w:rsid w:val="00FA76D2"/>
    <w:rsid w:val="00FA7D7A"/>
    <w:rsid w:val="00FB0FBB"/>
    <w:rsid w:val="00FB1AA6"/>
    <w:rsid w:val="00FB3447"/>
    <w:rsid w:val="00FB3C44"/>
    <w:rsid w:val="00FB4010"/>
    <w:rsid w:val="00FB46E8"/>
    <w:rsid w:val="00FB509A"/>
    <w:rsid w:val="00FB52B6"/>
    <w:rsid w:val="00FB56E5"/>
    <w:rsid w:val="00FB585E"/>
    <w:rsid w:val="00FB5ACC"/>
    <w:rsid w:val="00FB6334"/>
    <w:rsid w:val="00FB650C"/>
    <w:rsid w:val="00FB65C2"/>
    <w:rsid w:val="00FB65FE"/>
    <w:rsid w:val="00FB6A5D"/>
    <w:rsid w:val="00FB6E29"/>
    <w:rsid w:val="00FB7998"/>
    <w:rsid w:val="00FB7D60"/>
    <w:rsid w:val="00FC1ECD"/>
    <w:rsid w:val="00FC22C9"/>
    <w:rsid w:val="00FC25E8"/>
    <w:rsid w:val="00FC2701"/>
    <w:rsid w:val="00FC3015"/>
    <w:rsid w:val="00FC3476"/>
    <w:rsid w:val="00FC3A35"/>
    <w:rsid w:val="00FC3FCE"/>
    <w:rsid w:val="00FC45FF"/>
    <w:rsid w:val="00FC50AE"/>
    <w:rsid w:val="00FC54AB"/>
    <w:rsid w:val="00FC5A83"/>
    <w:rsid w:val="00FC5F25"/>
    <w:rsid w:val="00FC66BD"/>
    <w:rsid w:val="00FC66D5"/>
    <w:rsid w:val="00FC6C59"/>
    <w:rsid w:val="00FC6D8F"/>
    <w:rsid w:val="00FC745D"/>
    <w:rsid w:val="00FC78DA"/>
    <w:rsid w:val="00FC795A"/>
    <w:rsid w:val="00FD0D46"/>
    <w:rsid w:val="00FD0E01"/>
    <w:rsid w:val="00FD10AD"/>
    <w:rsid w:val="00FD26D9"/>
    <w:rsid w:val="00FD387F"/>
    <w:rsid w:val="00FD3EE3"/>
    <w:rsid w:val="00FD4684"/>
    <w:rsid w:val="00FD49AD"/>
    <w:rsid w:val="00FD4A7A"/>
    <w:rsid w:val="00FD4B23"/>
    <w:rsid w:val="00FD4BC6"/>
    <w:rsid w:val="00FD4BFC"/>
    <w:rsid w:val="00FD4CE0"/>
    <w:rsid w:val="00FD4FE2"/>
    <w:rsid w:val="00FD5260"/>
    <w:rsid w:val="00FD67DE"/>
    <w:rsid w:val="00FD7B2B"/>
    <w:rsid w:val="00FE0CB2"/>
    <w:rsid w:val="00FE134F"/>
    <w:rsid w:val="00FE28AD"/>
    <w:rsid w:val="00FE3E0F"/>
    <w:rsid w:val="00FE3EC5"/>
    <w:rsid w:val="00FE405A"/>
    <w:rsid w:val="00FE5787"/>
    <w:rsid w:val="00FE6083"/>
    <w:rsid w:val="00FE638E"/>
    <w:rsid w:val="00FE6D5C"/>
    <w:rsid w:val="00FF00DD"/>
    <w:rsid w:val="00FF017F"/>
    <w:rsid w:val="00FF0556"/>
    <w:rsid w:val="00FF09B6"/>
    <w:rsid w:val="00FF0D93"/>
    <w:rsid w:val="00FF299D"/>
    <w:rsid w:val="00FF2AB4"/>
    <w:rsid w:val="00FF2C62"/>
    <w:rsid w:val="00FF2F7C"/>
    <w:rsid w:val="00FF2FBF"/>
    <w:rsid w:val="00FF30DE"/>
    <w:rsid w:val="00FF4FAB"/>
    <w:rsid w:val="00FF50DC"/>
    <w:rsid w:val="00FF5956"/>
    <w:rsid w:val="00FF5B8E"/>
    <w:rsid w:val="00FF5D84"/>
    <w:rsid w:val="00FF6510"/>
    <w:rsid w:val="00FF667E"/>
    <w:rsid w:val="00FF74C0"/>
    <w:rsid w:val="00FF7618"/>
    <w:rsid w:val="00FF7A2B"/>
    <w:rsid w:val="00FF7A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37"/>
    <w:pPr>
      <w:spacing w:after="100" w:line="400" w:lineRule="exact"/>
      <w:jc w:val="both"/>
    </w:pPr>
    <w:rPr>
      <w:rFonts w:ascii="Century Schoolbook" w:hAnsi="Century Schoolbook"/>
      <w:sz w:val="27"/>
    </w:rPr>
  </w:style>
  <w:style w:type="paragraph" w:styleId="Heading1">
    <w:name w:val="heading 1"/>
    <w:basedOn w:val="Normal"/>
    <w:next w:val="Normal"/>
    <w:qFormat/>
    <w:rsid w:val="00DB0AE4"/>
    <w:pPr>
      <w:keepNext/>
      <w:numPr>
        <w:numId w:val="4"/>
      </w:numPr>
      <w:spacing w:before="140"/>
      <w:jc w:val="center"/>
      <w:outlineLvl w:val="0"/>
    </w:pPr>
    <w:rPr>
      <w:b/>
      <w:smallCaps/>
    </w:rPr>
  </w:style>
  <w:style w:type="paragraph" w:styleId="Heading2">
    <w:name w:val="heading 2"/>
    <w:basedOn w:val="Normal"/>
    <w:next w:val="Normal"/>
    <w:qFormat/>
    <w:rsid w:val="00705F37"/>
    <w:pPr>
      <w:keepNext/>
      <w:numPr>
        <w:numId w:val="5"/>
      </w:numPr>
      <w:tabs>
        <w:tab w:val="left" w:pos="1152"/>
      </w:tabs>
      <w:spacing w:before="140" w:line="240" w:lineRule="atLeast"/>
      <w:jc w:val="left"/>
      <w:outlineLvl w:val="1"/>
    </w:pPr>
    <w:rPr>
      <w:b/>
    </w:rPr>
  </w:style>
  <w:style w:type="paragraph" w:styleId="Heading3">
    <w:name w:val="heading 3"/>
    <w:basedOn w:val="Normal"/>
    <w:next w:val="NormalIndent"/>
    <w:qFormat/>
    <w:rsid w:val="00502FE9"/>
    <w:pPr>
      <w:keepNext/>
      <w:numPr>
        <w:numId w:val="6"/>
      </w:numPr>
      <w:tabs>
        <w:tab w:val="left" w:pos="1584"/>
      </w:tabs>
      <w:spacing w:before="140" w:line="240" w:lineRule="atLeast"/>
      <w:ind w:left="1584" w:hanging="432"/>
      <w:jc w:val="left"/>
      <w:outlineLvl w:val="2"/>
    </w:pPr>
    <w:rPr>
      <w:i/>
    </w:rPr>
  </w:style>
  <w:style w:type="paragraph" w:styleId="Heading4">
    <w:name w:val="heading 4"/>
    <w:basedOn w:val="Normal"/>
    <w:qFormat/>
    <w:rsid w:val="006C506B"/>
    <w:pPr>
      <w:keepNext/>
      <w:numPr>
        <w:numId w:val="7"/>
      </w:numPr>
      <w:spacing w:before="140" w:line="240" w:lineRule="atLeast"/>
      <w:ind w:left="2016" w:hanging="432"/>
      <w:jc w:val="left"/>
      <w:outlineLvl w:val="3"/>
    </w:pPr>
    <w:rPr>
      <w:i/>
    </w:rPr>
  </w:style>
  <w:style w:type="paragraph" w:styleId="Heading5">
    <w:name w:val="heading 5"/>
    <w:basedOn w:val="Normal"/>
    <w:qFormat/>
    <w:rsid w:val="00705F37"/>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1E4C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4C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4C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4C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05F37"/>
    <w:pPr>
      <w:ind w:left="720"/>
    </w:pPr>
  </w:style>
  <w:style w:type="paragraph" w:styleId="Footer">
    <w:name w:val="footer"/>
    <w:basedOn w:val="Normal"/>
    <w:qFormat/>
    <w:rsid w:val="00705F37"/>
    <w:pPr>
      <w:tabs>
        <w:tab w:val="center" w:pos="3960"/>
        <w:tab w:val="right" w:pos="10080"/>
      </w:tabs>
      <w:spacing w:after="0" w:line="240" w:lineRule="auto"/>
      <w:jc w:val="center"/>
    </w:pPr>
    <w:rPr>
      <w:sz w:val="22"/>
    </w:rPr>
  </w:style>
  <w:style w:type="paragraph" w:styleId="Header">
    <w:name w:val="header"/>
    <w:basedOn w:val="Normal"/>
    <w:qFormat/>
    <w:rsid w:val="00705F3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05F37"/>
    <w:rPr>
      <w:rFonts w:ascii="Century Schoolbook" w:hAnsi="Century Schoolbook"/>
      <w:b/>
      <w:i w:val="0"/>
      <w:position w:val="4"/>
      <w:sz w:val="27"/>
      <w:vertAlign w:val="superscript"/>
    </w:rPr>
  </w:style>
  <w:style w:type="paragraph" w:styleId="FootnoteText">
    <w:name w:val="footnote text"/>
    <w:basedOn w:val="Normal"/>
    <w:rsid w:val="00705F37"/>
    <w:pPr>
      <w:spacing w:line="300" w:lineRule="exact"/>
    </w:pPr>
  </w:style>
  <w:style w:type="paragraph" w:customStyle="1" w:styleId="Title1">
    <w:name w:val="Title1"/>
    <w:basedOn w:val="Normal"/>
    <w:rsid w:val="00705F37"/>
    <w:pPr>
      <w:tabs>
        <w:tab w:val="left" w:pos="5760"/>
        <w:tab w:val="left" w:pos="6480"/>
      </w:tabs>
      <w:spacing w:line="240" w:lineRule="atLeast"/>
    </w:pPr>
  </w:style>
  <w:style w:type="paragraph" w:customStyle="1" w:styleId="Recommend">
    <w:name w:val="Recommend"/>
    <w:basedOn w:val="Normal"/>
    <w:rsid w:val="00705F37"/>
  </w:style>
  <w:style w:type="paragraph" w:customStyle="1" w:styleId="Summary">
    <w:name w:val="Summary"/>
    <w:basedOn w:val="Normal"/>
    <w:rsid w:val="00705F37"/>
    <w:pPr>
      <w:ind w:left="2160" w:hanging="2160"/>
    </w:pPr>
  </w:style>
  <w:style w:type="paragraph" w:customStyle="1" w:styleId="Text">
    <w:name w:val="Text"/>
    <w:basedOn w:val="Normal"/>
    <w:rsid w:val="00705F37"/>
    <w:pPr>
      <w:tabs>
        <w:tab w:val="left" w:pos="720"/>
        <w:tab w:val="left" w:pos="1440"/>
        <w:tab w:val="left" w:pos="2160"/>
        <w:tab w:val="center" w:pos="4320"/>
      </w:tabs>
      <w:spacing w:line="480" w:lineRule="atLeast"/>
      <w:ind w:firstLine="540"/>
    </w:pPr>
  </w:style>
  <w:style w:type="paragraph" w:styleId="Date">
    <w:name w:val="Date"/>
    <w:basedOn w:val="Normal"/>
    <w:semiHidden/>
    <w:rsid w:val="00705F37"/>
    <w:pPr>
      <w:jc w:val="right"/>
    </w:pPr>
  </w:style>
  <w:style w:type="character" w:styleId="PageNumber">
    <w:name w:val="page number"/>
    <w:basedOn w:val="DefaultParagraphFont"/>
    <w:semiHidden/>
    <w:rsid w:val="00705F37"/>
  </w:style>
  <w:style w:type="paragraph" w:customStyle="1" w:styleId="subject">
    <w:name w:val="subject"/>
    <w:basedOn w:val="Normal"/>
    <w:rsid w:val="00705F37"/>
    <w:pPr>
      <w:tabs>
        <w:tab w:val="left" w:pos="1008"/>
      </w:tabs>
      <w:ind w:left="990" w:hanging="990"/>
    </w:pPr>
    <w:rPr>
      <w:b/>
    </w:rPr>
  </w:style>
  <w:style w:type="paragraph" w:customStyle="1" w:styleId="Titles">
    <w:name w:val="Titles"/>
    <w:basedOn w:val="Normal"/>
    <w:rsid w:val="00705F37"/>
    <w:pPr>
      <w:tabs>
        <w:tab w:val="left" w:pos="2160"/>
      </w:tabs>
      <w:ind w:left="2160" w:hanging="2160"/>
    </w:pPr>
    <w:rPr>
      <w:b/>
    </w:rPr>
  </w:style>
  <w:style w:type="paragraph" w:styleId="TOAHeading">
    <w:name w:val="toa heading"/>
    <w:basedOn w:val="Normal"/>
    <w:next w:val="Normal"/>
    <w:semiHidden/>
    <w:rsid w:val="00705F37"/>
    <w:pPr>
      <w:spacing w:before="120"/>
    </w:pPr>
    <w:rPr>
      <w:b/>
    </w:rPr>
  </w:style>
  <w:style w:type="paragraph" w:styleId="TOC1">
    <w:name w:val="toc 1"/>
    <w:basedOn w:val="Normal"/>
    <w:next w:val="Normal"/>
    <w:autoRedefine/>
    <w:semiHidden/>
    <w:rsid w:val="00705F37"/>
  </w:style>
  <w:style w:type="paragraph" w:styleId="TOC2">
    <w:name w:val="toc 2"/>
    <w:basedOn w:val="Normal"/>
    <w:next w:val="Normal"/>
    <w:autoRedefine/>
    <w:semiHidden/>
    <w:rsid w:val="00705F37"/>
    <w:pPr>
      <w:ind w:left="259"/>
    </w:pPr>
  </w:style>
  <w:style w:type="paragraph" w:styleId="TOC3">
    <w:name w:val="toc 3"/>
    <w:basedOn w:val="Normal"/>
    <w:next w:val="Normal"/>
    <w:autoRedefine/>
    <w:semiHidden/>
    <w:rsid w:val="00705F37"/>
    <w:pPr>
      <w:ind w:left="520"/>
    </w:pPr>
  </w:style>
  <w:style w:type="paragraph" w:styleId="TOC4">
    <w:name w:val="toc 4"/>
    <w:basedOn w:val="Normal"/>
    <w:next w:val="Normal"/>
    <w:autoRedefine/>
    <w:semiHidden/>
    <w:rsid w:val="00705F37"/>
    <w:pPr>
      <w:ind w:left="780"/>
    </w:pPr>
  </w:style>
  <w:style w:type="paragraph" w:styleId="TOC5">
    <w:name w:val="toc 5"/>
    <w:basedOn w:val="Normal"/>
    <w:next w:val="Normal"/>
    <w:autoRedefine/>
    <w:semiHidden/>
    <w:rsid w:val="00705F37"/>
    <w:pPr>
      <w:ind w:left="1040"/>
    </w:pPr>
  </w:style>
  <w:style w:type="paragraph" w:styleId="TOC6">
    <w:name w:val="toc 6"/>
    <w:basedOn w:val="Normal"/>
    <w:next w:val="Normal"/>
    <w:autoRedefine/>
    <w:semiHidden/>
    <w:rsid w:val="00705F37"/>
    <w:pPr>
      <w:ind w:left="1300"/>
    </w:pPr>
  </w:style>
  <w:style w:type="paragraph" w:styleId="TOC7">
    <w:name w:val="toc 7"/>
    <w:basedOn w:val="Normal"/>
    <w:next w:val="Normal"/>
    <w:autoRedefine/>
    <w:semiHidden/>
    <w:rsid w:val="00705F37"/>
    <w:pPr>
      <w:ind w:left="1560"/>
    </w:pPr>
  </w:style>
  <w:style w:type="paragraph" w:styleId="TOC8">
    <w:name w:val="toc 8"/>
    <w:basedOn w:val="Normal"/>
    <w:next w:val="Normal"/>
    <w:autoRedefine/>
    <w:semiHidden/>
    <w:rsid w:val="00705F37"/>
    <w:pPr>
      <w:ind w:left="1820"/>
    </w:pPr>
  </w:style>
  <w:style w:type="paragraph" w:styleId="TOC9">
    <w:name w:val="toc 9"/>
    <w:basedOn w:val="Normal"/>
    <w:next w:val="Normal"/>
    <w:autoRedefine/>
    <w:semiHidden/>
    <w:rsid w:val="00705F37"/>
    <w:pPr>
      <w:ind w:left="2080"/>
    </w:pPr>
  </w:style>
  <w:style w:type="paragraph" w:customStyle="1" w:styleId="Contents">
    <w:name w:val="Contents"/>
    <w:basedOn w:val="Normal"/>
    <w:rsid w:val="00705F37"/>
    <w:pPr>
      <w:jc w:val="center"/>
    </w:pPr>
    <w:rPr>
      <w:b/>
      <w:spacing w:val="100"/>
    </w:rPr>
  </w:style>
  <w:style w:type="character" w:customStyle="1" w:styleId="Heading6Char">
    <w:name w:val="Heading 6 Char"/>
    <w:basedOn w:val="DefaultParagraphFont"/>
    <w:link w:val="Heading6"/>
    <w:uiPriority w:val="9"/>
    <w:semiHidden/>
    <w:rsid w:val="001E4CFB"/>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1E4CFB"/>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1E4C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4CF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5292D"/>
    <w:rPr>
      <w:color w:val="0000FF" w:themeColor="hyperlink"/>
      <w:u w:val="single"/>
    </w:rPr>
  </w:style>
  <w:style w:type="character" w:customStyle="1" w:styleId="UnresolvedMention1">
    <w:name w:val="Unresolved Mention1"/>
    <w:basedOn w:val="DefaultParagraphFont"/>
    <w:uiPriority w:val="99"/>
    <w:semiHidden/>
    <w:unhideWhenUsed/>
    <w:rsid w:val="0095292D"/>
    <w:rPr>
      <w:color w:val="605E5C"/>
      <w:shd w:val="clear" w:color="auto" w:fill="E1DFDD"/>
    </w:rPr>
  </w:style>
  <w:style w:type="character" w:styleId="FollowedHyperlink">
    <w:name w:val="FollowedHyperlink"/>
    <w:basedOn w:val="DefaultParagraphFont"/>
    <w:uiPriority w:val="99"/>
    <w:semiHidden/>
    <w:unhideWhenUsed/>
    <w:rsid w:val="008028BD"/>
    <w:rPr>
      <w:color w:val="800080" w:themeColor="followedHyperlink"/>
      <w:u w:val="single"/>
    </w:rPr>
  </w:style>
  <w:style w:type="paragraph" w:styleId="Revision">
    <w:name w:val="Revision"/>
    <w:hidden/>
    <w:uiPriority w:val="99"/>
    <w:semiHidden/>
    <w:rsid w:val="00F25124"/>
    <w:rPr>
      <w:sz w:val="26"/>
    </w:rPr>
  </w:style>
  <w:style w:type="character" w:styleId="CommentReference">
    <w:name w:val="annotation reference"/>
    <w:basedOn w:val="DefaultParagraphFont"/>
    <w:uiPriority w:val="99"/>
    <w:semiHidden/>
    <w:unhideWhenUsed/>
    <w:rsid w:val="00F25124"/>
    <w:rPr>
      <w:sz w:val="16"/>
      <w:szCs w:val="16"/>
    </w:rPr>
  </w:style>
  <w:style w:type="paragraph" w:styleId="CommentText">
    <w:name w:val="annotation text"/>
    <w:basedOn w:val="Normal"/>
    <w:link w:val="CommentTextChar"/>
    <w:uiPriority w:val="99"/>
    <w:unhideWhenUsed/>
    <w:rsid w:val="00F25124"/>
    <w:rPr>
      <w:sz w:val="20"/>
    </w:rPr>
  </w:style>
  <w:style w:type="character" w:customStyle="1" w:styleId="CommentTextChar">
    <w:name w:val="Comment Text Char"/>
    <w:basedOn w:val="DefaultParagraphFont"/>
    <w:link w:val="CommentText"/>
    <w:uiPriority w:val="99"/>
    <w:rsid w:val="00F25124"/>
  </w:style>
  <w:style w:type="paragraph" w:styleId="CommentSubject">
    <w:name w:val="annotation subject"/>
    <w:basedOn w:val="CommentText"/>
    <w:next w:val="CommentText"/>
    <w:link w:val="CommentSubjectChar"/>
    <w:uiPriority w:val="99"/>
    <w:semiHidden/>
    <w:unhideWhenUsed/>
    <w:rsid w:val="00F25124"/>
    <w:rPr>
      <w:b/>
      <w:bCs/>
    </w:rPr>
  </w:style>
  <w:style w:type="character" w:customStyle="1" w:styleId="CommentSubjectChar">
    <w:name w:val="Comment Subject Char"/>
    <w:basedOn w:val="CommentTextChar"/>
    <w:link w:val="CommentSubject"/>
    <w:uiPriority w:val="99"/>
    <w:semiHidden/>
    <w:rsid w:val="00F25124"/>
    <w:rPr>
      <w:b/>
      <w:bCs/>
    </w:rPr>
  </w:style>
  <w:style w:type="paragraph" w:styleId="BodyText">
    <w:name w:val="Body Text"/>
    <w:basedOn w:val="Normal"/>
    <w:link w:val="BodyTextChar"/>
    <w:qFormat/>
    <w:rsid w:val="00705F37"/>
  </w:style>
  <w:style w:type="character" w:customStyle="1" w:styleId="BodyTextChar">
    <w:name w:val="Body Text Char"/>
    <w:basedOn w:val="DefaultParagraphFont"/>
    <w:link w:val="BodyText"/>
    <w:rsid w:val="00705F3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5006-EC3D-47E1-8505-C1585E28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11117</Words>
  <Characters>63368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2024-04-22T16:39:44Z</dcterms:created>
  <dcterms:modified xsi:type="dcterms:W3CDTF">2024-04-22T16:39:44Z</dcterms:modified>
</cp:coreProperties>
</file>